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D5" w:rsidRPr="0081343F" w:rsidRDefault="00CF58E8" w:rsidP="002264D5">
      <w:pPr>
        <w:jc w:val="center"/>
      </w:pPr>
      <w:r>
        <w:rPr>
          <w:noProof/>
        </w:rPr>
        <w:drawing>
          <wp:inline distT="0" distB="0" distL="0" distR="0" wp14:anchorId="2292EBE2" wp14:editId="796FF42C">
            <wp:extent cx="841178" cy="688791"/>
            <wp:effectExtent l="0" t="0" r="0" b="0"/>
            <wp:docPr id="2" name="Slika 2" descr="Emblem EU" title="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bEU S podporo skladov EU na področju notranjih zadev_barvni.png"/>
                    <pic:cNvPicPr/>
                  </pic:nvPicPr>
                  <pic:blipFill>
                    <a:blip r:embed="rId8">
                      <a:extLst>
                        <a:ext uri="{28A0092B-C50C-407E-A947-70E740481C1C}">
                          <a14:useLocalDpi xmlns:a14="http://schemas.microsoft.com/office/drawing/2010/main" val="0"/>
                        </a:ext>
                      </a:extLst>
                    </a:blip>
                    <a:stretch>
                      <a:fillRect/>
                    </a:stretch>
                  </pic:blipFill>
                  <pic:spPr>
                    <a:xfrm>
                      <a:off x="0" y="0"/>
                      <a:ext cx="841178" cy="688791"/>
                    </a:xfrm>
                    <a:prstGeom prst="rect">
                      <a:avLst/>
                    </a:prstGeom>
                  </pic:spPr>
                </pic:pic>
              </a:graphicData>
            </a:graphic>
          </wp:inline>
        </w:drawing>
      </w:r>
    </w:p>
    <w:p w:rsidR="002264D5" w:rsidRPr="0081343F" w:rsidRDefault="002264D5" w:rsidP="002264D5">
      <w:pPr>
        <w:pStyle w:val="Body"/>
      </w:pPr>
    </w:p>
    <w:p w:rsidR="002264D5" w:rsidRPr="0081343F" w:rsidRDefault="002264D5" w:rsidP="002264D5">
      <w:pPr>
        <w:pStyle w:val="Glava"/>
        <w:jc w:val="both"/>
        <w:rPr>
          <w:szCs w:val="22"/>
        </w:rPr>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7804E6" w:rsidRPr="0081343F" w:rsidRDefault="007804E6" w:rsidP="00756A74">
      <w:pPr>
        <w:pStyle w:val="Body"/>
        <w:rPr>
          <w:b/>
          <w:bCs/>
          <w:caps/>
          <w:sz w:val="36"/>
          <w:szCs w:val="36"/>
        </w:rPr>
      </w:pPr>
    </w:p>
    <w:p w:rsidR="00BC26EE" w:rsidRPr="00C4090D" w:rsidRDefault="00756A74" w:rsidP="00C4090D">
      <w:pPr>
        <w:pStyle w:val="Body"/>
        <w:jc w:val="center"/>
        <w:rPr>
          <w:b/>
          <w:bCs/>
          <w:caps/>
          <w:sz w:val="28"/>
          <w:szCs w:val="28"/>
        </w:rPr>
      </w:pPr>
      <w:r w:rsidRPr="00C4090D">
        <w:rPr>
          <w:b/>
          <w:bCs/>
          <w:caps/>
          <w:sz w:val="28"/>
          <w:szCs w:val="28"/>
        </w:rPr>
        <w:t xml:space="preserve">strategija </w:t>
      </w:r>
      <w:r w:rsidR="005E632D" w:rsidRPr="00C4090D">
        <w:rPr>
          <w:b/>
          <w:bCs/>
          <w:caps/>
          <w:sz w:val="28"/>
          <w:szCs w:val="28"/>
        </w:rPr>
        <w:t xml:space="preserve">IZVAJANJA </w:t>
      </w:r>
      <w:r w:rsidRPr="00C4090D">
        <w:rPr>
          <w:b/>
          <w:bCs/>
          <w:caps/>
          <w:sz w:val="28"/>
          <w:szCs w:val="28"/>
        </w:rPr>
        <w:t>kontrol odgovornega organa</w:t>
      </w:r>
    </w:p>
    <w:p w:rsidR="00C4090D" w:rsidRDefault="00C4090D" w:rsidP="00C4090D">
      <w:pPr>
        <w:pStyle w:val="Body"/>
        <w:jc w:val="center"/>
        <w:rPr>
          <w:b/>
          <w:bCs/>
          <w:caps/>
          <w:sz w:val="28"/>
          <w:szCs w:val="28"/>
        </w:rPr>
      </w:pPr>
    </w:p>
    <w:p w:rsidR="00756A74" w:rsidRPr="00C4090D" w:rsidRDefault="007804E6" w:rsidP="00C4090D">
      <w:pPr>
        <w:pStyle w:val="Body"/>
        <w:jc w:val="center"/>
        <w:rPr>
          <w:b/>
          <w:bCs/>
          <w:caps/>
          <w:sz w:val="28"/>
          <w:szCs w:val="28"/>
        </w:rPr>
      </w:pPr>
      <w:r w:rsidRPr="00C4090D">
        <w:rPr>
          <w:b/>
          <w:bCs/>
          <w:caps/>
          <w:sz w:val="28"/>
          <w:szCs w:val="28"/>
        </w:rPr>
        <w:t xml:space="preserve">v okviru  </w:t>
      </w:r>
      <w:r w:rsidR="00756A74" w:rsidRPr="00C4090D">
        <w:rPr>
          <w:b/>
          <w:bCs/>
          <w:caps/>
          <w:sz w:val="28"/>
          <w:szCs w:val="28"/>
        </w:rPr>
        <w:t>nacionalnih programov</w:t>
      </w:r>
      <w:r w:rsidR="00C4090D">
        <w:rPr>
          <w:b/>
          <w:bCs/>
          <w:caps/>
          <w:sz w:val="28"/>
          <w:szCs w:val="28"/>
        </w:rPr>
        <w:t xml:space="preserve"> </w:t>
      </w:r>
      <w:r w:rsidR="00756A74" w:rsidRPr="00C4090D">
        <w:rPr>
          <w:b/>
          <w:bCs/>
          <w:caps/>
          <w:sz w:val="28"/>
          <w:szCs w:val="28"/>
        </w:rPr>
        <w:t>Sklada za notranjo varnost in sklada za azil, migracije in vključevanje</w:t>
      </w:r>
    </w:p>
    <w:p w:rsidR="007804E6" w:rsidRPr="00C4090D" w:rsidRDefault="007804E6" w:rsidP="00C4090D">
      <w:pPr>
        <w:pStyle w:val="Body"/>
        <w:jc w:val="center"/>
        <w:rPr>
          <w:b/>
          <w:bCs/>
          <w:caps/>
          <w:sz w:val="28"/>
          <w:szCs w:val="28"/>
        </w:rPr>
      </w:pPr>
    </w:p>
    <w:p w:rsidR="007804E6" w:rsidRPr="00C4090D" w:rsidRDefault="00756A74" w:rsidP="00C4090D">
      <w:pPr>
        <w:pStyle w:val="Body"/>
        <w:jc w:val="center"/>
        <w:rPr>
          <w:b/>
          <w:bCs/>
          <w:caps/>
          <w:sz w:val="28"/>
          <w:szCs w:val="28"/>
        </w:rPr>
      </w:pPr>
      <w:r w:rsidRPr="00C4090D">
        <w:rPr>
          <w:b/>
          <w:bCs/>
          <w:caps/>
          <w:sz w:val="28"/>
          <w:szCs w:val="28"/>
        </w:rPr>
        <w:t>za obdobje 2014 – 2020</w:t>
      </w:r>
    </w:p>
    <w:p w:rsidR="002264D5" w:rsidRPr="0081343F" w:rsidRDefault="002264D5" w:rsidP="002264D5">
      <w:pPr>
        <w:spacing w:line="360" w:lineRule="auto"/>
        <w:ind w:left="-426" w:right="-739"/>
        <w:jc w:val="center"/>
        <w:rPr>
          <w:b/>
          <w:bCs/>
          <w:caps/>
          <w:sz w:val="16"/>
        </w:rPr>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2264D5" w:rsidRPr="0081343F" w:rsidRDefault="002264D5" w:rsidP="002264D5">
      <w:pPr>
        <w:pStyle w:val="Body"/>
      </w:pPr>
    </w:p>
    <w:p w:rsidR="00D677DE" w:rsidRPr="0081343F" w:rsidRDefault="00D677DE" w:rsidP="002264D5">
      <w:pPr>
        <w:pStyle w:val="Body"/>
      </w:pPr>
    </w:p>
    <w:p w:rsidR="003F02BF" w:rsidRPr="0081343F" w:rsidRDefault="003F02BF" w:rsidP="002264D5">
      <w:pPr>
        <w:pStyle w:val="Body"/>
      </w:pPr>
    </w:p>
    <w:p w:rsidR="00D677DE" w:rsidRPr="0081343F" w:rsidRDefault="00D677DE" w:rsidP="002264D5">
      <w:pPr>
        <w:pStyle w:val="Body"/>
      </w:pPr>
    </w:p>
    <w:p w:rsidR="003F02BF" w:rsidRPr="0081343F" w:rsidRDefault="003F02BF" w:rsidP="002264D5">
      <w:pPr>
        <w:pStyle w:val="Body"/>
      </w:pPr>
    </w:p>
    <w:p w:rsidR="00D677DE" w:rsidRPr="0081343F" w:rsidRDefault="00D677DE" w:rsidP="002264D5">
      <w:pPr>
        <w:pStyle w:val="Body"/>
      </w:pPr>
    </w:p>
    <w:tbl>
      <w:tblPr>
        <w:tblW w:w="0" w:type="auto"/>
        <w:tblLook w:val="01E0" w:firstRow="1" w:lastRow="1" w:firstColumn="1" w:lastColumn="1" w:noHBand="0" w:noVBand="0"/>
      </w:tblPr>
      <w:tblGrid>
        <w:gridCol w:w="4526"/>
        <w:gridCol w:w="4544"/>
      </w:tblGrid>
      <w:tr w:rsidR="002264D5" w:rsidRPr="0081343F" w:rsidTr="003F02BF">
        <w:trPr>
          <w:trHeight w:val="275"/>
        </w:trPr>
        <w:tc>
          <w:tcPr>
            <w:tcW w:w="4606" w:type="dxa"/>
          </w:tcPr>
          <w:p w:rsidR="002264D5" w:rsidRPr="0081343F" w:rsidRDefault="002264D5" w:rsidP="003F02BF">
            <w:pPr>
              <w:pStyle w:val="Body"/>
              <w:jc w:val="left"/>
              <w:rPr>
                <w:sz w:val="24"/>
              </w:rPr>
            </w:pPr>
          </w:p>
        </w:tc>
        <w:tc>
          <w:tcPr>
            <w:tcW w:w="4606" w:type="dxa"/>
          </w:tcPr>
          <w:p w:rsidR="002264D5" w:rsidRPr="0081343F" w:rsidRDefault="002264D5" w:rsidP="00226375">
            <w:pPr>
              <w:pStyle w:val="Body"/>
              <w:jc w:val="right"/>
              <w:rPr>
                <w:sz w:val="28"/>
              </w:rPr>
            </w:pPr>
            <w:r w:rsidRPr="0081343F">
              <w:rPr>
                <w:sz w:val="24"/>
              </w:rPr>
              <w:t xml:space="preserve">Ljubljana, </w:t>
            </w:r>
            <w:r w:rsidR="00226375">
              <w:rPr>
                <w:sz w:val="24"/>
              </w:rPr>
              <w:t>marec</w:t>
            </w:r>
            <w:r w:rsidR="00756A74">
              <w:rPr>
                <w:sz w:val="24"/>
              </w:rPr>
              <w:t xml:space="preserve"> </w:t>
            </w:r>
            <w:r w:rsidR="007804E6" w:rsidRPr="0081343F">
              <w:rPr>
                <w:sz w:val="24"/>
              </w:rPr>
              <w:t>201</w:t>
            </w:r>
            <w:r w:rsidR="00226375">
              <w:rPr>
                <w:sz w:val="24"/>
              </w:rPr>
              <w:t>7</w:t>
            </w:r>
          </w:p>
        </w:tc>
      </w:tr>
    </w:tbl>
    <w:p w:rsidR="005D2A09" w:rsidRPr="0081343F" w:rsidRDefault="005D2A09" w:rsidP="002264D5">
      <w:pPr>
        <w:pStyle w:val="Body"/>
        <w:rPr>
          <w:szCs w:val="22"/>
        </w:rPr>
      </w:pPr>
    </w:p>
    <w:p w:rsidR="00432FED" w:rsidRDefault="00432FED">
      <w:pPr>
        <w:jc w:val="left"/>
        <w:rPr>
          <w:rFonts w:cs="Arial"/>
          <w:sz w:val="28"/>
          <w:szCs w:val="28"/>
          <w:lang w:eastAsia="en-US"/>
        </w:rPr>
      </w:pPr>
      <w:r>
        <w:rPr>
          <w:sz w:val="28"/>
          <w:szCs w:val="28"/>
        </w:rPr>
        <w:br w:type="page"/>
      </w:r>
    </w:p>
    <w:p w:rsidR="005D2A09" w:rsidRPr="0081343F" w:rsidRDefault="005D2A09" w:rsidP="005D2A09">
      <w:pPr>
        <w:pStyle w:val="Body"/>
        <w:jc w:val="center"/>
        <w:rPr>
          <w:sz w:val="28"/>
          <w:szCs w:val="28"/>
        </w:rPr>
      </w:pPr>
      <w:r w:rsidRPr="0081343F">
        <w:rPr>
          <w:sz w:val="28"/>
          <w:szCs w:val="28"/>
        </w:rPr>
        <w:lastRenderedPageBreak/>
        <w:t>KAZALO</w:t>
      </w:r>
    </w:p>
    <w:p w:rsidR="005D2A09" w:rsidRPr="0081343F" w:rsidRDefault="005D2A09" w:rsidP="002264D5">
      <w:pPr>
        <w:pStyle w:val="Body"/>
        <w:rPr>
          <w:sz w:val="28"/>
        </w:rPr>
      </w:pPr>
    </w:p>
    <w:p w:rsidR="005D2A09" w:rsidRPr="0081343F" w:rsidRDefault="005D2A09" w:rsidP="002264D5">
      <w:pPr>
        <w:pStyle w:val="Body"/>
        <w:rPr>
          <w:sz w:val="28"/>
        </w:rPr>
      </w:pPr>
    </w:p>
    <w:p w:rsidR="005822F6" w:rsidRDefault="005D2A09">
      <w:pPr>
        <w:pStyle w:val="Kazalovsebine1"/>
        <w:tabs>
          <w:tab w:val="right" w:leader="dot" w:pos="9060"/>
        </w:tabs>
        <w:rPr>
          <w:rFonts w:asciiTheme="minorHAnsi" w:eastAsiaTheme="minorEastAsia" w:hAnsiTheme="minorHAnsi" w:cstheme="minorBidi"/>
          <w:noProof/>
          <w:szCs w:val="22"/>
        </w:rPr>
      </w:pPr>
      <w:r w:rsidRPr="0081343F">
        <w:rPr>
          <w:sz w:val="28"/>
        </w:rPr>
        <w:fldChar w:fldCharType="begin"/>
      </w:r>
      <w:r w:rsidRPr="0081343F">
        <w:rPr>
          <w:sz w:val="28"/>
        </w:rPr>
        <w:instrText xml:space="preserve"> TOC \o "1-3" \h \z \u </w:instrText>
      </w:r>
      <w:r w:rsidRPr="0081343F">
        <w:rPr>
          <w:sz w:val="28"/>
        </w:rPr>
        <w:fldChar w:fldCharType="separate"/>
      </w:r>
      <w:hyperlink w:anchor="_Toc457810280" w:history="1">
        <w:r w:rsidR="005822F6" w:rsidRPr="002D243E">
          <w:rPr>
            <w:rStyle w:val="Hiperpovezava"/>
            <w:noProof/>
          </w:rPr>
          <w:t>UVOD</w:t>
        </w:r>
        <w:r w:rsidR="005822F6">
          <w:rPr>
            <w:noProof/>
            <w:webHidden/>
          </w:rPr>
          <w:tab/>
        </w:r>
        <w:r w:rsidR="005822F6">
          <w:rPr>
            <w:noProof/>
            <w:webHidden/>
          </w:rPr>
          <w:fldChar w:fldCharType="begin"/>
        </w:r>
        <w:r w:rsidR="005822F6">
          <w:rPr>
            <w:noProof/>
            <w:webHidden/>
          </w:rPr>
          <w:instrText xml:space="preserve"> PAGEREF _Toc457810280 \h </w:instrText>
        </w:r>
        <w:r w:rsidR="005822F6">
          <w:rPr>
            <w:noProof/>
            <w:webHidden/>
          </w:rPr>
        </w:r>
        <w:r w:rsidR="005822F6">
          <w:rPr>
            <w:noProof/>
            <w:webHidden/>
          </w:rPr>
          <w:fldChar w:fldCharType="separate"/>
        </w:r>
        <w:r w:rsidR="00AD553E">
          <w:rPr>
            <w:noProof/>
            <w:webHidden/>
          </w:rPr>
          <w:t>4</w:t>
        </w:r>
        <w:r w:rsidR="005822F6">
          <w:rPr>
            <w:noProof/>
            <w:webHidden/>
          </w:rPr>
          <w:fldChar w:fldCharType="end"/>
        </w:r>
      </w:hyperlink>
    </w:p>
    <w:p w:rsidR="005822F6" w:rsidRDefault="006A4EF8">
      <w:pPr>
        <w:pStyle w:val="Kazalovsebine1"/>
        <w:tabs>
          <w:tab w:val="left" w:pos="440"/>
          <w:tab w:val="right" w:leader="dot" w:pos="9060"/>
        </w:tabs>
        <w:rPr>
          <w:rFonts w:asciiTheme="minorHAnsi" w:eastAsiaTheme="minorEastAsia" w:hAnsiTheme="minorHAnsi" w:cstheme="minorBidi"/>
          <w:noProof/>
          <w:szCs w:val="22"/>
        </w:rPr>
      </w:pPr>
      <w:hyperlink w:anchor="_Toc457810281" w:history="1">
        <w:r w:rsidR="005822F6" w:rsidRPr="002D243E">
          <w:rPr>
            <w:rStyle w:val="Hiperpovezava"/>
            <w:noProof/>
          </w:rPr>
          <w:t>1.</w:t>
        </w:r>
        <w:r w:rsidR="005822F6">
          <w:rPr>
            <w:rFonts w:asciiTheme="minorHAnsi" w:eastAsiaTheme="minorEastAsia" w:hAnsiTheme="minorHAnsi" w:cstheme="minorBidi"/>
            <w:noProof/>
            <w:szCs w:val="22"/>
          </w:rPr>
          <w:tab/>
        </w:r>
        <w:r w:rsidR="005822F6" w:rsidRPr="002D243E">
          <w:rPr>
            <w:rStyle w:val="Hiperpovezava"/>
            <w:noProof/>
          </w:rPr>
          <w:t>OSNOVNI PODATKI</w:t>
        </w:r>
        <w:r w:rsidR="005822F6">
          <w:rPr>
            <w:noProof/>
            <w:webHidden/>
          </w:rPr>
          <w:tab/>
        </w:r>
        <w:r w:rsidR="005822F6">
          <w:rPr>
            <w:noProof/>
            <w:webHidden/>
          </w:rPr>
          <w:fldChar w:fldCharType="begin"/>
        </w:r>
        <w:r w:rsidR="005822F6">
          <w:rPr>
            <w:noProof/>
            <w:webHidden/>
          </w:rPr>
          <w:instrText xml:space="preserve"> PAGEREF _Toc457810281 \h </w:instrText>
        </w:r>
        <w:r w:rsidR="005822F6">
          <w:rPr>
            <w:noProof/>
            <w:webHidden/>
          </w:rPr>
        </w:r>
        <w:r w:rsidR="005822F6">
          <w:rPr>
            <w:noProof/>
            <w:webHidden/>
          </w:rPr>
          <w:fldChar w:fldCharType="separate"/>
        </w:r>
        <w:r w:rsidR="00AD553E">
          <w:rPr>
            <w:noProof/>
            <w:webHidden/>
          </w:rPr>
          <w:t>5</w:t>
        </w:r>
        <w:r w:rsidR="005822F6">
          <w:rPr>
            <w:noProof/>
            <w:webHidden/>
          </w:rPr>
          <w:fldChar w:fldCharType="end"/>
        </w:r>
      </w:hyperlink>
    </w:p>
    <w:p w:rsidR="005822F6" w:rsidRDefault="006A4EF8">
      <w:pPr>
        <w:pStyle w:val="Kazalovsebine1"/>
        <w:tabs>
          <w:tab w:val="left" w:pos="440"/>
          <w:tab w:val="right" w:leader="dot" w:pos="9060"/>
        </w:tabs>
        <w:rPr>
          <w:rFonts w:asciiTheme="minorHAnsi" w:eastAsiaTheme="minorEastAsia" w:hAnsiTheme="minorHAnsi" w:cstheme="minorBidi"/>
          <w:noProof/>
          <w:szCs w:val="22"/>
        </w:rPr>
      </w:pPr>
      <w:hyperlink w:anchor="_Toc457810282" w:history="1">
        <w:r w:rsidR="005822F6" w:rsidRPr="002D243E">
          <w:rPr>
            <w:rStyle w:val="Hiperpovezava"/>
            <w:noProof/>
          </w:rPr>
          <w:t>2.</w:t>
        </w:r>
        <w:r w:rsidR="005822F6">
          <w:rPr>
            <w:rFonts w:asciiTheme="minorHAnsi" w:eastAsiaTheme="minorEastAsia" w:hAnsiTheme="minorHAnsi" w:cstheme="minorBidi"/>
            <w:noProof/>
            <w:szCs w:val="22"/>
          </w:rPr>
          <w:tab/>
        </w:r>
        <w:r w:rsidR="005822F6" w:rsidRPr="002D243E">
          <w:rPr>
            <w:rStyle w:val="Hiperpovezava"/>
            <w:noProof/>
          </w:rPr>
          <w:t>IZVAJANJE KONTROL ODGOVORNEGA ORGANA</w:t>
        </w:r>
        <w:r w:rsidR="005822F6">
          <w:rPr>
            <w:noProof/>
            <w:webHidden/>
          </w:rPr>
          <w:tab/>
        </w:r>
        <w:r w:rsidR="005822F6">
          <w:rPr>
            <w:noProof/>
            <w:webHidden/>
          </w:rPr>
          <w:fldChar w:fldCharType="begin"/>
        </w:r>
        <w:r w:rsidR="005822F6">
          <w:rPr>
            <w:noProof/>
            <w:webHidden/>
          </w:rPr>
          <w:instrText xml:space="preserve"> PAGEREF _Toc457810282 \h </w:instrText>
        </w:r>
        <w:r w:rsidR="005822F6">
          <w:rPr>
            <w:noProof/>
            <w:webHidden/>
          </w:rPr>
        </w:r>
        <w:r w:rsidR="005822F6">
          <w:rPr>
            <w:noProof/>
            <w:webHidden/>
          </w:rPr>
          <w:fldChar w:fldCharType="separate"/>
        </w:r>
        <w:r w:rsidR="00AD553E">
          <w:rPr>
            <w:noProof/>
            <w:webHidden/>
          </w:rPr>
          <w:t>11</w:t>
        </w:r>
        <w:r w:rsidR="005822F6">
          <w:rPr>
            <w:noProof/>
            <w:webHidden/>
          </w:rPr>
          <w:fldChar w:fldCharType="end"/>
        </w:r>
      </w:hyperlink>
    </w:p>
    <w:p w:rsidR="005822F6" w:rsidRDefault="006A4EF8">
      <w:pPr>
        <w:pStyle w:val="Kazalovsebine2"/>
        <w:tabs>
          <w:tab w:val="left" w:pos="880"/>
          <w:tab w:val="right" w:leader="dot" w:pos="9060"/>
        </w:tabs>
        <w:rPr>
          <w:rFonts w:asciiTheme="minorHAnsi" w:eastAsiaTheme="minorEastAsia" w:hAnsiTheme="minorHAnsi" w:cstheme="minorBidi"/>
          <w:noProof/>
          <w:szCs w:val="22"/>
        </w:rPr>
      </w:pPr>
      <w:hyperlink w:anchor="_Toc457810283" w:history="1">
        <w:r w:rsidR="005822F6" w:rsidRPr="002D243E">
          <w:rPr>
            <w:rStyle w:val="Hiperpovezava"/>
            <w:noProof/>
          </w:rPr>
          <w:t>2.1.</w:t>
        </w:r>
        <w:r w:rsidR="005822F6">
          <w:rPr>
            <w:rFonts w:asciiTheme="minorHAnsi" w:eastAsiaTheme="minorEastAsia" w:hAnsiTheme="minorHAnsi" w:cstheme="minorBidi"/>
            <w:noProof/>
            <w:szCs w:val="22"/>
          </w:rPr>
          <w:tab/>
        </w:r>
        <w:r w:rsidR="005822F6" w:rsidRPr="002D243E">
          <w:rPr>
            <w:rStyle w:val="Hiperpovezava"/>
            <w:noProof/>
          </w:rPr>
          <w:t>Upravni nadzor odgovornega organa (100 % kontrola ZzP)</w:t>
        </w:r>
        <w:r w:rsidR="005822F6">
          <w:rPr>
            <w:noProof/>
            <w:webHidden/>
          </w:rPr>
          <w:tab/>
        </w:r>
        <w:r w:rsidR="005822F6">
          <w:rPr>
            <w:noProof/>
            <w:webHidden/>
          </w:rPr>
          <w:fldChar w:fldCharType="begin"/>
        </w:r>
        <w:r w:rsidR="005822F6">
          <w:rPr>
            <w:noProof/>
            <w:webHidden/>
          </w:rPr>
          <w:instrText xml:space="preserve"> PAGEREF _Toc457810283 \h </w:instrText>
        </w:r>
        <w:r w:rsidR="005822F6">
          <w:rPr>
            <w:noProof/>
            <w:webHidden/>
          </w:rPr>
        </w:r>
        <w:r w:rsidR="005822F6">
          <w:rPr>
            <w:noProof/>
            <w:webHidden/>
          </w:rPr>
          <w:fldChar w:fldCharType="separate"/>
        </w:r>
        <w:r w:rsidR="00AD553E">
          <w:rPr>
            <w:noProof/>
            <w:webHidden/>
          </w:rPr>
          <w:t>11</w:t>
        </w:r>
        <w:r w:rsidR="005822F6">
          <w:rPr>
            <w:noProof/>
            <w:webHidden/>
          </w:rPr>
          <w:fldChar w:fldCharType="end"/>
        </w:r>
      </w:hyperlink>
    </w:p>
    <w:p w:rsidR="005822F6" w:rsidRDefault="006A4EF8">
      <w:pPr>
        <w:pStyle w:val="Kazalovsebine2"/>
        <w:tabs>
          <w:tab w:val="left" w:pos="880"/>
          <w:tab w:val="right" w:leader="dot" w:pos="9060"/>
        </w:tabs>
        <w:rPr>
          <w:rFonts w:asciiTheme="minorHAnsi" w:eastAsiaTheme="minorEastAsia" w:hAnsiTheme="minorHAnsi" w:cstheme="minorBidi"/>
          <w:noProof/>
          <w:szCs w:val="22"/>
        </w:rPr>
      </w:pPr>
      <w:hyperlink w:anchor="_Toc457810284" w:history="1">
        <w:r w:rsidR="005822F6" w:rsidRPr="002D243E">
          <w:rPr>
            <w:rStyle w:val="Hiperpovezava"/>
            <w:noProof/>
          </w:rPr>
          <w:t>2.2.</w:t>
        </w:r>
        <w:r w:rsidR="005822F6">
          <w:rPr>
            <w:rFonts w:asciiTheme="minorHAnsi" w:eastAsiaTheme="minorEastAsia" w:hAnsiTheme="minorHAnsi" w:cstheme="minorBidi"/>
            <w:noProof/>
            <w:szCs w:val="22"/>
          </w:rPr>
          <w:tab/>
        </w:r>
        <w:r w:rsidR="005822F6" w:rsidRPr="002D243E">
          <w:rPr>
            <w:rStyle w:val="Hiperpovezava"/>
            <w:noProof/>
          </w:rPr>
          <w:t>Kontrole na kraju samem</w:t>
        </w:r>
        <w:r w:rsidR="005822F6">
          <w:rPr>
            <w:noProof/>
            <w:webHidden/>
          </w:rPr>
          <w:tab/>
        </w:r>
        <w:r w:rsidR="005822F6">
          <w:rPr>
            <w:noProof/>
            <w:webHidden/>
          </w:rPr>
          <w:fldChar w:fldCharType="begin"/>
        </w:r>
        <w:r w:rsidR="005822F6">
          <w:rPr>
            <w:noProof/>
            <w:webHidden/>
          </w:rPr>
          <w:instrText xml:space="preserve"> PAGEREF _Toc457810284 \h </w:instrText>
        </w:r>
        <w:r w:rsidR="005822F6">
          <w:rPr>
            <w:noProof/>
            <w:webHidden/>
          </w:rPr>
        </w:r>
        <w:r w:rsidR="005822F6">
          <w:rPr>
            <w:noProof/>
            <w:webHidden/>
          </w:rPr>
          <w:fldChar w:fldCharType="separate"/>
        </w:r>
        <w:r w:rsidR="00AD553E">
          <w:rPr>
            <w:noProof/>
            <w:webHidden/>
          </w:rPr>
          <w:t>12</w:t>
        </w:r>
        <w:r w:rsidR="005822F6">
          <w:rPr>
            <w:noProof/>
            <w:webHidden/>
          </w:rPr>
          <w:fldChar w:fldCharType="end"/>
        </w:r>
      </w:hyperlink>
    </w:p>
    <w:p w:rsidR="005822F6" w:rsidRDefault="006A4EF8">
      <w:pPr>
        <w:pStyle w:val="Kazalovsebine1"/>
        <w:tabs>
          <w:tab w:val="left" w:pos="440"/>
          <w:tab w:val="right" w:leader="dot" w:pos="9060"/>
        </w:tabs>
        <w:rPr>
          <w:rFonts w:asciiTheme="minorHAnsi" w:eastAsiaTheme="minorEastAsia" w:hAnsiTheme="minorHAnsi" w:cstheme="minorBidi"/>
          <w:noProof/>
          <w:szCs w:val="22"/>
        </w:rPr>
      </w:pPr>
      <w:hyperlink w:anchor="_Toc457810285" w:history="1">
        <w:r w:rsidR="005822F6" w:rsidRPr="002D243E">
          <w:rPr>
            <w:rStyle w:val="Hiperpovezava"/>
            <w:noProof/>
          </w:rPr>
          <w:t>3.</w:t>
        </w:r>
        <w:r w:rsidR="005822F6">
          <w:rPr>
            <w:rFonts w:asciiTheme="minorHAnsi" w:eastAsiaTheme="minorEastAsia" w:hAnsiTheme="minorHAnsi" w:cstheme="minorBidi"/>
            <w:noProof/>
            <w:szCs w:val="22"/>
          </w:rPr>
          <w:tab/>
        </w:r>
        <w:r w:rsidR="005822F6" w:rsidRPr="002D243E">
          <w:rPr>
            <w:rStyle w:val="Hiperpovezava"/>
            <w:noProof/>
          </w:rPr>
          <w:t>ANALIZA TVEGANJ - OSNOVA ZA IZDELAVO LETNEGA NAČRTA IZVAJANJA FINANČNIH IN OPERATIVNIH KONTROL NA KRAJU SAMEM</w:t>
        </w:r>
        <w:r w:rsidR="005822F6">
          <w:rPr>
            <w:noProof/>
            <w:webHidden/>
          </w:rPr>
          <w:tab/>
        </w:r>
        <w:r w:rsidR="005822F6">
          <w:rPr>
            <w:noProof/>
            <w:webHidden/>
          </w:rPr>
          <w:fldChar w:fldCharType="begin"/>
        </w:r>
        <w:r w:rsidR="005822F6">
          <w:rPr>
            <w:noProof/>
            <w:webHidden/>
          </w:rPr>
          <w:instrText xml:space="preserve"> PAGEREF _Toc457810285 \h </w:instrText>
        </w:r>
        <w:r w:rsidR="005822F6">
          <w:rPr>
            <w:noProof/>
            <w:webHidden/>
          </w:rPr>
        </w:r>
        <w:r w:rsidR="005822F6">
          <w:rPr>
            <w:noProof/>
            <w:webHidden/>
          </w:rPr>
          <w:fldChar w:fldCharType="separate"/>
        </w:r>
        <w:r w:rsidR="00AD553E">
          <w:rPr>
            <w:noProof/>
            <w:webHidden/>
          </w:rPr>
          <w:t>14</w:t>
        </w:r>
        <w:r w:rsidR="005822F6">
          <w:rPr>
            <w:noProof/>
            <w:webHidden/>
          </w:rPr>
          <w:fldChar w:fldCharType="end"/>
        </w:r>
      </w:hyperlink>
    </w:p>
    <w:p w:rsidR="005822F6" w:rsidRDefault="006A4EF8">
      <w:pPr>
        <w:pStyle w:val="Kazalovsebine2"/>
        <w:tabs>
          <w:tab w:val="left" w:pos="880"/>
          <w:tab w:val="right" w:leader="dot" w:pos="9060"/>
        </w:tabs>
        <w:rPr>
          <w:rFonts w:asciiTheme="minorHAnsi" w:eastAsiaTheme="minorEastAsia" w:hAnsiTheme="minorHAnsi" w:cstheme="minorBidi"/>
          <w:noProof/>
          <w:szCs w:val="22"/>
        </w:rPr>
      </w:pPr>
      <w:hyperlink w:anchor="_Toc457810286" w:history="1">
        <w:r w:rsidR="005822F6" w:rsidRPr="002D243E">
          <w:rPr>
            <w:rStyle w:val="Hiperpovezava"/>
            <w:noProof/>
          </w:rPr>
          <w:t>3.1.</w:t>
        </w:r>
        <w:r w:rsidR="005822F6">
          <w:rPr>
            <w:rFonts w:asciiTheme="minorHAnsi" w:eastAsiaTheme="minorEastAsia" w:hAnsiTheme="minorHAnsi" w:cstheme="minorBidi"/>
            <w:noProof/>
            <w:szCs w:val="22"/>
          </w:rPr>
          <w:tab/>
        </w:r>
        <w:r w:rsidR="005822F6" w:rsidRPr="002D243E">
          <w:rPr>
            <w:rStyle w:val="Hiperpovezava"/>
            <w:noProof/>
          </w:rPr>
          <w:t>Namen analize tveganj</w:t>
        </w:r>
        <w:r w:rsidR="005822F6">
          <w:rPr>
            <w:noProof/>
            <w:webHidden/>
          </w:rPr>
          <w:tab/>
        </w:r>
        <w:r w:rsidR="005822F6">
          <w:rPr>
            <w:noProof/>
            <w:webHidden/>
          </w:rPr>
          <w:fldChar w:fldCharType="begin"/>
        </w:r>
        <w:r w:rsidR="005822F6">
          <w:rPr>
            <w:noProof/>
            <w:webHidden/>
          </w:rPr>
          <w:instrText xml:space="preserve"> PAGEREF _Toc457810286 \h </w:instrText>
        </w:r>
        <w:r w:rsidR="005822F6">
          <w:rPr>
            <w:noProof/>
            <w:webHidden/>
          </w:rPr>
        </w:r>
        <w:r w:rsidR="005822F6">
          <w:rPr>
            <w:noProof/>
            <w:webHidden/>
          </w:rPr>
          <w:fldChar w:fldCharType="separate"/>
        </w:r>
        <w:r w:rsidR="00AD553E">
          <w:rPr>
            <w:noProof/>
            <w:webHidden/>
          </w:rPr>
          <w:t>14</w:t>
        </w:r>
        <w:r w:rsidR="005822F6">
          <w:rPr>
            <w:noProof/>
            <w:webHidden/>
          </w:rPr>
          <w:fldChar w:fldCharType="end"/>
        </w:r>
      </w:hyperlink>
    </w:p>
    <w:p w:rsidR="005822F6" w:rsidRDefault="006A4EF8">
      <w:pPr>
        <w:pStyle w:val="Kazalovsebine2"/>
        <w:tabs>
          <w:tab w:val="left" w:pos="880"/>
          <w:tab w:val="right" w:leader="dot" w:pos="9060"/>
        </w:tabs>
        <w:rPr>
          <w:rFonts w:asciiTheme="minorHAnsi" w:eastAsiaTheme="minorEastAsia" w:hAnsiTheme="minorHAnsi" w:cstheme="minorBidi"/>
          <w:noProof/>
          <w:szCs w:val="22"/>
        </w:rPr>
      </w:pPr>
      <w:hyperlink w:anchor="_Toc457810287" w:history="1">
        <w:r w:rsidR="005822F6" w:rsidRPr="002D243E">
          <w:rPr>
            <w:rStyle w:val="Hiperpovezava"/>
            <w:noProof/>
          </w:rPr>
          <w:t>3.2.</w:t>
        </w:r>
        <w:r w:rsidR="005822F6">
          <w:rPr>
            <w:rFonts w:asciiTheme="minorHAnsi" w:eastAsiaTheme="minorEastAsia" w:hAnsiTheme="minorHAnsi" w:cstheme="minorBidi"/>
            <w:noProof/>
            <w:szCs w:val="22"/>
          </w:rPr>
          <w:tab/>
        </w:r>
        <w:r w:rsidR="005822F6" w:rsidRPr="002D243E">
          <w:rPr>
            <w:rStyle w:val="Hiperpovezava"/>
            <w:noProof/>
          </w:rPr>
          <w:t>Stopnje izdelave analize tveganj in dejavniki tveganja</w:t>
        </w:r>
        <w:r w:rsidR="005822F6">
          <w:rPr>
            <w:noProof/>
            <w:webHidden/>
          </w:rPr>
          <w:tab/>
        </w:r>
        <w:r w:rsidR="005822F6">
          <w:rPr>
            <w:noProof/>
            <w:webHidden/>
          </w:rPr>
          <w:fldChar w:fldCharType="begin"/>
        </w:r>
        <w:r w:rsidR="005822F6">
          <w:rPr>
            <w:noProof/>
            <w:webHidden/>
          </w:rPr>
          <w:instrText xml:space="preserve"> PAGEREF _Toc457810287 \h </w:instrText>
        </w:r>
        <w:r w:rsidR="005822F6">
          <w:rPr>
            <w:noProof/>
            <w:webHidden/>
          </w:rPr>
        </w:r>
        <w:r w:rsidR="005822F6">
          <w:rPr>
            <w:noProof/>
            <w:webHidden/>
          </w:rPr>
          <w:fldChar w:fldCharType="separate"/>
        </w:r>
        <w:r w:rsidR="00AD553E">
          <w:rPr>
            <w:noProof/>
            <w:webHidden/>
          </w:rPr>
          <w:t>14</w:t>
        </w:r>
        <w:r w:rsidR="005822F6">
          <w:rPr>
            <w:noProof/>
            <w:webHidden/>
          </w:rPr>
          <w:fldChar w:fldCharType="end"/>
        </w:r>
      </w:hyperlink>
    </w:p>
    <w:p w:rsidR="005822F6" w:rsidRDefault="006A4EF8">
      <w:pPr>
        <w:pStyle w:val="Kazalovsebine2"/>
        <w:tabs>
          <w:tab w:val="left" w:pos="880"/>
          <w:tab w:val="right" w:leader="dot" w:pos="9060"/>
        </w:tabs>
        <w:rPr>
          <w:rFonts w:asciiTheme="minorHAnsi" w:eastAsiaTheme="minorEastAsia" w:hAnsiTheme="minorHAnsi" w:cstheme="minorBidi"/>
          <w:noProof/>
          <w:szCs w:val="22"/>
        </w:rPr>
      </w:pPr>
      <w:hyperlink w:anchor="_Toc457810288" w:history="1">
        <w:r w:rsidR="005822F6" w:rsidRPr="002D243E">
          <w:rPr>
            <w:rStyle w:val="Hiperpovezava"/>
            <w:noProof/>
          </w:rPr>
          <w:t>3.3.</w:t>
        </w:r>
        <w:r w:rsidR="005822F6">
          <w:rPr>
            <w:rFonts w:asciiTheme="minorHAnsi" w:eastAsiaTheme="minorEastAsia" w:hAnsiTheme="minorHAnsi" w:cstheme="minorBidi"/>
            <w:noProof/>
            <w:szCs w:val="22"/>
          </w:rPr>
          <w:tab/>
        </w:r>
        <w:r w:rsidR="005822F6" w:rsidRPr="002D243E">
          <w:rPr>
            <w:rStyle w:val="Hiperpovezava"/>
            <w:noProof/>
          </w:rPr>
          <w:t>Merjenje posameznega dejavnika tveganja</w:t>
        </w:r>
        <w:r w:rsidR="005822F6">
          <w:rPr>
            <w:noProof/>
            <w:webHidden/>
          </w:rPr>
          <w:tab/>
        </w:r>
        <w:r w:rsidR="005822F6">
          <w:rPr>
            <w:noProof/>
            <w:webHidden/>
          </w:rPr>
          <w:fldChar w:fldCharType="begin"/>
        </w:r>
        <w:r w:rsidR="005822F6">
          <w:rPr>
            <w:noProof/>
            <w:webHidden/>
          </w:rPr>
          <w:instrText xml:space="preserve"> PAGEREF _Toc457810288 \h </w:instrText>
        </w:r>
        <w:r w:rsidR="005822F6">
          <w:rPr>
            <w:noProof/>
            <w:webHidden/>
          </w:rPr>
        </w:r>
        <w:r w:rsidR="005822F6">
          <w:rPr>
            <w:noProof/>
            <w:webHidden/>
          </w:rPr>
          <w:fldChar w:fldCharType="separate"/>
        </w:r>
        <w:r w:rsidR="00AD553E">
          <w:rPr>
            <w:noProof/>
            <w:webHidden/>
          </w:rPr>
          <w:t>15</w:t>
        </w:r>
        <w:r w:rsidR="005822F6">
          <w:rPr>
            <w:noProof/>
            <w:webHidden/>
          </w:rPr>
          <w:fldChar w:fldCharType="end"/>
        </w:r>
      </w:hyperlink>
    </w:p>
    <w:p w:rsidR="005822F6" w:rsidRDefault="006A4EF8">
      <w:pPr>
        <w:pStyle w:val="Kazalovsebine2"/>
        <w:tabs>
          <w:tab w:val="left" w:pos="880"/>
          <w:tab w:val="right" w:leader="dot" w:pos="9060"/>
        </w:tabs>
        <w:rPr>
          <w:rFonts w:asciiTheme="minorHAnsi" w:eastAsiaTheme="minorEastAsia" w:hAnsiTheme="minorHAnsi" w:cstheme="minorBidi"/>
          <w:noProof/>
          <w:szCs w:val="22"/>
        </w:rPr>
      </w:pPr>
      <w:hyperlink w:anchor="_Toc457810289" w:history="1">
        <w:r w:rsidR="005822F6" w:rsidRPr="002D243E">
          <w:rPr>
            <w:rStyle w:val="Hiperpovezava"/>
            <w:noProof/>
          </w:rPr>
          <w:t>3.4.</w:t>
        </w:r>
        <w:r w:rsidR="005822F6">
          <w:rPr>
            <w:rFonts w:asciiTheme="minorHAnsi" w:eastAsiaTheme="minorEastAsia" w:hAnsiTheme="minorHAnsi" w:cstheme="minorBidi"/>
            <w:noProof/>
            <w:szCs w:val="22"/>
          </w:rPr>
          <w:tab/>
        </w:r>
        <w:r w:rsidR="005822F6" w:rsidRPr="002D243E">
          <w:rPr>
            <w:rStyle w:val="Hiperpovezava"/>
            <w:noProof/>
          </w:rPr>
          <w:t xml:space="preserve">Izračun tveganja in izdelava letnih načrtov izvajanja operativnih in finančnih </w:t>
        </w:r>
        <w:r w:rsidR="000272B2">
          <w:rPr>
            <w:rStyle w:val="Hiperpovezava"/>
            <w:noProof/>
          </w:rPr>
          <w:t xml:space="preserve">kontrol </w:t>
        </w:r>
        <w:r w:rsidR="005822F6" w:rsidRPr="002D243E">
          <w:rPr>
            <w:rStyle w:val="Hiperpovezava"/>
            <w:noProof/>
          </w:rPr>
          <w:t>na kraju samem</w:t>
        </w:r>
        <w:r w:rsidR="005822F6">
          <w:rPr>
            <w:noProof/>
            <w:webHidden/>
          </w:rPr>
          <w:tab/>
        </w:r>
        <w:r w:rsidR="005822F6">
          <w:rPr>
            <w:noProof/>
            <w:webHidden/>
          </w:rPr>
          <w:fldChar w:fldCharType="begin"/>
        </w:r>
        <w:r w:rsidR="005822F6">
          <w:rPr>
            <w:noProof/>
            <w:webHidden/>
          </w:rPr>
          <w:instrText xml:space="preserve"> PAGEREF _Toc457810289 \h </w:instrText>
        </w:r>
        <w:r w:rsidR="005822F6">
          <w:rPr>
            <w:noProof/>
            <w:webHidden/>
          </w:rPr>
        </w:r>
        <w:r w:rsidR="005822F6">
          <w:rPr>
            <w:noProof/>
            <w:webHidden/>
          </w:rPr>
          <w:fldChar w:fldCharType="separate"/>
        </w:r>
        <w:r w:rsidR="00AD553E">
          <w:rPr>
            <w:noProof/>
            <w:webHidden/>
          </w:rPr>
          <w:t>16</w:t>
        </w:r>
        <w:r w:rsidR="005822F6">
          <w:rPr>
            <w:noProof/>
            <w:webHidden/>
          </w:rPr>
          <w:fldChar w:fldCharType="end"/>
        </w:r>
      </w:hyperlink>
    </w:p>
    <w:p w:rsidR="005822F6" w:rsidRDefault="006A4EF8">
      <w:pPr>
        <w:pStyle w:val="Kazalovsebine1"/>
        <w:tabs>
          <w:tab w:val="left" w:pos="440"/>
          <w:tab w:val="right" w:leader="dot" w:pos="9060"/>
        </w:tabs>
        <w:rPr>
          <w:rFonts w:asciiTheme="minorHAnsi" w:eastAsiaTheme="minorEastAsia" w:hAnsiTheme="minorHAnsi" w:cstheme="minorBidi"/>
          <w:noProof/>
          <w:szCs w:val="22"/>
        </w:rPr>
      </w:pPr>
      <w:hyperlink w:anchor="_Toc457810290" w:history="1">
        <w:r w:rsidR="005822F6" w:rsidRPr="002D243E">
          <w:rPr>
            <w:rStyle w:val="Hiperpovezava"/>
            <w:noProof/>
          </w:rPr>
          <w:t>4.</w:t>
        </w:r>
        <w:r w:rsidR="005822F6">
          <w:rPr>
            <w:rFonts w:asciiTheme="minorHAnsi" w:eastAsiaTheme="minorEastAsia" w:hAnsiTheme="minorHAnsi" w:cstheme="minorBidi"/>
            <w:noProof/>
            <w:szCs w:val="22"/>
          </w:rPr>
          <w:tab/>
        </w:r>
        <w:r w:rsidR="005822F6" w:rsidRPr="002D243E">
          <w:rPr>
            <w:rStyle w:val="Hiperpovezava"/>
            <w:noProof/>
          </w:rPr>
          <w:t>Opredelitev pojmov in kratic</w:t>
        </w:r>
        <w:r w:rsidR="005822F6">
          <w:rPr>
            <w:noProof/>
            <w:webHidden/>
          </w:rPr>
          <w:tab/>
        </w:r>
        <w:r w:rsidR="005822F6">
          <w:rPr>
            <w:noProof/>
            <w:webHidden/>
          </w:rPr>
          <w:fldChar w:fldCharType="begin"/>
        </w:r>
        <w:r w:rsidR="005822F6">
          <w:rPr>
            <w:noProof/>
            <w:webHidden/>
          </w:rPr>
          <w:instrText xml:space="preserve"> PAGEREF _Toc457810290 \h </w:instrText>
        </w:r>
        <w:r w:rsidR="005822F6">
          <w:rPr>
            <w:noProof/>
            <w:webHidden/>
          </w:rPr>
        </w:r>
        <w:r w:rsidR="005822F6">
          <w:rPr>
            <w:noProof/>
            <w:webHidden/>
          </w:rPr>
          <w:fldChar w:fldCharType="separate"/>
        </w:r>
        <w:r w:rsidR="00AD553E">
          <w:rPr>
            <w:noProof/>
            <w:webHidden/>
          </w:rPr>
          <w:t>17</w:t>
        </w:r>
        <w:r w:rsidR="005822F6">
          <w:rPr>
            <w:noProof/>
            <w:webHidden/>
          </w:rPr>
          <w:fldChar w:fldCharType="end"/>
        </w:r>
      </w:hyperlink>
    </w:p>
    <w:p w:rsidR="002264D5" w:rsidRPr="0081343F" w:rsidRDefault="005D2A09" w:rsidP="002264D5">
      <w:pPr>
        <w:pStyle w:val="Body"/>
        <w:rPr>
          <w:sz w:val="28"/>
        </w:rPr>
      </w:pPr>
      <w:r w:rsidRPr="0081343F">
        <w:rPr>
          <w:sz w:val="28"/>
        </w:rPr>
        <w:fldChar w:fldCharType="end"/>
      </w:r>
      <w:r w:rsidRPr="0081343F">
        <w:rPr>
          <w:sz w:val="28"/>
        </w:rPr>
        <w:br w:type="page"/>
      </w:r>
    </w:p>
    <w:p w:rsidR="002264D5" w:rsidRPr="0081343F" w:rsidRDefault="002264D5" w:rsidP="002264D5">
      <w:pPr>
        <w:pStyle w:val="Body"/>
        <w:rPr>
          <w:sz w:val="28"/>
        </w:rPr>
      </w:pPr>
    </w:p>
    <w:p w:rsidR="00D35A33" w:rsidRPr="0081343F" w:rsidRDefault="00D35A33" w:rsidP="005A79E9">
      <w:pPr>
        <w:jc w:val="center"/>
        <w:rPr>
          <w:b/>
        </w:rPr>
      </w:pPr>
    </w:p>
    <w:p w:rsidR="00A2399B" w:rsidRPr="0081343F" w:rsidRDefault="00A2399B" w:rsidP="005A79E9">
      <w:pPr>
        <w:jc w:val="center"/>
        <w:rPr>
          <w:b/>
        </w:rPr>
      </w:pPr>
      <w:r w:rsidRPr="0081343F">
        <w:rPr>
          <w:b/>
        </w:rPr>
        <w:t>STRATEGIJA</w:t>
      </w:r>
      <w:r w:rsidR="005E632D">
        <w:rPr>
          <w:b/>
        </w:rPr>
        <w:t xml:space="preserve"> IZVAJANJA</w:t>
      </w:r>
      <w:r w:rsidR="00BB7936">
        <w:rPr>
          <w:b/>
        </w:rPr>
        <w:t xml:space="preserve"> KONTROL ODGOVORNEGA ORGANA</w:t>
      </w:r>
    </w:p>
    <w:p w:rsidR="00D677DE" w:rsidRPr="0081343F" w:rsidRDefault="00D677DE" w:rsidP="005A79E9">
      <w:pPr>
        <w:jc w:val="center"/>
        <w:rPr>
          <w:b/>
        </w:rPr>
      </w:pPr>
    </w:p>
    <w:p w:rsidR="004912AC" w:rsidRPr="0081343F" w:rsidRDefault="004912AC" w:rsidP="004912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5583"/>
      </w:tblGrid>
      <w:tr w:rsidR="00D677DE" w:rsidRPr="0081343F" w:rsidTr="00584099">
        <w:tc>
          <w:tcPr>
            <w:tcW w:w="3477" w:type="dxa"/>
          </w:tcPr>
          <w:p w:rsidR="00D677DE" w:rsidRPr="0081343F" w:rsidRDefault="00D677DE" w:rsidP="004912AC">
            <w:r w:rsidRPr="0081343F">
              <w:rPr>
                <w:b/>
              </w:rPr>
              <w:t>DRŽAVA ČLANICA</w:t>
            </w:r>
            <w:r w:rsidRPr="0081343F">
              <w:t>:</w:t>
            </w:r>
          </w:p>
        </w:tc>
        <w:tc>
          <w:tcPr>
            <w:tcW w:w="5583" w:type="dxa"/>
          </w:tcPr>
          <w:p w:rsidR="00D677DE" w:rsidRPr="0081343F" w:rsidRDefault="005B62E7" w:rsidP="004912AC">
            <w:r w:rsidRPr="0081343F">
              <w:t xml:space="preserve">REPUBLIKA </w:t>
            </w:r>
            <w:r w:rsidR="00D677DE" w:rsidRPr="0081343F">
              <w:t>SLOVENIJA</w:t>
            </w:r>
          </w:p>
          <w:p w:rsidR="00D677DE" w:rsidRPr="0081343F" w:rsidRDefault="00D677DE" w:rsidP="004912AC"/>
        </w:tc>
      </w:tr>
      <w:tr w:rsidR="00D677DE" w:rsidRPr="0081343F" w:rsidTr="00584099">
        <w:tc>
          <w:tcPr>
            <w:tcW w:w="3477" w:type="dxa"/>
          </w:tcPr>
          <w:p w:rsidR="00D677DE" w:rsidRPr="0081343F" w:rsidRDefault="00D677DE" w:rsidP="00D677DE">
            <w:pPr>
              <w:rPr>
                <w:b/>
              </w:rPr>
            </w:pPr>
            <w:r w:rsidRPr="0081343F">
              <w:rPr>
                <w:b/>
              </w:rPr>
              <w:t xml:space="preserve">SKLAD: </w:t>
            </w:r>
          </w:p>
          <w:p w:rsidR="00D677DE" w:rsidRPr="0081343F" w:rsidRDefault="00D677DE" w:rsidP="004912AC"/>
        </w:tc>
        <w:tc>
          <w:tcPr>
            <w:tcW w:w="5583" w:type="dxa"/>
          </w:tcPr>
          <w:p w:rsidR="00D677DE" w:rsidRPr="0081343F" w:rsidRDefault="00D677DE" w:rsidP="00D677DE">
            <w:r w:rsidRPr="0081343F">
              <w:t xml:space="preserve">SKLAD ZA </w:t>
            </w:r>
            <w:r w:rsidR="00BB7936">
              <w:t>NOTRANJO VARNOST</w:t>
            </w:r>
          </w:p>
          <w:p w:rsidR="00D677DE" w:rsidRPr="0081343F" w:rsidRDefault="00D677DE" w:rsidP="00D677DE"/>
          <w:p w:rsidR="00D677DE" w:rsidRPr="0081343F" w:rsidRDefault="00BB7936" w:rsidP="00D677DE">
            <w:r>
              <w:t>SKLAD ZA AZIL, MIGRACIJE IN VKLJUČEVANJE</w:t>
            </w:r>
          </w:p>
          <w:p w:rsidR="00D677DE" w:rsidRPr="0081343F" w:rsidRDefault="00D677DE" w:rsidP="004912AC"/>
        </w:tc>
      </w:tr>
      <w:tr w:rsidR="00584099" w:rsidRPr="0081343F" w:rsidTr="00584099">
        <w:tc>
          <w:tcPr>
            <w:tcW w:w="3477" w:type="dxa"/>
          </w:tcPr>
          <w:p w:rsidR="00584099" w:rsidRPr="00EB209C" w:rsidRDefault="00584099" w:rsidP="00584099">
            <w:pPr>
              <w:spacing w:before="240"/>
              <w:rPr>
                <w:b/>
              </w:rPr>
            </w:pPr>
            <w:r>
              <w:rPr>
                <w:b/>
              </w:rPr>
              <w:t>ORGAN ZA IMENOVANJE ODGOVORNEGA ORGANA:</w:t>
            </w:r>
          </w:p>
        </w:tc>
        <w:tc>
          <w:tcPr>
            <w:tcW w:w="5583" w:type="dxa"/>
          </w:tcPr>
          <w:p w:rsidR="00584099" w:rsidRPr="00584099" w:rsidRDefault="00584099" w:rsidP="00584099">
            <w:pPr>
              <w:spacing w:before="240"/>
            </w:pPr>
            <w:r w:rsidRPr="00584099">
              <w:t>MINISTRICA MINISTRSTVA ZA NOTRANJE ZADEVE Vesna Györkös Žnidar</w:t>
            </w:r>
          </w:p>
        </w:tc>
      </w:tr>
      <w:tr w:rsidR="00D677DE" w:rsidRPr="0081343F" w:rsidTr="00584099">
        <w:tc>
          <w:tcPr>
            <w:tcW w:w="3477" w:type="dxa"/>
          </w:tcPr>
          <w:p w:rsidR="00D677DE" w:rsidRPr="0081343F" w:rsidRDefault="00D677DE">
            <w:r w:rsidRPr="0081343F">
              <w:rPr>
                <w:b/>
              </w:rPr>
              <w:t>ODGOVORNI ORGAN</w:t>
            </w:r>
            <w:r w:rsidRPr="0081343F">
              <w:t xml:space="preserve">: </w:t>
            </w:r>
          </w:p>
        </w:tc>
        <w:tc>
          <w:tcPr>
            <w:tcW w:w="5583" w:type="dxa"/>
          </w:tcPr>
          <w:p w:rsidR="00D677DE" w:rsidRPr="0081343F" w:rsidRDefault="00D677DE" w:rsidP="00BB7936">
            <w:r w:rsidRPr="0081343F">
              <w:t xml:space="preserve">MINISTRSTVO ZA NOTRANJE ZADEVE, PROJEKTNA ENOTA ZA </w:t>
            </w:r>
            <w:r w:rsidR="00BB7936">
              <w:t>SKLADE NOTRANJE VARNOSTI IN MIGRACIJE</w:t>
            </w:r>
          </w:p>
        </w:tc>
      </w:tr>
    </w:tbl>
    <w:p w:rsidR="002264D5" w:rsidRPr="0081343F" w:rsidRDefault="002264D5" w:rsidP="004912AC"/>
    <w:p w:rsidR="001C0A6D" w:rsidRPr="0081343F" w:rsidRDefault="001C0A6D" w:rsidP="004912AC"/>
    <w:p w:rsidR="004912AC" w:rsidRPr="0081343F" w:rsidRDefault="004912AC" w:rsidP="004912AC"/>
    <w:p w:rsidR="00503B8B" w:rsidRPr="0081343F" w:rsidRDefault="00F54971" w:rsidP="00503B8B">
      <w:pPr>
        <w:pStyle w:val="Naslov1"/>
        <w:rPr>
          <w:b w:val="0"/>
        </w:rPr>
      </w:pPr>
      <w:r w:rsidRPr="0081343F">
        <w:br w:type="page"/>
      </w:r>
      <w:bookmarkStart w:id="0" w:name="_Toc291149081"/>
      <w:bookmarkStart w:id="1" w:name="_Toc457810280"/>
      <w:r w:rsidR="00503B8B" w:rsidRPr="0081343F">
        <w:lastRenderedPageBreak/>
        <w:t>UVOD</w:t>
      </w:r>
      <w:bookmarkEnd w:id="0"/>
      <w:bookmarkEnd w:id="1"/>
    </w:p>
    <w:p w:rsidR="00503B8B" w:rsidRPr="0081343F" w:rsidRDefault="00503B8B" w:rsidP="00503B8B"/>
    <w:p w:rsidR="007C5534" w:rsidRPr="001A33D5" w:rsidRDefault="007C5534" w:rsidP="007C5534">
      <w:pPr>
        <w:rPr>
          <w:rFonts w:cs="Arial"/>
          <w:szCs w:val="22"/>
        </w:rPr>
      </w:pPr>
      <w:r w:rsidRPr="001A33D5">
        <w:rPr>
          <w:rFonts w:cs="Arial"/>
          <w:szCs w:val="22"/>
        </w:rPr>
        <w:t>Vlada RS je s sklepoma št. 54924-17/2014/6 z 9. 10. 2014 in 54924-17/2014/12 z 22. 4. 2015 vzpostavila okvir MCS za črpanje sredstev iz skladov in določila:</w:t>
      </w:r>
    </w:p>
    <w:p w:rsidR="007C5534" w:rsidRPr="001A33D5" w:rsidRDefault="007C5534" w:rsidP="007C5534">
      <w:pPr>
        <w:numPr>
          <w:ilvl w:val="0"/>
          <w:numId w:val="24"/>
        </w:numPr>
        <w:rPr>
          <w:rFonts w:cs="Arial"/>
          <w:szCs w:val="22"/>
        </w:rPr>
      </w:pPr>
      <w:r w:rsidRPr="001A33D5">
        <w:rPr>
          <w:rFonts w:cs="Arial"/>
          <w:szCs w:val="22"/>
        </w:rPr>
        <w:t xml:space="preserve">ministra, pristojnega za notranje zadeve, kot </w:t>
      </w:r>
      <w:r w:rsidRPr="001A33D5">
        <w:rPr>
          <w:rFonts w:cs="Arial"/>
          <w:b/>
          <w:szCs w:val="22"/>
        </w:rPr>
        <w:t>organ za imenovanje</w:t>
      </w:r>
      <w:r w:rsidRPr="001A33D5">
        <w:rPr>
          <w:rFonts w:cs="Arial"/>
          <w:szCs w:val="22"/>
        </w:rPr>
        <w:t>, ki je pristojen za imenovanje odgovornega organa</w:t>
      </w:r>
      <w:r w:rsidR="00731223">
        <w:rPr>
          <w:rFonts w:cs="Arial"/>
          <w:szCs w:val="22"/>
        </w:rPr>
        <w:t xml:space="preserve"> (v nadaljnjem besedilu: OO)</w:t>
      </w:r>
      <w:r w:rsidRPr="001A33D5">
        <w:rPr>
          <w:rFonts w:cs="Arial"/>
          <w:szCs w:val="22"/>
        </w:rPr>
        <w:t>,</w:t>
      </w:r>
    </w:p>
    <w:p w:rsidR="007C5534" w:rsidRPr="001A33D5" w:rsidRDefault="007C5534" w:rsidP="007C5534">
      <w:pPr>
        <w:numPr>
          <w:ilvl w:val="0"/>
          <w:numId w:val="24"/>
        </w:numPr>
        <w:rPr>
          <w:rFonts w:cs="Arial"/>
          <w:szCs w:val="22"/>
        </w:rPr>
      </w:pPr>
      <w:r w:rsidRPr="001A33D5">
        <w:rPr>
          <w:rFonts w:cs="Arial"/>
          <w:szCs w:val="22"/>
        </w:rPr>
        <w:t xml:space="preserve">Ministrstvo za finance, Urad Republike Slovenije za nadzor proračuna (v nadaljnjem besedilu: MF-UNP) kot </w:t>
      </w:r>
      <w:r w:rsidRPr="001A33D5">
        <w:rPr>
          <w:rFonts w:cs="Arial"/>
          <w:b/>
          <w:szCs w:val="22"/>
        </w:rPr>
        <w:t>revizijski organ</w:t>
      </w:r>
      <w:r w:rsidRPr="001A33D5">
        <w:rPr>
          <w:rFonts w:cs="Arial"/>
          <w:szCs w:val="22"/>
        </w:rPr>
        <w:t xml:space="preserve"> (v nadaljnjem besedilu: RO)</w:t>
      </w:r>
    </w:p>
    <w:p w:rsidR="007C5534" w:rsidRPr="001A33D5" w:rsidRDefault="007C5534" w:rsidP="007C5534">
      <w:pPr>
        <w:numPr>
          <w:ilvl w:val="0"/>
          <w:numId w:val="24"/>
        </w:numPr>
        <w:rPr>
          <w:rFonts w:cs="Arial"/>
          <w:szCs w:val="22"/>
        </w:rPr>
      </w:pPr>
      <w:r w:rsidRPr="001A33D5">
        <w:rPr>
          <w:rFonts w:cs="Arial"/>
          <w:szCs w:val="22"/>
        </w:rPr>
        <w:t xml:space="preserve">Ministrstvo za finance, Sektor za upravljanje s sredstvi EU/CA (v nadaljnjem besedilu: MF-SUSEU/CA) kot </w:t>
      </w:r>
      <w:r w:rsidRPr="001A33D5">
        <w:rPr>
          <w:rFonts w:cs="Arial"/>
          <w:b/>
          <w:szCs w:val="22"/>
        </w:rPr>
        <w:t>pooblaščeni organ za izvajanje finančnih transakcij med EU in nacionalnim proračunom</w:t>
      </w:r>
      <w:r w:rsidRPr="001A33D5">
        <w:rPr>
          <w:rFonts w:cs="Arial"/>
          <w:szCs w:val="22"/>
        </w:rPr>
        <w:t xml:space="preserve"> (v nadaljnjem besedilu: DAF).</w:t>
      </w:r>
    </w:p>
    <w:p w:rsidR="007C5534" w:rsidRPr="001A33D5" w:rsidRDefault="007C5534" w:rsidP="007C5534">
      <w:pPr>
        <w:rPr>
          <w:rFonts w:cs="Arial"/>
          <w:szCs w:val="22"/>
        </w:rPr>
      </w:pPr>
    </w:p>
    <w:p w:rsidR="007C5534" w:rsidRPr="001A33D5" w:rsidRDefault="007C5534" w:rsidP="007C5534">
      <w:pPr>
        <w:rPr>
          <w:rFonts w:cs="Arial"/>
          <w:szCs w:val="22"/>
        </w:rPr>
      </w:pPr>
      <w:r w:rsidRPr="001A33D5">
        <w:rPr>
          <w:rFonts w:cs="Arial"/>
          <w:szCs w:val="22"/>
        </w:rPr>
        <w:t xml:space="preserve">Ministrica za notranje zadeve je s sklepom 024-65/2015/2 s 27. 7. 2015 imenovala posebno projektno skupino v okviru Ministrstva za notranje zadeve (v nadaljnjem besedilu: MNZ), ki bo opravljala naloge </w:t>
      </w:r>
      <w:r w:rsidRPr="001A33D5">
        <w:rPr>
          <w:rFonts w:cs="Arial"/>
          <w:b/>
          <w:szCs w:val="22"/>
        </w:rPr>
        <w:t>pooblaščenega organa za projekte, ki se izvajajo na podlagi javnih razpisov</w:t>
      </w:r>
      <w:r w:rsidRPr="001A33D5">
        <w:rPr>
          <w:rFonts w:cs="Arial"/>
          <w:szCs w:val="22"/>
        </w:rPr>
        <w:t xml:space="preserve"> (v nadaljnjem besedilu: DAC).</w:t>
      </w:r>
    </w:p>
    <w:p w:rsidR="007C5534" w:rsidRPr="001A33D5" w:rsidRDefault="007C5534" w:rsidP="007C5534">
      <w:pPr>
        <w:rPr>
          <w:rFonts w:cs="Arial"/>
          <w:szCs w:val="22"/>
        </w:rPr>
      </w:pPr>
    </w:p>
    <w:p w:rsidR="007C5534" w:rsidRDefault="007C5534" w:rsidP="007C5534">
      <w:pPr>
        <w:rPr>
          <w:rFonts w:cs="Arial"/>
          <w:szCs w:val="22"/>
        </w:rPr>
      </w:pPr>
      <w:r w:rsidRPr="001A33D5">
        <w:rPr>
          <w:rFonts w:cs="Arial"/>
          <w:szCs w:val="22"/>
        </w:rPr>
        <w:t xml:space="preserve">Na podlagi zgoraj opisane organizacijske strukture in opisa MCS, ki ga je izdala ministrica za notranje zadeve (št. dok. 549-9/2014/32 z 19. 8. 2015), je revizijski organ opravil presojo sistema in izdal mnenje. Na podlagi mnenja revizijskega organa je ministrica kot organ za imenovanje s sklepom št. 549-9/2014/38 z 28. 8. 2015 imenovala </w:t>
      </w:r>
      <w:r w:rsidRPr="001A33D5">
        <w:rPr>
          <w:rFonts w:cs="Arial"/>
          <w:b/>
          <w:szCs w:val="22"/>
        </w:rPr>
        <w:t>OO</w:t>
      </w:r>
      <w:r w:rsidRPr="001A33D5">
        <w:rPr>
          <w:rFonts w:cs="Arial"/>
          <w:szCs w:val="22"/>
        </w:rPr>
        <w:t>, tj. Projektno enoto za sklade notranje varnosti in migracije, MNZ (v nadaljnjem besedilu: PESNVM). O imenovanju OO in vzpostavitvi MCS je bila obveščena tudi EK.</w:t>
      </w:r>
    </w:p>
    <w:p w:rsidR="008F3453" w:rsidRDefault="008F3453" w:rsidP="007C5534">
      <w:pPr>
        <w:rPr>
          <w:rFonts w:cs="Arial"/>
          <w:szCs w:val="22"/>
        </w:rPr>
      </w:pPr>
    </w:p>
    <w:p w:rsidR="00AA4CF3" w:rsidRDefault="008F3453" w:rsidP="007C5534">
      <w:pPr>
        <w:rPr>
          <w:rFonts w:cs="Arial"/>
          <w:szCs w:val="22"/>
        </w:rPr>
      </w:pPr>
      <w:r>
        <w:rPr>
          <w:rFonts w:cs="Arial"/>
          <w:szCs w:val="22"/>
        </w:rPr>
        <w:t xml:space="preserve">Namen vzpostavitve strategije izvajanja kontrol odgovornega organa je točna opredelitev izvajanja posameznih kontrol, kar bo imelo vpliv tako </w:t>
      </w:r>
      <w:r w:rsidR="0032797E">
        <w:rPr>
          <w:rFonts w:cs="Arial"/>
          <w:szCs w:val="22"/>
        </w:rPr>
        <w:t>na nadzor same implementacije projektov in posameznih korektivnih ukrepov, kot tudi na zagotovitev usklajenosti izvajanja projektov s predpisanimi  uredbami EU, nacionalno zakonodajo in pravili upravičenosti.</w:t>
      </w:r>
    </w:p>
    <w:p w:rsidR="005109EA" w:rsidRPr="0081343F" w:rsidRDefault="005109EA" w:rsidP="00503B8B">
      <w:pPr>
        <w:rPr>
          <w:rFonts w:cs="Arial"/>
          <w:szCs w:val="22"/>
        </w:rPr>
      </w:pPr>
    </w:p>
    <w:p w:rsidR="00503B8B" w:rsidRDefault="005E632D" w:rsidP="00503B8B">
      <w:pPr>
        <w:rPr>
          <w:rFonts w:cs="Arial"/>
          <w:szCs w:val="22"/>
        </w:rPr>
      </w:pPr>
      <w:r>
        <w:rPr>
          <w:rFonts w:cs="Arial"/>
          <w:szCs w:val="22"/>
        </w:rPr>
        <w:t>S</w:t>
      </w:r>
      <w:r w:rsidR="00503B8B" w:rsidRPr="0081343F">
        <w:rPr>
          <w:rFonts w:cs="Arial"/>
          <w:szCs w:val="22"/>
        </w:rPr>
        <w:t xml:space="preserve">trategija </w:t>
      </w:r>
      <w:r>
        <w:rPr>
          <w:rFonts w:cs="Arial"/>
          <w:szCs w:val="22"/>
        </w:rPr>
        <w:t xml:space="preserve">izvajanja kontrol odgovornega organa </w:t>
      </w:r>
      <w:r w:rsidR="00503B8B" w:rsidRPr="0081343F">
        <w:rPr>
          <w:rFonts w:cs="Arial"/>
          <w:szCs w:val="22"/>
        </w:rPr>
        <w:t>je pripravljena v skladu z</w:t>
      </w:r>
      <w:r w:rsidR="000010AC">
        <w:rPr>
          <w:rFonts w:cs="Arial"/>
          <w:szCs w:val="22"/>
        </w:rPr>
        <w:t>:</w:t>
      </w:r>
    </w:p>
    <w:p w:rsidR="000010AC" w:rsidRDefault="000010AC" w:rsidP="00503B8B">
      <w:pPr>
        <w:rPr>
          <w:rFonts w:cs="Arial"/>
          <w:szCs w:val="22"/>
        </w:rPr>
      </w:pPr>
    </w:p>
    <w:p w:rsidR="000010AC" w:rsidRPr="001A33D5" w:rsidRDefault="000010AC" w:rsidP="000010AC">
      <w:pPr>
        <w:numPr>
          <w:ilvl w:val="0"/>
          <w:numId w:val="24"/>
        </w:numPr>
        <w:rPr>
          <w:rFonts w:cs="Arial"/>
          <w:szCs w:val="22"/>
        </w:rPr>
      </w:pPr>
      <w:r>
        <w:rPr>
          <w:rFonts w:cs="Arial"/>
          <w:szCs w:val="22"/>
        </w:rPr>
        <w:t>Uredbo</w:t>
      </w:r>
      <w:r w:rsidRPr="001A33D5">
        <w:rPr>
          <w:rFonts w:cs="Arial"/>
          <w:szCs w:val="22"/>
        </w:rPr>
        <w:t xml:space="preserve"> (EU) št. 514/2014 Evropskega parlamenta in Sveta z dne 16. 4. 2014 o splošnih določbah o Skladu za migracije, azil in vključevanje ter o instrumentu za finančno podporo na področju policijskega sodelovanja, preprečevanja kriminala in boja proti njemu ter obvladovanja kriz;</w:t>
      </w:r>
    </w:p>
    <w:p w:rsidR="000010AC" w:rsidRDefault="000010AC" w:rsidP="00503B8B">
      <w:pPr>
        <w:rPr>
          <w:rFonts w:cs="Arial"/>
          <w:szCs w:val="22"/>
        </w:rPr>
      </w:pPr>
    </w:p>
    <w:p w:rsidR="000010AC" w:rsidRDefault="000010AC" w:rsidP="000010AC">
      <w:pPr>
        <w:numPr>
          <w:ilvl w:val="0"/>
          <w:numId w:val="24"/>
        </w:numPr>
        <w:rPr>
          <w:rFonts w:cs="Arial"/>
          <w:szCs w:val="22"/>
        </w:rPr>
      </w:pPr>
      <w:r>
        <w:rPr>
          <w:rFonts w:cs="Arial"/>
          <w:szCs w:val="22"/>
        </w:rPr>
        <w:t>Izvedbeno uredbo</w:t>
      </w:r>
      <w:r w:rsidRPr="001A33D5">
        <w:rPr>
          <w:rFonts w:cs="Arial"/>
          <w:szCs w:val="22"/>
        </w:rPr>
        <w:t xml:space="preserve"> Komisije (EU) 2015/840 z dne 29. 5. 2015 o nadzoru, ki ga izvajajo odgovorni organi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0010AC" w:rsidRDefault="000010AC" w:rsidP="000010AC">
      <w:pPr>
        <w:pStyle w:val="Odstavekseznama"/>
        <w:rPr>
          <w:rFonts w:cs="Arial"/>
          <w:szCs w:val="22"/>
        </w:rPr>
      </w:pPr>
    </w:p>
    <w:p w:rsidR="000010AC" w:rsidRPr="001A33D5" w:rsidRDefault="000010AC" w:rsidP="000010AC">
      <w:pPr>
        <w:numPr>
          <w:ilvl w:val="0"/>
          <w:numId w:val="24"/>
        </w:numPr>
        <w:rPr>
          <w:rFonts w:cs="Arial"/>
          <w:szCs w:val="22"/>
        </w:rPr>
      </w:pPr>
      <w:r>
        <w:rPr>
          <w:rFonts w:cs="Arial"/>
          <w:szCs w:val="22"/>
        </w:rPr>
        <w:t>dokumentom AMIF-ISF/2016/2 (</w:t>
      </w:r>
      <w:proofErr w:type="spellStart"/>
      <w:r>
        <w:rPr>
          <w:rFonts w:cs="Arial"/>
          <w:szCs w:val="22"/>
        </w:rPr>
        <w:t>Ares</w:t>
      </w:r>
      <w:proofErr w:type="spellEnd"/>
      <w:r>
        <w:rPr>
          <w:rFonts w:cs="Arial"/>
          <w:szCs w:val="22"/>
        </w:rPr>
        <w:t>(2016)1406772) z dne 21.3.2016, ki dodatno opredeljuje kontrole, ki jih mora izvajati odgovorni organ</w:t>
      </w:r>
    </w:p>
    <w:p w:rsidR="000D3242" w:rsidRPr="000D3242" w:rsidRDefault="00503B8B" w:rsidP="000D3242">
      <w:pPr>
        <w:pStyle w:val="Naslov1"/>
        <w:numPr>
          <w:ilvl w:val="0"/>
          <w:numId w:val="19"/>
        </w:numPr>
        <w:rPr>
          <w:sz w:val="22"/>
          <w:szCs w:val="22"/>
        </w:rPr>
      </w:pPr>
      <w:r w:rsidRPr="0081343F">
        <w:rPr>
          <w:b w:val="0"/>
        </w:rPr>
        <w:br w:type="page"/>
      </w:r>
      <w:bookmarkStart w:id="2" w:name="_Toc457810281"/>
      <w:r w:rsidR="00584099">
        <w:rPr>
          <w:sz w:val="22"/>
          <w:szCs w:val="22"/>
        </w:rPr>
        <w:lastRenderedPageBreak/>
        <w:t>OSNOVNI PODATKI</w:t>
      </w:r>
      <w:bookmarkEnd w:id="2"/>
    </w:p>
    <w:p w:rsidR="00584099" w:rsidRDefault="00584099" w:rsidP="00584099"/>
    <w:p w:rsidR="00584099" w:rsidRPr="0081343F" w:rsidRDefault="00584099" w:rsidP="00584099">
      <w:r w:rsidRPr="0081343F">
        <w:rPr>
          <w:rFonts w:cs="Arial"/>
          <w:szCs w:val="22"/>
        </w:rPr>
        <w:t xml:space="preserve">V okviru aktivnosti za </w:t>
      </w:r>
      <w:r>
        <w:rPr>
          <w:rFonts w:cs="Arial"/>
          <w:szCs w:val="22"/>
        </w:rPr>
        <w:t>izvajanje skladov evropske unije na področju notranjih zadev</w:t>
      </w:r>
      <w:r w:rsidRPr="0081343F">
        <w:rPr>
          <w:rFonts w:cs="Arial"/>
          <w:szCs w:val="22"/>
        </w:rPr>
        <w:t xml:space="preserve"> se uporablja skupni sistem upravljanja in nadzora, zato je </w:t>
      </w:r>
      <w:r>
        <w:rPr>
          <w:rFonts w:cs="Arial"/>
          <w:szCs w:val="22"/>
        </w:rPr>
        <w:t>RO</w:t>
      </w:r>
      <w:r w:rsidRPr="0081343F">
        <w:rPr>
          <w:rFonts w:cs="Arial"/>
          <w:szCs w:val="22"/>
        </w:rPr>
        <w:t xml:space="preserve"> </w:t>
      </w:r>
      <w:r>
        <w:rPr>
          <w:rFonts w:cs="Arial"/>
          <w:szCs w:val="22"/>
        </w:rPr>
        <w:t>izdelal</w:t>
      </w:r>
      <w:r w:rsidRPr="0081343F">
        <w:rPr>
          <w:rFonts w:cs="Arial"/>
          <w:szCs w:val="22"/>
        </w:rPr>
        <w:t xml:space="preserve"> enotno revizijsko strategijo</w:t>
      </w:r>
      <w:r>
        <w:rPr>
          <w:rFonts w:cs="Arial"/>
          <w:szCs w:val="22"/>
        </w:rPr>
        <w:t xml:space="preserve"> za</w:t>
      </w:r>
      <w:r w:rsidRPr="0081343F">
        <w:rPr>
          <w:rFonts w:cs="Arial"/>
          <w:szCs w:val="22"/>
        </w:rPr>
        <w:t>:</w:t>
      </w:r>
    </w:p>
    <w:p w:rsidR="00584099" w:rsidRDefault="00584099" w:rsidP="00584099">
      <w:pPr>
        <w:numPr>
          <w:ilvl w:val="0"/>
          <w:numId w:val="18"/>
        </w:numPr>
        <w:tabs>
          <w:tab w:val="clear" w:pos="720"/>
          <w:tab w:val="num" w:pos="360"/>
        </w:tabs>
        <w:ind w:left="360"/>
      </w:pPr>
      <w:r w:rsidRPr="0081343F">
        <w:t>SKL</w:t>
      </w:r>
      <w:r>
        <w:t>AD</w:t>
      </w:r>
      <w:r w:rsidRPr="0081343F">
        <w:t xml:space="preserve"> ZA </w:t>
      </w:r>
      <w:r>
        <w:t xml:space="preserve">AZIL, </w:t>
      </w:r>
      <w:r w:rsidRPr="0081343F">
        <w:t>VKLJUČEVANJE</w:t>
      </w:r>
      <w:r>
        <w:t xml:space="preserve"> in VRAČANJE</w:t>
      </w:r>
      <w:r w:rsidRPr="0081343F">
        <w:t xml:space="preserve"> (v nadaljevanju: </w:t>
      </w:r>
      <w:r>
        <w:t>AMIF</w:t>
      </w:r>
      <w:r w:rsidRPr="0081343F">
        <w:t>)</w:t>
      </w:r>
      <w:r>
        <w:t xml:space="preserve">, ki je razdeljen na 3 </w:t>
      </w:r>
      <w:r w:rsidR="00FB77BF">
        <w:t>posebne cilje</w:t>
      </w:r>
      <w:r>
        <w:t>:</w:t>
      </w:r>
    </w:p>
    <w:p w:rsidR="00584099" w:rsidRDefault="00584099" w:rsidP="00584099">
      <w:pPr>
        <w:numPr>
          <w:ilvl w:val="1"/>
          <w:numId w:val="18"/>
        </w:numPr>
      </w:pPr>
      <w:r>
        <w:t>Azil,</w:t>
      </w:r>
    </w:p>
    <w:p w:rsidR="00584099" w:rsidRDefault="00584099" w:rsidP="00584099">
      <w:pPr>
        <w:numPr>
          <w:ilvl w:val="1"/>
          <w:numId w:val="18"/>
        </w:numPr>
      </w:pPr>
      <w:r>
        <w:t>Vključevanje,</w:t>
      </w:r>
    </w:p>
    <w:p w:rsidR="00584099" w:rsidRPr="0081343F" w:rsidRDefault="00584099" w:rsidP="00584099">
      <w:pPr>
        <w:numPr>
          <w:ilvl w:val="1"/>
          <w:numId w:val="18"/>
        </w:numPr>
      </w:pPr>
      <w:r>
        <w:t xml:space="preserve">Vračanje in </w:t>
      </w:r>
    </w:p>
    <w:p w:rsidR="00584099" w:rsidRDefault="00584099" w:rsidP="00584099">
      <w:pPr>
        <w:numPr>
          <w:ilvl w:val="0"/>
          <w:numId w:val="18"/>
        </w:numPr>
        <w:tabs>
          <w:tab w:val="clear" w:pos="720"/>
          <w:tab w:val="num" w:pos="360"/>
        </w:tabs>
        <w:ind w:left="360"/>
      </w:pPr>
      <w:r w:rsidRPr="0081343F">
        <w:t xml:space="preserve">SKLAD ZA </w:t>
      </w:r>
      <w:r>
        <w:t xml:space="preserve">NOTRANJO VARNOST </w:t>
      </w:r>
      <w:r w:rsidRPr="0081343F">
        <w:t xml:space="preserve">(v nadaljevanju: </w:t>
      </w:r>
      <w:r>
        <w:t>I</w:t>
      </w:r>
      <w:r w:rsidRPr="0081343F">
        <w:t>S</w:t>
      </w:r>
      <w:r>
        <w:t>F</w:t>
      </w:r>
      <w:r w:rsidRPr="0081343F">
        <w:t>),</w:t>
      </w:r>
      <w:r>
        <w:t xml:space="preserve"> ki je razdeljen na 2 </w:t>
      </w:r>
      <w:proofErr w:type="spellStart"/>
      <w:r>
        <w:t>podsklada</w:t>
      </w:r>
      <w:proofErr w:type="spellEnd"/>
      <w:r>
        <w:t xml:space="preserve">: </w:t>
      </w:r>
    </w:p>
    <w:p w:rsidR="00584099" w:rsidRDefault="00584099" w:rsidP="00584099">
      <w:pPr>
        <w:numPr>
          <w:ilvl w:val="0"/>
          <w:numId w:val="18"/>
        </w:numPr>
      </w:pPr>
      <w:r>
        <w:t>Zunanje meje (v nadaljevanju: ISFB) ta pa na 3</w:t>
      </w:r>
      <w:r w:rsidR="00782270">
        <w:t xml:space="preserve"> posebne cilje</w:t>
      </w:r>
      <w:r>
        <w:t>:</w:t>
      </w:r>
    </w:p>
    <w:p w:rsidR="00584099" w:rsidRDefault="00584099" w:rsidP="00584099">
      <w:pPr>
        <w:numPr>
          <w:ilvl w:val="1"/>
          <w:numId w:val="18"/>
        </w:numPr>
      </w:pPr>
      <w:r>
        <w:t>Podpora skupni vizumski politiki,</w:t>
      </w:r>
    </w:p>
    <w:p w:rsidR="00584099" w:rsidRDefault="00584099" w:rsidP="00584099">
      <w:pPr>
        <w:numPr>
          <w:ilvl w:val="1"/>
          <w:numId w:val="18"/>
        </w:numPr>
      </w:pPr>
      <w:r>
        <w:t>Meje,</w:t>
      </w:r>
    </w:p>
    <w:p w:rsidR="00584099" w:rsidRDefault="00584099" w:rsidP="00584099">
      <w:pPr>
        <w:numPr>
          <w:ilvl w:val="1"/>
          <w:numId w:val="18"/>
        </w:numPr>
      </w:pPr>
      <w:r>
        <w:t xml:space="preserve">Operativna podpora; </w:t>
      </w:r>
    </w:p>
    <w:p w:rsidR="00584099" w:rsidRDefault="00584099" w:rsidP="00782270">
      <w:pPr>
        <w:numPr>
          <w:ilvl w:val="0"/>
          <w:numId w:val="18"/>
        </w:numPr>
      </w:pPr>
      <w:r>
        <w:t>Policijsko sodelovanje (v nadaljevanju: ISFP), ta pa na 2</w:t>
      </w:r>
      <w:r w:rsidR="00782270" w:rsidRPr="00782270">
        <w:t xml:space="preserve"> </w:t>
      </w:r>
      <w:r w:rsidR="00782270">
        <w:t>posebna</w:t>
      </w:r>
      <w:r w:rsidR="00782270" w:rsidRPr="00782270">
        <w:t xml:space="preserve"> cilj</w:t>
      </w:r>
      <w:r w:rsidR="00782270">
        <w:t>a</w:t>
      </w:r>
      <w:r>
        <w:t xml:space="preserve">: </w:t>
      </w:r>
    </w:p>
    <w:p w:rsidR="00584099" w:rsidRPr="00741F9A" w:rsidRDefault="00584099" w:rsidP="00584099">
      <w:pPr>
        <w:numPr>
          <w:ilvl w:val="1"/>
          <w:numId w:val="18"/>
        </w:numPr>
        <w:rPr>
          <w:rStyle w:val="hps"/>
        </w:rPr>
      </w:pPr>
      <w:r>
        <w:rPr>
          <w:rStyle w:val="hps"/>
          <w:rFonts w:cs="Arial"/>
          <w:color w:val="222222"/>
        </w:rPr>
        <w:t>Preprečevanje in boj proti</w:t>
      </w:r>
      <w:r>
        <w:rPr>
          <w:rStyle w:val="shorttext"/>
          <w:rFonts w:cs="Arial"/>
          <w:color w:val="222222"/>
        </w:rPr>
        <w:t xml:space="preserve"> </w:t>
      </w:r>
      <w:r>
        <w:rPr>
          <w:rStyle w:val="hps"/>
          <w:rFonts w:cs="Arial"/>
          <w:color w:val="222222"/>
        </w:rPr>
        <w:t>kriminalu,</w:t>
      </w:r>
    </w:p>
    <w:p w:rsidR="00584099" w:rsidRPr="0081343F" w:rsidRDefault="00584099" w:rsidP="00584099">
      <w:pPr>
        <w:numPr>
          <w:ilvl w:val="1"/>
          <w:numId w:val="18"/>
        </w:numPr>
      </w:pPr>
      <w:r>
        <w:rPr>
          <w:rStyle w:val="hps"/>
          <w:rFonts w:cs="Arial"/>
          <w:color w:val="222222"/>
        </w:rPr>
        <w:t>Tveganje in krize.</w:t>
      </w:r>
      <w:r>
        <w:t xml:space="preserve"> </w:t>
      </w:r>
    </w:p>
    <w:p w:rsidR="00584099" w:rsidRPr="0081343F" w:rsidRDefault="00584099" w:rsidP="00584099"/>
    <w:p w:rsidR="00584099" w:rsidRPr="0081343F" w:rsidRDefault="00584099" w:rsidP="00584099">
      <w:pPr>
        <w:rPr>
          <w:rFonts w:cs="Arial"/>
          <w:szCs w:val="22"/>
        </w:rPr>
      </w:pPr>
      <w:r w:rsidRPr="0081343F">
        <w:rPr>
          <w:rFonts w:cs="Arial"/>
          <w:szCs w:val="22"/>
        </w:rPr>
        <w:t>Komisij</w:t>
      </w:r>
      <w:r>
        <w:rPr>
          <w:rFonts w:cs="Arial"/>
          <w:szCs w:val="22"/>
        </w:rPr>
        <w:t>a</w:t>
      </w:r>
      <w:r w:rsidRPr="0081343F">
        <w:rPr>
          <w:rFonts w:cs="Arial"/>
          <w:szCs w:val="22"/>
        </w:rPr>
        <w:t xml:space="preserve"> </w:t>
      </w:r>
      <w:r>
        <w:rPr>
          <w:rFonts w:cs="Arial"/>
          <w:szCs w:val="22"/>
        </w:rPr>
        <w:t xml:space="preserve">je s Sklepom št. </w:t>
      </w:r>
      <w:r w:rsidRPr="00741F9A">
        <w:rPr>
          <w:rFonts w:cs="Arial"/>
          <w:szCs w:val="22"/>
        </w:rPr>
        <w:t xml:space="preserve">C(2015) 1658, z dne 18.3.2015, odobrila nacionalni program </w:t>
      </w:r>
      <w:r>
        <w:rPr>
          <w:rFonts w:cs="Arial"/>
          <w:szCs w:val="22"/>
        </w:rPr>
        <w:t xml:space="preserve">RS </w:t>
      </w:r>
      <w:r w:rsidRPr="00741F9A">
        <w:rPr>
          <w:rFonts w:cs="Arial"/>
          <w:szCs w:val="22"/>
        </w:rPr>
        <w:t xml:space="preserve">za AMIF in s Sklepom št. C(2015) 5126, z dne 29.7.2015, </w:t>
      </w:r>
      <w:r>
        <w:rPr>
          <w:rFonts w:cs="Arial"/>
          <w:szCs w:val="22"/>
        </w:rPr>
        <w:t xml:space="preserve">tudi </w:t>
      </w:r>
      <w:r w:rsidRPr="00741F9A">
        <w:rPr>
          <w:rFonts w:cs="Arial"/>
          <w:szCs w:val="22"/>
        </w:rPr>
        <w:t>nacionalni program RS</w:t>
      </w:r>
      <w:r>
        <w:rPr>
          <w:rFonts w:cs="Arial"/>
          <w:szCs w:val="22"/>
        </w:rPr>
        <w:t xml:space="preserve"> </w:t>
      </w:r>
      <w:r w:rsidRPr="00741F9A">
        <w:rPr>
          <w:rFonts w:cs="Arial"/>
          <w:szCs w:val="22"/>
        </w:rPr>
        <w:t xml:space="preserve">za ISF. </w:t>
      </w:r>
    </w:p>
    <w:p w:rsidR="00584099" w:rsidRDefault="00584099" w:rsidP="00584099">
      <w:pPr>
        <w:autoSpaceDE w:val="0"/>
        <w:autoSpaceDN w:val="0"/>
        <w:adjustRightInd w:val="0"/>
        <w:rPr>
          <w:rFonts w:cs="Arial"/>
          <w:szCs w:val="22"/>
        </w:rPr>
      </w:pPr>
    </w:p>
    <w:p w:rsidR="00584099" w:rsidRDefault="00584099" w:rsidP="00584099">
      <w:pPr>
        <w:rPr>
          <w:rFonts w:cs="Arial"/>
          <w:szCs w:val="22"/>
        </w:rPr>
      </w:pPr>
      <w:r>
        <w:rPr>
          <w:rFonts w:cs="Arial"/>
          <w:szCs w:val="22"/>
        </w:rPr>
        <w:t xml:space="preserve">Organ za imenovanje je, na podlagi mnenja RO, imenoval kot </w:t>
      </w:r>
      <w:r w:rsidR="00731223">
        <w:rPr>
          <w:rFonts w:cs="Arial"/>
          <w:szCs w:val="22"/>
        </w:rPr>
        <w:t>OO</w:t>
      </w:r>
      <w:r>
        <w:rPr>
          <w:rFonts w:cs="Arial"/>
          <w:szCs w:val="22"/>
        </w:rPr>
        <w:t xml:space="preserve"> za izvajanje nalog  v sistemu upravljanja in nadzora za sklada AMIF in ISF: </w:t>
      </w:r>
    </w:p>
    <w:p w:rsidR="00584099" w:rsidRPr="0081343F" w:rsidRDefault="00584099" w:rsidP="00584099">
      <w:pPr>
        <w:numPr>
          <w:ilvl w:val="0"/>
          <w:numId w:val="27"/>
        </w:numPr>
        <w:rPr>
          <w:rFonts w:cs="Arial"/>
          <w:szCs w:val="22"/>
        </w:rPr>
      </w:pPr>
      <w:r w:rsidRPr="0081343F">
        <w:rPr>
          <w:rFonts w:cs="Arial"/>
          <w:szCs w:val="22"/>
        </w:rPr>
        <w:t>Ministrstvo za notranje zadeve, PES</w:t>
      </w:r>
      <w:r>
        <w:rPr>
          <w:rFonts w:cs="Arial"/>
          <w:szCs w:val="22"/>
        </w:rPr>
        <w:t>NVM</w:t>
      </w:r>
      <w:r w:rsidRPr="0081343F">
        <w:rPr>
          <w:rFonts w:cs="Arial"/>
          <w:szCs w:val="22"/>
        </w:rPr>
        <w:t xml:space="preserve">; </w:t>
      </w:r>
    </w:p>
    <w:p w:rsidR="00584099" w:rsidRDefault="00584099" w:rsidP="00584099">
      <w:pPr>
        <w:rPr>
          <w:rFonts w:cs="Arial"/>
          <w:szCs w:val="22"/>
        </w:rPr>
      </w:pPr>
    </w:p>
    <w:p w:rsidR="00584099" w:rsidRDefault="00584099" w:rsidP="00584099">
      <w:pPr>
        <w:rPr>
          <w:rFonts w:cs="Arial"/>
          <w:szCs w:val="22"/>
        </w:rPr>
      </w:pPr>
      <w:r w:rsidRPr="00A964B9">
        <w:rPr>
          <w:rFonts w:cs="Arial"/>
          <w:szCs w:val="22"/>
        </w:rPr>
        <w:t xml:space="preserve">V delo OO so posredno ali neposredno vključene tudi druge strokovne in podporne službe v okviru </w:t>
      </w:r>
      <w:r>
        <w:rPr>
          <w:rFonts w:cs="Arial"/>
          <w:szCs w:val="22"/>
        </w:rPr>
        <w:t>Ministrstva</w:t>
      </w:r>
      <w:r w:rsidRPr="0081343F">
        <w:rPr>
          <w:rFonts w:cs="Arial"/>
          <w:szCs w:val="22"/>
        </w:rPr>
        <w:t xml:space="preserve"> za notranje zadeve</w:t>
      </w:r>
      <w:r w:rsidRPr="00A964B9">
        <w:rPr>
          <w:rFonts w:cs="Arial"/>
          <w:szCs w:val="22"/>
        </w:rPr>
        <w:t xml:space="preserve"> in organi v sestavi, ki opravljajo naloge v skladu s svojimi pristojnostmi.</w:t>
      </w:r>
    </w:p>
    <w:p w:rsidR="00584099" w:rsidRPr="0081343F" w:rsidRDefault="00584099" w:rsidP="00584099">
      <w:pPr>
        <w:rPr>
          <w:rFonts w:cs="Arial"/>
          <w:szCs w:val="22"/>
        </w:rPr>
      </w:pPr>
    </w:p>
    <w:p w:rsidR="00584099" w:rsidRDefault="00584099" w:rsidP="00584099">
      <w:pPr>
        <w:autoSpaceDE w:val="0"/>
        <w:autoSpaceDN w:val="0"/>
        <w:adjustRightInd w:val="0"/>
        <w:rPr>
          <w:rFonts w:cs="Arial"/>
          <w:szCs w:val="22"/>
        </w:rPr>
      </w:pPr>
      <w:r w:rsidRPr="00D260EB">
        <w:rPr>
          <w:rFonts w:cs="Arial"/>
          <w:szCs w:val="22"/>
        </w:rPr>
        <w:t>OO</w:t>
      </w:r>
      <w:r w:rsidRPr="00194F9E">
        <w:rPr>
          <w:rFonts w:cs="Arial"/>
          <w:szCs w:val="22"/>
        </w:rPr>
        <w:t xml:space="preserve"> je pristojen za upravljanje</w:t>
      </w:r>
      <w:r w:rsidRPr="0081343F">
        <w:rPr>
          <w:rFonts w:cs="Arial"/>
          <w:szCs w:val="22"/>
        </w:rPr>
        <w:t>, nadzorovanje in izvajanje  programov skladov</w:t>
      </w:r>
      <w:r>
        <w:rPr>
          <w:rFonts w:cs="Arial"/>
          <w:szCs w:val="22"/>
        </w:rPr>
        <w:t xml:space="preserve"> AMIF in ISF</w:t>
      </w:r>
      <w:r w:rsidRPr="0081343F">
        <w:rPr>
          <w:rFonts w:cs="Arial"/>
          <w:szCs w:val="22"/>
        </w:rPr>
        <w:t>. Njegove glavne naloge so:</w:t>
      </w:r>
    </w:p>
    <w:p w:rsidR="00731223" w:rsidRDefault="00731223" w:rsidP="00584099">
      <w:pPr>
        <w:autoSpaceDE w:val="0"/>
        <w:autoSpaceDN w:val="0"/>
        <w:adjustRightInd w:val="0"/>
        <w:rPr>
          <w:rFonts w:cs="Arial"/>
          <w:szCs w:val="22"/>
        </w:rPr>
      </w:pPr>
    </w:p>
    <w:p w:rsidR="00584099" w:rsidRDefault="00584099" w:rsidP="00584099">
      <w:pPr>
        <w:numPr>
          <w:ilvl w:val="0"/>
          <w:numId w:val="25"/>
        </w:numPr>
        <w:autoSpaceDE w:val="0"/>
        <w:autoSpaceDN w:val="0"/>
        <w:adjustRightInd w:val="0"/>
        <w:rPr>
          <w:rFonts w:cs="Arial"/>
          <w:szCs w:val="22"/>
        </w:rPr>
      </w:pPr>
      <w:r w:rsidRPr="00741F9A">
        <w:rPr>
          <w:rFonts w:cs="Arial"/>
          <w:szCs w:val="22"/>
        </w:rPr>
        <w:t xml:space="preserve">upravljanje in izvajanje nacionalnih programov v skladu z načeli dobrega finančnega </w:t>
      </w:r>
      <w:proofErr w:type="spellStart"/>
      <w:r w:rsidRPr="00741F9A">
        <w:rPr>
          <w:rFonts w:cs="Arial"/>
          <w:szCs w:val="22"/>
        </w:rPr>
        <w:t>poslovodenja</w:t>
      </w:r>
      <w:proofErr w:type="spellEnd"/>
      <w:r w:rsidRPr="00741F9A">
        <w:rPr>
          <w:rFonts w:cs="Arial"/>
          <w:szCs w:val="22"/>
        </w:rPr>
        <w:t>;</w:t>
      </w:r>
    </w:p>
    <w:p w:rsidR="00584099" w:rsidRPr="00741F9A" w:rsidRDefault="00584099" w:rsidP="00584099">
      <w:pPr>
        <w:numPr>
          <w:ilvl w:val="0"/>
          <w:numId w:val="25"/>
        </w:numPr>
        <w:autoSpaceDE w:val="0"/>
        <w:autoSpaceDN w:val="0"/>
        <w:adjustRightInd w:val="0"/>
        <w:rPr>
          <w:rFonts w:cs="Arial"/>
          <w:szCs w:val="22"/>
        </w:rPr>
      </w:pPr>
      <w:r w:rsidRPr="00741F9A">
        <w:rPr>
          <w:rFonts w:cs="Arial"/>
          <w:szCs w:val="22"/>
        </w:rPr>
        <w:t>posvet</w:t>
      </w:r>
      <w:r w:rsidRPr="00E31311">
        <w:rPr>
          <w:rFonts w:cs="Arial"/>
          <w:szCs w:val="22"/>
        </w:rPr>
        <w:t xml:space="preserve">ovanje </w:t>
      </w:r>
      <w:r w:rsidRPr="00741F9A">
        <w:rPr>
          <w:rFonts w:cs="Arial"/>
          <w:szCs w:val="22"/>
        </w:rPr>
        <w:t>s partnerji;</w:t>
      </w:r>
    </w:p>
    <w:tbl>
      <w:tblPr>
        <w:tblW w:w="5000" w:type="pct"/>
        <w:tblCellSpacing w:w="0" w:type="dxa"/>
        <w:tblCellMar>
          <w:left w:w="0" w:type="dxa"/>
          <w:right w:w="0" w:type="dxa"/>
        </w:tblCellMar>
        <w:tblLook w:val="04A0" w:firstRow="1" w:lastRow="0" w:firstColumn="1" w:lastColumn="0" w:noHBand="0" w:noVBand="1"/>
      </w:tblPr>
      <w:tblGrid>
        <w:gridCol w:w="4535"/>
        <w:gridCol w:w="4535"/>
      </w:tblGrid>
      <w:tr w:rsidR="00584099" w:rsidRPr="00F76C16" w:rsidTr="00584099">
        <w:trPr>
          <w:tblCellSpacing w:w="0" w:type="dxa"/>
        </w:trPr>
        <w:tc>
          <w:tcPr>
            <w:tcW w:w="0" w:type="auto"/>
            <w:hideMark/>
          </w:tcPr>
          <w:p w:rsidR="00584099" w:rsidRPr="00D260EB" w:rsidRDefault="00584099" w:rsidP="00584099">
            <w:pPr>
              <w:spacing w:before="120"/>
              <w:rPr>
                <w:rFonts w:ascii="Times New Roman" w:hAnsi="Times New Roman"/>
                <w:b/>
                <w:color w:val="000000"/>
                <w:sz w:val="24"/>
              </w:rPr>
            </w:pPr>
          </w:p>
        </w:tc>
        <w:tc>
          <w:tcPr>
            <w:tcW w:w="0" w:type="auto"/>
            <w:hideMark/>
          </w:tcPr>
          <w:p w:rsidR="00584099" w:rsidRPr="00F76C16" w:rsidRDefault="00584099" w:rsidP="00584099">
            <w:pPr>
              <w:spacing w:before="120"/>
              <w:rPr>
                <w:rFonts w:ascii="Times New Roman" w:hAnsi="Times New Roman"/>
                <w:color w:val="000000"/>
                <w:sz w:val="24"/>
              </w:rPr>
            </w:pPr>
          </w:p>
        </w:tc>
      </w:tr>
    </w:tbl>
    <w:p w:rsidR="00584099" w:rsidRPr="00F76C16" w:rsidRDefault="00584099" w:rsidP="00584099">
      <w:pPr>
        <w:jc w:val="left"/>
        <w:rPr>
          <w:rFonts w:ascii="Times New Roman" w:hAnsi="Times New Roman"/>
          <w:vanish/>
          <w:color w:val="000000"/>
          <w:sz w:val="24"/>
        </w:rPr>
      </w:pPr>
    </w:p>
    <w:tbl>
      <w:tblPr>
        <w:tblW w:w="5000" w:type="pct"/>
        <w:tblCellSpacing w:w="0" w:type="dxa"/>
        <w:tblCellMar>
          <w:left w:w="0" w:type="dxa"/>
          <w:right w:w="0" w:type="dxa"/>
        </w:tblCellMar>
        <w:tblLook w:val="04A0" w:firstRow="1" w:lastRow="0" w:firstColumn="1" w:lastColumn="0" w:noHBand="0" w:noVBand="1"/>
      </w:tblPr>
      <w:tblGrid>
        <w:gridCol w:w="14"/>
        <w:gridCol w:w="406"/>
        <w:gridCol w:w="1649"/>
        <w:gridCol w:w="6587"/>
        <w:gridCol w:w="414"/>
      </w:tblGrid>
      <w:tr w:rsidR="00584099" w:rsidRPr="00741F9A" w:rsidTr="00584099">
        <w:trPr>
          <w:tblCellSpacing w:w="0" w:type="dxa"/>
        </w:trPr>
        <w:tc>
          <w:tcPr>
            <w:tcW w:w="0" w:type="auto"/>
            <w:hideMark/>
          </w:tcPr>
          <w:p w:rsidR="00584099" w:rsidRPr="00741F9A" w:rsidRDefault="00584099" w:rsidP="00584099">
            <w:pPr>
              <w:autoSpaceDE w:val="0"/>
              <w:autoSpaceDN w:val="0"/>
              <w:adjustRightInd w:val="0"/>
              <w:ind w:left="360"/>
              <w:rPr>
                <w:rFonts w:cs="Arial"/>
                <w:szCs w:val="22"/>
              </w:rPr>
            </w:pPr>
          </w:p>
        </w:tc>
        <w:tc>
          <w:tcPr>
            <w:tcW w:w="0" w:type="auto"/>
            <w:gridSpan w:val="4"/>
            <w:hideMark/>
          </w:tcPr>
          <w:p w:rsidR="00584099" w:rsidRPr="00741F9A" w:rsidRDefault="00584099" w:rsidP="00584099">
            <w:pPr>
              <w:numPr>
                <w:ilvl w:val="0"/>
                <w:numId w:val="25"/>
              </w:numPr>
              <w:autoSpaceDE w:val="0"/>
              <w:autoSpaceDN w:val="0"/>
              <w:adjustRightInd w:val="0"/>
              <w:rPr>
                <w:rFonts w:cs="Arial"/>
                <w:szCs w:val="22"/>
              </w:rPr>
            </w:pPr>
            <w:r w:rsidRPr="00741F9A">
              <w:rPr>
                <w:rFonts w:cs="Arial"/>
                <w:szCs w:val="22"/>
              </w:rPr>
              <w:t>zagotavlja</w:t>
            </w:r>
            <w:r>
              <w:rPr>
                <w:rFonts w:cs="Arial"/>
                <w:szCs w:val="22"/>
              </w:rPr>
              <w:t>nje</w:t>
            </w:r>
            <w:r w:rsidRPr="00E31311">
              <w:rPr>
                <w:rFonts w:cs="Arial"/>
                <w:szCs w:val="22"/>
              </w:rPr>
              <w:t xml:space="preserve"> praviln</w:t>
            </w:r>
            <w:r>
              <w:rPr>
                <w:rFonts w:cs="Arial"/>
                <w:szCs w:val="22"/>
              </w:rPr>
              <w:t>ega</w:t>
            </w:r>
            <w:r w:rsidRPr="00741F9A">
              <w:rPr>
                <w:rFonts w:cs="Arial"/>
                <w:szCs w:val="22"/>
              </w:rPr>
              <w:t xml:space="preserve"> delovanje odbora za spremljanje;</w:t>
            </w:r>
          </w:p>
        </w:tc>
      </w:tr>
      <w:tr w:rsidR="00584099" w:rsidRPr="00741F9A" w:rsidTr="00584099">
        <w:trPr>
          <w:gridAfter w:val="1"/>
          <w:tblCellSpacing w:w="0" w:type="dxa"/>
        </w:trPr>
        <w:tc>
          <w:tcPr>
            <w:tcW w:w="8" w:type="pct"/>
            <w:hideMark/>
          </w:tcPr>
          <w:p w:rsidR="00584099" w:rsidRPr="00741F9A" w:rsidRDefault="00584099" w:rsidP="00584099">
            <w:pPr>
              <w:numPr>
                <w:ilvl w:val="0"/>
                <w:numId w:val="25"/>
              </w:numPr>
              <w:autoSpaceDE w:val="0"/>
              <w:autoSpaceDN w:val="0"/>
              <w:adjustRightInd w:val="0"/>
              <w:rPr>
                <w:rFonts w:cs="Arial"/>
                <w:szCs w:val="22"/>
              </w:rPr>
            </w:pPr>
          </w:p>
        </w:tc>
        <w:tc>
          <w:tcPr>
            <w:tcW w:w="4764" w:type="pct"/>
            <w:gridSpan w:val="3"/>
            <w:hideMark/>
          </w:tcPr>
          <w:p w:rsidR="00584099" w:rsidRPr="00741F9A" w:rsidRDefault="00584099" w:rsidP="00584099">
            <w:pPr>
              <w:numPr>
                <w:ilvl w:val="0"/>
                <w:numId w:val="25"/>
              </w:numPr>
              <w:autoSpaceDE w:val="0"/>
              <w:autoSpaceDN w:val="0"/>
              <w:adjustRightInd w:val="0"/>
              <w:rPr>
                <w:rFonts w:cs="Arial"/>
                <w:szCs w:val="22"/>
              </w:rPr>
            </w:pPr>
            <w:r>
              <w:rPr>
                <w:rFonts w:cs="Arial"/>
                <w:szCs w:val="22"/>
              </w:rPr>
              <w:t xml:space="preserve">posredovanje </w:t>
            </w:r>
            <w:r w:rsidRPr="00741F9A">
              <w:rPr>
                <w:rFonts w:cs="Arial"/>
                <w:szCs w:val="22"/>
              </w:rPr>
              <w:t>Komisiji prek sistema SFC2014 predlog</w:t>
            </w:r>
            <w:r>
              <w:rPr>
                <w:rFonts w:cs="Arial"/>
                <w:szCs w:val="22"/>
              </w:rPr>
              <w:t>e</w:t>
            </w:r>
            <w:r w:rsidRPr="00E31311">
              <w:rPr>
                <w:rFonts w:cs="Arial"/>
                <w:szCs w:val="22"/>
              </w:rPr>
              <w:t xml:space="preserve"> nacionaln</w:t>
            </w:r>
            <w:r>
              <w:rPr>
                <w:rFonts w:cs="Arial"/>
                <w:szCs w:val="22"/>
              </w:rPr>
              <w:t xml:space="preserve">ih </w:t>
            </w:r>
            <w:r w:rsidRPr="00E31311">
              <w:rPr>
                <w:rFonts w:cs="Arial"/>
                <w:szCs w:val="22"/>
              </w:rPr>
              <w:t>program</w:t>
            </w:r>
            <w:r>
              <w:rPr>
                <w:rFonts w:cs="Arial"/>
                <w:szCs w:val="22"/>
              </w:rPr>
              <w:t>ov</w:t>
            </w:r>
            <w:r w:rsidRPr="00E31311">
              <w:rPr>
                <w:rFonts w:cs="Arial"/>
                <w:szCs w:val="22"/>
              </w:rPr>
              <w:t xml:space="preserve"> in nj</w:t>
            </w:r>
            <w:r>
              <w:rPr>
                <w:rFonts w:cs="Arial"/>
                <w:szCs w:val="22"/>
              </w:rPr>
              <w:t>ihove</w:t>
            </w:r>
            <w:r w:rsidRPr="00741F9A">
              <w:rPr>
                <w:rFonts w:cs="Arial"/>
                <w:szCs w:val="22"/>
              </w:rPr>
              <w:t xml:space="preserve"> morebitne nadaljnje spremembe;</w:t>
            </w:r>
          </w:p>
        </w:tc>
      </w:tr>
      <w:tr w:rsidR="00584099" w:rsidRPr="00741F9A" w:rsidTr="00584099">
        <w:trPr>
          <w:gridAfter w:val="1"/>
          <w:tblCellSpacing w:w="0" w:type="dxa"/>
        </w:trPr>
        <w:tc>
          <w:tcPr>
            <w:tcW w:w="8" w:type="pct"/>
            <w:hideMark/>
          </w:tcPr>
          <w:p w:rsidR="00584099" w:rsidRPr="00741F9A" w:rsidRDefault="00584099" w:rsidP="00584099">
            <w:pPr>
              <w:numPr>
                <w:ilvl w:val="0"/>
                <w:numId w:val="25"/>
              </w:numPr>
              <w:autoSpaceDE w:val="0"/>
              <w:autoSpaceDN w:val="0"/>
              <w:adjustRightInd w:val="0"/>
              <w:rPr>
                <w:rFonts w:cs="Arial"/>
                <w:szCs w:val="22"/>
              </w:rPr>
            </w:pPr>
          </w:p>
        </w:tc>
        <w:tc>
          <w:tcPr>
            <w:tcW w:w="4764" w:type="pct"/>
            <w:gridSpan w:val="3"/>
            <w:hideMark/>
          </w:tcPr>
          <w:p w:rsidR="00584099" w:rsidRPr="00741F9A" w:rsidRDefault="00584099" w:rsidP="00584099">
            <w:pPr>
              <w:numPr>
                <w:ilvl w:val="0"/>
                <w:numId w:val="25"/>
              </w:numPr>
              <w:autoSpaceDE w:val="0"/>
              <w:autoSpaceDN w:val="0"/>
              <w:adjustRightInd w:val="0"/>
              <w:rPr>
                <w:rFonts w:cs="Arial"/>
                <w:szCs w:val="22"/>
              </w:rPr>
            </w:pPr>
            <w:r w:rsidRPr="00E31311">
              <w:rPr>
                <w:rFonts w:cs="Arial"/>
                <w:szCs w:val="22"/>
              </w:rPr>
              <w:t>opredelj</w:t>
            </w:r>
            <w:r>
              <w:rPr>
                <w:rFonts w:cs="Arial"/>
                <w:szCs w:val="22"/>
              </w:rPr>
              <w:t>evanje</w:t>
            </w:r>
            <w:r w:rsidRPr="00741F9A">
              <w:rPr>
                <w:rFonts w:cs="Arial"/>
                <w:szCs w:val="22"/>
              </w:rPr>
              <w:t xml:space="preserve"> in vzpostavlja</w:t>
            </w:r>
            <w:r>
              <w:rPr>
                <w:rFonts w:cs="Arial"/>
                <w:szCs w:val="22"/>
              </w:rPr>
              <w:t xml:space="preserve">nje </w:t>
            </w:r>
            <w:r w:rsidRPr="00E31311">
              <w:rPr>
                <w:rFonts w:cs="Arial"/>
                <w:szCs w:val="22"/>
              </w:rPr>
              <w:t>pravil</w:t>
            </w:r>
            <w:r w:rsidRPr="00741F9A">
              <w:rPr>
                <w:rFonts w:cs="Arial"/>
                <w:szCs w:val="22"/>
              </w:rPr>
              <w:t xml:space="preserve"> glede upravičenosti za projekte in glede stroškov projektov za vse dejavnosti, pri čemer zagotavlja enako obravnavo in se v skladu z načeli dobrega finančnega </w:t>
            </w:r>
            <w:proofErr w:type="spellStart"/>
            <w:r w:rsidRPr="00741F9A">
              <w:rPr>
                <w:rFonts w:cs="Arial"/>
                <w:szCs w:val="22"/>
              </w:rPr>
              <w:t>poslovodenja</w:t>
            </w:r>
            <w:proofErr w:type="spellEnd"/>
            <w:r w:rsidRPr="00741F9A">
              <w:rPr>
                <w:rFonts w:cs="Arial"/>
                <w:szCs w:val="22"/>
              </w:rPr>
              <w:t xml:space="preserve"> izogiba vsakršnemu navzkrižju interesov;</w:t>
            </w:r>
          </w:p>
        </w:tc>
      </w:tr>
      <w:tr w:rsidR="00584099" w:rsidRPr="00741F9A" w:rsidTr="00584099">
        <w:trPr>
          <w:gridAfter w:val="1"/>
          <w:tblCellSpacing w:w="0" w:type="dxa"/>
        </w:trPr>
        <w:tc>
          <w:tcPr>
            <w:tcW w:w="8" w:type="pct"/>
            <w:hideMark/>
          </w:tcPr>
          <w:p w:rsidR="00584099" w:rsidRPr="00741F9A" w:rsidRDefault="00584099" w:rsidP="00584099">
            <w:pPr>
              <w:numPr>
                <w:ilvl w:val="0"/>
                <w:numId w:val="25"/>
              </w:numPr>
              <w:autoSpaceDE w:val="0"/>
              <w:autoSpaceDN w:val="0"/>
              <w:adjustRightInd w:val="0"/>
              <w:rPr>
                <w:rFonts w:cs="Arial"/>
                <w:szCs w:val="22"/>
              </w:rPr>
            </w:pPr>
          </w:p>
        </w:tc>
        <w:tc>
          <w:tcPr>
            <w:tcW w:w="4764" w:type="pct"/>
            <w:gridSpan w:val="3"/>
            <w:hideMark/>
          </w:tcPr>
          <w:p w:rsidR="00584099" w:rsidRPr="00741F9A" w:rsidRDefault="00584099" w:rsidP="00584099">
            <w:pPr>
              <w:numPr>
                <w:ilvl w:val="0"/>
                <w:numId w:val="25"/>
              </w:numPr>
              <w:autoSpaceDE w:val="0"/>
              <w:autoSpaceDN w:val="0"/>
              <w:adjustRightInd w:val="0"/>
              <w:rPr>
                <w:rFonts w:cs="Arial"/>
                <w:szCs w:val="22"/>
              </w:rPr>
            </w:pPr>
            <w:r w:rsidRPr="00741F9A">
              <w:rPr>
                <w:rFonts w:cs="Arial"/>
                <w:szCs w:val="22"/>
              </w:rPr>
              <w:t>organizira</w:t>
            </w:r>
            <w:r>
              <w:rPr>
                <w:rFonts w:cs="Arial"/>
                <w:szCs w:val="22"/>
              </w:rPr>
              <w:t>nje</w:t>
            </w:r>
            <w:r w:rsidRPr="00741F9A">
              <w:rPr>
                <w:rFonts w:cs="Arial"/>
                <w:szCs w:val="22"/>
              </w:rPr>
              <w:t xml:space="preserve"> in </w:t>
            </w:r>
            <w:r>
              <w:rPr>
                <w:rFonts w:cs="Arial"/>
                <w:szCs w:val="22"/>
              </w:rPr>
              <w:t>objavljanje</w:t>
            </w:r>
            <w:r w:rsidRPr="00741F9A">
              <w:rPr>
                <w:rFonts w:cs="Arial"/>
                <w:szCs w:val="22"/>
              </w:rPr>
              <w:t xml:space="preserve"> javn</w:t>
            </w:r>
            <w:r>
              <w:rPr>
                <w:rFonts w:cs="Arial"/>
                <w:szCs w:val="22"/>
              </w:rPr>
              <w:t>ih</w:t>
            </w:r>
            <w:r w:rsidRPr="00741F9A">
              <w:rPr>
                <w:rFonts w:cs="Arial"/>
                <w:szCs w:val="22"/>
              </w:rPr>
              <w:t xml:space="preserve"> razpis</w:t>
            </w:r>
            <w:r>
              <w:rPr>
                <w:rFonts w:cs="Arial"/>
                <w:szCs w:val="22"/>
              </w:rPr>
              <w:t>ov</w:t>
            </w:r>
            <w:r w:rsidRPr="00741F9A">
              <w:rPr>
                <w:rFonts w:cs="Arial"/>
                <w:szCs w:val="22"/>
              </w:rPr>
              <w:t xml:space="preserve"> in razpis</w:t>
            </w:r>
            <w:r>
              <w:rPr>
                <w:rFonts w:cs="Arial"/>
                <w:szCs w:val="22"/>
              </w:rPr>
              <w:t>ov</w:t>
            </w:r>
            <w:r w:rsidRPr="00741F9A">
              <w:rPr>
                <w:rFonts w:cs="Arial"/>
                <w:szCs w:val="22"/>
              </w:rPr>
              <w:t xml:space="preserve"> za zbiranje predlogov, nato pa organizira in oglašuje izbiro in dodelitev projektov za financiranje prek nacionalnega programa v skladu s področjem uporabe in cilji posebnih uredb iz člena 2(a) Uredbe (EU) št. 514/2014 in z merili iz člena 9 te uredbe;</w:t>
            </w:r>
          </w:p>
        </w:tc>
      </w:tr>
      <w:tr w:rsidR="00584099" w:rsidRPr="00741F9A" w:rsidTr="00584099">
        <w:trPr>
          <w:gridAfter w:val="1"/>
          <w:tblCellSpacing w:w="0" w:type="dxa"/>
        </w:trPr>
        <w:tc>
          <w:tcPr>
            <w:tcW w:w="0" w:type="auto"/>
            <w:hideMark/>
          </w:tcPr>
          <w:p w:rsidR="00584099" w:rsidRPr="00741F9A" w:rsidRDefault="00584099" w:rsidP="00584099">
            <w:pPr>
              <w:numPr>
                <w:ilvl w:val="0"/>
                <w:numId w:val="25"/>
              </w:numPr>
              <w:autoSpaceDE w:val="0"/>
              <w:autoSpaceDN w:val="0"/>
              <w:adjustRightInd w:val="0"/>
              <w:rPr>
                <w:rFonts w:cs="Arial"/>
                <w:szCs w:val="22"/>
              </w:rPr>
            </w:pPr>
          </w:p>
        </w:tc>
        <w:tc>
          <w:tcPr>
            <w:tcW w:w="4764" w:type="pct"/>
            <w:gridSpan w:val="3"/>
            <w:hideMark/>
          </w:tcPr>
          <w:p w:rsidR="00584099" w:rsidRDefault="00584099" w:rsidP="00584099">
            <w:pPr>
              <w:numPr>
                <w:ilvl w:val="0"/>
                <w:numId w:val="25"/>
              </w:numPr>
              <w:autoSpaceDE w:val="0"/>
              <w:autoSpaceDN w:val="0"/>
              <w:adjustRightInd w:val="0"/>
              <w:rPr>
                <w:rFonts w:cs="Arial"/>
                <w:szCs w:val="22"/>
              </w:rPr>
            </w:pPr>
            <w:r w:rsidRPr="00741F9A">
              <w:rPr>
                <w:rFonts w:cs="Arial"/>
                <w:szCs w:val="22"/>
              </w:rPr>
              <w:t>zagotavlja</w:t>
            </w:r>
            <w:r>
              <w:rPr>
                <w:rFonts w:cs="Arial"/>
                <w:szCs w:val="22"/>
              </w:rPr>
              <w:t>nje</w:t>
            </w:r>
            <w:r w:rsidRPr="00741F9A">
              <w:rPr>
                <w:rFonts w:cs="Arial"/>
                <w:szCs w:val="22"/>
              </w:rPr>
              <w:t>, da so vzpostavljeni sistemi za zbiranje podatkov, potrebnih za poročanje Komisiji o skupnih kazalnikih in posebnih kazalnikih programa, ter drugih podatkov o izvajanju programa in projektov;</w:t>
            </w:r>
            <w:r w:rsidRPr="000305F4">
              <w:rPr>
                <w:rFonts w:cs="Arial"/>
                <w:szCs w:val="22"/>
              </w:rPr>
              <w:t xml:space="preserve"> </w:t>
            </w:r>
          </w:p>
          <w:p w:rsidR="00584099" w:rsidRDefault="00584099" w:rsidP="00584099">
            <w:pPr>
              <w:numPr>
                <w:ilvl w:val="0"/>
                <w:numId w:val="25"/>
              </w:numPr>
              <w:autoSpaceDE w:val="0"/>
              <w:autoSpaceDN w:val="0"/>
              <w:adjustRightInd w:val="0"/>
              <w:rPr>
                <w:rFonts w:cs="Arial"/>
                <w:szCs w:val="22"/>
              </w:rPr>
            </w:pPr>
            <w:r w:rsidRPr="000305F4">
              <w:rPr>
                <w:rFonts w:cs="Arial"/>
                <w:szCs w:val="22"/>
              </w:rPr>
              <w:t>prejema</w:t>
            </w:r>
            <w:r>
              <w:rPr>
                <w:rFonts w:cs="Arial"/>
                <w:szCs w:val="22"/>
              </w:rPr>
              <w:t>nje</w:t>
            </w:r>
            <w:r w:rsidRPr="000305F4">
              <w:rPr>
                <w:rFonts w:cs="Arial"/>
                <w:szCs w:val="22"/>
              </w:rPr>
              <w:t xml:space="preserve"> plačila od Komisije in izvrš</w:t>
            </w:r>
            <w:r>
              <w:rPr>
                <w:rFonts w:cs="Arial"/>
                <w:szCs w:val="22"/>
              </w:rPr>
              <w:t xml:space="preserve">evanje </w:t>
            </w:r>
            <w:r w:rsidRPr="000305F4">
              <w:rPr>
                <w:rFonts w:cs="Arial"/>
                <w:szCs w:val="22"/>
              </w:rPr>
              <w:t>plačil upravičencem</w:t>
            </w:r>
            <w:r>
              <w:rPr>
                <w:rFonts w:cs="Arial"/>
                <w:szCs w:val="22"/>
              </w:rPr>
              <w:t xml:space="preserve">; </w:t>
            </w:r>
          </w:p>
          <w:p w:rsidR="00584099" w:rsidRPr="00741F9A" w:rsidRDefault="00584099" w:rsidP="00584099">
            <w:pPr>
              <w:numPr>
                <w:ilvl w:val="0"/>
                <w:numId w:val="25"/>
              </w:numPr>
              <w:autoSpaceDE w:val="0"/>
              <w:autoSpaceDN w:val="0"/>
              <w:adjustRightInd w:val="0"/>
              <w:rPr>
                <w:rFonts w:cs="Arial"/>
                <w:szCs w:val="22"/>
              </w:rPr>
            </w:pPr>
            <w:r w:rsidRPr="000305F4">
              <w:rPr>
                <w:rFonts w:cs="Arial"/>
                <w:szCs w:val="22"/>
              </w:rPr>
              <w:t>zagotavlja</w:t>
            </w:r>
            <w:r>
              <w:rPr>
                <w:rFonts w:cs="Arial"/>
                <w:szCs w:val="22"/>
              </w:rPr>
              <w:t>nje</w:t>
            </w:r>
            <w:r w:rsidRPr="000305F4">
              <w:rPr>
                <w:rFonts w:cs="Arial"/>
                <w:szCs w:val="22"/>
              </w:rPr>
              <w:t xml:space="preserve"> skladnost</w:t>
            </w:r>
            <w:r>
              <w:rPr>
                <w:rFonts w:cs="Arial"/>
                <w:szCs w:val="22"/>
              </w:rPr>
              <w:t>i</w:t>
            </w:r>
            <w:r w:rsidRPr="000305F4">
              <w:rPr>
                <w:rFonts w:cs="Arial"/>
                <w:szCs w:val="22"/>
              </w:rPr>
              <w:t xml:space="preserve"> in dopolnjevanje med sofinanciranjem v okviru posebnih uredb in drugimi ustreznimi instrumenti države članice in Unije;</w:t>
            </w:r>
          </w:p>
        </w:tc>
      </w:tr>
      <w:tr w:rsidR="00584099" w:rsidRPr="00741F9A" w:rsidTr="00584099">
        <w:trPr>
          <w:gridAfter w:val="1"/>
          <w:tblCellSpacing w:w="0" w:type="dxa"/>
        </w:trPr>
        <w:tc>
          <w:tcPr>
            <w:tcW w:w="232" w:type="pct"/>
            <w:gridSpan w:val="2"/>
            <w:hideMark/>
          </w:tcPr>
          <w:p w:rsidR="00584099" w:rsidRPr="00741F9A" w:rsidRDefault="00584099" w:rsidP="00584099">
            <w:pPr>
              <w:numPr>
                <w:ilvl w:val="0"/>
                <w:numId w:val="25"/>
              </w:numPr>
              <w:autoSpaceDE w:val="0"/>
              <w:autoSpaceDN w:val="0"/>
              <w:adjustRightInd w:val="0"/>
              <w:rPr>
                <w:rFonts w:cs="Arial"/>
                <w:szCs w:val="22"/>
              </w:rPr>
            </w:pPr>
          </w:p>
        </w:tc>
        <w:tc>
          <w:tcPr>
            <w:tcW w:w="0" w:type="auto"/>
            <w:gridSpan w:val="2"/>
            <w:hideMark/>
          </w:tcPr>
          <w:p w:rsidR="00584099" w:rsidRPr="00741F9A" w:rsidRDefault="00584099" w:rsidP="00584099">
            <w:pPr>
              <w:autoSpaceDE w:val="0"/>
              <w:autoSpaceDN w:val="0"/>
              <w:adjustRightInd w:val="0"/>
              <w:rPr>
                <w:rFonts w:cs="Arial"/>
                <w:szCs w:val="22"/>
              </w:rPr>
            </w:pPr>
            <w:r w:rsidRPr="00741F9A">
              <w:rPr>
                <w:rFonts w:cs="Arial"/>
                <w:szCs w:val="22"/>
              </w:rPr>
              <w:t>spremlja</w:t>
            </w:r>
            <w:r>
              <w:rPr>
                <w:rFonts w:cs="Arial"/>
                <w:szCs w:val="22"/>
              </w:rPr>
              <w:t>nje</w:t>
            </w:r>
            <w:r w:rsidRPr="00741F9A">
              <w:rPr>
                <w:rFonts w:cs="Arial"/>
                <w:szCs w:val="22"/>
              </w:rPr>
              <w:t xml:space="preserve"> projekt</w:t>
            </w:r>
            <w:r>
              <w:rPr>
                <w:rFonts w:cs="Arial"/>
                <w:szCs w:val="22"/>
              </w:rPr>
              <w:t>ov</w:t>
            </w:r>
            <w:r w:rsidRPr="00741F9A">
              <w:rPr>
                <w:rFonts w:cs="Arial"/>
                <w:szCs w:val="22"/>
              </w:rPr>
              <w:t xml:space="preserve"> in preverja</w:t>
            </w:r>
            <w:r>
              <w:rPr>
                <w:rFonts w:cs="Arial"/>
                <w:szCs w:val="22"/>
              </w:rPr>
              <w:t>nje</w:t>
            </w:r>
            <w:r w:rsidRPr="00741F9A">
              <w:rPr>
                <w:rFonts w:cs="Arial"/>
                <w:szCs w:val="22"/>
              </w:rPr>
              <w:t>, ali so odhodki, prijavljeni za pr</w:t>
            </w:r>
            <w:r w:rsidRPr="00E31311">
              <w:rPr>
                <w:rFonts w:cs="Arial"/>
                <w:szCs w:val="22"/>
              </w:rPr>
              <w:t>ojekte, dejansko nastali in ali</w:t>
            </w:r>
            <w:r>
              <w:rPr>
                <w:rFonts w:cs="Arial"/>
                <w:szCs w:val="22"/>
              </w:rPr>
              <w:t xml:space="preserve"> </w:t>
            </w:r>
            <w:r w:rsidRPr="00741F9A">
              <w:rPr>
                <w:rFonts w:cs="Arial"/>
                <w:szCs w:val="22"/>
              </w:rPr>
              <w:t xml:space="preserve">so v skladu s pravili Unije in nacionalnimi </w:t>
            </w:r>
            <w:proofErr w:type="spellStart"/>
            <w:r w:rsidRPr="00741F9A">
              <w:rPr>
                <w:rFonts w:cs="Arial"/>
                <w:szCs w:val="22"/>
              </w:rPr>
              <w:t>predpisi;</w:t>
            </w:r>
            <w:r w:rsidRPr="000305F4">
              <w:rPr>
                <w:rFonts w:cs="Arial"/>
                <w:szCs w:val="22"/>
              </w:rPr>
              <w:t>brez</w:t>
            </w:r>
            <w:proofErr w:type="spellEnd"/>
            <w:r w:rsidRPr="000305F4">
              <w:rPr>
                <w:rFonts w:cs="Arial"/>
                <w:szCs w:val="22"/>
              </w:rPr>
              <w:t xml:space="preserve"> poseganja v nacionalna računovodska pravila zagotavlja</w:t>
            </w:r>
            <w:r>
              <w:rPr>
                <w:rFonts w:cs="Arial"/>
                <w:szCs w:val="22"/>
              </w:rPr>
              <w:t>nje</w:t>
            </w:r>
            <w:r w:rsidRPr="000305F4">
              <w:rPr>
                <w:rFonts w:cs="Arial"/>
                <w:szCs w:val="22"/>
              </w:rPr>
              <w:t>, da upravičenci in druga telesa, ki so udeležena v izvajanju projektov, financiranih prek nacionalnega programa, vodijo ločeno računovodstvo ali uporabljajo ustrezno računovodsko kodo za vse transakcije, povezane s projektom;</w:t>
            </w:r>
          </w:p>
        </w:tc>
      </w:tr>
      <w:tr w:rsidR="00584099" w:rsidRPr="00741F9A" w:rsidTr="00584099">
        <w:trPr>
          <w:gridAfter w:val="1"/>
          <w:tblCellSpacing w:w="0" w:type="dxa"/>
        </w:trPr>
        <w:tc>
          <w:tcPr>
            <w:tcW w:w="232" w:type="pct"/>
            <w:gridSpan w:val="2"/>
            <w:hideMark/>
          </w:tcPr>
          <w:p w:rsidR="00584099" w:rsidRPr="00741F9A" w:rsidRDefault="00584099" w:rsidP="00584099">
            <w:pPr>
              <w:numPr>
                <w:ilvl w:val="0"/>
                <w:numId w:val="25"/>
              </w:numPr>
              <w:autoSpaceDE w:val="0"/>
              <w:autoSpaceDN w:val="0"/>
              <w:adjustRightInd w:val="0"/>
              <w:rPr>
                <w:rFonts w:cs="Arial"/>
                <w:szCs w:val="22"/>
              </w:rPr>
            </w:pPr>
          </w:p>
        </w:tc>
        <w:tc>
          <w:tcPr>
            <w:tcW w:w="0" w:type="auto"/>
            <w:gridSpan w:val="2"/>
            <w:hideMark/>
          </w:tcPr>
          <w:p w:rsidR="00584099" w:rsidRDefault="00584099" w:rsidP="00584099">
            <w:pPr>
              <w:autoSpaceDE w:val="0"/>
              <w:autoSpaceDN w:val="0"/>
              <w:adjustRightInd w:val="0"/>
              <w:rPr>
                <w:rFonts w:cs="Arial"/>
                <w:szCs w:val="22"/>
              </w:rPr>
            </w:pPr>
            <w:r w:rsidRPr="00741F9A">
              <w:rPr>
                <w:rFonts w:cs="Arial"/>
                <w:szCs w:val="22"/>
              </w:rPr>
              <w:t>zagotavlja</w:t>
            </w:r>
            <w:r>
              <w:rPr>
                <w:rFonts w:cs="Arial"/>
                <w:szCs w:val="22"/>
              </w:rPr>
              <w:t>nje</w:t>
            </w:r>
            <w:r w:rsidRPr="00741F9A">
              <w:rPr>
                <w:rFonts w:cs="Arial"/>
                <w:szCs w:val="22"/>
              </w:rPr>
              <w:t>, da se vrednotenja nacionalnega programa iz člena 56 in člena 57(1) Uredbe (EU) št. 514/2014 izvajajo v ustreznih rokih;</w:t>
            </w:r>
            <w:r w:rsidRPr="000305F4">
              <w:rPr>
                <w:rFonts w:cs="Arial"/>
                <w:szCs w:val="22"/>
              </w:rPr>
              <w:t xml:space="preserve"> zagotavlja</w:t>
            </w:r>
            <w:r>
              <w:rPr>
                <w:rFonts w:cs="Arial"/>
                <w:szCs w:val="22"/>
              </w:rPr>
              <w:t>nje</w:t>
            </w:r>
            <w:r w:rsidRPr="000305F4">
              <w:rPr>
                <w:rFonts w:cs="Arial"/>
                <w:szCs w:val="22"/>
              </w:rPr>
              <w:t>, da neodvisni izvajalci vrednotenja iz člena 56 in člena 57(1) Uredbe (EU) št. 514/2014 za namene vrednotenja in pripravo mnenja prejmejo vse potrebne informacije o upravljanju nacionalnega programa;</w:t>
            </w:r>
            <w:r>
              <w:rPr>
                <w:rFonts w:cs="Arial"/>
                <w:szCs w:val="22"/>
              </w:rPr>
              <w:t xml:space="preserve"> </w:t>
            </w:r>
          </w:p>
          <w:p w:rsidR="00584099" w:rsidRPr="00741F9A" w:rsidRDefault="00584099" w:rsidP="00584099">
            <w:pPr>
              <w:autoSpaceDE w:val="0"/>
              <w:autoSpaceDN w:val="0"/>
              <w:adjustRightInd w:val="0"/>
              <w:rPr>
                <w:rFonts w:cs="Arial"/>
                <w:szCs w:val="22"/>
              </w:rPr>
            </w:pPr>
            <w:r w:rsidRPr="000305F4">
              <w:rPr>
                <w:rFonts w:cs="Arial"/>
                <w:szCs w:val="22"/>
              </w:rPr>
              <w:t>vzpostavlja</w:t>
            </w:r>
            <w:r>
              <w:rPr>
                <w:rFonts w:cs="Arial"/>
                <w:szCs w:val="22"/>
              </w:rPr>
              <w:t xml:space="preserve">nje </w:t>
            </w:r>
            <w:r w:rsidRPr="000305F4">
              <w:rPr>
                <w:rFonts w:cs="Arial"/>
                <w:szCs w:val="22"/>
              </w:rPr>
              <w:t xml:space="preserve"> postopk</w:t>
            </w:r>
            <w:r>
              <w:rPr>
                <w:rFonts w:cs="Arial"/>
                <w:szCs w:val="22"/>
              </w:rPr>
              <w:t>ov</w:t>
            </w:r>
            <w:r w:rsidRPr="000305F4">
              <w:rPr>
                <w:rFonts w:cs="Arial"/>
                <w:szCs w:val="22"/>
              </w:rPr>
              <w:t xml:space="preserve"> za zagotavljanje, da imajo vsi dokumenti v zvezi z odhodki, sklepi in dejavnostmi nadzora potrebno revizijsko sled in da se hranijo v skladu z izvedbenimi uredbami Komisije, sprejetimi na podlagi člena 27(5) Uredbe (EU) št. 514/2014;</w:t>
            </w:r>
          </w:p>
        </w:tc>
      </w:tr>
      <w:tr w:rsidR="00584099" w:rsidRPr="00741F9A" w:rsidTr="00584099">
        <w:trPr>
          <w:gridAfter w:val="1"/>
          <w:tblCellSpacing w:w="0" w:type="dxa"/>
        </w:trPr>
        <w:tc>
          <w:tcPr>
            <w:tcW w:w="1141" w:type="pct"/>
            <w:gridSpan w:val="3"/>
            <w:hideMark/>
          </w:tcPr>
          <w:p w:rsidR="00584099" w:rsidRPr="00741F9A" w:rsidRDefault="00584099" w:rsidP="00584099">
            <w:pPr>
              <w:autoSpaceDE w:val="0"/>
              <w:autoSpaceDN w:val="0"/>
              <w:adjustRightInd w:val="0"/>
              <w:rPr>
                <w:rFonts w:cs="Arial"/>
                <w:szCs w:val="22"/>
              </w:rPr>
            </w:pPr>
          </w:p>
        </w:tc>
        <w:tc>
          <w:tcPr>
            <w:tcW w:w="0" w:type="auto"/>
            <w:hideMark/>
          </w:tcPr>
          <w:p w:rsidR="00584099" w:rsidRPr="00741F9A" w:rsidRDefault="00584099" w:rsidP="00584099">
            <w:pPr>
              <w:autoSpaceDE w:val="0"/>
              <w:autoSpaceDN w:val="0"/>
              <w:adjustRightInd w:val="0"/>
              <w:rPr>
                <w:rFonts w:cs="Arial"/>
                <w:szCs w:val="22"/>
              </w:rPr>
            </w:pPr>
          </w:p>
        </w:tc>
      </w:tr>
      <w:tr w:rsidR="00584099" w:rsidRPr="00741F9A" w:rsidTr="00584099">
        <w:trPr>
          <w:gridAfter w:val="1"/>
          <w:tblCellSpacing w:w="0" w:type="dxa"/>
        </w:trPr>
        <w:tc>
          <w:tcPr>
            <w:tcW w:w="0" w:type="auto"/>
            <w:hideMark/>
          </w:tcPr>
          <w:p w:rsidR="00584099" w:rsidRPr="00741F9A" w:rsidRDefault="00584099" w:rsidP="00584099">
            <w:pPr>
              <w:numPr>
                <w:ilvl w:val="0"/>
                <w:numId w:val="25"/>
              </w:numPr>
              <w:autoSpaceDE w:val="0"/>
              <w:autoSpaceDN w:val="0"/>
              <w:adjustRightInd w:val="0"/>
              <w:rPr>
                <w:rFonts w:cs="Arial"/>
                <w:szCs w:val="22"/>
              </w:rPr>
            </w:pPr>
          </w:p>
        </w:tc>
        <w:tc>
          <w:tcPr>
            <w:tcW w:w="4764" w:type="pct"/>
            <w:gridSpan w:val="3"/>
            <w:hideMark/>
          </w:tcPr>
          <w:p w:rsidR="00584099" w:rsidRPr="00E31311" w:rsidRDefault="00584099" w:rsidP="00584099">
            <w:pPr>
              <w:numPr>
                <w:ilvl w:val="0"/>
                <w:numId w:val="25"/>
              </w:numPr>
              <w:rPr>
                <w:rFonts w:cs="Arial"/>
                <w:szCs w:val="22"/>
              </w:rPr>
            </w:pPr>
            <w:r w:rsidRPr="00741F9A">
              <w:rPr>
                <w:rFonts w:cs="Arial"/>
                <w:szCs w:val="22"/>
              </w:rPr>
              <w:t>priprav</w:t>
            </w:r>
            <w:r>
              <w:rPr>
                <w:rFonts w:cs="Arial"/>
                <w:szCs w:val="22"/>
              </w:rPr>
              <w:t>ljanje</w:t>
            </w:r>
            <w:r w:rsidRPr="00741F9A">
              <w:rPr>
                <w:rFonts w:cs="Arial"/>
                <w:szCs w:val="22"/>
              </w:rPr>
              <w:t xml:space="preserve"> računovodskih izkazov o odhodkih, ki so nastali v zadevnem referenčnem obdobju</w:t>
            </w:r>
            <w:r w:rsidRPr="00741F9A">
              <w:rPr>
                <w:rStyle w:val="Sprotnaopomba-sklic"/>
                <w:rFonts w:cs="Arial"/>
                <w:szCs w:val="22"/>
              </w:rPr>
              <w:footnoteReference w:id="1"/>
            </w:r>
            <w:r w:rsidR="00CF1D7A">
              <w:rPr>
                <w:rFonts w:cs="Arial"/>
                <w:szCs w:val="22"/>
              </w:rPr>
              <w:t xml:space="preserve"> (letni računi)</w:t>
            </w:r>
            <w:r w:rsidRPr="00741F9A">
              <w:rPr>
                <w:rFonts w:cs="Arial"/>
                <w:szCs w:val="22"/>
              </w:rPr>
              <w:t>, s priloženo izjavo o upravljanju, ki potrjuje, da po mnenju oseb, ki jim je poverjeno upravljanje skladov</w:t>
            </w:r>
            <w:r>
              <w:rPr>
                <w:rFonts w:cs="Arial"/>
                <w:szCs w:val="22"/>
              </w:rPr>
              <w:t>:</w:t>
            </w:r>
            <w:r w:rsidRPr="00741F9A">
              <w:rPr>
                <w:rFonts w:cs="Arial"/>
                <w:szCs w:val="22"/>
              </w:rPr>
              <w:t xml:space="preserve"> </w:t>
            </w:r>
          </w:p>
          <w:p w:rsidR="00584099" w:rsidRPr="00E31311" w:rsidRDefault="00584099" w:rsidP="00584099">
            <w:pPr>
              <w:numPr>
                <w:ilvl w:val="1"/>
                <w:numId w:val="25"/>
              </w:numPr>
              <w:rPr>
                <w:rFonts w:cs="Arial"/>
                <w:szCs w:val="22"/>
              </w:rPr>
            </w:pPr>
            <w:r w:rsidRPr="00741F9A">
              <w:rPr>
                <w:rFonts w:cs="Arial"/>
                <w:szCs w:val="22"/>
              </w:rPr>
              <w:t xml:space="preserve">so te informacije ustrezno prikazane, celovite in točne, </w:t>
            </w:r>
          </w:p>
          <w:p w:rsidR="00584099" w:rsidRPr="00E31311" w:rsidRDefault="00584099" w:rsidP="00584099">
            <w:pPr>
              <w:numPr>
                <w:ilvl w:val="1"/>
                <w:numId w:val="25"/>
              </w:numPr>
              <w:rPr>
                <w:rFonts w:cs="Arial"/>
                <w:szCs w:val="22"/>
              </w:rPr>
            </w:pPr>
            <w:r w:rsidRPr="00741F9A">
              <w:rPr>
                <w:rFonts w:cs="Arial"/>
                <w:szCs w:val="22"/>
              </w:rPr>
              <w:t xml:space="preserve">so bili izdatki uporabljeni za predvideni namen, opredeljen v pravilih za posamezni sektor ter </w:t>
            </w:r>
          </w:p>
          <w:p w:rsidR="00584099" w:rsidRPr="00E31311" w:rsidRDefault="00584099" w:rsidP="00584099">
            <w:pPr>
              <w:numPr>
                <w:ilvl w:val="1"/>
                <w:numId w:val="25"/>
              </w:numPr>
              <w:rPr>
                <w:rFonts w:cs="Arial"/>
                <w:szCs w:val="22"/>
              </w:rPr>
            </w:pPr>
            <w:r w:rsidRPr="00741F9A">
              <w:rPr>
                <w:rFonts w:cs="Arial"/>
                <w:szCs w:val="22"/>
              </w:rPr>
              <w:t xml:space="preserve">so vzpostavljeni kontrolni sistemi zagotavljajo potrebna jamstva glede zakonitosti in pravilnosti z izkazi povezanih transakcij; </w:t>
            </w:r>
          </w:p>
          <w:p w:rsidR="00584099" w:rsidRPr="00E31311" w:rsidRDefault="00584099" w:rsidP="00584099">
            <w:pPr>
              <w:numPr>
                <w:ilvl w:val="0"/>
                <w:numId w:val="25"/>
              </w:numPr>
              <w:autoSpaceDE w:val="0"/>
              <w:autoSpaceDN w:val="0"/>
              <w:adjustRightInd w:val="0"/>
              <w:rPr>
                <w:rFonts w:cs="Arial"/>
                <w:szCs w:val="22"/>
              </w:rPr>
            </w:pPr>
            <w:r w:rsidRPr="00741F9A">
              <w:rPr>
                <w:rFonts w:cs="Arial"/>
                <w:szCs w:val="22"/>
              </w:rPr>
              <w:t>priprav</w:t>
            </w:r>
            <w:r>
              <w:rPr>
                <w:rFonts w:cs="Arial"/>
                <w:szCs w:val="22"/>
              </w:rPr>
              <w:t>ljanje</w:t>
            </w:r>
            <w:r w:rsidRPr="00741F9A">
              <w:rPr>
                <w:rFonts w:cs="Arial"/>
                <w:szCs w:val="22"/>
              </w:rPr>
              <w:t xml:space="preserve"> letnih povzetkov končnih revizijskih poročil in izvedenih kontrol, vključno z analizo narave in razsežnosti napak ter pomanjkljivosti, ugotovljenih v sistemih, in sprejetimi ali načrtovanimi korektivnimi ukrepi;</w:t>
            </w:r>
          </w:p>
          <w:p w:rsidR="00584099" w:rsidRDefault="00584099" w:rsidP="00584099">
            <w:pPr>
              <w:numPr>
                <w:ilvl w:val="0"/>
                <w:numId w:val="25"/>
              </w:numPr>
              <w:autoSpaceDE w:val="0"/>
              <w:autoSpaceDN w:val="0"/>
              <w:adjustRightInd w:val="0"/>
              <w:rPr>
                <w:rFonts w:cs="Arial"/>
                <w:szCs w:val="22"/>
              </w:rPr>
            </w:pPr>
            <w:r w:rsidRPr="000305F4">
              <w:rPr>
                <w:rFonts w:cs="Arial"/>
                <w:szCs w:val="22"/>
              </w:rPr>
              <w:t>pripravlja</w:t>
            </w:r>
            <w:r>
              <w:rPr>
                <w:rFonts w:cs="Arial"/>
                <w:szCs w:val="22"/>
              </w:rPr>
              <w:t>nje</w:t>
            </w:r>
            <w:r w:rsidRPr="000305F4">
              <w:rPr>
                <w:rFonts w:cs="Arial"/>
                <w:szCs w:val="22"/>
              </w:rPr>
              <w:t xml:space="preserve"> zahtevk</w:t>
            </w:r>
            <w:r>
              <w:rPr>
                <w:rFonts w:cs="Arial"/>
                <w:szCs w:val="22"/>
              </w:rPr>
              <w:t>ov</w:t>
            </w:r>
            <w:r w:rsidRPr="000305F4">
              <w:rPr>
                <w:rFonts w:cs="Arial"/>
                <w:szCs w:val="22"/>
              </w:rPr>
              <w:t xml:space="preserve"> za plačilo iz člena 44 Uredbe (EU) št. 514/2014 in jih prek sistema SFC2014 posreduje Komisiji;</w:t>
            </w:r>
          </w:p>
          <w:p w:rsidR="00584099" w:rsidRDefault="00584099" w:rsidP="00584099">
            <w:pPr>
              <w:numPr>
                <w:ilvl w:val="0"/>
                <w:numId w:val="25"/>
              </w:numPr>
              <w:autoSpaceDE w:val="0"/>
              <w:autoSpaceDN w:val="0"/>
              <w:adjustRightInd w:val="0"/>
              <w:rPr>
                <w:rFonts w:cs="Arial"/>
                <w:szCs w:val="22"/>
              </w:rPr>
            </w:pPr>
            <w:r w:rsidRPr="000305F4">
              <w:rPr>
                <w:rFonts w:cs="Arial"/>
                <w:szCs w:val="22"/>
              </w:rPr>
              <w:t>izvaja</w:t>
            </w:r>
            <w:r>
              <w:rPr>
                <w:rFonts w:cs="Arial"/>
                <w:szCs w:val="22"/>
              </w:rPr>
              <w:t>nje</w:t>
            </w:r>
            <w:r w:rsidRPr="000305F4">
              <w:rPr>
                <w:rFonts w:cs="Arial"/>
                <w:szCs w:val="22"/>
              </w:rPr>
              <w:t xml:space="preserve"> dejavnosti obveščanja in oglaševanja ter razširja</w:t>
            </w:r>
            <w:r>
              <w:rPr>
                <w:rFonts w:cs="Arial"/>
                <w:szCs w:val="22"/>
              </w:rPr>
              <w:t>nje</w:t>
            </w:r>
            <w:r w:rsidRPr="000305F4">
              <w:rPr>
                <w:rFonts w:cs="Arial"/>
                <w:szCs w:val="22"/>
              </w:rPr>
              <w:t xml:space="preserve"> rezultat</w:t>
            </w:r>
            <w:r>
              <w:rPr>
                <w:rFonts w:cs="Arial"/>
                <w:szCs w:val="22"/>
              </w:rPr>
              <w:t>ov</w:t>
            </w:r>
            <w:r w:rsidRPr="000305F4">
              <w:rPr>
                <w:rFonts w:cs="Arial"/>
                <w:szCs w:val="22"/>
              </w:rPr>
              <w:t xml:space="preserve"> programa v skladu s členom 53 Uredbe (EU) št. 514/2014; </w:t>
            </w:r>
          </w:p>
          <w:p w:rsidR="00584099" w:rsidRDefault="00584099" w:rsidP="00584099">
            <w:pPr>
              <w:numPr>
                <w:ilvl w:val="0"/>
                <w:numId w:val="25"/>
              </w:numPr>
              <w:autoSpaceDE w:val="0"/>
              <w:autoSpaceDN w:val="0"/>
              <w:adjustRightInd w:val="0"/>
              <w:rPr>
                <w:rFonts w:cs="Arial"/>
                <w:szCs w:val="22"/>
              </w:rPr>
            </w:pPr>
            <w:r w:rsidRPr="000305F4">
              <w:rPr>
                <w:rFonts w:cs="Arial"/>
                <w:szCs w:val="22"/>
              </w:rPr>
              <w:t>izvaja</w:t>
            </w:r>
            <w:r>
              <w:rPr>
                <w:rFonts w:cs="Arial"/>
                <w:szCs w:val="22"/>
              </w:rPr>
              <w:t>nje</w:t>
            </w:r>
            <w:r w:rsidRPr="000305F4">
              <w:rPr>
                <w:rFonts w:cs="Arial"/>
                <w:szCs w:val="22"/>
              </w:rPr>
              <w:t xml:space="preserve"> upravn</w:t>
            </w:r>
            <w:r>
              <w:rPr>
                <w:rFonts w:cs="Arial"/>
                <w:szCs w:val="22"/>
              </w:rPr>
              <w:t>ega</w:t>
            </w:r>
            <w:r w:rsidRPr="000305F4">
              <w:rPr>
                <w:rFonts w:cs="Arial"/>
                <w:szCs w:val="22"/>
              </w:rPr>
              <w:t xml:space="preserve"> nadzor</w:t>
            </w:r>
            <w:r>
              <w:rPr>
                <w:rFonts w:cs="Arial"/>
                <w:szCs w:val="22"/>
              </w:rPr>
              <w:t>a</w:t>
            </w:r>
            <w:r w:rsidRPr="000305F4">
              <w:rPr>
                <w:rFonts w:cs="Arial"/>
                <w:szCs w:val="22"/>
              </w:rPr>
              <w:t xml:space="preserve"> in </w:t>
            </w:r>
            <w:r w:rsidR="000272B2">
              <w:rPr>
                <w:rFonts w:cs="Arial"/>
                <w:szCs w:val="22"/>
              </w:rPr>
              <w:t xml:space="preserve">kontrol </w:t>
            </w:r>
            <w:r w:rsidRPr="000305F4">
              <w:rPr>
                <w:rFonts w:cs="Arial"/>
                <w:szCs w:val="22"/>
              </w:rPr>
              <w:t>na kraju samem v skladu s členom 27 Uredbe (EU) št. 514/2014;</w:t>
            </w:r>
          </w:p>
          <w:p w:rsidR="00584099" w:rsidRDefault="00584099" w:rsidP="00584099">
            <w:pPr>
              <w:numPr>
                <w:ilvl w:val="0"/>
                <w:numId w:val="25"/>
              </w:numPr>
              <w:autoSpaceDE w:val="0"/>
              <w:autoSpaceDN w:val="0"/>
              <w:adjustRightInd w:val="0"/>
              <w:rPr>
                <w:rFonts w:cs="Arial"/>
                <w:szCs w:val="22"/>
              </w:rPr>
            </w:pPr>
            <w:r w:rsidRPr="000305F4">
              <w:rPr>
                <w:rFonts w:cs="Arial"/>
                <w:szCs w:val="22"/>
              </w:rPr>
              <w:t>zagotavlja</w:t>
            </w:r>
            <w:r>
              <w:rPr>
                <w:rFonts w:cs="Arial"/>
                <w:szCs w:val="22"/>
              </w:rPr>
              <w:t>nje</w:t>
            </w:r>
            <w:r w:rsidRPr="000305F4">
              <w:rPr>
                <w:rFonts w:cs="Arial"/>
                <w:szCs w:val="22"/>
              </w:rPr>
              <w:t>, da neodvisni izvajalci vrednotenja iz člena 56 in člena 57(1) Uredbe (EU) št. 514/2014 za namene vrednotenja in pripravo mnenja prejmejo vse potrebne informacije o upravljanju nacionalnega programa;</w:t>
            </w:r>
          </w:p>
          <w:p w:rsidR="00584099" w:rsidRPr="00D05EC0" w:rsidRDefault="00584099" w:rsidP="00584099">
            <w:pPr>
              <w:numPr>
                <w:ilvl w:val="0"/>
                <w:numId w:val="25"/>
              </w:numPr>
              <w:autoSpaceDE w:val="0"/>
              <w:autoSpaceDN w:val="0"/>
              <w:adjustRightInd w:val="0"/>
              <w:rPr>
                <w:rFonts w:cs="Arial"/>
                <w:szCs w:val="22"/>
              </w:rPr>
            </w:pPr>
            <w:r w:rsidRPr="001C14C6">
              <w:rPr>
                <w:rFonts w:cs="Arial"/>
                <w:szCs w:val="22"/>
              </w:rPr>
              <w:t>vzpostavlja</w:t>
            </w:r>
            <w:r>
              <w:rPr>
                <w:rFonts w:cs="Arial"/>
                <w:szCs w:val="22"/>
              </w:rPr>
              <w:t>nje</w:t>
            </w:r>
            <w:r w:rsidRPr="001C14C6">
              <w:rPr>
                <w:rFonts w:cs="Arial"/>
                <w:szCs w:val="22"/>
              </w:rPr>
              <w:t xml:space="preserve"> postopk</w:t>
            </w:r>
            <w:r>
              <w:rPr>
                <w:rFonts w:cs="Arial"/>
                <w:szCs w:val="22"/>
              </w:rPr>
              <w:t>ov</w:t>
            </w:r>
            <w:r w:rsidRPr="001C14C6">
              <w:rPr>
                <w:rFonts w:cs="Arial"/>
                <w:szCs w:val="22"/>
              </w:rPr>
              <w:t xml:space="preserve"> za zagotavljanje, da imajo vsi dokumenti v zvezi z odh</w:t>
            </w:r>
            <w:r w:rsidRPr="00E60D14">
              <w:rPr>
                <w:rFonts w:cs="Arial"/>
                <w:szCs w:val="22"/>
              </w:rPr>
              <w:t>odki, sklepi in dejavnostmi nadzora potrebno revizijsko sled in da se hranijo v skladu z izvedbenimi uredbami Komisije, sprejetimi na podlagi člena 27(5) Uredbe (EU) št. 514/2014;</w:t>
            </w:r>
          </w:p>
          <w:p w:rsidR="00584099" w:rsidRDefault="00584099" w:rsidP="00584099">
            <w:pPr>
              <w:numPr>
                <w:ilvl w:val="0"/>
                <w:numId w:val="25"/>
              </w:numPr>
              <w:autoSpaceDE w:val="0"/>
              <w:autoSpaceDN w:val="0"/>
              <w:adjustRightInd w:val="0"/>
              <w:rPr>
                <w:rFonts w:cs="Arial"/>
                <w:szCs w:val="22"/>
              </w:rPr>
            </w:pPr>
            <w:r w:rsidRPr="000305F4">
              <w:rPr>
                <w:rFonts w:cs="Arial"/>
                <w:szCs w:val="22"/>
              </w:rPr>
              <w:t>sodel</w:t>
            </w:r>
            <w:r>
              <w:rPr>
                <w:rFonts w:cs="Arial"/>
                <w:szCs w:val="22"/>
              </w:rPr>
              <w:t>ovanje</w:t>
            </w:r>
            <w:r w:rsidRPr="000305F4">
              <w:rPr>
                <w:rFonts w:cs="Arial"/>
                <w:szCs w:val="22"/>
              </w:rPr>
              <w:t xml:space="preserve"> s Komisijo in odgovornimi organi v drugih državah članicah ter</w:t>
            </w:r>
          </w:p>
          <w:p w:rsidR="00584099" w:rsidRPr="00741F9A" w:rsidRDefault="00584099" w:rsidP="00584099">
            <w:pPr>
              <w:numPr>
                <w:ilvl w:val="0"/>
                <w:numId w:val="25"/>
              </w:numPr>
              <w:autoSpaceDE w:val="0"/>
              <w:autoSpaceDN w:val="0"/>
              <w:adjustRightInd w:val="0"/>
              <w:rPr>
                <w:rFonts w:cs="Arial"/>
                <w:szCs w:val="22"/>
              </w:rPr>
            </w:pPr>
            <w:r w:rsidRPr="000305F4">
              <w:rPr>
                <w:rFonts w:cs="Arial"/>
                <w:szCs w:val="22"/>
              </w:rPr>
              <w:t>odziva</w:t>
            </w:r>
            <w:r>
              <w:rPr>
                <w:rFonts w:cs="Arial"/>
                <w:szCs w:val="22"/>
              </w:rPr>
              <w:t>nje</w:t>
            </w:r>
            <w:r w:rsidRPr="000305F4">
              <w:rPr>
                <w:rFonts w:cs="Arial"/>
                <w:szCs w:val="22"/>
              </w:rPr>
              <w:t xml:space="preserve"> na ugotovitve revizijskega organa bodisi z obravnavo ugotovitev bodisi, kadar z njimi ne soglaša, s podrobno utemeljitvijo.</w:t>
            </w:r>
          </w:p>
        </w:tc>
      </w:tr>
    </w:tbl>
    <w:p w:rsidR="00584099" w:rsidRDefault="00584099" w:rsidP="00584099">
      <w:pPr>
        <w:tabs>
          <w:tab w:val="left" w:pos="1806"/>
        </w:tabs>
        <w:rPr>
          <w:rFonts w:cs="Arial"/>
          <w:szCs w:val="22"/>
        </w:rPr>
      </w:pPr>
    </w:p>
    <w:p w:rsidR="00584099" w:rsidRPr="00741F9A" w:rsidRDefault="00584099" w:rsidP="00584099">
      <w:pPr>
        <w:autoSpaceDE w:val="0"/>
        <w:autoSpaceDN w:val="0"/>
        <w:adjustRightInd w:val="0"/>
        <w:rPr>
          <w:rFonts w:cs="Arial"/>
          <w:szCs w:val="22"/>
        </w:rPr>
      </w:pPr>
      <w:r>
        <w:rPr>
          <w:rFonts w:cs="Arial"/>
          <w:szCs w:val="22"/>
        </w:rPr>
        <w:t xml:space="preserve">V skladu s členom 25 c členom </w:t>
      </w:r>
      <w:r w:rsidRPr="000305F4">
        <w:rPr>
          <w:rFonts w:cs="Arial"/>
          <w:szCs w:val="22"/>
        </w:rPr>
        <w:t>Uredbe (EU) št. 514/2014</w:t>
      </w:r>
      <w:r>
        <w:rPr>
          <w:rFonts w:cs="Arial"/>
          <w:szCs w:val="22"/>
        </w:rPr>
        <w:t xml:space="preserve"> lahko OO </w:t>
      </w:r>
      <w:r w:rsidRPr="0081343F">
        <w:rPr>
          <w:rFonts w:cs="Arial"/>
          <w:szCs w:val="22"/>
        </w:rPr>
        <w:t>pren</w:t>
      </w:r>
      <w:r>
        <w:rPr>
          <w:rFonts w:cs="Arial"/>
          <w:szCs w:val="22"/>
        </w:rPr>
        <w:t>ese</w:t>
      </w:r>
      <w:r w:rsidRPr="0081343F">
        <w:rPr>
          <w:rFonts w:cs="Arial"/>
          <w:szCs w:val="22"/>
        </w:rPr>
        <w:t xml:space="preserve"> nekater</w:t>
      </w:r>
      <w:r>
        <w:rPr>
          <w:rFonts w:cs="Arial"/>
          <w:szCs w:val="22"/>
        </w:rPr>
        <w:t>e svoje</w:t>
      </w:r>
      <w:r w:rsidRPr="0081343F">
        <w:rPr>
          <w:rFonts w:cs="Arial"/>
          <w:szCs w:val="22"/>
        </w:rPr>
        <w:t xml:space="preserve"> nalog</w:t>
      </w:r>
      <w:r>
        <w:rPr>
          <w:rFonts w:cs="Arial"/>
          <w:szCs w:val="22"/>
        </w:rPr>
        <w:t>e</w:t>
      </w:r>
      <w:r w:rsidRPr="0081343F">
        <w:rPr>
          <w:rFonts w:cs="Arial"/>
          <w:szCs w:val="22"/>
        </w:rPr>
        <w:t xml:space="preserve"> na </w:t>
      </w:r>
      <w:r>
        <w:rPr>
          <w:rFonts w:cs="Arial"/>
          <w:szCs w:val="22"/>
        </w:rPr>
        <w:t xml:space="preserve">pooblaščen organ </w:t>
      </w:r>
      <w:r w:rsidRPr="0081343F">
        <w:rPr>
          <w:rFonts w:cs="Arial"/>
          <w:szCs w:val="22"/>
        </w:rPr>
        <w:t xml:space="preserve">(v nadaljevanju: </w:t>
      </w:r>
      <w:r w:rsidRPr="00AF3BB8">
        <w:rPr>
          <w:rFonts w:cs="Arial"/>
          <w:b/>
          <w:szCs w:val="22"/>
        </w:rPr>
        <w:t>PO</w:t>
      </w:r>
      <w:r w:rsidRPr="0081343F">
        <w:rPr>
          <w:rFonts w:cs="Arial"/>
          <w:szCs w:val="22"/>
        </w:rPr>
        <w:t>)</w:t>
      </w:r>
      <w:r>
        <w:rPr>
          <w:rFonts w:cs="Arial"/>
          <w:szCs w:val="22"/>
        </w:rPr>
        <w:t xml:space="preserve">, ki pa jih kljub temu izvaja </w:t>
      </w:r>
      <w:r w:rsidRPr="00741F9A">
        <w:rPr>
          <w:rFonts w:cs="Arial"/>
          <w:szCs w:val="22"/>
        </w:rPr>
        <w:t>pod pristojnostjo OO.</w:t>
      </w:r>
    </w:p>
    <w:p w:rsidR="00584099" w:rsidRDefault="00584099" w:rsidP="00584099">
      <w:pPr>
        <w:autoSpaceDE w:val="0"/>
        <w:autoSpaceDN w:val="0"/>
        <w:adjustRightInd w:val="0"/>
        <w:rPr>
          <w:rFonts w:cs="Arial"/>
          <w:szCs w:val="22"/>
        </w:rPr>
      </w:pPr>
    </w:p>
    <w:p w:rsidR="00584099" w:rsidRPr="00741F9A" w:rsidRDefault="00584099" w:rsidP="00584099">
      <w:pPr>
        <w:autoSpaceDE w:val="0"/>
        <w:autoSpaceDN w:val="0"/>
        <w:adjustRightInd w:val="0"/>
        <w:rPr>
          <w:rFonts w:cs="Arial"/>
          <w:szCs w:val="22"/>
        </w:rPr>
      </w:pPr>
      <w:r w:rsidRPr="00F63A08">
        <w:rPr>
          <w:rFonts w:cs="Arial"/>
          <w:szCs w:val="22"/>
        </w:rPr>
        <w:t xml:space="preserve">V skladu </w:t>
      </w:r>
      <w:r w:rsidRPr="00741F9A">
        <w:rPr>
          <w:rFonts w:cs="Arial"/>
          <w:szCs w:val="22"/>
        </w:rPr>
        <w:t xml:space="preserve">z OSUN je OO prenesel nekatere svoje naloge na dva PO in sicer na: </w:t>
      </w:r>
    </w:p>
    <w:p w:rsidR="00584099" w:rsidRPr="00741F9A" w:rsidRDefault="00584099" w:rsidP="00584099">
      <w:pPr>
        <w:pStyle w:val="body0"/>
        <w:numPr>
          <w:ilvl w:val="0"/>
          <w:numId w:val="26"/>
        </w:numPr>
        <w:tabs>
          <w:tab w:val="clear" w:pos="567"/>
          <w:tab w:val="left" w:pos="284"/>
        </w:tabs>
        <w:spacing w:after="0"/>
        <w:ind w:left="284" w:hanging="284"/>
        <w:rPr>
          <w:rFonts w:ascii="Arial" w:hAnsi="Arial" w:cs="Arial"/>
          <w:lang w:val="sl-SI"/>
        </w:rPr>
      </w:pPr>
      <w:r w:rsidRPr="00741F9A">
        <w:rPr>
          <w:rFonts w:ascii="Arial" w:hAnsi="Arial" w:cs="Arial"/>
          <w:lang w:val="sl-SI"/>
        </w:rPr>
        <w:t>Ministrstvo za finance</w:t>
      </w:r>
      <w:r>
        <w:rPr>
          <w:rFonts w:ascii="Arial" w:hAnsi="Arial" w:cs="Arial"/>
          <w:lang w:val="sl-SI"/>
        </w:rPr>
        <w:t xml:space="preserve"> (v nadaljevanju: MF)</w:t>
      </w:r>
      <w:r w:rsidRPr="00741F9A">
        <w:rPr>
          <w:rFonts w:ascii="Arial" w:hAnsi="Arial" w:cs="Arial"/>
          <w:lang w:val="sl-SI"/>
        </w:rPr>
        <w:t xml:space="preserve">, Sektor za upravljanje s sredstvi EU/PO (v nadaljevanju: </w:t>
      </w:r>
      <w:r>
        <w:rPr>
          <w:rFonts w:ascii="Arial" w:hAnsi="Arial" w:cs="Arial"/>
          <w:lang w:val="sl-SI"/>
        </w:rPr>
        <w:t xml:space="preserve">PO </w:t>
      </w:r>
      <w:r w:rsidRPr="00741F9A">
        <w:rPr>
          <w:rFonts w:ascii="Arial" w:hAnsi="Arial" w:cs="Arial"/>
          <w:lang w:val="sl-SI"/>
        </w:rPr>
        <w:t>DAF</w:t>
      </w:r>
      <w:r w:rsidRPr="00F63A08">
        <w:rPr>
          <w:rFonts w:ascii="Arial" w:hAnsi="Arial" w:cs="Arial"/>
          <w:lang w:val="sl-SI"/>
        </w:rPr>
        <w:t>)</w:t>
      </w:r>
      <w:r w:rsidRPr="00741F9A">
        <w:rPr>
          <w:rFonts w:ascii="Arial" w:hAnsi="Arial" w:cs="Arial"/>
          <w:lang w:val="sl-SI"/>
        </w:rPr>
        <w:t xml:space="preserve">, za izvajanje finančnih transakcij med EU in nacionalnim proračunom ter na </w:t>
      </w:r>
    </w:p>
    <w:p w:rsidR="00584099" w:rsidRPr="00F63A08" w:rsidRDefault="00584099" w:rsidP="00584099">
      <w:pPr>
        <w:pStyle w:val="body0"/>
        <w:numPr>
          <w:ilvl w:val="0"/>
          <w:numId w:val="26"/>
        </w:numPr>
        <w:tabs>
          <w:tab w:val="clear" w:pos="567"/>
          <w:tab w:val="left" w:pos="284"/>
        </w:tabs>
        <w:spacing w:after="0"/>
        <w:ind w:left="284" w:hanging="284"/>
        <w:rPr>
          <w:rFonts w:ascii="Arial" w:hAnsi="Arial" w:cs="Arial"/>
          <w:lang w:val="sl-SI"/>
        </w:rPr>
      </w:pPr>
      <w:r w:rsidRPr="00741F9A">
        <w:rPr>
          <w:rFonts w:ascii="Arial" w:hAnsi="Arial" w:cs="Arial"/>
          <w:lang w:val="sl-SI"/>
        </w:rPr>
        <w:lastRenderedPageBreak/>
        <w:t xml:space="preserve">Projektno skupino za projekte, financirane iz skladov EU na področju notranjih zadev (v nadaljevanju: </w:t>
      </w:r>
      <w:r>
        <w:rPr>
          <w:rFonts w:ascii="Arial" w:hAnsi="Arial" w:cs="Arial"/>
          <w:lang w:val="sl-SI"/>
        </w:rPr>
        <w:t xml:space="preserve">PO </w:t>
      </w:r>
      <w:r w:rsidRPr="00741F9A">
        <w:rPr>
          <w:rFonts w:ascii="Arial" w:hAnsi="Arial" w:cs="Arial"/>
          <w:lang w:val="sl-SI"/>
        </w:rPr>
        <w:t>DAC</w:t>
      </w:r>
      <w:r w:rsidRPr="00F63A08">
        <w:rPr>
          <w:rFonts w:ascii="Arial" w:hAnsi="Arial" w:cs="Arial"/>
          <w:lang w:val="sl-SI"/>
        </w:rPr>
        <w:t>)</w:t>
      </w:r>
      <w:r w:rsidRPr="00741F9A">
        <w:rPr>
          <w:rFonts w:ascii="Arial" w:hAnsi="Arial" w:cs="Arial"/>
          <w:lang w:val="sl-SI"/>
        </w:rPr>
        <w:t xml:space="preserve">, ki jo sestavlja cca. 20 zaposlenih iz različnih organov MNZ, </w:t>
      </w:r>
      <w:r w:rsidRPr="00F63A08">
        <w:rPr>
          <w:rFonts w:ascii="Arial" w:hAnsi="Arial" w:cs="Arial"/>
          <w:lang w:val="sl-SI"/>
        </w:rPr>
        <w:t>za</w:t>
      </w:r>
      <w:r w:rsidRPr="00741F9A">
        <w:rPr>
          <w:rFonts w:ascii="Arial" w:hAnsi="Arial" w:cs="Arial"/>
          <w:lang w:val="sl-SI"/>
        </w:rPr>
        <w:t xml:space="preserve"> pripravo in izvedbo javnih razpisov za dodelitev sredstev </w:t>
      </w:r>
      <w:r w:rsidRPr="00F63A08">
        <w:rPr>
          <w:rFonts w:ascii="Arial" w:hAnsi="Arial" w:cs="Arial"/>
          <w:lang w:val="sl-SI"/>
        </w:rPr>
        <w:t xml:space="preserve">ter za upravljanje in nadzor teh projektov. </w:t>
      </w:r>
    </w:p>
    <w:p w:rsidR="00584099" w:rsidRPr="0081343F" w:rsidRDefault="00584099" w:rsidP="00584099"/>
    <w:p w:rsidR="00584099" w:rsidRPr="0081343F" w:rsidRDefault="00584099" w:rsidP="00584099">
      <w:pPr>
        <w:tabs>
          <w:tab w:val="left" w:pos="1806"/>
        </w:tabs>
        <w:rPr>
          <w:rFonts w:cs="Arial"/>
          <w:szCs w:val="22"/>
        </w:rPr>
      </w:pPr>
      <w:r w:rsidRPr="0081343F">
        <w:rPr>
          <w:rFonts w:cs="Arial"/>
          <w:szCs w:val="22"/>
        </w:rPr>
        <w:t xml:space="preserve">Glavne naloge </w:t>
      </w:r>
      <w:r>
        <w:rPr>
          <w:rFonts w:cs="Arial"/>
          <w:szCs w:val="22"/>
        </w:rPr>
        <w:t xml:space="preserve">PO DAF </w:t>
      </w:r>
      <w:r w:rsidRPr="0081343F">
        <w:rPr>
          <w:rFonts w:cs="Arial"/>
          <w:szCs w:val="22"/>
        </w:rPr>
        <w:t>so:</w:t>
      </w:r>
    </w:p>
    <w:p w:rsidR="00584099" w:rsidRDefault="00584099" w:rsidP="00584099">
      <w:pPr>
        <w:numPr>
          <w:ilvl w:val="0"/>
          <w:numId w:val="10"/>
        </w:numPr>
        <w:tabs>
          <w:tab w:val="left" w:pos="1806"/>
        </w:tabs>
        <w:rPr>
          <w:rFonts w:cs="Arial"/>
          <w:szCs w:val="22"/>
        </w:rPr>
      </w:pPr>
      <w:r>
        <w:rPr>
          <w:rFonts w:cs="Arial"/>
          <w:szCs w:val="22"/>
        </w:rPr>
        <w:t>vodenje računov in izvajanje finančnih transakcij iz računov skladov AMIF in ISF na proračun RS in Skupnosti na podlagi predloženih zahtevkov za prenos sredstev in zahtevkov za vračilo;</w:t>
      </w:r>
    </w:p>
    <w:p w:rsidR="00584099" w:rsidRDefault="00584099" w:rsidP="00584099">
      <w:pPr>
        <w:numPr>
          <w:ilvl w:val="0"/>
          <w:numId w:val="10"/>
        </w:numPr>
        <w:tabs>
          <w:tab w:val="left" w:pos="1806"/>
        </w:tabs>
        <w:rPr>
          <w:rFonts w:cs="Arial"/>
          <w:szCs w:val="22"/>
        </w:rPr>
      </w:pPr>
      <w:r>
        <w:rPr>
          <w:rFonts w:cs="Arial"/>
          <w:szCs w:val="22"/>
        </w:rPr>
        <w:t xml:space="preserve">obveščanje OO o vseh prejetih plačilih s strani Evropske komisije; </w:t>
      </w:r>
    </w:p>
    <w:p w:rsidR="00584099" w:rsidRPr="0081343F" w:rsidRDefault="00584099" w:rsidP="00584099">
      <w:pPr>
        <w:numPr>
          <w:ilvl w:val="0"/>
          <w:numId w:val="10"/>
        </w:numPr>
        <w:tabs>
          <w:tab w:val="left" w:pos="1806"/>
        </w:tabs>
        <w:rPr>
          <w:rFonts w:cs="Arial"/>
          <w:szCs w:val="22"/>
        </w:rPr>
      </w:pPr>
      <w:r>
        <w:rPr>
          <w:rFonts w:cs="Arial"/>
          <w:szCs w:val="22"/>
        </w:rPr>
        <w:t>vodenje evidenc o vseh transakcijah iz računov skladov AMIF in ISF in o natečenih obrestih ter evidentiranje v informacijskem sistemu MIGRA II.</w:t>
      </w:r>
    </w:p>
    <w:p w:rsidR="00584099" w:rsidRDefault="00584099" w:rsidP="00584099">
      <w:pPr>
        <w:tabs>
          <w:tab w:val="left" w:pos="1806"/>
        </w:tabs>
        <w:rPr>
          <w:rFonts w:cs="Arial"/>
          <w:szCs w:val="22"/>
        </w:rPr>
      </w:pPr>
    </w:p>
    <w:p w:rsidR="00584099" w:rsidRDefault="00584099" w:rsidP="00584099">
      <w:pPr>
        <w:tabs>
          <w:tab w:val="left" w:pos="1806"/>
        </w:tabs>
        <w:rPr>
          <w:rFonts w:cs="Arial"/>
          <w:szCs w:val="22"/>
        </w:rPr>
      </w:pPr>
      <w:r w:rsidRPr="0081343F">
        <w:rPr>
          <w:rFonts w:cs="Arial"/>
          <w:szCs w:val="22"/>
        </w:rPr>
        <w:t xml:space="preserve">Glavne naloge </w:t>
      </w:r>
      <w:r>
        <w:rPr>
          <w:rFonts w:cs="Arial"/>
          <w:szCs w:val="22"/>
        </w:rPr>
        <w:t xml:space="preserve">PO DAC </w:t>
      </w:r>
      <w:r w:rsidRPr="0081343F">
        <w:rPr>
          <w:rFonts w:cs="Arial"/>
          <w:szCs w:val="22"/>
        </w:rPr>
        <w:t>so:</w:t>
      </w:r>
    </w:p>
    <w:p w:rsidR="00584099" w:rsidRDefault="00584099" w:rsidP="00584099">
      <w:pPr>
        <w:numPr>
          <w:ilvl w:val="0"/>
          <w:numId w:val="10"/>
        </w:numPr>
        <w:tabs>
          <w:tab w:val="left" w:pos="1806"/>
        </w:tabs>
        <w:rPr>
          <w:rFonts w:cs="Arial"/>
          <w:szCs w:val="22"/>
        </w:rPr>
      </w:pPr>
      <w:r>
        <w:rPr>
          <w:rFonts w:cs="Arial"/>
          <w:szCs w:val="22"/>
        </w:rPr>
        <w:t xml:space="preserve">priprava in izvajanje postopkov </w:t>
      </w:r>
      <w:r w:rsidRPr="001C14C6">
        <w:rPr>
          <w:rFonts w:cs="Arial"/>
          <w:szCs w:val="22"/>
        </w:rPr>
        <w:t xml:space="preserve">izvedbe </w:t>
      </w:r>
      <w:r w:rsidRPr="00741F9A">
        <w:rPr>
          <w:rFonts w:cs="Arial"/>
          <w:szCs w:val="22"/>
        </w:rPr>
        <w:t>dodelitv</w:t>
      </w:r>
      <w:r w:rsidRPr="001C14C6">
        <w:rPr>
          <w:rFonts w:cs="Arial"/>
          <w:szCs w:val="22"/>
        </w:rPr>
        <w:t>e</w:t>
      </w:r>
      <w:r w:rsidRPr="00741F9A">
        <w:rPr>
          <w:rFonts w:cs="Arial"/>
          <w:szCs w:val="22"/>
        </w:rPr>
        <w:t xml:space="preserve"> sredstev</w:t>
      </w:r>
      <w:r w:rsidRPr="001C14C6">
        <w:rPr>
          <w:rFonts w:cs="Arial"/>
          <w:szCs w:val="22"/>
        </w:rPr>
        <w:t xml:space="preserve"> </w:t>
      </w:r>
      <w:r>
        <w:rPr>
          <w:rFonts w:cs="Arial"/>
          <w:szCs w:val="22"/>
        </w:rPr>
        <w:t xml:space="preserve">nevladnim organizacijam (v nadaljevanju: NVO) </w:t>
      </w:r>
      <w:r w:rsidRPr="001C14C6">
        <w:rPr>
          <w:rFonts w:cs="Arial"/>
          <w:szCs w:val="22"/>
        </w:rPr>
        <w:t xml:space="preserve">z </w:t>
      </w:r>
      <w:r w:rsidRPr="00E60D14">
        <w:rPr>
          <w:rFonts w:cs="Arial"/>
          <w:szCs w:val="22"/>
        </w:rPr>
        <w:t>javnim</w:t>
      </w:r>
      <w:r w:rsidRPr="00D05EC0">
        <w:rPr>
          <w:rFonts w:cs="Arial"/>
          <w:szCs w:val="22"/>
        </w:rPr>
        <w:t>i</w:t>
      </w:r>
      <w:r w:rsidRPr="00182498">
        <w:rPr>
          <w:rFonts w:cs="Arial"/>
          <w:szCs w:val="22"/>
        </w:rPr>
        <w:t xml:space="preserve"> razpis</w:t>
      </w:r>
      <w:r w:rsidRPr="00B74B98">
        <w:rPr>
          <w:rFonts w:cs="Arial"/>
          <w:szCs w:val="22"/>
        </w:rPr>
        <w:t>i</w:t>
      </w:r>
      <w:r w:rsidRPr="00F63A08">
        <w:rPr>
          <w:rFonts w:cs="Arial"/>
          <w:szCs w:val="22"/>
        </w:rPr>
        <w:t xml:space="preserve"> (v nadaljevanju: JR)</w:t>
      </w:r>
      <w:r>
        <w:rPr>
          <w:rFonts w:cs="Arial"/>
          <w:szCs w:val="22"/>
        </w:rPr>
        <w:t>;</w:t>
      </w:r>
    </w:p>
    <w:p w:rsidR="00584099" w:rsidRDefault="00584099" w:rsidP="00584099">
      <w:pPr>
        <w:numPr>
          <w:ilvl w:val="0"/>
          <w:numId w:val="10"/>
        </w:numPr>
        <w:tabs>
          <w:tab w:val="left" w:pos="1806"/>
        </w:tabs>
        <w:rPr>
          <w:rFonts w:cs="Arial"/>
          <w:szCs w:val="22"/>
        </w:rPr>
      </w:pPr>
      <w:r>
        <w:rPr>
          <w:rFonts w:cs="Arial"/>
          <w:szCs w:val="22"/>
        </w:rPr>
        <w:t>nadzor nad izvajanjem projektov, katerih prejemniki sredstev so NVO (100</w:t>
      </w:r>
      <w:r w:rsidR="00A52B64">
        <w:rPr>
          <w:rFonts w:cs="Arial"/>
          <w:szCs w:val="22"/>
        </w:rPr>
        <w:t xml:space="preserve"> </w:t>
      </w:r>
      <w:r>
        <w:rPr>
          <w:rFonts w:cs="Arial"/>
          <w:szCs w:val="22"/>
        </w:rPr>
        <w:t>% administrativne kontrole finančne tehnične in upravičenosti projekta in izdatkov iz zahtevkov za plačilo)</w:t>
      </w:r>
    </w:p>
    <w:p w:rsidR="00584099" w:rsidRPr="001C14C6" w:rsidRDefault="00584099" w:rsidP="00584099">
      <w:pPr>
        <w:numPr>
          <w:ilvl w:val="0"/>
          <w:numId w:val="10"/>
        </w:numPr>
        <w:tabs>
          <w:tab w:val="left" w:pos="1806"/>
        </w:tabs>
        <w:rPr>
          <w:rFonts w:cs="Arial"/>
          <w:szCs w:val="22"/>
        </w:rPr>
      </w:pPr>
      <w:r>
        <w:rPr>
          <w:rFonts w:cs="Arial"/>
          <w:szCs w:val="22"/>
        </w:rPr>
        <w:t>priprava zahtevkov za povračilo</w:t>
      </w:r>
    </w:p>
    <w:p w:rsidR="00584099" w:rsidRPr="0081343F" w:rsidRDefault="00584099" w:rsidP="00584099">
      <w:pPr>
        <w:numPr>
          <w:ilvl w:val="0"/>
          <w:numId w:val="10"/>
        </w:numPr>
        <w:tabs>
          <w:tab w:val="left" w:pos="1806"/>
        </w:tabs>
        <w:rPr>
          <w:rFonts w:cs="Arial"/>
          <w:szCs w:val="22"/>
        </w:rPr>
      </w:pPr>
      <w:r>
        <w:rPr>
          <w:rFonts w:cs="Arial"/>
          <w:szCs w:val="22"/>
        </w:rPr>
        <w:t>priprava in kontrola zahtevkov za povračilo iz naslova tehnične pomoči.</w:t>
      </w:r>
    </w:p>
    <w:p w:rsidR="00584099" w:rsidRDefault="00584099" w:rsidP="00584099">
      <w:pPr>
        <w:rPr>
          <w:rFonts w:cs="Arial"/>
          <w:szCs w:val="22"/>
        </w:rPr>
      </w:pPr>
    </w:p>
    <w:p w:rsidR="00584099" w:rsidRDefault="00584099" w:rsidP="00584099">
      <w:pPr>
        <w:autoSpaceDE w:val="0"/>
        <w:autoSpaceDN w:val="0"/>
        <w:adjustRightInd w:val="0"/>
        <w:rPr>
          <w:rFonts w:cs="Arial"/>
          <w:szCs w:val="22"/>
        </w:rPr>
      </w:pPr>
      <w:r>
        <w:rPr>
          <w:rFonts w:cs="Arial"/>
          <w:szCs w:val="22"/>
        </w:rPr>
        <w:t xml:space="preserve">Končni upravičenci (v nadaljevanju: </w:t>
      </w:r>
      <w:r w:rsidRPr="00AF3BB8">
        <w:rPr>
          <w:rFonts w:cs="Arial"/>
          <w:b/>
          <w:szCs w:val="22"/>
        </w:rPr>
        <w:t>KU</w:t>
      </w:r>
      <w:r>
        <w:rPr>
          <w:rFonts w:cs="Arial"/>
          <w:szCs w:val="22"/>
        </w:rPr>
        <w:t xml:space="preserve">) sredstev obeh skladov so: Direktorat za upravne notranje zadeve, migracijo in naturalizacijo (v nadaljevanju: DUNZMN), Policija, Ministrstvo za javno upravo (v nadaljevanju: MJU), Ministrstvo za zunanje zadeve (v nadaljevanju: MZZ), Ministrstvo za obrambo (v nadaljevanju: MORS) ter NVO. </w:t>
      </w:r>
    </w:p>
    <w:p w:rsidR="00584099" w:rsidRPr="0081343F" w:rsidRDefault="00584099" w:rsidP="00584099">
      <w:pPr>
        <w:autoSpaceDE w:val="0"/>
        <w:autoSpaceDN w:val="0"/>
        <w:adjustRightInd w:val="0"/>
      </w:pPr>
    </w:p>
    <w:p w:rsidR="00584099" w:rsidRPr="0081343F" w:rsidRDefault="00584099" w:rsidP="00584099">
      <w:pPr>
        <w:autoSpaceDE w:val="0"/>
        <w:autoSpaceDN w:val="0"/>
        <w:adjustRightInd w:val="0"/>
        <w:rPr>
          <w:rFonts w:ascii="Helvetica" w:hAnsi="Helvetica" w:cs="Helvetica"/>
          <w:szCs w:val="22"/>
        </w:rPr>
      </w:pPr>
      <w:r w:rsidRPr="0081343F">
        <w:t xml:space="preserve">Tabela št. </w:t>
      </w:r>
      <w:r>
        <w:t>2: Skladi</w:t>
      </w:r>
      <w:r w:rsidRPr="0081343F">
        <w:t xml:space="preserve"> ter </w:t>
      </w:r>
      <w:r>
        <w:t xml:space="preserve">ključni </w:t>
      </w:r>
      <w:r w:rsidRPr="0081343F">
        <w:t>organi</w:t>
      </w:r>
      <w:r>
        <w:t xml:space="preserve"> vključeni v izvajanje</w:t>
      </w:r>
      <w:r w:rsidRPr="0081343F">
        <w:t xml:space="preserve"> </w:t>
      </w:r>
    </w:p>
    <w:p w:rsidR="00584099" w:rsidRPr="0081343F" w:rsidRDefault="00584099" w:rsidP="00584099"/>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1"/>
        <w:gridCol w:w="2271"/>
        <w:gridCol w:w="2271"/>
        <w:gridCol w:w="2272"/>
      </w:tblGrid>
      <w:tr w:rsidR="00584099" w:rsidRPr="0081343F" w:rsidTr="00584099">
        <w:trPr>
          <w:trHeight w:val="276"/>
        </w:trPr>
        <w:tc>
          <w:tcPr>
            <w:tcW w:w="2271" w:type="dxa"/>
            <w:shd w:val="clear" w:color="auto" w:fill="auto"/>
            <w:noWrap/>
            <w:vAlign w:val="bottom"/>
          </w:tcPr>
          <w:p w:rsidR="00584099" w:rsidRPr="001C14C6" w:rsidRDefault="00584099" w:rsidP="00584099">
            <w:pPr>
              <w:jc w:val="center"/>
              <w:rPr>
                <w:rFonts w:cs="Arial"/>
                <w:b/>
                <w:sz w:val="20"/>
                <w:szCs w:val="20"/>
              </w:rPr>
            </w:pPr>
            <w:r w:rsidRPr="001C14C6">
              <w:rPr>
                <w:rFonts w:cs="Arial"/>
                <w:b/>
                <w:sz w:val="20"/>
                <w:szCs w:val="20"/>
              </w:rPr>
              <w:t>Sklad</w:t>
            </w:r>
            <w:r w:rsidRPr="00D05EC0">
              <w:rPr>
                <w:rFonts w:cs="Arial"/>
                <w:b/>
                <w:sz w:val="20"/>
                <w:szCs w:val="20"/>
              </w:rPr>
              <w:t xml:space="preserve"> </w:t>
            </w:r>
            <w:r>
              <w:rPr>
                <w:rFonts w:cs="Arial"/>
                <w:b/>
                <w:sz w:val="20"/>
                <w:szCs w:val="20"/>
              </w:rPr>
              <w:t xml:space="preserve">in </w:t>
            </w:r>
            <w:proofErr w:type="spellStart"/>
            <w:r>
              <w:rPr>
                <w:rFonts w:cs="Arial"/>
                <w:b/>
                <w:sz w:val="20"/>
                <w:szCs w:val="20"/>
              </w:rPr>
              <w:t>podsklada</w:t>
            </w:r>
            <w:proofErr w:type="spellEnd"/>
          </w:p>
        </w:tc>
        <w:tc>
          <w:tcPr>
            <w:tcW w:w="2271" w:type="dxa"/>
            <w:shd w:val="clear" w:color="auto" w:fill="auto"/>
            <w:noWrap/>
            <w:vAlign w:val="bottom"/>
          </w:tcPr>
          <w:p w:rsidR="00584099" w:rsidRPr="00182498" w:rsidRDefault="00584099" w:rsidP="00584099">
            <w:pPr>
              <w:jc w:val="center"/>
              <w:rPr>
                <w:rFonts w:cs="Arial"/>
                <w:b/>
                <w:sz w:val="20"/>
                <w:szCs w:val="20"/>
              </w:rPr>
            </w:pPr>
            <w:r w:rsidRPr="00D05EC0">
              <w:rPr>
                <w:rFonts w:cs="Arial"/>
                <w:b/>
                <w:sz w:val="20"/>
                <w:szCs w:val="20"/>
              </w:rPr>
              <w:t>OO</w:t>
            </w:r>
          </w:p>
        </w:tc>
        <w:tc>
          <w:tcPr>
            <w:tcW w:w="2271" w:type="dxa"/>
            <w:shd w:val="clear" w:color="auto" w:fill="auto"/>
            <w:noWrap/>
            <w:vAlign w:val="bottom"/>
          </w:tcPr>
          <w:p w:rsidR="00584099" w:rsidRPr="007B3680" w:rsidRDefault="00584099" w:rsidP="00584099">
            <w:pPr>
              <w:jc w:val="center"/>
              <w:rPr>
                <w:rFonts w:cs="Arial"/>
                <w:b/>
                <w:sz w:val="20"/>
                <w:szCs w:val="20"/>
              </w:rPr>
            </w:pPr>
            <w:r w:rsidRPr="00B74B98">
              <w:rPr>
                <w:rFonts w:cs="Arial"/>
                <w:b/>
                <w:sz w:val="20"/>
                <w:szCs w:val="20"/>
              </w:rPr>
              <w:t>P</w:t>
            </w:r>
            <w:r w:rsidRPr="007B3680">
              <w:rPr>
                <w:rFonts w:cs="Arial"/>
                <w:b/>
                <w:sz w:val="20"/>
                <w:szCs w:val="20"/>
              </w:rPr>
              <w:t>O</w:t>
            </w:r>
          </w:p>
        </w:tc>
        <w:tc>
          <w:tcPr>
            <w:tcW w:w="2272" w:type="dxa"/>
          </w:tcPr>
          <w:p w:rsidR="00584099" w:rsidRPr="007B3680" w:rsidRDefault="00584099" w:rsidP="00584099">
            <w:pPr>
              <w:jc w:val="center"/>
              <w:rPr>
                <w:rFonts w:cs="Arial"/>
                <w:b/>
                <w:sz w:val="20"/>
                <w:szCs w:val="20"/>
              </w:rPr>
            </w:pPr>
            <w:r w:rsidRPr="007B3680">
              <w:rPr>
                <w:rFonts w:cs="Arial"/>
                <w:b/>
                <w:sz w:val="20"/>
                <w:szCs w:val="20"/>
              </w:rPr>
              <w:t>KU</w:t>
            </w:r>
          </w:p>
        </w:tc>
      </w:tr>
      <w:tr w:rsidR="00584099" w:rsidRPr="0081343F" w:rsidTr="00584099">
        <w:trPr>
          <w:trHeight w:val="141"/>
        </w:trPr>
        <w:tc>
          <w:tcPr>
            <w:tcW w:w="2271" w:type="dxa"/>
            <w:shd w:val="clear" w:color="auto" w:fill="auto"/>
            <w:noWrap/>
            <w:vAlign w:val="bottom"/>
          </w:tcPr>
          <w:p w:rsidR="00584099" w:rsidRPr="00D05EC0" w:rsidRDefault="00584099" w:rsidP="00584099">
            <w:pPr>
              <w:jc w:val="center"/>
              <w:rPr>
                <w:rFonts w:cs="Arial"/>
                <w:sz w:val="20"/>
                <w:szCs w:val="20"/>
              </w:rPr>
            </w:pPr>
            <w:r w:rsidRPr="00E60D14">
              <w:rPr>
                <w:rFonts w:cs="Arial"/>
                <w:sz w:val="20"/>
                <w:szCs w:val="20"/>
              </w:rPr>
              <w:t>AMIF</w:t>
            </w:r>
          </w:p>
        </w:tc>
        <w:tc>
          <w:tcPr>
            <w:tcW w:w="2271" w:type="dxa"/>
            <w:shd w:val="clear" w:color="auto" w:fill="auto"/>
            <w:noWrap/>
            <w:vAlign w:val="bottom"/>
          </w:tcPr>
          <w:p w:rsidR="00584099" w:rsidRPr="007B3680" w:rsidRDefault="00584099" w:rsidP="00584099">
            <w:pPr>
              <w:jc w:val="center"/>
              <w:rPr>
                <w:rFonts w:cs="Arial"/>
                <w:sz w:val="20"/>
                <w:szCs w:val="20"/>
              </w:rPr>
            </w:pPr>
            <w:r w:rsidRPr="00B74B98">
              <w:rPr>
                <w:rFonts w:cs="Arial"/>
                <w:sz w:val="20"/>
                <w:szCs w:val="20"/>
              </w:rPr>
              <w:t>PESNVM</w:t>
            </w:r>
          </w:p>
        </w:tc>
        <w:tc>
          <w:tcPr>
            <w:tcW w:w="2271" w:type="dxa"/>
            <w:shd w:val="clear" w:color="auto" w:fill="auto"/>
            <w:noWrap/>
            <w:vAlign w:val="bottom"/>
          </w:tcPr>
          <w:p w:rsidR="00584099" w:rsidRPr="007B3680" w:rsidRDefault="00584099" w:rsidP="00584099">
            <w:pPr>
              <w:jc w:val="center"/>
              <w:rPr>
                <w:rFonts w:cs="Arial"/>
                <w:sz w:val="20"/>
                <w:szCs w:val="20"/>
              </w:rPr>
            </w:pPr>
            <w:r w:rsidRPr="007B3680">
              <w:rPr>
                <w:rFonts w:cs="Arial"/>
                <w:sz w:val="20"/>
                <w:szCs w:val="20"/>
              </w:rPr>
              <w:t>DAF, DAC</w:t>
            </w:r>
          </w:p>
        </w:tc>
        <w:tc>
          <w:tcPr>
            <w:tcW w:w="2272" w:type="dxa"/>
          </w:tcPr>
          <w:p w:rsidR="00584099" w:rsidRPr="007B3680" w:rsidRDefault="00584099" w:rsidP="00584099">
            <w:pPr>
              <w:jc w:val="center"/>
              <w:rPr>
                <w:rFonts w:cs="Arial"/>
                <w:sz w:val="20"/>
                <w:szCs w:val="20"/>
              </w:rPr>
            </w:pPr>
            <w:r w:rsidRPr="007B3680">
              <w:rPr>
                <w:rFonts w:cs="Arial"/>
                <w:sz w:val="20"/>
                <w:szCs w:val="20"/>
              </w:rPr>
              <w:t xml:space="preserve">DUNZMN, Policija, NVO </w:t>
            </w:r>
          </w:p>
        </w:tc>
      </w:tr>
      <w:tr w:rsidR="00584099" w:rsidRPr="0081343F" w:rsidTr="00584099">
        <w:trPr>
          <w:trHeight w:val="276"/>
        </w:trPr>
        <w:tc>
          <w:tcPr>
            <w:tcW w:w="2271" w:type="dxa"/>
            <w:shd w:val="clear" w:color="auto" w:fill="auto"/>
            <w:noWrap/>
            <w:vAlign w:val="bottom"/>
          </w:tcPr>
          <w:p w:rsidR="00584099" w:rsidRPr="00D05EC0" w:rsidRDefault="00584099" w:rsidP="00584099">
            <w:pPr>
              <w:jc w:val="center"/>
              <w:rPr>
                <w:rFonts w:cs="Arial"/>
                <w:sz w:val="20"/>
                <w:szCs w:val="20"/>
              </w:rPr>
            </w:pPr>
            <w:r w:rsidRPr="00E60D14">
              <w:rPr>
                <w:rFonts w:cs="Arial"/>
                <w:sz w:val="20"/>
                <w:szCs w:val="20"/>
              </w:rPr>
              <w:t>ISFB</w:t>
            </w:r>
          </w:p>
        </w:tc>
        <w:tc>
          <w:tcPr>
            <w:tcW w:w="2271" w:type="dxa"/>
            <w:shd w:val="clear" w:color="auto" w:fill="auto"/>
            <w:noWrap/>
          </w:tcPr>
          <w:p w:rsidR="00584099" w:rsidRPr="007B3680" w:rsidRDefault="00584099" w:rsidP="00584099">
            <w:pPr>
              <w:jc w:val="center"/>
              <w:rPr>
                <w:rFonts w:cs="Arial"/>
                <w:sz w:val="20"/>
                <w:szCs w:val="20"/>
              </w:rPr>
            </w:pPr>
            <w:r w:rsidRPr="00182498">
              <w:rPr>
                <w:rFonts w:cs="Arial"/>
                <w:sz w:val="20"/>
                <w:szCs w:val="20"/>
              </w:rPr>
              <w:t>PE</w:t>
            </w:r>
            <w:r w:rsidRPr="00B74B98">
              <w:rPr>
                <w:rFonts w:cs="Arial"/>
                <w:sz w:val="20"/>
                <w:szCs w:val="20"/>
              </w:rPr>
              <w:t>SNVM</w:t>
            </w:r>
          </w:p>
        </w:tc>
        <w:tc>
          <w:tcPr>
            <w:tcW w:w="2271" w:type="dxa"/>
            <w:shd w:val="clear" w:color="auto" w:fill="auto"/>
            <w:noWrap/>
            <w:vAlign w:val="bottom"/>
          </w:tcPr>
          <w:p w:rsidR="00584099" w:rsidRPr="007B3680" w:rsidRDefault="00584099" w:rsidP="00584099">
            <w:pPr>
              <w:jc w:val="center"/>
              <w:rPr>
                <w:rFonts w:cs="Arial"/>
                <w:sz w:val="20"/>
                <w:szCs w:val="20"/>
              </w:rPr>
            </w:pPr>
            <w:r w:rsidRPr="007B3680">
              <w:rPr>
                <w:rFonts w:cs="Arial"/>
                <w:sz w:val="20"/>
                <w:szCs w:val="20"/>
              </w:rPr>
              <w:t>DAF</w:t>
            </w:r>
          </w:p>
        </w:tc>
        <w:tc>
          <w:tcPr>
            <w:tcW w:w="2272" w:type="dxa"/>
          </w:tcPr>
          <w:p w:rsidR="00584099" w:rsidRPr="007B3680" w:rsidRDefault="00584099" w:rsidP="00584099">
            <w:pPr>
              <w:jc w:val="center"/>
              <w:rPr>
                <w:rFonts w:cs="Arial"/>
                <w:sz w:val="20"/>
                <w:szCs w:val="20"/>
              </w:rPr>
            </w:pPr>
            <w:r w:rsidRPr="007B3680">
              <w:rPr>
                <w:rFonts w:cs="Arial"/>
                <w:sz w:val="20"/>
                <w:szCs w:val="20"/>
              </w:rPr>
              <w:t>MJU, MZZ, Policija</w:t>
            </w:r>
          </w:p>
        </w:tc>
      </w:tr>
      <w:tr w:rsidR="00584099" w:rsidRPr="0081343F" w:rsidTr="00584099">
        <w:trPr>
          <w:trHeight w:val="276"/>
        </w:trPr>
        <w:tc>
          <w:tcPr>
            <w:tcW w:w="2271" w:type="dxa"/>
            <w:shd w:val="clear" w:color="auto" w:fill="auto"/>
            <w:noWrap/>
            <w:vAlign w:val="bottom"/>
          </w:tcPr>
          <w:p w:rsidR="00584099" w:rsidRPr="00D05EC0" w:rsidRDefault="00584099" w:rsidP="00584099">
            <w:pPr>
              <w:jc w:val="center"/>
              <w:rPr>
                <w:rFonts w:cs="Arial"/>
                <w:sz w:val="20"/>
                <w:szCs w:val="20"/>
              </w:rPr>
            </w:pPr>
            <w:r w:rsidRPr="001C14C6">
              <w:rPr>
                <w:rFonts w:cs="Arial"/>
                <w:sz w:val="20"/>
                <w:szCs w:val="20"/>
              </w:rPr>
              <w:t>ISFP</w:t>
            </w:r>
          </w:p>
        </w:tc>
        <w:tc>
          <w:tcPr>
            <w:tcW w:w="2271" w:type="dxa"/>
            <w:shd w:val="clear" w:color="auto" w:fill="auto"/>
            <w:noWrap/>
          </w:tcPr>
          <w:p w:rsidR="00584099" w:rsidRPr="007B3680" w:rsidRDefault="00584099" w:rsidP="00584099">
            <w:pPr>
              <w:jc w:val="center"/>
              <w:rPr>
                <w:rFonts w:cs="Arial"/>
                <w:sz w:val="20"/>
                <w:szCs w:val="20"/>
              </w:rPr>
            </w:pPr>
            <w:r w:rsidRPr="00182498">
              <w:rPr>
                <w:rFonts w:cs="Arial"/>
                <w:sz w:val="20"/>
                <w:szCs w:val="20"/>
              </w:rPr>
              <w:t>P</w:t>
            </w:r>
            <w:r w:rsidRPr="00B74B98">
              <w:rPr>
                <w:rFonts w:cs="Arial"/>
                <w:sz w:val="20"/>
                <w:szCs w:val="20"/>
              </w:rPr>
              <w:t>ESNVM</w:t>
            </w:r>
          </w:p>
        </w:tc>
        <w:tc>
          <w:tcPr>
            <w:tcW w:w="2271" w:type="dxa"/>
            <w:shd w:val="clear" w:color="auto" w:fill="auto"/>
            <w:noWrap/>
            <w:vAlign w:val="bottom"/>
          </w:tcPr>
          <w:p w:rsidR="00584099" w:rsidRPr="007B3680" w:rsidRDefault="00584099" w:rsidP="00584099">
            <w:pPr>
              <w:jc w:val="center"/>
              <w:rPr>
                <w:rFonts w:cs="Arial"/>
                <w:sz w:val="20"/>
                <w:szCs w:val="20"/>
              </w:rPr>
            </w:pPr>
            <w:r w:rsidRPr="007B3680">
              <w:rPr>
                <w:rFonts w:cs="Arial"/>
                <w:sz w:val="20"/>
                <w:szCs w:val="20"/>
              </w:rPr>
              <w:t>DAF</w:t>
            </w:r>
          </w:p>
        </w:tc>
        <w:tc>
          <w:tcPr>
            <w:tcW w:w="2272" w:type="dxa"/>
          </w:tcPr>
          <w:p w:rsidR="00584099" w:rsidRPr="007B3680" w:rsidRDefault="00584099" w:rsidP="00584099">
            <w:pPr>
              <w:jc w:val="center"/>
              <w:rPr>
                <w:rFonts w:cs="Arial"/>
                <w:sz w:val="20"/>
                <w:szCs w:val="20"/>
              </w:rPr>
            </w:pPr>
            <w:r w:rsidRPr="007B3680">
              <w:rPr>
                <w:rFonts w:cs="Arial"/>
                <w:sz w:val="20"/>
                <w:szCs w:val="20"/>
              </w:rPr>
              <w:t>Policija, MORS</w:t>
            </w:r>
          </w:p>
        </w:tc>
      </w:tr>
    </w:tbl>
    <w:p w:rsidR="00584099" w:rsidRPr="0081343F" w:rsidRDefault="00584099" w:rsidP="00584099">
      <w:pPr>
        <w:rPr>
          <w:rFonts w:cs="Arial"/>
        </w:rPr>
      </w:pPr>
    </w:p>
    <w:p w:rsidR="00584099" w:rsidRDefault="00584099" w:rsidP="00584099">
      <w:pPr>
        <w:rPr>
          <w:rFonts w:cs="Arial"/>
          <w:szCs w:val="22"/>
        </w:rPr>
      </w:pPr>
      <w:r w:rsidRPr="0081343F">
        <w:rPr>
          <w:rFonts w:cs="Arial"/>
          <w:szCs w:val="22"/>
        </w:rPr>
        <w:t xml:space="preserve">V sistem upravljanja in izvajanja sta vključena </w:t>
      </w:r>
      <w:r w:rsidRPr="00CB11E7">
        <w:rPr>
          <w:rFonts w:cs="Arial"/>
          <w:sz w:val="20"/>
          <w:szCs w:val="20"/>
        </w:rPr>
        <w:t>PESNVM</w:t>
      </w:r>
      <w:r w:rsidRPr="0081343F">
        <w:rPr>
          <w:rFonts w:cs="Arial"/>
          <w:szCs w:val="22"/>
        </w:rPr>
        <w:t xml:space="preserve"> kot OO in </w:t>
      </w:r>
      <w:r>
        <w:rPr>
          <w:rFonts w:cs="Arial"/>
          <w:szCs w:val="22"/>
        </w:rPr>
        <w:t>PO DAF</w:t>
      </w:r>
      <w:r w:rsidRPr="0081343F">
        <w:rPr>
          <w:rFonts w:cs="Arial"/>
          <w:szCs w:val="22"/>
        </w:rPr>
        <w:t xml:space="preserve"> za </w:t>
      </w:r>
      <w:r>
        <w:rPr>
          <w:rFonts w:cs="Arial"/>
          <w:szCs w:val="22"/>
        </w:rPr>
        <w:t xml:space="preserve">oba </w:t>
      </w:r>
      <w:r w:rsidRPr="0081343F">
        <w:rPr>
          <w:rFonts w:cs="Arial"/>
          <w:szCs w:val="22"/>
        </w:rPr>
        <w:t>sklad</w:t>
      </w:r>
      <w:r>
        <w:rPr>
          <w:rFonts w:cs="Arial"/>
          <w:szCs w:val="22"/>
        </w:rPr>
        <w:t xml:space="preserve">a in </w:t>
      </w:r>
      <w:proofErr w:type="spellStart"/>
      <w:r>
        <w:rPr>
          <w:rFonts w:cs="Arial"/>
          <w:szCs w:val="22"/>
        </w:rPr>
        <w:t>podsklada</w:t>
      </w:r>
      <w:proofErr w:type="spellEnd"/>
      <w:r>
        <w:rPr>
          <w:rFonts w:cs="Arial"/>
          <w:szCs w:val="22"/>
        </w:rPr>
        <w:t xml:space="preserve"> </w:t>
      </w:r>
      <w:r w:rsidRPr="0081343F">
        <w:rPr>
          <w:rFonts w:cs="Arial"/>
          <w:szCs w:val="22"/>
        </w:rPr>
        <w:t xml:space="preserve">ter </w:t>
      </w:r>
      <w:r>
        <w:rPr>
          <w:rFonts w:cs="Arial"/>
          <w:szCs w:val="22"/>
        </w:rPr>
        <w:t xml:space="preserve">PO DAC, ki bo izvajal naloge le v okviru sklada AMIF. </w:t>
      </w:r>
    </w:p>
    <w:p w:rsidR="00226375" w:rsidRDefault="00226375">
      <w:pPr>
        <w:jc w:val="left"/>
        <w:rPr>
          <w:rFonts w:cs="Arial"/>
          <w:szCs w:val="22"/>
        </w:rPr>
      </w:pPr>
    </w:p>
    <w:p w:rsidR="007D495D" w:rsidRDefault="00226375">
      <w:pPr>
        <w:jc w:val="left"/>
        <w:rPr>
          <w:rFonts w:cs="Arial"/>
          <w:szCs w:val="22"/>
        </w:rPr>
        <w:sectPr w:rsidR="007D495D" w:rsidSect="007D495D">
          <w:footerReference w:type="even" r:id="rId9"/>
          <w:footerReference w:type="default" r:id="rId10"/>
          <w:pgSz w:w="11906" w:h="16838"/>
          <w:pgMar w:top="1418" w:right="1418" w:bottom="1418" w:left="1418" w:header="709" w:footer="709" w:gutter="0"/>
          <w:cols w:space="708"/>
          <w:titlePg/>
          <w:docGrid w:linePitch="360"/>
        </w:sectPr>
      </w:pPr>
      <w:r>
        <w:rPr>
          <w:rFonts w:cs="Arial"/>
          <w:szCs w:val="22"/>
        </w:rPr>
        <w:t>V okviru izvajanja skladov se kot KU pojavlja 5 javnih organov ter NVO, ki bodo izbrane na podlagi JR za dodelitev sredstev, kar prikazuje Slika 1: Organizacijska shema skladov notranje varnosti.</w:t>
      </w:r>
    </w:p>
    <w:p w:rsidR="007D495D" w:rsidRDefault="00AD553E" w:rsidP="007D495D">
      <w:pPr>
        <w:jc w:val="left"/>
        <w:rPr>
          <w:rFonts w:cs="Arial"/>
          <w:szCs w:val="22"/>
        </w:rPr>
      </w:pPr>
      <w:r w:rsidRPr="007A5E11">
        <w:rPr>
          <w:rFonts w:cs="Arial"/>
          <w:noProof/>
          <w:szCs w:val="22"/>
        </w:rPr>
        <w:lastRenderedPageBreak/>
        <mc:AlternateContent>
          <mc:Choice Requires="wpg">
            <w:drawing>
              <wp:anchor distT="0" distB="0" distL="114300" distR="114300" simplePos="0" relativeHeight="251659264" behindDoc="0" locked="0" layoutInCell="1" allowOverlap="1" wp14:anchorId="62E0BE60" wp14:editId="62F45D16">
                <wp:simplePos x="0" y="0"/>
                <wp:positionH relativeFrom="column">
                  <wp:posOffset>251037</wp:posOffset>
                </wp:positionH>
                <wp:positionV relativeFrom="paragraph">
                  <wp:posOffset>2147570</wp:posOffset>
                </wp:positionV>
                <wp:extent cx="7688048" cy="3102058"/>
                <wp:effectExtent l="0" t="0" r="27305" b="22225"/>
                <wp:wrapNone/>
                <wp:docPr id="68" name="Skupina 68" descr="Organizacijska shema" title="Organizacijska shem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8048" cy="3102058"/>
                          <a:chOff x="1815" y="4840"/>
                          <a:chExt cx="11442" cy="4317"/>
                        </a:xfrm>
                      </wpg:grpSpPr>
                      <wps:wsp>
                        <wps:cNvPr id="69" name="Polje z besedilom 2"/>
                        <wps:cNvSpPr txBox="1">
                          <a:spLocks noChangeArrowheads="1"/>
                        </wps:cNvSpPr>
                        <wps:spPr bwMode="auto">
                          <a:xfrm>
                            <a:off x="1815" y="5544"/>
                            <a:ext cx="1259" cy="899"/>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SO1</w:t>
                              </w:r>
                            </w:p>
                            <w:p w:rsidR="007D495D" w:rsidRPr="00AD553E" w:rsidRDefault="007D495D" w:rsidP="007A5E11">
                              <w:pPr>
                                <w:rPr>
                                  <w:b/>
                                  <w:sz w:val="12"/>
                                  <w:szCs w:val="12"/>
                                </w:rPr>
                              </w:pPr>
                            </w:p>
                            <w:p w:rsidR="007D495D" w:rsidRPr="00A72883" w:rsidRDefault="007D495D" w:rsidP="007A5E11">
                              <w:pPr>
                                <w:jc w:val="center"/>
                                <w:rPr>
                                  <w:b/>
                                  <w:sz w:val="14"/>
                                </w:rPr>
                              </w:pPr>
                              <w:r w:rsidRPr="00AD553E">
                                <w:rPr>
                                  <w:b/>
                                  <w:sz w:val="12"/>
                                  <w:szCs w:val="12"/>
                                </w:rPr>
                                <w:t>Podpora skupni vizumski</w:t>
                              </w:r>
                              <w:r w:rsidRPr="00A72883">
                                <w:rPr>
                                  <w:b/>
                                  <w:sz w:val="14"/>
                                </w:rPr>
                                <w:t xml:space="preserve"> politiki</w:t>
                              </w:r>
                            </w:p>
                          </w:txbxContent>
                        </wps:txbx>
                        <wps:bodyPr rot="0" vert="horz" wrap="square" lIns="91440" tIns="45720" rIns="91440" bIns="45720" anchor="t" anchorCtr="0" upright="1">
                          <a:noAutofit/>
                        </wps:bodyPr>
                      </wps:wsp>
                      <wps:wsp>
                        <wps:cNvPr id="70" name="Polje z besedilom 2"/>
                        <wps:cNvSpPr txBox="1">
                          <a:spLocks noChangeArrowheads="1"/>
                        </wps:cNvSpPr>
                        <wps:spPr bwMode="auto">
                          <a:xfrm>
                            <a:off x="3077" y="5544"/>
                            <a:ext cx="1101" cy="899"/>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SO2</w:t>
                              </w:r>
                            </w:p>
                            <w:p w:rsidR="007D495D" w:rsidRPr="00AD553E" w:rsidRDefault="007D495D" w:rsidP="007A5E11">
                              <w:pPr>
                                <w:rPr>
                                  <w:b/>
                                  <w:sz w:val="12"/>
                                  <w:szCs w:val="12"/>
                                </w:rPr>
                              </w:pPr>
                            </w:p>
                            <w:p w:rsidR="007D495D" w:rsidRPr="00AD553E" w:rsidRDefault="007D495D" w:rsidP="007F739A">
                              <w:pPr>
                                <w:rPr>
                                  <w:b/>
                                  <w:sz w:val="12"/>
                                  <w:szCs w:val="12"/>
                                </w:rPr>
                              </w:pPr>
                              <w:r w:rsidRPr="00AD553E">
                                <w:rPr>
                                  <w:b/>
                                  <w:sz w:val="12"/>
                                  <w:szCs w:val="12"/>
                                </w:rPr>
                                <w:t>Meje</w:t>
                              </w:r>
                            </w:p>
                          </w:txbxContent>
                        </wps:txbx>
                        <wps:bodyPr rot="0" vert="horz" wrap="square" lIns="91440" tIns="45720" rIns="91440" bIns="45720" anchor="t" anchorCtr="0" upright="1">
                          <a:noAutofit/>
                        </wps:bodyPr>
                      </wps:wsp>
                      <wps:wsp>
                        <wps:cNvPr id="71" name="Polje z besedilom 2"/>
                        <wps:cNvSpPr txBox="1">
                          <a:spLocks noChangeArrowheads="1"/>
                        </wps:cNvSpPr>
                        <wps:spPr bwMode="auto">
                          <a:xfrm>
                            <a:off x="4178" y="5556"/>
                            <a:ext cx="1142" cy="887"/>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SO3</w:t>
                              </w:r>
                            </w:p>
                            <w:p w:rsidR="007D495D" w:rsidRPr="00AD553E" w:rsidRDefault="007D495D" w:rsidP="007A5E11">
                              <w:pPr>
                                <w:rPr>
                                  <w:b/>
                                  <w:sz w:val="12"/>
                                  <w:szCs w:val="12"/>
                                </w:rPr>
                              </w:pPr>
                            </w:p>
                            <w:p w:rsidR="007D495D" w:rsidRPr="00AD553E" w:rsidRDefault="007D495D" w:rsidP="007A5E11">
                              <w:pPr>
                                <w:jc w:val="center"/>
                                <w:rPr>
                                  <w:b/>
                                  <w:sz w:val="12"/>
                                  <w:szCs w:val="12"/>
                                </w:rPr>
                              </w:pPr>
                              <w:r w:rsidRPr="00AD553E">
                                <w:rPr>
                                  <w:b/>
                                  <w:sz w:val="12"/>
                                  <w:szCs w:val="12"/>
                                </w:rPr>
                                <w:t>Operativna podpora</w:t>
                              </w:r>
                            </w:p>
                          </w:txbxContent>
                        </wps:txbx>
                        <wps:bodyPr rot="0" vert="horz" wrap="square" lIns="91440" tIns="45720" rIns="91440" bIns="45720" anchor="t" anchorCtr="0" upright="1">
                          <a:noAutofit/>
                        </wps:bodyPr>
                      </wps:wsp>
                      <wps:wsp>
                        <wps:cNvPr id="72" name="Polje z besedilom 2"/>
                        <wps:cNvSpPr txBox="1">
                          <a:spLocks noChangeArrowheads="1"/>
                        </wps:cNvSpPr>
                        <wps:spPr bwMode="auto">
                          <a:xfrm>
                            <a:off x="6100" y="5556"/>
                            <a:ext cx="1259" cy="761"/>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SO1</w:t>
                              </w:r>
                            </w:p>
                            <w:p w:rsidR="007D495D" w:rsidRPr="00AD553E" w:rsidRDefault="007D495D" w:rsidP="007A5E11">
                              <w:pPr>
                                <w:jc w:val="center"/>
                                <w:rPr>
                                  <w:b/>
                                  <w:sz w:val="12"/>
                                  <w:szCs w:val="12"/>
                                </w:rPr>
                              </w:pPr>
                            </w:p>
                            <w:p w:rsidR="007D495D" w:rsidRPr="00A72883" w:rsidRDefault="007D495D" w:rsidP="007A5E11">
                              <w:pPr>
                                <w:jc w:val="center"/>
                                <w:rPr>
                                  <w:b/>
                                  <w:sz w:val="14"/>
                                </w:rPr>
                              </w:pPr>
                              <w:r w:rsidRPr="00AD553E">
                                <w:rPr>
                                  <w:b/>
                                  <w:sz w:val="12"/>
                                  <w:szCs w:val="12"/>
                                </w:rPr>
                                <w:t>Preprečevanje in boj proti</w:t>
                              </w:r>
                              <w:r>
                                <w:rPr>
                                  <w:b/>
                                  <w:sz w:val="14"/>
                                </w:rPr>
                                <w:t xml:space="preserve"> kriminalu</w:t>
                              </w:r>
                            </w:p>
                          </w:txbxContent>
                        </wps:txbx>
                        <wps:bodyPr rot="0" vert="horz" wrap="square" lIns="91440" tIns="45720" rIns="91440" bIns="45720" anchor="t" anchorCtr="0" upright="1">
                          <a:noAutofit/>
                        </wps:bodyPr>
                      </wps:wsp>
                      <wps:wsp>
                        <wps:cNvPr id="73" name="Polje z besedilom 2"/>
                        <wps:cNvSpPr txBox="1">
                          <a:spLocks noChangeArrowheads="1"/>
                        </wps:cNvSpPr>
                        <wps:spPr bwMode="auto">
                          <a:xfrm>
                            <a:off x="7558" y="5544"/>
                            <a:ext cx="1045" cy="899"/>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SO2</w:t>
                              </w:r>
                            </w:p>
                            <w:p w:rsidR="007D495D" w:rsidRPr="00AD553E" w:rsidRDefault="007D495D" w:rsidP="007A5E11">
                              <w:pPr>
                                <w:rPr>
                                  <w:b/>
                                  <w:sz w:val="12"/>
                                  <w:szCs w:val="12"/>
                                </w:rPr>
                              </w:pPr>
                            </w:p>
                            <w:p w:rsidR="007D495D" w:rsidRPr="00AD553E" w:rsidRDefault="007D495D" w:rsidP="007A5E11">
                              <w:pPr>
                                <w:jc w:val="center"/>
                                <w:rPr>
                                  <w:b/>
                                  <w:sz w:val="12"/>
                                  <w:szCs w:val="12"/>
                                </w:rPr>
                              </w:pPr>
                              <w:r w:rsidRPr="00AD553E">
                                <w:rPr>
                                  <w:b/>
                                  <w:sz w:val="12"/>
                                  <w:szCs w:val="12"/>
                                </w:rPr>
                                <w:t>Tveganja in krize</w:t>
                              </w:r>
                            </w:p>
                          </w:txbxContent>
                        </wps:txbx>
                        <wps:bodyPr rot="0" vert="horz" wrap="square" lIns="91440" tIns="45720" rIns="91440" bIns="45720" anchor="t" anchorCtr="0" upright="1">
                          <a:noAutofit/>
                        </wps:bodyPr>
                      </wps:wsp>
                      <wps:wsp>
                        <wps:cNvPr id="74" name="Polje z besedilom 2"/>
                        <wps:cNvSpPr txBox="1">
                          <a:spLocks noChangeArrowheads="1"/>
                        </wps:cNvSpPr>
                        <wps:spPr bwMode="auto">
                          <a:xfrm>
                            <a:off x="9492" y="4840"/>
                            <a:ext cx="1215" cy="813"/>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F739A" w:rsidP="007F739A">
                              <w:pPr>
                                <w:jc w:val="center"/>
                                <w:rPr>
                                  <w:b/>
                                  <w:sz w:val="12"/>
                                  <w:szCs w:val="12"/>
                                </w:rPr>
                              </w:pPr>
                              <w:r w:rsidRPr="00AD553E">
                                <w:rPr>
                                  <w:b/>
                                  <w:sz w:val="12"/>
                                  <w:szCs w:val="12"/>
                                </w:rPr>
                                <w:t>SO1</w:t>
                              </w:r>
                            </w:p>
                            <w:p w:rsidR="007D495D" w:rsidRPr="00AD553E" w:rsidRDefault="007D495D" w:rsidP="007A5E11">
                              <w:pPr>
                                <w:jc w:val="center"/>
                                <w:rPr>
                                  <w:b/>
                                  <w:sz w:val="12"/>
                                  <w:szCs w:val="12"/>
                                </w:rPr>
                              </w:pPr>
                              <w:r w:rsidRPr="00AD553E">
                                <w:rPr>
                                  <w:b/>
                                  <w:sz w:val="12"/>
                                  <w:szCs w:val="12"/>
                                </w:rPr>
                                <w:t>Azil</w:t>
                              </w:r>
                            </w:p>
                          </w:txbxContent>
                        </wps:txbx>
                        <wps:bodyPr rot="0" vert="horz" wrap="square" lIns="91440" tIns="45720" rIns="91440" bIns="45720" anchor="t" anchorCtr="0" upright="1">
                          <a:noAutofit/>
                        </wps:bodyPr>
                      </wps:wsp>
                      <wps:wsp>
                        <wps:cNvPr id="75" name="Polje z besedilom 2"/>
                        <wps:cNvSpPr txBox="1">
                          <a:spLocks noChangeArrowheads="1"/>
                        </wps:cNvSpPr>
                        <wps:spPr bwMode="auto">
                          <a:xfrm>
                            <a:off x="10805" y="4852"/>
                            <a:ext cx="1191" cy="801"/>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SO2</w:t>
                              </w:r>
                            </w:p>
                            <w:p w:rsidR="007D495D" w:rsidRPr="00AD553E" w:rsidRDefault="007D495D" w:rsidP="007A5E11">
                              <w:pPr>
                                <w:jc w:val="center"/>
                                <w:rPr>
                                  <w:b/>
                                  <w:sz w:val="12"/>
                                  <w:szCs w:val="12"/>
                                </w:rPr>
                              </w:pPr>
                              <w:r w:rsidRPr="00AD553E">
                                <w:rPr>
                                  <w:b/>
                                  <w:sz w:val="12"/>
                                  <w:szCs w:val="12"/>
                                </w:rPr>
                                <w:t>Vključevanje</w:t>
                              </w:r>
                            </w:p>
                          </w:txbxContent>
                        </wps:txbx>
                        <wps:bodyPr rot="0" vert="horz" wrap="square" lIns="91440" tIns="45720" rIns="91440" bIns="45720" anchor="t" anchorCtr="0" upright="1">
                          <a:noAutofit/>
                        </wps:bodyPr>
                      </wps:wsp>
                      <wps:wsp>
                        <wps:cNvPr id="76" name="Polje z besedilom 2"/>
                        <wps:cNvSpPr txBox="1">
                          <a:spLocks noChangeArrowheads="1"/>
                        </wps:cNvSpPr>
                        <wps:spPr bwMode="auto">
                          <a:xfrm>
                            <a:off x="12097" y="4852"/>
                            <a:ext cx="1160" cy="801"/>
                          </a:xfrm>
                          <a:prstGeom prst="rect">
                            <a:avLst/>
                          </a:prstGeom>
                          <a:solidFill>
                            <a:srgbClr val="FFFFFF"/>
                          </a:solidFill>
                          <a:ln w="9525">
                            <a:solidFill>
                              <a:srgbClr val="000000"/>
                            </a:solidFill>
                            <a:miter lim="800000"/>
                            <a:headEnd/>
                            <a:tailEnd/>
                          </a:ln>
                        </wps:spPr>
                        <wps:txb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F739A">
                              <w:pPr>
                                <w:jc w:val="center"/>
                                <w:rPr>
                                  <w:b/>
                                  <w:sz w:val="12"/>
                                  <w:szCs w:val="12"/>
                                </w:rPr>
                              </w:pPr>
                              <w:r w:rsidRPr="00AD553E">
                                <w:rPr>
                                  <w:b/>
                                  <w:sz w:val="12"/>
                                  <w:szCs w:val="12"/>
                                </w:rPr>
                                <w:t>SO3</w:t>
                              </w:r>
                            </w:p>
                            <w:p w:rsidR="007D495D" w:rsidRPr="00AD553E" w:rsidRDefault="007D495D" w:rsidP="007A5E11">
                              <w:pPr>
                                <w:jc w:val="center"/>
                                <w:rPr>
                                  <w:b/>
                                  <w:sz w:val="12"/>
                                  <w:szCs w:val="12"/>
                                </w:rPr>
                              </w:pPr>
                              <w:r w:rsidRPr="00AD553E">
                                <w:rPr>
                                  <w:b/>
                                  <w:sz w:val="12"/>
                                  <w:szCs w:val="12"/>
                                </w:rPr>
                                <w:t>Vračanje</w:t>
                              </w:r>
                            </w:p>
                          </w:txbxContent>
                        </wps:txbx>
                        <wps:bodyPr rot="0" vert="horz" wrap="square" lIns="91440" tIns="45720" rIns="91440" bIns="45720" anchor="t" anchorCtr="0" upright="1">
                          <a:noAutofit/>
                        </wps:bodyPr>
                      </wps:wsp>
                      <wps:wsp>
                        <wps:cNvPr id="77" name="Polje z besedilom 2"/>
                        <wps:cNvSpPr txBox="1">
                          <a:spLocks noChangeArrowheads="1"/>
                        </wps:cNvSpPr>
                        <wps:spPr bwMode="auto">
                          <a:xfrm>
                            <a:off x="1916" y="8859"/>
                            <a:ext cx="589" cy="298"/>
                          </a:xfrm>
                          <a:prstGeom prst="rect">
                            <a:avLst/>
                          </a:prstGeom>
                          <a:solidFill>
                            <a:srgbClr val="FFFFFF"/>
                          </a:solidFill>
                          <a:ln w="9525">
                            <a:solidFill>
                              <a:srgbClr val="000000"/>
                            </a:solidFill>
                            <a:miter lim="800000"/>
                            <a:headEnd/>
                            <a:tailEnd/>
                          </a:ln>
                        </wps:spPr>
                        <wps:txbx>
                          <w:txbxContent>
                            <w:p w:rsidR="007D495D" w:rsidRPr="00A72883" w:rsidRDefault="007D495D" w:rsidP="007A5E11">
                              <w:pPr>
                                <w:jc w:val="center"/>
                                <w:rPr>
                                  <w:b/>
                                  <w:sz w:val="14"/>
                                </w:rPr>
                              </w:pPr>
                            </w:p>
                          </w:txbxContent>
                        </wps:txbx>
                        <wps:bodyPr rot="0" vert="horz" wrap="square" lIns="91440" tIns="45720" rIns="91440" bIns="45720" anchor="t" anchorCtr="0" upright="1">
                          <a:noAutofit/>
                        </wps:bodyPr>
                      </wps:wsp>
                      <wps:wsp>
                        <wps:cNvPr id="78" name="Polje z besedilom 2"/>
                        <wps:cNvSpPr txBox="1">
                          <a:spLocks noChangeArrowheads="1"/>
                        </wps:cNvSpPr>
                        <wps:spPr bwMode="auto">
                          <a:xfrm>
                            <a:off x="2534" y="8859"/>
                            <a:ext cx="1465"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95D" w:rsidRPr="00A72883" w:rsidRDefault="007D495D" w:rsidP="007A5E11">
                              <w:pPr>
                                <w:rPr>
                                  <w:sz w:val="12"/>
                                </w:rPr>
                              </w:pPr>
                              <w:r w:rsidRPr="00A72883">
                                <w:rPr>
                                  <w:sz w:val="12"/>
                                </w:rPr>
                                <w:t>Po</w:t>
                              </w:r>
                              <w:r w:rsidR="00AD553E">
                                <w:rPr>
                                  <w:sz w:val="12"/>
                                </w:rPr>
                                <w:t xml:space="preserve">sebni cilj </w:t>
                              </w:r>
                              <w:r w:rsidRPr="00A72883">
                                <w:rPr>
                                  <w:sz w:val="12"/>
                                </w:rPr>
                                <w:t xml:space="preserve"> sklada</w:t>
                              </w:r>
                            </w:p>
                            <w:p w:rsidR="00AD553E" w:rsidRDefault="00AD55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0BE60" id="Skupina 68" o:spid="_x0000_s1026" alt="Naslov: Organizacijska shema – Opis: Organizacijska shema" style="position:absolute;margin-left:19.75pt;margin-top:169.1pt;width:605.35pt;height:244.25pt;z-index:251659264" coordorigin="1815,4840" coordsize="11442,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">
                <v:shapetype id="_x0000_t202" coordsize="21600,21600" o:spt="202" path="m,l,21600r21600,l21600,xe">
                  <v:stroke joinstyle="miter"/>
                  <v:path gradientshapeok="t" o:connecttype="rect"/>
                </v:shapetype>
                <v:shape id="Polje z besedilom 2" o:spid="_x0000_s1027" type="#_x0000_t202" style="position:absolute;left:1815;top:5544;width:1259;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SO1</w:t>
                        </w:r>
                      </w:p>
                      <w:p w:rsidR="007D495D" w:rsidRPr="00AD553E" w:rsidRDefault="007D495D" w:rsidP="007A5E11">
                        <w:pPr>
                          <w:rPr>
                            <w:b/>
                            <w:sz w:val="12"/>
                            <w:szCs w:val="12"/>
                          </w:rPr>
                        </w:pPr>
                      </w:p>
                      <w:p w:rsidR="007D495D" w:rsidRPr="00A72883" w:rsidRDefault="007D495D" w:rsidP="007A5E11">
                        <w:pPr>
                          <w:jc w:val="center"/>
                          <w:rPr>
                            <w:b/>
                            <w:sz w:val="14"/>
                          </w:rPr>
                        </w:pPr>
                        <w:r w:rsidRPr="00AD553E">
                          <w:rPr>
                            <w:b/>
                            <w:sz w:val="12"/>
                            <w:szCs w:val="12"/>
                          </w:rPr>
                          <w:t>Podpora skupni vizumski</w:t>
                        </w:r>
                        <w:r w:rsidRPr="00A72883">
                          <w:rPr>
                            <w:b/>
                            <w:sz w:val="14"/>
                          </w:rPr>
                          <w:t xml:space="preserve"> politiki</w:t>
                        </w:r>
                      </w:p>
                    </w:txbxContent>
                  </v:textbox>
                </v:shape>
                <v:shape id="Polje z besedilom 2" o:spid="_x0000_s1028" type="#_x0000_t202" style="position:absolute;left:3077;top:5544;width:1101;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SO2</w:t>
                        </w:r>
                      </w:p>
                      <w:p w:rsidR="007D495D" w:rsidRPr="00AD553E" w:rsidRDefault="007D495D" w:rsidP="007A5E11">
                        <w:pPr>
                          <w:rPr>
                            <w:b/>
                            <w:sz w:val="12"/>
                            <w:szCs w:val="12"/>
                          </w:rPr>
                        </w:pPr>
                      </w:p>
                      <w:p w:rsidR="007D495D" w:rsidRPr="00AD553E" w:rsidRDefault="007D495D" w:rsidP="007F739A">
                        <w:pPr>
                          <w:rPr>
                            <w:b/>
                            <w:sz w:val="12"/>
                            <w:szCs w:val="12"/>
                          </w:rPr>
                        </w:pPr>
                        <w:r w:rsidRPr="00AD553E">
                          <w:rPr>
                            <w:b/>
                            <w:sz w:val="12"/>
                            <w:szCs w:val="12"/>
                          </w:rPr>
                          <w:t>Meje</w:t>
                        </w:r>
                      </w:p>
                    </w:txbxContent>
                  </v:textbox>
                </v:shape>
                <v:shape id="Polje z besedilom 2" o:spid="_x0000_s1029" type="#_x0000_t202" style="position:absolute;left:4178;top:5556;width:1142;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SO3</w:t>
                        </w:r>
                      </w:p>
                      <w:p w:rsidR="007D495D" w:rsidRPr="00AD553E" w:rsidRDefault="007D495D" w:rsidP="007A5E11">
                        <w:pPr>
                          <w:rPr>
                            <w:b/>
                            <w:sz w:val="12"/>
                            <w:szCs w:val="12"/>
                          </w:rPr>
                        </w:pPr>
                      </w:p>
                      <w:p w:rsidR="007D495D" w:rsidRPr="00AD553E" w:rsidRDefault="007D495D" w:rsidP="007A5E11">
                        <w:pPr>
                          <w:jc w:val="center"/>
                          <w:rPr>
                            <w:b/>
                            <w:sz w:val="12"/>
                            <w:szCs w:val="12"/>
                          </w:rPr>
                        </w:pPr>
                        <w:r w:rsidRPr="00AD553E">
                          <w:rPr>
                            <w:b/>
                            <w:sz w:val="12"/>
                            <w:szCs w:val="12"/>
                          </w:rPr>
                          <w:t>Operativna podpora</w:t>
                        </w:r>
                      </w:p>
                    </w:txbxContent>
                  </v:textbox>
                </v:shape>
                <v:shape id="Polje z besedilom 2" o:spid="_x0000_s1030" type="#_x0000_t202" style="position:absolute;left:6100;top:5556;width:1259;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SO1</w:t>
                        </w:r>
                      </w:p>
                      <w:p w:rsidR="007D495D" w:rsidRPr="00AD553E" w:rsidRDefault="007D495D" w:rsidP="007A5E11">
                        <w:pPr>
                          <w:jc w:val="center"/>
                          <w:rPr>
                            <w:b/>
                            <w:sz w:val="12"/>
                            <w:szCs w:val="12"/>
                          </w:rPr>
                        </w:pPr>
                      </w:p>
                      <w:p w:rsidR="007D495D" w:rsidRPr="00A72883" w:rsidRDefault="007D495D" w:rsidP="007A5E11">
                        <w:pPr>
                          <w:jc w:val="center"/>
                          <w:rPr>
                            <w:b/>
                            <w:sz w:val="14"/>
                          </w:rPr>
                        </w:pPr>
                        <w:r w:rsidRPr="00AD553E">
                          <w:rPr>
                            <w:b/>
                            <w:sz w:val="12"/>
                            <w:szCs w:val="12"/>
                          </w:rPr>
                          <w:t>Preprečevanje in boj proti</w:t>
                        </w:r>
                        <w:r>
                          <w:rPr>
                            <w:b/>
                            <w:sz w:val="14"/>
                          </w:rPr>
                          <w:t xml:space="preserve"> kriminalu</w:t>
                        </w:r>
                      </w:p>
                    </w:txbxContent>
                  </v:textbox>
                </v:shape>
                <v:shape id="Polje z besedilom 2" o:spid="_x0000_s1031" type="#_x0000_t202" style="position:absolute;left:7558;top:5544;width:1045;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SO2</w:t>
                        </w:r>
                      </w:p>
                      <w:p w:rsidR="007D495D" w:rsidRPr="00AD553E" w:rsidRDefault="007D495D" w:rsidP="007A5E11">
                        <w:pPr>
                          <w:rPr>
                            <w:b/>
                            <w:sz w:val="12"/>
                            <w:szCs w:val="12"/>
                          </w:rPr>
                        </w:pPr>
                      </w:p>
                      <w:p w:rsidR="007D495D" w:rsidRPr="00AD553E" w:rsidRDefault="007D495D" w:rsidP="007A5E11">
                        <w:pPr>
                          <w:jc w:val="center"/>
                          <w:rPr>
                            <w:b/>
                            <w:sz w:val="12"/>
                            <w:szCs w:val="12"/>
                          </w:rPr>
                        </w:pPr>
                        <w:r w:rsidRPr="00AD553E">
                          <w:rPr>
                            <w:b/>
                            <w:sz w:val="12"/>
                            <w:szCs w:val="12"/>
                          </w:rPr>
                          <w:t>Tveganja in krize</w:t>
                        </w:r>
                      </w:p>
                    </w:txbxContent>
                  </v:textbox>
                </v:shape>
                <v:shape id="Polje z besedilom 2" o:spid="_x0000_s1032" type="#_x0000_t202" style="position:absolute;left:9492;top:4840;width:1215;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F739A" w:rsidP="007F739A">
                        <w:pPr>
                          <w:jc w:val="center"/>
                          <w:rPr>
                            <w:b/>
                            <w:sz w:val="12"/>
                            <w:szCs w:val="12"/>
                          </w:rPr>
                        </w:pPr>
                        <w:r w:rsidRPr="00AD553E">
                          <w:rPr>
                            <w:b/>
                            <w:sz w:val="12"/>
                            <w:szCs w:val="12"/>
                          </w:rPr>
                          <w:t>SO1</w:t>
                        </w:r>
                      </w:p>
                      <w:p w:rsidR="007D495D" w:rsidRPr="00AD553E" w:rsidRDefault="007D495D" w:rsidP="007A5E11">
                        <w:pPr>
                          <w:jc w:val="center"/>
                          <w:rPr>
                            <w:b/>
                            <w:sz w:val="12"/>
                            <w:szCs w:val="12"/>
                          </w:rPr>
                        </w:pPr>
                        <w:r w:rsidRPr="00AD553E">
                          <w:rPr>
                            <w:b/>
                            <w:sz w:val="12"/>
                            <w:szCs w:val="12"/>
                          </w:rPr>
                          <w:t>Azil</w:t>
                        </w:r>
                      </w:p>
                    </w:txbxContent>
                  </v:textbox>
                </v:shape>
                <v:shape id="Polje z besedilom 2" o:spid="_x0000_s1033" type="#_x0000_t202" style="position:absolute;left:10805;top:4852;width:1191;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A5E11">
                        <w:pPr>
                          <w:jc w:val="center"/>
                          <w:rPr>
                            <w:b/>
                            <w:sz w:val="12"/>
                            <w:szCs w:val="12"/>
                          </w:rPr>
                        </w:pPr>
                        <w:r w:rsidRPr="00AD553E">
                          <w:rPr>
                            <w:b/>
                            <w:sz w:val="12"/>
                            <w:szCs w:val="12"/>
                          </w:rPr>
                          <w:t>SO2</w:t>
                        </w:r>
                      </w:p>
                      <w:p w:rsidR="007D495D" w:rsidRPr="00AD553E" w:rsidRDefault="007D495D" w:rsidP="007A5E11">
                        <w:pPr>
                          <w:jc w:val="center"/>
                          <w:rPr>
                            <w:b/>
                            <w:sz w:val="12"/>
                            <w:szCs w:val="12"/>
                          </w:rPr>
                        </w:pPr>
                        <w:r w:rsidRPr="00AD553E">
                          <w:rPr>
                            <w:b/>
                            <w:sz w:val="12"/>
                            <w:szCs w:val="12"/>
                          </w:rPr>
                          <w:t>Vključevanje</w:t>
                        </w:r>
                      </w:p>
                    </w:txbxContent>
                  </v:textbox>
                </v:shape>
                <v:shape id="Polje z besedilom 2" o:spid="_x0000_s1034" type="#_x0000_t202" style="position:absolute;left:12097;top:4852;width:116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7D495D" w:rsidRPr="00AD553E" w:rsidRDefault="007D495D" w:rsidP="007A5E11">
                        <w:pPr>
                          <w:jc w:val="center"/>
                          <w:rPr>
                            <w:b/>
                            <w:sz w:val="12"/>
                            <w:szCs w:val="12"/>
                          </w:rPr>
                        </w:pPr>
                        <w:r w:rsidRPr="00AD553E">
                          <w:rPr>
                            <w:b/>
                            <w:sz w:val="12"/>
                            <w:szCs w:val="12"/>
                          </w:rPr>
                          <w:t>POSEBNI CILJ</w:t>
                        </w:r>
                      </w:p>
                      <w:p w:rsidR="007D495D" w:rsidRPr="00AD553E" w:rsidRDefault="007D495D" w:rsidP="007F739A">
                        <w:pPr>
                          <w:jc w:val="center"/>
                          <w:rPr>
                            <w:b/>
                            <w:sz w:val="12"/>
                            <w:szCs w:val="12"/>
                          </w:rPr>
                        </w:pPr>
                        <w:r w:rsidRPr="00AD553E">
                          <w:rPr>
                            <w:b/>
                            <w:sz w:val="12"/>
                            <w:szCs w:val="12"/>
                          </w:rPr>
                          <w:t>SO3</w:t>
                        </w:r>
                      </w:p>
                      <w:p w:rsidR="007D495D" w:rsidRPr="00AD553E" w:rsidRDefault="007D495D" w:rsidP="007A5E11">
                        <w:pPr>
                          <w:jc w:val="center"/>
                          <w:rPr>
                            <w:b/>
                            <w:sz w:val="12"/>
                            <w:szCs w:val="12"/>
                          </w:rPr>
                        </w:pPr>
                        <w:r w:rsidRPr="00AD553E">
                          <w:rPr>
                            <w:b/>
                            <w:sz w:val="12"/>
                            <w:szCs w:val="12"/>
                          </w:rPr>
                          <w:t>Vračanje</w:t>
                        </w:r>
                      </w:p>
                    </w:txbxContent>
                  </v:textbox>
                </v:shape>
                <v:shape id="Polje z besedilom 2" o:spid="_x0000_s1035" type="#_x0000_t202" style="position:absolute;left:1916;top:8859;width:58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7D495D" w:rsidRPr="00A72883" w:rsidRDefault="007D495D" w:rsidP="007A5E11">
                        <w:pPr>
                          <w:jc w:val="center"/>
                          <w:rPr>
                            <w:b/>
                            <w:sz w:val="14"/>
                          </w:rPr>
                        </w:pPr>
                      </w:p>
                    </w:txbxContent>
                  </v:textbox>
                </v:shape>
                <v:shape id="Polje z besedilom 2" o:spid="_x0000_s1036" type="#_x0000_t202" style="position:absolute;left:2534;top:8859;width:146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rsidR="007D495D" w:rsidRPr="00A72883" w:rsidRDefault="007D495D" w:rsidP="007A5E11">
                        <w:pPr>
                          <w:rPr>
                            <w:sz w:val="12"/>
                          </w:rPr>
                        </w:pPr>
                        <w:r w:rsidRPr="00A72883">
                          <w:rPr>
                            <w:sz w:val="12"/>
                          </w:rPr>
                          <w:t>Po</w:t>
                        </w:r>
                        <w:r w:rsidR="00AD553E">
                          <w:rPr>
                            <w:sz w:val="12"/>
                          </w:rPr>
                          <w:t xml:space="preserve">sebni cilj </w:t>
                        </w:r>
                        <w:r w:rsidRPr="00A72883">
                          <w:rPr>
                            <w:sz w:val="12"/>
                          </w:rPr>
                          <w:t xml:space="preserve"> sklada</w:t>
                        </w:r>
                      </w:p>
                      <w:p w:rsidR="00AD553E" w:rsidRDefault="00AD553E"/>
                    </w:txbxContent>
                  </v:textbox>
                </v:shape>
              </v:group>
            </w:pict>
          </mc:Fallback>
        </mc:AlternateContent>
      </w:r>
      <w:r w:rsidR="00226375" w:rsidRPr="007A5E11">
        <w:rPr>
          <w:rFonts w:cs="Arial"/>
          <w:noProof/>
          <w:szCs w:val="22"/>
        </w:rPr>
        <mc:AlternateContent>
          <mc:Choice Requires="wps">
            <w:drawing>
              <wp:anchor distT="0" distB="0" distL="114300" distR="114300" simplePos="0" relativeHeight="251660288" behindDoc="0" locked="0" layoutInCell="1" allowOverlap="1" wp14:anchorId="53A40AA1" wp14:editId="5738A312">
                <wp:simplePos x="0" y="0"/>
                <wp:positionH relativeFrom="column">
                  <wp:posOffset>3535045</wp:posOffset>
                </wp:positionH>
                <wp:positionV relativeFrom="paragraph">
                  <wp:posOffset>293017</wp:posOffset>
                </wp:positionV>
                <wp:extent cx="1190625" cy="714375"/>
                <wp:effectExtent l="0" t="0" r="28575" b="28575"/>
                <wp:wrapNone/>
                <wp:docPr id="79" name="Polje z besedilom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14375"/>
                        </a:xfrm>
                        <a:prstGeom prst="rect">
                          <a:avLst/>
                        </a:prstGeom>
                        <a:solidFill>
                          <a:srgbClr val="E36C0A"/>
                        </a:solidFill>
                        <a:ln w="9525">
                          <a:solidFill>
                            <a:srgbClr val="000000"/>
                          </a:solidFill>
                          <a:miter lim="800000"/>
                          <a:headEnd/>
                          <a:tailEnd/>
                        </a:ln>
                      </wps:spPr>
                      <wps:txbx>
                        <w:txbxContent>
                          <w:p w:rsidR="007D495D" w:rsidRDefault="007D495D" w:rsidP="007A5E11">
                            <w:pPr>
                              <w:jc w:val="center"/>
                              <w:rPr>
                                <w:b/>
                                <w:sz w:val="14"/>
                              </w:rPr>
                            </w:pPr>
                            <w:bookmarkStart w:id="3" w:name="_GoBack"/>
                            <w:r>
                              <w:rPr>
                                <w:b/>
                                <w:sz w:val="14"/>
                              </w:rPr>
                              <w:t>ODGOVORNI ORGAN</w:t>
                            </w:r>
                          </w:p>
                          <w:p w:rsidR="007D495D" w:rsidRPr="00A72883" w:rsidRDefault="007D495D" w:rsidP="007A5E11">
                            <w:pPr>
                              <w:jc w:val="center"/>
                              <w:rPr>
                                <w:sz w:val="14"/>
                              </w:rPr>
                            </w:pPr>
                            <w:r w:rsidRPr="00A72883">
                              <w:rPr>
                                <w:sz w:val="14"/>
                              </w:rPr>
                              <w:t>MNZ, SES</w:t>
                            </w:r>
                            <w:r>
                              <w:rPr>
                                <w:sz w:val="14"/>
                              </w:rPr>
                              <w:t>,</w:t>
                            </w:r>
                            <w:r w:rsidRPr="00A72883">
                              <w:rPr>
                                <w:sz w:val="14"/>
                              </w:rPr>
                              <w:t xml:space="preserve"> PESNVM</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40AA1" id="Polje z besedilom 79" o:spid="_x0000_s1037" type="#_x0000_t202" style="position:absolute;margin-left:278.35pt;margin-top:23.05pt;width:93.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" fillcolor="#e36c0a">
                <v:textbox>
                  <w:txbxContent>
                    <w:p w:rsidR="007D495D" w:rsidRDefault="007D495D" w:rsidP="007A5E11">
                      <w:pPr>
                        <w:jc w:val="center"/>
                        <w:rPr>
                          <w:b/>
                          <w:sz w:val="14"/>
                        </w:rPr>
                      </w:pPr>
                      <w:bookmarkStart w:id="4" w:name="_GoBack"/>
                      <w:r>
                        <w:rPr>
                          <w:b/>
                          <w:sz w:val="14"/>
                        </w:rPr>
                        <w:t>ODGOVORNI ORGAN</w:t>
                      </w:r>
                    </w:p>
                    <w:p w:rsidR="007D495D" w:rsidRPr="00A72883" w:rsidRDefault="007D495D" w:rsidP="007A5E11">
                      <w:pPr>
                        <w:jc w:val="center"/>
                        <w:rPr>
                          <w:sz w:val="14"/>
                        </w:rPr>
                      </w:pPr>
                      <w:r w:rsidRPr="00A72883">
                        <w:rPr>
                          <w:sz w:val="14"/>
                        </w:rPr>
                        <w:t>MNZ, SES</w:t>
                      </w:r>
                      <w:r>
                        <w:rPr>
                          <w:sz w:val="14"/>
                        </w:rPr>
                        <w:t>,</w:t>
                      </w:r>
                      <w:r w:rsidRPr="00A72883">
                        <w:rPr>
                          <w:sz w:val="14"/>
                        </w:rPr>
                        <w:t xml:space="preserve"> PESNVM</w:t>
                      </w:r>
                      <w:bookmarkEnd w:id="4"/>
                    </w:p>
                  </w:txbxContent>
                </v:textbox>
              </v:shape>
            </w:pict>
          </mc:Fallback>
        </mc:AlternateContent>
      </w:r>
      <w:r w:rsidR="007D495D" w:rsidRPr="007A5E11">
        <w:rPr>
          <w:rFonts w:cs="Arial"/>
          <w:noProof/>
          <w:szCs w:val="22"/>
        </w:rPr>
        <w:drawing>
          <wp:inline distT="0" distB="0" distL="0" distR="0" wp14:anchorId="32D4C88D" wp14:editId="281E88FD">
            <wp:extent cx="7758667" cy="5339645"/>
            <wp:effectExtent l="0" t="0" r="0" b="0"/>
            <wp:docPr id="67" name="Slika 67" descr="Organizacijska shema" title="Organizacijska 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t="3333"/>
                    <a:stretch>
                      <a:fillRect/>
                    </a:stretch>
                  </pic:blipFill>
                  <pic:spPr bwMode="auto">
                    <a:xfrm>
                      <a:off x="0" y="0"/>
                      <a:ext cx="7758667" cy="5339645"/>
                    </a:xfrm>
                    <a:prstGeom prst="rect">
                      <a:avLst/>
                    </a:prstGeom>
                    <a:noFill/>
                    <a:ln>
                      <a:noFill/>
                    </a:ln>
                  </pic:spPr>
                </pic:pic>
              </a:graphicData>
            </a:graphic>
          </wp:inline>
        </w:drawing>
      </w:r>
    </w:p>
    <w:p w:rsidR="007D495D" w:rsidRDefault="007D495D">
      <w:pPr>
        <w:jc w:val="left"/>
        <w:rPr>
          <w:rFonts w:cs="Arial"/>
          <w:szCs w:val="22"/>
        </w:rPr>
        <w:sectPr w:rsidR="007D495D" w:rsidSect="007D495D">
          <w:pgSz w:w="16838" w:h="11906" w:orient="landscape"/>
          <w:pgMar w:top="1418" w:right="1418" w:bottom="1418" w:left="1418" w:header="709" w:footer="709" w:gutter="0"/>
          <w:cols w:space="708"/>
          <w:titlePg/>
          <w:docGrid w:linePitch="360"/>
        </w:sectPr>
      </w:pPr>
    </w:p>
    <w:p w:rsidR="00584099" w:rsidRPr="0081343F" w:rsidRDefault="00584099" w:rsidP="00131B2F">
      <w:pPr>
        <w:pageBreakBefore/>
        <w:jc w:val="left"/>
        <w:rPr>
          <w:rFonts w:cs="Arial"/>
          <w:szCs w:val="22"/>
        </w:rPr>
      </w:pPr>
      <w:r>
        <w:rPr>
          <w:rFonts w:cs="Arial"/>
          <w:szCs w:val="22"/>
        </w:rPr>
        <w:lastRenderedPageBreak/>
        <w:t>Komisija je s sklepoma</w:t>
      </w:r>
      <w:r w:rsidRPr="00CB11E7">
        <w:rPr>
          <w:rFonts w:cs="Arial"/>
          <w:szCs w:val="22"/>
        </w:rPr>
        <w:t xml:space="preserve"> odobrila nacionaln</w:t>
      </w:r>
      <w:r>
        <w:rPr>
          <w:rFonts w:cs="Arial"/>
          <w:szCs w:val="22"/>
        </w:rPr>
        <w:t>e</w:t>
      </w:r>
      <w:r w:rsidRPr="00CB11E7">
        <w:rPr>
          <w:rFonts w:cs="Arial"/>
          <w:szCs w:val="22"/>
        </w:rPr>
        <w:t xml:space="preserve"> program</w:t>
      </w:r>
      <w:r>
        <w:rPr>
          <w:rFonts w:cs="Arial"/>
          <w:szCs w:val="22"/>
        </w:rPr>
        <w:t>e Republike Slovenije</w:t>
      </w:r>
      <w:r w:rsidRPr="00CB11E7">
        <w:rPr>
          <w:rFonts w:cs="Arial"/>
          <w:szCs w:val="22"/>
        </w:rPr>
        <w:t xml:space="preserve"> za AMIF</w:t>
      </w:r>
      <w:r>
        <w:rPr>
          <w:rFonts w:cs="Arial"/>
          <w:szCs w:val="22"/>
        </w:rPr>
        <w:t xml:space="preserve"> in ISF. </w:t>
      </w:r>
    </w:p>
    <w:p w:rsidR="00584099" w:rsidRDefault="00584099" w:rsidP="00584099">
      <w:pPr>
        <w:rPr>
          <w:rFonts w:cs="Arial"/>
          <w:szCs w:val="22"/>
          <w:lang w:eastAsia="ar-SA"/>
        </w:rPr>
      </w:pPr>
    </w:p>
    <w:p w:rsidR="00584099" w:rsidRPr="0081343F" w:rsidRDefault="00584099" w:rsidP="00584099">
      <w:pPr>
        <w:rPr>
          <w:rFonts w:cs="Arial"/>
          <w:szCs w:val="22"/>
          <w:lang w:eastAsia="ar-SA"/>
        </w:rPr>
      </w:pPr>
      <w:r w:rsidRPr="0081343F">
        <w:rPr>
          <w:rFonts w:cs="Arial"/>
          <w:szCs w:val="22"/>
          <w:lang w:eastAsia="ar-SA"/>
        </w:rPr>
        <w:t xml:space="preserve">Tabela št. </w:t>
      </w:r>
      <w:r>
        <w:rPr>
          <w:rFonts w:cs="Arial"/>
          <w:szCs w:val="22"/>
          <w:lang w:eastAsia="ar-SA"/>
        </w:rPr>
        <w:t>3</w:t>
      </w:r>
      <w:r w:rsidRPr="0081343F">
        <w:rPr>
          <w:rFonts w:cs="Arial"/>
          <w:szCs w:val="22"/>
          <w:lang w:eastAsia="ar-SA"/>
        </w:rPr>
        <w:t xml:space="preserve">: </w:t>
      </w:r>
      <w:r>
        <w:rPr>
          <w:rFonts w:cs="Arial"/>
          <w:szCs w:val="22"/>
          <w:lang w:eastAsia="ar-SA"/>
        </w:rPr>
        <w:t>O</w:t>
      </w:r>
      <w:r w:rsidRPr="0081343F">
        <w:rPr>
          <w:rFonts w:ascii="Helvetica" w:hAnsi="Helvetica" w:cs="Helvetica"/>
          <w:szCs w:val="22"/>
        </w:rPr>
        <w:t xml:space="preserve">kvirno dodeljena sredstva skladov </w:t>
      </w:r>
      <w:r>
        <w:rPr>
          <w:rFonts w:ascii="Helvetica" w:hAnsi="Helvetica" w:cs="Helvetica"/>
          <w:szCs w:val="22"/>
        </w:rPr>
        <w:t xml:space="preserve">po </w:t>
      </w:r>
      <w:r w:rsidR="00782270">
        <w:rPr>
          <w:rFonts w:ascii="Helvetica" w:hAnsi="Helvetica" w:cs="Helvetica"/>
          <w:szCs w:val="22"/>
        </w:rPr>
        <w:t xml:space="preserve">posebnih ciljih </w:t>
      </w:r>
      <w:r w:rsidRPr="0081343F">
        <w:rPr>
          <w:rFonts w:ascii="Helvetica" w:hAnsi="Helvetica" w:cs="Helvetica"/>
          <w:szCs w:val="22"/>
        </w:rPr>
        <w:t>ter predviden prispevek Skupnosti v skladu s potrjenimi večletnimi programi skladov</w:t>
      </w:r>
    </w:p>
    <w:p w:rsidR="00584099" w:rsidRDefault="00584099" w:rsidP="00584099">
      <w:pPr>
        <w:tabs>
          <w:tab w:val="left" w:pos="1806"/>
        </w:tabs>
        <w:rPr>
          <w:rFonts w:cs="Arial"/>
          <w:szCs w:val="22"/>
          <w:lang w:eastAsia="ar-SA"/>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9"/>
        <w:gridCol w:w="2197"/>
        <w:gridCol w:w="2198"/>
        <w:gridCol w:w="1771"/>
        <w:gridCol w:w="1772"/>
      </w:tblGrid>
      <w:tr w:rsidR="00584099" w:rsidRPr="00A35F3D" w:rsidTr="00584099">
        <w:trPr>
          <w:trHeight w:val="600"/>
        </w:trPr>
        <w:tc>
          <w:tcPr>
            <w:tcW w:w="1149" w:type="dxa"/>
            <w:shd w:val="clear" w:color="auto" w:fill="auto"/>
            <w:noWrap/>
            <w:vAlign w:val="bottom"/>
            <w:hideMark/>
          </w:tcPr>
          <w:p w:rsidR="00584099" w:rsidRPr="00A35F3D" w:rsidRDefault="00584099" w:rsidP="00584099">
            <w:pPr>
              <w:jc w:val="center"/>
              <w:rPr>
                <w:rFonts w:cs="Arial"/>
                <w:b/>
                <w:bCs/>
                <w:color w:val="000000"/>
                <w:szCs w:val="22"/>
              </w:rPr>
            </w:pPr>
            <w:r w:rsidRPr="00A35F3D">
              <w:rPr>
                <w:rFonts w:cs="Arial"/>
                <w:b/>
                <w:bCs/>
                <w:color w:val="000000"/>
                <w:szCs w:val="22"/>
              </w:rPr>
              <w:t>Sklad</w:t>
            </w:r>
          </w:p>
        </w:tc>
        <w:tc>
          <w:tcPr>
            <w:tcW w:w="2197" w:type="dxa"/>
            <w:shd w:val="clear" w:color="auto" w:fill="auto"/>
            <w:noWrap/>
            <w:vAlign w:val="bottom"/>
            <w:hideMark/>
          </w:tcPr>
          <w:p w:rsidR="00584099" w:rsidRPr="00A35F3D" w:rsidRDefault="00782270" w:rsidP="00584099">
            <w:pPr>
              <w:jc w:val="center"/>
              <w:rPr>
                <w:rFonts w:cs="Arial"/>
                <w:b/>
                <w:bCs/>
                <w:color w:val="000000"/>
                <w:szCs w:val="22"/>
              </w:rPr>
            </w:pPr>
            <w:r>
              <w:rPr>
                <w:rFonts w:cs="Arial"/>
                <w:b/>
                <w:bCs/>
                <w:color w:val="000000"/>
                <w:szCs w:val="22"/>
              </w:rPr>
              <w:t>Posebni cilj</w:t>
            </w:r>
          </w:p>
        </w:tc>
        <w:tc>
          <w:tcPr>
            <w:tcW w:w="2198" w:type="dxa"/>
            <w:shd w:val="clear" w:color="auto" w:fill="auto"/>
            <w:noWrap/>
            <w:vAlign w:val="bottom"/>
            <w:hideMark/>
          </w:tcPr>
          <w:p w:rsidR="00584099" w:rsidRPr="00A35F3D" w:rsidRDefault="00584099" w:rsidP="00584099">
            <w:pPr>
              <w:jc w:val="center"/>
              <w:rPr>
                <w:rFonts w:cs="Arial"/>
                <w:b/>
                <w:bCs/>
                <w:color w:val="000000"/>
                <w:szCs w:val="22"/>
              </w:rPr>
            </w:pPr>
            <w:r w:rsidRPr="00A35F3D">
              <w:rPr>
                <w:rFonts w:cs="Arial"/>
                <w:b/>
                <w:bCs/>
                <w:color w:val="000000"/>
                <w:szCs w:val="22"/>
              </w:rPr>
              <w:t>Sredstva v EUR</w:t>
            </w:r>
          </w:p>
        </w:tc>
        <w:tc>
          <w:tcPr>
            <w:tcW w:w="1771" w:type="dxa"/>
            <w:shd w:val="clear" w:color="auto" w:fill="auto"/>
            <w:vAlign w:val="bottom"/>
            <w:hideMark/>
          </w:tcPr>
          <w:p w:rsidR="00584099" w:rsidRPr="00A35F3D" w:rsidRDefault="00584099" w:rsidP="00584099">
            <w:pPr>
              <w:jc w:val="center"/>
              <w:rPr>
                <w:rFonts w:cs="Arial"/>
                <w:b/>
                <w:bCs/>
                <w:color w:val="000000"/>
                <w:szCs w:val="22"/>
              </w:rPr>
            </w:pPr>
            <w:r w:rsidRPr="00A35F3D">
              <w:rPr>
                <w:rFonts w:cs="Arial"/>
                <w:b/>
                <w:bCs/>
                <w:color w:val="000000"/>
                <w:szCs w:val="22"/>
              </w:rPr>
              <w:t xml:space="preserve">% sklada </w:t>
            </w:r>
            <w:r>
              <w:rPr>
                <w:rFonts w:cs="Arial"/>
                <w:b/>
                <w:bCs/>
                <w:color w:val="000000"/>
                <w:szCs w:val="22"/>
              </w:rPr>
              <w:t>na</w:t>
            </w:r>
            <w:r w:rsidRPr="00A35F3D">
              <w:rPr>
                <w:rFonts w:cs="Arial"/>
                <w:b/>
                <w:bCs/>
                <w:color w:val="000000"/>
                <w:szCs w:val="22"/>
              </w:rPr>
              <w:t xml:space="preserve"> vsa sredstva</w:t>
            </w:r>
          </w:p>
        </w:tc>
        <w:tc>
          <w:tcPr>
            <w:tcW w:w="1772" w:type="dxa"/>
            <w:shd w:val="clear" w:color="auto" w:fill="auto"/>
            <w:vAlign w:val="bottom"/>
            <w:hideMark/>
          </w:tcPr>
          <w:p w:rsidR="00584099" w:rsidRPr="00A35F3D" w:rsidRDefault="00584099" w:rsidP="00782270">
            <w:pPr>
              <w:jc w:val="center"/>
              <w:rPr>
                <w:rFonts w:cs="Arial"/>
                <w:b/>
                <w:bCs/>
                <w:color w:val="000000"/>
                <w:szCs w:val="22"/>
              </w:rPr>
            </w:pPr>
            <w:r w:rsidRPr="00A35F3D">
              <w:rPr>
                <w:rFonts w:cs="Arial"/>
                <w:b/>
                <w:bCs/>
                <w:color w:val="000000"/>
                <w:szCs w:val="22"/>
              </w:rPr>
              <w:t xml:space="preserve">% </w:t>
            </w:r>
            <w:r w:rsidR="00782270">
              <w:rPr>
                <w:rFonts w:cs="Arial"/>
                <w:b/>
                <w:bCs/>
                <w:color w:val="000000"/>
                <w:szCs w:val="22"/>
              </w:rPr>
              <w:t>posebnega cilja</w:t>
            </w:r>
            <w:r w:rsidR="00782270" w:rsidRPr="00A35F3D">
              <w:rPr>
                <w:rFonts w:cs="Arial"/>
                <w:b/>
                <w:bCs/>
                <w:color w:val="000000"/>
                <w:szCs w:val="22"/>
              </w:rPr>
              <w:t xml:space="preserve"> </w:t>
            </w:r>
            <w:r w:rsidRPr="00A35F3D">
              <w:rPr>
                <w:rFonts w:cs="Arial"/>
                <w:b/>
                <w:bCs/>
                <w:color w:val="000000"/>
                <w:szCs w:val="22"/>
              </w:rPr>
              <w:t>na vsa sredstva</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AMIF</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Azil</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3.228.894</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584099" w:rsidP="00C03223">
            <w:pPr>
              <w:jc w:val="right"/>
              <w:rPr>
                <w:rFonts w:cs="Arial"/>
                <w:color w:val="000000"/>
                <w:szCs w:val="22"/>
              </w:rPr>
            </w:pPr>
            <w:r w:rsidRPr="00A35F3D">
              <w:rPr>
                <w:rFonts w:cs="Arial"/>
                <w:color w:val="000000"/>
                <w:szCs w:val="22"/>
              </w:rPr>
              <w:t>5,</w:t>
            </w:r>
            <w:r w:rsidR="00C03223">
              <w:rPr>
                <w:rFonts w:cs="Arial"/>
                <w:color w:val="000000"/>
                <w:szCs w:val="22"/>
              </w:rPr>
              <w:t>4</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AMIF</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Vključevanje</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5.166.230</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8,7</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AMIF</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Vračanje</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4.520.452</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7,6</w:t>
            </w:r>
          </w:p>
        </w:tc>
      </w:tr>
      <w:tr w:rsidR="00C03223" w:rsidRPr="00A35F3D" w:rsidTr="00584099">
        <w:trPr>
          <w:trHeight w:val="285"/>
        </w:trPr>
        <w:tc>
          <w:tcPr>
            <w:tcW w:w="1149" w:type="dxa"/>
            <w:shd w:val="clear" w:color="auto" w:fill="auto"/>
            <w:noWrap/>
            <w:vAlign w:val="bottom"/>
          </w:tcPr>
          <w:p w:rsidR="00C03223" w:rsidRPr="00A35F3D" w:rsidRDefault="00C03223" w:rsidP="00C03223">
            <w:pPr>
              <w:jc w:val="center"/>
              <w:rPr>
                <w:rFonts w:cs="Arial"/>
                <w:color w:val="000000"/>
                <w:szCs w:val="22"/>
              </w:rPr>
            </w:pPr>
            <w:r w:rsidRPr="00A35F3D">
              <w:rPr>
                <w:rFonts w:cs="Arial"/>
                <w:color w:val="000000"/>
                <w:szCs w:val="22"/>
              </w:rPr>
              <w:t>AMIF</w:t>
            </w:r>
          </w:p>
        </w:tc>
        <w:tc>
          <w:tcPr>
            <w:tcW w:w="2197" w:type="dxa"/>
            <w:shd w:val="clear" w:color="auto" w:fill="auto"/>
            <w:noWrap/>
            <w:vAlign w:val="bottom"/>
          </w:tcPr>
          <w:p w:rsidR="00C03223" w:rsidRPr="00A35F3D" w:rsidRDefault="00C03223" w:rsidP="00C03223">
            <w:pPr>
              <w:jc w:val="center"/>
              <w:rPr>
                <w:rFonts w:cs="Arial"/>
                <w:color w:val="000000"/>
                <w:szCs w:val="22"/>
              </w:rPr>
            </w:pPr>
            <w:r>
              <w:rPr>
                <w:rFonts w:cs="Arial"/>
                <w:color w:val="000000"/>
                <w:szCs w:val="22"/>
              </w:rPr>
              <w:t>Posebni primeri</w:t>
            </w:r>
          </w:p>
        </w:tc>
        <w:tc>
          <w:tcPr>
            <w:tcW w:w="2198" w:type="dxa"/>
            <w:shd w:val="clear" w:color="auto" w:fill="auto"/>
            <w:noWrap/>
            <w:vAlign w:val="bottom"/>
          </w:tcPr>
          <w:p w:rsidR="00C03223" w:rsidRPr="00A35F3D" w:rsidRDefault="00C03223" w:rsidP="00C03223">
            <w:pPr>
              <w:jc w:val="right"/>
              <w:rPr>
                <w:rFonts w:cs="Arial"/>
                <w:color w:val="000000"/>
                <w:szCs w:val="22"/>
              </w:rPr>
            </w:pPr>
            <w:r>
              <w:rPr>
                <w:rFonts w:cs="Arial"/>
                <w:color w:val="000000"/>
                <w:szCs w:val="22"/>
              </w:rPr>
              <w:t>3.602.000</w:t>
            </w:r>
          </w:p>
        </w:tc>
        <w:tc>
          <w:tcPr>
            <w:tcW w:w="1771" w:type="dxa"/>
            <w:shd w:val="clear" w:color="auto" w:fill="auto"/>
            <w:noWrap/>
            <w:vAlign w:val="bottom"/>
          </w:tcPr>
          <w:p w:rsidR="00C03223" w:rsidRPr="00A35F3D" w:rsidRDefault="00C03223" w:rsidP="00C03223">
            <w:pPr>
              <w:jc w:val="right"/>
              <w:rPr>
                <w:rFonts w:cs="Arial"/>
                <w:color w:val="000000"/>
                <w:szCs w:val="22"/>
              </w:rPr>
            </w:pPr>
          </w:p>
        </w:tc>
        <w:tc>
          <w:tcPr>
            <w:tcW w:w="1772" w:type="dxa"/>
            <w:shd w:val="clear" w:color="auto" w:fill="auto"/>
            <w:noWrap/>
            <w:vAlign w:val="bottom"/>
          </w:tcPr>
          <w:p w:rsidR="00C03223" w:rsidRPr="00A35F3D" w:rsidRDefault="00C03223" w:rsidP="00C03223">
            <w:pPr>
              <w:jc w:val="right"/>
              <w:rPr>
                <w:rFonts w:cs="Arial"/>
                <w:color w:val="000000"/>
                <w:szCs w:val="22"/>
              </w:rPr>
            </w:pPr>
            <w:r>
              <w:rPr>
                <w:rFonts w:cs="Arial"/>
                <w:color w:val="000000"/>
                <w:szCs w:val="22"/>
              </w:rPr>
              <w:t>6</w:t>
            </w:r>
            <w:r w:rsidRPr="00A35F3D">
              <w:rPr>
                <w:rFonts w:cs="Arial"/>
                <w:color w:val="000000"/>
                <w:szCs w:val="22"/>
              </w:rPr>
              <w:t>,1</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AMIF</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Tehnična pomoč</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1.809.901</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3,0</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p>
        </w:tc>
        <w:tc>
          <w:tcPr>
            <w:tcW w:w="2197" w:type="dxa"/>
            <w:shd w:val="clear" w:color="auto" w:fill="auto"/>
            <w:noWrap/>
            <w:vAlign w:val="bottom"/>
            <w:hideMark/>
          </w:tcPr>
          <w:p w:rsidR="00584099" w:rsidRPr="00741F9A" w:rsidRDefault="00584099" w:rsidP="00584099">
            <w:pPr>
              <w:jc w:val="center"/>
              <w:rPr>
                <w:rFonts w:cs="Arial"/>
                <w:b/>
                <w:color w:val="000000"/>
                <w:szCs w:val="22"/>
              </w:rPr>
            </w:pPr>
            <w:r w:rsidRPr="00741F9A">
              <w:rPr>
                <w:rFonts w:cs="Arial"/>
                <w:b/>
                <w:color w:val="000000"/>
                <w:szCs w:val="22"/>
              </w:rPr>
              <w:t>AMIF skupaj</w:t>
            </w:r>
          </w:p>
        </w:tc>
        <w:tc>
          <w:tcPr>
            <w:tcW w:w="2198" w:type="dxa"/>
            <w:shd w:val="clear" w:color="auto" w:fill="auto"/>
            <w:noWrap/>
            <w:vAlign w:val="bottom"/>
            <w:hideMark/>
          </w:tcPr>
          <w:p w:rsidR="00584099" w:rsidRPr="00741F9A" w:rsidRDefault="00C03223" w:rsidP="00584099">
            <w:pPr>
              <w:jc w:val="right"/>
              <w:rPr>
                <w:rFonts w:cs="Arial"/>
                <w:b/>
                <w:color w:val="000000"/>
                <w:szCs w:val="22"/>
              </w:rPr>
            </w:pPr>
            <w:r>
              <w:rPr>
                <w:rFonts w:cs="Arial"/>
                <w:b/>
                <w:color w:val="000000"/>
                <w:szCs w:val="22"/>
              </w:rPr>
              <w:t>18.327</w:t>
            </w:r>
            <w:r w:rsidR="00584099" w:rsidRPr="00741F9A">
              <w:rPr>
                <w:rFonts w:cs="Arial"/>
                <w:b/>
                <w:color w:val="000000"/>
                <w:szCs w:val="22"/>
              </w:rPr>
              <w:t>.477</w:t>
            </w:r>
          </w:p>
        </w:tc>
        <w:tc>
          <w:tcPr>
            <w:tcW w:w="1771" w:type="dxa"/>
            <w:shd w:val="clear" w:color="auto" w:fill="auto"/>
            <w:noWrap/>
            <w:vAlign w:val="bottom"/>
            <w:hideMark/>
          </w:tcPr>
          <w:p w:rsidR="00584099" w:rsidRPr="00AF3BB8" w:rsidRDefault="00C03223" w:rsidP="00584099">
            <w:pPr>
              <w:jc w:val="right"/>
              <w:rPr>
                <w:rFonts w:cs="Arial"/>
                <w:b/>
                <w:color w:val="000000"/>
                <w:szCs w:val="22"/>
              </w:rPr>
            </w:pPr>
            <w:r>
              <w:rPr>
                <w:rFonts w:cs="Arial"/>
                <w:b/>
                <w:color w:val="000000"/>
                <w:szCs w:val="22"/>
              </w:rPr>
              <w:t>30,8</w:t>
            </w:r>
          </w:p>
        </w:tc>
        <w:tc>
          <w:tcPr>
            <w:tcW w:w="1772" w:type="dxa"/>
            <w:shd w:val="clear" w:color="auto" w:fill="auto"/>
            <w:noWrap/>
            <w:vAlign w:val="bottom"/>
            <w:hideMark/>
          </w:tcPr>
          <w:p w:rsidR="00584099" w:rsidRPr="00A35F3D" w:rsidRDefault="00584099" w:rsidP="00584099">
            <w:pPr>
              <w:jc w:val="right"/>
              <w:rPr>
                <w:rFonts w:cs="Arial"/>
                <w:color w:val="000000"/>
                <w:szCs w:val="22"/>
              </w:rPr>
            </w:pP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ISFB</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Podpora skupni vizumski politiki</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6.362.170</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10,7</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ISFB</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Meje</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11.911.018</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C03223">
            <w:pPr>
              <w:jc w:val="right"/>
              <w:rPr>
                <w:rFonts w:cs="Arial"/>
                <w:color w:val="000000"/>
                <w:szCs w:val="22"/>
              </w:rPr>
            </w:pPr>
            <w:r>
              <w:rPr>
                <w:rFonts w:cs="Arial"/>
                <w:color w:val="000000"/>
                <w:szCs w:val="22"/>
              </w:rPr>
              <w:t>20</w:t>
            </w:r>
            <w:r w:rsidR="00584099" w:rsidRPr="00A35F3D">
              <w:rPr>
                <w:rFonts w:cs="Arial"/>
                <w:color w:val="000000"/>
                <w:szCs w:val="22"/>
              </w:rPr>
              <w:t>,</w:t>
            </w:r>
            <w:r>
              <w:rPr>
                <w:rFonts w:cs="Arial"/>
                <w:color w:val="000000"/>
                <w:szCs w:val="22"/>
              </w:rPr>
              <w:t>0</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ISFB</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Operativna podpora</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10.997.500</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18,5</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ISFB</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Tehnična pomoč</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2.033.455</w:t>
            </w:r>
            <w:r>
              <w:rPr>
                <w:rFonts w:cs="Arial"/>
                <w:color w:val="000000"/>
                <w:szCs w:val="22"/>
              </w:rPr>
              <w:t>-</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3,4</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p>
        </w:tc>
        <w:tc>
          <w:tcPr>
            <w:tcW w:w="2197" w:type="dxa"/>
            <w:shd w:val="clear" w:color="auto" w:fill="auto"/>
            <w:noWrap/>
            <w:vAlign w:val="bottom"/>
            <w:hideMark/>
          </w:tcPr>
          <w:p w:rsidR="00584099" w:rsidRPr="00741F9A" w:rsidRDefault="00584099" w:rsidP="00584099">
            <w:pPr>
              <w:jc w:val="center"/>
              <w:rPr>
                <w:rFonts w:cs="Arial"/>
                <w:b/>
                <w:color w:val="000000"/>
                <w:szCs w:val="22"/>
              </w:rPr>
            </w:pPr>
            <w:r w:rsidRPr="00741F9A">
              <w:rPr>
                <w:rFonts w:cs="Arial"/>
                <w:b/>
                <w:color w:val="000000"/>
                <w:szCs w:val="22"/>
              </w:rPr>
              <w:t>ISFB skupaj</w:t>
            </w:r>
          </w:p>
        </w:tc>
        <w:tc>
          <w:tcPr>
            <w:tcW w:w="2198" w:type="dxa"/>
            <w:shd w:val="clear" w:color="auto" w:fill="auto"/>
            <w:noWrap/>
            <w:vAlign w:val="bottom"/>
            <w:hideMark/>
          </w:tcPr>
          <w:p w:rsidR="00584099" w:rsidRPr="00741F9A" w:rsidRDefault="00584099" w:rsidP="00584099">
            <w:pPr>
              <w:jc w:val="right"/>
              <w:rPr>
                <w:rFonts w:cs="Arial"/>
                <w:b/>
                <w:color w:val="000000"/>
                <w:szCs w:val="22"/>
              </w:rPr>
            </w:pPr>
            <w:r w:rsidRPr="00741F9A">
              <w:rPr>
                <w:rFonts w:cs="Arial"/>
                <w:b/>
                <w:color w:val="000000"/>
                <w:szCs w:val="22"/>
              </w:rPr>
              <w:t>31.304.143</w:t>
            </w:r>
          </w:p>
        </w:tc>
        <w:tc>
          <w:tcPr>
            <w:tcW w:w="1771" w:type="dxa"/>
            <w:shd w:val="clear" w:color="auto" w:fill="auto"/>
            <w:noWrap/>
            <w:vAlign w:val="bottom"/>
            <w:hideMark/>
          </w:tcPr>
          <w:p w:rsidR="00584099" w:rsidRPr="00AF3BB8" w:rsidRDefault="00C03223" w:rsidP="00584099">
            <w:pPr>
              <w:jc w:val="right"/>
              <w:rPr>
                <w:rFonts w:cs="Arial"/>
                <w:b/>
                <w:color w:val="000000"/>
                <w:szCs w:val="22"/>
              </w:rPr>
            </w:pPr>
            <w:r>
              <w:rPr>
                <w:rFonts w:cs="Arial"/>
                <w:b/>
                <w:color w:val="000000"/>
                <w:szCs w:val="22"/>
              </w:rPr>
              <w:t>52,6</w:t>
            </w:r>
          </w:p>
        </w:tc>
        <w:tc>
          <w:tcPr>
            <w:tcW w:w="1772" w:type="dxa"/>
            <w:shd w:val="clear" w:color="auto" w:fill="auto"/>
            <w:noWrap/>
            <w:vAlign w:val="bottom"/>
            <w:hideMark/>
          </w:tcPr>
          <w:p w:rsidR="00584099" w:rsidRPr="00A35F3D" w:rsidRDefault="00584099" w:rsidP="00584099">
            <w:pPr>
              <w:jc w:val="right"/>
              <w:rPr>
                <w:rFonts w:cs="Arial"/>
                <w:color w:val="000000"/>
                <w:szCs w:val="22"/>
              </w:rPr>
            </w:pP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ISFP</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Preprečevanje in boj proti kriminalu,</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8.199.732</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13,8</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ISFP</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Tveganje in krize</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988.204</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1,7</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ISFP</w:t>
            </w:r>
          </w:p>
        </w:tc>
        <w:tc>
          <w:tcPr>
            <w:tcW w:w="2197" w:type="dxa"/>
            <w:shd w:val="clear" w:color="auto" w:fill="auto"/>
            <w:noWrap/>
            <w:vAlign w:val="bottom"/>
            <w:hideMark/>
          </w:tcPr>
          <w:p w:rsidR="00584099" w:rsidRPr="00A35F3D" w:rsidRDefault="00584099" w:rsidP="00584099">
            <w:pPr>
              <w:jc w:val="center"/>
              <w:rPr>
                <w:rFonts w:cs="Arial"/>
                <w:color w:val="000000"/>
                <w:szCs w:val="22"/>
              </w:rPr>
            </w:pPr>
            <w:r w:rsidRPr="00A35F3D">
              <w:rPr>
                <w:rFonts w:cs="Arial"/>
                <w:color w:val="000000"/>
                <w:szCs w:val="22"/>
              </w:rPr>
              <w:t>Tehnična pomoč</w:t>
            </w:r>
          </w:p>
        </w:tc>
        <w:tc>
          <w:tcPr>
            <w:tcW w:w="2198" w:type="dxa"/>
            <w:shd w:val="clear" w:color="auto" w:fill="auto"/>
            <w:noWrap/>
            <w:vAlign w:val="bottom"/>
            <w:hideMark/>
          </w:tcPr>
          <w:p w:rsidR="00584099" w:rsidRPr="00A35F3D" w:rsidRDefault="00584099" w:rsidP="00584099">
            <w:pPr>
              <w:jc w:val="right"/>
              <w:rPr>
                <w:rFonts w:cs="Arial"/>
                <w:color w:val="000000"/>
                <w:szCs w:val="22"/>
              </w:rPr>
            </w:pPr>
            <w:r w:rsidRPr="00A35F3D">
              <w:rPr>
                <w:rFonts w:cs="Arial"/>
                <w:color w:val="000000"/>
                <w:szCs w:val="22"/>
              </w:rPr>
              <w:t>694.101</w:t>
            </w:r>
          </w:p>
        </w:tc>
        <w:tc>
          <w:tcPr>
            <w:tcW w:w="1771" w:type="dxa"/>
            <w:shd w:val="clear" w:color="auto" w:fill="auto"/>
            <w:noWrap/>
            <w:vAlign w:val="bottom"/>
            <w:hideMark/>
          </w:tcPr>
          <w:p w:rsidR="00584099" w:rsidRPr="00A35F3D" w:rsidRDefault="00584099" w:rsidP="00584099">
            <w:pPr>
              <w:jc w:val="right"/>
              <w:rPr>
                <w:rFonts w:cs="Arial"/>
                <w:color w:val="000000"/>
                <w:szCs w:val="22"/>
              </w:rPr>
            </w:pPr>
          </w:p>
        </w:tc>
        <w:tc>
          <w:tcPr>
            <w:tcW w:w="1772" w:type="dxa"/>
            <w:shd w:val="clear" w:color="auto" w:fill="auto"/>
            <w:noWrap/>
            <w:vAlign w:val="bottom"/>
            <w:hideMark/>
          </w:tcPr>
          <w:p w:rsidR="00584099" w:rsidRPr="00A35F3D" w:rsidRDefault="00C03223" w:rsidP="00584099">
            <w:pPr>
              <w:jc w:val="right"/>
              <w:rPr>
                <w:rFonts w:cs="Arial"/>
                <w:color w:val="000000"/>
                <w:szCs w:val="22"/>
              </w:rPr>
            </w:pPr>
            <w:r>
              <w:rPr>
                <w:rFonts w:cs="Arial"/>
                <w:color w:val="000000"/>
                <w:szCs w:val="22"/>
              </w:rPr>
              <w:t>1,1</w:t>
            </w:r>
          </w:p>
        </w:tc>
      </w:tr>
      <w:tr w:rsidR="00584099" w:rsidRPr="00A35F3D" w:rsidTr="00584099">
        <w:trPr>
          <w:trHeight w:val="285"/>
        </w:trPr>
        <w:tc>
          <w:tcPr>
            <w:tcW w:w="1149" w:type="dxa"/>
            <w:shd w:val="clear" w:color="auto" w:fill="auto"/>
            <w:noWrap/>
            <w:vAlign w:val="bottom"/>
            <w:hideMark/>
          </w:tcPr>
          <w:p w:rsidR="00584099" w:rsidRPr="00A35F3D" w:rsidRDefault="00584099" w:rsidP="00584099">
            <w:pPr>
              <w:jc w:val="center"/>
              <w:rPr>
                <w:rFonts w:cs="Arial"/>
                <w:color w:val="000000"/>
                <w:szCs w:val="22"/>
              </w:rPr>
            </w:pPr>
          </w:p>
        </w:tc>
        <w:tc>
          <w:tcPr>
            <w:tcW w:w="2197" w:type="dxa"/>
            <w:shd w:val="clear" w:color="auto" w:fill="auto"/>
            <w:noWrap/>
            <w:vAlign w:val="bottom"/>
            <w:hideMark/>
          </w:tcPr>
          <w:p w:rsidR="00584099" w:rsidRPr="00741F9A" w:rsidRDefault="00584099" w:rsidP="00584099">
            <w:pPr>
              <w:jc w:val="center"/>
              <w:rPr>
                <w:rFonts w:cs="Arial"/>
                <w:b/>
                <w:color w:val="000000"/>
                <w:szCs w:val="22"/>
              </w:rPr>
            </w:pPr>
            <w:r w:rsidRPr="00741F9A">
              <w:rPr>
                <w:rFonts w:cs="Arial"/>
                <w:b/>
                <w:color w:val="000000"/>
                <w:szCs w:val="22"/>
              </w:rPr>
              <w:t>ISFP skupaj</w:t>
            </w:r>
          </w:p>
        </w:tc>
        <w:tc>
          <w:tcPr>
            <w:tcW w:w="2198" w:type="dxa"/>
            <w:shd w:val="clear" w:color="auto" w:fill="auto"/>
            <w:noWrap/>
            <w:vAlign w:val="bottom"/>
            <w:hideMark/>
          </w:tcPr>
          <w:p w:rsidR="00584099" w:rsidRPr="00741F9A" w:rsidRDefault="00584099" w:rsidP="00584099">
            <w:pPr>
              <w:jc w:val="right"/>
              <w:rPr>
                <w:rFonts w:cs="Arial"/>
                <w:b/>
                <w:color w:val="000000"/>
                <w:szCs w:val="22"/>
              </w:rPr>
            </w:pPr>
            <w:r w:rsidRPr="00741F9A">
              <w:rPr>
                <w:rFonts w:cs="Arial"/>
                <w:b/>
                <w:color w:val="000000"/>
                <w:szCs w:val="22"/>
              </w:rPr>
              <w:t>9.882.037</w:t>
            </w:r>
          </w:p>
        </w:tc>
        <w:tc>
          <w:tcPr>
            <w:tcW w:w="1771" w:type="dxa"/>
            <w:shd w:val="clear" w:color="auto" w:fill="auto"/>
            <w:noWrap/>
            <w:vAlign w:val="bottom"/>
            <w:hideMark/>
          </w:tcPr>
          <w:p w:rsidR="00584099" w:rsidRPr="00AF3BB8" w:rsidRDefault="00C03223" w:rsidP="00584099">
            <w:pPr>
              <w:jc w:val="right"/>
              <w:rPr>
                <w:rFonts w:cs="Arial"/>
                <w:b/>
                <w:color w:val="000000"/>
                <w:szCs w:val="22"/>
              </w:rPr>
            </w:pPr>
            <w:r>
              <w:rPr>
                <w:rFonts w:cs="Arial"/>
                <w:b/>
                <w:color w:val="000000"/>
                <w:szCs w:val="22"/>
              </w:rPr>
              <w:t>16,6</w:t>
            </w:r>
          </w:p>
        </w:tc>
        <w:tc>
          <w:tcPr>
            <w:tcW w:w="1772" w:type="dxa"/>
            <w:shd w:val="clear" w:color="auto" w:fill="auto"/>
            <w:noWrap/>
            <w:vAlign w:val="bottom"/>
            <w:hideMark/>
          </w:tcPr>
          <w:p w:rsidR="00584099" w:rsidRPr="00A35F3D" w:rsidRDefault="00584099" w:rsidP="00584099">
            <w:pPr>
              <w:jc w:val="right"/>
              <w:rPr>
                <w:rFonts w:cs="Arial"/>
                <w:color w:val="000000"/>
                <w:szCs w:val="22"/>
              </w:rPr>
            </w:pPr>
          </w:p>
        </w:tc>
      </w:tr>
      <w:tr w:rsidR="00584099" w:rsidRPr="00A35F3D" w:rsidTr="00584099">
        <w:trPr>
          <w:trHeight w:val="300"/>
        </w:trPr>
        <w:tc>
          <w:tcPr>
            <w:tcW w:w="1149" w:type="dxa"/>
            <w:shd w:val="clear" w:color="auto" w:fill="auto"/>
            <w:noWrap/>
            <w:vAlign w:val="bottom"/>
            <w:hideMark/>
          </w:tcPr>
          <w:p w:rsidR="00584099" w:rsidRPr="00A35F3D" w:rsidRDefault="00584099" w:rsidP="00584099">
            <w:pPr>
              <w:jc w:val="center"/>
              <w:rPr>
                <w:rFonts w:cs="Arial"/>
                <w:b/>
                <w:bCs/>
                <w:color w:val="000000"/>
                <w:szCs w:val="22"/>
              </w:rPr>
            </w:pPr>
          </w:p>
        </w:tc>
        <w:tc>
          <w:tcPr>
            <w:tcW w:w="2197" w:type="dxa"/>
            <w:shd w:val="clear" w:color="auto" w:fill="auto"/>
            <w:noWrap/>
            <w:vAlign w:val="bottom"/>
            <w:hideMark/>
          </w:tcPr>
          <w:p w:rsidR="00584099" w:rsidRPr="00A35F3D" w:rsidRDefault="00584099" w:rsidP="00584099">
            <w:pPr>
              <w:jc w:val="center"/>
              <w:rPr>
                <w:rFonts w:cs="Arial"/>
                <w:b/>
                <w:bCs/>
                <w:color w:val="000000"/>
                <w:szCs w:val="22"/>
              </w:rPr>
            </w:pPr>
            <w:r w:rsidRPr="00A35F3D">
              <w:rPr>
                <w:rFonts w:cs="Arial"/>
                <w:b/>
                <w:bCs/>
                <w:color w:val="000000"/>
                <w:szCs w:val="22"/>
              </w:rPr>
              <w:t>Skupaj skladi</w:t>
            </w:r>
          </w:p>
        </w:tc>
        <w:tc>
          <w:tcPr>
            <w:tcW w:w="2198" w:type="dxa"/>
            <w:shd w:val="clear" w:color="auto" w:fill="auto"/>
            <w:noWrap/>
            <w:vAlign w:val="bottom"/>
            <w:hideMark/>
          </w:tcPr>
          <w:p w:rsidR="00584099" w:rsidRPr="00A35F3D" w:rsidRDefault="00C03223" w:rsidP="00584099">
            <w:pPr>
              <w:jc w:val="right"/>
              <w:rPr>
                <w:rFonts w:cs="Arial"/>
                <w:b/>
                <w:bCs/>
                <w:color w:val="000000"/>
                <w:szCs w:val="22"/>
              </w:rPr>
            </w:pPr>
            <w:r>
              <w:rPr>
                <w:rFonts w:cs="Arial"/>
                <w:b/>
                <w:bCs/>
                <w:color w:val="000000"/>
                <w:szCs w:val="22"/>
              </w:rPr>
              <w:t>59.513</w:t>
            </w:r>
            <w:r w:rsidR="00584099" w:rsidRPr="00A35F3D">
              <w:rPr>
                <w:rFonts w:cs="Arial"/>
                <w:b/>
                <w:bCs/>
                <w:color w:val="000000"/>
                <w:szCs w:val="22"/>
              </w:rPr>
              <w:t>.657</w:t>
            </w:r>
          </w:p>
        </w:tc>
        <w:tc>
          <w:tcPr>
            <w:tcW w:w="1771" w:type="dxa"/>
            <w:shd w:val="clear" w:color="auto" w:fill="auto"/>
            <w:noWrap/>
            <w:vAlign w:val="bottom"/>
            <w:hideMark/>
          </w:tcPr>
          <w:p w:rsidR="00584099" w:rsidRPr="00A35F3D" w:rsidRDefault="00584099" w:rsidP="00584099">
            <w:pPr>
              <w:jc w:val="right"/>
              <w:rPr>
                <w:rFonts w:cs="Arial"/>
                <w:b/>
                <w:bCs/>
                <w:color w:val="000000"/>
                <w:szCs w:val="22"/>
              </w:rPr>
            </w:pPr>
            <w:r>
              <w:rPr>
                <w:rFonts w:cs="Arial"/>
                <w:b/>
                <w:bCs/>
                <w:color w:val="000000"/>
                <w:szCs w:val="22"/>
              </w:rPr>
              <w:t>100,0</w:t>
            </w:r>
          </w:p>
        </w:tc>
        <w:tc>
          <w:tcPr>
            <w:tcW w:w="1772" w:type="dxa"/>
            <w:shd w:val="clear" w:color="auto" w:fill="auto"/>
            <w:noWrap/>
            <w:vAlign w:val="bottom"/>
            <w:hideMark/>
          </w:tcPr>
          <w:p w:rsidR="00584099" w:rsidRPr="00A35F3D" w:rsidRDefault="00584099" w:rsidP="00584099">
            <w:pPr>
              <w:jc w:val="right"/>
              <w:rPr>
                <w:rFonts w:cs="Arial"/>
                <w:b/>
                <w:bCs/>
                <w:color w:val="000000"/>
                <w:szCs w:val="22"/>
              </w:rPr>
            </w:pPr>
            <w:r w:rsidRPr="00A35F3D">
              <w:rPr>
                <w:rFonts w:cs="Arial"/>
                <w:b/>
                <w:bCs/>
                <w:color w:val="000000"/>
                <w:szCs w:val="22"/>
              </w:rPr>
              <w:t>100,0</w:t>
            </w:r>
          </w:p>
        </w:tc>
      </w:tr>
    </w:tbl>
    <w:p w:rsidR="00584099" w:rsidRDefault="00584099" w:rsidP="00584099">
      <w:pPr>
        <w:tabs>
          <w:tab w:val="left" w:pos="1806"/>
        </w:tabs>
        <w:rPr>
          <w:rFonts w:cs="Arial"/>
          <w:szCs w:val="22"/>
          <w:lang w:eastAsia="ar-SA"/>
        </w:rPr>
      </w:pPr>
    </w:p>
    <w:p w:rsidR="00584099" w:rsidRDefault="00584099" w:rsidP="00584099">
      <w:pPr>
        <w:rPr>
          <w:rFonts w:cs="Arial"/>
          <w:szCs w:val="22"/>
        </w:rPr>
      </w:pPr>
      <w:r w:rsidRPr="0081343F">
        <w:t xml:space="preserve">Iz tabele je razvidno da je za sklade predvidenih </w:t>
      </w:r>
      <w:r w:rsidR="00C03223">
        <w:t>59,5</w:t>
      </w:r>
      <w:r w:rsidRPr="0081343F">
        <w:t xml:space="preserve"> </w:t>
      </w:r>
      <w:r>
        <w:t xml:space="preserve">mio </w:t>
      </w:r>
      <w:r w:rsidRPr="0081343F">
        <w:t>EUR</w:t>
      </w:r>
      <w:r>
        <w:t>,</w:t>
      </w:r>
      <w:r w:rsidRPr="0081343F">
        <w:t xml:space="preserve"> </w:t>
      </w:r>
      <w:r>
        <w:t xml:space="preserve">od tega </w:t>
      </w:r>
      <w:r w:rsidRPr="00CB11E7">
        <w:rPr>
          <w:rFonts w:cs="Arial"/>
          <w:szCs w:val="22"/>
        </w:rPr>
        <w:t>za AMIF</w:t>
      </w:r>
      <w:r>
        <w:rPr>
          <w:rFonts w:cs="Arial"/>
          <w:szCs w:val="22"/>
        </w:rPr>
        <w:t xml:space="preserve"> 1</w:t>
      </w:r>
      <w:r w:rsidR="00C03223">
        <w:rPr>
          <w:rFonts w:cs="Arial"/>
          <w:szCs w:val="22"/>
        </w:rPr>
        <w:t>8,3 mio EUR (oz. 30,8%), za ISFB 31,3 mio EUR (oz. 52,6</w:t>
      </w:r>
      <w:r>
        <w:rPr>
          <w:rFonts w:cs="Arial"/>
          <w:szCs w:val="22"/>
        </w:rPr>
        <w:t xml:space="preserve">%) </w:t>
      </w:r>
      <w:r w:rsidRPr="00CB11E7">
        <w:rPr>
          <w:rFonts w:cs="Arial"/>
          <w:szCs w:val="22"/>
        </w:rPr>
        <w:t xml:space="preserve">in </w:t>
      </w:r>
      <w:r w:rsidR="00C03223">
        <w:rPr>
          <w:rFonts w:cs="Arial"/>
          <w:szCs w:val="22"/>
        </w:rPr>
        <w:t>za ISFP 9,9 mio EUR (oz. 16,6</w:t>
      </w:r>
      <w:r>
        <w:rPr>
          <w:rFonts w:cs="Arial"/>
          <w:szCs w:val="22"/>
        </w:rPr>
        <w:t>%)</w:t>
      </w:r>
      <w:r w:rsidRPr="00CB11E7">
        <w:rPr>
          <w:rFonts w:cs="Arial"/>
          <w:szCs w:val="22"/>
        </w:rPr>
        <w:t>.</w:t>
      </w:r>
      <w:r>
        <w:rPr>
          <w:rFonts w:cs="Arial"/>
          <w:szCs w:val="22"/>
        </w:rPr>
        <w:t xml:space="preserve"> Komisija je namenila največ sredstev, to je 11,9 mio EUR (oz. 21,3%) za izvajanje </w:t>
      </w:r>
      <w:r w:rsidR="00782270">
        <w:rPr>
          <w:rFonts w:cs="Arial"/>
          <w:szCs w:val="22"/>
        </w:rPr>
        <w:t xml:space="preserve">posebnega cilja </w:t>
      </w:r>
      <w:r>
        <w:rPr>
          <w:rFonts w:cs="Arial"/>
          <w:szCs w:val="22"/>
        </w:rPr>
        <w:t>Meje.</w:t>
      </w:r>
    </w:p>
    <w:p w:rsidR="00584099" w:rsidRDefault="00584099" w:rsidP="00584099">
      <w:pPr>
        <w:rPr>
          <w:rFonts w:cs="Arial"/>
          <w:szCs w:val="22"/>
        </w:rPr>
      </w:pPr>
    </w:p>
    <w:p w:rsidR="00584099" w:rsidRPr="0081343F" w:rsidRDefault="00584099" w:rsidP="00584099">
      <w:pPr>
        <w:rPr>
          <w:rFonts w:cs="Arial"/>
          <w:szCs w:val="22"/>
          <w:highlight w:val="yellow"/>
        </w:rPr>
      </w:pPr>
      <w:r>
        <w:t>Komisija za izvajanje projektov skladov prispeva 75% sredstev Skupnosti, 25% delež pa se prispeva iz proračuna RS. Tehnična pomoč</w:t>
      </w:r>
      <w:r w:rsidR="003B3117">
        <w:t xml:space="preserve"> in operativna podpora v okviru ISFB</w:t>
      </w:r>
      <w:r>
        <w:t xml:space="preserve"> se financira</w:t>
      </w:r>
      <w:r w:rsidR="003B3117">
        <w:t>ta</w:t>
      </w:r>
      <w:r>
        <w:t xml:space="preserve"> 100% iz sredstev Skupnosti. </w:t>
      </w:r>
    </w:p>
    <w:p w:rsidR="00584099" w:rsidRDefault="00584099" w:rsidP="00584099">
      <w:pPr>
        <w:rPr>
          <w:rFonts w:cs="Arial"/>
          <w:szCs w:val="22"/>
        </w:rPr>
      </w:pPr>
    </w:p>
    <w:p w:rsidR="00584099" w:rsidRPr="007B3680" w:rsidRDefault="00584099" w:rsidP="00584099">
      <w:pPr>
        <w:rPr>
          <w:rFonts w:cs="Arial"/>
          <w:szCs w:val="22"/>
        </w:rPr>
      </w:pPr>
      <w:r w:rsidRPr="00E60D14">
        <w:rPr>
          <w:rFonts w:cs="Arial"/>
          <w:szCs w:val="22"/>
        </w:rPr>
        <w:t xml:space="preserve">OO </w:t>
      </w:r>
      <w:r w:rsidRPr="00D05EC0">
        <w:rPr>
          <w:rFonts w:cs="Arial"/>
          <w:szCs w:val="22"/>
        </w:rPr>
        <w:t>je</w:t>
      </w:r>
      <w:r w:rsidRPr="00B74B98">
        <w:rPr>
          <w:rFonts w:cs="Arial"/>
          <w:szCs w:val="22"/>
        </w:rPr>
        <w:t xml:space="preserve">, v skladu s Sklepom Komisije o odobritvi nacionalnih programov, </w:t>
      </w:r>
      <w:r w:rsidRPr="00F63A08">
        <w:rPr>
          <w:rFonts w:cs="Arial"/>
          <w:szCs w:val="22"/>
        </w:rPr>
        <w:t xml:space="preserve">pripravil večletni akcijski načrt </w:t>
      </w:r>
      <w:r w:rsidRPr="00741F9A">
        <w:rPr>
          <w:rFonts w:cs="Arial"/>
          <w:szCs w:val="22"/>
        </w:rPr>
        <w:t xml:space="preserve">za financiranje projektov v okviru skladov. </w:t>
      </w:r>
      <w:r w:rsidRPr="008A6CC6">
        <w:rPr>
          <w:rFonts w:cs="Arial"/>
          <w:szCs w:val="22"/>
        </w:rPr>
        <w:t xml:space="preserve">V skladu s </w:t>
      </w:r>
      <w:r>
        <w:rPr>
          <w:rFonts w:cs="Arial"/>
          <w:szCs w:val="22"/>
        </w:rPr>
        <w:t>1</w:t>
      </w:r>
      <w:r w:rsidRPr="008A6CC6">
        <w:rPr>
          <w:rFonts w:cs="Arial"/>
          <w:szCs w:val="22"/>
        </w:rPr>
        <w:t xml:space="preserve"> točko 7. člena Uredbe 1042/2014 in OSUN bo OO </w:t>
      </w:r>
      <w:r>
        <w:rPr>
          <w:rFonts w:cs="Arial"/>
          <w:szCs w:val="22"/>
        </w:rPr>
        <w:t>praviloma dodeljeval</w:t>
      </w:r>
      <w:r w:rsidRPr="00F952AF">
        <w:rPr>
          <w:rFonts w:cs="Arial"/>
          <w:szCs w:val="22"/>
        </w:rPr>
        <w:t xml:space="preserve"> nepovratna sredstva </w:t>
      </w:r>
      <w:r>
        <w:rPr>
          <w:rFonts w:cs="Arial"/>
          <w:szCs w:val="22"/>
        </w:rPr>
        <w:t xml:space="preserve">KU NVO </w:t>
      </w:r>
      <w:r w:rsidRPr="00F952AF">
        <w:rPr>
          <w:rFonts w:cs="Arial"/>
          <w:szCs w:val="22"/>
        </w:rPr>
        <w:t xml:space="preserve">za projekte v okviru nacionalnega programa na podlagi </w:t>
      </w:r>
      <w:r>
        <w:rPr>
          <w:rFonts w:cs="Arial"/>
          <w:szCs w:val="22"/>
        </w:rPr>
        <w:t xml:space="preserve">JR </w:t>
      </w:r>
      <w:r w:rsidRPr="00F952AF">
        <w:rPr>
          <w:rFonts w:cs="Arial"/>
          <w:szCs w:val="22"/>
        </w:rPr>
        <w:t>za zbiranje predlogov</w:t>
      </w:r>
      <w:r>
        <w:rPr>
          <w:rFonts w:cs="Arial"/>
          <w:szCs w:val="22"/>
        </w:rPr>
        <w:t xml:space="preserve"> za dodelitev sredstev</w:t>
      </w:r>
      <w:r w:rsidRPr="00F952AF">
        <w:rPr>
          <w:rFonts w:cs="Arial"/>
          <w:szCs w:val="22"/>
        </w:rPr>
        <w:t>.</w:t>
      </w:r>
    </w:p>
    <w:p w:rsidR="00584099" w:rsidRDefault="00584099" w:rsidP="00584099">
      <w:pPr>
        <w:rPr>
          <w:rFonts w:cs="Arial"/>
          <w:szCs w:val="22"/>
        </w:rPr>
      </w:pPr>
    </w:p>
    <w:p w:rsidR="00584099" w:rsidRPr="00741F9A" w:rsidRDefault="00584099" w:rsidP="00584099">
      <w:pPr>
        <w:rPr>
          <w:rFonts w:cs="Arial"/>
          <w:szCs w:val="22"/>
        </w:rPr>
      </w:pPr>
      <w:r w:rsidRPr="007B3680">
        <w:rPr>
          <w:rFonts w:cs="Arial"/>
          <w:szCs w:val="22"/>
        </w:rPr>
        <w:t xml:space="preserve">V skladu s 3 točko 7. člena Uredbe 1042/2014 in OSUN bo OO dodelil nepovratna sredstva neposredno, kadar posebna narava projekta oziroma tehnične ali upravne pristojnosti ustreznih teles ne omogočajo druge rešitve, kot velja v primeru legalnega ali dejanskega monopola. Tako bo </w:t>
      </w:r>
      <w:r w:rsidRPr="00E60D14">
        <w:rPr>
          <w:rFonts w:cs="Arial"/>
          <w:szCs w:val="22"/>
        </w:rPr>
        <w:t>OO deloval kot organ</w:t>
      </w:r>
      <w:r>
        <w:rPr>
          <w:rFonts w:cs="Arial"/>
          <w:szCs w:val="22"/>
        </w:rPr>
        <w:t xml:space="preserve"> za dodelitev</w:t>
      </w:r>
      <w:r w:rsidRPr="00E60D14">
        <w:rPr>
          <w:rFonts w:cs="Arial"/>
          <w:szCs w:val="22"/>
        </w:rPr>
        <w:t>, ker zaradi narave projektov ni druge možnosti za izvajanje,</w:t>
      </w:r>
      <w:r w:rsidRPr="00D05EC0">
        <w:rPr>
          <w:rFonts w:cs="Arial"/>
          <w:szCs w:val="22"/>
        </w:rPr>
        <w:t xml:space="preserve"> zato bodo sredstva dodeljena neposredno KU Policiji, MZZ, DUNZMN, MJU in MORS. </w:t>
      </w:r>
      <w:r w:rsidRPr="00741F9A">
        <w:rPr>
          <w:rFonts w:cs="Arial"/>
          <w:szCs w:val="22"/>
        </w:rPr>
        <w:t xml:space="preserve">V tabeli št. </w:t>
      </w:r>
      <w:r>
        <w:rPr>
          <w:rFonts w:cs="Arial"/>
          <w:szCs w:val="22"/>
        </w:rPr>
        <w:t>4</w:t>
      </w:r>
      <w:r w:rsidRPr="00741F9A">
        <w:rPr>
          <w:rFonts w:cs="Arial"/>
          <w:szCs w:val="22"/>
        </w:rPr>
        <w:t xml:space="preserve"> in </w:t>
      </w:r>
      <w:r>
        <w:rPr>
          <w:rFonts w:cs="Arial"/>
          <w:szCs w:val="22"/>
        </w:rPr>
        <w:t>5</w:t>
      </w:r>
      <w:r w:rsidRPr="00E60D14">
        <w:rPr>
          <w:rFonts w:cs="Arial"/>
          <w:szCs w:val="22"/>
        </w:rPr>
        <w:t xml:space="preserve"> so predstavljena predvidena sredstva </w:t>
      </w:r>
      <w:r w:rsidRPr="00D05EC0">
        <w:rPr>
          <w:rFonts w:cs="Arial"/>
          <w:szCs w:val="22"/>
        </w:rPr>
        <w:t xml:space="preserve">po </w:t>
      </w:r>
      <w:r w:rsidR="00782270">
        <w:rPr>
          <w:rFonts w:cs="Arial"/>
          <w:szCs w:val="22"/>
        </w:rPr>
        <w:t xml:space="preserve">posebnih ciljih </w:t>
      </w:r>
      <w:r>
        <w:rPr>
          <w:rFonts w:cs="Arial"/>
          <w:szCs w:val="22"/>
        </w:rPr>
        <w:t xml:space="preserve">in </w:t>
      </w:r>
      <w:r w:rsidRPr="00D05EC0">
        <w:rPr>
          <w:rFonts w:cs="Arial"/>
          <w:szCs w:val="22"/>
        </w:rPr>
        <w:t>KU</w:t>
      </w:r>
      <w:r w:rsidRPr="00741F9A">
        <w:rPr>
          <w:rFonts w:cs="Arial"/>
          <w:szCs w:val="22"/>
        </w:rPr>
        <w:t xml:space="preserve">. </w:t>
      </w:r>
    </w:p>
    <w:p w:rsidR="00584099" w:rsidRDefault="00584099" w:rsidP="00584099"/>
    <w:p w:rsidR="00584099" w:rsidRDefault="00584099" w:rsidP="00584099">
      <w:r>
        <w:br w:type="page"/>
      </w:r>
      <w:r w:rsidRPr="0081343F">
        <w:lastRenderedPageBreak/>
        <w:t xml:space="preserve">Tabela </w:t>
      </w:r>
      <w:r>
        <w:t>št. 4</w:t>
      </w:r>
      <w:r w:rsidRPr="0081343F">
        <w:t xml:space="preserve">: Predvidena sredstva Skupnosti po </w:t>
      </w:r>
      <w:r>
        <w:t xml:space="preserve">KU po </w:t>
      </w:r>
      <w:r w:rsidR="00782270">
        <w:t xml:space="preserve">posebnih ciljih </w:t>
      </w:r>
      <w:r>
        <w:t xml:space="preserve">(v tisoč EUR) </w:t>
      </w:r>
    </w:p>
    <w:p w:rsidR="00584099" w:rsidRDefault="00584099" w:rsidP="00584099">
      <w:pPr>
        <w:rPr>
          <w:rFonts w:ascii="Times New Roman" w:hAnsi="Times New Roman"/>
          <w:sz w:val="20"/>
          <w:szCs w:val="20"/>
        </w:rPr>
      </w:pPr>
      <w:r>
        <w:fldChar w:fldCharType="begin"/>
      </w:r>
      <w:r>
        <w:instrText xml:space="preserve"> LINK Excel.Sheet.12 "\\\\MFRSW64SEFS02.mf.si\\UNP_10ARH\\5 SRESS\\2 Revizije 2007 2013\\3 SOLID + MIGRACIJE\\2014 - 2020 NFP\\komisija\\analiza strategija.xlsx" "Sheet3!R6C1:R17C15" \a \f 4 \h  \* MERGEFORMAT </w:instrText>
      </w:r>
      <w:r>
        <w:fldChar w:fldCharType="separate"/>
      </w:r>
    </w:p>
    <w:tbl>
      <w:tblPr>
        <w:tblW w:w="9072" w:type="dxa"/>
        <w:tblInd w:w="70" w:type="dxa"/>
        <w:tblLayout w:type="fixed"/>
        <w:tblCellMar>
          <w:left w:w="70" w:type="dxa"/>
          <w:right w:w="70" w:type="dxa"/>
        </w:tblCellMar>
        <w:tblLook w:val="04A0" w:firstRow="1" w:lastRow="0" w:firstColumn="1" w:lastColumn="0" w:noHBand="0" w:noVBand="1"/>
      </w:tblPr>
      <w:tblGrid>
        <w:gridCol w:w="1134"/>
        <w:gridCol w:w="851"/>
        <w:gridCol w:w="992"/>
        <w:gridCol w:w="992"/>
        <w:gridCol w:w="851"/>
        <w:gridCol w:w="850"/>
        <w:gridCol w:w="851"/>
        <w:gridCol w:w="850"/>
        <w:gridCol w:w="851"/>
        <w:gridCol w:w="850"/>
      </w:tblGrid>
      <w:tr w:rsidR="00584099" w:rsidRPr="00741F9A" w:rsidTr="00584099">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 KU</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 xml:space="preserve"> AMIF Azil</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 xml:space="preserve"> AMIF </w:t>
            </w:r>
            <w:proofErr w:type="spellStart"/>
            <w:r w:rsidRPr="00741F9A">
              <w:rPr>
                <w:rFonts w:cs="Arial"/>
                <w:b/>
                <w:color w:val="000000"/>
                <w:sz w:val="18"/>
                <w:szCs w:val="18"/>
              </w:rPr>
              <w:t>Vključev</w:t>
            </w:r>
            <w:proofErr w:type="spellEnd"/>
            <w:r>
              <w:rPr>
                <w:rFonts w:cs="Arial"/>
                <w:b/>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AMIF Vrač</w:t>
            </w:r>
            <w:r>
              <w:rPr>
                <w:rFonts w:cs="Arial"/>
                <w:b/>
                <w:color w:val="000000"/>
                <w:sz w:val="18"/>
                <w:szCs w:val="18"/>
              </w:rPr>
              <w:t>anje</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ISFB PSVP</w:t>
            </w:r>
            <w:r w:rsidRPr="00741F9A">
              <w:rPr>
                <w:rStyle w:val="Sprotnaopomba-sklic"/>
                <w:rFonts w:cs="Arial"/>
                <w:b/>
                <w:color w:val="000000"/>
                <w:sz w:val="18"/>
                <w:szCs w:val="18"/>
              </w:rPr>
              <w:footnoteReference w:id="2"/>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ISFB Meje</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ISFB OP</w:t>
            </w:r>
            <w:r w:rsidRPr="00741F9A">
              <w:rPr>
                <w:rStyle w:val="Sprotnaopomba-sklic"/>
                <w:rFonts w:cs="Arial"/>
                <w:b/>
                <w:color w:val="000000"/>
                <w:sz w:val="18"/>
                <w:szCs w:val="18"/>
              </w:rPr>
              <w:footnoteReference w:id="3"/>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ISFP PBPK</w:t>
            </w:r>
            <w:r w:rsidRPr="00741F9A">
              <w:rPr>
                <w:rStyle w:val="Sprotnaopomba-sklic"/>
                <w:rFonts w:cs="Arial"/>
                <w:b/>
                <w:color w:val="000000"/>
                <w:sz w:val="18"/>
                <w:szCs w:val="18"/>
              </w:rPr>
              <w:footnoteReference w:id="4"/>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ISFP T&amp;K</w:t>
            </w:r>
            <w:r w:rsidRPr="00741F9A">
              <w:rPr>
                <w:rStyle w:val="Sprotnaopomba-sklic"/>
                <w:rFonts w:cs="Arial"/>
                <w:b/>
                <w:color w:val="000000"/>
                <w:sz w:val="18"/>
                <w:szCs w:val="18"/>
              </w:rPr>
              <w:footnoteReference w:id="5"/>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TP</w:t>
            </w:r>
            <w:r w:rsidRPr="00741F9A">
              <w:rPr>
                <w:rStyle w:val="Sprotnaopomba-sklic"/>
                <w:rFonts w:cs="Arial"/>
                <w:b/>
                <w:color w:val="000000"/>
                <w:sz w:val="18"/>
                <w:szCs w:val="18"/>
              </w:rPr>
              <w:footnoteReference w:id="6"/>
            </w:r>
            <w:r w:rsidRPr="00741F9A">
              <w:rPr>
                <w:rFonts w:cs="Arial"/>
                <w:b/>
                <w:color w:val="000000"/>
                <w:sz w:val="18"/>
                <w:szCs w:val="18"/>
              </w:rPr>
              <w:t xml:space="preserve"> skupaj</w:t>
            </w: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DUNZMN</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3B3117" w:rsidP="00584099">
            <w:pPr>
              <w:jc w:val="right"/>
              <w:rPr>
                <w:rFonts w:cs="Arial"/>
                <w:color w:val="000000"/>
                <w:sz w:val="18"/>
                <w:szCs w:val="18"/>
              </w:rPr>
            </w:pPr>
            <w:r>
              <w:rPr>
                <w:rFonts w:cs="Arial"/>
                <w:color w:val="000000"/>
                <w:sz w:val="18"/>
                <w:szCs w:val="18"/>
              </w:rPr>
              <w:t>6.079</w:t>
            </w: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4.296</w:t>
            </w: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NVO</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752</w:t>
            </w: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870</w:t>
            </w: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1.145</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Policija</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3.375</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10.578</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5.707</w:t>
            </w: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8.200</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OO</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3.717</w:t>
            </w: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PO DAF</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126</w:t>
            </w: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MZZ</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6.362</w:t>
            </w: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2.291</w:t>
            </w: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MJU</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1.333</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MORS</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988</w:t>
            </w: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r>
      <w:tr w:rsidR="00584099" w:rsidRPr="00741F9A" w:rsidTr="00584099">
        <w:trPr>
          <w:trHeight w:val="2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 w:val="18"/>
                <w:szCs w:val="18"/>
              </w:rPr>
            </w:pPr>
            <w:r w:rsidRPr="00741F9A">
              <w:rPr>
                <w:rFonts w:cs="Arial"/>
                <w:b/>
                <w:color w:val="000000"/>
                <w:sz w:val="18"/>
                <w:szCs w:val="18"/>
              </w:rPr>
              <w:t>RO</w:t>
            </w: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584099" w:rsidRPr="00741F9A" w:rsidRDefault="00584099" w:rsidP="00584099">
            <w:pPr>
              <w:jc w:val="right"/>
              <w:rPr>
                <w:rFonts w:cs="Arial"/>
                <w:color w:val="000000"/>
                <w:sz w:val="18"/>
                <w:szCs w:val="18"/>
              </w:rPr>
            </w:pPr>
            <w:r w:rsidRPr="00741F9A">
              <w:rPr>
                <w:rFonts w:cs="Arial"/>
                <w:color w:val="000000"/>
                <w:sz w:val="18"/>
                <w:szCs w:val="18"/>
              </w:rPr>
              <w:t>694</w:t>
            </w:r>
          </w:p>
        </w:tc>
      </w:tr>
      <w:tr w:rsidR="00584099" w:rsidRPr="00741F9A" w:rsidTr="00584099">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099" w:rsidRPr="00741F9A" w:rsidRDefault="00584099" w:rsidP="00584099">
            <w:pPr>
              <w:jc w:val="left"/>
              <w:rPr>
                <w:rFonts w:cs="Arial"/>
                <w:b/>
                <w:color w:val="000000"/>
                <w:sz w:val="18"/>
                <w:szCs w:val="18"/>
              </w:rPr>
            </w:pPr>
            <w:r w:rsidRPr="00741F9A">
              <w:rPr>
                <w:rFonts w:cs="Arial"/>
                <w:b/>
                <w:color w:val="000000"/>
                <w:sz w:val="18"/>
                <w:szCs w:val="18"/>
              </w:rPr>
              <w:t xml:space="preserve">Skupaj </w:t>
            </w:r>
          </w:p>
        </w:tc>
        <w:tc>
          <w:tcPr>
            <w:tcW w:w="851" w:type="dxa"/>
            <w:tcBorders>
              <w:top w:val="single" w:sz="4" w:space="0" w:color="auto"/>
              <w:left w:val="nil"/>
              <w:bottom w:val="single" w:sz="4" w:space="0" w:color="auto"/>
              <w:right w:val="single" w:sz="4" w:space="0" w:color="auto"/>
            </w:tcBorders>
            <w:shd w:val="clear" w:color="auto" w:fill="auto"/>
            <w:noWrap/>
          </w:tcPr>
          <w:p w:rsidR="00584099" w:rsidRPr="00741F9A" w:rsidRDefault="00584099" w:rsidP="00584099">
            <w:pPr>
              <w:jc w:val="right"/>
              <w:rPr>
                <w:rFonts w:cs="Arial"/>
                <w:b/>
                <w:color w:val="000000"/>
                <w:sz w:val="18"/>
                <w:szCs w:val="18"/>
              </w:rPr>
            </w:pPr>
          </w:p>
          <w:p w:rsidR="00584099" w:rsidRPr="00741F9A" w:rsidRDefault="00B851AB" w:rsidP="00584099">
            <w:pPr>
              <w:jc w:val="right"/>
              <w:rPr>
                <w:rFonts w:cs="Arial"/>
                <w:b/>
                <w:color w:val="000000"/>
                <w:sz w:val="18"/>
                <w:szCs w:val="18"/>
              </w:rPr>
            </w:pPr>
            <w:r>
              <w:rPr>
                <w:rFonts w:cs="Arial"/>
                <w:b/>
                <w:color w:val="000000"/>
                <w:sz w:val="18"/>
                <w:szCs w:val="18"/>
              </w:rPr>
              <w:t>6.831</w:t>
            </w:r>
          </w:p>
        </w:tc>
        <w:tc>
          <w:tcPr>
            <w:tcW w:w="992" w:type="dxa"/>
            <w:tcBorders>
              <w:top w:val="single" w:sz="4" w:space="0" w:color="auto"/>
              <w:left w:val="nil"/>
              <w:bottom w:val="single" w:sz="4" w:space="0" w:color="auto"/>
              <w:right w:val="single" w:sz="4" w:space="0" w:color="auto"/>
            </w:tcBorders>
            <w:shd w:val="clear" w:color="auto" w:fill="auto"/>
            <w:noWrap/>
          </w:tcPr>
          <w:p w:rsidR="00584099" w:rsidRPr="00741F9A" w:rsidRDefault="00584099" w:rsidP="00584099">
            <w:pPr>
              <w:jc w:val="right"/>
              <w:rPr>
                <w:rFonts w:cs="Arial"/>
                <w:b/>
                <w:color w:val="000000"/>
                <w:sz w:val="18"/>
                <w:szCs w:val="18"/>
              </w:rPr>
            </w:pPr>
          </w:p>
          <w:p w:rsidR="00584099" w:rsidRPr="00741F9A" w:rsidRDefault="00584099" w:rsidP="00584099">
            <w:pPr>
              <w:jc w:val="right"/>
              <w:rPr>
                <w:rFonts w:cs="Arial"/>
                <w:b/>
                <w:color w:val="000000"/>
                <w:sz w:val="18"/>
                <w:szCs w:val="18"/>
              </w:rPr>
            </w:pPr>
            <w:r w:rsidRPr="00741F9A">
              <w:rPr>
                <w:rFonts w:cs="Arial"/>
                <w:b/>
                <w:color w:val="000000"/>
                <w:sz w:val="18"/>
                <w:szCs w:val="18"/>
              </w:rPr>
              <w:t>5.166</w:t>
            </w:r>
          </w:p>
        </w:tc>
        <w:tc>
          <w:tcPr>
            <w:tcW w:w="992" w:type="dxa"/>
            <w:tcBorders>
              <w:top w:val="single" w:sz="4" w:space="0" w:color="auto"/>
              <w:left w:val="nil"/>
              <w:bottom w:val="single" w:sz="4" w:space="0" w:color="auto"/>
              <w:right w:val="single" w:sz="4" w:space="0" w:color="auto"/>
            </w:tcBorders>
            <w:shd w:val="clear" w:color="auto" w:fill="auto"/>
            <w:noWrap/>
          </w:tcPr>
          <w:p w:rsidR="00584099" w:rsidRPr="00741F9A" w:rsidRDefault="00584099" w:rsidP="00584099">
            <w:pPr>
              <w:jc w:val="right"/>
              <w:rPr>
                <w:rFonts w:cs="Arial"/>
                <w:b/>
                <w:color w:val="000000"/>
                <w:sz w:val="18"/>
                <w:szCs w:val="18"/>
              </w:rPr>
            </w:pPr>
          </w:p>
          <w:p w:rsidR="00584099" w:rsidRPr="00741F9A" w:rsidRDefault="00584099" w:rsidP="00584099">
            <w:pPr>
              <w:jc w:val="right"/>
              <w:rPr>
                <w:rFonts w:cs="Arial"/>
                <w:b/>
                <w:color w:val="000000"/>
                <w:sz w:val="18"/>
                <w:szCs w:val="18"/>
              </w:rPr>
            </w:pPr>
            <w:r w:rsidRPr="00741F9A">
              <w:rPr>
                <w:rFonts w:cs="Arial"/>
                <w:b/>
                <w:color w:val="000000"/>
                <w:sz w:val="18"/>
                <w:szCs w:val="18"/>
              </w:rPr>
              <w:t>4.520</w:t>
            </w:r>
          </w:p>
        </w:tc>
        <w:tc>
          <w:tcPr>
            <w:tcW w:w="851" w:type="dxa"/>
            <w:tcBorders>
              <w:top w:val="single" w:sz="4" w:space="0" w:color="auto"/>
              <w:left w:val="nil"/>
              <w:bottom w:val="single" w:sz="4" w:space="0" w:color="auto"/>
              <w:right w:val="single" w:sz="4" w:space="0" w:color="auto"/>
            </w:tcBorders>
            <w:shd w:val="clear" w:color="auto" w:fill="auto"/>
            <w:noWrap/>
          </w:tcPr>
          <w:p w:rsidR="00584099" w:rsidRPr="00741F9A" w:rsidRDefault="00584099" w:rsidP="00584099">
            <w:pPr>
              <w:jc w:val="right"/>
              <w:rPr>
                <w:rFonts w:cs="Arial"/>
                <w:b/>
                <w:color w:val="000000"/>
                <w:sz w:val="18"/>
                <w:szCs w:val="18"/>
              </w:rPr>
            </w:pPr>
          </w:p>
          <w:p w:rsidR="00584099" w:rsidRPr="00741F9A" w:rsidRDefault="00584099" w:rsidP="00584099">
            <w:pPr>
              <w:jc w:val="right"/>
              <w:rPr>
                <w:rFonts w:cs="Arial"/>
                <w:b/>
                <w:color w:val="000000"/>
                <w:sz w:val="18"/>
                <w:szCs w:val="18"/>
              </w:rPr>
            </w:pPr>
            <w:r w:rsidRPr="00741F9A">
              <w:rPr>
                <w:rFonts w:cs="Arial"/>
                <w:b/>
                <w:color w:val="000000"/>
                <w:sz w:val="18"/>
                <w:szCs w:val="18"/>
              </w:rPr>
              <w:t>6.362</w:t>
            </w:r>
          </w:p>
        </w:tc>
        <w:tc>
          <w:tcPr>
            <w:tcW w:w="850" w:type="dxa"/>
            <w:tcBorders>
              <w:top w:val="single" w:sz="4" w:space="0" w:color="auto"/>
              <w:left w:val="nil"/>
              <w:bottom w:val="single" w:sz="4" w:space="0" w:color="auto"/>
              <w:right w:val="single" w:sz="4" w:space="0" w:color="auto"/>
            </w:tcBorders>
            <w:shd w:val="clear" w:color="auto" w:fill="auto"/>
            <w:noWrap/>
          </w:tcPr>
          <w:p w:rsidR="00584099" w:rsidRPr="00741F9A" w:rsidRDefault="00584099" w:rsidP="00584099">
            <w:pPr>
              <w:jc w:val="right"/>
              <w:rPr>
                <w:rFonts w:cs="Arial"/>
                <w:b/>
                <w:color w:val="000000"/>
                <w:sz w:val="18"/>
                <w:szCs w:val="18"/>
              </w:rPr>
            </w:pPr>
          </w:p>
          <w:p w:rsidR="00584099" w:rsidRPr="00741F9A" w:rsidRDefault="00584099" w:rsidP="00584099">
            <w:pPr>
              <w:jc w:val="right"/>
              <w:rPr>
                <w:rFonts w:cs="Arial"/>
                <w:b/>
                <w:color w:val="000000"/>
                <w:sz w:val="18"/>
                <w:szCs w:val="18"/>
              </w:rPr>
            </w:pPr>
            <w:r w:rsidRPr="00741F9A">
              <w:rPr>
                <w:rFonts w:cs="Arial"/>
                <w:b/>
                <w:color w:val="000000"/>
                <w:sz w:val="18"/>
                <w:szCs w:val="18"/>
              </w:rPr>
              <w:t>11.911</w:t>
            </w:r>
          </w:p>
        </w:tc>
        <w:tc>
          <w:tcPr>
            <w:tcW w:w="851" w:type="dxa"/>
            <w:tcBorders>
              <w:top w:val="single" w:sz="4" w:space="0" w:color="auto"/>
              <w:left w:val="nil"/>
              <w:bottom w:val="single" w:sz="4" w:space="0" w:color="auto"/>
              <w:right w:val="single" w:sz="4" w:space="0" w:color="auto"/>
            </w:tcBorders>
            <w:shd w:val="clear" w:color="auto" w:fill="auto"/>
            <w:noWrap/>
          </w:tcPr>
          <w:p w:rsidR="00584099" w:rsidRPr="00741F9A" w:rsidRDefault="00584099" w:rsidP="00584099">
            <w:pPr>
              <w:jc w:val="right"/>
              <w:rPr>
                <w:rFonts w:cs="Arial"/>
                <w:b/>
                <w:color w:val="000000"/>
                <w:sz w:val="18"/>
                <w:szCs w:val="18"/>
              </w:rPr>
            </w:pPr>
          </w:p>
          <w:p w:rsidR="00584099" w:rsidRPr="00741F9A" w:rsidRDefault="00584099" w:rsidP="00584099">
            <w:pPr>
              <w:jc w:val="right"/>
              <w:rPr>
                <w:rFonts w:cs="Arial"/>
                <w:b/>
                <w:color w:val="000000"/>
                <w:sz w:val="18"/>
                <w:szCs w:val="18"/>
              </w:rPr>
            </w:pPr>
            <w:r w:rsidRPr="00741F9A">
              <w:rPr>
                <w:rFonts w:cs="Arial"/>
                <w:b/>
                <w:color w:val="000000"/>
                <w:sz w:val="18"/>
                <w:szCs w:val="18"/>
              </w:rPr>
              <w:t>10.998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84099" w:rsidRPr="00741F9A" w:rsidRDefault="00584099" w:rsidP="00584099">
            <w:pPr>
              <w:jc w:val="right"/>
              <w:rPr>
                <w:rFonts w:cs="Arial"/>
                <w:b/>
                <w:color w:val="000000"/>
                <w:sz w:val="18"/>
                <w:szCs w:val="18"/>
              </w:rPr>
            </w:pPr>
            <w:r w:rsidRPr="00741F9A">
              <w:rPr>
                <w:rFonts w:cs="Arial"/>
                <w:b/>
                <w:color w:val="000000"/>
                <w:sz w:val="18"/>
                <w:szCs w:val="18"/>
              </w:rPr>
              <w:t>8.200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84099" w:rsidRPr="00741F9A" w:rsidRDefault="00584099" w:rsidP="00584099">
            <w:pPr>
              <w:jc w:val="right"/>
              <w:rPr>
                <w:rFonts w:cs="Arial"/>
                <w:b/>
                <w:color w:val="000000"/>
                <w:sz w:val="18"/>
                <w:szCs w:val="18"/>
              </w:rPr>
            </w:pPr>
            <w:r w:rsidRPr="00741F9A">
              <w:rPr>
                <w:rFonts w:cs="Arial"/>
                <w:b/>
                <w:color w:val="000000"/>
                <w:sz w:val="18"/>
                <w:szCs w:val="18"/>
              </w:rPr>
              <w:t>988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84099" w:rsidRPr="00741F9A" w:rsidRDefault="00584099" w:rsidP="00584099">
            <w:pPr>
              <w:jc w:val="right"/>
              <w:rPr>
                <w:rFonts w:cs="Arial"/>
                <w:b/>
                <w:color w:val="000000"/>
                <w:sz w:val="18"/>
                <w:szCs w:val="18"/>
              </w:rPr>
            </w:pPr>
            <w:r w:rsidRPr="00741F9A">
              <w:rPr>
                <w:rFonts w:cs="Arial"/>
                <w:b/>
                <w:color w:val="000000"/>
                <w:sz w:val="18"/>
                <w:szCs w:val="18"/>
              </w:rPr>
              <w:t>4.537</w:t>
            </w:r>
          </w:p>
        </w:tc>
      </w:tr>
    </w:tbl>
    <w:p w:rsidR="00584099" w:rsidRDefault="00584099" w:rsidP="00584099">
      <w:r>
        <w:fldChar w:fldCharType="end"/>
      </w:r>
    </w:p>
    <w:p w:rsidR="00584099" w:rsidRDefault="00584099" w:rsidP="00584099"/>
    <w:p w:rsidR="00584099" w:rsidRDefault="00584099" w:rsidP="00584099">
      <w:r>
        <w:t xml:space="preserve">Tabela št. 5: Skupaj predvidena sredstva po KU (v tisoč EUR) </w:t>
      </w:r>
    </w:p>
    <w:p w:rsidR="00584099" w:rsidRPr="0081343F" w:rsidRDefault="00584099" w:rsidP="00584099"/>
    <w:tbl>
      <w:tblPr>
        <w:tblW w:w="9087" w:type="dxa"/>
        <w:tblInd w:w="55" w:type="dxa"/>
        <w:tblLayout w:type="fixed"/>
        <w:tblCellMar>
          <w:left w:w="70" w:type="dxa"/>
          <w:right w:w="70" w:type="dxa"/>
        </w:tblCellMar>
        <w:tblLook w:val="04A0" w:firstRow="1" w:lastRow="0" w:firstColumn="1" w:lastColumn="0" w:noHBand="0" w:noVBand="1"/>
      </w:tblPr>
      <w:tblGrid>
        <w:gridCol w:w="1575"/>
        <w:gridCol w:w="3969"/>
        <w:gridCol w:w="3543"/>
      </w:tblGrid>
      <w:tr w:rsidR="00584099" w:rsidRPr="00193E03" w:rsidTr="00584099">
        <w:trPr>
          <w:trHeight w:val="40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099" w:rsidRPr="00741F9A" w:rsidRDefault="00584099" w:rsidP="00584099">
            <w:pPr>
              <w:jc w:val="left"/>
              <w:rPr>
                <w:rFonts w:cs="Arial"/>
                <w:b/>
                <w:color w:val="000000"/>
                <w:szCs w:val="22"/>
              </w:rPr>
            </w:pPr>
            <w:r w:rsidRPr="00741F9A">
              <w:rPr>
                <w:rFonts w:cs="Arial"/>
                <w:b/>
                <w:color w:val="000000"/>
                <w:szCs w:val="22"/>
              </w:rPr>
              <w:t>KU</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center"/>
              <w:rPr>
                <w:rFonts w:cs="Arial"/>
                <w:b/>
                <w:color w:val="000000"/>
                <w:szCs w:val="22"/>
              </w:rPr>
            </w:pPr>
            <w:r w:rsidRPr="00741F9A">
              <w:rPr>
                <w:rFonts w:cs="Arial"/>
                <w:b/>
                <w:color w:val="000000"/>
                <w:szCs w:val="22"/>
              </w:rPr>
              <w:t xml:space="preserve">Skupaj </w:t>
            </w:r>
            <w:r>
              <w:rPr>
                <w:rFonts w:cs="Arial"/>
                <w:b/>
                <w:color w:val="000000"/>
                <w:szCs w:val="22"/>
              </w:rPr>
              <w:t>KU</w:t>
            </w:r>
            <w:r w:rsidRPr="00741F9A">
              <w:rPr>
                <w:rFonts w:cs="Arial"/>
                <w:b/>
                <w:color w:val="000000"/>
                <w:szCs w:val="22"/>
              </w:rPr>
              <w:t xml:space="preserve"> </w:t>
            </w:r>
            <w:r>
              <w:rPr>
                <w:rFonts w:cs="Arial"/>
                <w:b/>
                <w:color w:val="000000"/>
                <w:szCs w:val="22"/>
              </w:rPr>
              <w:t>(</w:t>
            </w:r>
            <w:r w:rsidRPr="00741F9A">
              <w:rPr>
                <w:rFonts w:cs="Arial"/>
                <w:b/>
                <w:color w:val="000000"/>
                <w:szCs w:val="22"/>
              </w:rPr>
              <w:t>v tisoč EUR</w:t>
            </w:r>
            <w:r>
              <w:rPr>
                <w:rFonts w:cs="Arial"/>
                <w:b/>
                <w:color w:val="000000"/>
                <w:szCs w:val="22"/>
              </w:rPr>
              <w:t>)</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584099" w:rsidRPr="00741F9A" w:rsidRDefault="00584099" w:rsidP="00584099">
            <w:pPr>
              <w:jc w:val="center"/>
              <w:rPr>
                <w:rFonts w:cs="Arial"/>
                <w:b/>
                <w:color w:val="000000"/>
                <w:szCs w:val="22"/>
              </w:rPr>
            </w:pPr>
            <w:r w:rsidRPr="00741F9A">
              <w:rPr>
                <w:rFonts w:cs="Arial"/>
                <w:b/>
                <w:color w:val="000000"/>
                <w:szCs w:val="22"/>
              </w:rPr>
              <w:t>% sredstev po prejemnikih</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DUNZMN</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10.375</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17,43%</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NVO</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2.767</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4,65%</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Policija</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27.860</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46,81%</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OO</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3.717</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6,25%</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PO DAF</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126</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0,21%</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MZZ</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8.653</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14,54%</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MJU</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4.333</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7,28%</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MORS</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988</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1,66%</w:t>
            </w:r>
          </w:p>
        </w:tc>
      </w:tr>
      <w:tr w:rsidR="003B3117" w:rsidRPr="00193E03" w:rsidTr="00EC2BCF">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B3117" w:rsidRPr="00193E03" w:rsidRDefault="003B3117" w:rsidP="003B3117">
            <w:pPr>
              <w:jc w:val="left"/>
              <w:rPr>
                <w:rFonts w:cs="Arial"/>
                <w:color w:val="000000"/>
                <w:szCs w:val="22"/>
              </w:rPr>
            </w:pPr>
            <w:r w:rsidRPr="00193E03">
              <w:rPr>
                <w:rFonts w:cs="Arial"/>
                <w:color w:val="000000"/>
                <w:szCs w:val="22"/>
              </w:rPr>
              <w:t>RO</w:t>
            </w:r>
          </w:p>
        </w:tc>
        <w:tc>
          <w:tcPr>
            <w:tcW w:w="3969"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694</w:t>
            </w:r>
          </w:p>
        </w:tc>
        <w:tc>
          <w:tcPr>
            <w:tcW w:w="3543" w:type="dxa"/>
            <w:tcBorders>
              <w:top w:val="nil"/>
              <w:left w:val="nil"/>
              <w:bottom w:val="single" w:sz="8" w:space="0" w:color="auto"/>
              <w:right w:val="single" w:sz="8" w:space="0" w:color="auto"/>
            </w:tcBorders>
            <w:shd w:val="clear" w:color="auto" w:fill="auto"/>
            <w:noWrap/>
            <w:vAlign w:val="center"/>
            <w:hideMark/>
          </w:tcPr>
          <w:p w:rsidR="003B3117" w:rsidRDefault="003B3117" w:rsidP="003B3117">
            <w:pPr>
              <w:jc w:val="right"/>
              <w:rPr>
                <w:rFonts w:cs="Arial"/>
                <w:color w:val="000000"/>
                <w:szCs w:val="22"/>
              </w:rPr>
            </w:pPr>
            <w:r>
              <w:rPr>
                <w:rFonts w:cs="Arial"/>
                <w:color w:val="000000"/>
                <w:szCs w:val="22"/>
              </w:rPr>
              <w:t>1,17%</w:t>
            </w:r>
          </w:p>
        </w:tc>
      </w:tr>
      <w:tr w:rsidR="00584099" w:rsidRPr="00AF3BB8" w:rsidTr="00584099">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584099" w:rsidRPr="00AF3BB8" w:rsidRDefault="00584099" w:rsidP="00584099">
            <w:pPr>
              <w:jc w:val="left"/>
              <w:rPr>
                <w:rFonts w:cs="Arial"/>
                <w:b/>
                <w:color w:val="000000"/>
                <w:szCs w:val="22"/>
              </w:rPr>
            </w:pPr>
            <w:r w:rsidRPr="00AF3BB8">
              <w:rPr>
                <w:rFonts w:cs="Arial"/>
                <w:b/>
                <w:color w:val="000000"/>
                <w:szCs w:val="22"/>
              </w:rPr>
              <w:t>Skupaj</w:t>
            </w:r>
          </w:p>
        </w:tc>
        <w:tc>
          <w:tcPr>
            <w:tcW w:w="3969" w:type="dxa"/>
            <w:tcBorders>
              <w:top w:val="nil"/>
              <w:left w:val="nil"/>
              <w:bottom w:val="single" w:sz="4" w:space="0" w:color="auto"/>
              <w:right w:val="single" w:sz="4" w:space="0" w:color="auto"/>
            </w:tcBorders>
            <w:shd w:val="clear" w:color="auto" w:fill="auto"/>
            <w:noWrap/>
            <w:vAlign w:val="bottom"/>
            <w:hideMark/>
          </w:tcPr>
          <w:p w:rsidR="00584099" w:rsidRPr="00AF3BB8" w:rsidRDefault="003B3117" w:rsidP="00584099">
            <w:pPr>
              <w:jc w:val="right"/>
              <w:rPr>
                <w:rFonts w:cs="Arial"/>
                <w:b/>
                <w:color w:val="000000"/>
                <w:szCs w:val="22"/>
              </w:rPr>
            </w:pPr>
            <w:r>
              <w:rPr>
                <w:rFonts w:cs="Arial"/>
                <w:b/>
                <w:color w:val="000000"/>
                <w:szCs w:val="22"/>
              </w:rPr>
              <w:t>59.513</w:t>
            </w:r>
          </w:p>
        </w:tc>
        <w:tc>
          <w:tcPr>
            <w:tcW w:w="3543" w:type="dxa"/>
            <w:tcBorders>
              <w:top w:val="nil"/>
              <w:left w:val="nil"/>
              <w:bottom w:val="single" w:sz="4" w:space="0" w:color="auto"/>
              <w:right w:val="single" w:sz="4" w:space="0" w:color="auto"/>
            </w:tcBorders>
            <w:shd w:val="clear" w:color="auto" w:fill="auto"/>
            <w:noWrap/>
            <w:vAlign w:val="bottom"/>
            <w:hideMark/>
          </w:tcPr>
          <w:p w:rsidR="00584099" w:rsidRPr="00AF3BB8" w:rsidRDefault="00584099" w:rsidP="00584099">
            <w:pPr>
              <w:jc w:val="right"/>
              <w:rPr>
                <w:rFonts w:cs="Arial"/>
                <w:b/>
                <w:color w:val="000000"/>
                <w:szCs w:val="22"/>
              </w:rPr>
            </w:pPr>
            <w:r w:rsidRPr="00AF3BB8">
              <w:rPr>
                <w:rFonts w:cs="Arial"/>
                <w:b/>
                <w:color w:val="000000"/>
                <w:szCs w:val="22"/>
              </w:rPr>
              <w:t>100,0%</w:t>
            </w:r>
          </w:p>
        </w:tc>
      </w:tr>
    </w:tbl>
    <w:p w:rsidR="00584099" w:rsidRPr="00AF3BB8" w:rsidRDefault="00584099" w:rsidP="00584099">
      <w:pPr>
        <w:rPr>
          <w:b/>
        </w:rPr>
      </w:pPr>
    </w:p>
    <w:p w:rsidR="00584099" w:rsidRDefault="00584099" w:rsidP="00584099">
      <w:r w:rsidRPr="0081343F">
        <w:t xml:space="preserve">Iz tabel je razvidno, da bo </w:t>
      </w:r>
      <w:r>
        <w:t xml:space="preserve">v okviru izvajanja 2 skladov in 4 </w:t>
      </w:r>
      <w:r w:rsidR="00782270">
        <w:t xml:space="preserve">posebnih ciljev </w:t>
      </w:r>
      <w:r w:rsidRPr="0081343F">
        <w:t xml:space="preserve">Policija razpolagala s sredstvi </w:t>
      </w:r>
      <w:r>
        <w:t xml:space="preserve">Skupnosti </w:t>
      </w:r>
      <w:r w:rsidRPr="0081343F">
        <w:t xml:space="preserve">v vrednosti </w:t>
      </w:r>
      <w:r>
        <w:t>27.860</w:t>
      </w:r>
      <w:r w:rsidRPr="0081343F">
        <w:t xml:space="preserve"> tisoč EUR, kar predstavlja </w:t>
      </w:r>
      <w:r w:rsidR="003B3117">
        <w:t>46</w:t>
      </w:r>
      <w:r>
        <w:t>,8</w:t>
      </w:r>
      <w:r w:rsidR="003B3117">
        <w:t>1</w:t>
      </w:r>
      <w:r>
        <w:t xml:space="preserve"> </w:t>
      </w:r>
      <w:r w:rsidRPr="0081343F">
        <w:t xml:space="preserve">% vseh sredstev Skupnosti. </w:t>
      </w:r>
      <w:r>
        <w:t xml:space="preserve">V okviru izvajanja 1 sklada ter 2 </w:t>
      </w:r>
      <w:r w:rsidR="00782270">
        <w:t xml:space="preserve">posebnih ciljev </w:t>
      </w:r>
      <w:r w:rsidR="00B851AB">
        <w:t>je 2</w:t>
      </w:r>
      <w:r>
        <w:t>.</w:t>
      </w:r>
      <w:r w:rsidRPr="0081343F">
        <w:t xml:space="preserve"> največji prejemnik sredstev </w:t>
      </w:r>
      <w:r w:rsidR="00B851AB">
        <w:t xml:space="preserve">DUNZMN, ki bo razpolagal s 10.375 tisoč EUR, kar predstavlja 17,43 % </w:t>
      </w:r>
      <w:r w:rsidR="00B851AB" w:rsidRPr="0081343F">
        <w:t>vseh sredstev Skupnosti</w:t>
      </w:r>
      <w:r>
        <w:t>, 3.</w:t>
      </w:r>
      <w:r w:rsidR="003B3117">
        <w:t xml:space="preserve"> pa </w:t>
      </w:r>
      <w:r w:rsidR="00B851AB" w:rsidRPr="0081343F">
        <w:t>M</w:t>
      </w:r>
      <w:r w:rsidR="00B851AB">
        <w:t>ZZ</w:t>
      </w:r>
      <w:r w:rsidR="00B851AB" w:rsidRPr="0081343F">
        <w:t xml:space="preserve">, ki bo razpolagalo s sredstvi </w:t>
      </w:r>
      <w:r w:rsidR="00B851AB">
        <w:t xml:space="preserve">Skupnosti </w:t>
      </w:r>
      <w:r w:rsidR="00B851AB" w:rsidRPr="0081343F">
        <w:t xml:space="preserve">v vrednosti </w:t>
      </w:r>
      <w:r w:rsidR="00B851AB">
        <w:t>8.653</w:t>
      </w:r>
      <w:r w:rsidR="00B851AB" w:rsidRPr="0081343F">
        <w:t xml:space="preserve"> tisoč EUR, kar predstavlja </w:t>
      </w:r>
      <w:r w:rsidR="00B851AB">
        <w:t xml:space="preserve">14,54 </w:t>
      </w:r>
      <w:r w:rsidRPr="0081343F">
        <w:t xml:space="preserve"> sredstev Skupnosti</w:t>
      </w:r>
      <w:r>
        <w:t>, 4. MJU bo razpolagal s sredstvi Skupnosti v vrednosti 4.33</w:t>
      </w:r>
      <w:r w:rsidR="00B851AB">
        <w:t>3 tisoč EUR, kar predstavlja 7,28</w:t>
      </w:r>
      <w:r>
        <w:t xml:space="preserve"> % vseh sredstev Skupnosti, </w:t>
      </w:r>
      <w:r w:rsidRPr="00193E03">
        <w:rPr>
          <w:rFonts w:cs="Arial"/>
          <w:color w:val="000000"/>
          <w:szCs w:val="22"/>
        </w:rPr>
        <w:t>MORS</w:t>
      </w:r>
      <w:r>
        <w:rPr>
          <w:rFonts w:cs="Arial"/>
          <w:color w:val="000000"/>
          <w:szCs w:val="22"/>
        </w:rPr>
        <w:t xml:space="preserve"> </w:t>
      </w:r>
      <w:r>
        <w:t>bo razpolagal s sredstvi Skupnosti v vrednosti 98</w:t>
      </w:r>
      <w:r w:rsidR="00B851AB">
        <w:t>8 tisoč EUR, kar predstavlja 1,66</w:t>
      </w:r>
      <w:r>
        <w:t xml:space="preserve"> % vseh sredstev Skupnosti, izvajal pa bo 1 sklad in 1</w:t>
      </w:r>
      <w:r w:rsidR="00782270">
        <w:t>posebni cilj</w:t>
      </w:r>
      <w:r>
        <w:t>.</w:t>
      </w:r>
    </w:p>
    <w:p w:rsidR="00584099" w:rsidRDefault="00584099" w:rsidP="00584099"/>
    <w:p w:rsidR="00584099" w:rsidRDefault="00584099" w:rsidP="00584099">
      <w:r w:rsidRPr="00E60D14">
        <w:t xml:space="preserve">Sredstva </w:t>
      </w:r>
      <w:r w:rsidRPr="00D05EC0">
        <w:t xml:space="preserve">Skupnosti </w:t>
      </w:r>
      <w:r w:rsidRPr="00B74B98">
        <w:t xml:space="preserve">v vrednosti </w:t>
      </w:r>
      <w:r w:rsidRPr="00F63A08">
        <w:t xml:space="preserve">2.767 tisoč EUR bodo razdeljena </w:t>
      </w:r>
      <w:r w:rsidRPr="00741F9A">
        <w:t xml:space="preserve">tudi </w:t>
      </w:r>
      <w:r>
        <w:t xml:space="preserve">KU </w:t>
      </w:r>
      <w:r w:rsidRPr="00E60D14">
        <w:t>NVO na</w:t>
      </w:r>
      <w:r w:rsidRPr="00D05EC0">
        <w:t xml:space="preserve"> podlagi </w:t>
      </w:r>
      <w:r w:rsidRPr="00B74B98">
        <w:t>JR za dodelitev sredstev</w:t>
      </w:r>
      <w:r w:rsidR="00B851AB">
        <w:t>, kar predstavlja 4,65</w:t>
      </w:r>
      <w:r w:rsidRPr="00F63A08">
        <w:t xml:space="preserve"> % vseh sredstev Skupnosti, delovale pa bodo v okviru izvajanja </w:t>
      </w:r>
      <w:r w:rsidRPr="00741F9A">
        <w:t xml:space="preserve">1 sklada ter </w:t>
      </w:r>
      <w:r>
        <w:t>3</w:t>
      </w:r>
      <w:r w:rsidR="00782270">
        <w:t>posebnih ciljev</w:t>
      </w:r>
      <w:r w:rsidRPr="00741F9A">
        <w:t>.</w:t>
      </w:r>
      <w:r w:rsidRPr="0081343F">
        <w:t xml:space="preserve"> </w:t>
      </w:r>
    </w:p>
    <w:p w:rsidR="00584099" w:rsidRDefault="00584099" w:rsidP="00584099"/>
    <w:p w:rsidR="00584099" w:rsidRPr="0081343F" w:rsidRDefault="00584099" w:rsidP="00584099">
      <w:r w:rsidRPr="0081343F">
        <w:lastRenderedPageBreak/>
        <w:t xml:space="preserve">Razpoložljiva sredstva za </w:t>
      </w:r>
      <w:r w:rsidRPr="000D477B">
        <w:t>tehnično pomoč iz skladov</w:t>
      </w:r>
      <w:r w:rsidRPr="0081343F">
        <w:t xml:space="preserve"> so v skupni vrednosti </w:t>
      </w:r>
      <w:r>
        <w:t xml:space="preserve">4.537 </w:t>
      </w:r>
      <w:r w:rsidRPr="0081343F">
        <w:t>tisoč EUR</w:t>
      </w:r>
      <w:r w:rsidR="00B851AB">
        <w:t>, kar predstavlja 7,35</w:t>
      </w:r>
      <w:r>
        <w:t>% vseh sredstev skladov, KU teh sredstev pa bodo OO, PO DAF in RO</w:t>
      </w:r>
      <w:r w:rsidRPr="0081343F">
        <w:t>.</w:t>
      </w:r>
    </w:p>
    <w:p w:rsidR="00584099" w:rsidRPr="00584099" w:rsidRDefault="00584099" w:rsidP="00584099">
      <w:pPr>
        <w:pStyle w:val="Odstavekseznama"/>
        <w:ind w:left="360"/>
      </w:pPr>
    </w:p>
    <w:p w:rsidR="00584099" w:rsidRPr="000D3242" w:rsidRDefault="00584099" w:rsidP="000D3242">
      <w:pPr>
        <w:pStyle w:val="Naslov1"/>
        <w:numPr>
          <w:ilvl w:val="0"/>
          <w:numId w:val="19"/>
        </w:numPr>
        <w:rPr>
          <w:sz w:val="22"/>
          <w:szCs w:val="22"/>
        </w:rPr>
      </w:pPr>
      <w:bookmarkStart w:id="4" w:name="_Toc457810282"/>
      <w:r w:rsidRPr="000D3242">
        <w:rPr>
          <w:sz w:val="22"/>
          <w:szCs w:val="22"/>
        </w:rPr>
        <w:t>IZVAJANJE KONTROL ODGOVORNEGA ORGANA</w:t>
      </w:r>
      <w:bookmarkEnd w:id="4"/>
    </w:p>
    <w:p w:rsidR="000D3242" w:rsidRDefault="000D3242" w:rsidP="000D3242">
      <w:pPr>
        <w:pStyle w:val="Odstavekseznama"/>
        <w:ind w:left="360"/>
        <w:rPr>
          <w:b/>
          <w:szCs w:val="22"/>
        </w:rPr>
      </w:pPr>
    </w:p>
    <w:p w:rsidR="005058D0" w:rsidRDefault="005058D0" w:rsidP="005058D0">
      <w:pPr>
        <w:pStyle w:val="Odstavekseznama"/>
        <w:ind w:left="360"/>
        <w:rPr>
          <w:b/>
          <w:szCs w:val="22"/>
        </w:rPr>
      </w:pPr>
    </w:p>
    <w:p w:rsidR="005058D0" w:rsidRDefault="005058D0" w:rsidP="005058D0">
      <w:r>
        <w:t>OO vse opravljene kontrole – upravni nadzor, operativna in finančna kontrola na kraju samem</w:t>
      </w:r>
      <w:r w:rsidR="00995A8B">
        <w:t xml:space="preserve"> vodi v MIGRA II, tako da je zagotovljena revizijska sled. V primeru, če so rezultati kontrol takšni, ki kažejo na sistemske napake, OO izvede dodatne kontrole, da se ugotovi dejansko stanje in preveri, če je stopnja napake še v okviru sprejemljivega tveganja.</w:t>
      </w:r>
    </w:p>
    <w:p w:rsidR="00995A8B" w:rsidRDefault="00995A8B" w:rsidP="005058D0"/>
    <w:p w:rsidR="00995A8B" w:rsidRPr="005058D0" w:rsidRDefault="00995A8B" w:rsidP="005058D0">
      <w:r>
        <w:t xml:space="preserve">OO analizira situacijo in predlaga ustrezne korektivne ukrepe, ki znižujejo tveganje. Če ustrezni ukrepi ne morejo biti izvedeni pred oddajo </w:t>
      </w:r>
      <w:r>
        <w:rPr>
          <w:rFonts w:cs="Arial"/>
          <w:szCs w:val="22"/>
        </w:rPr>
        <w:t>letnih računovodskih izkazov o odhodkih lahko OO o tem informira EK v Izjavi o upravljanju.</w:t>
      </w:r>
    </w:p>
    <w:p w:rsidR="00F54971" w:rsidRPr="0081343F" w:rsidRDefault="00F54971" w:rsidP="004912AC">
      <w:pPr>
        <w:rPr>
          <w:b/>
        </w:rPr>
      </w:pPr>
    </w:p>
    <w:p w:rsidR="00A2399B" w:rsidRDefault="005F11B6" w:rsidP="002264D5">
      <w:pPr>
        <w:pStyle w:val="Naslov2"/>
        <w:numPr>
          <w:ilvl w:val="1"/>
          <w:numId w:val="19"/>
        </w:numPr>
        <w:jc w:val="both"/>
        <w:rPr>
          <w:i w:val="0"/>
          <w:sz w:val="22"/>
          <w:szCs w:val="22"/>
        </w:rPr>
      </w:pPr>
      <w:bookmarkStart w:id="5" w:name="_Toc457810283"/>
      <w:r>
        <w:rPr>
          <w:i w:val="0"/>
          <w:sz w:val="22"/>
          <w:szCs w:val="22"/>
        </w:rPr>
        <w:t xml:space="preserve">Upravni nadzor odgovornega organa (100 % kontrola </w:t>
      </w:r>
      <w:proofErr w:type="spellStart"/>
      <w:r>
        <w:rPr>
          <w:i w:val="0"/>
          <w:sz w:val="22"/>
          <w:szCs w:val="22"/>
        </w:rPr>
        <w:t>ZzP</w:t>
      </w:r>
      <w:proofErr w:type="spellEnd"/>
      <w:r>
        <w:rPr>
          <w:i w:val="0"/>
          <w:sz w:val="22"/>
          <w:szCs w:val="22"/>
        </w:rPr>
        <w:t>)</w:t>
      </w:r>
      <w:bookmarkEnd w:id="5"/>
    </w:p>
    <w:p w:rsidR="00513A1E" w:rsidRPr="00513A1E" w:rsidRDefault="00513A1E" w:rsidP="00513A1E">
      <w:pPr>
        <w:rPr>
          <w:lang w:eastAsia="en-GB"/>
        </w:rPr>
      </w:pPr>
    </w:p>
    <w:p w:rsidR="00513A1E" w:rsidRPr="001A33D5" w:rsidRDefault="00513A1E" w:rsidP="00513A1E">
      <w:pPr>
        <w:rPr>
          <w:rFonts w:cs="Arial"/>
          <w:szCs w:val="22"/>
        </w:rPr>
      </w:pPr>
      <w:r w:rsidRPr="001A33D5">
        <w:rPr>
          <w:rFonts w:cs="Arial"/>
          <w:szCs w:val="22"/>
        </w:rPr>
        <w:t xml:space="preserve">Upravni nadzor </w:t>
      </w:r>
      <w:proofErr w:type="spellStart"/>
      <w:r w:rsidRPr="001A33D5">
        <w:rPr>
          <w:rFonts w:cs="Arial"/>
          <w:szCs w:val="22"/>
        </w:rPr>
        <w:t>ZzP</w:t>
      </w:r>
      <w:proofErr w:type="spellEnd"/>
      <w:r w:rsidRPr="001A33D5">
        <w:rPr>
          <w:rFonts w:cs="Arial"/>
          <w:szCs w:val="22"/>
        </w:rPr>
        <w:t xml:space="preserve">, ki jih posredujejo KU (neposredna dodelitev) oz. DAC (javni razpisi), izvaja OO, ki preverja popolnost, pravilnost in upravičenost izdatkov za projekte, ki se financirajo iz skladov. OO izvede 100 % administrativno in finančno kontrolo popolnosti, pravilnosti in upravičenosti vseh </w:t>
      </w:r>
      <w:proofErr w:type="spellStart"/>
      <w:r w:rsidRPr="001A33D5">
        <w:rPr>
          <w:rFonts w:cs="Arial"/>
          <w:szCs w:val="22"/>
        </w:rPr>
        <w:t>ZzP</w:t>
      </w:r>
      <w:proofErr w:type="spellEnd"/>
      <w:r w:rsidRPr="001A33D5">
        <w:rPr>
          <w:rFonts w:cs="Arial"/>
          <w:szCs w:val="22"/>
        </w:rPr>
        <w:t>, s čimer za potrebe potrjevanja:</w:t>
      </w:r>
    </w:p>
    <w:p w:rsidR="00513A1E" w:rsidRPr="001A33D5" w:rsidRDefault="00513A1E" w:rsidP="00513A1E">
      <w:pPr>
        <w:numPr>
          <w:ilvl w:val="0"/>
          <w:numId w:val="28"/>
        </w:numPr>
        <w:rPr>
          <w:rFonts w:cs="Arial"/>
          <w:szCs w:val="22"/>
        </w:rPr>
      </w:pPr>
      <w:r w:rsidRPr="001A33D5">
        <w:rPr>
          <w:rFonts w:cs="Arial"/>
          <w:szCs w:val="22"/>
        </w:rPr>
        <w:t xml:space="preserve">preverja formalno pravilnost </w:t>
      </w:r>
      <w:proofErr w:type="spellStart"/>
      <w:r w:rsidRPr="001A33D5">
        <w:rPr>
          <w:rFonts w:cs="Arial"/>
          <w:szCs w:val="22"/>
        </w:rPr>
        <w:t>ZzP</w:t>
      </w:r>
      <w:proofErr w:type="spellEnd"/>
      <w:r w:rsidRPr="001A33D5">
        <w:rPr>
          <w:rFonts w:cs="Arial"/>
          <w:szCs w:val="22"/>
        </w:rPr>
        <w:t xml:space="preserve"> in aritmetično točnost finančnih izjav;</w:t>
      </w:r>
    </w:p>
    <w:p w:rsidR="00513A1E" w:rsidRPr="001A33D5" w:rsidRDefault="00513A1E" w:rsidP="00513A1E">
      <w:pPr>
        <w:numPr>
          <w:ilvl w:val="0"/>
          <w:numId w:val="28"/>
        </w:numPr>
        <w:rPr>
          <w:rFonts w:cs="Arial"/>
          <w:szCs w:val="22"/>
        </w:rPr>
      </w:pPr>
      <w:r w:rsidRPr="001A33D5">
        <w:rPr>
          <w:rFonts w:cs="Arial"/>
          <w:szCs w:val="22"/>
        </w:rPr>
        <w:t>preverja, ali je projekt dosegel zastavljene cilje oz. ali je viden napredek pri doseganju teh ciljev;</w:t>
      </w:r>
    </w:p>
    <w:p w:rsidR="00513A1E" w:rsidRPr="001A33D5" w:rsidRDefault="00513A1E" w:rsidP="00513A1E">
      <w:pPr>
        <w:numPr>
          <w:ilvl w:val="0"/>
          <w:numId w:val="28"/>
        </w:numPr>
        <w:rPr>
          <w:rFonts w:cs="Arial"/>
          <w:szCs w:val="22"/>
        </w:rPr>
      </w:pPr>
      <w:r w:rsidRPr="001A33D5">
        <w:rPr>
          <w:rFonts w:cs="Arial"/>
          <w:szCs w:val="22"/>
        </w:rPr>
        <w:t>izvede analitični pregled za oceno relevantnosti prijavljenih izdatkov v finančnih izjavah in njihove skladnosti z zahtevami, določenimi v pogodbi o financiranju programa/projekta, odločitvi o podpori oz. sklepu o financiranju tehnične pomoči, pravili upravičenosti ter z drugimi veljavnimi pravili EU in nacionalnimi pravili.</w:t>
      </w:r>
    </w:p>
    <w:p w:rsidR="00513A1E" w:rsidRPr="001A33D5" w:rsidRDefault="00513A1E" w:rsidP="00513A1E">
      <w:pPr>
        <w:rPr>
          <w:rFonts w:cs="Arial"/>
          <w:szCs w:val="22"/>
        </w:rPr>
      </w:pPr>
    </w:p>
    <w:p w:rsidR="00513A1E" w:rsidRDefault="00513A1E" w:rsidP="00513A1E">
      <w:pPr>
        <w:rPr>
          <w:rFonts w:cs="Arial"/>
          <w:szCs w:val="22"/>
        </w:rPr>
      </w:pPr>
      <w:r w:rsidRPr="001A33D5">
        <w:rPr>
          <w:rFonts w:cs="Arial"/>
          <w:szCs w:val="22"/>
        </w:rPr>
        <w:t xml:space="preserve">OO za potrebe upravnega nadzora ni potrebno preverjati vse spremne dokumentacije </w:t>
      </w:r>
      <w:proofErr w:type="spellStart"/>
      <w:r w:rsidRPr="001A33D5">
        <w:rPr>
          <w:rFonts w:cs="Arial"/>
          <w:szCs w:val="22"/>
        </w:rPr>
        <w:t>ZzP</w:t>
      </w:r>
      <w:proofErr w:type="spellEnd"/>
      <w:r w:rsidRPr="001A33D5">
        <w:rPr>
          <w:rFonts w:cs="Arial"/>
          <w:szCs w:val="22"/>
        </w:rPr>
        <w:t xml:space="preserve">. V primeru, da nadzor razkrije neskladnosti ali nepravilnosti, OO izvede natančna preverjanja celotne dokumentacije </w:t>
      </w:r>
      <w:proofErr w:type="spellStart"/>
      <w:r w:rsidRPr="001A33D5">
        <w:rPr>
          <w:rFonts w:cs="Arial"/>
          <w:szCs w:val="22"/>
        </w:rPr>
        <w:t>ZzP</w:t>
      </w:r>
      <w:proofErr w:type="spellEnd"/>
      <w:r w:rsidRPr="001A33D5">
        <w:rPr>
          <w:rFonts w:cs="Arial"/>
          <w:szCs w:val="22"/>
        </w:rPr>
        <w:t xml:space="preserve"> v MIGRA II za oceno zakonitosti in pravilnosti izdatkov.</w:t>
      </w:r>
    </w:p>
    <w:p w:rsidR="0080576B" w:rsidRDefault="0080576B" w:rsidP="00513A1E">
      <w:pPr>
        <w:rPr>
          <w:rFonts w:cs="Arial"/>
          <w:szCs w:val="22"/>
        </w:rPr>
      </w:pPr>
    </w:p>
    <w:p w:rsidR="0080576B" w:rsidRDefault="0080576B" w:rsidP="00513A1E">
      <w:pPr>
        <w:rPr>
          <w:rFonts w:cs="Arial"/>
          <w:szCs w:val="22"/>
        </w:rPr>
      </w:pPr>
      <w:r>
        <w:rPr>
          <w:rFonts w:cs="Arial"/>
          <w:szCs w:val="22"/>
        </w:rPr>
        <w:t>OO izvede kontrolo postopka javnega naročila in izpolni kontrolno listo, ki jo naloži v MIGRA II.</w:t>
      </w:r>
    </w:p>
    <w:p w:rsidR="00513A1E" w:rsidRPr="001A33D5" w:rsidRDefault="00513A1E" w:rsidP="00513A1E">
      <w:pPr>
        <w:rPr>
          <w:rFonts w:cs="Arial"/>
          <w:szCs w:val="22"/>
        </w:rPr>
      </w:pPr>
    </w:p>
    <w:p w:rsidR="00513A1E" w:rsidRPr="001A33D5" w:rsidRDefault="00513A1E" w:rsidP="00513A1E">
      <w:pPr>
        <w:rPr>
          <w:rFonts w:cs="Arial"/>
        </w:rPr>
      </w:pPr>
      <w:r w:rsidRPr="001A33D5">
        <w:rPr>
          <w:rFonts w:cs="Arial"/>
        </w:rPr>
        <w:t xml:space="preserve">Po prejemu </w:t>
      </w:r>
      <w:proofErr w:type="spellStart"/>
      <w:r w:rsidRPr="001A33D5">
        <w:rPr>
          <w:rFonts w:cs="Arial"/>
        </w:rPr>
        <w:t>ZzP</w:t>
      </w:r>
      <w:proofErr w:type="spellEnd"/>
      <w:r w:rsidRPr="001A33D5">
        <w:rPr>
          <w:rFonts w:cs="Arial"/>
        </w:rPr>
        <w:t xml:space="preserve"> OO z uporabo </w:t>
      </w:r>
      <w:r w:rsidRPr="001A33D5">
        <w:rPr>
          <w:rFonts w:cs="Arial"/>
          <w:szCs w:val="22"/>
        </w:rPr>
        <w:t xml:space="preserve">kontrolnega lista </w:t>
      </w:r>
      <w:r w:rsidRPr="001A33D5">
        <w:rPr>
          <w:rFonts w:cs="Arial"/>
        </w:rPr>
        <w:t xml:space="preserve">zahtevka za v MIGRA II </w:t>
      </w:r>
      <w:r w:rsidR="00C11BD1">
        <w:rPr>
          <w:rFonts w:cs="Arial"/>
        </w:rPr>
        <w:t xml:space="preserve">izvede </w:t>
      </w:r>
      <w:r w:rsidRPr="001A33D5">
        <w:rPr>
          <w:rFonts w:cs="Arial"/>
        </w:rPr>
        <w:t xml:space="preserve">upravni nadzor. OO mora nadzor opraviti v 30 dneh od prejema </w:t>
      </w:r>
      <w:proofErr w:type="spellStart"/>
      <w:r w:rsidRPr="001A33D5">
        <w:rPr>
          <w:rFonts w:cs="Arial"/>
        </w:rPr>
        <w:t>ZzP</w:t>
      </w:r>
      <w:proofErr w:type="spellEnd"/>
      <w:r w:rsidRPr="001A33D5">
        <w:rPr>
          <w:rFonts w:cs="Arial"/>
        </w:rPr>
        <w:t>, v ustrezno utemeljenih primerih se lahko ta rok podaljša (npr. če je projektu v tem obdobju predvidena tudi operativna kontrola na kraju samem, lahko OO počaka z izvedbo upravnega nadzora, da najprej pridobi rezultate kontrole). Kontrolni list podpišejo osebe, ki so kontrole izvedle, podpisana različica pa se evidentira tudi v MIGRA II.</w:t>
      </w:r>
    </w:p>
    <w:p w:rsidR="00513A1E" w:rsidRPr="001A33D5" w:rsidRDefault="00513A1E" w:rsidP="00513A1E">
      <w:pPr>
        <w:rPr>
          <w:rFonts w:cs="Arial"/>
        </w:rPr>
      </w:pPr>
    </w:p>
    <w:p w:rsidR="00513A1E" w:rsidRPr="001A33D5" w:rsidRDefault="00513A1E" w:rsidP="00513A1E">
      <w:pPr>
        <w:rPr>
          <w:rFonts w:cs="Arial"/>
        </w:rPr>
      </w:pPr>
      <w:r w:rsidRPr="001A33D5">
        <w:rPr>
          <w:rFonts w:cs="Arial"/>
        </w:rPr>
        <w:t xml:space="preserve">V primeru, da upravni nadzor razkrije morebitne nepravilnosti ali pomanjkljivosti, OO svoje ugotovitve, zapisane na kontrolnem listu, posreduje KU oz. DAC. Prejemnik ima možnost enega popravka </w:t>
      </w:r>
      <w:proofErr w:type="spellStart"/>
      <w:r w:rsidRPr="001A33D5">
        <w:rPr>
          <w:rFonts w:cs="Arial"/>
        </w:rPr>
        <w:t>ZzP</w:t>
      </w:r>
      <w:proofErr w:type="spellEnd"/>
      <w:r w:rsidRPr="001A33D5">
        <w:rPr>
          <w:rFonts w:cs="Arial"/>
        </w:rPr>
        <w:t xml:space="preserve"> (to ne velja za primere, ko kontrole razkrijejo sum korupcije ali prevare), ki ga lahko posredujejo v 5 delovnih dneh od prejema ugotovitev. OO dopolnjen zahtevek ponovno preveri s kontrolnim listom v MIGRA II (le popravljene kategorije podatkov).</w:t>
      </w:r>
    </w:p>
    <w:p w:rsidR="00513A1E" w:rsidRPr="001A33D5" w:rsidRDefault="00513A1E" w:rsidP="00513A1E">
      <w:pPr>
        <w:rPr>
          <w:rFonts w:cs="Arial"/>
          <w:szCs w:val="22"/>
        </w:rPr>
      </w:pPr>
    </w:p>
    <w:p w:rsidR="00513A1E" w:rsidRPr="001A33D5" w:rsidRDefault="00513A1E" w:rsidP="00513A1E">
      <w:pPr>
        <w:rPr>
          <w:rFonts w:cs="Arial"/>
        </w:rPr>
      </w:pPr>
      <w:r w:rsidRPr="001A33D5">
        <w:rPr>
          <w:rFonts w:cs="Arial"/>
        </w:rPr>
        <w:t xml:space="preserve">Na podlagi končnih ugotovitev upravnega nadzora OO v MIGRA II v znesku skupnih upravičenih izdatkov po </w:t>
      </w:r>
      <w:proofErr w:type="spellStart"/>
      <w:r w:rsidRPr="001A33D5">
        <w:rPr>
          <w:rFonts w:cs="Arial"/>
        </w:rPr>
        <w:t>ZzP</w:t>
      </w:r>
      <w:proofErr w:type="spellEnd"/>
      <w:r w:rsidRPr="001A33D5">
        <w:rPr>
          <w:rFonts w:cs="Arial"/>
        </w:rPr>
        <w:t xml:space="preserve"> (tj. znesek zahtevka, zmanjšan za višino ugotovljenih nepravilnosti, ki s popravkom niso bile odpravljene) </w:t>
      </w:r>
      <w:r w:rsidR="0080576B">
        <w:rPr>
          <w:rFonts w:cs="Arial"/>
        </w:rPr>
        <w:t>generira NPS</w:t>
      </w:r>
      <w:r w:rsidRPr="001A33D5">
        <w:rPr>
          <w:rFonts w:cs="Arial"/>
        </w:rPr>
        <w:t xml:space="preserve">, ki ga podpiše vodja OO. </w:t>
      </w:r>
      <w:r w:rsidRPr="001A33D5">
        <w:rPr>
          <w:rFonts w:cs="Arial"/>
        </w:rPr>
        <w:lastRenderedPageBreak/>
        <w:t xml:space="preserve">Podpisana različica NPS se </w:t>
      </w:r>
      <w:proofErr w:type="spellStart"/>
      <w:r w:rsidRPr="001A33D5">
        <w:rPr>
          <w:rFonts w:cs="Arial"/>
        </w:rPr>
        <w:t>zavede</w:t>
      </w:r>
      <w:proofErr w:type="spellEnd"/>
      <w:r w:rsidRPr="001A33D5">
        <w:rPr>
          <w:rFonts w:cs="Arial"/>
        </w:rPr>
        <w:t xml:space="preserve"> v MIGRA II in preko sistema posreduje DAF. Na podlagi prejetega NPS DAF v 15 dneh od prejema izvrši povračilo ustreznega deleža prispevka EU iz namenskega podračuna sklada v državni proračun, transakcijo pa </w:t>
      </w:r>
      <w:proofErr w:type="spellStart"/>
      <w:r w:rsidRPr="001A33D5">
        <w:rPr>
          <w:rFonts w:cs="Arial"/>
        </w:rPr>
        <w:t>zavede</w:t>
      </w:r>
      <w:proofErr w:type="spellEnd"/>
      <w:r w:rsidRPr="001A33D5">
        <w:rPr>
          <w:rFonts w:cs="Arial"/>
        </w:rPr>
        <w:t xml:space="preserve"> tudi v seznam transakcij med EU in nacionalnim proračunom v MIGRA II. V kolikor na namenskem podračunu posameznega sklada ni zadosti razpoložljivih sredstev, DAF o tem nemudoma obvesti OO (elektronska pošta ali telefon). Po prejemu novega priliva na namenski podračun sklada DAF evidentira priliv v seznamu transakcij v MIGRA II, o znesku prejetih sredstev obvesti OO (elektronska pošta ali telefon) in nadaljuje s postopki p</w:t>
      </w:r>
      <w:r w:rsidR="005822F6">
        <w:rPr>
          <w:rFonts w:cs="Arial"/>
        </w:rPr>
        <w:t xml:space="preserve">ovračil v skladu s </w:t>
      </w:r>
      <w:r w:rsidRPr="001A33D5">
        <w:rPr>
          <w:rFonts w:cs="Arial"/>
        </w:rPr>
        <w:t xml:space="preserve"> priročnikom.</w:t>
      </w:r>
    </w:p>
    <w:p w:rsidR="00513A1E" w:rsidRPr="001A33D5" w:rsidRDefault="00513A1E" w:rsidP="00513A1E">
      <w:pPr>
        <w:rPr>
          <w:rFonts w:cs="Arial"/>
        </w:rPr>
      </w:pPr>
    </w:p>
    <w:p w:rsidR="00513A1E" w:rsidRDefault="00513A1E" w:rsidP="00513A1E">
      <w:pPr>
        <w:rPr>
          <w:rFonts w:cs="Arial"/>
        </w:rPr>
      </w:pPr>
      <w:r w:rsidRPr="001A33D5">
        <w:rPr>
          <w:rFonts w:cs="Arial"/>
        </w:rPr>
        <w:t xml:space="preserve">Morebitne nepravilnosti, ugotovljene med upravnim nadzorom </w:t>
      </w:r>
      <w:proofErr w:type="spellStart"/>
      <w:r w:rsidRPr="001A33D5">
        <w:rPr>
          <w:rFonts w:cs="Arial"/>
        </w:rPr>
        <w:t>ZzP</w:t>
      </w:r>
      <w:proofErr w:type="spellEnd"/>
      <w:r w:rsidRPr="001A33D5">
        <w:rPr>
          <w:rFonts w:cs="Arial"/>
        </w:rPr>
        <w:t xml:space="preserve">, se beležijo v registru nepravilnosti v MIGRA II kot nepravilnosti, odkrite pred povračilom iz sredstev EU. OO obvesti KU oz. DAC glede ugotovljenih nepravilnosti in zmanjšanega zneska za povračilo tako, da v MIGRA II generira obvestilo o zmanjšanju upravičenih izdatkov zahtevka za povračilo (Priloga 15) in obvestilo skupaj s kontrolnim listom posreduje KU oz. DAC, ki je pripravil </w:t>
      </w:r>
      <w:proofErr w:type="spellStart"/>
      <w:r w:rsidRPr="001A33D5">
        <w:rPr>
          <w:rFonts w:cs="Arial"/>
        </w:rPr>
        <w:t>ZzP</w:t>
      </w:r>
      <w:proofErr w:type="spellEnd"/>
      <w:r w:rsidRPr="001A33D5">
        <w:rPr>
          <w:rFonts w:cs="Arial"/>
        </w:rPr>
        <w:t>. KU oz. DAC mora na podlagi prejetih podatkov izvesti finančne popravke</w:t>
      </w:r>
      <w:r>
        <w:rPr>
          <w:rFonts w:cs="Arial"/>
        </w:rPr>
        <w:t>.</w:t>
      </w:r>
    </w:p>
    <w:p w:rsidR="00513A1E" w:rsidRPr="0081343F" w:rsidRDefault="00513A1E" w:rsidP="00513A1E">
      <w:pPr>
        <w:rPr>
          <w:b/>
        </w:rPr>
      </w:pPr>
    </w:p>
    <w:p w:rsidR="00513A1E" w:rsidRDefault="00513A1E" w:rsidP="00513A1E">
      <w:pPr>
        <w:pStyle w:val="Naslov2"/>
        <w:numPr>
          <w:ilvl w:val="1"/>
          <w:numId w:val="19"/>
        </w:numPr>
        <w:jc w:val="both"/>
        <w:rPr>
          <w:i w:val="0"/>
          <w:sz w:val="22"/>
          <w:szCs w:val="22"/>
        </w:rPr>
      </w:pPr>
      <w:bookmarkStart w:id="6" w:name="_Toc457810284"/>
      <w:r>
        <w:rPr>
          <w:i w:val="0"/>
          <w:sz w:val="22"/>
          <w:szCs w:val="22"/>
        </w:rPr>
        <w:t>Kontrole na kraju samem</w:t>
      </w:r>
      <w:bookmarkEnd w:id="6"/>
    </w:p>
    <w:p w:rsidR="008F3453" w:rsidRPr="008F3453" w:rsidRDefault="008F3453" w:rsidP="008F3453">
      <w:pPr>
        <w:rPr>
          <w:lang w:eastAsia="en-GB"/>
        </w:rPr>
      </w:pPr>
    </w:p>
    <w:p w:rsidR="00513A1E" w:rsidRPr="001A33D5" w:rsidRDefault="00513A1E" w:rsidP="00513A1E">
      <w:pPr>
        <w:rPr>
          <w:rFonts w:cs="Arial"/>
          <w:szCs w:val="22"/>
        </w:rPr>
      </w:pPr>
      <w:r w:rsidRPr="001A33D5">
        <w:rPr>
          <w:rFonts w:cs="Arial"/>
          <w:szCs w:val="22"/>
        </w:rPr>
        <w:t>Kontrole na kraju samem OO izvaja na podlagi načrta, ki ga pripravi na podlagi analize tveganja in naključnega izbora. 70 % projektov, ki so umeščeni v načrt, se določi na podlagi analize tveganja, 30 % projektov pa je izbranih naključno.</w:t>
      </w:r>
    </w:p>
    <w:p w:rsidR="00513A1E" w:rsidRPr="001A33D5" w:rsidRDefault="00513A1E" w:rsidP="00513A1E">
      <w:pPr>
        <w:rPr>
          <w:rFonts w:cs="Arial"/>
          <w:szCs w:val="22"/>
        </w:rPr>
      </w:pPr>
    </w:p>
    <w:p w:rsidR="00513A1E" w:rsidRPr="001A33D5" w:rsidRDefault="00513A1E" w:rsidP="00513A1E">
      <w:pPr>
        <w:rPr>
          <w:rFonts w:cs="Arial"/>
          <w:szCs w:val="22"/>
        </w:rPr>
      </w:pPr>
      <w:r w:rsidRPr="001A33D5">
        <w:rPr>
          <w:rFonts w:cs="Arial"/>
          <w:szCs w:val="22"/>
        </w:rPr>
        <w:t>Kontrole na kraju samem so praviloma napovedane vnaprej, po potrebi lahko OO izvede tudi nenapovedane obiske.</w:t>
      </w:r>
    </w:p>
    <w:p w:rsidR="00513A1E" w:rsidRPr="001A33D5" w:rsidRDefault="00513A1E" w:rsidP="00513A1E">
      <w:pPr>
        <w:rPr>
          <w:rFonts w:cs="Arial"/>
          <w:szCs w:val="22"/>
        </w:rPr>
      </w:pPr>
    </w:p>
    <w:p w:rsidR="00513A1E" w:rsidRDefault="00513A1E" w:rsidP="00513A1E">
      <w:pPr>
        <w:rPr>
          <w:rFonts w:cs="Arial"/>
          <w:szCs w:val="22"/>
        </w:rPr>
      </w:pPr>
      <w:r w:rsidRPr="001A33D5">
        <w:rPr>
          <w:rFonts w:cs="Arial"/>
          <w:szCs w:val="22"/>
        </w:rPr>
        <w:t>OO izvaja dve vrsti kontrol na kraju samem, in sicer:</w:t>
      </w:r>
    </w:p>
    <w:p w:rsidR="005058D0" w:rsidRPr="001A33D5" w:rsidRDefault="005058D0" w:rsidP="00513A1E">
      <w:pPr>
        <w:rPr>
          <w:rFonts w:cs="Arial"/>
          <w:szCs w:val="22"/>
        </w:rPr>
      </w:pPr>
    </w:p>
    <w:p w:rsidR="00513A1E" w:rsidRDefault="00513A1E" w:rsidP="00513A1E">
      <w:pPr>
        <w:numPr>
          <w:ilvl w:val="0"/>
          <w:numId w:val="28"/>
        </w:numPr>
        <w:rPr>
          <w:rFonts w:cs="Arial"/>
          <w:szCs w:val="22"/>
        </w:rPr>
      </w:pPr>
      <w:r w:rsidRPr="001A33D5">
        <w:rPr>
          <w:rFonts w:cs="Arial"/>
          <w:b/>
          <w:szCs w:val="22"/>
        </w:rPr>
        <w:t>Finančne kontrole na kraju samem:</w:t>
      </w:r>
      <w:r w:rsidRPr="001A33D5">
        <w:rPr>
          <w:rFonts w:cs="Arial"/>
          <w:szCs w:val="22"/>
        </w:rPr>
        <w:t xml:space="preserve"> z njimi OO zagotavlja zadostno raven zanesljivosti v zvezi z zakonitostjo in pravilnostjo transakcij in pogodb, na katerih temeljijo finančne izjave. OO preverja, ali se podatki, izkazani v </w:t>
      </w:r>
      <w:proofErr w:type="spellStart"/>
      <w:r w:rsidRPr="001A33D5">
        <w:rPr>
          <w:rFonts w:cs="Arial"/>
          <w:szCs w:val="22"/>
        </w:rPr>
        <w:t>ZzI</w:t>
      </w:r>
      <w:proofErr w:type="spellEnd"/>
      <w:r w:rsidRPr="001A33D5">
        <w:rPr>
          <w:rFonts w:cs="Arial"/>
          <w:szCs w:val="22"/>
        </w:rPr>
        <w:t xml:space="preserve"> oz. </w:t>
      </w:r>
      <w:proofErr w:type="spellStart"/>
      <w:r w:rsidRPr="001A33D5">
        <w:rPr>
          <w:rFonts w:cs="Arial"/>
          <w:szCs w:val="22"/>
        </w:rPr>
        <w:t>ZzP</w:t>
      </w:r>
      <w:proofErr w:type="spellEnd"/>
      <w:r w:rsidRPr="001A33D5">
        <w:rPr>
          <w:rFonts w:cs="Arial"/>
          <w:szCs w:val="22"/>
        </w:rPr>
        <w:t xml:space="preserve">, ujemajo z računovodskimi evidencami in spremno dokumentacijo KU. OO preverja tudi, ali so izdatki upravičeni, ali so projekti nepridobitni in ali obstaja tveganje za dvojno financiranje. Finančne kontrole na kraju samem zajemajo vsaj 10 % kumulativnega prispevka EU za projekte, ki so </w:t>
      </w:r>
      <w:r w:rsidR="00995A8B" w:rsidRPr="001A33D5">
        <w:rPr>
          <w:rFonts w:cs="Arial"/>
          <w:szCs w:val="22"/>
        </w:rPr>
        <w:t xml:space="preserve">v okviru </w:t>
      </w:r>
      <w:r w:rsidR="00995A8B">
        <w:rPr>
          <w:rFonts w:cs="Arial"/>
          <w:szCs w:val="22"/>
        </w:rPr>
        <w:t xml:space="preserve">letnih </w:t>
      </w:r>
      <w:r w:rsidR="00CF1D7A">
        <w:rPr>
          <w:rFonts w:cs="Arial"/>
          <w:szCs w:val="22"/>
        </w:rPr>
        <w:t>računov</w:t>
      </w:r>
      <w:r w:rsidRPr="001A33D5">
        <w:rPr>
          <w:rFonts w:cs="Arial"/>
          <w:szCs w:val="22"/>
        </w:rPr>
        <w:t xml:space="preserve"> prijavljen</w:t>
      </w:r>
      <w:r w:rsidR="005058D0">
        <w:rPr>
          <w:rFonts w:cs="Arial"/>
          <w:szCs w:val="22"/>
        </w:rPr>
        <w:t>i kot zaključeni</w:t>
      </w:r>
      <w:r w:rsidR="001E5276">
        <w:rPr>
          <w:rFonts w:cs="Arial"/>
          <w:szCs w:val="22"/>
        </w:rPr>
        <w:t xml:space="preserve"> (za tiste, ki so imeli samo vmesno plačilo, pravilo 10% ne velja)</w:t>
      </w:r>
      <w:r w:rsidRPr="001A33D5">
        <w:rPr>
          <w:rFonts w:cs="Arial"/>
          <w:szCs w:val="22"/>
        </w:rPr>
        <w:t>.</w:t>
      </w:r>
      <w:r w:rsidR="001E5276">
        <w:rPr>
          <w:rFonts w:cs="Arial"/>
          <w:szCs w:val="22"/>
        </w:rPr>
        <w:t xml:space="preserve"> </w:t>
      </w:r>
    </w:p>
    <w:p w:rsidR="0080576B" w:rsidRDefault="0080576B" w:rsidP="0080576B">
      <w:pPr>
        <w:ind w:left="720"/>
        <w:rPr>
          <w:rFonts w:cs="Arial"/>
          <w:szCs w:val="22"/>
        </w:rPr>
      </w:pPr>
    </w:p>
    <w:p w:rsidR="0080576B" w:rsidRDefault="0080576B" w:rsidP="0080576B">
      <w:pPr>
        <w:rPr>
          <w:rFonts w:cs="Arial"/>
          <w:szCs w:val="22"/>
        </w:rPr>
      </w:pPr>
      <w:r>
        <w:rPr>
          <w:rFonts w:cs="Arial"/>
          <w:szCs w:val="22"/>
        </w:rPr>
        <w:t>V primeru, da kontrole rezultirajo na višji stopnji napake, kot je največ sprejemljivo (2%), mora RA izvesti nadaljnje kontrole in raziskati vse potencialne nepravilnosti. RA mora zagotoviti, da so ugotovitve upoštevane</w:t>
      </w:r>
      <w:r w:rsidR="006324E5">
        <w:rPr>
          <w:rFonts w:cs="Arial"/>
          <w:szCs w:val="22"/>
        </w:rPr>
        <w:t xml:space="preserve"> v okviru</w:t>
      </w:r>
      <w:r w:rsidR="00CF1D7A">
        <w:rPr>
          <w:rFonts w:cs="Arial"/>
          <w:szCs w:val="22"/>
        </w:rPr>
        <w:t xml:space="preserve"> letnih računov</w:t>
      </w:r>
      <w:r w:rsidR="001E5276">
        <w:rPr>
          <w:rFonts w:cs="Arial"/>
          <w:szCs w:val="22"/>
        </w:rPr>
        <w:t xml:space="preserve"> ter v primeru, da se pojavljajo tudi v že zaključenih letnih računih, izvesti ustrezne korektivne ukrepe. O vseh takšnih ukrepih mora OO poročati v izjavi o upravljanju, ki je priloga letnih računov.</w:t>
      </w:r>
    </w:p>
    <w:p w:rsidR="001E5276" w:rsidRDefault="001E5276" w:rsidP="0080576B">
      <w:pPr>
        <w:rPr>
          <w:rFonts w:cs="Arial"/>
          <w:szCs w:val="22"/>
        </w:rPr>
      </w:pPr>
    </w:p>
    <w:p w:rsidR="001E5276" w:rsidRDefault="001E5276" w:rsidP="0080576B">
      <w:pPr>
        <w:rPr>
          <w:rFonts w:cs="Arial"/>
          <w:szCs w:val="22"/>
        </w:rPr>
      </w:pPr>
      <w:r>
        <w:rPr>
          <w:rFonts w:cs="Arial"/>
          <w:szCs w:val="22"/>
        </w:rPr>
        <w:t>V primeru, če 10% finančna kontrola na kraju samem ni opravljena, se lahko letni računi vrnejo OO, tako da lahko OO izvede dodatne kontrole in vključi ugotovitve v okviru letnih računov.</w:t>
      </w:r>
    </w:p>
    <w:p w:rsidR="001E5276" w:rsidRDefault="001E5276" w:rsidP="0080576B">
      <w:pPr>
        <w:rPr>
          <w:rFonts w:cs="Arial"/>
          <w:szCs w:val="22"/>
        </w:rPr>
      </w:pPr>
    </w:p>
    <w:p w:rsidR="001E5276" w:rsidRDefault="001E5276" w:rsidP="0080576B">
      <w:pPr>
        <w:rPr>
          <w:rFonts w:cs="Arial"/>
          <w:szCs w:val="22"/>
        </w:rPr>
      </w:pPr>
      <w:r>
        <w:rPr>
          <w:rFonts w:cs="Arial"/>
          <w:szCs w:val="22"/>
        </w:rPr>
        <w:t>V primeru, če so finančne kontrole na kraju samem izvedene v obdobju med 16 oktobrom N in 15 februarjem N+1, lahko o teh OO poroča v letu N ali letu N+1.</w:t>
      </w:r>
    </w:p>
    <w:p w:rsidR="000B5E8D" w:rsidRDefault="000B5E8D" w:rsidP="0080576B">
      <w:pPr>
        <w:rPr>
          <w:rFonts w:cs="Arial"/>
          <w:szCs w:val="22"/>
        </w:rPr>
      </w:pPr>
    </w:p>
    <w:p w:rsidR="000B5E8D" w:rsidRDefault="000B5E8D" w:rsidP="0080576B">
      <w:pPr>
        <w:rPr>
          <w:rFonts w:cs="Arial"/>
          <w:szCs w:val="22"/>
        </w:rPr>
      </w:pPr>
      <w:r>
        <w:rPr>
          <w:rFonts w:cs="Arial"/>
          <w:szCs w:val="22"/>
        </w:rPr>
        <w:t>Primeri finančnih kontrol, kot tudi povečanje % izvedenih kontrol v primeru povečane stopnje napake nad 2% so podrobno obrazloženi v dokumentu AMIF-ISF/2016/2 (</w:t>
      </w:r>
      <w:proofErr w:type="spellStart"/>
      <w:r>
        <w:rPr>
          <w:rFonts w:cs="Arial"/>
          <w:szCs w:val="22"/>
        </w:rPr>
        <w:t>Ares</w:t>
      </w:r>
      <w:proofErr w:type="spellEnd"/>
      <w:r>
        <w:rPr>
          <w:rFonts w:cs="Arial"/>
          <w:szCs w:val="22"/>
        </w:rPr>
        <w:t>(2016)1406772) z dne 21.3.2016.</w:t>
      </w:r>
    </w:p>
    <w:p w:rsidR="000B5E8D" w:rsidRDefault="000B5E8D" w:rsidP="0080576B">
      <w:pPr>
        <w:rPr>
          <w:rFonts w:cs="Arial"/>
          <w:szCs w:val="22"/>
        </w:rPr>
      </w:pPr>
    </w:p>
    <w:p w:rsidR="005058D0" w:rsidRPr="001A33D5" w:rsidRDefault="005058D0" w:rsidP="005058D0">
      <w:pPr>
        <w:ind w:left="720"/>
        <w:rPr>
          <w:rFonts w:cs="Arial"/>
          <w:szCs w:val="22"/>
        </w:rPr>
      </w:pPr>
    </w:p>
    <w:p w:rsidR="00513A1E" w:rsidRDefault="00513A1E" w:rsidP="00513A1E">
      <w:pPr>
        <w:numPr>
          <w:ilvl w:val="0"/>
          <w:numId w:val="28"/>
        </w:numPr>
        <w:rPr>
          <w:rFonts w:cs="Arial"/>
          <w:szCs w:val="22"/>
        </w:rPr>
      </w:pPr>
      <w:r w:rsidRPr="001A33D5">
        <w:rPr>
          <w:rFonts w:cs="Arial"/>
          <w:b/>
          <w:szCs w:val="22"/>
        </w:rPr>
        <w:lastRenderedPageBreak/>
        <w:t>Operativne kontrole na kraju samem:</w:t>
      </w:r>
      <w:r w:rsidRPr="001A33D5">
        <w:rPr>
          <w:rFonts w:cs="Arial"/>
          <w:szCs w:val="22"/>
        </w:rPr>
        <w:t xml:space="preserve"> z njimi OO preverja, ali se zadevni projekt izvaja v skladu s pogodbo o financiranju programa/projekta, odločitvijo o podpori oz. sklepom 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w:t>
      </w:r>
      <w:r w:rsidR="00995A8B">
        <w:rPr>
          <w:rFonts w:cs="Arial"/>
          <w:szCs w:val="22"/>
        </w:rPr>
        <w:t xml:space="preserve">letnih </w:t>
      </w:r>
      <w:r w:rsidR="00CF1D7A">
        <w:rPr>
          <w:rFonts w:cs="Arial"/>
          <w:szCs w:val="22"/>
        </w:rPr>
        <w:t>računov</w:t>
      </w:r>
      <w:r w:rsidR="00995A8B">
        <w:rPr>
          <w:rFonts w:cs="Arial"/>
          <w:szCs w:val="22"/>
        </w:rPr>
        <w:t>.</w:t>
      </w:r>
    </w:p>
    <w:p w:rsidR="00C11BD1" w:rsidRDefault="00C11BD1" w:rsidP="00C11BD1">
      <w:pPr>
        <w:pStyle w:val="Odstavekseznama"/>
        <w:rPr>
          <w:rFonts w:cs="Arial"/>
          <w:szCs w:val="22"/>
        </w:rPr>
      </w:pPr>
    </w:p>
    <w:p w:rsidR="00C11BD1" w:rsidRDefault="00C11BD1" w:rsidP="00C11BD1">
      <w:pPr>
        <w:ind w:left="720"/>
        <w:rPr>
          <w:rFonts w:cs="Arial"/>
          <w:szCs w:val="22"/>
        </w:rPr>
      </w:pPr>
      <w:r>
        <w:rPr>
          <w:rFonts w:cs="Arial"/>
          <w:szCs w:val="22"/>
        </w:rPr>
        <w:t>Operativne kontrole se bodo izvajale tudi za projekte, ki še nimajo posredovanih zahtevkov za povračilo – posebno za večje investicijske projekte, kjer se bo preverjal postopek javnega naročila ter ustrezna časovnost izvajanja glede na podpisano pogodbo.</w:t>
      </w:r>
    </w:p>
    <w:p w:rsidR="00C11BD1" w:rsidRDefault="00C11BD1" w:rsidP="00C11BD1">
      <w:pPr>
        <w:ind w:left="720"/>
        <w:rPr>
          <w:rFonts w:cs="Arial"/>
          <w:szCs w:val="22"/>
        </w:rPr>
      </w:pPr>
    </w:p>
    <w:p w:rsidR="00C11BD1" w:rsidRDefault="00C11BD1" w:rsidP="00C11BD1">
      <w:pPr>
        <w:ind w:left="720"/>
        <w:rPr>
          <w:rFonts w:cs="Arial"/>
          <w:szCs w:val="22"/>
        </w:rPr>
      </w:pPr>
      <w:r>
        <w:rPr>
          <w:rFonts w:cs="Arial"/>
          <w:szCs w:val="22"/>
        </w:rPr>
        <w:t>Samo preverjanje ne bo osredotočeno samo na dejansko dobavo blaga v okviru upravičenega obdobja projekta ali o opravljenih aktivnostih.</w:t>
      </w:r>
    </w:p>
    <w:p w:rsidR="00C11BD1" w:rsidRDefault="00C11BD1" w:rsidP="00C11BD1">
      <w:pPr>
        <w:ind w:left="720"/>
        <w:rPr>
          <w:rFonts w:cs="Arial"/>
          <w:szCs w:val="22"/>
        </w:rPr>
      </w:pPr>
    </w:p>
    <w:p w:rsidR="00C11BD1" w:rsidRDefault="00C11BD1" w:rsidP="00C11BD1">
      <w:pPr>
        <w:ind w:left="720"/>
        <w:rPr>
          <w:rFonts w:cs="Arial"/>
          <w:szCs w:val="22"/>
        </w:rPr>
      </w:pPr>
      <w:r>
        <w:rPr>
          <w:rFonts w:cs="Arial"/>
          <w:szCs w:val="22"/>
        </w:rPr>
        <w:t>Glede na vrsto končnega upravičenca</w:t>
      </w:r>
      <w:r w:rsidR="00CC1C57">
        <w:rPr>
          <w:rFonts w:cs="Arial"/>
          <w:szCs w:val="22"/>
        </w:rPr>
        <w:t>, vrsto projekta in čas izvedbe bodo v okviru operativne kontrole na kraju samem izvedene tudi nekatere iz naslednjih aktivnosti:</w:t>
      </w:r>
    </w:p>
    <w:p w:rsidR="00CC1C57" w:rsidRDefault="00CC1C57" w:rsidP="00C11BD1">
      <w:pPr>
        <w:ind w:left="720"/>
        <w:rPr>
          <w:rFonts w:cs="Arial"/>
          <w:szCs w:val="22"/>
        </w:rPr>
      </w:pPr>
    </w:p>
    <w:p w:rsidR="00CC1C57" w:rsidRDefault="00CC1C57" w:rsidP="00CC1C57">
      <w:pPr>
        <w:pStyle w:val="Odstavekseznama"/>
        <w:numPr>
          <w:ilvl w:val="1"/>
          <w:numId w:val="28"/>
        </w:numPr>
        <w:rPr>
          <w:rFonts w:cs="Arial"/>
          <w:szCs w:val="22"/>
        </w:rPr>
      </w:pPr>
      <w:r>
        <w:rPr>
          <w:rFonts w:cs="Arial"/>
          <w:szCs w:val="22"/>
        </w:rPr>
        <w:t>v primeru zgodnje faze projekta preveriti, če je končni upravičenec razumel pravila upravičenosti,</w:t>
      </w:r>
    </w:p>
    <w:p w:rsidR="00CC1C57" w:rsidRDefault="00CC1C57" w:rsidP="00CC1C57">
      <w:pPr>
        <w:pStyle w:val="Odstavekseznama"/>
        <w:numPr>
          <w:ilvl w:val="1"/>
          <w:numId w:val="28"/>
        </w:numPr>
        <w:rPr>
          <w:rFonts w:cs="Arial"/>
          <w:szCs w:val="22"/>
        </w:rPr>
      </w:pPr>
      <w:r>
        <w:rPr>
          <w:rFonts w:cs="Arial"/>
          <w:szCs w:val="22"/>
        </w:rPr>
        <w:t>v primeru zgodnje faze projekta preveriti, če ima končni upravičenec vzpostavljeno ustrezno metodologijo, s katero zagotavlja in beleži ustrezno ciljno skupino,</w:t>
      </w:r>
    </w:p>
    <w:p w:rsidR="00CC1C57" w:rsidRDefault="00CC1C57" w:rsidP="00CC1C57">
      <w:pPr>
        <w:pStyle w:val="Odstavekseznama"/>
        <w:numPr>
          <w:ilvl w:val="1"/>
          <w:numId w:val="28"/>
        </w:numPr>
        <w:rPr>
          <w:rFonts w:cs="Arial"/>
          <w:szCs w:val="22"/>
        </w:rPr>
      </w:pPr>
      <w:r>
        <w:rPr>
          <w:rFonts w:cs="Arial"/>
          <w:szCs w:val="22"/>
        </w:rPr>
        <w:t>v primeru zgodnje faze projekta preveriti, če ima končni upravičenec vzpostavljeno ustrezno metodologijo, s katero zagotavlja in beleži ustrezne kazalnike v pravem času,</w:t>
      </w:r>
    </w:p>
    <w:p w:rsidR="00CC1C57" w:rsidRDefault="00CC1C57" w:rsidP="00CC1C57">
      <w:pPr>
        <w:pStyle w:val="Odstavekseznama"/>
        <w:numPr>
          <w:ilvl w:val="1"/>
          <w:numId w:val="28"/>
        </w:numPr>
        <w:rPr>
          <w:rFonts w:cs="Arial"/>
          <w:szCs w:val="22"/>
        </w:rPr>
      </w:pPr>
      <w:r>
        <w:rPr>
          <w:rFonts w:cs="Arial"/>
          <w:szCs w:val="22"/>
        </w:rPr>
        <w:t>v primeru zgodnje faze projekta preveriti, če je končni upravičenec izvedel ustrezen postopek javnega naročila,</w:t>
      </w:r>
    </w:p>
    <w:p w:rsidR="00CC1C57" w:rsidRDefault="00CC1C57" w:rsidP="00CC1C57">
      <w:pPr>
        <w:pStyle w:val="Odstavekseznama"/>
        <w:numPr>
          <w:ilvl w:val="1"/>
          <w:numId w:val="28"/>
        </w:numPr>
        <w:rPr>
          <w:rFonts w:cs="Arial"/>
          <w:szCs w:val="22"/>
        </w:rPr>
      </w:pPr>
      <w:r>
        <w:rPr>
          <w:rFonts w:cs="Arial"/>
          <w:szCs w:val="22"/>
        </w:rPr>
        <w:t>ali končni upravičenec izvaja določbe vezane na informiranje in obveščanje ter</w:t>
      </w:r>
    </w:p>
    <w:p w:rsidR="00CC1C57" w:rsidRPr="00CC1C57" w:rsidRDefault="00CC1C57" w:rsidP="00CC1C57">
      <w:pPr>
        <w:pStyle w:val="Odstavekseznama"/>
        <w:numPr>
          <w:ilvl w:val="1"/>
          <w:numId w:val="28"/>
        </w:numPr>
        <w:rPr>
          <w:rFonts w:cs="Arial"/>
          <w:szCs w:val="22"/>
        </w:rPr>
      </w:pPr>
      <w:r>
        <w:rPr>
          <w:rFonts w:cs="Arial"/>
          <w:szCs w:val="22"/>
        </w:rPr>
        <w:t>preveriti dejansko uporabo blaga, ki je bilo nabavljeno.</w:t>
      </w:r>
    </w:p>
    <w:p w:rsidR="00C11BD1" w:rsidRDefault="00C11BD1" w:rsidP="00C11BD1">
      <w:pPr>
        <w:ind w:left="720"/>
        <w:rPr>
          <w:rFonts w:cs="Arial"/>
          <w:szCs w:val="22"/>
        </w:rPr>
      </w:pPr>
    </w:p>
    <w:p w:rsidR="00C11BD1" w:rsidRPr="001A33D5" w:rsidRDefault="00C11BD1" w:rsidP="00C11BD1">
      <w:pPr>
        <w:ind w:left="720"/>
        <w:rPr>
          <w:rFonts w:cs="Arial"/>
          <w:szCs w:val="22"/>
        </w:rPr>
      </w:pPr>
    </w:p>
    <w:p w:rsidR="00513A1E" w:rsidRPr="001A33D5" w:rsidRDefault="00513A1E" w:rsidP="00513A1E">
      <w:pPr>
        <w:rPr>
          <w:rFonts w:cs="Arial"/>
          <w:szCs w:val="22"/>
        </w:rPr>
      </w:pPr>
    </w:p>
    <w:p w:rsidR="00513A1E" w:rsidRDefault="00513A1E" w:rsidP="00513A1E">
      <w:pPr>
        <w:rPr>
          <w:rFonts w:cs="Arial"/>
          <w:szCs w:val="22"/>
        </w:rPr>
      </w:pPr>
      <w:r w:rsidRPr="001A33D5">
        <w:rPr>
          <w:rFonts w:cs="Arial"/>
          <w:szCs w:val="22"/>
        </w:rPr>
        <w:t>Po opravljeni kontroli OO pripravi poročilo o i</w:t>
      </w:r>
      <w:r w:rsidR="00C11BD1">
        <w:rPr>
          <w:rFonts w:cs="Arial"/>
          <w:szCs w:val="22"/>
        </w:rPr>
        <w:t>zvedeni kontroli na kraju samem</w:t>
      </w:r>
      <w:r w:rsidRPr="001A33D5">
        <w:rPr>
          <w:rFonts w:cs="Arial"/>
          <w:szCs w:val="22"/>
        </w:rPr>
        <w:t>, ki ga podpišejo osebe, ki so kontrolo izvajale. Poročilo se posreduje KU in po potrebi tudi drugim pristojnim organom, podatki iz poročila in podpisana različica poročila pa se vnesejo tudi v MIGRA II.</w:t>
      </w:r>
    </w:p>
    <w:p w:rsidR="00C11BD1" w:rsidRPr="001A33D5" w:rsidRDefault="00C11BD1" w:rsidP="00513A1E">
      <w:pPr>
        <w:rPr>
          <w:rFonts w:cs="Arial"/>
          <w:szCs w:val="22"/>
        </w:rPr>
      </w:pPr>
    </w:p>
    <w:p w:rsidR="00513A1E" w:rsidRPr="001A33D5" w:rsidRDefault="00513A1E" w:rsidP="00513A1E">
      <w:pPr>
        <w:rPr>
          <w:rFonts w:cs="Arial"/>
          <w:szCs w:val="22"/>
        </w:rPr>
      </w:pPr>
    </w:p>
    <w:p w:rsidR="00513A1E" w:rsidRDefault="00513A1E" w:rsidP="00513A1E">
      <w:pPr>
        <w:rPr>
          <w:rFonts w:cs="Arial"/>
          <w:szCs w:val="22"/>
        </w:rPr>
      </w:pPr>
      <w:r w:rsidRPr="001A33D5">
        <w:rPr>
          <w:rFonts w:cs="Arial"/>
        </w:rPr>
        <w:t>Morebitne nepravilnosti, ugotovljene med izvedbo finančnih kontrol na kraju samem, se beležijo v registru nepravilnosti v MIGRA II kot nepravilnosti, odkrite po povračilu iz sredstev EU. V tem primeru morajo</w:t>
      </w:r>
      <w:r w:rsidRPr="001A33D5">
        <w:rPr>
          <w:rFonts w:cs="Arial"/>
          <w:szCs w:val="22"/>
        </w:rPr>
        <w:t xml:space="preserve"> KU oz. DAC na podlagi prejetih po</w:t>
      </w:r>
      <w:r w:rsidR="005058D0">
        <w:rPr>
          <w:rFonts w:cs="Arial"/>
          <w:szCs w:val="22"/>
        </w:rPr>
        <w:t>datkov izvesti finančne popravke</w:t>
      </w:r>
      <w:r w:rsidRPr="001A33D5">
        <w:rPr>
          <w:rFonts w:cs="Arial"/>
          <w:szCs w:val="22"/>
        </w:rPr>
        <w:t>.</w:t>
      </w:r>
    </w:p>
    <w:p w:rsidR="00432FED" w:rsidRDefault="00432FED">
      <w:pPr>
        <w:jc w:val="left"/>
        <w:rPr>
          <w:rFonts w:cs="Arial"/>
          <w:szCs w:val="22"/>
        </w:rPr>
      </w:pPr>
      <w:r>
        <w:rPr>
          <w:rFonts w:cs="Arial"/>
          <w:szCs w:val="22"/>
        </w:rPr>
        <w:br w:type="page"/>
      </w:r>
    </w:p>
    <w:p w:rsidR="00F95059" w:rsidRDefault="00F95059" w:rsidP="000D3242">
      <w:pPr>
        <w:pStyle w:val="Naslov1"/>
        <w:numPr>
          <w:ilvl w:val="0"/>
          <w:numId w:val="19"/>
        </w:numPr>
        <w:rPr>
          <w:sz w:val="22"/>
          <w:szCs w:val="22"/>
        </w:rPr>
      </w:pPr>
      <w:bookmarkStart w:id="7" w:name="_Toc457810285"/>
      <w:r w:rsidRPr="000D3242">
        <w:rPr>
          <w:sz w:val="22"/>
          <w:szCs w:val="22"/>
        </w:rPr>
        <w:lastRenderedPageBreak/>
        <w:t xml:space="preserve">ANALIZA TVEGANJ - OSNOVA ZA IZDELAVO </w:t>
      </w:r>
      <w:r w:rsidR="000D3242">
        <w:rPr>
          <w:sz w:val="22"/>
          <w:szCs w:val="22"/>
        </w:rPr>
        <w:t xml:space="preserve">LETNEGA </w:t>
      </w:r>
      <w:r w:rsidRPr="000D3242">
        <w:rPr>
          <w:sz w:val="22"/>
          <w:szCs w:val="22"/>
        </w:rPr>
        <w:t>NAČRTA IZVAJANJA FINANČNIH IN OPERATIVNIH KONTROL NA KRAJU SAMEM</w:t>
      </w:r>
      <w:bookmarkEnd w:id="7"/>
    </w:p>
    <w:p w:rsidR="00AC71C9" w:rsidRPr="00AC71C9" w:rsidRDefault="00AC71C9" w:rsidP="00AC71C9"/>
    <w:p w:rsidR="00F95059" w:rsidRPr="00F95059" w:rsidRDefault="00F95059" w:rsidP="00EC2BCF">
      <w:pPr>
        <w:pStyle w:val="Naslov2"/>
        <w:numPr>
          <w:ilvl w:val="1"/>
          <w:numId w:val="19"/>
        </w:numPr>
        <w:ind w:left="360"/>
        <w:jc w:val="both"/>
        <w:rPr>
          <w:szCs w:val="20"/>
        </w:rPr>
      </w:pPr>
      <w:bookmarkStart w:id="8" w:name="_Toc457810286"/>
      <w:r>
        <w:rPr>
          <w:sz w:val="22"/>
          <w:szCs w:val="22"/>
        </w:rPr>
        <w:t>N</w:t>
      </w:r>
      <w:r w:rsidRPr="00F95059">
        <w:rPr>
          <w:sz w:val="22"/>
          <w:szCs w:val="22"/>
        </w:rPr>
        <w:t>amen analize tveganj</w:t>
      </w:r>
      <w:bookmarkEnd w:id="8"/>
      <w:r w:rsidRPr="00F95059">
        <w:rPr>
          <w:sz w:val="22"/>
          <w:szCs w:val="22"/>
        </w:rPr>
        <w:t xml:space="preserve"> </w:t>
      </w:r>
    </w:p>
    <w:p w:rsidR="00F95059" w:rsidRPr="0076168B" w:rsidRDefault="00F95059" w:rsidP="00F95059">
      <w:pPr>
        <w:rPr>
          <w:rFonts w:cs="Arial"/>
          <w:b/>
          <w:szCs w:val="22"/>
        </w:rPr>
      </w:pPr>
    </w:p>
    <w:p w:rsidR="00F95059" w:rsidRPr="0076168B" w:rsidRDefault="00F95059" w:rsidP="00F95059">
      <w:pPr>
        <w:rPr>
          <w:rFonts w:cs="Arial"/>
          <w:szCs w:val="20"/>
        </w:rPr>
      </w:pPr>
      <w:r w:rsidRPr="0076168B">
        <w:rPr>
          <w:rFonts w:cs="Arial"/>
          <w:szCs w:val="20"/>
        </w:rPr>
        <w:t xml:space="preserve">Namen analize tveganj je, da se načrtovanje </w:t>
      </w:r>
      <w:r w:rsidR="000272B2">
        <w:rPr>
          <w:rFonts w:cs="Arial"/>
          <w:szCs w:val="20"/>
        </w:rPr>
        <w:t xml:space="preserve">kontrol </w:t>
      </w:r>
      <w:r w:rsidRPr="0076168B">
        <w:rPr>
          <w:rFonts w:cs="Arial"/>
          <w:szCs w:val="20"/>
        </w:rPr>
        <w:t>na kraju samem izvede na način, ki omogoča, da bodo imeli bolj tvegani projekti prednost pri kontrolah. Analiza mora biti tudi hitro izvedljiva.</w:t>
      </w:r>
    </w:p>
    <w:p w:rsidR="00F95059" w:rsidRPr="0076168B" w:rsidRDefault="00F95059" w:rsidP="00F95059">
      <w:pPr>
        <w:rPr>
          <w:rFonts w:cs="Arial"/>
          <w:szCs w:val="20"/>
        </w:rPr>
      </w:pPr>
    </w:p>
    <w:p w:rsidR="00F95059" w:rsidRPr="0076168B" w:rsidRDefault="00F95059" w:rsidP="00F95059">
      <w:pPr>
        <w:rPr>
          <w:rFonts w:cs="Arial"/>
          <w:szCs w:val="22"/>
        </w:rPr>
      </w:pPr>
      <w:r w:rsidRPr="0076168B">
        <w:rPr>
          <w:rFonts w:cs="Arial"/>
          <w:szCs w:val="20"/>
        </w:rPr>
        <w:t xml:space="preserve">Na osnovi analize tveganj OO ugotovi potrebe po </w:t>
      </w:r>
      <w:r w:rsidR="00C50DCE">
        <w:rPr>
          <w:rFonts w:cs="Arial"/>
          <w:szCs w:val="20"/>
        </w:rPr>
        <w:t xml:space="preserve">kontrolah </w:t>
      </w:r>
      <w:r w:rsidRPr="0076168B">
        <w:rPr>
          <w:rFonts w:cs="Arial"/>
          <w:szCs w:val="20"/>
        </w:rPr>
        <w:t xml:space="preserve">na kraju samem v okviru </w:t>
      </w:r>
      <w:r>
        <w:rPr>
          <w:rFonts w:cs="Arial"/>
          <w:szCs w:val="20"/>
        </w:rPr>
        <w:t xml:space="preserve">Akcijskega načrta </w:t>
      </w:r>
      <w:r w:rsidRPr="00EC0695">
        <w:rPr>
          <w:rFonts w:cs="Arial"/>
          <w:szCs w:val="20"/>
        </w:rPr>
        <w:t>za črpanje sredstev Sklada za azil, migracije in vključevanje ter Sklada za notranjo varnost</w:t>
      </w:r>
      <w:r>
        <w:rPr>
          <w:rFonts w:cs="Arial"/>
          <w:szCs w:val="20"/>
        </w:rPr>
        <w:t xml:space="preserve"> (v nadaljevanju: akcijski načrt)</w:t>
      </w:r>
      <w:r w:rsidRPr="0076168B">
        <w:rPr>
          <w:rFonts w:cs="Arial"/>
          <w:szCs w:val="20"/>
        </w:rPr>
        <w:t xml:space="preserve"> ter določi prednostne naloge. OO določi časovni razpored in vzorec izvajanja </w:t>
      </w:r>
      <w:r>
        <w:rPr>
          <w:rFonts w:cs="Arial"/>
          <w:szCs w:val="20"/>
        </w:rPr>
        <w:t xml:space="preserve">finančnih in operativnih </w:t>
      </w:r>
      <w:r w:rsidR="00C50DCE">
        <w:rPr>
          <w:rFonts w:cs="Arial"/>
          <w:szCs w:val="20"/>
        </w:rPr>
        <w:t xml:space="preserve">kontrol </w:t>
      </w:r>
      <w:r>
        <w:rPr>
          <w:rFonts w:cs="Arial"/>
          <w:szCs w:val="20"/>
        </w:rPr>
        <w:t xml:space="preserve">s pripravo </w:t>
      </w:r>
      <w:r w:rsidR="00731223" w:rsidRPr="00731223">
        <w:rPr>
          <w:rFonts w:cs="Arial"/>
          <w:b/>
          <w:szCs w:val="20"/>
        </w:rPr>
        <w:t>Letnega n</w:t>
      </w:r>
      <w:r w:rsidRPr="0076168B">
        <w:rPr>
          <w:rFonts w:cs="Arial"/>
          <w:b/>
          <w:szCs w:val="20"/>
        </w:rPr>
        <w:t xml:space="preserve">ačrta izvajanja </w:t>
      </w:r>
      <w:r>
        <w:rPr>
          <w:rFonts w:cs="Arial"/>
          <w:b/>
          <w:szCs w:val="20"/>
        </w:rPr>
        <w:t>operativnih pregledov</w:t>
      </w:r>
      <w:r w:rsidRPr="0076168B">
        <w:rPr>
          <w:rFonts w:cs="Arial"/>
          <w:b/>
          <w:szCs w:val="20"/>
        </w:rPr>
        <w:t xml:space="preserve"> na kraju</w:t>
      </w:r>
      <w:r>
        <w:rPr>
          <w:rFonts w:cs="Arial"/>
          <w:b/>
          <w:szCs w:val="20"/>
        </w:rPr>
        <w:t xml:space="preserve"> samem in </w:t>
      </w:r>
      <w:r w:rsidR="00731223">
        <w:rPr>
          <w:rFonts w:cs="Arial"/>
          <w:b/>
          <w:szCs w:val="20"/>
        </w:rPr>
        <w:t>Letnega n</w:t>
      </w:r>
      <w:r w:rsidRPr="0076168B">
        <w:rPr>
          <w:rFonts w:cs="Arial"/>
          <w:b/>
          <w:szCs w:val="20"/>
        </w:rPr>
        <w:t xml:space="preserve">ačrta izvajanja </w:t>
      </w:r>
      <w:r>
        <w:rPr>
          <w:rFonts w:cs="Arial"/>
          <w:b/>
          <w:szCs w:val="20"/>
        </w:rPr>
        <w:t xml:space="preserve">finančnih </w:t>
      </w:r>
      <w:r w:rsidR="00C50DCE">
        <w:rPr>
          <w:rFonts w:cs="Arial"/>
          <w:b/>
          <w:szCs w:val="20"/>
        </w:rPr>
        <w:t xml:space="preserve"> kontrol </w:t>
      </w:r>
      <w:r w:rsidRPr="0076168B">
        <w:rPr>
          <w:rFonts w:cs="Arial"/>
          <w:b/>
          <w:szCs w:val="20"/>
        </w:rPr>
        <w:t>na kraju</w:t>
      </w:r>
      <w:r>
        <w:rPr>
          <w:rFonts w:cs="Arial"/>
          <w:b/>
          <w:szCs w:val="20"/>
        </w:rPr>
        <w:t xml:space="preserve"> samem.</w:t>
      </w:r>
    </w:p>
    <w:p w:rsidR="00F95059" w:rsidRPr="0076168B" w:rsidRDefault="00F95059" w:rsidP="00F95059">
      <w:pPr>
        <w:rPr>
          <w:rFonts w:cs="Arial"/>
          <w:szCs w:val="20"/>
        </w:rPr>
      </w:pPr>
    </w:p>
    <w:p w:rsidR="00F95059" w:rsidRPr="0076168B" w:rsidRDefault="00F95059" w:rsidP="00F95059">
      <w:pPr>
        <w:rPr>
          <w:rFonts w:cs="Arial"/>
          <w:szCs w:val="20"/>
        </w:rPr>
      </w:pPr>
      <w:r w:rsidRPr="0076168B">
        <w:rPr>
          <w:rFonts w:cs="Arial"/>
          <w:szCs w:val="20"/>
        </w:rPr>
        <w:t xml:space="preserve">Ker tveganj ni mogoče popolnoma odpraviti (oziroma bi bila za popolno odpravo potrebna nesorazmerno visoka sredstva), OO kontinuirano spremlja stopnjo tveganj za posamezne projekte v okviru </w:t>
      </w:r>
      <w:r>
        <w:rPr>
          <w:rFonts w:cs="Arial"/>
          <w:szCs w:val="20"/>
        </w:rPr>
        <w:t>akcijskega načrta</w:t>
      </w:r>
      <w:r w:rsidRPr="0076168B">
        <w:rPr>
          <w:rFonts w:cs="Arial"/>
          <w:szCs w:val="20"/>
        </w:rPr>
        <w:t xml:space="preserve">. </w:t>
      </w:r>
      <w:r>
        <w:rPr>
          <w:rFonts w:cs="Arial"/>
          <w:szCs w:val="20"/>
        </w:rPr>
        <w:t xml:space="preserve">OO </w:t>
      </w:r>
      <w:r w:rsidRPr="00EC0695">
        <w:rPr>
          <w:rFonts w:cs="Arial"/>
          <w:szCs w:val="20"/>
        </w:rPr>
        <w:t xml:space="preserve">posebno pozornost posveča tveganju za korupcijska dejanja. Tako lahko poleg načrtovanih </w:t>
      </w:r>
      <w:r w:rsidR="00C50DCE">
        <w:rPr>
          <w:rFonts w:cs="Arial"/>
          <w:szCs w:val="20"/>
        </w:rPr>
        <w:t xml:space="preserve">kontrol </w:t>
      </w:r>
      <w:r w:rsidRPr="00EC0695">
        <w:rPr>
          <w:rFonts w:cs="Arial"/>
          <w:szCs w:val="20"/>
        </w:rPr>
        <w:t xml:space="preserve">po potrebi izvede tudi </w:t>
      </w:r>
      <w:r w:rsidRPr="00EC0695">
        <w:rPr>
          <w:rFonts w:cs="Arial"/>
          <w:b/>
          <w:szCs w:val="20"/>
        </w:rPr>
        <w:t xml:space="preserve">izredne </w:t>
      </w:r>
      <w:r w:rsidR="00A52B64">
        <w:rPr>
          <w:rFonts w:cs="Arial"/>
          <w:b/>
          <w:szCs w:val="20"/>
        </w:rPr>
        <w:t xml:space="preserve"> </w:t>
      </w:r>
      <w:r w:rsidR="00C50DCE">
        <w:rPr>
          <w:rFonts w:cs="Arial"/>
          <w:b/>
          <w:szCs w:val="20"/>
        </w:rPr>
        <w:t>kontrole</w:t>
      </w:r>
      <w:r>
        <w:rPr>
          <w:rFonts w:cs="Arial"/>
          <w:szCs w:val="20"/>
        </w:rPr>
        <w:t>.</w:t>
      </w:r>
    </w:p>
    <w:p w:rsidR="00F95059" w:rsidRDefault="002D4C77" w:rsidP="002D4C77">
      <w:pPr>
        <w:pStyle w:val="Naslov2"/>
        <w:numPr>
          <w:ilvl w:val="1"/>
          <w:numId w:val="19"/>
        </w:numPr>
        <w:ind w:left="360"/>
        <w:jc w:val="both"/>
        <w:rPr>
          <w:sz w:val="22"/>
          <w:szCs w:val="22"/>
        </w:rPr>
      </w:pPr>
      <w:bookmarkStart w:id="9" w:name="_Toc457810287"/>
      <w:r w:rsidRPr="002D4C77">
        <w:rPr>
          <w:sz w:val="22"/>
          <w:szCs w:val="22"/>
        </w:rPr>
        <w:t>Stopnje izdelave analize tveganj in dejavniki tveganja</w:t>
      </w:r>
      <w:bookmarkEnd w:id="9"/>
      <w:r w:rsidRPr="002D4C77">
        <w:rPr>
          <w:sz w:val="22"/>
          <w:szCs w:val="22"/>
        </w:rPr>
        <w:t xml:space="preserve"> </w:t>
      </w:r>
    </w:p>
    <w:p w:rsidR="002D4C77" w:rsidRPr="002D4C77" w:rsidRDefault="002D4C77" w:rsidP="002D4C77">
      <w:pPr>
        <w:rPr>
          <w:lang w:eastAsia="en-GB"/>
        </w:rPr>
      </w:pPr>
    </w:p>
    <w:p w:rsidR="00F95059" w:rsidRPr="0076168B" w:rsidRDefault="00F95059" w:rsidP="00F95059">
      <w:pPr>
        <w:rPr>
          <w:rFonts w:cs="Arial"/>
          <w:szCs w:val="20"/>
        </w:rPr>
      </w:pPr>
      <w:r w:rsidRPr="0076168B">
        <w:rPr>
          <w:rFonts w:cs="Arial"/>
          <w:szCs w:val="20"/>
        </w:rPr>
        <w:t>Izdelava analize tveganj poteka po naslednjih stopnjah:</w:t>
      </w:r>
    </w:p>
    <w:p w:rsidR="00F95059" w:rsidRPr="0076168B" w:rsidRDefault="00F95059" w:rsidP="00F95059">
      <w:pPr>
        <w:numPr>
          <w:ilvl w:val="0"/>
          <w:numId w:val="31"/>
        </w:numPr>
        <w:rPr>
          <w:rFonts w:cs="Arial"/>
          <w:szCs w:val="20"/>
        </w:rPr>
      </w:pPr>
      <w:r w:rsidRPr="00EC0695">
        <w:rPr>
          <w:rFonts w:cs="Arial"/>
          <w:b/>
          <w:szCs w:val="20"/>
        </w:rPr>
        <w:t>opredelitev enot</w:t>
      </w:r>
      <w:r w:rsidRPr="0076168B">
        <w:rPr>
          <w:rFonts w:cs="Arial"/>
          <w:szCs w:val="20"/>
        </w:rPr>
        <w:t xml:space="preserve"> (projekti </w:t>
      </w:r>
      <w:r>
        <w:rPr>
          <w:rFonts w:cs="Arial"/>
          <w:szCs w:val="20"/>
        </w:rPr>
        <w:t>akcijskega načrta</w:t>
      </w:r>
      <w:r w:rsidRPr="0076168B">
        <w:rPr>
          <w:rFonts w:cs="Arial"/>
          <w:szCs w:val="20"/>
        </w:rPr>
        <w:t>);</w:t>
      </w:r>
    </w:p>
    <w:p w:rsidR="00F95059" w:rsidRPr="0076168B" w:rsidRDefault="00F95059" w:rsidP="00F95059">
      <w:pPr>
        <w:numPr>
          <w:ilvl w:val="0"/>
          <w:numId w:val="31"/>
        </w:numPr>
        <w:rPr>
          <w:rFonts w:cs="Arial"/>
          <w:szCs w:val="20"/>
        </w:rPr>
      </w:pPr>
      <w:r w:rsidRPr="00EC0695">
        <w:rPr>
          <w:rFonts w:cs="Arial"/>
          <w:b/>
          <w:szCs w:val="20"/>
        </w:rPr>
        <w:t>spoznavanje in vrednotenje dejavnikov</w:t>
      </w:r>
      <w:r w:rsidRPr="0076168B">
        <w:rPr>
          <w:rFonts w:cs="Arial"/>
          <w:szCs w:val="20"/>
        </w:rPr>
        <w:t xml:space="preserve">, ki vplivajo na načrtovanje </w:t>
      </w:r>
      <w:r w:rsidR="007454B7">
        <w:rPr>
          <w:rFonts w:cs="Arial"/>
          <w:szCs w:val="20"/>
        </w:rPr>
        <w:t>kontrol</w:t>
      </w:r>
      <w:r w:rsidR="007454B7" w:rsidRPr="0076168B">
        <w:rPr>
          <w:rFonts w:cs="Arial"/>
          <w:szCs w:val="20"/>
        </w:rPr>
        <w:t xml:space="preserve"> </w:t>
      </w:r>
      <w:r w:rsidRPr="0076168B">
        <w:rPr>
          <w:rFonts w:cs="Arial"/>
          <w:szCs w:val="20"/>
        </w:rPr>
        <w:t>na kraju samem;</w:t>
      </w:r>
    </w:p>
    <w:p w:rsidR="00F95059" w:rsidRPr="0076168B" w:rsidRDefault="00F95059" w:rsidP="00F95059">
      <w:pPr>
        <w:numPr>
          <w:ilvl w:val="0"/>
          <w:numId w:val="31"/>
        </w:numPr>
        <w:rPr>
          <w:rFonts w:cs="Arial"/>
          <w:szCs w:val="20"/>
        </w:rPr>
      </w:pPr>
      <w:r w:rsidRPr="00EC0695">
        <w:rPr>
          <w:rFonts w:cs="Arial"/>
          <w:b/>
          <w:szCs w:val="20"/>
        </w:rPr>
        <w:t>kontrole popolnosti in sprejemljivosti dejavnikov</w:t>
      </w:r>
      <w:r w:rsidRPr="0076168B">
        <w:rPr>
          <w:rFonts w:cs="Arial"/>
          <w:szCs w:val="20"/>
        </w:rPr>
        <w:t>;</w:t>
      </w:r>
    </w:p>
    <w:p w:rsidR="00F95059" w:rsidRPr="0076168B" w:rsidRDefault="00F95059" w:rsidP="00F95059">
      <w:pPr>
        <w:numPr>
          <w:ilvl w:val="0"/>
          <w:numId w:val="31"/>
        </w:numPr>
        <w:rPr>
          <w:rFonts w:cs="Arial"/>
          <w:szCs w:val="20"/>
        </w:rPr>
      </w:pPr>
      <w:r w:rsidRPr="00EC0695">
        <w:rPr>
          <w:rFonts w:cs="Arial"/>
          <w:b/>
          <w:szCs w:val="20"/>
        </w:rPr>
        <w:t>razvrščanje projektov</w:t>
      </w:r>
      <w:r w:rsidRPr="0076168B">
        <w:rPr>
          <w:rFonts w:cs="Arial"/>
          <w:szCs w:val="20"/>
        </w:rPr>
        <w:t xml:space="preserve"> glede na skupen izračun tveganj in uvršanje najbolj tveganih projektov v načrt izvajanja </w:t>
      </w:r>
      <w:r w:rsidR="007454B7">
        <w:rPr>
          <w:rFonts w:cs="Arial"/>
          <w:szCs w:val="20"/>
        </w:rPr>
        <w:t>kontrol</w:t>
      </w:r>
      <w:r w:rsidR="007454B7" w:rsidRPr="0076168B">
        <w:rPr>
          <w:rFonts w:cs="Arial"/>
          <w:szCs w:val="20"/>
        </w:rPr>
        <w:t xml:space="preserve"> </w:t>
      </w:r>
      <w:r w:rsidRPr="0076168B">
        <w:rPr>
          <w:rFonts w:cs="Arial"/>
          <w:szCs w:val="20"/>
        </w:rPr>
        <w:t>(</w:t>
      </w:r>
      <w:r>
        <w:rPr>
          <w:rFonts w:cs="Arial"/>
          <w:szCs w:val="20"/>
        </w:rPr>
        <w:t>operativn</w:t>
      </w:r>
      <w:r w:rsidR="007454B7">
        <w:rPr>
          <w:rFonts w:cs="Arial"/>
          <w:szCs w:val="20"/>
        </w:rPr>
        <w:t>e</w:t>
      </w:r>
      <w:r>
        <w:rPr>
          <w:rFonts w:cs="Arial"/>
          <w:szCs w:val="20"/>
        </w:rPr>
        <w:t xml:space="preserve"> in finančn</w:t>
      </w:r>
      <w:r w:rsidR="007454B7">
        <w:rPr>
          <w:rFonts w:cs="Arial"/>
          <w:szCs w:val="20"/>
        </w:rPr>
        <w:t>e</w:t>
      </w:r>
      <w:r>
        <w:rPr>
          <w:rFonts w:cs="Arial"/>
          <w:szCs w:val="20"/>
        </w:rPr>
        <w:t xml:space="preserve"> </w:t>
      </w:r>
      <w:r w:rsidR="007454B7">
        <w:rPr>
          <w:rFonts w:cs="Arial"/>
          <w:szCs w:val="20"/>
        </w:rPr>
        <w:t xml:space="preserve">kontrole </w:t>
      </w:r>
      <w:r>
        <w:rPr>
          <w:rFonts w:cs="Arial"/>
          <w:szCs w:val="20"/>
        </w:rPr>
        <w:t>na kraju samem</w:t>
      </w:r>
      <w:r w:rsidRPr="0076168B">
        <w:rPr>
          <w:rFonts w:cs="Arial"/>
          <w:szCs w:val="20"/>
        </w:rPr>
        <w:t>).</w:t>
      </w:r>
    </w:p>
    <w:p w:rsidR="00F95059" w:rsidRPr="0076168B" w:rsidRDefault="00F95059" w:rsidP="00F95059">
      <w:pPr>
        <w:rPr>
          <w:rFonts w:cs="Arial"/>
          <w:szCs w:val="20"/>
        </w:rPr>
      </w:pPr>
    </w:p>
    <w:p w:rsidR="00F95059" w:rsidRPr="0076168B" w:rsidRDefault="00F95059" w:rsidP="00F95059">
      <w:pPr>
        <w:rPr>
          <w:rFonts w:cs="Arial"/>
          <w:szCs w:val="20"/>
        </w:rPr>
      </w:pPr>
      <w:r w:rsidRPr="0076168B">
        <w:rPr>
          <w:rFonts w:cs="Arial"/>
          <w:szCs w:val="20"/>
        </w:rPr>
        <w:t xml:space="preserve">Na načrtovanje </w:t>
      </w:r>
      <w:r w:rsidR="00016FB9">
        <w:rPr>
          <w:rFonts w:cs="Arial"/>
          <w:szCs w:val="20"/>
        </w:rPr>
        <w:t xml:space="preserve">kontrol </w:t>
      </w:r>
      <w:r>
        <w:rPr>
          <w:rFonts w:cs="Arial"/>
          <w:szCs w:val="20"/>
        </w:rPr>
        <w:t xml:space="preserve">na kraju samem </w:t>
      </w:r>
      <w:r w:rsidRPr="0076168B">
        <w:rPr>
          <w:rFonts w:cs="Arial"/>
          <w:szCs w:val="20"/>
        </w:rPr>
        <w:t>vpliva vrsta dejavnikov, ki jih je treba upoštevati. Pri izdelavi analize tveganja je vedno prisotna tudi določena mera subjektivnosti, vendar mora OO vedno izvajati ocenjevanje na način, da je stopnja subjektivnosti na najnižji možni ravni, da ne bi pomembno vplivala na končne rezultate analize.</w:t>
      </w:r>
    </w:p>
    <w:p w:rsidR="00F95059" w:rsidRPr="0076168B" w:rsidRDefault="00F95059" w:rsidP="00F95059">
      <w:pPr>
        <w:rPr>
          <w:rFonts w:cs="Arial"/>
          <w:szCs w:val="20"/>
        </w:rPr>
      </w:pPr>
    </w:p>
    <w:p w:rsidR="00F95059" w:rsidRDefault="00F95059" w:rsidP="00F95059">
      <w:pPr>
        <w:rPr>
          <w:rFonts w:cs="Arial"/>
          <w:szCs w:val="20"/>
        </w:rPr>
      </w:pPr>
      <w:r w:rsidRPr="0076168B">
        <w:rPr>
          <w:rFonts w:cs="Arial"/>
          <w:szCs w:val="20"/>
        </w:rPr>
        <w:t xml:space="preserve">Osnova za analizo tveganj </w:t>
      </w:r>
      <w:r>
        <w:rPr>
          <w:rFonts w:cs="Arial"/>
          <w:szCs w:val="20"/>
        </w:rPr>
        <w:t>so prejete prijave projektov in</w:t>
      </w:r>
      <w:r w:rsidRPr="0076168B">
        <w:rPr>
          <w:rFonts w:cs="Arial"/>
          <w:szCs w:val="20"/>
        </w:rPr>
        <w:t xml:space="preserve"> odobren </w:t>
      </w:r>
      <w:r>
        <w:rPr>
          <w:rFonts w:cs="Arial"/>
          <w:szCs w:val="20"/>
        </w:rPr>
        <w:t>akcijski načrt ter</w:t>
      </w:r>
      <w:r w:rsidRPr="0076168B">
        <w:rPr>
          <w:rFonts w:cs="Arial"/>
          <w:szCs w:val="20"/>
        </w:rPr>
        <w:t xml:space="preserve"> dobro poznavanje projektov, ki se sofinancirajo iz sredstev </w:t>
      </w:r>
      <w:r>
        <w:rPr>
          <w:rFonts w:cs="Arial"/>
          <w:szCs w:val="20"/>
        </w:rPr>
        <w:t>nacionalnih programov</w:t>
      </w:r>
      <w:r w:rsidRPr="0076168B">
        <w:rPr>
          <w:rFonts w:cs="Arial"/>
          <w:szCs w:val="20"/>
        </w:rPr>
        <w:t>.</w:t>
      </w:r>
    </w:p>
    <w:p w:rsidR="00F95059" w:rsidRPr="0076168B" w:rsidRDefault="00F95059" w:rsidP="00F95059">
      <w:pPr>
        <w:rPr>
          <w:rFonts w:cs="Arial"/>
          <w:szCs w:val="20"/>
        </w:rPr>
      </w:pPr>
      <w:r w:rsidRPr="0076168B">
        <w:rPr>
          <w:rFonts w:cs="Arial"/>
          <w:szCs w:val="20"/>
        </w:rPr>
        <w:t xml:space="preserve"> </w:t>
      </w:r>
    </w:p>
    <w:p w:rsidR="00F95059" w:rsidRDefault="00F95059" w:rsidP="00F95059">
      <w:pPr>
        <w:rPr>
          <w:rFonts w:cs="Arial"/>
          <w:szCs w:val="20"/>
        </w:rPr>
      </w:pPr>
      <w:r w:rsidRPr="0076168B">
        <w:rPr>
          <w:rFonts w:cs="Arial"/>
          <w:szCs w:val="20"/>
        </w:rPr>
        <w:t xml:space="preserve">Pri ocenjevanju potreb po </w:t>
      </w:r>
      <w:r w:rsidR="00016FB9">
        <w:rPr>
          <w:rFonts w:cs="Arial"/>
          <w:szCs w:val="20"/>
        </w:rPr>
        <w:t>kontrolah</w:t>
      </w:r>
      <w:r w:rsidR="00016FB9" w:rsidRPr="0076168B">
        <w:rPr>
          <w:rFonts w:cs="Arial"/>
          <w:szCs w:val="20"/>
        </w:rPr>
        <w:t xml:space="preserve"> </w:t>
      </w:r>
      <w:r w:rsidRPr="0076168B">
        <w:rPr>
          <w:rFonts w:cs="Arial"/>
          <w:szCs w:val="20"/>
        </w:rPr>
        <w:t xml:space="preserve">na kraju samem za posamezen </w:t>
      </w:r>
      <w:r>
        <w:rPr>
          <w:rFonts w:cs="Arial"/>
          <w:szCs w:val="20"/>
        </w:rPr>
        <w:t xml:space="preserve">akcijski načrt </w:t>
      </w:r>
      <w:r w:rsidRPr="0076168B">
        <w:rPr>
          <w:rFonts w:cs="Arial"/>
          <w:szCs w:val="20"/>
        </w:rPr>
        <w:t>se upoštevajo naslednji dejavniki tveganja:</w:t>
      </w:r>
    </w:p>
    <w:p w:rsidR="00F95059" w:rsidRPr="0076168B" w:rsidRDefault="00F95059" w:rsidP="00F95059">
      <w:pPr>
        <w:numPr>
          <w:ilvl w:val="0"/>
          <w:numId w:val="32"/>
        </w:numPr>
        <w:rPr>
          <w:rFonts w:cs="Arial"/>
          <w:szCs w:val="20"/>
        </w:rPr>
      </w:pPr>
      <w:r w:rsidRPr="00EC0695">
        <w:rPr>
          <w:rFonts w:cs="Arial"/>
          <w:b/>
          <w:szCs w:val="20"/>
        </w:rPr>
        <w:t>odobrena sredstva za projekt</w:t>
      </w:r>
      <w:r w:rsidRPr="0076168B">
        <w:rPr>
          <w:rFonts w:cs="Arial"/>
          <w:szCs w:val="20"/>
        </w:rPr>
        <w:t>;</w:t>
      </w:r>
    </w:p>
    <w:p w:rsidR="00F95059" w:rsidRPr="0076168B" w:rsidRDefault="00F95059" w:rsidP="00F95059">
      <w:pPr>
        <w:numPr>
          <w:ilvl w:val="0"/>
          <w:numId w:val="32"/>
        </w:numPr>
        <w:rPr>
          <w:rFonts w:cs="Arial"/>
          <w:szCs w:val="20"/>
        </w:rPr>
      </w:pPr>
      <w:r w:rsidRPr="00EC0695">
        <w:rPr>
          <w:rFonts w:cs="Arial"/>
          <w:b/>
          <w:szCs w:val="20"/>
        </w:rPr>
        <w:t>tipi končnih prejemnikov sredstev</w:t>
      </w:r>
      <w:r w:rsidRPr="0076168B">
        <w:rPr>
          <w:rFonts w:cs="Arial"/>
          <w:szCs w:val="20"/>
        </w:rPr>
        <w:t xml:space="preserve"> (ministrstva in organi v sestavi ministrstev; organizacije, ki izvajajo projekte na nepridobiten način);</w:t>
      </w:r>
    </w:p>
    <w:p w:rsidR="00F95059" w:rsidRPr="0076168B" w:rsidRDefault="00F95059" w:rsidP="00F95059">
      <w:pPr>
        <w:numPr>
          <w:ilvl w:val="0"/>
          <w:numId w:val="32"/>
        </w:numPr>
        <w:rPr>
          <w:rFonts w:cs="Arial"/>
          <w:szCs w:val="20"/>
        </w:rPr>
      </w:pPr>
      <w:r w:rsidRPr="00EC0695">
        <w:rPr>
          <w:rFonts w:cs="Arial"/>
          <w:b/>
          <w:szCs w:val="20"/>
        </w:rPr>
        <w:t>zanesljivost oz. zadostnost sistema notranjih kontrol</w:t>
      </w:r>
      <w:r w:rsidRPr="0076168B">
        <w:rPr>
          <w:rFonts w:cs="Arial"/>
          <w:szCs w:val="20"/>
        </w:rPr>
        <w:t xml:space="preserve"> (na podlagi že izvedenih </w:t>
      </w:r>
      <w:r w:rsidR="00016FB9">
        <w:rPr>
          <w:rFonts w:cs="Arial"/>
          <w:szCs w:val="20"/>
        </w:rPr>
        <w:t>kontrol</w:t>
      </w:r>
      <w:r w:rsidR="00016FB9" w:rsidRPr="0076168B">
        <w:rPr>
          <w:rFonts w:cs="Arial"/>
          <w:szCs w:val="20"/>
        </w:rPr>
        <w:t xml:space="preserve"> </w:t>
      </w:r>
      <w:r w:rsidRPr="0076168B">
        <w:rPr>
          <w:rFonts w:cs="Arial"/>
          <w:szCs w:val="20"/>
        </w:rPr>
        <w:t>na kraju samem, revizij ...);</w:t>
      </w:r>
    </w:p>
    <w:p w:rsidR="00F95059" w:rsidRPr="0076168B" w:rsidRDefault="00F95059" w:rsidP="00F95059">
      <w:pPr>
        <w:numPr>
          <w:ilvl w:val="0"/>
          <w:numId w:val="32"/>
        </w:numPr>
        <w:rPr>
          <w:rFonts w:cs="Arial"/>
          <w:szCs w:val="20"/>
        </w:rPr>
      </w:pPr>
      <w:r w:rsidRPr="00EC0695">
        <w:rPr>
          <w:rFonts w:cs="Arial"/>
          <w:b/>
          <w:szCs w:val="20"/>
        </w:rPr>
        <w:t xml:space="preserve">čas, ki je potekel od zadnje kontrole </w:t>
      </w:r>
      <w:r w:rsidRPr="0076168B">
        <w:rPr>
          <w:rFonts w:cs="Arial"/>
          <w:szCs w:val="20"/>
        </w:rPr>
        <w:t>na kraju samem, kontrole spremne dokumentacije zahtevkov za povračilo oz. revizije (glede na pooblaščene/sodelujoče organe, ki so vključeni v izvajanje projektov).</w:t>
      </w:r>
    </w:p>
    <w:p w:rsidR="00F95059" w:rsidRPr="0076168B" w:rsidRDefault="00F95059" w:rsidP="00F95059">
      <w:pPr>
        <w:rPr>
          <w:rFonts w:cs="Arial"/>
          <w:szCs w:val="20"/>
        </w:rPr>
      </w:pPr>
    </w:p>
    <w:p w:rsidR="00F95059" w:rsidRPr="0076168B" w:rsidRDefault="00F95059" w:rsidP="00F95059">
      <w:pPr>
        <w:rPr>
          <w:rFonts w:cs="Arial"/>
          <w:szCs w:val="20"/>
        </w:rPr>
      </w:pPr>
      <w:r w:rsidRPr="0076168B">
        <w:rPr>
          <w:rFonts w:cs="Arial"/>
          <w:szCs w:val="20"/>
        </w:rPr>
        <w:t>Omenjene dejavnike tveganj OO oceni z ocenami od 1 do 5, kot je razvidno iz spodnje tabele.</w:t>
      </w:r>
    </w:p>
    <w:p w:rsidR="00F95059" w:rsidRDefault="00F95059" w:rsidP="00F95059">
      <w:pPr>
        <w:rPr>
          <w:rFonts w:cs="Arial"/>
          <w:szCs w:val="20"/>
        </w:rPr>
      </w:pPr>
    </w:p>
    <w:p w:rsidR="00F95059" w:rsidRDefault="00F95059" w:rsidP="00F95059">
      <w:pPr>
        <w:rPr>
          <w:rFonts w:cs="Arial"/>
          <w:szCs w:val="20"/>
        </w:rPr>
      </w:pPr>
      <w:r w:rsidRPr="0076168B">
        <w:rPr>
          <w:rFonts w:cs="Arial"/>
          <w:szCs w:val="20"/>
        </w:rPr>
        <w:t>Stopnje dejavnikov tveganja:</w:t>
      </w:r>
    </w:p>
    <w:p w:rsidR="00145001" w:rsidRPr="0076168B" w:rsidRDefault="00145001" w:rsidP="00F95059">
      <w:pPr>
        <w:rPr>
          <w:rFonts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4380"/>
      </w:tblGrid>
      <w:tr w:rsidR="00F95059" w:rsidRPr="0076168B" w:rsidTr="00EC2BCF">
        <w:trPr>
          <w:trHeight w:val="288"/>
          <w:jc w:val="center"/>
        </w:trPr>
        <w:tc>
          <w:tcPr>
            <w:tcW w:w="2583" w:type="pct"/>
            <w:shd w:val="clear" w:color="auto" w:fill="auto"/>
            <w:vAlign w:val="bottom"/>
          </w:tcPr>
          <w:p w:rsidR="00F95059" w:rsidRPr="0076168B" w:rsidRDefault="00F95059" w:rsidP="00EC2BCF">
            <w:pPr>
              <w:jc w:val="center"/>
              <w:rPr>
                <w:rFonts w:cs="Arial"/>
                <w:b/>
                <w:szCs w:val="20"/>
              </w:rPr>
            </w:pPr>
            <w:r w:rsidRPr="0076168B">
              <w:rPr>
                <w:rFonts w:cs="Arial"/>
                <w:b/>
                <w:szCs w:val="20"/>
              </w:rPr>
              <w:t>Ocena dejavnikov tveganja</w:t>
            </w:r>
          </w:p>
        </w:tc>
        <w:tc>
          <w:tcPr>
            <w:tcW w:w="2417" w:type="pct"/>
            <w:shd w:val="clear" w:color="auto" w:fill="auto"/>
            <w:vAlign w:val="bottom"/>
          </w:tcPr>
          <w:p w:rsidR="00F95059" w:rsidRPr="0076168B" w:rsidRDefault="00F95059" w:rsidP="00EC2BCF">
            <w:pPr>
              <w:jc w:val="center"/>
              <w:rPr>
                <w:rFonts w:cs="Arial"/>
                <w:b/>
                <w:szCs w:val="20"/>
              </w:rPr>
            </w:pPr>
            <w:r w:rsidRPr="0076168B">
              <w:rPr>
                <w:rFonts w:cs="Arial"/>
                <w:b/>
                <w:szCs w:val="20"/>
              </w:rPr>
              <w:t>Razlaga ocen</w:t>
            </w:r>
          </w:p>
        </w:tc>
      </w:tr>
      <w:tr w:rsidR="00F95059" w:rsidRPr="0076168B" w:rsidTr="00EC2BCF">
        <w:trPr>
          <w:trHeight w:val="288"/>
          <w:jc w:val="center"/>
        </w:trPr>
        <w:tc>
          <w:tcPr>
            <w:tcW w:w="2583" w:type="pct"/>
            <w:shd w:val="clear" w:color="auto" w:fill="auto"/>
            <w:vAlign w:val="bottom"/>
          </w:tcPr>
          <w:p w:rsidR="00F95059" w:rsidRPr="0076168B" w:rsidRDefault="00F95059" w:rsidP="00EC2BCF">
            <w:pPr>
              <w:jc w:val="center"/>
              <w:rPr>
                <w:rFonts w:cs="Arial"/>
                <w:szCs w:val="20"/>
              </w:rPr>
            </w:pPr>
            <w:r w:rsidRPr="0076168B">
              <w:rPr>
                <w:rFonts w:cs="Arial"/>
                <w:szCs w:val="20"/>
              </w:rPr>
              <w:t>1</w:t>
            </w:r>
          </w:p>
        </w:tc>
        <w:tc>
          <w:tcPr>
            <w:tcW w:w="2417" w:type="pct"/>
            <w:shd w:val="clear" w:color="auto" w:fill="auto"/>
            <w:vAlign w:val="bottom"/>
          </w:tcPr>
          <w:p w:rsidR="00F95059" w:rsidRPr="0076168B" w:rsidRDefault="00F95059" w:rsidP="00EC2BCF">
            <w:pPr>
              <w:jc w:val="center"/>
              <w:rPr>
                <w:rFonts w:cs="Arial"/>
                <w:szCs w:val="20"/>
              </w:rPr>
            </w:pPr>
            <w:r w:rsidRPr="0076168B">
              <w:rPr>
                <w:rFonts w:cs="Arial"/>
                <w:szCs w:val="20"/>
              </w:rPr>
              <w:t>nizko tveganje</w:t>
            </w:r>
          </w:p>
        </w:tc>
      </w:tr>
      <w:tr w:rsidR="00F95059" w:rsidRPr="0076168B" w:rsidTr="00EC2BCF">
        <w:trPr>
          <w:trHeight w:val="288"/>
          <w:jc w:val="center"/>
        </w:trPr>
        <w:tc>
          <w:tcPr>
            <w:tcW w:w="2583" w:type="pct"/>
            <w:shd w:val="clear" w:color="auto" w:fill="auto"/>
            <w:vAlign w:val="bottom"/>
          </w:tcPr>
          <w:p w:rsidR="00F95059" w:rsidRPr="0076168B" w:rsidRDefault="00F95059" w:rsidP="00EC2BCF">
            <w:pPr>
              <w:jc w:val="center"/>
              <w:rPr>
                <w:rFonts w:cs="Arial"/>
                <w:szCs w:val="20"/>
              </w:rPr>
            </w:pPr>
            <w:r w:rsidRPr="0076168B">
              <w:rPr>
                <w:rFonts w:cs="Arial"/>
                <w:szCs w:val="20"/>
              </w:rPr>
              <w:t>2</w:t>
            </w:r>
          </w:p>
        </w:tc>
        <w:tc>
          <w:tcPr>
            <w:tcW w:w="2417" w:type="pct"/>
            <w:shd w:val="clear" w:color="auto" w:fill="auto"/>
            <w:vAlign w:val="bottom"/>
          </w:tcPr>
          <w:p w:rsidR="00F95059" w:rsidRPr="0076168B" w:rsidRDefault="00F95059" w:rsidP="00EC2BCF">
            <w:pPr>
              <w:jc w:val="center"/>
              <w:rPr>
                <w:rFonts w:cs="Arial"/>
                <w:szCs w:val="20"/>
              </w:rPr>
            </w:pPr>
            <w:r w:rsidRPr="0076168B">
              <w:rPr>
                <w:rFonts w:cs="Arial"/>
                <w:szCs w:val="20"/>
              </w:rPr>
              <w:t>med nizkim in srednjim tveganjem</w:t>
            </w:r>
          </w:p>
        </w:tc>
      </w:tr>
      <w:tr w:rsidR="00F95059" w:rsidRPr="0076168B" w:rsidTr="00EC2BCF">
        <w:trPr>
          <w:trHeight w:val="288"/>
          <w:jc w:val="center"/>
        </w:trPr>
        <w:tc>
          <w:tcPr>
            <w:tcW w:w="2583" w:type="pct"/>
            <w:shd w:val="clear" w:color="auto" w:fill="auto"/>
            <w:vAlign w:val="bottom"/>
          </w:tcPr>
          <w:p w:rsidR="00F95059" w:rsidRPr="0076168B" w:rsidRDefault="00F95059" w:rsidP="00EC2BCF">
            <w:pPr>
              <w:jc w:val="center"/>
              <w:rPr>
                <w:rFonts w:cs="Arial"/>
                <w:szCs w:val="20"/>
              </w:rPr>
            </w:pPr>
            <w:r w:rsidRPr="0076168B">
              <w:rPr>
                <w:rFonts w:cs="Arial"/>
                <w:szCs w:val="20"/>
              </w:rPr>
              <w:t>3</w:t>
            </w:r>
          </w:p>
        </w:tc>
        <w:tc>
          <w:tcPr>
            <w:tcW w:w="2417" w:type="pct"/>
            <w:shd w:val="clear" w:color="auto" w:fill="auto"/>
            <w:vAlign w:val="bottom"/>
          </w:tcPr>
          <w:p w:rsidR="00F95059" w:rsidRPr="0076168B" w:rsidRDefault="00F95059" w:rsidP="00EC2BCF">
            <w:pPr>
              <w:jc w:val="center"/>
              <w:rPr>
                <w:rFonts w:cs="Arial"/>
                <w:szCs w:val="20"/>
              </w:rPr>
            </w:pPr>
            <w:r w:rsidRPr="0076168B">
              <w:rPr>
                <w:rFonts w:cs="Arial"/>
                <w:szCs w:val="20"/>
              </w:rPr>
              <w:t>srednje tveganje</w:t>
            </w:r>
          </w:p>
        </w:tc>
      </w:tr>
      <w:tr w:rsidR="00F95059" w:rsidRPr="0076168B" w:rsidTr="00EC2BCF">
        <w:trPr>
          <w:trHeight w:val="288"/>
          <w:jc w:val="center"/>
        </w:trPr>
        <w:tc>
          <w:tcPr>
            <w:tcW w:w="2583" w:type="pct"/>
            <w:shd w:val="clear" w:color="auto" w:fill="auto"/>
            <w:vAlign w:val="bottom"/>
          </w:tcPr>
          <w:p w:rsidR="00F95059" w:rsidRPr="0076168B" w:rsidRDefault="00F95059" w:rsidP="00EC2BCF">
            <w:pPr>
              <w:jc w:val="center"/>
              <w:rPr>
                <w:rFonts w:cs="Arial"/>
                <w:szCs w:val="20"/>
              </w:rPr>
            </w:pPr>
            <w:r w:rsidRPr="0076168B">
              <w:rPr>
                <w:rFonts w:cs="Arial"/>
                <w:szCs w:val="20"/>
              </w:rPr>
              <w:t>4</w:t>
            </w:r>
          </w:p>
        </w:tc>
        <w:tc>
          <w:tcPr>
            <w:tcW w:w="2417" w:type="pct"/>
            <w:shd w:val="clear" w:color="auto" w:fill="auto"/>
            <w:vAlign w:val="bottom"/>
          </w:tcPr>
          <w:p w:rsidR="00F95059" w:rsidRPr="0076168B" w:rsidRDefault="00F95059" w:rsidP="00EC2BCF">
            <w:pPr>
              <w:jc w:val="center"/>
              <w:rPr>
                <w:rFonts w:cs="Arial"/>
                <w:szCs w:val="20"/>
              </w:rPr>
            </w:pPr>
            <w:r w:rsidRPr="0076168B">
              <w:rPr>
                <w:rFonts w:cs="Arial"/>
                <w:szCs w:val="20"/>
              </w:rPr>
              <w:t>med srednjim in visokim tveganjem</w:t>
            </w:r>
          </w:p>
        </w:tc>
      </w:tr>
      <w:tr w:rsidR="00F95059" w:rsidRPr="0076168B" w:rsidTr="00EC2BCF">
        <w:trPr>
          <w:trHeight w:val="288"/>
          <w:jc w:val="center"/>
        </w:trPr>
        <w:tc>
          <w:tcPr>
            <w:tcW w:w="2583" w:type="pct"/>
            <w:shd w:val="clear" w:color="auto" w:fill="auto"/>
            <w:vAlign w:val="bottom"/>
          </w:tcPr>
          <w:p w:rsidR="00F95059" w:rsidRPr="0076168B" w:rsidRDefault="00F95059" w:rsidP="00EC2BCF">
            <w:pPr>
              <w:jc w:val="center"/>
              <w:rPr>
                <w:rFonts w:cs="Arial"/>
                <w:szCs w:val="20"/>
              </w:rPr>
            </w:pPr>
            <w:r w:rsidRPr="0076168B">
              <w:rPr>
                <w:rFonts w:cs="Arial"/>
                <w:szCs w:val="20"/>
              </w:rPr>
              <w:t>5</w:t>
            </w:r>
          </w:p>
        </w:tc>
        <w:tc>
          <w:tcPr>
            <w:tcW w:w="2417" w:type="pct"/>
            <w:shd w:val="clear" w:color="auto" w:fill="auto"/>
            <w:vAlign w:val="bottom"/>
          </w:tcPr>
          <w:p w:rsidR="00F95059" w:rsidRPr="0076168B" w:rsidRDefault="00F95059" w:rsidP="00EC2BCF">
            <w:pPr>
              <w:jc w:val="center"/>
              <w:rPr>
                <w:rFonts w:cs="Arial"/>
                <w:szCs w:val="20"/>
              </w:rPr>
            </w:pPr>
            <w:r w:rsidRPr="0076168B">
              <w:rPr>
                <w:rFonts w:cs="Arial"/>
                <w:szCs w:val="20"/>
              </w:rPr>
              <w:t>visoko tveganje</w:t>
            </w:r>
          </w:p>
        </w:tc>
      </w:tr>
    </w:tbl>
    <w:p w:rsidR="00F95059" w:rsidRDefault="00F95059" w:rsidP="00F95059">
      <w:pPr>
        <w:rPr>
          <w:rFonts w:cs="Arial"/>
          <w:b/>
          <w:szCs w:val="20"/>
        </w:rPr>
      </w:pPr>
    </w:p>
    <w:p w:rsidR="002D4C77" w:rsidRDefault="002D4C77" w:rsidP="002D4C77">
      <w:pPr>
        <w:pStyle w:val="Naslov2"/>
        <w:numPr>
          <w:ilvl w:val="1"/>
          <w:numId w:val="19"/>
        </w:numPr>
        <w:ind w:left="360"/>
        <w:jc w:val="both"/>
        <w:rPr>
          <w:sz w:val="22"/>
          <w:szCs w:val="22"/>
        </w:rPr>
      </w:pPr>
      <w:bookmarkStart w:id="10" w:name="_Toc457810288"/>
      <w:r>
        <w:rPr>
          <w:sz w:val="22"/>
          <w:szCs w:val="22"/>
        </w:rPr>
        <w:t>Merjenje posameznega dejavnika</w:t>
      </w:r>
      <w:r w:rsidRPr="002D4C77">
        <w:rPr>
          <w:sz w:val="22"/>
          <w:szCs w:val="22"/>
        </w:rPr>
        <w:t xml:space="preserve"> tveganja</w:t>
      </w:r>
      <w:bookmarkEnd w:id="10"/>
      <w:r w:rsidRPr="002D4C77">
        <w:rPr>
          <w:sz w:val="22"/>
          <w:szCs w:val="22"/>
        </w:rPr>
        <w:t xml:space="preserve"> </w:t>
      </w:r>
    </w:p>
    <w:p w:rsidR="002D4C77" w:rsidRPr="0076168B" w:rsidRDefault="002D4C77" w:rsidP="002D4C77">
      <w:pPr>
        <w:ind w:left="360"/>
        <w:rPr>
          <w:rFonts w:cs="Arial"/>
          <w:b/>
          <w:szCs w:val="20"/>
        </w:rPr>
      </w:pPr>
    </w:p>
    <w:p w:rsidR="00F95059" w:rsidRPr="0076168B" w:rsidRDefault="00F95059" w:rsidP="00F95059">
      <w:pPr>
        <w:rPr>
          <w:rFonts w:cs="Arial"/>
          <w:szCs w:val="20"/>
        </w:rPr>
      </w:pPr>
    </w:p>
    <w:p w:rsidR="00F95059" w:rsidRPr="0076168B" w:rsidRDefault="00F95059" w:rsidP="00F95059">
      <w:pPr>
        <w:rPr>
          <w:rFonts w:cs="Arial"/>
          <w:i/>
          <w:szCs w:val="20"/>
        </w:rPr>
      </w:pPr>
      <w:r w:rsidRPr="0076168B">
        <w:rPr>
          <w:rFonts w:cs="Arial"/>
          <w:i/>
          <w:szCs w:val="20"/>
        </w:rPr>
        <w:t>a) Odobrena sredstva za projekt</w:t>
      </w:r>
      <w:r w:rsidR="00EC2BCF">
        <w:rPr>
          <w:rFonts w:cs="Arial"/>
          <w:i/>
          <w:szCs w:val="20"/>
        </w:rPr>
        <w:t xml:space="preserve"> oziroma</w:t>
      </w:r>
    </w:p>
    <w:p w:rsidR="00F95059" w:rsidRPr="0076168B" w:rsidRDefault="00F95059" w:rsidP="00F95059">
      <w:pPr>
        <w:rPr>
          <w:rFonts w:cs="Arial"/>
          <w:szCs w:val="20"/>
        </w:rPr>
      </w:pPr>
    </w:p>
    <w:p w:rsidR="00F95059" w:rsidRPr="0076168B" w:rsidRDefault="00F95059" w:rsidP="00F95059">
      <w:pPr>
        <w:rPr>
          <w:rFonts w:cs="Arial"/>
          <w:szCs w:val="20"/>
        </w:rPr>
      </w:pPr>
      <w:r w:rsidRPr="005A49B4">
        <w:rPr>
          <w:rFonts w:cs="Arial"/>
          <w:szCs w:val="20"/>
        </w:rPr>
        <w:t>Proučiti je treba delež odobrenih sredstev posameznega projekta v danem letu glede na skupna odobrena sredstva sklada v tem letu glede na akcijski načrt (AMIF/ ISF-B/ ISF-P).</w:t>
      </w:r>
    </w:p>
    <w:p w:rsidR="00F95059" w:rsidRPr="0076168B" w:rsidRDefault="00F95059" w:rsidP="00F95059">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5"/>
        <w:gridCol w:w="1285"/>
      </w:tblGrid>
      <w:tr w:rsidR="00F95059" w:rsidRPr="00040FFF" w:rsidTr="00EC2BCF">
        <w:tc>
          <w:tcPr>
            <w:tcW w:w="4291" w:type="pct"/>
            <w:shd w:val="clear" w:color="auto" w:fill="F3F3F3"/>
          </w:tcPr>
          <w:p w:rsidR="00F95059" w:rsidRPr="00040FFF" w:rsidRDefault="00F95059" w:rsidP="00EC2BCF">
            <w:pPr>
              <w:widowControl w:val="0"/>
              <w:rPr>
                <w:rFonts w:cs="Arial"/>
                <w:b/>
                <w:szCs w:val="20"/>
              </w:rPr>
            </w:pPr>
            <w:r>
              <w:rPr>
                <w:rFonts w:cs="Arial"/>
                <w:b/>
                <w:szCs w:val="20"/>
              </w:rPr>
              <w:t>Letna odobrena sredstva projekta/</w:t>
            </w:r>
            <w:r>
              <w:t xml:space="preserve"> </w:t>
            </w:r>
            <w:r w:rsidRPr="002569A7">
              <w:rPr>
                <w:rFonts w:cs="Arial"/>
                <w:b/>
                <w:szCs w:val="20"/>
              </w:rPr>
              <w:t>skupn</w:t>
            </w:r>
            <w:r>
              <w:rPr>
                <w:rFonts w:cs="Arial"/>
                <w:b/>
                <w:szCs w:val="20"/>
              </w:rPr>
              <w:t>a</w:t>
            </w:r>
            <w:r w:rsidRPr="002569A7">
              <w:rPr>
                <w:rFonts w:cs="Arial"/>
                <w:b/>
                <w:szCs w:val="20"/>
              </w:rPr>
              <w:t xml:space="preserve"> odobrena sredstva sklada v tem letu glede na akcijski načrt </w:t>
            </w:r>
            <w:r w:rsidRPr="00040FFF">
              <w:rPr>
                <w:rFonts w:cs="Arial"/>
                <w:b/>
                <w:szCs w:val="20"/>
              </w:rPr>
              <w:t>(v %)</w:t>
            </w:r>
          </w:p>
        </w:tc>
        <w:tc>
          <w:tcPr>
            <w:tcW w:w="709" w:type="pct"/>
            <w:shd w:val="clear" w:color="auto" w:fill="F3F3F3"/>
          </w:tcPr>
          <w:p w:rsidR="00F95059" w:rsidRPr="00040FFF" w:rsidRDefault="00F95059" w:rsidP="00EC2BCF">
            <w:pPr>
              <w:widowControl w:val="0"/>
              <w:jc w:val="center"/>
              <w:rPr>
                <w:rFonts w:cs="Arial"/>
                <w:b/>
                <w:szCs w:val="20"/>
              </w:rPr>
            </w:pPr>
            <w:r w:rsidRPr="00040FFF">
              <w:rPr>
                <w:rFonts w:cs="Arial"/>
                <w:b/>
                <w:szCs w:val="20"/>
              </w:rPr>
              <w:t>Točke</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do vključno </w:t>
            </w:r>
            <w:r>
              <w:rPr>
                <w:rFonts w:cs="Arial"/>
                <w:szCs w:val="20"/>
              </w:rPr>
              <w:t>1</w:t>
            </w:r>
            <w:r w:rsidRPr="00040FFF">
              <w:rPr>
                <w:rFonts w:cs="Arial"/>
                <w:szCs w:val="20"/>
              </w:rPr>
              <w:t xml:space="preserve"> %</w:t>
            </w:r>
          </w:p>
        </w:tc>
        <w:tc>
          <w:tcPr>
            <w:tcW w:w="709" w:type="pct"/>
            <w:shd w:val="clear" w:color="auto" w:fill="auto"/>
            <w:vAlign w:val="bottom"/>
          </w:tcPr>
          <w:p w:rsidR="00F95059" w:rsidRPr="00040FFF" w:rsidRDefault="00F95059" w:rsidP="00EC2BCF">
            <w:pPr>
              <w:widowControl w:val="0"/>
              <w:jc w:val="center"/>
              <w:rPr>
                <w:rFonts w:cs="Arial"/>
                <w:szCs w:val="20"/>
              </w:rPr>
            </w:pPr>
            <w:r w:rsidRPr="00040FFF">
              <w:rPr>
                <w:rFonts w:cs="Arial"/>
                <w:szCs w:val="20"/>
              </w:rPr>
              <w:t>1</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nad </w:t>
            </w:r>
            <w:r>
              <w:rPr>
                <w:rFonts w:cs="Arial"/>
                <w:szCs w:val="20"/>
              </w:rPr>
              <w:t>1</w:t>
            </w:r>
            <w:r w:rsidRPr="00040FFF">
              <w:rPr>
                <w:rFonts w:cs="Arial"/>
                <w:szCs w:val="20"/>
              </w:rPr>
              <w:t xml:space="preserve"> % do vključno </w:t>
            </w:r>
            <w:r>
              <w:rPr>
                <w:rFonts w:cs="Arial"/>
                <w:szCs w:val="20"/>
              </w:rPr>
              <w:t>2</w:t>
            </w:r>
            <w:r w:rsidRPr="00040FFF">
              <w:rPr>
                <w:rFonts w:cs="Arial"/>
                <w:szCs w:val="20"/>
              </w:rPr>
              <w:t xml:space="preserve"> %</w:t>
            </w:r>
          </w:p>
        </w:tc>
        <w:tc>
          <w:tcPr>
            <w:tcW w:w="709" w:type="pct"/>
            <w:shd w:val="clear" w:color="auto" w:fill="auto"/>
            <w:vAlign w:val="bottom"/>
          </w:tcPr>
          <w:p w:rsidR="00F95059" w:rsidRPr="00040FFF" w:rsidRDefault="00F95059" w:rsidP="00EC2BCF">
            <w:pPr>
              <w:widowControl w:val="0"/>
              <w:jc w:val="center"/>
              <w:rPr>
                <w:rFonts w:cs="Arial"/>
                <w:szCs w:val="20"/>
              </w:rPr>
            </w:pPr>
            <w:r w:rsidRPr="00040FFF">
              <w:rPr>
                <w:rFonts w:cs="Arial"/>
                <w:szCs w:val="20"/>
              </w:rPr>
              <w:t>2</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nad </w:t>
            </w:r>
            <w:r>
              <w:rPr>
                <w:rFonts w:cs="Arial"/>
                <w:szCs w:val="20"/>
              </w:rPr>
              <w:t>2</w:t>
            </w:r>
            <w:r w:rsidRPr="00040FFF">
              <w:rPr>
                <w:rFonts w:cs="Arial"/>
                <w:szCs w:val="20"/>
              </w:rPr>
              <w:t xml:space="preserve"> % do vključno </w:t>
            </w:r>
            <w:r>
              <w:rPr>
                <w:rFonts w:cs="Arial"/>
                <w:szCs w:val="20"/>
              </w:rPr>
              <w:t>3</w:t>
            </w:r>
            <w:r w:rsidRPr="00040FFF">
              <w:rPr>
                <w:rFonts w:cs="Arial"/>
                <w:szCs w:val="20"/>
              </w:rPr>
              <w:t xml:space="preserve"> %</w:t>
            </w:r>
          </w:p>
        </w:tc>
        <w:tc>
          <w:tcPr>
            <w:tcW w:w="709" w:type="pct"/>
            <w:shd w:val="clear" w:color="auto" w:fill="auto"/>
            <w:vAlign w:val="bottom"/>
          </w:tcPr>
          <w:p w:rsidR="00F95059" w:rsidRPr="00040FFF" w:rsidRDefault="00F95059" w:rsidP="00EC2BCF">
            <w:pPr>
              <w:widowControl w:val="0"/>
              <w:jc w:val="center"/>
              <w:rPr>
                <w:rFonts w:cs="Arial"/>
                <w:szCs w:val="20"/>
              </w:rPr>
            </w:pPr>
            <w:r w:rsidRPr="00040FFF">
              <w:rPr>
                <w:rFonts w:cs="Arial"/>
                <w:szCs w:val="20"/>
              </w:rPr>
              <w:t>3</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nad </w:t>
            </w:r>
            <w:r>
              <w:rPr>
                <w:rFonts w:cs="Arial"/>
                <w:szCs w:val="20"/>
              </w:rPr>
              <w:t>3</w:t>
            </w:r>
            <w:r w:rsidRPr="00040FFF">
              <w:rPr>
                <w:rFonts w:cs="Arial"/>
                <w:szCs w:val="20"/>
              </w:rPr>
              <w:t xml:space="preserve"> % do vključno </w:t>
            </w:r>
            <w:r>
              <w:rPr>
                <w:rFonts w:cs="Arial"/>
                <w:szCs w:val="20"/>
              </w:rPr>
              <w:t>4</w:t>
            </w:r>
            <w:r w:rsidRPr="00040FFF">
              <w:rPr>
                <w:rFonts w:cs="Arial"/>
                <w:szCs w:val="20"/>
              </w:rPr>
              <w:t xml:space="preserve"> %</w:t>
            </w:r>
          </w:p>
        </w:tc>
        <w:tc>
          <w:tcPr>
            <w:tcW w:w="709" w:type="pct"/>
            <w:shd w:val="clear" w:color="auto" w:fill="auto"/>
            <w:vAlign w:val="bottom"/>
          </w:tcPr>
          <w:p w:rsidR="00F95059" w:rsidRPr="00040FFF" w:rsidRDefault="00F95059" w:rsidP="00EC2BCF">
            <w:pPr>
              <w:widowControl w:val="0"/>
              <w:jc w:val="center"/>
              <w:rPr>
                <w:rFonts w:cs="Arial"/>
                <w:szCs w:val="20"/>
              </w:rPr>
            </w:pPr>
            <w:r w:rsidRPr="00040FFF">
              <w:rPr>
                <w:rFonts w:cs="Arial"/>
                <w:szCs w:val="20"/>
              </w:rPr>
              <w:t>4</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nad </w:t>
            </w:r>
            <w:r>
              <w:rPr>
                <w:rFonts w:cs="Arial"/>
                <w:szCs w:val="20"/>
              </w:rPr>
              <w:t>4</w:t>
            </w:r>
            <w:r w:rsidRPr="00040FFF">
              <w:rPr>
                <w:rFonts w:cs="Arial"/>
                <w:szCs w:val="20"/>
              </w:rPr>
              <w:t xml:space="preserve"> %</w:t>
            </w:r>
          </w:p>
        </w:tc>
        <w:tc>
          <w:tcPr>
            <w:tcW w:w="709" w:type="pct"/>
            <w:shd w:val="clear" w:color="auto" w:fill="auto"/>
            <w:vAlign w:val="bottom"/>
          </w:tcPr>
          <w:p w:rsidR="00F95059" w:rsidRPr="00040FFF" w:rsidRDefault="00F95059" w:rsidP="00EC2BCF">
            <w:pPr>
              <w:widowControl w:val="0"/>
              <w:jc w:val="center"/>
              <w:rPr>
                <w:rFonts w:cs="Arial"/>
                <w:szCs w:val="20"/>
              </w:rPr>
            </w:pPr>
            <w:r w:rsidRPr="00040FFF">
              <w:rPr>
                <w:rFonts w:cs="Arial"/>
                <w:szCs w:val="20"/>
              </w:rPr>
              <w:t>5</w:t>
            </w:r>
          </w:p>
        </w:tc>
      </w:tr>
    </w:tbl>
    <w:p w:rsidR="00EC2BCF" w:rsidRDefault="00EC2BCF" w:rsidP="00F95059">
      <w:pPr>
        <w:rPr>
          <w:rFonts w:cs="Arial"/>
          <w:szCs w:val="20"/>
        </w:rPr>
      </w:pPr>
    </w:p>
    <w:p w:rsidR="00EC2BCF" w:rsidRDefault="00EC2BCF" w:rsidP="00F95059">
      <w:pPr>
        <w:rPr>
          <w:rFonts w:cs="Arial"/>
          <w:szCs w:val="20"/>
        </w:rPr>
      </w:pPr>
      <w:r>
        <w:rPr>
          <w:rFonts w:cs="Arial"/>
          <w:szCs w:val="20"/>
        </w:rPr>
        <w:t>oziroma vrednost  posredovanih NPS v okviru posameznega projekta.</w:t>
      </w:r>
    </w:p>
    <w:p w:rsidR="00EC2BCF" w:rsidRDefault="00EC2BCF" w:rsidP="00F95059">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5"/>
        <w:gridCol w:w="1285"/>
      </w:tblGrid>
      <w:tr w:rsidR="00EC2BCF" w:rsidRPr="00040FFF" w:rsidTr="00EC2BCF">
        <w:tc>
          <w:tcPr>
            <w:tcW w:w="4291" w:type="pct"/>
            <w:shd w:val="clear" w:color="auto" w:fill="F3F3F3"/>
          </w:tcPr>
          <w:p w:rsidR="00EC2BCF" w:rsidRPr="00040FFF" w:rsidRDefault="00EC2BCF" w:rsidP="00EC2BCF">
            <w:pPr>
              <w:widowControl w:val="0"/>
              <w:rPr>
                <w:rFonts w:cs="Arial"/>
                <w:b/>
                <w:szCs w:val="20"/>
              </w:rPr>
            </w:pPr>
            <w:r>
              <w:rPr>
                <w:rFonts w:cs="Arial"/>
                <w:b/>
                <w:szCs w:val="20"/>
              </w:rPr>
              <w:t>Vrednost posredovanih NPS v okviru projekta (v EUR)</w:t>
            </w:r>
          </w:p>
        </w:tc>
        <w:tc>
          <w:tcPr>
            <w:tcW w:w="709" w:type="pct"/>
            <w:shd w:val="clear" w:color="auto" w:fill="F3F3F3"/>
          </w:tcPr>
          <w:p w:rsidR="00EC2BCF" w:rsidRPr="00040FFF" w:rsidRDefault="00EC2BCF" w:rsidP="00EC2BCF">
            <w:pPr>
              <w:widowControl w:val="0"/>
              <w:jc w:val="center"/>
              <w:rPr>
                <w:rFonts w:cs="Arial"/>
                <w:b/>
                <w:szCs w:val="20"/>
              </w:rPr>
            </w:pPr>
            <w:r w:rsidRPr="00040FFF">
              <w:rPr>
                <w:rFonts w:cs="Arial"/>
                <w:b/>
                <w:szCs w:val="20"/>
              </w:rPr>
              <w:t>Točke</w:t>
            </w:r>
          </w:p>
        </w:tc>
      </w:tr>
      <w:tr w:rsidR="00EC2BCF" w:rsidRPr="00040FFF" w:rsidTr="00EC2BCF">
        <w:tc>
          <w:tcPr>
            <w:tcW w:w="4291" w:type="pct"/>
            <w:shd w:val="clear" w:color="auto" w:fill="auto"/>
          </w:tcPr>
          <w:p w:rsidR="00EC2BCF" w:rsidRPr="00EC2BCF" w:rsidRDefault="00EC2BCF" w:rsidP="00EC2BCF">
            <w:pPr>
              <w:rPr>
                <w:rFonts w:cs="Arial"/>
                <w:color w:val="000000"/>
                <w:szCs w:val="22"/>
              </w:rPr>
            </w:pPr>
            <w:r w:rsidRPr="00EC2BCF">
              <w:rPr>
                <w:rFonts w:cs="Arial"/>
                <w:color w:val="000000"/>
                <w:szCs w:val="22"/>
              </w:rPr>
              <w:t>do 5.000</w:t>
            </w:r>
          </w:p>
        </w:tc>
        <w:tc>
          <w:tcPr>
            <w:tcW w:w="709" w:type="pct"/>
            <w:shd w:val="clear" w:color="auto" w:fill="auto"/>
            <w:vAlign w:val="bottom"/>
          </w:tcPr>
          <w:p w:rsidR="00EC2BCF" w:rsidRPr="00040FFF" w:rsidRDefault="00EC2BCF" w:rsidP="00EC2BCF">
            <w:pPr>
              <w:widowControl w:val="0"/>
              <w:jc w:val="center"/>
              <w:rPr>
                <w:rFonts w:cs="Arial"/>
                <w:szCs w:val="20"/>
              </w:rPr>
            </w:pPr>
            <w:r w:rsidRPr="00040FFF">
              <w:rPr>
                <w:rFonts w:cs="Arial"/>
                <w:szCs w:val="20"/>
              </w:rPr>
              <w:t>1</w:t>
            </w:r>
          </w:p>
        </w:tc>
      </w:tr>
      <w:tr w:rsidR="00EC2BCF" w:rsidRPr="00040FFF" w:rsidTr="00EC2BCF">
        <w:tc>
          <w:tcPr>
            <w:tcW w:w="4291" w:type="pct"/>
            <w:shd w:val="clear" w:color="auto" w:fill="auto"/>
          </w:tcPr>
          <w:p w:rsidR="00EC2BCF" w:rsidRDefault="00EC2BCF" w:rsidP="00EC2BCF">
            <w:r>
              <w:rPr>
                <w:rFonts w:cs="Arial"/>
                <w:color w:val="000000"/>
                <w:szCs w:val="22"/>
              </w:rPr>
              <w:t xml:space="preserve">od </w:t>
            </w:r>
            <w:r w:rsidRPr="00B217DE">
              <w:rPr>
                <w:rFonts w:cs="Arial"/>
                <w:color w:val="000000"/>
                <w:szCs w:val="22"/>
              </w:rPr>
              <w:t>5.00</w:t>
            </w:r>
            <w:r>
              <w:rPr>
                <w:rFonts w:cs="Arial"/>
                <w:color w:val="000000"/>
                <w:szCs w:val="22"/>
              </w:rPr>
              <w:t>1 – 20.000</w:t>
            </w:r>
          </w:p>
        </w:tc>
        <w:tc>
          <w:tcPr>
            <w:tcW w:w="709" w:type="pct"/>
            <w:shd w:val="clear" w:color="auto" w:fill="auto"/>
            <w:vAlign w:val="bottom"/>
          </w:tcPr>
          <w:p w:rsidR="00EC2BCF" w:rsidRPr="00040FFF" w:rsidRDefault="00EC2BCF" w:rsidP="00EC2BCF">
            <w:pPr>
              <w:widowControl w:val="0"/>
              <w:jc w:val="center"/>
              <w:rPr>
                <w:rFonts w:cs="Arial"/>
                <w:szCs w:val="20"/>
              </w:rPr>
            </w:pPr>
            <w:r w:rsidRPr="00040FFF">
              <w:rPr>
                <w:rFonts w:cs="Arial"/>
                <w:szCs w:val="20"/>
              </w:rPr>
              <w:t>2</w:t>
            </w:r>
          </w:p>
        </w:tc>
      </w:tr>
      <w:tr w:rsidR="00EC2BCF" w:rsidRPr="00040FFF" w:rsidTr="00EC2BCF">
        <w:tc>
          <w:tcPr>
            <w:tcW w:w="4291" w:type="pct"/>
            <w:shd w:val="clear" w:color="auto" w:fill="auto"/>
          </w:tcPr>
          <w:p w:rsidR="00EC2BCF" w:rsidRDefault="00EC2BCF" w:rsidP="00EC2BCF">
            <w:r w:rsidRPr="00E82691">
              <w:rPr>
                <w:rFonts w:cs="Arial"/>
                <w:color w:val="000000"/>
                <w:szCs w:val="22"/>
              </w:rPr>
              <w:t xml:space="preserve">od </w:t>
            </w:r>
            <w:r>
              <w:rPr>
                <w:rFonts w:cs="Arial"/>
                <w:color w:val="000000"/>
                <w:szCs w:val="22"/>
              </w:rPr>
              <w:t>20</w:t>
            </w:r>
            <w:r w:rsidRPr="00E82691">
              <w:rPr>
                <w:rFonts w:cs="Arial"/>
                <w:color w:val="000000"/>
                <w:szCs w:val="22"/>
              </w:rPr>
              <w:t>.001 –</w:t>
            </w:r>
            <w:r>
              <w:rPr>
                <w:rFonts w:cs="Arial"/>
                <w:color w:val="000000"/>
                <w:szCs w:val="22"/>
              </w:rPr>
              <w:t xml:space="preserve"> 5</w:t>
            </w:r>
            <w:r w:rsidRPr="00E82691">
              <w:rPr>
                <w:rFonts w:cs="Arial"/>
                <w:color w:val="000000"/>
                <w:szCs w:val="22"/>
              </w:rPr>
              <w:t>0.000</w:t>
            </w:r>
          </w:p>
        </w:tc>
        <w:tc>
          <w:tcPr>
            <w:tcW w:w="709" w:type="pct"/>
            <w:shd w:val="clear" w:color="auto" w:fill="auto"/>
            <w:vAlign w:val="bottom"/>
          </w:tcPr>
          <w:p w:rsidR="00EC2BCF" w:rsidRPr="00040FFF" w:rsidRDefault="00EC2BCF" w:rsidP="00EC2BCF">
            <w:pPr>
              <w:widowControl w:val="0"/>
              <w:jc w:val="center"/>
              <w:rPr>
                <w:rFonts w:cs="Arial"/>
                <w:szCs w:val="20"/>
              </w:rPr>
            </w:pPr>
            <w:r w:rsidRPr="00040FFF">
              <w:rPr>
                <w:rFonts w:cs="Arial"/>
                <w:szCs w:val="20"/>
              </w:rPr>
              <w:t>3</w:t>
            </w:r>
          </w:p>
        </w:tc>
      </w:tr>
      <w:tr w:rsidR="00EC2BCF" w:rsidRPr="00040FFF" w:rsidTr="00EC2BCF">
        <w:tc>
          <w:tcPr>
            <w:tcW w:w="4291" w:type="pct"/>
            <w:shd w:val="clear" w:color="auto" w:fill="auto"/>
          </w:tcPr>
          <w:p w:rsidR="00EC2BCF" w:rsidRDefault="00EC2BCF" w:rsidP="00EC2BCF">
            <w:r w:rsidRPr="00E82691">
              <w:rPr>
                <w:rFonts w:cs="Arial"/>
                <w:color w:val="000000"/>
                <w:szCs w:val="22"/>
              </w:rPr>
              <w:t>od 5</w:t>
            </w:r>
            <w:r>
              <w:rPr>
                <w:rFonts w:cs="Arial"/>
                <w:color w:val="000000"/>
                <w:szCs w:val="22"/>
              </w:rPr>
              <w:t>0</w:t>
            </w:r>
            <w:r w:rsidRPr="00E82691">
              <w:rPr>
                <w:rFonts w:cs="Arial"/>
                <w:color w:val="000000"/>
                <w:szCs w:val="22"/>
              </w:rPr>
              <w:t>.001 – 20</w:t>
            </w:r>
            <w:r>
              <w:rPr>
                <w:rFonts w:cs="Arial"/>
                <w:color w:val="000000"/>
                <w:szCs w:val="22"/>
              </w:rPr>
              <w:t>0</w:t>
            </w:r>
            <w:r w:rsidRPr="00E82691">
              <w:rPr>
                <w:rFonts w:cs="Arial"/>
                <w:color w:val="000000"/>
                <w:szCs w:val="22"/>
              </w:rPr>
              <w:t>.000</w:t>
            </w:r>
          </w:p>
        </w:tc>
        <w:tc>
          <w:tcPr>
            <w:tcW w:w="709" w:type="pct"/>
            <w:shd w:val="clear" w:color="auto" w:fill="auto"/>
            <w:vAlign w:val="bottom"/>
          </w:tcPr>
          <w:p w:rsidR="00EC2BCF" w:rsidRPr="00040FFF" w:rsidRDefault="00EC2BCF" w:rsidP="00EC2BCF">
            <w:pPr>
              <w:widowControl w:val="0"/>
              <w:jc w:val="center"/>
              <w:rPr>
                <w:rFonts w:cs="Arial"/>
                <w:szCs w:val="20"/>
              </w:rPr>
            </w:pPr>
            <w:r w:rsidRPr="00040FFF">
              <w:rPr>
                <w:rFonts w:cs="Arial"/>
                <w:szCs w:val="20"/>
              </w:rPr>
              <w:t>4</w:t>
            </w:r>
          </w:p>
        </w:tc>
      </w:tr>
      <w:tr w:rsidR="00EC2BCF" w:rsidRPr="00040FFF" w:rsidTr="00EC2BCF">
        <w:tc>
          <w:tcPr>
            <w:tcW w:w="4291" w:type="pct"/>
            <w:shd w:val="clear" w:color="auto" w:fill="auto"/>
          </w:tcPr>
          <w:p w:rsidR="00EC2BCF" w:rsidRDefault="00EC2BCF" w:rsidP="00EC2BCF">
            <w:r>
              <w:rPr>
                <w:rFonts w:cs="Arial"/>
                <w:color w:val="000000"/>
                <w:szCs w:val="22"/>
              </w:rPr>
              <w:t>nad</w:t>
            </w:r>
            <w:r w:rsidRPr="00E82691">
              <w:rPr>
                <w:rFonts w:cs="Arial"/>
                <w:color w:val="000000"/>
                <w:szCs w:val="22"/>
              </w:rPr>
              <w:t xml:space="preserve"> 2</w:t>
            </w:r>
            <w:r>
              <w:rPr>
                <w:rFonts w:cs="Arial"/>
                <w:color w:val="000000"/>
                <w:szCs w:val="22"/>
              </w:rPr>
              <w:t>0</w:t>
            </w:r>
            <w:r w:rsidRPr="00E82691">
              <w:rPr>
                <w:rFonts w:cs="Arial"/>
                <w:color w:val="000000"/>
                <w:szCs w:val="22"/>
              </w:rPr>
              <w:t>0.00</w:t>
            </w:r>
            <w:r>
              <w:rPr>
                <w:rFonts w:cs="Arial"/>
                <w:color w:val="000000"/>
                <w:szCs w:val="22"/>
              </w:rPr>
              <w:t>1</w:t>
            </w:r>
          </w:p>
        </w:tc>
        <w:tc>
          <w:tcPr>
            <w:tcW w:w="709" w:type="pct"/>
            <w:shd w:val="clear" w:color="auto" w:fill="auto"/>
            <w:vAlign w:val="bottom"/>
          </w:tcPr>
          <w:p w:rsidR="00EC2BCF" w:rsidRPr="00040FFF" w:rsidRDefault="00EC2BCF" w:rsidP="00EC2BCF">
            <w:pPr>
              <w:widowControl w:val="0"/>
              <w:jc w:val="center"/>
              <w:rPr>
                <w:rFonts w:cs="Arial"/>
                <w:szCs w:val="20"/>
              </w:rPr>
            </w:pPr>
            <w:r w:rsidRPr="00040FFF">
              <w:rPr>
                <w:rFonts w:cs="Arial"/>
                <w:szCs w:val="20"/>
              </w:rPr>
              <w:t>5</w:t>
            </w:r>
          </w:p>
        </w:tc>
      </w:tr>
    </w:tbl>
    <w:p w:rsidR="00EC2BCF" w:rsidRDefault="00EC2BCF" w:rsidP="00F95059">
      <w:pPr>
        <w:rPr>
          <w:rFonts w:cs="Arial"/>
          <w:szCs w:val="20"/>
        </w:rPr>
      </w:pPr>
    </w:p>
    <w:p w:rsidR="00EC2BCF" w:rsidRPr="0076168B" w:rsidRDefault="00EC2BCF" w:rsidP="00F95059">
      <w:pPr>
        <w:rPr>
          <w:rFonts w:cs="Arial"/>
          <w:szCs w:val="20"/>
        </w:rPr>
      </w:pPr>
    </w:p>
    <w:p w:rsidR="00F95059" w:rsidRPr="0076168B" w:rsidRDefault="00F95059" w:rsidP="00F95059">
      <w:pPr>
        <w:rPr>
          <w:rFonts w:cs="Arial"/>
          <w:szCs w:val="20"/>
        </w:rPr>
      </w:pPr>
      <w:r>
        <w:rPr>
          <w:rFonts w:cs="Arial"/>
          <w:i/>
          <w:szCs w:val="20"/>
        </w:rPr>
        <w:t>b</w:t>
      </w:r>
      <w:r w:rsidRPr="0076168B">
        <w:rPr>
          <w:rFonts w:cs="Arial"/>
          <w:i/>
          <w:szCs w:val="20"/>
        </w:rPr>
        <w:t>) Tipi končnih prejemnikov sredstev</w:t>
      </w:r>
      <w:r w:rsidRPr="0076168B">
        <w:rPr>
          <w:rFonts w:cs="Arial"/>
          <w:szCs w:val="20"/>
        </w:rPr>
        <w:t xml:space="preserve"> (ministrstva in organi v sestavi ministrstev; organizacije, ki izvajajo projekte na nepridobiten način)</w:t>
      </w:r>
    </w:p>
    <w:p w:rsidR="00F95059" w:rsidRPr="0076168B" w:rsidRDefault="00F95059" w:rsidP="00F95059">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5"/>
        <w:gridCol w:w="1285"/>
      </w:tblGrid>
      <w:tr w:rsidR="00F95059" w:rsidRPr="00040FFF" w:rsidTr="00EC2BCF">
        <w:tc>
          <w:tcPr>
            <w:tcW w:w="4291" w:type="pct"/>
            <w:shd w:val="clear" w:color="auto" w:fill="F3F3F3"/>
          </w:tcPr>
          <w:p w:rsidR="00F95059" w:rsidRPr="00040FFF" w:rsidRDefault="00F95059" w:rsidP="00EC2BCF">
            <w:pPr>
              <w:widowControl w:val="0"/>
              <w:rPr>
                <w:rFonts w:cs="Arial"/>
                <w:b/>
                <w:szCs w:val="20"/>
              </w:rPr>
            </w:pPr>
            <w:r w:rsidRPr="00040FFF">
              <w:rPr>
                <w:rFonts w:cs="Arial"/>
                <w:b/>
                <w:szCs w:val="20"/>
              </w:rPr>
              <w:t>Končni prejemniki sredstev</w:t>
            </w:r>
          </w:p>
        </w:tc>
        <w:tc>
          <w:tcPr>
            <w:tcW w:w="709" w:type="pct"/>
            <w:shd w:val="clear" w:color="auto" w:fill="F3F3F3"/>
          </w:tcPr>
          <w:p w:rsidR="00F95059" w:rsidRPr="00040FFF" w:rsidRDefault="00F95059" w:rsidP="00EC2BCF">
            <w:pPr>
              <w:widowControl w:val="0"/>
              <w:jc w:val="center"/>
              <w:rPr>
                <w:rFonts w:cs="Arial"/>
                <w:b/>
                <w:szCs w:val="20"/>
              </w:rPr>
            </w:pPr>
            <w:r w:rsidRPr="00040FFF">
              <w:rPr>
                <w:rFonts w:cs="Arial"/>
                <w:b/>
                <w:szCs w:val="20"/>
              </w:rPr>
              <w:t>Točke</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Ministrstva in organi v sestavi ministrstva</w:t>
            </w:r>
            <w:r>
              <w:rPr>
                <w:rFonts w:cs="Arial"/>
                <w:szCs w:val="20"/>
              </w:rPr>
              <w:t xml:space="preserve">, ki v obdobju 2007-2013 </w:t>
            </w:r>
            <w:r w:rsidRPr="007C2291">
              <w:rPr>
                <w:rFonts w:cs="Arial"/>
                <w:b/>
                <w:szCs w:val="20"/>
              </w:rPr>
              <w:t>so bili</w:t>
            </w:r>
            <w:r>
              <w:rPr>
                <w:rFonts w:cs="Arial"/>
                <w:szCs w:val="20"/>
              </w:rPr>
              <w:t xml:space="preserve"> vključeni v sistem črpanja skladov</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1</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Ministrstva in organi v sestavi ministrstva</w:t>
            </w:r>
            <w:r>
              <w:rPr>
                <w:rFonts w:cs="Arial"/>
                <w:szCs w:val="20"/>
              </w:rPr>
              <w:t xml:space="preserve">, ki v obdobju 2007-2013 </w:t>
            </w:r>
            <w:r w:rsidRPr="007C2291">
              <w:rPr>
                <w:rFonts w:cs="Arial"/>
                <w:b/>
                <w:szCs w:val="20"/>
              </w:rPr>
              <w:t>niso bili</w:t>
            </w:r>
            <w:r>
              <w:rPr>
                <w:rFonts w:cs="Arial"/>
                <w:szCs w:val="20"/>
              </w:rPr>
              <w:t xml:space="preserve"> vključeni v sistem črpanja skladov</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3</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Organizacije, ki izvajajo projekte na nepridobiten način</w:t>
            </w:r>
            <w:r>
              <w:rPr>
                <w:rFonts w:cs="Arial"/>
                <w:szCs w:val="20"/>
              </w:rPr>
              <w:t xml:space="preserve"> in </w:t>
            </w:r>
            <w:r w:rsidRPr="00AB1547">
              <w:rPr>
                <w:rFonts w:cs="Arial"/>
                <w:b/>
                <w:szCs w:val="20"/>
              </w:rPr>
              <w:t>so bile</w:t>
            </w:r>
            <w:r>
              <w:rPr>
                <w:rFonts w:cs="Arial"/>
                <w:szCs w:val="20"/>
              </w:rPr>
              <w:t xml:space="preserve"> v obdobju 2007-2013 vključene v sistem črpanja skladov</w:t>
            </w:r>
          </w:p>
        </w:tc>
        <w:tc>
          <w:tcPr>
            <w:tcW w:w="709" w:type="pct"/>
            <w:shd w:val="clear" w:color="auto" w:fill="auto"/>
            <w:vAlign w:val="center"/>
          </w:tcPr>
          <w:p w:rsidR="00F95059" w:rsidRPr="00040FFF" w:rsidRDefault="00F95059" w:rsidP="00EC2BCF">
            <w:pPr>
              <w:widowControl w:val="0"/>
              <w:jc w:val="center"/>
              <w:rPr>
                <w:rFonts w:cs="Arial"/>
                <w:szCs w:val="20"/>
              </w:rPr>
            </w:pPr>
            <w:r>
              <w:rPr>
                <w:rFonts w:cs="Arial"/>
                <w:szCs w:val="20"/>
              </w:rPr>
              <w:t>3</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Organizacije, ki izvajajo projekte na nepridobiten način</w:t>
            </w:r>
            <w:r>
              <w:rPr>
                <w:rFonts w:cs="Arial"/>
                <w:szCs w:val="20"/>
              </w:rPr>
              <w:t xml:space="preserve"> in v obdobju 2007-2013 </w:t>
            </w:r>
            <w:r w:rsidRPr="007C2291">
              <w:rPr>
                <w:rFonts w:cs="Arial"/>
                <w:b/>
                <w:szCs w:val="20"/>
              </w:rPr>
              <w:t>niso bil</w:t>
            </w:r>
            <w:r>
              <w:rPr>
                <w:rFonts w:cs="Arial"/>
                <w:b/>
                <w:szCs w:val="20"/>
              </w:rPr>
              <w:t>e</w:t>
            </w:r>
            <w:r>
              <w:rPr>
                <w:rFonts w:cs="Arial"/>
                <w:szCs w:val="20"/>
              </w:rPr>
              <w:t xml:space="preserve"> vključene v sistem črpanja skladov</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5</w:t>
            </w:r>
          </w:p>
        </w:tc>
      </w:tr>
    </w:tbl>
    <w:p w:rsidR="00F95059" w:rsidRPr="0076168B" w:rsidRDefault="00F95059" w:rsidP="00F95059">
      <w:pPr>
        <w:rPr>
          <w:rFonts w:cs="Arial"/>
          <w:szCs w:val="20"/>
        </w:rPr>
      </w:pPr>
    </w:p>
    <w:p w:rsidR="00F95059" w:rsidRPr="0076168B" w:rsidRDefault="00F95059" w:rsidP="00F95059">
      <w:pPr>
        <w:rPr>
          <w:rFonts w:cs="Arial"/>
          <w:szCs w:val="20"/>
        </w:rPr>
      </w:pPr>
      <w:r w:rsidRPr="0076168B">
        <w:rPr>
          <w:rFonts w:cs="Arial"/>
          <w:szCs w:val="20"/>
        </w:rPr>
        <w:t>Glede na potek izvajanja projektov se ocene spreminjajo in dopolnjujejo.</w:t>
      </w:r>
    </w:p>
    <w:p w:rsidR="00F95059" w:rsidRDefault="00F95059" w:rsidP="00F95059">
      <w:pPr>
        <w:rPr>
          <w:rFonts w:cs="Arial"/>
          <w:szCs w:val="20"/>
        </w:rPr>
      </w:pPr>
    </w:p>
    <w:p w:rsidR="00F95059" w:rsidRPr="0076168B" w:rsidRDefault="00F95059" w:rsidP="00F95059">
      <w:pPr>
        <w:rPr>
          <w:rFonts w:cs="Arial"/>
          <w:szCs w:val="20"/>
        </w:rPr>
      </w:pPr>
      <w:r>
        <w:rPr>
          <w:rFonts w:cs="Arial"/>
          <w:i/>
          <w:szCs w:val="20"/>
        </w:rPr>
        <w:t>c</w:t>
      </w:r>
      <w:r w:rsidRPr="0076168B">
        <w:rPr>
          <w:rFonts w:cs="Arial"/>
          <w:i/>
          <w:szCs w:val="20"/>
        </w:rPr>
        <w:t>) Zanesljivost oz. zadostnost sistema notranjih kontrol</w:t>
      </w:r>
      <w:r w:rsidRPr="0076168B">
        <w:rPr>
          <w:rFonts w:cs="Arial"/>
          <w:szCs w:val="20"/>
        </w:rPr>
        <w:t xml:space="preserve"> (iz kontrol prejetih zahtevkov, že izvedenih </w:t>
      </w:r>
      <w:r w:rsidR="00016FB9">
        <w:rPr>
          <w:rFonts w:cs="Arial"/>
          <w:szCs w:val="20"/>
        </w:rPr>
        <w:t>kontrol</w:t>
      </w:r>
      <w:r w:rsidR="00016FB9" w:rsidRPr="0076168B">
        <w:rPr>
          <w:rFonts w:cs="Arial"/>
          <w:szCs w:val="20"/>
        </w:rPr>
        <w:t xml:space="preserve"> </w:t>
      </w:r>
      <w:r w:rsidRPr="0076168B">
        <w:rPr>
          <w:rFonts w:cs="Arial"/>
          <w:szCs w:val="20"/>
        </w:rPr>
        <w:t>na kraju samem, kontrol spremne dokumentacije zahtevkov za povračilo, revizij, itd.)</w:t>
      </w:r>
    </w:p>
    <w:p w:rsidR="00F95059" w:rsidRPr="0076168B" w:rsidRDefault="00F95059" w:rsidP="00F95059">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5"/>
        <w:gridCol w:w="1285"/>
      </w:tblGrid>
      <w:tr w:rsidR="00F95059" w:rsidRPr="00040FFF" w:rsidTr="00EC2BCF">
        <w:tc>
          <w:tcPr>
            <w:tcW w:w="4291" w:type="pct"/>
            <w:shd w:val="clear" w:color="auto" w:fill="F3F3F3"/>
          </w:tcPr>
          <w:p w:rsidR="00F95059" w:rsidRPr="00040FFF" w:rsidRDefault="00F95059" w:rsidP="00EC2BCF">
            <w:pPr>
              <w:widowControl w:val="0"/>
              <w:rPr>
                <w:rFonts w:cs="Arial"/>
                <w:b/>
                <w:szCs w:val="20"/>
              </w:rPr>
            </w:pPr>
            <w:r w:rsidRPr="00040FFF">
              <w:rPr>
                <w:rFonts w:cs="Arial"/>
                <w:b/>
                <w:szCs w:val="20"/>
              </w:rPr>
              <w:t>Sistem notranjih kontrol</w:t>
            </w:r>
          </w:p>
        </w:tc>
        <w:tc>
          <w:tcPr>
            <w:tcW w:w="709" w:type="pct"/>
            <w:shd w:val="clear" w:color="auto" w:fill="F3F3F3"/>
          </w:tcPr>
          <w:p w:rsidR="00F95059" w:rsidRPr="00040FFF" w:rsidRDefault="00F95059" w:rsidP="00EC2BCF">
            <w:pPr>
              <w:widowControl w:val="0"/>
              <w:jc w:val="center"/>
              <w:rPr>
                <w:rFonts w:cs="Arial"/>
                <w:b/>
                <w:szCs w:val="20"/>
              </w:rPr>
            </w:pPr>
            <w:r w:rsidRPr="00040FFF">
              <w:rPr>
                <w:rFonts w:cs="Arial"/>
                <w:b/>
                <w:szCs w:val="20"/>
              </w:rPr>
              <w:t>Točke</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Ugotovitve so bile nepomembne </w:t>
            </w:r>
          </w:p>
          <w:p w:rsidR="00F95059" w:rsidRPr="00040FFF" w:rsidRDefault="00F95059" w:rsidP="00EC2BCF">
            <w:pPr>
              <w:widowControl w:val="0"/>
              <w:rPr>
                <w:rFonts w:cs="Arial"/>
                <w:szCs w:val="20"/>
              </w:rPr>
            </w:pPr>
            <w:r w:rsidRPr="00040FFF">
              <w:rPr>
                <w:rFonts w:cs="Arial"/>
                <w:szCs w:val="20"/>
              </w:rPr>
              <w:t>(notranje kontrole so vzpostavljene in delujejo dobro, potrebne so manj pomembne izboljšave)</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1</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Ugotovitve so bile manj pomembne </w:t>
            </w:r>
          </w:p>
          <w:p w:rsidR="00F95059" w:rsidRPr="00040FFF" w:rsidRDefault="00F95059" w:rsidP="00EC2BCF">
            <w:pPr>
              <w:widowControl w:val="0"/>
              <w:rPr>
                <w:rFonts w:cs="Arial"/>
                <w:szCs w:val="20"/>
              </w:rPr>
            </w:pPr>
            <w:r w:rsidRPr="00040FFF">
              <w:rPr>
                <w:rFonts w:cs="Arial"/>
                <w:szCs w:val="20"/>
              </w:rPr>
              <w:t>(notranje kontrole so vzpostavljene in delujejo, vendar so potrebne izboljšave)</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2</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Ugotovitve so bile srednje pomembne </w:t>
            </w:r>
          </w:p>
          <w:p w:rsidR="00F95059" w:rsidRPr="00040FFF" w:rsidRDefault="00F95059" w:rsidP="00EC2BCF">
            <w:pPr>
              <w:widowControl w:val="0"/>
              <w:rPr>
                <w:rFonts w:cs="Arial"/>
                <w:szCs w:val="20"/>
              </w:rPr>
            </w:pPr>
            <w:r w:rsidRPr="00040FFF">
              <w:rPr>
                <w:rFonts w:cs="Arial"/>
                <w:szCs w:val="20"/>
              </w:rPr>
              <w:t>(notranje kontrole so vzpostavljene in delno delujejo, potrebne so pomembne izboljšave, vendar obstajajo nadomestne kontrole)</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3</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Ugotovitve so bile pomembne </w:t>
            </w:r>
          </w:p>
          <w:p w:rsidR="00F95059" w:rsidRPr="00040FFF" w:rsidRDefault="00F95059" w:rsidP="00EC2BCF">
            <w:pPr>
              <w:widowControl w:val="0"/>
              <w:rPr>
                <w:rFonts w:cs="Arial"/>
                <w:szCs w:val="20"/>
              </w:rPr>
            </w:pPr>
            <w:r w:rsidRPr="00040FFF">
              <w:rPr>
                <w:rFonts w:cs="Arial"/>
                <w:szCs w:val="20"/>
              </w:rPr>
              <w:t>(notranje kontrole so vzpostavljene in delno delujejo, potrebne so pomembne izboljšave)</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4</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sidRPr="00040FFF">
              <w:rPr>
                <w:rFonts w:cs="Arial"/>
                <w:szCs w:val="20"/>
              </w:rPr>
              <w:t xml:space="preserve">Ugotovitve so bile zelo pomembne </w:t>
            </w:r>
          </w:p>
          <w:p w:rsidR="00F95059" w:rsidRPr="00040FFF" w:rsidRDefault="00F95059" w:rsidP="00EC2BCF">
            <w:pPr>
              <w:widowControl w:val="0"/>
              <w:rPr>
                <w:rFonts w:cs="Arial"/>
                <w:szCs w:val="20"/>
              </w:rPr>
            </w:pPr>
            <w:r w:rsidRPr="00040FFF">
              <w:rPr>
                <w:rFonts w:cs="Arial"/>
                <w:szCs w:val="20"/>
              </w:rPr>
              <w:t>(notranje kontrole niso vzpostavljene in/ali v glavnem ne delujejo)</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5</w:t>
            </w:r>
          </w:p>
        </w:tc>
      </w:tr>
    </w:tbl>
    <w:p w:rsidR="00F95059" w:rsidRPr="0076168B" w:rsidRDefault="00F95059" w:rsidP="00F95059">
      <w:pPr>
        <w:rPr>
          <w:rFonts w:cs="Arial"/>
          <w:szCs w:val="20"/>
        </w:rPr>
      </w:pPr>
    </w:p>
    <w:p w:rsidR="00F95059" w:rsidRDefault="00F95059" w:rsidP="00F95059">
      <w:pPr>
        <w:rPr>
          <w:rFonts w:cs="Arial"/>
          <w:szCs w:val="20"/>
        </w:rPr>
      </w:pPr>
      <w:r w:rsidRPr="0076168B">
        <w:rPr>
          <w:rFonts w:cs="Arial"/>
          <w:szCs w:val="20"/>
        </w:rPr>
        <w:t>Podatke za ta dejavnik tveganja se med drugim pridobi tudi iz registra ugotovljenih nepravilnosti odgovornega organa in drugi</w:t>
      </w:r>
      <w:r>
        <w:rPr>
          <w:rFonts w:cs="Arial"/>
          <w:szCs w:val="20"/>
        </w:rPr>
        <w:t>h evidenc odgovornega organa.</w:t>
      </w:r>
    </w:p>
    <w:p w:rsidR="00F95059" w:rsidRPr="0076168B" w:rsidRDefault="00F95059" w:rsidP="00F95059">
      <w:pPr>
        <w:rPr>
          <w:rFonts w:cs="Arial"/>
          <w:szCs w:val="20"/>
        </w:rPr>
      </w:pPr>
    </w:p>
    <w:p w:rsidR="00F95059" w:rsidRPr="0076168B" w:rsidRDefault="00F95059" w:rsidP="00F95059">
      <w:pPr>
        <w:rPr>
          <w:rFonts w:cs="Arial"/>
          <w:szCs w:val="20"/>
        </w:rPr>
      </w:pPr>
      <w:r>
        <w:rPr>
          <w:rFonts w:cs="Arial"/>
          <w:i/>
          <w:szCs w:val="20"/>
        </w:rPr>
        <w:t>d)</w:t>
      </w:r>
      <w:r w:rsidRPr="0076168B">
        <w:rPr>
          <w:rFonts w:cs="Arial"/>
          <w:i/>
          <w:szCs w:val="20"/>
        </w:rPr>
        <w:t xml:space="preserve"> Čas, ki je potekel od zadnje </w:t>
      </w:r>
      <w:r w:rsidR="00016FB9">
        <w:rPr>
          <w:rFonts w:cs="Arial"/>
          <w:i/>
          <w:szCs w:val="20"/>
        </w:rPr>
        <w:t xml:space="preserve">kontrole </w:t>
      </w:r>
      <w:r w:rsidRPr="0076168B">
        <w:rPr>
          <w:rFonts w:cs="Arial"/>
          <w:i/>
          <w:szCs w:val="20"/>
        </w:rPr>
        <w:t>na kraju samem</w:t>
      </w:r>
      <w:r w:rsidR="00782270">
        <w:rPr>
          <w:rFonts w:cs="Arial"/>
          <w:i/>
          <w:szCs w:val="20"/>
        </w:rPr>
        <w:t xml:space="preserve"> </w:t>
      </w:r>
      <w:r>
        <w:rPr>
          <w:rFonts w:cs="Arial"/>
          <w:i/>
          <w:szCs w:val="20"/>
        </w:rPr>
        <w:t>(finančnega oziroma operativnega)</w:t>
      </w:r>
      <w:r w:rsidRPr="0076168B" w:rsidDel="008967DE">
        <w:rPr>
          <w:rFonts w:cs="Arial"/>
          <w:i/>
          <w:szCs w:val="20"/>
        </w:rPr>
        <w:t xml:space="preserve"> </w:t>
      </w:r>
      <w:r w:rsidRPr="0076168B">
        <w:rPr>
          <w:rFonts w:cs="Arial"/>
          <w:i/>
          <w:szCs w:val="20"/>
        </w:rPr>
        <w:t>oz. revizije</w:t>
      </w:r>
      <w:r w:rsidRPr="0076168B">
        <w:rPr>
          <w:rFonts w:cs="Arial"/>
          <w:szCs w:val="20"/>
        </w:rPr>
        <w:t xml:space="preserve"> (glede na pr</w:t>
      </w:r>
      <w:r>
        <w:rPr>
          <w:rFonts w:cs="Arial"/>
          <w:szCs w:val="20"/>
        </w:rPr>
        <w:t>ojekte, ki so vključeni v akcijski načrt</w:t>
      </w:r>
      <w:r w:rsidR="008B37BD">
        <w:rPr>
          <w:rFonts w:cs="Arial"/>
          <w:szCs w:val="20"/>
        </w:rPr>
        <w:t>)</w:t>
      </w:r>
    </w:p>
    <w:p w:rsidR="00F95059" w:rsidRPr="0076168B" w:rsidRDefault="00F95059" w:rsidP="00F95059">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5"/>
        <w:gridCol w:w="1285"/>
      </w:tblGrid>
      <w:tr w:rsidR="00F95059" w:rsidRPr="00040FFF" w:rsidTr="00EC2BCF">
        <w:tc>
          <w:tcPr>
            <w:tcW w:w="4291" w:type="pct"/>
            <w:shd w:val="clear" w:color="auto" w:fill="F3F3F3"/>
          </w:tcPr>
          <w:p w:rsidR="00F95059" w:rsidRPr="00040FFF" w:rsidRDefault="00F95059" w:rsidP="00EC2BCF">
            <w:pPr>
              <w:widowControl w:val="0"/>
              <w:rPr>
                <w:rFonts w:cs="Arial"/>
                <w:szCs w:val="20"/>
              </w:rPr>
            </w:pPr>
          </w:p>
        </w:tc>
        <w:tc>
          <w:tcPr>
            <w:tcW w:w="709" w:type="pct"/>
            <w:shd w:val="clear" w:color="auto" w:fill="F3F3F3"/>
          </w:tcPr>
          <w:p w:rsidR="00F95059" w:rsidRPr="00040FFF" w:rsidRDefault="00F95059" w:rsidP="00EC2BCF">
            <w:pPr>
              <w:widowControl w:val="0"/>
              <w:jc w:val="center"/>
              <w:rPr>
                <w:rFonts w:cs="Arial"/>
                <w:szCs w:val="20"/>
              </w:rPr>
            </w:pPr>
            <w:r w:rsidRPr="00040FFF">
              <w:rPr>
                <w:rFonts w:cs="Arial"/>
                <w:szCs w:val="20"/>
              </w:rPr>
              <w:t>Točke</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Pr>
                <w:rFonts w:cs="Arial"/>
                <w:szCs w:val="20"/>
              </w:rPr>
              <w:t>Kontrola</w:t>
            </w:r>
            <w:r w:rsidRPr="00040FFF">
              <w:rPr>
                <w:rFonts w:cs="Arial"/>
                <w:szCs w:val="20"/>
              </w:rPr>
              <w:t xml:space="preserve"> na kraju samem/revizija je bila opravljena pred manj kot 1 letom</w:t>
            </w:r>
          </w:p>
        </w:tc>
        <w:tc>
          <w:tcPr>
            <w:tcW w:w="709" w:type="pct"/>
            <w:shd w:val="clear" w:color="auto" w:fill="auto"/>
            <w:vAlign w:val="center"/>
          </w:tcPr>
          <w:p w:rsidR="00F95059" w:rsidRPr="00040FFF" w:rsidRDefault="00F95059" w:rsidP="00EC2BCF">
            <w:pPr>
              <w:widowControl w:val="0"/>
              <w:jc w:val="center"/>
              <w:rPr>
                <w:rFonts w:cs="Arial"/>
                <w:szCs w:val="20"/>
              </w:rPr>
            </w:pPr>
            <w:r w:rsidRPr="00040FFF">
              <w:rPr>
                <w:rFonts w:cs="Arial"/>
                <w:szCs w:val="20"/>
              </w:rPr>
              <w:t>1</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Pr>
                <w:rFonts w:cs="Arial"/>
                <w:szCs w:val="20"/>
              </w:rPr>
              <w:t>Kontrola</w:t>
            </w:r>
            <w:r w:rsidRPr="00040FFF">
              <w:rPr>
                <w:rFonts w:cs="Arial"/>
                <w:szCs w:val="20"/>
              </w:rPr>
              <w:t xml:space="preserve"> na kraju samem/revizija je bila opravljena pred manj kot 2 letoma</w:t>
            </w:r>
          </w:p>
        </w:tc>
        <w:tc>
          <w:tcPr>
            <w:tcW w:w="709" w:type="pct"/>
            <w:shd w:val="clear" w:color="auto" w:fill="auto"/>
            <w:vAlign w:val="center"/>
          </w:tcPr>
          <w:p w:rsidR="00F95059" w:rsidRPr="00040FFF" w:rsidRDefault="00F95059" w:rsidP="00EC2BCF">
            <w:pPr>
              <w:widowControl w:val="0"/>
              <w:jc w:val="center"/>
              <w:rPr>
                <w:rFonts w:cs="Arial"/>
                <w:szCs w:val="20"/>
              </w:rPr>
            </w:pPr>
            <w:r>
              <w:rPr>
                <w:rFonts w:cs="Arial"/>
                <w:szCs w:val="20"/>
              </w:rPr>
              <w:t>3</w:t>
            </w:r>
          </w:p>
        </w:tc>
      </w:tr>
      <w:tr w:rsidR="00F95059" w:rsidRPr="00040FFF" w:rsidTr="00EC2BCF">
        <w:tc>
          <w:tcPr>
            <w:tcW w:w="4291" w:type="pct"/>
            <w:shd w:val="clear" w:color="auto" w:fill="auto"/>
          </w:tcPr>
          <w:p w:rsidR="00F95059" w:rsidRPr="00040FFF" w:rsidRDefault="00F95059" w:rsidP="00EC2BCF">
            <w:pPr>
              <w:widowControl w:val="0"/>
              <w:rPr>
                <w:rFonts w:cs="Arial"/>
                <w:szCs w:val="20"/>
              </w:rPr>
            </w:pPr>
            <w:r>
              <w:rPr>
                <w:rFonts w:cs="Arial"/>
                <w:szCs w:val="20"/>
              </w:rPr>
              <w:t>Kontrola</w:t>
            </w:r>
            <w:r w:rsidRPr="00040FFF">
              <w:rPr>
                <w:rFonts w:cs="Arial"/>
                <w:szCs w:val="20"/>
              </w:rPr>
              <w:t xml:space="preserve"> na kraju samem/revizija je bila opravljena pred manj kot 3 leti</w:t>
            </w:r>
            <w:r>
              <w:rPr>
                <w:rFonts w:cs="Arial"/>
                <w:szCs w:val="20"/>
              </w:rPr>
              <w:t xml:space="preserve"> oz. je še ni bilo</w:t>
            </w:r>
          </w:p>
        </w:tc>
        <w:tc>
          <w:tcPr>
            <w:tcW w:w="709" w:type="pct"/>
            <w:shd w:val="clear" w:color="auto" w:fill="auto"/>
            <w:vAlign w:val="center"/>
          </w:tcPr>
          <w:p w:rsidR="00F95059" w:rsidRPr="00040FFF" w:rsidRDefault="00F95059" w:rsidP="00EC2BCF">
            <w:pPr>
              <w:widowControl w:val="0"/>
              <w:jc w:val="center"/>
              <w:rPr>
                <w:rFonts w:cs="Arial"/>
                <w:szCs w:val="20"/>
              </w:rPr>
            </w:pPr>
            <w:r>
              <w:rPr>
                <w:rFonts w:cs="Arial"/>
                <w:szCs w:val="20"/>
              </w:rPr>
              <w:t>5</w:t>
            </w:r>
          </w:p>
        </w:tc>
      </w:tr>
    </w:tbl>
    <w:p w:rsidR="002D4C77" w:rsidRDefault="002D4C77" w:rsidP="00AC71C9">
      <w:pPr>
        <w:rPr>
          <w:rFonts w:cs="Arial"/>
          <w:b/>
          <w:szCs w:val="20"/>
        </w:rPr>
      </w:pPr>
    </w:p>
    <w:p w:rsidR="002D4C77" w:rsidRDefault="002D4C77" w:rsidP="002D4C77">
      <w:pPr>
        <w:pStyle w:val="Naslov2"/>
        <w:numPr>
          <w:ilvl w:val="1"/>
          <w:numId w:val="19"/>
        </w:numPr>
        <w:ind w:left="360"/>
        <w:jc w:val="both"/>
        <w:rPr>
          <w:sz w:val="22"/>
          <w:szCs w:val="22"/>
        </w:rPr>
      </w:pPr>
      <w:bookmarkStart w:id="11" w:name="_Toc457810289"/>
      <w:r>
        <w:rPr>
          <w:sz w:val="22"/>
          <w:szCs w:val="22"/>
        </w:rPr>
        <w:t>Izračun</w:t>
      </w:r>
      <w:r w:rsidRPr="002D4C77">
        <w:rPr>
          <w:sz w:val="22"/>
          <w:szCs w:val="22"/>
        </w:rPr>
        <w:t xml:space="preserve"> tveganja </w:t>
      </w:r>
      <w:r>
        <w:rPr>
          <w:sz w:val="22"/>
          <w:szCs w:val="22"/>
        </w:rPr>
        <w:t xml:space="preserve">in izdelava </w:t>
      </w:r>
      <w:r w:rsidR="000D3242">
        <w:rPr>
          <w:sz w:val="22"/>
          <w:szCs w:val="22"/>
        </w:rPr>
        <w:t xml:space="preserve">letnih </w:t>
      </w:r>
      <w:r>
        <w:rPr>
          <w:sz w:val="22"/>
          <w:szCs w:val="22"/>
        </w:rPr>
        <w:t xml:space="preserve">načrtov izvajanja operativnih in finančnih </w:t>
      </w:r>
      <w:r w:rsidR="00016FB9">
        <w:rPr>
          <w:sz w:val="22"/>
          <w:szCs w:val="22"/>
        </w:rPr>
        <w:t xml:space="preserve">kontrol </w:t>
      </w:r>
      <w:r>
        <w:rPr>
          <w:sz w:val="22"/>
          <w:szCs w:val="22"/>
        </w:rPr>
        <w:t>na kraju samem</w:t>
      </w:r>
      <w:bookmarkEnd w:id="11"/>
    </w:p>
    <w:p w:rsidR="002D4C77" w:rsidRDefault="002D4C77" w:rsidP="002D4C77">
      <w:pPr>
        <w:ind w:left="360"/>
        <w:rPr>
          <w:rFonts w:cs="Arial"/>
          <w:b/>
          <w:szCs w:val="20"/>
        </w:rPr>
      </w:pPr>
    </w:p>
    <w:p w:rsidR="00F95059" w:rsidRPr="00AD46CA" w:rsidRDefault="00F95059" w:rsidP="00F95059">
      <w:pPr>
        <w:ind w:left="360"/>
        <w:rPr>
          <w:rFonts w:cs="Arial"/>
          <w:b/>
          <w:szCs w:val="20"/>
        </w:rPr>
      </w:pPr>
    </w:p>
    <w:p w:rsidR="00F95059" w:rsidRPr="0076168B" w:rsidRDefault="00F95059" w:rsidP="00F95059">
      <w:pPr>
        <w:rPr>
          <w:rFonts w:cs="Arial"/>
          <w:szCs w:val="20"/>
        </w:rPr>
      </w:pPr>
      <w:r w:rsidRPr="0076168B">
        <w:rPr>
          <w:rFonts w:cs="Arial"/>
          <w:szCs w:val="20"/>
        </w:rPr>
        <w:t xml:space="preserve">Izračun tveganja za projekt znotraj posameznega </w:t>
      </w:r>
      <w:r>
        <w:rPr>
          <w:rFonts w:cs="Arial"/>
          <w:szCs w:val="20"/>
        </w:rPr>
        <w:t xml:space="preserve">akcijskega načrta </w:t>
      </w:r>
      <w:r w:rsidRPr="0076168B">
        <w:rPr>
          <w:rFonts w:cs="Arial"/>
          <w:szCs w:val="20"/>
        </w:rPr>
        <w:t>se izvede tako, da se sešteje vse točke po posameznih dejavnikih tveganja projekta. Seštevek se nato deli s številom uporabljenih dejavnikov tveganja. Na podlagi tega rezultata OO razvrsti projekte od tistega z najvišjim povprečjem tveganja na uporabljen dejavnik do tistega z najnižjim rezultatom tveganja na uporabljen dejavnik.</w:t>
      </w:r>
    </w:p>
    <w:p w:rsidR="00F95059" w:rsidRPr="0076168B" w:rsidRDefault="00F95059" w:rsidP="00F95059">
      <w:pPr>
        <w:rPr>
          <w:rFonts w:cs="Arial"/>
          <w:szCs w:val="20"/>
        </w:rPr>
      </w:pPr>
    </w:p>
    <w:p w:rsidR="002D4C77" w:rsidRPr="001A33D5" w:rsidRDefault="002D4C77" w:rsidP="002D4C77">
      <w:pPr>
        <w:rPr>
          <w:rFonts w:cs="Arial"/>
          <w:szCs w:val="22"/>
        </w:rPr>
      </w:pPr>
      <w:r w:rsidRPr="001A33D5">
        <w:rPr>
          <w:rFonts w:cs="Arial"/>
          <w:szCs w:val="22"/>
        </w:rPr>
        <w:t>Kontrole na kraju samem OO izvaja na podlagi načrta, ki ga pripravi na podlagi analize tveganja in naključnega izbora. 70 % projektov, ki so umeščeni v načrt, se določi na podlagi analize tveganja, 30 % projektov pa je izbranih naključno.</w:t>
      </w:r>
    </w:p>
    <w:p w:rsidR="002D4C77" w:rsidRDefault="002D4C77" w:rsidP="00F95059">
      <w:pPr>
        <w:rPr>
          <w:rFonts w:cs="Arial"/>
          <w:szCs w:val="20"/>
        </w:rPr>
      </w:pPr>
    </w:p>
    <w:p w:rsidR="00F95059" w:rsidRPr="00FC08DD" w:rsidRDefault="00F95059" w:rsidP="00F95059">
      <w:pPr>
        <w:rPr>
          <w:rFonts w:cs="Arial"/>
          <w:szCs w:val="20"/>
        </w:rPr>
      </w:pPr>
      <w:r w:rsidRPr="00FC08DD">
        <w:rPr>
          <w:rFonts w:cs="Arial"/>
          <w:szCs w:val="20"/>
        </w:rPr>
        <w:t xml:space="preserve">V </w:t>
      </w:r>
      <w:r w:rsidR="000D3242">
        <w:rPr>
          <w:rFonts w:cs="Arial"/>
          <w:szCs w:val="20"/>
        </w:rPr>
        <w:t xml:space="preserve">letni </w:t>
      </w:r>
      <w:r w:rsidRPr="00FC08DD">
        <w:rPr>
          <w:rFonts w:cs="Arial"/>
          <w:szCs w:val="20"/>
        </w:rPr>
        <w:t xml:space="preserve">načrt izvajanja operativnih </w:t>
      </w:r>
      <w:r w:rsidR="00E27AC6">
        <w:rPr>
          <w:rFonts w:cs="Arial"/>
          <w:szCs w:val="20"/>
        </w:rPr>
        <w:t xml:space="preserve">kontrol </w:t>
      </w:r>
      <w:r w:rsidRPr="00FC08DD">
        <w:rPr>
          <w:rFonts w:cs="Arial"/>
          <w:szCs w:val="20"/>
        </w:rPr>
        <w:t xml:space="preserve">na kraju samem OO uvrsti projekte  do vključno tistega, ki številčno (gledano od najbolj tveganega projekta navzdol) predstavljajo najmanj </w:t>
      </w:r>
      <w:r w:rsidR="002D4C77" w:rsidRPr="002D4C77">
        <w:rPr>
          <w:rFonts w:cs="Arial"/>
          <w:b/>
          <w:szCs w:val="20"/>
        </w:rPr>
        <w:t>14</w:t>
      </w:r>
      <w:r w:rsidR="00425D93">
        <w:rPr>
          <w:rFonts w:cs="Arial"/>
          <w:b/>
          <w:szCs w:val="20"/>
        </w:rPr>
        <w:t xml:space="preserve"> </w:t>
      </w:r>
      <w:r w:rsidRPr="00FC08DD">
        <w:rPr>
          <w:rFonts w:cs="Arial"/>
          <w:b/>
          <w:szCs w:val="20"/>
        </w:rPr>
        <w:t>% števila projektov</w:t>
      </w:r>
      <w:r w:rsidRPr="00FC08DD">
        <w:rPr>
          <w:rFonts w:cs="Arial"/>
          <w:szCs w:val="20"/>
        </w:rPr>
        <w:t xml:space="preserve"> </w:t>
      </w:r>
      <w:r w:rsidRPr="004F30A9">
        <w:rPr>
          <w:rFonts w:cs="Arial"/>
          <w:b/>
          <w:szCs w:val="20"/>
        </w:rPr>
        <w:t xml:space="preserve">v akcijskem načrtu, ki se v danem finančnem letu </w:t>
      </w:r>
      <w:r w:rsidRPr="00FC08DD">
        <w:rPr>
          <w:rFonts w:cs="Arial"/>
          <w:b/>
          <w:szCs w:val="20"/>
        </w:rPr>
        <w:t>izvajajo</w:t>
      </w:r>
      <w:r w:rsidR="004F30A9">
        <w:rPr>
          <w:rFonts w:cs="Arial"/>
          <w:b/>
          <w:szCs w:val="20"/>
        </w:rPr>
        <w:t xml:space="preserve"> in bodo vključeni v letne račune</w:t>
      </w:r>
      <w:r w:rsidR="002D4C77">
        <w:rPr>
          <w:rFonts w:cs="Arial"/>
          <w:b/>
          <w:szCs w:val="20"/>
        </w:rPr>
        <w:t xml:space="preserve">, </w:t>
      </w:r>
      <w:r w:rsidR="00425D93">
        <w:rPr>
          <w:rFonts w:cs="Arial"/>
          <w:b/>
          <w:szCs w:val="20"/>
        </w:rPr>
        <w:t xml:space="preserve">ostalih </w:t>
      </w:r>
      <w:r w:rsidR="002D4C77">
        <w:rPr>
          <w:rFonts w:cs="Arial"/>
          <w:b/>
          <w:szCs w:val="20"/>
        </w:rPr>
        <w:t>6</w:t>
      </w:r>
      <w:r w:rsidR="00425D93">
        <w:rPr>
          <w:rFonts w:cs="Arial"/>
          <w:b/>
          <w:szCs w:val="20"/>
        </w:rPr>
        <w:t xml:space="preserve"> </w:t>
      </w:r>
      <w:r w:rsidR="002D4C77">
        <w:rPr>
          <w:rFonts w:cs="Arial"/>
          <w:b/>
          <w:szCs w:val="20"/>
        </w:rPr>
        <w:t xml:space="preserve">% </w:t>
      </w:r>
      <w:r w:rsidR="002D4C77" w:rsidRPr="002D4C77">
        <w:rPr>
          <w:rFonts w:cs="Arial"/>
          <w:szCs w:val="20"/>
        </w:rPr>
        <w:t>pa je</w:t>
      </w:r>
      <w:r w:rsidR="002D4C77">
        <w:rPr>
          <w:rFonts w:cs="Arial"/>
          <w:szCs w:val="20"/>
        </w:rPr>
        <w:t xml:space="preserve"> izbranih naključno med projekti v akcijskem </w:t>
      </w:r>
      <w:r w:rsidR="000D3242">
        <w:rPr>
          <w:rFonts w:cs="Arial"/>
          <w:szCs w:val="20"/>
        </w:rPr>
        <w:t>načrtu, ki se v danem finančnem letu izvajajo.</w:t>
      </w:r>
    </w:p>
    <w:p w:rsidR="00F95059" w:rsidRDefault="00F95059" w:rsidP="00F95059">
      <w:pPr>
        <w:rPr>
          <w:rFonts w:cs="Arial"/>
          <w:szCs w:val="20"/>
        </w:rPr>
      </w:pPr>
    </w:p>
    <w:p w:rsidR="00F95059" w:rsidRDefault="00F95059" w:rsidP="00F95059">
      <w:pPr>
        <w:rPr>
          <w:rFonts w:cs="Arial"/>
          <w:szCs w:val="20"/>
        </w:rPr>
      </w:pPr>
      <w:r>
        <w:rPr>
          <w:rFonts w:cs="Arial"/>
          <w:szCs w:val="20"/>
        </w:rPr>
        <w:t xml:space="preserve">V </w:t>
      </w:r>
      <w:r w:rsidR="000D3242">
        <w:rPr>
          <w:rFonts w:cs="Arial"/>
          <w:szCs w:val="20"/>
        </w:rPr>
        <w:t xml:space="preserve">letni </w:t>
      </w:r>
      <w:r w:rsidRPr="0076168B">
        <w:rPr>
          <w:rFonts w:cs="Arial"/>
          <w:szCs w:val="20"/>
        </w:rPr>
        <w:t xml:space="preserve">načrt izvajanja </w:t>
      </w:r>
      <w:r>
        <w:rPr>
          <w:rFonts w:cs="Arial"/>
          <w:szCs w:val="20"/>
        </w:rPr>
        <w:t xml:space="preserve">finančnih </w:t>
      </w:r>
      <w:r w:rsidR="00A52B64">
        <w:rPr>
          <w:rFonts w:cs="Arial"/>
          <w:szCs w:val="20"/>
        </w:rPr>
        <w:t>kontrol</w:t>
      </w:r>
      <w:r w:rsidR="00A52B64" w:rsidRPr="0076168B">
        <w:rPr>
          <w:rFonts w:cs="Arial"/>
          <w:szCs w:val="20"/>
        </w:rPr>
        <w:t xml:space="preserve"> </w:t>
      </w:r>
      <w:r w:rsidRPr="0076168B">
        <w:rPr>
          <w:rFonts w:cs="Arial"/>
          <w:szCs w:val="20"/>
        </w:rPr>
        <w:t>na kraju samem za posamezn</w:t>
      </w:r>
      <w:r>
        <w:rPr>
          <w:rFonts w:cs="Arial"/>
          <w:szCs w:val="20"/>
        </w:rPr>
        <w:t>o finančno leto (</w:t>
      </w:r>
      <w:r w:rsidRPr="005A49B4">
        <w:rPr>
          <w:rFonts w:cs="Arial"/>
          <w:szCs w:val="20"/>
        </w:rPr>
        <w:t>od 16. oktobra leta n-1 do 15. oktobra leta n</w:t>
      </w:r>
      <w:r>
        <w:rPr>
          <w:rFonts w:cs="Arial"/>
          <w:szCs w:val="20"/>
        </w:rPr>
        <w:t xml:space="preserve">) </w:t>
      </w:r>
      <w:r w:rsidRPr="0076168B">
        <w:rPr>
          <w:rFonts w:cs="Arial"/>
          <w:szCs w:val="20"/>
        </w:rPr>
        <w:t xml:space="preserve">OO uvrsti </w:t>
      </w:r>
      <w:r w:rsidR="004F30A9">
        <w:rPr>
          <w:rFonts w:cs="Arial"/>
          <w:szCs w:val="20"/>
        </w:rPr>
        <w:t xml:space="preserve">projekte, </w:t>
      </w:r>
      <w:r w:rsidR="004F30A9" w:rsidRPr="004F30A9">
        <w:rPr>
          <w:rFonts w:cs="Arial"/>
          <w:szCs w:val="20"/>
        </w:rPr>
        <w:t xml:space="preserve">ki so </w:t>
      </w:r>
      <w:r w:rsidR="004F30A9">
        <w:rPr>
          <w:rFonts w:cs="Arial"/>
          <w:szCs w:val="20"/>
        </w:rPr>
        <w:t xml:space="preserve">zaključeni in vključeni v letne izračune </w:t>
      </w:r>
      <w:r w:rsidRPr="00AD46CA">
        <w:rPr>
          <w:rFonts w:cs="Arial"/>
          <w:b/>
          <w:szCs w:val="20"/>
        </w:rPr>
        <w:t>)</w:t>
      </w:r>
      <w:r>
        <w:rPr>
          <w:rFonts w:cs="Arial"/>
          <w:szCs w:val="20"/>
        </w:rPr>
        <w:t>,</w:t>
      </w:r>
      <w:r w:rsidRPr="0076168B">
        <w:rPr>
          <w:rFonts w:cs="Arial"/>
          <w:szCs w:val="20"/>
        </w:rPr>
        <w:t xml:space="preserve"> do vključno tistega, ki kumulativno (gledano od najbolj tveganega projekta navzdol) predstavljajo najmanj </w:t>
      </w:r>
      <w:r w:rsidR="004F30A9">
        <w:rPr>
          <w:rFonts w:cs="Arial"/>
          <w:b/>
          <w:szCs w:val="20"/>
        </w:rPr>
        <w:t>7</w:t>
      </w:r>
      <w:r w:rsidRPr="00FC08DD">
        <w:rPr>
          <w:rFonts w:cs="Arial"/>
          <w:b/>
          <w:szCs w:val="20"/>
        </w:rPr>
        <w:t xml:space="preserve"> % skupnih odobrenih sredstev posameznega </w:t>
      </w:r>
      <w:proofErr w:type="spellStart"/>
      <w:r w:rsidR="00F63F9A">
        <w:rPr>
          <w:rFonts w:cs="Arial"/>
          <w:b/>
          <w:szCs w:val="20"/>
        </w:rPr>
        <w:t>pod</w:t>
      </w:r>
      <w:r w:rsidRPr="00FC08DD">
        <w:rPr>
          <w:rFonts w:cs="Arial"/>
          <w:b/>
          <w:szCs w:val="20"/>
        </w:rPr>
        <w:t>sklada</w:t>
      </w:r>
      <w:proofErr w:type="spellEnd"/>
      <w:r>
        <w:rPr>
          <w:rFonts w:cs="Arial"/>
          <w:szCs w:val="20"/>
        </w:rPr>
        <w:t xml:space="preserve"> (AMIF</w:t>
      </w:r>
      <w:r w:rsidR="004F30A9">
        <w:rPr>
          <w:rFonts w:cs="Arial"/>
          <w:szCs w:val="20"/>
        </w:rPr>
        <w:t>,</w:t>
      </w:r>
      <w:r w:rsidR="00131B2F">
        <w:rPr>
          <w:rFonts w:cs="Arial"/>
          <w:szCs w:val="20"/>
        </w:rPr>
        <w:t xml:space="preserve"> </w:t>
      </w:r>
      <w:r>
        <w:rPr>
          <w:rFonts w:cs="Arial"/>
          <w:szCs w:val="20"/>
        </w:rPr>
        <w:lastRenderedPageBreak/>
        <w:t>ISF</w:t>
      </w:r>
      <w:r w:rsidR="004F30A9">
        <w:rPr>
          <w:rFonts w:cs="Arial"/>
          <w:szCs w:val="20"/>
        </w:rPr>
        <w:t>-B in ISF-P</w:t>
      </w:r>
      <w:r>
        <w:rPr>
          <w:rFonts w:cs="Arial"/>
          <w:szCs w:val="20"/>
        </w:rPr>
        <w:t>)</w:t>
      </w:r>
      <w:r w:rsidRPr="005A49B4">
        <w:rPr>
          <w:rFonts w:cs="Arial"/>
          <w:szCs w:val="20"/>
        </w:rPr>
        <w:t xml:space="preserve"> v tem letu glede na akcijski </w:t>
      </w:r>
      <w:proofErr w:type="spellStart"/>
      <w:r w:rsidRPr="005A49B4">
        <w:rPr>
          <w:rFonts w:cs="Arial"/>
          <w:szCs w:val="20"/>
        </w:rPr>
        <w:t>načrt</w:t>
      </w:r>
      <w:r w:rsidR="00F63F9A">
        <w:rPr>
          <w:rFonts w:cs="Arial"/>
          <w:szCs w:val="20"/>
        </w:rPr>
        <w:t>,ostale</w:t>
      </w:r>
      <w:proofErr w:type="spellEnd"/>
      <w:r w:rsidR="00F63F9A">
        <w:rPr>
          <w:rFonts w:cs="Arial"/>
          <w:szCs w:val="20"/>
        </w:rPr>
        <w:t xml:space="preserve"> 3% pa izbere naključno.</w:t>
      </w:r>
      <w:r>
        <w:rPr>
          <w:rFonts w:cs="Arial"/>
          <w:szCs w:val="20"/>
        </w:rPr>
        <w:t xml:space="preserve"> OO načrt izvajanja finančnih </w:t>
      </w:r>
      <w:r w:rsidR="000272B2">
        <w:rPr>
          <w:rFonts w:cs="Arial"/>
          <w:szCs w:val="20"/>
        </w:rPr>
        <w:t xml:space="preserve">kontrol </w:t>
      </w:r>
      <w:r>
        <w:rPr>
          <w:rFonts w:cs="Arial"/>
          <w:szCs w:val="20"/>
        </w:rPr>
        <w:t>na kraju samem pripravi v začetku leta n.</w:t>
      </w:r>
      <w:r w:rsidR="005113BC">
        <w:rPr>
          <w:rFonts w:cs="Arial"/>
          <w:szCs w:val="20"/>
        </w:rPr>
        <w:t xml:space="preserve"> </w:t>
      </w:r>
    </w:p>
    <w:p w:rsidR="00F95059" w:rsidRDefault="00F95059" w:rsidP="00F95059">
      <w:pPr>
        <w:rPr>
          <w:rFonts w:cs="Arial"/>
          <w:szCs w:val="20"/>
        </w:rPr>
      </w:pPr>
    </w:p>
    <w:p w:rsidR="00F95059" w:rsidRPr="0076168B" w:rsidRDefault="00F95059" w:rsidP="00F95059">
      <w:pPr>
        <w:rPr>
          <w:rFonts w:cs="Arial"/>
          <w:szCs w:val="20"/>
        </w:rPr>
      </w:pPr>
      <w:r w:rsidRPr="0076168B">
        <w:rPr>
          <w:rFonts w:cs="Arial"/>
          <w:szCs w:val="20"/>
        </w:rPr>
        <w:t xml:space="preserve">Kadar imata dva ali več projektov, ki sta mejna, enak skupen izračun tveganja, OO odloči, kateri projekt bo vključen v načrt </w:t>
      </w:r>
      <w:r w:rsidR="000272B2">
        <w:rPr>
          <w:rFonts w:cs="Arial"/>
          <w:szCs w:val="20"/>
        </w:rPr>
        <w:t>kontrol</w:t>
      </w:r>
      <w:r w:rsidR="000272B2" w:rsidRPr="0076168B">
        <w:rPr>
          <w:rFonts w:cs="Arial"/>
          <w:szCs w:val="20"/>
        </w:rPr>
        <w:t xml:space="preserve"> </w:t>
      </w:r>
      <w:r w:rsidRPr="0076168B">
        <w:rPr>
          <w:rFonts w:cs="Arial"/>
          <w:szCs w:val="20"/>
        </w:rPr>
        <w:t>na kraju samem.</w:t>
      </w:r>
    </w:p>
    <w:p w:rsidR="00F95059" w:rsidRPr="0076168B" w:rsidRDefault="00F95059" w:rsidP="00F95059">
      <w:pPr>
        <w:pStyle w:val="ZADEVA"/>
        <w:tabs>
          <w:tab w:val="clear" w:pos="1701"/>
          <w:tab w:val="left" w:pos="0"/>
        </w:tabs>
        <w:ind w:left="0" w:firstLine="0"/>
        <w:jc w:val="both"/>
        <w:rPr>
          <w:rFonts w:cs="Arial"/>
          <w:b w:val="0"/>
          <w:szCs w:val="22"/>
          <w:lang w:val="sl-SI"/>
        </w:rPr>
      </w:pPr>
    </w:p>
    <w:p w:rsidR="00F95059" w:rsidRPr="0076168B" w:rsidRDefault="00F95059" w:rsidP="00F95059">
      <w:pPr>
        <w:rPr>
          <w:rFonts w:cs="Arial"/>
          <w:szCs w:val="20"/>
        </w:rPr>
      </w:pPr>
      <w:r w:rsidRPr="0076168B">
        <w:rPr>
          <w:rFonts w:cs="Arial"/>
          <w:szCs w:val="20"/>
        </w:rPr>
        <w:t>Uporabljen model analize tveganj upošteva načeli minimizacije stroškov in časovne učinkovitosti ter hkrati zagotavlja ustrezno obvladovanje ključnih tveganj pri upravljanju in nadzoru skladov.</w:t>
      </w:r>
    </w:p>
    <w:p w:rsidR="00F95059" w:rsidRPr="00AC71C9" w:rsidRDefault="00F95059" w:rsidP="00AC71C9">
      <w:pPr>
        <w:rPr>
          <w:b/>
        </w:rPr>
      </w:pPr>
    </w:p>
    <w:p w:rsidR="00731223" w:rsidRPr="00731223" w:rsidRDefault="00731223" w:rsidP="00731223">
      <w:pPr>
        <w:pStyle w:val="Naslov1"/>
        <w:numPr>
          <w:ilvl w:val="0"/>
          <w:numId w:val="19"/>
        </w:numPr>
        <w:rPr>
          <w:sz w:val="22"/>
          <w:szCs w:val="22"/>
        </w:rPr>
      </w:pPr>
      <w:bookmarkStart w:id="12" w:name="_Toc457810290"/>
      <w:r w:rsidRPr="00731223">
        <w:rPr>
          <w:sz w:val="22"/>
          <w:szCs w:val="22"/>
        </w:rPr>
        <w:t>O</w:t>
      </w:r>
      <w:bookmarkEnd w:id="12"/>
      <w:r w:rsidR="005822F6">
        <w:rPr>
          <w:sz w:val="22"/>
          <w:szCs w:val="22"/>
        </w:rPr>
        <w:t>PREDELITEV POJMOV IN KRATIC</w:t>
      </w:r>
    </w:p>
    <w:p w:rsidR="00731223" w:rsidRPr="001A33D5" w:rsidRDefault="00731223" w:rsidP="00731223">
      <w:pPr>
        <w:rPr>
          <w:rFonts w:cs="Arial"/>
          <w:szCs w:val="22"/>
        </w:rPr>
      </w:pPr>
    </w:p>
    <w:p w:rsidR="00731223" w:rsidRPr="001A33D5" w:rsidRDefault="00731223" w:rsidP="00731223">
      <w:pPr>
        <w:rPr>
          <w:rFonts w:cs="Arial"/>
          <w:szCs w:val="22"/>
        </w:rPr>
      </w:pPr>
      <w:r w:rsidRPr="001A33D5">
        <w:rPr>
          <w:rFonts w:cs="Arial"/>
          <w:b/>
          <w:szCs w:val="22"/>
        </w:rPr>
        <w:t>Akcijski načrt</w:t>
      </w:r>
      <w:r w:rsidRPr="001A33D5">
        <w:rPr>
          <w:rFonts w:cs="Arial"/>
          <w:szCs w:val="22"/>
        </w:rPr>
        <w:t xml:space="preserve"> – Akcijski načrt za črpanje sredstev Sklada za azil, migracije in vključevanje ter Sklada za notranjo varnost</w:t>
      </w:r>
    </w:p>
    <w:p w:rsidR="00731223" w:rsidRPr="001A33D5" w:rsidRDefault="00731223" w:rsidP="00731223">
      <w:pPr>
        <w:rPr>
          <w:rFonts w:cs="Arial"/>
          <w:szCs w:val="22"/>
        </w:rPr>
      </w:pPr>
      <w:r w:rsidRPr="001A33D5">
        <w:rPr>
          <w:rFonts w:cs="Arial"/>
          <w:b/>
          <w:szCs w:val="22"/>
        </w:rPr>
        <w:t>AMIF</w:t>
      </w:r>
      <w:r w:rsidRPr="001A33D5">
        <w:rPr>
          <w:rFonts w:cs="Arial"/>
          <w:szCs w:val="22"/>
        </w:rPr>
        <w:t xml:space="preserve"> – Sklad za azil, migracije in vključevanje [</w:t>
      </w:r>
      <w:proofErr w:type="spellStart"/>
      <w:r w:rsidRPr="001A33D5">
        <w:rPr>
          <w:rFonts w:cs="Arial"/>
          <w:i/>
          <w:szCs w:val="22"/>
        </w:rPr>
        <w:t>Asylum</w:t>
      </w:r>
      <w:proofErr w:type="spellEnd"/>
      <w:r w:rsidRPr="001A33D5">
        <w:rPr>
          <w:rFonts w:cs="Arial"/>
          <w:i/>
          <w:szCs w:val="22"/>
        </w:rPr>
        <w:t xml:space="preserve">, </w:t>
      </w:r>
      <w:proofErr w:type="spellStart"/>
      <w:r w:rsidRPr="001A33D5">
        <w:rPr>
          <w:rFonts w:cs="Arial"/>
          <w:i/>
          <w:szCs w:val="22"/>
        </w:rPr>
        <w:t>migration</w:t>
      </w:r>
      <w:proofErr w:type="spellEnd"/>
      <w:r w:rsidRPr="001A33D5">
        <w:rPr>
          <w:rFonts w:cs="Arial"/>
          <w:i/>
          <w:szCs w:val="22"/>
        </w:rPr>
        <w:t xml:space="preserve"> </w:t>
      </w:r>
      <w:proofErr w:type="spellStart"/>
      <w:r w:rsidRPr="001A33D5">
        <w:rPr>
          <w:rFonts w:cs="Arial"/>
          <w:i/>
          <w:szCs w:val="22"/>
        </w:rPr>
        <w:t>and</w:t>
      </w:r>
      <w:proofErr w:type="spellEnd"/>
      <w:r w:rsidRPr="001A33D5">
        <w:rPr>
          <w:rFonts w:cs="Arial"/>
          <w:i/>
          <w:szCs w:val="22"/>
        </w:rPr>
        <w:t xml:space="preserve"> </w:t>
      </w:r>
      <w:proofErr w:type="spellStart"/>
      <w:r w:rsidRPr="001A33D5">
        <w:rPr>
          <w:rFonts w:cs="Arial"/>
          <w:i/>
          <w:szCs w:val="22"/>
        </w:rPr>
        <w:t>integration</w:t>
      </w:r>
      <w:proofErr w:type="spellEnd"/>
      <w:r w:rsidRPr="001A33D5">
        <w:rPr>
          <w:rFonts w:cs="Arial"/>
          <w:i/>
          <w:szCs w:val="22"/>
        </w:rPr>
        <w:t xml:space="preserve"> </w:t>
      </w:r>
      <w:proofErr w:type="spellStart"/>
      <w:r w:rsidRPr="001A33D5">
        <w:rPr>
          <w:rFonts w:cs="Arial"/>
          <w:i/>
          <w:szCs w:val="22"/>
        </w:rPr>
        <w:t>fund</w:t>
      </w:r>
      <w:proofErr w:type="spellEnd"/>
      <w:r w:rsidRPr="001A33D5">
        <w:rPr>
          <w:rFonts w:cs="Arial"/>
          <w:szCs w:val="22"/>
        </w:rPr>
        <w:t>]</w:t>
      </w:r>
    </w:p>
    <w:p w:rsidR="00731223" w:rsidRPr="001A33D5" w:rsidRDefault="00731223" w:rsidP="00731223">
      <w:pPr>
        <w:rPr>
          <w:rFonts w:cs="Arial"/>
          <w:szCs w:val="22"/>
        </w:rPr>
      </w:pPr>
      <w:r w:rsidRPr="001A33D5">
        <w:rPr>
          <w:rFonts w:cs="Arial"/>
          <w:b/>
          <w:szCs w:val="22"/>
        </w:rPr>
        <w:t>DAC</w:t>
      </w:r>
      <w:r w:rsidRPr="001A33D5">
        <w:rPr>
          <w:rFonts w:cs="Arial"/>
          <w:szCs w:val="22"/>
        </w:rPr>
        <w:t xml:space="preserve"> – Pooblaščeni organ za projekte, ki se izvajajo na podlagi javnih razpisov [</w:t>
      </w:r>
      <w:proofErr w:type="spellStart"/>
      <w:r w:rsidRPr="001A33D5">
        <w:rPr>
          <w:rFonts w:cs="Arial"/>
          <w:i/>
          <w:szCs w:val="22"/>
        </w:rPr>
        <w:t>Delegated</w:t>
      </w:r>
      <w:proofErr w:type="spellEnd"/>
      <w:r w:rsidRPr="001A33D5">
        <w:rPr>
          <w:rFonts w:cs="Arial"/>
          <w:i/>
          <w:szCs w:val="22"/>
        </w:rPr>
        <w:t xml:space="preserve"> </w:t>
      </w:r>
      <w:proofErr w:type="spellStart"/>
      <w:r w:rsidRPr="001A33D5">
        <w:rPr>
          <w:rFonts w:cs="Arial"/>
          <w:i/>
          <w:szCs w:val="22"/>
        </w:rPr>
        <w:t>authority</w:t>
      </w:r>
      <w:proofErr w:type="spellEnd"/>
      <w:r w:rsidRPr="001A33D5">
        <w:rPr>
          <w:rFonts w:cs="Arial"/>
          <w:i/>
          <w:szCs w:val="22"/>
        </w:rPr>
        <w:t xml:space="preserve"> – </w:t>
      </w:r>
      <w:proofErr w:type="spellStart"/>
      <w:r w:rsidRPr="001A33D5">
        <w:rPr>
          <w:rFonts w:cs="Arial"/>
          <w:i/>
          <w:szCs w:val="22"/>
        </w:rPr>
        <w:t>calls</w:t>
      </w:r>
      <w:proofErr w:type="spellEnd"/>
      <w:r w:rsidRPr="001A33D5">
        <w:rPr>
          <w:rFonts w:cs="Arial"/>
          <w:szCs w:val="22"/>
        </w:rPr>
        <w:t>]</w:t>
      </w:r>
    </w:p>
    <w:p w:rsidR="00731223" w:rsidRPr="001A33D5" w:rsidRDefault="00731223" w:rsidP="00731223">
      <w:pPr>
        <w:rPr>
          <w:rFonts w:cs="Arial"/>
          <w:szCs w:val="22"/>
        </w:rPr>
      </w:pPr>
      <w:r w:rsidRPr="001A33D5">
        <w:rPr>
          <w:rFonts w:cs="Arial"/>
          <w:b/>
          <w:szCs w:val="22"/>
        </w:rPr>
        <w:t>DAF</w:t>
      </w:r>
      <w:r w:rsidRPr="001A33D5">
        <w:rPr>
          <w:rFonts w:cs="Arial"/>
          <w:szCs w:val="22"/>
        </w:rPr>
        <w:t xml:space="preserve"> – Pooblaščeni organ za izvajanje finančnih transakcij med EU in nacionalnim proračunom [</w:t>
      </w:r>
      <w:proofErr w:type="spellStart"/>
      <w:r w:rsidRPr="001A33D5">
        <w:rPr>
          <w:rFonts w:cs="Arial"/>
          <w:i/>
          <w:szCs w:val="22"/>
        </w:rPr>
        <w:t>Delegated</w:t>
      </w:r>
      <w:proofErr w:type="spellEnd"/>
      <w:r w:rsidRPr="001A33D5">
        <w:rPr>
          <w:rFonts w:cs="Arial"/>
          <w:i/>
          <w:szCs w:val="22"/>
        </w:rPr>
        <w:t xml:space="preserve"> </w:t>
      </w:r>
      <w:proofErr w:type="spellStart"/>
      <w:r w:rsidRPr="001A33D5">
        <w:rPr>
          <w:rFonts w:cs="Arial"/>
          <w:i/>
          <w:szCs w:val="22"/>
        </w:rPr>
        <w:t>authority</w:t>
      </w:r>
      <w:proofErr w:type="spellEnd"/>
      <w:r w:rsidRPr="001A33D5">
        <w:rPr>
          <w:rFonts w:cs="Arial"/>
          <w:i/>
          <w:szCs w:val="22"/>
        </w:rPr>
        <w:t xml:space="preserve"> – </w:t>
      </w:r>
      <w:proofErr w:type="spellStart"/>
      <w:r w:rsidRPr="001A33D5">
        <w:rPr>
          <w:rFonts w:cs="Arial"/>
          <w:i/>
          <w:szCs w:val="22"/>
        </w:rPr>
        <w:t>funds</w:t>
      </w:r>
      <w:proofErr w:type="spellEnd"/>
      <w:r w:rsidRPr="001A33D5">
        <w:rPr>
          <w:rFonts w:cs="Arial"/>
          <w:szCs w:val="22"/>
        </w:rPr>
        <w:t>]</w:t>
      </w:r>
    </w:p>
    <w:p w:rsidR="00731223" w:rsidRPr="001A33D5" w:rsidRDefault="00731223" w:rsidP="00731223">
      <w:pPr>
        <w:rPr>
          <w:rFonts w:cs="Arial"/>
          <w:szCs w:val="22"/>
        </w:rPr>
      </w:pPr>
      <w:r w:rsidRPr="001A33D5">
        <w:rPr>
          <w:rFonts w:cs="Arial"/>
          <w:b/>
          <w:szCs w:val="22"/>
        </w:rPr>
        <w:t>EK</w:t>
      </w:r>
      <w:r w:rsidRPr="001A33D5">
        <w:rPr>
          <w:rFonts w:cs="Arial"/>
          <w:szCs w:val="22"/>
        </w:rPr>
        <w:t xml:space="preserve"> – Evropska komisija</w:t>
      </w:r>
    </w:p>
    <w:p w:rsidR="00731223" w:rsidRPr="001A33D5" w:rsidRDefault="00731223" w:rsidP="00731223">
      <w:pPr>
        <w:rPr>
          <w:rFonts w:cs="Arial"/>
          <w:szCs w:val="22"/>
        </w:rPr>
      </w:pPr>
      <w:r w:rsidRPr="001A33D5">
        <w:rPr>
          <w:rFonts w:cs="Arial"/>
          <w:b/>
          <w:szCs w:val="22"/>
        </w:rPr>
        <w:t>EU</w:t>
      </w:r>
      <w:r w:rsidRPr="001A33D5">
        <w:rPr>
          <w:rFonts w:cs="Arial"/>
          <w:szCs w:val="22"/>
        </w:rPr>
        <w:t xml:space="preserve"> – Evropska unija</w:t>
      </w:r>
    </w:p>
    <w:p w:rsidR="00731223" w:rsidRPr="001A33D5" w:rsidRDefault="00731223" w:rsidP="00731223">
      <w:pPr>
        <w:rPr>
          <w:rFonts w:cs="Arial"/>
          <w:szCs w:val="22"/>
        </w:rPr>
      </w:pPr>
      <w:r w:rsidRPr="001A33D5">
        <w:rPr>
          <w:rFonts w:cs="Arial"/>
          <w:b/>
          <w:szCs w:val="22"/>
        </w:rPr>
        <w:t>ISF</w:t>
      </w:r>
      <w:r w:rsidRPr="001A33D5">
        <w:rPr>
          <w:rFonts w:cs="Arial"/>
          <w:szCs w:val="22"/>
        </w:rPr>
        <w:t xml:space="preserve"> – Sklad za notranjo varnost [</w:t>
      </w:r>
      <w:proofErr w:type="spellStart"/>
      <w:r w:rsidRPr="001A33D5">
        <w:rPr>
          <w:rFonts w:cs="Arial"/>
          <w:i/>
          <w:szCs w:val="22"/>
        </w:rPr>
        <w:t>Internal</w:t>
      </w:r>
      <w:proofErr w:type="spellEnd"/>
      <w:r w:rsidRPr="001A33D5">
        <w:rPr>
          <w:rFonts w:cs="Arial"/>
          <w:i/>
          <w:szCs w:val="22"/>
        </w:rPr>
        <w:t xml:space="preserve"> </w:t>
      </w:r>
      <w:proofErr w:type="spellStart"/>
      <w:r w:rsidRPr="001A33D5">
        <w:rPr>
          <w:rFonts w:cs="Arial"/>
          <w:i/>
          <w:szCs w:val="22"/>
        </w:rPr>
        <w:t>security</w:t>
      </w:r>
      <w:proofErr w:type="spellEnd"/>
      <w:r w:rsidRPr="001A33D5">
        <w:rPr>
          <w:rFonts w:cs="Arial"/>
          <w:i/>
          <w:szCs w:val="22"/>
        </w:rPr>
        <w:t xml:space="preserve"> </w:t>
      </w:r>
      <w:proofErr w:type="spellStart"/>
      <w:r w:rsidRPr="001A33D5">
        <w:rPr>
          <w:rFonts w:cs="Arial"/>
          <w:i/>
          <w:szCs w:val="22"/>
        </w:rPr>
        <w:t>fund</w:t>
      </w:r>
      <w:proofErr w:type="spellEnd"/>
      <w:r w:rsidRPr="001A33D5">
        <w:rPr>
          <w:rFonts w:cs="Arial"/>
          <w:szCs w:val="22"/>
        </w:rPr>
        <w:t>]</w:t>
      </w:r>
    </w:p>
    <w:p w:rsidR="00731223" w:rsidRPr="001A33D5" w:rsidRDefault="00731223" w:rsidP="00731223">
      <w:pPr>
        <w:rPr>
          <w:rFonts w:cs="Arial"/>
          <w:szCs w:val="22"/>
        </w:rPr>
      </w:pPr>
      <w:r w:rsidRPr="001A33D5">
        <w:rPr>
          <w:rFonts w:cs="Arial"/>
          <w:b/>
          <w:szCs w:val="22"/>
        </w:rPr>
        <w:t>KU</w:t>
      </w:r>
      <w:r w:rsidRPr="001A33D5">
        <w:rPr>
          <w:rFonts w:cs="Arial"/>
          <w:szCs w:val="22"/>
        </w:rPr>
        <w:t xml:space="preserve"> – Končni upravičenec</w:t>
      </w:r>
    </w:p>
    <w:p w:rsidR="00731223" w:rsidRPr="001A33D5" w:rsidRDefault="00731223" w:rsidP="00731223">
      <w:pPr>
        <w:rPr>
          <w:rFonts w:cs="Arial"/>
          <w:szCs w:val="22"/>
        </w:rPr>
      </w:pPr>
      <w:r w:rsidRPr="001A33D5">
        <w:rPr>
          <w:rFonts w:cs="Arial"/>
          <w:b/>
          <w:szCs w:val="22"/>
        </w:rPr>
        <w:t>MCS</w:t>
      </w:r>
      <w:r w:rsidRPr="001A33D5">
        <w:rPr>
          <w:rFonts w:cs="Arial"/>
          <w:szCs w:val="22"/>
        </w:rPr>
        <w:t xml:space="preserve"> – Sistem upravljanja in nadzora [</w:t>
      </w:r>
      <w:r w:rsidRPr="001A33D5">
        <w:rPr>
          <w:rFonts w:cs="Arial"/>
          <w:i/>
          <w:szCs w:val="22"/>
        </w:rPr>
        <w:t xml:space="preserve">Management </w:t>
      </w:r>
      <w:proofErr w:type="spellStart"/>
      <w:r w:rsidRPr="001A33D5">
        <w:rPr>
          <w:rFonts w:cs="Arial"/>
          <w:i/>
          <w:szCs w:val="22"/>
        </w:rPr>
        <w:t>and</w:t>
      </w:r>
      <w:proofErr w:type="spellEnd"/>
      <w:r w:rsidRPr="001A33D5">
        <w:rPr>
          <w:rFonts w:cs="Arial"/>
          <w:i/>
          <w:szCs w:val="22"/>
        </w:rPr>
        <w:t xml:space="preserve"> </w:t>
      </w:r>
      <w:proofErr w:type="spellStart"/>
      <w:r w:rsidRPr="001A33D5">
        <w:rPr>
          <w:rFonts w:cs="Arial"/>
          <w:i/>
          <w:szCs w:val="22"/>
        </w:rPr>
        <w:t>control</w:t>
      </w:r>
      <w:proofErr w:type="spellEnd"/>
      <w:r w:rsidRPr="001A33D5">
        <w:rPr>
          <w:rFonts w:cs="Arial"/>
          <w:i/>
          <w:szCs w:val="22"/>
        </w:rPr>
        <w:t xml:space="preserve"> </w:t>
      </w:r>
      <w:proofErr w:type="spellStart"/>
      <w:r w:rsidRPr="001A33D5">
        <w:rPr>
          <w:rFonts w:cs="Arial"/>
          <w:i/>
          <w:szCs w:val="22"/>
        </w:rPr>
        <w:t>system</w:t>
      </w:r>
      <w:proofErr w:type="spellEnd"/>
      <w:r w:rsidRPr="001A33D5">
        <w:rPr>
          <w:rFonts w:cs="Arial"/>
          <w:szCs w:val="22"/>
        </w:rPr>
        <w:t>]</w:t>
      </w:r>
    </w:p>
    <w:p w:rsidR="00731223" w:rsidRPr="001A33D5" w:rsidRDefault="00731223" w:rsidP="00731223">
      <w:pPr>
        <w:rPr>
          <w:rFonts w:cs="Arial"/>
          <w:szCs w:val="22"/>
        </w:rPr>
      </w:pPr>
      <w:r w:rsidRPr="001A33D5">
        <w:rPr>
          <w:rFonts w:cs="Arial"/>
          <w:b/>
          <w:szCs w:val="22"/>
        </w:rPr>
        <w:t>MF</w:t>
      </w:r>
      <w:r w:rsidRPr="001A33D5">
        <w:rPr>
          <w:rFonts w:cs="Arial"/>
          <w:szCs w:val="22"/>
        </w:rPr>
        <w:t xml:space="preserve"> – Ministrstvo za finance</w:t>
      </w:r>
    </w:p>
    <w:p w:rsidR="00731223" w:rsidRPr="001A33D5" w:rsidRDefault="00731223" w:rsidP="00731223">
      <w:pPr>
        <w:rPr>
          <w:rFonts w:cs="Arial"/>
          <w:szCs w:val="22"/>
        </w:rPr>
      </w:pPr>
      <w:r w:rsidRPr="001A33D5">
        <w:rPr>
          <w:rFonts w:cs="Arial"/>
          <w:b/>
          <w:szCs w:val="22"/>
        </w:rPr>
        <w:t>UNP</w:t>
      </w:r>
      <w:r w:rsidRPr="001A33D5">
        <w:rPr>
          <w:rFonts w:cs="Arial"/>
          <w:szCs w:val="22"/>
        </w:rPr>
        <w:t xml:space="preserve"> –Urad Republike Slovenije za nadzor proračuna, Ministrstvo za finance</w:t>
      </w:r>
    </w:p>
    <w:p w:rsidR="00731223" w:rsidRPr="001A33D5" w:rsidRDefault="00731223" w:rsidP="00731223">
      <w:pPr>
        <w:rPr>
          <w:rFonts w:cs="Arial"/>
          <w:szCs w:val="22"/>
        </w:rPr>
      </w:pPr>
      <w:r w:rsidRPr="001A33D5">
        <w:rPr>
          <w:rFonts w:cs="Arial"/>
          <w:b/>
          <w:szCs w:val="22"/>
        </w:rPr>
        <w:t>MIGRA II</w:t>
      </w:r>
      <w:r w:rsidRPr="001A33D5">
        <w:rPr>
          <w:rFonts w:cs="Arial"/>
          <w:szCs w:val="22"/>
        </w:rPr>
        <w:t xml:space="preserve"> – Elektronski sistem za upravljanje skladov AMIF in ISF</w:t>
      </w:r>
    </w:p>
    <w:p w:rsidR="00731223" w:rsidRPr="001A33D5" w:rsidRDefault="00731223" w:rsidP="00731223">
      <w:pPr>
        <w:rPr>
          <w:rFonts w:cs="Arial"/>
        </w:rPr>
      </w:pPr>
      <w:r w:rsidRPr="001A33D5">
        <w:rPr>
          <w:rFonts w:cs="Arial"/>
          <w:b/>
          <w:szCs w:val="22"/>
        </w:rPr>
        <w:t>MJU</w:t>
      </w:r>
      <w:r w:rsidRPr="001A33D5">
        <w:rPr>
          <w:rFonts w:cs="Arial"/>
          <w:szCs w:val="22"/>
        </w:rPr>
        <w:t xml:space="preserve"> – Ministrstvo za javno upravo</w:t>
      </w:r>
    </w:p>
    <w:p w:rsidR="00731223" w:rsidRPr="001A33D5" w:rsidRDefault="00731223" w:rsidP="00731223">
      <w:pPr>
        <w:rPr>
          <w:rFonts w:cs="Arial"/>
          <w:szCs w:val="22"/>
        </w:rPr>
      </w:pPr>
      <w:r w:rsidRPr="001A33D5">
        <w:rPr>
          <w:rFonts w:cs="Arial"/>
          <w:b/>
          <w:szCs w:val="22"/>
        </w:rPr>
        <w:t>MNZ</w:t>
      </w:r>
      <w:r w:rsidRPr="001A33D5">
        <w:rPr>
          <w:rFonts w:cs="Arial"/>
          <w:szCs w:val="22"/>
        </w:rPr>
        <w:t xml:space="preserve"> – Ministrstvo za notranje zadeve</w:t>
      </w:r>
    </w:p>
    <w:p w:rsidR="00731223" w:rsidRPr="001A33D5" w:rsidRDefault="00731223" w:rsidP="00731223">
      <w:pPr>
        <w:rPr>
          <w:rFonts w:cs="Arial"/>
          <w:szCs w:val="22"/>
        </w:rPr>
      </w:pPr>
      <w:r w:rsidRPr="001A33D5">
        <w:rPr>
          <w:rFonts w:cs="Arial"/>
          <w:b/>
          <w:szCs w:val="22"/>
        </w:rPr>
        <w:t>MO</w:t>
      </w:r>
      <w:r w:rsidRPr="001A33D5">
        <w:rPr>
          <w:rFonts w:cs="Arial"/>
          <w:szCs w:val="22"/>
        </w:rPr>
        <w:t xml:space="preserve"> – Ministrstvo za obrambo</w:t>
      </w:r>
    </w:p>
    <w:p w:rsidR="00731223" w:rsidRPr="001A33D5" w:rsidRDefault="00731223" w:rsidP="00731223">
      <w:pPr>
        <w:rPr>
          <w:rFonts w:cs="Arial"/>
          <w:szCs w:val="22"/>
        </w:rPr>
      </w:pPr>
      <w:r w:rsidRPr="001A33D5">
        <w:rPr>
          <w:rFonts w:cs="Arial"/>
          <w:b/>
          <w:szCs w:val="22"/>
        </w:rPr>
        <w:t>MZZ</w:t>
      </w:r>
      <w:r w:rsidRPr="001A33D5">
        <w:rPr>
          <w:rFonts w:cs="Arial"/>
          <w:szCs w:val="22"/>
        </w:rPr>
        <w:t xml:space="preserve"> – Ministrstvo za zunanje zadeve</w:t>
      </w:r>
    </w:p>
    <w:p w:rsidR="00731223" w:rsidRPr="001A33D5" w:rsidRDefault="00731223" w:rsidP="00731223">
      <w:pPr>
        <w:rPr>
          <w:rFonts w:cs="Arial"/>
          <w:szCs w:val="22"/>
        </w:rPr>
      </w:pPr>
      <w:r w:rsidRPr="001A33D5">
        <w:rPr>
          <w:rFonts w:cs="Arial"/>
          <w:b/>
          <w:szCs w:val="22"/>
        </w:rPr>
        <w:t>Nacionalni program</w:t>
      </w:r>
      <w:r w:rsidRPr="001A33D5">
        <w:rPr>
          <w:rFonts w:cs="Arial"/>
          <w:szCs w:val="22"/>
        </w:rPr>
        <w:t xml:space="preserve"> – večletni nacionalni program Sklada za azil, migracije in vključevanje oz. Sklada za notranjo varnost</w:t>
      </w:r>
    </w:p>
    <w:p w:rsidR="00731223" w:rsidRPr="001A33D5" w:rsidRDefault="00731223" w:rsidP="00731223">
      <w:pPr>
        <w:rPr>
          <w:rFonts w:cs="Arial"/>
          <w:szCs w:val="22"/>
        </w:rPr>
      </w:pPr>
      <w:r w:rsidRPr="001A33D5">
        <w:rPr>
          <w:rFonts w:cs="Arial"/>
          <w:b/>
          <w:szCs w:val="22"/>
        </w:rPr>
        <w:t>NPS</w:t>
      </w:r>
      <w:r w:rsidRPr="001A33D5">
        <w:rPr>
          <w:rFonts w:cs="Arial"/>
          <w:szCs w:val="22"/>
        </w:rPr>
        <w:t xml:space="preserve"> – Nalog za prenos sredstev</w:t>
      </w:r>
    </w:p>
    <w:p w:rsidR="00731223" w:rsidRPr="001A33D5" w:rsidRDefault="00731223" w:rsidP="00731223">
      <w:pPr>
        <w:rPr>
          <w:rFonts w:cs="Arial"/>
          <w:szCs w:val="22"/>
        </w:rPr>
      </w:pPr>
      <w:r w:rsidRPr="001A33D5">
        <w:rPr>
          <w:rFonts w:cs="Arial"/>
          <w:b/>
          <w:szCs w:val="22"/>
        </w:rPr>
        <w:t>OO</w:t>
      </w:r>
      <w:r w:rsidRPr="001A33D5">
        <w:rPr>
          <w:rFonts w:cs="Arial"/>
          <w:szCs w:val="22"/>
        </w:rPr>
        <w:t xml:space="preserve"> – Odgovorni organ</w:t>
      </w:r>
    </w:p>
    <w:p w:rsidR="00731223" w:rsidRPr="001A33D5" w:rsidRDefault="00731223" w:rsidP="00731223">
      <w:pPr>
        <w:rPr>
          <w:rFonts w:cs="Arial"/>
          <w:szCs w:val="22"/>
        </w:rPr>
      </w:pPr>
      <w:r w:rsidRPr="001A33D5">
        <w:rPr>
          <w:rFonts w:cs="Arial"/>
          <w:b/>
          <w:szCs w:val="22"/>
        </w:rPr>
        <w:t>PESNVM</w:t>
      </w:r>
      <w:r w:rsidRPr="001A33D5">
        <w:rPr>
          <w:rFonts w:cs="Arial"/>
          <w:szCs w:val="22"/>
        </w:rPr>
        <w:t xml:space="preserve"> – Projektna enota za sklade notranje varnosti in migracije, Ministrstvo za notranje zadeve</w:t>
      </w:r>
    </w:p>
    <w:p w:rsidR="00731223" w:rsidRPr="001A33D5" w:rsidRDefault="00731223" w:rsidP="00731223">
      <w:pPr>
        <w:rPr>
          <w:rFonts w:cs="Arial"/>
          <w:szCs w:val="22"/>
        </w:rPr>
      </w:pPr>
      <w:r w:rsidRPr="001A33D5">
        <w:rPr>
          <w:rFonts w:cs="Arial"/>
          <w:b/>
          <w:szCs w:val="22"/>
        </w:rPr>
        <w:t>Pooblaščeni organ</w:t>
      </w:r>
      <w:r w:rsidRPr="001A33D5">
        <w:rPr>
          <w:rFonts w:cs="Arial"/>
          <w:szCs w:val="22"/>
        </w:rPr>
        <w:t xml:space="preserve"> – Oseba javnega prava ali organizacijska enota ministrstva, na katero odgovorni organ prenese določene naloge povezane z izvajanjem nacionalnih programov skladov</w:t>
      </w:r>
    </w:p>
    <w:p w:rsidR="00731223" w:rsidRPr="001A33D5" w:rsidRDefault="00731223" w:rsidP="00731223">
      <w:pPr>
        <w:rPr>
          <w:rFonts w:cs="Arial"/>
          <w:szCs w:val="22"/>
        </w:rPr>
      </w:pPr>
      <w:r w:rsidRPr="001A33D5">
        <w:rPr>
          <w:rFonts w:cs="Arial"/>
          <w:b/>
          <w:szCs w:val="22"/>
        </w:rPr>
        <w:t>Priročnik</w:t>
      </w:r>
      <w:r w:rsidRPr="001A33D5">
        <w:rPr>
          <w:rFonts w:cs="Arial"/>
          <w:szCs w:val="22"/>
        </w:rPr>
        <w:t xml:space="preserve"> – Priročnik za izvajanje Sklada za azil, migracije in vključevanje ter Sklada za notranjo varnost</w:t>
      </w:r>
    </w:p>
    <w:p w:rsidR="00731223" w:rsidRPr="001A33D5" w:rsidRDefault="00731223" w:rsidP="00731223">
      <w:pPr>
        <w:rPr>
          <w:rFonts w:cs="Arial"/>
          <w:szCs w:val="22"/>
        </w:rPr>
      </w:pPr>
      <w:r w:rsidRPr="001A33D5">
        <w:rPr>
          <w:rFonts w:cs="Arial"/>
          <w:b/>
          <w:szCs w:val="22"/>
        </w:rPr>
        <w:t>RO</w:t>
      </w:r>
      <w:r w:rsidRPr="001A33D5">
        <w:rPr>
          <w:rFonts w:cs="Arial"/>
          <w:szCs w:val="22"/>
        </w:rPr>
        <w:t xml:space="preserve"> – Revizijski organ</w:t>
      </w:r>
    </w:p>
    <w:p w:rsidR="00731223" w:rsidRPr="001A33D5" w:rsidRDefault="00731223" w:rsidP="00731223">
      <w:pPr>
        <w:rPr>
          <w:rFonts w:cs="Arial"/>
          <w:szCs w:val="22"/>
        </w:rPr>
      </w:pPr>
      <w:r w:rsidRPr="001A33D5">
        <w:rPr>
          <w:rFonts w:cs="Arial"/>
          <w:b/>
          <w:szCs w:val="22"/>
        </w:rPr>
        <w:t>Skladi</w:t>
      </w:r>
      <w:r w:rsidRPr="001A33D5">
        <w:rPr>
          <w:rFonts w:cs="Arial"/>
          <w:szCs w:val="22"/>
        </w:rPr>
        <w:t xml:space="preserve"> – Skladi EU na področju notranjih zadev</w:t>
      </w:r>
    </w:p>
    <w:p w:rsidR="00731223" w:rsidRPr="001A33D5" w:rsidRDefault="00731223" w:rsidP="00731223">
      <w:pPr>
        <w:rPr>
          <w:rFonts w:cs="Arial"/>
          <w:szCs w:val="22"/>
        </w:rPr>
      </w:pPr>
      <w:proofErr w:type="spellStart"/>
      <w:r w:rsidRPr="001A33D5">
        <w:rPr>
          <w:rFonts w:cs="Arial"/>
          <w:b/>
          <w:szCs w:val="22"/>
        </w:rPr>
        <w:t>ZzI</w:t>
      </w:r>
      <w:proofErr w:type="spellEnd"/>
      <w:r w:rsidRPr="001A33D5">
        <w:rPr>
          <w:rFonts w:cs="Arial"/>
          <w:szCs w:val="22"/>
        </w:rPr>
        <w:t xml:space="preserve"> – Zahtevek za izplačilo</w:t>
      </w:r>
    </w:p>
    <w:p w:rsidR="00731223" w:rsidRPr="001A33D5" w:rsidRDefault="00731223" w:rsidP="00731223">
      <w:pPr>
        <w:rPr>
          <w:rFonts w:cs="Arial"/>
          <w:szCs w:val="22"/>
        </w:rPr>
      </w:pPr>
      <w:proofErr w:type="spellStart"/>
      <w:r w:rsidRPr="001A33D5">
        <w:rPr>
          <w:rFonts w:cs="Arial"/>
          <w:b/>
          <w:szCs w:val="22"/>
        </w:rPr>
        <w:t>ZzP</w:t>
      </w:r>
      <w:proofErr w:type="spellEnd"/>
      <w:r w:rsidRPr="001A33D5">
        <w:rPr>
          <w:rFonts w:cs="Arial"/>
          <w:szCs w:val="22"/>
        </w:rPr>
        <w:t xml:space="preserve"> – Zahtevek za povračilo</w:t>
      </w:r>
    </w:p>
    <w:sectPr w:rsidR="00731223" w:rsidRPr="001A33D5" w:rsidSect="007D495D">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5D" w:rsidRDefault="007D495D">
      <w:r>
        <w:separator/>
      </w:r>
    </w:p>
  </w:endnote>
  <w:endnote w:type="continuationSeparator" w:id="0">
    <w:p w:rsidR="007D495D" w:rsidRDefault="007D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5D" w:rsidRDefault="007D495D" w:rsidP="00832A1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D495D" w:rsidRDefault="007D495D" w:rsidP="0012699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5D" w:rsidRDefault="007D495D" w:rsidP="00832A1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A4EF8">
      <w:rPr>
        <w:rStyle w:val="tevilkastrani"/>
        <w:noProof/>
      </w:rPr>
      <w:t>10</w:t>
    </w:r>
    <w:r>
      <w:rPr>
        <w:rStyle w:val="tevilkastrani"/>
      </w:rPr>
      <w:fldChar w:fldCharType="end"/>
    </w:r>
  </w:p>
  <w:p w:rsidR="007D495D" w:rsidRDefault="007D495D" w:rsidP="0012699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5D" w:rsidRDefault="007D495D">
      <w:r>
        <w:separator/>
      </w:r>
    </w:p>
  </w:footnote>
  <w:footnote w:type="continuationSeparator" w:id="0">
    <w:p w:rsidR="007D495D" w:rsidRDefault="007D495D">
      <w:r>
        <w:continuationSeparator/>
      </w:r>
    </w:p>
  </w:footnote>
  <w:footnote w:id="1">
    <w:p w:rsidR="007D495D" w:rsidRPr="000305F4" w:rsidRDefault="007D495D" w:rsidP="00584099">
      <w:pPr>
        <w:pStyle w:val="Sprotnaopomba-besedilo"/>
      </w:pPr>
      <w:r>
        <w:rPr>
          <w:rStyle w:val="Sprotnaopomba-sklic"/>
        </w:rPr>
        <w:footnoteRef/>
      </w:r>
      <w:r>
        <w:t xml:space="preserve"> </w:t>
      </w:r>
      <w:r w:rsidRPr="00741F9A">
        <w:t>Izdatki, za katere se od Komisije zahteva plačilo letne razlike vsako leto do 15. 2 leta N + 1 in ki so nastali v obdobju od 16. oktobra leta N-1 do 15. oktobra leta N.</w:t>
      </w:r>
    </w:p>
  </w:footnote>
  <w:footnote w:id="2">
    <w:p w:rsidR="007D495D" w:rsidRDefault="007D495D" w:rsidP="00584099">
      <w:pPr>
        <w:pStyle w:val="Sprotnaopomba-besedilo"/>
        <w:spacing w:before="0"/>
      </w:pPr>
      <w:r>
        <w:rPr>
          <w:rStyle w:val="Sprotnaopomba-sklic"/>
        </w:rPr>
        <w:footnoteRef/>
      </w:r>
      <w:r>
        <w:t xml:space="preserve"> </w:t>
      </w:r>
      <w:r w:rsidRPr="00741F9A">
        <w:rPr>
          <w:rFonts w:cs="Arial"/>
          <w:color w:val="000000"/>
          <w:sz w:val="16"/>
          <w:szCs w:val="16"/>
        </w:rPr>
        <w:t>Podpora skupni vizumski politiki</w:t>
      </w:r>
    </w:p>
  </w:footnote>
  <w:footnote w:id="3">
    <w:p w:rsidR="007D495D" w:rsidRDefault="007D495D" w:rsidP="00584099">
      <w:pPr>
        <w:pStyle w:val="Sprotnaopomba-besedilo"/>
        <w:spacing w:before="0"/>
      </w:pPr>
      <w:r>
        <w:rPr>
          <w:rStyle w:val="Sprotnaopomba-sklic"/>
        </w:rPr>
        <w:footnoteRef/>
      </w:r>
      <w:r>
        <w:t xml:space="preserve"> </w:t>
      </w:r>
      <w:r w:rsidRPr="00741F9A">
        <w:rPr>
          <w:rFonts w:cs="Arial"/>
          <w:color w:val="000000"/>
          <w:sz w:val="16"/>
          <w:szCs w:val="16"/>
        </w:rPr>
        <w:t>Operativna podpora</w:t>
      </w:r>
    </w:p>
  </w:footnote>
  <w:footnote w:id="4">
    <w:p w:rsidR="007D495D" w:rsidRDefault="007D495D" w:rsidP="00584099">
      <w:pPr>
        <w:pStyle w:val="Sprotnaopomba-besedilo"/>
        <w:spacing w:before="0"/>
      </w:pPr>
      <w:r>
        <w:rPr>
          <w:rStyle w:val="Sprotnaopomba-sklic"/>
        </w:rPr>
        <w:footnoteRef/>
      </w:r>
      <w:r>
        <w:t xml:space="preserve"> </w:t>
      </w:r>
      <w:r w:rsidRPr="00741F9A">
        <w:rPr>
          <w:rFonts w:cs="Arial"/>
          <w:color w:val="000000"/>
          <w:sz w:val="16"/>
          <w:szCs w:val="16"/>
        </w:rPr>
        <w:t>Preprečevanje in boj proti kriminalu</w:t>
      </w:r>
    </w:p>
  </w:footnote>
  <w:footnote w:id="5">
    <w:p w:rsidR="007D495D" w:rsidRDefault="007D495D" w:rsidP="00584099">
      <w:pPr>
        <w:pStyle w:val="Sprotnaopomba-besedilo"/>
        <w:spacing w:before="0"/>
      </w:pPr>
      <w:r>
        <w:rPr>
          <w:rStyle w:val="Sprotnaopomba-sklic"/>
        </w:rPr>
        <w:footnoteRef/>
      </w:r>
      <w:r>
        <w:t xml:space="preserve"> </w:t>
      </w:r>
      <w:r w:rsidRPr="00741F9A">
        <w:rPr>
          <w:rFonts w:cs="Arial"/>
          <w:color w:val="000000"/>
          <w:sz w:val="16"/>
          <w:szCs w:val="16"/>
        </w:rPr>
        <w:t>Tveganje in krize</w:t>
      </w:r>
    </w:p>
  </w:footnote>
  <w:footnote w:id="6">
    <w:p w:rsidR="007D495D" w:rsidRDefault="007D495D" w:rsidP="00584099">
      <w:pPr>
        <w:pStyle w:val="Sprotnaopomba-besedilo"/>
        <w:spacing w:before="0"/>
        <w:rPr>
          <w:rFonts w:cs="Arial"/>
          <w:color w:val="000000"/>
          <w:sz w:val="16"/>
          <w:szCs w:val="16"/>
        </w:rPr>
      </w:pPr>
      <w:r>
        <w:rPr>
          <w:rStyle w:val="Sprotnaopomba-sklic"/>
        </w:rPr>
        <w:footnoteRef/>
      </w:r>
      <w:r>
        <w:t xml:space="preserve"> </w:t>
      </w:r>
      <w:r w:rsidRPr="000D477B">
        <w:rPr>
          <w:rFonts w:cs="Arial"/>
          <w:color w:val="000000"/>
          <w:sz w:val="16"/>
          <w:szCs w:val="16"/>
        </w:rPr>
        <w:t xml:space="preserve">Tehnična </w:t>
      </w:r>
      <w:r w:rsidRPr="00243CF8">
        <w:rPr>
          <w:rFonts w:cs="Arial"/>
          <w:color w:val="000000"/>
          <w:sz w:val="16"/>
          <w:szCs w:val="16"/>
        </w:rPr>
        <w:t xml:space="preserve"> </w:t>
      </w:r>
      <w:r w:rsidRPr="000D477B">
        <w:rPr>
          <w:rFonts w:cs="Arial"/>
          <w:color w:val="000000"/>
          <w:sz w:val="16"/>
          <w:szCs w:val="16"/>
        </w:rPr>
        <w:t>po</w:t>
      </w:r>
      <w:r w:rsidRPr="00243CF8">
        <w:rPr>
          <w:rFonts w:cs="Arial"/>
          <w:color w:val="000000"/>
          <w:sz w:val="16"/>
          <w:szCs w:val="16"/>
        </w:rPr>
        <w:t>moč</w:t>
      </w:r>
    </w:p>
    <w:p w:rsidR="007D495D" w:rsidRDefault="007D495D" w:rsidP="00584099">
      <w:pPr>
        <w:pStyle w:val="Sprotnaopomba-besedilo"/>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0AA"/>
    <w:multiLevelType w:val="multilevel"/>
    <w:tmpl w:val="73367EE2"/>
    <w:lvl w:ilvl="0">
      <w:start w:val="1"/>
      <w:numFmt w:val="decimal"/>
      <w:lvlText w:val="%1."/>
      <w:lvlJc w:val="left"/>
      <w:pPr>
        <w:tabs>
          <w:tab w:val="num" w:pos="360"/>
        </w:tabs>
        <w:ind w:left="360" w:hanging="360"/>
      </w:pPr>
      <w:rPr>
        <w:i w:val="0"/>
      </w:rPr>
    </w:lvl>
    <w:lvl w:ilvl="1">
      <w:start w:val="1"/>
      <w:numFmt w:val="decimal"/>
      <w:lvlText w:val="%1.%2."/>
      <w:lvlJc w:val="left"/>
      <w:pPr>
        <w:tabs>
          <w:tab w:val="num" w:pos="-1188"/>
        </w:tabs>
        <w:ind w:left="-1188" w:hanging="432"/>
      </w:pPr>
    </w:lvl>
    <w:lvl w:ilvl="2">
      <w:start w:val="1"/>
      <w:numFmt w:val="decimal"/>
      <w:lvlText w:val="%1.%2.%3."/>
      <w:lvlJc w:val="left"/>
      <w:pPr>
        <w:tabs>
          <w:tab w:val="num" w:pos="-756"/>
        </w:tabs>
        <w:ind w:left="-756" w:hanging="504"/>
      </w:pPr>
    </w:lvl>
    <w:lvl w:ilvl="3">
      <w:start w:val="1"/>
      <w:numFmt w:val="decimal"/>
      <w:lvlText w:val="%1.%2.%3.%4."/>
      <w:lvlJc w:val="left"/>
      <w:pPr>
        <w:tabs>
          <w:tab w:val="num" w:pos="-252"/>
        </w:tabs>
        <w:ind w:left="-252" w:hanging="648"/>
      </w:pPr>
    </w:lvl>
    <w:lvl w:ilvl="4">
      <w:start w:val="1"/>
      <w:numFmt w:val="decimal"/>
      <w:lvlText w:val="%1.%2.%3.%4.%5."/>
      <w:lvlJc w:val="left"/>
      <w:pPr>
        <w:tabs>
          <w:tab w:val="num" w:pos="252"/>
        </w:tabs>
        <w:ind w:left="252" w:hanging="792"/>
      </w:pPr>
    </w:lvl>
    <w:lvl w:ilvl="5">
      <w:start w:val="1"/>
      <w:numFmt w:val="decimal"/>
      <w:lvlText w:val="%1.%2.%3.%4.%5.%6."/>
      <w:lvlJc w:val="left"/>
      <w:pPr>
        <w:tabs>
          <w:tab w:val="num" w:pos="900"/>
        </w:tabs>
        <w:ind w:left="756" w:hanging="936"/>
      </w:pPr>
    </w:lvl>
    <w:lvl w:ilvl="6">
      <w:start w:val="1"/>
      <w:numFmt w:val="decimal"/>
      <w:lvlText w:val="%1.%2.%3.%4.%5.%6.%7."/>
      <w:lvlJc w:val="left"/>
      <w:pPr>
        <w:tabs>
          <w:tab w:val="num" w:pos="1620"/>
        </w:tabs>
        <w:ind w:left="1260" w:hanging="1080"/>
      </w:pPr>
    </w:lvl>
    <w:lvl w:ilvl="7">
      <w:start w:val="1"/>
      <w:numFmt w:val="decimal"/>
      <w:lvlText w:val="%1.%2.%3.%4.%5.%6.%7.%8."/>
      <w:lvlJc w:val="left"/>
      <w:pPr>
        <w:tabs>
          <w:tab w:val="num" w:pos="1980"/>
        </w:tabs>
        <w:ind w:left="1764" w:hanging="1224"/>
      </w:pPr>
    </w:lvl>
    <w:lvl w:ilvl="8">
      <w:start w:val="1"/>
      <w:numFmt w:val="decimal"/>
      <w:lvlText w:val="%1.%2.%3.%4.%5.%6.%7.%8.%9."/>
      <w:lvlJc w:val="left"/>
      <w:pPr>
        <w:tabs>
          <w:tab w:val="num" w:pos="2340"/>
        </w:tabs>
        <w:ind w:left="2340" w:hanging="1440"/>
      </w:pPr>
    </w:lvl>
  </w:abstractNum>
  <w:abstractNum w:abstractNumId="1" w15:restartNumberingAfterBreak="0">
    <w:nsid w:val="05B63F51"/>
    <w:multiLevelType w:val="multilevel"/>
    <w:tmpl w:val="7898D50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rPr>
        <w:rFonts w:hint="default"/>
      </w:rPr>
    </w:lvl>
    <w:lvl w:ilvl="2">
      <w:start w:val="2"/>
      <w:numFmt w:val="none"/>
      <w:lvlText w:val="2.4.1."/>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061452F4"/>
    <w:multiLevelType w:val="hybridMultilevel"/>
    <w:tmpl w:val="D6E2325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063E4"/>
    <w:multiLevelType w:val="hybridMultilevel"/>
    <w:tmpl w:val="DD4653F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096C3D"/>
    <w:multiLevelType w:val="hybridMultilevel"/>
    <w:tmpl w:val="3CDC339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A598D"/>
    <w:multiLevelType w:val="hybridMultilevel"/>
    <w:tmpl w:val="92728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615EEA"/>
    <w:multiLevelType w:val="hybridMultilevel"/>
    <w:tmpl w:val="182CBCF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984F41"/>
    <w:multiLevelType w:val="hybridMultilevel"/>
    <w:tmpl w:val="85B4CFD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C161BA"/>
    <w:multiLevelType w:val="hybridMultilevel"/>
    <w:tmpl w:val="686C7740"/>
    <w:lvl w:ilvl="0" w:tplc="0424000F">
      <w:start w:val="1"/>
      <w:numFmt w:val="decimal"/>
      <w:lvlText w:val="%1."/>
      <w:lvlJc w:val="left"/>
      <w:pPr>
        <w:tabs>
          <w:tab w:val="num" w:pos="360"/>
        </w:tabs>
        <w:ind w:left="360" w:hanging="360"/>
      </w:pPr>
    </w:lvl>
    <w:lvl w:ilvl="1" w:tplc="280257DC">
      <w:start w:val="11"/>
      <w:numFmt w:val="bullet"/>
      <w:lvlText w:val="-"/>
      <w:lvlJc w:val="left"/>
      <w:pPr>
        <w:tabs>
          <w:tab w:val="num" w:pos="1083"/>
        </w:tabs>
        <w:ind w:left="1083" w:hanging="363"/>
      </w:pPr>
      <w:rPr>
        <w:rFonts w:ascii="Arial" w:eastAsia="Times New Roman" w:hAnsi="Aria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1CD13002"/>
    <w:multiLevelType w:val="hybridMultilevel"/>
    <w:tmpl w:val="026A1812"/>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B16761"/>
    <w:multiLevelType w:val="hybridMultilevel"/>
    <w:tmpl w:val="A63CFE4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70642E"/>
    <w:multiLevelType w:val="hybridMultilevel"/>
    <w:tmpl w:val="69E86FD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11547C"/>
    <w:multiLevelType w:val="hybridMultilevel"/>
    <w:tmpl w:val="470628A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7708EB"/>
    <w:multiLevelType w:val="hybridMultilevel"/>
    <w:tmpl w:val="E522FBF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07C46D1"/>
    <w:multiLevelType w:val="hybridMultilevel"/>
    <w:tmpl w:val="AD004B10"/>
    <w:lvl w:ilvl="0" w:tplc="04240001">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FB4EE9"/>
    <w:multiLevelType w:val="hybridMultilevel"/>
    <w:tmpl w:val="2012C64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F66646"/>
    <w:multiLevelType w:val="hybridMultilevel"/>
    <w:tmpl w:val="9732002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E6D34"/>
    <w:multiLevelType w:val="hybridMultilevel"/>
    <w:tmpl w:val="8B4ECE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76210A"/>
    <w:multiLevelType w:val="hybridMultilevel"/>
    <w:tmpl w:val="B4C806AA"/>
    <w:lvl w:ilvl="0" w:tplc="A672D714">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FF01C6A"/>
    <w:multiLevelType w:val="hybridMultilevel"/>
    <w:tmpl w:val="AA02C37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5676BF"/>
    <w:multiLevelType w:val="hybridMultilevel"/>
    <w:tmpl w:val="94D41A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9402E"/>
    <w:multiLevelType w:val="hybridMultilevel"/>
    <w:tmpl w:val="2C204F8A"/>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61342B"/>
    <w:multiLevelType w:val="hybridMultilevel"/>
    <w:tmpl w:val="816EC94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5E7263"/>
    <w:multiLevelType w:val="multilevel"/>
    <w:tmpl w:val="9B5A57A8"/>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792"/>
        </w:tabs>
        <w:ind w:left="792" w:hanging="432"/>
      </w:pPr>
      <w:rPr>
        <w:rFonts w:hint="default"/>
        <w:b/>
        <w:sz w:val="22"/>
        <w:szCs w:val="22"/>
      </w:rPr>
    </w:lvl>
    <w:lvl w:ilvl="2">
      <w:start w:val="2"/>
      <w:numFmt w:val="none"/>
      <w:lvlText w:val="2.4.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F234281"/>
    <w:multiLevelType w:val="multilevel"/>
    <w:tmpl w:val="9B5A57A8"/>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792"/>
        </w:tabs>
        <w:ind w:left="792" w:hanging="432"/>
      </w:pPr>
      <w:rPr>
        <w:rFonts w:hint="default"/>
        <w:b/>
        <w:sz w:val="22"/>
        <w:szCs w:val="22"/>
      </w:rPr>
    </w:lvl>
    <w:lvl w:ilvl="2">
      <w:start w:val="2"/>
      <w:numFmt w:val="none"/>
      <w:lvlText w:val="2.4.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C027A8"/>
    <w:multiLevelType w:val="multilevel"/>
    <w:tmpl w:val="9B5A57A8"/>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792"/>
        </w:tabs>
        <w:ind w:left="792" w:hanging="432"/>
      </w:pPr>
      <w:rPr>
        <w:rFonts w:hint="default"/>
        <w:b/>
        <w:sz w:val="22"/>
        <w:szCs w:val="22"/>
      </w:rPr>
    </w:lvl>
    <w:lvl w:ilvl="2">
      <w:start w:val="2"/>
      <w:numFmt w:val="none"/>
      <w:lvlText w:val="2.4.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5943406"/>
    <w:multiLevelType w:val="hybridMultilevel"/>
    <w:tmpl w:val="0A70A9C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EE13E8"/>
    <w:multiLevelType w:val="hybridMultilevel"/>
    <w:tmpl w:val="C67032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9733886"/>
    <w:multiLevelType w:val="hybridMultilevel"/>
    <w:tmpl w:val="558099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981BEA"/>
    <w:multiLevelType w:val="hybridMultilevel"/>
    <w:tmpl w:val="B0F8924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F81F3C"/>
    <w:multiLevelType w:val="hybridMultilevel"/>
    <w:tmpl w:val="2032A3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pStyle w:val="Natevanjepravnihpodlag"/>
      <w:lvlText w:val=""/>
      <w:lvlJc w:val="left"/>
      <w:pPr>
        <w:tabs>
          <w:tab w:val="num" w:pos="1476"/>
        </w:tabs>
        <w:ind w:left="1476" w:hanging="396"/>
      </w:pPr>
      <w:rPr>
        <w:rFonts w:ascii="Symbol" w:hAnsi="Symbol" w:hint="default"/>
      </w:rPr>
    </w:lvl>
    <w:lvl w:ilvl="2" w:tplc="FFFFFFFF">
      <w:start w:val="1"/>
      <w:numFmt w:val="bullet"/>
      <w:lvlText w:val=""/>
      <w:lvlJc w:val="left"/>
      <w:pPr>
        <w:tabs>
          <w:tab w:val="num" w:pos="2196"/>
        </w:tabs>
        <w:ind w:left="2196" w:hanging="396"/>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9234D8"/>
    <w:multiLevelType w:val="hybridMultilevel"/>
    <w:tmpl w:val="DD1283A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75DFF"/>
    <w:multiLevelType w:val="hybridMultilevel"/>
    <w:tmpl w:val="AA10CDA6"/>
    <w:lvl w:ilvl="0" w:tplc="0424000F">
      <w:start w:val="1"/>
      <w:numFmt w:val="decimal"/>
      <w:lvlText w:val="%1."/>
      <w:lvlJc w:val="left"/>
      <w:pPr>
        <w:tabs>
          <w:tab w:val="num" w:pos="720"/>
        </w:tabs>
        <w:ind w:left="720" w:hanging="360"/>
      </w:pPr>
      <w:rPr>
        <w:rFont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30"/>
  </w:num>
  <w:num w:numId="5">
    <w:abstractNumId w:val="22"/>
  </w:num>
  <w:num w:numId="6">
    <w:abstractNumId w:val="6"/>
  </w:num>
  <w:num w:numId="7">
    <w:abstractNumId w:val="11"/>
  </w:num>
  <w:num w:numId="8">
    <w:abstractNumId w:val="26"/>
  </w:num>
  <w:num w:numId="9">
    <w:abstractNumId w:val="15"/>
  </w:num>
  <w:num w:numId="10">
    <w:abstractNumId w:val="1"/>
  </w:num>
  <w:num w:numId="11">
    <w:abstractNumId w:val="4"/>
  </w:num>
  <w:num w:numId="12">
    <w:abstractNumId w:val="3"/>
  </w:num>
  <w:num w:numId="13">
    <w:abstractNumId w:val="12"/>
  </w:num>
  <w:num w:numId="14">
    <w:abstractNumId w:val="10"/>
  </w:num>
  <w:num w:numId="15">
    <w:abstractNumId w:val="28"/>
  </w:num>
  <w:num w:numId="16">
    <w:abstractNumId w:val="31"/>
  </w:num>
  <w:num w:numId="17">
    <w:abstractNumId w:val="0"/>
  </w:num>
  <w:num w:numId="18">
    <w:abstractNumId w:val="16"/>
  </w:num>
  <w:num w:numId="19">
    <w:abstractNumId w:val="23"/>
  </w:num>
  <w:num w:numId="20">
    <w:abstractNumId w:val="29"/>
  </w:num>
  <w:num w:numId="21">
    <w:abstractNumId w:val="20"/>
  </w:num>
  <w:num w:numId="22">
    <w:abstractNumId w:val="19"/>
  </w:num>
  <w:num w:numId="23">
    <w:abstractNumId w:val="18"/>
  </w:num>
  <w:num w:numId="24">
    <w:abstractNumId w:val="21"/>
  </w:num>
  <w:num w:numId="25">
    <w:abstractNumId w:val="13"/>
  </w:num>
  <w:num w:numId="26">
    <w:abstractNumId w:val="27"/>
  </w:num>
  <w:num w:numId="27">
    <w:abstractNumId w:val="5"/>
  </w:num>
  <w:num w:numId="28">
    <w:abstractNumId w:val="9"/>
  </w:num>
  <w:num w:numId="29">
    <w:abstractNumId w:val="25"/>
  </w:num>
  <w:num w:numId="30">
    <w:abstractNumId w:val="24"/>
  </w:num>
  <w:num w:numId="31">
    <w:abstractNumId w:val="17"/>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9B"/>
    <w:rsid w:val="000010AC"/>
    <w:rsid w:val="00002EF8"/>
    <w:rsid w:val="00003429"/>
    <w:rsid w:val="00005BC8"/>
    <w:rsid w:val="00013D19"/>
    <w:rsid w:val="000150B9"/>
    <w:rsid w:val="00016499"/>
    <w:rsid w:val="00016FB9"/>
    <w:rsid w:val="00017411"/>
    <w:rsid w:val="00017BE0"/>
    <w:rsid w:val="000249AB"/>
    <w:rsid w:val="00026CB5"/>
    <w:rsid w:val="000272B2"/>
    <w:rsid w:val="0003323A"/>
    <w:rsid w:val="00047032"/>
    <w:rsid w:val="000470D1"/>
    <w:rsid w:val="00052868"/>
    <w:rsid w:val="00057DE0"/>
    <w:rsid w:val="00066E65"/>
    <w:rsid w:val="00075A82"/>
    <w:rsid w:val="00076E97"/>
    <w:rsid w:val="00081873"/>
    <w:rsid w:val="00084DBA"/>
    <w:rsid w:val="0008553A"/>
    <w:rsid w:val="0008762B"/>
    <w:rsid w:val="000906E0"/>
    <w:rsid w:val="00094837"/>
    <w:rsid w:val="00095DBE"/>
    <w:rsid w:val="00097D1E"/>
    <w:rsid w:val="000B5E8D"/>
    <w:rsid w:val="000B610C"/>
    <w:rsid w:val="000C5AAF"/>
    <w:rsid w:val="000D2C30"/>
    <w:rsid w:val="000D3142"/>
    <w:rsid w:val="000D3242"/>
    <w:rsid w:val="000D459D"/>
    <w:rsid w:val="000D6E3B"/>
    <w:rsid w:val="000F7DEA"/>
    <w:rsid w:val="001021C5"/>
    <w:rsid w:val="00116190"/>
    <w:rsid w:val="00125D27"/>
    <w:rsid w:val="0012699D"/>
    <w:rsid w:val="001272A4"/>
    <w:rsid w:val="00131B2F"/>
    <w:rsid w:val="00140109"/>
    <w:rsid w:val="00143C9F"/>
    <w:rsid w:val="00145001"/>
    <w:rsid w:val="00154F73"/>
    <w:rsid w:val="001656DF"/>
    <w:rsid w:val="00170902"/>
    <w:rsid w:val="00174128"/>
    <w:rsid w:val="001955D4"/>
    <w:rsid w:val="00195FEF"/>
    <w:rsid w:val="001975A4"/>
    <w:rsid w:val="001A31E5"/>
    <w:rsid w:val="001A5117"/>
    <w:rsid w:val="001A74F9"/>
    <w:rsid w:val="001B2292"/>
    <w:rsid w:val="001C0A6D"/>
    <w:rsid w:val="001C2136"/>
    <w:rsid w:val="001D6608"/>
    <w:rsid w:val="001E0B5C"/>
    <w:rsid w:val="001E5276"/>
    <w:rsid w:val="001F14FD"/>
    <w:rsid w:val="001F68F3"/>
    <w:rsid w:val="00203A67"/>
    <w:rsid w:val="0021315D"/>
    <w:rsid w:val="00215476"/>
    <w:rsid w:val="00217773"/>
    <w:rsid w:val="00226375"/>
    <w:rsid w:val="002264D5"/>
    <w:rsid w:val="002365E3"/>
    <w:rsid w:val="0024707F"/>
    <w:rsid w:val="00251074"/>
    <w:rsid w:val="002512DD"/>
    <w:rsid w:val="00262B07"/>
    <w:rsid w:val="00264B1D"/>
    <w:rsid w:val="0027527E"/>
    <w:rsid w:val="00283D9C"/>
    <w:rsid w:val="002915A6"/>
    <w:rsid w:val="00292149"/>
    <w:rsid w:val="002951B8"/>
    <w:rsid w:val="00296A13"/>
    <w:rsid w:val="002A02E2"/>
    <w:rsid w:val="002B0219"/>
    <w:rsid w:val="002B4891"/>
    <w:rsid w:val="002B625F"/>
    <w:rsid w:val="002D081D"/>
    <w:rsid w:val="002D0844"/>
    <w:rsid w:val="002D4C77"/>
    <w:rsid w:val="002D6133"/>
    <w:rsid w:val="002E1257"/>
    <w:rsid w:val="002E2FC6"/>
    <w:rsid w:val="002E57F7"/>
    <w:rsid w:val="002E6FD6"/>
    <w:rsid w:val="002F29F7"/>
    <w:rsid w:val="00325A32"/>
    <w:rsid w:val="0032797E"/>
    <w:rsid w:val="00332EFD"/>
    <w:rsid w:val="00333619"/>
    <w:rsid w:val="003550D7"/>
    <w:rsid w:val="003612BF"/>
    <w:rsid w:val="00376AA2"/>
    <w:rsid w:val="00382565"/>
    <w:rsid w:val="00382599"/>
    <w:rsid w:val="0038262D"/>
    <w:rsid w:val="00383409"/>
    <w:rsid w:val="003869B8"/>
    <w:rsid w:val="00387823"/>
    <w:rsid w:val="003921E7"/>
    <w:rsid w:val="003944D7"/>
    <w:rsid w:val="00395540"/>
    <w:rsid w:val="003A0F37"/>
    <w:rsid w:val="003A357D"/>
    <w:rsid w:val="003A5169"/>
    <w:rsid w:val="003B2A0F"/>
    <w:rsid w:val="003B3117"/>
    <w:rsid w:val="003B3D42"/>
    <w:rsid w:val="003C36B8"/>
    <w:rsid w:val="003C4E62"/>
    <w:rsid w:val="003C7083"/>
    <w:rsid w:val="003D0303"/>
    <w:rsid w:val="003D1D89"/>
    <w:rsid w:val="003E27AE"/>
    <w:rsid w:val="003E37B5"/>
    <w:rsid w:val="003E6198"/>
    <w:rsid w:val="003F0083"/>
    <w:rsid w:val="003F02BF"/>
    <w:rsid w:val="003F2716"/>
    <w:rsid w:val="003F53BD"/>
    <w:rsid w:val="003F60C4"/>
    <w:rsid w:val="004009ED"/>
    <w:rsid w:val="00403325"/>
    <w:rsid w:val="004142B9"/>
    <w:rsid w:val="00415C10"/>
    <w:rsid w:val="00415DF8"/>
    <w:rsid w:val="00417C00"/>
    <w:rsid w:val="004226BF"/>
    <w:rsid w:val="00425D93"/>
    <w:rsid w:val="00432FED"/>
    <w:rsid w:val="00436325"/>
    <w:rsid w:val="0043660F"/>
    <w:rsid w:val="0044534B"/>
    <w:rsid w:val="00451ABB"/>
    <w:rsid w:val="00453666"/>
    <w:rsid w:val="00456379"/>
    <w:rsid w:val="00466ED7"/>
    <w:rsid w:val="00470ACE"/>
    <w:rsid w:val="00475C8A"/>
    <w:rsid w:val="00487E27"/>
    <w:rsid w:val="004912AC"/>
    <w:rsid w:val="0049131E"/>
    <w:rsid w:val="00497211"/>
    <w:rsid w:val="004A14F0"/>
    <w:rsid w:val="004A1FD8"/>
    <w:rsid w:val="004A2B69"/>
    <w:rsid w:val="004A51AE"/>
    <w:rsid w:val="004A58CA"/>
    <w:rsid w:val="004A734D"/>
    <w:rsid w:val="004B1821"/>
    <w:rsid w:val="004D5349"/>
    <w:rsid w:val="004E4180"/>
    <w:rsid w:val="004F0A0C"/>
    <w:rsid w:val="004F143A"/>
    <w:rsid w:val="004F30A9"/>
    <w:rsid w:val="00500104"/>
    <w:rsid w:val="005009DD"/>
    <w:rsid w:val="005010B9"/>
    <w:rsid w:val="0050199C"/>
    <w:rsid w:val="00503B8B"/>
    <w:rsid w:val="005058D0"/>
    <w:rsid w:val="00506ED8"/>
    <w:rsid w:val="005109EA"/>
    <w:rsid w:val="00510B0D"/>
    <w:rsid w:val="005113BC"/>
    <w:rsid w:val="00513A1E"/>
    <w:rsid w:val="0052301A"/>
    <w:rsid w:val="00523E34"/>
    <w:rsid w:val="00532ABF"/>
    <w:rsid w:val="00533461"/>
    <w:rsid w:val="00533A4A"/>
    <w:rsid w:val="0054402A"/>
    <w:rsid w:val="0054432D"/>
    <w:rsid w:val="00551A4C"/>
    <w:rsid w:val="00557AAB"/>
    <w:rsid w:val="0056538A"/>
    <w:rsid w:val="00571BE0"/>
    <w:rsid w:val="00574D6E"/>
    <w:rsid w:val="005821C0"/>
    <w:rsid w:val="005822F6"/>
    <w:rsid w:val="00583B6A"/>
    <w:rsid w:val="00584099"/>
    <w:rsid w:val="00584888"/>
    <w:rsid w:val="00594FD5"/>
    <w:rsid w:val="00596391"/>
    <w:rsid w:val="005976FD"/>
    <w:rsid w:val="005A5C27"/>
    <w:rsid w:val="005A79E9"/>
    <w:rsid w:val="005B1782"/>
    <w:rsid w:val="005B62E7"/>
    <w:rsid w:val="005C2031"/>
    <w:rsid w:val="005C6C61"/>
    <w:rsid w:val="005D0499"/>
    <w:rsid w:val="005D2A09"/>
    <w:rsid w:val="005E1DE8"/>
    <w:rsid w:val="005E632D"/>
    <w:rsid w:val="005E6C05"/>
    <w:rsid w:val="005E6FBB"/>
    <w:rsid w:val="005F086A"/>
    <w:rsid w:val="005F11B6"/>
    <w:rsid w:val="005F4A7E"/>
    <w:rsid w:val="005F52F4"/>
    <w:rsid w:val="006019C8"/>
    <w:rsid w:val="00613381"/>
    <w:rsid w:val="00614E67"/>
    <w:rsid w:val="006153AF"/>
    <w:rsid w:val="00617DE6"/>
    <w:rsid w:val="006234AB"/>
    <w:rsid w:val="0062675A"/>
    <w:rsid w:val="00630275"/>
    <w:rsid w:val="006324E5"/>
    <w:rsid w:val="00640B16"/>
    <w:rsid w:val="00643EEE"/>
    <w:rsid w:val="00655BB2"/>
    <w:rsid w:val="0065734F"/>
    <w:rsid w:val="006606F7"/>
    <w:rsid w:val="00666500"/>
    <w:rsid w:val="00683E17"/>
    <w:rsid w:val="006A1DC6"/>
    <w:rsid w:val="006A4490"/>
    <w:rsid w:val="006A4EF8"/>
    <w:rsid w:val="006A61A7"/>
    <w:rsid w:val="006B3387"/>
    <w:rsid w:val="006B4AF3"/>
    <w:rsid w:val="006C28DB"/>
    <w:rsid w:val="006C4910"/>
    <w:rsid w:val="006C7140"/>
    <w:rsid w:val="006C7FE3"/>
    <w:rsid w:val="006D7F29"/>
    <w:rsid w:val="006E4150"/>
    <w:rsid w:val="006E506F"/>
    <w:rsid w:val="006E770C"/>
    <w:rsid w:val="00700963"/>
    <w:rsid w:val="00704164"/>
    <w:rsid w:val="007120B6"/>
    <w:rsid w:val="00712E98"/>
    <w:rsid w:val="00724DEB"/>
    <w:rsid w:val="00725B0C"/>
    <w:rsid w:val="0073009B"/>
    <w:rsid w:val="007302B9"/>
    <w:rsid w:val="00731223"/>
    <w:rsid w:val="007365CF"/>
    <w:rsid w:val="007454B7"/>
    <w:rsid w:val="0074775A"/>
    <w:rsid w:val="00751350"/>
    <w:rsid w:val="007520B2"/>
    <w:rsid w:val="007528E7"/>
    <w:rsid w:val="00752CF0"/>
    <w:rsid w:val="007532C4"/>
    <w:rsid w:val="007539B1"/>
    <w:rsid w:val="00756A74"/>
    <w:rsid w:val="00763A8C"/>
    <w:rsid w:val="007658F8"/>
    <w:rsid w:val="007804E6"/>
    <w:rsid w:val="00780E0F"/>
    <w:rsid w:val="00782270"/>
    <w:rsid w:val="00784BCA"/>
    <w:rsid w:val="00787F56"/>
    <w:rsid w:val="007911F0"/>
    <w:rsid w:val="00791713"/>
    <w:rsid w:val="00792AE7"/>
    <w:rsid w:val="007966F8"/>
    <w:rsid w:val="00796FDF"/>
    <w:rsid w:val="007A5E11"/>
    <w:rsid w:val="007B1C8E"/>
    <w:rsid w:val="007C0512"/>
    <w:rsid w:val="007C5534"/>
    <w:rsid w:val="007D0C31"/>
    <w:rsid w:val="007D495D"/>
    <w:rsid w:val="007E468C"/>
    <w:rsid w:val="007E6D05"/>
    <w:rsid w:val="007F739A"/>
    <w:rsid w:val="0080576B"/>
    <w:rsid w:val="00806800"/>
    <w:rsid w:val="00807DB9"/>
    <w:rsid w:val="0081343F"/>
    <w:rsid w:val="008214EE"/>
    <w:rsid w:val="00825789"/>
    <w:rsid w:val="00831B3E"/>
    <w:rsid w:val="00832A13"/>
    <w:rsid w:val="00835A7D"/>
    <w:rsid w:val="00836746"/>
    <w:rsid w:val="00837915"/>
    <w:rsid w:val="00837EBC"/>
    <w:rsid w:val="008458BD"/>
    <w:rsid w:val="00850246"/>
    <w:rsid w:val="00852A24"/>
    <w:rsid w:val="00854576"/>
    <w:rsid w:val="00855EA1"/>
    <w:rsid w:val="0085750B"/>
    <w:rsid w:val="00860B1B"/>
    <w:rsid w:val="00864F2D"/>
    <w:rsid w:val="00865E14"/>
    <w:rsid w:val="00866A04"/>
    <w:rsid w:val="00877919"/>
    <w:rsid w:val="008814AB"/>
    <w:rsid w:val="00882DE6"/>
    <w:rsid w:val="008867FB"/>
    <w:rsid w:val="0089240E"/>
    <w:rsid w:val="008A37D2"/>
    <w:rsid w:val="008B0DEA"/>
    <w:rsid w:val="008B22C5"/>
    <w:rsid w:val="008B37BD"/>
    <w:rsid w:val="008C023B"/>
    <w:rsid w:val="008C5A02"/>
    <w:rsid w:val="008C612F"/>
    <w:rsid w:val="008D2A1A"/>
    <w:rsid w:val="008D303F"/>
    <w:rsid w:val="008D49E1"/>
    <w:rsid w:val="008E0332"/>
    <w:rsid w:val="008E07F8"/>
    <w:rsid w:val="008E09F8"/>
    <w:rsid w:val="008E19B5"/>
    <w:rsid w:val="008E1AA0"/>
    <w:rsid w:val="008E259E"/>
    <w:rsid w:val="008E3C97"/>
    <w:rsid w:val="008E51B4"/>
    <w:rsid w:val="008F1930"/>
    <w:rsid w:val="008F2472"/>
    <w:rsid w:val="008F3453"/>
    <w:rsid w:val="008F5F39"/>
    <w:rsid w:val="008F6AD9"/>
    <w:rsid w:val="009027CA"/>
    <w:rsid w:val="0090329F"/>
    <w:rsid w:val="0091218D"/>
    <w:rsid w:val="0091360F"/>
    <w:rsid w:val="00916B90"/>
    <w:rsid w:val="00921AEE"/>
    <w:rsid w:val="0093130A"/>
    <w:rsid w:val="00941041"/>
    <w:rsid w:val="00941770"/>
    <w:rsid w:val="009422A0"/>
    <w:rsid w:val="009523C1"/>
    <w:rsid w:val="0095429C"/>
    <w:rsid w:val="00955822"/>
    <w:rsid w:val="00956697"/>
    <w:rsid w:val="00957B7D"/>
    <w:rsid w:val="00964F7D"/>
    <w:rsid w:val="00967EF6"/>
    <w:rsid w:val="00975EA5"/>
    <w:rsid w:val="00976348"/>
    <w:rsid w:val="00977E3C"/>
    <w:rsid w:val="009802E3"/>
    <w:rsid w:val="00984F9F"/>
    <w:rsid w:val="009856F5"/>
    <w:rsid w:val="009909D0"/>
    <w:rsid w:val="00992201"/>
    <w:rsid w:val="00992365"/>
    <w:rsid w:val="00995A8B"/>
    <w:rsid w:val="009A0D13"/>
    <w:rsid w:val="009A62DF"/>
    <w:rsid w:val="009B17EA"/>
    <w:rsid w:val="009C1A5E"/>
    <w:rsid w:val="009C6437"/>
    <w:rsid w:val="009D3D09"/>
    <w:rsid w:val="009E195E"/>
    <w:rsid w:val="009E2F13"/>
    <w:rsid w:val="009F696D"/>
    <w:rsid w:val="009F6A96"/>
    <w:rsid w:val="00A1424A"/>
    <w:rsid w:val="00A14CE1"/>
    <w:rsid w:val="00A17E92"/>
    <w:rsid w:val="00A2364C"/>
    <w:rsid w:val="00A2399B"/>
    <w:rsid w:val="00A27CD9"/>
    <w:rsid w:val="00A32410"/>
    <w:rsid w:val="00A43AAC"/>
    <w:rsid w:val="00A52B64"/>
    <w:rsid w:val="00A64054"/>
    <w:rsid w:val="00A64B36"/>
    <w:rsid w:val="00A66604"/>
    <w:rsid w:val="00A66E4C"/>
    <w:rsid w:val="00A70FAA"/>
    <w:rsid w:val="00A77A2D"/>
    <w:rsid w:val="00A84393"/>
    <w:rsid w:val="00A90D33"/>
    <w:rsid w:val="00AA4CF3"/>
    <w:rsid w:val="00AA60E0"/>
    <w:rsid w:val="00AB4D4D"/>
    <w:rsid w:val="00AB6829"/>
    <w:rsid w:val="00AB7006"/>
    <w:rsid w:val="00AC00C9"/>
    <w:rsid w:val="00AC71C9"/>
    <w:rsid w:val="00AC798E"/>
    <w:rsid w:val="00AD553E"/>
    <w:rsid w:val="00AD7BCA"/>
    <w:rsid w:val="00AF5569"/>
    <w:rsid w:val="00AF75E5"/>
    <w:rsid w:val="00B01B23"/>
    <w:rsid w:val="00B12F8E"/>
    <w:rsid w:val="00B37C49"/>
    <w:rsid w:val="00B40606"/>
    <w:rsid w:val="00B47057"/>
    <w:rsid w:val="00B50993"/>
    <w:rsid w:val="00B551B0"/>
    <w:rsid w:val="00B569F3"/>
    <w:rsid w:val="00B6101A"/>
    <w:rsid w:val="00B63B1F"/>
    <w:rsid w:val="00B663FF"/>
    <w:rsid w:val="00B72363"/>
    <w:rsid w:val="00B73404"/>
    <w:rsid w:val="00B807A6"/>
    <w:rsid w:val="00B851AB"/>
    <w:rsid w:val="00B85601"/>
    <w:rsid w:val="00B907AD"/>
    <w:rsid w:val="00B93BE7"/>
    <w:rsid w:val="00BA1678"/>
    <w:rsid w:val="00BA1A4C"/>
    <w:rsid w:val="00BB1848"/>
    <w:rsid w:val="00BB495E"/>
    <w:rsid w:val="00BB7936"/>
    <w:rsid w:val="00BC26EE"/>
    <w:rsid w:val="00BC3328"/>
    <w:rsid w:val="00BC7068"/>
    <w:rsid w:val="00BD3B94"/>
    <w:rsid w:val="00BE0622"/>
    <w:rsid w:val="00BE0A33"/>
    <w:rsid w:val="00BE36DA"/>
    <w:rsid w:val="00BE4C4D"/>
    <w:rsid w:val="00BE4D30"/>
    <w:rsid w:val="00BE78C3"/>
    <w:rsid w:val="00BF1547"/>
    <w:rsid w:val="00BF2D36"/>
    <w:rsid w:val="00BF788E"/>
    <w:rsid w:val="00C03223"/>
    <w:rsid w:val="00C05730"/>
    <w:rsid w:val="00C11BD1"/>
    <w:rsid w:val="00C16898"/>
    <w:rsid w:val="00C16A9D"/>
    <w:rsid w:val="00C4090D"/>
    <w:rsid w:val="00C45EF7"/>
    <w:rsid w:val="00C50DCE"/>
    <w:rsid w:val="00C526E2"/>
    <w:rsid w:val="00C64E9A"/>
    <w:rsid w:val="00C672B1"/>
    <w:rsid w:val="00C74C6E"/>
    <w:rsid w:val="00C75561"/>
    <w:rsid w:val="00C76A0E"/>
    <w:rsid w:val="00C90246"/>
    <w:rsid w:val="00C97A7B"/>
    <w:rsid w:val="00CA0657"/>
    <w:rsid w:val="00CA3FFD"/>
    <w:rsid w:val="00CA5BCC"/>
    <w:rsid w:val="00CB0CBF"/>
    <w:rsid w:val="00CB37A0"/>
    <w:rsid w:val="00CB4E14"/>
    <w:rsid w:val="00CC1533"/>
    <w:rsid w:val="00CC1C57"/>
    <w:rsid w:val="00CC3FE5"/>
    <w:rsid w:val="00CD60B1"/>
    <w:rsid w:val="00CD784A"/>
    <w:rsid w:val="00CE62B4"/>
    <w:rsid w:val="00CF1D7A"/>
    <w:rsid w:val="00CF58E8"/>
    <w:rsid w:val="00D0083E"/>
    <w:rsid w:val="00D00B03"/>
    <w:rsid w:val="00D011B4"/>
    <w:rsid w:val="00D017D1"/>
    <w:rsid w:val="00D07C48"/>
    <w:rsid w:val="00D13B58"/>
    <w:rsid w:val="00D17DD0"/>
    <w:rsid w:val="00D24E5C"/>
    <w:rsid w:val="00D25494"/>
    <w:rsid w:val="00D32CE3"/>
    <w:rsid w:val="00D35A33"/>
    <w:rsid w:val="00D51A80"/>
    <w:rsid w:val="00D62C3D"/>
    <w:rsid w:val="00D6714C"/>
    <w:rsid w:val="00D677DE"/>
    <w:rsid w:val="00D75A61"/>
    <w:rsid w:val="00D775E7"/>
    <w:rsid w:val="00D77CF4"/>
    <w:rsid w:val="00D940D5"/>
    <w:rsid w:val="00D95C2E"/>
    <w:rsid w:val="00DA682F"/>
    <w:rsid w:val="00DB526A"/>
    <w:rsid w:val="00DC10D1"/>
    <w:rsid w:val="00DC39D7"/>
    <w:rsid w:val="00DC53F1"/>
    <w:rsid w:val="00DD1ED4"/>
    <w:rsid w:val="00DD7242"/>
    <w:rsid w:val="00DE415C"/>
    <w:rsid w:val="00DE61C9"/>
    <w:rsid w:val="00DF78CA"/>
    <w:rsid w:val="00E14A26"/>
    <w:rsid w:val="00E2300C"/>
    <w:rsid w:val="00E253F1"/>
    <w:rsid w:val="00E27AC6"/>
    <w:rsid w:val="00E3135F"/>
    <w:rsid w:val="00E3251F"/>
    <w:rsid w:val="00E3333A"/>
    <w:rsid w:val="00E43F56"/>
    <w:rsid w:val="00E565BD"/>
    <w:rsid w:val="00E60693"/>
    <w:rsid w:val="00E60D57"/>
    <w:rsid w:val="00E6274A"/>
    <w:rsid w:val="00E64AE5"/>
    <w:rsid w:val="00E6779E"/>
    <w:rsid w:val="00E90925"/>
    <w:rsid w:val="00E91695"/>
    <w:rsid w:val="00E91DE4"/>
    <w:rsid w:val="00E932AE"/>
    <w:rsid w:val="00E93C76"/>
    <w:rsid w:val="00E94054"/>
    <w:rsid w:val="00E97DEB"/>
    <w:rsid w:val="00EA3BBE"/>
    <w:rsid w:val="00EA6D4D"/>
    <w:rsid w:val="00EB07FF"/>
    <w:rsid w:val="00EB29E8"/>
    <w:rsid w:val="00EB376D"/>
    <w:rsid w:val="00EC2BCF"/>
    <w:rsid w:val="00EE5C49"/>
    <w:rsid w:val="00EF1E4E"/>
    <w:rsid w:val="00EF428B"/>
    <w:rsid w:val="00F02EDD"/>
    <w:rsid w:val="00F04EA9"/>
    <w:rsid w:val="00F13B73"/>
    <w:rsid w:val="00F15B21"/>
    <w:rsid w:val="00F24501"/>
    <w:rsid w:val="00F24603"/>
    <w:rsid w:val="00F272F6"/>
    <w:rsid w:val="00F45BFD"/>
    <w:rsid w:val="00F470F6"/>
    <w:rsid w:val="00F51B04"/>
    <w:rsid w:val="00F54154"/>
    <w:rsid w:val="00F54971"/>
    <w:rsid w:val="00F60851"/>
    <w:rsid w:val="00F62CB5"/>
    <w:rsid w:val="00F63F9A"/>
    <w:rsid w:val="00F67D02"/>
    <w:rsid w:val="00F67DD9"/>
    <w:rsid w:val="00F70555"/>
    <w:rsid w:val="00F73DC2"/>
    <w:rsid w:val="00F7553C"/>
    <w:rsid w:val="00F7596B"/>
    <w:rsid w:val="00F839EE"/>
    <w:rsid w:val="00F912B3"/>
    <w:rsid w:val="00F95059"/>
    <w:rsid w:val="00F9609E"/>
    <w:rsid w:val="00F96CB3"/>
    <w:rsid w:val="00FB77BF"/>
    <w:rsid w:val="00FC38B6"/>
    <w:rsid w:val="00FC79B9"/>
    <w:rsid w:val="00FD2DDF"/>
    <w:rsid w:val="00FD5B13"/>
    <w:rsid w:val="00FF5201"/>
    <w:rsid w:val="00FF79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7CB1A9-AE49-410C-9500-0CA60DB4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1547"/>
    <w:pPr>
      <w:jc w:val="both"/>
    </w:pPr>
    <w:rPr>
      <w:rFonts w:ascii="Arial" w:hAnsi="Arial"/>
      <w:sz w:val="22"/>
      <w:szCs w:val="24"/>
    </w:rPr>
  </w:style>
  <w:style w:type="paragraph" w:styleId="Naslov1">
    <w:name w:val="heading 1"/>
    <w:basedOn w:val="Navaden"/>
    <w:next w:val="Navaden"/>
    <w:qFormat/>
    <w:rsid w:val="002264D5"/>
    <w:pPr>
      <w:keepNext/>
      <w:spacing w:before="240" w:after="60"/>
      <w:outlineLvl w:val="0"/>
    </w:pPr>
    <w:rPr>
      <w:rFonts w:cs="Arial"/>
      <w:b/>
      <w:bCs/>
      <w:kern w:val="32"/>
      <w:sz w:val="32"/>
      <w:szCs w:val="32"/>
    </w:rPr>
  </w:style>
  <w:style w:type="paragraph" w:styleId="Naslov2">
    <w:name w:val="heading 2"/>
    <w:basedOn w:val="Navaden"/>
    <w:next w:val="Navaden"/>
    <w:qFormat/>
    <w:rsid w:val="00F839EE"/>
    <w:pPr>
      <w:keepNext/>
      <w:spacing w:before="240" w:after="60"/>
      <w:jc w:val="left"/>
      <w:outlineLvl w:val="1"/>
    </w:pPr>
    <w:rPr>
      <w:rFonts w:cs="Arial"/>
      <w:b/>
      <w:bCs/>
      <w:i/>
      <w:iCs/>
      <w:sz w:val="28"/>
      <w:szCs w:val="28"/>
      <w:lang w:eastAsia="en-GB"/>
    </w:rPr>
  </w:style>
  <w:style w:type="paragraph" w:styleId="Naslov3">
    <w:name w:val="heading 3"/>
    <w:basedOn w:val="Navaden"/>
    <w:next w:val="Navaden"/>
    <w:link w:val="Naslov3Znak"/>
    <w:qFormat/>
    <w:rsid w:val="0091360F"/>
    <w:pPr>
      <w:keepNext/>
      <w:spacing w:before="240" w:after="60"/>
      <w:outlineLvl w:val="2"/>
    </w:pPr>
    <w:rPr>
      <w:rFonts w:cs="Arial"/>
      <w:b/>
      <w:bCs/>
      <w:sz w:val="26"/>
      <w:szCs w:val="26"/>
    </w:rPr>
  </w:style>
  <w:style w:type="paragraph" w:styleId="Naslov4">
    <w:name w:val="heading 4"/>
    <w:basedOn w:val="Navaden"/>
    <w:next w:val="Navaden"/>
    <w:qFormat/>
    <w:rsid w:val="0043660F"/>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500104"/>
    <w:rPr>
      <w:rFonts w:ascii="Arial" w:hAnsi="Arial" w:cs="Arial"/>
      <w:b/>
      <w:bCs/>
      <w:sz w:val="26"/>
      <w:szCs w:val="26"/>
      <w:lang w:val="sl-SI" w:eastAsia="sl-SI" w:bidi="ar-SA"/>
    </w:rPr>
  </w:style>
  <w:style w:type="character" w:customStyle="1" w:styleId="Style11pt">
    <w:name w:val="Style 11 pt"/>
    <w:basedOn w:val="Privzetapisavaodstavka"/>
    <w:rsid w:val="009523C1"/>
    <w:rPr>
      <w:sz w:val="22"/>
    </w:rPr>
  </w:style>
  <w:style w:type="paragraph" w:styleId="Sprotnaopomba-besedilo">
    <w:name w:val="footnote text"/>
    <w:basedOn w:val="Navaden"/>
    <w:link w:val="Sprotnaopomba-besediloZnak"/>
    <w:autoRedefine/>
    <w:rsid w:val="00594FD5"/>
    <w:pPr>
      <w:spacing w:before="120"/>
    </w:pPr>
    <w:rPr>
      <w:sz w:val="18"/>
      <w:szCs w:val="20"/>
      <w:lang w:eastAsia="en-US"/>
    </w:rPr>
  </w:style>
  <w:style w:type="character" w:styleId="Sprotnaopomba-sklic">
    <w:name w:val="footnote reference"/>
    <w:basedOn w:val="Privzetapisavaodstavka"/>
    <w:rsid w:val="00594FD5"/>
    <w:rPr>
      <w:vertAlign w:val="superscript"/>
    </w:rPr>
  </w:style>
  <w:style w:type="paragraph" w:styleId="Napis">
    <w:name w:val="caption"/>
    <w:basedOn w:val="Navaden"/>
    <w:next w:val="Navaden"/>
    <w:autoRedefine/>
    <w:qFormat/>
    <w:rsid w:val="00AC00C9"/>
    <w:pPr>
      <w:spacing w:before="120"/>
      <w:ind w:left="1418" w:hanging="1418"/>
    </w:pPr>
    <w:rPr>
      <w:bCs/>
      <w:i/>
      <w:szCs w:val="20"/>
      <w:lang w:eastAsia="en-US"/>
    </w:rPr>
  </w:style>
  <w:style w:type="paragraph" w:customStyle="1" w:styleId="Natevanjepravnihpodlag">
    <w:name w:val="Naštevanje pravnih podlag"/>
    <w:basedOn w:val="Navaden"/>
    <w:rsid w:val="00A43AAC"/>
    <w:pPr>
      <w:numPr>
        <w:ilvl w:val="1"/>
        <w:numId w:val="4"/>
      </w:numPr>
    </w:pPr>
  </w:style>
  <w:style w:type="paragraph" w:customStyle="1" w:styleId="Body">
    <w:name w:val="Body"/>
    <w:basedOn w:val="Navaden"/>
    <w:link w:val="BodyChar"/>
    <w:rsid w:val="0091360F"/>
    <w:rPr>
      <w:rFonts w:cs="Arial"/>
      <w:lang w:eastAsia="en-US"/>
    </w:rPr>
  </w:style>
  <w:style w:type="character" w:customStyle="1" w:styleId="BodyChar">
    <w:name w:val="Body Char"/>
    <w:basedOn w:val="Privzetapisavaodstavka"/>
    <w:link w:val="Body"/>
    <w:rsid w:val="0091360F"/>
    <w:rPr>
      <w:rFonts w:ascii="Arial" w:hAnsi="Arial" w:cs="Arial"/>
      <w:sz w:val="22"/>
      <w:szCs w:val="24"/>
      <w:lang w:val="sl-SI" w:eastAsia="en-US" w:bidi="ar-SA"/>
    </w:rPr>
  </w:style>
  <w:style w:type="table" w:styleId="Tabelamrea">
    <w:name w:val="Table Grid"/>
    <w:basedOn w:val="Navadnatabela"/>
    <w:rsid w:val="00095D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43660F"/>
    <w:pPr>
      <w:spacing w:after="120"/>
      <w:jc w:val="left"/>
    </w:pPr>
    <w:rPr>
      <w:rFonts w:ascii="Times New Roman" w:hAnsi="Times New Roman"/>
      <w:snapToGrid w:val="0"/>
      <w:szCs w:val="20"/>
      <w:lang w:val="en-GB" w:eastAsia="en-US"/>
    </w:rPr>
  </w:style>
  <w:style w:type="paragraph" w:customStyle="1" w:styleId="Figurebody">
    <w:name w:val="Figure body"/>
    <w:basedOn w:val="Navaden"/>
    <w:next w:val="Figurefooter"/>
    <w:rsid w:val="0043660F"/>
    <w:pPr>
      <w:jc w:val="left"/>
    </w:pPr>
    <w:rPr>
      <w:snapToGrid w:val="0"/>
      <w:sz w:val="20"/>
      <w:szCs w:val="20"/>
      <w:lang w:val="en-GB" w:eastAsia="en-US"/>
    </w:rPr>
  </w:style>
  <w:style w:type="paragraph" w:customStyle="1" w:styleId="Figurefooter">
    <w:name w:val="Figure footer"/>
    <w:basedOn w:val="Figurebody"/>
    <w:next w:val="Telobesedila"/>
    <w:rsid w:val="0043660F"/>
    <w:pPr>
      <w:pBdr>
        <w:top w:val="single" w:sz="4" w:space="1" w:color="000080"/>
      </w:pBdr>
    </w:pPr>
    <w:rPr>
      <w:i/>
      <w:color w:val="000080"/>
    </w:rPr>
  </w:style>
  <w:style w:type="paragraph" w:styleId="Noga">
    <w:name w:val="footer"/>
    <w:basedOn w:val="Navaden"/>
    <w:rsid w:val="0012699D"/>
    <w:pPr>
      <w:tabs>
        <w:tab w:val="center" w:pos="4536"/>
        <w:tab w:val="right" w:pos="9072"/>
      </w:tabs>
    </w:pPr>
  </w:style>
  <w:style w:type="character" w:styleId="tevilkastrani">
    <w:name w:val="page number"/>
    <w:basedOn w:val="Privzetapisavaodstavka"/>
    <w:rsid w:val="0012699D"/>
  </w:style>
  <w:style w:type="paragraph" w:styleId="Blokbesedila">
    <w:name w:val="Block Text"/>
    <w:basedOn w:val="Navaden"/>
    <w:rsid w:val="002264D5"/>
    <w:pPr>
      <w:spacing w:line="360" w:lineRule="auto"/>
      <w:ind w:left="-426" w:right="-739"/>
      <w:jc w:val="center"/>
    </w:pPr>
    <w:rPr>
      <w:rFonts w:cs="Arial"/>
      <w:b/>
      <w:bCs/>
      <w:caps/>
      <w:sz w:val="32"/>
      <w:lang w:eastAsia="en-US"/>
    </w:rPr>
  </w:style>
  <w:style w:type="paragraph" w:styleId="Glava">
    <w:name w:val="header"/>
    <w:basedOn w:val="Navaden"/>
    <w:rsid w:val="002264D5"/>
    <w:pPr>
      <w:tabs>
        <w:tab w:val="center" w:pos="4536"/>
        <w:tab w:val="right" w:pos="9072"/>
      </w:tabs>
      <w:jc w:val="left"/>
    </w:pPr>
    <w:rPr>
      <w:rFonts w:ascii="Times New Roman" w:hAnsi="Times New Roman"/>
      <w:sz w:val="24"/>
    </w:rPr>
  </w:style>
  <w:style w:type="paragraph" w:styleId="Kazalovsebine1">
    <w:name w:val="toc 1"/>
    <w:basedOn w:val="Navaden"/>
    <w:next w:val="Navaden"/>
    <w:autoRedefine/>
    <w:uiPriority w:val="39"/>
    <w:rsid w:val="00D677DE"/>
  </w:style>
  <w:style w:type="paragraph" w:styleId="Kazalovsebine2">
    <w:name w:val="toc 2"/>
    <w:basedOn w:val="Navaden"/>
    <w:next w:val="Navaden"/>
    <w:autoRedefine/>
    <w:uiPriority w:val="39"/>
    <w:rsid w:val="00D677DE"/>
    <w:pPr>
      <w:ind w:left="220"/>
    </w:pPr>
  </w:style>
  <w:style w:type="paragraph" w:styleId="Kazalovsebine3">
    <w:name w:val="toc 3"/>
    <w:basedOn w:val="Navaden"/>
    <w:next w:val="Navaden"/>
    <w:autoRedefine/>
    <w:semiHidden/>
    <w:rsid w:val="00D677DE"/>
    <w:pPr>
      <w:ind w:left="440"/>
    </w:pPr>
  </w:style>
  <w:style w:type="character" w:styleId="Hiperpovezava">
    <w:name w:val="Hyperlink"/>
    <w:basedOn w:val="Privzetapisavaodstavka"/>
    <w:uiPriority w:val="99"/>
    <w:rsid w:val="00D677DE"/>
    <w:rPr>
      <w:color w:val="0000FF"/>
      <w:u w:val="single"/>
    </w:rPr>
  </w:style>
  <w:style w:type="character" w:styleId="SledenaHiperpovezava">
    <w:name w:val="FollowedHyperlink"/>
    <w:basedOn w:val="Privzetapisavaodstavka"/>
    <w:rsid w:val="00865E14"/>
    <w:rPr>
      <w:color w:val="800080"/>
      <w:u w:val="single"/>
    </w:rPr>
  </w:style>
  <w:style w:type="paragraph" w:customStyle="1" w:styleId="xl24">
    <w:name w:val="xl24"/>
    <w:basedOn w:val="Navaden"/>
    <w:rsid w:val="008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rPr>
  </w:style>
  <w:style w:type="paragraph" w:customStyle="1" w:styleId="xl25">
    <w:name w:val="xl25"/>
    <w:basedOn w:val="Navaden"/>
    <w:rsid w:val="008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4"/>
      <w:szCs w:val="14"/>
    </w:rPr>
  </w:style>
  <w:style w:type="paragraph" w:customStyle="1" w:styleId="xl26">
    <w:name w:val="xl26"/>
    <w:basedOn w:val="Navaden"/>
    <w:rsid w:val="00865E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14"/>
      <w:szCs w:val="14"/>
    </w:rPr>
  </w:style>
  <w:style w:type="paragraph" w:customStyle="1" w:styleId="xl27">
    <w:name w:val="xl27"/>
    <w:basedOn w:val="Navaden"/>
    <w:rsid w:val="00865E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14"/>
      <w:szCs w:val="14"/>
    </w:rPr>
  </w:style>
  <w:style w:type="paragraph" w:customStyle="1" w:styleId="xl28">
    <w:name w:val="xl28"/>
    <w:basedOn w:val="Navaden"/>
    <w:rsid w:val="00865E14"/>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textAlignment w:val="center"/>
    </w:pPr>
    <w:rPr>
      <w:rFonts w:ascii="Times New Roman" w:hAnsi="Times New Roman"/>
      <w:b/>
      <w:bCs/>
      <w:sz w:val="14"/>
      <w:szCs w:val="14"/>
    </w:rPr>
  </w:style>
  <w:style w:type="paragraph" w:customStyle="1" w:styleId="xl29">
    <w:name w:val="xl29"/>
    <w:basedOn w:val="Navaden"/>
    <w:rsid w:val="00865E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4"/>
      <w:szCs w:val="14"/>
    </w:rPr>
  </w:style>
  <w:style w:type="paragraph" w:customStyle="1" w:styleId="xl30">
    <w:name w:val="xl30"/>
    <w:basedOn w:val="Navaden"/>
    <w:rsid w:val="00865E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rPr>
  </w:style>
  <w:style w:type="paragraph" w:customStyle="1" w:styleId="xl31">
    <w:name w:val="xl31"/>
    <w:basedOn w:val="Navaden"/>
    <w:rsid w:val="00865E14"/>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Times New Roman" w:hAnsi="Times New Roman"/>
      <w:sz w:val="14"/>
      <w:szCs w:val="14"/>
    </w:rPr>
  </w:style>
  <w:style w:type="paragraph" w:customStyle="1" w:styleId="xl32">
    <w:name w:val="xl32"/>
    <w:basedOn w:val="Navaden"/>
    <w:rsid w:val="00865E1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Times New Roman" w:hAnsi="Times New Roman"/>
      <w:b/>
      <w:bCs/>
      <w:sz w:val="14"/>
      <w:szCs w:val="14"/>
    </w:rPr>
  </w:style>
  <w:style w:type="paragraph" w:customStyle="1" w:styleId="xl33">
    <w:name w:val="xl33"/>
    <w:basedOn w:val="Navaden"/>
    <w:rsid w:val="00865E1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pPr>
    <w:rPr>
      <w:rFonts w:ascii="Times New Roman" w:hAnsi="Times New Roman"/>
      <w:sz w:val="14"/>
      <w:szCs w:val="14"/>
    </w:rPr>
  </w:style>
  <w:style w:type="paragraph" w:customStyle="1" w:styleId="xl34">
    <w:name w:val="xl34"/>
    <w:basedOn w:val="Navaden"/>
    <w:rsid w:val="00865E1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Times New Roman" w:hAnsi="Times New Roman"/>
      <w:b/>
      <w:bCs/>
      <w:sz w:val="14"/>
      <w:szCs w:val="14"/>
    </w:rPr>
  </w:style>
  <w:style w:type="paragraph" w:customStyle="1" w:styleId="xl35">
    <w:name w:val="xl35"/>
    <w:basedOn w:val="Navaden"/>
    <w:rsid w:val="00865E1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Times New Roman" w:hAnsi="Times New Roman"/>
      <w:sz w:val="14"/>
      <w:szCs w:val="14"/>
    </w:rPr>
  </w:style>
  <w:style w:type="paragraph" w:customStyle="1" w:styleId="xl36">
    <w:name w:val="xl36"/>
    <w:basedOn w:val="Navaden"/>
    <w:rsid w:val="00865E14"/>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left"/>
      <w:textAlignment w:val="center"/>
    </w:pPr>
    <w:rPr>
      <w:rFonts w:ascii="Times New Roman" w:hAnsi="Times New Roman"/>
      <w:b/>
      <w:bCs/>
      <w:sz w:val="14"/>
      <w:szCs w:val="14"/>
    </w:rPr>
  </w:style>
  <w:style w:type="paragraph" w:customStyle="1" w:styleId="xl37">
    <w:name w:val="xl37"/>
    <w:basedOn w:val="Navaden"/>
    <w:rsid w:val="00865E14"/>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left"/>
    </w:pPr>
    <w:rPr>
      <w:rFonts w:ascii="Times New Roman" w:hAnsi="Times New Roman"/>
      <w:sz w:val="14"/>
      <w:szCs w:val="14"/>
    </w:rPr>
  </w:style>
  <w:style w:type="paragraph" w:customStyle="1" w:styleId="xl38">
    <w:name w:val="xl38"/>
    <w:basedOn w:val="Navaden"/>
    <w:rsid w:val="00865E1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left"/>
      <w:textAlignment w:val="center"/>
    </w:pPr>
    <w:rPr>
      <w:rFonts w:ascii="Times New Roman" w:hAnsi="Times New Roman"/>
      <w:b/>
      <w:bCs/>
      <w:sz w:val="14"/>
      <w:szCs w:val="14"/>
    </w:rPr>
  </w:style>
  <w:style w:type="paragraph" w:customStyle="1" w:styleId="xl39">
    <w:name w:val="xl39"/>
    <w:basedOn w:val="Navaden"/>
    <w:rsid w:val="00865E1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left"/>
    </w:pPr>
    <w:rPr>
      <w:rFonts w:ascii="Times New Roman" w:hAnsi="Times New Roman"/>
      <w:sz w:val="14"/>
      <w:szCs w:val="14"/>
    </w:rPr>
  </w:style>
  <w:style w:type="paragraph" w:customStyle="1" w:styleId="xl40">
    <w:name w:val="xl40"/>
    <w:basedOn w:val="Navaden"/>
    <w:rsid w:val="00865E1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textAlignment w:val="center"/>
    </w:pPr>
    <w:rPr>
      <w:rFonts w:ascii="Times New Roman" w:hAnsi="Times New Roman"/>
      <w:b/>
      <w:bCs/>
      <w:sz w:val="14"/>
      <w:szCs w:val="14"/>
    </w:rPr>
  </w:style>
  <w:style w:type="paragraph" w:customStyle="1" w:styleId="xl41">
    <w:name w:val="xl41"/>
    <w:basedOn w:val="Navaden"/>
    <w:rsid w:val="00865E1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Times New Roman" w:hAnsi="Times New Roman"/>
      <w:sz w:val="14"/>
      <w:szCs w:val="14"/>
    </w:rPr>
  </w:style>
  <w:style w:type="paragraph" w:styleId="Besedilooblaka">
    <w:name w:val="Balloon Text"/>
    <w:basedOn w:val="Navaden"/>
    <w:semiHidden/>
    <w:rsid w:val="008814AB"/>
    <w:rPr>
      <w:rFonts w:ascii="Tahoma" w:hAnsi="Tahoma" w:cs="Tahoma"/>
      <w:sz w:val="16"/>
      <w:szCs w:val="16"/>
    </w:rPr>
  </w:style>
  <w:style w:type="paragraph" w:styleId="Revizija">
    <w:name w:val="Revision"/>
    <w:hidden/>
    <w:uiPriority w:val="99"/>
    <w:semiHidden/>
    <w:rsid w:val="00756A74"/>
    <w:rPr>
      <w:rFonts w:ascii="Arial" w:hAnsi="Arial"/>
      <w:sz w:val="22"/>
      <w:szCs w:val="24"/>
    </w:rPr>
  </w:style>
  <w:style w:type="paragraph" w:styleId="Odstavekseznama">
    <w:name w:val="List Paragraph"/>
    <w:basedOn w:val="Navaden"/>
    <w:uiPriority w:val="34"/>
    <w:qFormat/>
    <w:rsid w:val="000010AC"/>
    <w:pPr>
      <w:ind w:left="720"/>
      <w:contextualSpacing/>
    </w:pPr>
  </w:style>
  <w:style w:type="character" w:customStyle="1" w:styleId="Sprotnaopomba-besediloZnak">
    <w:name w:val="Sprotna opomba - besedilo Znak"/>
    <w:link w:val="Sprotnaopomba-besedilo"/>
    <w:rsid w:val="00584099"/>
    <w:rPr>
      <w:rFonts w:ascii="Arial" w:hAnsi="Arial"/>
      <w:sz w:val="18"/>
      <w:lang w:eastAsia="en-US"/>
    </w:rPr>
  </w:style>
  <w:style w:type="paragraph" w:customStyle="1" w:styleId="body0">
    <w:name w:val="body"/>
    <w:basedOn w:val="Navaden"/>
    <w:link w:val="bodyChar0"/>
    <w:rsid w:val="00584099"/>
    <w:pPr>
      <w:tabs>
        <w:tab w:val="left" w:pos="567"/>
      </w:tabs>
      <w:spacing w:after="130" w:line="260" w:lineRule="exact"/>
    </w:pPr>
    <w:rPr>
      <w:rFonts w:ascii="Times New Roman" w:hAnsi="Times New Roman"/>
      <w:color w:val="000000"/>
      <w:szCs w:val="22"/>
      <w:lang w:val="en-GB"/>
    </w:rPr>
  </w:style>
  <w:style w:type="character" w:customStyle="1" w:styleId="bodyChar0">
    <w:name w:val="body Char"/>
    <w:link w:val="body0"/>
    <w:rsid w:val="00584099"/>
    <w:rPr>
      <w:color w:val="000000"/>
      <w:sz w:val="22"/>
      <w:szCs w:val="22"/>
      <w:lang w:val="en-GB"/>
    </w:rPr>
  </w:style>
  <w:style w:type="character" w:customStyle="1" w:styleId="shorttext">
    <w:name w:val="short_text"/>
    <w:rsid w:val="00584099"/>
  </w:style>
  <w:style w:type="character" w:customStyle="1" w:styleId="hps">
    <w:name w:val="hps"/>
    <w:rsid w:val="00584099"/>
  </w:style>
  <w:style w:type="paragraph" w:customStyle="1" w:styleId="ZADEVA">
    <w:name w:val="ZADEVA"/>
    <w:basedOn w:val="Navaden"/>
    <w:qFormat/>
    <w:rsid w:val="00F95059"/>
    <w:pPr>
      <w:tabs>
        <w:tab w:val="left" w:pos="1701"/>
      </w:tabs>
      <w:ind w:left="1701" w:hanging="1701"/>
      <w:jc w:val="left"/>
    </w:pPr>
    <w:rPr>
      <w:b/>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9459">
      <w:bodyDiv w:val="1"/>
      <w:marLeft w:val="0"/>
      <w:marRight w:val="0"/>
      <w:marTop w:val="0"/>
      <w:marBottom w:val="0"/>
      <w:divBdr>
        <w:top w:val="none" w:sz="0" w:space="0" w:color="auto"/>
        <w:left w:val="none" w:sz="0" w:space="0" w:color="auto"/>
        <w:bottom w:val="none" w:sz="0" w:space="0" w:color="auto"/>
        <w:right w:val="none" w:sz="0" w:space="0" w:color="auto"/>
      </w:divBdr>
    </w:div>
    <w:div w:id="248390153">
      <w:bodyDiv w:val="1"/>
      <w:marLeft w:val="0"/>
      <w:marRight w:val="0"/>
      <w:marTop w:val="0"/>
      <w:marBottom w:val="0"/>
      <w:divBdr>
        <w:top w:val="none" w:sz="0" w:space="0" w:color="auto"/>
        <w:left w:val="none" w:sz="0" w:space="0" w:color="auto"/>
        <w:bottom w:val="none" w:sz="0" w:space="0" w:color="auto"/>
        <w:right w:val="none" w:sz="0" w:space="0" w:color="auto"/>
      </w:divBdr>
    </w:div>
    <w:div w:id="250428294">
      <w:bodyDiv w:val="1"/>
      <w:marLeft w:val="0"/>
      <w:marRight w:val="0"/>
      <w:marTop w:val="0"/>
      <w:marBottom w:val="0"/>
      <w:divBdr>
        <w:top w:val="none" w:sz="0" w:space="0" w:color="auto"/>
        <w:left w:val="none" w:sz="0" w:space="0" w:color="auto"/>
        <w:bottom w:val="none" w:sz="0" w:space="0" w:color="auto"/>
        <w:right w:val="none" w:sz="0" w:space="0" w:color="auto"/>
      </w:divBdr>
    </w:div>
    <w:div w:id="265893797">
      <w:bodyDiv w:val="1"/>
      <w:marLeft w:val="0"/>
      <w:marRight w:val="0"/>
      <w:marTop w:val="0"/>
      <w:marBottom w:val="0"/>
      <w:divBdr>
        <w:top w:val="none" w:sz="0" w:space="0" w:color="auto"/>
        <w:left w:val="none" w:sz="0" w:space="0" w:color="auto"/>
        <w:bottom w:val="none" w:sz="0" w:space="0" w:color="auto"/>
        <w:right w:val="none" w:sz="0" w:space="0" w:color="auto"/>
      </w:divBdr>
    </w:div>
    <w:div w:id="285939507">
      <w:bodyDiv w:val="1"/>
      <w:marLeft w:val="0"/>
      <w:marRight w:val="0"/>
      <w:marTop w:val="0"/>
      <w:marBottom w:val="0"/>
      <w:divBdr>
        <w:top w:val="none" w:sz="0" w:space="0" w:color="auto"/>
        <w:left w:val="none" w:sz="0" w:space="0" w:color="auto"/>
        <w:bottom w:val="none" w:sz="0" w:space="0" w:color="auto"/>
        <w:right w:val="none" w:sz="0" w:space="0" w:color="auto"/>
      </w:divBdr>
    </w:div>
    <w:div w:id="328287180">
      <w:bodyDiv w:val="1"/>
      <w:marLeft w:val="0"/>
      <w:marRight w:val="0"/>
      <w:marTop w:val="0"/>
      <w:marBottom w:val="0"/>
      <w:divBdr>
        <w:top w:val="none" w:sz="0" w:space="0" w:color="auto"/>
        <w:left w:val="none" w:sz="0" w:space="0" w:color="auto"/>
        <w:bottom w:val="none" w:sz="0" w:space="0" w:color="auto"/>
        <w:right w:val="none" w:sz="0" w:space="0" w:color="auto"/>
      </w:divBdr>
    </w:div>
    <w:div w:id="400251214">
      <w:bodyDiv w:val="1"/>
      <w:marLeft w:val="0"/>
      <w:marRight w:val="0"/>
      <w:marTop w:val="0"/>
      <w:marBottom w:val="0"/>
      <w:divBdr>
        <w:top w:val="none" w:sz="0" w:space="0" w:color="auto"/>
        <w:left w:val="none" w:sz="0" w:space="0" w:color="auto"/>
        <w:bottom w:val="none" w:sz="0" w:space="0" w:color="auto"/>
        <w:right w:val="none" w:sz="0" w:space="0" w:color="auto"/>
      </w:divBdr>
    </w:div>
    <w:div w:id="434325708">
      <w:bodyDiv w:val="1"/>
      <w:marLeft w:val="0"/>
      <w:marRight w:val="0"/>
      <w:marTop w:val="0"/>
      <w:marBottom w:val="0"/>
      <w:divBdr>
        <w:top w:val="none" w:sz="0" w:space="0" w:color="auto"/>
        <w:left w:val="none" w:sz="0" w:space="0" w:color="auto"/>
        <w:bottom w:val="none" w:sz="0" w:space="0" w:color="auto"/>
        <w:right w:val="none" w:sz="0" w:space="0" w:color="auto"/>
      </w:divBdr>
    </w:div>
    <w:div w:id="613101533">
      <w:bodyDiv w:val="1"/>
      <w:marLeft w:val="0"/>
      <w:marRight w:val="0"/>
      <w:marTop w:val="0"/>
      <w:marBottom w:val="0"/>
      <w:divBdr>
        <w:top w:val="none" w:sz="0" w:space="0" w:color="auto"/>
        <w:left w:val="none" w:sz="0" w:space="0" w:color="auto"/>
        <w:bottom w:val="none" w:sz="0" w:space="0" w:color="auto"/>
        <w:right w:val="none" w:sz="0" w:space="0" w:color="auto"/>
      </w:divBdr>
    </w:div>
    <w:div w:id="647904361">
      <w:bodyDiv w:val="1"/>
      <w:marLeft w:val="0"/>
      <w:marRight w:val="0"/>
      <w:marTop w:val="0"/>
      <w:marBottom w:val="0"/>
      <w:divBdr>
        <w:top w:val="none" w:sz="0" w:space="0" w:color="auto"/>
        <w:left w:val="none" w:sz="0" w:space="0" w:color="auto"/>
        <w:bottom w:val="none" w:sz="0" w:space="0" w:color="auto"/>
        <w:right w:val="none" w:sz="0" w:space="0" w:color="auto"/>
      </w:divBdr>
    </w:div>
    <w:div w:id="664430743">
      <w:bodyDiv w:val="1"/>
      <w:marLeft w:val="0"/>
      <w:marRight w:val="0"/>
      <w:marTop w:val="0"/>
      <w:marBottom w:val="0"/>
      <w:divBdr>
        <w:top w:val="none" w:sz="0" w:space="0" w:color="auto"/>
        <w:left w:val="none" w:sz="0" w:space="0" w:color="auto"/>
        <w:bottom w:val="none" w:sz="0" w:space="0" w:color="auto"/>
        <w:right w:val="none" w:sz="0" w:space="0" w:color="auto"/>
      </w:divBdr>
    </w:div>
    <w:div w:id="722218186">
      <w:bodyDiv w:val="1"/>
      <w:marLeft w:val="0"/>
      <w:marRight w:val="0"/>
      <w:marTop w:val="0"/>
      <w:marBottom w:val="0"/>
      <w:divBdr>
        <w:top w:val="none" w:sz="0" w:space="0" w:color="auto"/>
        <w:left w:val="none" w:sz="0" w:space="0" w:color="auto"/>
        <w:bottom w:val="none" w:sz="0" w:space="0" w:color="auto"/>
        <w:right w:val="none" w:sz="0" w:space="0" w:color="auto"/>
      </w:divBdr>
    </w:div>
    <w:div w:id="752118369">
      <w:bodyDiv w:val="1"/>
      <w:marLeft w:val="0"/>
      <w:marRight w:val="0"/>
      <w:marTop w:val="0"/>
      <w:marBottom w:val="0"/>
      <w:divBdr>
        <w:top w:val="none" w:sz="0" w:space="0" w:color="auto"/>
        <w:left w:val="none" w:sz="0" w:space="0" w:color="auto"/>
        <w:bottom w:val="none" w:sz="0" w:space="0" w:color="auto"/>
        <w:right w:val="none" w:sz="0" w:space="0" w:color="auto"/>
      </w:divBdr>
    </w:div>
    <w:div w:id="754211215">
      <w:bodyDiv w:val="1"/>
      <w:marLeft w:val="0"/>
      <w:marRight w:val="0"/>
      <w:marTop w:val="0"/>
      <w:marBottom w:val="0"/>
      <w:divBdr>
        <w:top w:val="none" w:sz="0" w:space="0" w:color="auto"/>
        <w:left w:val="none" w:sz="0" w:space="0" w:color="auto"/>
        <w:bottom w:val="none" w:sz="0" w:space="0" w:color="auto"/>
        <w:right w:val="none" w:sz="0" w:space="0" w:color="auto"/>
      </w:divBdr>
    </w:div>
    <w:div w:id="789517611">
      <w:bodyDiv w:val="1"/>
      <w:marLeft w:val="0"/>
      <w:marRight w:val="0"/>
      <w:marTop w:val="0"/>
      <w:marBottom w:val="0"/>
      <w:divBdr>
        <w:top w:val="none" w:sz="0" w:space="0" w:color="auto"/>
        <w:left w:val="none" w:sz="0" w:space="0" w:color="auto"/>
        <w:bottom w:val="none" w:sz="0" w:space="0" w:color="auto"/>
        <w:right w:val="none" w:sz="0" w:space="0" w:color="auto"/>
      </w:divBdr>
    </w:div>
    <w:div w:id="842817541">
      <w:bodyDiv w:val="1"/>
      <w:marLeft w:val="0"/>
      <w:marRight w:val="0"/>
      <w:marTop w:val="0"/>
      <w:marBottom w:val="0"/>
      <w:divBdr>
        <w:top w:val="none" w:sz="0" w:space="0" w:color="auto"/>
        <w:left w:val="none" w:sz="0" w:space="0" w:color="auto"/>
        <w:bottom w:val="none" w:sz="0" w:space="0" w:color="auto"/>
        <w:right w:val="none" w:sz="0" w:space="0" w:color="auto"/>
      </w:divBdr>
    </w:div>
    <w:div w:id="860708674">
      <w:bodyDiv w:val="1"/>
      <w:marLeft w:val="0"/>
      <w:marRight w:val="0"/>
      <w:marTop w:val="0"/>
      <w:marBottom w:val="0"/>
      <w:divBdr>
        <w:top w:val="none" w:sz="0" w:space="0" w:color="auto"/>
        <w:left w:val="none" w:sz="0" w:space="0" w:color="auto"/>
        <w:bottom w:val="none" w:sz="0" w:space="0" w:color="auto"/>
        <w:right w:val="none" w:sz="0" w:space="0" w:color="auto"/>
      </w:divBdr>
    </w:div>
    <w:div w:id="875853045">
      <w:bodyDiv w:val="1"/>
      <w:marLeft w:val="0"/>
      <w:marRight w:val="0"/>
      <w:marTop w:val="0"/>
      <w:marBottom w:val="0"/>
      <w:divBdr>
        <w:top w:val="none" w:sz="0" w:space="0" w:color="auto"/>
        <w:left w:val="none" w:sz="0" w:space="0" w:color="auto"/>
        <w:bottom w:val="none" w:sz="0" w:space="0" w:color="auto"/>
        <w:right w:val="none" w:sz="0" w:space="0" w:color="auto"/>
      </w:divBdr>
    </w:div>
    <w:div w:id="1197350472">
      <w:bodyDiv w:val="1"/>
      <w:marLeft w:val="0"/>
      <w:marRight w:val="0"/>
      <w:marTop w:val="0"/>
      <w:marBottom w:val="0"/>
      <w:divBdr>
        <w:top w:val="none" w:sz="0" w:space="0" w:color="auto"/>
        <w:left w:val="none" w:sz="0" w:space="0" w:color="auto"/>
        <w:bottom w:val="none" w:sz="0" w:space="0" w:color="auto"/>
        <w:right w:val="none" w:sz="0" w:space="0" w:color="auto"/>
      </w:divBdr>
    </w:div>
    <w:div w:id="1207763711">
      <w:bodyDiv w:val="1"/>
      <w:marLeft w:val="0"/>
      <w:marRight w:val="0"/>
      <w:marTop w:val="0"/>
      <w:marBottom w:val="0"/>
      <w:divBdr>
        <w:top w:val="none" w:sz="0" w:space="0" w:color="auto"/>
        <w:left w:val="none" w:sz="0" w:space="0" w:color="auto"/>
        <w:bottom w:val="none" w:sz="0" w:space="0" w:color="auto"/>
        <w:right w:val="none" w:sz="0" w:space="0" w:color="auto"/>
      </w:divBdr>
    </w:div>
    <w:div w:id="1232158744">
      <w:bodyDiv w:val="1"/>
      <w:marLeft w:val="0"/>
      <w:marRight w:val="0"/>
      <w:marTop w:val="0"/>
      <w:marBottom w:val="0"/>
      <w:divBdr>
        <w:top w:val="none" w:sz="0" w:space="0" w:color="auto"/>
        <w:left w:val="none" w:sz="0" w:space="0" w:color="auto"/>
        <w:bottom w:val="none" w:sz="0" w:space="0" w:color="auto"/>
        <w:right w:val="none" w:sz="0" w:space="0" w:color="auto"/>
      </w:divBdr>
    </w:div>
    <w:div w:id="1240096185">
      <w:bodyDiv w:val="1"/>
      <w:marLeft w:val="0"/>
      <w:marRight w:val="0"/>
      <w:marTop w:val="0"/>
      <w:marBottom w:val="0"/>
      <w:divBdr>
        <w:top w:val="none" w:sz="0" w:space="0" w:color="auto"/>
        <w:left w:val="none" w:sz="0" w:space="0" w:color="auto"/>
        <w:bottom w:val="none" w:sz="0" w:space="0" w:color="auto"/>
        <w:right w:val="none" w:sz="0" w:space="0" w:color="auto"/>
      </w:divBdr>
    </w:div>
    <w:div w:id="1276673058">
      <w:bodyDiv w:val="1"/>
      <w:marLeft w:val="0"/>
      <w:marRight w:val="0"/>
      <w:marTop w:val="0"/>
      <w:marBottom w:val="0"/>
      <w:divBdr>
        <w:top w:val="none" w:sz="0" w:space="0" w:color="auto"/>
        <w:left w:val="none" w:sz="0" w:space="0" w:color="auto"/>
        <w:bottom w:val="none" w:sz="0" w:space="0" w:color="auto"/>
        <w:right w:val="none" w:sz="0" w:space="0" w:color="auto"/>
      </w:divBdr>
    </w:div>
    <w:div w:id="1347708678">
      <w:bodyDiv w:val="1"/>
      <w:marLeft w:val="0"/>
      <w:marRight w:val="0"/>
      <w:marTop w:val="0"/>
      <w:marBottom w:val="0"/>
      <w:divBdr>
        <w:top w:val="none" w:sz="0" w:space="0" w:color="auto"/>
        <w:left w:val="none" w:sz="0" w:space="0" w:color="auto"/>
        <w:bottom w:val="none" w:sz="0" w:space="0" w:color="auto"/>
        <w:right w:val="none" w:sz="0" w:space="0" w:color="auto"/>
      </w:divBdr>
    </w:div>
    <w:div w:id="1357734831">
      <w:bodyDiv w:val="1"/>
      <w:marLeft w:val="0"/>
      <w:marRight w:val="0"/>
      <w:marTop w:val="0"/>
      <w:marBottom w:val="0"/>
      <w:divBdr>
        <w:top w:val="none" w:sz="0" w:space="0" w:color="auto"/>
        <w:left w:val="none" w:sz="0" w:space="0" w:color="auto"/>
        <w:bottom w:val="none" w:sz="0" w:space="0" w:color="auto"/>
        <w:right w:val="none" w:sz="0" w:space="0" w:color="auto"/>
      </w:divBdr>
    </w:div>
    <w:div w:id="1493567604">
      <w:bodyDiv w:val="1"/>
      <w:marLeft w:val="0"/>
      <w:marRight w:val="0"/>
      <w:marTop w:val="0"/>
      <w:marBottom w:val="0"/>
      <w:divBdr>
        <w:top w:val="none" w:sz="0" w:space="0" w:color="auto"/>
        <w:left w:val="none" w:sz="0" w:space="0" w:color="auto"/>
        <w:bottom w:val="none" w:sz="0" w:space="0" w:color="auto"/>
        <w:right w:val="none" w:sz="0" w:space="0" w:color="auto"/>
      </w:divBdr>
    </w:div>
    <w:div w:id="1517185832">
      <w:bodyDiv w:val="1"/>
      <w:marLeft w:val="0"/>
      <w:marRight w:val="0"/>
      <w:marTop w:val="0"/>
      <w:marBottom w:val="0"/>
      <w:divBdr>
        <w:top w:val="none" w:sz="0" w:space="0" w:color="auto"/>
        <w:left w:val="none" w:sz="0" w:space="0" w:color="auto"/>
        <w:bottom w:val="none" w:sz="0" w:space="0" w:color="auto"/>
        <w:right w:val="none" w:sz="0" w:space="0" w:color="auto"/>
      </w:divBdr>
    </w:div>
    <w:div w:id="1571384943">
      <w:bodyDiv w:val="1"/>
      <w:marLeft w:val="0"/>
      <w:marRight w:val="0"/>
      <w:marTop w:val="0"/>
      <w:marBottom w:val="0"/>
      <w:divBdr>
        <w:top w:val="none" w:sz="0" w:space="0" w:color="auto"/>
        <w:left w:val="none" w:sz="0" w:space="0" w:color="auto"/>
        <w:bottom w:val="none" w:sz="0" w:space="0" w:color="auto"/>
        <w:right w:val="none" w:sz="0" w:space="0" w:color="auto"/>
      </w:divBdr>
    </w:div>
    <w:div w:id="1704479380">
      <w:bodyDiv w:val="1"/>
      <w:marLeft w:val="0"/>
      <w:marRight w:val="0"/>
      <w:marTop w:val="0"/>
      <w:marBottom w:val="0"/>
      <w:divBdr>
        <w:top w:val="none" w:sz="0" w:space="0" w:color="auto"/>
        <w:left w:val="none" w:sz="0" w:space="0" w:color="auto"/>
        <w:bottom w:val="none" w:sz="0" w:space="0" w:color="auto"/>
        <w:right w:val="none" w:sz="0" w:space="0" w:color="auto"/>
      </w:divBdr>
    </w:div>
    <w:div w:id="1793088884">
      <w:bodyDiv w:val="1"/>
      <w:marLeft w:val="0"/>
      <w:marRight w:val="0"/>
      <w:marTop w:val="0"/>
      <w:marBottom w:val="0"/>
      <w:divBdr>
        <w:top w:val="none" w:sz="0" w:space="0" w:color="auto"/>
        <w:left w:val="none" w:sz="0" w:space="0" w:color="auto"/>
        <w:bottom w:val="none" w:sz="0" w:space="0" w:color="auto"/>
        <w:right w:val="none" w:sz="0" w:space="0" w:color="auto"/>
      </w:divBdr>
    </w:div>
    <w:div w:id="1793592862">
      <w:bodyDiv w:val="1"/>
      <w:marLeft w:val="0"/>
      <w:marRight w:val="0"/>
      <w:marTop w:val="0"/>
      <w:marBottom w:val="0"/>
      <w:divBdr>
        <w:top w:val="none" w:sz="0" w:space="0" w:color="auto"/>
        <w:left w:val="none" w:sz="0" w:space="0" w:color="auto"/>
        <w:bottom w:val="none" w:sz="0" w:space="0" w:color="auto"/>
        <w:right w:val="none" w:sz="0" w:space="0" w:color="auto"/>
      </w:divBdr>
    </w:div>
    <w:div w:id="1796874022">
      <w:bodyDiv w:val="1"/>
      <w:marLeft w:val="0"/>
      <w:marRight w:val="0"/>
      <w:marTop w:val="0"/>
      <w:marBottom w:val="0"/>
      <w:divBdr>
        <w:top w:val="none" w:sz="0" w:space="0" w:color="auto"/>
        <w:left w:val="none" w:sz="0" w:space="0" w:color="auto"/>
        <w:bottom w:val="none" w:sz="0" w:space="0" w:color="auto"/>
        <w:right w:val="none" w:sz="0" w:space="0" w:color="auto"/>
      </w:divBdr>
    </w:div>
    <w:div w:id="1821189504">
      <w:bodyDiv w:val="1"/>
      <w:marLeft w:val="0"/>
      <w:marRight w:val="0"/>
      <w:marTop w:val="0"/>
      <w:marBottom w:val="0"/>
      <w:divBdr>
        <w:top w:val="none" w:sz="0" w:space="0" w:color="auto"/>
        <w:left w:val="none" w:sz="0" w:space="0" w:color="auto"/>
        <w:bottom w:val="none" w:sz="0" w:space="0" w:color="auto"/>
        <w:right w:val="none" w:sz="0" w:space="0" w:color="auto"/>
      </w:divBdr>
    </w:div>
    <w:div w:id="1851723202">
      <w:bodyDiv w:val="1"/>
      <w:marLeft w:val="0"/>
      <w:marRight w:val="0"/>
      <w:marTop w:val="0"/>
      <w:marBottom w:val="0"/>
      <w:divBdr>
        <w:top w:val="none" w:sz="0" w:space="0" w:color="auto"/>
        <w:left w:val="none" w:sz="0" w:space="0" w:color="auto"/>
        <w:bottom w:val="none" w:sz="0" w:space="0" w:color="auto"/>
        <w:right w:val="none" w:sz="0" w:space="0" w:color="auto"/>
      </w:divBdr>
    </w:div>
    <w:div w:id="1883787868">
      <w:bodyDiv w:val="1"/>
      <w:marLeft w:val="0"/>
      <w:marRight w:val="0"/>
      <w:marTop w:val="0"/>
      <w:marBottom w:val="0"/>
      <w:divBdr>
        <w:top w:val="none" w:sz="0" w:space="0" w:color="auto"/>
        <w:left w:val="none" w:sz="0" w:space="0" w:color="auto"/>
        <w:bottom w:val="none" w:sz="0" w:space="0" w:color="auto"/>
        <w:right w:val="none" w:sz="0" w:space="0" w:color="auto"/>
      </w:divBdr>
    </w:div>
    <w:div w:id="1943101954">
      <w:bodyDiv w:val="1"/>
      <w:marLeft w:val="0"/>
      <w:marRight w:val="0"/>
      <w:marTop w:val="0"/>
      <w:marBottom w:val="0"/>
      <w:divBdr>
        <w:top w:val="none" w:sz="0" w:space="0" w:color="auto"/>
        <w:left w:val="none" w:sz="0" w:space="0" w:color="auto"/>
        <w:bottom w:val="none" w:sz="0" w:space="0" w:color="auto"/>
        <w:right w:val="none" w:sz="0" w:space="0" w:color="auto"/>
      </w:divBdr>
    </w:div>
    <w:div w:id="1951621981">
      <w:bodyDiv w:val="1"/>
      <w:marLeft w:val="0"/>
      <w:marRight w:val="0"/>
      <w:marTop w:val="0"/>
      <w:marBottom w:val="0"/>
      <w:divBdr>
        <w:top w:val="none" w:sz="0" w:space="0" w:color="auto"/>
        <w:left w:val="none" w:sz="0" w:space="0" w:color="auto"/>
        <w:bottom w:val="none" w:sz="0" w:space="0" w:color="auto"/>
        <w:right w:val="none" w:sz="0" w:space="0" w:color="auto"/>
      </w:divBdr>
    </w:div>
    <w:div w:id="1966502892">
      <w:bodyDiv w:val="1"/>
      <w:marLeft w:val="0"/>
      <w:marRight w:val="0"/>
      <w:marTop w:val="0"/>
      <w:marBottom w:val="0"/>
      <w:divBdr>
        <w:top w:val="none" w:sz="0" w:space="0" w:color="auto"/>
        <w:left w:val="none" w:sz="0" w:space="0" w:color="auto"/>
        <w:bottom w:val="none" w:sz="0" w:space="0" w:color="auto"/>
        <w:right w:val="none" w:sz="0" w:space="0" w:color="auto"/>
      </w:divBdr>
    </w:div>
    <w:div w:id="20911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1A1E-B5FD-4290-B145-94640A20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5095</Words>
  <Characters>30299</Characters>
  <Application>Microsoft Office Word</Application>
  <DocSecurity>0</DocSecurity>
  <Lines>252</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20071219</vt:lpstr>
      <vt:lpstr>20071219</vt:lpstr>
    </vt:vector>
  </TitlesOfParts>
  <Company>MFRS</Company>
  <LinksUpToDate>false</LinksUpToDate>
  <CharactersWithSpaces>35324</CharactersWithSpaces>
  <SharedDoc>false</SharedDoc>
  <HLinks>
    <vt:vector size="210" baseType="variant">
      <vt:variant>
        <vt:i4>3866732</vt:i4>
      </vt:variant>
      <vt:variant>
        <vt:i4>195</vt:i4>
      </vt:variant>
      <vt:variant>
        <vt:i4>0</vt:i4>
      </vt:variant>
      <vt:variant>
        <vt:i4>5</vt:i4>
      </vt:variant>
      <vt:variant>
        <vt:lpwstr>http://www.mzz.gov.si/si/ministrstvo/organiziranost/direktorat_za_mednarodno_pravo_in_zascito_interesov/</vt:lpwstr>
      </vt:variant>
      <vt:variant>
        <vt:lpwstr/>
      </vt:variant>
      <vt:variant>
        <vt:i4>3866732</vt:i4>
      </vt:variant>
      <vt:variant>
        <vt:i4>192</vt:i4>
      </vt:variant>
      <vt:variant>
        <vt:i4>0</vt:i4>
      </vt:variant>
      <vt:variant>
        <vt:i4>5</vt:i4>
      </vt:variant>
      <vt:variant>
        <vt:lpwstr>http://www.mzz.gov.si/si/ministrstvo/organiziranost/direktorat_za_mednarodno_pravo_in_zascito_interesov/</vt:lpwstr>
      </vt:variant>
      <vt:variant>
        <vt:lpwstr/>
      </vt:variant>
      <vt:variant>
        <vt:i4>5242980</vt:i4>
      </vt:variant>
      <vt:variant>
        <vt:i4>189</vt:i4>
      </vt:variant>
      <vt:variant>
        <vt:i4>0</vt:i4>
      </vt:variant>
      <vt:variant>
        <vt:i4>5</vt:i4>
      </vt:variant>
      <vt:variant>
        <vt:lpwstr>http://www.mnz.gov.si/fileadmin/mnz.gov.si/pageuploads/UFZJN/PEES/Evropski_sklad_za_integracijo/Odlocba_o_izvajanju_odlocbe_Evropskega_sklada_za_vkljucevanje_drzavljanov_tretjih_drzav.pdf</vt:lpwstr>
      </vt:variant>
      <vt:variant>
        <vt:lpwstr/>
      </vt:variant>
      <vt:variant>
        <vt:i4>5242980</vt:i4>
      </vt:variant>
      <vt:variant>
        <vt:i4>186</vt:i4>
      </vt:variant>
      <vt:variant>
        <vt:i4>0</vt:i4>
      </vt:variant>
      <vt:variant>
        <vt:i4>5</vt:i4>
      </vt:variant>
      <vt:variant>
        <vt:lpwstr>http://www.mnz.gov.si/fileadmin/mnz.gov.si/pageuploads/UFZJN/PEES/Evropski_sklad_za_integracijo/Odlocba_o_izvajanju_odlocbe_Evropskega_sklada_za_vkljucevanje_drzavljanov_tretjih_drzav.pdf</vt:lpwstr>
      </vt:variant>
      <vt:variant>
        <vt:lpwstr/>
      </vt:variant>
      <vt:variant>
        <vt:i4>5242980</vt:i4>
      </vt:variant>
      <vt:variant>
        <vt:i4>183</vt:i4>
      </vt:variant>
      <vt:variant>
        <vt:i4>0</vt:i4>
      </vt:variant>
      <vt:variant>
        <vt:i4>5</vt:i4>
      </vt:variant>
      <vt:variant>
        <vt:lpwstr>http://www.mnz.gov.si/fileadmin/mnz.gov.si/pageuploads/UFZJN/PEES/Evropski_sklad_za_integracijo/Odlocba_o_izvajanju_odlocbe_Evropskega_sklada_za_vkljucevanje_drzavljanov_tretjih_drzav.pdf</vt:lpwstr>
      </vt:variant>
      <vt:variant>
        <vt:lpwstr/>
      </vt:variant>
      <vt:variant>
        <vt:i4>1441841</vt:i4>
      </vt:variant>
      <vt:variant>
        <vt:i4>176</vt:i4>
      </vt:variant>
      <vt:variant>
        <vt:i4>0</vt:i4>
      </vt:variant>
      <vt:variant>
        <vt:i4>5</vt:i4>
      </vt:variant>
      <vt:variant>
        <vt:lpwstr/>
      </vt:variant>
      <vt:variant>
        <vt:lpwstr>_Toc331406307</vt:lpwstr>
      </vt:variant>
      <vt:variant>
        <vt:i4>1441841</vt:i4>
      </vt:variant>
      <vt:variant>
        <vt:i4>170</vt:i4>
      </vt:variant>
      <vt:variant>
        <vt:i4>0</vt:i4>
      </vt:variant>
      <vt:variant>
        <vt:i4>5</vt:i4>
      </vt:variant>
      <vt:variant>
        <vt:lpwstr/>
      </vt:variant>
      <vt:variant>
        <vt:lpwstr>_Toc331406306</vt:lpwstr>
      </vt:variant>
      <vt:variant>
        <vt:i4>1441841</vt:i4>
      </vt:variant>
      <vt:variant>
        <vt:i4>164</vt:i4>
      </vt:variant>
      <vt:variant>
        <vt:i4>0</vt:i4>
      </vt:variant>
      <vt:variant>
        <vt:i4>5</vt:i4>
      </vt:variant>
      <vt:variant>
        <vt:lpwstr/>
      </vt:variant>
      <vt:variant>
        <vt:lpwstr>_Toc331406305</vt:lpwstr>
      </vt:variant>
      <vt:variant>
        <vt:i4>1441841</vt:i4>
      </vt:variant>
      <vt:variant>
        <vt:i4>158</vt:i4>
      </vt:variant>
      <vt:variant>
        <vt:i4>0</vt:i4>
      </vt:variant>
      <vt:variant>
        <vt:i4>5</vt:i4>
      </vt:variant>
      <vt:variant>
        <vt:lpwstr/>
      </vt:variant>
      <vt:variant>
        <vt:lpwstr>_Toc331406304</vt:lpwstr>
      </vt:variant>
      <vt:variant>
        <vt:i4>1441841</vt:i4>
      </vt:variant>
      <vt:variant>
        <vt:i4>152</vt:i4>
      </vt:variant>
      <vt:variant>
        <vt:i4>0</vt:i4>
      </vt:variant>
      <vt:variant>
        <vt:i4>5</vt:i4>
      </vt:variant>
      <vt:variant>
        <vt:lpwstr/>
      </vt:variant>
      <vt:variant>
        <vt:lpwstr>_Toc331406303</vt:lpwstr>
      </vt:variant>
      <vt:variant>
        <vt:i4>1441841</vt:i4>
      </vt:variant>
      <vt:variant>
        <vt:i4>146</vt:i4>
      </vt:variant>
      <vt:variant>
        <vt:i4>0</vt:i4>
      </vt:variant>
      <vt:variant>
        <vt:i4>5</vt:i4>
      </vt:variant>
      <vt:variant>
        <vt:lpwstr/>
      </vt:variant>
      <vt:variant>
        <vt:lpwstr>_Toc331406302</vt:lpwstr>
      </vt:variant>
      <vt:variant>
        <vt:i4>1441841</vt:i4>
      </vt:variant>
      <vt:variant>
        <vt:i4>140</vt:i4>
      </vt:variant>
      <vt:variant>
        <vt:i4>0</vt:i4>
      </vt:variant>
      <vt:variant>
        <vt:i4>5</vt:i4>
      </vt:variant>
      <vt:variant>
        <vt:lpwstr/>
      </vt:variant>
      <vt:variant>
        <vt:lpwstr>_Toc331406301</vt:lpwstr>
      </vt:variant>
      <vt:variant>
        <vt:i4>1441841</vt:i4>
      </vt:variant>
      <vt:variant>
        <vt:i4>134</vt:i4>
      </vt:variant>
      <vt:variant>
        <vt:i4>0</vt:i4>
      </vt:variant>
      <vt:variant>
        <vt:i4>5</vt:i4>
      </vt:variant>
      <vt:variant>
        <vt:lpwstr/>
      </vt:variant>
      <vt:variant>
        <vt:lpwstr>_Toc331406300</vt:lpwstr>
      </vt:variant>
      <vt:variant>
        <vt:i4>2031664</vt:i4>
      </vt:variant>
      <vt:variant>
        <vt:i4>128</vt:i4>
      </vt:variant>
      <vt:variant>
        <vt:i4>0</vt:i4>
      </vt:variant>
      <vt:variant>
        <vt:i4>5</vt:i4>
      </vt:variant>
      <vt:variant>
        <vt:lpwstr/>
      </vt:variant>
      <vt:variant>
        <vt:lpwstr>_Toc331406299</vt:lpwstr>
      </vt:variant>
      <vt:variant>
        <vt:i4>2031664</vt:i4>
      </vt:variant>
      <vt:variant>
        <vt:i4>122</vt:i4>
      </vt:variant>
      <vt:variant>
        <vt:i4>0</vt:i4>
      </vt:variant>
      <vt:variant>
        <vt:i4>5</vt:i4>
      </vt:variant>
      <vt:variant>
        <vt:lpwstr/>
      </vt:variant>
      <vt:variant>
        <vt:lpwstr>_Toc331406298</vt:lpwstr>
      </vt:variant>
      <vt:variant>
        <vt:i4>2031664</vt:i4>
      </vt:variant>
      <vt:variant>
        <vt:i4>116</vt:i4>
      </vt:variant>
      <vt:variant>
        <vt:i4>0</vt:i4>
      </vt:variant>
      <vt:variant>
        <vt:i4>5</vt:i4>
      </vt:variant>
      <vt:variant>
        <vt:lpwstr/>
      </vt:variant>
      <vt:variant>
        <vt:lpwstr>_Toc331406297</vt:lpwstr>
      </vt:variant>
      <vt:variant>
        <vt:i4>2031664</vt:i4>
      </vt:variant>
      <vt:variant>
        <vt:i4>110</vt:i4>
      </vt:variant>
      <vt:variant>
        <vt:i4>0</vt:i4>
      </vt:variant>
      <vt:variant>
        <vt:i4>5</vt:i4>
      </vt:variant>
      <vt:variant>
        <vt:lpwstr/>
      </vt:variant>
      <vt:variant>
        <vt:lpwstr>_Toc331406296</vt:lpwstr>
      </vt:variant>
      <vt:variant>
        <vt:i4>2031664</vt:i4>
      </vt:variant>
      <vt:variant>
        <vt:i4>104</vt:i4>
      </vt:variant>
      <vt:variant>
        <vt:i4>0</vt:i4>
      </vt:variant>
      <vt:variant>
        <vt:i4>5</vt:i4>
      </vt:variant>
      <vt:variant>
        <vt:lpwstr/>
      </vt:variant>
      <vt:variant>
        <vt:lpwstr>_Toc331406295</vt:lpwstr>
      </vt:variant>
      <vt:variant>
        <vt:i4>2031664</vt:i4>
      </vt:variant>
      <vt:variant>
        <vt:i4>98</vt:i4>
      </vt:variant>
      <vt:variant>
        <vt:i4>0</vt:i4>
      </vt:variant>
      <vt:variant>
        <vt:i4>5</vt:i4>
      </vt:variant>
      <vt:variant>
        <vt:lpwstr/>
      </vt:variant>
      <vt:variant>
        <vt:lpwstr>_Toc331406294</vt:lpwstr>
      </vt:variant>
      <vt:variant>
        <vt:i4>2031664</vt:i4>
      </vt:variant>
      <vt:variant>
        <vt:i4>92</vt:i4>
      </vt:variant>
      <vt:variant>
        <vt:i4>0</vt:i4>
      </vt:variant>
      <vt:variant>
        <vt:i4>5</vt:i4>
      </vt:variant>
      <vt:variant>
        <vt:lpwstr/>
      </vt:variant>
      <vt:variant>
        <vt:lpwstr>_Toc331406293</vt:lpwstr>
      </vt:variant>
      <vt:variant>
        <vt:i4>2031664</vt:i4>
      </vt:variant>
      <vt:variant>
        <vt:i4>86</vt:i4>
      </vt:variant>
      <vt:variant>
        <vt:i4>0</vt:i4>
      </vt:variant>
      <vt:variant>
        <vt:i4>5</vt:i4>
      </vt:variant>
      <vt:variant>
        <vt:lpwstr/>
      </vt:variant>
      <vt:variant>
        <vt:lpwstr>_Toc331406292</vt:lpwstr>
      </vt:variant>
      <vt:variant>
        <vt:i4>2031664</vt:i4>
      </vt:variant>
      <vt:variant>
        <vt:i4>80</vt:i4>
      </vt:variant>
      <vt:variant>
        <vt:i4>0</vt:i4>
      </vt:variant>
      <vt:variant>
        <vt:i4>5</vt:i4>
      </vt:variant>
      <vt:variant>
        <vt:lpwstr/>
      </vt:variant>
      <vt:variant>
        <vt:lpwstr>_Toc331406291</vt:lpwstr>
      </vt:variant>
      <vt:variant>
        <vt:i4>2031664</vt:i4>
      </vt:variant>
      <vt:variant>
        <vt:i4>74</vt:i4>
      </vt:variant>
      <vt:variant>
        <vt:i4>0</vt:i4>
      </vt:variant>
      <vt:variant>
        <vt:i4>5</vt:i4>
      </vt:variant>
      <vt:variant>
        <vt:lpwstr/>
      </vt:variant>
      <vt:variant>
        <vt:lpwstr>_Toc331406290</vt:lpwstr>
      </vt:variant>
      <vt:variant>
        <vt:i4>1966128</vt:i4>
      </vt:variant>
      <vt:variant>
        <vt:i4>68</vt:i4>
      </vt:variant>
      <vt:variant>
        <vt:i4>0</vt:i4>
      </vt:variant>
      <vt:variant>
        <vt:i4>5</vt:i4>
      </vt:variant>
      <vt:variant>
        <vt:lpwstr/>
      </vt:variant>
      <vt:variant>
        <vt:lpwstr>_Toc331406289</vt:lpwstr>
      </vt:variant>
      <vt:variant>
        <vt:i4>1966128</vt:i4>
      </vt:variant>
      <vt:variant>
        <vt:i4>62</vt:i4>
      </vt:variant>
      <vt:variant>
        <vt:i4>0</vt:i4>
      </vt:variant>
      <vt:variant>
        <vt:i4>5</vt:i4>
      </vt:variant>
      <vt:variant>
        <vt:lpwstr/>
      </vt:variant>
      <vt:variant>
        <vt:lpwstr>_Toc331406288</vt:lpwstr>
      </vt:variant>
      <vt:variant>
        <vt:i4>1966128</vt:i4>
      </vt:variant>
      <vt:variant>
        <vt:i4>56</vt:i4>
      </vt:variant>
      <vt:variant>
        <vt:i4>0</vt:i4>
      </vt:variant>
      <vt:variant>
        <vt:i4>5</vt:i4>
      </vt:variant>
      <vt:variant>
        <vt:lpwstr/>
      </vt:variant>
      <vt:variant>
        <vt:lpwstr>_Toc331406287</vt:lpwstr>
      </vt:variant>
      <vt:variant>
        <vt:i4>1966128</vt:i4>
      </vt:variant>
      <vt:variant>
        <vt:i4>50</vt:i4>
      </vt:variant>
      <vt:variant>
        <vt:i4>0</vt:i4>
      </vt:variant>
      <vt:variant>
        <vt:i4>5</vt:i4>
      </vt:variant>
      <vt:variant>
        <vt:lpwstr/>
      </vt:variant>
      <vt:variant>
        <vt:lpwstr>_Toc331406286</vt:lpwstr>
      </vt:variant>
      <vt:variant>
        <vt:i4>1966128</vt:i4>
      </vt:variant>
      <vt:variant>
        <vt:i4>44</vt:i4>
      </vt:variant>
      <vt:variant>
        <vt:i4>0</vt:i4>
      </vt:variant>
      <vt:variant>
        <vt:i4>5</vt:i4>
      </vt:variant>
      <vt:variant>
        <vt:lpwstr/>
      </vt:variant>
      <vt:variant>
        <vt:lpwstr>_Toc331406285</vt:lpwstr>
      </vt:variant>
      <vt:variant>
        <vt:i4>1966128</vt:i4>
      </vt:variant>
      <vt:variant>
        <vt:i4>38</vt:i4>
      </vt:variant>
      <vt:variant>
        <vt:i4>0</vt:i4>
      </vt:variant>
      <vt:variant>
        <vt:i4>5</vt:i4>
      </vt:variant>
      <vt:variant>
        <vt:lpwstr/>
      </vt:variant>
      <vt:variant>
        <vt:lpwstr>_Toc331406284</vt:lpwstr>
      </vt:variant>
      <vt:variant>
        <vt:i4>1966128</vt:i4>
      </vt:variant>
      <vt:variant>
        <vt:i4>32</vt:i4>
      </vt:variant>
      <vt:variant>
        <vt:i4>0</vt:i4>
      </vt:variant>
      <vt:variant>
        <vt:i4>5</vt:i4>
      </vt:variant>
      <vt:variant>
        <vt:lpwstr/>
      </vt:variant>
      <vt:variant>
        <vt:lpwstr>_Toc331406283</vt:lpwstr>
      </vt:variant>
      <vt:variant>
        <vt:i4>1966128</vt:i4>
      </vt:variant>
      <vt:variant>
        <vt:i4>26</vt:i4>
      </vt:variant>
      <vt:variant>
        <vt:i4>0</vt:i4>
      </vt:variant>
      <vt:variant>
        <vt:i4>5</vt:i4>
      </vt:variant>
      <vt:variant>
        <vt:lpwstr/>
      </vt:variant>
      <vt:variant>
        <vt:lpwstr>_Toc331406282</vt:lpwstr>
      </vt:variant>
      <vt:variant>
        <vt:i4>1966128</vt:i4>
      </vt:variant>
      <vt:variant>
        <vt:i4>20</vt:i4>
      </vt:variant>
      <vt:variant>
        <vt:i4>0</vt:i4>
      </vt:variant>
      <vt:variant>
        <vt:i4>5</vt:i4>
      </vt:variant>
      <vt:variant>
        <vt:lpwstr/>
      </vt:variant>
      <vt:variant>
        <vt:lpwstr>_Toc331406281</vt:lpwstr>
      </vt:variant>
      <vt:variant>
        <vt:i4>1966128</vt:i4>
      </vt:variant>
      <vt:variant>
        <vt:i4>14</vt:i4>
      </vt:variant>
      <vt:variant>
        <vt:i4>0</vt:i4>
      </vt:variant>
      <vt:variant>
        <vt:i4>5</vt:i4>
      </vt:variant>
      <vt:variant>
        <vt:lpwstr/>
      </vt:variant>
      <vt:variant>
        <vt:lpwstr>_Toc331406280</vt:lpwstr>
      </vt:variant>
      <vt:variant>
        <vt:i4>1114160</vt:i4>
      </vt:variant>
      <vt:variant>
        <vt:i4>8</vt:i4>
      </vt:variant>
      <vt:variant>
        <vt:i4>0</vt:i4>
      </vt:variant>
      <vt:variant>
        <vt:i4>5</vt:i4>
      </vt:variant>
      <vt:variant>
        <vt:lpwstr/>
      </vt:variant>
      <vt:variant>
        <vt:lpwstr>_Toc331406279</vt:lpwstr>
      </vt:variant>
      <vt:variant>
        <vt:i4>1114160</vt:i4>
      </vt:variant>
      <vt:variant>
        <vt:i4>2</vt:i4>
      </vt:variant>
      <vt:variant>
        <vt:i4>0</vt:i4>
      </vt:variant>
      <vt:variant>
        <vt:i4>5</vt:i4>
      </vt:variant>
      <vt:variant>
        <vt:lpwstr/>
      </vt:variant>
      <vt:variant>
        <vt:lpwstr>_Toc331406278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20071219</dc:title>
  <dc:subject/>
  <dc:creator>IT</dc:creator>
  <cp:keywords/>
  <dc:description/>
  <cp:lastModifiedBy>Maja Krušič</cp:lastModifiedBy>
  <cp:revision>3</cp:revision>
  <cp:lastPrinted>2017-01-30T13:52:00Z</cp:lastPrinted>
  <dcterms:created xsi:type="dcterms:W3CDTF">2020-10-05T14:54:00Z</dcterms:created>
  <dcterms:modified xsi:type="dcterms:W3CDTF">2023-05-08T14:19:00Z</dcterms:modified>
</cp:coreProperties>
</file>