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8AB" w:rsidRPr="006A388F" w:rsidRDefault="00670888" w:rsidP="00DB72CE">
      <w:pPr>
        <w:tabs>
          <w:tab w:val="center" w:pos="4320"/>
          <w:tab w:val="right" w:pos="8640"/>
        </w:tabs>
        <w:spacing w:after="0" w:line="288" w:lineRule="auto"/>
        <w:rPr>
          <w:rFonts w:eastAsia="Times New Roman" w:cs="Times New Roman"/>
          <w:bCs/>
          <w:iCs/>
          <w:sz w:val="20"/>
          <w:szCs w:val="20"/>
        </w:rPr>
      </w:pPr>
      <w:r w:rsidRPr="006A388F">
        <w:rPr>
          <w:noProof/>
          <w:sz w:val="20"/>
          <w:szCs w:val="20"/>
          <w:lang w:eastAsia="sl-SI"/>
        </w:rPr>
        <w:drawing>
          <wp:inline distT="0" distB="0" distL="0" distR="0">
            <wp:extent cx="3181350" cy="352425"/>
            <wp:effectExtent l="0" t="0" r="0" b="0"/>
            <wp:docPr id="1" name="Picture 1"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1350" cy="352425"/>
                    </a:xfrm>
                    <a:prstGeom prst="rect">
                      <a:avLst/>
                    </a:prstGeom>
                    <a:noFill/>
                    <a:ln>
                      <a:noFill/>
                    </a:ln>
                  </pic:spPr>
                </pic:pic>
              </a:graphicData>
            </a:graphic>
          </wp:inline>
        </w:drawing>
      </w:r>
      <w:r w:rsidR="009B58AB" w:rsidRPr="006A388F">
        <w:rPr>
          <w:sz w:val="20"/>
          <w:szCs w:val="20"/>
          <w:lang w:eastAsia="sl-SI"/>
        </w:rPr>
        <w:t xml:space="preserve">                                 </w:t>
      </w:r>
      <w:r w:rsidR="00A34935">
        <w:rPr>
          <w:sz w:val="20"/>
          <w:szCs w:val="20"/>
          <w:lang w:eastAsia="sl-SI"/>
        </w:rPr>
        <w:t xml:space="preserve">            </w:t>
      </w:r>
      <w:r w:rsidR="009B58AB" w:rsidRPr="006A388F">
        <w:rPr>
          <w:sz w:val="20"/>
          <w:szCs w:val="20"/>
          <w:lang w:eastAsia="sl-SI"/>
        </w:rPr>
        <w:t xml:space="preserve">   </w:t>
      </w:r>
      <w:r w:rsidRPr="006A388F">
        <w:rPr>
          <w:noProof/>
          <w:sz w:val="20"/>
          <w:szCs w:val="20"/>
          <w:lang w:eastAsia="sl-SI"/>
        </w:rPr>
        <w:drawing>
          <wp:inline distT="0" distB="0" distL="0" distR="0">
            <wp:extent cx="838200" cy="733425"/>
            <wp:effectExtent l="0" t="0" r="0" b="0"/>
            <wp:docPr id="2" name="Picture 2" descr="Logo SI Sploš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I Sploš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733425"/>
                    </a:xfrm>
                    <a:prstGeom prst="rect">
                      <a:avLst/>
                    </a:prstGeom>
                    <a:noFill/>
                    <a:ln>
                      <a:noFill/>
                    </a:ln>
                  </pic:spPr>
                </pic:pic>
              </a:graphicData>
            </a:graphic>
          </wp:inline>
        </w:drawing>
      </w:r>
    </w:p>
    <w:p w:rsidR="009B58AB" w:rsidRPr="006A388F" w:rsidRDefault="009B58AB" w:rsidP="00DB72CE">
      <w:pPr>
        <w:tabs>
          <w:tab w:val="center" w:pos="4320"/>
          <w:tab w:val="right" w:pos="8640"/>
        </w:tabs>
        <w:spacing w:after="0" w:line="288" w:lineRule="auto"/>
        <w:rPr>
          <w:rFonts w:eastAsia="Times New Roman" w:cs="Times New Roman"/>
          <w:bCs/>
          <w:iCs/>
          <w:sz w:val="20"/>
          <w:szCs w:val="20"/>
        </w:rPr>
      </w:pPr>
    </w:p>
    <w:p w:rsidR="0088453A" w:rsidRPr="006A388F" w:rsidRDefault="0088453A" w:rsidP="00DB72CE">
      <w:pPr>
        <w:tabs>
          <w:tab w:val="center" w:pos="4320"/>
          <w:tab w:val="right" w:pos="8640"/>
        </w:tabs>
        <w:spacing w:after="0" w:line="288" w:lineRule="auto"/>
        <w:rPr>
          <w:rFonts w:eastAsia="Times New Roman" w:cs="Times New Roman"/>
          <w:bCs/>
          <w:iCs/>
          <w:sz w:val="20"/>
          <w:szCs w:val="20"/>
        </w:rPr>
      </w:pPr>
    </w:p>
    <w:p w:rsidR="004E34D0" w:rsidRPr="00A34935" w:rsidRDefault="00FC0744" w:rsidP="00DB72CE">
      <w:pPr>
        <w:tabs>
          <w:tab w:val="center" w:pos="4320"/>
          <w:tab w:val="right" w:pos="8640"/>
        </w:tabs>
        <w:spacing w:after="0" w:line="288" w:lineRule="auto"/>
        <w:jc w:val="right"/>
        <w:rPr>
          <w:rFonts w:eastAsia="Times New Roman" w:cs="Times New Roman"/>
          <w:bCs/>
          <w:iCs/>
        </w:rPr>
      </w:pPr>
      <w:r w:rsidRPr="00A34935">
        <w:rPr>
          <w:rFonts w:eastAsia="Times New Roman" w:cs="Times New Roman"/>
          <w:bCs/>
          <w:iCs/>
        </w:rPr>
        <w:t xml:space="preserve">PRILOGA </w:t>
      </w:r>
      <w:r w:rsidR="00B72DB0">
        <w:rPr>
          <w:rFonts w:eastAsia="Times New Roman" w:cs="Times New Roman"/>
          <w:bCs/>
          <w:iCs/>
        </w:rPr>
        <w:t>7</w:t>
      </w:r>
    </w:p>
    <w:p w:rsidR="00FC0744" w:rsidRPr="00A34935" w:rsidRDefault="00A34935" w:rsidP="00DB72CE">
      <w:pPr>
        <w:tabs>
          <w:tab w:val="left" w:pos="900"/>
        </w:tabs>
        <w:spacing w:after="0" w:line="288" w:lineRule="auto"/>
        <w:rPr>
          <w:rFonts w:eastAsia="Times New Roman" w:cs="Times New Roman"/>
          <w:bCs/>
          <w:iCs/>
        </w:rPr>
      </w:pPr>
      <w:r w:rsidRPr="00A34935">
        <w:rPr>
          <w:rFonts w:eastAsia="Times New Roman" w:cs="Times New Roman"/>
          <w:bCs/>
          <w:iCs/>
        </w:rPr>
        <w:tab/>
      </w:r>
    </w:p>
    <w:p w:rsidR="00A34935" w:rsidRDefault="00A34935" w:rsidP="00DB72CE">
      <w:pPr>
        <w:tabs>
          <w:tab w:val="center" w:pos="4320"/>
          <w:tab w:val="right" w:pos="8640"/>
        </w:tabs>
        <w:spacing w:after="0" w:line="288" w:lineRule="auto"/>
        <w:rPr>
          <w:rFonts w:eastAsia="Times New Roman" w:cs="Times New Roman"/>
          <w:b/>
          <w:bCs/>
          <w:iCs/>
        </w:rPr>
      </w:pPr>
    </w:p>
    <w:p w:rsidR="004E34D0" w:rsidRPr="00A34935" w:rsidRDefault="00B20EDB" w:rsidP="00DB72CE">
      <w:pPr>
        <w:tabs>
          <w:tab w:val="center" w:pos="4320"/>
          <w:tab w:val="right" w:pos="8640"/>
        </w:tabs>
        <w:spacing w:after="0" w:line="288" w:lineRule="auto"/>
        <w:jc w:val="both"/>
        <w:rPr>
          <w:rFonts w:eastAsia="Times New Roman" w:cs="Times New Roman"/>
          <w:b/>
          <w:bCs/>
          <w:iCs/>
        </w:rPr>
      </w:pPr>
      <w:r>
        <w:rPr>
          <w:rFonts w:eastAsia="Times New Roman" w:cs="Times New Roman"/>
          <w:b/>
          <w:bCs/>
          <w:iCs/>
        </w:rPr>
        <w:t>U</w:t>
      </w:r>
      <w:r w:rsidR="004E34D0" w:rsidRPr="00A34935">
        <w:rPr>
          <w:rFonts w:eastAsia="Times New Roman" w:cs="Times New Roman"/>
          <w:b/>
          <w:bCs/>
          <w:iCs/>
        </w:rPr>
        <w:t xml:space="preserve">veljavljanje stroškov dela na </w:t>
      </w:r>
      <w:r w:rsidR="00F63730">
        <w:rPr>
          <w:rFonts w:eastAsia="Times New Roman" w:cs="Times New Roman"/>
          <w:b/>
          <w:bCs/>
          <w:iCs/>
        </w:rPr>
        <w:t xml:space="preserve">podlagi </w:t>
      </w:r>
      <w:r w:rsidR="00B72DB0">
        <w:rPr>
          <w:rFonts w:eastAsia="Times New Roman" w:cs="Times New Roman"/>
          <w:b/>
          <w:bCs/>
          <w:iCs/>
        </w:rPr>
        <w:t xml:space="preserve">normativnega izračuna – strošek na enoto (SSE) </w:t>
      </w:r>
      <w:r>
        <w:rPr>
          <w:rFonts w:eastAsia="Times New Roman" w:cs="Times New Roman"/>
          <w:b/>
          <w:bCs/>
          <w:iCs/>
        </w:rPr>
        <w:t>- obrazložitev</w:t>
      </w:r>
    </w:p>
    <w:p w:rsidR="004E34D0" w:rsidRPr="00A34935" w:rsidRDefault="004E34D0" w:rsidP="00DB72CE">
      <w:pPr>
        <w:tabs>
          <w:tab w:val="center" w:pos="4320"/>
          <w:tab w:val="right" w:pos="8640"/>
        </w:tabs>
        <w:spacing w:after="0" w:line="288" w:lineRule="auto"/>
        <w:rPr>
          <w:rFonts w:eastAsia="Times New Roman" w:cs="Times New Roman"/>
          <w:b/>
          <w:bCs/>
          <w:iCs/>
        </w:rPr>
      </w:pPr>
    </w:p>
    <w:p w:rsidR="0049411B" w:rsidRPr="00A34935" w:rsidRDefault="0049411B" w:rsidP="00DB72CE">
      <w:pPr>
        <w:tabs>
          <w:tab w:val="center" w:pos="4320"/>
          <w:tab w:val="right" w:pos="8640"/>
        </w:tabs>
        <w:spacing w:after="0" w:line="288" w:lineRule="auto"/>
        <w:jc w:val="both"/>
        <w:rPr>
          <w:rFonts w:eastAsia="Times New Roman" w:cs="Times New Roman"/>
          <w:bCs/>
          <w:iCs/>
        </w:rPr>
      </w:pPr>
      <w:r w:rsidRPr="00A34935">
        <w:rPr>
          <w:rFonts w:eastAsia="Times New Roman" w:cs="Times New Roman"/>
          <w:bCs/>
          <w:iCs/>
        </w:rPr>
        <w:t>Končni upravičenci, izbr</w:t>
      </w:r>
      <w:r w:rsidR="009A2ABB" w:rsidRPr="00A34935">
        <w:rPr>
          <w:rFonts w:eastAsia="Times New Roman" w:cs="Times New Roman"/>
          <w:bCs/>
          <w:iCs/>
        </w:rPr>
        <w:t>ani na podlagi javnih razpisov</w:t>
      </w:r>
      <w:r w:rsidR="00695EC6" w:rsidRPr="00A34935">
        <w:rPr>
          <w:rFonts w:eastAsia="Times New Roman" w:cs="Times New Roman"/>
          <w:bCs/>
          <w:iCs/>
        </w:rPr>
        <w:t>,</w:t>
      </w:r>
      <w:r w:rsidR="009A2ABB" w:rsidRPr="00A34935">
        <w:rPr>
          <w:rFonts w:eastAsia="Times New Roman" w:cs="Times New Roman"/>
          <w:bCs/>
          <w:iCs/>
        </w:rPr>
        <w:t xml:space="preserve"> </w:t>
      </w:r>
      <w:r w:rsidRPr="00A34935">
        <w:rPr>
          <w:rFonts w:eastAsia="Times New Roman" w:cs="Times New Roman"/>
          <w:bCs/>
          <w:iCs/>
        </w:rPr>
        <w:t xml:space="preserve">so osebe zasebnega prava (npr. nevladne organizacije ali druge organizacije, ki izvajajo projekte v skladu z načelom nepridobitnosti) </w:t>
      </w:r>
      <w:r w:rsidR="009A2ABB" w:rsidRPr="00A34935">
        <w:rPr>
          <w:rFonts w:eastAsia="Times New Roman" w:cs="Times New Roman"/>
          <w:bCs/>
          <w:iCs/>
        </w:rPr>
        <w:t xml:space="preserve">in skladno z razpisnimi pogoji </w:t>
      </w:r>
      <w:r w:rsidR="00A34935">
        <w:rPr>
          <w:rFonts w:eastAsia="Times New Roman" w:cs="Times New Roman"/>
          <w:bCs/>
          <w:iCs/>
        </w:rPr>
        <w:t xml:space="preserve">lahko stroške dela </w:t>
      </w:r>
      <w:r w:rsidRPr="00A34935">
        <w:rPr>
          <w:rFonts w:eastAsia="Times New Roman" w:cs="Times New Roman"/>
          <w:bCs/>
          <w:iCs/>
        </w:rPr>
        <w:t xml:space="preserve">uveljavljajo na podlagi </w:t>
      </w:r>
      <w:r w:rsidR="00B72DB0">
        <w:rPr>
          <w:rFonts w:eastAsia="Times New Roman" w:cs="Times New Roman"/>
          <w:bCs/>
          <w:iCs/>
        </w:rPr>
        <w:t>stroška</w:t>
      </w:r>
      <w:r w:rsidR="00B72DB0" w:rsidRPr="00B72DB0">
        <w:rPr>
          <w:rFonts w:eastAsia="Times New Roman" w:cs="Times New Roman"/>
          <w:bCs/>
          <w:iCs/>
        </w:rPr>
        <w:t xml:space="preserve"> na enoto (SSE)</w:t>
      </w:r>
      <w:r w:rsidR="00B72DB0">
        <w:rPr>
          <w:rFonts w:eastAsia="Times New Roman" w:cs="Times New Roman"/>
          <w:bCs/>
          <w:iCs/>
        </w:rPr>
        <w:t>.</w:t>
      </w:r>
    </w:p>
    <w:p w:rsidR="0049411B" w:rsidRPr="00A34935" w:rsidRDefault="0049411B" w:rsidP="00DB72CE">
      <w:pPr>
        <w:tabs>
          <w:tab w:val="center" w:pos="4320"/>
          <w:tab w:val="right" w:pos="8640"/>
        </w:tabs>
        <w:spacing w:after="0" w:line="288" w:lineRule="auto"/>
        <w:jc w:val="both"/>
        <w:rPr>
          <w:rFonts w:eastAsia="Times New Roman" w:cs="Times New Roman"/>
          <w:bCs/>
          <w:iCs/>
        </w:rPr>
      </w:pPr>
    </w:p>
    <w:p w:rsidR="00D371E2" w:rsidRDefault="00B72DB0" w:rsidP="00DB72CE">
      <w:pPr>
        <w:tabs>
          <w:tab w:val="center" w:pos="4320"/>
          <w:tab w:val="right" w:pos="8640"/>
        </w:tabs>
        <w:spacing w:after="0" w:line="288" w:lineRule="auto"/>
        <w:jc w:val="both"/>
        <w:rPr>
          <w:rFonts w:eastAsia="Times New Roman" w:cs="Times New Roman"/>
          <w:bCs/>
          <w:iCs/>
        </w:rPr>
      </w:pPr>
      <w:r>
        <w:rPr>
          <w:rFonts w:eastAsia="Times New Roman" w:cs="Times New Roman"/>
          <w:bCs/>
          <w:iCs/>
        </w:rPr>
        <w:t xml:space="preserve">SSE </w:t>
      </w:r>
      <w:r w:rsidR="0049411B" w:rsidRPr="00A34935">
        <w:rPr>
          <w:rFonts w:eastAsia="Times New Roman" w:cs="Times New Roman"/>
          <w:bCs/>
          <w:iCs/>
        </w:rPr>
        <w:t>za delo</w:t>
      </w:r>
      <w:r w:rsidR="009A2ABB" w:rsidRPr="00A34935">
        <w:rPr>
          <w:rFonts w:eastAsia="Times New Roman" w:cs="Times New Roman"/>
          <w:bCs/>
          <w:iCs/>
        </w:rPr>
        <w:t xml:space="preserve"> je določena v obliki pavšalnih stroškov - strošek</w:t>
      </w:r>
      <w:r w:rsidR="00BA19F9" w:rsidRPr="00A34935">
        <w:rPr>
          <w:rFonts w:eastAsia="Times New Roman" w:cs="Times New Roman"/>
          <w:bCs/>
          <w:iCs/>
        </w:rPr>
        <w:t xml:space="preserve"> na enoto</w:t>
      </w:r>
      <w:r w:rsidR="009A2ABB" w:rsidRPr="00A34935">
        <w:rPr>
          <w:rFonts w:eastAsia="Times New Roman" w:cs="Times New Roman"/>
          <w:bCs/>
          <w:iCs/>
        </w:rPr>
        <w:t xml:space="preserve">, </w:t>
      </w:r>
      <w:r>
        <w:rPr>
          <w:rFonts w:eastAsia="Times New Roman" w:cs="Times New Roman"/>
          <w:bCs/>
          <w:iCs/>
        </w:rPr>
        <w:t>ki se določeni na podlagi preteklih podatkov izvajalca projekta (prijavitelja).</w:t>
      </w:r>
    </w:p>
    <w:p w:rsidR="00B72DB0" w:rsidRDefault="00B72DB0" w:rsidP="00DB72CE">
      <w:pPr>
        <w:tabs>
          <w:tab w:val="center" w:pos="4320"/>
          <w:tab w:val="right" w:pos="8640"/>
        </w:tabs>
        <w:spacing w:after="0" w:line="288" w:lineRule="auto"/>
        <w:jc w:val="both"/>
        <w:rPr>
          <w:rFonts w:eastAsia="Times New Roman" w:cs="Times New Roman"/>
          <w:bCs/>
          <w:iCs/>
        </w:rPr>
      </w:pPr>
    </w:p>
    <w:p w:rsidR="00DB72CE" w:rsidRDefault="00DB72CE" w:rsidP="00DB72CE">
      <w:pPr>
        <w:tabs>
          <w:tab w:val="center" w:pos="4320"/>
          <w:tab w:val="right" w:pos="8640"/>
        </w:tabs>
        <w:spacing w:after="0" w:line="288" w:lineRule="auto"/>
        <w:jc w:val="both"/>
        <w:rPr>
          <w:rFonts w:eastAsia="Times New Roman" w:cs="Times New Roman"/>
          <w:bCs/>
          <w:iCs/>
        </w:rPr>
      </w:pPr>
      <w:r w:rsidRPr="00B72DB0">
        <w:rPr>
          <w:rFonts w:eastAsia="Times New Roman" w:cs="Times New Roman"/>
          <w:bCs/>
          <w:iCs/>
        </w:rPr>
        <w:t>V skladu</w:t>
      </w:r>
      <w:r>
        <w:rPr>
          <w:rFonts w:eastAsia="Times New Roman" w:cs="Times New Roman"/>
          <w:bCs/>
          <w:iCs/>
        </w:rPr>
        <w:t xml:space="preserve"> z </w:t>
      </w:r>
      <w:r w:rsidRPr="00DB72CE">
        <w:rPr>
          <w:rFonts w:eastAsia="Times New Roman" w:cs="Times New Roman"/>
          <w:bCs/>
          <w:iCs/>
        </w:rPr>
        <w:t xml:space="preserve">drugo točko 68. člena Uredbe št. 1303/2013/EU ter točko 3.2 Smernic o poenostavljenih možnostih obračunavanja stroškov </w:t>
      </w:r>
      <w:r>
        <w:rPr>
          <w:rFonts w:eastAsia="Times New Roman" w:cs="Times New Roman"/>
          <w:bCs/>
          <w:iCs/>
        </w:rPr>
        <w:t xml:space="preserve">(EGESIF_14-0014) </w:t>
      </w:r>
      <w:r w:rsidRPr="00DB72CE">
        <w:rPr>
          <w:rFonts w:eastAsia="Times New Roman" w:cs="Times New Roman"/>
          <w:bCs/>
          <w:iCs/>
        </w:rPr>
        <w:t>se za namene določanja stroškov plač (kategorija A), uporabi urna postavka, izračuna na podlagi normativnega izračuna tako, da se zadnji evidentirani letni bruto stroški za zaposlene delijo s 1.720 urami. Pri tem je potrebno opozoriti na naslednje:</w:t>
      </w:r>
    </w:p>
    <w:p w:rsidR="00B72DB0" w:rsidRPr="00B72DB0" w:rsidRDefault="00B72DB0" w:rsidP="00DB72CE">
      <w:pPr>
        <w:tabs>
          <w:tab w:val="center" w:pos="4320"/>
          <w:tab w:val="right" w:pos="8640"/>
        </w:tabs>
        <w:spacing w:after="0" w:line="288" w:lineRule="auto"/>
        <w:jc w:val="both"/>
        <w:rPr>
          <w:rFonts w:eastAsia="Times New Roman" w:cs="Times New Roman"/>
          <w:bCs/>
          <w:iCs/>
        </w:rPr>
      </w:pPr>
    </w:p>
    <w:p w:rsidR="00B72DB0" w:rsidRPr="00B72DB0" w:rsidRDefault="00B72DB0" w:rsidP="00DB72CE">
      <w:pPr>
        <w:numPr>
          <w:ilvl w:val="0"/>
          <w:numId w:val="16"/>
        </w:numPr>
        <w:spacing w:after="0" w:line="288" w:lineRule="auto"/>
        <w:jc w:val="both"/>
      </w:pPr>
      <w:r w:rsidRPr="00B72DB0">
        <w:t>bruto stroški zajemajo plačo in dodatke z vsemi pripadajočimi davki in prispevki delavca in delodajalca</w:t>
      </w:r>
      <w:r w:rsidR="00903717">
        <w:t xml:space="preserve">, vendar </w:t>
      </w:r>
      <w:r w:rsidR="00903717">
        <w:rPr>
          <w:rFonts w:eastAsia="Times New Roman" w:cs="Times New Roman"/>
          <w:bCs/>
          <w:iCs/>
        </w:rPr>
        <w:t>nekateri</w:t>
      </w:r>
      <w:r w:rsidR="00903717" w:rsidRPr="00903717">
        <w:rPr>
          <w:rFonts w:eastAsia="Times New Roman" w:cs="Times New Roman"/>
          <w:bCs/>
          <w:iCs/>
        </w:rPr>
        <w:t xml:space="preserve"> dodatki kot npr. dodatek za povečan obseg dela, položajni dodatek, mentorski dodatek, jubilejne nagrade, odpravnine, solidarnostne pomoči, stroški zdravniških pregledov, stroški službenih potovanj, prispevki in druge zavarovalne premije, ki niso zakonsko določene, različne bonitete, letne stimulacije in druge nagrade, niso vključeni v izračun urne postavke</w:t>
      </w:r>
      <w:r w:rsidR="00903717">
        <w:rPr>
          <w:rFonts w:eastAsia="Times New Roman" w:cs="Times New Roman"/>
          <w:bCs/>
          <w:iCs/>
        </w:rPr>
        <w:t>;</w:t>
      </w:r>
    </w:p>
    <w:p w:rsidR="00B72DB0" w:rsidRPr="00B72DB0" w:rsidRDefault="00B72DB0" w:rsidP="00DB72CE">
      <w:pPr>
        <w:numPr>
          <w:ilvl w:val="0"/>
          <w:numId w:val="16"/>
        </w:numPr>
        <w:spacing w:after="0" w:line="288" w:lineRule="auto"/>
        <w:jc w:val="both"/>
      </w:pPr>
      <w:r w:rsidRPr="00B72DB0">
        <w:t>zadnji evidentirani letni bruto stroški za zaposlene morajo biti evidentirani v računovodskih izkazih (morajo biti preverljivi);</w:t>
      </w:r>
    </w:p>
    <w:p w:rsidR="00B72DB0" w:rsidRPr="00B72DB0" w:rsidRDefault="00B72DB0" w:rsidP="00DB72CE">
      <w:pPr>
        <w:numPr>
          <w:ilvl w:val="0"/>
          <w:numId w:val="16"/>
        </w:numPr>
        <w:spacing w:after="0" w:line="288" w:lineRule="auto"/>
        <w:jc w:val="both"/>
      </w:pPr>
      <w:r w:rsidRPr="00B72DB0">
        <w:t xml:space="preserve">zadnji evidentirani letni bruto stroški za zaposlene obsegajo preteklo referenčno obdobje enega </w:t>
      </w:r>
      <w:r>
        <w:t>leta (12 zaporednih mesecev);</w:t>
      </w:r>
    </w:p>
    <w:p w:rsidR="00B72DB0" w:rsidRPr="00B72DB0" w:rsidRDefault="00B72DB0" w:rsidP="00DB72CE">
      <w:pPr>
        <w:numPr>
          <w:ilvl w:val="0"/>
          <w:numId w:val="16"/>
        </w:numPr>
        <w:spacing w:after="0" w:line="288" w:lineRule="auto"/>
        <w:jc w:val="both"/>
      </w:pPr>
      <w:r w:rsidRPr="00B72DB0">
        <w:t>v primerih, kjer zaposlitev ni trajala 12 zaporednih mesecev, se lahko urna postavka izračuna na osnovi enakih/podobnih delovnih mest, kjer pa je zaposlitev trajala 12 zaporednih mesecev;</w:t>
      </w:r>
    </w:p>
    <w:p w:rsidR="00B72DB0" w:rsidRPr="00B72DB0" w:rsidRDefault="00B72DB0" w:rsidP="00DB72CE">
      <w:pPr>
        <w:numPr>
          <w:ilvl w:val="0"/>
          <w:numId w:val="16"/>
        </w:numPr>
        <w:spacing w:after="0" w:line="288" w:lineRule="auto"/>
        <w:jc w:val="both"/>
      </w:pPr>
      <w:r w:rsidRPr="00B72DB0">
        <w:t>v primerih zaposlitev za krajši delovni čas, kjer je zaposlitev trajala 12 zaporednih mesecev, se urna postavka izračuna tako, da vrednost delimo s številom delovnih ur v zadnjih 12 zaporednih mesecih, da dobimo urno postavko, ki jo potem množimo s 1.720 urami, da dobimo letno raven;</w:t>
      </w:r>
    </w:p>
    <w:p w:rsidR="00B72DB0" w:rsidRDefault="00B72DB0" w:rsidP="00DB72CE">
      <w:pPr>
        <w:numPr>
          <w:ilvl w:val="0"/>
          <w:numId w:val="16"/>
        </w:numPr>
        <w:spacing w:after="0" w:line="288" w:lineRule="auto"/>
        <w:jc w:val="both"/>
      </w:pPr>
      <w:r w:rsidRPr="00B72DB0">
        <w:t xml:space="preserve">skupno število ur, prijavljenih na osebo za določeno leto, ne sme preseči 1720 ur, kar vključuje tudi morebitne nadure, oziroma ne sme preseči sorazmernega števila ur v primeru </w:t>
      </w:r>
      <w:r w:rsidRPr="00B72DB0">
        <w:lastRenderedPageBreak/>
        <w:t>krajšega</w:t>
      </w:r>
      <w:r>
        <w:t xml:space="preserve"> delovnega časa oziroma krajše zaposlitve. Ta omejitev ne velja v primeru dopolnilnega dela v skladu z Zakonom o delovnih razmerjih.</w:t>
      </w:r>
    </w:p>
    <w:p w:rsidR="00B72DB0" w:rsidRPr="00B72DB0" w:rsidRDefault="00B72DB0" w:rsidP="00DB72CE">
      <w:pPr>
        <w:spacing w:after="0" w:line="288" w:lineRule="auto"/>
        <w:ind w:left="360"/>
        <w:jc w:val="both"/>
      </w:pPr>
    </w:p>
    <w:p w:rsidR="00D371E2" w:rsidRPr="00A34935" w:rsidRDefault="00D371E2" w:rsidP="00DB72CE">
      <w:pPr>
        <w:tabs>
          <w:tab w:val="center" w:pos="4320"/>
          <w:tab w:val="right" w:pos="8640"/>
        </w:tabs>
        <w:spacing w:after="0" w:line="288" w:lineRule="auto"/>
        <w:jc w:val="both"/>
        <w:rPr>
          <w:rFonts w:eastAsia="Times New Roman" w:cs="Times New Roman"/>
          <w:bCs/>
          <w:iCs/>
        </w:rPr>
      </w:pPr>
    </w:p>
    <w:p w:rsidR="00DB72CE" w:rsidRPr="00A34935" w:rsidRDefault="004E34D0" w:rsidP="00DB72CE">
      <w:pPr>
        <w:tabs>
          <w:tab w:val="center" w:pos="4320"/>
          <w:tab w:val="right" w:pos="8640"/>
        </w:tabs>
        <w:spacing w:after="0" w:line="288" w:lineRule="auto"/>
        <w:jc w:val="both"/>
        <w:rPr>
          <w:rFonts w:eastAsia="Times New Roman" w:cs="Times New Roman"/>
          <w:bCs/>
          <w:iCs/>
        </w:rPr>
      </w:pPr>
      <w:r w:rsidRPr="00A34935">
        <w:rPr>
          <w:rFonts w:eastAsia="Times New Roman" w:cs="Times New Roman"/>
          <w:bCs/>
          <w:iCs/>
        </w:rPr>
        <w:t>Po</w:t>
      </w:r>
      <w:r w:rsidR="00D371E2" w:rsidRPr="00A34935">
        <w:rPr>
          <w:rFonts w:eastAsia="Times New Roman" w:cs="Times New Roman"/>
          <w:bCs/>
          <w:iCs/>
        </w:rPr>
        <w:t>stavka zajema vse stroške dela</w:t>
      </w:r>
      <w:r w:rsidR="00695EC6" w:rsidRPr="00A34935">
        <w:rPr>
          <w:rFonts w:eastAsia="Times New Roman" w:cs="Times New Roman"/>
          <w:bCs/>
          <w:iCs/>
        </w:rPr>
        <w:t>,</w:t>
      </w:r>
      <w:r w:rsidR="00D371E2" w:rsidRPr="00A34935">
        <w:rPr>
          <w:rFonts w:eastAsia="Times New Roman" w:cs="Times New Roman"/>
          <w:bCs/>
          <w:iCs/>
        </w:rPr>
        <w:t xml:space="preserve"> kot so:</w:t>
      </w:r>
    </w:p>
    <w:p w:rsidR="005770A4" w:rsidRDefault="00466D87" w:rsidP="000E5BDE">
      <w:pPr>
        <w:numPr>
          <w:ilvl w:val="0"/>
          <w:numId w:val="8"/>
        </w:numPr>
        <w:spacing w:after="0" w:line="288" w:lineRule="auto"/>
        <w:jc w:val="both"/>
        <w:rPr>
          <w:rFonts w:eastAsia="Times New Roman" w:cs="Times New Roman"/>
          <w:bCs/>
          <w:iCs/>
        </w:rPr>
      </w:pPr>
      <w:r w:rsidRPr="000E5BDE">
        <w:rPr>
          <w:rFonts w:eastAsia="Times New Roman" w:cs="Times New Roman"/>
          <w:bCs/>
          <w:iCs/>
        </w:rPr>
        <w:t>plača</w:t>
      </w:r>
      <w:r w:rsidR="004E34D0" w:rsidRPr="000E5BDE">
        <w:rPr>
          <w:rFonts w:eastAsia="Times New Roman" w:cs="Times New Roman"/>
          <w:bCs/>
          <w:iCs/>
        </w:rPr>
        <w:t xml:space="preserve"> z vsemi pripadajočimi davki in prispevki delojemalca in delodajalca</w:t>
      </w:r>
      <w:r w:rsidR="00C31143" w:rsidRPr="000E5BDE">
        <w:rPr>
          <w:rFonts w:eastAsia="Times New Roman" w:cs="Times New Roman"/>
          <w:bCs/>
          <w:iCs/>
        </w:rPr>
        <w:t xml:space="preserve"> </w:t>
      </w:r>
    </w:p>
    <w:p w:rsidR="00D371E2" w:rsidRPr="001C65F1" w:rsidRDefault="00D920DD" w:rsidP="000E5BDE">
      <w:pPr>
        <w:numPr>
          <w:ilvl w:val="0"/>
          <w:numId w:val="8"/>
        </w:numPr>
        <w:spacing w:after="0" w:line="288" w:lineRule="auto"/>
        <w:jc w:val="both"/>
        <w:rPr>
          <w:rFonts w:eastAsia="Times New Roman" w:cs="Times New Roman"/>
          <w:bCs/>
          <w:iCs/>
        </w:rPr>
      </w:pPr>
      <w:r w:rsidRPr="000E5BDE">
        <w:rPr>
          <w:rFonts w:eastAsia="Times New Roman" w:cs="Times New Roman"/>
          <w:bCs/>
          <w:iCs/>
        </w:rPr>
        <w:t>prehrana</w:t>
      </w:r>
      <w:r w:rsidR="004E34D0" w:rsidRPr="000E5BDE">
        <w:rPr>
          <w:rFonts w:eastAsia="Times New Roman" w:cs="Times New Roman"/>
          <w:bCs/>
          <w:iCs/>
        </w:rPr>
        <w:t xml:space="preserve"> med delom in prevoz na delo in z dela, </w:t>
      </w:r>
    </w:p>
    <w:p w:rsidR="00D371E2" w:rsidRDefault="004E34D0" w:rsidP="00DB72CE">
      <w:pPr>
        <w:numPr>
          <w:ilvl w:val="0"/>
          <w:numId w:val="8"/>
        </w:numPr>
        <w:spacing w:after="0" w:line="288" w:lineRule="auto"/>
        <w:jc w:val="both"/>
        <w:rPr>
          <w:rFonts w:eastAsia="Times New Roman" w:cs="Times New Roman"/>
          <w:bCs/>
          <w:iCs/>
        </w:rPr>
      </w:pPr>
      <w:r w:rsidRPr="00A34935">
        <w:rPr>
          <w:rFonts w:eastAsia="Times New Roman" w:cs="Times New Roman"/>
          <w:bCs/>
          <w:iCs/>
        </w:rPr>
        <w:t>nadomestila plače v</w:t>
      </w:r>
      <w:r w:rsidR="00D371E2" w:rsidRPr="00A34935">
        <w:rPr>
          <w:rFonts w:eastAsia="Times New Roman" w:cs="Times New Roman"/>
          <w:bCs/>
          <w:iCs/>
        </w:rPr>
        <w:t xml:space="preserve"> skladu z veljavno zakonodajo.</w:t>
      </w:r>
    </w:p>
    <w:p w:rsidR="00B72DB0" w:rsidRDefault="00B72DB0" w:rsidP="00DB72CE">
      <w:pPr>
        <w:spacing w:after="0" w:line="288" w:lineRule="auto"/>
        <w:jc w:val="both"/>
        <w:rPr>
          <w:rFonts w:eastAsia="Times New Roman" w:cs="Times New Roman"/>
          <w:bCs/>
          <w:iCs/>
        </w:rPr>
      </w:pPr>
    </w:p>
    <w:p w:rsidR="00903717" w:rsidRPr="00DB72CE" w:rsidRDefault="00B72DB0" w:rsidP="00DB72CE">
      <w:pPr>
        <w:tabs>
          <w:tab w:val="center" w:pos="4320"/>
          <w:tab w:val="right" w:pos="8640"/>
        </w:tabs>
        <w:spacing w:after="0" w:line="288" w:lineRule="auto"/>
        <w:jc w:val="both"/>
        <w:rPr>
          <w:rFonts w:eastAsia="Times New Roman" w:cs="Times New Roman"/>
          <w:bCs/>
          <w:iCs/>
        </w:rPr>
      </w:pPr>
      <w:r w:rsidRPr="00DB72CE">
        <w:rPr>
          <w:rFonts w:eastAsia="Times New Roman" w:cs="Times New Roman"/>
          <w:bCs/>
          <w:iCs/>
        </w:rPr>
        <w:t xml:space="preserve">V osnovo za izračun urne postavke </w:t>
      </w:r>
      <w:r w:rsidR="00903717">
        <w:rPr>
          <w:rFonts w:eastAsia="Times New Roman" w:cs="Times New Roman"/>
          <w:bCs/>
          <w:iCs/>
        </w:rPr>
        <w:t>(</w:t>
      </w:r>
      <w:r w:rsidR="00903717" w:rsidRPr="00903717">
        <w:rPr>
          <w:rFonts w:eastAsia="Times New Roman" w:cs="Times New Roman"/>
          <w:bCs/>
          <w:iCs/>
        </w:rPr>
        <w:t xml:space="preserve">bruto </w:t>
      </w:r>
      <w:r w:rsidR="00903717">
        <w:rPr>
          <w:rFonts w:eastAsia="Times New Roman" w:cs="Times New Roman"/>
          <w:bCs/>
          <w:iCs/>
        </w:rPr>
        <w:t xml:space="preserve">stroški) </w:t>
      </w:r>
      <w:r w:rsidR="00903717" w:rsidRPr="00903717">
        <w:rPr>
          <w:rFonts w:eastAsia="Times New Roman" w:cs="Times New Roman"/>
          <w:bCs/>
          <w:iCs/>
        </w:rPr>
        <w:t xml:space="preserve">se upoštevajo tudi nekateri dodatki, ki so upravičeni (dodatek za delovno dobo, dodatek za spec., mag. doktorat, itd.). </w:t>
      </w:r>
    </w:p>
    <w:p w:rsidR="00815646" w:rsidRDefault="00815646" w:rsidP="00815646">
      <w:pPr>
        <w:tabs>
          <w:tab w:val="center" w:pos="4320"/>
          <w:tab w:val="right" w:pos="8640"/>
        </w:tabs>
        <w:spacing w:after="0" w:line="288" w:lineRule="auto"/>
        <w:jc w:val="both"/>
        <w:rPr>
          <w:rFonts w:eastAsia="Times New Roman" w:cs="Times New Roman"/>
          <w:bCs/>
          <w:iCs/>
        </w:rPr>
      </w:pPr>
    </w:p>
    <w:p w:rsidR="00815646" w:rsidRDefault="00815646" w:rsidP="00815646">
      <w:pPr>
        <w:tabs>
          <w:tab w:val="center" w:pos="4320"/>
          <w:tab w:val="right" w:pos="8640"/>
        </w:tabs>
        <w:spacing w:after="0" w:line="288" w:lineRule="auto"/>
        <w:jc w:val="both"/>
        <w:rPr>
          <w:rFonts w:eastAsia="Times New Roman" w:cs="Times New Roman"/>
          <w:bCs/>
          <w:iCs/>
        </w:rPr>
      </w:pPr>
      <w:r w:rsidRPr="00B679F0">
        <w:rPr>
          <w:rFonts w:eastAsia="Times New Roman" w:cs="Times New Roman"/>
          <w:bCs/>
          <w:iCs/>
        </w:rPr>
        <w:t>Stroški regresa so upravičeni</w:t>
      </w:r>
      <w:r>
        <w:rPr>
          <w:rFonts w:eastAsia="Times New Roman" w:cs="Times New Roman"/>
          <w:bCs/>
          <w:iCs/>
        </w:rPr>
        <w:t xml:space="preserve"> in se upoštevajo pri izračunu SSE.</w:t>
      </w:r>
    </w:p>
    <w:p w:rsidR="00D371E2" w:rsidRDefault="00D371E2" w:rsidP="00DB72CE">
      <w:pPr>
        <w:tabs>
          <w:tab w:val="center" w:pos="4320"/>
          <w:tab w:val="right" w:pos="8640"/>
        </w:tabs>
        <w:spacing w:after="0" w:line="288" w:lineRule="auto"/>
        <w:jc w:val="both"/>
        <w:rPr>
          <w:rFonts w:eastAsia="Times New Roman" w:cs="Times New Roman"/>
          <w:bCs/>
          <w:iCs/>
        </w:rPr>
      </w:pPr>
    </w:p>
    <w:p w:rsidR="00903717" w:rsidRPr="00B72DB0" w:rsidRDefault="00903717" w:rsidP="00903717">
      <w:pPr>
        <w:spacing w:after="0" w:line="288" w:lineRule="auto"/>
        <w:jc w:val="both"/>
      </w:pPr>
      <w:r>
        <w:t xml:space="preserve">Izračunana SSE se uporablja za celotno trajanje projekta. V primerih, ko </w:t>
      </w:r>
      <w:r w:rsidRPr="00B72DB0">
        <w:t xml:space="preserve">se operacija izvaja več let, se lahko urna postavka posodablja, </w:t>
      </w:r>
      <w:r>
        <w:t xml:space="preserve">kar pa mora biti predvideno že v začetni fazi  in </w:t>
      </w:r>
      <w:r w:rsidRPr="00B72DB0">
        <w:t>določeno</w:t>
      </w:r>
      <w:r>
        <w:t xml:space="preserve"> v javnem razpisu.</w:t>
      </w:r>
    </w:p>
    <w:p w:rsidR="00903717" w:rsidRPr="00A34935" w:rsidRDefault="00903717" w:rsidP="00DB72CE">
      <w:pPr>
        <w:tabs>
          <w:tab w:val="center" w:pos="4320"/>
          <w:tab w:val="right" w:pos="8640"/>
        </w:tabs>
        <w:spacing w:after="0" w:line="288" w:lineRule="auto"/>
        <w:jc w:val="both"/>
        <w:rPr>
          <w:rFonts w:eastAsia="Times New Roman" w:cs="Times New Roman"/>
          <w:bCs/>
          <w:iCs/>
        </w:rPr>
      </w:pPr>
    </w:p>
    <w:p w:rsidR="00D12D4C" w:rsidRPr="00A34935" w:rsidRDefault="004E34D0" w:rsidP="00DB72CE">
      <w:pPr>
        <w:tabs>
          <w:tab w:val="center" w:pos="4320"/>
          <w:tab w:val="right" w:pos="8640"/>
        </w:tabs>
        <w:spacing w:after="0" w:line="288" w:lineRule="auto"/>
        <w:jc w:val="both"/>
        <w:rPr>
          <w:rFonts w:eastAsia="Times New Roman" w:cs="Times New Roman"/>
          <w:bCs/>
          <w:iCs/>
        </w:rPr>
      </w:pPr>
      <w:r w:rsidRPr="00A34935">
        <w:rPr>
          <w:rFonts w:eastAsia="Times New Roman" w:cs="Times New Roman"/>
          <w:bCs/>
          <w:iCs/>
        </w:rPr>
        <w:t>Stroški dela zaposlenih na projektu so upravičeni na podlagi ustrezne pravne podlage in glede na dejansko opravljene ure na projektu</w:t>
      </w:r>
      <w:r w:rsidR="00D12D4C" w:rsidRPr="00A34935">
        <w:rPr>
          <w:rFonts w:eastAsia="Times New Roman" w:cs="Times New Roman"/>
          <w:bCs/>
          <w:iCs/>
        </w:rPr>
        <w:t>.</w:t>
      </w:r>
    </w:p>
    <w:p w:rsidR="00A822EA" w:rsidRDefault="00A822EA" w:rsidP="00DB72CE">
      <w:pPr>
        <w:spacing w:after="0" w:line="288" w:lineRule="auto"/>
        <w:jc w:val="both"/>
        <w:rPr>
          <w:rFonts w:eastAsia="Times New Roman" w:cs="Times New Roman"/>
          <w:bCs/>
          <w:iCs/>
        </w:rPr>
      </w:pPr>
    </w:p>
    <w:p w:rsidR="00556AD9" w:rsidRPr="00A34935" w:rsidRDefault="00556AD9" w:rsidP="00556AD9">
      <w:pPr>
        <w:shd w:val="clear" w:color="auto" w:fill="D9D9D9" w:themeFill="background1" w:themeFillShade="D9"/>
        <w:spacing w:line="288" w:lineRule="auto"/>
        <w:jc w:val="both"/>
      </w:pPr>
      <w:r w:rsidRPr="00A34935">
        <w:t>Dokazila:</w:t>
      </w:r>
    </w:p>
    <w:p w:rsidR="00556AD9" w:rsidRPr="00A34935" w:rsidRDefault="00556AD9" w:rsidP="00556AD9">
      <w:pPr>
        <w:numPr>
          <w:ilvl w:val="0"/>
          <w:numId w:val="10"/>
        </w:numPr>
        <w:shd w:val="clear" w:color="auto" w:fill="D9D9D9" w:themeFill="background1" w:themeFillShade="D9"/>
        <w:spacing w:after="0" w:line="288" w:lineRule="auto"/>
        <w:jc w:val="both"/>
      </w:pPr>
      <w:r w:rsidRPr="00A34935">
        <w:t xml:space="preserve">Dokazila </w:t>
      </w:r>
      <w:r>
        <w:t>o zaposlitvi</w:t>
      </w:r>
      <w:r w:rsidRPr="00A34935">
        <w:t>:</w:t>
      </w:r>
    </w:p>
    <w:p w:rsidR="00556AD9" w:rsidRPr="00A34935" w:rsidRDefault="00556AD9" w:rsidP="00556AD9">
      <w:pPr>
        <w:numPr>
          <w:ilvl w:val="0"/>
          <w:numId w:val="16"/>
        </w:numPr>
        <w:shd w:val="clear" w:color="auto" w:fill="D9D9D9" w:themeFill="background1" w:themeFillShade="D9"/>
        <w:spacing w:after="0" w:line="288" w:lineRule="auto"/>
        <w:jc w:val="both"/>
      </w:pPr>
      <w:r w:rsidRPr="00A34935">
        <w:t>pogodba o zaposlitvi, ki dokazuje obstoj in vrsto delovnega razmerja (polovični delovni čas, polni delovni čas</w:t>
      </w:r>
      <w:r>
        <w:t>,</w:t>
      </w:r>
      <w:r w:rsidRPr="00A34935">
        <w:t xml:space="preserve"> ipd.) oziroma v primeru novih zaposlitev tudi delež dela na projektu in naloge v okviru le-te,</w:t>
      </w:r>
    </w:p>
    <w:p w:rsidR="00556AD9" w:rsidRPr="00A34935" w:rsidRDefault="00556AD9" w:rsidP="00556AD9">
      <w:pPr>
        <w:numPr>
          <w:ilvl w:val="0"/>
          <w:numId w:val="16"/>
        </w:numPr>
        <w:shd w:val="clear" w:color="auto" w:fill="D9D9D9" w:themeFill="background1" w:themeFillShade="D9"/>
        <w:spacing w:after="0" w:line="288" w:lineRule="auto"/>
        <w:jc w:val="both"/>
      </w:pPr>
      <w:r w:rsidRPr="00A34935">
        <w:t>aneks ali sklep za dodelitev na projekt, ki določa delež dela na projektu in naloge v okviru le-te.</w:t>
      </w:r>
    </w:p>
    <w:p w:rsidR="00556AD9" w:rsidRPr="00A34935" w:rsidRDefault="00556AD9" w:rsidP="00556AD9">
      <w:pPr>
        <w:shd w:val="clear" w:color="auto" w:fill="D9D9D9" w:themeFill="background1" w:themeFillShade="D9"/>
        <w:spacing w:after="0" w:line="288" w:lineRule="auto"/>
        <w:jc w:val="both"/>
      </w:pPr>
    </w:p>
    <w:p w:rsidR="00556AD9" w:rsidRPr="00A34935" w:rsidRDefault="00556AD9" w:rsidP="00556AD9">
      <w:pPr>
        <w:numPr>
          <w:ilvl w:val="0"/>
          <w:numId w:val="10"/>
        </w:numPr>
        <w:shd w:val="clear" w:color="auto" w:fill="D9D9D9" w:themeFill="background1" w:themeFillShade="D9"/>
        <w:spacing w:after="0" w:line="288" w:lineRule="auto"/>
        <w:jc w:val="both"/>
      </w:pPr>
      <w:r w:rsidRPr="00A34935">
        <w:t>Dokazila</w:t>
      </w:r>
      <w:r>
        <w:t xml:space="preserve"> o opravljenem delu</w:t>
      </w:r>
      <w:r w:rsidRPr="00A34935">
        <w:t>:</w:t>
      </w:r>
    </w:p>
    <w:p w:rsidR="00556AD9" w:rsidRPr="00A34935" w:rsidRDefault="00556AD9" w:rsidP="00556AD9">
      <w:pPr>
        <w:numPr>
          <w:ilvl w:val="0"/>
          <w:numId w:val="16"/>
        </w:numPr>
        <w:shd w:val="clear" w:color="auto" w:fill="D9D9D9" w:themeFill="background1" w:themeFillShade="D9"/>
        <w:spacing w:after="0" w:line="288" w:lineRule="auto"/>
        <w:jc w:val="both"/>
      </w:pPr>
      <w:r w:rsidRPr="00A34935">
        <w:t>mesečna časovnica, ki jo predpiše odgovorni organ (Priloga 1),</w:t>
      </w:r>
    </w:p>
    <w:p w:rsidR="00556AD9" w:rsidRDefault="00556AD9" w:rsidP="00556AD9">
      <w:pPr>
        <w:numPr>
          <w:ilvl w:val="0"/>
          <w:numId w:val="16"/>
        </w:numPr>
        <w:shd w:val="clear" w:color="auto" w:fill="D9D9D9" w:themeFill="background1" w:themeFillShade="D9"/>
        <w:spacing w:after="0" w:line="288" w:lineRule="auto"/>
        <w:jc w:val="both"/>
      </w:pPr>
      <w:r w:rsidRPr="00A34935">
        <w:t xml:space="preserve">obračunski list stroškov dela, ki ga predpiše odgovorni organ (iz </w:t>
      </w:r>
      <w:r>
        <w:t>aplikacije MIGRA II –Priloga 2);</w:t>
      </w:r>
    </w:p>
    <w:p w:rsidR="00556AD9" w:rsidRDefault="00556AD9" w:rsidP="00556AD9">
      <w:pPr>
        <w:numPr>
          <w:ilvl w:val="0"/>
          <w:numId w:val="16"/>
        </w:numPr>
        <w:shd w:val="clear" w:color="auto" w:fill="D9D9D9" w:themeFill="background1" w:themeFillShade="D9"/>
        <w:spacing w:after="0" w:line="288" w:lineRule="auto"/>
        <w:jc w:val="both"/>
      </w:pPr>
      <w:r>
        <w:t>druga dokazila določena s pogodbo o izvajanju projekta ali razpisno dokumentacijo.</w:t>
      </w:r>
    </w:p>
    <w:p w:rsidR="00556AD9" w:rsidRPr="00A34935" w:rsidRDefault="00556AD9" w:rsidP="00556AD9">
      <w:pPr>
        <w:shd w:val="clear" w:color="auto" w:fill="D9D9D9" w:themeFill="background1" w:themeFillShade="D9"/>
        <w:spacing w:after="0" w:line="288" w:lineRule="auto"/>
        <w:jc w:val="both"/>
      </w:pPr>
    </w:p>
    <w:p w:rsidR="00556AD9" w:rsidRDefault="00556AD9" w:rsidP="00556AD9">
      <w:pPr>
        <w:numPr>
          <w:ilvl w:val="0"/>
          <w:numId w:val="10"/>
        </w:numPr>
        <w:shd w:val="clear" w:color="auto" w:fill="D9D9D9" w:themeFill="background1" w:themeFillShade="D9"/>
        <w:spacing w:after="0" w:line="288" w:lineRule="auto"/>
        <w:jc w:val="both"/>
      </w:pPr>
      <w:r w:rsidRPr="00A34935">
        <w:t>Dokazila</w:t>
      </w:r>
      <w:r>
        <w:t xml:space="preserve"> o izplačilu (kadar so zahtevana v pogodbi o izvajanju projekta ali z razpisno dokumentacijo).</w:t>
      </w:r>
    </w:p>
    <w:p w:rsidR="00556AD9" w:rsidRDefault="00556AD9" w:rsidP="00DB72CE">
      <w:pPr>
        <w:spacing w:after="0" w:line="288" w:lineRule="auto"/>
        <w:jc w:val="both"/>
        <w:rPr>
          <w:rFonts w:eastAsia="Times New Roman" w:cs="Times New Roman"/>
          <w:bCs/>
          <w:iCs/>
        </w:rPr>
      </w:pPr>
    </w:p>
    <w:p w:rsidR="00556AD9" w:rsidRPr="00A34935" w:rsidRDefault="00556AD9" w:rsidP="00DB72CE">
      <w:pPr>
        <w:spacing w:after="0" w:line="288" w:lineRule="auto"/>
        <w:jc w:val="both"/>
        <w:rPr>
          <w:rFonts w:eastAsia="Times New Roman" w:cs="Times New Roman"/>
          <w:bCs/>
          <w:iCs/>
        </w:rPr>
      </w:pPr>
    </w:p>
    <w:p w:rsidR="00D12D4C" w:rsidRPr="006A388F" w:rsidRDefault="00D12D4C" w:rsidP="00DB72CE">
      <w:pPr>
        <w:spacing w:after="0" w:line="288" w:lineRule="auto"/>
        <w:jc w:val="both"/>
        <w:rPr>
          <w:rFonts w:eastAsia="Times New Roman" w:cs="Times New Roman"/>
          <w:bCs/>
          <w:iCs/>
          <w:sz w:val="20"/>
          <w:szCs w:val="20"/>
        </w:rPr>
      </w:pPr>
      <w:bookmarkStart w:id="0" w:name="_GoBack"/>
      <w:bookmarkEnd w:id="0"/>
    </w:p>
    <w:sectPr w:rsidR="00D12D4C" w:rsidRPr="006A38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549" w:rsidRDefault="00733549" w:rsidP="00B72DB0">
      <w:pPr>
        <w:spacing w:after="0" w:line="240" w:lineRule="auto"/>
      </w:pPr>
      <w:r>
        <w:separator/>
      </w:r>
    </w:p>
  </w:endnote>
  <w:endnote w:type="continuationSeparator" w:id="0">
    <w:p w:rsidR="00733549" w:rsidRDefault="00733549" w:rsidP="00B72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onet">
    <w:altName w:val="Arial"/>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MS Mincho">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549" w:rsidRDefault="00733549" w:rsidP="00B72DB0">
      <w:pPr>
        <w:spacing w:after="0" w:line="240" w:lineRule="auto"/>
      </w:pPr>
      <w:r>
        <w:separator/>
      </w:r>
    </w:p>
  </w:footnote>
  <w:footnote w:type="continuationSeparator" w:id="0">
    <w:p w:rsidR="00733549" w:rsidRDefault="00733549" w:rsidP="00B72D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00527"/>
    <w:multiLevelType w:val="hybridMultilevel"/>
    <w:tmpl w:val="90D264AA"/>
    <w:lvl w:ilvl="0" w:tplc="85940C02">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9C0443"/>
    <w:multiLevelType w:val="hybridMultilevel"/>
    <w:tmpl w:val="AE161916"/>
    <w:lvl w:ilvl="0" w:tplc="85940C02">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9124E53"/>
    <w:multiLevelType w:val="hybridMultilevel"/>
    <w:tmpl w:val="5714F2BE"/>
    <w:lvl w:ilvl="0" w:tplc="3F66890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317F14"/>
    <w:multiLevelType w:val="hybridMultilevel"/>
    <w:tmpl w:val="EE9A3C66"/>
    <w:lvl w:ilvl="0" w:tplc="04240011">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D9A0C55"/>
    <w:multiLevelType w:val="hybridMultilevel"/>
    <w:tmpl w:val="30383804"/>
    <w:lvl w:ilvl="0" w:tplc="85940C02">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1DA05F7"/>
    <w:multiLevelType w:val="hybridMultilevel"/>
    <w:tmpl w:val="1D4AEF22"/>
    <w:lvl w:ilvl="0" w:tplc="081C7B84">
      <w:start w:val="3"/>
      <w:numFmt w:val="bullet"/>
      <w:lvlText w:val="-"/>
      <w:lvlJc w:val="left"/>
      <w:pPr>
        <w:ind w:left="360" w:hanging="360"/>
      </w:pPr>
      <w:rPr>
        <w:rFonts w:ascii="Arial" w:eastAsia="Coronet"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3F66F11"/>
    <w:multiLevelType w:val="hybridMultilevel"/>
    <w:tmpl w:val="5DEC8982"/>
    <w:lvl w:ilvl="0" w:tplc="85940C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3D7D5F"/>
    <w:multiLevelType w:val="hybridMultilevel"/>
    <w:tmpl w:val="09D6CFBE"/>
    <w:lvl w:ilvl="0" w:tplc="8166A864">
      <w:start w:val="1"/>
      <w:numFmt w:val="lowerLetter"/>
      <w:lvlText w:val="%1)"/>
      <w:lvlJc w:val="left"/>
      <w:pPr>
        <w:tabs>
          <w:tab w:val="num" w:pos="1065"/>
        </w:tabs>
        <w:ind w:left="1065" w:hanging="705"/>
      </w:pPr>
      <w:rPr>
        <w:rFonts w:hint="default"/>
      </w:rPr>
    </w:lvl>
    <w:lvl w:ilvl="1" w:tplc="7F1A7DE0">
      <w:start w:val="1"/>
      <w:numFmt w:val="bullet"/>
      <w:lvlText w:val=""/>
      <w:lvlJc w:val="left"/>
      <w:pPr>
        <w:tabs>
          <w:tab w:val="num" w:pos="360"/>
        </w:tabs>
        <w:ind w:left="360" w:hanging="360"/>
      </w:pPr>
      <w:rPr>
        <w:rFonts w:ascii="Symbol" w:hAnsi="Symbol" w:hint="default"/>
      </w:rPr>
    </w:lvl>
    <w:lvl w:ilvl="2" w:tplc="E0AA647E">
      <w:numFmt w:val="bullet"/>
      <w:lvlText w:val="-"/>
      <w:lvlJc w:val="left"/>
      <w:pPr>
        <w:tabs>
          <w:tab w:val="num" w:pos="2340"/>
        </w:tabs>
        <w:ind w:left="2340" w:hanging="360"/>
      </w:pPr>
      <w:rPr>
        <w:rFonts w:ascii="Helv" w:eastAsia="@MS Mincho" w:hAnsi="Helv" w:cs="Helv" w:hint="default"/>
      </w:rPr>
    </w:lvl>
    <w:lvl w:ilvl="3" w:tplc="7F0EC82A">
      <w:start w:val="1"/>
      <w:numFmt w:val="lowerLetter"/>
      <w:lvlText w:val="%4."/>
      <w:lvlJc w:val="left"/>
      <w:pPr>
        <w:ind w:left="1353"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51B6072B"/>
    <w:multiLevelType w:val="hybridMultilevel"/>
    <w:tmpl w:val="63227D00"/>
    <w:lvl w:ilvl="0" w:tplc="081C7B84">
      <w:start w:val="3"/>
      <w:numFmt w:val="bullet"/>
      <w:lvlText w:val="-"/>
      <w:lvlJc w:val="left"/>
      <w:pPr>
        <w:ind w:left="360" w:hanging="360"/>
      </w:pPr>
      <w:rPr>
        <w:rFonts w:ascii="Arial" w:eastAsia="Coronet" w:hAnsi="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5DA4DF8"/>
    <w:multiLevelType w:val="hybridMultilevel"/>
    <w:tmpl w:val="C5A84DF4"/>
    <w:lvl w:ilvl="0" w:tplc="85940C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5E568DD"/>
    <w:multiLevelType w:val="hybridMultilevel"/>
    <w:tmpl w:val="6B14745A"/>
    <w:lvl w:ilvl="0" w:tplc="081C7B84">
      <w:start w:val="3"/>
      <w:numFmt w:val="bullet"/>
      <w:lvlText w:val="-"/>
      <w:lvlJc w:val="left"/>
      <w:pPr>
        <w:ind w:left="360" w:hanging="360"/>
      </w:pPr>
      <w:rPr>
        <w:rFonts w:ascii="Arial" w:eastAsia="Coronet" w:hAnsi="Arial" w:hint="default"/>
      </w:rPr>
    </w:lvl>
    <w:lvl w:ilvl="1" w:tplc="081C7B84">
      <w:start w:val="3"/>
      <w:numFmt w:val="bullet"/>
      <w:lvlText w:val="-"/>
      <w:lvlJc w:val="left"/>
      <w:pPr>
        <w:ind w:left="1440" w:hanging="360"/>
      </w:pPr>
      <w:rPr>
        <w:rFonts w:ascii="Arial" w:eastAsia="Coronet" w:hAnsi="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7150909"/>
    <w:multiLevelType w:val="multilevel"/>
    <w:tmpl w:val="993652FE"/>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961384B"/>
    <w:multiLevelType w:val="hybridMultilevel"/>
    <w:tmpl w:val="A8CC3C62"/>
    <w:lvl w:ilvl="0" w:tplc="081C7B84">
      <w:start w:val="3"/>
      <w:numFmt w:val="bullet"/>
      <w:lvlText w:val="-"/>
      <w:lvlJc w:val="left"/>
      <w:pPr>
        <w:ind w:left="360" w:hanging="360"/>
      </w:pPr>
      <w:rPr>
        <w:rFonts w:ascii="Arial" w:eastAsia="Coronet" w:hAnsi="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B824E71"/>
    <w:multiLevelType w:val="hybridMultilevel"/>
    <w:tmpl w:val="302C7BDE"/>
    <w:lvl w:ilvl="0" w:tplc="04240011">
      <w:start w:val="1"/>
      <w:numFmt w:val="decimal"/>
      <w:lvlText w:val="%1)"/>
      <w:lvlJc w:val="left"/>
      <w:pPr>
        <w:ind w:left="360" w:hanging="360"/>
      </w:pPr>
      <w:rPr>
        <w:rFonts w:hint="default"/>
      </w:rPr>
    </w:lvl>
    <w:lvl w:ilvl="1" w:tplc="081C7B84">
      <w:start w:val="3"/>
      <w:numFmt w:val="bullet"/>
      <w:lvlText w:val="-"/>
      <w:lvlJc w:val="left"/>
      <w:pPr>
        <w:ind w:left="1440" w:hanging="360"/>
      </w:pPr>
      <w:rPr>
        <w:rFonts w:ascii="Arial" w:eastAsia="Coronet" w:hAnsi="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9FF2F58"/>
    <w:multiLevelType w:val="hybridMultilevel"/>
    <w:tmpl w:val="DB98DE5C"/>
    <w:lvl w:ilvl="0" w:tplc="86167C58">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E1E4C4D"/>
    <w:multiLevelType w:val="hybridMultilevel"/>
    <w:tmpl w:val="CD68C49A"/>
    <w:lvl w:ilvl="0" w:tplc="86167C58">
      <w:start w:val="8"/>
      <w:numFmt w:val="bullet"/>
      <w:lvlText w:val="-"/>
      <w:lvlJc w:val="left"/>
      <w:pPr>
        <w:ind w:left="360" w:hanging="360"/>
      </w:pPr>
      <w:rPr>
        <w:rFonts w:ascii="Arial" w:eastAsia="Times New Roman"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4C87D6F"/>
    <w:multiLevelType w:val="hybridMultilevel"/>
    <w:tmpl w:val="A36A9E00"/>
    <w:lvl w:ilvl="0" w:tplc="15A6E1B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0"/>
  </w:num>
  <w:num w:numId="4">
    <w:abstractNumId w:val="1"/>
  </w:num>
  <w:num w:numId="5">
    <w:abstractNumId w:val="9"/>
  </w:num>
  <w:num w:numId="6">
    <w:abstractNumId w:val="6"/>
  </w:num>
  <w:num w:numId="7">
    <w:abstractNumId w:val="5"/>
  </w:num>
  <w:num w:numId="8">
    <w:abstractNumId w:val="14"/>
  </w:num>
  <w:num w:numId="9">
    <w:abstractNumId w:val="7"/>
  </w:num>
  <w:num w:numId="10">
    <w:abstractNumId w:val="3"/>
  </w:num>
  <w:num w:numId="11">
    <w:abstractNumId w:val="12"/>
  </w:num>
  <w:num w:numId="12">
    <w:abstractNumId w:val="13"/>
  </w:num>
  <w:num w:numId="13">
    <w:abstractNumId w:val="10"/>
  </w:num>
  <w:num w:numId="14">
    <w:abstractNumId w:val="2"/>
  </w:num>
  <w:num w:numId="15">
    <w:abstractNumId w:val="8"/>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AF8"/>
    <w:rsid w:val="00031DF6"/>
    <w:rsid w:val="00051BFC"/>
    <w:rsid w:val="00070D9C"/>
    <w:rsid w:val="00083535"/>
    <w:rsid w:val="000C3941"/>
    <w:rsid w:val="000E5BDE"/>
    <w:rsid w:val="00107073"/>
    <w:rsid w:val="00122CA2"/>
    <w:rsid w:val="00127797"/>
    <w:rsid w:val="00161BC6"/>
    <w:rsid w:val="0016599A"/>
    <w:rsid w:val="00181EFD"/>
    <w:rsid w:val="001932CD"/>
    <w:rsid w:val="001A6764"/>
    <w:rsid w:val="001C63AA"/>
    <w:rsid w:val="001C65F1"/>
    <w:rsid w:val="001F67EE"/>
    <w:rsid w:val="00204904"/>
    <w:rsid w:val="002319B4"/>
    <w:rsid w:val="00243397"/>
    <w:rsid w:val="00243878"/>
    <w:rsid w:val="00265380"/>
    <w:rsid w:val="002D7622"/>
    <w:rsid w:val="002F1801"/>
    <w:rsid w:val="00304AD3"/>
    <w:rsid w:val="00305A88"/>
    <w:rsid w:val="003361D8"/>
    <w:rsid w:val="003C5448"/>
    <w:rsid w:val="00436ECB"/>
    <w:rsid w:val="00450275"/>
    <w:rsid w:val="00454733"/>
    <w:rsid w:val="00460F22"/>
    <w:rsid w:val="0046294F"/>
    <w:rsid w:val="00466D87"/>
    <w:rsid w:val="004808B8"/>
    <w:rsid w:val="0049411B"/>
    <w:rsid w:val="004A740D"/>
    <w:rsid w:val="004B5727"/>
    <w:rsid w:val="004D3235"/>
    <w:rsid w:val="004E34D0"/>
    <w:rsid w:val="00510F8E"/>
    <w:rsid w:val="00543DB7"/>
    <w:rsid w:val="00547CE8"/>
    <w:rsid w:val="00556AD9"/>
    <w:rsid w:val="00563CF9"/>
    <w:rsid w:val="00572A3E"/>
    <w:rsid w:val="005736A0"/>
    <w:rsid w:val="005770A4"/>
    <w:rsid w:val="005A1137"/>
    <w:rsid w:val="005A1EAB"/>
    <w:rsid w:val="005A7DC0"/>
    <w:rsid w:val="005B3D6B"/>
    <w:rsid w:val="005D204B"/>
    <w:rsid w:val="005D3F90"/>
    <w:rsid w:val="005E6338"/>
    <w:rsid w:val="006175FE"/>
    <w:rsid w:val="00670888"/>
    <w:rsid w:val="00683BDA"/>
    <w:rsid w:val="00695EC6"/>
    <w:rsid w:val="006A388F"/>
    <w:rsid w:val="006B2786"/>
    <w:rsid w:val="006E1E91"/>
    <w:rsid w:val="00733549"/>
    <w:rsid w:val="0077174E"/>
    <w:rsid w:val="00784F79"/>
    <w:rsid w:val="00795044"/>
    <w:rsid w:val="007E3B13"/>
    <w:rsid w:val="00815646"/>
    <w:rsid w:val="008251AF"/>
    <w:rsid w:val="00862998"/>
    <w:rsid w:val="0088453A"/>
    <w:rsid w:val="008A55FD"/>
    <w:rsid w:val="008B5BE8"/>
    <w:rsid w:val="008D66C9"/>
    <w:rsid w:val="00903717"/>
    <w:rsid w:val="00925A84"/>
    <w:rsid w:val="009406B6"/>
    <w:rsid w:val="0094533A"/>
    <w:rsid w:val="00955B0F"/>
    <w:rsid w:val="00957055"/>
    <w:rsid w:val="00961AF8"/>
    <w:rsid w:val="009A2ABB"/>
    <w:rsid w:val="009B58AB"/>
    <w:rsid w:val="009D55E1"/>
    <w:rsid w:val="00A1032C"/>
    <w:rsid w:val="00A34935"/>
    <w:rsid w:val="00A61120"/>
    <w:rsid w:val="00A822EA"/>
    <w:rsid w:val="00AC4E28"/>
    <w:rsid w:val="00AE2641"/>
    <w:rsid w:val="00AF7F9D"/>
    <w:rsid w:val="00B20EDB"/>
    <w:rsid w:val="00B27570"/>
    <w:rsid w:val="00B44897"/>
    <w:rsid w:val="00B64737"/>
    <w:rsid w:val="00B679F0"/>
    <w:rsid w:val="00B72BAA"/>
    <w:rsid w:val="00B72DB0"/>
    <w:rsid w:val="00BA19F9"/>
    <w:rsid w:val="00BB3AA0"/>
    <w:rsid w:val="00C00D67"/>
    <w:rsid w:val="00C242DD"/>
    <w:rsid w:val="00C27C0D"/>
    <w:rsid w:val="00C31143"/>
    <w:rsid w:val="00C5463D"/>
    <w:rsid w:val="00C67BEE"/>
    <w:rsid w:val="00C86AD2"/>
    <w:rsid w:val="00CB3EE3"/>
    <w:rsid w:val="00D12D4C"/>
    <w:rsid w:val="00D15B72"/>
    <w:rsid w:val="00D371E2"/>
    <w:rsid w:val="00D514BA"/>
    <w:rsid w:val="00D54127"/>
    <w:rsid w:val="00D61B6C"/>
    <w:rsid w:val="00D64269"/>
    <w:rsid w:val="00D920DD"/>
    <w:rsid w:val="00DA0CE9"/>
    <w:rsid w:val="00DB72CE"/>
    <w:rsid w:val="00DC4797"/>
    <w:rsid w:val="00DC6895"/>
    <w:rsid w:val="00DE4EDC"/>
    <w:rsid w:val="00E14DFD"/>
    <w:rsid w:val="00E235FD"/>
    <w:rsid w:val="00E42596"/>
    <w:rsid w:val="00E71208"/>
    <w:rsid w:val="00E77951"/>
    <w:rsid w:val="00E91E5F"/>
    <w:rsid w:val="00EF2D2F"/>
    <w:rsid w:val="00F00B43"/>
    <w:rsid w:val="00F061CD"/>
    <w:rsid w:val="00F44CEE"/>
    <w:rsid w:val="00F63730"/>
    <w:rsid w:val="00FC07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6603"/>
  <w15:chartTrackingRefBased/>
  <w15:docId w15:val="{498DC97F-B401-4E2F-ABB6-ABD22C54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160" w:line="259"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77174E"/>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77174E"/>
    <w:rPr>
      <w:rFonts w:ascii="Segoe UI" w:hAnsi="Segoe UI" w:cs="Segoe UI"/>
      <w:sz w:val="18"/>
      <w:szCs w:val="18"/>
      <w:lang w:eastAsia="en-US"/>
    </w:rPr>
  </w:style>
  <w:style w:type="character" w:styleId="Pripombasklic">
    <w:name w:val="annotation reference"/>
    <w:uiPriority w:val="99"/>
    <w:semiHidden/>
    <w:unhideWhenUsed/>
    <w:rsid w:val="003361D8"/>
    <w:rPr>
      <w:sz w:val="16"/>
      <w:szCs w:val="16"/>
    </w:rPr>
  </w:style>
  <w:style w:type="paragraph" w:styleId="Pripombabesedilo">
    <w:name w:val="annotation text"/>
    <w:basedOn w:val="Navaden"/>
    <w:link w:val="PripombabesediloZnak"/>
    <w:uiPriority w:val="99"/>
    <w:semiHidden/>
    <w:unhideWhenUsed/>
    <w:rsid w:val="003361D8"/>
    <w:rPr>
      <w:sz w:val="20"/>
      <w:szCs w:val="20"/>
    </w:rPr>
  </w:style>
  <w:style w:type="character" w:customStyle="1" w:styleId="PripombabesediloZnak">
    <w:name w:val="Pripomba – besedilo Znak"/>
    <w:link w:val="Pripombabesedilo"/>
    <w:uiPriority w:val="99"/>
    <w:semiHidden/>
    <w:rsid w:val="003361D8"/>
    <w:rPr>
      <w:lang w:eastAsia="en-US"/>
    </w:rPr>
  </w:style>
  <w:style w:type="paragraph" w:styleId="Zadevapripombe">
    <w:name w:val="annotation subject"/>
    <w:basedOn w:val="Pripombabesedilo"/>
    <w:next w:val="Pripombabesedilo"/>
    <w:link w:val="ZadevapripombeZnak"/>
    <w:uiPriority w:val="99"/>
    <w:semiHidden/>
    <w:unhideWhenUsed/>
    <w:rsid w:val="003361D8"/>
    <w:rPr>
      <w:b/>
      <w:bCs/>
    </w:rPr>
  </w:style>
  <w:style w:type="character" w:customStyle="1" w:styleId="ZadevapripombeZnak">
    <w:name w:val="Zadeva pripombe Znak"/>
    <w:link w:val="Zadevapripombe"/>
    <w:uiPriority w:val="99"/>
    <w:semiHidden/>
    <w:rsid w:val="003361D8"/>
    <w:rPr>
      <w:b/>
      <w:bCs/>
      <w:lang w:eastAsia="en-US"/>
    </w:rPr>
  </w:style>
  <w:style w:type="character" w:styleId="Sprotnaopomba-sklic">
    <w:name w:val="footnote reference"/>
    <w:aliases w:val="Footnote symbol,Footnote,Fussnota"/>
    <w:semiHidden/>
    <w:rsid w:val="00B72D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3457</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MNZ</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Uroš Rojšek</dc:creator>
  <cp:keywords/>
  <dc:description/>
  <cp:lastModifiedBy>Maja Krušič</cp:lastModifiedBy>
  <cp:revision>3</cp:revision>
  <cp:lastPrinted>2018-04-26T10:41:00Z</cp:lastPrinted>
  <dcterms:created xsi:type="dcterms:W3CDTF">2022-10-05T08:51:00Z</dcterms:created>
  <dcterms:modified xsi:type="dcterms:W3CDTF">2023-05-08T13:44:00Z</dcterms:modified>
</cp:coreProperties>
</file>