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EC" w:rsidRPr="00376B28" w:rsidRDefault="002D7A0D" w:rsidP="007C7090">
      <w:pPr>
        <w:pStyle w:val="ChapterTitle"/>
        <w:spacing w:before="0" w:after="0"/>
      </w:pPr>
      <w:bookmarkStart w:id="0" w:name="_GoBack"/>
      <w:bookmarkEnd w:id="0"/>
      <w:r>
        <w:rPr>
          <w:noProof/>
        </w:rPr>
        <w:t>POROČILO O IZVAJANJU ISF</w:t>
      </w:r>
    </w:p>
    <w:p w:rsidR="004F1EEC" w:rsidRPr="00D5173B" w:rsidRDefault="004F1EEC" w:rsidP="007C7090">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7649"/>
      </w:tblGrid>
      <w:tr w:rsidR="00741801" w:rsidTr="008E16E1">
        <w:trPr>
          <w:trHeight w:val="222"/>
        </w:trPr>
        <w:tc>
          <w:tcPr>
            <w:tcW w:w="0" w:type="auto"/>
            <w:shd w:val="clear" w:color="auto" w:fill="auto"/>
          </w:tcPr>
          <w:p w:rsidR="004F1EEC" w:rsidRPr="0019232D" w:rsidRDefault="002D7A0D" w:rsidP="007C7090">
            <w:pPr>
              <w:spacing w:before="0" w:after="0"/>
            </w:pPr>
            <w:r>
              <w:rPr>
                <w:noProof/>
              </w:rPr>
              <w:t>Številka CCI</w:t>
            </w:r>
          </w:p>
        </w:tc>
        <w:tc>
          <w:tcPr>
            <w:tcW w:w="0" w:type="auto"/>
            <w:shd w:val="clear" w:color="auto" w:fill="auto"/>
          </w:tcPr>
          <w:p w:rsidR="004F1EEC" w:rsidRPr="0019232D" w:rsidRDefault="002D7A0D" w:rsidP="007C7090">
            <w:pPr>
              <w:spacing w:before="0" w:after="0"/>
              <w:rPr>
                <w:color w:val="000000"/>
              </w:rPr>
            </w:pPr>
            <w:r>
              <w:rPr>
                <w:noProof/>
                <w:color w:val="000000"/>
              </w:rPr>
              <w:t>2014SI65ISNP001</w:t>
            </w:r>
          </w:p>
        </w:tc>
      </w:tr>
      <w:tr w:rsidR="00741801" w:rsidTr="008E16E1">
        <w:trPr>
          <w:trHeight w:val="269"/>
        </w:trPr>
        <w:tc>
          <w:tcPr>
            <w:tcW w:w="0" w:type="auto"/>
            <w:shd w:val="clear" w:color="auto" w:fill="auto"/>
          </w:tcPr>
          <w:p w:rsidR="004F1EEC" w:rsidRPr="00F433EE" w:rsidRDefault="002D7A0D" w:rsidP="007C7090">
            <w:pPr>
              <w:spacing w:before="0" w:after="0"/>
            </w:pPr>
            <w:r>
              <w:rPr>
                <w:noProof/>
              </w:rPr>
              <w:t>Naslov</w:t>
            </w:r>
          </w:p>
        </w:tc>
        <w:tc>
          <w:tcPr>
            <w:tcW w:w="0" w:type="auto"/>
            <w:shd w:val="clear" w:color="auto" w:fill="auto"/>
          </w:tcPr>
          <w:p w:rsidR="004F1EEC" w:rsidRPr="0019232D" w:rsidRDefault="002D7A0D" w:rsidP="007C7090">
            <w:pPr>
              <w:spacing w:before="0" w:after="0"/>
              <w:rPr>
                <w:color w:val="000000"/>
              </w:rPr>
            </w:pPr>
            <w:r>
              <w:rPr>
                <w:noProof/>
                <w:color w:val="000000"/>
              </w:rPr>
              <w:t>Slovenija National Programme ISF</w:t>
            </w:r>
          </w:p>
        </w:tc>
      </w:tr>
      <w:tr w:rsidR="00741801" w:rsidTr="008E16E1">
        <w:trPr>
          <w:trHeight w:val="138"/>
        </w:trPr>
        <w:tc>
          <w:tcPr>
            <w:tcW w:w="0" w:type="auto"/>
            <w:shd w:val="clear" w:color="auto" w:fill="auto"/>
          </w:tcPr>
          <w:p w:rsidR="004F1EEC" w:rsidRPr="0019232D" w:rsidRDefault="002D7A0D" w:rsidP="007C7090">
            <w:pPr>
              <w:spacing w:before="0" w:after="0"/>
            </w:pPr>
            <w:r>
              <w:rPr>
                <w:noProof/>
              </w:rPr>
              <w:t>Različica</w:t>
            </w:r>
          </w:p>
        </w:tc>
        <w:tc>
          <w:tcPr>
            <w:tcW w:w="0" w:type="auto"/>
            <w:shd w:val="clear" w:color="auto" w:fill="auto"/>
          </w:tcPr>
          <w:p w:rsidR="004F1EEC" w:rsidRPr="0019232D" w:rsidRDefault="002D7A0D" w:rsidP="007C7090">
            <w:pPr>
              <w:spacing w:before="0" w:after="0"/>
              <w:rPr>
                <w:color w:val="000000"/>
              </w:rPr>
            </w:pPr>
            <w:r>
              <w:rPr>
                <w:noProof/>
                <w:color w:val="000000"/>
              </w:rPr>
              <w:t>2019.1</w:t>
            </w:r>
          </w:p>
        </w:tc>
      </w:tr>
    </w:tbl>
    <w:p w:rsidR="004F1EEC" w:rsidRDefault="004F1EEC" w:rsidP="007C7090">
      <w:pPr>
        <w:spacing w:before="0" w:after="0"/>
      </w:pPr>
    </w:p>
    <w:p w:rsidR="00D22822" w:rsidRDefault="004F1EEC" w:rsidP="007C7090">
      <w:pPr>
        <w:spacing w:before="0" w:after="0"/>
        <w:jc w:val="left"/>
        <w:rPr>
          <w:noProof/>
        </w:rPr>
      </w:pPr>
      <w:r>
        <w:br w:type="page"/>
      </w:r>
      <w:r w:rsidR="002D7A0D" w:rsidRPr="001D77F2">
        <w:fldChar w:fldCharType="begin"/>
      </w:r>
      <w:r w:rsidRPr="001D77F2">
        <w:instrText xml:space="preserve"> TOC \h Hyperlinks </w:instrText>
      </w:r>
      <w:r w:rsidR="002D7A0D" w:rsidRPr="001D77F2">
        <w:fldChar w:fldCharType="separate"/>
      </w:r>
    </w:p>
    <w:p w:rsidR="00741801" w:rsidRDefault="002D7A0D">
      <w:pPr>
        <w:pStyle w:val="Kazalovsebine1"/>
        <w:tabs>
          <w:tab w:val="right" w:leader="dot" w:pos="10761"/>
        </w:tabs>
        <w:rPr>
          <w:rFonts w:asciiTheme="minorHAnsi" w:hAnsiTheme="minorHAnsi"/>
          <w:noProof/>
          <w:sz w:val="22"/>
        </w:rPr>
      </w:pPr>
      <w:hyperlink w:anchor="_Toc256000000" w:history="1">
        <w:r w:rsidRPr="004E3E1A">
          <w:rPr>
            <w:rStyle w:val="Hiperpovezava"/>
            <w:noProof/>
          </w:rPr>
          <w:t>ODDELEK 3: PROGRAMSKI CILJI</w:t>
        </w:r>
        <w:r>
          <w:tab/>
        </w:r>
        <w:r>
          <w:fldChar w:fldCharType="begin"/>
        </w:r>
        <w:r>
          <w:instrText xml:space="preserve"> PAGEREF _Toc256000000 \h </w:instrText>
        </w:r>
        <w:r>
          <w:fldChar w:fldCharType="separate"/>
        </w:r>
        <w:r>
          <w:t>3</w:t>
        </w:r>
        <w:r>
          <w:fldChar w:fldCharType="end"/>
        </w:r>
      </w:hyperlink>
    </w:p>
    <w:p w:rsidR="00741801" w:rsidRDefault="002D7A0D">
      <w:pPr>
        <w:pStyle w:val="Kazalovsebine1"/>
        <w:tabs>
          <w:tab w:val="right" w:leader="dot" w:pos="10761"/>
        </w:tabs>
        <w:rPr>
          <w:rFonts w:asciiTheme="minorHAnsi" w:hAnsiTheme="minorHAnsi"/>
          <w:noProof/>
          <w:sz w:val="22"/>
        </w:rPr>
      </w:pPr>
      <w:hyperlink w:anchor="_Toc256000001" w:history="1">
        <w:r w:rsidRPr="00F9367D">
          <w:rPr>
            <w:rStyle w:val="Hiperpovezava"/>
            <w:noProof/>
          </w:rPr>
          <w:t>Okvirni časovni razpored</w:t>
        </w:r>
        <w:r>
          <w:tab/>
        </w:r>
        <w:r>
          <w:fldChar w:fldCharType="begin"/>
        </w:r>
        <w:r>
          <w:instrText xml:space="preserve"> PAGEREF _Toc256000001 \h </w:instrText>
        </w:r>
        <w:r>
          <w:fldChar w:fldCharType="separate"/>
        </w:r>
        <w:r>
          <w:t>19</w:t>
        </w:r>
        <w:r>
          <w:fldChar w:fldCharType="end"/>
        </w:r>
      </w:hyperlink>
    </w:p>
    <w:p w:rsidR="00741801" w:rsidRDefault="002D7A0D">
      <w:pPr>
        <w:pStyle w:val="Kazalovsebine1"/>
        <w:tabs>
          <w:tab w:val="right" w:leader="dot" w:pos="10761"/>
        </w:tabs>
        <w:rPr>
          <w:rFonts w:asciiTheme="minorHAnsi" w:hAnsiTheme="minorHAnsi"/>
          <w:noProof/>
          <w:sz w:val="22"/>
        </w:rPr>
      </w:pPr>
      <w:hyperlink w:anchor="_Toc256000002" w:history="1">
        <w:r>
          <w:rPr>
            <w:rStyle w:val="Hiperpovezava"/>
            <w:noProof/>
            <w:lang w:val="fr-BE"/>
          </w:rPr>
          <w:t>ODDE</w:t>
        </w:r>
        <w:r>
          <w:rPr>
            <w:rStyle w:val="Hiperpovezava"/>
            <w:noProof/>
            <w:lang w:val="fr-BE"/>
          </w:rPr>
          <w:t>LEK 5: SKUPNI KAZALNIKI IN KAZALNIKI ZA POSAMEZNE PROGRAME</w:t>
        </w:r>
        <w:r>
          <w:tab/>
        </w:r>
        <w:r>
          <w:fldChar w:fldCharType="begin"/>
        </w:r>
        <w:r>
          <w:instrText xml:space="preserve"> PAGEREF _Toc256000002 \h </w:instrText>
        </w:r>
        <w:r>
          <w:fldChar w:fldCharType="separate"/>
        </w:r>
        <w:r>
          <w:t>21</w:t>
        </w:r>
        <w:r>
          <w:fldChar w:fldCharType="end"/>
        </w:r>
      </w:hyperlink>
    </w:p>
    <w:p w:rsidR="00741801" w:rsidRDefault="002D7A0D">
      <w:pPr>
        <w:pStyle w:val="Kazalovsebine1"/>
        <w:tabs>
          <w:tab w:val="right" w:leader="dot" w:pos="10761"/>
        </w:tabs>
        <w:rPr>
          <w:rFonts w:asciiTheme="minorHAnsi" w:hAnsiTheme="minorHAnsi"/>
          <w:noProof/>
          <w:sz w:val="22"/>
        </w:rPr>
      </w:pPr>
      <w:hyperlink w:anchor="_Toc256000003" w:history="1">
        <w:r>
          <w:rPr>
            <w:rStyle w:val="Hiperpovezava"/>
            <w:noProof/>
            <w:lang w:val="fr-BE"/>
          </w:rPr>
          <w:t xml:space="preserve">ODDELEK 6: OKVIR ZA PRIPRAVO IN IZVAJANJE PROGRAMA S STRANI DRŽAVE </w:t>
        </w:r>
        <w:r>
          <w:rPr>
            <w:rStyle w:val="Hiperpovezava"/>
            <w:noProof/>
            <w:lang w:val="fr-BE"/>
          </w:rPr>
          <w:t>ČLANICE</w:t>
        </w:r>
        <w:r>
          <w:tab/>
        </w:r>
        <w:r>
          <w:fldChar w:fldCharType="begin"/>
        </w:r>
        <w:r>
          <w:instrText xml:space="preserve"> PAGEREF _Toc256000003 \h </w:instrText>
        </w:r>
        <w:r>
          <w:fldChar w:fldCharType="separate"/>
        </w:r>
        <w:r>
          <w:t>25</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04" w:history="1">
        <w:r>
          <w:rPr>
            <w:rStyle w:val="Hiperpovezava"/>
            <w:noProof/>
            <w:lang w:val="fr-BE"/>
          </w:rPr>
          <w:t>6.1 Odbor za spremljanje (člen 12(4) Uredbe (EU) št. 514/2014)</w:t>
        </w:r>
        <w:r>
          <w:tab/>
        </w:r>
        <w:r>
          <w:fldChar w:fldCharType="begin"/>
        </w:r>
        <w:r>
          <w:instrText xml:space="preserve"> PAGEREF _Toc256000004 \h </w:instrText>
        </w:r>
        <w:r>
          <w:fldChar w:fldCharType="separate"/>
        </w:r>
        <w:r>
          <w:t>25</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05" w:history="1">
        <w:r>
          <w:rPr>
            <w:rStyle w:val="Hiperpovezava"/>
            <w:noProof/>
            <w:lang w:val="fr-BE"/>
          </w:rPr>
          <w:t>6.2 Skupni okvir za spremljanje in vrednotenje (člen 14(2)(f) Uredbe (EU) št. 514/2014)</w:t>
        </w:r>
        <w:r>
          <w:tab/>
        </w:r>
        <w:r>
          <w:fldChar w:fldCharType="begin"/>
        </w:r>
        <w:r>
          <w:instrText xml:space="preserve"> PAGEREF _Toc256000005 \h </w:instrText>
        </w:r>
        <w:r>
          <w:fldChar w:fldCharType="separate"/>
        </w:r>
        <w:r>
          <w:t>26</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06" w:history="1">
        <w:r>
          <w:rPr>
            <w:rStyle w:val="Hiperpovezava"/>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_Toc256000006 \h </w:instrText>
        </w:r>
        <w:r>
          <w:fldChar w:fldCharType="separate"/>
        </w:r>
        <w:r>
          <w:t>26</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07"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_Toc256000007 \h </w:instrText>
        </w:r>
        <w:r>
          <w:fldChar w:fldCharType="separate"/>
        </w:r>
        <w:r>
          <w:t>28</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08" w:history="1">
        <w:r w:rsidRPr="00A1528F">
          <w:rPr>
            <w:rStyle w:val="Hiperpovezava"/>
            <w:noProof/>
          </w:rPr>
          <w:t>Na kratko opišite glavne prispevke in mnenja partnerjev v proračunskem letu.</w:t>
        </w:r>
        <w:r>
          <w:tab/>
        </w:r>
        <w:r>
          <w:fldChar w:fldCharType="begin"/>
        </w:r>
        <w:r>
          <w:instrText xml:space="preserve"> PAGEREF _Toc256000008 \h </w:instrText>
        </w:r>
        <w:r>
          <w:fldChar w:fldCharType="separate"/>
        </w:r>
        <w:r>
          <w:t>28</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09" w:history="1">
        <w:r>
          <w:rPr>
            <w:rStyle w:val="Hiperpovezava"/>
            <w:noProof/>
            <w:lang w:val="fr-BE"/>
          </w:rPr>
          <w:t>6.4 Obveščanje in objavljanje (člen 48 Uredbe (EU) št. 514/2014)</w:t>
        </w:r>
        <w:r>
          <w:tab/>
        </w:r>
        <w:r>
          <w:fldChar w:fldCharType="begin"/>
        </w:r>
        <w:r>
          <w:instrText xml:space="preserve"> PAGEREF _Toc256000009 \h </w:instrText>
        </w:r>
        <w:r>
          <w:fldChar w:fldCharType="separate"/>
        </w:r>
        <w:r>
          <w:t>29</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0" w:history="1">
        <w:r>
          <w:rPr>
            <w:rStyle w:val="Hiperpovezava"/>
            <w:noProof/>
            <w:lang w:val="fr-BE"/>
          </w:rPr>
          <w:t>Navedite povez</w:t>
        </w:r>
        <w:r>
          <w:rPr>
            <w:rStyle w:val="Hiperpovezava"/>
            <w:noProof/>
            <w:lang w:val="fr-BE"/>
          </w:rPr>
          <w:t>avo do spletišča programa.</w:t>
        </w:r>
        <w:r>
          <w:tab/>
        </w:r>
        <w:r>
          <w:fldChar w:fldCharType="begin"/>
        </w:r>
        <w:r>
          <w:instrText xml:space="preserve"> PAGEREF _Toc256000010 \h </w:instrText>
        </w:r>
        <w:r>
          <w:fldChar w:fldCharType="separate"/>
        </w:r>
        <w:r>
          <w:t>29</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1" w:history="1">
        <w:r>
          <w:rPr>
            <w:rStyle w:val="Hiperpovezava"/>
            <w:noProof/>
            <w:lang w:val="fr-BE"/>
          </w:rPr>
          <w:t xml:space="preserve">Navedite glavne dejavnosti obveščanja in objavljanja, izvedene v proračunskem letu. Priložiti je </w:t>
        </w:r>
        <w:r>
          <w:rPr>
            <w:rStyle w:val="Hiperpovezava"/>
            <w:noProof/>
            <w:lang w:val="fr-BE"/>
          </w:rPr>
          <w:t>treba primere gradiva.</w:t>
        </w:r>
        <w:r>
          <w:tab/>
        </w:r>
        <w:r>
          <w:fldChar w:fldCharType="begin"/>
        </w:r>
        <w:r>
          <w:instrText xml:space="preserve"> PAGEREF _Toc256000011 \h </w:instrText>
        </w:r>
        <w:r>
          <w:fldChar w:fldCharType="separate"/>
        </w:r>
        <w:r>
          <w:t>29</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2" w:history="1">
        <w:r w:rsidRPr="00A1528F">
          <w:rPr>
            <w:rStyle w:val="Hiperpovezava"/>
            <w:noProof/>
          </w:rPr>
          <w:t>6.5 Dopolnjevanje z drugimi instrumenti Unije (člen 14(2)(e) in 14(5)(f) Uredbe (EU) št. 514/2014)</w:t>
        </w:r>
        <w:r>
          <w:tab/>
        </w:r>
        <w:r>
          <w:fldChar w:fldCharType="begin"/>
        </w:r>
        <w:r>
          <w:instrText xml:space="preserve"> PAGE</w:instrText>
        </w:r>
        <w:r>
          <w:instrText xml:space="preserve">REF _Toc256000012 \h </w:instrText>
        </w:r>
        <w:r>
          <w:fldChar w:fldCharType="separate"/>
        </w:r>
        <w:r>
          <w:t>30</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3" w:history="1">
        <w:r>
          <w:rPr>
            <w:rStyle w:val="Hiperpovezava"/>
            <w:noProof/>
            <w:lang w:val="fr-BE"/>
          </w:rPr>
          <w:t>Na kratko opišite glavne ukrepe in posvetovanja, ki so bili izvedeni zaradi usklajevanja z naslednjimi drugimi instrumenti Unije:</w:t>
        </w:r>
        <w:r>
          <w:tab/>
        </w:r>
        <w:r>
          <w:fldChar w:fldCharType="begin"/>
        </w:r>
        <w:r>
          <w:instrText xml:space="preserve"> P</w:instrText>
        </w:r>
        <w:r>
          <w:instrText xml:space="preserve">AGEREF _Toc256000013 \h </w:instrText>
        </w:r>
        <w:r>
          <w:fldChar w:fldCharType="separate"/>
        </w:r>
        <w:r>
          <w:t>30</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4" w:history="1">
        <w:r>
          <w:rPr>
            <w:rStyle w:val="Hiperpovezava"/>
            <w:noProof/>
            <w:lang w:val="fr-BE"/>
          </w:rPr>
          <w:t>6.6 Neposredna oddaja naročila</w:t>
        </w:r>
        <w:r>
          <w:tab/>
        </w:r>
        <w:r>
          <w:fldChar w:fldCharType="begin"/>
        </w:r>
        <w:r>
          <w:instrText xml:space="preserve"> PAGEREF _Toc256000014 \h </w:instrText>
        </w:r>
        <w:r>
          <w:fldChar w:fldCharType="separate"/>
        </w:r>
        <w:r>
          <w:t>31</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5" w:history="1">
        <w:r>
          <w:rPr>
            <w:rStyle w:val="Hiperpovezava"/>
            <w:noProof/>
            <w:lang w:val="fr-BE"/>
          </w:rPr>
          <w:t>Utemeljite vsak primer neposredne dodelitve.</w:t>
        </w:r>
        <w:r>
          <w:tab/>
        </w:r>
        <w:r>
          <w:fldChar w:fldCharType="begin"/>
        </w:r>
        <w:r>
          <w:instrText xml:space="preserve"> PAGEREF _Toc256000015 \h </w:instrText>
        </w:r>
        <w:r>
          <w:fldChar w:fldCharType="separate"/>
        </w:r>
        <w:r>
          <w:t>31</w:t>
        </w:r>
        <w:r>
          <w:fldChar w:fldCharType="end"/>
        </w:r>
      </w:hyperlink>
    </w:p>
    <w:p w:rsidR="00741801" w:rsidRDefault="002D7A0D">
      <w:pPr>
        <w:pStyle w:val="Kazalovsebine1"/>
        <w:tabs>
          <w:tab w:val="right" w:leader="dot" w:pos="10761"/>
        </w:tabs>
        <w:rPr>
          <w:rFonts w:asciiTheme="minorHAnsi" w:hAnsiTheme="minorHAnsi"/>
          <w:noProof/>
          <w:sz w:val="22"/>
        </w:rPr>
      </w:pPr>
      <w:hyperlink w:anchor="_Toc256000016" w:history="1">
        <w:r>
          <w:rPr>
            <w:rStyle w:val="Hiperpovezava"/>
            <w:noProof/>
            <w:lang w:val="fr-BE"/>
          </w:rPr>
          <w:t>ODDELEK 7: FINANČNO POROČILO (ČLEN 54(2)(A) UREDBE</w:t>
        </w:r>
        <w:r>
          <w:rPr>
            <w:rStyle w:val="Hiperpovezava"/>
            <w:noProof/>
            <w:lang w:val="fr-BE"/>
          </w:rPr>
          <w:t xml:space="preserve"> (EU) ŠT. 514/2014)</w:t>
        </w:r>
        <w:r>
          <w:tab/>
        </w:r>
        <w:r>
          <w:fldChar w:fldCharType="begin"/>
        </w:r>
        <w:r>
          <w:instrText xml:space="preserve"> PAGEREF _Toc256000016 \h </w:instrText>
        </w:r>
        <w:r>
          <w:fldChar w:fldCharType="separate"/>
        </w:r>
        <w:r>
          <w:t>32</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7" w:history="1">
        <w:r>
          <w:rPr>
            <w:rStyle w:val="Hiperpovezava"/>
            <w:noProof/>
            <w:lang w:val="fr-BE"/>
          </w:rPr>
          <w:t>Preglednica 1. ISF – finančni povzetek za meje, kot je bil prijavljen v Obračunih</w:t>
        </w:r>
        <w:r>
          <w:tab/>
        </w:r>
        <w:r>
          <w:fldChar w:fldCharType="begin"/>
        </w:r>
        <w:r>
          <w:instrText xml:space="preserve"> PAGEREF _Toc256000017 \</w:instrText>
        </w:r>
        <w:r>
          <w:instrText xml:space="preserve">h </w:instrText>
        </w:r>
        <w:r>
          <w:fldChar w:fldCharType="separate"/>
        </w:r>
        <w:r>
          <w:t>32</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8" w:history="1">
        <w:r>
          <w:rPr>
            <w:rStyle w:val="Hiperpovezava"/>
            <w:noProof/>
            <w:lang w:val="fr-BE"/>
          </w:rPr>
          <w:t>Preglednica 2. ISF – finančni povzetek za policijo, kot je bil prijavljen v Obračunih</w:t>
        </w:r>
        <w:r>
          <w:tab/>
        </w:r>
        <w:r>
          <w:fldChar w:fldCharType="begin"/>
        </w:r>
        <w:r>
          <w:instrText xml:space="preserve"> PAGEREF _Toc256000018 \h </w:instrText>
        </w:r>
        <w:r>
          <w:fldChar w:fldCharType="separate"/>
        </w:r>
        <w:r>
          <w:t>33</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19"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_Toc256000019 \h</w:instrText>
        </w:r>
        <w:r>
          <w:instrText xml:space="preserve"> </w:instrText>
        </w:r>
        <w:r>
          <w:fldChar w:fldCharType="separate"/>
        </w:r>
        <w:r>
          <w:t>34</w:t>
        </w:r>
        <w:r>
          <w:fldChar w:fldCharType="end"/>
        </w:r>
      </w:hyperlink>
    </w:p>
    <w:p w:rsidR="00741801" w:rsidRDefault="002D7A0D">
      <w:pPr>
        <w:pStyle w:val="Kazalovsebine2"/>
        <w:tabs>
          <w:tab w:val="right" w:leader="dot" w:pos="10761"/>
        </w:tabs>
        <w:rPr>
          <w:rFonts w:asciiTheme="minorHAnsi" w:hAnsiTheme="minorHAnsi"/>
          <w:noProof/>
          <w:sz w:val="22"/>
        </w:rPr>
      </w:pPr>
      <w:hyperlink w:anchor="_Toc256000020" w:history="1">
        <w:r>
          <w:rPr>
            <w:rStyle w:val="Hiperpovezava"/>
            <w:noProof/>
            <w:lang w:val="fr-BE"/>
          </w:rPr>
          <w:t>Utemeljitev morebitnega odstopanja od najnižjih deležev, določenih v posebnih uredbah.</w:t>
        </w:r>
        <w:r>
          <w:tab/>
        </w:r>
        <w:r>
          <w:fldChar w:fldCharType="begin"/>
        </w:r>
        <w:r>
          <w:instrText xml:space="preserve"> PAGEREF _Toc256000020 \h </w:instrText>
        </w:r>
        <w:r>
          <w:fldChar w:fldCharType="separate"/>
        </w:r>
        <w:r>
          <w:t>35</w:t>
        </w:r>
        <w:r>
          <w:fldChar w:fldCharType="end"/>
        </w:r>
      </w:hyperlink>
    </w:p>
    <w:p w:rsidR="00741801" w:rsidRDefault="002D7A0D">
      <w:pPr>
        <w:pStyle w:val="Kazalovsebine1"/>
        <w:tabs>
          <w:tab w:val="right" w:leader="dot" w:pos="10761"/>
        </w:tabs>
        <w:rPr>
          <w:rFonts w:asciiTheme="minorHAnsi" w:hAnsiTheme="minorHAnsi"/>
          <w:noProof/>
          <w:sz w:val="22"/>
        </w:rPr>
      </w:pPr>
      <w:hyperlink w:anchor="_Toc256000021" w:history="1">
        <w:r>
          <w:rPr>
            <w:rStyle w:val="Hiperpovezava"/>
            <w:noProof/>
            <w:lang w:val="fr-BE"/>
          </w:rPr>
          <w:t>ODDELEK 8: OBVEZNOSTI V OBLIKI DOGOVORA</w:t>
        </w:r>
        <w:r>
          <w:tab/>
        </w:r>
        <w:r>
          <w:fldChar w:fldCharType="begin"/>
        </w:r>
        <w:r>
          <w:instrText xml:space="preserve"> PAGEREF _Toc256000021 \h </w:instrText>
        </w:r>
        <w:r>
          <w:fldChar w:fldCharType="separate"/>
        </w:r>
        <w:r>
          <w:t>36</w:t>
        </w:r>
        <w:r>
          <w:fldChar w:fldCharType="end"/>
        </w:r>
      </w:hyperlink>
    </w:p>
    <w:p w:rsidR="00741801" w:rsidRDefault="002D7A0D">
      <w:pPr>
        <w:pStyle w:val="Kazalovsebine1"/>
        <w:tabs>
          <w:tab w:val="right" w:leader="dot" w:pos="10761"/>
        </w:tabs>
        <w:rPr>
          <w:rFonts w:asciiTheme="minorHAnsi" w:hAnsiTheme="minorHAnsi"/>
          <w:noProof/>
          <w:sz w:val="22"/>
        </w:rPr>
      </w:pPr>
      <w:hyperlink w:anchor="_Toc256000022" w:history="1">
        <w:r>
          <w:rPr>
            <w:rStyle w:val="Hiperpovezava"/>
            <w:noProof/>
          </w:rPr>
          <w:t>Dokumenti</w:t>
        </w:r>
        <w:r>
          <w:tab/>
        </w:r>
        <w:r>
          <w:fldChar w:fldCharType="begin"/>
        </w:r>
        <w:r>
          <w:instrText xml:space="preserve"> PAGEREF _To</w:instrText>
        </w:r>
        <w:r>
          <w:instrText xml:space="preserve">c256000022 \h </w:instrText>
        </w:r>
        <w:r>
          <w:fldChar w:fldCharType="separate"/>
        </w:r>
        <w:r>
          <w:t>37</w:t>
        </w:r>
        <w:r>
          <w:fldChar w:fldCharType="end"/>
        </w:r>
      </w:hyperlink>
    </w:p>
    <w:p w:rsidR="00741801" w:rsidRDefault="002D7A0D">
      <w:pPr>
        <w:pStyle w:val="Kazalovsebine1"/>
        <w:tabs>
          <w:tab w:val="right" w:leader="dot" w:pos="10761"/>
        </w:tabs>
        <w:rPr>
          <w:rFonts w:asciiTheme="minorHAnsi" w:hAnsiTheme="minorHAnsi"/>
          <w:noProof/>
          <w:sz w:val="22"/>
        </w:rPr>
      </w:pPr>
      <w:hyperlink w:anchor="_Toc256000023" w:history="1">
        <w:r w:rsidR="00F05543">
          <w:rPr>
            <w:rStyle w:val="Hiperpovezava"/>
            <w:noProof/>
          </w:rPr>
          <w:t>Zadnji rezultati validacije</w:t>
        </w:r>
        <w:r>
          <w:tab/>
        </w:r>
        <w:r>
          <w:fldChar w:fldCharType="begin"/>
        </w:r>
        <w:r>
          <w:instrText xml:space="preserve"> PAGEREF _Toc256000023 \h </w:instrText>
        </w:r>
        <w:r>
          <w:fldChar w:fldCharType="separate"/>
        </w:r>
        <w:r>
          <w:t>38</w:t>
        </w:r>
        <w:r>
          <w:fldChar w:fldCharType="end"/>
        </w:r>
      </w:hyperlink>
    </w:p>
    <w:p w:rsidR="004F1EEC" w:rsidRDefault="002D7A0D" w:rsidP="007C7090">
      <w:pPr>
        <w:spacing w:before="0" w:after="0"/>
        <w:jc w:val="left"/>
      </w:pPr>
      <w:r w:rsidRPr="001D77F2">
        <w:fldChar w:fldCharType="end"/>
      </w:r>
      <w:r w:rsidRPr="001D77F2">
        <w:br w:type="page"/>
      </w:r>
      <w:bookmarkStart w:id="1" w:name="_Toc256000000"/>
      <w:r w:rsidRPr="004E3E1A">
        <w:rPr>
          <w:rStyle w:val="Naslov1Znak"/>
          <w:b w:val="0"/>
          <w:noProof/>
        </w:rPr>
        <w:lastRenderedPageBreak/>
        <w:t>ODDELEK 3</w:t>
      </w:r>
      <w:r w:rsidRPr="004E3E1A">
        <w:rPr>
          <w:rStyle w:val="Naslov1Znak"/>
          <w:b w:val="0"/>
          <w:noProof/>
        </w:rPr>
        <w:t>: PROGRAMSKI CILJI</w:t>
      </w:r>
      <w:bookmarkEnd w:id="1"/>
    </w:p>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8262"/>
      </w:tblGrid>
      <w:tr w:rsidR="00741801" w:rsidTr="008E16E1">
        <w:tc>
          <w:tcPr>
            <w:tcW w:w="0" w:type="auto"/>
            <w:shd w:val="clear" w:color="auto" w:fill="auto"/>
          </w:tcPr>
          <w:p w:rsidR="004F1EEC" w:rsidRPr="006C1127" w:rsidRDefault="002D7A0D"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2D7A0D" w:rsidP="007C7090">
            <w:pPr>
              <w:spacing w:before="0" w:after="0"/>
              <w:rPr>
                <w:lang w:val="fr-BE"/>
              </w:rPr>
            </w:pPr>
            <w:r w:rsidRPr="006C1127">
              <w:rPr>
                <w:noProof/>
                <w:lang w:val="fr-BE"/>
              </w:rPr>
              <w:t>1</w:t>
            </w:r>
            <w:r w:rsidRPr="006C1127">
              <w:rPr>
                <w:lang w:val="fr-BE"/>
              </w:rPr>
              <w:t xml:space="preserve"> - </w:t>
            </w:r>
            <w:r w:rsidRPr="006C1127">
              <w:rPr>
                <w:noProof/>
                <w:lang w:val="fr-BE"/>
              </w:rPr>
              <w:t>Podpora skupni vizumski politiki</w:t>
            </w:r>
          </w:p>
        </w:tc>
      </w:tr>
    </w:tbl>
    <w:p w:rsidR="004F1EEC" w:rsidRDefault="004F1EEC" w:rsidP="007C7090">
      <w:pPr>
        <w:spacing w:before="0" w:after="0"/>
        <w:rPr>
          <w:lang w:val="fr-BE"/>
        </w:rPr>
      </w:pPr>
    </w:p>
    <w:p w:rsidR="004F1EEC" w:rsidRDefault="002D7A0D" w:rsidP="007C7090">
      <w:pPr>
        <w:spacing w:before="0" w:after="0"/>
        <w:rPr>
          <w:lang w:val="fr-BE"/>
        </w:rPr>
      </w:pPr>
      <w:r>
        <w:rPr>
          <w:noProof/>
          <w:lang w:val="fr-BE"/>
        </w:rPr>
        <w:t>Povzemite napredek pri izvajanju strategije in doseganju nacionalnih ciljev v proračunskem letu.</w:t>
      </w:r>
    </w:p>
    <w:p w:rsidR="004F1EEC" w:rsidRDefault="002D7A0D" w:rsidP="007C7090">
      <w:pPr>
        <w:spacing w:before="0" w:after="0"/>
        <w:rPr>
          <w:lang w:val="fr-BE"/>
        </w:rPr>
      </w:pPr>
      <w:r>
        <w:rPr>
          <w:noProof/>
          <w:lang w:val="fr-BE"/>
        </w:rPr>
        <w:t xml:space="preserve">Navedite morebitne spremembe v strategiji ali nacionalnih ciljih oziroma dejavnike, ki </w:t>
      </w:r>
      <w:r>
        <w:rPr>
          <w:noProof/>
          <w:lang w:val="fr-BE"/>
        </w:rPr>
        <w:t>bi lahko privedli do sprememb v prihodnosti.</w:t>
      </w:r>
    </w:p>
    <w:p w:rsidR="004F1EEC" w:rsidRDefault="002D7A0D"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741801" w:rsidRDefault="002D7A0D">
      <w:pPr>
        <w:spacing w:before="0" w:after="240"/>
        <w:jc w:val="left"/>
      </w:pPr>
      <w:r>
        <w:t>Slovenija in EK sta v okviru političnega dialoga izpostavili področje upravljanja meja in upravljanja schengenskega območja</w:t>
      </w:r>
      <w:r>
        <w:t xml:space="preserve"> in poudarili, da so podpora mehanizmom EURODAC, VIS, SIS in konzularnemu sodelovanju glavne prednostne naloge ISF. Kot ključni prioriteti se je izpostavilo aktivnosti za vzpostavitev učinkovitega delovanja vizumskega informacijskega sistema ter razvoj in </w:t>
      </w:r>
      <w:r>
        <w:t>delovanje schengenskega informacijskega sistema. Slovenija je slednjega za nacionalni prioritetni cilj določila v okviru  posebnega cilja IB.SO2,nacionalnega cilja IB.SO2.5 »Nacionalne zmogljivosti.</w:t>
      </w:r>
    </w:p>
    <w:p w:rsidR="00741801" w:rsidRDefault="002D7A0D">
      <w:pPr>
        <w:spacing w:before="240" w:after="240"/>
        <w:jc w:val="left"/>
      </w:pPr>
      <w:r>
        <w:t xml:space="preserve">V okviru posebnega cilja IB.SO1 »Podpora skupni vizumski </w:t>
      </w:r>
      <w:r>
        <w:t>politiki« je Slovenija za svoje  prednostne naloge v sklopu razvoja vizumskega informacijskega sistema določila:</w:t>
      </w:r>
    </w:p>
    <w:p w:rsidR="00741801" w:rsidRDefault="002D7A0D">
      <w:pPr>
        <w:numPr>
          <w:ilvl w:val="0"/>
          <w:numId w:val="43"/>
        </w:numPr>
        <w:spacing w:before="240" w:after="0"/>
        <w:ind w:hanging="210"/>
        <w:jc w:val="left"/>
      </w:pPr>
      <w:r>
        <w:t>sprejetje in izvajanje ukrepov za podporo delovanju, vzdrževanju in razvoju nacionalnih sistemov, vključno z VISMAIL;</w:t>
      </w:r>
    </w:p>
    <w:p w:rsidR="00741801" w:rsidRDefault="002D7A0D">
      <w:pPr>
        <w:numPr>
          <w:ilvl w:val="0"/>
          <w:numId w:val="43"/>
        </w:numPr>
        <w:spacing w:before="0" w:after="0"/>
        <w:ind w:hanging="210"/>
        <w:jc w:val="left"/>
      </w:pPr>
      <w:r>
        <w:t xml:space="preserve">posodobitev opreme </w:t>
      </w:r>
      <w:r>
        <w:t>konzularnih predstavništev ter usposabljanje konzularnega osebja;</w:t>
      </w:r>
    </w:p>
    <w:p w:rsidR="00741801" w:rsidRDefault="002D7A0D">
      <w:pPr>
        <w:numPr>
          <w:ilvl w:val="0"/>
          <w:numId w:val="43"/>
        </w:numPr>
        <w:spacing w:before="0" w:after="240"/>
        <w:ind w:hanging="210"/>
        <w:jc w:val="left"/>
      </w:pPr>
      <w:r>
        <w:t>vzpostavitev mehanizmov konzularnega sodelovanja z drugimi državami članicami.</w:t>
      </w:r>
    </w:p>
    <w:p w:rsidR="00741801" w:rsidRDefault="002D7A0D">
      <w:pPr>
        <w:spacing w:before="240" w:after="240"/>
        <w:jc w:val="left"/>
      </w:pPr>
      <w:r>
        <w:t>Glavni cilj Slovenije na področju vizumske politike je vzpostavljen učinkovit, robusten sistem za obdelavo vizu</w:t>
      </w:r>
      <w:r>
        <w:t>mskih vlog, ki je prijazen do prosilcev ter učinkovito preprečuje nezakonite migracije. Ministrstvo za zunanje zadeve kot končni upravičenec na področju vizumske politike kontinuirano sledi glavnemu cilju in s sodobnim, učinkovitim  ter do prosilcev in upo</w:t>
      </w:r>
      <w:r>
        <w:t>rabnikov prijaznim sistemom  za obdelavo vizumskih vlog izpolnjuje zahteve EU na področju zakonitih migracij. Gre za kontinuirano izboljševanje vizumskega  IT sistema ter izboljšano procesiranje viz. V programskem obdobju je bilo doseženo izboljšanje delov</w:t>
      </w:r>
      <w:r>
        <w:t>anja vizumskega sistema, optimiziran proces obdelave ter izdaje vizumov, časovni roki za obdelavo in izdajo viz so se skrajšali, povečan je bil delež odkritih ponarejenih/prenarejenih dokumentov ter vzpostavljena kvalitetna povezljivost do Ministrstva za z</w:t>
      </w:r>
      <w:r>
        <w:t>unanje zadeve.</w:t>
      </w:r>
    </w:p>
    <w:p w:rsidR="00741801" w:rsidRDefault="002D7A0D">
      <w:pPr>
        <w:spacing w:before="240" w:after="240"/>
        <w:jc w:val="left"/>
      </w:pPr>
      <w:r>
        <w:t>Slovenija ocenjuje, da bo osegla, v okviru političnega dialoga, postavljene cilje, do zaključka izvajanja nacionalnega programa. Slovenija je v letu 2019 izboljšala vizumski IT sistem s posodobitvijo strojne in programske opreme, delovnih pr</w:t>
      </w:r>
      <w:r>
        <w:t>ocesov, z dodatno usposobljenim osebjem; doseženo je bilo izboljšanje delovanja vizumskega sistema, večja optimizacija obdelave ter izdaje vizumov, časovni roki za obdelavo in izdajo viz so se skrajšali, povečan je bil delež odkritih ponarejenih/prenarejen</w:t>
      </w:r>
      <w:r>
        <w:t>ih dokumentov.</w:t>
      </w:r>
    </w:p>
    <w:p w:rsidR="00741801" w:rsidRDefault="002D7A0D">
      <w:pPr>
        <w:spacing w:before="240" w:after="240"/>
        <w:jc w:val="left"/>
      </w:pPr>
      <w:r>
        <w:t>Pri izvajanju ukrepov se v letu 2019 ne beleži težav, ki bi vplivale na izvajanje Nacionalnega programa ter s tem povezanimi ukrepi in cilji. Na nacionalnem nivoju Slovenija ne pripravlja sprememb zakonodaje, ki bi lahko vplivale na izvajanj</w:t>
      </w:r>
      <w:r>
        <w:t>e ukrepov in doseganje ciljev. Alokacija sredstev za leto 2019 je bila končnemu upravičencu načrtovana v skladu s potrjenim Akcijskim načrtom.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1</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741801" w:rsidRDefault="002D7A0D">
      <w:pPr>
        <w:spacing w:before="0" w:after="240"/>
        <w:jc w:val="left"/>
      </w:pPr>
      <w:r>
        <w:t xml:space="preserve">V okviru nacionalnega cilja </w:t>
      </w:r>
      <w:r>
        <w:t xml:space="preserve">IB.SO1.1 »Nacionalne zmogljivosti« je Slovenija izvajala aktivnosti usmerjene k razvoju izboljšanega vizumskega informacijskega sistema z zanesljivimi komunikacijskimi linijami, možnostjo </w:t>
      </w:r>
      <w:r>
        <w:lastRenderedPageBreak/>
        <w:t>hitre ponovne vzpostavitve delovnega procesa v primeru izpada ter ra</w:t>
      </w:r>
      <w:r>
        <w:t xml:space="preserve">zvoju orodij za učinkovito upravljanje sistema ter aktivnosti za zagotovitev ustreznega delovanja viznega sistema na diplomatsko-konzularnih predstavništvih (DKP), katerim je potrebno zagotoviti kakovostno spletno povezljivost s centralno lokacijo na MZZ. </w:t>
      </w:r>
      <w:r>
        <w:t>Izveden je bil nakup strojne opreme za podporo obdelavi vizumskih vlog in opreme za odvzem prstnih odtisov, programskih komponent nacionalnega vizumskega informacijskega sistema ter opreme za odkrivanje ponarejenih dokumentov. Slovenija je pozornost nameni</w:t>
      </w:r>
      <w:r>
        <w:t>la izboljšanju varnostnih standardov in procesov na konzularnih predstavništvih Slovenije v tretjih državah.</w:t>
      </w:r>
    </w:p>
    <w:p w:rsidR="00741801" w:rsidRDefault="002D7A0D">
      <w:pPr>
        <w:spacing w:before="240" w:after="240"/>
        <w:jc w:val="left"/>
      </w:pPr>
      <w:r>
        <w:t>V 2019 so tekle aktivnosti teh ukrepov skladno z Akcijskim načrtom. Pristojno ministrstvo za zunanje zadeve je s posodobitvijo programske in strojn</w:t>
      </w:r>
      <w:r>
        <w:t>e opreme izboljšalo delovanje vizumskega IT sistema tako na centralni lokaciji MZZ v Ljubljani kot na relevantnih DKP-jih v tujini. Na DKP-je je bilo nameščeno 7 strežnikov (aktivnost se nadaljuje v 2020), nadaljevala se je distribucija že nabavljenih čita</w:t>
      </w:r>
      <w:r>
        <w:t>lcev prstnih odtisov; dokončana je bila ureditev ustreznih povezav za nadzor delovanja in distribucijo programske opreme za strojno opremo (prenosni računalniki za delo v izrednih razmerah). Dopolnjena/nadgrajena je bila programska oprema za aplikacijo Viz</w:t>
      </w:r>
      <w:r>
        <w:t>is z 20 novimi moduli za učinkovitejši in hitrejši elektronski vizumski sistem ter aplikacija SI.VIS z (s strani EU) zahtevanimi prilagoditvami.</w:t>
      </w:r>
    </w:p>
    <w:p w:rsidR="00741801" w:rsidRDefault="002D7A0D">
      <w:pPr>
        <w:spacing w:before="240" w:after="240"/>
        <w:jc w:val="left"/>
      </w:pPr>
      <w:r>
        <w:t xml:space="preserve">MZZ je v 2019 izvedlo postopek javnega naročila na področju zagotavljanja kvalitetne povezljivosti DKP z MZZ s </w:t>
      </w:r>
      <w:r>
        <w:t>ciljem, da se k obstoječim lokacijam dodata še dve novi - Teheran in Canberra. Zaradi tehničnih in pravnih zamud na obeh lokacijah, MZZ nadaljuje z aktivnostmi, priključitvi sta načrtovani v 2020.</w:t>
      </w:r>
    </w:p>
    <w:p w:rsidR="00741801" w:rsidRDefault="002D7A0D">
      <w:pPr>
        <w:spacing w:before="240" w:after="240"/>
        <w:jc w:val="left"/>
      </w:pPr>
      <w:r>
        <w:t>Za izboljšanje varnostnih standardov na predstavništvih v t</w:t>
      </w:r>
      <w:r>
        <w:t>retjih državah je MZZ izvedel JN za nakup vozila (za prevoz konzularne opreme, vizumskih nalepk, schengenskega arhiva). Nakupi druge varnostne opreme v 2019 niso bili izpeljani, saj so aktivnosti pristojne strokovne službe MZZ vezane na razpoložljivost str</w:t>
      </w:r>
      <w:r>
        <w:t>okovno tehničnih sodelavcev, ki so zadolženi tudi za opremljanje lokacij v tretjih državah. Nabava druge varnostne opreme bo izvedena v 2020, 2021.</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2</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741801" w:rsidRDefault="002D7A0D">
      <w:pPr>
        <w:spacing w:before="0" w:after="240"/>
        <w:jc w:val="left"/>
      </w:pPr>
      <w:r>
        <w:t xml:space="preserve">Cilj Slovenije na področju vizumske </w:t>
      </w:r>
      <w:r>
        <w:t>politike je strokovno usposobljeno osebje DKP Slovenije, ki neposredno dela na vizumskih postopkih. Slovenija je v okviru nacionalnega cilja IB.SO1.2 »Pravni red Unije« združila aktivnosti "usposabljanja osebja na področju odkrivanja ponarejenih dokumentov</w:t>
      </w:r>
      <w:r>
        <w:t>" in "standardno usposabljanje na osrednji lokaciji ter veleposlaništvih/konzulatih v tujini". Temu ustrezno je bil revidiran Akcijski načrt. V okviru IB.SO1.2 se izvaja tudi prednapotitveno usposabljanje in usposabljanje na krajem samem o jezikovnih in me</w:t>
      </w:r>
      <w:r>
        <w:t>dkulturnih kompetencah zaposlenih, ki komunicirajo s prosilci za izdajo vizumov na veleposlaništvih in konzulatih. Z združevanjem aktivnosti je Slovenija optimizirala izvajanje ukrepov, le-to je teklo brez zapletov in se bo kontinuirano izvajalo do leta 20</w:t>
      </w:r>
      <w:r>
        <w:t>21.</w:t>
      </w:r>
    </w:p>
    <w:p w:rsidR="00741801" w:rsidRDefault="002D7A0D">
      <w:pPr>
        <w:spacing w:before="240" w:after="240"/>
        <w:jc w:val="left"/>
      </w:pPr>
      <w:r>
        <w:t>Skladno s strategijo izobraževanja konzularnih uslužbencev na področju ponarejenih in prenarejenih dokumentov je Slovenija v 2019 izvedla (1) regionalni posvet in (1) splošni letni posvet. Usposabljanje je potekalo v obliki predavanj in delavnic s podr</w:t>
      </w:r>
      <w:r>
        <w:t>očja profiliranja in identifikacije oseb, s področja VIS (vizumski informacijski sistem), predstavitev novosti s področja vizumov in novosti v pravnem redu EU. Na posvetih je sodelovalo več kot 60 konzularnih uslužbencev. </w:t>
      </w:r>
    </w:p>
    <w:p w:rsidR="00741801" w:rsidRDefault="002D7A0D">
      <w:pPr>
        <w:spacing w:before="240" w:after="240"/>
        <w:jc w:val="left"/>
      </w:pPr>
      <w:r>
        <w:t>Na letnem konzularnem posvetu, ju</w:t>
      </w:r>
      <w:r>
        <w:t>nija 2019, so udeleženci DKP Slovenije pridobili nova znanja, ki omogočajo prilagajanje konzularne dejavnosti spremenljivim okoliščinam. Glavne teme posveta so bile vizumsko in konzularno poslovanje v kriznih razmerah; uporaba registrov v vizumskih postopk</w:t>
      </w:r>
      <w:r>
        <w:t>ih; e-uprava; novosti Entry/Exit sistema; novosti pri uvajanja VIS, spletnih vlog in VisMail; mednarodna pravna pomoč; mednarodne študijske izmenjave; druga konzularna področja.</w:t>
      </w:r>
    </w:p>
    <w:p w:rsidR="00741801" w:rsidRDefault="002D7A0D">
      <w:pPr>
        <w:spacing w:before="240" w:after="240"/>
        <w:jc w:val="left"/>
      </w:pPr>
      <w:r>
        <w:lastRenderedPageBreak/>
        <w:t xml:space="preserve">Poleg letnega konzularnega posveta je bil v 2019 izveden še en (1) regionalni </w:t>
      </w:r>
      <w:r>
        <w:t>konzularni posvet v Ljubljani in Moravskih toplicah, s poudarkom na izobraževanju s področja ponarejenih ter prenarejenih dokumentov, s področja profiliranja, odkrivanja t.i. "imposterjev" in odkrivanja novih zlorab biometričnih identifikatorjev, migracijs</w:t>
      </w:r>
      <w:r>
        <w:t>ke politike in sodelovanja DKP z upravnimi enotami.</w:t>
      </w:r>
    </w:p>
    <w:p w:rsidR="00741801" w:rsidRDefault="002D7A0D">
      <w:pPr>
        <w:spacing w:before="240" w:after="240"/>
        <w:jc w:val="left"/>
      </w:pPr>
      <w:r>
        <w:t>V okviru priprav na službovanje v konzularnem oddelku na predstavništvih Slovenije v tujini (na DKP v tretjih državah) se je v 2019 usposabljalo sedem (7) uslužbencev.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166"/>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 xml:space="preserve">Ukrepi, financirani v okviru </w:t>
            </w:r>
            <w:r w:rsidRPr="00707975">
              <w:rPr>
                <w:noProof/>
                <w:lang w:val="fr-BE"/>
              </w:rPr>
              <w:t>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3</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741801" w:rsidRDefault="002D7A0D">
      <w:pPr>
        <w:spacing w:before="0" w:after="240"/>
        <w:jc w:val="left"/>
      </w:pPr>
      <w:r>
        <w:t xml:space="preserve">Slovenija je v okviru nacionalnega cilja IB.SO1.3 »Konzularno sodelovanje« opredelila ukrep »Podpora in nadaljnji razvoj skupnega prijavnega centra (Common Application Centre - CAC) na slovenskem </w:t>
      </w:r>
      <w:r>
        <w:t>veleposlaništvu v Podgorici. Sofinanciranje ISF je bilo predvideno za nabavo opreme, specifično in standardno IT opremo, potrebno za CAC operacije, najem poslovnih prostorov, stroške plač, mednarodno in evropsko sodelovanje, idr. Končni upravičenec Ministr</w:t>
      </w:r>
      <w:r>
        <w:t>stvo za zunanje zadeve je ocenilo, da z vidika dejanskih, aktualnih potreb izvedba aktivnosti ni utemeljena. Načrtovana sredstva so bila prerazporejena na ukrep, namenjen izboljšanju delovanja viznega sistema preko zagotavljanja kvalitetne povezljivosti do</w:t>
      </w:r>
      <w:r>
        <w:t xml:space="preserve"> MZZ. Slovenija je ustrezno revidirala Akcijski načrt.</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7086"/>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Posebni ukrep</w:t>
            </w:r>
          </w:p>
        </w:tc>
        <w:tc>
          <w:tcPr>
            <w:tcW w:w="0" w:type="auto"/>
            <w:shd w:val="clear" w:color="auto" w:fill="auto"/>
          </w:tcPr>
          <w:p w:rsidR="004F1EEC" w:rsidRPr="00707975" w:rsidRDefault="002D7A0D" w:rsidP="007C7090">
            <w:pPr>
              <w:spacing w:before="0" w:after="0"/>
              <w:rPr>
                <w:lang w:val="fr-BE"/>
              </w:rPr>
            </w:pPr>
            <w:r w:rsidRPr="00707975">
              <w:rPr>
                <w:noProof/>
                <w:lang w:val="fr-BE"/>
              </w:rPr>
              <w:t>1</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741801" w:rsidRDefault="002D7A0D">
      <w:pPr>
        <w:spacing w:before="0" w:after="240"/>
        <w:jc w:val="left"/>
      </w:pPr>
      <w:r>
        <w:t xml:space="preserve">Ministrstvo za zunanje zadeve  je s posebnim ukrepom IB.SA1.1.1 - Konzularno sodelovanje načrtovalo izvedbo projekta »Schengenska pisarna v Prištini«, ki </w:t>
      </w:r>
      <w:r>
        <w:t>bi omogočil vzpostavitev vizumske pisarne v Prištini. Leta 2015 je bilo Kosovo v poročilu EK o napredku Kosova pri izpolnjevanju zahtev za vizumsko liberalizacijo navedeno za državo, za katero bo v doslednem času nastopila vizumska liberalizacija (odpravlj</w:t>
      </w:r>
      <w:r>
        <w:t>ena vizumska obveznost za njene državljane). S tem je postala vzpostavitev konzularne pisarne v Prištini nepotrebna, sofinanciranje iz ISF pa neupravičeno.</w:t>
      </w:r>
    </w:p>
    <w:p w:rsidR="00741801" w:rsidRDefault="002D7A0D">
      <w:pPr>
        <w:spacing w:before="240" w:after="240"/>
        <w:jc w:val="left"/>
      </w:pPr>
      <w:r>
        <w:t>V letih 2018 in 2019 je Ministrstvo za zunanje zadeve preusmerilo svoje aktivnosti v iskanje nove lo</w:t>
      </w:r>
      <w:r>
        <w:t>kacije za t.i. schengensko pisarno, vendar neuspešno. Kljub pogovorom s potencialnimi partnerji, tj drugimi schengenskimi državami, Slovenija ni uspela vzpostaviti konkretnega sodelovanja in določiti nove lokacije, zaradi česar je MZZ sprejelo odločitev, d</w:t>
      </w:r>
      <w:r>
        <w:t>a se posebni ukrep ne izvede in o tem obvestila Komisijo.</w:t>
      </w:r>
    </w:p>
    <w:p w:rsidR="004F1EEC" w:rsidRPr="006C1127"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5007"/>
      </w:tblGrid>
      <w:tr w:rsidR="00741801" w:rsidTr="008E16E1">
        <w:tc>
          <w:tcPr>
            <w:tcW w:w="0" w:type="auto"/>
            <w:shd w:val="clear" w:color="auto" w:fill="auto"/>
          </w:tcPr>
          <w:p w:rsidR="004F1EEC" w:rsidRPr="006C1127" w:rsidRDefault="002D7A0D"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2D7A0D" w:rsidP="007C7090">
            <w:pPr>
              <w:spacing w:before="0" w:after="0"/>
              <w:rPr>
                <w:lang w:val="fr-BE"/>
              </w:rPr>
            </w:pPr>
            <w:r w:rsidRPr="006C1127">
              <w:rPr>
                <w:noProof/>
                <w:lang w:val="fr-BE"/>
              </w:rPr>
              <w:t>2</w:t>
            </w:r>
            <w:r w:rsidRPr="006C1127">
              <w:rPr>
                <w:lang w:val="fr-BE"/>
              </w:rPr>
              <w:t xml:space="preserve"> - </w:t>
            </w:r>
            <w:r w:rsidRPr="006C1127">
              <w:rPr>
                <w:noProof/>
                <w:lang w:val="fr-BE"/>
              </w:rPr>
              <w:t>Meje</w:t>
            </w:r>
          </w:p>
        </w:tc>
      </w:tr>
    </w:tbl>
    <w:p w:rsidR="004F1EEC" w:rsidRDefault="004F1EEC" w:rsidP="007C7090">
      <w:pPr>
        <w:spacing w:before="0" w:after="0"/>
        <w:rPr>
          <w:lang w:val="fr-BE"/>
        </w:rPr>
      </w:pPr>
    </w:p>
    <w:p w:rsidR="004F1EEC" w:rsidRDefault="002D7A0D" w:rsidP="007C7090">
      <w:pPr>
        <w:spacing w:before="0" w:after="0"/>
        <w:rPr>
          <w:lang w:val="fr-BE"/>
        </w:rPr>
      </w:pPr>
      <w:r>
        <w:rPr>
          <w:noProof/>
          <w:lang w:val="fr-BE"/>
        </w:rPr>
        <w:t>Povzemite napredek pri izvajanju strategije in doseganju nacionalnih ciljev v proračunskem letu.</w:t>
      </w:r>
    </w:p>
    <w:p w:rsidR="004F1EEC" w:rsidRDefault="002D7A0D" w:rsidP="007C7090">
      <w:pPr>
        <w:spacing w:before="0" w:after="0"/>
        <w:rPr>
          <w:lang w:val="fr-BE"/>
        </w:rPr>
      </w:pPr>
      <w:r>
        <w:rPr>
          <w:noProof/>
          <w:lang w:val="fr-BE"/>
        </w:rPr>
        <w:t xml:space="preserve">Navedite morebitne spremembe v strategiji ali nacionalnih ciljih oziroma </w:t>
      </w:r>
      <w:r>
        <w:rPr>
          <w:noProof/>
          <w:lang w:val="fr-BE"/>
        </w:rPr>
        <w:t>dejavnike, ki bi lahko privedli do sprememb v prihodnosti.</w:t>
      </w:r>
    </w:p>
    <w:p w:rsidR="004F1EEC" w:rsidRDefault="002D7A0D"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741801" w:rsidRDefault="002D7A0D">
      <w:pPr>
        <w:spacing w:before="0" w:after="240"/>
        <w:jc w:val="left"/>
      </w:pPr>
      <w:r>
        <w:t>V okviru političnega dialoga izpostavljene prioritete Slovenije v okviru posebnega cilja IB.SO2 so vključeval</w:t>
      </w:r>
      <w:r>
        <w:t>e:</w:t>
      </w:r>
    </w:p>
    <w:p w:rsidR="00741801" w:rsidRDefault="002D7A0D">
      <w:pPr>
        <w:numPr>
          <w:ilvl w:val="0"/>
          <w:numId w:val="44"/>
        </w:numPr>
        <w:spacing w:before="240" w:after="0"/>
        <w:ind w:hanging="210"/>
        <w:jc w:val="left"/>
      </w:pPr>
      <w:r>
        <w:t>razvoj EUROSUR;</w:t>
      </w:r>
    </w:p>
    <w:p w:rsidR="00741801" w:rsidRDefault="002D7A0D">
      <w:pPr>
        <w:numPr>
          <w:ilvl w:val="0"/>
          <w:numId w:val="44"/>
        </w:numPr>
        <w:spacing w:before="0" w:after="0"/>
        <w:ind w:hanging="210"/>
        <w:jc w:val="left"/>
      </w:pPr>
      <w:r>
        <w:t>okrepljena uporaba interoperabilnih sodobnih tehnologij v skladu z evropskimi standardi (naložbe povezane z vzpostavitvijo ABC vrat na mejnem prehodu na letališču Jožeta Pučnika);</w:t>
      </w:r>
    </w:p>
    <w:p w:rsidR="00741801" w:rsidRDefault="002D7A0D">
      <w:pPr>
        <w:numPr>
          <w:ilvl w:val="0"/>
          <w:numId w:val="44"/>
        </w:numPr>
        <w:spacing w:before="0" w:after="0"/>
        <w:ind w:hanging="210"/>
        <w:jc w:val="left"/>
      </w:pPr>
      <w:r>
        <w:lastRenderedPageBreak/>
        <w:t>popolna implementacija VIS;</w:t>
      </w:r>
    </w:p>
    <w:p w:rsidR="00741801" w:rsidRDefault="002D7A0D">
      <w:pPr>
        <w:numPr>
          <w:ilvl w:val="0"/>
          <w:numId w:val="44"/>
        </w:numPr>
        <w:spacing w:before="0" w:after="0"/>
        <w:ind w:hanging="210"/>
        <w:jc w:val="left"/>
      </w:pPr>
      <w:r>
        <w:t>vzdrževanje, nadgradnja in ra</w:t>
      </w:r>
      <w:r>
        <w:t>zvoj nacionalnega sistema SIS;</w:t>
      </w:r>
    </w:p>
    <w:p w:rsidR="00741801" w:rsidRDefault="002D7A0D">
      <w:pPr>
        <w:numPr>
          <w:ilvl w:val="0"/>
          <w:numId w:val="44"/>
        </w:numPr>
        <w:spacing w:before="0" w:after="240"/>
        <w:ind w:hanging="210"/>
        <w:jc w:val="left"/>
      </w:pPr>
      <w:r>
        <w:t>splošna varnost.</w:t>
      </w:r>
    </w:p>
    <w:p w:rsidR="00741801" w:rsidRDefault="002D7A0D">
      <w:pPr>
        <w:spacing w:before="240" w:after="240"/>
        <w:jc w:val="left"/>
      </w:pPr>
      <w:r>
        <w:t>Za prednostno nalogo je bilo izpostavljeno še delovanje in razvoj vizumskega informacijskega sistema, v tem okviru predvsem:</w:t>
      </w:r>
    </w:p>
    <w:p w:rsidR="00741801" w:rsidRDefault="002D7A0D">
      <w:pPr>
        <w:numPr>
          <w:ilvl w:val="0"/>
          <w:numId w:val="45"/>
        </w:numPr>
        <w:spacing w:before="240" w:after="0"/>
        <w:ind w:hanging="210"/>
        <w:jc w:val="left"/>
      </w:pPr>
      <w:r>
        <w:t>vzdrževanje in nadgradnja nacionalnega SIS II;</w:t>
      </w:r>
    </w:p>
    <w:p w:rsidR="00741801" w:rsidRDefault="002D7A0D">
      <w:pPr>
        <w:numPr>
          <w:ilvl w:val="0"/>
          <w:numId w:val="45"/>
        </w:numPr>
        <w:spacing w:before="0" w:after="0"/>
        <w:ind w:hanging="210"/>
        <w:jc w:val="left"/>
      </w:pPr>
      <w:r>
        <w:t>podpora urada SIRENE;</w:t>
      </w:r>
    </w:p>
    <w:p w:rsidR="00741801" w:rsidRDefault="002D7A0D">
      <w:pPr>
        <w:numPr>
          <w:ilvl w:val="0"/>
          <w:numId w:val="45"/>
        </w:numPr>
        <w:spacing w:before="0" w:after="240"/>
        <w:ind w:hanging="210"/>
        <w:jc w:val="left"/>
      </w:pPr>
      <w:r>
        <w:t xml:space="preserve">zaščita </w:t>
      </w:r>
      <w:r>
        <w:t>nacionalnih sistemov SIS II.</w:t>
      </w:r>
    </w:p>
    <w:p w:rsidR="00741801" w:rsidRDefault="002D7A0D">
      <w:pPr>
        <w:spacing w:before="240" w:after="240"/>
        <w:jc w:val="left"/>
      </w:pPr>
      <w:r>
        <w:t xml:space="preserve">Glavni cilj Slovenije v sklopu posebnega cilja IB.SO2 »Meje« je področje upravljanja meje, in sicer okrepitev preprečevanja in odkrivanja nedovoljenih migracij ter s tem povezanega čezmejnega kriminala. Slovenija pri izvajanju </w:t>
      </w:r>
      <w:r>
        <w:t>ukrepov v okviru tega posebnega cilja ni zaznala težav, ki bi vplivale na izvajanje Nacionalnega programa. Aktivnosti Slovenije so kontinuirano usmerjene v razvoj EUROSUR sistema; izmenjavo informacij z vidika zagotavljanja zmogljivosti centralnega računal</w:t>
      </w:r>
      <w:r>
        <w:t>nika policije in vzpostavitve infrastrukture; zagotavljanja skupnih standardov in pravnega reda Unije, v prihodnje izzive na področju izravnalnih ukrepov in naložb v opremo za preverjanje dokumentov; ter zagotavljanje nacionalnih zmogljivosti.</w:t>
      </w:r>
    </w:p>
    <w:p w:rsidR="00741801" w:rsidRDefault="002D7A0D">
      <w:pPr>
        <w:spacing w:before="240" w:after="240"/>
        <w:jc w:val="left"/>
      </w:pPr>
      <w:r>
        <w:t>Slovenija oc</w:t>
      </w:r>
      <w:r>
        <w:t>enjuje, da je v večji meri dosegla, v okviru političnega dialoga, postavljene cilje, in  načrtuje končno izvedbo aktivnosti do leta 2021. Naložbe povezane z vzpostavitvijo ABC vrat na mejnem prehodu na letališču Jožeta Pučnika so pogojene z izgradnjo noveg</w:t>
      </w:r>
      <w:r>
        <w:t>a potniškega terminala, ki je načrtovan za leto 2020.</w:t>
      </w:r>
    </w:p>
    <w:p w:rsidR="00741801" w:rsidRDefault="002D7A0D">
      <w:pPr>
        <w:spacing w:before="240" w:after="240"/>
        <w:jc w:val="left"/>
      </w:pPr>
      <w:r>
        <w:t>Alokacija sredstev za leto 2019 je bila za končna upravičenca načrtovana v skladu s potrjenim Akcijskim načrtom. V letu 2019 pri izvajanju ukrepov v okviru tega posebnega cilja ni bilo težav, ki bi vpli</w:t>
      </w:r>
      <w:r>
        <w:t>vale na izvajanje Nacionalnega programa.</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2860"/>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1</w:t>
            </w:r>
            <w:r w:rsidRPr="00707975">
              <w:rPr>
                <w:lang w:val="fr-BE"/>
              </w:rPr>
              <w:t xml:space="preserve"> - </w:t>
            </w:r>
            <w:r w:rsidRPr="00707975">
              <w:rPr>
                <w:noProof/>
                <w:lang w:val="fr-BE"/>
              </w:rPr>
              <w:t>EUROSUR</w:t>
            </w:r>
          </w:p>
        </w:tc>
      </w:tr>
    </w:tbl>
    <w:p w:rsidR="004F1EEC" w:rsidRPr="006C1127" w:rsidRDefault="004F1EEC" w:rsidP="007C7090">
      <w:pPr>
        <w:spacing w:before="0" w:after="0"/>
        <w:rPr>
          <w:lang w:val="fr-BE"/>
        </w:rPr>
      </w:pPr>
    </w:p>
    <w:p w:rsidR="00741801" w:rsidRDefault="002D7A0D">
      <w:pPr>
        <w:spacing w:before="0" w:after="240"/>
        <w:jc w:val="left"/>
      </w:pPr>
      <w:r>
        <w:t xml:space="preserve">V okviru nacionalnega cilja IB.SO2.1 »EUROSUR« je Slovenija osredotočena na nadaljnji razvoj sistema EUROSUR na morski meji. Za ta namen so bili </w:t>
      </w:r>
      <w:r>
        <w:t>nabavljeni policijski patruljni čolni za nadzorovanje morske meje ter omogočen dostop do komercialnih baz podatkov za izvajanje mejne kontrole v pomorskem prometu. Slovenija je prvotno načrtovala, da bo v okviru IB.SO2.1 izvajala aktivnosti za vzpostavitev</w:t>
      </w:r>
      <w:r>
        <w:t xml:space="preserve"> državne slike o razmerah na morju (radarska antena in infrastruktura), le-te so bile realizirane v okviru EBF in ISEC. Razvoj strojne in programske opreme za nadgradnjo nivoja analiz državne slike o razmerah je bil sofinanciran v okviru operativne podpore</w:t>
      </w:r>
      <w:r>
        <w:t>. Slovenija ni izvedla ukrepov za delitev državne slike o razmerah na morju s sosednjimi državami članicami, in v okviru tega ukrepa predvidene aktivnosti sodelovanja in krepitve mehanizmov obveščanja za izmenjave informacij, saj je Republika Hrvaška sprej</w:t>
      </w:r>
      <w:r>
        <w:t>ela odločitev, da ne bo nadgrajevala svoje strojne in programske opreme. Le slovenska nadgradnja bi bila tako nesmiselna in nedelujoča. Ustrezno z navedenimi spremembami je Slovenija revidirala Akcijski načrt.</w:t>
      </w:r>
    </w:p>
    <w:p w:rsidR="00741801" w:rsidRDefault="002D7A0D">
      <w:pPr>
        <w:spacing w:before="240" w:after="240"/>
        <w:jc w:val="left"/>
      </w:pPr>
      <w:r>
        <w:t>V letu 2019 je skladno z Akcijskim načrtom Slo</w:t>
      </w:r>
      <w:r>
        <w:t>venija izvajala ukrep IB.SO2.1.6 , v okviru katerega je bilo izvedeno podaljšanje naročnine na spleto stran Seasearcher. Le-to uporabniki Postaje pomorske policije Koper uporabljajo kot pripomoček za pripravo analiz tveganja za plovila, ki vstopajo v Slove</w:t>
      </w:r>
      <w:r>
        <w:t>nijo. Predviden je tudi nadaljnji razvoj strojne in programske opreme za nadgradnjo nivoja analiz državne slike o razmerah, financiranje aktivnosti bo krito v okviru operativne podpore.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904"/>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2</w:t>
            </w:r>
            <w:r w:rsidRPr="00707975">
              <w:rPr>
                <w:lang w:val="fr-BE"/>
              </w:rPr>
              <w:t xml:space="preserve"> - </w:t>
            </w:r>
            <w:r w:rsidRPr="00707975">
              <w:rPr>
                <w:noProof/>
                <w:lang w:val="fr-BE"/>
              </w:rPr>
              <w:t xml:space="preserve">Izmenjava </w:t>
            </w:r>
            <w:r w:rsidRPr="00707975">
              <w:rPr>
                <w:noProof/>
                <w:lang w:val="fr-BE"/>
              </w:rPr>
              <w:t>informacij</w:t>
            </w:r>
          </w:p>
        </w:tc>
      </w:tr>
    </w:tbl>
    <w:p w:rsidR="004F1EEC" w:rsidRPr="006C1127" w:rsidRDefault="004F1EEC" w:rsidP="007C7090">
      <w:pPr>
        <w:spacing w:before="0" w:after="0"/>
        <w:rPr>
          <w:lang w:val="fr-BE"/>
        </w:rPr>
      </w:pPr>
    </w:p>
    <w:p w:rsidR="00741801" w:rsidRDefault="002D7A0D">
      <w:pPr>
        <w:spacing w:before="0" w:after="240"/>
        <w:jc w:val="left"/>
      </w:pPr>
      <w:r>
        <w:t>V okviru nacionalnega cilja IB.SO2.2 »Izmenjava informacij” Slovenija zagotavlja zmogljivost centralnega policijskega strežnika in njegovo delovanje v skladu z zahtevami, ki veljajo za uporabo SIS; ter nemoteno delovanje sistema AFIS (računaln</w:t>
      </w:r>
      <w:r>
        <w:t>iško podprt sistem za preiskovanje in identifikacijo prstnih odtisov) in sistema LIMS (laboratorijski informacijski sistem). Del predvidenega usposabljanja o delitvi in izmenjavi informacij Slovenija izvaja v okviru IB.SO4 “Organizacija in izvedba osnovneg</w:t>
      </w:r>
      <w:r>
        <w:t>a usposabljanja za nadzornike državne meje”, del se izvaja v okviru EU-LISA. Delno je izvedeno znotraj sistema EIDA. Slovenija je v skladu s temi spremembami ustrezno revidirala Akcijski načrt.</w:t>
      </w:r>
    </w:p>
    <w:p w:rsidR="00741801" w:rsidRDefault="002D7A0D">
      <w:pPr>
        <w:spacing w:before="240" w:after="240"/>
        <w:jc w:val="left"/>
      </w:pPr>
      <w:r>
        <w:t>Tudi v letu 2019 so se izvajale aktivnosti v okviru večletnega</w:t>
      </w:r>
      <w:r>
        <w:t xml:space="preserve"> ukrepa IB.SO2.2.1 »Zagotavljanje zmogljivosti centralnega računalnika policije in vzpostavitev infrastrukture«, s katerim Slovenija zagotavlja zadostno zmogljivost centralnega računalnika policije za izmenjavo potrebnih količin informacij na podlagi ključ</w:t>
      </w:r>
      <w:r>
        <w:t>a za dodelitev.</w:t>
      </w:r>
    </w:p>
    <w:p w:rsidR="00741801" w:rsidRDefault="002D7A0D">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4051"/>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3</w:t>
            </w:r>
            <w:r w:rsidRPr="00707975">
              <w:rPr>
                <w:lang w:val="fr-BE"/>
              </w:rPr>
              <w:t xml:space="preserve"> - </w:t>
            </w:r>
            <w:r w:rsidRPr="00707975">
              <w:rPr>
                <w:noProof/>
                <w:lang w:val="fr-BE"/>
              </w:rPr>
              <w:t>Skupni standardi Unije</w:t>
            </w:r>
          </w:p>
        </w:tc>
      </w:tr>
    </w:tbl>
    <w:p w:rsidR="004F1EEC" w:rsidRPr="006C1127" w:rsidRDefault="004F1EEC" w:rsidP="007C7090">
      <w:pPr>
        <w:spacing w:before="0" w:after="0"/>
        <w:rPr>
          <w:lang w:val="fr-BE"/>
        </w:rPr>
      </w:pPr>
    </w:p>
    <w:p w:rsidR="00741801" w:rsidRDefault="002D7A0D">
      <w:pPr>
        <w:spacing w:before="0" w:after="240"/>
        <w:jc w:val="left"/>
      </w:pPr>
      <w:r>
        <w:t xml:space="preserve">Vlaganje v infrastrukturo, IT in programsko opremo, ki se uporablja izključno za naloge, povezane z upravljanjem meje ali na podlagi ključa za dodelitev </w:t>
      </w:r>
      <w:r>
        <w:t>sorazmernega s temi nalogami se je v okviru nacionalnega cilja IB.SO2.3 »Skupni standardi Unije« izvajalo v omejenem obsegu, in skladno z izraženimi potrebami po tovrstnih investicijah. Okrepljena uporaba interoperabilnih sodobnih tehnologij v skladu z evr</w:t>
      </w:r>
      <w:r>
        <w:t>opskimi standardi, kot so npr. ABC vrata za državljane EU, pa je pogojena z izgradnjo novega potniškega terminala na letališču Jožeta Pučnika Ljubljana. Slovenija je aktivnosti usposabljanja za praktično uporabo sodobnih tehnologij združila z ukrepom »proj</w:t>
      </w:r>
      <w:r>
        <w:t>ekti nabave opreme« in temu ustrezno revidirala akcijski načrt.</w:t>
      </w:r>
    </w:p>
    <w:p w:rsidR="00741801" w:rsidRDefault="002D7A0D">
      <w:pPr>
        <w:spacing w:before="240" w:after="240"/>
        <w:jc w:val="left"/>
      </w:pPr>
      <w:r>
        <w:t>V letu 2019 se ukrepi nacionalnega cilja IB.SO2.3 »Skupni standardi Unije« niso izvajali. V okviru ukrepa IB.SO2.3.1 je bilo predvideno vlaganje v infrastrukturo dveh centrov za policijsko sod</w:t>
      </w:r>
      <w:r>
        <w:t>elovanje, tj CPS Vrata Megvarje in CSVO Dolga vas. Načrtovana vlaganja v infrastrukturo, IT in programsko opremo (le-ta se uporablja izključno za naloge, povezane z upravljanjem meje ali na podlagi ključa za dodelitev sorazmernega s temi nalogami) niso bil</w:t>
      </w:r>
      <w:r>
        <w:t>a realizirana, saj  CPS Vrata Megvarje in CSVO Dolga vas nista izrazila potreb po tovrstnih investicijah.</w:t>
      </w:r>
    </w:p>
    <w:p w:rsidR="00741801" w:rsidRDefault="002D7A0D">
      <w:pPr>
        <w:spacing w:before="240" w:after="240"/>
        <w:jc w:val="left"/>
      </w:pPr>
      <w:r>
        <w:t>V okviru IB.SO2.3.2 je bila načrtovana uporaba interoperabilnih sodobnih tehnologij v skladu z evropskimi standardi, kot so ABC vrata za državljane EU</w:t>
      </w:r>
      <w:r>
        <w:t>, ki se lahko uporabljajo tudi za program Entry/Exit System (EES) v okviru pobude za pametne meje, in ICAO PKD podatkovne baze, ki omogočajo preverjanje podatkov, shranjenih v biometričnih dokumentih. Izvedba aktivnosti tega ukrepaa je pogojena z izgradnjo</w:t>
      </w:r>
      <w:r>
        <w:t xml:space="preserve"> novega potniškega terminala na letališču Jožeta Pučnika Ljubljana, ki se načrtuje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4</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741801" w:rsidRDefault="002D7A0D">
      <w:pPr>
        <w:spacing w:before="0" w:after="240"/>
        <w:jc w:val="left"/>
      </w:pPr>
      <w:r>
        <w:t xml:space="preserve">V okviru nacionalnega cilja IB.SO2.4 "Pravni red Unije” Slovenija neprekinjeno </w:t>
      </w:r>
      <w:r>
        <w:t>izvaja osnovno usposabljanje za nadzornike državne meje (NDM), ter usposabljanja za pridobitev jezikovnih kompetenc uslužbencev policije, ki opravljajo naloge nadzora državne meje in izravnalne ukrepe v notranjosti, kar je vplivalo na njihove izboljšane sp</w:t>
      </w:r>
      <w:r>
        <w:t>osobnosti medkulturnega sporazumevanja pri razgovorih. Usposabljanja za odkrivanje ponarejenih dokumentov in ukradenih vozil so bila vključena v vsebino specializiranih usposabljanj za NDM.</w:t>
      </w:r>
    </w:p>
    <w:p w:rsidR="00741801" w:rsidRDefault="002D7A0D">
      <w:pPr>
        <w:spacing w:before="240" w:after="240"/>
        <w:jc w:val="left"/>
      </w:pPr>
      <w:r>
        <w:lastRenderedPageBreak/>
        <w:t>V 2016 je bila zaključena nabava opreme potrebna za izvedbo specia</w:t>
      </w:r>
      <w:r>
        <w:t>liziranih usposabljanj. Skozi celotno programsko obdobje so se izvajali ukrepi za spremljanje priporočil schengenske evalvacije. V teku izvajanja programa ni bilo potreb po sofinanciranju ukrepa “Sodelovanje v magistrskem študiju "European Joint Master's i</w:t>
      </w:r>
      <w:r>
        <w:t>n Strategic Border Management”, zato je bil ta izločen iz akcijskega načrta.</w:t>
      </w:r>
    </w:p>
    <w:p w:rsidR="00741801" w:rsidRDefault="002D7A0D">
      <w:pPr>
        <w:spacing w:before="240" w:after="240"/>
        <w:jc w:val="left"/>
      </w:pPr>
      <w:r>
        <w:t>V 2019 je Slovenija izvajala aktivnosti 3 ukrepov. V okviru IB.SO2.4.1 in IB.SO2.4.2 so tekla osnovna usposabljanja za NDM (3); specialistična usposabljanja za opravljanje mejne k</w:t>
      </w:r>
      <w:r>
        <w:t>ontrole na mejnih prehodih (4) in za odkrivanje zlorab listin (6); specialistični usposabljanji za vodje izmen na mejnih prehodih (2); tečaji ita., ang., nem. jezika (3); specialistični usposabljanji za analizo tveganja (2); usposabljanji inštruktorjev (2)</w:t>
      </w:r>
      <w:r>
        <w:t xml:space="preserve"> in praktična usposabljanja kandidatov NDM (3).</w:t>
      </w:r>
    </w:p>
    <w:p w:rsidR="00741801" w:rsidRDefault="002D7A0D">
      <w:pPr>
        <w:spacing w:before="240" w:after="240"/>
        <w:jc w:val="left"/>
      </w:pPr>
      <w:r>
        <w:t>V okviru SO2.4.6 je bilo izvedeno javno naročilo za prenovo prostorov primarnega sistema (Novo mesto), z začetkom del v 2020. V 2019 ni bilo izraženih potreb po dodatnih EIDA strežnikih. Nabavilo se je detekt</w:t>
      </w:r>
      <w:r>
        <w:t>orje srčnega utripa (6), žepne termovizijske naprave (86), ročne termovizije (4). Nadgradnja mobilnih termovizij ni bila izvedena zaradi neustrezne ponudbe v postopku javnega razpisa. Nabavljena je bila video nadzorna oprema za pokrivanje 41 lokacij na mej</w:t>
      </w:r>
      <w:r>
        <w:t>i, oprema za 10 nadzornih centrov, kamor se prenašajo slike iz mikrolokacij, na vseh lokacijah vzpostavljena infrastruktura (optične povezave, priklopi na elek. omrežje), na 17 lokacijah drogovi za nameščanje kamer. Kamere so bile nameščene na 16 mikroloka</w:t>
      </w:r>
      <w:r>
        <w:t>cij, na 5 lokacijah postavljeni nadzorni centri.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3302"/>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5</w:t>
            </w:r>
            <w:r w:rsidRPr="00707975">
              <w:rPr>
                <w:lang w:val="fr-BE"/>
              </w:rPr>
              <w:t xml:space="preserve"> - </w:t>
            </w:r>
            <w:r w:rsidRPr="00707975">
              <w:rPr>
                <w:noProof/>
                <w:lang w:val="fr-BE"/>
              </w:rPr>
              <w:t>Prihodnji izzivi</w:t>
            </w:r>
          </w:p>
        </w:tc>
      </w:tr>
    </w:tbl>
    <w:p w:rsidR="004F1EEC" w:rsidRPr="006C1127" w:rsidRDefault="004F1EEC" w:rsidP="007C7090">
      <w:pPr>
        <w:spacing w:before="0" w:after="0"/>
        <w:rPr>
          <w:lang w:val="fr-BE"/>
        </w:rPr>
      </w:pPr>
    </w:p>
    <w:p w:rsidR="00741801" w:rsidRDefault="002D7A0D">
      <w:pPr>
        <w:spacing w:before="0" w:after="240"/>
        <w:jc w:val="left"/>
      </w:pPr>
      <w:r>
        <w:t xml:space="preserve">V okviru nacionalnega cilja IB.SO2.5 »Prihodnji izzivi” se je izvajala krepitev zmogljivosti na področju izravnalnih ukrepov z </w:t>
      </w:r>
      <w:r>
        <w:t>izboljšanjem mobilnosti in opreme policijskih enot, ki te ukrepe izvajajo, kot tudi olajšano čezmejno radijsko komunikacijo. Z ustanovitvijo nove policijske enote za izravnalne ukrepe in povečanjem števila zaposlenih v obstoječih enotah pa je bila izražena</w:t>
      </w:r>
      <w:r>
        <w:t xml:space="preserve"> tudi večja potreba za investicije v infrastrukturo in opremo, kot so zmogljive naprave za ugotavljanje pristnosti dokumentov ter naprav za strojno branje potovalnih listin.</w:t>
      </w:r>
    </w:p>
    <w:p w:rsidR="00741801" w:rsidRDefault="002D7A0D">
      <w:pPr>
        <w:spacing w:before="240" w:after="240"/>
        <w:jc w:val="left"/>
      </w:pPr>
      <w:r>
        <w:t>V letu 2019 so se izvajale aktivnosti v okviru enega (1) ukrepa, skladno z Akcijsk</w:t>
      </w:r>
      <w:r>
        <w:t>im načrtom. V okviru ukrepa IB.SO2.5.1 je bil posodobljen del voznega parka enot, ki izvajajo izravnalne ukrepe. Izveden je bil nakup 19 novih patruljnih vozil.</w:t>
      </w:r>
    </w:p>
    <w:p w:rsidR="00741801" w:rsidRDefault="002D7A0D">
      <w:pPr>
        <w:spacing w:before="240" w:after="240"/>
        <w:jc w:val="left"/>
      </w:pPr>
      <w:r>
        <w:t>V okviru ukrepa IB.SO2.5.2 je bila predvidena dodatna nabava naprav za preverjanje pristnosti d</w:t>
      </w:r>
      <w:r>
        <w:t>okumentov, kar pa ni bilo izvedeno, ker ni bilo izraženih potreb po tovrstni opremi.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6</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741801" w:rsidRDefault="002D7A0D">
      <w:pPr>
        <w:spacing w:before="0" w:after="240"/>
        <w:jc w:val="left"/>
      </w:pPr>
      <w:r>
        <w:t xml:space="preserve">V okviru nacionalnega cilja IB.SO2.6 »Nacionalne zmogljivosti” kontinuirano tečejo </w:t>
      </w:r>
      <w:r>
        <w:t>ukrepi za vzdrževanje schengenskih standardov preko naložb v opremo za mejno kontrolo in nadzor meje, saj do vstopa Republike Hrvaške v schengensko območje, Slovenija izvaja popolni nadzor schengenske zunanje meje. Slovenija je tem ukrepom namenila dodatna</w:t>
      </w:r>
      <w:r>
        <w:t xml:space="preserve"> sredstva. Aktivnosti bilateralnega in multilateralnega policijskega sodelovanja ter izmenjava informacij o čezmejni kriminaliteti in ilegalnih migracijah so tekle v vseh letih izvajanja ISF preko v Srbijo napotenega uradnika za zvezo za priseljevanje. Slo</w:t>
      </w:r>
      <w:r>
        <w:t>venija je v letu 2019 začela z ukrepi zamenjave amortizirane IKT opreme na schengenski meji, stekle so tudi priprave na vzpostavitev vstopno-izstopnega sistema (EES) namenjenega obravnavi državljanov tretjih držav na schengenski meji.</w:t>
      </w:r>
    </w:p>
    <w:p w:rsidR="00741801" w:rsidRDefault="002D7A0D">
      <w:pPr>
        <w:spacing w:before="240" w:after="240"/>
        <w:jc w:val="left"/>
      </w:pPr>
      <w:r>
        <w:lastRenderedPageBreak/>
        <w:t>V 2019 je Slovenija i</w:t>
      </w:r>
      <w:r>
        <w:t>zvajala aktivnosti petih ukrepov skladno z Akcijskim načrtom. Zamenjava opreme za delovanje mejne policije v okviru ukrepa IB.SO2.6.2 je obsegala 7 PVC zabojnikov in 5 košev, 38 klimatskih naprav, 9 UPS naprav za brezprekinitveni sistem napajanja na različ</w:t>
      </w:r>
      <w:r>
        <w:t>nih mejnih prehodih, 2 dizelska električna agregata, 10 zapornic za urejanje prometa, monitor za nadzor prometa na enem mejnem prehodu ter nakup 2 kontejnerskih objektov na MP Imeno. </w:t>
      </w:r>
    </w:p>
    <w:p w:rsidR="00741801" w:rsidRDefault="002D7A0D">
      <w:pPr>
        <w:spacing w:before="240" w:after="240"/>
        <w:jc w:val="left"/>
      </w:pPr>
      <w:r>
        <w:t>V 2019 se je zaključil ukrep IB.SO2.6.2, v okviru katerega je bil v Repu</w:t>
      </w:r>
      <w:r>
        <w:t>bliko Srbijo napoten ataše. Obseg njegovih nalog vezan na ISF je v povprečju znašal 50 %. </w:t>
      </w:r>
    </w:p>
    <w:p w:rsidR="00741801" w:rsidRDefault="002D7A0D">
      <w:pPr>
        <w:spacing w:before="240" w:after="240"/>
        <w:jc w:val="left"/>
      </w:pPr>
      <w:r>
        <w:t>Nabava opreme za namen varovanja meje v okviru ukrepa IB.SO2.6.3 je obsegala 45 civilnih terenskih vozil ter 41 specialnih terenskih vozil, 4 daljnoglede s stabiliza</w:t>
      </w:r>
      <w:r>
        <w:t>cijo slike in 50 daljnogledov. Predvidena nabava endoskopov s kamero ni bila izvedena, saj na javni razpis ni bilo prijavljenega ponudnika. Nabava ogledal za preglede podvozij še ni zaključena, saj dobavitelj ni uspel dobaviti opreme v roku.  </w:t>
      </w:r>
    </w:p>
    <w:p w:rsidR="00741801" w:rsidRDefault="002D7A0D">
      <w:pPr>
        <w:spacing w:before="240" w:after="240"/>
        <w:jc w:val="left"/>
      </w:pPr>
      <w:r>
        <w:t>V okviru ukr</w:t>
      </w:r>
      <w:r>
        <w:t>epa IB.SO2.6.4, katerega namen je zamenjava amortizirane IKT opreme na schengenski meji, so bili nabavljeni računalniki z monitorji (434), strežniki (31), tiskalniki (23), barvne multifunkcijske naprave (4). Zaradi ponovnega JR bodo čitalci potnih listin i</w:t>
      </w:r>
      <w:r>
        <w:t>n programska oprema nabavljeni v 2020. Nabava prenosnikov in črno belih multifunkcijskih naprav se načrtuje v 2020.</w:t>
      </w:r>
    </w:p>
    <w:p w:rsidR="00741801" w:rsidRDefault="002D7A0D">
      <w:pPr>
        <w:spacing w:before="240" w:after="240"/>
        <w:jc w:val="left"/>
      </w:pPr>
      <w:r>
        <w:t>Pilotni projekt uporabe kioska (najem) za odvzem biometričnih podatkov (prstni odtisi, fotografija obraza) na PMP Obrežje je bil izveden v o</w:t>
      </w:r>
      <w:r>
        <w:t>kviru IB.2.6.5.</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7314"/>
      </w:tblGrid>
      <w:tr w:rsidR="00741801" w:rsidTr="008E16E1">
        <w:tc>
          <w:tcPr>
            <w:tcW w:w="0" w:type="auto"/>
            <w:shd w:val="clear" w:color="auto" w:fill="auto"/>
          </w:tcPr>
          <w:p w:rsidR="004F1EEC" w:rsidRPr="006C1127" w:rsidRDefault="002D7A0D"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2D7A0D" w:rsidP="007C7090">
            <w:pPr>
              <w:spacing w:before="0" w:after="0"/>
              <w:rPr>
                <w:lang w:val="fr-BE"/>
              </w:rPr>
            </w:pPr>
            <w:r w:rsidRPr="006C1127">
              <w:rPr>
                <w:noProof/>
                <w:lang w:val="fr-BE"/>
              </w:rPr>
              <w:t>3</w:t>
            </w:r>
            <w:r w:rsidRPr="006C1127">
              <w:rPr>
                <w:lang w:val="fr-BE"/>
              </w:rPr>
              <w:t xml:space="preserve"> - </w:t>
            </w:r>
            <w:r w:rsidRPr="006C1127">
              <w:rPr>
                <w:noProof/>
                <w:lang w:val="fr-BE"/>
              </w:rPr>
              <w:t>Operativna podpora</w:t>
            </w:r>
          </w:p>
        </w:tc>
      </w:tr>
    </w:tbl>
    <w:p w:rsidR="004F1EEC" w:rsidRDefault="004F1EEC" w:rsidP="007C7090">
      <w:pPr>
        <w:spacing w:before="0" w:after="0"/>
        <w:rPr>
          <w:lang w:val="fr-BE"/>
        </w:rPr>
      </w:pPr>
    </w:p>
    <w:p w:rsidR="004F1EEC" w:rsidRDefault="002D7A0D" w:rsidP="007C7090">
      <w:pPr>
        <w:spacing w:before="0" w:after="0"/>
        <w:rPr>
          <w:lang w:val="fr-BE"/>
        </w:rPr>
      </w:pPr>
      <w:r>
        <w:rPr>
          <w:noProof/>
          <w:lang w:val="fr-BE"/>
        </w:rPr>
        <w:t>Povzemite napredek pri izvajanju strategije in doseganju nacionalnih ciljev v proračunskem letu.</w:t>
      </w:r>
    </w:p>
    <w:p w:rsidR="004F1EEC" w:rsidRDefault="002D7A0D" w:rsidP="007C7090">
      <w:pPr>
        <w:spacing w:before="0" w:after="0"/>
        <w:rPr>
          <w:lang w:val="fr-BE"/>
        </w:rPr>
      </w:pPr>
      <w:r>
        <w:rPr>
          <w:noProof/>
          <w:lang w:val="fr-BE"/>
        </w:rPr>
        <w:t xml:space="preserve">Navedite morebitne spremembe v strategiji ali nacionalnih ciljih oziroma dejavnike, ki bi lahko </w:t>
      </w:r>
      <w:r>
        <w:rPr>
          <w:noProof/>
          <w:lang w:val="fr-BE"/>
        </w:rPr>
        <w:t>privedli do sprememb v prihodnosti.</w:t>
      </w:r>
    </w:p>
    <w:p w:rsidR="004F1EEC" w:rsidRDefault="002D7A0D"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741801" w:rsidRDefault="002D7A0D">
      <w:pPr>
        <w:spacing w:before="0" w:after="240"/>
        <w:jc w:val="left"/>
      </w:pPr>
      <w:r>
        <w:t>Glavna cilja Slovenije v sklopu specifičnega cilja IB.SO3 "Operativna podpora" sta zagotavljanje stalne in zadostne podpore za posto</w:t>
      </w:r>
      <w:r>
        <w:t>pke izdaje schengenskih vizumov ter zagotavljanje ustrezne operativne zmogljivosti za neprekinjeno in nemoteno izvajanje mejne kontrole, preverjanj in integrirano upravljanje meja v skladu s schengenskim pravnim redom.</w:t>
      </w:r>
    </w:p>
    <w:p w:rsidR="00741801" w:rsidRDefault="002D7A0D">
      <w:pPr>
        <w:spacing w:before="240" w:after="240"/>
        <w:jc w:val="left"/>
      </w:pPr>
      <w:r>
        <w:t>Slovenija ocenjuje, da dosega, v okvi</w:t>
      </w:r>
      <w:r>
        <w:t>ru političnega dialoga, postavljene cilje. Pri izvajanju ukrepov ni bilo težav, ki bi vplivale na izvajanje Nacionalnega programa. Na nacionalnem  nivoju Slovenija ne pripravlja sprememb zakonodaje, ki bi lahko vplivale na izvajanje ukrepov in doseganje ci</w:t>
      </w:r>
      <w:r>
        <w:t>ljev. Tudi v letu 2019 so bili ukrepi Slovenije osredotočeni na izvajanje operativne podpore za vizume ter operativne kontrole za meje.</w:t>
      </w:r>
    </w:p>
    <w:p w:rsidR="00741801" w:rsidRDefault="002D7A0D">
      <w:pPr>
        <w:spacing w:before="240" w:after="240"/>
        <w:jc w:val="left"/>
      </w:pPr>
      <w:r>
        <w:t>Alokacija sredstev za leto 2019 je bila končnima upravičencema načrtovana v skladu s potrjenim Akcijskim načrtom.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4676"/>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w:t>
            </w:r>
            <w:r w:rsidRPr="00707975">
              <w:rPr>
                <w:noProof/>
                <w:lang w:val="fr-BE"/>
              </w:rPr>
              <w:t>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1</w:t>
            </w:r>
            <w:r w:rsidRPr="00707975">
              <w:rPr>
                <w:lang w:val="fr-BE"/>
              </w:rPr>
              <w:t xml:space="preserve"> - </w:t>
            </w:r>
            <w:r w:rsidRPr="00707975">
              <w:rPr>
                <w:noProof/>
                <w:lang w:val="fr-BE"/>
              </w:rPr>
              <w:t>Operativna podpora za vizume</w:t>
            </w:r>
          </w:p>
        </w:tc>
      </w:tr>
    </w:tbl>
    <w:p w:rsidR="004F1EEC" w:rsidRPr="006C1127" w:rsidRDefault="004F1EEC" w:rsidP="007C7090">
      <w:pPr>
        <w:spacing w:before="0" w:after="0"/>
        <w:rPr>
          <w:lang w:val="fr-BE"/>
        </w:rPr>
      </w:pPr>
    </w:p>
    <w:p w:rsidR="00741801" w:rsidRDefault="002D7A0D">
      <w:pPr>
        <w:spacing w:before="0" w:after="240"/>
        <w:jc w:val="left"/>
      </w:pPr>
      <w:r>
        <w:lastRenderedPageBreak/>
        <w:t>V okviru nacionalnega cilja IB.SO3.1 »Operativna podpora za vizume« Slovenija uveljavlja stroške za osebje na vizumskih oddelkih diplomatsko-konzularnih predstavništev v tretjih</w:t>
      </w:r>
      <w:r>
        <w:t xml:space="preserve"> državah (VP RS Ankara, VP RS Kairo, VP RS Kijev, VP RS Moskva, VP RS Peking in VP RS Priština). Aktivnosti se izvajajo v skladu z Nacionalnim programom in Akcijskim načrtom.</w:t>
      </w:r>
    </w:p>
    <w:p w:rsidR="00741801" w:rsidRDefault="002D7A0D">
      <w:pPr>
        <w:spacing w:before="240" w:after="240"/>
        <w:jc w:val="left"/>
      </w:pPr>
      <w:r>
        <w:t xml:space="preserve">Za doseganje glavnih ciljev, tj večje število obdelanih vizumskih vlog, skrajšan </w:t>
      </w:r>
      <w:r>
        <w:t>čas trajanja vizumskih postopkov, zagotovljeno nemoteno vizumsko poslovanje, je končni upravičenec, ministrstvo za zunanje zadeve, v letu 2019 v okviru izvajanja ukrepa IB.SO3.1.1 sofinanciral stroške dela 6 uslužbencev, ki opravljajo vizumsko poslovanje n</w:t>
      </w:r>
      <w:r>
        <w:t>a VP RS Ankara, VP RS Kairo, VP RS Kijev, VP RS Moskva, VP RS Peking in VP RS Priština. </w:t>
      </w:r>
    </w:p>
    <w:p w:rsidR="00741801" w:rsidRDefault="002D7A0D">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4485"/>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2</w:t>
            </w:r>
            <w:r w:rsidRPr="00707975">
              <w:rPr>
                <w:lang w:val="fr-BE"/>
              </w:rPr>
              <w:t xml:space="preserve"> - </w:t>
            </w:r>
            <w:r w:rsidRPr="00707975">
              <w:rPr>
                <w:noProof/>
                <w:lang w:val="fr-BE"/>
              </w:rPr>
              <w:t>Operativna podpora za meje</w:t>
            </w:r>
          </w:p>
        </w:tc>
      </w:tr>
    </w:tbl>
    <w:p w:rsidR="004F1EEC" w:rsidRPr="006C1127" w:rsidRDefault="004F1EEC" w:rsidP="007C7090">
      <w:pPr>
        <w:spacing w:before="0" w:after="0"/>
        <w:rPr>
          <w:lang w:val="fr-BE"/>
        </w:rPr>
      </w:pPr>
    </w:p>
    <w:p w:rsidR="00741801" w:rsidRDefault="002D7A0D">
      <w:pPr>
        <w:spacing w:before="0" w:after="240"/>
        <w:jc w:val="left"/>
      </w:pPr>
      <w:r>
        <w:t>V okviru nacionalnega cilja IB.SO3.2 »Operativna podpora za meje« so bili v 2015 in</w:t>
      </w:r>
      <w:r>
        <w:t xml:space="preserve"> 2016 sofinancirani stroški dela za osebje, ki nudi operativno podporo za meje. Za 2017 in nadaljnja leta so stroški financirani iz nacionalnih virov in niso uveljavljeni v okviru ISF (pripravljenost na domu). V okviru ukrepa Slovenija sofinancira tudi str</w:t>
      </w:r>
      <w:r>
        <w:t>oške storitev vzdrževanja, popravil, nadgradnje, menjave opreme za upravljanje meja, vzdrževanje in nadgradno operativnih zmogljivosti na morju, upravljanje in vzdrževanje infrastrukture mejnih prehodov, vzdrževanje in uporabo nacionalne SIS II infrastrukt</w:t>
      </w:r>
      <w:r>
        <w:t>ure, in tudi vzdrževanje vzdrževanje SIS II komunikacijskega vmesnika (SIB). Gre za ukrepe IB.SO3.2.9, IB.SO3.2.10 in IB.SO3.2.14, ki so se kontinuirano izvajali tudi v 2019.</w:t>
      </w:r>
    </w:p>
    <w:p w:rsidR="00741801" w:rsidRDefault="002D7A0D">
      <w:pPr>
        <w:spacing w:before="240" w:after="240"/>
        <w:jc w:val="left"/>
      </w:pPr>
      <w:r>
        <w:t>Tekom izvajanja ISFse je izkazalo, da se nekatere sicer načrtovane aktivnosti, ko</w:t>
      </w:r>
      <w:r>
        <w:t>t je vzdrževanje in razvoj Nacionalnega centra za koordinacijo; upravljanje SIS in novih nacionalnih sistemov; komunikacijska infrastruktura in varnost ter zadeve, povezane z varstvom podatkov; obratovanje SIRENE ter vzdrževanje nacionalne inf. infrastrukt</w:t>
      </w:r>
      <w:r>
        <w:t>ure, str. izvedbe testiranj SIS II in SIRENE z DČ kandidatkami ne bodo izvajale kot samostojni ukrepi. Slovenija je temu ustrezno revidirala Akcijski načrt.</w:t>
      </w:r>
    </w:p>
    <w:p w:rsidR="00741801" w:rsidRDefault="002D7A0D">
      <w:pPr>
        <w:spacing w:before="240" w:after="240"/>
        <w:jc w:val="left"/>
      </w:pPr>
      <w:r>
        <w:t>V okviru ISF so bili sofinancirani stroški vzdrževanja opreme in sistemov za nadzor državne meje ko</w:t>
      </w:r>
      <w:r>
        <w:t>t tudi stroški za vzdrževanje video nadzornih sistemov na državni meji v okviru ukrepa IB.SO3.2.2. Vzdrževanje in nadgradnja operativnih zmogljivosti na morju (patruljnih čolnov in opreme za nadzor morja) ukrepa IB.SO3.2.3 je teklo glede na operativne potr</w:t>
      </w:r>
      <w:r>
        <w:t>ebe, saj je zaradi nepriznavanja razsodbe arbitraže s strani Hrvaške, slovenska policija beležila večje število operativnih ur patruljiranja s plovili, kot pa je bilo prvotno predvideno. Razmere povezane z vstopom Hrvaške so vplivale tudi na potrebo po dod</w:t>
      </w:r>
      <w:r>
        <w:t>atnih sredstvih za upravljanje in vzdrževanje infrastrukture mejnih prehodov. V okviru IB.SO3.2.4 so dela obsegala rekonstrukcijo cestišča na tovornem izstopu in ureditev prostora za razgovore z osebami v postopku na MP Obrežje, vzdrževalna dela MP Gibina,</w:t>
      </w:r>
      <w:r>
        <w:t xml:space="preserve"> letne servise dizelskih elekt. agregatov, preureditev pregledovalnih podestov na tovornem vstopu, meritve in čiščenje kotlov za ogrevanje in mehčalcev sanitarne vode, servise na sistemih za nadzor gibanja prometa in oseb ter vzdrževanje nadstrešnic in fas</w:t>
      </w:r>
      <w:r>
        <w:t>ad.</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8693"/>
      </w:tblGrid>
      <w:tr w:rsidR="00741801" w:rsidTr="008E16E1">
        <w:tc>
          <w:tcPr>
            <w:tcW w:w="0" w:type="auto"/>
            <w:shd w:val="clear" w:color="auto" w:fill="auto"/>
          </w:tcPr>
          <w:p w:rsidR="004F1EEC" w:rsidRPr="006C1127" w:rsidRDefault="002D7A0D"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2D7A0D" w:rsidP="007C7090">
            <w:pPr>
              <w:spacing w:before="0" w:after="0"/>
              <w:rPr>
                <w:lang w:val="fr-BE"/>
              </w:rPr>
            </w:pPr>
            <w:r w:rsidRPr="006C1127">
              <w:rPr>
                <w:noProof/>
                <w:lang w:val="fr-BE"/>
              </w:rPr>
              <w:t>5</w:t>
            </w:r>
            <w:r w:rsidRPr="006C1127">
              <w:rPr>
                <w:lang w:val="fr-BE"/>
              </w:rPr>
              <w:t xml:space="preserve"> - </w:t>
            </w:r>
            <w:r w:rsidRPr="006C1127">
              <w:rPr>
                <w:noProof/>
                <w:lang w:val="fr-BE"/>
              </w:rPr>
              <w:t>Preprečevanje kriminala in boj proti njemu</w:t>
            </w:r>
          </w:p>
        </w:tc>
      </w:tr>
    </w:tbl>
    <w:p w:rsidR="004F1EEC" w:rsidRDefault="004F1EEC" w:rsidP="007C7090">
      <w:pPr>
        <w:spacing w:before="0" w:after="0"/>
        <w:rPr>
          <w:lang w:val="fr-BE"/>
        </w:rPr>
      </w:pPr>
    </w:p>
    <w:p w:rsidR="004F1EEC" w:rsidRDefault="002D7A0D" w:rsidP="007C7090">
      <w:pPr>
        <w:spacing w:before="0" w:after="0"/>
        <w:rPr>
          <w:lang w:val="fr-BE"/>
        </w:rPr>
      </w:pPr>
      <w:r>
        <w:rPr>
          <w:noProof/>
          <w:lang w:val="fr-BE"/>
        </w:rPr>
        <w:t>Povzemite napredek pri izvajanju strategije in doseganju nacionalnih ciljev v proračunskem letu.</w:t>
      </w:r>
    </w:p>
    <w:p w:rsidR="004F1EEC" w:rsidRDefault="002D7A0D" w:rsidP="007C7090">
      <w:pPr>
        <w:spacing w:before="0" w:after="0"/>
        <w:rPr>
          <w:lang w:val="fr-BE"/>
        </w:rPr>
      </w:pPr>
      <w:r>
        <w:rPr>
          <w:noProof/>
          <w:lang w:val="fr-BE"/>
        </w:rPr>
        <w:t xml:space="preserve">Navedite morebitne spremembe v strategiji ali nacionalnih ciljih oziroma dejavnike, ki bi </w:t>
      </w:r>
      <w:r>
        <w:rPr>
          <w:noProof/>
          <w:lang w:val="fr-BE"/>
        </w:rPr>
        <w:t>lahko privedli do sprememb v prihodnosti.</w:t>
      </w:r>
    </w:p>
    <w:p w:rsidR="004F1EEC" w:rsidRDefault="002D7A0D" w:rsidP="007C7090">
      <w:pPr>
        <w:spacing w:before="0" w:after="0"/>
        <w:rPr>
          <w:lang w:val="fr-BE"/>
        </w:rPr>
      </w:pPr>
      <w:r>
        <w:rPr>
          <w:noProof/>
          <w:lang w:val="fr-BE"/>
        </w:rPr>
        <w:lastRenderedPageBreak/>
        <w:t>Navedite morebitna pomembna vprašanja, ki vplivajo na uspešnost nacionalnega programa.</w:t>
      </w:r>
    </w:p>
    <w:p w:rsidR="004F1EEC" w:rsidRDefault="004F1EEC" w:rsidP="007C7090">
      <w:pPr>
        <w:spacing w:before="0" w:after="0"/>
        <w:rPr>
          <w:lang w:val="fr-BE"/>
        </w:rPr>
      </w:pPr>
    </w:p>
    <w:p w:rsidR="00741801" w:rsidRDefault="002D7A0D">
      <w:pPr>
        <w:spacing w:before="0" w:after="240"/>
        <w:jc w:val="left"/>
      </w:pPr>
      <w:r>
        <w:t>V okviru političnega dialoga sta Slovenija in EK izpostavili, da je za zagotavljanje varnosti pomembno izpostaviti več sklopov</w:t>
      </w:r>
      <w:r>
        <w:t xml:space="preserve"> prioritet, ki so ustrezno naslovljene v okviru nacionalne varnostne politike, hkrati pa sledijo EU strategiji na področju not. varnosti. Prednostne naloge sofinanciranja ISF so: trgovanje z mamili; kibernetska kriminaliteta; trgovina s strelnim orožjem; g</w:t>
      </w:r>
      <w:r>
        <w:t>ospodarski kriminal in korupcija; krepitev protiterorističnih zmogljivosti za preprečevanje radikalizacije, novačenja in nasilnega ekstremizma; trgovina z ljudmi; onemogočanje organiziranih kriminalnih združb, ki so vpletene v ilegalne migracije; boj proti</w:t>
      </w:r>
      <w:r>
        <w:t xml:space="preserve"> ponarejenemu blagu; telekomunikacijski sistemi kot orodje za boj proti čezmejnemu kriminalu; krepitev zmogljivosti za preprečevanje, odkrivanje in preiskovanje čezmejnega kriminala. Dodatna obrazložitev je v prilogi AIR (Priloga 1). </w:t>
      </w:r>
    </w:p>
    <w:p w:rsidR="00741801" w:rsidRDefault="002D7A0D">
      <w:pPr>
        <w:spacing w:before="240" w:after="240"/>
        <w:jc w:val="left"/>
      </w:pPr>
      <w:r>
        <w:t>Cilj Slovenije je zag</w:t>
      </w:r>
      <w:r>
        <w:t>otavljanje varnosti državljanov in skupnosti, varovanje človekovih pravic in temeljnih svoboščin ter krepitev pravne države. S kontinuiranim izvajanjem ukrepov IP.SO5 je bila zagotovljena zaščita državljanom EU pred vse bolj nadnacionalnimi grožnjami krimi</w:t>
      </w:r>
      <w:r>
        <w:t>nala, posebej tistimi, ki izvirajo iz območja Z Balkana. </w:t>
      </w:r>
    </w:p>
    <w:p w:rsidR="00741801" w:rsidRDefault="002D7A0D">
      <w:pPr>
        <w:spacing w:before="240" w:after="240"/>
        <w:jc w:val="left"/>
      </w:pPr>
      <w:r>
        <w:t xml:space="preserve">Dogajanja v okviru organizirane kriminalitete zaznamuje geografski položaj Slovenije z izpostavljenostjo ti ”Balkanski poti”, slovensko ozemlje pri tem predstavlja pomembno tranzitno območje za </w:t>
      </w:r>
      <w:r>
        <w:t>vstop v EU. Tudi v 2019 je policija pozornost namenila odkrivanju in preiskovanju organiziranih in hudih oblik čezmejne kriminalitete. Obravnavanih je bilo 809 kaznivih dejan, kar je največ v zadnjih 10 letih. Okrepljeno je bilo sodelovanje pri izvajanju s</w:t>
      </w:r>
      <w:r>
        <w:t>kupnih preiskav na področju trgovine s prepovedanimi drogami, ljudmi, orožjem, nezakonitih migracij in kibernetske kriminalitete. Intenzivna izmenjava informacij je potekala z Europolom, DČ EU in državami Z Balkana, kar je vplivalo na skupne medn. policijs</w:t>
      </w:r>
      <w:r>
        <w:t>ke preiskave, katerih število (58) je za 53 % več kot v 2018 (38). Policija je aktivno sodelovala v 4 skupnih preiskovalnih skupinah.</w:t>
      </w:r>
    </w:p>
    <w:p w:rsidR="00741801" w:rsidRDefault="002D7A0D">
      <w:pPr>
        <w:spacing w:before="240" w:after="240"/>
        <w:jc w:val="left"/>
      </w:pPr>
      <w:r>
        <w:t xml:space="preserve">Uradnik za zvezo je zagotavljal pomoč pri izmenjavi informacij z Europolom in DČ v boju zoper hude in organizirane oblike </w:t>
      </w:r>
      <w:r>
        <w:t>kriminala in terorizem, v 2019 je bilo preko Europolove platforme za varno izmenjavo informacij (SIENA) z Europolom izmenjanih 3405 sporočil, z DČ pa 13623 sporočil. Prav tako je pripomogel k večji uporabi orodij za upravljanje z informacijami (SIENA, EIS)</w:t>
      </w:r>
      <w:r>
        <w:t xml:space="preserve"> in Europolovega sistema za analiziranje informacij in kriminalistično obveščevalnih podatkov. Tako je bilo v 2019 z Europolom in DČ izmenjanih 17028 SIENA sporočil, v EIS pa opravljenih 3870 preverjanj in poslanih 8577 prispevkov.</w:t>
      </w:r>
    </w:p>
    <w:p w:rsidR="00741801" w:rsidRDefault="002D7A0D">
      <w:pPr>
        <w:spacing w:before="240" w:after="240"/>
        <w:jc w:val="left"/>
      </w:pPr>
      <w:r>
        <w:t>S področja kriminalistič</w:t>
      </w:r>
      <w:r>
        <w:t>nega preiskovanja je bilo v Sloveniji v 2019 izvedenih 125 usposabljanj, od tega 92 (73,6 %) v okviru SO5.3. in SO5.1, večinoma za odkrivanje in preiskovanje gospod. kriminalitete in korupcije, kibernetske kriminalitete, terorizma in izvajanje prikritih pr</w:t>
      </w:r>
      <w:r>
        <w:t>eiskovalnih ukrepov pri čezmejnem policijskem sodelovanju.</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4762"/>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1</w:t>
            </w:r>
            <w:r w:rsidRPr="00707975">
              <w:rPr>
                <w:lang w:val="fr-BE"/>
              </w:rPr>
              <w:t xml:space="preserve"> - </w:t>
            </w:r>
            <w:r w:rsidRPr="00707975">
              <w:rPr>
                <w:noProof/>
                <w:lang w:val="fr-BE"/>
              </w:rPr>
              <w:t>Kriminal – preprečevanje in boj</w:t>
            </w:r>
          </w:p>
        </w:tc>
      </w:tr>
    </w:tbl>
    <w:p w:rsidR="004F1EEC" w:rsidRPr="006C1127" w:rsidRDefault="004F1EEC" w:rsidP="007C7090">
      <w:pPr>
        <w:spacing w:before="0" w:after="0"/>
        <w:rPr>
          <w:lang w:val="fr-BE"/>
        </w:rPr>
      </w:pPr>
    </w:p>
    <w:p w:rsidR="00741801" w:rsidRDefault="002D7A0D">
      <w:pPr>
        <w:spacing w:before="0" w:after="240"/>
        <w:jc w:val="left"/>
      </w:pPr>
      <w:r>
        <w:t xml:space="preserve">Slovenija tudi v letu 2019 nadaljuje s kontinuiranim izvajanjem ukrepov v okviru nacionalnega cilja IP.SO5.1 </w:t>
      </w:r>
      <w:r>
        <w:t>"K - preprečevanje in boj". Dodatna obrazložitev je v prilogi 1.</w:t>
      </w:r>
    </w:p>
    <w:p w:rsidR="00741801" w:rsidRDefault="002D7A0D">
      <w:pPr>
        <w:spacing w:before="240" w:after="240"/>
        <w:jc w:val="left"/>
      </w:pPr>
      <w:r>
        <w:t>V IP.SO5.1.1 so bili zakupljeni dostopi do komercialnih podatkovnih baz, ter nabavljena IT oprema za učinkovitejše odkrivanje, preiskovanje kaznivih dejanj in izvajanje ogledne dejavnosti ter</w:t>
      </w:r>
      <w:r>
        <w:t xml:space="preserve"> lažje dokumentiranje aktivnosti v predkazenskem postopku. Nakupila se je specialna oprema za nasilno vstopanje v objekte in vozila ter transportne torbe za prenos zaščitne opreme. V uporabo je bil predan Intella Conect strežnik za potrebe UKP NPU. Special</w:t>
      </w:r>
      <w:r>
        <w:t>no enota je nabavila vozilo opremljeno za usklajeno vodenje in poveljevanje večim enotam pri operativnem delu na terenu, in se uporablja za sodelovanje z domačimi in tujimi varnostnimi organi.</w:t>
      </w:r>
    </w:p>
    <w:p w:rsidR="00741801" w:rsidRDefault="002D7A0D">
      <w:pPr>
        <w:spacing w:before="240" w:after="240"/>
        <w:jc w:val="left"/>
      </w:pPr>
      <w:r>
        <w:lastRenderedPageBreak/>
        <w:t>V IP.SO5.1.2 je bilo izvedeno financiranje najema tajne lokacij</w:t>
      </w:r>
      <w:r>
        <w:t>e in stroškov uporabe za enoto, ki je v 2019 izvedla 328 tajnih opazovanj. Kupljeno je bilo 12 vozil za čezmejno tajno opazovanje ter specialna oprema za izvajanje prikritega ukrepa tajnega opazovanja. Sredstva so bila namenjena tudi nagrajevanju informato</w:t>
      </w:r>
      <w:r>
        <w:t>rjev in virov.</w:t>
      </w:r>
    </w:p>
    <w:p w:rsidR="00741801" w:rsidRDefault="002D7A0D">
      <w:pPr>
        <w:spacing w:before="240" w:after="240"/>
        <w:jc w:val="left"/>
      </w:pPr>
      <w:r>
        <w:t>V IP.SO5.1.3 je bila kupljena računalniška oprema (strežnik, SSD diski, SSD zunanji diski, zapisovalniki) za razširitev podatkovnih kapacitet za pohitritev forenzičnih preiskav in zavarovanje večjih količin digitalnih podatkov za potrebe kaz</w:t>
      </w:r>
      <w:r>
        <w:t>enskega postopka.</w:t>
      </w:r>
    </w:p>
    <w:p w:rsidR="00741801" w:rsidRDefault="002D7A0D">
      <w:pPr>
        <w:spacing w:before="240" w:after="240"/>
        <w:jc w:val="left"/>
      </w:pPr>
      <w:r>
        <w:t>V IP.SO5.1.4 so bili financirani str. udeležbe policistov na dveh usposabljanjih s področja terorizma, udeležbe na sestanku medn. delovne skupine za terorizem (PWGT) in na Europolovi konferenci o terorizmu. Na ta način so pridobili ustrez</w:t>
      </w:r>
      <w:r>
        <w:t>na znanja in veščine za učinkovito in pravočasno delovanje na področju protiteroristične dejavnosti.</w:t>
      </w:r>
    </w:p>
    <w:p w:rsidR="00741801" w:rsidRDefault="002D7A0D">
      <w:pPr>
        <w:spacing w:before="240" w:after="240"/>
        <w:jc w:val="left"/>
      </w:pPr>
      <w:r>
        <w:t>Iz sredstev IP.SO5.1.6 je bila nabavljena komercialna spektralna knjižnica Designer Drugs 2019 s 1250 novimi spektri. Kupljenih je bilo 21 novih psihoaktiv</w:t>
      </w:r>
      <w:r>
        <w:t>nih substanc (snovi), ki so kemijsko okarakterizirane v Nacionalnem forenzičnem laboratoriju (NFL), spektralni podatki pa vključeni v podatkovne baze NFL ter v akreditirane metode NFL za identifikacijo NPS in sorodnih snovi. Izboljšala se je učinkovitost i</w:t>
      </w:r>
      <w:r>
        <w:t>dentifikacije NPS za podporo operativnemu delu policije. Informacije o novih psihoaktivnih substancah so bile posredovane tudi nacionalnim in mednarodnim deležnikom (slovenski sistem za sistem za zgodnje obveščanje (SI EWS), EMCDDA in ENFSI).</w:t>
      </w:r>
    </w:p>
    <w:p w:rsidR="00741801" w:rsidRDefault="002D7A0D">
      <w:pPr>
        <w:spacing w:before="240" w:after="240"/>
        <w:jc w:val="left"/>
      </w:pPr>
      <w:r>
        <w:t xml:space="preserve">V IP.SO5.1.7 </w:t>
      </w:r>
      <w:r>
        <w:t>je bilo financiranih pet projektnih zaposlitev za izvajanje nalog ciljnega iskanja oseb.</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4827"/>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2</w:t>
            </w:r>
            <w:r w:rsidRPr="00707975">
              <w:rPr>
                <w:lang w:val="fr-BE"/>
              </w:rPr>
              <w:t xml:space="preserve"> - </w:t>
            </w:r>
            <w:r w:rsidRPr="00707975">
              <w:rPr>
                <w:noProof/>
                <w:lang w:val="fr-BE"/>
              </w:rPr>
              <w:t>Kriminal – izmenjava informacij</w:t>
            </w:r>
          </w:p>
        </w:tc>
      </w:tr>
    </w:tbl>
    <w:p w:rsidR="004F1EEC" w:rsidRPr="006C1127" w:rsidRDefault="004F1EEC" w:rsidP="007C7090">
      <w:pPr>
        <w:spacing w:before="0" w:after="0"/>
        <w:rPr>
          <w:lang w:val="fr-BE"/>
        </w:rPr>
      </w:pPr>
    </w:p>
    <w:p w:rsidR="00741801" w:rsidRDefault="002D7A0D">
      <w:pPr>
        <w:spacing w:before="0" w:after="240"/>
        <w:jc w:val="left"/>
      </w:pPr>
      <w:r>
        <w:t xml:space="preserve">Slovenija načrtuje kontinuirano izvajanje ukrepov v okviru nacionalnega cilja </w:t>
      </w:r>
      <w:r>
        <w:t>IP.SO5.2 "Kriminal - izmenjava informacij", saj je le-to teklo brez težav skozi celotno programsko obdobje, vključno z letom 2019. Dodatna obrazložitev je v Prilogi 1.</w:t>
      </w:r>
    </w:p>
    <w:p w:rsidR="00741801" w:rsidRDefault="002D7A0D">
      <w:pPr>
        <w:spacing w:before="240" w:after="240"/>
        <w:jc w:val="left"/>
      </w:pPr>
      <w:r>
        <w:t>V okviru IP.SO5.2.1 se je z izvajanjem 506 prikritih preiskovalnih ukrepov (tajno opazov</w:t>
      </w:r>
      <w:r>
        <w:t>anje, navidezni odkup, tajno delovanje) z Europolom, DČ EU in državami Z Balkana v čezmejnih policijskih preiskavah uspešno identificiralo in omejevalo nezakonite dejavnosti. V operativnem sodelovanju z državami Z Balkana na področju organizirane kriminali</w:t>
      </w:r>
      <w:r>
        <w:t>tete so bili izvedeni mednarodni operativni sestanki za skupne čezmejne policijske preiskave, usmerjene v odkrivanje/preiskovanje organiziranih kriminalnih združb. Sodelovalo se je v 58 mednarodnih policijskih preiskavah in v 4 skupnih preiskovalnih skupin</w:t>
      </w:r>
      <w:r>
        <w:t>ah [Joint Investigation Teams – JIT`s]. V Ljubljani je bila izvedena dvodnevna konferenca "Sodelovanje z državami Z Balkana na področju kriminalistično obveščevalne dejavnosti", udeležili so se predstavnikov varnostnih organov Črne gore, Severne Makedonije</w:t>
      </w:r>
      <w:r>
        <w:t>, Srbije, BIH, Hrvaške.</w:t>
      </w:r>
    </w:p>
    <w:p w:rsidR="00741801" w:rsidRDefault="002D7A0D">
      <w:pPr>
        <w:spacing w:before="240" w:after="240"/>
        <w:jc w:val="left"/>
      </w:pPr>
      <w:r>
        <w:t>V okviru IP.SO5.2.2 je napoteni uradnik za zvezo zagotavljal pomoč pri izmenjavi informacij z Europolom in DČ EU, uporabljala so se orodja za upravljanje z informacijami (SIENA, EIS) in Europolov sistem za analiziranje informacij in</w:t>
      </w:r>
      <w:r>
        <w:t xml:space="preserve"> kriminalistično-obveščevalnih podatkov.</w:t>
      </w:r>
    </w:p>
    <w:p w:rsidR="00741801" w:rsidRDefault="002D7A0D">
      <w:pPr>
        <w:spacing w:before="240" w:after="240"/>
        <w:jc w:val="left"/>
      </w:pPr>
      <w:r>
        <w:t xml:space="preserve">V okviru IP.SO5.2.5 se je financiralo udeležbo treh predstavnikov policije na del. sestanku CTI [Counter Terrorism Initiative] v Beogradu. Glavna tema sestanka so bili povratniki iz kriznih območji, ki so se borili </w:t>
      </w:r>
      <w:r>
        <w:t>na strani ISIS.</w:t>
      </w:r>
    </w:p>
    <w:p w:rsidR="00741801" w:rsidRDefault="002D7A0D">
      <w:pPr>
        <w:spacing w:before="240" w:after="240"/>
        <w:jc w:val="left"/>
      </w:pPr>
      <w:r>
        <w:lastRenderedPageBreak/>
        <w:t>V okviru IP.SO5.2.6 je bil z akreditacijo ene dodatne metode razširjen obseg akreditacije po standardu ISO 17025:2017. Strokovnjaki so se udeležili konferenc 12. delovnih skupin združenja ENFSI, 7 aktivnosti upravnega odbora ENFSI.</w:t>
      </w:r>
    </w:p>
    <w:p w:rsidR="00741801" w:rsidRDefault="002D7A0D">
      <w:pPr>
        <w:spacing w:before="240" w:after="240"/>
        <w:jc w:val="left"/>
      </w:pPr>
      <w:r>
        <w:t>Nakup in</w:t>
      </w:r>
      <w:r>
        <w:t xml:space="preserve">formacijske in telekomunikacijske tehnologije (programska oprema KNIME, analitično programsko orodje GeoTime, strežniški sistem, prenosni računalniki, delovna postaja, LCD zasloni ter realizirana dodatna, druga projektna zaposlitev) se je izvedlo v okviru </w:t>
      </w:r>
      <w:r>
        <w:t>IP.SO5.2.7, kar je pripomoglo k razvoju in delovanju nacionalnega sistema za obdelavo in uporabo podatkov o letalskih potnikih (PNR).</w:t>
      </w:r>
    </w:p>
    <w:p w:rsidR="00741801" w:rsidRDefault="002D7A0D">
      <w:pPr>
        <w:spacing w:before="240" w:after="240"/>
        <w:jc w:val="left"/>
      </w:pPr>
      <w:r>
        <w:t>V okviru IP.SO5.2.8 je bil sklenjen sporazum o skupni izvedbi postopka oddaje javnega naročila za vzpostavitev varne elekt</w:t>
      </w:r>
      <w:r>
        <w:t>ronske povezave med Uradom za preprečevanje pranja denarja in Policije. Realizacija je predvidena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4232"/>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3</w:t>
            </w:r>
            <w:r w:rsidRPr="00707975">
              <w:rPr>
                <w:lang w:val="fr-BE"/>
              </w:rPr>
              <w:t xml:space="preserve"> - </w:t>
            </w:r>
            <w:r w:rsidRPr="00707975">
              <w:rPr>
                <w:noProof/>
                <w:lang w:val="fr-BE"/>
              </w:rPr>
              <w:t>Kriminal – usposabljanje</w:t>
            </w:r>
          </w:p>
        </w:tc>
      </w:tr>
    </w:tbl>
    <w:p w:rsidR="004F1EEC" w:rsidRPr="006C1127" w:rsidRDefault="004F1EEC" w:rsidP="007C7090">
      <w:pPr>
        <w:spacing w:before="0" w:after="0"/>
        <w:rPr>
          <w:lang w:val="fr-BE"/>
        </w:rPr>
      </w:pPr>
    </w:p>
    <w:p w:rsidR="00741801" w:rsidRDefault="002D7A0D">
      <w:pPr>
        <w:spacing w:before="0" w:after="240"/>
        <w:jc w:val="left"/>
      </w:pPr>
      <w:r>
        <w:t>Slovenija je tudi v letu 2019 za svojo prednostno nalogo v okviru</w:t>
      </w:r>
      <w:r>
        <w:t xml:space="preserve"> nacionalnega cilja IP.SO5.3 »K – usposabljanje« določila usposabljanje in izpopolnjevanje preiskovalcev s ciljem krepiti preiskovalne zmogljivosti pri odkrivanju in preiskovanju hudih in organiziranih oblik kriminalitete. Slovenija je izvajala aktivnosti </w:t>
      </w:r>
      <w:r>
        <w:t>v okviru 5 ukrepov, ki oblikujejo strokovne programe usposabljanja na področju gospodarskega kriminala in korupcije, kibernetskega kriminala in digitalne forenzike, prikritih preiskovalnih ukrepov in policijskega sodelovanja. Dodatna obrazložitev je v Pril</w:t>
      </w:r>
      <w:r>
        <w:t>ogi 1.</w:t>
      </w:r>
    </w:p>
    <w:p w:rsidR="00741801" w:rsidRDefault="002D7A0D">
      <w:pPr>
        <w:spacing w:before="240" w:after="240"/>
        <w:jc w:val="left"/>
      </w:pPr>
      <w:r>
        <w:t xml:space="preserve">Slovenija ocenjuje, da je z izvedbo vseh načrtovanih usposabljanj dosegla zastavljene cilje. Pri izvajanju ukrepov ni bilo težav, ki bi vplivale na izvajanje Nacionalnega programa, zato bodo aktivnosti kontinuirano tekle do leta 2021.V letu 2019 je </w:t>
      </w:r>
      <w:r>
        <w:t>bilo izvedenih 92 usposabljanj za 1131 udeležencev.</w:t>
      </w:r>
    </w:p>
    <w:p w:rsidR="00741801" w:rsidRDefault="002D7A0D">
      <w:pPr>
        <w:numPr>
          <w:ilvl w:val="0"/>
          <w:numId w:val="46"/>
        </w:numPr>
        <w:spacing w:before="240" w:after="0"/>
        <w:ind w:hanging="210"/>
        <w:jc w:val="left"/>
      </w:pPr>
      <w:r>
        <w:t>Pridobivanje specifičnih znanj in veščin za čezmejno tajno policijsko delovanje - 8 usposabljanj, 6 udeležencev.</w:t>
      </w:r>
    </w:p>
    <w:p w:rsidR="00741801" w:rsidRDefault="002D7A0D">
      <w:pPr>
        <w:numPr>
          <w:ilvl w:val="0"/>
          <w:numId w:val="46"/>
        </w:numPr>
        <w:spacing w:before="0" w:after="0"/>
        <w:ind w:hanging="210"/>
        <w:jc w:val="left"/>
      </w:pPr>
      <w:r>
        <w:t>Sodelovanje na konferencah in skupnih usposabljanjih za mobilne kriminalistične oddelke v E</w:t>
      </w:r>
      <w:r>
        <w:t>U in Z Balkanu - 5 usposabljanj, 123 udeležencev.</w:t>
      </w:r>
    </w:p>
    <w:p w:rsidR="00741801" w:rsidRDefault="002D7A0D">
      <w:pPr>
        <w:numPr>
          <w:ilvl w:val="0"/>
          <w:numId w:val="46"/>
        </w:numPr>
        <w:spacing w:before="0" w:after="0"/>
        <w:ind w:hanging="210"/>
        <w:jc w:val="left"/>
      </w:pPr>
      <w:r>
        <w:t>Šola varne vožnje za kriminaliste, ki izvajajo tajno opazovanje - 5 usposabljanj, 82 udeležencev.</w:t>
      </w:r>
    </w:p>
    <w:p w:rsidR="00741801" w:rsidRDefault="002D7A0D">
      <w:pPr>
        <w:numPr>
          <w:ilvl w:val="0"/>
          <w:numId w:val="46"/>
        </w:numPr>
        <w:spacing w:before="0" w:after="0"/>
        <w:ind w:hanging="210"/>
        <w:jc w:val="left"/>
      </w:pPr>
      <w:r>
        <w:t>Sodelovanje z državami Z Balkana pri usposabljanju na področju tajnega delovanja - 19 usposabljanj, 92 udele</w:t>
      </w:r>
      <w:r>
        <w:t>žencev.</w:t>
      </w:r>
    </w:p>
    <w:p w:rsidR="00741801" w:rsidRDefault="002D7A0D">
      <w:pPr>
        <w:numPr>
          <w:ilvl w:val="0"/>
          <w:numId w:val="46"/>
        </w:numPr>
        <w:spacing w:before="0" w:after="0"/>
        <w:ind w:hanging="210"/>
        <w:jc w:val="left"/>
      </w:pPr>
      <w:r>
        <w:t>Usposabljanja za uporabo sodobnih telekomunikacijskih sistemov - 5 usposabljanj, 8 udeležencev.</w:t>
      </w:r>
    </w:p>
    <w:p w:rsidR="00741801" w:rsidRDefault="002D7A0D">
      <w:pPr>
        <w:numPr>
          <w:ilvl w:val="0"/>
          <w:numId w:val="46"/>
        </w:numPr>
        <w:spacing w:before="0" w:after="0"/>
        <w:ind w:hanging="210"/>
        <w:jc w:val="left"/>
      </w:pPr>
      <w:r>
        <w:t>Usposabljanja za odkrivanje in preiskovanje gospodarske kriminalitete in korupcije - 16 usposabljanj, 375 udeležencev.</w:t>
      </w:r>
    </w:p>
    <w:p w:rsidR="00741801" w:rsidRDefault="002D7A0D">
      <w:pPr>
        <w:numPr>
          <w:ilvl w:val="0"/>
          <w:numId w:val="46"/>
        </w:numPr>
        <w:spacing w:before="0" w:after="0"/>
        <w:ind w:hanging="210"/>
        <w:jc w:val="left"/>
      </w:pPr>
      <w:r>
        <w:t>Usposabljanja na področju krimina</w:t>
      </w:r>
      <w:r>
        <w:t>listično-obveščevalne dejavnosti - 3 usposabljanja, 42 udeležencev.</w:t>
      </w:r>
    </w:p>
    <w:p w:rsidR="00741801" w:rsidRDefault="002D7A0D">
      <w:pPr>
        <w:numPr>
          <w:ilvl w:val="0"/>
          <w:numId w:val="46"/>
        </w:numPr>
        <w:spacing w:before="0" w:after="0"/>
        <w:ind w:hanging="210"/>
        <w:jc w:val="left"/>
      </w:pPr>
      <w:r>
        <w:t>Specialistično usposabljanje za tajno delovanje - kibernetska kriminaliteta – 1 usposabljanje, 2 udeleženca.</w:t>
      </w:r>
    </w:p>
    <w:p w:rsidR="00741801" w:rsidRDefault="002D7A0D">
      <w:pPr>
        <w:numPr>
          <w:ilvl w:val="0"/>
          <w:numId w:val="46"/>
        </w:numPr>
        <w:spacing w:before="0" w:after="0"/>
        <w:ind w:hanging="210"/>
        <w:jc w:val="left"/>
      </w:pPr>
      <w:r>
        <w:t xml:space="preserve">Usposabljanje izvajalcev čezmejnega tajnega opazovanja – 2 usposabljanji, 32 </w:t>
      </w:r>
      <w:r>
        <w:t>udeležencev.</w:t>
      </w:r>
    </w:p>
    <w:p w:rsidR="00741801" w:rsidRDefault="002D7A0D">
      <w:pPr>
        <w:numPr>
          <w:ilvl w:val="0"/>
          <w:numId w:val="46"/>
        </w:numPr>
        <w:spacing w:before="0" w:after="0"/>
        <w:ind w:hanging="210"/>
        <w:jc w:val="left"/>
      </w:pPr>
      <w:r>
        <w:t>Kriminalistični tečaj, 2 usposabljanji, 50 udeležencev.</w:t>
      </w:r>
    </w:p>
    <w:p w:rsidR="00741801" w:rsidRDefault="002D7A0D">
      <w:pPr>
        <w:numPr>
          <w:ilvl w:val="0"/>
          <w:numId w:val="46"/>
        </w:numPr>
        <w:spacing w:before="0" w:after="0"/>
        <w:ind w:hanging="210"/>
        <w:jc w:val="left"/>
      </w:pPr>
      <w:r>
        <w:t>Specialistična usposabljanja na področju digitalne forenzike, spolnih zlorab otrok na spletu, zlorab plačilnih kartic in trgovine z ljudmi - 8 usposabljanj, 177 udeležencev.</w:t>
      </w:r>
    </w:p>
    <w:p w:rsidR="00741801" w:rsidRDefault="002D7A0D">
      <w:pPr>
        <w:numPr>
          <w:ilvl w:val="0"/>
          <w:numId w:val="46"/>
        </w:numPr>
        <w:spacing w:before="0" w:after="0"/>
        <w:ind w:hanging="210"/>
        <w:jc w:val="left"/>
      </w:pPr>
      <w:r>
        <w:t>Usposabljanje</w:t>
      </w:r>
      <w:r>
        <w:t xml:space="preserve"> za krepitev boja proti terorizmu  – 1 usposabljanje in 45 udeležencev.</w:t>
      </w:r>
    </w:p>
    <w:p w:rsidR="00741801" w:rsidRDefault="002D7A0D">
      <w:pPr>
        <w:numPr>
          <w:ilvl w:val="0"/>
          <w:numId w:val="46"/>
        </w:numPr>
        <w:spacing w:before="0" w:after="240"/>
        <w:ind w:hanging="210"/>
        <w:jc w:val="left"/>
      </w:pPr>
      <w:r>
        <w:t>Usposabljanje in strokovno izpopolnjevanje na področju napredne obdelave podatkov in ocenjevanja tveganj PNR – 13 usposabljanj, 40 udeležencev.</w:t>
      </w:r>
    </w:p>
    <w:p w:rsidR="00741801" w:rsidRDefault="002D7A0D">
      <w:pPr>
        <w:spacing w:before="240" w:after="240"/>
        <w:jc w:val="left"/>
      </w:pPr>
      <w:r>
        <w:lastRenderedPageBreak/>
        <w:t>Aktivnosti v okviru ukrepa IP.SO5.3.5 »U</w:t>
      </w:r>
      <w:r>
        <w:t>sposabljanja za odkrivanje in preprečevanje vseh oblik nasilne radikalizacije« so bile zaključene v 2018.</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4409"/>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4</w:t>
            </w:r>
            <w:r w:rsidRPr="00707975">
              <w:rPr>
                <w:lang w:val="fr-BE"/>
              </w:rPr>
              <w:t xml:space="preserve"> - </w:t>
            </w:r>
            <w:r w:rsidRPr="00707975">
              <w:rPr>
                <w:noProof/>
                <w:lang w:val="fr-BE"/>
              </w:rPr>
              <w:t>Kriminal – podpora žrtvam</w:t>
            </w:r>
          </w:p>
        </w:tc>
      </w:tr>
    </w:tbl>
    <w:p w:rsidR="004F1EEC" w:rsidRPr="006C1127" w:rsidRDefault="004F1EEC" w:rsidP="007C7090">
      <w:pPr>
        <w:spacing w:before="0" w:after="0"/>
        <w:rPr>
          <w:lang w:val="fr-BE"/>
        </w:rPr>
      </w:pPr>
    </w:p>
    <w:p w:rsidR="00741801" w:rsidRDefault="002D7A0D">
      <w:pPr>
        <w:spacing w:before="0" w:after="240"/>
        <w:jc w:val="left"/>
      </w:pPr>
      <w:r>
        <w:t>V okviru nacionalnega cilja IP.SO5.4 »Kriminal – podpora žrtvam« je S</w:t>
      </w:r>
      <w:r>
        <w:t>lovenija načrtovala dva ukrepa. Dodatna obrazložitev je v Prilogi 1.</w:t>
      </w:r>
    </w:p>
    <w:p w:rsidR="00741801" w:rsidRDefault="002D7A0D">
      <w:pPr>
        <w:spacing w:before="240" w:after="240"/>
        <w:jc w:val="left"/>
      </w:pPr>
      <w:r>
        <w:t>V okviru ukrepa IP.SO5.4.1 "Podpora ponovnemu vključevanju žrtev trgovine z ljudmi" je na podlagi izvedenega javnega razpisa, nevladna organizacija Društvo Ključ, Center za boj proti trgo</w:t>
      </w:r>
      <w:r>
        <w:t>vini z ljudmi, pričela v letu 2019 izvajati projekt “Oskrba žrtev trgovine z ljudmi skozi varno namestitev in (re)integracijo". V projekt so bile vključene tri osebe z izkušnjo trgovine z ljudmi.</w:t>
      </w:r>
    </w:p>
    <w:p w:rsidR="00741801" w:rsidRDefault="002D7A0D">
      <w:pPr>
        <w:spacing w:before="240" w:after="240"/>
        <w:jc w:val="left"/>
      </w:pPr>
      <w:r>
        <w:t>Aktivnosti v okviru ukrepa IP.SO5.4.2 »Ozaveščanje žrtev kaz</w:t>
      </w:r>
      <w:r>
        <w:t>nivih dejanj« so bile zaključene z letom 2015. Neporabljena sredstva so bila prerazporejena za izvedbo aktivnosti IP.SO5.1.4 “Krepitev boja proti terorizmu z usposabljanjem, krepitvijo zmogljivosti za terensko osebje” za obdobje 2019 in 2020.</w:t>
      </w:r>
    </w:p>
    <w:p w:rsidR="00741801" w:rsidRDefault="002D7A0D">
      <w:pPr>
        <w:spacing w:before="240" w:after="240"/>
        <w:jc w:val="left"/>
      </w:pPr>
      <w:r>
        <w:t> </w:t>
      </w:r>
    </w:p>
    <w:p w:rsidR="00741801" w:rsidRDefault="002D7A0D">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5229"/>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 xml:space="preserve">Ukrepi, </w:t>
            </w:r>
            <w:r w:rsidRPr="00707975">
              <w:rPr>
                <w:noProof/>
                <w:lang w:val="fr-BE"/>
              </w:rPr>
              <w:t>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5</w:t>
            </w:r>
            <w:r w:rsidRPr="00707975">
              <w:rPr>
                <w:lang w:val="fr-BE"/>
              </w:rPr>
              <w:t xml:space="preserve"> - </w:t>
            </w:r>
            <w:r w:rsidRPr="00707975">
              <w:rPr>
                <w:noProof/>
                <w:lang w:val="fr-BE"/>
              </w:rPr>
              <w:t>Kriminal – ocena nevarnosti in tveganj</w:t>
            </w:r>
          </w:p>
        </w:tc>
      </w:tr>
    </w:tbl>
    <w:p w:rsidR="004F1EEC" w:rsidRPr="006C1127" w:rsidRDefault="004F1EEC" w:rsidP="007C7090">
      <w:pPr>
        <w:spacing w:before="0" w:after="0"/>
        <w:rPr>
          <w:lang w:val="fr-BE"/>
        </w:rPr>
      </w:pPr>
    </w:p>
    <w:p w:rsidR="00741801" w:rsidRDefault="002D7A0D">
      <w:pPr>
        <w:spacing w:before="0" w:after="240"/>
        <w:jc w:val="left"/>
      </w:pPr>
      <w:r>
        <w:t>Slovenija v okviru nacionalnega cilja "Kriminal – Ocenjevanje nevarnosti in tveganj "nima načrtovanih aktivnosti.</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7065"/>
      </w:tblGrid>
      <w:tr w:rsidR="00741801" w:rsidTr="008E16E1">
        <w:tc>
          <w:tcPr>
            <w:tcW w:w="0" w:type="auto"/>
            <w:shd w:val="clear" w:color="auto" w:fill="auto"/>
          </w:tcPr>
          <w:p w:rsidR="004F1EEC" w:rsidRPr="006C1127" w:rsidRDefault="002D7A0D"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2D7A0D" w:rsidP="007C7090">
            <w:pPr>
              <w:spacing w:before="0" w:after="0"/>
              <w:rPr>
                <w:lang w:val="fr-BE"/>
              </w:rPr>
            </w:pPr>
            <w:r w:rsidRPr="006C1127">
              <w:rPr>
                <w:noProof/>
                <w:lang w:val="fr-BE"/>
              </w:rPr>
              <w:t>6</w:t>
            </w:r>
            <w:r w:rsidRPr="006C1127">
              <w:rPr>
                <w:lang w:val="fr-BE"/>
              </w:rPr>
              <w:t xml:space="preserve"> - </w:t>
            </w:r>
            <w:r w:rsidRPr="006C1127">
              <w:rPr>
                <w:noProof/>
                <w:lang w:val="fr-BE"/>
              </w:rPr>
              <w:t>Tveganja in krize</w:t>
            </w:r>
          </w:p>
        </w:tc>
      </w:tr>
    </w:tbl>
    <w:p w:rsidR="004F1EEC" w:rsidRDefault="004F1EEC" w:rsidP="007C7090">
      <w:pPr>
        <w:spacing w:before="0" w:after="0"/>
        <w:rPr>
          <w:lang w:val="fr-BE"/>
        </w:rPr>
      </w:pPr>
    </w:p>
    <w:p w:rsidR="004F1EEC" w:rsidRDefault="002D7A0D" w:rsidP="007C7090">
      <w:pPr>
        <w:spacing w:before="0" w:after="0"/>
        <w:rPr>
          <w:lang w:val="fr-BE"/>
        </w:rPr>
      </w:pPr>
      <w:r>
        <w:rPr>
          <w:noProof/>
          <w:lang w:val="fr-BE"/>
        </w:rPr>
        <w:t xml:space="preserve">Povzemite </w:t>
      </w:r>
      <w:r>
        <w:rPr>
          <w:noProof/>
          <w:lang w:val="fr-BE"/>
        </w:rPr>
        <w:t>napredek pri izvajanju strategije in doseganju nacionalnih ciljev v proračunskem letu.</w:t>
      </w:r>
    </w:p>
    <w:p w:rsidR="004F1EEC" w:rsidRDefault="002D7A0D"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2D7A0D" w:rsidP="007C7090">
      <w:pPr>
        <w:spacing w:before="0" w:after="0"/>
        <w:rPr>
          <w:lang w:val="fr-BE"/>
        </w:rPr>
      </w:pPr>
      <w:r>
        <w:rPr>
          <w:noProof/>
          <w:lang w:val="fr-BE"/>
        </w:rPr>
        <w:t>Navedite morebitna pomembna vprašanja</w:t>
      </w:r>
      <w:r>
        <w:rPr>
          <w:noProof/>
          <w:lang w:val="fr-BE"/>
        </w:rPr>
        <w:t>, ki vplivajo na uspešnost nacionalnega programa.</w:t>
      </w:r>
    </w:p>
    <w:p w:rsidR="004F1EEC" w:rsidRDefault="004F1EEC" w:rsidP="007C7090">
      <w:pPr>
        <w:spacing w:before="0" w:after="0"/>
        <w:rPr>
          <w:lang w:val="fr-BE"/>
        </w:rPr>
      </w:pPr>
    </w:p>
    <w:p w:rsidR="00741801" w:rsidRDefault="002D7A0D">
      <w:pPr>
        <w:spacing w:before="0" w:after="240"/>
        <w:jc w:val="left"/>
      </w:pPr>
      <w:r>
        <w:t xml:space="preserve">Glavni cilj Slovenije v sklopu posebnega cilja IP.SO6 »Tveganja in krize« je preučevanje tehničnih rešitev in zagotavljanje ustrezne opreme za neprekinjeno in učinkovito delovanje centrov in subjektov, ki </w:t>
      </w:r>
      <w:r>
        <w:t>delujejo na področju kriznega upravljanja. Cilj je zmanjšati odvečno komunikacijo med subjekti za krizno upravljanje in zagotoviti boljšo podporo kriznemu upravljanju/odločanju na državni ravni. Načrtovana je tudi omejena uporaba novih tehnologij.</w:t>
      </w:r>
    </w:p>
    <w:p w:rsidR="00741801" w:rsidRDefault="002D7A0D">
      <w:pPr>
        <w:spacing w:before="240" w:after="240"/>
        <w:jc w:val="left"/>
      </w:pPr>
      <w:r>
        <w:t>Slovenij</w:t>
      </w:r>
      <w:r>
        <w:t>a pri doseganju ciljev in izvajanju ukrepov v okviru tega posebnega cilja ni imela večjih težav, ki bi vplivale na izvajanje Nacionalnega programa. Aktivnosti se kontinuirano izvajajo skozi celotno programsko obdobje. V 2019 se beleži administrativni zamik</w:t>
      </w:r>
      <w:r>
        <w:t xml:space="preserve"> realizacije pri razvoju funkcionalnosti in posodobitvi računalniške opreme za potrebe usposabljanj za odziv na tveganja in krize, kar pa ne bo vplivalo na končno in pravočasno izvedbo ukrepa. </w:t>
      </w:r>
    </w:p>
    <w:p w:rsidR="00741801" w:rsidRDefault="002D7A0D">
      <w:pPr>
        <w:spacing w:before="240" w:after="240"/>
        <w:jc w:val="left"/>
      </w:pPr>
      <w:r>
        <w:lastRenderedPageBreak/>
        <w:t>Alokacija sredstev za leto 2019 je bila končnemu upravičencu n</w:t>
      </w:r>
      <w:r>
        <w:t>ačrtovana v skladu s potrjenim Akcijskim načrtom.</w:t>
      </w:r>
    </w:p>
    <w:p w:rsidR="00741801" w:rsidRDefault="002D7A0D">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4782"/>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1</w:t>
            </w:r>
            <w:r w:rsidRPr="00707975">
              <w:rPr>
                <w:lang w:val="fr-BE"/>
              </w:rPr>
              <w:t xml:space="preserve"> - </w:t>
            </w:r>
            <w:r w:rsidRPr="00707975">
              <w:rPr>
                <w:noProof/>
                <w:lang w:val="fr-BE"/>
              </w:rPr>
              <w:t>Tveganja – preprečevanje in boj</w:t>
            </w:r>
          </w:p>
        </w:tc>
      </w:tr>
    </w:tbl>
    <w:p w:rsidR="004F1EEC" w:rsidRPr="006C1127" w:rsidRDefault="004F1EEC" w:rsidP="007C7090">
      <w:pPr>
        <w:spacing w:before="0" w:after="0"/>
        <w:rPr>
          <w:lang w:val="fr-BE"/>
        </w:rPr>
      </w:pPr>
    </w:p>
    <w:p w:rsidR="00741801" w:rsidRDefault="002D7A0D">
      <w:pPr>
        <w:spacing w:before="0" w:after="240"/>
        <w:jc w:val="left"/>
      </w:pPr>
      <w:r>
        <w:t xml:space="preserve">V okviru nacionalnega cilja IP.SO6.1 "Tveganja - preprečevanje in boj" je Slovenija predvidela dva ukrepa z </w:t>
      </w:r>
      <w:r>
        <w:t>izvajanjem do leta 2021. </w:t>
      </w:r>
    </w:p>
    <w:p w:rsidR="00741801" w:rsidRDefault="002D7A0D">
      <w:pPr>
        <w:spacing w:before="240" w:after="240"/>
        <w:jc w:val="left"/>
      </w:pPr>
      <w:r>
        <w:t>Ukrepi v okviru nacionalnega cilja SO6.1. so bili načrtovani dolgoročno. Projekti so bili oblikovani v letu 2017, ko je postal znan okvir razvijajočega se predloga Zakona o kritični infrastrukturi. Vpliv zamaknjenega oblikovanja p</w:t>
      </w:r>
      <w:r>
        <w:t>rojektov vpliva na to, da se ukrep SO6.1.1. "Priprava kakovostnih in funkcionalnih načrtov za zaščito kritične infrastrukture" v tej finančni perspektivi ne bo izvedel.</w:t>
      </w:r>
    </w:p>
    <w:p w:rsidR="00741801" w:rsidRDefault="002D7A0D">
      <w:pPr>
        <w:spacing w:before="240" w:after="240"/>
        <w:jc w:val="left"/>
      </w:pPr>
      <w:r>
        <w:t>V letu 2019 se je zaključil dvoletni ukrep IP.SO6.1.2 "Priprava strokovnih podlag za oc</w:t>
      </w:r>
      <w:r>
        <w:t>enjevanje tveganj za delovanje kritične infrastrukture (SPOTKI)", v okviru katerega so bile pripravljene strokovne podlage, ki upravljavcem kritične infrastrukture omogočajo enoten in celovit pristop k ocenjevanju tveganj za delovanje kritične infrastruktu</w:t>
      </w:r>
      <w:r>
        <w:t>re v vseh sektorjih kritične infrastrukture. Izvedena študija (priprava strokovnih podlag za ocenjevanje) se je uporabila kot podlaga za pripravo Navodila za ocenjevanje tveganj za delovanje kritične infrastrukture ter kot pomoč pri pripravi usmeritev nosi</w:t>
      </w:r>
      <w:r>
        <w:t>lcev sektorjev kritične infrastrukture in pri pripravi ocene tveganj za delovanje kritične infrastrukture upravljavcev kritične infrastrukture. V okviru projekta je bila izvedena študija in oblikovana gradiva za obveščanje javnosti, ciljni javnosti pa pred</w:t>
      </w:r>
      <w:r>
        <w:t xml:space="preserve">stavljena metodologija za ocenjevanje tveganj za delovanje kritične infrastrukture. Študija je bila maja 2019 objavljena na spletni strani končnega upravičenca, tj ministrstva za obrambo. V letu 2019 sta bili izvedeni dve javni predstavitvi študije, prvič </w:t>
      </w:r>
      <w:r>
        <w:t>za nosilce sektorjev kritične infrastrukture ter z njimi sodelujoče državne organe, drugič za upravljavce kritične infrastrukture.</w:t>
      </w:r>
    </w:p>
    <w:p w:rsidR="00741801" w:rsidRDefault="002D7A0D">
      <w:pPr>
        <w:spacing w:before="240" w:after="240"/>
        <w:jc w:val="left"/>
      </w:pPr>
      <w:r>
        <w:t>Začetek izvajanja ukrepa IP.SO6.1.3 Oblikovanje/razvoj sektorskih orodij/načrtov/programov za zaščito kritične infrastrukture</w:t>
      </w:r>
      <w:r>
        <w:t xml:space="preserve"> je predviden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4846"/>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2</w:t>
            </w:r>
            <w:r w:rsidRPr="00707975">
              <w:rPr>
                <w:lang w:val="fr-BE"/>
              </w:rPr>
              <w:t xml:space="preserve"> - </w:t>
            </w:r>
            <w:r w:rsidRPr="00707975">
              <w:rPr>
                <w:noProof/>
                <w:lang w:val="fr-BE"/>
              </w:rPr>
              <w:t>Tveganja – izmenjava informacij</w:t>
            </w:r>
          </w:p>
        </w:tc>
      </w:tr>
    </w:tbl>
    <w:p w:rsidR="004F1EEC" w:rsidRPr="006C1127" w:rsidRDefault="004F1EEC" w:rsidP="007C7090">
      <w:pPr>
        <w:spacing w:before="0" w:after="0"/>
        <w:rPr>
          <w:lang w:val="fr-BE"/>
        </w:rPr>
      </w:pPr>
    </w:p>
    <w:p w:rsidR="00741801" w:rsidRDefault="002D7A0D">
      <w:pPr>
        <w:spacing w:before="0" w:after="240"/>
        <w:jc w:val="left"/>
      </w:pPr>
      <w:r>
        <w:t>V okviru nacionalnega cilja IP.SO6.2 »Izmenjava informacij« v letu 2019 Slovenija ni predvidela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4255"/>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 xml:space="preserve">Ukrepi, financirani v okviru </w:t>
            </w:r>
            <w:r w:rsidRPr="00707975">
              <w:rPr>
                <w:noProof/>
                <w:lang w:val="fr-BE"/>
              </w:rPr>
              <w:t>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3</w:t>
            </w:r>
            <w:r w:rsidRPr="00707975">
              <w:rPr>
                <w:lang w:val="fr-BE"/>
              </w:rPr>
              <w:t xml:space="preserve"> - </w:t>
            </w:r>
            <w:r w:rsidRPr="00707975">
              <w:rPr>
                <w:noProof/>
                <w:lang w:val="fr-BE"/>
              </w:rPr>
              <w:t>Tveganja – usposabljanje</w:t>
            </w:r>
          </w:p>
        </w:tc>
      </w:tr>
    </w:tbl>
    <w:p w:rsidR="004F1EEC" w:rsidRPr="006C1127" w:rsidRDefault="004F1EEC" w:rsidP="007C7090">
      <w:pPr>
        <w:spacing w:before="0" w:after="0"/>
        <w:rPr>
          <w:lang w:val="fr-BE"/>
        </w:rPr>
      </w:pPr>
    </w:p>
    <w:p w:rsidR="00741801" w:rsidRDefault="002D7A0D">
      <w:pPr>
        <w:spacing w:before="0" w:after="240"/>
        <w:jc w:val="left"/>
      </w:pPr>
      <w:r>
        <w:t>V okviru nacionalnega cilja IP.SO6.3 "Tveganja - usposabljanja" je Slovenija načrtovala tri ukrepe.</w:t>
      </w:r>
    </w:p>
    <w:p w:rsidR="00741801" w:rsidRDefault="002D7A0D">
      <w:pPr>
        <w:spacing w:before="240" w:after="240"/>
        <w:jc w:val="left"/>
      </w:pPr>
      <w:r>
        <w:t xml:space="preserve">V okviru IP.SO6.3.1 se je v letu 2018 zaključila aktivnost v okviru katere se je preučilo potrebe po </w:t>
      </w:r>
      <w:r>
        <w:t>dodatnih znanjih za zaščito kritične infrastrukture. Na podlagi analize podatkov, pridobljenih s strukturiranimi intervjuji s predstavniki osmih nosilcev sektorjev kritične infrastrukture, treh sodelujočih organov in petindvajsetih upravljavcev kritične in</w:t>
      </w:r>
      <w:r>
        <w:t>frastrukture državnega pomena, so bile dodatno opredeljene dejanske potrebe po dodatnih znanjih. Na podlagi preteklih raziskav in različnih predlogov akterjev, ki delujejo na področju zaščite kritične infrastrukture, je pristojno ministrstvo oblikovalo pre</w:t>
      </w:r>
      <w:r>
        <w:t xml:space="preserve">dlog osnovnega programa usposabljanja za zaščito kritične infrastrukture z osmimi tematskimi sklopi. Usposabljanje v obsegu do 18 pedagoških ur je bilo </w:t>
      </w:r>
      <w:r>
        <w:lastRenderedPageBreak/>
        <w:t>namenjeno vodstvenemu kadru in kontaktnim osebam upravljavcev kritične infrastrukture, pa tudi nosilcem </w:t>
      </w:r>
      <w:r>
        <w:t>sektorjev kritične infrastrukture in sodelujočih organov.</w:t>
      </w:r>
    </w:p>
    <w:p w:rsidR="00741801" w:rsidRDefault="002D7A0D">
      <w:pPr>
        <w:spacing w:before="240" w:after="240"/>
        <w:jc w:val="left"/>
      </w:pPr>
      <w:r>
        <w:t>Konkretni predlog usposabljanja za zaščito kritične infrastrukture je bil predstavljen strokovni javnosti na posvetu maja 2018, objavljen v publikaciji, ki je izšla ob zaključku projekta, z naslovom</w:t>
      </w:r>
      <w:r>
        <w:t xml:space="preserve"> Kritična infrastruktura: Predlog programa usposabljanja upravljavcev kritične infrastrukture (projekt PROPU). Določene vsebine, katerih poznavanje je bistveno za nemoteno delovanje kritične infrastrukture so bile povzete v zgibanki o kritični infrastruktu</w:t>
      </w:r>
      <w:r>
        <w:t>ri v Republiki Sloveniji, ki je bila distribuirana med vse deležnike na področju zaščite kritične infrastrukture.</w:t>
      </w:r>
    </w:p>
    <w:p w:rsidR="00741801" w:rsidRDefault="002D7A0D">
      <w:pPr>
        <w:spacing w:before="240" w:after="240"/>
        <w:jc w:val="left"/>
      </w:pPr>
      <w:r>
        <w:t>Sredi leta 2019 so se zaključile aktivnosti IP.SO6.3.2 "Osnovno usposabljanje nosilcev in upravljavcev kritične infrastrukture (UNUKI)", pripr</w:t>
      </w:r>
      <w:r>
        <w:t xml:space="preserve">avljena in izvedena so bila osnovna teoretična in praktična usposabljanja za nosilce sektorjev kritične infrastrukture  in upravljavce kritične infrastrukture. Ciljno javnost se je osveščalo o potrebi po izobraževanju in usposabljanju na področju kritične </w:t>
      </w:r>
      <w:r>
        <w:t>infrastrukture ter o konkretno izvedenem usposabljanju. V marcu 2019 je bilo izvedeno dvodnevno splošno usposabljanje za upravljavce kritične infrastrukture, za nosilce sektorjev kritične infrastrukture ter z njimi sodelujoče državne organe. </w:t>
      </w:r>
    </w:p>
    <w:p w:rsidR="00741801" w:rsidRDefault="002D7A0D">
      <w:pPr>
        <w:spacing w:before="240" w:after="240"/>
        <w:jc w:val="left"/>
      </w:pPr>
      <w:r>
        <w:t>V okviru IP.S</w:t>
      </w:r>
      <w:r>
        <w:t>O6.3.3 načrtovane delavnice o ukrepih za zaščito kritične infrastrukture, posvetovanja za razvoj teh ukrepov se zaradi sprejema Zakona o kritični infrastrukturi (Uradni list RS, št. 75/17) v finančni perspektivi 2014-2020 ne bodo izvajale.</w:t>
      </w:r>
    </w:p>
    <w:p w:rsidR="00741801" w:rsidRDefault="002D7A0D">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4431"/>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w:t>
            </w:r>
            <w:r w:rsidRPr="00707975">
              <w:rPr>
                <w:noProof/>
                <w:lang w:val="fr-BE"/>
              </w:rPr>
              <w:t>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4</w:t>
            </w:r>
            <w:r w:rsidRPr="00707975">
              <w:rPr>
                <w:lang w:val="fr-BE"/>
              </w:rPr>
              <w:t xml:space="preserve"> - </w:t>
            </w:r>
            <w:r w:rsidRPr="00707975">
              <w:rPr>
                <w:noProof/>
                <w:lang w:val="fr-BE"/>
              </w:rPr>
              <w:t>Tveganja – podpora žrtvam</w:t>
            </w:r>
          </w:p>
        </w:tc>
      </w:tr>
    </w:tbl>
    <w:p w:rsidR="004F1EEC" w:rsidRPr="006C1127" w:rsidRDefault="004F1EEC" w:rsidP="007C7090">
      <w:pPr>
        <w:spacing w:before="0" w:after="0"/>
        <w:rPr>
          <w:lang w:val="fr-BE"/>
        </w:rPr>
      </w:pPr>
    </w:p>
    <w:p w:rsidR="00741801" w:rsidRDefault="002D7A0D">
      <w:pPr>
        <w:spacing w:before="0" w:after="240"/>
        <w:jc w:val="left"/>
      </w:pPr>
      <w:r>
        <w:t>V okviru nacionalnega cilja IP.SO6.4 »Tveganja - podpora žrtvam« je Slovenija v letu 2017 zaključila z razvojem in izvajanjem sistema za podporo žrtvam in upravljanje s psihosocialno pomočj</w:t>
      </w:r>
      <w:r>
        <w:t>o. Vzpostavljen je bil sistem psihosocialne pomoči reševalcem in prebivalcem po večjih naravnih in drugih nesrečah,  izdelana gradiva za psihosocialno pomoč (brošure in priročnik) in izvedena usposabljanja različnih deležnikov na lokalnem in regijskem nivo</w:t>
      </w:r>
      <w:r>
        <w:t>ju za psihosocialno pomoč prebivalcem in reševalcem.</w:t>
      </w:r>
    </w:p>
    <w:p w:rsidR="00741801" w:rsidRDefault="002D7A0D">
      <w:pPr>
        <w:spacing w:before="240" w:after="240"/>
        <w:jc w:val="left"/>
      </w:pPr>
      <w:r>
        <w:t>V okviru nacionalnega cilja IP.SO6.4 »Tveganja - podpora žrtvam« Slovenija v 2019 ni predvidela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4254"/>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5</w:t>
            </w:r>
            <w:r w:rsidRPr="00707975">
              <w:rPr>
                <w:lang w:val="fr-BE"/>
              </w:rPr>
              <w:t xml:space="preserve"> - </w:t>
            </w:r>
            <w:r w:rsidRPr="00707975">
              <w:rPr>
                <w:noProof/>
                <w:lang w:val="fr-BE"/>
              </w:rPr>
              <w:t>Tveganja – infrastruktura</w:t>
            </w:r>
          </w:p>
        </w:tc>
      </w:tr>
    </w:tbl>
    <w:p w:rsidR="004F1EEC" w:rsidRPr="006C1127" w:rsidRDefault="004F1EEC" w:rsidP="007C7090">
      <w:pPr>
        <w:spacing w:before="0" w:after="0"/>
        <w:rPr>
          <w:lang w:val="fr-BE"/>
        </w:rPr>
      </w:pPr>
    </w:p>
    <w:p w:rsidR="00741801" w:rsidRDefault="002D7A0D">
      <w:pPr>
        <w:spacing w:before="0" w:after="240"/>
        <w:jc w:val="left"/>
      </w:pPr>
      <w:r>
        <w:t xml:space="preserve">V </w:t>
      </w:r>
      <w:r>
        <w:t>okviru nacionalnega cilja IP.SO6.5 »Tveganja – infrastruktura« je pristojno ministrstvo za obrambo izvedlo posodobitev IT za podporo odločanju in zaščiti kritične informacijske infrastrukture; v letu 2015 je bila izvedena posodobitev štabne sobe za upravlj</w:t>
      </w:r>
      <w:r>
        <w:t>anje in ukrepanje ob nesrečah z nabavo IKT opreme. Pregled in nadgradnja mehanizmov kriznega upravljanja in vodenja v Sloveniji se je zaključilo v letu 2017.</w:t>
      </w:r>
    </w:p>
    <w:p w:rsidR="00741801" w:rsidRDefault="002D7A0D">
      <w:pPr>
        <w:spacing w:before="240" w:after="240"/>
        <w:jc w:val="left"/>
      </w:pPr>
      <w:r>
        <w:t>V okviru IP.SO6.5.3 prvotno predvidene aktivnosti za presojo potrebnosti in primernosti redundančn</w:t>
      </w:r>
      <w:r>
        <w:t>ih poti in lokacij se ne bodo izvajale v finančni perspektivi 2014-2020, saj je sprejeti Zakon o kritični infrastrukturi (Uradni list RS, št. 75/17) določil odgovornost nosilcev sektorjev kritične infrastrukture za izvedbo ukrepov za zaščito kritične infra</w:t>
      </w:r>
      <w:r>
        <w:t>strukture.</w:t>
      </w:r>
    </w:p>
    <w:p w:rsidR="00741801" w:rsidRDefault="002D7A0D">
      <w:pPr>
        <w:spacing w:before="240" w:after="240"/>
        <w:jc w:val="left"/>
      </w:pPr>
      <w:r>
        <w:t xml:space="preserve">Sprejem Zakona o kritični infrastrukturi je vplival tudi na spremenjeno dinamiko izvajanja aktivnosti IP.SO6.5.5 »Priprave ocenjevalnih orodjih/aplikacij, alternativnih načrtov, postopkov za odzivanje </w:t>
      </w:r>
      <w:r>
        <w:lastRenderedPageBreak/>
        <w:t>na grožnje ukrepov« in IP.SO6.5.6 »Raziskave</w:t>
      </w:r>
      <w:r>
        <w:t xml:space="preserve"> o možnih ukrepih za ublažitev škode v primerih onesposobitve kritične infrastrukture in uvedbe ukrepov za delovanje v nujnih primerih«. Ukrepi bodo izvedeni v okviru naslednje finančne perspektive.</w:t>
      </w:r>
    </w:p>
    <w:p w:rsidR="00741801" w:rsidRDefault="002D7A0D">
      <w:pPr>
        <w:spacing w:before="240" w:after="240"/>
        <w:jc w:val="left"/>
      </w:pPr>
      <w:r>
        <w:t>V okviru IP.SO6.5 v 2019 ni bilo predvidenih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5305"/>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6</w:t>
            </w:r>
            <w:r w:rsidRPr="00707975">
              <w:rPr>
                <w:lang w:val="fr-BE"/>
              </w:rPr>
              <w:t xml:space="preserve"> - </w:t>
            </w:r>
            <w:r w:rsidRPr="00707975">
              <w:rPr>
                <w:noProof/>
                <w:lang w:val="fr-BE"/>
              </w:rPr>
              <w:t>Tveganja – zgodnje opozarjanje in krize</w:t>
            </w:r>
          </w:p>
        </w:tc>
      </w:tr>
    </w:tbl>
    <w:p w:rsidR="004F1EEC" w:rsidRPr="006C1127" w:rsidRDefault="004F1EEC" w:rsidP="007C7090">
      <w:pPr>
        <w:spacing w:before="0" w:after="0"/>
        <w:rPr>
          <w:lang w:val="fr-BE"/>
        </w:rPr>
      </w:pPr>
    </w:p>
    <w:p w:rsidR="00741801" w:rsidRDefault="002D7A0D">
      <w:pPr>
        <w:spacing w:before="0" w:after="240"/>
        <w:jc w:val="left"/>
      </w:pPr>
      <w:r>
        <w:t>V okviru nacionalnega cilja IP.SO6.6 »Tveganja – zgodnje opozarjanje in krize” Slovenija izvaja tehnične rešitve in zagotavlja ustrezno opremo za neprekinjeno in</w:t>
      </w:r>
      <w:r>
        <w:t xml:space="preserve"> učinkovito delovanje centrov in subjektov, ki delujejo na področju kriznega upravljanja. Zmanjšanje odvečne komunikacije med subjekti za krizno upravljanje in zagotovitev boljše podpore kriznemu upravljanju/odločanju na državni ravni je z izvedenimi proje</w:t>
      </w:r>
      <w:r>
        <w:t>kti skoraj doseženo (ocenjenih 90 %). Nadgradnja informacijskega sistema kriznega upravljanja in razvoj zmogljivosti za vključitev geolociranih 2D in 3D podatkov v okolje 3D-GIS URSZR v okviru ukrepa IP.SO6.6.2 se je izvajalo v letu 2015 in 2016.</w:t>
      </w:r>
    </w:p>
    <w:p w:rsidR="00741801" w:rsidRDefault="002D7A0D">
      <w:pPr>
        <w:spacing w:before="240" w:after="240"/>
        <w:jc w:val="left"/>
      </w:pPr>
      <w:r>
        <w:t>Analize n</w:t>
      </w:r>
      <w:r>
        <w:t>esreč in drugih izrednih dogodkov so izpostavile potrebo po izboljšanju zajema in vizualizaciji ogroženega/ poškodovanega območja ter možnosti čim hitrejšega dostopa do kraja nevarnosti. V 2019 se je za ta namen začelo izvajati aktivnosti za razvoj funkcio</w:t>
      </w:r>
      <w:r>
        <w:t>nalnosti za analizo nesreč in posodobitev računalniške opreme (SMAZIR).  Aktivnosti so se začele izvajati v juniju 2019, izveden je bil JN za nakup računalniške opreme za vzpostavitev učilnice in nakup promocijskega materiala za izvedbo usposabljanj v leti</w:t>
      </w:r>
      <w:r>
        <w:t>h 2020 in 2021. Hkrati so se pričeli postopki JN za nakup strojne opreme za zajem podatkov iz zraka in manjkajoče strojne opreme za vzpostavitev računalniške učilnice ter programske opreme za prikazovanje iz zraka zajetih podatkov v geografskem informacijs</w:t>
      </w:r>
      <w:r>
        <w:t>kem sistemu.</w:t>
      </w:r>
    </w:p>
    <w:p w:rsidR="00741801" w:rsidRDefault="002D7A0D">
      <w:pPr>
        <w:spacing w:before="240" w:after="240"/>
        <w:jc w:val="left"/>
      </w:pPr>
      <w:r>
        <w:t>Slovenija je v 2018 vključila novo prioriteto, ki je zajeta v ukrepu IP.SO6.6.3 "Posodobitev kartografskih podlag". Temu ustrezno je bil revidiran akcijski načrt. Aktivnosti IP.SO6.6.3 so začete v 2018, z nadaljevanjem v 2019. Namenjene so pos</w:t>
      </w:r>
      <w:r>
        <w:t>odobitvi obstoječih, do 30 let starih (zastarelih) kartografskih podlag v merilu 1: 25.000, in sicer za potrebe zagotavljanja notranje varnosti, za potrebe akterjev kriznega upravljanja in vodenja na operativni ravni, nosilcev in upravljavcev kritične infr</w:t>
      </w:r>
      <w:r>
        <w:t>astrukture, za potrebe varstva pred naravnimi in drugimi nesrečami, ter za potrebe obrambe kot tudi notranjih in zunanjih zadev. Konec 2019 je bilo dokončanih 31 (2018:11; 2019:20) od skupaj 54 sistemskih listov v digitalni obliki, skladno s tehničnimi spe</w:t>
      </w:r>
      <w:r>
        <w:t>cifikacijami. Izveden je bil nakup prenosnika, GPS tablice, monitorja in potrošnega materiala. Delni rezultati projekta – izdelane kartografske podlage – so bili distribuirani v uporabo relevantnim resorjem. Aktivnosti se nadaljujejo v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5246"/>
      </w:tblGrid>
      <w:tr w:rsidR="00741801" w:rsidTr="008E16E1">
        <w:tc>
          <w:tcPr>
            <w:tcW w:w="0" w:type="auto"/>
            <w:shd w:val="clear" w:color="auto" w:fill="auto"/>
          </w:tcPr>
          <w:p w:rsidR="004F1EEC" w:rsidRPr="00707975" w:rsidRDefault="002D7A0D" w:rsidP="007C7090">
            <w:pPr>
              <w:spacing w:before="0" w:after="0"/>
              <w:rPr>
                <w:lang w:val="fr-BE"/>
              </w:rPr>
            </w:pPr>
            <w:r w:rsidRPr="00707975">
              <w:rPr>
                <w:noProof/>
                <w:lang w:val="fr-BE"/>
              </w:rPr>
              <w:t>Ukrepi, finan</w:t>
            </w:r>
            <w:r w:rsidRPr="00707975">
              <w:rPr>
                <w:noProof/>
                <w:lang w:val="fr-BE"/>
              </w:rPr>
              <w:t>cirani v okviru nacionalnega cilja</w:t>
            </w:r>
          </w:p>
        </w:tc>
        <w:tc>
          <w:tcPr>
            <w:tcW w:w="0" w:type="auto"/>
            <w:shd w:val="clear" w:color="auto" w:fill="auto"/>
          </w:tcPr>
          <w:p w:rsidR="004F1EEC" w:rsidRPr="00707975" w:rsidRDefault="002D7A0D" w:rsidP="007C7090">
            <w:pPr>
              <w:spacing w:before="0" w:after="0"/>
              <w:rPr>
                <w:lang w:val="fr-BE"/>
              </w:rPr>
            </w:pPr>
            <w:r w:rsidRPr="00707975">
              <w:rPr>
                <w:noProof/>
                <w:lang w:val="fr-BE"/>
              </w:rPr>
              <w:t>7</w:t>
            </w:r>
            <w:r w:rsidRPr="00707975">
              <w:rPr>
                <w:lang w:val="fr-BE"/>
              </w:rPr>
              <w:t xml:space="preserve"> - </w:t>
            </w:r>
            <w:r w:rsidRPr="00707975">
              <w:rPr>
                <w:noProof/>
                <w:lang w:val="fr-BE"/>
              </w:rPr>
              <w:t>Tveganja – ocena nevarnosti in tveganj</w:t>
            </w:r>
          </w:p>
        </w:tc>
      </w:tr>
    </w:tbl>
    <w:p w:rsidR="004F1EEC" w:rsidRPr="006C1127" w:rsidRDefault="004F1EEC" w:rsidP="007C7090">
      <w:pPr>
        <w:spacing w:before="0" w:after="0"/>
        <w:rPr>
          <w:lang w:val="fr-BE"/>
        </w:rPr>
      </w:pPr>
    </w:p>
    <w:p w:rsidR="00741801" w:rsidRDefault="002D7A0D">
      <w:pPr>
        <w:spacing w:before="0" w:after="240"/>
        <w:jc w:val="left"/>
      </w:pPr>
      <w:r>
        <w:t xml:space="preserve">V okviru nacionalnega cilja IP.SO6.7. »Tveganja – ocena nevarnosti in tveganj« so se v 2019 izvajale aktivnosti ukrepa IP.SO6.7.2 namenjene dvigu kibernetske varnosti varnih </w:t>
      </w:r>
      <w:r>
        <w:t>omrežij za krizno upravljanje", predvsem kibernetska varnost omrežja NCKU (KIBVAR).</w:t>
      </w:r>
    </w:p>
    <w:p w:rsidR="00741801" w:rsidRDefault="002D7A0D">
      <w:pPr>
        <w:spacing w:before="240" w:after="240"/>
        <w:jc w:val="left"/>
      </w:pPr>
      <w:r>
        <w:t xml:space="preserve">V okviru </w:t>
      </w:r>
      <w:r>
        <w:rPr>
          <w:i/>
          <w:iCs/>
        </w:rPr>
        <w:t>Kibernetske varnosti omrežja NCKU (KIBVAR)</w:t>
      </w:r>
      <w:r>
        <w:t xml:space="preserve"> so se izvajali ukrepi za dvig ozaveščenosti o informacijski varnosti in povečanje informacijske varnosti omrežja KIS NCK</w:t>
      </w:r>
      <w:r>
        <w:t>U s ciljem dvigniti raven kibernetske varnosti omrežja NCKU in povečati zavedanje uporabnikov, da z neupoštevanjem varnostnih pravil predstavljajo potencialno veliko varnostno tveganje za omrežje. Nacionalni center za krizno upravljanje je kot eden izmed p</w:t>
      </w:r>
      <w:r>
        <w:t>etih teles kriznega upravljanja in vodenja ključnega pomena za ustrezno delovanje na področju kriznega upravljanja in vodenja, v kompleksni krizi in na obrambnem področju. V omrežje so vključena vsa ministrstva in vladne službe ter gospodarske družbe in ja</w:t>
      </w:r>
      <w:r>
        <w:t xml:space="preserve">vni zavodi, katerih dejavnost je po sklepu vlade </w:t>
      </w:r>
      <w:r>
        <w:lastRenderedPageBreak/>
        <w:t>posebnega pomena za obrambo RS. Zaradi zahtevnosti in pomembnosti nalog, ki jih opravlja NCKU je tako ključno, da je omrežje KIS NCKU varno in da so uporabniki KIS NCKU ustrezno ozaveščeni o uporabi omrežja.</w:t>
      </w:r>
      <w:r>
        <w:t> Aktivnosti so se izvajale dve leti in se zaključile v 2019. V letu 2019 je bil opravljen varnostni pregled omrežja KIS NCKU, ki je zajemal pregled centralne lokacije MORS NCKU in dveh oddaljenih lokacij. Podrobni pregled se je izvedel na omrežju, delovnih</w:t>
      </w:r>
      <w:r>
        <w:t xml:space="preserve"> postajah, strežnikih in ostalih napravah ter na IP telefonih.</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F9367D" w:rsidRDefault="002D7A0D" w:rsidP="007C7090">
      <w:pPr>
        <w:pStyle w:val="Naslov1"/>
        <w:numPr>
          <w:ilvl w:val="0"/>
          <w:numId w:val="0"/>
        </w:numPr>
        <w:spacing w:before="0" w:after="0"/>
      </w:pPr>
      <w:r>
        <w:rPr>
          <w:lang w:val="fr-BE"/>
        </w:rPr>
        <w:br w:type="page"/>
      </w:r>
      <w:bookmarkStart w:id="2" w:name="_Toc256000001"/>
      <w:r w:rsidRPr="00F9367D">
        <w:rPr>
          <w:noProof/>
        </w:rPr>
        <w:lastRenderedPageBreak/>
        <w:t>Okvirni časovni razpored</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83"/>
        <w:gridCol w:w="801"/>
        <w:gridCol w:w="2921"/>
        <w:gridCol w:w="1287"/>
        <w:gridCol w:w="1092"/>
        <w:gridCol w:w="1118"/>
      </w:tblGrid>
      <w:tr w:rsidR="00741801" w:rsidTr="008E16E1">
        <w:trPr>
          <w:tblHeader/>
        </w:trPr>
        <w:tc>
          <w:tcPr>
            <w:tcW w:w="0" w:type="auto"/>
            <w:shd w:val="clear" w:color="auto" w:fill="auto"/>
          </w:tcPr>
          <w:p w:rsidR="004F1EEC" w:rsidRPr="00CB3B6C" w:rsidRDefault="002D7A0D" w:rsidP="007C7090">
            <w:pPr>
              <w:spacing w:before="0" w:after="0"/>
              <w:rPr>
                <w:b/>
                <w:sz w:val="16"/>
                <w:szCs w:val="16"/>
              </w:rPr>
            </w:pPr>
            <w:r w:rsidRPr="00CB3B6C">
              <w:rPr>
                <w:b/>
                <w:noProof/>
                <w:sz w:val="16"/>
                <w:szCs w:val="16"/>
              </w:rPr>
              <w:t>Posebni cilj</w:t>
            </w:r>
          </w:p>
        </w:tc>
        <w:tc>
          <w:tcPr>
            <w:tcW w:w="0" w:type="auto"/>
            <w:shd w:val="clear" w:color="auto" w:fill="auto"/>
          </w:tcPr>
          <w:p w:rsidR="004F1EEC" w:rsidRPr="00CB3B6C" w:rsidRDefault="002D7A0D" w:rsidP="007C7090">
            <w:pPr>
              <w:spacing w:before="0" w:after="0"/>
              <w:rPr>
                <w:b/>
                <w:sz w:val="16"/>
                <w:szCs w:val="16"/>
              </w:rPr>
            </w:pPr>
            <w:r w:rsidRPr="00CB3B6C">
              <w:rPr>
                <w:b/>
                <w:noProof/>
                <w:sz w:val="16"/>
                <w:szCs w:val="16"/>
              </w:rPr>
              <w:t>Nacionalni cilj / posebni ukrep</w:t>
            </w:r>
          </w:p>
        </w:tc>
        <w:tc>
          <w:tcPr>
            <w:tcW w:w="0" w:type="auto"/>
            <w:shd w:val="clear" w:color="auto" w:fill="auto"/>
          </w:tcPr>
          <w:p w:rsidR="004F1EEC" w:rsidRPr="00CB3B6C" w:rsidRDefault="002D7A0D" w:rsidP="007C7090">
            <w:pPr>
              <w:spacing w:before="0" w:after="0"/>
              <w:jc w:val="center"/>
              <w:rPr>
                <w:b/>
                <w:sz w:val="16"/>
                <w:szCs w:val="16"/>
              </w:rPr>
            </w:pPr>
            <w:r w:rsidRPr="00CB3B6C">
              <w:rPr>
                <w:b/>
                <w:noProof/>
                <w:sz w:val="16"/>
                <w:szCs w:val="16"/>
              </w:rPr>
              <w:t>Glavni ukrep</w:t>
            </w:r>
          </w:p>
        </w:tc>
        <w:tc>
          <w:tcPr>
            <w:tcW w:w="0" w:type="auto"/>
            <w:shd w:val="clear" w:color="auto" w:fill="auto"/>
          </w:tcPr>
          <w:p w:rsidR="004F1EEC" w:rsidRPr="00CB3B6C" w:rsidRDefault="002D7A0D" w:rsidP="007C7090">
            <w:pPr>
              <w:spacing w:before="0" w:after="0"/>
              <w:rPr>
                <w:b/>
                <w:sz w:val="16"/>
                <w:szCs w:val="16"/>
              </w:rPr>
            </w:pPr>
            <w:r w:rsidRPr="00CB3B6C">
              <w:rPr>
                <w:b/>
                <w:noProof/>
                <w:sz w:val="16"/>
                <w:szCs w:val="16"/>
              </w:rPr>
              <w:t>Ime ukrepa</w:t>
            </w:r>
          </w:p>
        </w:tc>
        <w:tc>
          <w:tcPr>
            <w:tcW w:w="0" w:type="auto"/>
            <w:shd w:val="clear" w:color="auto" w:fill="auto"/>
          </w:tcPr>
          <w:p w:rsidR="004F1EEC" w:rsidRPr="00CB3B6C" w:rsidRDefault="002D7A0D" w:rsidP="007C7090">
            <w:pPr>
              <w:spacing w:before="0" w:after="0"/>
              <w:jc w:val="center"/>
              <w:rPr>
                <w:b/>
                <w:sz w:val="16"/>
                <w:szCs w:val="16"/>
              </w:rPr>
            </w:pPr>
            <w:r w:rsidRPr="00CB3B6C">
              <w:rPr>
                <w:b/>
                <w:noProof/>
                <w:sz w:val="16"/>
                <w:szCs w:val="16"/>
              </w:rPr>
              <w:t>Začetek faze načrtovanja</w:t>
            </w:r>
          </w:p>
        </w:tc>
        <w:tc>
          <w:tcPr>
            <w:tcW w:w="0" w:type="auto"/>
            <w:shd w:val="clear" w:color="auto" w:fill="auto"/>
          </w:tcPr>
          <w:p w:rsidR="004F1EEC" w:rsidRPr="00CB3B6C" w:rsidRDefault="002D7A0D" w:rsidP="007C7090">
            <w:pPr>
              <w:spacing w:before="0" w:after="0"/>
              <w:jc w:val="center"/>
              <w:rPr>
                <w:b/>
                <w:sz w:val="16"/>
                <w:szCs w:val="16"/>
              </w:rPr>
            </w:pPr>
            <w:r w:rsidRPr="00CB3B6C">
              <w:rPr>
                <w:b/>
                <w:noProof/>
                <w:sz w:val="16"/>
                <w:szCs w:val="16"/>
              </w:rPr>
              <w:t>Začetek faze izvajanja</w:t>
            </w:r>
          </w:p>
        </w:tc>
        <w:tc>
          <w:tcPr>
            <w:tcW w:w="0" w:type="auto"/>
            <w:shd w:val="clear" w:color="auto" w:fill="auto"/>
          </w:tcPr>
          <w:p w:rsidR="004F1EEC" w:rsidRPr="00CB3B6C" w:rsidRDefault="002D7A0D" w:rsidP="007C7090">
            <w:pPr>
              <w:spacing w:before="0" w:after="0"/>
              <w:jc w:val="center"/>
              <w:rPr>
                <w:b/>
                <w:sz w:val="16"/>
                <w:szCs w:val="16"/>
              </w:rPr>
            </w:pPr>
            <w:r w:rsidRPr="00CB3B6C">
              <w:rPr>
                <w:b/>
                <w:noProof/>
                <w:sz w:val="16"/>
                <w:szCs w:val="16"/>
              </w:rPr>
              <w:t>Začetek zaključne faze</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Acquisition of hardware that supports visa processing</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Improvement of</w:t>
            </w:r>
            <w:r w:rsidRPr="00557448">
              <w:rPr>
                <w:noProof/>
                <w:sz w:val="16"/>
                <w:szCs w:val="16"/>
              </w:rPr>
              <w:t xml:space="preserve"> security standards, features, work processes at consular premises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Development of an improved visa IT system</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Training of staff in the area of detection of fraudulent documents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Training on </w:t>
            </w:r>
            <w:r w:rsidRPr="00557448">
              <w:rPr>
                <w:noProof/>
                <w:sz w:val="16"/>
                <w:szCs w:val="16"/>
              </w:rPr>
              <w:t>latest developments in EU acquis, technologies and working methods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Training for staff dealing and communicating with visa applicants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2D7A0D" w:rsidP="007C7090">
            <w:pPr>
              <w:spacing w:before="0" w:after="0"/>
              <w:rPr>
                <w:sz w:val="16"/>
                <w:szCs w:val="16"/>
              </w:rPr>
            </w:pPr>
            <w:r>
              <w:rPr>
                <w:noProof/>
                <w:sz w:val="16"/>
                <w:szCs w:val="16"/>
              </w:rPr>
              <w:t>Posebni ukrep1</w:t>
            </w:r>
            <w:r>
              <w:rPr>
                <w:sz w:val="16"/>
                <w:szCs w:val="16"/>
              </w:rPr>
              <w:t xml:space="preserve"> - </w:t>
            </w:r>
            <w:r>
              <w:rPr>
                <w:noProof/>
                <w:sz w:val="16"/>
                <w:szCs w:val="16"/>
              </w:rPr>
              <w:t>Konzularno sodelovanje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Schengen office in Priština</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Purchase of boats for national border controls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 xml:space="preserve">Posebni </w:t>
            </w:r>
            <w:r>
              <w:rPr>
                <w:noProof/>
                <w:sz w:val="16"/>
                <w:szCs w:val="16"/>
              </w:rPr>
              <w:t>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Support for risk analysis for border controls in the maritime transport</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Izmenjava informacij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Assuring sufficient capacity at the central police computer and</w:t>
            </w:r>
            <w:r w:rsidRPr="00557448">
              <w:rPr>
                <w:noProof/>
                <w:sz w:val="16"/>
                <w:szCs w:val="16"/>
              </w:rPr>
              <w:t xml:space="preserve"> VDI</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Further development of Police Cooperation Centers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Enhanced use of interoperable modern </w:t>
            </w:r>
            <w:r w:rsidRPr="00557448">
              <w:rPr>
                <w:noProof/>
                <w:sz w:val="16"/>
                <w:szCs w:val="16"/>
              </w:rPr>
              <w:t>technologies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Organization and implementation of trainings for border guards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Language and intercultural </w:t>
            </w:r>
            <w:r w:rsidRPr="00557448">
              <w:rPr>
                <w:noProof/>
                <w:sz w:val="16"/>
                <w:szCs w:val="16"/>
              </w:rPr>
              <w:t>competencies oriented trainings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Follow-up of Schengen Evaluation recommendations, such as purchasing of vehicle examination equipme</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 xml:space="preserve">Nacionalni </w:t>
            </w:r>
            <w:r>
              <w:rPr>
                <w:noProof/>
                <w:sz w:val="16"/>
                <w:szCs w:val="16"/>
              </w:rPr>
              <w:t>cilj5</w:t>
            </w:r>
            <w:r>
              <w:rPr>
                <w:sz w:val="16"/>
                <w:szCs w:val="16"/>
              </w:rPr>
              <w:t xml:space="preserve"> - </w:t>
            </w:r>
            <w:r>
              <w:rPr>
                <w:noProof/>
                <w:sz w:val="16"/>
                <w:szCs w:val="16"/>
              </w:rPr>
              <w:t>Prihodnji izzivi</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Vehicles, equipment and infrastructure for compensatory measures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Equipment for documents check at the police units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Replacement of obsolete equipment at BCPs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Deployment of a liaison officer to a Western Balkan country</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 xml:space="preserve">Posebni </w:t>
            </w:r>
            <w:r>
              <w:rPr>
                <w:noProof/>
                <w:sz w:val="16"/>
                <w:szCs w:val="16"/>
              </w:rPr>
              <w:t>cilj2</w:t>
            </w:r>
            <w:r>
              <w:rPr>
                <w:sz w:val="16"/>
                <w:szCs w:val="16"/>
              </w:rPr>
              <w:t xml:space="preserve"> - </w:t>
            </w:r>
            <w:r>
              <w:rPr>
                <w:noProof/>
                <w:sz w:val="16"/>
                <w:szCs w:val="16"/>
              </w:rPr>
              <w:t>Meje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Continuous operation of SIS II national system and SIRENE</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Operativna podpora za vizume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 xml:space="preserve">Posebni </w:t>
            </w:r>
            <w:r>
              <w:rPr>
                <w:noProof/>
                <w:sz w:val="16"/>
                <w:szCs w:val="16"/>
              </w:rPr>
              <w:t>cilj3</w:t>
            </w:r>
            <w:r>
              <w:rPr>
                <w:sz w:val="16"/>
                <w:szCs w:val="16"/>
              </w:rPr>
              <w:t xml:space="preserve"> - </w:t>
            </w:r>
            <w:r>
              <w:rPr>
                <w:noProof/>
                <w:sz w:val="16"/>
                <w:szCs w:val="16"/>
              </w:rPr>
              <w:t>Operativna podpora</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Management and maintenance of the BCPs infrastructure and border </w:t>
            </w:r>
            <w:r w:rsidRPr="00557448">
              <w:rPr>
                <w:noProof/>
                <w:sz w:val="16"/>
                <w:szCs w:val="16"/>
              </w:rPr>
              <w:t>equipment</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Operational management of SIS and new national systems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Capacities for prevention, detection, identification and investigation of crime</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Special </w:t>
            </w:r>
            <w:r w:rsidRPr="00557448">
              <w:rPr>
                <w:noProof/>
                <w:sz w:val="16"/>
                <w:szCs w:val="16"/>
              </w:rPr>
              <w:t>(covert) investigative measures and joint cross-border police activities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Upgrading of National forensic laboratory capacities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w:t>
            </w:r>
            <w:r>
              <w:rPr>
                <w:noProof/>
                <w:sz w:val="16"/>
                <w:szCs w:val="16"/>
              </w:rPr>
              <w:t>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Police cooperation and coordination with other MS, Europol and third countries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w:t>
            </w:r>
            <w:r>
              <w:rPr>
                <w:noProof/>
                <w:sz w:val="16"/>
                <w:szCs w:val="16"/>
              </w:rPr>
              <w:t>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Deployment of a Liaison Officer to Rome, Italy</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2019</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Facilitation of intelligence and information exchange</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kriminala </w:t>
            </w:r>
            <w:r>
              <w:rPr>
                <w:noProof/>
                <w:sz w:val="16"/>
                <w:szCs w:val="16"/>
              </w:rPr>
              <w:lastRenderedPageBreak/>
              <w:t>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lastRenderedPageBreak/>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Training on international police cooperation and covert measures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Qualifications on economic crime, corruption, financial investigations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w:t>
            </w:r>
            <w:r>
              <w:rPr>
                <w:noProof/>
                <w:sz w:val="16"/>
                <w:szCs w:val="16"/>
              </w:rPr>
              <w:t>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Training in the field of criminal intelligence activity and crime analyses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Reintegration of </w:t>
            </w:r>
            <w:r w:rsidRPr="00557448">
              <w:rPr>
                <w:noProof/>
                <w:sz w:val="16"/>
                <w:szCs w:val="16"/>
              </w:rPr>
              <w:t>victims of trafficking</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Preparation of preventive materials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High-quality and functional contingency plans for CIP</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Establishment and implementation of CIP measures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Design and development of sector-specific tools, plans, and applications for CIP</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cilj3</w:t>
            </w:r>
            <w:r>
              <w:rPr>
                <w:sz w:val="16"/>
                <w:szCs w:val="16"/>
              </w:rPr>
              <w:t xml:space="preserve"> - </w:t>
            </w:r>
            <w:r>
              <w:rPr>
                <w:noProof/>
                <w:sz w:val="16"/>
                <w:szCs w:val="16"/>
              </w:rPr>
              <w:t xml:space="preserve">Tveganja – </w:t>
            </w:r>
            <w:r>
              <w:rPr>
                <w:noProof/>
                <w:sz w:val="16"/>
                <w:szCs w:val="16"/>
              </w:rPr>
              <w:t>usposabljanje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Training and education programs in individual sectors of critical infrastructure</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Trainings for managers/owners of critical infrastructure</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Workshops on measures for CIP</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cilj4</w:t>
            </w:r>
            <w:r>
              <w:rPr>
                <w:sz w:val="16"/>
                <w:szCs w:val="16"/>
              </w:rPr>
              <w:t xml:space="preserve"> - </w:t>
            </w:r>
            <w:r>
              <w:rPr>
                <w:noProof/>
                <w:sz w:val="16"/>
                <w:szCs w:val="16"/>
              </w:rPr>
              <w:t>Tveganja – podpora žrtvam</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Development of a system for victim </w:t>
            </w:r>
            <w:r w:rsidRPr="00557448">
              <w:rPr>
                <w:noProof/>
                <w:sz w:val="16"/>
                <w:szCs w:val="16"/>
              </w:rPr>
              <w:t>support and management of psychosocial assistance</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Modernization of the consequence management situation room</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Modernization of information systems for decision-making support and CIP</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Assessment tools/applications, plans, </w:t>
            </w:r>
            <w:r w:rsidRPr="00557448">
              <w:rPr>
                <w:noProof/>
                <w:sz w:val="16"/>
                <w:szCs w:val="16"/>
              </w:rPr>
              <w:t>procedures to respond to threats</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Technical equipment, IT systems for operators of critical infrastructure</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Development of the capacity of a dynamic and fast response capture 2D and 3D spatial data</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cilj7</w:t>
            </w:r>
            <w:r>
              <w:rPr>
                <w:sz w:val="16"/>
                <w:szCs w:val="16"/>
              </w:rPr>
              <w:t xml:space="preserve"> - </w:t>
            </w:r>
            <w:r>
              <w:rPr>
                <w:noProof/>
                <w:sz w:val="16"/>
                <w:szCs w:val="16"/>
              </w:rPr>
              <w:t xml:space="preserve">Tveganja – ocena </w:t>
            </w:r>
            <w:r>
              <w:rPr>
                <w:noProof/>
                <w:sz w:val="16"/>
                <w:szCs w:val="16"/>
              </w:rPr>
              <w:t>nevarnosti in tveganj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Research on threat and risk assessment, crisis management and planning</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2021</w:t>
            </w:r>
          </w:p>
        </w:tc>
      </w:tr>
      <w:tr w:rsidR="00741801" w:rsidTr="008E16E1">
        <w:tc>
          <w:tcPr>
            <w:tcW w:w="0" w:type="auto"/>
            <w:shd w:val="clear" w:color="auto" w:fill="auto"/>
          </w:tcPr>
          <w:p w:rsidR="004F1EEC" w:rsidRPr="00557448" w:rsidRDefault="002D7A0D"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2D7A0D"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2D7A0D"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2D7A0D" w:rsidP="007C7090">
            <w:pPr>
              <w:spacing w:before="0" w:after="0"/>
              <w:rPr>
                <w:sz w:val="16"/>
                <w:szCs w:val="16"/>
              </w:rPr>
            </w:pPr>
            <w:r w:rsidRPr="00557448">
              <w:rPr>
                <w:noProof/>
                <w:sz w:val="16"/>
                <w:szCs w:val="16"/>
              </w:rPr>
              <w:t xml:space="preserve">Raising cyber security of the secured network for </w:t>
            </w:r>
            <w:r w:rsidRPr="00557448">
              <w:rPr>
                <w:noProof/>
                <w:sz w:val="16"/>
                <w:szCs w:val="16"/>
              </w:rPr>
              <w:t>crisis management</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2D7A0D" w:rsidP="007C7090">
            <w:pPr>
              <w:spacing w:before="0" w:after="0"/>
              <w:jc w:val="center"/>
              <w:rPr>
                <w:sz w:val="16"/>
                <w:szCs w:val="16"/>
              </w:rPr>
            </w:pPr>
            <w:r>
              <w:rPr>
                <w:noProof/>
                <w:sz w:val="16"/>
                <w:szCs w:val="16"/>
              </w:rPr>
              <w:t>2020</w:t>
            </w:r>
          </w:p>
        </w:tc>
      </w:tr>
    </w:tbl>
    <w:p w:rsidR="004F1EEC" w:rsidRDefault="004F1EEC" w:rsidP="007C7090">
      <w:pPr>
        <w:spacing w:before="0" w:after="0"/>
        <w:rPr>
          <w:lang w:val="fr-BE"/>
        </w:rPr>
      </w:pP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2D7A0D" w:rsidP="007C7090">
      <w:pPr>
        <w:pStyle w:val="Naslov1"/>
        <w:numPr>
          <w:ilvl w:val="0"/>
          <w:numId w:val="0"/>
        </w:numPr>
        <w:spacing w:before="0" w:after="0"/>
        <w:rPr>
          <w:lang w:val="fr-BE"/>
        </w:rPr>
      </w:pPr>
      <w:r>
        <w:rPr>
          <w:lang w:val="fr-BE"/>
        </w:rPr>
        <w:br w:type="page"/>
      </w:r>
      <w:bookmarkStart w:id="3" w:name="_Toc256000002"/>
      <w:r>
        <w:rPr>
          <w:noProof/>
          <w:lang w:val="fr-BE"/>
        </w:rPr>
        <w:lastRenderedPageBreak/>
        <w:t>ODDELEK 5: SKUPNI KAZALNIKI IN KAZALNIKI ZA POSAMEZNE PROGRAME</w:t>
      </w:r>
      <w:bookmarkEnd w:id="3"/>
    </w:p>
    <w:p w:rsidR="004F1EEC" w:rsidRDefault="004F1EEC" w:rsidP="007C7090">
      <w:pPr>
        <w:spacing w:before="0" w:after="0"/>
        <w:rPr>
          <w:lang w:val="fr-BE"/>
        </w:rPr>
      </w:pPr>
    </w:p>
    <w:p w:rsidR="004F1EEC" w:rsidRDefault="002D7A0D" w:rsidP="007C7090">
      <w:pPr>
        <w:spacing w:before="0" w:after="0"/>
        <w:rPr>
          <w:lang w:val="fr-BE"/>
        </w:rPr>
      </w:pPr>
      <w:r>
        <w:rPr>
          <w:noProof/>
          <w:lang w:val="fr-BE"/>
        </w:rPr>
        <w:t>Razložite morebitne dejavnike, ki bi lahko znatno vplivali na doseganje katerih koli ciljev, zlasti pa prepočasen napredek.</w:t>
      </w:r>
    </w:p>
    <w:p w:rsidR="004F1EEC" w:rsidRDefault="004F1EEC" w:rsidP="007C7090">
      <w:pPr>
        <w:spacing w:before="0" w:after="0"/>
        <w:rPr>
          <w:lang w:val="fr-BE"/>
        </w:rPr>
      </w:pPr>
    </w:p>
    <w:p w:rsidR="00741801" w:rsidRDefault="002D7A0D">
      <w:pPr>
        <w:spacing w:before="0" w:after="240"/>
        <w:jc w:val="left"/>
      </w:pPr>
      <w:r>
        <w:t xml:space="preserve">Alokacija sredstev za leto </w:t>
      </w:r>
      <w:r>
        <w:t>2019 je bila končnim upravičencem načrtovana v skladu s potrjenim Akcijskim načrtom preko neposredne dodelitve in javnih razpisov. V spletnem sistemu MIGRA II končni upravičenci poročajo o natančno doseženih kazalnikih. Poročanje o vrednostih kazalnikov v </w:t>
      </w:r>
      <w:r>
        <w:t>oddelku 5 AIR ISF sloni na statističnih podatkih iz pregledanih zahtevkov za povračilo s strani odgovornega organa. </w:t>
      </w:r>
    </w:p>
    <w:p w:rsidR="00741801" w:rsidRDefault="002D7A0D">
      <w:pPr>
        <w:spacing w:before="240" w:after="240"/>
        <w:jc w:val="left"/>
      </w:pPr>
      <w:r>
        <w:t>V letu 2019 ni bilo večjih nepredvidljivih dogodkov, ki bi imeli ne/posreden vpliv na doseganje načrtovanih rezultatov in na doseganje kate</w:t>
      </w:r>
      <w:r>
        <w:t>rih koli ciljev.</w:t>
      </w:r>
    </w:p>
    <w:p w:rsidR="004F1EEC" w:rsidRDefault="004F1EEC" w:rsidP="007C7090">
      <w:pPr>
        <w:spacing w:before="0" w:after="0"/>
        <w:rPr>
          <w:lang w:val="fr-BE"/>
        </w:rPr>
      </w:pPr>
    </w:p>
    <w:p w:rsidR="004F1EEC" w:rsidRDefault="004F1EEC" w:rsidP="007C7090">
      <w:pPr>
        <w:spacing w:before="0" w:after="0"/>
        <w:rPr>
          <w:lang w:val="fr-BE"/>
        </w:rPr>
      </w:pPr>
    </w:p>
    <w:p w:rsidR="004F1EEC" w:rsidRDefault="004F1EEC" w:rsidP="007C7090">
      <w:pPr>
        <w:spacing w:before="0" w:after="0"/>
        <w:rPr>
          <w:lang w:val="fr-BE"/>
        </w:rPr>
        <w:sectPr w:rsidR="004F1EEC" w:rsidSect="00BD46AA">
          <w:headerReference w:type="default" r:id="rId8"/>
          <w:footerReference w:type="default" r:id="rId9"/>
          <w:pgSz w:w="11906" w:h="16838"/>
          <w:pgMar w:top="284" w:right="851" w:bottom="284" w:left="284" w:header="567" w:footer="0" w:gutter="0"/>
          <w:cols w:space="708"/>
          <w:docGrid w:linePitch="360"/>
        </w:sectPr>
      </w:pPr>
    </w:p>
    <w:p w:rsidR="004F1EEC" w:rsidRDefault="002D7A0D" w:rsidP="007C7090">
      <w:pPr>
        <w:spacing w:before="0" w:after="0"/>
        <w:rPr>
          <w:lang w:val="fr-BE"/>
        </w:rPr>
      </w:pPr>
      <w:r>
        <w:rPr>
          <w:noProof/>
          <w:lang w:val="fr-BE"/>
        </w:rPr>
        <w:lastRenderedPageBreak/>
        <w:t>Preglednica kazalnikov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4"/>
        <w:gridCol w:w="807"/>
        <w:gridCol w:w="1128"/>
        <w:gridCol w:w="899"/>
        <w:gridCol w:w="796"/>
        <w:gridCol w:w="354"/>
        <w:gridCol w:w="354"/>
        <w:gridCol w:w="354"/>
        <w:gridCol w:w="354"/>
        <w:gridCol w:w="354"/>
        <w:gridCol w:w="354"/>
        <w:gridCol w:w="354"/>
        <w:gridCol w:w="354"/>
        <w:gridCol w:w="354"/>
        <w:gridCol w:w="354"/>
        <w:gridCol w:w="1254"/>
      </w:tblGrid>
      <w:tr w:rsidR="00741801" w:rsidTr="008E16E1">
        <w:trPr>
          <w:cantSplit/>
          <w:tblHeader/>
        </w:trPr>
        <w:tc>
          <w:tcPr>
            <w:tcW w:w="0" w:type="auto"/>
            <w:gridSpan w:val="2"/>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2D7A0D" w:rsidP="007C7090">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Podpora skupni vizumski politiki</w:t>
            </w:r>
          </w:p>
        </w:tc>
      </w:tr>
      <w:tr w:rsidR="00741801" w:rsidTr="008E16E1">
        <w:trPr>
          <w:cantSplit/>
          <w:tblHeader/>
        </w:trPr>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 xml:space="preserve">Ciljna </w:t>
            </w:r>
            <w:r w:rsidRPr="00F07BE5">
              <w:rPr>
                <w:b/>
                <w:noProof/>
                <w:sz w:val="12"/>
                <w:szCs w:val="12"/>
                <w:lang w:val="fr-BE"/>
              </w:rPr>
              <w:t>vrednost</w:t>
            </w:r>
          </w:p>
        </w:tc>
        <w:tc>
          <w:tcPr>
            <w:tcW w:w="0" w:type="auto"/>
          </w:tcPr>
          <w:p w:rsidR="004F1EEC" w:rsidRPr="00F07BE5" w:rsidRDefault="002D7A0D"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Kumulativna vrednost</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dejavnosti konzularnega sodelovanja, razvitih s pomočjo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43,00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namestitev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skupnih centrov za sprejem vlog</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predstavništev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43,00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Število drugih</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usposobljenih o vidikih, povezanih s skupno vizumsko politiko, za katere so bila uporabljena sredstva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440,00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92,00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156,00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Število tečajev (opravljene ure)</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348,00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16,00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specializiranih delovnih mest v tretjih državah, za katera so bila uporabljena sredstva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Uradniki za zvezo</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C4.1</w:t>
            </w:r>
            <w:r w:rsidRPr="00F07BE5">
              <w:rPr>
                <w:sz w:val="12"/>
                <w:szCs w:val="12"/>
                <w:lang w:val="fr-BE"/>
              </w:rPr>
              <w:t xml:space="preserve"> - </w:t>
            </w:r>
            <w:r w:rsidRPr="00F07BE5">
              <w:rPr>
                <w:noProof/>
                <w:sz w:val="12"/>
                <w:szCs w:val="12"/>
                <w:lang w:val="fr-BE"/>
              </w:rPr>
              <w:t xml:space="preserve">Število konzulatov, odprtih ali razširjenih s sredstvi sklada, glede na celotno število </w:t>
            </w:r>
            <w:r w:rsidRPr="00F07BE5">
              <w:rPr>
                <w:noProof/>
                <w:sz w:val="12"/>
                <w:szCs w:val="12"/>
                <w:lang w:val="fr-BE"/>
              </w:rPr>
              <w:t>konzulatov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43,00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C4.2</w:t>
            </w:r>
            <w:r w:rsidRPr="00F07BE5">
              <w:rPr>
                <w:sz w:val="12"/>
                <w:szCs w:val="12"/>
                <w:lang w:val="fr-BE"/>
              </w:rPr>
              <w:t xml:space="preserve"> - </w:t>
            </w:r>
            <w:r w:rsidRPr="00F07BE5">
              <w:rPr>
                <w:noProof/>
                <w:sz w:val="12"/>
                <w:szCs w:val="12"/>
                <w:lang w:val="fr-BE"/>
              </w:rPr>
              <w:t>Odstotek konzulatov, odprtih ali razširjenih s sredstvi sklada, glede na celotno število konzulatov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Pr>
                <w:noProof/>
                <w:sz w:val="12"/>
                <w:szCs w:val="12"/>
                <w:lang w:val="fr-BE"/>
              </w:rPr>
              <w:t>C4.3</w:t>
            </w:r>
            <w:r w:rsidRPr="00F07BE5">
              <w:rPr>
                <w:sz w:val="12"/>
                <w:szCs w:val="12"/>
                <w:lang w:val="fr-BE"/>
              </w:rPr>
              <w:t xml:space="preserve"> - </w:t>
            </w:r>
            <w:r>
              <w:rPr>
                <w:noProof/>
                <w:sz w:val="12"/>
                <w:szCs w:val="12"/>
                <w:lang w:val="fr-BE"/>
              </w:rPr>
              <w:t xml:space="preserve">Number of consular </w:t>
            </w:r>
            <w:r>
              <w:rPr>
                <w:noProof/>
                <w:sz w:val="12"/>
                <w:szCs w:val="12"/>
                <w:lang w:val="fr-BE"/>
              </w:rPr>
              <w:t>cooperation activities developed with the help of the Fund as part of specific action on consular cooperation</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tcPr>
          <w:p w:rsidR="004F1EEC" w:rsidRPr="003F352C" w:rsidRDefault="002D7A0D"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4873"/>
        <w:gridCol w:w="731"/>
        <w:gridCol w:w="1012"/>
        <w:gridCol w:w="863"/>
        <w:gridCol w:w="2571"/>
        <w:gridCol w:w="354"/>
        <w:gridCol w:w="354"/>
        <w:gridCol w:w="354"/>
        <w:gridCol w:w="389"/>
        <w:gridCol w:w="464"/>
        <w:gridCol w:w="389"/>
        <w:gridCol w:w="354"/>
        <w:gridCol w:w="354"/>
        <w:gridCol w:w="354"/>
        <w:gridCol w:w="354"/>
        <w:gridCol w:w="1138"/>
      </w:tblGrid>
      <w:tr w:rsidR="00741801" w:rsidTr="008E16E1">
        <w:trPr>
          <w:cantSplit/>
          <w:tblHeader/>
        </w:trPr>
        <w:tc>
          <w:tcPr>
            <w:tcW w:w="0" w:type="auto"/>
            <w:gridSpan w:val="2"/>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2D7A0D" w:rsidP="007C7090">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Meje</w:t>
            </w:r>
          </w:p>
        </w:tc>
      </w:tr>
      <w:tr w:rsidR="00741801" w:rsidTr="008E16E1">
        <w:trPr>
          <w:cantSplit/>
          <w:tblHeader/>
        </w:trPr>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2D7A0D"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Kumulativna vrednost</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C1.1</w:t>
            </w:r>
            <w:r w:rsidRPr="00F07BE5">
              <w:rPr>
                <w:sz w:val="12"/>
                <w:szCs w:val="12"/>
                <w:lang w:val="fr-BE"/>
              </w:rPr>
              <w:t xml:space="preserve"> - </w:t>
            </w:r>
            <w:r w:rsidRPr="00F07BE5">
              <w:rPr>
                <w:noProof/>
                <w:sz w:val="12"/>
                <w:szCs w:val="12"/>
                <w:lang w:val="fr-BE"/>
              </w:rPr>
              <w:t>Število uslužbencev, usposobljenih o vidikih, povezanih z upravljanjem meja, za katere so bila uporabljena sredstva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3.640,00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459,00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312,00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187,00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958,00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C1.2</w:t>
            </w:r>
            <w:r w:rsidRPr="00F07BE5">
              <w:rPr>
                <w:sz w:val="12"/>
                <w:szCs w:val="12"/>
                <w:lang w:val="fr-BE"/>
              </w:rPr>
              <w:t xml:space="preserve"> - </w:t>
            </w:r>
            <w:r w:rsidRPr="00F07BE5">
              <w:rPr>
                <w:noProof/>
                <w:sz w:val="12"/>
                <w:szCs w:val="12"/>
                <w:lang w:val="fr-BE"/>
              </w:rPr>
              <w:t>Število tečajev o vidikih, povezanih z upravljanjem meja, za katere so bila uporabljena sredstva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4.700,00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188,00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185,00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519,00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objektov za nadzor nad mejami </w:t>
            </w:r>
            <w:r w:rsidRPr="00F07BE5">
              <w:rPr>
                <w:noProof/>
                <w:sz w:val="12"/>
                <w:szCs w:val="12"/>
                <w:lang w:val="fr-BE"/>
              </w:rPr>
              <w:t>(kontrole in nadzor) in sredstva, razvita ali izboljšana s pomočjo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5.176,00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2.556,00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2.866,00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Infrastruktura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 xml:space="preserve">Flota (zračne, kopenske, </w:t>
            </w:r>
            <w:r w:rsidRPr="00F07BE5">
              <w:rPr>
                <w:noProof/>
                <w:sz w:val="12"/>
                <w:szCs w:val="12"/>
                <w:lang w:val="fr-BE"/>
              </w:rPr>
              <w:t>morske meje)</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Oprema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158,00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78,00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92,00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328,00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 xml:space="preserve">Število mejnih prehodov na zunanjih mejah prek </w:t>
            </w:r>
            <w:r w:rsidRPr="00F07BE5">
              <w:rPr>
                <w:noProof/>
                <w:sz w:val="12"/>
                <w:szCs w:val="12"/>
                <w:lang w:val="fr-BE"/>
              </w:rPr>
              <w:t>kontrolnih vrat ABC, za katere je bila uporabljena podpora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100.000,00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Skupno število mejnih prehodov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371.000.000,00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infrastrukturnih objektov za nacionalni mejni nadzor, odprtih/nadgrajenih v okviru mreže EUROSUR</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Nacionalni koordinacijski centri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Regionalni</w:t>
            </w:r>
            <w:r w:rsidRPr="00F07BE5">
              <w:rPr>
                <w:noProof/>
                <w:sz w:val="12"/>
                <w:szCs w:val="12"/>
                <w:lang w:val="fr-BE"/>
              </w:rPr>
              <w:t xml:space="preserve"> koordinacijski centri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Lokalni koordinacijski centri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C4.d</w:t>
            </w:r>
            <w:r w:rsidRPr="00F07BE5">
              <w:rPr>
                <w:sz w:val="12"/>
                <w:szCs w:val="12"/>
                <w:lang w:val="fr-BE"/>
              </w:rPr>
              <w:t xml:space="preserve"> - </w:t>
            </w:r>
            <w:r w:rsidRPr="00F07BE5">
              <w:rPr>
                <w:noProof/>
                <w:sz w:val="12"/>
                <w:szCs w:val="12"/>
                <w:lang w:val="fr-BE"/>
              </w:rPr>
              <w:t>Druge vrste koordinacijskih centrov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incidentov,</w:t>
            </w:r>
            <w:r w:rsidRPr="00F07BE5">
              <w:rPr>
                <w:noProof/>
                <w:sz w:val="12"/>
                <w:szCs w:val="12"/>
                <w:lang w:val="fr-BE"/>
              </w:rPr>
              <w:t xml:space="preserve"> o katerih države članice poročajo za evropsko sliko o razmerah</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2D7A0D" w:rsidP="007C7090">
            <w:pPr>
              <w:spacing w:before="0" w:after="0"/>
              <w:rPr>
                <w:sz w:val="10"/>
                <w:szCs w:val="10"/>
                <w:lang w:val="fr-BE"/>
              </w:rPr>
            </w:pPr>
            <w:r>
              <w:rPr>
                <w:noProof/>
                <w:sz w:val="10"/>
                <w:szCs w:val="10"/>
                <w:lang w:val="fr-BE"/>
              </w:rPr>
              <w:t>Annual report from the Uniformed Police Directorate – Border Police Division</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C5.a</w:t>
            </w:r>
            <w:r w:rsidRPr="00F07BE5">
              <w:rPr>
                <w:sz w:val="12"/>
                <w:szCs w:val="12"/>
                <w:lang w:val="fr-BE"/>
              </w:rPr>
              <w:t xml:space="preserve"> - </w:t>
            </w:r>
            <w:r w:rsidRPr="00F07BE5">
              <w:rPr>
                <w:noProof/>
                <w:sz w:val="12"/>
                <w:szCs w:val="12"/>
                <w:lang w:val="fr-BE"/>
              </w:rPr>
              <w:t xml:space="preserve">Nezakonito priseljevanje, vključno z incidenti, pri katerih je </w:t>
            </w:r>
            <w:r w:rsidRPr="00F07BE5">
              <w:rPr>
                <w:noProof/>
                <w:sz w:val="12"/>
                <w:szCs w:val="12"/>
                <w:lang w:val="fr-BE"/>
              </w:rPr>
              <w:t>ogroženo življenje migrantov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C5.b</w:t>
            </w:r>
            <w:r w:rsidRPr="00F07BE5">
              <w:rPr>
                <w:sz w:val="12"/>
                <w:szCs w:val="12"/>
                <w:lang w:val="fr-BE"/>
              </w:rPr>
              <w:t xml:space="preserve"> - </w:t>
            </w:r>
            <w:r w:rsidRPr="00F07BE5">
              <w:rPr>
                <w:noProof/>
                <w:sz w:val="12"/>
                <w:szCs w:val="12"/>
                <w:lang w:val="fr-BE"/>
              </w:rPr>
              <w:t>Čezmejni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C5.c</w:t>
            </w:r>
            <w:r w:rsidRPr="00F07BE5">
              <w:rPr>
                <w:sz w:val="12"/>
                <w:szCs w:val="12"/>
                <w:lang w:val="fr-BE"/>
              </w:rPr>
              <w:t xml:space="preserve"> - </w:t>
            </w:r>
            <w:r w:rsidRPr="00F07BE5">
              <w:rPr>
                <w:noProof/>
                <w:sz w:val="12"/>
                <w:szCs w:val="12"/>
                <w:lang w:val="fr-BE"/>
              </w:rPr>
              <w:t>Krizne razmere</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838"/>
        <w:gridCol w:w="626"/>
        <w:gridCol w:w="850"/>
        <w:gridCol w:w="743"/>
        <w:gridCol w:w="770"/>
        <w:gridCol w:w="354"/>
        <w:gridCol w:w="354"/>
        <w:gridCol w:w="389"/>
        <w:gridCol w:w="514"/>
        <w:gridCol w:w="514"/>
        <w:gridCol w:w="564"/>
        <w:gridCol w:w="354"/>
        <w:gridCol w:w="354"/>
        <w:gridCol w:w="354"/>
        <w:gridCol w:w="354"/>
        <w:gridCol w:w="976"/>
      </w:tblGrid>
      <w:tr w:rsidR="00741801" w:rsidTr="008E16E1">
        <w:trPr>
          <w:cantSplit/>
          <w:tblHeader/>
        </w:trPr>
        <w:tc>
          <w:tcPr>
            <w:tcW w:w="0" w:type="auto"/>
            <w:gridSpan w:val="2"/>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2D7A0D" w:rsidP="007C7090">
            <w:pPr>
              <w:spacing w:before="0" w:after="0"/>
              <w:rPr>
                <w:b/>
                <w:sz w:val="12"/>
                <w:szCs w:val="12"/>
                <w:lang w:val="fr-BE"/>
              </w:rPr>
            </w:pPr>
            <w:r w:rsidRPr="00F07BE5">
              <w:rPr>
                <w:b/>
                <w:noProof/>
                <w:sz w:val="12"/>
                <w:szCs w:val="12"/>
              </w:rPr>
              <w:t>5</w:t>
            </w:r>
            <w:r w:rsidRPr="00F07BE5">
              <w:rPr>
                <w:b/>
                <w:sz w:val="12"/>
                <w:szCs w:val="12"/>
              </w:rPr>
              <w:t xml:space="preserve"> - </w:t>
            </w:r>
            <w:r w:rsidRPr="00F07BE5">
              <w:rPr>
                <w:b/>
                <w:noProof/>
                <w:sz w:val="12"/>
                <w:szCs w:val="12"/>
              </w:rPr>
              <w:t>Preprečevanje kriminala in boj proti njemu</w:t>
            </w:r>
          </w:p>
        </w:tc>
      </w:tr>
      <w:tr w:rsidR="00741801" w:rsidTr="008E16E1">
        <w:trPr>
          <w:cantSplit/>
          <w:tblHeader/>
        </w:trPr>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2D7A0D"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Kumulativna vrednost</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skupnih preiskovalnih ekip in operativnih projektov Evropske multidisciplinarne platforme proti kriminalnim </w:t>
            </w:r>
            <w:r w:rsidRPr="00F07BE5">
              <w:rPr>
                <w:noProof/>
                <w:sz w:val="12"/>
                <w:szCs w:val="12"/>
                <w:lang w:val="fr-BE"/>
              </w:rPr>
              <w:t>grožnjam (EMPACT), ki jih podpira sklad, vključno s sodelujočimi državami članicami in javnimi organi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21,00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Nosilec (država članica)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 xml:space="preserve">Partnerji </w:t>
            </w:r>
            <w:r w:rsidRPr="00F07BE5">
              <w:rPr>
                <w:noProof/>
                <w:sz w:val="12"/>
                <w:szCs w:val="12"/>
                <w:lang w:val="fr-BE"/>
              </w:rPr>
              <w:t>(države članice)</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Sodelujoči javni organi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lastRenderedPageBreak/>
              <w:t>C1.d</w:t>
            </w:r>
            <w:r w:rsidRPr="00F07BE5">
              <w:rPr>
                <w:sz w:val="12"/>
                <w:szCs w:val="12"/>
                <w:lang w:val="fr-BE"/>
              </w:rPr>
              <w:t xml:space="preserve"> - </w:t>
            </w:r>
            <w:r w:rsidRPr="00F07BE5">
              <w:rPr>
                <w:noProof/>
                <w:sz w:val="12"/>
                <w:szCs w:val="12"/>
                <w:lang w:val="fr-BE"/>
              </w:rPr>
              <w:t>Sodelujoča agencija EU (Eurojust, Europol), če je ustrezno</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organov pregona, usposobljenih na področjih čezmejne narave s pomočjo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1.320,00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39,00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833,00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36,00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1.054,00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72,00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72,00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275,00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275,00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225,00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225,00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17,00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102,00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126,00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127,00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C2.1.k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37,00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48,00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36,00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225,00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Trajanje usposabljanja (izvedenega) o čezmejnih temah, za katero so bila uporabljena sredstva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Oseba dnevi</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83.490,00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208,00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9.248,00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6.318,00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571,00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16.345,00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302,00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302,00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302,00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302,00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882,00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882,00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1.514,00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1.514,00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71.895,00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381,00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72.300,00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1.117,00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1.117,00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484,00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508,00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C2.2.k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184,00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6.908,00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16.440,00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571,00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24.103,00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projektov na področju preprečevanja kriminala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C3.1.h</w:t>
            </w:r>
            <w:r w:rsidRPr="00F07BE5">
              <w:rPr>
                <w:sz w:val="12"/>
                <w:szCs w:val="12"/>
                <w:lang w:val="fr-BE"/>
              </w:rPr>
              <w:t xml:space="preserve"> - </w:t>
            </w:r>
            <w:r w:rsidRPr="00F07BE5">
              <w:rPr>
                <w:noProof/>
                <w:sz w:val="12"/>
                <w:szCs w:val="12"/>
                <w:lang w:val="fr-BE"/>
              </w:rPr>
              <w:t>Računalniški</w:t>
            </w:r>
            <w:r w:rsidRPr="00F07BE5">
              <w:rPr>
                <w:noProof/>
                <w:sz w:val="12"/>
                <w:szCs w:val="12"/>
                <w:lang w:val="fr-BE"/>
              </w:rPr>
              <w:t xml:space="preserve">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Finančna vrednost projektov na področju preprečevanja kriminala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EUR</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1.447.000,00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53.505,97</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224.102,69</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277.608,66</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10.124,87</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10.124,87</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C3.2.c</w:t>
            </w:r>
            <w:r w:rsidRPr="00F07BE5">
              <w:rPr>
                <w:sz w:val="12"/>
                <w:szCs w:val="12"/>
                <w:lang w:val="fr-BE"/>
              </w:rPr>
              <w:t xml:space="preserve"> - </w:t>
            </w:r>
            <w:r w:rsidRPr="00F07BE5">
              <w:rPr>
                <w:noProof/>
                <w:sz w:val="12"/>
                <w:szCs w:val="12"/>
                <w:lang w:val="fr-BE"/>
              </w:rPr>
              <w:t xml:space="preserve">Nedovoljen promet s prepovedanimi </w:t>
            </w:r>
            <w:r w:rsidRPr="00F07BE5">
              <w:rPr>
                <w:noProof/>
                <w:sz w:val="12"/>
                <w:szCs w:val="12"/>
                <w:lang w:val="fr-BE"/>
              </w:rPr>
              <w:t>drogami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43.381,10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224.102,69</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267.483,79</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podprtih iz Sklada, za izboljšanje izmenjave informacij na področju kazenskega pregona, ki so povezani s podatkovnimi sistemi, zbirkami ali komunikacijskimi orodji Europola (npr. orodja za nalaganje podatkov, razširitev dostopa do</w:t>
            </w:r>
            <w:r w:rsidRPr="00F07BE5">
              <w:rPr>
                <w:noProof/>
                <w:sz w:val="12"/>
                <w:szCs w:val="12"/>
                <w:lang w:val="fr-BE"/>
              </w:rPr>
              <w:t xml:space="preserve"> orodja SIENA, projekti za izboljšanje priprave analitičnih delovnih datotek itd.)</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Orodja za nalaganje podatkov</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Razširitev dostopa do orodja</w:t>
            </w:r>
            <w:r w:rsidRPr="00F07BE5">
              <w:rPr>
                <w:noProof/>
                <w:sz w:val="12"/>
                <w:szCs w:val="12"/>
                <w:lang w:val="fr-BE"/>
              </w:rPr>
              <w:t xml:space="preserve"> SIENA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Projekti za izboljšanje priprave analitičnih delovnih datotek itd.</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731"/>
        <w:gridCol w:w="761"/>
        <w:gridCol w:w="1057"/>
        <w:gridCol w:w="846"/>
        <w:gridCol w:w="790"/>
        <w:gridCol w:w="354"/>
        <w:gridCol w:w="354"/>
        <w:gridCol w:w="354"/>
        <w:gridCol w:w="354"/>
        <w:gridCol w:w="354"/>
        <w:gridCol w:w="354"/>
        <w:gridCol w:w="354"/>
        <w:gridCol w:w="354"/>
        <w:gridCol w:w="354"/>
        <w:gridCol w:w="354"/>
        <w:gridCol w:w="1183"/>
      </w:tblGrid>
      <w:tr w:rsidR="00741801" w:rsidTr="008E16E1">
        <w:trPr>
          <w:cantSplit/>
          <w:tblHeader/>
        </w:trPr>
        <w:tc>
          <w:tcPr>
            <w:tcW w:w="0" w:type="auto"/>
            <w:gridSpan w:val="2"/>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2D7A0D" w:rsidP="007C7090">
            <w:pPr>
              <w:spacing w:before="0" w:after="0"/>
              <w:rPr>
                <w:b/>
                <w:sz w:val="12"/>
                <w:szCs w:val="12"/>
                <w:lang w:val="fr-BE"/>
              </w:rPr>
            </w:pPr>
            <w:r w:rsidRPr="00F07BE5">
              <w:rPr>
                <w:b/>
                <w:noProof/>
                <w:sz w:val="12"/>
                <w:szCs w:val="12"/>
              </w:rPr>
              <w:t>6</w:t>
            </w:r>
            <w:r w:rsidRPr="00F07BE5">
              <w:rPr>
                <w:b/>
                <w:sz w:val="12"/>
                <w:szCs w:val="12"/>
              </w:rPr>
              <w:t xml:space="preserve"> - </w:t>
            </w:r>
            <w:r w:rsidRPr="00F07BE5">
              <w:rPr>
                <w:b/>
                <w:noProof/>
                <w:sz w:val="12"/>
                <w:szCs w:val="12"/>
              </w:rPr>
              <w:t>Tveganja in krize</w:t>
            </w:r>
          </w:p>
        </w:tc>
      </w:tr>
      <w:tr w:rsidR="00741801" w:rsidTr="008E16E1">
        <w:trPr>
          <w:cantSplit/>
          <w:tblHeader/>
        </w:trPr>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2D7A0D"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2D7A0D"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2D7A0D" w:rsidP="007C7090">
            <w:pPr>
              <w:spacing w:before="0" w:after="0"/>
              <w:rPr>
                <w:b/>
                <w:sz w:val="12"/>
                <w:szCs w:val="12"/>
                <w:lang w:val="fr-BE"/>
              </w:rPr>
            </w:pPr>
            <w:r w:rsidRPr="00F07BE5">
              <w:rPr>
                <w:b/>
                <w:noProof/>
                <w:sz w:val="12"/>
                <w:szCs w:val="12"/>
                <w:lang w:val="fr-BE"/>
              </w:rPr>
              <w:t>Kumulativna vrednost</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lastRenderedPageBreak/>
              <w:t>C1</w:t>
            </w:r>
            <w:r w:rsidRPr="00F07BE5">
              <w:rPr>
                <w:sz w:val="12"/>
                <w:szCs w:val="12"/>
                <w:lang w:val="fr-BE"/>
              </w:rPr>
              <w:t xml:space="preserve"> - </w:t>
            </w:r>
            <w:r w:rsidRPr="00F07BE5">
              <w:rPr>
                <w:noProof/>
                <w:sz w:val="12"/>
                <w:szCs w:val="12"/>
                <w:lang w:val="fr-BE"/>
              </w:rPr>
              <w:t xml:space="preserve">Število orodij, ki so jih države članice s pomočjo sklada vzpostavile in/ali izpopolnile za olajšanje varstva kritične infrastrukture na vseh </w:t>
            </w:r>
            <w:r w:rsidRPr="00F07BE5">
              <w:rPr>
                <w:noProof/>
                <w:sz w:val="12"/>
                <w:szCs w:val="12"/>
                <w:lang w:val="fr-BE"/>
              </w:rPr>
              <w:t>področjih gospodarstva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6,00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podprtih iz sklada, ki so povezani z oceno in upravljanjem tveganj na področju notranje varnosti</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6,00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strokovnih srečanj, delavnic, seminarjev, konferenc, objav, spletnih mest in (spletnih) posvetov, organiziranih s pomočjo sklada</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16,00</w:t>
            </w:r>
          </w:p>
        </w:tc>
        <w:tc>
          <w:tcPr>
            <w:tcW w:w="0" w:type="auto"/>
          </w:tcPr>
          <w:p w:rsidR="004F1EEC" w:rsidRPr="003F352C" w:rsidRDefault="002D7A0D"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26,00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29,00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60,00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Povezava z zaščito kritične infrastrukture</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Povezava z obvladovanjem kriznih razmer in tveganjem</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2D7A0D"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49,00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Pr>
                <w:noProof/>
                <w:sz w:val="12"/>
                <w:szCs w:val="12"/>
                <w:lang w:val="fr-BE"/>
              </w:rPr>
              <w:t>C3.1</w:t>
            </w:r>
            <w:r w:rsidRPr="00F07BE5">
              <w:rPr>
                <w:sz w:val="12"/>
                <w:szCs w:val="12"/>
                <w:lang w:val="fr-BE"/>
              </w:rPr>
              <w:t xml:space="preserve"> - </w:t>
            </w:r>
            <w:r>
              <w:rPr>
                <w:noProof/>
                <w:sz w:val="12"/>
                <w:szCs w:val="12"/>
                <w:lang w:val="fr-BE"/>
              </w:rPr>
              <w:t xml:space="preserve">Number of them related to protection of </w:t>
            </w:r>
            <w:r>
              <w:rPr>
                <w:noProof/>
                <w:sz w:val="12"/>
                <w:szCs w:val="12"/>
                <w:lang w:val="fr-BE"/>
              </w:rPr>
              <w:t>critical infrastructure</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3,00</w:t>
            </w:r>
          </w:p>
        </w:tc>
        <w:tc>
          <w:tcPr>
            <w:tcW w:w="0" w:type="auto"/>
          </w:tcPr>
          <w:p w:rsidR="004F1EEC" w:rsidRPr="003F352C" w:rsidRDefault="002D7A0D"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11,00</w:t>
            </w:r>
          </w:p>
        </w:tc>
      </w:tr>
      <w:tr w:rsidR="00741801" w:rsidTr="008E16E1">
        <w:trPr>
          <w:cantSplit/>
          <w:tblHeader/>
        </w:trPr>
        <w:tc>
          <w:tcPr>
            <w:tcW w:w="0" w:type="auto"/>
            <w:shd w:val="clear" w:color="auto" w:fill="auto"/>
          </w:tcPr>
          <w:p w:rsidR="004F1EEC" w:rsidRPr="00F07BE5" w:rsidRDefault="002D7A0D" w:rsidP="007C7090">
            <w:pPr>
              <w:spacing w:before="0" w:after="0"/>
              <w:rPr>
                <w:sz w:val="12"/>
                <w:szCs w:val="12"/>
                <w:lang w:val="fr-BE"/>
              </w:rPr>
            </w:pPr>
            <w:r>
              <w:rPr>
                <w:noProof/>
                <w:sz w:val="12"/>
                <w:szCs w:val="12"/>
                <w:lang w:val="fr-BE"/>
              </w:rPr>
              <w:t>C3.2</w:t>
            </w:r>
            <w:r w:rsidRPr="00F07BE5">
              <w:rPr>
                <w:sz w:val="12"/>
                <w:szCs w:val="12"/>
                <w:lang w:val="fr-BE"/>
              </w:rPr>
              <w:t xml:space="preserve"> - </w:t>
            </w:r>
            <w:r>
              <w:rPr>
                <w:noProof/>
                <w:sz w:val="12"/>
                <w:szCs w:val="12"/>
                <w:lang w:val="fr-BE"/>
              </w:rPr>
              <w:t>Number of them related to risk and crisis management</w:t>
            </w:r>
          </w:p>
        </w:tc>
        <w:tc>
          <w:tcPr>
            <w:tcW w:w="0" w:type="auto"/>
            <w:shd w:val="clear" w:color="auto" w:fill="auto"/>
          </w:tcPr>
          <w:p w:rsidR="004F1EEC" w:rsidRPr="00F07BE5" w:rsidRDefault="002D7A0D"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13,00</w:t>
            </w:r>
          </w:p>
        </w:tc>
        <w:tc>
          <w:tcPr>
            <w:tcW w:w="0" w:type="auto"/>
          </w:tcPr>
          <w:p w:rsidR="004F1EEC" w:rsidRPr="003F352C" w:rsidRDefault="002D7A0D"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2D7A0D" w:rsidP="007C7090">
            <w:pPr>
              <w:spacing w:before="0" w:after="0"/>
              <w:jc w:val="right"/>
              <w:rPr>
                <w:sz w:val="10"/>
                <w:szCs w:val="10"/>
                <w:lang w:val="fr-BE"/>
              </w:rPr>
            </w:pPr>
            <w:r w:rsidRPr="003F352C">
              <w:rPr>
                <w:noProof/>
                <w:sz w:val="10"/>
                <w:szCs w:val="10"/>
                <w:lang w:val="fr-BE"/>
              </w:rPr>
              <w:t>49,00</w:t>
            </w:r>
          </w:p>
        </w:tc>
      </w:tr>
    </w:tbl>
    <w:p w:rsidR="004F1EEC" w:rsidRDefault="004F1EEC" w:rsidP="007C7090">
      <w:pPr>
        <w:spacing w:before="0" w:after="0"/>
        <w:rPr>
          <w:lang w:val="fr-BE"/>
        </w:rPr>
      </w:pPr>
    </w:p>
    <w:p w:rsidR="004F1EEC" w:rsidRDefault="004F1EEC" w:rsidP="007C7090">
      <w:pPr>
        <w:pStyle w:val="Naslov1"/>
        <w:numPr>
          <w:ilvl w:val="0"/>
          <w:numId w:val="0"/>
        </w:numPr>
        <w:spacing w:before="0" w:after="0"/>
        <w:rPr>
          <w:lang w:val="fr-BE"/>
        </w:rPr>
        <w:sectPr w:rsidR="004F1EEC" w:rsidSect="008E16E1">
          <w:footerReference w:type="default" r:id="rId10"/>
          <w:pgSz w:w="16838" w:h="11906" w:orient="landscape"/>
          <w:pgMar w:top="1584" w:right="1022" w:bottom="1699" w:left="1022" w:header="283" w:footer="283" w:gutter="0"/>
          <w:cols w:space="708"/>
          <w:docGrid w:linePitch="360"/>
        </w:sectPr>
      </w:pPr>
    </w:p>
    <w:p w:rsidR="004F1EEC" w:rsidRDefault="002D7A0D" w:rsidP="007C7090">
      <w:pPr>
        <w:pStyle w:val="Naslov1"/>
        <w:numPr>
          <w:ilvl w:val="0"/>
          <w:numId w:val="0"/>
        </w:numPr>
        <w:spacing w:before="0" w:after="0"/>
        <w:rPr>
          <w:lang w:val="fr-BE"/>
        </w:rPr>
      </w:pPr>
      <w:bookmarkStart w:id="4" w:name="_Toc256000003"/>
      <w:r>
        <w:rPr>
          <w:noProof/>
          <w:lang w:val="fr-BE"/>
        </w:rPr>
        <w:lastRenderedPageBreak/>
        <w:t>ODDELEK 6: OKVIR ZA PRIPRAVO IN IZVAJANJE PROGRAMA S STRANI DRŽAVE ČLANICE</w:t>
      </w:r>
      <w:bookmarkEnd w:id="4"/>
    </w:p>
    <w:p w:rsidR="004F1EEC"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bookmarkStart w:id="5" w:name="_Toc256000004"/>
      <w:r>
        <w:rPr>
          <w:noProof/>
          <w:lang w:val="fr-BE"/>
        </w:rPr>
        <w:t>6.1 Odbor za spremljanje (člen 12(4) Uredbe (EU) št. 514/2014)</w:t>
      </w:r>
      <w:bookmarkEnd w:id="5"/>
    </w:p>
    <w:p w:rsidR="004F1EEC" w:rsidRDefault="004F1EEC" w:rsidP="007C7090">
      <w:pPr>
        <w:pStyle w:val="Text1"/>
        <w:spacing w:before="0" w:after="0"/>
        <w:ind w:left="0"/>
        <w:rPr>
          <w:lang w:val="fr-BE"/>
        </w:rPr>
      </w:pPr>
    </w:p>
    <w:p w:rsidR="004F1EEC" w:rsidRDefault="002D7A0D" w:rsidP="007C7090">
      <w:pPr>
        <w:pStyle w:val="Text1"/>
        <w:spacing w:before="0" w:after="0"/>
        <w:ind w:left="0"/>
        <w:rPr>
          <w:lang w:val="fr-BE"/>
        </w:rPr>
      </w:pPr>
      <w:r>
        <w:rPr>
          <w:noProof/>
          <w:lang w:val="fr-BE"/>
        </w:rPr>
        <w:t>Navedite glavne odločitve odbora za spremljanje in vprašanja, ki jih ta še obravnava.</w:t>
      </w:r>
    </w:p>
    <w:p w:rsidR="004F1EEC" w:rsidRDefault="004F1EEC" w:rsidP="007C7090">
      <w:pPr>
        <w:pStyle w:val="Text1"/>
        <w:spacing w:before="0" w:after="0"/>
        <w:ind w:left="0"/>
        <w:rPr>
          <w:lang w:val="fr-BE"/>
        </w:rPr>
      </w:pPr>
    </w:p>
    <w:p w:rsidR="00741801" w:rsidRDefault="002D7A0D">
      <w:pPr>
        <w:spacing w:before="0" w:after="240"/>
        <w:jc w:val="left"/>
      </w:pPr>
      <w:r>
        <w:t xml:space="preserve">Nadzorni odbor za spremljanje skladov s področja notranje varnosti in migracij (NO) sestavljajo predstavniki Ministrstva za notranje zadeve, Ministrstva za javno upravo, Ministrstva za notranje zadeve - Policija, Ministrstva za zunanje zadeve, Ministrstva </w:t>
      </w:r>
      <w:r>
        <w:t>za izobraževanje, znanost in šport, Ministrstva za kulturo, Ministrstva za delo, družino, socialne zadeve in enake možnosti, Službe Vlade Republike Slovenije za razvoj in evropsko kohezijsko politiko, Ministrstva za obrambo, Ministrstva za zdravje, Urada V</w:t>
      </w:r>
      <w:r>
        <w:t>lade RS za oskrbo in integracijo migrantov. Predstavniki Ministrstva za finance (Sektor za upravljanje s sredstvi EU/PO) so v vlogi pooblaščenega organa. V vlogi opazovalcev pa predstavniki Ministrstva za finance (Urad RS za nadzor proračuna), Službe za no</w:t>
      </w:r>
      <w:r>
        <w:t>tranjo revizijo Ministrstva za notranje zadeve in predstavnik Evropske komisije. Za zagotavljanje izvajanja t.i. načela partnerstva je v NO imenovan tudi predstavnik nevladnih organizacij.</w:t>
      </w:r>
    </w:p>
    <w:p w:rsidR="00741801" w:rsidRDefault="002D7A0D">
      <w:pPr>
        <w:spacing w:before="240" w:after="240"/>
        <w:jc w:val="left"/>
      </w:pPr>
      <w:r>
        <w:t>Ključne naloge NO so opredeljene s Poslovnikom (http://www.mnz.gov.</w:t>
      </w:r>
      <w:r>
        <w:t>si/si/o_ministrstvu/crpanje_evropskih_sredstev/sklad_za_notranjo_varnost_in_sklad_za_azil_migracije_in_vkljucevanje_2014_2020/prirocniki_pravilniki_in_navodila/).</w:t>
      </w:r>
    </w:p>
    <w:p w:rsidR="00741801" w:rsidRDefault="002D7A0D">
      <w:pPr>
        <w:spacing w:before="240" w:after="240"/>
        <w:jc w:val="left"/>
      </w:pPr>
      <w:r>
        <w:t>NO je v 2019 zasedal v okviru ene redne seje (9.5.2018), kjer je obravnaval: </w:t>
      </w:r>
    </w:p>
    <w:p w:rsidR="00741801" w:rsidRDefault="002D7A0D">
      <w:pPr>
        <w:numPr>
          <w:ilvl w:val="0"/>
          <w:numId w:val="37"/>
        </w:numPr>
        <w:spacing w:before="240" w:after="0"/>
        <w:ind w:hanging="210"/>
        <w:jc w:val="left"/>
      </w:pPr>
      <w:r>
        <w:t>Spremembe Priro</w:t>
      </w:r>
      <w:r>
        <w:t>čnika za izvajanje Sklada za azil, migracije in vključevanje ter Sklada za notranjo varnost (Različica 1.3);</w:t>
      </w:r>
    </w:p>
    <w:p w:rsidR="00741801" w:rsidRDefault="002D7A0D">
      <w:pPr>
        <w:numPr>
          <w:ilvl w:val="0"/>
          <w:numId w:val="37"/>
        </w:numPr>
        <w:spacing w:before="0" w:after="0"/>
        <w:ind w:hanging="210"/>
        <w:jc w:val="left"/>
      </w:pPr>
      <w:r>
        <w:t>Informacija o pravilu Evropske komisije odveze obveznosti (t.i. decommitment rule);</w:t>
      </w:r>
    </w:p>
    <w:p w:rsidR="00741801" w:rsidRDefault="002D7A0D">
      <w:pPr>
        <w:numPr>
          <w:ilvl w:val="0"/>
          <w:numId w:val="37"/>
        </w:numPr>
        <w:spacing w:before="0" w:after="0"/>
        <w:ind w:hanging="210"/>
        <w:jc w:val="left"/>
      </w:pPr>
      <w:r>
        <w:t>Informacija o realizaciji skladov AMIF in ISF;</w:t>
      </w:r>
    </w:p>
    <w:p w:rsidR="00741801" w:rsidRDefault="002D7A0D">
      <w:pPr>
        <w:numPr>
          <w:ilvl w:val="0"/>
          <w:numId w:val="37"/>
        </w:numPr>
        <w:spacing w:before="0" w:after="0"/>
        <w:ind w:hanging="210"/>
        <w:jc w:val="left"/>
      </w:pPr>
      <w:r>
        <w:t>Spremembe Akcijs</w:t>
      </w:r>
      <w:r>
        <w:t>kega načrta za črpanje sredstev Sklada za azil, migracije in vključevanje ter Sklada za notranjo varnost (Različica 1.5);</w:t>
      </w:r>
    </w:p>
    <w:p w:rsidR="00741801" w:rsidRDefault="002D7A0D">
      <w:pPr>
        <w:numPr>
          <w:ilvl w:val="0"/>
          <w:numId w:val="37"/>
        </w:numPr>
        <w:spacing w:before="0" w:after="0"/>
        <w:ind w:hanging="210"/>
        <w:jc w:val="left"/>
      </w:pPr>
      <w:r>
        <w:t>Poročilo o izvedenem monitoringu s strani EK o izvajanju projektov AMIF in ISF;</w:t>
      </w:r>
    </w:p>
    <w:p w:rsidR="00741801" w:rsidRDefault="002D7A0D">
      <w:pPr>
        <w:numPr>
          <w:ilvl w:val="0"/>
          <w:numId w:val="37"/>
        </w:numPr>
        <w:spacing w:before="0" w:after="0"/>
        <w:ind w:hanging="210"/>
        <w:jc w:val="left"/>
      </w:pPr>
      <w:r>
        <w:t>Informacija o oddaji letnih računov za leto 2018 in im</w:t>
      </w:r>
      <w:r>
        <w:t>plementacijskega poročila AMIF in ISF za leto 2018;</w:t>
      </w:r>
    </w:p>
    <w:p w:rsidR="00741801" w:rsidRDefault="002D7A0D">
      <w:pPr>
        <w:numPr>
          <w:ilvl w:val="0"/>
          <w:numId w:val="37"/>
        </w:numPr>
        <w:spacing w:before="0" w:after="0"/>
        <w:ind w:hanging="210"/>
        <w:jc w:val="left"/>
      </w:pPr>
      <w:r>
        <w:t>Poročilo o trenutnem stanju pogajanj za sprejetje uredb za izvajanje večletnega finančnega okvira po letu 2020;</w:t>
      </w:r>
    </w:p>
    <w:p w:rsidR="00741801" w:rsidRDefault="002D7A0D">
      <w:pPr>
        <w:numPr>
          <w:ilvl w:val="0"/>
          <w:numId w:val="37"/>
        </w:numPr>
        <w:spacing w:before="0" w:after="0"/>
        <w:ind w:hanging="210"/>
        <w:jc w:val="left"/>
      </w:pPr>
      <w:r>
        <w:t>Predstavitev dela revizijskega organa za sklade AMIF in ISF;</w:t>
      </w:r>
    </w:p>
    <w:p w:rsidR="00741801" w:rsidRDefault="002D7A0D">
      <w:pPr>
        <w:numPr>
          <w:ilvl w:val="0"/>
          <w:numId w:val="37"/>
        </w:numPr>
        <w:spacing w:before="0" w:after="0"/>
        <w:ind w:hanging="210"/>
        <w:jc w:val="left"/>
      </w:pPr>
      <w:r>
        <w:t>Predstavitev glede možnosti dop</w:t>
      </w:r>
      <w:r>
        <w:t>olnjevanja skladov AMIF in ISF z drugimi evropskimi skladi ali finančnimi instrumenti;</w:t>
      </w:r>
    </w:p>
    <w:p w:rsidR="00741801" w:rsidRDefault="002D7A0D">
      <w:pPr>
        <w:numPr>
          <w:ilvl w:val="0"/>
          <w:numId w:val="37"/>
        </w:numPr>
        <w:spacing w:before="0" w:after="240"/>
        <w:ind w:hanging="210"/>
        <w:jc w:val="left"/>
      </w:pPr>
      <w:r>
        <w:t>Informacije o izvedeni reviziji skladov SOLID.</w:t>
      </w:r>
    </w:p>
    <w:p w:rsidR="00741801" w:rsidRDefault="002D7A0D">
      <w:pPr>
        <w:spacing w:before="240" w:after="240"/>
        <w:jc w:val="left"/>
      </w:pPr>
      <w:r>
        <w:t>Odgovorni organ je pripravil različice dokumentov, ki vključujejo spremembe, poenostavitve in izboljšave, ki so se pokazal</w:t>
      </w:r>
      <w:r>
        <w:t>e pri upravnem nadzoru zahtevkov za povračilo in vključujejo tudi priporočila opravljenih revizij UNP in KKS.</w:t>
      </w:r>
    </w:p>
    <w:p w:rsidR="00741801" w:rsidRDefault="002D7A0D">
      <w:pPr>
        <w:spacing w:before="240" w:after="240"/>
        <w:jc w:val="left"/>
      </w:pPr>
      <w:r>
        <w:t xml:space="preserve">Programa AMIF in ISF pripravlja Služba za evropska sredstva MNZ, ki načelo partnerstva udejanja preko sodelovanja z državnimi resorji, službami </w:t>
      </w:r>
      <w:r>
        <w:t>in predstavniki civilne družbe, na način, da se obravnavajo vsi dani predlogi glede izboljšav, izvajanja in spremljanja programov preko MDS in NO. Dobra praksa sodelovanja predstavnika civilne družbe na sejah NO se bo izvajala tudi v prihodnje. </w:t>
      </w:r>
    </w:p>
    <w:p w:rsidR="004F1EEC"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r>
        <w:rPr>
          <w:lang w:val="fr-BE"/>
        </w:rPr>
        <w:br w:type="page"/>
      </w:r>
      <w:bookmarkStart w:id="6" w:name="_Toc256000005"/>
      <w:r>
        <w:rPr>
          <w:noProof/>
          <w:lang w:val="fr-BE"/>
        </w:rPr>
        <w:lastRenderedPageBreak/>
        <w:t>6.2 Skup</w:t>
      </w:r>
      <w:r>
        <w:rPr>
          <w:noProof/>
          <w:lang w:val="fr-BE"/>
        </w:rPr>
        <w:t>ni okvir za spremljanje in vrednotenje (člen 14(2)(f) Uredbe (EU) št. 514/2014)</w:t>
      </w:r>
      <w:bookmarkEnd w:id="6"/>
    </w:p>
    <w:p w:rsidR="004F1EEC"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bookmarkStart w:id="7" w:name="_Toc256000006"/>
      <w:r>
        <w:rPr>
          <w:noProof/>
          <w:lang w:val="fr-BE"/>
        </w:rPr>
        <w:t>Ukrepi spremljanja in vrednotenja, ki jih sprejme pristojni organ, vključno z ureditvijo zbiranja podatkov, dejavnostmi vrednotenja, ugotovljenimi težavami ter ukrepi za njiho</w:t>
      </w:r>
      <w:r>
        <w:rPr>
          <w:noProof/>
          <w:lang w:val="fr-BE"/>
        </w:rPr>
        <w:t>vo odpravo.</w:t>
      </w:r>
      <w:bookmarkEnd w:id="7"/>
    </w:p>
    <w:p w:rsidR="004F1EEC" w:rsidRDefault="004F1EEC" w:rsidP="007C7090">
      <w:pPr>
        <w:pStyle w:val="Text1"/>
        <w:spacing w:before="0" w:after="0"/>
        <w:ind w:left="0"/>
        <w:rPr>
          <w:lang w:val="fr-BE"/>
        </w:rPr>
      </w:pPr>
    </w:p>
    <w:p w:rsidR="00741801" w:rsidRDefault="002D7A0D">
      <w:pPr>
        <w:spacing w:before="0" w:after="240"/>
        <w:jc w:val="left"/>
      </w:pPr>
      <w:r>
        <w:t>Za spremljanje in finančno upravljanje se uporablja aplikacijo - elektronski sistem za upravljanje skladov AMIF in ISF - MIGRA II. Spremljanje programov AMIF in ISF teče v okviru MIGRA II na podlagi podatkov ZzP in izvedbe kontrol na kraju sam</w:t>
      </w:r>
      <w:r>
        <w:t>em. OO v okviru upravnega nadzora pregleda finančna in vsebinska poročila končnih upravičencev o okviru posredovanih ZzP-jev (Zahtevki za povračilo) v okviru MIGRA II in v skladu s Priročnikom za izvajanje AMIF in ISF ter drugimi programskimi dokumenti OO.</w:t>
      </w:r>
      <w:r>
        <w:t xml:space="preserve"> Izvedba 100% administrativne in finančne kontrole popolnosti, pravilnosti in upravičenosti ZzP zajema:</w:t>
      </w:r>
    </w:p>
    <w:p w:rsidR="00741801" w:rsidRDefault="002D7A0D">
      <w:pPr>
        <w:numPr>
          <w:ilvl w:val="0"/>
          <w:numId w:val="38"/>
        </w:numPr>
        <w:spacing w:before="240" w:after="0"/>
        <w:ind w:hanging="210"/>
        <w:jc w:val="left"/>
      </w:pPr>
      <w:r>
        <w:t>preverjanje formalne pravilnosti in točnost finančnih izjav, </w:t>
      </w:r>
    </w:p>
    <w:p w:rsidR="00741801" w:rsidRDefault="002D7A0D">
      <w:pPr>
        <w:numPr>
          <w:ilvl w:val="0"/>
          <w:numId w:val="38"/>
        </w:numPr>
        <w:spacing w:before="0" w:after="0"/>
        <w:ind w:hanging="210"/>
        <w:jc w:val="left"/>
      </w:pPr>
      <w:r>
        <w:t>ali projekt dosega zastavljene cilje oz. viden napredek,</w:t>
      </w:r>
    </w:p>
    <w:p w:rsidR="00741801" w:rsidRDefault="002D7A0D">
      <w:pPr>
        <w:numPr>
          <w:ilvl w:val="0"/>
          <w:numId w:val="38"/>
        </w:numPr>
        <w:spacing w:before="0" w:after="240"/>
        <w:ind w:hanging="210"/>
        <w:jc w:val="left"/>
      </w:pPr>
      <w:r>
        <w:t>analitični pregled za oceno relev</w:t>
      </w:r>
      <w:r>
        <w:t>antnosti prijavljenih izdatkov v finančnih izjavah in njihove skladnosti s pogodbo o financiranju programa/projekta, odločitvi o podpori oz. sklepu o financiranju tehnične pomoči, pravili upravičenosti ter z drugimi veljavnimi pravili EU in nacionalnimi pr</w:t>
      </w:r>
      <w:r>
        <w:t>avili.</w:t>
      </w:r>
    </w:p>
    <w:p w:rsidR="00741801" w:rsidRDefault="002D7A0D">
      <w:pPr>
        <w:spacing w:before="240" w:after="240"/>
        <w:jc w:val="left"/>
      </w:pPr>
      <w:r>
        <w:t>OO izvaja dve vrsti kontrol na kraju samem (lahko so tudi nenapovedane), in sicer:</w:t>
      </w:r>
    </w:p>
    <w:p w:rsidR="00741801" w:rsidRDefault="002D7A0D">
      <w:pPr>
        <w:numPr>
          <w:ilvl w:val="0"/>
          <w:numId w:val="39"/>
        </w:numPr>
        <w:spacing w:before="240" w:after="0"/>
        <w:ind w:hanging="210"/>
        <w:jc w:val="left"/>
      </w:pPr>
      <w:r>
        <w:t>finančne kontrole na kraju samem ter</w:t>
      </w:r>
    </w:p>
    <w:p w:rsidR="00741801" w:rsidRDefault="002D7A0D">
      <w:pPr>
        <w:numPr>
          <w:ilvl w:val="0"/>
          <w:numId w:val="39"/>
        </w:numPr>
        <w:spacing w:before="0" w:after="240"/>
        <w:ind w:hanging="210"/>
        <w:jc w:val="left"/>
      </w:pPr>
      <w:r>
        <w:t>operativne kontrole na kraju samem.</w:t>
      </w:r>
    </w:p>
    <w:p w:rsidR="00741801" w:rsidRDefault="002D7A0D">
      <w:pPr>
        <w:spacing w:before="240" w:after="240"/>
        <w:jc w:val="left"/>
      </w:pPr>
      <w:r>
        <w:t xml:space="preserve">Kontrole na kraju samem se izvaja na podlagi načrta, ki ga OO pripravi na podlagi analize </w:t>
      </w:r>
      <w:r>
        <w:t>tveganja v skladu z metodologijo in naključnega izbora. Slednji dopolnjuje analizo tveganja na način, da načrt upošteva tudi ustrezno razmerje vrst in velikosti projektov, transakcij, upravičencev in izvajalskih teles, ki se pojavljajo pri izvajanju sklado</w:t>
      </w:r>
      <w:r>
        <w:t>v.</w:t>
      </w:r>
    </w:p>
    <w:p w:rsidR="00741801" w:rsidRDefault="002D7A0D">
      <w:pPr>
        <w:spacing w:before="240" w:after="240"/>
        <w:jc w:val="left"/>
      </w:pPr>
      <w:r>
        <w:t>OO je v letu 2019 v okviru spremljanja izvajanja projektov AMIF in ISF pri kontroli na kraju samem preverjal, ali se projekti izvajajo v skladu z odločitvijo o podpori, napredek projektov, zanesljivost kazalnikov in morebitne težave pri izvajanju. Poleg</w:t>
      </w:r>
      <w:r>
        <w:t xml:space="preserve"> tega se je preverjalo:</w:t>
      </w:r>
    </w:p>
    <w:p w:rsidR="00741801" w:rsidRDefault="002D7A0D">
      <w:pPr>
        <w:numPr>
          <w:ilvl w:val="0"/>
          <w:numId w:val="40"/>
        </w:numPr>
        <w:spacing w:before="240" w:after="0"/>
        <w:ind w:hanging="210"/>
        <w:jc w:val="left"/>
      </w:pPr>
      <w:r>
        <w:t>ali so končni upravičenci razumeli pravila upravičenosti,</w:t>
      </w:r>
    </w:p>
    <w:p w:rsidR="00741801" w:rsidRDefault="002D7A0D">
      <w:pPr>
        <w:numPr>
          <w:ilvl w:val="0"/>
          <w:numId w:val="40"/>
        </w:numPr>
        <w:spacing w:before="0" w:after="0"/>
        <w:ind w:hanging="210"/>
        <w:jc w:val="left"/>
      </w:pPr>
      <w:r>
        <w:t>ali imajo vzpostavljeno ustrezno metodologijo, s katero zagotavljajo ustrezno ciljno skupino,</w:t>
      </w:r>
    </w:p>
    <w:p w:rsidR="00741801" w:rsidRDefault="002D7A0D">
      <w:pPr>
        <w:numPr>
          <w:ilvl w:val="0"/>
          <w:numId w:val="40"/>
        </w:numPr>
        <w:spacing w:before="0" w:after="0"/>
        <w:ind w:hanging="210"/>
        <w:jc w:val="left"/>
      </w:pPr>
      <w:r>
        <w:t>ali beležijo ustrezne kazalnike v pravem času,</w:t>
      </w:r>
    </w:p>
    <w:p w:rsidR="00741801" w:rsidRDefault="002D7A0D">
      <w:pPr>
        <w:numPr>
          <w:ilvl w:val="0"/>
          <w:numId w:val="40"/>
        </w:numPr>
        <w:spacing w:before="0" w:after="0"/>
        <w:ind w:hanging="210"/>
        <w:jc w:val="left"/>
      </w:pPr>
      <w:r>
        <w:t xml:space="preserve">ali izvajajo določbe vezane na </w:t>
      </w:r>
      <w:r>
        <w:t>informiranje in obveščanje ter</w:t>
      </w:r>
    </w:p>
    <w:p w:rsidR="00741801" w:rsidRDefault="002D7A0D">
      <w:pPr>
        <w:numPr>
          <w:ilvl w:val="0"/>
          <w:numId w:val="40"/>
        </w:numPr>
        <w:spacing w:before="0" w:after="240"/>
        <w:ind w:hanging="210"/>
        <w:jc w:val="left"/>
      </w:pPr>
      <w:r>
        <w:t>ali dejansko uporabljajo blago, ki je bilo nabavljeno glede na izkazane izdatke.</w:t>
      </w:r>
    </w:p>
    <w:p w:rsidR="00741801" w:rsidRDefault="002D7A0D">
      <w:pPr>
        <w:spacing w:before="240" w:after="240"/>
        <w:jc w:val="left"/>
      </w:pPr>
      <w:r>
        <w:t xml:space="preserve">OO o vsebinskih in finančnih elementih programov AMIF in ISF redno poroča MDS in NO, v obeh telesih so v skladu z načelom partnerstva zastopana </w:t>
      </w:r>
      <w:r>
        <w:t>vsa ministrstva/resorji, ki pri črpanju sredstev iz AMIF in ISF sodelujejo kot pristojni organi MCS (»Management and Control System«) in NVO preko izbranega predstavnika. OO vse zaznane pomanjkljivosti oz. novosti aplicira v strateških dokumentih, kateri s</w:t>
      </w:r>
      <w:r>
        <w:t>o navedeni pod rubriko 6.1. in so dosegljivi preko spletne strani: http://www.mnz.gov.si/si/o_ministrstvu/crpanje_evropskih_sredstev/sklad_za_notranjo_varnost_in_sklad_za_azil_migracije_in_vkljucevanje_2014_2020/prirocniki_pravilniki_in_navodila/</w:t>
      </w:r>
    </w:p>
    <w:p w:rsidR="00741801" w:rsidRDefault="002D7A0D">
      <w:pPr>
        <w:spacing w:before="240" w:after="240"/>
        <w:jc w:val="left"/>
      </w:pPr>
      <w:r>
        <w:lastRenderedPageBreak/>
        <w:t>OO sodelu</w:t>
      </w:r>
      <w:r>
        <w:t>je tudi v postopkih izvajanja revizij s strani RO. Naloga OO, po zaključeni reviziji je, da izvede priporočila RO.</w:t>
      </w:r>
    </w:p>
    <w:p w:rsidR="00741801" w:rsidRDefault="002D7A0D">
      <w:pPr>
        <w:spacing w:before="240" w:after="240"/>
        <w:jc w:val="left"/>
      </w:pPr>
      <w:r>
        <w:t xml:space="preserve">Prav tako OO aktivno deluje v okviru monitoringov s strani EK ter predlagane usmeritve aplicira na sistemski okvir izvajanja skladov AMIF in </w:t>
      </w:r>
      <w:r>
        <w:t>ISF.</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r>
        <w:rPr>
          <w:lang w:val="fr-BE"/>
        </w:rPr>
        <w:br w:type="page"/>
      </w:r>
      <w:bookmarkStart w:id="8" w:name="_Toc256000007"/>
      <w:r>
        <w:rPr>
          <w:noProof/>
          <w:lang w:val="fr-BE"/>
        </w:rPr>
        <w:lastRenderedPageBreak/>
        <w:t>6.3 Partnersko sodelovanje pri izvajanju, spremljanju in vrednotenju nacionalnega programa (člen 12(3) Uredbe (EU) št. 514/2014)</w:t>
      </w:r>
      <w:bookmarkEnd w:id="8"/>
    </w:p>
    <w:p w:rsidR="004F1EEC" w:rsidRDefault="004F1EEC" w:rsidP="007C7090">
      <w:pPr>
        <w:pStyle w:val="Text1"/>
        <w:spacing w:before="0" w:after="0"/>
        <w:ind w:left="0"/>
        <w:rPr>
          <w:lang w:val="fr-BE"/>
        </w:rPr>
      </w:pPr>
    </w:p>
    <w:p w:rsidR="004F1EEC" w:rsidRPr="00A1528F" w:rsidRDefault="002D7A0D" w:rsidP="007C7090">
      <w:pPr>
        <w:pStyle w:val="Naslov2"/>
        <w:numPr>
          <w:ilvl w:val="0"/>
          <w:numId w:val="0"/>
        </w:numPr>
        <w:spacing w:before="0" w:after="0"/>
      </w:pPr>
      <w:bookmarkStart w:id="9" w:name="_Toc256000008"/>
      <w:r w:rsidRPr="00A1528F">
        <w:rPr>
          <w:noProof/>
        </w:rPr>
        <w:t>Na kratko opišite glavne prispevke in mnenja partnerjev v proračunskem letu.</w:t>
      </w:r>
      <w:bookmarkEnd w:id="9"/>
    </w:p>
    <w:p w:rsidR="004F1EEC" w:rsidRPr="00A1528F" w:rsidRDefault="004F1EEC" w:rsidP="007C7090">
      <w:pPr>
        <w:pStyle w:val="Text1"/>
        <w:spacing w:before="0" w:after="0"/>
        <w:ind w:left="0"/>
      </w:pPr>
    </w:p>
    <w:p w:rsidR="00741801" w:rsidRDefault="002D7A0D">
      <w:pPr>
        <w:spacing w:before="0" w:after="240"/>
        <w:jc w:val="left"/>
      </w:pPr>
      <w:r>
        <w:t>Za pripravo Nacionalnih programov sklado</w:t>
      </w:r>
      <w:r>
        <w:t>v AMIF in ISF je zadolžena Projektna enota za sklade notranje varnosti in migracije znotraj Službe za evropska sredstva Ministrstva za notranje zadeve (MNZ SES PESNVM).</w:t>
      </w:r>
    </w:p>
    <w:p w:rsidR="00741801" w:rsidRDefault="002D7A0D">
      <w:pPr>
        <w:spacing w:before="240" w:after="240"/>
        <w:jc w:val="left"/>
      </w:pPr>
      <w:r>
        <w:t>- Ves čas </w:t>
      </w:r>
      <w:r>
        <w:rPr>
          <w:u w:val="single"/>
        </w:rPr>
        <w:t>priprave </w:t>
      </w:r>
      <w:r>
        <w:t>NP je MNZ-SES-PESNVM sledila načelu javnosti in publicitete, zato so</w:t>
      </w:r>
      <w:r>
        <w:t xml:space="preserve"> bile dopolnjene različice programov sproti objavljene na spletnem mestu: http://www.mnz.gov.si/si/o_ministrstvu/crpanje_evropskih_sredstev/sklad_za_notranjo_varnost_in_sklad_za_azil_migracije_in_vkljucevanje_2014_2020/priprava_nacionalnih_programov/.</w:t>
      </w:r>
    </w:p>
    <w:p w:rsidR="00741801" w:rsidRDefault="002D7A0D">
      <w:pPr>
        <w:spacing w:before="240" w:after="240"/>
        <w:jc w:val="left"/>
      </w:pPr>
      <w:r>
        <w:t>- MN</w:t>
      </w:r>
      <w:r>
        <w:t>Z-SES-PESNVM </w:t>
      </w:r>
      <w:r>
        <w:rPr>
          <w:u w:val="single"/>
        </w:rPr>
        <w:t>implementacijo</w:t>
      </w:r>
      <w:r>
        <w:t> NP izvaja preko Akcijskega načrta, ki je temeljni in celovit programski dokument namenjen izvajanju skladov AMIF in ISF v Sloveniji. Predstavlja osnovo za prijavo in odobritev projektov s strani OO, na predlog končnih upravičenc</w:t>
      </w:r>
      <w:r>
        <w:t>ev, po odobritvi na NO, in je izvedbeni dokument, ki razčlenjuje NP na projekte s podatki o finančni alokaciji po letih.</w:t>
      </w:r>
    </w:p>
    <w:p w:rsidR="00741801" w:rsidRDefault="002D7A0D">
      <w:pPr>
        <w:spacing w:before="240" w:after="240"/>
        <w:jc w:val="left"/>
      </w:pPr>
      <w:r>
        <w:t>Prispevki partnerjev v času izvajanja NP se v glavnini nanašajo na spodaj zapisane vsebine, vse predloge je OO sprejel. MDS in NO sta o</w:t>
      </w:r>
      <w:r>
        <w:t>bravnavala:</w:t>
      </w:r>
    </w:p>
    <w:p w:rsidR="00741801" w:rsidRDefault="002D7A0D">
      <w:pPr>
        <w:numPr>
          <w:ilvl w:val="0"/>
          <w:numId w:val="41"/>
        </w:numPr>
        <w:spacing w:before="240" w:after="0"/>
        <w:ind w:hanging="210"/>
        <w:jc w:val="left"/>
      </w:pPr>
      <w:r>
        <w:t>predlog OO in pozitiven odziv Centra za tujce za združevanje projektov - načrtovanje sprememb Akcijskega načrta in NP;</w:t>
      </w:r>
    </w:p>
    <w:p w:rsidR="00741801" w:rsidRDefault="002D7A0D">
      <w:pPr>
        <w:numPr>
          <w:ilvl w:val="0"/>
          <w:numId w:val="41"/>
        </w:numPr>
        <w:spacing w:before="0" w:after="0"/>
        <w:ind w:hanging="210"/>
        <w:jc w:val="left"/>
      </w:pPr>
      <w:r>
        <w:t xml:space="preserve">omejen obseg izvajanja aktivnosti določenih ukrepov s strani Centra za tujce zaradi upravičenosti povrnitve stroškov iz </w:t>
      </w:r>
      <w:r>
        <w:t>drugih virov financiranja EU - načrtovanje sprememb Akcijskega načrta in NP;</w:t>
      </w:r>
    </w:p>
    <w:p w:rsidR="00741801" w:rsidRDefault="002D7A0D">
      <w:pPr>
        <w:numPr>
          <w:ilvl w:val="0"/>
          <w:numId w:val="41"/>
        </w:numPr>
        <w:spacing w:before="0" w:after="240"/>
        <w:ind w:hanging="210"/>
        <w:jc w:val="left"/>
      </w:pPr>
      <w:r>
        <w:t>v fazo </w:t>
      </w:r>
      <w:r>
        <w:rPr>
          <w:u w:val="single"/>
        </w:rPr>
        <w:t>vrednotenja</w:t>
      </w:r>
      <w:r>
        <w:t> NP so vključena vsa pristojna ministrstva/organi kot tudi predstavniki NVO preko delovanja Medresorske delovne skupine za koordinacijo in operativno usklajevanj</w:t>
      </w:r>
      <w:r>
        <w:t>e izvajanja projektov, ki se financirajo iz sredstev AMIF in ISF kot tudi preko NO. V fazi vrednotenja izvajanja napredka je pristojnost odločanja na NO, ki o tem seznani tudi Vlado Slovenije.</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Default="002D7A0D" w:rsidP="007C7090">
      <w:pPr>
        <w:pStyle w:val="Naslov2"/>
        <w:numPr>
          <w:ilvl w:val="0"/>
          <w:numId w:val="0"/>
        </w:numPr>
        <w:spacing w:before="0" w:after="0"/>
        <w:rPr>
          <w:lang w:val="fr-BE"/>
        </w:rPr>
      </w:pPr>
      <w:r w:rsidRPr="00A1528F">
        <w:br w:type="page"/>
      </w:r>
      <w:bookmarkStart w:id="10" w:name="_Toc256000009"/>
      <w:r>
        <w:rPr>
          <w:noProof/>
          <w:lang w:val="fr-BE"/>
        </w:rPr>
        <w:lastRenderedPageBreak/>
        <w:t>6.4 Obveščanje in objavljanje (člen 48 Uredbe (EU) št. 514/2</w:t>
      </w:r>
      <w:r>
        <w:rPr>
          <w:noProof/>
          <w:lang w:val="fr-BE"/>
        </w:rPr>
        <w:t>014)</w:t>
      </w:r>
      <w:bookmarkEnd w:id="10"/>
    </w:p>
    <w:p w:rsidR="004F1EEC"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bookmarkStart w:id="11" w:name="_Toc256000010"/>
      <w:r>
        <w:rPr>
          <w:noProof/>
          <w:lang w:val="fr-BE"/>
        </w:rPr>
        <w:t>Navedite povezavo do spletišča programa.</w:t>
      </w:r>
      <w:bookmarkEnd w:id="11"/>
    </w:p>
    <w:p w:rsidR="004F1EEC" w:rsidRDefault="002D7A0D" w:rsidP="007C7090">
      <w:pPr>
        <w:pStyle w:val="Naslov2"/>
        <w:numPr>
          <w:ilvl w:val="0"/>
          <w:numId w:val="0"/>
        </w:numPr>
        <w:spacing w:before="0" w:after="0"/>
        <w:rPr>
          <w:lang w:val="fr-BE"/>
        </w:rPr>
      </w:pPr>
      <w:bookmarkStart w:id="12" w:name="_Toc256000011"/>
      <w:r>
        <w:rPr>
          <w:noProof/>
          <w:lang w:val="fr-BE"/>
        </w:rPr>
        <w:t>Navedite glavne dejavnosti obveščanja in objavljanja, izvedene v proračunskem letu. Priložiti je treba primere gradiva.</w:t>
      </w:r>
      <w:bookmarkEnd w:id="12"/>
    </w:p>
    <w:p w:rsidR="004F1EEC" w:rsidRDefault="004F1EEC" w:rsidP="007C7090">
      <w:pPr>
        <w:pStyle w:val="Text1"/>
        <w:spacing w:before="0" w:after="0"/>
        <w:ind w:left="0"/>
        <w:rPr>
          <w:lang w:val="fr-BE"/>
        </w:rPr>
      </w:pPr>
    </w:p>
    <w:p w:rsidR="00741801" w:rsidRDefault="002D7A0D">
      <w:pPr>
        <w:spacing w:before="0" w:after="240"/>
        <w:jc w:val="left"/>
      </w:pPr>
      <w:r>
        <w:t>V letu 2019 so bile izvedene sledeče dejavnosti s ciljem obveščanja javnosti:</w:t>
      </w:r>
    </w:p>
    <w:p w:rsidR="00741801" w:rsidRDefault="002D7A0D">
      <w:pPr>
        <w:spacing w:before="240" w:after="240"/>
        <w:jc w:val="left"/>
      </w:pPr>
      <w:r>
        <w:t> </w:t>
      </w:r>
    </w:p>
    <w:p w:rsidR="00741801" w:rsidRDefault="002D7A0D">
      <w:pPr>
        <w:spacing w:before="240" w:after="240"/>
        <w:jc w:val="left"/>
      </w:pPr>
      <w:r>
        <w:t>1. Nacio</w:t>
      </w:r>
      <w:r>
        <w:t>nalna programa AMIF in ISF ter informacije glede sofinanciranih projektov so objavljene na spletni strani: http://www.mnz.gov.si/si/o_ministrstvu/crpanje_evropskih_sredstev/</w:t>
      </w:r>
    </w:p>
    <w:p w:rsidR="00741801" w:rsidRDefault="002D7A0D">
      <w:pPr>
        <w:spacing w:before="240" w:after="240"/>
        <w:jc w:val="left"/>
      </w:pPr>
      <w:r>
        <w:t>2. Na spletni strani objavljena Nacionalna pravila o upravičenih stroških Sklada z</w:t>
      </w:r>
      <w:r>
        <w:t>a azil, migracije in vključevanje ter Sklada za notranjo varnost za obdobje 2014-2020 (različica 1.5)</w:t>
      </w:r>
    </w:p>
    <w:p w:rsidR="00741801" w:rsidRDefault="002D7A0D">
      <w:pPr>
        <w:spacing w:before="240" w:after="240"/>
        <w:jc w:val="left"/>
      </w:pPr>
      <w:r>
        <w:t>http://www.mnz.gov.si/si/o_ministrstvu/crpanje_evropskih_sredstev/sklad_za_notranjo_varnost_in_sklad_za_azil_migracije_in_vkljucevanje_2014_2020/prirocnik</w:t>
      </w:r>
      <w:r>
        <w:t>i_pravilniki_in_navodila/</w:t>
      </w:r>
    </w:p>
    <w:p w:rsidR="00741801" w:rsidRDefault="002D7A0D">
      <w:pPr>
        <w:spacing w:before="240" w:after="240"/>
        <w:jc w:val="left"/>
      </w:pPr>
      <w:r>
        <w:t>3. Spletna objava nove verzije Priročnika za izvajanje Sklada za azil, migracije in vključevanje ter Sklada za notranjo varnost (različica 1.3) z vsemi prilogami (maj 2019)</w:t>
      </w:r>
    </w:p>
    <w:p w:rsidR="00741801" w:rsidRDefault="002D7A0D">
      <w:pPr>
        <w:spacing w:before="240" w:after="240"/>
        <w:jc w:val="left"/>
      </w:pPr>
      <w:r>
        <w:t>http://www.mnz.gov.si/si/o_ministrstvu/crpanje_evropskih_</w:t>
      </w:r>
      <w:r>
        <w:t>sredstev/sklad_za_notranjo_varnost_in_sklad_za_azil_migracije_in_vkljucevanje_2014_2020/prirocniki_pravilniki_in_navodila/</w:t>
      </w:r>
    </w:p>
    <w:p w:rsidR="00741801" w:rsidRDefault="002D7A0D">
      <w:pPr>
        <w:spacing w:before="240" w:after="240"/>
        <w:jc w:val="left"/>
      </w:pPr>
      <w:r>
        <w:t>4. Spletna objava programskih dokumentov odgovornega organa v rubriki "Spremljanje, vrednotenje in poročanje"</w:t>
      </w:r>
    </w:p>
    <w:p w:rsidR="00741801" w:rsidRDefault="002D7A0D">
      <w:pPr>
        <w:spacing w:before="240" w:after="240"/>
        <w:jc w:val="left"/>
      </w:pPr>
      <w:r>
        <w:t>http://www.mnz.gov.si/si/o_ministrstvu/crpanje_evropskih_sredstev/sklad_za_notranjo_varnost_in_sklad_za_azil_migracije_in_vkljucevanje_2014_2020/spremljanje_vrednotenje_in_porocanje/</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Pr="00A1528F" w:rsidRDefault="002D7A0D" w:rsidP="007C7090">
      <w:pPr>
        <w:pStyle w:val="Naslov2"/>
        <w:numPr>
          <w:ilvl w:val="0"/>
          <w:numId w:val="0"/>
        </w:numPr>
        <w:spacing w:before="0" w:after="0"/>
      </w:pPr>
      <w:r w:rsidRPr="00A1528F">
        <w:br w:type="page"/>
      </w:r>
      <w:bookmarkStart w:id="13" w:name="_Toc256000012"/>
      <w:r w:rsidRPr="00A1528F">
        <w:rPr>
          <w:noProof/>
        </w:rPr>
        <w:lastRenderedPageBreak/>
        <w:t xml:space="preserve">6.5 Dopolnjevanje z drugimi instrumenti Unije (člen 14(2)(e) in </w:t>
      </w:r>
      <w:r w:rsidRPr="00A1528F">
        <w:rPr>
          <w:noProof/>
        </w:rPr>
        <w:t>14(5)(f) Uredbe (EU) št. 514/2014)</w:t>
      </w:r>
      <w:bookmarkEnd w:id="13"/>
    </w:p>
    <w:p w:rsidR="004F1EEC" w:rsidRPr="00A1528F" w:rsidRDefault="004F1EEC" w:rsidP="007C7090">
      <w:pPr>
        <w:pStyle w:val="Text1"/>
        <w:spacing w:before="0" w:after="0"/>
        <w:ind w:left="0"/>
      </w:pPr>
    </w:p>
    <w:p w:rsidR="004F1EEC" w:rsidRDefault="002D7A0D" w:rsidP="007C7090">
      <w:pPr>
        <w:pStyle w:val="Naslov2"/>
        <w:numPr>
          <w:ilvl w:val="0"/>
          <w:numId w:val="0"/>
        </w:numPr>
        <w:spacing w:before="0" w:after="0"/>
        <w:rPr>
          <w:lang w:val="fr-BE"/>
        </w:rPr>
      </w:pPr>
      <w:bookmarkStart w:id="14" w:name="_Toc256000013"/>
      <w:r>
        <w:rPr>
          <w:noProof/>
          <w:lang w:val="fr-BE"/>
        </w:rPr>
        <w:t>Na kratko opišite glavne ukrepe in posvetovanja, ki so bili izvedeni zaradi usklajevanja z naslednjimi drugimi instrumenti Unije:</w:t>
      </w:r>
      <w:bookmarkEnd w:id="14"/>
    </w:p>
    <w:p w:rsidR="004F1EEC" w:rsidRPr="00E30D80" w:rsidRDefault="002D7A0D" w:rsidP="007C7090">
      <w:pPr>
        <w:pStyle w:val="Text1"/>
        <w:numPr>
          <w:ilvl w:val="0"/>
          <w:numId w:val="36"/>
        </w:numPr>
        <w:spacing w:before="0" w:after="0"/>
        <w:ind w:left="0"/>
        <w:jc w:val="left"/>
        <w:rPr>
          <w:lang w:val="fr-BE"/>
        </w:rPr>
      </w:pPr>
      <w:r>
        <w:rPr>
          <w:noProof/>
          <w:lang w:val="fr-BE"/>
        </w:rPr>
        <w:t>evropski strukturni in investicijski skladi (Evropski sklad za regionalni razvoj, Evropski</w:t>
      </w:r>
      <w:r>
        <w:rPr>
          <w:noProof/>
          <w:lang w:val="fr-BE"/>
        </w:rPr>
        <w:t xml:space="preserve"> socialni sklad, Kohezijski sklad, Evropski kmetijski sklad za razvoj podeželja, Evropski sklad za pomorstvo in ribištvo),</w:t>
      </w:r>
    </w:p>
    <w:p w:rsidR="004F1EEC" w:rsidRPr="00E30D80" w:rsidRDefault="002D7A0D" w:rsidP="007C7090">
      <w:pPr>
        <w:pStyle w:val="Text1"/>
        <w:numPr>
          <w:ilvl w:val="0"/>
          <w:numId w:val="36"/>
        </w:numPr>
        <w:spacing w:before="0" w:after="0"/>
        <w:ind w:left="0"/>
        <w:jc w:val="left"/>
        <w:rPr>
          <w:lang w:val="fr-BE"/>
        </w:rPr>
      </w:pPr>
      <w:r>
        <w:rPr>
          <w:lang w:val="fr-BE"/>
        </w:rPr>
        <w:t xml:space="preserve">drugi skladi ali programi EU (npr. programa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p>
    <w:p w:rsidR="004F1EEC" w:rsidRPr="00E30D80" w:rsidRDefault="002D7A0D" w:rsidP="007C7090">
      <w:pPr>
        <w:pStyle w:val="Text1"/>
        <w:numPr>
          <w:ilvl w:val="0"/>
          <w:numId w:val="36"/>
        </w:numPr>
        <w:spacing w:before="0" w:after="0"/>
        <w:ind w:left="0"/>
        <w:jc w:val="left"/>
        <w:rPr>
          <w:lang w:val="fr-BE"/>
        </w:rPr>
      </w:pPr>
      <w:r>
        <w:rPr>
          <w:noProof/>
          <w:lang w:val="fr-BE"/>
        </w:rPr>
        <w:t>instrumenti EU za zunanje odnose (npr. instrument za predpristopno pomoč, evropski instrument sosedstva in partnerstva, instrument za stabilnost), kar zadeva ukrepe v tretjih državah oziroma odnose z njimi.</w:t>
      </w:r>
    </w:p>
    <w:p w:rsidR="004F1EEC" w:rsidRDefault="004F1EEC" w:rsidP="007C7090">
      <w:pPr>
        <w:pStyle w:val="Text1"/>
        <w:spacing w:before="0" w:after="0"/>
        <w:ind w:left="0"/>
        <w:rPr>
          <w:lang w:val="fr-BE"/>
        </w:rPr>
      </w:pPr>
    </w:p>
    <w:p w:rsidR="00741801" w:rsidRDefault="002D7A0D">
      <w:pPr>
        <w:spacing w:before="0" w:after="240"/>
        <w:jc w:val="left"/>
      </w:pPr>
      <w:r>
        <w:t>OO zagotavlja komplementarnost preko različnih r</w:t>
      </w:r>
      <w:r>
        <w:t>avni organizacijske strukture:</w:t>
      </w:r>
    </w:p>
    <w:p w:rsidR="00741801" w:rsidRDefault="002D7A0D">
      <w:pPr>
        <w:numPr>
          <w:ilvl w:val="0"/>
          <w:numId w:val="42"/>
        </w:numPr>
        <w:spacing w:before="240" w:after="0"/>
        <w:ind w:hanging="210"/>
        <w:jc w:val="left"/>
      </w:pPr>
      <w:r>
        <w:t>hierarhično na najvišji ravni (Nadzorni odbor), v katerem so v skladu z načelom partnerstva zastopana vsa ministrstva/telesa, ki so vključena v izvajanje AMIF in ISF. Sestavljajo ga predstavniki državnih organov - pristojni o</w:t>
      </w:r>
      <w:r>
        <w:t xml:space="preserve">rgani MCS, drugi organi, katerih pristojnosti (delno) vsebinsko zadevajo tudi projekte, ki se financirajo iz AMIF in ISF, predstavnik nevladnih organizacij ter predstavnik Službe vlade RS za razvoj in evropsko kohezijsko politiko - z namenom zagotavljanja </w:t>
      </w:r>
      <w:r>
        <w:t>skladnosti in dopolnjevanja z drugimi finančnimi instrumenti EU.</w:t>
      </w:r>
    </w:p>
    <w:p w:rsidR="00741801" w:rsidRDefault="002D7A0D">
      <w:pPr>
        <w:numPr>
          <w:ilvl w:val="0"/>
          <w:numId w:val="42"/>
        </w:numPr>
        <w:spacing w:before="0" w:after="0"/>
        <w:ind w:hanging="210"/>
        <w:jc w:val="left"/>
      </w:pPr>
      <w:r>
        <w:t xml:space="preserve">Na ravni Medresorske delovne skupine (MDS), ki deluje kot operativna delovna skupina Nadzornega odbora, velja enako pravilo sestave članstva kot pri Nadzornem odboru, z namenom zagotavljanja </w:t>
      </w:r>
      <w:r>
        <w:t>skladnosti in dopolnjevanja z drugimi finančnimi instrumenti EU tudi v MDS sodeluje predstavnik Službe vlade RS za razvoj in evropsko kohezijsko politiko.</w:t>
      </w:r>
    </w:p>
    <w:p w:rsidR="00741801" w:rsidRDefault="002D7A0D">
      <w:pPr>
        <w:numPr>
          <w:ilvl w:val="0"/>
          <w:numId w:val="42"/>
        </w:numPr>
        <w:spacing w:before="0" w:after="240"/>
        <w:ind w:hanging="210"/>
        <w:jc w:val="left"/>
      </w:pPr>
      <w:r>
        <w:t>Na ravni projekta se komplementarnost zagotavlja že v okviru faze prijave projekta, v kateri mora kon</w:t>
      </w:r>
      <w:r>
        <w:t>čni upravičenec (oz. vodja projekta) za vsak projekt, ki je odobren s strani OO, kot upravičenec do finančnih sredstev AMIF in ISF podati informacijo o komplementarnosti z drugimi projekti oz. viri financiranja, kadar je to relevantno.</w:t>
      </w:r>
    </w:p>
    <w:p w:rsidR="00741801" w:rsidRDefault="002D7A0D">
      <w:pPr>
        <w:spacing w:before="240" w:after="240"/>
        <w:jc w:val="left"/>
      </w:pPr>
      <w:r>
        <w:t> </w:t>
      </w:r>
    </w:p>
    <w:p w:rsidR="00741801" w:rsidRDefault="002D7A0D">
      <w:pPr>
        <w:spacing w:before="240" w:after="240"/>
        <w:jc w:val="left"/>
      </w:pPr>
      <w:r>
        <w:t xml:space="preserve">V letu 2019 je OO </w:t>
      </w:r>
      <w:r>
        <w:t>vpeljal prakso, da na rednih sejah MDS, resorji predstavijo možnosti dopolnjevanja skladov AMIF in ISF z drugimi evropskimi skladi ali finančnimi instrumenti. Informacija glede dopolnjevanja z drugimi evropskimi skladi ali finančnimi instrumenti z delovneg</w:t>
      </w:r>
      <w:r>
        <w:t>a področja posameznih resorjev je bila točka dnevnega reda 6. sestanka Medresorske delovne skupine za koordinacijo in operativno usklajevanje izvajanja projektov, ki se financirajo iz sredstev skladov s področja notranje varnosti in migracij, 15.4.2019. Pr</w:t>
      </w:r>
      <w:r>
        <w:t>edstavitev glede možnosti dopolnjevanja skladov AMIF in ISF z drugimi evropskimi skladi ali finančnimi instrumenti je tudi redna točka sej NO, ki se je prvič seznanil s tematiko na 12. seji, 9. 5. 2019.</w:t>
      </w: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r>
        <w:rPr>
          <w:lang w:val="fr-BE"/>
        </w:rPr>
        <w:br w:type="page"/>
      </w:r>
      <w:bookmarkStart w:id="15" w:name="_Toc256000014"/>
      <w:r>
        <w:rPr>
          <w:noProof/>
          <w:lang w:val="fr-BE"/>
        </w:rPr>
        <w:lastRenderedPageBreak/>
        <w:t>6.6 Neposredna oddaja naročila</w:t>
      </w:r>
      <w:bookmarkEnd w:id="15"/>
    </w:p>
    <w:p w:rsidR="004F1EEC"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bookmarkStart w:id="16" w:name="_Toc256000015"/>
      <w:r>
        <w:rPr>
          <w:noProof/>
          <w:lang w:val="fr-BE"/>
        </w:rPr>
        <w:t xml:space="preserve">Utemeljite vsak </w:t>
      </w:r>
      <w:r>
        <w:rPr>
          <w:noProof/>
          <w:lang w:val="fr-BE"/>
        </w:rPr>
        <w:t>primer neposredne dodelitve.</w:t>
      </w:r>
      <w:bookmarkEnd w:id="16"/>
    </w:p>
    <w:p w:rsidR="004F1EEC" w:rsidRDefault="004F1EEC" w:rsidP="007C7090">
      <w:pPr>
        <w:pStyle w:val="Text1"/>
        <w:spacing w:before="0" w:after="0"/>
        <w:ind w:left="0"/>
        <w:rPr>
          <w:lang w:val="fr-BE"/>
        </w:rPr>
      </w:pPr>
    </w:p>
    <w:p w:rsidR="00741801" w:rsidRDefault="002D7A0D">
      <w:pPr>
        <w:spacing w:before="0" w:after="240"/>
        <w:jc w:val="left"/>
      </w:pPr>
      <w:r>
        <w:t>V letu 2019 je bilo preko neposredne dodelitve odobrenih 66 projektov končnih upravičencev, v vseh primerih zaradi narave projekta oz. legalnega monopola končnega upravičenca.</w:t>
      </w:r>
    </w:p>
    <w:p w:rsidR="00741801" w:rsidRDefault="002D7A0D">
      <w:pPr>
        <w:spacing w:before="240" w:after="240"/>
        <w:jc w:val="left"/>
      </w:pPr>
      <w:r>
        <w:t xml:space="preserve">Dokument "Implementacijsko poročilo 2019 – seznam </w:t>
      </w:r>
      <w:r>
        <w:t>projektov ISF in utemeljitev glede načina dodelitve" je pripet v rubriki "Dokumenti".</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2D7A0D" w:rsidP="007C7090">
      <w:pPr>
        <w:pStyle w:val="Naslov1"/>
        <w:numPr>
          <w:ilvl w:val="0"/>
          <w:numId w:val="0"/>
        </w:numPr>
        <w:spacing w:before="0" w:after="0"/>
        <w:rPr>
          <w:lang w:val="fr-BE"/>
        </w:rPr>
      </w:pPr>
      <w:r>
        <w:rPr>
          <w:lang w:val="fr-BE"/>
        </w:rPr>
        <w:br w:type="page"/>
      </w:r>
      <w:bookmarkStart w:id="17" w:name="_Toc256000016"/>
      <w:r>
        <w:rPr>
          <w:noProof/>
          <w:lang w:val="fr-BE"/>
        </w:rPr>
        <w:lastRenderedPageBreak/>
        <w:t>ODDELEK 7: FINANČNO POROČILO (ČLEN 54(2)(A) UREDBE (EU) ŠT. 514/2014)</w:t>
      </w:r>
      <w:bookmarkEnd w:id="17"/>
    </w:p>
    <w:p w:rsidR="004F1EEC"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bookmarkStart w:id="18" w:name="_Toc256000017"/>
      <w:r>
        <w:rPr>
          <w:noProof/>
          <w:lang w:val="fr-BE"/>
        </w:rPr>
        <w:t>Preglednica 1. ISF – finančni povzetek za meje, kot je bil prijavljen v Obračunih</w:t>
      </w:r>
      <w:bookmarkEnd w:id="18"/>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2772"/>
        <w:gridCol w:w="766"/>
        <w:gridCol w:w="2773"/>
        <w:gridCol w:w="766"/>
      </w:tblGrid>
      <w:tr w:rsidR="00741801" w:rsidTr="006B7AC0">
        <w:tc>
          <w:tcPr>
            <w:tcW w:w="0" w:type="auto"/>
            <w:shd w:val="clear" w:color="auto" w:fill="auto"/>
          </w:tcPr>
          <w:p w:rsidR="006B7AC0" w:rsidRPr="004A389B" w:rsidRDefault="002D7A0D" w:rsidP="007C7090">
            <w:pPr>
              <w:pStyle w:val="Text1"/>
              <w:spacing w:before="0" w:after="0"/>
              <w:ind w:left="0"/>
              <w:rPr>
                <w:b/>
                <w:sz w:val="20"/>
                <w:szCs w:val="20"/>
                <w:lang w:val="fr-BE"/>
              </w:rPr>
            </w:pPr>
            <w:r w:rsidRPr="004A389B">
              <w:rPr>
                <w:b/>
                <w:noProof/>
                <w:sz w:val="20"/>
                <w:szCs w:val="20"/>
                <w:lang w:val="fr-BE"/>
              </w:rPr>
              <w:t>Nacionalni ci</w:t>
            </w:r>
            <w:r w:rsidRPr="004A389B">
              <w:rPr>
                <w:b/>
                <w:noProof/>
                <w:sz w:val="20"/>
                <w:szCs w:val="20"/>
                <w:lang w:val="fr-BE"/>
              </w:rPr>
              <w:t>lj / Specifični ukrep</w:t>
            </w:r>
          </w:p>
        </w:tc>
        <w:tc>
          <w:tcPr>
            <w:tcW w:w="0" w:type="auto"/>
          </w:tcPr>
          <w:p w:rsidR="006B7AC0" w:rsidRPr="004A389B" w:rsidRDefault="002D7A0D" w:rsidP="007C7090">
            <w:pPr>
              <w:pStyle w:val="Text1"/>
              <w:spacing w:before="0" w:after="0"/>
              <w:ind w:left="0"/>
              <w:jc w:val="left"/>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2019</w:t>
            </w:r>
          </w:p>
        </w:tc>
        <w:tc>
          <w:tcPr>
            <w:tcW w:w="0" w:type="auto"/>
          </w:tcPr>
          <w:p w:rsidR="006B7AC0" w:rsidRPr="004A389B" w:rsidRDefault="008C3550"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6B7AC0" w:rsidRPr="004A389B" w:rsidRDefault="002D7A0D"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6B7AC0" w:rsidRPr="004A389B" w:rsidRDefault="002D7A0D" w:rsidP="007C7090">
            <w:pPr>
              <w:pStyle w:val="Text1"/>
              <w:spacing w:before="0" w:after="0"/>
              <w:ind w:left="0"/>
              <w:jc w:val="center"/>
              <w:rPr>
                <w:b/>
                <w:sz w:val="20"/>
                <w:szCs w:val="20"/>
                <w:lang w:val="fr-BE"/>
              </w:rPr>
            </w:pPr>
            <w:r w:rsidRPr="004A389B">
              <w:rPr>
                <w:b/>
                <w:sz w:val="20"/>
                <w:szCs w:val="20"/>
                <w:lang w:val="fr-BE"/>
              </w:rPr>
              <w:t>%</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Posebni cilj1.Nacionalni cilj1 Nacionalne zmogljivosti</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215.777,50</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862.127,44</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97,60</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Posebni cilj1.Nacionalni cilj2 Pravni red Unije</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0,00</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21.217,44</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2,40</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215.777,50</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883.344,88</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100,00</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b/>
                <w:noProof/>
                <w:sz w:val="20"/>
                <w:szCs w:val="20"/>
              </w:rPr>
              <w:t>SKUPAJ Posebni cilj1</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215.777,50</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5,00</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883.344,88</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6,50</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Posebni cilj2.Nacionalni cilj1 EUROSUR</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13.411,61</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1,22</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952.015,36</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23,93</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 xml:space="preserve">Posebni cilj2.Nacionalni cilj2 </w:t>
            </w:r>
            <w:r w:rsidRPr="004A389B">
              <w:rPr>
                <w:noProof/>
                <w:sz w:val="20"/>
                <w:szCs w:val="20"/>
              </w:rPr>
              <w:t>Izmenjava informacij</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35.942,44</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3,28</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248.204,90</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6,24</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Posebni cilj2.Nacionalni cilj3 Skupni standardi Unije</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3.201,27</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0,29</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10.302,89</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0,26</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Posebni cilj2.Nacionalni cilj4 Pravni red Unije</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384.532,57</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35,10</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777.779,88</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19,55</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 xml:space="preserve">Posebni cilj2.Nacionalni cilj5 </w:t>
            </w:r>
            <w:r w:rsidRPr="004A389B">
              <w:rPr>
                <w:noProof/>
                <w:sz w:val="20"/>
                <w:szCs w:val="20"/>
              </w:rPr>
              <w:t>Prihodnji izzivi</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186.151,28</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16,99</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674.345,93</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16,95</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Posebni cilj2.Nacionalni cilj6 Nacionalne zmogljivosti</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472.436,96</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43,12</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1.315.733,29</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33,07</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1.095.676,13</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3.978.382,25</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100,00</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b/>
                <w:noProof/>
                <w:sz w:val="20"/>
                <w:szCs w:val="20"/>
              </w:rPr>
              <w:t>SKUPAJ Posebni cilj2</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1.095.676,13</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25,39</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3.978.382,25</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29,27</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Posebni cilj3.Nacionalni cilj1 Operativna podpora za vizume</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478.926,21</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17,79</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1.561.125,91</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19,19</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Posebni cilj3.Nacionalni cilj2 Operativna podpora za meje</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2.213.334,31</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82,21</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6.574.006,71</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80,81</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b/>
                <w:noProof/>
                <w:sz w:val="20"/>
                <w:szCs w:val="20"/>
              </w:rPr>
              <w:t>SKUPAJ NACIONALNI CILJI</w:t>
            </w:r>
            <w:r w:rsidRPr="004A389B">
              <w:rPr>
                <w:b/>
                <w:noProof/>
                <w:sz w:val="20"/>
                <w:szCs w:val="20"/>
              </w:rPr>
              <w:t xml:space="preserve"> / POSEBNI CILJI3</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2.692.260,52</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8.135.132,62</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100,00</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b/>
                <w:noProof/>
                <w:sz w:val="20"/>
                <w:szCs w:val="20"/>
              </w:rPr>
              <w:t>SKUPAJ Posebni cilj3</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2.692.260,52</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62,39</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8.135.132,62</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59,85</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sz w:val="20"/>
                <w:szCs w:val="20"/>
              </w:rPr>
              <w:t>Tehnična pomoč – meje</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311.358,47</w:t>
            </w:r>
          </w:p>
        </w:tc>
        <w:tc>
          <w:tcPr>
            <w:tcW w:w="0" w:type="auto"/>
          </w:tcPr>
          <w:p w:rsidR="006B7AC0" w:rsidRPr="004A389B" w:rsidRDefault="002D7A0D" w:rsidP="007C7090">
            <w:pPr>
              <w:pStyle w:val="Text1"/>
              <w:spacing w:before="0" w:after="0"/>
              <w:ind w:left="0"/>
              <w:jc w:val="right"/>
              <w:rPr>
                <w:sz w:val="20"/>
                <w:szCs w:val="20"/>
                <w:lang w:val="fr-BE"/>
              </w:rPr>
            </w:pPr>
            <w:r w:rsidRPr="004A389B">
              <w:rPr>
                <w:noProof/>
                <w:sz w:val="20"/>
                <w:szCs w:val="20"/>
              </w:rPr>
              <w:t>7,22</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596.554,13</w:t>
            </w: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sz w:val="20"/>
                <w:szCs w:val="20"/>
              </w:rPr>
              <w:t>4,39</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b/>
                <w:noProof/>
                <w:sz w:val="20"/>
                <w:szCs w:val="20"/>
              </w:rPr>
              <w:t>TOTAL</w:t>
            </w:r>
          </w:p>
        </w:tc>
        <w:tc>
          <w:tcPr>
            <w:tcW w:w="0" w:type="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4.315.072,62</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b/>
                <w:noProof/>
                <w:sz w:val="20"/>
                <w:szCs w:val="20"/>
              </w:rPr>
              <w:t>13.593.413,88</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color w:val="FF0000"/>
                <w:sz w:val="20"/>
                <w:szCs w:val="20"/>
              </w:rPr>
              <w:t>PC1.NC1 + PC2.NC6 + PC3 / Osnovna dodelitev iz</w:t>
            </w:r>
            <w:r w:rsidRPr="004A389B">
              <w:rPr>
                <w:noProof/>
                <w:color w:val="FF0000"/>
                <w:sz w:val="20"/>
                <w:szCs w:val="20"/>
              </w:rPr>
              <w:t xml:space="preserve">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2D7A0D" w:rsidP="007C7090">
            <w:pPr>
              <w:pStyle w:val="Text1"/>
              <w:spacing w:before="0" w:after="0"/>
              <w:ind w:left="0"/>
              <w:jc w:val="right"/>
              <w:rPr>
                <w:sz w:val="20"/>
                <w:szCs w:val="20"/>
                <w:lang w:val="fr-BE"/>
              </w:rPr>
            </w:pPr>
            <w:r>
              <w:rPr>
                <w:noProof/>
                <w:color w:val="FF0000"/>
                <w:sz w:val="20"/>
                <w:szCs w:val="20"/>
              </w:rPr>
              <w:t>7,26</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color w:val="FF0000"/>
                <w:sz w:val="20"/>
                <w:szCs w:val="20"/>
              </w:rPr>
              <w:t>22,16</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color w:val="FF0000"/>
                <w:sz w:val="20"/>
                <w:szCs w:val="20"/>
              </w:rPr>
              <w:t>PC2.NC1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2D7A0D" w:rsidP="007C7090">
            <w:pPr>
              <w:pStyle w:val="Text1"/>
              <w:spacing w:before="0" w:after="0"/>
              <w:ind w:left="0"/>
              <w:jc w:val="right"/>
              <w:rPr>
                <w:sz w:val="20"/>
                <w:szCs w:val="20"/>
                <w:lang w:val="fr-BE"/>
              </w:rPr>
            </w:pPr>
            <w:r>
              <w:rPr>
                <w:noProof/>
                <w:color w:val="FF0000"/>
                <w:sz w:val="20"/>
                <w:szCs w:val="20"/>
              </w:rPr>
              <w:t>0,03</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color w:val="FF0000"/>
                <w:sz w:val="20"/>
                <w:szCs w:val="20"/>
              </w:rPr>
              <w:t>2,05</w:t>
            </w:r>
          </w:p>
        </w:tc>
      </w:tr>
      <w:tr w:rsidR="00741801" w:rsidTr="006B7AC0">
        <w:tc>
          <w:tcPr>
            <w:tcW w:w="0" w:type="auto"/>
            <w:shd w:val="clear" w:color="auto" w:fill="auto"/>
          </w:tcPr>
          <w:p w:rsidR="006B7AC0" w:rsidRPr="004A389B" w:rsidRDefault="002D7A0D" w:rsidP="007C7090">
            <w:pPr>
              <w:pStyle w:val="Text1"/>
              <w:spacing w:before="0" w:after="0"/>
              <w:ind w:left="0"/>
              <w:rPr>
                <w:sz w:val="20"/>
                <w:szCs w:val="20"/>
                <w:lang w:val="fr-BE"/>
              </w:rPr>
            </w:pPr>
            <w:r w:rsidRPr="004A389B">
              <w:rPr>
                <w:noProof/>
                <w:color w:val="FF0000"/>
                <w:sz w:val="20"/>
                <w:szCs w:val="20"/>
              </w:rPr>
              <w:t>PC1.NC3 + PC2.NC2 + PC2.NC3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2D7A0D" w:rsidP="007C7090">
            <w:pPr>
              <w:pStyle w:val="Text1"/>
              <w:spacing w:before="0" w:after="0"/>
              <w:ind w:left="0"/>
              <w:jc w:val="right"/>
              <w:rPr>
                <w:sz w:val="20"/>
                <w:szCs w:val="20"/>
                <w:lang w:val="fr-BE"/>
              </w:rPr>
            </w:pPr>
            <w:r>
              <w:rPr>
                <w:noProof/>
                <w:color w:val="FF0000"/>
                <w:sz w:val="20"/>
                <w:szCs w:val="20"/>
              </w:rPr>
              <w:t>0,08</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2D7A0D" w:rsidP="007C7090">
            <w:pPr>
              <w:pStyle w:val="Text1"/>
              <w:spacing w:before="0" w:after="0"/>
              <w:ind w:left="0"/>
              <w:jc w:val="right"/>
              <w:rPr>
                <w:sz w:val="20"/>
                <w:szCs w:val="20"/>
                <w:lang w:val="fr-BE"/>
              </w:rPr>
            </w:pPr>
            <w:r w:rsidRPr="004A389B">
              <w:rPr>
                <w:noProof/>
                <w:color w:val="FF0000"/>
                <w:sz w:val="20"/>
                <w:szCs w:val="20"/>
              </w:rPr>
              <w:t>0,56</w:t>
            </w:r>
          </w:p>
        </w:tc>
      </w:tr>
    </w:tbl>
    <w:p w:rsidR="004F1EEC" w:rsidRDefault="004F1EEC" w:rsidP="007C7090">
      <w:pPr>
        <w:pStyle w:val="Text1"/>
        <w:spacing w:before="0" w:after="0"/>
        <w:ind w:left="0"/>
        <w:rPr>
          <w:lang w:val="fr-BE"/>
        </w:rPr>
      </w:pPr>
    </w:p>
    <w:p w:rsidR="004F1EEC" w:rsidRDefault="002D7A0D" w:rsidP="007C7090">
      <w:pPr>
        <w:pStyle w:val="Naslov2"/>
        <w:numPr>
          <w:ilvl w:val="0"/>
          <w:numId w:val="0"/>
        </w:numPr>
        <w:spacing w:before="0" w:after="0"/>
        <w:rPr>
          <w:lang w:val="fr-BE"/>
        </w:rPr>
      </w:pPr>
      <w:r>
        <w:rPr>
          <w:lang w:val="fr-BE"/>
        </w:rPr>
        <w:br w:type="page"/>
      </w:r>
      <w:bookmarkStart w:id="19" w:name="_Toc256000018"/>
      <w:r>
        <w:rPr>
          <w:noProof/>
          <w:lang w:val="fr-BE"/>
        </w:rPr>
        <w:lastRenderedPageBreak/>
        <w:t>Preglednica 2. ISF – finančni povzetek za policijo, kot je bil prijavljen v Obračunih</w:t>
      </w:r>
      <w:bookmarkEnd w:id="19"/>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35"/>
        <w:gridCol w:w="766"/>
        <w:gridCol w:w="2698"/>
        <w:gridCol w:w="666"/>
      </w:tblGrid>
      <w:tr w:rsidR="00741801" w:rsidTr="00045D3D">
        <w:tc>
          <w:tcPr>
            <w:tcW w:w="0" w:type="auto"/>
            <w:shd w:val="clear" w:color="auto" w:fill="auto"/>
          </w:tcPr>
          <w:p w:rsidR="00045D3D" w:rsidRPr="004A389B" w:rsidRDefault="002D7A0D" w:rsidP="007C7090">
            <w:pPr>
              <w:pStyle w:val="Text1"/>
              <w:spacing w:before="0" w:after="0"/>
              <w:ind w:left="0"/>
              <w:jc w:val="left"/>
              <w:rPr>
                <w:b/>
                <w:sz w:val="20"/>
                <w:szCs w:val="20"/>
                <w:lang w:val="fr-BE"/>
              </w:rPr>
            </w:pPr>
            <w:r w:rsidRPr="004A389B">
              <w:rPr>
                <w:b/>
                <w:noProof/>
                <w:sz w:val="20"/>
                <w:szCs w:val="20"/>
                <w:lang w:val="fr-BE"/>
              </w:rPr>
              <w:t xml:space="preserve">Nacionalni cilj / </w:t>
            </w:r>
            <w:r w:rsidRPr="004A389B">
              <w:rPr>
                <w:b/>
                <w:noProof/>
                <w:sz w:val="20"/>
                <w:szCs w:val="20"/>
                <w:lang w:val="fr-BE"/>
              </w:rPr>
              <w:t>Specifični ukrep</w:t>
            </w:r>
          </w:p>
        </w:tc>
        <w:tc>
          <w:tcPr>
            <w:tcW w:w="0" w:type="auto"/>
          </w:tcPr>
          <w:p w:rsidR="00045D3D" w:rsidRPr="004A389B" w:rsidRDefault="002D7A0D" w:rsidP="007C7090">
            <w:pPr>
              <w:pStyle w:val="Text1"/>
              <w:spacing w:before="0" w:after="0"/>
              <w:ind w:left="0"/>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2019</w:t>
            </w:r>
          </w:p>
        </w:tc>
        <w:tc>
          <w:tcPr>
            <w:tcW w:w="0" w:type="auto"/>
          </w:tcPr>
          <w:p w:rsidR="00045D3D" w:rsidRPr="004A389B" w:rsidRDefault="002D7A0D"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045D3D" w:rsidRPr="004A389B" w:rsidRDefault="002D7A0D"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045D3D" w:rsidRPr="004A389B" w:rsidRDefault="002D7A0D" w:rsidP="007C7090">
            <w:pPr>
              <w:pStyle w:val="Text1"/>
              <w:spacing w:before="0" w:after="0"/>
              <w:ind w:left="0"/>
              <w:jc w:val="center"/>
              <w:rPr>
                <w:b/>
                <w:sz w:val="20"/>
                <w:szCs w:val="20"/>
                <w:lang w:val="fr-BE"/>
              </w:rPr>
            </w:pPr>
            <w:r w:rsidRPr="004A389B">
              <w:rPr>
                <w:b/>
                <w:sz w:val="20"/>
                <w:szCs w:val="20"/>
                <w:lang w:val="fr-BE"/>
              </w:rPr>
              <w:t>%</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noProof/>
                <w:sz w:val="20"/>
                <w:szCs w:val="20"/>
              </w:rPr>
              <w:t>Posebni cilj5.Nacionalni cilj1 Kriminal – preprečevanje in boj</w:t>
            </w:r>
          </w:p>
        </w:tc>
        <w:tc>
          <w:tcPr>
            <w:tcW w:w="0" w:type="auto"/>
          </w:tcPr>
          <w:p w:rsidR="00045D3D" w:rsidRPr="004A389B" w:rsidRDefault="002D7A0D" w:rsidP="007C7090">
            <w:pPr>
              <w:pStyle w:val="Text1"/>
              <w:spacing w:before="0" w:after="0"/>
              <w:ind w:left="0"/>
              <w:jc w:val="right"/>
              <w:rPr>
                <w:sz w:val="20"/>
                <w:szCs w:val="20"/>
                <w:lang w:val="fr-BE"/>
              </w:rPr>
            </w:pPr>
            <w:r w:rsidRPr="004A389B">
              <w:rPr>
                <w:noProof/>
                <w:sz w:val="20"/>
                <w:szCs w:val="20"/>
              </w:rPr>
              <w:t>413.908,26</w:t>
            </w:r>
          </w:p>
        </w:tc>
        <w:tc>
          <w:tcPr>
            <w:tcW w:w="0" w:type="auto"/>
          </w:tcPr>
          <w:p w:rsidR="00045D3D" w:rsidRPr="004A389B" w:rsidRDefault="002D7A0D" w:rsidP="007C7090">
            <w:pPr>
              <w:pStyle w:val="Text1"/>
              <w:spacing w:before="0" w:after="0"/>
              <w:ind w:left="0"/>
              <w:jc w:val="right"/>
              <w:rPr>
                <w:sz w:val="20"/>
                <w:szCs w:val="20"/>
                <w:lang w:val="fr-BE"/>
              </w:rPr>
            </w:pPr>
            <w:r>
              <w:rPr>
                <w:noProof/>
                <w:sz w:val="20"/>
                <w:szCs w:val="20"/>
              </w:rPr>
              <w:t>45,99</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2.478.975,69</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53,52</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noProof/>
                <w:sz w:val="20"/>
                <w:szCs w:val="20"/>
              </w:rPr>
              <w:t xml:space="preserve">Posebni cilj5.Nacionalni cilj2 Kriminal – izmenjava </w:t>
            </w:r>
            <w:r w:rsidRPr="004A389B">
              <w:rPr>
                <w:noProof/>
                <w:sz w:val="20"/>
                <w:szCs w:val="20"/>
              </w:rPr>
              <w:t>informacij</w:t>
            </w:r>
          </w:p>
        </w:tc>
        <w:tc>
          <w:tcPr>
            <w:tcW w:w="0" w:type="auto"/>
          </w:tcPr>
          <w:p w:rsidR="00045D3D" w:rsidRPr="004A389B" w:rsidRDefault="002D7A0D" w:rsidP="007C7090">
            <w:pPr>
              <w:pStyle w:val="Text1"/>
              <w:spacing w:before="0" w:after="0"/>
              <w:ind w:left="0"/>
              <w:jc w:val="right"/>
              <w:rPr>
                <w:sz w:val="20"/>
                <w:szCs w:val="20"/>
                <w:lang w:val="fr-BE"/>
              </w:rPr>
            </w:pPr>
            <w:r w:rsidRPr="004A389B">
              <w:rPr>
                <w:noProof/>
                <w:sz w:val="20"/>
                <w:szCs w:val="20"/>
              </w:rPr>
              <w:t>456.803,37</w:t>
            </w:r>
          </w:p>
        </w:tc>
        <w:tc>
          <w:tcPr>
            <w:tcW w:w="0" w:type="auto"/>
          </w:tcPr>
          <w:p w:rsidR="00045D3D" w:rsidRPr="004A389B" w:rsidRDefault="002D7A0D" w:rsidP="007C7090">
            <w:pPr>
              <w:pStyle w:val="Text1"/>
              <w:spacing w:before="0" w:after="0"/>
              <w:ind w:left="0"/>
              <w:jc w:val="right"/>
              <w:rPr>
                <w:sz w:val="20"/>
                <w:szCs w:val="20"/>
                <w:lang w:val="fr-BE"/>
              </w:rPr>
            </w:pPr>
            <w:r>
              <w:rPr>
                <w:noProof/>
                <w:sz w:val="20"/>
                <w:szCs w:val="20"/>
              </w:rPr>
              <w:t>50,75</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1.766.977,99</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38,15</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noProof/>
                <w:sz w:val="20"/>
                <w:szCs w:val="20"/>
              </w:rPr>
              <w:t>Posebni cilj5.Nacionalni cilj3 Kriminal – usposabljanje</w:t>
            </w:r>
          </w:p>
        </w:tc>
        <w:tc>
          <w:tcPr>
            <w:tcW w:w="0" w:type="auto"/>
          </w:tcPr>
          <w:p w:rsidR="00045D3D" w:rsidRPr="004A389B" w:rsidRDefault="002D7A0D" w:rsidP="007C7090">
            <w:pPr>
              <w:pStyle w:val="Text1"/>
              <w:spacing w:before="0" w:after="0"/>
              <w:ind w:left="0"/>
              <w:jc w:val="right"/>
              <w:rPr>
                <w:sz w:val="20"/>
                <w:szCs w:val="20"/>
                <w:lang w:val="fr-BE"/>
              </w:rPr>
            </w:pPr>
            <w:r w:rsidRPr="004A389B">
              <w:rPr>
                <w:noProof/>
                <w:sz w:val="20"/>
                <w:szCs w:val="20"/>
              </w:rPr>
              <w:t>29.355,18</w:t>
            </w:r>
          </w:p>
        </w:tc>
        <w:tc>
          <w:tcPr>
            <w:tcW w:w="0" w:type="auto"/>
          </w:tcPr>
          <w:p w:rsidR="00045D3D" w:rsidRPr="004A389B" w:rsidRDefault="002D7A0D" w:rsidP="007C7090">
            <w:pPr>
              <w:pStyle w:val="Text1"/>
              <w:spacing w:before="0" w:after="0"/>
              <w:ind w:left="0"/>
              <w:jc w:val="right"/>
              <w:rPr>
                <w:sz w:val="20"/>
                <w:szCs w:val="20"/>
                <w:lang w:val="fr-BE"/>
              </w:rPr>
            </w:pPr>
            <w:r>
              <w:rPr>
                <w:noProof/>
                <w:sz w:val="20"/>
                <w:szCs w:val="20"/>
              </w:rPr>
              <w:t>3,26</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386.103,35</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8,34</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b/>
                <w:noProof/>
                <w:sz w:val="20"/>
                <w:szCs w:val="20"/>
              </w:rPr>
              <w:t>SKUPAJ Posebni cilj5</w:t>
            </w:r>
          </w:p>
        </w:tc>
        <w:tc>
          <w:tcPr>
            <w:tcW w:w="0" w:type="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900.066,81</w:t>
            </w:r>
          </w:p>
        </w:tc>
        <w:tc>
          <w:tcPr>
            <w:tcW w:w="0" w:type="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85,90</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4.632.057,03</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86,63</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noProof/>
                <w:sz w:val="20"/>
                <w:szCs w:val="20"/>
              </w:rPr>
              <w:t xml:space="preserve">Posebni cilj6.Nacionalni cilj6 Tveganja – zgodnje opozarjanje </w:t>
            </w:r>
            <w:r w:rsidRPr="004A389B">
              <w:rPr>
                <w:noProof/>
                <w:sz w:val="20"/>
                <w:szCs w:val="20"/>
              </w:rPr>
              <w:t>in krize</w:t>
            </w:r>
          </w:p>
        </w:tc>
        <w:tc>
          <w:tcPr>
            <w:tcW w:w="0" w:type="auto"/>
          </w:tcPr>
          <w:p w:rsidR="00045D3D" w:rsidRPr="004A389B" w:rsidRDefault="002D7A0D" w:rsidP="007C7090">
            <w:pPr>
              <w:pStyle w:val="Text1"/>
              <w:spacing w:before="0" w:after="0"/>
              <w:ind w:left="0"/>
              <w:jc w:val="right"/>
              <w:rPr>
                <w:sz w:val="20"/>
                <w:szCs w:val="20"/>
                <w:lang w:val="fr-BE"/>
              </w:rPr>
            </w:pPr>
            <w:r w:rsidRPr="004A389B">
              <w:rPr>
                <w:noProof/>
                <w:sz w:val="20"/>
                <w:szCs w:val="20"/>
              </w:rPr>
              <w:t>66.343,12</w:t>
            </w:r>
          </w:p>
        </w:tc>
        <w:tc>
          <w:tcPr>
            <w:tcW w:w="0" w:type="auto"/>
          </w:tcPr>
          <w:p w:rsidR="00045D3D" w:rsidRPr="004A389B" w:rsidRDefault="002D7A0D" w:rsidP="007C7090">
            <w:pPr>
              <w:pStyle w:val="Text1"/>
              <w:spacing w:before="0" w:after="0"/>
              <w:ind w:left="0"/>
              <w:jc w:val="right"/>
              <w:rPr>
                <w:sz w:val="20"/>
                <w:szCs w:val="20"/>
                <w:lang w:val="fr-BE"/>
              </w:rPr>
            </w:pPr>
            <w:r>
              <w:rPr>
                <w:noProof/>
                <w:sz w:val="20"/>
                <w:szCs w:val="20"/>
              </w:rPr>
              <w:t>100,00</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157.051,42</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33,88</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b/>
                <w:noProof/>
                <w:sz w:val="20"/>
                <w:szCs w:val="20"/>
              </w:rPr>
              <w:t>SKUPAJ Posebni cilj6</w:t>
            </w:r>
          </w:p>
        </w:tc>
        <w:tc>
          <w:tcPr>
            <w:tcW w:w="0" w:type="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66.343,12</w:t>
            </w:r>
          </w:p>
        </w:tc>
        <w:tc>
          <w:tcPr>
            <w:tcW w:w="0" w:type="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6,33</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463.609,50</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8,67</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noProof/>
                <w:sz w:val="20"/>
                <w:szCs w:val="20"/>
              </w:rPr>
              <w:t>Tehnična pomoč – policija</w:t>
            </w:r>
          </w:p>
        </w:tc>
        <w:tc>
          <w:tcPr>
            <w:tcW w:w="0" w:type="auto"/>
          </w:tcPr>
          <w:p w:rsidR="00045D3D" w:rsidRPr="004A389B" w:rsidRDefault="002D7A0D" w:rsidP="007C7090">
            <w:pPr>
              <w:pStyle w:val="Text1"/>
              <w:spacing w:before="0" w:after="0"/>
              <w:ind w:left="0"/>
              <w:jc w:val="right"/>
              <w:rPr>
                <w:sz w:val="20"/>
                <w:szCs w:val="20"/>
                <w:lang w:val="fr-BE"/>
              </w:rPr>
            </w:pPr>
            <w:r w:rsidRPr="004A389B">
              <w:rPr>
                <w:noProof/>
                <w:sz w:val="20"/>
                <w:szCs w:val="20"/>
              </w:rPr>
              <w:t>81.400,05</w:t>
            </w:r>
          </w:p>
        </w:tc>
        <w:tc>
          <w:tcPr>
            <w:tcW w:w="0" w:type="auto"/>
          </w:tcPr>
          <w:p w:rsidR="00045D3D" w:rsidRPr="004A389B" w:rsidRDefault="002D7A0D" w:rsidP="007C7090">
            <w:pPr>
              <w:pStyle w:val="Text1"/>
              <w:spacing w:before="0" w:after="0"/>
              <w:ind w:left="0"/>
              <w:jc w:val="right"/>
              <w:rPr>
                <w:sz w:val="20"/>
                <w:szCs w:val="20"/>
                <w:lang w:val="fr-BE"/>
              </w:rPr>
            </w:pPr>
            <w:r>
              <w:rPr>
                <w:noProof/>
                <w:sz w:val="20"/>
                <w:szCs w:val="20"/>
              </w:rPr>
              <w:t>7,77</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251.331,49</w:t>
            </w: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sz w:val="20"/>
                <w:szCs w:val="20"/>
              </w:rPr>
              <w:t>4,70</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b/>
                <w:noProof/>
                <w:sz w:val="20"/>
                <w:szCs w:val="20"/>
              </w:rPr>
              <w:t>TOTAL</w:t>
            </w:r>
          </w:p>
        </w:tc>
        <w:tc>
          <w:tcPr>
            <w:tcW w:w="0" w:type="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1.047.809,98</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b/>
                <w:noProof/>
                <w:sz w:val="20"/>
                <w:szCs w:val="20"/>
              </w:rPr>
              <w:t>5.346.998,02</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noProof/>
                <w:color w:val="FF0000"/>
                <w:sz w:val="20"/>
                <w:szCs w:val="20"/>
              </w:rPr>
              <w:t>PC5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2D7A0D" w:rsidP="007C7090">
            <w:pPr>
              <w:pStyle w:val="Text1"/>
              <w:spacing w:before="0" w:after="0"/>
              <w:ind w:left="0"/>
              <w:jc w:val="right"/>
              <w:rPr>
                <w:sz w:val="20"/>
                <w:szCs w:val="20"/>
                <w:lang w:val="fr-BE"/>
              </w:rPr>
            </w:pPr>
            <w:r w:rsidRPr="004A389B">
              <w:rPr>
                <w:noProof/>
                <w:color w:val="FF0000"/>
                <w:sz w:val="20"/>
                <w:szCs w:val="20"/>
              </w:rPr>
              <w:t>8,00</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color w:val="FF0000"/>
                <w:sz w:val="20"/>
                <w:szCs w:val="20"/>
              </w:rPr>
              <w:t>41,15</w:t>
            </w:r>
          </w:p>
        </w:tc>
      </w:tr>
      <w:tr w:rsidR="00741801" w:rsidTr="0088509C">
        <w:tc>
          <w:tcPr>
            <w:tcW w:w="0" w:type="auto"/>
            <w:shd w:val="clear" w:color="auto" w:fill="auto"/>
          </w:tcPr>
          <w:p w:rsidR="00045D3D" w:rsidRPr="004A389B" w:rsidRDefault="002D7A0D" w:rsidP="007C7090">
            <w:pPr>
              <w:pStyle w:val="Text1"/>
              <w:spacing w:before="0" w:after="0"/>
              <w:ind w:left="0"/>
              <w:jc w:val="left"/>
              <w:rPr>
                <w:sz w:val="20"/>
                <w:szCs w:val="20"/>
                <w:lang w:val="fr-BE"/>
              </w:rPr>
            </w:pPr>
            <w:r w:rsidRPr="004A389B">
              <w:rPr>
                <w:noProof/>
                <w:color w:val="FF0000"/>
                <w:sz w:val="20"/>
                <w:szCs w:val="20"/>
              </w:rPr>
              <w:t>PC6 skupaj /</w:t>
            </w:r>
            <w:r w:rsidRPr="004A389B">
              <w:rPr>
                <w:noProof/>
                <w:color w:val="FF0000"/>
                <w:sz w:val="20"/>
                <w:szCs w:val="20"/>
              </w:rPr>
              <w:t xml:space="preserve">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2D7A0D" w:rsidP="007C7090">
            <w:pPr>
              <w:pStyle w:val="Text1"/>
              <w:spacing w:before="0" w:after="0"/>
              <w:ind w:left="0"/>
              <w:jc w:val="right"/>
              <w:rPr>
                <w:sz w:val="20"/>
                <w:szCs w:val="20"/>
                <w:lang w:val="fr-BE"/>
              </w:rPr>
            </w:pPr>
            <w:r w:rsidRPr="004A389B">
              <w:rPr>
                <w:noProof/>
                <w:color w:val="FF0000"/>
                <w:sz w:val="20"/>
                <w:szCs w:val="20"/>
              </w:rPr>
              <w:t>0,59</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2D7A0D" w:rsidP="007C7090">
            <w:pPr>
              <w:pStyle w:val="Text1"/>
              <w:spacing w:before="0" w:after="0"/>
              <w:ind w:left="0"/>
              <w:jc w:val="right"/>
              <w:rPr>
                <w:sz w:val="20"/>
                <w:szCs w:val="20"/>
                <w:lang w:val="fr-BE"/>
              </w:rPr>
            </w:pPr>
            <w:r w:rsidRPr="004A389B">
              <w:rPr>
                <w:noProof/>
                <w:color w:val="FF0000"/>
                <w:sz w:val="20"/>
                <w:szCs w:val="20"/>
              </w:rPr>
              <w:t>4,12</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6B7AC0">
          <w:footerReference w:type="default" r:id="rId11"/>
          <w:pgSz w:w="11906" w:h="16838"/>
          <w:pgMar w:top="284" w:right="851" w:bottom="284" w:left="284" w:header="567" w:footer="0" w:gutter="0"/>
          <w:cols w:space="708"/>
          <w:docGrid w:linePitch="360"/>
        </w:sectPr>
      </w:pPr>
    </w:p>
    <w:p w:rsidR="004F1EEC" w:rsidRDefault="002D7A0D" w:rsidP="007C7090">
      <w:pPr>
        <w:pStyle w:val="Naslov2"/>
        <w:numPr>
          <w:ilvl w:val="0"/>
          <w:numId w:val="0"/>
        </w:numPr>
        <w:spacing w:before="0" w:after="0"/>
        <w:rPr>
          <w:lang w:val="fr-BE"/>
        </w:rPr>
      </w:pPr>
      <w:bookmarkStart w:id="20" w:name="_Toc256000019"/>
      <w:r>
        <w:rPr>
          <w:noProof/>
          <w:lang w:val="fr-BE"/>
        </w:rPr>
        <w:lastRenderedPageBreak/>
        <w:t>Preglednica 3: Izvajanje finančnega načrta nacionalnega programa, pri čemer je naveden skupni prispevek EU za vsako proračunsko leto</w:t>
      </w:r>
      <w:bookmarkEnd w:id="20"/>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30"/>
        <w:gridCol w:w="624"/>
        <w:gridCol w:w="1310"/>
        <w:gridCol w:w="1310"/>
        <w:gridCol w:w="1310"/>
        <w:gridCol w:w="1415"/>
        <w:gridCol w:w="1415"/>
        <w:gridCol w:w="1310"/>
        <w:gridCol w:w="623"/>
        <w:gridCol w:w="623"/>
        <w:gridCol w:w="623"/>
        <w:gridCol w:w="1415"/>
      </w:tblGrid>
      <w:tr w:rsidR="00741801" w:rsidTr="008E16E1">
        <w:tc>
          <w:tcPr>
            <w:tcW w:w="0" w:type="auto"/>
            <w:shd w:val="clear" w:color="auto" w:fill="auto"/>
          </w:tcPr>
          <w:p w:rsidR="004F1EEC" w:rsidRPr="004A389B" w:rsidRDefault="004F1EEC" w:rsidP="007C7090">
            <w:pPr>
              <w:pStyle w:val="Text1"/>
              <w:spacing w:before="0" w:after="0"/>
              <w:ind w:left="0"/>
              <w:rPr>
                <w:b/>
                <w:sz w:val="12"/>
                <w:szCs w:val="12"/>
                <w:lang w:val="fr-BE"/>
              </w:rPr>
            </w:pP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4F1EEC" w:rsidRPr="004A389B" w:rsidRDefault="002D7A0D" w:rsidP="007C7090">
            <w:pPr>
              <w:pStyle w:val="Text1"/>
              <w:spacing w:before="0" w:after="0"/>
              <w:ind w:left="0"/>
              <w:jc w:val="center"/>
              <w:rPr>
                <w:b/>
                <w:sz w:val="12"/>
                <w:szCs w:val="12"/>
                <w:lang w:val="fr-BE"/>
              </w:rPr>
            </w:pPr>
            <w:r w:rsidRPr="004A389B">
              <w:rPr>
                <w:b/>
                <w:noProof/>
                <w:sz w:val="12"/>
                <w:szCs w:val="12"/>
                <w:lang w:val="fr-BE"/>
              </w:rPr>
              <w:t>Skupaj</w:t>
            </w:r>
          </w:p>
        </w:tc>
      </w:tr>
      <w:tr w:rsidR="00741801" w:rsidTr="008E16E1">
        <w:tc>
          <w:tcPr>
            <w:tcW w:w="0" w:type="auto"/>
            <w:shd w:val="clear" w:color="auto" w:fill="auto"/>
          </w:tcPr>
          <w:p w:rsidR="004F1EEC" w:rsidRPr="004A389B" w:rsidRDefault="002D7A0D" w:rsidP="007C7090">
            <w:pPr>
              <w:pStyle w:val="Text1"/>
              <w:spacing w:before="0" w:after="0"/>
              <w:ind w:left="0"/>
              <w:rPr>
                <w:sz w:val="12"/>
                <w:szCs w:val="12"/>
                <w:lang w:val="fr-BE"/>
              </w:rPr>
            </w:pPr>
            <w:r w:rsidRPr="004A389B">
              <w:rPr>
                <w:noProof/>
                <w:sz w:val="12"/>
                <w:szCs w:val="12"/>
                <w:lang w:val="fr-BE"/>
              </w:rPr>
              <w:t>Načrtovano na področju policije</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2.228.401,00</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1.898.339,00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2.978.176,00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11.255.371,00</w:t>
            </w:r>
          </w:p>
        </w:tc>
      </w:tr>
      <w:tr w:rsidR="00741801" w:rsidTr="008E16E1">
        <w:tc>
          <w:tcPr>
            <w:tcW w:w="0" w:type="auto"/>
            <w:shd w:val="clear" w:color="auto" w:fill="auto"/>
          </w:tcPr>
          <w:p w:rsidR="004F1EEC" w:rsidRPr="004A389B" w:rsidRDefault="002D7A0D" w:rsidP="007C7090">
            <w:pPr>
              <w:pStyle w:val="Text1"/>
              <w:spacing w:before="0" w:after="0"/>
              <w:ind w:left="0"/>
              <w:rPr>
                <w:sz w:val="12"/>
                <w:szCs w:val="12"/>
                <w:lang w:val="fr-BE"/>
              </w:rPr>
            </w:pPr>
            <w:r w:rsidRPr="004A389B">
              <w:rPr>
                <w:noProof/>
                <w:sz w:val="12"/>
                <w:szCs w:val="12"/>
                <w:lang w:val="fr-BE"/>
              </w:rPr>
              <w:t>Izvedeno na področju policije</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120.246,36</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1.449.883,67</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2.729.058,01</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1.047.809,98</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5.346.998,02</w:t>
            </w:r>
          </w:p>
        </w:tc>
      </w:tr>
      <w:tr w:rsidR="00741801" w:rsidTr="008E16E1">
        <w:tc>
          <w:tcPr>
            <w:tcW w:w="0" w:type="auto"/>
            <w:shd w:val="clear" w:color="auto" w:fill="auto"/>
          </w:tcPr>
          <w:p w:rsidR="004F1EEC" w:rsidRPr="004A389B" w:rsidRDefault="002D7A0D" w:rsidP="007C7090">
            <w:pPr>
              <w:pStyle w:val="Text1"/>
              <w:spacing w:before="0" w:after="0"/>
              <w:ind w:left="0"/>
              <w:rPr>
                <w:sz w:val="12"/>
                <w:szCs w:val="12"/>
                <w:lang w:val="fr-BE"/>
              </w:rPr>
            </w:pPr>
            <w:r w:rsidRPr="004A389B">
              <w:rPr>
                <w:noProof/>
                <w:sz w:val="12"/>
                <w:szCs w:val="12"/>
                <w:lang w:val="fr-BE"/>
              </w:rPr>
              <w:t>Načrtovano na področju meja</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7.309.519,00</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6.835.259,00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5.063.445,00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10.153.644,66</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10.567.088,49</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7.252.183,04</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47.181.139,19</w:t>
            </w:r>
          </w:p>
        </w:tc>
      </w:tr>
      <w:tr w:rsidR="00741801" w:rsidTr="008E16E1">
        <w:tc>
          <w:tcPr>
            <w:tcW w:w="0" w:type="auto"/>
            <w:shd w:val="clear" w:color="auto" w:fill="auto"/>
          </w:tcPr>
          <w:p w:rsidR="004F1EEC" w:rsidRPr="004A389B" w:rsidRDefault="002D7A0D" w:rsidP="007C7090">
            <w:pPr>
              <w:pStyle w:val="Text1"/>
              <w:spacing w:before="0" w:after="0"/>
              <w:ind w:left="0"/>
              <w:rPr>
                <w:sz w:val="12"/>
                <w:szCs w:val="12"/>
                <w:lang w:val="fr-BE"/>
              </w:rPr>
            </w:pPr>
            <w:r w:rsidRPr="004A389B">
              <w:rPr>
                <w:noProof/>
                <w:sz w:val="12"/>
                <w:szCs w:val="12"/>
                <w:lang w:val="fr-BE"/>
              </w:rPr>
              <w:t>Izvedeno na področju meja</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349.677,29</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5.199.323,22</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3.729.340,75</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4.315.072,62</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noProof/>
                <w:sz w:val="12"/>
                <w:szCs w:val="12"/>
                <w:lang w:val="fr-BE"/>
              </w:rPr>
              <w:t>13.593.413,88</w:t>
            </w:r>
          </w:p>
        </w:tc>
      </w:tr>
      <w:tr w:rsidR="00741801" w:rsidTr="008E16E1">
        <w:tc>
          <w:tcPr>
            <w:tcW w:w="0" w:type="auto"/>
            <w:shd w:val="clear" w:color="auto" w:fill="auto"/>
          </w:tcPr>
          <w:p w:rsidR="004F1EEC" w:rsidRPr="004A389B" w:rsidRDefault="002D7A0D" w:rsidP="007C7090">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9.537.920,00</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8.733.598,00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8.041.621,00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11.537.129,66</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11.950.573,49</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8.635.668,04</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58.436.510,19</w:t>
            </w:r>
          </w:p>
        </w:tc>
      </w:tr>
      <w:tr w:rsidR="00741801" w:rsidTr="008E16E1">
        <w:tc>
          <w:tcPr>
            <w:tcW w:w="0" w:type="auto"/>
            <w:shd w:val="clear" w:color="auto" w:fill="auto"/>
          </w:tcPr>
          <w:p w:rsidR="004F1EEC" w:rsidRPr="004A389B" w:rsidRDefault="002D7A0D" w:rsidP="007C7090">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469.923,65</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6.649.206,89</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6.458.398,76</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5.362.882,60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2D7A0D" w:rsidP="007C7090">
            <w:pPr>
              <w:pStyle w:val="Text1"/>
              <w:spacing w:before="0" w:after="0"/>
              <w:ind w:left="0"/>
              <w:jc w:val="right"/>
              <w:rPr>
                <w:sz w:val="12"/>
                <w:szCs w:val="12"/>
                <w:lang w:val="fr-BE"/>
              </w:rPr>
            </w:pPr>
            <w:r w:rsidRPr="004A389B">
              <w:rPr>
                <w:b/>
                <w:noProof/>
                <w:sz w:val="12"/>
                <w:szCs w:val="12"/>
                <w:lang w:val="fr-BE"/>
              </w:rPr>
              <w:t>18.940.411,90</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8E16E1">
          <w:footerReference w:type="default" r:id="rId12"/>
          <w:pgSz w:w="16838" w:h="11906" w:orient="landscape"/>
          <w:pgMar w:top="1584" w:right="1022" w:bottom="1699" w:left="1022" w:header="283" w:footer="283" w:gutter="0"/>
          <w:cols w:space="708"/>
          <w:docGrid w:linePitch="360"/>
        </w:sectPr>
      </w:pPr>
    </w:p>
    <w:p w:rsidR="004F1EEC" w:rsidRDefault="002D7A0D" w:rsidP="007C7090">
      <w:pPr>
        <w:pStyle w:val="Naslov2"/>
        <w:numPr>
          <w:ilvl w:val="0"/>
          <w:numId w:val="0"/>
        </w:numPr>
        <w:spacing w:before="0" w:after="0"/>
        <w:rPr>
          <w:lang w:val="fr-BE"/>
        </w:rPr>
      </w:pPr>
      <w:bookmarkStart w:id="21" w:name="_Toc256000020"/>
      <w:r>
        <w:rPr>
          <w:noProof/>
          <w:lang w:val="fr-BE"/>
        </w:rPr>
        <w:lastRenderedPageBreak/>
        <w:t>Utemeljitev morebitnega odstopanja od najnižjih deležev, določenih v posebnih uredbah.</w:t>
      </w:r>
      <w:bookmarkEnd w:id="21"/>
    </w:p>
    <w:p w:rsidR="004F1EEC" w:rsidRDefault="004F1EEC" w:rsidP="007C7090">
      <w:pPr>
        <w:pStyle w:val="Text1"/>
        <w:spacing w:before="0" w:after="0"/>
        <w:ind w:left="0"/>
        <w:rPr>
          <w:lang w:val="fr-BE"/>
        </w:rPr>
      </w:pPr>
    </w:p>
    <w:p w:rsidR="004F1EEC" w:rsidRDefault="002D7A0D" w:rsidP="007C7090">
      <w:pPr>
        <w:pStyle w:val="Text1"/>
        <w:spacing w:before="0" w:after="0"/>
        <w:ind w:left="0"/>
        <w:rPr>
          <w:lang w:val="fr-BE"/>
        </w:rPr>
      </w:pPr>
      <w:r>
        <w:rPr>
          <w:noProof/>
          <w:lang w:val="fr-BE"/>
        </w:rPr>
        <w:t xml:space="preserve">(Le če stanje ni tako, kot je določeno v </w:t>
      </w:r>
      <w:r>
        <w:rPr>
          <w:noProof/>
          <w:lang w:val="fr-BE"/>
        </w:rPr>
        <w:t>odobrenem nacionalnem programu, člen 14(5)(b) Uredbe (EU) št. 514/2014.)</w:t>
      </w:r>
    </w:p>
    <w:p w:rsidR="004F1EEC" w:rsidRDefault="004F1EEC" w:rsidP="007C7090">
      <w:pPr>
        <w:pStyle w:val="Text1"/>
        <w:spacing w:before="0" w:after="0"/>
        <w:ind w:left="0"/>
        <w:rPr>
          <w:lang w:val="fr-BE"/>
        </w:rPr>
      </w:pPr>
    </w:p>
    <w:p w:rsidR="004F1EEC" w:rsidRDefault="002D7A0D" w:rsidP="007C7090">
      <w:pPr>
        <w:pStyle w:val="Text1"/>
        <w:spacing w:before="0" w:after="0"/>
        <w:ind w:left="0"/>
        <w:rPr>
          <w:lang w:val="fr-BE"/>
        </w:rPr>
      </w:pPr>
      <w:r>
        <w:rPr>
          <w:noProof/>
          <w:lang w:val="fr-BE"/>
        </w:rPr>
        <w:t>Podrobno obrazložite odstopanja od najnižjih deležev, določenih v posebnih uredbah.</w:t>
      </w:r>
    </w:p>
    <w:p w:rsidR="004F1EEC" w:rsidRDefault="004F1EEC" w:rsidP="007C7090">
      <w:pPr>
        <w:pStyle w:val="Text1"/>
        <w:spacing w:before="0" w:after="0"/>
        <w:ind w:left="0"/>
        <w:rPr>
          <w:lang w:val="fr-BE"/>
        </w:rPr>
      </w:pPr>
    </w:p>
    <w:p w:rsidR="004F1EEC" w:rsidRDefault="002D7A0D" w:rsidP="007C7090">
      <w:pPr>
        <w:pStyle w:val="Naslov1"/>
        <w:numPr>
          <w:ilvl w:val="0"/>
          <w:numId w:val="0"/>
        </w:numPr>
        <w:spacing w:before="0" w:after="0"/>
        <w:rPr>
          <w:lang w:val="fr-BE"/>
        </w:rPr>
      </w:pPr>
      <w:r>
        <w:rPr>
          <w:lang w:val="fr-BE"/>
        </w:rPr>
        <w:br w:type="page"/>
      </w:r>
      <w:bookmarkStart w:id="22" w:name="_Toc256000021"/>
      <w:r>
        <w:rPr>
          <w:noProof/>
          <w:lang w:val="fr-BE"/>
        </w:rPr>
        <w:lastRenderedPageBreak/>
        <w:t>ODDELEK 8: OBVEZNOSTI V OBLIKI DOGOVORA</w:t>
      </w:r>
      <w:bookmarkEnd w:id="22"/>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5610"/>
        <w:gridCol w:w="2053"/>
      </w:tblGrid>
      <w:tr w:rsidR="00741801" w:rsidTr="008E16E1">
        <w:tc>
          <w:tcPr>
            <w:tcW w:w="0" w:type="auto"/>
            <w:shd w:val="clear" w:color="auto" w:fill="auto"/>
          </w:tcPr>
          <w:p w:rsidR="004F1EEC" w:rsidRPr="00B81F97" w:rsidRDefault="002D7A0D" w:rsidP="007C7090">
            <w:pPr>
              <w:pStyle w:val="Text1"/>
              <w:spacing w:before="0" w:after="0"/>
              <w:ind w:left="0"/>
              <w:rPr>
                <w:b/>
                <w:lang w:val="fr-BE"/>
              </w:rPr>
            </w:pPr>
            <w:r>
              <w:rPr>
                <w:b/>
                <w:noProof/>
                <w:lang w:val="fr-BE"/>
              </w:rPr>
              <w:t>Posebni cilj</w:t>
            </w:r>
          </w:p>
        </w:tc>
        <w:tc>
          <w:tcPr>
            <w:tcW w:w="0" w:type="auto"/>
            <w:shd w:val="clear" w:color="auto" w:fill="auto"/>
          </w:tcPr>
          <w:p w:rsidR="004F1EEC" w:rsidRPr="00B81F97" w:rsidRDefault="002D7A0D" w:rsidP="007C7090">
            <w:pPr>
              <w:pStyle w:val="Text1"/>
              <w:spacing w:before="0" w:after="0"/>
              <w:ind w:left="0"/>
              <w:rPr>
                <w:b/>
                <w:lang w:val="fr-BE"/>
              </w:rPr>
            </w:pPr>
            <w:r>
              <w:rPr>
                <w:b/>
                <w:noProof/>
                <w:lang w:val="fr-BE"/>
              </w:rPr>
              <w:t xml:space="preserve">Skupni znesek v EUR, dodeljen (s pogodbo, </w:t>
            </w:r>
            <w:r>
              <w:rPr>
                <w:b/>
                <w:noProof/>
                <w:lang w:val="fr-BE"/>
              </w:rPr>
              <w:t>kot nepovratna sredstva ali z drugim sporazumom) do datuma tega poročila</w:t>
            </w:r>
          </w:p>
        </w:tc>
        <w:tc>
          <w:tcPr>
            <w:tcW w:w="0" w:type="auto"/>
            <w:shd w:val="clear" w:color="auto" w:fill="auto"/>
          </w:tcPr>
          <w:p w:rsidR="004F1EEC" w:rsidRPr="00B81F97" w:rsidRDefault="002D7A0D" w:rsidP="007C7090">
            <w:pPr>
              <w:pStyle w:val="Text1"/>
              <w:spacing w:before="0" w:after="0"/>
              <w:ind w:left="0"/>
              <w:rPr>
                <w:b/>
                <w:lang w:val="fr-BE"/>
              </w:rPr>
            </w:pPr>
            <w:r>
              <w:rPr>
                <w:b/>
                <w:noProof/>
                <w:lang w:val="fr-BE"/>
              </w:rPr>
              <w:t>% skupnih povezanih dodelitev</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Pr>
                <w:noProof/>
                <w:lang w:val="fr-BE"/>
              </w:rPr>
              <w:t>SO1 - Podpora skupni vizumski politiki</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4.421.268,03</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73,98%</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Pr>
                <w:noProof/>
                <w:lang w:val="fr-BE"/>
              </w:rPr>
              <w:t>SO2 - Meje</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26.107.151,25</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99,53%</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Pr>
                <w:noProof/>
                <w:lang w:val="fr-BE"/>
              </w:rPr>
              <w:t>SO3 - Operativna podpora</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13.582.639,91</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99,77%</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Pr>
                <w:noProof/>
                <w:lang w:val="fr-BE"/>
              </w:rPr>
              <w:t xml:space="preserve">Tehnična </w:t>
            </w:r>
            <w:r>
              <w:rPr>
                <w:noProof/>
                <w:lang w:val="fr-BE"/>
              </w:rPr>
              <w:t>pomoč – vizumi in meje</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1.800.000,00</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132,33%</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sidRPr="00E65636">
              <w:rPr>
                <w:b/>
                <w:noProof/>
                <w:lang w:val="fr-BE"/>
              </w:rPr>
              <w:t>SKUPAJ ISF MEJE</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45.911.059,19</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97,31%</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Pr>
                <w:noProof/>
                <w:lang w:val="fr-BE"/>
              </w:rPr>
              <w:t>SO5 - Preprečevanje kriminala in boj proti njemu</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9.594.832,03</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100,23%</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Pr>
                <w:noProof/>
                <w:lang w:val="fr-BE"/>
              </w:rPr>
              <w:t>SO6 - Tveganja in krize</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1.154.556,04</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99,44%</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Pr>
                <w:noProof/>
                <w:lang w:val="fr-BE"/>
              </w:rPr>
              <w:t>Tehnična pomoč – policija</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505.982,93</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97,06%</w:t>
            </w:r>
          </w:p>
        </w:tc>
      </w:tr>
      <w:tr w:rsidR="00741801" w:rsidTr="008E16E1">
        <w:tc>
          <w:tcPr>
            <w:tcW w:w="0" w:type="auto"/>
            <w:shd w:val="clear" w:color="auto" w:fill="auto"/>
          </w:tcPr>
          <w:p w:rsidR="004F1EEC" w:rsidRPr="00B81F97" w:rsidRDefault="002D7A0D" w:rsidP="007C7090">
            <w:pPr>
              <w:pStyle w:val="Text1"/>
              <w:spacing w:before="0" w:after="0"/>
              <w:ind w:left="0"/>
              <w:rPr>
                <w:lang w:val="fr-BE"/>
              </w:rPr>
            </w:pPr>
            <w:r w:rsidRPr="00E90C2F">
              <w:rPr>
                <w:b/>
                <w:noProof/>
                <w:lang w:val="fr-BE"/>
              </w:rPr>
              <w:t xml:space="preserve">SKUPAJ ISF </w:t>
            </w:r>
            <w:r w:rsidRPr="00E90C2F">
              <w:rPr>
                <w:b/>
                <w:noProof/>
                <w:lang w:val="fr-BE"/>
              </w:rPr>
              <w:t>POLICIJA</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11.255.371,00</w:t>
            </w:r>
          </w:p>
        </w:tc>
        <w:tc>
          <w:tcPr>
            <w:tcW w:w="0" w:type="auto"/>
            <w:shd w:val="clear" w:color="auto" w:fill="auto"/>
          </w:tcPr>
          <w:p w:rsidR="004F1EEC" w:rsidRPr="00B81F97" w:rsidRDefault="002D7A0D" w:rsidP="007C7090">
            <w:pPr>
              <w:pStyle w:val="Text1"/>
              <w:spacing w:before="0" w:after="0"/>
              <w:ind w:left="0"/>
              <w:jc w:val="right"/>
              <w:rPr>
                <w:lang w:val="fr-BE"/>
              </w:rPr>
            </w:pPr>
            <w:r>
              <w:rPr>
                <w:noProof/>
                <w:lang w:val="fr-BE"/>
              </w:rPr>
              <w:t>100,00%</w:t>
            </w:r>
          </w:p>
        </w:tc>
      </w:tr>
    </w:tbl>
    <w:p w:rsidR="004F1EEC" w:rsidRPr="00D738C2" w:rsidRDefault="004F1EEC" w:rsidP="007C7090">
      <w:pPr>
        <w:spacing w:before="0" w:after="0"/>
        <w:rPr>
          <w:lang w:val="fr-BE"/>
        </w:rPr>
      </w:pPr>
    </w:p>
    <w:p w:rsidR="004F1EEC" w:rsidRDefault="004F1EEC" w:rsidP="007C7090">
      <w:pPr>
        <w:spacing w:before="0" w:after="0"/>
      </w:pPr>
    </w:p>
    <w:p w:rsidR="005A7552" w:rsidRDefault="005A7552" w:rsidP="005A7552">
      <w:pPr>
        <w:spacing w:before="0" w:after="0"/>
      </w:pPr>
    </w:p>
    <w:p w:rsidR="005A7552" w:rsidRPr="00115C60" w:rsidRDefault="005A7552" w:rsidP="007E41B9">
      <w:pPr>
        <w:jc w:val="left"/>
        <w:sectPr w:rsidR="005A7552" w:rsidRPr="00115C60" w:rsidSect="00BD46AA">
          <w:headerReference w:type="default" r:id="rId13"/>
          <w:footerReference w:type="default" r:id="rId14"/>
          <w:headerReference w:type="first" r:id="rId15"/>
          <w:footerReference w:type="first" r:id="rId16"/>
          <w:pgSz w:w="11906" w:h="16838"/>
          <w:pgMar w:top="567" w:right="510" w:bottom="284" w:left="1134" w:header="0" w:footer="0" w:gutter="0"/>
          <w:cols w:space="708"/>
          <w:docGrid w:linePitch="360"/>
        </w:sectPr>
      </w:pPr>
    </w:p>
    <w:p w:rsidR="00D5077A" w:rsidRDefault="002D7A0D" w:rsidP="00BE2F0F">
      <w:pPr>
        <w:pStyle w:val="Heading10"/>
        <w:tabs>
          <w:tab w:val="clear" w:pos="850"/>
        </w:tabs>
        <w:ind w:left="0" w:right="-283" w:firstLine="0"/>
      </w:pPr>
      <w:bookmarkStart w:id="23" w:name="_Toc256000022"/>
      <w:r>
        <w:rPr>
          <w:noProof/>
        </w:rPr>
        <w:lastRenderedPageBreak/>
        <w:t>Dokumenti</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741801" w:rsidTr="00A67CCA">
        <w:trPr>
          <w:trHeight w:val="283"/>
          <w:tblHeader/>
        </w:trPr>
        <w:tc>
          <w:tcPr>
            <w:tcW w:w="0" w:type="auto"/>
            <w:shd w:val="clear" w:color="auto" w:fill="auto"/>
            <w:vAlign w:val="center"/>
          </w:tcPr>
          <w:p w:rsidR="00D5077A" w:rsidRPr="00C40F08" w:rsidRDefault="002D7A0D"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2D7A0D"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2D7A0D"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2D7A0D"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2D7A0D"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2D7A0D"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2D7A0D"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2D7A0D"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7"/>
          <w:footerReference w:type="default" r:id="rId18"/>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4" w:name="_Toc256000023"/>
      <w:r>
        <w:rPr>
          <w:noProof/>
        </w:rPr>
        <w:lastRenderedPageBreak/>
        <w:t>Zadnji rezultati validacije</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741801" w:rsidTr="00BA1B5A">
        <w:trPr>
          <w:trHeight w:val="283"/>
          <w:tblHeader/>
        </w:trPr>
        <w:tc>
          <w:tcPr>
            <w:tcW w:w="0" w:type="auto"/>
            <w:shd w:val="clear" w:color="auto" w:fill="auto"/>
            <w:vAlign w:val="center"/>
          </w:tcPr>
          <w:p w:rsidR="00434D73" w:rsidRPr="00DD2742" w:rsidRDefault="002D7A0D"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2D7A0D"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2D7A0D" w:rsidP="006477CC">
            <w:pPr>
              <w:pStyle w:val="NormalCentered"/>
              <w:spacing w:before="0" w:after="0"/>
              <w:rPr>
                <w:b/>
                <w:sz w:val="16"/>
                <w:szCs w:val="16"/>
              </w:rPr>
            </w:pPr>
            <w:r w:rsidRPr="00DD2742">
              <w:rPr>
                <w:b/>
                <w:noProof/>
                <w:sz w:val="16"/>
                <w:szCs w:val="16"/>
              </w:rPr>
              <w:t>Sporočilo</w:t>
            </w:r>
          </w:p>
        </w:tc>
      </w:tr>
      <w:tr w:rsidR="00741801" w:rsidTr="00BA1B5A">
        <w:trPr>
          <w:trHeight w:val="283"/>
        </w:trPr>
        <w:tc>
          <w:tcPr>
            <w:tcW w:w="0" w:type="auto"/>
            <w:shd w:val="clear" w:color="auto" w:fill="auto"/>
          </w:tcPr>
          <w:p w:rsidR="00434D73" w:rsidRPr="00DD2742" w:rsidRDefault="002D7A0D"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2D7A0D"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19"/>
      <w:footerReference w:type="default" r:id="rId2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7A0D">
      <w:pPr>
        <w:spacing w:before="0" w:after="0"/>
      </w:pPr>
      <w:r>
        <w:separator/>
      </w:r>
    </w:p>
  </w:endnote>
  <w:endnote w:type="continuationSeparator" w:id="0">
    <w:p w:rsidR="00000000" w:rsidRDefault="002D7A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2D7A0D" w:rsidP="007C7090">
    <w:pPr>
      <w:pStyle w:val="Noga"/>
      <w:tabs>
        <w:tab w:val="clear" w:pos="4535"/>
        <w:tab w:val="clear" w:pos="9071"/>
        <w:tab w:val="clear" w:pos="9921"/>
        <w:tab w:val="center" w:pos="5387"/>
        <w:tab w:val="right" w:pos="10490"/>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2D7A0D"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2D7A0D" w:rsidP="006A18BF">
    <w:pPr>
      <w:pStyle w:val="Noga"/>
      <w:tabs>
        <w:tab w:val="clear" w:pos="4535"/>
        <w:tab w:val="clear" w:pos="9071"/>
        <w:tab w:val="clear" w:pos="9921"/>
        <w:tab w:val="center" w:pos="5387"/>
        <w:tab w:val="right" w:pos="10771"/>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33</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2D7A0D"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2D7A0D"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36</w:t>
    </w:r>
    <w:r>
      <w:fldChar w:fldCharType="end"/>
    </w:r>
    <w:r>
      <w:tab/>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2D7A0D">
      <w:rPr>
        <w:noProof/>
      </w:rPr>
      <w:t>37</w:t>
    </w:r>
    <w:r>
      <w:fldChar w:fldCharType="end"/>
    </w:r>
    <w:r w:rsidRPr="008E3442">
      <w:tab/>
    </w:r>
    <w:r w:rsidRPr="005F6C78">
      <w:rPr>
        <w:rFonts w:ascii="Arial" w:hAnsi="Arial" w:cs="Arial"/>
        <w:b/>
        <w:noProof/>
        <w:sz w:val="48"/>
        <w:szCs w:val="48"/>
        <w:lang w:val="fr-BE"/>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2D7A0D">
      <w:rPr>
        <w:noProof/>
      </w:rPr>
      <w:t>38</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7A0D">
      <w:pPr>
        <w:spacing w:before="0" w:after="0"/>
      </w:pPr>
      <w:r>
        <w:separator/>
      </w:r>
    </w:p>
  </w:footnote>
  <w:footnote w:type="continuationSeparator" w:id="0">
    <w:p w:rsidR="00000000" w:rsidRDefault="002D7A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83" w:rsidRDefault="00416883" w:rsidP="00416883">
    <w:pPr>
      <w:pStyle w:val="Glava"/>
      <w:spacing w:before="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F58A67C2">
      <w:start w:val="1"/>
      <w:numFmt w:val="decimal"/>
      <w:pStyle w:val="StyleHeading1Left0cm"/>
      <w:lvlText w:val="%1."/>
      <w:lvlJc w:val="left"/>
      <w:pPr>
        <w:ind w:left="360" w:hanging="360"/>
      </w:pPr>
    </w:lvl>
    <w:lvl w:ilvl="1" w:tplc="16EA827C" w:tentative="1">
      <w:start w:val="1"/>
      <w:numFmt w:val="lowerLetter"/>
      <w:lvlText w:val="%2."/>
      <w:lvlJc w:val="left"/>
      <w:pPr>
        <w:ind w:left="1440" w:hanging="360"/>
      </w:pPr>
    </w:lvl>
    <w:lvl w:ilvl="2" w:tplc="3AFA13E6" w:tentative="1">
      <w:start w:val="1"/>
      <w:numFmt w:val="lowerRoman"/>
      <w:lvlText w:val="%3."/>
      <w:lvlJc w:val="right"/>
      <w:pPr>
        <w:ind w:left="2160" w:hanging="180"/>
      </w:pPr>
    </w:lvl>
    <w:lvl w:ilvl="3" w:tplc="D55CCA7A" w:tentative="1">
      <w:start w:val="1"/>
      <w:numFmt w:val="decimal"/>
      <w:lvlText w:val="%4."/>
      <w:lvlJc w:val="left"/>
      <w:pPr>
        <w:ind w:left="2880" w:hanging="360"/>
      </w:pPr>
    </w:lvl>
    <w:lvl w:ilvl="4" w:tplc="5644D5C6" w:tentative="1">
      <w:start w:val="1"/>
      <w:numFmt w:val="lowerLetter"/>
      <w:lvlText w:val="%5."/>
      <w:lvlJc w:val="left"/>
      <w:pPr>
        <w:ind w:left="3600" w:hanging="360"/>
      </w:pPr>
    </w:lvl>
    <w:lvl w:ilvl="5" w:tplc="AA6ECA38" w:tentative="1">
      <w:start w:val="1"/>
      <w:numFmt w:val="lowerRoman"/>
      <w:lvlText w:val="%6."/>
      <w:lvlJc w:val="right"/>
      <w:pPr>
        <w:ind w:left="4320" w:hanging="180"/>
      </w:pPr>
    </w:lvl>
    <w:lvl w:ilvl="6" w:tplc="794237A4" w:tentative="1">
      <w:start w:val="1"/>
      <w:numFmt w:val="decimal"/>
      <w:lvlText w:val="%7."/>
      <w:lvlJc w:val="left"/>
      <w:pPr>
        <w:ind w:left="5040" w:hanging="360"/>
      </w:pPr>
    </w:lvl>
    <w:lvl w:ilvl="7" w:tplc="03E83D54" w:tentative="1">
      <w:start w:val="1"/>
      <w:numFmt w:val="lowerLetter"/>
      <w:lvlText w:val="%8."/>
      <w:lvlJc w:val="left"/>
      <w:pPr>
        <w:ind w:left="5760" w:hanging="360"/>
      </w:pPr>
    </w:lvl>
    <w:lvl w:ilvl="8" w:tplc="1D72FA58"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460CCBAA">
      <w:start w:val="1"/>
      <w:numFmt w:val="bullet"/>
      <w:lvlText w:val=""/>
      <w:lvlJc w:val="left"/>
      <w:pPr>
        <w:ind w:left="720" w:hanging="360"/>
      </w:pPr>
      <w:rPr>
        <w:rFonts w:ascii="Symbol" w:hAnsi="Symbol" w:hint="default"/>
      </w:rPr>
    </w:lvl>
    <w:lvl w:ilvl="1" w:tplc="DC728E12" w:tentative="1">
      <w:start w:val="1"/>
      <w:numFmt w:val="bullet"/>
      <w:lvlText w:val="o"/>
      <w:lvlJc w:val="left"/>
      <w:pPr>
        <w:ind w:left="1440" w:hanging="360"/>
      </w:pPr>
      <w:rPr>
        <w:rFonts w:ascii="Courier New" w:hAnsi="Courier New" w:cs="Courier New" w:hint="default"/>
      </w:rPr>
    </w:lvl>
    <w:lvl w:ilvl="2" w:tplc="CBB0CE12" w:tentative="1">
      <w:start w:val="1"/>
      <w:numFmt w:val="bullet"/>
      <w:lvlText w:val=""/>
      <w:lvlJc w:val="left"/>
      <w:pPr>
        <w:ind w:left="2160" w:hanging="360"/>
      </w:pPr>
      <w:rPr>
        <w:rFonts w:ascii="Wingdings" w:hAnsi="Wingdings" w:hint="default"/>
      </w:rPr>
    </w:lvl>
    <w:lvl w:ilvl="3" w:tplc="3B407AE4" w:tentative="1">
      <w:start w:val="1"/>
      <w:numFmt w:val="bullet"/>
      <w:lvlText w:val=""/>
      <w:lvlJc w:val="left"/>
      <w:pPr>
        <w:ind w:left="2880" w:hanging="360"/>
      </w:pPr>
      <w:rPr>
        <w:rFonts w:ascii="Symbol" w:hAnsi="Symbol" w:hint="default"/>
      </w:rPr>
    </w:lvl>
    <w:lvl w:ilvl="4" w:tplc="F2A6708E" w:tentative="1">
      <w:start w:val="1"/>
      <w:numFmt w:val="bullet"/>
      <w:lvlText w:val="o"/>
      <w:lvlJc w:val="left"/>
      <w:pPr>
        <w:ind w:left="3600" w:hanging="360"/>
      </w:pPr>
      <w:rPr>
        <w:rFonts w:ascii="Courier New" w:hAnsi="Courier New" w:cs="Courier New" w:hint="default"/>
      </w:rPr>
    </w:lvl>
    <w:lvl w:ilvl="5" w:tplc="7098FF70" w:tentative="1">
      <w:start w:val="1"/>
      <w:numFmt w:val="bullet"/>
      <w:lvlText w:val=""/>
      <w:lvlJc w:val="left"/>
      <w:pPr>
        <w:ind w:left="4320" w:hanging="360"/>
      </w:pPr>
      <w:rPr>
        <w:rFonts w:ascii="Wingdings" w:hAnsi="Wingdings" w:hint="default"/>
      </w:rPr>
    </w:lvl>
    <w:lvl w:ilvl="6" w:tplc="2F122B6C" w:tentative="1">
      <w:start w:val="1"/>
      <w:numFmt w:val="bullet"/>
      <w:lvlText w:val=""/>
      <w:lvlJc w:val="left"/>
      <w:pPr>
        <w:ind w:left="5040" w:hanging="360"/>
      </w:pPr>
      <w:rPr>
        <w:rFonts w:ascii="Symbol" w:hAnsi="Symbol" w:hint="default"/>
      </w:rPr>
    </w:lvl>
    <w:lvl w:ilvl="7" w:tplc="4888F0B4" w:tentative="1">
      <w:start w:val="1"/>
      <w:numFmt w:val="bullet"/>
      <w:lvlText w:val="o"/>
      <w:lvlJc w:val="left"/>
      <w:pPr>
        <w:ind w:left="5760" w:hanging="360"/>
      </w:pPr>
      <w:rPr>
        <w:rFonts w:ascii="Courier New" w:hAnsi="Courier New" w:cs="Courier New" w:hint="default"/>
      </w:rPr>
    </w:lvl>
    <w:lvl w:ilvl="8" w:tplc="DF72CC78"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F01E5FCA">
      <w:start w:val="1"/>
      <w:numFmt w:val="decimal"/>
      <w:lvlText w:val="%1."/>
      <w:lvlJc w:val="left"/>
      <w:pPr>
        <w:ind w:left="720" w:hanging="360"/>
      </w:pPr>
    </w:lvl>
    <w:lvl w:ilvl="1" w:tplc="5FD4C75E" w:tentative="1">
      <w:start w:val="1"/>
      <w:numFmt w:val="lowerLetter"/>
      <w:lvlText w:val="%2."/>
      <w:lvlJc w:val="left"/>
      <w:pPr>
        <w:ind w:left="1440" w:hanging="360"/>
      </w:pPr>
    </w:lvl>
    <w:lvl w:ilvl="2" w:tplc="0F30E2CC" w:tentative="1">
      <w:start w:val="1"/>
      <w:numFmt w:val="lowerRoman"/>
      <w:lvlText w:val="%3."/>
      <w:lvlJc w:val="right"/>
      <w:pPr>
        <w:ind w:left="2160" w:hanging="180"/>
      </w:pPr>
    </w:lvl>
    <w:lvl w:ilvl="3" w:tplc="3E083F30" w:tentative="1">
      <w:start w:val="1"/>
      <w:numFmt w:val="decimal"/>
      <w:lvlText w:val="%4."/>
      <w:lvlJc w:val="left"/>
      <w:pPr>
        <w:ind w:left="2880" w:hanging="360"/>
      </w:pPr>
    </w:lvl>
    <w:lvl w:ilvl="4" w:tplc="A58EC8DC" w:tentative="1">
      <w:start w:val="1"/>
      <w:numFmt w:val="lowerLetter"/>
      <w:lvlText w:val="%5."/>
      <w:lvlJc w:val="left"/>
      <w:pPr>
        <w:ind w:left="3600" w:hanging="360"/>
      </w:pPr>
    </w:lvl>
    <w:lvl w:ilvl="5" w:tplc="184C995C" w:tentative="1">
      <w:start w:val="1"/>
      <w:numFmt w:val="lowerRoman"/>
      <w:lvlText w:val="%6."/>
      <w:lvlJc w:val="right"/>
      <w:pPr>
        <w:ind w:left="4320" w:hanging="180"/>
      </w:pPr>
    </w:lvl>
    <w:lvl w:ilvl="6" w:tplc="F502EA90" w:tentative="1">
      <w:start w:val="1"/>
      <w:numFmt w:val="decimal"/>
      <w:lvlText w:val="%7."/>
      <w:lvlJc w:val="left"/>
      <w:pPr>
        <w:ind w:left="5040" w:hanging="360"/>
      </w:pPr>
    </w:lvl>
    <w:lvl w:ilvl="7" w:tplc="5CFCC744" w:tentative="1">
      <w:start w:val="1"/>
      <w:numFmt w:val="lowerLetter"/>
      <w:lvlText w:val="%8."/>
      <w:lvlJc w:val="left"/>
      <w:pPr>
        <w:ind w:left="5760" w:hanging="360"/>
      </w:pPr>
    </w:lvl>
    <w:lvl w:ilvl="8" w:tplc="08060CDC"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7834CCCA">
      <w:start w:val="1"/>
      <w:numFmt w:val="bullet"/>
      <w:lvlText w:val=""/>
      <w:lvlJc w:val="left"/>
      <w:pPr>
        <w:ind w:left="720" w:hanging="360"/>
      </w:pPr>
      <w:rPr>
        <w:rFonts w:ascii="Symbol" w:hAnsi="Symbol"/>
      </w:rPr>
    </w:lvl>
    <w:lvl w:ilvl="1" w:tplc="00BEEA46">
      <w:start w:val="1"/>
      <w:numFmt w:val="bullet"/>
      <w:lvlText w:val="o"/>
      <w:lvlJc w:val="left"/>
      <w:pPr>
        <w:tabs>
          <w:tab w:val="num" w:pos="1440"/>
        </w:tabs>
        <w:ind w:left="1440" w:hanging="360"/>
      </w:pPr>
      <w:rPr>
        <w:rFonts w:ascii="Courier New" w:hAnsi="Courier New"/>
      </w:rPr>
    </w:lvl>
    <w:lvl w:ilvl="2" w:tplc="FE349ACC">
      <w:start w:val="1"/>
      <w:numFmt w:val="bullet"/>
      <w:lvlText w:val=""/>
      <w:lvlJc w:val="left"/>
      <w:pPr>
        <w:tabs>
          <w:tab w:val="num" w:pos="2160"/>
        </w:tabs>
        <w:ind w:left="2160" w:hanging="360"/>
      </w:pPr>
      <w:rPr>
        <w:rFonts w:ascii="Wingdings" w:hAnsi="Wingdings"/>
      </w:rPr>
    </w:lvl>
    <w:lvl w:ilvl="3" w:tplc="1FE87C92">
      <w:start w:val="1"/>
      <w:numFmt w:val="bullet"/>
      <w:lvlText w:val=""/>
      <w:lvlJc w:val="left"/>
      <w:pPr>
        <w:tabs>
          <w:tab w:val="num" w:pos="2880"/>
        </w:tabs>
        <w:ind w:left="2880" w:hanging="360"/>
      </w:pPr>
      <w:rPr>
        <w:rFonts w:ascii="Symbol" w:hAnsi="Symbol"/>
      </w:rPr>
    </w:lvl>
    <w:lvl w:ilvl="4" w:tplc="55CCF5C8">
      <w:start w:val="1"/>
      <w:numFmt w:val="bullet"/>
      <w:lvlText w:val="o"/>
      <w:lvlJc w:val="left"/>
      <w:pPr>
        <w:tabs>
          <w:tab w:val="num" w:pos="3600"/>
        </w:tabs>
        <w:ind w:left="3600" w:hanging="360"/>
      </w:pPr>
      <w:rPr>
        <w:rFonts w:ascii="Courier New" w:hAnsi="Courier New"/>
      </w:rPr>
    </w:lvl>
    <w:lvl w:ilvl="5" w:tplc="7F4893EE">
      <w:start w:val="1"/>
      <w:numFmt w:val="bullet"/>
      <w:lvlText w:val=""/>
      <w:lvlJc w:val="left"/>
      <w:pPr>
        <w:tabs>
          <w:tab w:val="num" w:pos="4320"/>
        </w:tabs>
        <w:ind w:left="4320" w:hanging="360"/>
      </w:pPr>
      <w:rPr>
        <w:rFonts w:ascii="Wingdings" w:hAnsi="Wingdings"/>
      </w:rPr>
    </w:lvl>
    <w:lvl w:ilvl="6" w:tplc="B4A84234">
      <w:start w:val="1"/>
      <w:numFmt w:val="bullet"/>
      <w:lvlText w:val=""/>
      <w:lvlJc w:val="left"/>
      <w:pPr>
        <w:tabs>
          <w:tab w:val="num" w:pos="5040"/>
        </w:tabs>
        <w:ind w:left="5040" w:hanging="360"/>
      </w:pPr>
      <w:rPr>
        <w:rFonts w:ascii="Symbol" w:hAnsi="Symbol"/>
      </w:rPr>
    </w:lvl>
    <w:lvl w:ilvl="7" w:tplc="1B4471D6">
      <w:start w:val="1"/>
      <w:numFmt w:val="bullet"/>
      <w:lvlText w:val="o"/>
      <w:lvlJc w:val="left"/>
      <w:pPr>
        <w:tabs>
          <w:tab w:val="num" w:pos="5760"/>
        </w:tabs>
        <w:ind w:left="5760" w:hanging="360"/>
      </w:pPr>
      <w:rPr>
        <w:rFonts w:ascii="Courier New" w:hAnsi="Courier New"/>
      </w:rPr>
    </w:lvl>
    <w:lvl w:ilvl="8" w:tplc="B8A05A52">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462C79B0">
      <w:start w:val="1"/>
      <w:numFmt w:val="bullet"/>
      <w:lvlText w:val=""/>
      <w:lvlJc w:val="left"/>
      <w:pPr>
        <w:ind w:left="720" w:hanging="360"/>
      </w:pPr>
      <w:rPr>
        <w:rFonts w:ascii="Symbol" w:hAnsi="Symbol"/>
      </w:rPr>
    </w:lvl>
    <w:lvl w:ilvl="1" w:tplc="EC9A74E6">
      <w:start w:val="1"/>
      <w:numFmt w:val="bullet"/>
      <w:lvlText w:val="o"/>
      <w:lvlJc w:val="left"/>
      <w:pPr>
        <w:tabs>
          <w:tab w:val="num" w:pos="1440"/>
        </w:tabs>
        <w:ind w:left="1440" w:hanging="360"/>
      </w:pPr>
      <w:rPr>
        <w:rFonts w:ascii="Courier New" w:hAnsi="Courier New"/>
      </w:rPr>
    </w:lvl>
    <w:lvl w:ilvl="2" w:tplc="1F7EA4DE">
      <w:start w:val="1"/>
      <w:numFmt w:val="bullet"/>
      <w:lvlText w:val=""/>
      <w:lvlJc w:val="left"/>
      <w:pPr>
        <w:tabs>
          <w:tab w:val="num" w:pos="2160"/>
        </w:tabs>
        <w:ind w:left="2160" w:hanging="360"/>
      </w:pPr>
      <w:rPr>
        <w:rFonts w:ascii="Wingdings" w:hAnsi="Wingdings"/>
      </w:rPr>
    </w:lvl>
    <w:lvl w:ilvl="3" w:tplc="8A06A302">
      <w:start w:val="1"/>
      <w:numFmt w:val="bullet"/>
      <w:lvlText w:val=""/>
      <w:lvlJc w:val="left"/>
      <w:pPr>
        <w:tabs>
          <w:tab w:val="num" w:pos="2880"/>
        </w:tabs>
        <w:ind w:left="2880" w:hanging="360"/>
      </w:pPr>
      <w:rPr>
        <w:rFonts w:ascii="Symbol" w:hAnsi="Symbol"/>
      </w:rPr>
    </w:lvl>
    <w:lvl w:ilvl="4" w:tplc="22AEF958">
      <w:start w:val="1"/>
      <w:numFmt w:val="bullet"/>
      <w:lvlText w:val="o"/>
      <w:lvlJc w:val="left"/>
      <w:pPr>
        <w:tabs>
          <w:tab w:val="num" w:pos="3600"/>
        </w:tabs>
        <w:ind w:left="3600" w:hanging="360"/>
      </w:pPr>
      <w:rPr>
        <w:rFonts w:ascii="Courier New" w:hAnsi="Courier New"/>
      </w:rPr>
    </w:lvl>
    <w:lvl w:ilvl="5" w:tplc="423421EA">
      <w:start w:val="1"/>
      <w:numFmt w:val="bullet"/>
      <w:lvlText w:val=""/>
      <w:lvlJc w:val="left"/>
      <w:pPr>
        <w:tabs>
          <w:tab w:val="num" w:pos="4320"/>
        </w:tabs>
        <w:ind w:left="4320" w:hanging="360"/>
      </w:pPr>
      <w:rPr>
        <w:rFonts w:ascii="Wingdings" w:hAnsi="Wingdings"/>
      </w:rPr>
    </w:lvl>
    <w:lvl w:ilvl="6" w:tplc="871CA8BC">
      <w:start w:val="1"/>
      <w:numFmt w:val="bullet"/>
      <w:lvlText w:val=""/>
      <w:lvlJc w:val="left"/>
      <w:pPr>
        <w:tabs>
          <w:tab w:val="num" w:pos="5040"/>
        </w:tabs>
        <w:ind w:left="5040" w:hanging="360"/>
      </w:pPr>
      <w:rPr>
        <w:rFonts w:ascii="Symbol" w:hAnsi="Symbol"/>
      </w:rPr>
    </w:lvl>
    <w:lvl w:ilvl="7" w:tplc="D5BE804A">
      <w:start w:val="1"/>
      <w:numFmt w:val="bullet"/>
      <w:lvlText w:val="o"/>
      <w:lvlJc w:val="left"/>
      <w:pPr>
        <w:tabs>
          <w:tab w:val="num" w:pos="5760"/>
        </w:tabs>
        <w:ind w:left="5760" w:hanging="360"/>
      </w:pPr>
      <w:rPr>
        <w:rFonts w:ascii="Courier New" w:hAnsi="Courier New"/>
      </w:rPr>
    </w:lvl>
    <w:lvl w:ilvl="8" w:tplc="09844D8A">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28B4E002">
      <w:start w:val="1"/>
      <w:numFmt w:val="bullet"/>
      <w:lvlText w:val=""/>
      <w:lvlJc w:val="left"/>
      <w:pPr>
        <w:ind w:left="720" w:hanging="360"/>
      </w:pPr>
      <w:rPr>
        <w:rFonts w:ascii="Symbol" w:hAnsi="Symbol"/>
      </w:rPr>
    </w:lvl>
    <w:lvl w:ilvl="1" w:tplc="64CECCD4">
      <w:start w:val="1"/>
      <w:numFmt w:val="bullet"/>
      <w:lvlText w:val="o"/>
      <w:lvlJc w:val="left"/>
      <w:pPr>
        <w:tabs>
          <w:tab w:val="num" w:pos="1440"/>
        </w:tabs>
        <w:ind w:left="1440" w:hanging="360"/>
      </w:pPr>
      <w:rPr>
        <w:rFonts w:ascii="Courier New" w:hAnsi="Courier New"/>
      </w:rPr>
    </w:lvl>
    <w:lvl w:ilvl="2" w:tplc="9BFA5F7E">
      <w:start w:val="1"/>
      <w:numFmt w:val="bullet"/>
      <w:lvlText w:val=""/>
      <w:lvlJc w:val="left"/>
      <w:pPr>
        <w:tabs>
          <w:tab w:val="num" w:pos="2160"/>
        </w:tabs>
        <w:ind w:left="2160" w:hanging="360"/>
      </w:pPr>
      <w:rPr>
        <w:rFonts w:ascii="Wingdings" w:hAnsi="Wingdings"/>
      </w:rPr>
    </w:lvl>
    <w:lvl w:ilvl="3" w:tplc="E5685340">
      <w:start w:val="1"/>
      <w:numFmt w:val="bullet"/>
      <w:lvlText w:val=""/>
      <w:lvlJc w:val="left"/>
      <w:pPr>
        <w:tabs>
          <w:tab w:val="num" w:pos="2880"/>
        </w:tabs>
        <w:ind w:left="2880" w:hanging="360"/>
      </w:pPr>
      <w:rPr>
        <w:rFonts w:ascii="Symbol" w:hAnsi="Symbol"/>
      </w:rPr>
    </w:lvl>
    <w:lvl w:ilvl="4" w:tplc="580C59C0">
      <w:start w:val="1"/>
      <w:numFmt w:val="bullet"/>
      <w:lvlText w:val="o"/>
      <w:lvlJc w:val="left"/>
      <w:pPr>
        <w:tabs>
          <w:tab w:val="num" w:pos="3600"/>
        </w:tabs>
        <w:ind w:left="3600" w:hanging="360"/>
      </w:pPr>
      <w:rPr>
        <w:rFonts w:ascii="Courier New" w:hAnsi="Courier New"/>
      </w:rPr>
    </w:lvl>
    <w:lvl w:ilvl="5" w:tplc="B40A7CD2">
      <w:start w:val="1"/>
      <w:numFmt w:val="bullet"/>
      <w:lvlText w:val=""/>
      <w:lvlJc w:val="left"/>
      <w:pPr>
        <w:tabs>
          <w:tab w:val="num" w:pos="4320"/>
        </w:tabs>
        <w:ind w:left="4320" w:hanging="360"/>
      </w:pPr>
      <w:rPr>
        <w:rFonts w:ascii="Wingdings" w:hAnsi="Wingdings"/>
      </w:rPr>
    </w:lvl>
    <w:lvl w:ilvl="6" w:tplc="1268791E">
      <w:start w:val="1"/>
      <w:numFmt w:val="bullet"/>
      <w:lvlText w:val=""/>
      <w:lvlJc w:val="left"/>
      <w:pPr>
        <w:tabs>
          <w:tab w:val="num" w:pos="5040"/>
        </w:tabs>
        <w:ind w:left="5040" w:hanging="360"/>
      </w:pPr>
      <w:rPr>
        <w:rFonts w:ascii="Symbol" w:hAnsi="Symbol"/>
      </w:rPr>
    </w:lvl>
    <w:lvl w:ilvl="7" w:tplc="D0E433FC">
      <w:start w:val="1"/>
      <w:numFmt w:val="bullet"/>
      <w:lvlText w:val="o"/>
      <w:lvlJc w:val="left"/>
      <w:pPr>
        <w:tabs>
          <w:tab w:val="num" w:pos="5760"/>
        </w:tabs>
        <w:ind w:left="5760" w:hanging="360"/>
      </w:pPr>
      <w:rPr>
        <w:rFonts w:ascii="Courier New" w:hAnsi="Courier New"/>
      </w:rPr>
    </w:lvl>
    <w:lvl w:ilvl="8" w:tplc="AEA6BE56">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3"/>
    <w:multiLevelType w:val="hybridMultilevel"/>
    <w:tmpl w:val="7BE95D83"/>
    <w:lvl w:ilvl="0" w:tplc="1D9672DE">
      <w:start w:val="1"/>
      <w:numFmt w:val="bullet"/>
      <w:lvlText w:val=""/>
      <w:lvlJc w:val="left"/>
      <w:pPr>
        <w:ind w:left="720" w:hanging="360"/>
      </w:pPr>
      <w:rPr>
        <w:rFonts w:ascii="Symbol" w:hAnsi="Symbol"/>
      </w:rPr>
    </w:lvl>
    <w:lvl w:ilvl="1" w:tplc="2034B474">
      <w:start w:val="1"/>
      <w:numFmt w:val="bullet"/>
      <w:lvlText w:val="o"/>
      <w:lvlJc w:val="left"/>
      <w:pPr>
        <w:tabs>
          <w:tab w:val="num" w:pos="1440"/>
        </w:tabs>
        <w:ind w:left="1440" w:hanging="360"/>
      </w:pPr>
      <w:rPr>
        <w:rFonts w:ascii="Courier New" w:hAnsi="Courier New"/>
      </w:rPr>
    </w:lvl>
    <w:lvl w:ilvl="2" w:tplc="5A4468D8">
      <w:start w:val="1"/>
      <w:numFmt w:val="bullet"/>
      <w:lvlText w:val=""/>
      <w:lvlJc w:val="left"/>
      <w:pPr>
        <w:tabs>
          <w:tab w:val="num" w:pos="2160"/>
        </w:tabs>
        <w:ind w:left="2160" w:hanging="360"/>
      </w:pPr>
      <w:rPr>
        <w:rFonts w:ascii="Wingdings" w:hAnsi="Wingdings"/>
      </w:rPr>
    </w:lvl>
    <w:lvl w:ilvl="3" w:tplc="AFB2F5F0">
      <w:start w:val="1"/>
      <w:numFmt w:val="bullet"/>
      <w:lvlText w:val=""/>
      <w:lvlJc w:val="left"/>
      <w:pPr>
        <w:tabs>
          <w:tab w:val="num" w:pos="2880"/>
        </w:tabs>
        <w:ind w:left="2880" w:hanging="360"/>
      </w:pPr>
      <w:rPr>
        <w:rFonts w:ascii="Symbol" w:hAnsi="Symbol"/>
      </w:rPr>
    </w:lvl>
    <w:lvl w:ilvl="4" w:tplc="A276FDE4">
      <w:start w:val="1"/>
      <w:numFmt w:val="bullet"/>
      <w:lvlText w:val="o"/>
      <w:lvlJc w:val="left"/>
      <w:pPr>
        <w:tabs>
          <w:tab w:val="num" w:pos="3600"/>
        </w:tabs>
        <w:ind w:left="3600" w:hanging="360"/>
      </w:pPr>
      <w:rPr>
        <w:rFonts w:ascii="Courier New" w:hAnsi="Courier New"/>
      </w:rPr>
    </w:lvl>
    <w:lvl w:ilvl="5" w:tplc="D1E851D6">
      <w:start w:val="1"/>
      <w:numFmt w:val="bullet"/>
      <w:lvlText w:val=""/>
      <w:lvlJc w:val="left"/>
      <w:pPr>
        <w:tabs>
          <w:tab w:val="num" w:pos="4320"/>
        </w:tabs>
        <w:ind w:left="4320" w:hanging="360"/>
      </w:pPr>
      <w:rPr>
        <w:rFonts w:ascii="Wingdings" w:hAnsi="Wingdings"/>
      </w:rPr>
    </w:lvl>
    <w:lvl w:ilvl="6" w:tplc="F984CBB8">
      <w:start w:val="1"/>
      <w:numFmt w:val="bullet"/>
      <w:lvlText w:val=""/>
      <w:lvlJc w:val="left"/>
      <w:pPr>
        <w:tabs>
          <w:tab w:val="num" w:pos="5040"/>
        </w:tabs>
        <w:ind w:left="5040" w:hanging="360"/>
      </w:pPr>
      <w:rPr>
        <w:rFonts w:ascii="Symbol" w:hAnsi="Symbol"/>
      </w:rPr>
    </w:lvl>
    <w:lvl w:ilvl="7" w:tplc="E76821E2">
      <w:start w:val="1"/>
      <w:numFmt w:val="bullet"/>
      <w:lvlText w:val="o"/>
      <w:lvlJc w:val="left"/>
      <w:pPr>
        <w:tabs>
          <w:tab w:val="num" w:pos="5760"/>
        </w:tabs>
        <w:ind w:left="5760" w:hanging="360"/>
      </w:pPr>
      <w:rPr>
        <w:rFonts w:ascii="Courier New" w:hAnsi="Courier New"/>
      </w:rPr>
    </w:lvl>
    <w:lvl w:ilvl="8" w:tplc="5F60687E">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4"/>
    <w:multiLevelType w:val="hybridMultilevel"/>
    <w:tmpl w:val="7BE95D84"/>
    <w:lvl w:ilvl="0" w:tplc="DCD09380">
      <w:start w:val="1"/>
      <w:numFmt w:val="bullet"/>
      <w:lvlText w:val=""/>
      <w:lvlJc w:val="left"/>
      <w:pPr>
        <w:ind w:left="720" w:hanging="360"/>
      </w:pPr>
      <w:rPr>
        <w:rFonts w:ascii="Symbol" w:hAnsi="Symbol"/>
      </w:rPr>
    </w:lvl>
    <w:lvl w:ilvl="1" w:tplc="1DDCEDEE">
      <w:start w:val="1"/>
      <w:numFmt w:val="bullet"/>
      <w:lvlText w:val="o"/>
      <w:lvlJc w:val="left"/>
      <w:pPr>
        <w:tabs>
          <w:tab w:val="num" w:pos="1440"/>
        </w:tabs>
        <w:ind w:left="1440" w:hanging="360"/>
      </w:pPr>
      <w:rPr>
        <w:rFonts w:ascii="Courier New" w:hAnsi="Courier New"/>
      </w:rPr>
    </w:lvl>
    <w:lvl w:ilvl="2" w:tplc="893EA27E">
      <w:start w:val="1"/>
      <w:numFmt w:val="bullet"/>
      <w:lvlText w:val=""/>
      <w:lvlJc w:val="left"/>
      <w:pPr>
        <w:tabs>
          <w:tab w:val="num" w:pos="2160"/>
        </w:tabs>
        <w:ind w:left="2160" w:hanging="360"/>
      </w:pPr>
      <w:rPr>
        <w:rFonts w:ascii="Wingdings" w:hAnsi="Wingdings"/>
      </w:rPr>
    </w:lvl>
    <w:lvl w:ilvl="3" w:tplc="3E245A04">
      <w:start w:val="1"/>
      <w:numFmt w:val="bullet"/>
      <w:lvlText w:val=""/>
      <w:lvlJc w:val="left"/>
      <w:pPr>
        <w:tabs>
          <w:tab w:val="num" w:pos="2880"/>
        </w:tabs>
        <w:ind w:left="2880" w:hanging="360"/>
      </w:pPr>
      <w:rPr>
        <w:rFonts w:ascii="Symbol" w:hAnsi="Symbol"/>
      </w:rPr>
    </w:lvl>
    <w:lvl w:ilvl="4" w:tplc="AB3497AA">
      <w:start w:val="1"/>
      <w:numFmt w:val="bullet"/>
      <w:lvlText w:val="o"/>
      <w:lvlJc w:val="left"/>
      <w:pPr>
        <w:tabs>
          <w:tab w:val="num" w:pos="3600"/>
        </w:tabs>
        <w:ind w:left="3600" w:hanging="360"/>
      </w:pPr>
      <w:rPr>
        <w:rFonts w:ascii="Courier New" w:hAnsi="Courier New"/>
      </w:rPr>
    </w:lvl>
    <w:lvl w:ilvl="5" w:tplc="C5841514">
      <w:start w:val="1"/>
      <w:numFmt w:val="bullet"/>
      <w:lvlText w:val=""/>
      <w:lvlJc w:val="left"/>
      <w:pPr>
        <w:tabs>
          <w:tab w:val="num" w:pos="4320"/>
        </w:tabs>
        <w:ind w:left="4320" w:hanging="360"/>
      </w:pPr>
      <w:rPr>
        <w:rFonts w:ascii="Wingdings" w:hAnsi="Wingdings"/>
      </w:rPr>
    </w:lvl>
    <w:lvl w:ilvl="6" w:tplc="0C128DE8">
      <w:start w:val="1"/>
      <w:numFmt w:val="bullet"/>
      <w:lvlText w:val=""/>
      <w:lvlJc w:val="left"/>
      <w:pPr>
        <w:tabs>
          <w:tab w:val="num" w:pos="5040"/>
        </w:tabs>
        <w:ind w:left="5040" w:hanging="360"/>
      </w:pPr>
      <w:rPr>
        <w:rFonts w:ascii="Symbol" w:hAnsi="Symbol"/>
      </w:rPr>
    </w:lvl>
    <w:lvl w:ilvl="7" w:tplc="879AA838">
      <w:start w:val="1"/>
      <w:numFmt w:val="bullet"/>
      <w:lvlText w:val="o"/>
      <w:lvlJc w:val="left"/>
      <w:pPr>
        <w:tabs>
          <w:tab w:val="num" w:pos="5760"/>
        </w:tabs>
        <w:ind w:left="5760" w:hanging="360"/>
      </w:pPr>
      <w:rPr>
        <w:rFonts w:ascii="Courier New" w:hAnsi="Courier New"/>
      </w:rPr>
    </w:lvl>
    <w:lvl w:ilvl="8" w:tplc="E682BCCC">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5"/>
    <w:multiLevelType w:val="hybridMultilevel"/>
    <w:tmpl w:val="7BE95D85"/>
    <w:lvl w:ilvl="0" w:tplc="25546A26">
      <w:start w:val="1"/>
      <w:numFmt w:val="bullet"/>
      <w:lvlText w:val=""/>
      <w:lvlJc w:val="left"/>
      <w:pPr>
        <w:ind w:left="720" w:hanging="360"/>
      </w:pPr>
      <w:rPr>
        <w:rFonts w:ascii="Symbol" w:hAnsi="Symbol"/>
      </w:rPr>
    </w:lvl>
    <w:lvl w:ilvl="1" w:tplc="BE0ED56A">
      <w:start w:val="1"/>
      <w:numFmt w:val="bullet"/>
      <w:lvlText w:val="o"/>
      <w:lvlJc w:val="left"/>
      <w:pPr>
        <w:tabs>
          <w:tab w:val="num" w:pos="1440"/>
        </w:tabs>
        <w:ind w:left="1440" w:hanging="360"/>
      </w:pPr>
      <w:rPr>
        <w:rFonts w:ascii="Courier New" w:hAnsi="Courier New"/>
      </w:rPr>
    </w:lvl>
    <w:lvl w:ilvl="2" w:tplc="DC02E2E8">
      <w:start w:val="1"/>
      <w:numFmt w:val="bullet"/>
      <w:lvlText w:val=""/>
      <w:lvlJc w:val="left"/>
      <w:pPr>
        <w:tabs>
          <w:tab w:val="num" w:pos="2160"/>
        </w:tabs>
        <w:ind w:left="2160" w:hanging="360"/>
      </w:pPr>
      <w:rPr>
        <w:rFonts w:ascii="Wingdings" w:hAnsi="Wingdings"/>
      </w:rPr>
    </w:lvl>
    <w:lvl w:ilvl="3" w:tplc="680CF230">
      <w:start w:val="1"/>
      <w:numFmt w:val="bullet"/>
      <w:lvlText w:val=""/>
      <w:lvlJc w:val="left"/>
      <w:pPr>
        <w:tabs>
          <w:tab w:val="num" w:pos="2880"/>
        </w:tabs>
        <w:ind w:left="2880" w:hanging="360"/>
      </w:pPr>
      <w:rPr>
        <w:rFonts w:ascii="Symbol" w:hAnsi="Symbol"/>
      </w:rPr>
    </w:lvl>
    <w:lvl w:ilvl="4" w:tplc="C756C648">
      <w:start w:val="1"/>
      <w:numFmt w:val="bullet"/>
      <w:lvlText w:val="o"/>
      <w:lvlJc w:val="left"/>
      <w:pPr>
        <w:tabs>
          <w:tab w:val="num" w:pos="3600"/>
        </w:tabs>
        <w:ind w:left="3600" w:hanging="360"/>
      </w:pPr>
      <w:rPr>
        <w:rFonts w:ascii="Courier New" w:hAnsi="Courier New"/>
      </w:rPr>
    </w:lvl>
    <w:lvl w:ilvl="5" w:tplc="5FA2252C">
      <w:start w:val="1"/>
      <w:numFmt w:val="bullet"/>
      <w:lvlText w:val=""/>
      <w:lvlJc w:val="left"/>
      <w:pPr>
        <w:tabs>
          <w:tab w:val="num" w:pos="4320"/>
        </w:tabs>
        <w:ind w:left="4320" w:hanging="360"/>
      </w:pPr>
      <w:rPr>
        <w:rFonts w:ascii="Wingdings" w:hAnsi="Wingdings"/>
      </w:rPr>
    </w:lvl>
    <w:lvl w:ilvl="6" w:tplc="52C49B04">
      <w:start w:val="1"/>
      <w:numFmt w:val="bullet"/>
      <w:lvlText w:val=""/>
      <w:lvlJc w:val="left"/>
      <w:pPr>
        <w:tabs>
          <w:tab w:val="num" w:pos="5040"/>
        </w:tabs>
        <w:ind w:left="5040" w:hanging="360"/>
      </w:pPr>
      <w:rPr>
        <w:rFonts w:ascii="Symbol" w:hAnsi="Symbol"/>
      </w:rPr>
    </w:lvl>
    <w:lvl w:ilvl="7" w:tplc="8710186C">
      <w:start w:val="1"/>
      <w:numFmt w:val="bullet"/>
      <w:lvlText w:val="o"/>
      <w:lvlJc w:val="left"/>
      <w:pPr>
        <w:tabs>
          <w:tab w:val="num" w:pos="5760"/>
        </w:tabs>
        <w:ind w:left="5760" w:hanging="360"/>
      </w:pPr>
      <w:rPr>
        <w:rFonts w:ascii="Courier New" w:hAnsi="Courier New"/>
      </w:rPr>
    </w:lvl>
    <w:lvl w:ilvl="8" w:tplc="6D827650">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6"/>
    <w:multiLevelType w:val="hybridMultilevel"/>
    <w:tmpl w:val="7BE95D86"/>
    <w:lvl w:ilvl="0" w:tplc="D6F865F2">
      <w:start w:val="1"/>
      <w:numFmt w:val="bullet"/>
      <w:lvlText w:val=""/>
      <w:lvlJc w:val="left"/>
      <w:pPr>
        <w:ind w:left="720" w:hanging="360"/>
      </w:pPr>
      <w:rPr>
        <w:rFonts w:ascii="Symbol" w:hAnsi="Symbol"/>
      </w:rPr>
    </w:lvl>
    <w:lvl w:ilvl="1" w:tplc="795C5900">
      <w:start w:val="1"/>
      <w:numFmt w:val="bullet"/>
      <w:lvlText w:val="o"/>
      <w:lvlJc w:val="left"/>
      <w:pPr>
        <w:tabs>
          <w:tab w:val="num" w:pos="1440"/>
        </w:tabs>
        <w:ind w:left="1440" w:hanging="360"/>
      </w:pPr>
      <w:rPr>
        <w:rFonts w:ascii="Courier New" w:hAnsi="Courier New"/>
      </w:rPr>
    </w:lvl>
    <w:lvl w:ilvl="2" w:tplc="B6F2CFB0">
      <w:start w:val="1"/>
      <w:numFmt w:val="bullet"/>
      <w:lvlText w:val=""/>
      <w:lvlJc w:val="left"/>
      <w:pPr>
        <w:tabs>
          <w:tab w:val="num" w:pos="2160"/>
        </w:tabs>
        <w:ind w:left="2160" w:hanging="360"/>
      </w:pPr>
      <w:rPr>
        <w:rFonts w:ascii="Wingdings" w:hAnsi="Wingdings"/>
      </w:rPr>
    </w:lvl>
    <w:lvl w:ilvl="3" w:tplc="2EAAA016">
      <w:start w:val="1"/>
      <w:numFmt w:val="bullet"/>
      <w:lvlText w:val=""/>
      <w:lvlJc w:val="left"/>
      <w:pPr>
        <w:tabs>
          <w:tab w:val="num" w:pos="2880"/>
        </w:tabs>
        <w:ind w:left="2880" w:hanging="360"/>
      </w:pPr>
      <w:rPr>
        <w:rFonts w:ascii="Symbol" w:hAnsi="Symbol"/>
      </w:rPr>
    </w:lvl>
    <w:lvl w:ilvl="4" w:tplc="1974E3AE">
      <w:start w:val="1"/>
      <w:numFmt w:val="bullet"/>
      <w:lvlText w:val="o"/>
      <w:lvlJc w:val="left"/>
      <w:pPr>
        <w:tabs>
          <w:tab w:val="num" w:pos="3600"/>
        </w:tabs>
        <w:ind w:left="3600" w:hanging="360"/>
      </w:pPr>
      <w:rPr>
        <w:rFonts w:ascii="Courier New" w:hAnsi="Courier New"/>
      </w:rPr>
    </w:lvl>
    <w:lvl w:ilvl="5" w:tplc="2A50B7BE">
      <w:start w:val="1"/>
      <w:numFmt w:val="bullet"/>
      <w:lvlText w:val=""/>
      <w:lvlJc w:val="left"/>
      <w:pPr>
        <w:tabs>
          <w:tab w:val="num" w:pos="4320"/>
        </w:tabs>
        <w:ind w:left="4320" w:hanging="360"/>
      </w:pPr>
      <w:rPr>
        <w:rFonts w:ascii="Wingdings" w:hAnsi="Wingdings"/>
      </w:rPr>
    </w:lvl>
    <w:lvl w:ilvl="6" w:tplc="8EB098DC">
      <w:start w:val="1"/>
      <w:numFmt w:val="bullet"/>
      <w:lvlText w:val=""/>
      <w:lvlJc w:val="left"/>
      <w:pPr>
        <w:tabs>
          <w:tab w:val="num" w:pos="5040"/>
        </w:tabs>
        <w:ind w:left="5040" w:hanging="360"/>
      </w:pPr>
      <w:rPr>
        <w:rFonts w:ascii="Symbol" w:hAnsi="Symbol"/>
      </w:rPr>
    </w:lvl>
    <w:lvl w:ilvl="7" w:tplc="A1B6765E">
      <w:start w:val="1"/>
      <w:numFmt w:val="bullet"/>
      <w:lvlText w:val="o"/>
      <w:lvlJc w:val="left"/>
      <w:pPr>
        <w:tabs>
          <w:tab w:val="num" w:pos="5760"/>
        </w:tabs>
        <w:ind w:left="5760" w:hanging="360"/>
      </w:pPr>
      <w:rPr>
        <w:rFonts w:ascii="Courier New" w:hAnsi="Courier New"/>
      </w:rPr>
    </w:lvl>
    <w:lvl w:ilvl="8" w:tplc="55DAE1FA">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7"/>
    <w:multiLevelType w:val="hybridMultilevel"/>
    <w:tmpl w:val="7BE95D87"/>
    <w:lvl w:ilvl="0" w:tplc="5D945358">
      <w:start w:val="1"/>
      <w:numFmt w:val="bullet"/>
      <w:lvlText w:val=""/>
      <w:lvlJc w:val="left"/>
      <w:pPr>
        <w:ind w:left="720" w:hanging="360"/>
      </w:pPr>
      <w:rPr>
        <w:rFonts w:ascii="Symbol" w:hAnsi="Symbol"/>
      </w:rPr>
    </w:lvl>
    <w:lvl w:ilvl="1" w:tplc="DB9CB152">
      <w:start w:val="1"/>
      <w:numFmt w:val="bullet"/>
      <w:lvlText w:val="o"/>
      <w:lvlJc w:val="left"/>
      <w:pPr>
        <w:tabs>
          <w:tab w:val="num" w:pos="1440"/>
        </w:tabs>
        <w:ind w:left="1440" w:hanging="360"/>
      </w:pPr>
      <w:rPr>
        <w:rFonts w:ascii="Courier New" w:hAnsi="Courier New"/>
      </w:rPr>
    </w:lvl>
    <w:lvl w:ilvl="2" w:tplc="26785596">
      <w:start w:val="1"/>
      <w:numFmt w:val="bullet"/>
      <w:lvlText w:val=""/>
      <w:lvlJc w:val="left"/>
      <w:pPr>
        <w:tabs>
          <w:tab w:val="num" w:pos="2160"/>
        </w:tabs>
        <w:ind w:left="2160" w:hanging="360"/>
      </w:pPr>
      <w:rPr>
        <w:rFonts w:ascii="Wingdings" w:hAnsi="Wingdings"/>
      </w:rPr>
    </w:lvl>
    <w:lvl w:ilvl="3" w:tplc="EB38633E">
      <w:start w:val="1"/>
      <w:numFmt w:val="bullet"/>
      <w:lvlText w:val=""/>
      <w:lvlJc w:val="left"/>
      <w:pPr>
        <w:tabs>
          <w:tab w:val="num" w:pos="2880"/>
        </w:tabs>
        <w:ind w:left="2880" w:hanging="360"/>
      </w:pPr>
      <w:rPr>
        <w:rFonts w:ascii="Symbol" w:hAnsi="Symbol"/>
      </w:rPr>
    </w:lvl>
    <w:lvl w:ilvl="4" w:tplc="CD20E516">
      <w:start w:val="1"/>
      <w:numFmt w:val="bullet"/>
      <w:lvlText w:val="o"/>
      <w:lvlJc w:val="left"/>
      <w:pPr>
        <w:tabs>
          <w:tab w:val="num" w:pos="3600"/>
        </w:tabs>
        <w:ind w:left="3600" w:hanging="360"/>
      </w:pPr>
      <w:rPr>
        <w:rFonts w:ascii="Courier New" w:hAnsi="Courier New"/>
      </w:rPr>
    </w:lvl>
    <w:lvl w:ilvl="5" w:tplc="FA3C9A82">
      <w:start w:val="1"/>
      <w:numFmt w:val="bullet"/>
      <w:lvlText w:val=""/>
      <w:lvlJc w:val="left"/>
      <w:pPr>
        <w:tabs>
          <w:tab w:val="num" w:pos="4320"/>
        </w:tabs>
        <w:ind w:left="4320" w:hanging="360"/>
      </w:pPr>
      <w:rPr>
        <w:rFonts w:ascii="Wingdings" w:hAnsi="Wingdings"/>
      </w:rPr>
    </w:lvl>
    <w:lvl w:ilvl="6" w:tplc="F83A5148">
      <w:start w:val="1"/>
      <w:numFmt w:val="bullet"/>
      <w:lvlText w:val=""/>
      <w:lvlJc w:val="left"/>
      <w:pPr>
        <w:tabs>
          <w:tab w:val="num" w:pos="5040"/>
        </w:tabs>
        <w:ind w:left="5040" w:hanging="360"/>
      </w:pPr>
      <w:rPr>
        <w:rFonts w:ascii="Symbol" w:hAnsi="Symbol"/>
      </w:rPr>
    </w:lvl>
    <w:lvl w:ilvl="7" w:tplc="C388AEA8">
      <w:start w:val="1"/>
      <w:numFmt w:val="bullet"/>
      <w:lvlText w:val="o"/>
      <w:lvlJc w:val="left"/>
      <w:pPr>
        <w:tabs>
          <w:tab w:val="num" w:pos="5760"/>
        </w:tabs>
        <w:ind w:left="5760" w:hanging="360"/>
      </w:pPr>
      <w:rPr>
        <w:rFonts w:ascii="Courier New" w:hAnsi="Courier New"/>
      </w:rPr>
    </w:lvl>
    <w:lvl w:ilvl="8" w:tplc="0C78DA14">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8"/>
    <w:multiLevelType w:val="hybridMultilevel"/>
    <w:tmpl w:val="7BE95D88"/>
    <w:lvl w:ilvl="0" w:tplc="4692CC5C">
      <w:start w:val="1"/>
      <w:numFmt w:val="bullet"/>
      <w:lvlText w:val=""/>
      <w:lvlJc w:val="left"/>
      <w:pPr>
        <w:ind w:left="720" w:hanging="360"/>
      </w:pPr>
      <w:rPr>
        <w:rFonts w:ascii="Symbol" w:hAnsi="Symbol"/>
      </w:rPr>
    </w:lvl>
    <w:lvl w:ilvl="1" w:tplc="78664534">
      <w:start w:val="1"/>
      <w:numFmt w:val="bullet"/>
      <w:lvlText w:val="o"/>
      <w:lvlJc w:val="left"/>
      <w:pPr>
        <w:tabs>
          <w:tab w:val="num" w:pos="1440"/>
        </w:tabs>
        <w:ind w:left="1440" w:hanging="360"/>
      </w:pPr>
      <w:rPr>
        <w:rFonts w:ascii="Courier New" w:hAnsi="Courier New"/>
      </w:rPr>
    </w:lvl>
    <w:lvl w:ilvl="2" w:tplc="50DEE56C">
      <w:start w:val="1"/>
      <w:numFmt w:val="bullet"/>
      <w:lvlText w:val=""/>
      <w:lvlJc w:val="left"/>
      <w:pPr>
        <w:tabs>
          <w:tab w:val="num" w:pos="2160"/>
        </w:tabs>
        <w:ind w:left="2160" w:hanging="360"/>
      </w:pPr>
      <w:rPr>
        <w:rFonts w:ascii="Wingdings" w:hAnsi="Wingdings"/>
      </w:rPr>
    </w:lvl>
    <w:lvl w:ilvl="3" w:tplc="00CE1A02">
      <w:start w:val="1"/>
      <w:numFmt w:val="bullet"/>
      <w:lvlText w:val=""/>
      <w:lvlJc w:val="left"/>
      <w:pPr>
        <w:tabs>
          <w:tab w:val="num" w:pos="2880"/>
        </w:tabs>
        <w:ind w:left="2880" w:hanging="360"/>
      </w:pPr>
      <w:rPr>
        <w:rFonts w:ascii="Symbol" w:hAnsi="Symbol"/>
      </w:rPr>
    </w:lvl>
    <w:lvl w:ilvl="4" w:tplc="42460990">
      <w:start w:val="1"/>
      <w:numFmt w:val="bullet"/>
      <w:lvlText w:val="o"/>
      <w:lvlJc w:val="left"/>
      <w:pPr>
        <w:tabs>
          <w:tab w:val="num" w:pos="3600"/>
        </w:tabs>
        <w:ind w:left="3600" w:hanging="360"/>
      </w:pPr>
      <w:rPr>
        <w:rFonts w:ascii="Courier New" w:hAnsi="Courier New"/>
      </w:rPr>
    </w:lvl>
    <w:lvl w:ilvl="5" w:tplc="56EC053E">
      <w:start w:val="1"/>
      <w:numFmt w:val="bullet"/>
      <w:lvlText w:val=""/>
      <w:lvlJc w:val="left"/>
      <w:pPr>
        <w:tabs>
          <w:tab w:val="num" w:pos="4320"/>
        </w:tabs>
        <w:ind w:left="4320" w:hanging="360"/>
      </w:pPr>
      <w:rPr>
        <w:rFonts w:ascii="Wingdings" w:hAnsi="Wingdings"/>
      </w:rPr>
    </w:lvl>
    <w:lvl w:ilvl="6" w:tplc="638EDC14">
      <w:start w:val="1"/>
      <w:numFmt w:val="bullet"/>
      <w:lvlText w:val=""/>
      <w:lvlJc w:val="left"/>
      <w:pPr>
        <w:tabs>
          <w:tab w:val="num" w:pos="5040"/>
        </w:tabs>
        <w:ind w:left="5040" w:hanging="360"/>
      </w:pPr>
      <w:rPr>
        <w:rFonts w:ascii="Symbol" w:hAnsi="Symbol"/>
      </w:rPr>
    </w:lvl>
    <w:lvl w:ilvl="7" w:tplc="7CAC6992">
      <w:start w:val="1"/>
      <w:numFmt w:val="bullet"/>
      <w:lvlText w:val="o"/>
      <w:lvlJc w:val="left"/>
      <w:pPr>
        <w:tabs>
          <w:tab w:val="num" w:pos="5760"/>
        </w:tabs>
        <w:ind w:left="5760" w:hanging="360"/>
      </w:pPr>
      <w:rPr>
        <w:rFonts w:ascii="Courier New" w:hAnsi="Courier New"/>
      </w:rPr>
    </w:lvl>
    <w:lvl w:ilvl="8" w:tplc="6EE26772">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9"/>
    <w:multiLevelType w:val="hybridMultilevel"/>
    <w:tmpl w:val="7BE95D89"/>
    <w:lvl w:ilvl="0" w:tplc="B7C8F522">
      <w:start w:val="1"/>
      <w:numFmt w:val="bullet"/>
      <w:lvlText w:val=""/>
      <w:lvlJc w:val="left"/>
      <w:pPr>
        <w:ind w:left="720" w:hanging="360"/>
      </w:pPr>
      <w:rPr>
        <w:rFonts w:ascii="Symbol" w:hAnsi="Symbol"/>
      </w:rPr>
    </w:lvl>
    <w:lvl w:ilvl="1" w:tplc="B8B0D50A">
      <w:start w:val="1"/>
      <w:numFmt w:val="bullet"/>
      <w:lvlText w:val="o"/>
      <w:lvlJc w:val="left"/>
      <w:pPr>
        <w:tabs>
          <w:tab w:val="num" w:pos="1440"/>
        </w:tabs>
        <w:ind w:left="1440" w:hanging="360"/>
      </w:pPr>
      <w:rPr>
        <w:rFonts w:ascii="Courier New" w:hAnsi="Courier New"/>
      </w:rPr>
    </w:lvl>
    <w:lvl w:ilvl="2" w:tplc="77BCE316">
      <w:start w:val="1"/>
      <w:numFmt w:val="bullet"/>
      <w:lvlText w:val=""/>
      <w:lvlJc w:val="left"/>
      <w:pPr>
        <w:tabs>
          <w:tab w:val="num" w:pos="2160"/>
        </w:tabs>
        <w:ind w:left="2160" w:hanging="360"/>
      </w:pPr>
      <w:rPr>
        <w:rFonts w:ascii="Wingdings" w:hAnsi="Wingdings"/>
      </w:rPr>
    </w:lvl>
    <w:lvl w:ilvl="3" w:tplc="7C74CCDE">
      <w:start w:val="1"/>
      <w:numFmt w:val="bullet"/>
      <w:lvlText w:val=""/>
      <w:lvlJc w:val="left"/>
      <w:pPr>
        <w:tabs>
          <w:tab w:val="num" w:pos="2880"/>
        </w:tabs>
        <w:ind w:left="2880" w:hanging="360"/>
      </w:pPr>
      <w:rPr>
        <w:rFonts w:ascii="Symbol" w:hAnsi="Symbol"/>
      </w:rPr>
    </w:lvl>
    <w:lvl w:ilvl="4" w:tplc="F1EEFE3E">
      <w:start w:val="1"/>
      <w:numFmt w:val="bullet"/>
      <w:lvlText w:val="o"/>
      <w:lvlJc w:val="left"/>
      <w:pPr>
        <w:tabs>
          <w:tab w:val="num" w:pos="3600"/>
        </w:tabs>
        <w:ind w:left="3600" w:hanging="360"/>
      </w:pPr>
      <w:rPr>
        <w:rFonts w:ascii="Courier New" w:hAnsi="Courier New"/>
      </w:rPr>
    </w:lvl>
    <w:lvl w:ilvl="5" w:tplc="316685FE">
      <w:start w:val="1"/>
      <w:numFmt w:val="bullet"/>
      <w:lvlText w:val=""/>
      <w:lvlJc w:val="left"/>
      <w:pPr>
        <w:tabs>
          <w:tab w:val="num" w:pos="4320"/>
        </w:tabs>
        <w:ind w:left="4320" w:hanging="360"/>
      </w:pPr>
      <w:rPr>
        <w:rFonts w:ascii="Wingdings" w:hAnsi="Wingdings"/>
      </w:rPr>
    </w:lvl>
    <w:lvl w:ilvl="6" w:tplc="DB30802A">
      <w:start w:val="1"/>
      <w:numFmt w:val="bullet"/>
      <w:lvlText w:val=""/>
      <w:lvlJc w:val="left"/>
      <w:pPr>
        <w:tabs>
          <w:tab w:val="num" w:pos="5040"/>
        </w:tabs>
        <w:ind w:left="5040" w:hanging="360"/>
      </w:pPr>
      <w:rPr>
        <w:rFonts w:ascii="Symbol" w:hAnsi="Symbol"/>
      </w:rPr>
    </w:lvl>
    <w:lvl w:ilvl="7" w:tplc="3B164BB2">
      <w:start w:val="1"/>
      <w:numFmt w:val="bullet"/>
      <w:lvlText w:val="o"/>
      <w:lvlJc w:val="left"/>
      <w:pPr>
        <w:tabs>
          <w:tab w:val="num" w:pos="5760"/>
        </w:tabs>
        <w:ind w:left="5760" w:hanging="360"/>
      </w:pPr>
      <w:rPr>
        <w:rFonts w:ascii="Courier New" w:hAnsi="Courier New"/>
      </w:rPr>
    </w:lvl>
    <w:lvl w:ilvl="8" w:tplc="571A1054">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738F"/>
    <w:rsid w:val="00040967"/>
    <w:rsid w:val="00045D3D"/>
    <w:rsid w:val="00046E2A"/>
    <w:rsid w:val="00051C75"/>
    <w:rsid w:val="00051DD6"/>
    <w:rsid w:val="00053478"/>
    <w:rsid w:val="00064A75"/>
    <w:rsid w:val="00065B92"/>
    <w:rsid w:val="00094173"/>
    <w:rsid w:val="000A3B64"/>
    <w:rsid w:val="000D2496"/>
    <w:rsid w:val="000E2AA1"/>
    <w:rsid w:val="00111889"/>
    <w:rsid w:val="00115C60"/>
    <w:rsid w:val="0015397F"/>
    <w:rsid w:val="00154F4D"/>
    <w:rsid w:val="0019155C"/>
    <w:rsid w:val="0019232D"/>
    <w:rsid w:val="001A4A08"/>
    <w:rsid w:val="001A4AC5"/>
    <w:rsid w:val="001C6826"/>
    <w:rsid w:val="001D77F2"/>
    <w:rsid w:val="001E682E"/>
    <w:rsid w:val="00224619"/>
    <w:rsid w:val="00235FB7"/>
    <w:rsid w:val="00236B79"/>
    <w:rsid w:val="002438A5"/>
    <w:rsid w:val="00272D5C"/>
    <w:rsid w:val="00281823"/>
    <w:rsid w:val="00297757"/>
    <w:rsid w:val="002B6F87"/>
    <w:rsid w:val="002C0C21"/>
    <w:rsid w:val="002C592F"/>
    <w:rsid w:val="002C6D47"/>
    <w:rsid w:val="002D7A0D"/>
    <w:rsid w:val="002E06F3"/>
    <w:rsid w:val="00331A05"/>
    <w:rsid w:val="003579A1"/>
    <w:rsid w:val="00376B28"/>
    <w:rsid w:val="00384433"/>
    <w:rsid w:val="0038606E"/>
    <w:rsid w:val="003D1618"/>
    <w:rsid w:val="003E7115"/>
    <w:rsid w:val="003E726F"/>
    <w:rsid w:val="003F312A"/>
    <w:rsid w:val="003F352C"/>
    <w:rsid w:val="00416883"/>
    <w:rsid w:val="00434D73"/>
    <w:rsid w:val="00470F82"/>
    <w:rsid w:val="0047688D"/>
    <w:rsid w:val="00484F41"/>
    <w:rsid w:val="00497523"/>
    <w:rsid w:val="004A389B"/>
    <w:rsid w:val="004B3428"/>
    <w:rsid w:val="004B66B6"/>
    <w:rsid w:val="004E1FDD"/>
    <w:rsid w:val="004E3E1A"/>
    <w:rsid w:val="004F1EEC"/>
    <w:rsid w:val="00501DA0"/>
    <w:rsid w:val="00506B9C"/>
    <w:rsid w:val="005113EF"/>
    <w:rsid w:val="005411DA"/>
    <w:rsid w:val="005432E7"/>
    <w:rsid w:val="00547336"/>
    <w:rsid w:val="0055046C"/>
    <w:rsid w:val="005547CD"/>
    <w:rsid w:val="00557448"/>
    <w:rsid w:val="00562C60"/>
    <w:rsid w:val="005643CD"/>
    <w:rsid w:val="00584D3F"/>
    <w:rsid w:val="0058596E"/>
    <w:rsid w:val="00586387"/>
    <w:rsid w:val="00591C93"/>
    <w:rsid w:val="005A1CA2"/>
    <w:rsid w:val="005A5145"/>
    <w:rsid w:val="005A5785"/>
    <w:rsid w:val="005A6EF8"/>
    <w:rsid w:val="005A7552"/>
    <w:rsid w:val="005C48A0"/>
    <w:rsid w:val="005E3257"/>
    <w:rsid w:val="005F6C78"/>
    <w:rsid w:val="00600727"/>
    <w:rsid w:val="00636EE1"/>
    <w:rsid w:val="006477CC"/>
    <w:rsid w:val="00652CA2"/>
    <w:rsid w:val="00656874"/>
    <w:rsid w:val="00673320"/>
    <w:rsid w:val="006A0BCE"/>
    <w:rsid w:val="006A18BF"/>
    <w:rsid w:val="006B5B3F"/>
    <w:rsid w:val="006B7AC0"/>
    <w:rsid w:val="006C1127"/>
    <w:rsid w:val="006C3A4F"/>
    <w:rsid w:val="006E04F8"/>
    <w:rsid w:val="007056FA"/>
    <w:rsid w:val="00707975"/>
    <w:rsid w:val="00716640"/>
    <w:rsid w:val="00723C84"/>
    <w:rsid w:val="00741801"/>
    <w:rsid w:val="00751387"/>
    <w:rsid w:val="00785519"/>
    <w:rsid w:val="007B0B32"/>
    <w:rsid w:val="007B5EF1"/>
    <w:rsid w:val="007C3041"/>
    <w:rsid w:val="007C7090"/>
    <w:rsid w:val="007E41B9"/>
    <w:rsid w:val="007E5180"/>
    <w:rsid w:val="008051C4"/>
    <w:rsid w:val="00846353"/>
    <w:rsid w:val="0085753F"/>
    <w:rsid w:val="00860EA9"/>
    <w:rsid w:val="008624D7"/>
    <w:rsid w:val="0087734D"/>
    <w:rsid w:val="00882024"/>
    <w:rsid w:val="0088509C"/>
    <w:rsid w:val="008A5916"/>
    <w:rsid w:val="008C3550"/>
    <w:rsid w:val="008C5CFA"/>
    <w:rsid w:val="008D382F"/>
    <w:rsid w:val="008E16E1"/>
    <w:rsid w:val="008E3442"/>
    <w:rsid w:val="008F0A0F"/>
    <w:rsid w:val="008F6B41"/>
    <w:rsid w:val="0090303F"/>
    <w:rsid w:val="00936532"/>
    <w:rsid w:val="00963FAE"/>
    <w:rsid w:val="00977763"/>
    <w:rsid w:val="00977F41"/>
    <w:rsid w:val="00990A5A"/>
    <w:rsid w:val="00991CF3"/>
    <w:rsid w:val="009937DA"/>
    <w:rsid w:val="009A2413"/>
    <w:rsid w:val="009A51C8"/>
    <w:rsid w:val="009C5874"/>
    <w:rsid w:val="009C5CD5"/>
    <w:rsid w:val="009E24C0"/>
    <w:rsid w:val="009E5061"/>
    <w:rsid w:val="009F3013"/>
    <w:rsid w:val="009F56AD"/>
    <w:rsid w:val="00A03573"/>
    <w:rsid w:val="00A06C1C"/>
    <w:rsid w:val="00A11A16"/>
    <w:rsid w:val="00A1528F"/>
    <w:rsid w:val="00A25F85"/>
    <w:rsid w:val="00A424CE"/>
    <w:rsid w:val="00A45A26"/>
    <w:rsid w:val="00A82BBD"/>
    <w:rsid w:val="00A859BA"/>
    <w:rsid w:val="00A91FB2"/>
    <w:rsid w:val="00AA25C0"/>
    <w:rsid w:val="00AB2305"/>
    <w:rsid w:val="00AD1925"/>
    <w:rsid w:val="00AE443E"/>
    <w:rsid w:val="00B23F9B"/>
    <w:rsid w:val="00B24927"/>
    <w:rsid w:val="00B2576A"/>
    <w:rsid w:val="00B268D3"/>
    <w:rsid w:val="00B32D1F"/>
    <w:rsid w:val="00B50750"/>
    <w:rsid w:val="00B52CDD"/>
    <w:rsid w:val="00B81F97"/>
    <w:rsid w:val="00B97021"/>
    <w:rsid w:val="00BB0C96"/>
    <w:rsid w:val="00BB7115"/>
    <w:rsid w:val="00BC54BA"/>
    <w:rsid w:val="00BC7D65"/>
    <w:rsid w:val="00BD46AA"/>
    <w:rsid w:val="00BE06D6"/>
    <w:rsid w:val="00BE2F0F"/>
    <w:rsid w:val="00BE5814"/>
    <w:rsid w:val="00BF021B"/>
    <w:rsid w:val="00BF036C"/>
    <w:rsid w:val="00BF0C8E"/>
    <w:rsid w:val="00BF682D"/>
    <w:rsid w:val="00C15429"/>
    <w:rsid w:val="00C2219E"/>
    <w:rsid w:val="00C35D17"/>
    <w:rsid w:val="00C403AC"/>
    <w:rsid w:val="00C40F08"/>
    <w:rsid w:val="00C57C82"/>
    <w:rsid w:val="00C61193"/>
    <w:rsid w:val="00C63717"/>
    <w:rsid w:val="00C7475F"/>
    <w:rsid w:val="00C83EDB"/>
    <w:rsid w:val="00CB3B6C"/>
    <w:rsid w:val="00CC2601"/>
    <w:rsid w:val="00CD24A9"/>
    <w:rsid w:val="00CE3217"/>
    <w:rsid w:val="00CE4BC7"/>
    <w:rsid w:val="00CF0C37"/>
    <w:rsid w:val="00D066A4"/>
    <w:rsid w:val="00D22822"/>
    <w:rsid w:val="00D47585"/>
    <w:rsid w:val="00D5077A"/>
    <w:rsid w:val="00D5173B"/>
    <w:rsid w:val="00D738C2"/>
    <w:rsid w:val="00D87DAA"/>
    <w:rsid w:val="00D91045"/>
    <w:rsid w:val="00DA61FD"/>
    <w:rsid w:val="00DB25B8"/>
    <w:rsid w:val="00DD0A72"/>
    <w:rsid w:val="00DD0B70"/>
    <w:rsid w:val="00DD2742"/>
    <w:rsid w:val="00DD7278"/>
    <w:rsid w:val="00DF0D6A"/>
    <w:rsid w:val="00E03250"/>
    <w:rsid w:val="00E11353"/>
    <w:rsid w:val="00E30D80"/>
    <w:rsid w:val="00E352CA"/>
    <w:rsid w:val="00E505CB"/>
    <w:rsid w:val="00E50D6A"/>
    <w:rsid w:val="00E61062"/>
    <w:rsid w:val="00E65636"/>
    <w:rsid w:val="00E90C2F"/>
    <w:rsid w:val="00E94987"/>
    <w:rsid w:val="00EC7CD7"/>
    <w:rsid w:val="00ED27A3"/>
    <w:rsid w:val="00ED482A"/>
    <w:rsid w:val="00EE26D8"/>
    <w:rsid w:val="00EF5E4D"/>
    <w:rsid w:val="00F022AC"/>
    <w:rsid w:val="00F05543"/>
    <w:rsid w:val="00F07BE5"/>
    <w:rsid w:val="00F20807"/>
    <w:rsid w:val="00F433EE"/>
    <w:rsid w:val="00F43F8E"/>
    <w:rsid w:val="00F66B1A"/>
    <w:rsid w:val="00F66DE9"/>
    <w:rsid w:val="00F924F6"/>
    <w:rsid w:val="00F9367D"/>
    <w:rsid w:val="00F94992"/>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9BEF00-63DB-4D93-8961-091A3B82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4F1EEC"/>
    <w:pPr>
      <w:spacing w:before="60" w:after="60"/>
      <w:jc w:val="left"/>
    </w:pPr>
    <w:rPr>
      <w:lang w:val="fr-BE"/>
    </w:rPr>
  </w:style>
  <w:style w:type="character" w:customStyle="1" w:styleId="Style3Char">
    <w:name w:val="Style3 Char"/>
    <w:link w:val="Style3"/>
    <w:rsid w:val="004F1EEC"/>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23566-BD4F-4F9C-9533-29D11AA2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13914</Words>
  <Characters>79316</Characters>
  <Application>Microsoft Office Word</Application>
  <DocSecurity>0</DocSecurity>
  <Lines>660</Lines>
  <Paragraphs>186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2023-05-08T13:14:00Z</dcterms:created>
  <dcterms:modified xsi:type="dcterms:W3CDTF">2023-05-08T13:14:00Z</dcterms:modified>
</cp:coreProperties>
</file>