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D012F3"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070F95" w:rsidTr="00003291">
        <w:trPr>
          <w:trHeight w:val="222"/>
        </w:trPr>
        <w:tc>
          <w:tcPr>
            <w:tcW w:w="0" w:type="auto"/>
            <w:shd w:val="clear" w:color="auto" w:fill="auto"/>
          </w:tcPr>
          <w:p w:rsidR="00115C60" w:rsidRPr="0019232D" w:rsidRDefault="00D012F3" w:rsidP="00003291">
            <w:pPr>
              <w:spacing w:before="0" w:after="0"/>
            </w:pPr>
            <w:r>
              <w:rPr>
                <w:noProof/>
              </w:rPr>
              <w:t>Številka CCI</w:t>
            </w:r>
          </w:p>
        </w:tc>
        <w:tc>
          <w:tcPr>
            <w:tcW w:w="0" w:type="auto"/>
            <w:shd w:val="clear" w:color="auto" w:fill="auto"/>
          </w:tcPr>
          <w:p w:rsidR="00115C60" w:rsidRPr="0019232D" w:rsidRDefault="00D012F3" w:rsidP="00003291">
            <w:pPr>
              <w:spacing w:before="0" w:after="0"/>
              <w:rPr>
                <w:color w:val="000000"/>
              </w:rPr>
            </w:pPr>
            <w:r>
              <w:rPr>
                <w:noProof/>
                <w:color w:val="000000"/>
              </w:rPr>
              <w:t>2014SI65AMNP001</w:t>
            </w:r>
          </w:p>
        </w:tc>
      </w:tr>
      <w:tr w:rsidR="00070F95" w:rsidTr="00003291">
        <w:trPr>
          <w:trHeight w:val="269"/>
        </w:trPr>
        <w:tc>
          <w:tcPr>
            <w:tcW w:w="0" w:type="auto"/>
            <w:shd w:val="clear" w:color="auto" w:fill="auto"/>
          </w:tcPr>
          <w:p w:rsidR="00115C60" w:rsidRPr="00F433EE" w:rsidRDefault="00D012F3" w:rsidP="00003291">
            <w:pPr>
              <w:spacing w:before="0" w:after="0"/>
            </w:pPr>
            <w:r>
              <w:rPr>
                <w:noProof/>
              </w:rPr>
              <w:t>Naslov</w:t>
            </w:r>
          </w:p>
        </w:tc>
        <w:tc>
          <w:tcPr>
            <w:tcW w:w="0" w:type="auto"/>
            <w:shd w:val="clear" w:color="auto" w:fill="auto"/>
          </w:tcPr>
          <w:p w:rsidR="00115C60" w:rsidRPr="0019232D" w:rsidRDefault="00D012F3" w:rsidP="00003291">
            <w:pPr>
              <w:spacing w:before="0" w:after="0"/>
              <w:rPr>
                <w:color w:val="000000"/>
              </w:rPr>
            </w:pPr>
            <w:r>
              <w:rPr>
                <w:noProof/>
                <w:color w:val="000000"/>
              </w:rPr>
              <w:t>Slovenija National Programme AMIF</w:t>
            </w:r>
          </w:p>
        </w:tc>
      </w:tr>
      <w:tr w:rsidR="00070F95" w:rsidTr="00003291">
        <w:trPr>
          <w:trHeight w:val="138"/>
        </w:trPr>
        <w:tc>
          <w:tcPr>
            <w:tcW w:w="0" w:type="auto"/>
            <w:shd w:val="clear" w:color="auto" w:fill="auto"/>
          </w:tcPr>
          <w:p w:rsidR="00115C60" w:rsidRPr="0019232D" w:rsidRDefault="00D012F3" w:rsidP="00003291">
            <w:pPr>
              <w:spacing w:before="0" w:after="0"/>
            </w:pPr>
            <w:r>
              <w:rPr>
                <w:noProof/>
              </w:rPr>
              <w:t>Različica</w:t>
            </w:r>
          </w:p>
        </w:tc>
        <w:tc>
          <w:tcPr>
            <w:tcW w:w="0" w:type="auto"/>
            <w:shd w:val="clear" w:color="auto" w:fill="auto"/>
          </w:tcPr>
          <w:p w:rsidR="00115C60" w:rsidRPr="0019232D" w:rsidRDefault="00D012F3" w:rsidP="00003291">
            <w:pPr>
              <w:spacing w:before="0" w:after="0"/>
              <w:rPr>
                <w:color w:val="000000"/>
              </w:rPr>
            </w:pPr>
            <w:r>
              <w:rPr>
                <w:noProof/>
                <w:color w:val="000000"/>
              </w:rPr>
              <w:t>2021.0</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070F95" w:rsidRDefault="00D012F3">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11</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12</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13</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15</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15</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16</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16</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18</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18</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19</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19</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19</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21</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21</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22</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22</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23</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23</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24</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25</w:t>
        </w:r>
        <w:r>
          <w:fldChar w:fldCharType="end"/>
        </w:r>
      </w:hyperlink>
    </w:p>
    <w:p w:rsidR="00070F95" w:rsidRDefault="00D012F3">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26</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27</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25" w:history="1">
        <w:r w:rsidR="008054E0">
          <w:rPr>
            <w:rStyle w:val="Hiperpovezava"/>
            <w:noProof/>
            <w:lang w:val="fr-BE"/>
          </w:rPr>
          <w:t>ODDELEK 9: POROČANJE O ODHODKIH V ZVEZI S COVID-19</w:t>
        </w:r>
        <w:r>
          <w:tab/>
        </w:r>
        <w:r>
          <w:fldChar w:fldCharType="begin"/>
        </w:r>
        <w:r>
          <w:instrText xml:space="preserve"> PAGEREF _Toc256000025 \h </w:instrText>
        </w:r>
        <w:r>
          <w:fldChar w:fldCharType="separate"/>
        </w:r>
        <w:r>
          <w:t>27</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26" w:history="1">
        <w:r>
          <w:rPr>
            <w:rStyle w:val="Hiperpovezava"/>
            <w:noProof/>
          </w:rPr>
          <w:t>Dokumenti</w:t>
        </w:r>
        <w:r>
          <w:tab/>
        </w:r>
        <w:r>
          <w:fldChar w:fldCharType="begin"/>
        </w:r>
        <w:r>
          <w:instrText xml:space="preserve"> PAGEREF _Toc256000026 \h </w:instrText>
        </w:r>
        <w:r>
          <w:fldChar w:fldCharType="separate"/>
        </w:r>
        <w:r>
          <w:t>28</w:t>
        </w:r>
        <w:r>
          <w:fldChar w:fldCharType="end"/>
        </w:r>
      </w:hyperlink>
    </w:p>
    <w:p w:rsidR="00070F95" w:rsidRDefault="00D012F3">
      <w:pPr>
        <w:pStyle w:val="Kazalovsebine1"/>
        <w:tabs>
          <w:tab w:val="right" w:leader="dot" w:pos="10761"/>
        </w:tabs>
        <w:rPr>
          <w:rFonts w:asciiTheme="minorHAnsi" w:hAnsiTheme="minorHAnsi"/>
          <w:noProof/>
          <w:sz w:val="22"/>
        </w:rPr>
      </w:pPr>
      <w:hyperlink w:anchor="_Toc256000027" w:history="1">
        <w:r w:rsidR="00F05543">
          <w:rPr>
            <w:rStyle w:val="Hiperpovezava"/>
            <w:noProof/>
          </w:rPr>
          <w:t>Zadnji rezultati validacije</w:t>
        </w:r>
        <w:r>
          <w:tab/>
        </w:r>
        <w:r>
          <w:fldChar w:fldCharType="begin"/>
        </w:r>
        <w:r>
          <w:instrText xml:space="preserve"> PAGEREF _Toc256000027 \h </w:instrText>
        </w:r>
        <w:r>
          <w:fldChar w:fldCharType="separate"/>
        </w:r>
        <w:r>
          <w:t>29</w:t>
        </w:r>
        <w:r>
          <w:fldChar w:fldCharType="end"/>
        </w:r>
      </w:hyperlink>
    </w:p>
    <w:p w:rsidR="00115C60" w:rsidRDefault="003D38C3" w:rsidP="00115C60">
      <w:pPr>
        <w:pStyle w:val="Naslov1"/>
        <w:numPr>
          <w:ilvl w:val="0"/>
          <w:numId w:val="0"/>
        </w:numPr>
        <w:spacing w:before="0" w:after="0"/>
        <w:jc w:val="left"/>
      </w:pPr>
      <w:r>
        <w:fldChar w:fldCharType="end"/>
      </w:r>
      <w:r w:rsidR="00D012F3" w:rsidRPr="005B18C7">
        <w:br w:type="page"/>
      </w:r>
      <w:bookmarkStart w:id="1" w:name="_Toc256000002"/>
      <w:r w:rsidR="00D012F3">
        <w:rPr>
          <w:noProof/>
        </w:rPr>
        <w:lastRenderedPageBreak/>
        <w:t>ODDELEK 3: PROGRAMSKI CILJI</w:t>
      </w:r>
      <w:bookmarkEnd w:id="1"/>
    </w:p>
    <w:p w:rsidR="00115C60" w:rsidRPr="00B77328" w:rsidRDefault="00115C60" w:rsidP="00115C60">
      <w:pPr>
        <w:spacing w:before="0" w:after="0"/>
      </w:pPr>
    </w:p>
    <w:p w:rsidR="00115C60" w:rsidRDefault="00D012F3" w:rsidP="00115C60">
      <w:pPr>
        <w:spacing w:before="0" w:after="0"/>
        <w:rPr>
          <w:lang w:val="fr-BE"/>
        </w:rPr>
      </w:pPr>
      <w:r>
        <w:rPr>
          <w:noProof/>
          <w:lang w:val="fr-BE"/>
        </w:rPr>
        <w:t xml:space="preserve">Povzemite napredek pri izvajanju strategije in doseganju </w:t>
      </w:r>
      <w:r>
        <w:rPr>
          <w:noProof/>
          <w:lang w:val="fr-BE"/>
        </w:rPr>
        <w:t>nacionalnih ciljev v proračunskem letu.</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morebitna pomembna vprašanja, ki vplivajo na uspešnost nacionalnega progr</w:t>
      </w:r>
      <w:r>
        <w:rPr>
          <w:noProof/>
          <w:lang w:val="fr-BE"/>
        </w:rPr>
        <w:t>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070F95" w:rsidTr="00003291">
        <w:tc>
          <w:tcPr>
            <w:tcW w:w="0" w:type="auto"/>
            <w:shd w:val="clear" w:color="auto" w:fill="auto"/>
          </w:tcPr>
          <w:p w:rsidR="00115C60" w:rsidRPr="006C1127" w:rsidRDefault="00D012F3"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012F3"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070F95" w:rsidRDefault="00D012F3">
      <w:pPr>
        <w:spacing w:before="0" w:after="240"/>
        <w:jc w:val="left"/>
      </w:pPr>
      <w:r>
        <w:t>Dolgoročni cilj Slovenije v sklopu posebnega cilja A.SO1 »Azil« je učinkovita izvedba Skupnega evropskega azilnega sistema (CEAS) prek učinkovitih in hitrih postopkov, ki zagotavljajo enake možnosti vsem ljudem, ki potrebujejo</w:t>
      </w:r>
      <w:r>
        <w:t xml:space="preserve"> zaščito.</w:t>
      </w:r>
    </w:p>
    <w:p w:rsidR="00070F95" w:rsidRDefault="00D012F3">
      <w:pPr>
        <w:spacing w:before="240" w:after="240"/>
        <w:jc w:val="left"/>
      </w:pPr>
      <w:r>
        <w:t>Ukrepi, ki jih sofinancira AMIF, so osredotočeni na izboljšanje kakovosti in hitrost sprejemanja odločitev ter na kakovost spremljanja, vrednotenja in načrtovanja ravnanja v nepredvidljivih razmerah. Ukrepi so usmerjeni k izboljšanju sprejemne in</w:t>
      </w:r>
      <w:r>
        <w:t>frastrukture, storitev in razmer, uporabi alternativ za pridržanje ter identifikacijo in izboljšanju razmer za ranljive osebe. Izboljšanje splošnega ozaveščanja javnosti se zagotavlja prek usposabljanja, informacijskih ukrepov in dogodkov.</w:t>
      </w:r>
    </w:p>
    <w:p w:rsidR="00070F95" w:rsidRDefault="00D012F3">
      <w:pPr>
        <w:spacing w:before="240" w:after="240"/>
        <w:jc w:val="left"/>
      </w:pPr>
      <w:r>
        <w:t>Načrtovane aktiv</w:t>
      </w:r>
      <w:r>
        <w:t>nosti v okviru nacionalnega cilja</w:t>
      </w:r>
      <w:r>
        <w:rPr>
          <w:b/>
          <w:bCs/>
        </w:rPr>
        <w:t xml:space="preserve"> </w:t>
      </w:r>
      <w:r>
        <w:t>A.SO1.2 »Vrednotenje« so zaradi izzivov povečanih migracij realizirane v minimalnem obsegu in v okviru drugih finančnih instrumentov (in ne AMIF). Ukrepi Slovenije so osredotočeni na izboljšanje kakovosti in hitrost spreje</w:t>
      </w:r>
      <w:r>
        <w:t>manja odločitev ter na kakovost spremljanja, vrednotenja in načrtovanja ravnanja v nepredvidljivih razmerah. Prosilcem za mednarodno zaščito se v sklopu pomoči in podpore zagotavlja dostop do informacij, tolmačenja in pravnih, prevajalskih, socialnih, zdra</w:t>
      </w:r>
      <w:r>
        <w:t>vstvenih itd. storitev. Izvajajo se izboljšave sprejemne infrastrukture, storitev in razmer, spodbuja alternative za pridržanje, identifikacijo in izboljšanje razmer za ranljive osebe ter deluje na splošni ozaveščenosti širše javnosti.</w:t>
      </w:r>
    </w:p>
    <w:p w:rsidR="00070F95" w:rsidRDefault="00D012F3">
      <w:pPr>
        <w:spacing w:before="240" w:after="240"/>
        <w:jc w:val="left"/>
      </w:pPr>
      <w:r>
        <w:t>Alokacija sredstev z</w:t>
      </w:r>
      <w:r>
        <w:t>a leto 2021 je bila končnim upravičencem načrtovana v skladu s potrjenim Akcijskim načrtom. V letu 2021 pri izvajanju ukrepov v okviru tega posebnega cilja ni bilo težav, ki bi vplivale na izvajanje Nacionalnega programa.</w:t>
      </w:r>
    </w:p>
    <w:p w:rsidR="00070F95" w:rsidRDefault="00D012F3">
      <w:pPr>
        <w:spacing w:before="240" w:after="240"/>
        <w:jc w:val="left"/>
      </w:pPr>
      <w:r>
        <w:t>V dokumentu poročamo samo o izvede</w:t>
      </w:r>
      <w:r>
        <w:t>nih aktivnostih in projektih, katerih izdatki so vključeni v Obračune za finančno leto 2021.</w:t>
      </w:r>
    </w:p>
    <w:p w:rsidR="00070F95" w:rsidRDefault="00D012F3">
      <w:pPr>
        <w:spacing w:before="240" w:after="240"/>
        <w:jc w:val="left"/>
      </w:pPr>
      <w:r>
        <w:t>Slovenija načrtuje kontinuirano izvajanje aktivnosti porabe sredstev tj. do konca 2022. </w:t>
      </w:r>
    </w:p>
    <w:p w:rsidR="00070F95" w:rsidRDefault="00D012F3">
      <w:pPr>
        <w:spacing w:before="240" w:after="240"/>
        <w:jc w:val="left"/>
      </w:pPr>
      <w:r>
        <w:t>V okviru specifičnega cilja SO1 »Azil« so načrtovani 3 nacionalni cilji, t</w:t>
      </w:r>
      <w:r>
        <w:t>o so "Sprejem", "Vrednotenje" in "Preselitev", aktivnosti v obdobju poročanja so se izvajale v okviru nacionalnega cilja »Sprejem«.</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RDefault="00115C60" w:rsidP="00115C60">
      <w:pPr>
        <w:spacing w:before="0" w:after="0"/>
        <w:rPr>
          <w:lang w:val="fr-BE"/>
        </w:rPr>
      </w:pPr>
    </w:p>
    <w:p w:rsidR="00070F95" w:rsidRDefault="00D012F3">
      <w:pPr>
        <w:spacing w:before="0" w:after="240"/>
        <w:jc w:val="left"/>
      </w:pPr>
      <w:r>
        <w:t xml:space="preserve">Slovenija kontinuirano izvaja aktivnosti A.SO1.1, ki se </w:t>
      </w:r>
      <w:r>
        <w:t>nanašajo na azilni postopek in sprejemanje odločitev, na sprejemne kapacitete, pogoje za sprejem ter ozaveščanje splošne javnosti (usposabljanja, informacijske kampanje in dogodki).</w:t>
      </w:r>
    </w:p>
    <w:p w:rsidR="00070F95" w:rsidRDefault="00D012F3">
      <w:pPr>
        <w:spacing w:before="240" w:after="240"/>
        <w:jc w:val="left"/>
      </w:pPr>
      <w:r>
        <w:lastRenderedPageBreak/>
        <w:t>V obdobju poročanja je v okviru informiranja in pravnega svetovanja tujcem</w:t>
      </w:r>
      <w:r>
        <w:t xml:space="preserve"> na področju mednarodne zaščite Pravno-informacijski center nevladnih organizacij izvedel celovito informiranje 8.814 osebam, zastopanje le-teh na prvi stopnji odločanja o njihovi prošnji ter v postopkih podaljšanja subsidiarne zaščite in postopkih združev</w:t>
      </w:r>
      <w:r>
        <w:t>anja z družino. 1.322 med njimi je bilo ranljivih oseb in mladoletnikov brez spremstva.</w:t>
      </w:r>
    </w:p>
    <w:p w:rsidR="00070F95" w:rsidRDefault="00D012F3">
      <w:pPr>
        <w:spacing w:before="240" w:after="240"/>
        <w:jc w:val="left"/>
      </w:pPr>
      <w:r>
        <w:t> V izobraževalne programe in programe prostočasnih aktivnosti je bilo v poročevalskem obdobju vključenih 11.240 prosilcev za mednarodno zaščito (v nadaljevanju PMZ), 1.</w:t>
      </w:r>
      <w:r>
        <w:t>155 je bila omogočena nastanitev, 2.762 prosilcem je bila nudena psihosocialna pomoč. Izvedenih je bilo 22 različnih prireditev ob posebnih dnevih in praznikih.</w:t>
      </w:r>
    </w:p>
    <w:p w:rsidR="00070F95" w:rsidRDefault="00D012F3">
      <w:pPr>
        <w:spacing w:before="240" w:after="240"/>
        <w:jc w:val="left"/>
      </w:pPr>
      <w:r>
        <w:t>Pomoč v vseh stopnjah postopka po Zakonu o mednarodni zaščiti je nudilo 35 tolmačev in prevajal</w:t>
      </w:r>
      <w:r>
        <w:t>cev različnih jezikov. 548 PMZ je sodelovalo v tečajih in opismenjevanjih, številni so postali pismeni v latinici, nekateri so dosegli raven slovenščine na preživitveni ravni, nekateri govorijo že dobro slovensko in lahko prevzamejo vlogo medkulturnega med</w:t>
      </w:r>
      <w:r>
        <w:t>iatorja v okviru azilnega doma in tudi izven.</w:t>
      </w:r>
    </w:p>
    <w:p w:rsidR="00070F95" w:rsidRDefault="00D012F3">
      <w:pPr>
        <w:spacing w:before="240" w:after="240"/>
        <w:jc w:val="left"/>
      </w:pPr>
      <w:r>
        <w:t>V okviru A.SO1.1.6 je Inštitut za afriške študije v obdobju poročanja izvedel 869 individualnih informativnih razgovorov s PMZ z namenom preprečevanja trgovine z ljudmi, spolnega nasilja ali nasilja po spolu. O</w:t>
      </w:r>
      <w:r>
        <w:t>d teh je bilo 23 prepoznanih kot žrtve trgovine z ljudmi in posledično izvedeni ustrezni ukrepi za njihovo zaščito. Pripravljene so bile tudi zloženke za prosilce (mladoletnike brez spremstva) v več jezikih (arabskem, farsiju, paštuju, urduju, francoščini,</w:t>
      </w:r>
      <w:r>
        <w:t xml:space="preserve"> turščini ...). Posebne zloženke so bile pripravljene za ženske.</w:t>
      </w:r>
    </w:p>
    <w:p w:rsidR="00070F95" w:rsidRDefault="00D012F3">
      <w:pPr>
        <w:spacing w:before="240" w:after="240"/>
        <w:jc w:val="left"/>
      </w:pPr>
      <w:r>
        <w:t>V okviru A.SO1.1.8 sta Društvo Odnos in Inštitut za afriške študije izvajala aktivnosti za obeležitev svetovnega dneva beguncev – pripravljeni sta bili informativni zloženki za strokovno in š</w:t>
      </w:r>
      <w:r>
        <w:t>iršo javnost, posnet kratek film z izjavami na strokovnem posvetu sodelujočih akterjev integracije beguncev v Sloveniji, izvedeni številni informativni dogodki po osnovnih in srednjih šolah.</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070F95" w:rsidRDefault="00D012F3">
      <w:pPr>
        <w:spacing w:before="0" w:after="240"/>
        <w:jc w:val="left"/>
      </w:pPr>
      <w:r>
        <w:t>Načrtovane aktivnosti</w:t>
      </w:r>
      <w:r>
        <w:rPr>
          <w:b/>
          <w:bCs/>
        </w:rPr>
        <w:t xml:space="preserve"> </w:t>
      </w:r>
      <w:r>
        <w:t>A.SO1.2 »Vrednotenje« so zaradi izzivov povečanih migracij preteklih let bile realizirane v okviru drugih finančnih instrumentov (in ne iz AMIF), kar smo poročali že v predhodnih poročilih.</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w:t>
            </w:r>
            <w:r w:rsidRPr="00707975">
              <w:rPr>
                <w:noProof/>
                <w:lang w:val="fr-BE"/>
              </w:rPr>
              <w:t xml:space="preserve"> cilja</w:t>
            </w:r>
          </w:p>
        </w:tc>
        <w:tc>
          <w:tcPr>
            <w:tcW w:w="0" w:type="auto"/>
            <w:shd w:val="clear" w:color="auto" w:fill="auto"/>
          </w:tcPr>
          <w:p w:rsidR="00115C60" w:rsidRPr="00707975" w:rsidRDefault="00D012F3"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070F95" w:rsidRDefault="00D012F3">
      <w:pPr>
        <w:spacing w:before="0" w:after="240"/>
        <w:jc w:val="left"/>
      </w:pPr>
      <w:r>
        <w:t xml:space="preserve">Na zasedanju Evropskega Sveta konec junija 2015 so voditelji držav in vlad sprejeli odločitev, da se bo v EU skupno preselilo 20.000 oseb v okviru trajne preselitve. Slovenija se je zavezala k sprejemu 20 oseb iz tretjih držav, </w:t>
      </w:r>
      <w:r>
        <w:t xml:space="preserve">predvidoma državljanov Sirije iz Turčije, Libanona ali Jordanije. Skladno z EU Sporazumom EU - Turčija, ki je bil sprejet aprila 2016, je bilo dogovorjeno, da se v Slovenijo preseli 20 državljanov Sirije iz Turčije. Vlada Republike Slovenije je 4. avgusta </w:t>
      </w:r>
      <w:r>
        <w:t>2016 sprejela sklep, da se na podlagi kvote iz Turčije sprejme 40 državljanov Sirije, ki se jim lahko prizna status begunca.</w:t>
      </w:r>
    </w:p>
    <w:p w:rsidR="00070F95" w:rsidRDefault="00D012F3">
      <w:pPr>
        <w:spacing w:before="240" w:after="240"/>
        <w:jc w:val="left"/>
      </w:pPr>
      <w:r>
        <w:t>Aktivnosti ukrepa so bile zaključene v letu 2018. V letu 2021 se niso izvajale dodatne aktivnosti.</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Povzemite napredek pri izvajanj</w:t>
      </w:r>
      <w:r>
        <w:rPr>
          <w:noProof/>
          <w:lang w:val="fr-BE"/>
        </w:rPr>
        <w:t>u strategije in doseganju nacionalnih ciljev v proračunskem letu.</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lastRenderedPageBreak/>
        <w:t>Navedite morebitna pomembna vprašanja, ki vplivajo na us</w:t>
      </w:r>
      <w:r>
        <w:rPr>
          <w:noProof/>
          <w:lang w:val="fr-BE"/>
        </w:rPr>
        <w:t>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070F95" w:rsidTr="00003291">
        <w:tc>
          <w:tcPr>
            <w:tcW w:w="0" w:type="auto"/>
            <w:shd w:val="clear" w:color="auto" w:fill="auto"/>
          </w:tcPr>
          <w:p w:rsidR="00115C60" w:rsidRPr="006C1127" w:rsidRDefault="00D012F3"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012F3"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RDefault="00115C60" w:rsidP="00115C60">
      <w:pPr>
        <w:spacing w:before="0" w:after="0"/>
        <w:rPr>
          <w:lang w:val="fr-BE"/>
        </w:rPr>
      </w:pPr>
    </w:p>
    <w:p w:rsidR="00070F95" w:rsidRDefault="00D012F3">
      <w:pPr>
        <w:spacing w:before="0" w:after="240"/>
        <w:jc w:val="left"/>
      </w:pPr>
      <w:r>
        <w:t xml:space="preserve">Dolgoročni cilj Slovenije v sklopu posebnega cilja A.SO2 »Vključevanje/zakonito priseljevanje« je doseči vključenost državljanov tretjih držav in oseb z mednarodno </w:t>
      </w:r>
      <w:r>
        <w:t>zaščito v vsa ključna področja življenja in dela. Posebna pozornost se namenja ranljivim skupinam oseb, kot so ženske, otroci in starejše osebe. Ukrepi so usmerjeni k izboljšanju zavedanja splošne javnosti, organov in samih priseljencev o vprašanjih vključ</w:t>
      </w:r>
      <w:r>
        <w:t>evanja. Pomoč osebam z mednarodno zaščito se pri vključevanju zagotavlja prek individualnega pristopa na osnovi osebnega integracijskega načrta. Krepitev kapacitet je usmerjena k vzpostavitvi trajnostnega sodelovanja med pomembnimi deležniki, še zlasti z u</w:t>
      </w:r>
      <w:r>
        <w:t>sposabljanji. Podpira se izboljšanje infrastrukture, storitev in bivanjskih razmer za osebe z mednarodno zaščito v integracijskih hišah, kot tudi praktično sodelovanje med državami članicami ter izdelava analiz, vrednotenj in izboljšav trenutnih mehanizmov</w:t>
      </w:r>
      <w:r>
        <w:t xml:space="preserve"> in pristopov vključevanja.</w:t>
      </w:r>
    </w:p>
    <w:p w:rsidR="00070F95" w:rsidRDefault="00D012F3">
      <w:pPr>
        <w:spacing w:before="240" w:after="240"/>
        <w:jc w:val="left"/>
      </w:pPr>
      <w:r>
        <w:t>Alokacija sredstev za leto 2021 je bila končnima upravičencema načrtovana v skladu s potrjenim Akcijskim načrtom. V letu 2021 pri izvajanju ukrepov ni bilo težav, ki bi vplivale na izvajanje NP. Slovenija načrtuje kontinuirano i</w:t>
      </w:r>
      <w:r>
        <w:t>zvajanje aktivnosti porabe sredstev tj. do konca 2022. </w:t>
      </w:r>
    </w:p>
    <w:p w:rsidR="00070F95" w:rsidRDefault="00D012F3">
      <w:pPr>
        <w:spacing w:before="240" w:after="240"/>
        <w:jc w:val="left"/>
      </w:pPr>
      <w:r>
        <w:t>V dokumentu poročamo samo o izvedenih aktivnostih in projektih, katerih izdatki so vključeni v Obračune za finančno leto 2021.</w:t>
      </w:r>
    </w:p>
    <w:p w:rsidR="00070F95" w:rsidRDefault="00D012F3">
      <w:pPr>
        <w:spacing w:before="240" w:after="240"/>
        <w:jc w:val="left"/>
      </w:pPr>
      <w:r>
        <w:t>V okviru posebnega cilja  A.SO2 so načrtovani 3 nacionalni cilji, to so A</w:t>
      </w:r>
      <w:r>
        <w:t>.SO2.1 »Zakonito priseljevanje«, A.SO2.2 »Vključevanje« in A.SO2.3 »Zmogljivost«. V okviru vseh treh nacionalnih ciljev so potekale aktivnosti, o katerih poročamo v nadaljevanju.</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RDefault="00115C60" w:rsidP="00115C60">
      <w:pPr>
        <w:spacing w:before="0" w:after="0"/>
        <w:rPr>
          <w:lang w:val="fr-BE"/>
        </w:rPr>
      </w:pPr>
    </w:p>
    <w:p w:rsidR="00070F95" w:rsidRDefault="00D012F3">
      <w:pPr>
        <w:spacing w:before="0" w:after="240"/>
        <w:jc w:val="left"/>
      </w:pPr>
      <w:r>
        <w:t>V okviru nacionalnega cilja A.SO2.1 »Zakonito priseljevanje« je Slovenija kontinuirano izvajala aktivnosti zagotavljanja informacij o življenju in delu v RS, predvsem državljanom tretjih držav. S spletno stranju www.infotujci.si, ki služi kot pred-integra</w:t>
      </w:r>
      <w:r>
        <w:t>cijskimi ukrep, Slovenija zapolnjuje vrzel, ki je nastala z intenzivno gospodarsko rastjo na način, da se opolnomoči delavca migranta z informacijami, znanjem, pred vključitvijo na slovenski trg dela. </w:t>
      </w:r>
    </w:p>
    <w:p w:rsidR="00070F95" w:rsidRDefault="00D012F3">
      <w:pPr>
        <w:spacing w:before="240" w:after="240"/>
        <w:jc w:val="left"/>
      </w:pPr>
      <w:r>
        <w:t>V obdobju poročanja je v okviru A.SO2.1.1 delovala spl</w:t>
      </w:r>
      <w:r>
        <w:t>etna stran www.infotujci.si.</w:t>
      </w:r>
      <w:r>
        <w:rPr>
          <w:b/>
          <w:bCs/>
        </w:rPr>
        <w:t xml:space="preserve"> </w:t>
      </w:r>
      <w:r>
        <w:t>Od februarja 2018 je tujcem dostopna prenovljena spletna stran www.infotujci.si z vsemi informacijami, ki jih potrebujejo za življenje in delo v Republiki Sloveniji. Spletna stran vsebuje informacije tako za tujce, ki so že tuk</w:t>
      </w:r>
      <w:r>
        <w:t xml:space="preserve">aj, kakor tudi za tiste, ki se pripravljajo na prihod. Pripravljene oziroma posodobljene so bile vsebine v treh razdelkih - informacije za državljane tretjih držav, informacije za osebe z mednarodno zaščito in vključevanje v slovensko družbo. Pri projektu </w:t>
      </w:r>
      <w:r>
        <w:t>je ministrstvo sodelovalo s številnimi drugimi pristojnimi ministrstvi in Uradom Vlade RS za oskrbo in integracijo migrantov. Vsebina spletne strani je prilagojena dostopu z mobilnih naprav – pametnih telefonov in tablic.</w:t>
      </w:r>
    </w:p>
    <w:p w:rsidR="00070F95" w:rsidRDefault="00D012F3">
      <w:pPr>
        <w:spacing w:before="240" w:after="240"/>
        <w:jc w:val="left"/>
      </w:pPr>
      <w:r>
        <w:t>V poročevalskem obdobju je bila sp</w:t>
      </w:r>
      <w:r>
        <w:t>letna stran obiskana 360.731-krat (2018: 25.814krat, 2019: 115.257krat in 2020: 219.660krat), obiskovalci so se na njej povprečno zadržali dobri dve minuti. Večina uporabnikov jo je obiskala dvakrat. Največ uporabnikov je spletno stran obiskalo prek strežn</w:t>
      </w:r>
      <w:r>
        <w:t>ikov v Republiki Sloveniji, za dostop pa so uporabili mobilne naprave. Najdlje so se zadržali ob vsebinah namenjenih državljanom tretjih držav, predvsem dovoljenjem za začasno prebivanje, dovoljenjem za stalno prebivanje, pridobitvi slovenskega državljanst</w:t>
      </w:r>
      <w:r>
        <w:t>va in vključevanju v slovensko družbo.</w:t>
      </w:r>
    </w:p>
    <w:p w:rsidR="00070F95" w:rsidRDefault="00D012F3">
      <w:pPr>
        <w:spacing w:before="240" w:after="240"/>
        <w:jc w:val="left"/>
      </w:pPr>
      <w:r>
        <w:lastRenderedPageBreak/>
        <w:t>Slovenija načrtuje kontinuirano izvajanje aktivnosti do konca leta 2022.</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070F95" w:rsidRDefault="00D012F3">
      <w:pPr>
        <w:spacing w:before="0" w:after="240"/>
        <w:jc w:val="left"/>
      </w:pPr>
      <w:r>
        <w:t xml:space="preserve">Povečane migracije so vplivale na izvajanje/doseganje ciljev v A.SO2.2. </w:t>
      </w:r>
      <w:r>
        <w:t>Slovenija je nadaljevala z aktivnostmi v programih za osnovno pomoč DTD (tečaji, izpiti), izvajala pomoč pri vključevanju, obsegajoč pomoč za celostno vključevanje OMZ (finančna pomoč, program celostne pomoči OMZ pri vključevanju v slovensko družbo, orient</w:t>
      </w:r>
      <w:r>
        <w:t>acijski program za osebe, preseljene v RS na podlagi letne kvote), ozaveščala in izvajala informacijske ukrepe, kot je medkulturni dialog, ter obveščala o sodelovanju v programih integracije.</w:t>
      </w:r>
    </w:p>
    <w:p w:rsidR="00070F95" w:rsidRDefault="00D012F3">
      <w:pPr>
        <w:spacing w:before="240" w:after="240"/>
        <w:jc w:val="left"/>
      </w:pPr>
      <w:r>
        <w:t> </w:t>
      </w:r>
    </w:p>
    <w:p w:rsidR="00070F95" w:rsidRDefault="00D012F3">
      <w:pPr>
        <w:spacing w:before="240" w:after="240"/>
        <w:jc w:val="left"/>
      </w:pPr>
      <w:r>
        <w:t xml:space="preserve">Deveto leto se je izvajal program začetne integracije (ZIP), </w:t>
      </w:r>
      <w:r>
        <w:t>ki je eden temeljnih programov pomoči pri vključevanju v slovensko družbo. V obdobju poročanja je bilo izvajanje je bilo 2x prekinjeno zaradi ukrepov covid-19 - spomladi 2020 za 2,5 meseca, jeseni 2020 za 2 meseca, zato smo se uspešno prilagodili nastali s</w:t>
      </w:r>
      <w:r>
        <w:t>ituaciji in omogočili izvedbo programov na daljavo.</w:t>
      </w:r>
    </w:p>
    <w:p w:rsidR="00070F95" w:rsidRDefault="00D012F3">
      <w:pPr>
        <w:spacing w:before="240" w:after="240"/>
        <w:jc w:val="left"/>
      </w:pPr>
      <w:r>
        <w:t> </w:t>
      </w:r>
    </w:p>
    <w:p w:rsidR="00070F95" w:rsidRDefault="00D012F3">
      <w:pPr>
        <w:spacing w:before="240" w:after="240"/>
        <w:jc w:val="left"/>
      </w:pPr>
      <w:r>
        <w:t xml:space="preserve">Izvajali so se tečaji slovenskega jezika (v nadaljevanju slo.) za DTD v 27 krajih. Z obiskovanjem tečaja je v obdobju poročanja pričelo 2043 oseb, največ iz BIH, Srbije, Kosova, S. Makedonije, Ukrajine </w:t>
      </w:r>
      <w:r>
        <w:t>ter drugih 48 držav. Slovenija financira tudi 1. preizkus znanja iz slo. za DTD (pogoj 80 % prisotnost). Izpit je opravljalo 768 DTD na 18 lokacijah izvajalcev, ki jih je določil Center za slovenščino kot drugi tuj jezik. Za osebe z mednarodno zaščito (v n</w:t>
      </w:r>
      <w:r>
        <w:t>adaljevanju OMZ) smo izvajali tečaje slo. v Ljubljani (LJ) in Mariboru (MB). 6 OMZ je opravljalo izpit iz slo.</w:t>
      </w:r>
    </w:p>
    <w:p w:rsidR="00070F95" w:rsidRDefault="00D012F3">
      <w:pPr>
        <w:spacing w:before="240" w:after="240"/>
        <w:jc w:val="left"/>
      </w:pPr>
      <w:r>
        <w:t> </w:t>
      </w:r>
    </w:p>
    <w:p w:rsidR="00070F95" w:rsidRDefault="00D012F3">
      <w:pPr>
        <w:spacing w:before="240" w:after="240"/>
        <w:jc w:val="left"/>
      </w:pPr>
      <w:r>
        <w:t>V A.SO2.2.3 je bila nudena pomoč pri integraciji OMZ. V obdobju poročanja od 12/2015 do 07/2020 je bilo vključenih 807 uporabnikov. Od teh je 7</w:t>
      </w:r>
      <w:r>
        <w:t>76 prejelo svetovanje in pomoč na področju nastanitve, 658 je prejelo pomoč v okviru ukrepov namenjenih izobraževanju in usposabljanju, vključno z jezikovnim usposabljanjem in pripravljalnimi ukrepi za lažji dostop do trga dela, ter 680 OMZ je prejelo zdra</w:t>
      </w:r>
      <w:r>
        <w:t>vstveno in psihološko pomoč.</w:t>
      </w:r>
    </w:p>
    <w:p w:rsidR="00070F95" w:rsidRDefault="00D012F3">
      <w:pPr>
        <w:spacing w:before="240" w:after="240"/>
        <w:jc w:val="left"/>
      </w:pPr>
      <w:r>
        <w:t> </w:t>
      </w:r>
    </w:p>
    <w:p w:rsidR="00070F95" w:rsidRDefault="00D012F3">
      <w:pPr>
        <w:spacing w:before="240" w:after="240"/>
        <w:jc w:val="left"/>
      </w:pPr>
      <w:r>
        <w:t>Medkulturni dialog in obveščanje o možnostih sodelovanja v programih integracije so izvajale različne nevladne organizacije. Podatki v okviru prijavljenih Obračunov 2021 veljajo za Koper, Maribor in Velenje, kjer so bile vzpo</w:t>
      </w:r>
      <w:r>
        <w:t xml:space="preserve">stavljene podporne točke, izvedene predstavitve ter sodelovanja s tujci in organizacijami, ki se ukvarjajo z migrantsko problematiko. 3.277 oseb se je udeležilo različnih delavnic/dogodkov, več kot 112 objav o projektu je bilo objavljenih v medijih ter na </w:t>
      </w:r>
      <w:r>
        <w:t>sestankih/konferencah po Sloveniji in tujini, vzpostavljene so bile nove strani na socialnih omrežjih ter pridobljeni novi sledilci.</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070F95" w:rsidRDefault="00D012F3">
      <w:pPr>
        <w:spacing w:before="0" w:after="240"/>
        <w:jc w:val="left"/>
      </w:pPr>
      <w:r>
        <w:lastRenderedPageBreak/>
        <w:t xml:space="preserve">V okviru nacionalnega cilja A.SO2.3 »Zmogljivost« je </w:t>
      </w:r>
      <w:r>
        <w:t>Slovenija izvajala aktivnosti za izboljšanje storitev in bivanja za osebe pod mednarodno zaščito v integracijskih hišah (poleg vzdrževanja in opreme, tudi zagotavljanje nastanitev OMZ v integracijskih hišah in drugih nastanitvenih kapacitetah).</w:t>
      </w:r>
    </w:p>
    <w:p w:rsidR="00070F95" w:rsidRDefault="00D012F3">
      <w:pPr>
        <w:spacing w:before="240" w:after="240"/>
        <w:jc w:val="left"/>
      </w:pPr>
      <w:r>
        <w:t>Slovenija j</w:t>
      </w:r>
      <w:r>
        <w:t>e v okviru A.SO2.3.3 izdala slovar namenjen lažji komunikaciji migrantov z zdravstvenim osebjem. Na podlagi tujih orodij, literature in dobrih praks smo oblikovali večjezični priročnik v 1.000 izvodih in ga vsebinsko prilagodili slovenskemu zdravstvenemu o</w:t>
      </w:r>
      <w:r>
        <w:t>kolju tako, da smo upoštevali tako značilnosti slovenskega zdravstvenega sistema kot strokovne izkušnje zdravstvenih delavcev s tujejezičnimi pacienti in izkušnje uporabnikov. Prevedli smo ga v 7 jezikov, ki smo jih izbrali na podlagi temeljite analize pod</w:t>
      </w:r>
      <w:r>
        <w:t xml:space="preserve">atkov iz različnih virov (spletna anketa med zdravstvenimi delavci, raziskava med prosilci za med. zaščito, uradne statistike MNZ idr.). Priročnik smo distribuirali med vse ključne javno zdravstvene ustanove, nevladne organizacije, tujejezične paciente in </w:t>
      </w:r>
      <w:r>
        <w:t xml:space="preserve">druge organizacije ter posameznike, ki prihajajo v stik z migranti. Pripravili in izvedli smo strokovno usposabljanje, ki se ga je udeležilo 708 oseb in je potekalo v 7 slovenskih regijah na 8 različnih lokacijah. Na usposabljanjih smo zdravstvene delavce </w:t>
      </w:r>
      <w:r>
        <w:t>seznanili s ključnimi informacijami o kulturno kompetentni zdravstveni obravnavi, migracijah, predsodkih, ksenofobiji in diskriminaciji v zdravstveni obravnavi, prav tako pa tudi s pravicami migrantov in z uporabo večjezičnega priročnika.</w:t>
      </w:r>
    </w:p>
    <w:p w:rsidR="00070F95" w:rsidRDefault="00D012F3">
      <w:pPr>
        <w:spacing w:before="240" w:after="240"/>
        <w:jc w:val="left"/>
      </w:pPr>
      <w:r>
        <w:t>Z investiranjem v</w:t>
      </w:r>
      <w:r>
        <w:t xml:space="preserve"> nastanitvene kapacitete OMZ zagotavljamo zadostne kapacitete za nastanitev OMZ v integracijskih hišah v Mariboru (v nadaljevanju IH MB) in Ljubljani (v nadaljevanju IH LJ). Odprli smo tudi integracijsko hišo v Velenju (v nadaljevanju IH VE), za nekatere o</w:t>
      </w:r>
      <w:r>
        <w:t>sebe pa je UOIM zagotovil tudi nastanitev v stanovanjih Ministrstva za javno upravo (v nadaljevanju MJU). V obdobju poročanja je bilo v IH MB nastanjenih 44 oseb, v IH Ljubljana 16 oseb, v IH VE 13 oseb ter v stanovanjih MJU 15 oseb.</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Povzemite napredek pr</w:t>
      </w:r>
      <w:r>
        <w:rPr>
          <w:noProof/>
          <w:lang w:val="fr-BE"/>
        </w:rPr>
        <w:t>i izvajanju strategije in doseganju nacionalnih ciljev v proračunskem letu.</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morebitna pomembna vprašanja, ki vpli</w:t>
      </w:r>
      <w:r>
        <w:rPr>
          <w:noProof/>
          <w:lang w:val="fr-BE"/>
        </w:rPr>
        <w:t>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070F95" w:rsidTr="00003291">
        <w:tc>
          <w:tcPr>
            <w:tcW w:w="0" w:type="auto"/>
            <w:shd w:val="clear" w:color="auto" w:fill="auto"/>
          </w:tcPr>
          <w:p w:rsidR="00115C60" w:rsidRPr="006C1127" w:rsidRDefault="00D012F3"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012F3"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070F95" w:rsidRDefault="00D012F3">
      <w:pPr>
        <w:spacing w:before="0" w:after="240"/>
        <w:jc w:val="left"/>
      </w:pPr>
      <w:r>
        <w:t xml:space="preserve">Dolgoročni cilj Slovenije v sklopu posebnega cilja A.SO3 »Vračanje« je izvajati učinkovito politiko vračanja v tretje države tako z vidika prostovoljnega kot prisilnega vračanja ter </w:t>
      </w:r>
      <w:r>
        <w:t>spodbujati uporabo prostovoljnega vračanja v sodelovanju z nevladnimi organizacijami in pristojnimi mednarodnimi organizacijami kot tudi državami izvora.</w:t>
      </w:r>
    </w:p>
    <w:p w:rsidR="00070F95" w:rsidRDefault="00D012F3">
      <w:pPr>
        <w:spacing w:before="240" w:after="240"/>
        <w:jc w:val="left"/>
      </w:pPr>
      <w:r>
        <w:t>Ukrepi za preprečevanje širjenja pandemije covid-19 so imeli bistven vpliv na sprejem in vračanje drža</w:t>
      </w:r>
      <w:r>
        <w:t>vljanov tretjih držav. Restrikcije v zračnem prometu in preventivni ukrepi v državah (tako EU kot tretje države) so povzročile upad števila vrnjenih v države izvora. Samih postopkov vračanja nismo ukinili, temveč smo iskali alternativne rešitve, da smo lah</w:t>
      </w:r>
      <w:r>
        <w:t>ko izvedli operacije vrnitev. Vsi projekti so v danih razmerah potekali dokaj normalno, vendar z zmanjšanem obsegu in s krajšimi časovnimi zamudami.</w:t>
      </w:r>
    </w:p>
    <w:p w:rsidR="00070F95" w:rsidRDefault="00D012F3">
      <w:pPr>
        <w:spacing w:before="240" w:after="240"/>
        <w:jc w:val="left"/>
      </w:pPr>
      <w:r>
        <w:t xml:space="preserve">Alokacija sredstev za 2021 je bila končnim upravičencem načrtovana v skladu s potrjenim Akcijskim načrtom. </w:t>
      </w:r>
      <w:r>
        <w:t>V letu 2021 pri izvajanju ukrepov v okviru tega posebnega cilja ni bilo težav, ki bi vplivale na izvajanje NP, zato Slovenija načrtuje kontinuirano izvajanje aktivnosti porabe sredstev tj. do konca 2021. </w:t>
      </w:r>
    </w:p>
    <w:p w:rsidR="00070F95" w:rsidRDefault="00D012F3">
      <w:pPr>
        <w:spacing w:before="240" w:after="240"/>
        <w:jc w:val="left"/>
      </w:pPr>
      <w:r>
        <w:t>V dokumentu poročamo samo o izvedenih aktivnostih i</w:t>
      </w:r>
      <w:r>
        <w:t>n projektih, katerih izdatki so vključeni v Obračune za finančno leto 2021.</w:t>
      </w:r>
    </w:p>
    <w:p w:rsidR="00070F95" w:rsidRDefault="00D012F3">
      <w:pPr>
        <w:spacing w:before="240" w:after="240"/>
        <w:jc w:val="left"/>
      </w:pPr>
      <w:r>
        <w:lastRenderedPageBreak/>
        <w:t>V okviru posebnega cilja A.SO3 so načrtovani 3 nacionalni cilji A.SO3.1 »Spremljevalni ukrepi«, A.SO3.2 »Ukrepi vračanja« in A.SO3.3 »Sodelovanje«, aktivnosti so v obdobju poročanj</w:t>
      </w:r>
      <w:r>
        <w:t>a tekle v okviru prvih dveh ukrepov.</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070F95" w:rsidRDefault="00D012F3">
      <w:pPr>
        <w:spacing w:before="0" w:after="240"/>
        <w:jc w:val="left"/>
      </w:pPr>
      <w:r>
        <w:t xml:space="preserve">V sklopu svetovanja tujcem je bilo informiranih 20 tujcev o postopkih in možnostih vračanja ter 22 nudeno pravno svetovanje v postopku </w:t>
      </w:r>
      <w:r>
        <w:t>vračanja. Zaradi pripravljalnih postopkov spremembe Zakona o tujcih po 2018 so bile nadaljnje aktivnosti financirane iz nacionalnega proračuna.</w:t>
      </w:r>
    </w:p>
    <w:p w:rsidR="00070F95" w:rsidRDefault="00D012F3">
      <w:pPr>
        <w:spacing w:before="240" w:after="240"/>
        <w:jc w:val="left"/>
      </w:pPr>
      <w:r>
        <w:t>V A.SO3.1.2 je Slovenska Karitas v okviru izpolnjevanja določil Direktive 20087ES/115 izvajala monitoring prisil</w:t>
      </w:r>
      <w:r>
        <w:t>nega vračanja v vseh 3 fazah odstranitve. Implementirali smo 6. odst. 8.čl. evropske Direktive o vračanju z vršenjem nepristranskega nadzora s strani neodvisnega organa glede zakonitosti, strokovnosti in humanosti postopkov s tujci, ki so podvrženi prisiln</w:t>
      </w:r>
      <w:r>
        <w:t>i odstranitvi iz države. Vsa poročila monitoringov potrjujejo, da so policisti v 14 postopkih delovali zakonito in strokovno.</w:t>
      </w:r>
    </w:p>
    <w:p w:rsidR="00070F95" w:rsidRDefault="00D012F3">
      <w:pPr>
        <w:spacing w:before="240" w:after="240"/>
        <w:jc w:val="left"/>
      </w:pPr>
      <w:r>
        <w:t>V A.SO3.1.3 se je tujcem zagotavljala ustrezna prehrana (halal, dietna, dodatni obroki za mladoletnike, ramadanski obroki ...), og</w:t>
      </w:r>
      <w:r>
        <w:t>revanje, vzdrževanje, čiščenje objekta, nabava opreme in naprav za vzdrževanje objekta z okolico. Posodobljena je bila pralnica Centra za tujce (CT) z nabavo 2 industrijskih pralnih in 2 sušilnih strojev. Obnovljeni so bili sprejemni prostori in upravni de</w:t>
      </w:r>
      <w:r>
        <w:t>l - prostori so funkcionalni, zagotavljajo potrebno varnost, higieno in preglednost. Zamenjane so bile strojne inštalacije, varnostni mehanizmi (vrata, ključavnice, videokamere, osvetlitve ...), pridobljeni so prostori za obiskovalce, obnovljena je soba za</w:t>
      </w:r>
      <w:r>
        <w:t xml:space="preserve"> dežurne policiste, pisarne v administrativnem delu so bolj funkcionalne ter posodobljena je sejna soba. Za obnovo zunanjega igrišča je bilo pridobljeno gradbeno dovoljenje, investicija bo izvedena v naslednji perspektivi.</w:t>
      </w:r>
    </w:p>
    <w:p w:rsidR="00070F95" w:rsidRDefault="00D012F3">
      <w:pPr>
        <w:spacing w:before="240" w:after="240"/>
        <w:jc w:val="left"/>
      </w:pPr>
      <w:r>
        <w:t>Na Postaji letališke policije Brn</w:t>
      </w:r>
      <w:r>
        <w:t>ik je bilo izvedenih 623 zavrnitev tujcev. Ob namestitvi v mednarodni prostor za zavrnjene tujce jim je bilo nudeno prenočišče, prehrana, nadzor in zdravniška pomoč.</w:t>
      </w:r>
    </w:p>
    <w:p w:rsidR="00070F95" w:rsidRDefault="00D012F3">
      <w:pPr>
        <w:spacing w:before="240" w:after="240"/>
        <w:jc w:val="left"/>
      </w:pPr>
      <w:r>
        <w:t xml:space="preserve">V A.SO3.1.4 se je izvajala zdravstvena, psihološka in socialna oskrba tujcev pred </w:t>
      </w:r>
      <w:r>
        <w:t>vrnitvijo v matično državo. Zdravstvena oskrba je preventivni pregled vsakega tujca, po potrebi tudi diagnosticiranje in kurativa; urejena je psihološka in socialna podpora (pogovori, kreativne delavnice, učne ure, psihiatrična svetovanja). V CT je bilo v </w:t>
      </w:r>
      <w:r>
        <w:t>aktivnosti vključenih 1.652 tujcev ter izvedenih 165 delavnic. 2 zaposleni osebi sta se udeležili delavnice učnih metod in tehnik za odrasle, 2 zdravstveni delavki tečaja urgentne medicine ter 2 socialni delavki tečaja o nenasilni komunikaciji.</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w:t>
            </w:r>
            <w:r w:rsidRPr="00707975">
              <w:rPr>
                <w:noProof/>
                <w:lang w:val="fr-BE"/>
              </w:rPr>
              <w:t>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070F95" w:rsidRDefault="00D012F3">
      <w:pPr>
        <w:spacing w:before="0" w:after="240"/>
        <w:jc w:val="left"/>
      </w:pPr>
      <w:r>
        <w:t xml:space="preserve">Prostovoljno vračanje tujcev iz RS in reintegracijski programi v državi vrnitve tujcev ter priprava in izvedba operacij vračanja (upravni stroški, potni stroški, nastanitev) sta prioritetni </w:t>
      </w:r>
      <w:r>
        <w:t>aktivnosti v okviru nacionalnega cilja A.SO3.2 »Ukrepi vračanja«. V sklopu A.SO3.2 je teklo tudi sodelovanje s konzularnimi organi in službami za priseljevanje v tretjih državah.</w:t>
      </w:r>
    </w:p>
    <w:p w:rsidR="00070F95" w:rsidRDefault="00D012F3">
      <w:pPr>
        <w:spacing w:before="240" w:after="240"/>
        <w:jc w:val="left"/>
      </w:pPr>
      <w:r>
        <w:t>Pomoč po vrnitvi pri prostovoljnem in prisilnem vračanju (prevoz, prva nastan</w:t>
      </w:r>
      <w:r>
        <w:t>itev, itd.) je bila vključena v okvir izvajanja reintegracijskih programov kot tudi pri neposredni takojšnji pomoči po vrnitvi (npr. sekundarni transport). Slovenija je ustrezno z združevanjem vsebin revidirala Akcijski načrt v preteklih letih.</w:t>
      </w:r>
    </w:p>
    <w:p w:rsidR="00070F95" w:rsidRDefault="00D012F3">
      <w:pPr>
        <w:spacing w:before="240" w:after="240"/>
        <w:jc w:val="left"/>
      </w:pPr>
      <w:r>
        <w:lastRenderedPageBreak/>
        <w:t>V sklopu uk</w:t>
      </w:r>
      <w:r>
        <w:t>repa A.SO3.2.1 je bilo z namenom prostovoljnega vračanja tujcev iz RS in izvedbe reintegracijskih programov v državah vrnitve v obdobju poročanja opravljenih 75 informiranj migrantov o programih prostovoljne vrnitve. Upravičenci so bili obveščeni o možnost</w:t>
      </w:r>
      <w:r>
        <w:t>i prostovoljnega vračanja in informirani o asistencah, ki so na voljo v okviru programa, vključeno z reintegracijsko podporo. IOM je organiziral prostovoljno vračanje v matično državo 37 migrantom. IOM je pri nudenju asistence upošteval vse zdravstvene sme</w:t>
      </w:r>
      <w:r>
        <w:t>rnice povezane z ukrepi proti COVID-19. Upravičenci so bili deležni individualne podpore pri reintegraciji v državi vrnitve, ki upošteva posebne ranljivosti in potrebe vključenih družin/posameznikov. Pripravljen je bil tudi promocijski material za osveščan</w:t>
      </w:r>
      <w:r>
        <w:t>je tujcev (plakati, letaki).</w:t>
      </w:r>
    </w:p>
    <w:p w:rsidR="00070F95" w:rsidRDefault="00D012F3">
      <w:pPr>
        <w:spacing w:before="240" w:after="240"/>
        <w:jc w:val="left"/>
      </w:pPr>
      <w:r>
        <w:t>Ukrep A.SO3.2.2 »Sodelovanje z DKP« je bil že v 2017 združen z ukrepom</w:t>
      </w:r>
      <w:r>
        <w:rPr>
          <w:b/>
          <w:bCs/>
        </w:rPr>
        <w:t xml:space="preserve"> </w:t>
      </w:r>
      <w:r>
        <w:t>A.SO3.2.3 »Priprava in izvedba operacij vračanja« zaradi njune vsebinske komplementarnosti. Tujci, ki jim je izdana odločba o vrnitvi, večinoma ne posedujej</w:t>
      </w:r>
      <w:r>
        <w:t>o lastnih identifikacijskih dokumentov, zato se jih pridobi na pristojnih DKP tretje države. CT so pri tem v veliko pomoč sklenjeni sporazumi in dobri odnosi, ki zmanjšajo proceduralne težave, kot so zamude ali dodatne zahteve, s katerimi se pogojuje izdaj</w:t>
      </w:r>
      <w:r>
        <w:t>a dokumentov. CT je tako v obdobju iz uveljavljenih zahtevkov v Obračunih 2021 pridobil 82 potovalnih dokumentov. 181 oseb se je vrnilo brez spremstva (DEPU), 47 oseb s spremstvom (DEPA). 1.992 ljudi se je vrnilo sosednjim državam na podlagi bilaterarnih s</w:t>
      </w:r>
      <w:r>
        <w:t>porazumov. Med vrnjenimi osebami je bilo 232 povratnikov, ki so že bili odstranjeni iz RS.</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070F95" w:rsidRDefault="00D012F3">
      <w:pPr>
        <w:spacing w:before="0" w:after="240"/>
        <w:jc w:val="left"/>
      </w:pPr>
      <w:r>
        <w:t xml:space="preserve">V sklopu A.SO3.3 se je nadaljevalo sodelovanje s članicami EU in agencijo Frontex pri izvajanju </w:t>
      </w:r>
      <w:r>
        <w:t>skupnih postopkov vračanja, vendar v obdobju poročanja ni bilo sofinacirano iz AMIF sredstev.</w:t>
      </w:r>
    </w:p>
    <w:p w:rsidR="00070F95" w:rsidRDefault="00D012F3">
      <w:pPr>
        <w:spacing w:before="240" w:after="240"/>
        <w:jc w:val="left"/>
      </w:pPr>
      <w:r>
        <w:t xml:space="preserve">V okviru nacionalnega cilja A.SO3.3 »Sodelovanje« je Slovenija prvotno načrtovala tri ukrepe, vendar so se aktivnosti A.SO3.3.2 »Sodelovanje z organizacijami pri </w:t>
      </w:r>
      <w:r>
        <w:t>zagotavljanju storitev za državljane tretjih držav med pridržanjem« in A.SO3.3.3 »Sodelovanje z državami članicami EU pri izmenjavi dobrih praks na področjih povezanih z ukrepi vračanja« skladno s predlogom končnega upravičenca (Policije) izvajale v okviru</w:t>
      </w:r>
      <w:r>
        <w:t xml:space="preserve"> A.SO3.3.1. Združevanje vsebine se ustrezno odraža v revidiranem Akcijskem načrtu.</w:t>
      </w:r>
    </w:p>
    <w:p w:rsidR="00070F95" w:rsidRDefault="00D012F3">
      <w:pPr>
        <w:spacing w:before="240" w:after="240"/>
        <w:jc w:val="left"/>
      </w:pPr>
      <w:r>
        <w:t xml:space="preserve">Center za tujce je tudi v letu 2020 aktivno sodeloval z Agencijo Frontex v okviru ukrepa A.SO3.3.1. Prav tako je bil dejaven v okviru relevantnih delovnih telesih EU, ki so </w:t>
      </w:r>
      <w:r>
        <w:t>namenjeni izmenjavi izkušenj in dobrih praks, inšpektorji Centra za tujce so sodelovali v delovnih telesih in operacijah agencije Frontex in v delovnem telesu Evropske komisije EMN REG. V obdobju poročanja je sodelovanje s partnerji na področju vračanja te</w:t>
      </w:r>
      <w:r>
        <w:t>klo v normalnem obsegu. </w:t>
      </w:r>
    </w:p>
    <w:p w:rsidR="00070F95" w:rsidRDefault="00D012F3">
      <w:pPr>
        <w:spacing w:before="240" w:after="240"/>
        <w:jc w:val="left"/>
      </w:pPr>
      <w:r>
        <w:t> </w:t>
      </w:r>
    </w:p>
    <w:p w:rsidR="00070F95" w:rsidRDefault="00D012F3">
      <w:pPr>
        <w:spacing w:before="240" w:after="240"/>
        <w:jc w:val="left"/>
      </w:pPr>
      <w:r>
        <w:t>Povzemite napredek pri izvajanju strategije in doseganju nacionalnih ciljev v proračunskem letu.</w:t>
      </w:r>
    </w:p>
    <w:p w:rsidR="00070F95" w:rsidRDefault="00D012F3">
      <w:pPr>
        <w:spacing w:before="240" w:after="240"/>
        <w:jc w:val="left"/>
      </w:pPr>
      <w:r>
        <w:t> </w:t>
      </w:r>
    </w:p>
    <w:p w:rsidR="00070F95" w:rsidRDefault="00D012F3">
      <w:pPr>
        <w:spacing w:before="240" w:after="240"/>
        <w:jc w:val="left"/>
      </w:pPr>
      <w:r>
        <w:t>Navedite morebitne spremembe v strategiji ali nacionalnih ciljih oziroma dejavnike, ki bi lahko privedli do sprememb v prihodnosti</w:t>
      </w:r>
      <w:r>
        <w:t>.</w:t>
      </w:r>
    </w:p>
    <w:p w:rsidR="00070F95" w:rsidRDefault="00D012F3">
      <w:pPr>
        <w:spacing w:before="240" w:after="240"/>
        <w:jc w:val="left"/>
      </w:pPr>
      <w:r>
        <w:t> </w:t>
      </w:r>
    </w:p>
    <w:p w:rsidR="00070F95" w:rsidRDefault="00D012F3">
      <w:pPr>
        <w:spacing w:before="240" w:after="240"/>
        <w:jc w:val="left"/>
      </w:pPr>
      <w:r>
        <w:lastRenderedPageBreak/>
        <w:t>Navedite morebitna pomembna vprašanja, ki vplivajo na uspešnost nacionalnega programa.</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morebitne spremembe v strategiji ali nacionalnih ciljih o</w:t>
      </w:r>
      <w:r>
        <w:rPr>
          <w:noProof/>
          <w:lang w:val="fr-BE"/>
        </w:rPr>
        <w:t>ziroma dejavnike, ki bi lahko privedli do sprememb v prihodnosti.</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070F95" w:rsidTr="00003291">
        <w:tc>
          <w:tcPr>
            <w:tcW w:w="0" w:type="auto"/>
            <w:shd w:val="clear" w:color="auto" w:fill="auto"/>
          </w:tcPr>
          <w:p w:rsidR="00115C60" w:rsidRPr="006C1127" w:rsidRDefault="00D012F3"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012F3"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070F95" w:rsidRDefault="00D012F3">
      <w:pPr>
        <w:spacing w:before="0" w:after="240"/>
        <w:jc w:val="left"/>
      </w:pPr>
      <w:r>
        <w:t xml:space="preserve">Slovenija sodeluje v aktivnostih premestitve v skladu z dvema shemama </w:t>
      </w:r>
      <w:r>
        <w:t>EU o premestitvi 40.000 in 120.000 prosilcev za mednarodno zaščito iz Italije in Grčije v skladu s Sklepom Sveta (EU) 2015/1523 z dne 14. 9. 2015 in Sklepom Sveta (EU) 2015/1601 z dne 22. 9. 2015.</w:t>
      </w:r>
    </w:p>
    <w:p w:rsidR="00070F95" w:rsidRDefault="00D012F3">
      <w:pPr>
        <w:spacing w:before="240" w:after="240"/>
        <w:jc w:val="left"/>
      </w:pPr>
      <w:r>
        <w:t>Aktivnosti premestitve so se zaključile leta 2018, ko je bi</w:t>
      </w:r>
      <w:r>
        <w:t>lo izvedenih 21 zadnjih premestitev iz Italije. V letu 2021 ni bilo izvedenih dodatnih aktivnosti.</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070F95" w:rsidTr="00003291">
        <w:tc>
          <w:tcPr>
            <w:tcW w:w="0" w:type="auto"/>
            <w:shd w:val="clear" w:color="auto" w:fill="auto"/>
          </w:tcPr>
          <w:p w:rsidR="00115C60" w:rsidRPr="00707975" w:rsidRDefault="00D012F3"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012F3"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070F95" w:rsidRDefault="00D012F3">
      <w:pPr>
        <w:spacing w:before="0" w:after="240"/>
        <w:jc w:val="left"/>
      </w:pPr>
      <w:r>
        <w:t xml:space="preserve">Slovenija se je v okviru nacionalnega cilja-posebni primer »Premestitev« osredotočila na </w:t>
      </w:r>
      <w:r>
        <w:t>ukrep-posebni primer »Premestitev prosilcev za mednarodno zaščito«, in sicer projekt obsega premestitev 567 prosilcev za mednarodno zaščito v okviru evropskih shem za premestitev na podlagi Sklepa Sveta EU 2015/1523 s 14. septembra 2015 o premestitvi 40.00</w:t>
      </w:r>
      <w:r>
        <w:t>0 oseb iz Italije in Grčije ter Sklepa Sveta EU 2015/1601 z 22. septembra 2015 o premestitvi 120.000 oseb iz Italije in Grčije.</w:t>
      </w:r>
    </w:p>
    <w:p w:rsidR="00070F95" w:rsidRDefault="00D012F3">
      <w:pPr>
        <w:spacing w:before="240" w:after="240"/>
        <w:jc w:val="left"/>
      </w:pPr>
      <w:r>
        <w:t>Sklepa Sveta EU 2015/1523 in 2015/1601 predstavljata pravno podlago za premestitev 160.000 oseb, ki so v Italiji in Grčiji zapro</w:t>
      </w:r>
      <w:r>
        <w:t>sile za mednarodno zaščito. Na tej podlagi bi morala Slovenija premestiti 567 oseb, od tega 218 iz Italije in 349 iz Grčije. Vlada Republike Slovenije je na tej podlagi na seji 10. marca 2016 sprejela Izvedbeni načrt premestitve 567 oseb iz Italije in Grči</w:t>
      </w:r>
      <w:r>
        <w:t>je in trajne preselitve 20 oseb iz tretjih držav.</w:t>
      </w:r>
    </w:p>
    <w:p w:rsidR="00070F95" w:rsidRDefault="00D012F3">
      <w:pPr>
        <w:spacing w:before="240" w:after="240"/>
        <w:jc w:val="left"/>
      </w:pPr>
      <w:r>
        <w:t>Na podlagi sklepov Sveta EU je bilo v Slovenijo premeščenih 21 oseb iz Italije, od tega 18 državljanov Eritreje in 3 državljani Sirije. Skupno je bilo v času trajanja projekta premeščenih 253 oseb. Iz Itali</w:t>
      </w:r>
      <w:r>
        <w:t xml:space="preserve">je je bilo premeščenih 81 oseb, od tega 77 državljanov Eritreje, trije državljani Sirije in en državljan Jemna. Iz Grčije je bilo skupno premeščenih 172 oseb, od tega 149 državljanov Sirije, 17 državljanov Iraka in šest oseb brez državljanstva. Aktivnosti </w:t>
      </w:r>
      <w:r>
        <w:t>premestitve so se zaključile leta 2018, ko je bilo izvedenih 21 zadnjih premestitev iz Italije.</w:t>
      </w:r>
    </w:p>
    <w:p w:rsidR="00070F95" w:rsidRDefault="00D012F3">
      <w:pPr>
        <w:spacing w:before="240" w:after="240"/>
        <w:jc w:val="left"/>
      </w:pPr>
      <w:r>
        <w:t>Slovenija se je zavezala tudi k sprejemu 20 oseb iz tretjih držav, predvidoma državljanov Sirije iz Turčije, Libanona ali Jordanije. Skladno s Sporazumom EU - T</w:t>
      </w:r>
      <w:r>
        <w:t xml:space="preserve">určija, ki je bil sprejet aprila 2016, je bilo dogovorjeno, da se v Slovenijo preseli 20 državljanov Sirije iz Turčije. Vlada Republike Slovenije je 4. avgusta 2016 sprejela sklep, da se na podlagi kvote iz Turčije sprejme 40 državljanov Sirije, ki se jim </w:t>
      </w:r>
      <w:r>
        <w:t>lahko prizna status begunca. Slovenija je aktivnosti zaključila v letu 2018. Skupno je bilo trajno preseljenih 34 državljanov Sirije. Drugih ustreznih kandidatov za preselitev v tej misiji ni bilo.</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D012F3"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98"/>
        <w:gridCol w:w="833"/>
        <w:gridCol w:w="2836"/>
        <w:gridCol w:w="1352"/>
        <w:gridCol w:w="1157"/>
        <w:gridCol w:w="1183"/>
      </w:tblGrid>
      <w:tr w:rsidR="00070F95" w:rsidTr="00003291">
        <w:trPr>
          <w:tblHeader/>
        </w:trPr>
        <w:tc>
          <w:tcPr>
            <w:tcW w:w="0" w:type="auto"/>
            <w:shd w:val="clear" w:color="auto" w:fill="auto"/>
          </w:tcPr>
          <w:p w:rsidR="00115C60" w:rsidRPr="00CB3B6C" w:rsidRDefault="00D012F3"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D012F3" w:rsidP="00003291">
            <w:pPr>
              <w:spacing w:before="0" w:after="0"/>
              <w:rPr>
                <w:b/>
                <w:sz w:val="16"/>
                <w:szCs w:val="16"/>
              </w:rPr>
            </w:pPr>
            <w:r w:rsidRPr="00CB3B6C">
              <w:rPr>
                <w:b/>
                <w:noProof/>
                <w:sz w:val="16"/>
                <w:szCs w:val="16"/>
              </w:rPr>
              <w:t xml:space="preserve">Nacionalni cilj </w:t>
            </w:r>
            <w:r w:rsidRPr="00CB3B6C">
              <w:rPr>
                <w:b/>
                <w:noProof/>
                <w:sz w:val="16"/>
                <w:szCs w:val="16"/>
              </w:rPr>
              <w:t>/ posebni ukrep</w:t>
            </w:r>
          </w:p>
        </w:tc>
        <w:tc>
          <w:tcPr>
            <w:tcW w:w="0" w:type="auto"/>
            <w:shd w:val="clear" w:color="auto" w:fill="auto"/>
          </w:tcPr>
          <w:p w:rsidR="00115C60" w:rsidRPr="00CB3B6C" w:rsidRDefault="00D012F3" w:rsidP="00003291">
            <w:pPr>
              <w:spacing w:before="0" w:after="0"/>
              <w:jc w:val="center"/>
              <w:rPr>
                <w:b/>
                <w:sz w:val="16"/>
                <w:szCs w:val="16"/>
              </w:rPr>
            </w:pPr>
            <w:r w:rsidRPr="00CB3B6C">
              <w:rPr>
                <w:b/>
                <w:noProof/>
                <w:sz w:val="16"/>
                <w:szCs w:val="16"/>
              </w:rPr>
              <w:t>Glavni ukrep</w:t>
            </w:r>
          </w:p>
        </w:tc>
        <w:tc>
          <w:tcPr>
            <w:tcW w:w="0" w:type="auto"/>
            <w:shd w:val="clear" w:color="auto" w:fill="auto"/>
          </w:tcPr>
          <w:p w:rsidR="00115C60" w:rsidRPr="00CB3B6C" w:rsidRDefault="00D012F3"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D012F3"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D012F3"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D012F3" w:rsidP="00003291">
            <w:pPr>
              <w:spacing w:before="0" w:after="0"/>
              <w:jc w:val="center"/>
              <w:rPr>
                <w:b/>
                <w:sz w:val="16"/>
                <w:szCs w:val="16"/>
              </w:rPr>
            </w:pPr>
            <w:r w:rsidRPr="00CB3B6C">
              <w:rPr>
                <w:b/>
                <w:noProof/>
                <w:sz w:val="16"/>
                <w:szCs w:val="16"/>
              </w:rPr>
              <w:t>Začetek zaključne faze</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2022</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012F3" w:rsidP="00003291">
            <w:pPr>
              <w:spacing w:before="0" w:after="0"/>
              <w:rPr>
                <w:sz w:val="16"/>
                <w:szCs w:val="16"/>
              </w:rPr>
            </w:pPr>
            <w:r>
              <w:rPr>
                <w:noProof/>
                <w:sz w:val="16"/>
                <w:szCs w:val="16"/>
              </w:rPr>
              <w:t xml:space="preserve">Nacionalni </w:t>
            </w:r>
            <w:r>
              <w:rPr>
                <w:noProof/>
                <w:sz w:val="16"/>
                <w:szCs w:val="16"/>
              </w:rPr>
              <w:t>cilj1</w:t>
            </w:r>
            <w:r>
              <w:rPr>
                <w:sz w:val="16"/>
                <w:szCs w:val="16"/>
              </w:rPr>
              <w:t xml:space="preserve"> - </w:t>
            </w:r>
            <w:r>
              <w:rPr>
                <w:noProof/>
                <w:sz w:val="16"/>
                <w:szCs w:val="16"/>
              </w:rPr>
              <w:t>Sprejem/azil</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Strengthening of competent services involved in processing asylum applications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National system of evaluation of the asylum procedures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Resettlement of persons in clear need of international protection</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2017</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Ad-hoc adminssion</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Implementation of programmes for basic assistance and services for TCN</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 xml:space="preserve">Specific </w:t>
            </w:r>
            <w:r w:rsidRPr="00557448">
              <w:rPr>
                <w:noProof/>
                <w:sz w:val="16"/>
                <w:szCs w:val="16"/>
              </w:rPr>
              <w:t>measures targeting vulnerable persons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Integration assistance including comprehensive inclusion assistance for persons under IP</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2022</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2019</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Improvement of services and conditions of stay</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 xml:space="preserve">Improved infrastructure, living </w:t>
            </w:r>
            <w:r w:rsidRPr="00557448">
              <w:rPr>
                <w:noProof/>
                <w:sz w:val="16"/>
                <w:szCs w:val="16"/>
              </w:rPr>
              <w:t>conditions, running costs at the Aliens centre</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Expansion of the network of translators and interpreters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2022</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Realocation activities for applicants for international protection from Italy and Greece</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2017</w:t>
            </w:r>
          </w:p>
        </w:tc>
      </w:tr>
      <w:tr w:rsidR="00070F95" w:rsidTr="00003291">
        <w:tc>
          <w:tcPr>
            <w:tcW w:w="0" w:type="auto"/>
            <w:shd w:val="clear" w:color="auto" w:fill="auto"/>
          </w:tcPr>
          <w:p w:rsidR="00115C60" w:rsidRPr="00557448" w:rsidRDefault="00D012F3"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D012F3"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D012F3"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012F3" w:rsidP="00003291">
            <w:pPr>
              <w:spacing w:before="0" w:after="0"/>
              <w:rPr>
                <w:sz w:val="16"/>
                <w:szCs w:val="16"/>
              </w:rPr>
            </w:pPr>
            <w:r w:rsidRPr="00557448">
              <w:rPr>
                <w:noProof/>
                <w:sz w:val="16"/>
                <w:szCs w:val="16"/>
              </w:rPr>
              <w:t>Preparatory measures</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D012F3" w:rsidP="00003291">
            <w:pPr>
              <w:spacing w:before="0" w:after="0"/>
              <w:jc w:val="center"/>
              <w:rPr>
                <w:sz w:val="16"/>
                <w:szCs w:val="16"/>
              </w:rPr>
            </w:pPr>
            <w:r>
              <w:rPr>
                <w:noProof/>
                <w:sz w:val="16"/>
                <w:szCs w:val="16"/>
              </w:rPr>
              <w:t>2021</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D012F3" w:rsidP="00115C60">
      <w:pPr>
        <w:pStyle w:val="Naslov1"/>
        <w:numPr>
          <w:ilvl w:val="0"/>
          <w:numId w:val="0"/>
        </w:numPr>
        <w:spacing w:before="0" w:after="0"/>
      </w:pPr>
      <w:bookmarkStart w:id="3" w:name="_Toc256000004"/>
      <w:r>
        <w:rPr>
          <w:noProof/>
        </w:rPr>
        <w:lastRenderedPageBreak/>
        <w:t>ODDELEK 4: POSEBNI PRIMERI</w:t>
      </w:r>
      <w:bookmarkEnd w:id="3"/>
    </w:p>
    <w:p w:rsidR="00115C60" w:rsidRDefault="00115C60" w:rsidP="00115C60">
      <w:pPr>
        <w:spacing w:before="0" w:after="0"/>
        <w:rPr>
          <w:lang w:val="fr-BE"/>
        </w:rPr>
      </w:pPr>
    </w:p>
    <w:p w:rsidR="00115C60" w:rsidRDefault="00D012F3"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D012F3"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070F95" w:rsidTr="006D1BFF">
        <w:tc>
          <w:tcPr>
            <w:tcW w:w="0" w:type="auto"/>
            <w:shd w:val="clear" w:color="auto" w:fill="auto"/>
          </w:tcPr>
          <w:p w:rsidR="00B02E47" w:rsidRPr="00597A79" w:rsidRDefault="00D012F3" w:rsidP="00003291">
            <w:pPr>
              <w:spacing w:before="0" w:after="0"/>
              <w:rPr>
                <w:b/>
                <w:sz w:val="16"/>
                <w:szCs w:val="16"/>
                <w:lang w:val="fr-BE"/>
              </w:rPr>
            </w:pPr>
            <w:r w:rsidRPr="00597A79">
              <w:rPr>
                <w:b/>
                <w:noProof/>
                <w:sz w:val="16"/>
                <w:szCs w:val="16"/>
                <w:lang w:val="fr-BE"/>
              </w:rPr>
              <w:t>Skupna prednostna naloga Unije na področju</w:t>
            </w:r>
            <w:r w:rsidRPr="00597A79">
              <w:rPr>
                <w:b/>
                <w:noProof/>
                <w:sz w:val="16"/>
                <w:szCs w:val="16"/>
                <w:lang w:val="fr-BE"/>
              </w:rPr>
              <w:t xml:space="preserve"> preselitve</w:t>
            </w:r>
          </w:p>
        </w:tc>
        <w:tc>
          <w:tcPr>
            <w:tcW w:w="0" w:type="auto"/>
            <w:shd w:val="clear" w:color="auto" w:fill="auto"/>
          </w:tcPr>
          <w:p w:rsidR="00B02E47" w:rsidRPr="00597A79" w:rsidRDefault="00D012F3"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D012F3"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D012F3"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D012F3"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D012F3"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D012F3"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D012F3" w:rsidP="00D06E4F">
            <w:pPr>
              <w:spacing w:before="0" w:after="0"/>
              <w:jc w:val="center"/>
              <w:rPr>
                <w:b/>
                <w:sz w:val="16"/>
                <w:szCs w:val="16"/>
                <w:lang w:val="fr-BE"/>
              </w:rPr>
            </w:pPr>
            <w:r w:rsidRPr="00597A79">
              <w:rPr>
                <w:b/>
                <w:sz w:val="16"/>
                <w:szCs w:val="16"/>
                <w:lang w:val="fr-BE"/>
              </w:rPr>
              <w:t>2020</w:t>
            </w:r>
          </w:p>
        </w:tc>
      </w:tr>
      <w:tr w:rsidR="00070F95" w:rsidTr="006D1BFF">
        <w:tc>
          <w:tcPr>
            <w:tcW w:w="0" w:type="auto"/>
            <w:shd w:val="clear" w:color="auto" w:fill="auto"/>
          </w:tcPr>
          <w:p w:rsidR="00B02E47" w:rsidRPr="00597A79" w:rsidRDefault="00D012F3" w:rsidP="00003291">
            <w:pPr>
              <w:spacing w:before="0" w:after="0"/>
              <w:rPr>
                <w:sz w:val="16"/>
                <w:szCs w:val="16"/>
                <w:lang w:val="fr-BE"/>
              </w:rPr>
            </w:pPr>
            <w:r w:rsidRPr="00597A79">
              <w:rPr>
                <w:noProof/>
                <w:sz w:val="16"/>
                <w:szCs w:val="16"/>
                <w:lang w:val="fr-BE"/>
              </w:rPr>
              <w:t>Sirski begunci v regiji</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D012F3" w:rsidP="00A35F00">
            <w:pPr>
              <w:spacing w:before="0" w:after="0"/>
              <w:jc w:val="right"/>
              <w:rPr>
                <w:sz w:val="16"/>
                <w:szCs w:val="16"/>
                <w:lang w:val="fr-BE"/>
              </w:rPr>
            </w:pPr>
            <w:r w:rsidRPr="00597A79">
              <w:rPr>
                <w:noProof/>
                <w:sz w:val="16"/>
                <w:szCs w:val="16"/>
                <w:lang w:val="fr-BE"/>
              </w:rPr>
              <w:t>21</w:t>
            </w:r>
          </w:p>
        </w:tc>
        <w:tc>
          <w:tcPr>
            <w:tcW w:w="0" w:type="auto"/>
          </w:tcPr>
          <w:p w:rsidR="00B02E47" w:rsidRPr="00597A79" w:rsidRDefault="00D012F3" w:rsidP="00A35F00">
            <w:pPr>
              <w:spacing w:before="0" w:after="0"/>
              <w:jc w:val="right"/>
              <w:rPr>
                <w:sz w:val="16"/>
                <w:szCs w:val="16"/>
                <w:lang w:val="fr-BE"/>
              </w:rPr>
            </w:pPr>
            <w:r w:rsidRPr="00597A79">
              <w:rPr>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r w:rsidR="00070F95" w:rsidTr="006D1BFF">
        <w:tc>
          <w:tcPr>
            <w:tcW w:w="0" w:type="auto"/>
            <w:shd w:val="clear" w:color="auto" w:fill="auto"/>
          </w:tcPr>
          <w:p w:rsidR="00B02E47" w:rsidRPr="00597A79" w:rsidRDefault="00D012F3" w:rsidP="00003291">
            <w:pPr>
              <w:spacing w:before="0" w:after="0"/>
              <w:rPr>
                <w:sz w:val="16"/>
                <w:szCs w:val="16"/>
                <w:lang w:val="fr-BE"/>
              </w:rPr>
            </w:pPr>
            <w:r w:rsidRPr="00597A79">
              <w:rPr>
                <w:b/>
                <w:noProof/>
                <w:sz w:val="16"/>
                <w:szCs w:val="16"/>
                <w:lang w:val="fr-BE"/>
              </w:rPr>
              <w:t>Prednostne naloge Unije skupaj</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D012F3"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D012F3" w:rsidP="00A35F00">
            <w:pPr>
              <w:spacing w:before="0" w:after="0"/>
              <w:jc w:val="right"/>
              <w:rPr>
                <w:sz w:val="16"/>
                <w:szCs w:val="16"/>
                <w:lang w:val="fr-BE"/>
              </w:rPr>
            </w:pPr>
            <w:r w:rsidRPr="00597A79">
              <w:rPr>
                <w:b/>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r w:rsidR="00070F95" w:rsidTr="006D1BFF">
        <w:tc>
          <w:tcPr>
            <w:tcW w:w="0" w:type="auto"/>
            <w:shd w:val="clear" w:color="auto" w:fill="auto"/>
          </w:tcPr>
          <w:p w:rsidR="00B02E47" w:rsidRPr="00597A79" w:rsidRDefault="00D012F3" w:rsidP="00003291">
            <w:pPr>
              <w:spacing w:before="0" w:after="0"/>
              <w:rPr>
                <w:sz w:val="16"/>
                <w:szCs w:val="16"/>
                <w:lang w:val="fr-BE"/>
              </w:rPr>
            </w:pPr>
            <w:r w:rsidRPr="00597A79">
              <w:rPr>
                <w:b/>
                <w:noProof/>
                <w:sz w:val="16"/>
                <w:szCs w:val="16"/>
                <w:lang w:val="fr-BE"/>
              </w:rPr>
              <w:t>Skupni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D012F3"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D012F3" w:rsidP="00A35F00">
            <w:pPr>
              <w:spacing w:before="0" w:after="0"/>
              <w:jc w:val="right"/>
              <w:rPr>
                <w:sz w:val="16"/>
                <w:szCs w:val="16"/>
                <w:lang w:val="fr-BE"/>
              </w:rPr>
            </w:pPr>
            <w:r w:rsidRPr="00597A79">
              <w:rPr>
                <w:b/>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D012F3" w:rsidP="00225E97">
      <w:pPr>
        <w:spacing w:before="0" w:after="0"/>
        <w:ind w:right="418"/>
        <w:rPr>
          <w:lang w:val="fr-BE"/>
        </w:rPr>
      </w:pPr>
      <w:r>
        <w:rPr>
          <w:noProof/>
          <w:lang w:val="fr-BE"/>
        </w:rPr>
        <w:t>4.2 Predaja in premestitev</w:t>
      </w:r>
    </w:p>
    <w:p w:rsidR="00115C60" w:rsidRDefault="00115C60" w:rsidP="000C0709">
      <w:pPr>
        <w:spacing w:before="0" w:after="0"/>
        <w:ind w:right="395"/>
        <w:rPr>
          <w:lang w:val="fr-BE"/>
        </w:rPr>
      </w:pPr>
    </w:p>
    <w:p w:rsidR="00115C60" w:rsidRDefault="00D012F3" w:rsidP="00225E97">
      <w:pPr>
        <w:tabs>
          <w:tab w:val="right" w:pos="15309"/>
        </w:tabs>
        <w:spacing w:before="0" w:after="0"/>
        <w:rPr>
          <w:lang w:val="fr-BE"/>
        </w:rPr>
      </w:pPr>
      <w:r>
        <w:rPr>
          <w:noProof/>
          <w:lang w:val="fr-BE"/>
        </w:rPr>
        <w:t xml:space="preserve">Število predanih in premeščenih prosilcev na obdobje zaveze, kot je </w:t>
      </w:r>
      <w:r>
        <w:rPr>
          <w:noProof/>
          <w:lang w:val="fr-BE"/>
        </w:rPr>
        <w:t>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569"/>
        <w:gridCol w:w="2129"/>
        <w:gridCol w:w="2373"/>
        <w:gridCol w:w="2373"/>
        <w:gridCol w:w="2373"/>
      </w:tblGrid>
      <w:tr w:rsidR="00070F95" w:rsidTr="00003291">
        <w:tc>
          <w:tcPr>
            <w:tcW w:w="0" w:type="auto"/>
            <w:shd w:val="clear" w:color="auto" w:fill="auto"/>
          </w:tcPr>
          <w:p w:rsidR="00115C60" w:rsidRPr="00F65BC9" w:rsidRDefault="00D012F3"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D012F3"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D012F3"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D012F3"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D012F3"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D012F3" w:rsidP="0056117D">
            <w:pPr>
              <w:spacing w:before="0" w:after="0"/>
              <w:jc w:val="center"/>
              <w:rPr>
                <w:b/>
                <w:sz w:val="20"/>
                <w:szCs w:val="20"/>
                <w:lang w:val="fr-BE"/>
              </w:rPr>
            </w:pPr>
            <w:r w:rsidRPr="00F65BC9">
              <w:rPr>
                <w:b/>
                <w:sz w:val="20"/>
                <w:szCs w:val="20"/>
                <w:lang w:val="fr-BE"/>
              </w:rPr>
              <w:t>2018-2019</w:t>
            </w:r>
          </w:p>
        </w:tc>
      </w:tr>
      <w:tr w:rsidR="00070F95" w:rsidTr="00003291">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Premestitev (2015/1523)</w:t>
            </w:r>
          </w:p>
        </w:tc>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012F3" w:rsidP="00003291">
            <w:pPr>
              <w:spacing w:before="0" w:after="0"/>
              <w:jc w:val="right"/>
              <w:rPr>
                <w:sz w:val="20"/>
                <w:szCs w:val="20"/>
                <w:lang w:val="fr-BE"/>
              </w:rPr>
            </w:pPr>
            <w:r w:rsidRPr="002B6309">
              <w:rPr>
                <w:noProof/>
                <w:sz w:val="20"/>
                <w:szCs w:val="20"/>
                <w:lang w:val="fr-BE"/>
              </w:rPr>
              <w:t>36</w:t>
            </w:r>
          </w:p>
        </w:tc>
      </w:tr>
      <w:tr w:rsidR="00070F95" w:rsidTr="00003291">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012F3" w:rsidP="00003291">
            <w:pPr>
              <w:spacing w:before="0" w:after="0"/>
              <w:jc w:val="right"/>
              <w:rPr>
                <w:sz w:val="20"/>
                <w:szCs w:val="20"/>
                <w:lang w:val="fr-BE"/>
              </w:rPr>
            </w:pPr>
            <w:r w:rsidRPr="002B6309">
              <w:rPr>
                <w:noProof/>
                <w:sz w:val="20"/>
                <w:szCs w:val="20"/>
                <w:lang w:val="fr-BE"/>
              </w:rPr>
              <w:t>54</w:t>
            </w:r>
          </w:p>
        </w:tc>
        <w:tc>
          <w:tcPr>
            <w:tcW w:w="0" w:type="auto"/>
            <w:shd w:val="clear" w:color="auto" w:fill="auto"/>
          </w:tcPr>
          <w:p w:rsidR="00115C60" w:rsidRPr="002B6309" w:rsidRDefault="00115C60" w:rsidP="00003291">
            <w:pPr>
              <w:spacing w:before="0" w:after="0"/>
              <w:jc w:val="right"/>
              <w:rPr>
                <w:sz w:val="20"/>
                <w:szCs w:val="20"/>
                <w:lang w:val="fr-BE"/>
              </w:rPr>
            </w:pPr>
          </w:p>
        </w:tc>
      </w:tr>
      <w:tr w:rsidR="00070F95" w:rsidTr="00003291">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Grčija</w:t>
            </w:r>
          </w:p>
        </w:tc>
        <w:tc>
          <w:tcPr>
            <w:tcW w:w="0" w:type="auto"/>
            <w:shd w:val="clear" w:color="auto" w:fill="auto"/>
          </w:tcPr>
          <w:p w:rsidR="00115C60" w:rsidRPr="002B6309" w:rsidRDefault="00D012F3"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012F3" w:rsidP="00003291">
            <w:pPr>
              <w:spacing w:before="0" w:after="0"/>
              <w:jc w:val="right"/>
              <w:rPr>
                <w:sz w:val="20"/>
                <w:szCs w:val="20"/>
                <w:lang w:val="fr-BE"/>
              </w:rPr>
            </w:pPr>
            <w:r w:rsidRPr="002B6309">
              <w:rPr>
                <w:noProof/>
                <w:sz w:val="20"/>
                <w:szCs w:val="20"/>
                <w:lang w:val="fr-BE"/>
              </w:rPr>
              <w:t>163</w:t>
            </w:r>
          </w:p>
        </w:tc>
        <w:tc>
          <w:tcPr>
            <w:tcW w:w="0" w:type="auto"/>
            <w:shd w:val="clear" w:color="auto" w:fill="auto"/>
          </w:tcPr>
          <w:p w:rsidR="00115C60" w:rsidRPr="002B6309" w:rsidRDefault="00115C60" w:rsidP="00003291">
            <w:pPr>
              <w:spacing w:before="0" w:after="0"/>
              <w:jc w:val="right"/>
              <w:rPr>
                <w:sz w:val="20"/>
                <w:szCs w:val="20"/>
                <w:lang w:val="fr-BE"/>
              </w:rPr>
            </w:pPr>
          </w:p>
        </w:tc>
      </w:tr>
    </w:tbl>
    <w:p w:rsidR="00115C60" w:rsidRDefault="00115C60" w:rsidP="00115C60">
      <w:pPr>
        <w:spacing w:before="0" w:after="0"/>
        <w:rPr>
          <w:lang w:val="fr-BE"/>
        </w:rPr>
      </w:pPr>
    </w:p>
    <w:p w:rsidR="00115C60" w:rsidRDefault="00D012F3" w:rsidP="00115C60">
      <w:pPr>
        <w:spacing w:before="0" w:after="0"/>
        <w:rPr>
          <w:lang w:val="fr-BE"/>
        </w:rPr>
      </w:pPr>
      <w:r>
        <w:rPr>
          <w:noProof/>
          <w:lang w:val="fr-BE"/>
        </w:rPr>
        <w:t>4.3 Sprejem iz Turčije (2016/1754)</w:t>
      </w:r>
    </w:p>
    <w:p w:rsidR="00115C60" w:rsidRDefault="00115C60" w:rsidP="00115C60">
      <w:pPr>
        <w:spacing w:before="0" w:after="0"/>
        <w:rPr>
          <w:lang w:val="fr-BE"/>
        </w:rPr>
      </w:pPr>
    </w:p>
    <w:p w:rsidR="00115C60" w:rsidRDefault="00D012F3" w:rsidP="00115C60">
      <w:pPr>
        <w:spacing w:before="0" w:after="0"/>
        <w:rPr>
          <w:lang w:val="fr-BE"/>
        </w:rPr>
      </w:pPr>
      <w:r>
        <w:rPr>
          <w:noProof/>
          <w:lang w:val="fr-BE"/>
        </w:rPr>
        <w:t xml:space="preserve">Število </w:t>
      </w:r>
      <w:r>
        <w:rPr>
          <w:noProof/>
          <w:lang w:val="fr-BE"/>
        </w:rPr>
        <w:t>sprejetih prosilcev iz Turčije na obdobje zaveze,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070F95" w:rsidTr="00003291">
        <w:tc>
          <w:tcPr>
            <w:tcW w:w="0" w:type="auto"/>
            <w:shd w:val="clear" w:color="auto" w:fill="auto"/>
          </w:tcPr>
          <w:p w:rsidR="00115C60" w:rsidRPr="00F65BC9" w:rsidRDefault="00D012F3"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D012F3"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D012F3"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D012F3" w:rsidP="00115C60">
      <w:pPr>
        <w:pStyle w:val="Naslov1"/>
        <w:numPr>
          <w:ilvl w:val="0"/>
          <w:numId w:val="0"/>
        </w:numPr>
        <w:spacing w:before="0" w:after="0"/>
        <w:rPr>
          <w:lang w:val="fr-BE"/>
        </w:rPr>
      </w:pPr>
      <w:bookmarkStart w:id="4" w:name="_Toc256000005"/>
      <w:r>
        <w:rPr>
          <w:noProof/>
          <w:lang w:val="fr-BE"/>
        </w:rPr>
        <w:lastRenderedPageBreak/>
        <w:t>ODDELEK 5: SKUPNI KAZALNIKI IN KAZALNIKI ZA POSAMEZNE PROGRAME</w:t>
      </w:r>
      <w:bookmarkEnd w:id="4"/>
    </w:p>
    <w:p w:rsidR="00115C60" w:rsidRDefault="00115C60" w:rsidP="00115C60">
      <w:pPr>
        <w:spacing w:before="0" w:after="0"/>
        <w:rPr>
          <w:lang w:val="fr-BE"/>
        </w:rPr>
      </w:pPr>
    </w:p>
    <w:p w:rsidR="00115C60" w:rsidRDefault="00D012F3" w:rsidP="00115C60">
      <w:pPr>
        <w:spacing w:before="0" w:after="0"/>
        <w:rPr>
          <w:lang w:val="fr-BE"/>
        </w:rPr>
      </w:pPr>
      <w:r>
        <w:rPr>
          <w:noProof/>
          <w:lang w:val="fr-BE"/>
        </w:rPr>
        <w:t xml:space="preserve">Razložite morebitne </w:t>
      </w:r>
      <w:r>
        <w:rPr>
          <w:noProof/>
          <w:lang w:val="fr-BE"/>
        </w:rPr>
        <w:t>dejavnike, ki bi lahko znatno vplivali na doseganje katerih koli ciljev, zlasti pa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70F95" w:rsidTr="00003291">
        <w:tc>
          <w:tcPr>
            <w:tcW w:w="0" w:type="auto"/>
            <w:shd w:val="clear" w:color="auto" w:fill="auto"/>
          </w:tcPr>
          <w:p w:rsidR="00070F95" w:rsidRDefault="00D012F3">
            <w:pPr>
              <w:spacing w:before="0" w:after="240"/>
              <w:jc w:val="left"/>
            </w:pPr>
            <w:r>
              <w:t xml:space="preserve">Alokacija sredstev v obdobju poročanja je bila končnim upravičencem načrtovana v skladu s potrjenim Akcijskim načrtom preko neposredne dodelitve in </w:t>
            </w:r>
            <w:r>
              <w:t>javnih razpisov. V spletnem sistemu MIGRA II končni upravičenci poročajo o natančno doseženih kazalnikih v oddanih zahtevkih za povračilo.</w:t>
            </w:r>
          </w:p>
          <w:p w:rsidR="00070F95" w:rsidRDefault="00D012F3">
            <w:pPr>
              <w:spacing w:before="240" w:after="240"/>
              <w:jc w:val="left"/>
            </w:pPr>
            <w:r>
              <w:t>V letu obdobju poročanja ni bilo večjih nepredvidljivih dogodkov, ki bi imeli ne/posreden vpliv na doseganje načrtova</w:t>
            </w:r>
            <w:r>
              <w:t>nih rezultatov in na doseganje katerih koli ciljev, z izjemo prilagoditev nekaterih aktivnosti zaradi ukrepov ob razglašeni pandemiji covid-19 v Sloveniji. Projekti so se izvajali, prilagoditve so se uvedle le pri izvedbi vračanj, saj niso bile možne upora</w:t>
            </w:r>
            <w:r>
              <w:t>be letalskih prevozov.</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137"/>
        <w:gridCol w:w="628"/>
        <w:gridCol w:w="852"/>
        <w:gridCol w:w="696"/>
        <w:gridCol w:w="2375"/>
        <w:gridCol w:w="354"/>
        <w:gridCol w:w="354"/>
        <w:gridCol w:w="354"/>
        <w:gridCol w:w="464"/>
        <w:gridCol w:w="464"/>
        <w:gridCol w:w="464"/>
        <w:gridCol w:w="389"/>
        <w:gridCol w:w="354"/>
        <w:gridCol w:w="354"/>
        <w:gridCol w:w="354"/>
        <w:gridCol w:w="941"/>
      </w:tblGrid>
      <w:tr w:rsidR="00070F95" w:rsidTr="00003291">
        <w:trPr>
          <w:cantSplit/>
          <w:tblHeader/>
        </w:trPr>
        <w:tc>
          <w:tcPr>
            <w:tcW w:w="0" w:type="auto"/>
            <w:gridSpan w:val="2"/>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012F3"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070F95" w:rsidTr="00003291">
        <w:trPr>
          <w:cantSplit/>
          <w:tblHeader/>
        </w:trPr>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012F3"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Kumulativno skupaj</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prejele pomoč iz projektov na področju sistemov za sprejem in azilnih sistemov, podprtih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3.000,00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5.693,00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2.923,00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7.184,00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175,00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15.975,00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3.340,00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583,00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4.712,00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8.635,00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 xml:space="preserve">Število oseb iz ciljnih skupin, ki </w:t>
            </w:r>
            <w:r w:rsidRPr="00F07BE5">
              <w:rPr>
                <w:noProof/>
                <w:sz w:val="12"/>
                <w:szCs w:val="12"/>
                <w:lang w:val="fr-BE"/>
              </w:rPr>
              <w:t>prejemajo pravno pomoč in zastopanje</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28,00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321,00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2.155,00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2.651,00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5.155,00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576,00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359,00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1.222,00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19,00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2.176,00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Zmogljivost (tj. število mest) nove sprejemne nastanitvene infrastrukture, urejene v skladu z minimalnimi zahtevami za sprejemne pogoje, določenimi v pravnem redu EU, in obstoječe sprejemne </w:t>
            </w:r>
            <w:r w:rsidRPr="00F07BE5">
              <w:rPr>
                <w:noProof/>
                <w:sz w:val="12"/>
                <w:szCs w:val="12"/>
                <w:lang w:val="fr-BE"/>
              </w:rPr>
              <w:t>infrastrukture, izboljšane v skladu z istimi zahtevami na podlagi projektov, podprtih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420,00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406,00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406,00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Delež glede na celotno sprejemno nastanitveno zmogljivost</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101,00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oseb, usposobljenih na področju vprašanj, povezanih z azilom, ki prejemajo pomoč iz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35,00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77,00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 xml:space="preserve">To število kot </w:t>
            </w:r>
            <w:r w:rsidRPr="00F07BE5">
              <w:rPr>
                <w:noProof/>
                <w:sz w:val="12"/>
                <w:szCs w:val="12"/>
                <w:lang w:val="fr-BE"/>
              </w:rPr>
              <w:t>delež celotnega števila osebja, usposobljenega na področju teh vprašanj</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25,00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0,70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10,70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informativnih produktov o državi izvora in misij za ugotavljanje dejstev, </w:t>
            </w:r>
            <w:r w:rsidRPr="00F07BE5">
              <w:rPr>
                <w:noProof/>
                <w:sz w:val="12"/>
                <w:szCs w:val="12"/>
                <w:lang w:val="fr-BE"/>
              </w:rPr>
              <w:t>izvedenih s pomočjo iz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podprtih v okviru tega sklada, namenjenih razvoju, spremljanju in ocenjevanju azilnih politik v </w:t>
            </w:r>
            <w:r w:rsidRPr="00F07BE5">
              <w:rPr>
                <w:noProof/>
                <w:sz w:val="12"/>
                <w:szCs w:val="12"/>
                <w:lang w:val="fr-BE"/>
              </w:rPr>
              <w:t>državah članicah</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60,00</w:t>
            </w:r>
          </w:p>
        </w:tc>
        <w:tc>
          <w:tcPr>
            <w:tcW w:w="0" w:type="auto"/>
          </w:tcPr>
          <w:p w:rsidR="00115C60" w:rsidRPr="003F352C" w:rsidRDefault="00D012F3" w:rsidP="00003291">
            <w:pPr>
              <w:spacing w:before="0" w:after="0"/>
              <w:rPr>
                <w:sz w:val="10"/>
                <w:szCs w:val="10"/>
                <w:lang w:val="fr-BE"/>
              </w:rPr>
            </w:pPr>
            <w:r>
              <w:rPr>
                <w:noProof/>
                <w:sz w:val="10"/>
                <w:szCs w:val="10"/>
                <w:lang w:val="fr-BE"/>
              </w:rPr>
              <w:t xml:space="preserve">Organ, odgovoren za premestitev osebAuthority in charge of </w:t>
            </w:r>
            <w:r>
              <w:rPr>
                <w:noProof/>
                <w:sz w:val="10"/>
                <w:szCs w:val="10"/>
                <w:lang w:val="fr-BE"/>
              </w:rPr>
              <w:t>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181"/>
        <w:gridCol w:w="666"/>
        <w:gridCol w:w="911"/>
        <w:gridCol w:w="739"/>
        <w:gridCol w:w="1185"/>
        <w:gridCol w:w="354"/>
        <w:gridCol w:w="354"/>
        <w:gridCol w:w="464"/>
        <w:gridCol w:w="354"/>
        <w:gridCol w:w="464"/>
        <w:gridCol w:w="389"/>
        <w:gridCol w:w="389"/>
        <w:gridCol w:w="389"/>
        <w:gridCol w:w="354"/>
        <w:gridCol w:w="354"/>
        <w:gridCol w:w="987"/>
      </w:tblGrid>
      <w:tr w:rsidR="00070F95" w:rsidTr="00003291">
        <w:trPr>
          <w:cantSplit/>
          <w:tblHeader/>
        </w:trPr>
        <w:tc>
          <w:tcPr>
            <w:tcW w:w="0" w:type="auto"/>
            <w:gridSpan w:val="2"/>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012F3"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070F95" w:rsidTr="00003291">
        <w:trPr>
          <w:cantSplit/>
          <w:tblHeader/>
        </w:trPr>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012F3"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Kumulativno skupaj</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 ukrepih pred odhodom, podprtih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oseb iz ciljnih </w:t>
            </w:r>
            <w:r w:rsidRPr="00F07BE5">
              <w:rPr>
                <w:noProof/>
                <w:sz w:val="12"/>
                <w:szCs w:val="12"/>
                <w:lang w:val="fr-BE"/>
              </w:rPr>
              <w:t>skupin, ki so prejele pomoč iz tega sklada prek ukrepov za vključevanje v okviru nacionalnih, lokalnih in regionalnih strategij</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2.201,00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2.043,00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816,00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116,00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807,00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5.983,00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vzpostavljenih lokalnih, regionalnih in nacionalnih političnih okvirov / ukrepov / orodij za vključevanje državljanov tretjih držav, pri katerih sodelujejo civilna družba, skupnosti migrantov in drugi zadevni deležniki, kot posledica ukrepov, podpr</w:t>
            </w:r>
            <w:r w:rsidRPr="00F07BE5">
              <w:rPr>
                <w:noProof/>
                <w:sz w:val="12"/>
                <w:szCs w:val="12"/>
                <w:lang w:val="fr-BE"/>
              </w:rPr>
              <w:t>tih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14,00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18,00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61,00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88,00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vključevanja v državah članicah</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262"/>
        <w:gridCol w:w="808"/>
        <w:gridCol w:w="1130"/>
        <w:gridCol w:w="900"/>
        <w:gridCol w:w="1594"/>
        <w:gridCol w:w="354"/>
        <w:gridCol w:w="354"/>
        <w:gridCol w:w="389"/>
        <w:gridCol w:w="389"/>
        <w:gridCol w:w="389"/>
        <w:gridCol w:w="354"/>
        <w:gridCol w:w="354"/>
        <w:gridCol w:w="389"/>
        <w:gridCol w:w="354"/>
        <w:gridCol w:w="354"/>
        <w:gridCol w:w="1160"/>
      </w:tblGrid>
      <w:tr w:rsidR="00070F95" w:rsidTr="00003291">
        <w:trPr>
          <w:cantSplit/>
          <w:tblHeader/>
        </w:trPr>
        <w:tc>
          <w:tcPr>
            <w:tcW w:w="0" w:type="auto"/>
            <w:gridSpan w:val="2"/>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012F3"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070F95" w:rsidTr="00003291">
        <w:trPr>
          <w:cantSplit/>
          <w:tblHeader/>
        </w:trPr>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012F3"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Kumulativno skupaj</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49,00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53,00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povratnikov, ki so prejeli pomoč za ponovno vključevanje pred</w:t>
            </w:r>
            <w:r w:rsidRPr="00F07BE5">
              <w:rPr>
                <w:noProof/>
                <w:sz w:val="12"/>
                <w:szCs w:val="12"/>
                <w:lang w:val="fr-BE"/>
              </w:rPr>
              <w:t xml:space="preserve"> ali po vrnitvi, sofinancirano iz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82,00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38,00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130,00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povratnikov, katerih vrnitev se je sofinancirala iz sklada – osebe, ki so se vrnile prostovoljno</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62,00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16,00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103,00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povratnikov, katerih vrnitev se je sofinancirala iz sklada – osebe, ki so bile odstranjene</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290,00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172,00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771,00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232,00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1.465,00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14,00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31,00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vračanja v državah članicah.</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5981"/>
        <w:gridCol w:w="740"/>
        <w:gridCol w:w="1025"/>
        <w:gridCol w:w="823"/>
        <w:gridCol w:w="2313"/>
        <w:gridCol w:w="354"/>
        <w:gridCol w:w="354"/>
        <w:gridCol w:w="354"/>
        <w:gridCol w:w="389"/>
        <w:gridCol w:w="354"/>
        <w:gridCol w:w="354"/>
        <w:gridCol w:w="354"/>
        <w:gridCol w:w="354"/>
        <w:gridCol w:w="354"/>
        <w:gridCol w:w="354"/>
        <w:gridCol w:w="1077"/>
      </w:tblGrid>
      <w:tr w:rsidR="00070F95" w:rsidTr="00003291">
        <w:trPr>
          <w:cantSplit/>
          <w:tblHeader/>
        </w:trPr>
        <w:tc>
          <w:tcPr>
            <w:tcW w:w="0" w:type="auto"/>
            <w:gridSpan w:val="2"/>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012F3"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070F95" w:rsidTr="00003291">
        <w:trPr>
          <w:cantSplit/>
          <w:tblHeader/>
        </w:trPr>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012F3"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012F3"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012F3" w:rsidP="00003291">
            <w:pPr>
              <w:spacing w:before="0" w:after="0"/>
              <w:rPr>
                <w:b/>
                <w:sz w:val="12"/>
                <w:szCs w:val="12"/>
                <w:lang w:val="fr-BE"/>
              </w:rPr>
            </w:pPr>
            <w:r w:rsidRPr="00F07BE5">
              <w:rPr>
                <w:b/>
                <w:noProof/>
                <w:sz w:val="12"/>
                <w:szCs w:val="12"/>
                <w:lang w:val="fr-BE"/>
              </w:rPr>
              <w:t>Kumulativno skupaj</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253,00</w:t>
            </w:r>
          </w:p>
        </w:tc>
        <w:tc>
          <w:tcPr>
            <w:tcW w:w="0" w:type="auto"/>
          </w:tcPr>
          <w:p w:rsidR="00115C60" w:rsidRPr="003F352C" w:rsidRDefault="00D012F3" w:rsidP="00003291">
            <w:pPr>
              <w:spacing w:before="0" w:after="0"/>
              <w:rPr>
                <w:sz w:val="10"/>
                <w:szCs w:val="10"/>
                <w:lang w:val="fr-BE"/>
              </w:rPr>
            </w:pPr>
            <w:r>
              <w:rPr>
                <w:noProof/>
                <w:sz w:val="10"/>
                <w:szCs w:val="10"/>
                <w:lang w:val="fr-BE"/>
              </w:rPr>
              <w:t>Organ, odgovoren za premestitevAuthority in charge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217,00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230,00</w:t>
            </w:r>
          </w:p>
        </w:tc>
      </w:tr>
      <w:tr w:rsidR="00070F95" w:rsidTr="00003291">
        <w:trPr>
          <w:cantSplit/>
        </w:trPr>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projektov sodelovanja z drugimi državami članicami za večjo solidarnost in delitev odgovornosti med državami članicami, </w:t>
            </w:r>
            <w:r w:rsidRPr="00F07BE5">
              <w:rPr>
                <w:noProof/>
                <w:sz w:val="12"/>
                <w:szCs w:val="12"/>
                <w:lang w:val="fr-BE"/>
              </w:rPr>
              <w:t>podprtih iz tega sklada</w:t>
            </w:r>
          </w:p>
        </w:tc>
        <w:tc>
          <w:tcPr>
            <w:tcW w:w="0" w:type="auto"/>
            <w:shd w:val="clear" w:color="auto" w:fill="auto"/>
          </w:tcPr>
          <w:p w:rsidR="00115C60" w:rsidRPr="00F07BE5" w:rsidRDefault="00D012F3"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012F3"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012F3"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D012F3" w:rsidP="00115C60">
      <w:pPr>
        <w:pStyle w:val="Naslov1"/>
        <w:numPr>
          <w:ilvl w:val="0"/>
          <w:numId w:val="0"/>
        </w:numPr>
        <w:spacing w:before="0" w:after="0"/>
        <w:rPr>
          <w:lang w:val="fr-BE"/>
        </w:rPr>
      </w:pPr>
      <w:bookmarkStart w:id="5" w:name="_Toc256000006"/>
      <w:r>
        <w:rPr>
          <w:noProof/>
          <w:lang w:val="fr-BE"/>
        </w:rPr>
        <w:lastRenderedPageBreak/>
        <w:t xml:space="preserve">ODDELEK 6: OKVIR ZA PRIPRAVO IN IZVAJANJE PROGRAMA S STRANI DRŽAVE </w:t>
      </w:r>
      <w:r>
        <w:rPr>
          <w:noProof/>
          <w:lang w:val="fr-BE"/>
        </w:rPr>
        <w:t>ČLANICE</w:t>
      </w:r>
      <w:bookmarkEnd w:id="5"/>
    </w:p>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D012F3" w:rsidP="00115C60">
      <w:pPr>
        <w:pStyle w:val="Text1"/>
        <w:spacing w:before="0" w:after="0"/>
        <w:ind w:left="0"/>
        <w:rPr>
          <w:lang w:val="fr-BE"/>
        </w:rPr>
      </w:pPr>
      <w:r>
        <w:rPr>
          <w:noProof/>
          <w:lang w:val="fr-BE"/>
        </w:rPr>
        <w:t>Navedite glavne odločitve odbora za spremljanje in vprašanja, ki jih ta še obravnava.</w:t>
      </w:r>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070F95" w:rsidTr="00003291">
        <w:tc>
          <w:tcPr>
            <w:tcW w:w="15420" w:type="dxa"/>
            <w:shd w:val="clear" w:color="auto" w:fill="auto"/>
          </w:tcPr>
          <w:p w:rsidR="00070F95" w:rsidRDefault="00D012F3">
            <w:pPr>
              <w:spacing w:before="0" w:after="240"/>
              <w:jc w:val="left"/>
            </w:pPr>
            <w:r>
              <w:t xml:space="preserve">Nadzorni odbor za spremljanje skladov s področja notranje varnosti in migracij (NO) sestavljajo </w:t>
            </w:r>
            <w:r>
              <w:t>predstavniki Ministrstva za notranje zadeve, Ministrstva za javno upravo, Ministrstva za notranje zadeve - Policija, Ministrstva za zunanje zadeve, Ministrstva za izobraževanje, znanost in šport, Ministrstva za kulturo, Ministrstva za delo, družino, social</w:t>
            </w:r>
            <w:r>
              <w:t>ne zadeve in enake možnosti, Službe Vlade Republike Slovenije za razvoj in evropsko kohezijsko politiko, Ministrstva za obrambo, Ministrstva za zdravje, Urada Vlade RS za oskrbo in integracijo migrantov. Predstavniki Ministrstva za finance (Sektor za uprav</w:t>
            </w:r>
            <w:r>
              <w:t>ljanje s sredstvi EU/PO) so v vlogi pooblaščenega organa. V vlogi opazovalcev pa predstavniki Ministrstva za finance (Urad RS za nadzor proračuna), Službe za notranjo revizijo Ministrstva za notranje zadeve in predstavnik Evropske komisije. Za zagotavljanj</w:t>
            </w:r>
            <w:r>
              <w:t>e izvajanja t.i. načela partnerstva je v NO imenovan tudi predstavnik nevladnih organizacij.</w:t>
            </w:r>
          </w:p>
          <w:p w:rsidR="00070F95" w:rsidRDefault="00D012F3">
            <w:pPr>
              <w:spacing w:before="240" w:after="240"/>
              <w:jc w:val="left"/>
            </w:pPr>
            <w:r>
              <w:t>Ključne naloge NO so opredeljene s Poslovnikom (http://www.mnz.gov.si/si/o_ministrstvu/crpanje_evropskih_sredstev/sklad_za_notranjo_varnost_in_sklad_za_azil_migrac</w:t>
            </w:r>
            <w:r>
              <w:t>ije_in_vkljucevanje_2014_2020/prirocniki_pravilniki_in_navodila/).</w:t>
            </w:r>
          </w:p>
          <w:p w:rsidR="00070F95" w:rsidRDefault="00D012F3">
            <w:pPr>
              <w:spacing w:before="240" w:after="240"/>
              <w:jc w:val="left"/>
            </w:pPr>
            <w:r>
              <w:t>NO je v 2021 zaradi COVID-19 razmer zasedal le v okviru ene korespondenčne seje (sklicana je bila 4. 6. 2021 in zaključena 15. 6. 2021). Obravnavano je bilo: </w:t>
            </w:r>
          </w:p>
          <w:p w:rsidR="00070F95" w:rsidRDefault="00D012F3">
            <w:pPr>
              <w:numPr>
                <w:ilvl w:val="0"/>
                <w:numId w:val="37"/>
              </w:numPr>
              <w:spacing w:before="240" w:after="240"/>
              <w:ind w:hanging="210"/>
              <w:jc w:val="left"/>
            </w:pPr>
            <w:r>
              <w:t>Akcijski načrt za črpanje sred</w:t>
            </w:r>
            <w:r>
              <w:t>stev Sklada za azil, migracije in vključevanje ter Sklada za notranjo varnost (Različica 1.7).</w:t>
            </w:r>
          </w:p>
          <w:p w:rsidR="00070F95" w:rsidRDefault="00D012F3">
            <w:pPr>
              <w:spacing w:before="240" w:after="240"/>
              <w:jc w:val="left"/>
            </w:pPr>
            <w:r>
              <w:t>Programa AMIF in ISF pripravlja Služba za evropska sredstva MNZ, ki načelo partnerstva udejanja preko sodelovanja z državnimi resorji, službami in predstavniki c</w:t>
            </w:r>
            <w:r>
              <w:t>ivilne družbe, na način, da se obravnavajo vsi dani predlogi glede izboljšav, izvajanja in spremljanja programov preko MDS in NO. Dobra praksa sodelovanja predstavnika civilne družbe na sejah NO se bo izvajala tudi v prihodnje. </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 xml:space="preserve">6.2 Skupni okvir za </w:t>
      </w:r>
      <w:r>
        <w:rPr>
          <w:noProof/>
          <w:lang w:val="fr-BE"/>
        </w:rPr>
        <w:t>spremljanje in vrednotenje (člen 14(2)(f) Uredbe (EU) št. 514/2014)</w:t>
      </w:r>
      <w:bookmarkEnd w:id="7"/>
    </w:p>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bookmarkStart w:id="8" w:name="_Toc256000009"/>
      <w:r>
        <w:rPr>
          <w:noProof/>
          <w:lang w:val="fr-BE"/>
        </w:rPr>
        <w:t>Ukrepi spremljanja in vrednotenja, ki jih sprejme pristojni organ, vključno z ureditvijo zbiranja podatkov, dejavnostmi vrednotenja, ugotovljenimi težavami ter ukrepi za njihovo odpravo.</w:t>
      </w:r>
      <w:bookmarkEnd w:id="8"/>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070F95" w:rsidTr="00003291">
        <w:tc>
          <w:tcPr>
            <w:tcW w:w="15420" w:type="dxa"/>
            <w:shd w:val="clear" w:color="auto" w:fill="auto"/>
          </w:tcPr>
          <w:p w:rsidR="00070F95" w:rsidRDefault="00D012F3">
            <w:pPr>
              <w:spacing w:before="0" w:after="240"/>
              <w:jc w:val="left"/>
            </w:pPr>
            <w:r>
              <w:t>Za spremljanje in finančno upravljanje se uporablja aplikacijo - elektronski sistem za upravljanje skladov AMIF in ISF - MIGRA II. Spremljanje programov AMIF in ISF teče v okviru MIGRA II na podlagi podatkov zahtevkov za povračilo (ZzP) in izvedbe kontrol</w:t>
            </w:r>
            <w:r>
              <w:t xml:space="preserve"> na kraju samem. OO v okviru upravnega nadzora pregleda finančna in vsebinska poročila končnih upravičencev o okviru posredovanih ZzP-jev v okviru MIGRA II in v skladu s Priročnikom za izvajanje AMIF in ISF ter drugimi programskimi dokumenti OO. Izvedba 10</w:t>
            </w:r>
            <w:r>
              <w:t>0 % administrativne in finančne kontrole popolnosti, pravilnosti in upravičenosti ZzP, ki nastanejo v okviru projektov neposredne dodelitve, zajema:</w:t>
            </w:r>
          </w:p>
          <w:p w:rsidR="00070F95" w:rsidRDefault="00D012F3">
            <w:pPr>
              <w:numPr>
                <w:ilvl w:val="0"/>
                <w:numId w:val="38"/>
              </w:numPr>
              <w:spacing w:before="240" w:after="0"/>
              <w:ind w:hanging="210"/>
              <w:jc w:val="left"/>
            </w:pPr>
            <w:r>
              <w:t>preverjanje formalne pravilnosti in točnost finančnih izjav, </w:t>
            </w:r>
          </w:p>
          <w:p w:rsidR="00070F95" w:rsidRDefault="00D012F3">
            <w:pPr>
              <w:numPr>
                <w:ilvl w:val="0"/>
                <w:numId w:val="38"/>
              </w:numPr>
              <w:spacing w:before="0" w:after="0"/>
              <w:ind w:hanging="210"/>
              <w:jc w:val="left"/>
            </w:pPr>
            <w:r>
              <w:t>ali projekt dosega zastavljene cilje oz. vide</w:t>
            </w:r>
            <w:r>
              <w:t>n napredek,</w:t>
            </w:r>
          </w:p>
          <w:p w:rsidR="00070F95" w:rsidRDefault="00D012F3">
            <w:pPr>
              <w:numPr>
                <w:ilvl w:val="0"/>
                <w:numId w:val="38"/>
              </w:numPr>
              <w:spacing w:before="0" w:after="240"/>
              <w:ind w:hanging="210"/>
              <w:jc w:val="left"/>
            </w:pPr>
            <w:r>
              <w:t xml:space="preserve">analitični pregled za oceno relevantnosti prijavljenih izdatkov v finančnih izjavah in njihove skladnosti s pogodbo o financiranju programa/projekta, odločitvi o podpori oz. sklepu o financiranju tehnične pomoči, pravili upravičenosti ter z </w:t>
            </w:r>
            <w:r>
              <w:t>drugimi veljavnimi pravili EU in nacionalnimi pravili.</w:t>
            </w:r>
          </w:p>
          <w:p w:rsidR="00070F95" w:rsidRDefault="00D012F3">
            <w:pPr>
              <w:spacing w:before="240" w:after="240"/>
              <w:jc w:val="left"/>
            </w:pPr>
            <w:r>
              <w:t>Pri ZzP, ki nastanejo v okviru projektov izbranih preko javnih razpisov, izvede prvo kontrolo DAC, OO pa izvede pregled teh ZzP na vzorcu.</w:t>
            </w:r>
          </w:p>
          <w:p w:rsidR="00070F95" w:rsidRDefault="00D012F3">
            <w:pPr>
              <w:spacing w:before="240" w:after="240"/>
              <w:jc w:val="left"/>
            </w:pPr>
            <w:r>
              <w:t>OO izvaja dve vrsti kontrol na kraju samem (lahko so tudi nena</w:t>
            </w:r>
            <w:r>
              <w:t>povedane), in sicer:</w:t>
            </w:r>
          </w:p>
          <w:p w:rsidR="00070F95" w:rsidRDefault="00D012F3">
            <w:pPr>
              <w:numPr>
                <w:ilvl w:val="0"/>
                <w:numId w:val="39"/>
              </w:numPr>
              <w:spacing w:before="240" w:after="0"/>
              <w:ind w:hanging="210"/>
              <w:jc w:val="left"/>
            </w:pPr>
            <w:r>
              <w:t>finančne kontrole na kraju samem ter</w:t>
            </w:r>
          </w:p>
          <w:p w:rsidR="00070F95" w:rsidRDefault="00D012F3">
            <w:pPr>
              <w:numPr>
                <w:ilvl w:val="0"/>
                <w:numId w:val="39"/>
              </w:numPr>
              <w:spacing w:before="0" w:after="240"/>
              <w:ind w:hanging="210"/>
              <w:jc w:val="left"/>
            </w:pPr>
            <w:r>
              <w:t>operativne kontrole na kraju samem.</w:t>
            </w:r>
          </w:p>
          <w:p w:rsidR="00070F95" w:rsidRDefault="00D012F3">
            <w:pPr>
              <w:spacing w:before="240" w:after="240"/>
              <w:jc w:val="left"/>
            </w:pPr>
            <w:r>
              <w:t>Kontrole na kraju samem se izvaja na podlagi načrta, ki ga OO pripravi na podlagi analize tveganja v skladu z metodologijo in naključnega izbora. Slednji dopolnju</w:t>
            </w:r>
            <w:r>
              <w:t>je analizo tveganja na način, da načrt upošteva tudi ustrezno razmerje vrst in velikosti projektov, transakcij, upravičencev in izvajalskih teles, ki se pojavljajo pri izvajanju skladov.</w:t>
            </w:r>
          </w:p>
          <w:p w:rsidR="00070F95" w:rsidRDefault="00D012F3">
            <w:pPr>
              <w:spacing w:before="240" w:after="240"/>
              <w:jc w:val="left"/>
            </w:pPr>
            <w:r>
              <w:t>OO je v letu 2021 v okviru spremljanja izvajanja projektov AMIF in IS</w:t>
            </w:r>
            <w:r>
              <w:t>F pri kontroli na kraju samem preverjal, ali se projekti izvajajo v skladu z odločitvijo o podpori, napredek projektov, zanesljivost kazalnikov in morebitne težave pri izvajanju. Poleg tega se je preverjalo:</w:t>
            </w:r>
          </w:p>
          <w:p w:rsidR="00070F95" w:rsidRDefault="00D012F3">
            <w:pPr>
              <w:numPr>
                <w:ilvl w:val="0"/>
                <w:numId w:val="40"/>
              </w:numPr>
              <w:spacing w:before="240" w:after="0"/>
              <w:ind w:hanging="210"/>
              <w:jc w:val="left"/>
            </w:pPr>
            <w:r>
              <w:t>ali so končni upravičenci razumeli pravila uprav</w:t>
            </w:r>
            <w:r>
              <w:t>ičenosti,</w:t>
            </w:r>
          </w:p>
          <w:p w:rsidR="00070F95" w:rsidRDefault="00D012F3">
            <w:pPr>
              <w:numPr>
                <w:ilvl w:val="0"/>
                <w:numId w:val="40"/>
              </w:numPr>
              <w:spacing w:before="0" w:after="0"/>
              <w:ind w:hanging="210"/>
              <w:jc w:val="left"/>
            </w:pPr>
            <w:r>
              <w:t>ali imajo vzpostavljeno ustrezno metodologijo, s katero zagotavljajo ustrezno ciljno skupino,</w:t>
            </w:r>
          </w:p>
          <w:p w:rsidR="00070F95" w:rsidRDefault="00D012F3">
            <w:pPr>
              <w:numPr>
                <w:ilvl w:val="0"/>
                <w:numId w:val="40"/>
              </w:numPr>
              <w:spacing w:before="0" w:after="0"/>
              <w:ind w:hanging="210"/>
              <w:jc w:val="left"/>
            </w:pPr>
            <w:r>
              <w:t>ali beležijo ustrezne kazalnike v pravem času,</w:t>
            </w:r>
          </w:p>
          <w:p w:rsidR="00070F95" w:rsidRDefault="00D012F3">
            <w:pPr>
              <w:numPr>
                <w:ilvl w:val="0"/>
                <w:numId w:val="40"/>
              </w:numPr>
              <w:spacing w:before="0" w:after="0"/>
              <w:ind w:hanging="210"/>
              <w:jc w:val="left"/>
            </w:pPr>
            <w:r>
              <w:t>ali izvajajo določbe vezane na informiranje in obveščanje ter</w:t>
            </w:r>
          </w:p>
          <w:p w:rsidR="00070F95" w:rsidRDefault="00D012F3">
            <w:pPr>
              <w:numPr>
                <w:ilvl w:val="0"/>
                <w:numId w:val="40"/>
              </w:numPr>
              <w:spacing w:before="0" w:after="240"/>
              <w:ind w:hanging="210"/>
              <w:jc w:val="left"/>
            </w:pPr>
            <w:r>
              <w:t xml:space="preserve">ali dejansko uporabljajo blago, ki je bilo </w:t>
            </w:r>
            <w:r>
              <w:t>nabavljeno glede na izkazane izdatke.</w:t>
            </w:r>
          </w:p>
          <w:p w:rsidR="00070F95" w:rsidRDefault="00D012F3">
            <w:pPr>
              <w:spacing w:before="240" w:after="240"/>
              <w:jc w:val="left"/>
            </w:pPr>
            <w:r>
              <w:t>OO o vsebinskih in finančnih elementih programov AMIF in ISF redno poroča MDS in NO, v obeh telesih so v skladu z načelom partnerstva zastopana vsa ministrstva/resorji, ki pri črpanju sredstev iz AMIF in ISF sodelujejo</w:t>
            </w:r>
            <w:r>
              <w:t xml:space="preserve"> kot pristojni organi MCS (»Management and Control System«) in NVO preko izbranega predstavnika. OO vse zaznane pomanjkljivosti oz. novosti aplicira v strateških dokumentih, kateri so navedeni pod rubriko 6.1. in so dosegljivi preko spletne strani: http://</w:t>
            </w:r>
            <w:r>
              <w:t>www.mnz.gov.si/si/o_ministrstvu/crpanje_evropskih_sredstev/sklad_za_notranjo_varnost_in_sklad_za_azil_migracije_in_vkljucevanje_2014_2020/prirocniki_pravilniki_in_navodila/</w:t>
            </w:r>
          </w:p>
          <w:p w:rsidR="00070F95" w:rsidRDefault="00D012F3">
            <w:pPr>
              <w:spacing w:before="240" w:after="240"/>
              <w:jc w:val="left"/>
            </w:pPr>
            <w:r>
              <w:t>OO sodeluje tudi v postopkih izvajanja revizij s strani RO. Naloga OO, po zaključen</w:t>
            </w:r>
            <w:r>
              <w:t>i reviziji je, da izvede priporočila RO.</w:t>
            </w:r>
          </w:p>
          <w:p w:rsidR="00070F95" w:rsidRDefault="00D012F3">
            <w:pPr>
              <w:spacing w:before="240" w:after="240"/>
              <w:jc w:val="left"/>
            </w:pPr>
            <w:r>
              <w:lastRenderedPageBreak/>
              <w:t>Prav tako OO aktivno deluje v okviru monitoringov s strani EK ter predlagane usmeritve aplicira na sistemski okvir izvajanja skladov AMIF in ISF.</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 xml:space="preserve">6.3 Partnersko sodelovanje pri izvajanju, spremljanju in </w:t>
      </w:r>
      <w:r>
        <w:rPr>
          <w:noProof/>
          <w:lang w:val="fr-BE"/>
        </w:rPr>
        <w:t>vrednotenju nacionalnega programa (člen 12(3) Uredbe (EU) št. 514/2014)</w:t>
      </w:r>
      <w:bookmarkEnd w:id="9"/>
    </w:p>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bookmarkStart w:id="10" w:name="_Toc256000011"/>
      <w:r>
        <w:rPr>
          <w:noProof/>
          <w:lang w:val="fr-BE"/>
        </w:rPr>
        <w:t>Na kratko opišite glavne prispevke in mnenja partnerjev v 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070F95" w:rsidTr="00003291">
        <w:tc>
          <w:tcPr>
            <w:tcW w:w="15420" w:type="dxa"/>
            <w:shd w:val="clear" w:color="auto" w:fill="auto"/>
          </w:tcPr>
          <w:p w:rsidR="00070F95" w:rsidRDefault="00D012F3">
            <w:pPr>
              <w:spacing w:before="0" w:after="240"/>
              <w:jc w:val="left"/>
            </w:pPr>
            <w:r>
              <w:t xml:space="preserve">Za pripravo Nacionalnih programov skladov AMIF in ISF je zadolžena Projektna enota za sklade notranje </w:t>
            </w:r>
            <w:r>
              <w:t>varnosti in migracije znotraj Službe za evropska sredstva Ministrstva za notranje zadeve (MNZ SES PESNVM).</w:t>
            </w:r>
          </w:p>
          <w:p w:rsidR="00070F95" w:rsidRDefault="00D012F3">
            <w:pPr>
              <w:spacing w:before="240" w:after="240"/>
              <w:jc w:val="left"/>
            </w:pPr>
            <w:r>
              <w:t>- Ves čas </w:t>
            </w:r>
            <w:r>
              <w:rPr>
                <w:u w:val="single"/>
              </w:rPr>
              <w:t>priprave </w:t>
            </w:r>
            <w:r>
              <w:t>NP je MNZ-SES-PESNVM sledila načelu javnosti in publicitete, zato so bile dopolnjene različice programov sproti objavljene na sple</w:t>
            </w:r>
            <w:r>
              <w:t>tnem mestu: http://www.mnz.gov.si/si/o_ministrstvu/crpanje_evropskih_sredstev/sklad_za_notranjo_varnost_in_sklad_za_azil_migracije_in_vkljucevanje_2014_2020/priprava_nacionalnih_programov/.</w:t>
            </w:r>
          </w:p>
          <w:p w:rsidR="00070F95" w:rsidRDefault="00D012F3">
            <w:pPr>
              <w:spacing w:before="240" w:after="240"/>
              <w:jc w:val="left"/>
            </w:pPr>
            <w:r>
              <w:t>- MNZ-SES-PESNVM </w:t>
            </w:r>
            <w:r>
              <w:rPr>
                <w:u w:val="single"/>
              </w:rPr>
              <w:t>implementacijo</w:t>
            </w:r>
            <w:r>
              <w:t> NP izvaja preko Akcijskega načrta,</w:t>
            </w:r>
            <w:r>
              <w:t xml:space="preserve"> ki je temeljni in celovit programski dokument namenjen izvajanju skladov AMIF in ISF v Sloveniji. Predstavlja osnovo za prijavo in odobritev projektov s strani OO, na predlog končnih upravičencev, po odobritvi na NO, in je izvedbeni dokument, ki razčlenju</w:t>
            </w:r>
            <w:r>
              <w:t>je NP na projekte s podatki o finančni alokaciji po letih.</w:t>
            </w:r>
          </w:p>
          <w:p w:rsidR="00070F95" w:rsidRDefault="00D012F3">
            <w:pPr>
              <w:spacing w:before="240" w:after="240"/>
              <w:jc w:val="left"/>
            </w:pPr>
            <w:r>
              <w:t>Prispevki partnerjev v času izvajanja NP se v glavnini nanašajo na spodaj zapisane vsebine, vse predloge je OO sprejel. MDS in NO sta obravnavala:</w:t>
            </w:r>
          </w:p>
          <w:p w:rsidR="00070F95" w:rsidRDefault="00D012F3">
            <w:pPr>
              <w:numPr>
                <w:ilvl w:val="0"/>
                <w:numId w:val="41"/>
              </w:numPr>
              <w:spacing w:before="240" w:after="0"/>
              <w:ind w:hanging="210"/>
              <w:jc w:val="left"/>
            </w:pPr>
            <w:r>
              <w:t>predlog OO in pozitiven odziv Centra za tujce za z</w:t>
            </w:r>
            <w:r>
              <w:t>druževanje projektov - načrtovanje sprememb Akcijskega načrta in NP;</w:t>
            </w:r>
          </w:p>
          <w:p w:rsidR="00070F95" w:rsidRDefault="00D012F3">
            <w:pPr>
              <w:numPr>
                <w:ilvl w:val="0"/>
                <w:numId w:val="41"/>
              </w:numPr>
              <w:spacing w:before="0" w:after="240"/>
              <w:ind w:hanging="210"/>
              <w:jc w:val="left"/>
            </w:pPr>
            <w:r>
              <w:t>omejen obseg izvajanja aktivnosti določenih ukrepov s strani Centra za tujce zaradi upravičenosti povrnitve stroškov iz drugih virov financiranja EU - načrtovanje sprememb Akcijskega načr</w:t>
            </w:r>
            <w:r>
              <w:t>ta in NP</w:t>
            </w:r>
          </w:p>
          <w:p w:rsidR="00070F95" w:rsidRDefault="00D012F3">
            <w:pPr>
              <w:spacing w:before="240" w:after="240"/>
              <w:jc w:val="left"/>
            </w:pPr>
            <w:r>
              <w:t>V fazo </w:t>
            </w:r>
            <w:r>
              <w:rPr>
                <w:u w:val="single"/>
              </w:rPr>
              <w:t>vrednotenja</w:t>
            </w:r>
            <w:r>
              <w:t> NP so vključena vsa pristojna ministrstva/organi kot tudi predstavniki NVO preko delovanja Medresorske delovne skupine za koordinacijo in operativno usklajevanje izvajanja projektov, ki se financirajo iz sredstev AMIF in ISF kot</w:t>
            </w:r>
            <w:r>
              <w:t xml:space="preserve"> tudi preko NO. V fazi vrednotenja izvajanja napredka je pristojnost odločanja na NO, ki o tem seznani tudi Vlado Slovenije.</w:t>
            </w:r>
          </w:p>
          <w:p w:rsidR="00070F95" w:rsidRDefault="00D012F3">
            <w:pPr>
              <w:spacing w:before="240" w:after="240"/>
              <w:jc w:val="left"/>
            </w:pPr>
            <w:r>
              <w:t>Med izvajanjem projektov je prišlo do nekaterih sprememb, vendar so bile vse skupaj v manjšem obsegu od meje, zaradi katere je potr</w:t>
            </w:r>
            <w:r>
              <w:t>ebno spreminjati NP. </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6.4 Obveščanje in objavljanje (člen 48 Uredbe (ES) št. 514/2014)</w:t>
      </w:r>
      <w:bookmarkEnd w:id="11"/>
    </w:p>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bookmarkStart w:id="12" w:name="_Toc256000013"/>
      <w:r>
        <w:rPr>
          <w:noProof/>
          <w:lang w:val="fr-BE"/>
        </w:rPr>
        <w:t>Navedite povezavo do spletišča programa.</w:t>
      </w:r>
      <w:bookmarkEnd w:id="12"/>
      <w:r>
        <w:rPr>
          <w:noProof/>
          <w:lang w:val="fr-BE"/>
        </w:rPr>
        <w:t xml:space="preserve"> </w:t>
      </w:r>
    </w:p>
    <w:p w:rsidR="00115C60" w:rsidRDefault="00D012F3"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 gradiva.</w:t>
      </w:r>
      <w:bookmarkEnd w:id="1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70F95" w:rsidTr="00003291">
        <w:tc>
          <w:tcPr>
            <w:tcW w:w="0" w:type="auto"/>
            <w:shd w:val="clear" w:color="auto" w:fill="auto"/>
          </w:tcPr>
          <w:p w:rsidR="00070F95" w:rsidRDefault="00D012F3">
            <w:pPr>
              <w:spacing w:before="0" w:after="240"/>
              <w:jc w:val="left"/>
            </w:pPr>
            <w:r>
              <w:t>V</w:t>
            </w:r>
            <w:r>
              <w:t xml:space="preserve"> letu 2021 so bile izvedene sledeče dejavnosti s ciljem obveščanja javnosti:</w:t>
            </w:r>
          </w:p>
          <w:p w:rsidR="00070F95" w:rsidRDefault="00D012F3">
            <w:pPr>
              <w:spacing w:before="240" w:after="240"/>
              <w:jc w:val="left"/>
            </w:pPr>
            <w:r>
              <w:t>1. Na državnem nivoju vzpostavljeni spletni strani državne uprave je vzdrževan dostop do spletne strani odgovornega organa z dostopom do vseh potrebnih programskih dokumentov:</w:t>
            </w:r>
          </w:p>
          <w:p w:rsidR="00070F95" w:rsidRDefault="00D012F3">
            <w:pPr>
              <w:spacing w:before="240" w:after="240"/>
              <w:jc w:val="left"/>
            </w:pPr>
            <w:r>
              <w:t>htt</w:t>
            </w:r>
            <w:r>
              <w:t>ps://www.gov.si/drzavni-organi/ministrstva/ministrstvo-za-notranje-zadeve/o-ministrstvu/sekretariat/sluzba-za-evropska-sredstva/</w:t>
            </w:r>
          </w:p>
          <w:p w:rsidR="00070F95" w:rsidRDefault="00D012F3">
            <w:pPr>
              <w:spacing w:before="240" w:after="240"/>
              <w:jc w:val="left"/>
            </w:pPr>
            <w:r>
              <w:t>2. Vzpostavljena nova povezava do Akcijskega načrta za črpanje sredstev sklada AMIF in ISF (različica 1.7) (junij 2021):</w:t>
            </w:r>
          </w:p>
          <w:p w:rsidR="00070F95" w:rsidRDefault="00D012F3">
            <w:pPr>
              <w:spacing w:before="240" w:after="240"/>
              <w:jc w:val="left"/>
            </w:pPr>
            <w:r>
              <w:t>https:</w:t>
            </w:r>
            <w:r>
              <w:t>//www.gov.si/assets/ministrstva/MNZ/Dokumenti/SES/Akcijski-nacrt/Akcijski-AMIF-razlicica-1.7_15.-6.-2021.xlsx</w:t>
            </w:r>
          </w:p>
          <w:p w:rsidR="00070F95" w:rsidRDefault="00D012F3">
            <w:pPr>
              <w:spacing w:before="240" w:after="240"/>
              <w:jc w:val="left"/>
            </w:pPr>
            <w:r>
              <w:t>https://www.gov.si/assets/ministrstva/MNZ/Dokumenti/SES/Akcijski-nacrt/Akcijski-ISFB-razlicica-1.7_15.-6.-2021.xlsx</w:t>
            </w:r>
          </w:p>
          <w:p w:rsidR="00070F95" w:rsidRDefault="00D012F3">
            <w:pPr>
              <w:spacing w:before="240" w:after="240"/>
              <w:jc w:val="left"/>
            </w:pPr>
            <w:r>
              <w:t>https://www.gov.si/assets/mini</w:t>
            </w:r>
            <w:r>
              <w:t>strstva/MNZ/Dokumenti/SES/Akcijski-nacrt/Akcijski-ISFP-razlicica-1.7_15.-6.-2021.xlsx</w:t>
            </w:r>
          </w:p>
          <w:p w:rsidR="00070F95" w:rsidRDefault="00D012F3">
            <w:pPr>
              <w:spacing w:before="240" w:after="240"/>
              <w:jc w:val="left"/>
            </w:pPr>
            <w:r>
              <w:t>3. Na spletni strani objavljena Nacionalna pravila o upravičenih stroških Sklada za azil, migracije in vključevanje ter Sklada za notranjo varnost za obdobje 2014-2020 (r</w:t>
            </w:r>
            <w:r>
              <w:t>azličica 1.6) (junij 2021):</w:t>
            </w:r>
          </w:p>
          <w:p w:rsidR="00070F95" w:rsidRDefault="00D012F3">
            <w:pPr>
              <w:spacing w:before="240" w:after="240"/>
              <w:jc w:val="left"/>
            </w:pPr>
            <w:r>
              <w:t>https://www.gov.si/assets/ministrstva/MNZ/Dokumenti/SES/Nacionalna-pravila-upravicenosti/Nacionalna-pravila-o-upravicenih-stroskih-AMIF-in-ISF1.6.pdf</w:t>
            </w:r>
          </w:p>
          <w:p w:rsidR="00070F95" w:rsidRDefault="00D012F3">
            <w:pPr>
              <w:spacing w:before="240" w:after="240"/>
              <w:jc w:val="left"/>
            </w:pPr>
            <w:r>
              <w:t xml:space="preserve">4. Spletna objava nove različice Priročnika za izvajanje Sklada za azil, </w:t>
            </w:r>
            <w:r>
              <w:t>migracije in vključevanje ter Sklada za notranjo varnost (različica 1.5) z vsemi prilogami (julij 2021):</w:t>
            </w:r>
          </w:p>
          <w:p w:rsidR="00070F95" w:rsidRDefault="00D012F3">
            <w:pPr>
              <w:spacing w:before="240" w:after="240"/>
              <w:jc w:val="left"/>
            </w:pPr>
            <w:r>
              <w:t>https://www.gov.si/assets/ministrstva/MNZ/Dokumenti/SES/Prirocnik/Prirocnik_AMIF-ISF_Razlicica_1_5_P.pdf</w:t>
            </w:r>
          </w:p>
          <w:p w:rsidR="00070F95" w:rsidRDefault="00D012F3">
            <w:pPr>
              <w:spacing w:before="240" w:after="240"/>
              <w:jc w:val="left"/>
            </w:pPr>
            <w:r>
              <w:t>5. Spletna objava vseh do sedaj potrjenih Impl</w:t>
            </w:r>
            <w:r>
              <w:t>ementacijskih poročil in Obračunov v razdelku Poročila za Evropsko komisijo (maj 2021):</w:t>
            </w:r>
          </w:p>
          <w:p w:rsidR="00070F95" w:rsidRDefault="00D012F3">
            <w:pPr>
              <w:spacing w:before="240" w:after="240"/>
              <w:jc w:val="left"/>
            </w:pPr>
            <w:r>
              <w:t> </w:t>
            </w:r>
          </w:p>
          <w:p w:rsidR="00070F95" w:rsidRDefault="00D012F3">
            <w:pPr>
              <w:spacing w:before="240" w:after="240"/>
              <w:jc w:val="left"/>
            </w:pPr>
            <w:r>
              <w:t>https://www.gov.si/drzavni-organi/ministrstva/ministrstvo-za-notranje-zadeve/o-ministrstvu/sekretariat/sluzba-</w:t>
            </w:r>
            <w:r>
              <w:lastRenderedPageBreak/>
              <w:t>za-evropska-sredstva/</w:t>
            </w:r>
          </w:p>
          <w:p w:rsidR="00070F95" w:rsidRDefault="00D012F3">
            <w:pPr>
              <w:spacing w:before="240" w:after="240"/>
              <w:jc w:val="left"/>
            </w:pPr>
            <w:r>
              <w:t> </w:t>
            </w:r>
          </w:p>
          <w:p w:rsidR="00070F95" w:rsidRDefault="00D012F3">
            <w:pPr>
              <w:spacing w:before="240" w:after="240"/>
              <w:jc w:val="left"/>
            </w:pPr>
            <w:r>
              <w:t>6. Predavanje OO o izvajanju AMI</w:t>
            </w:r>
            <w:r>
              <w:t>F in ISF v Sloveniji v okviru Študijskega obiska Srbske delegacije (junij 2021).</w:t>
            </w:r>
          </w:p>
          <w:p w:rsidR="00070F95" w:rsidRDefault="00D012F3">
            <w:pPr>
              <w:spacing w:before="240" w:after="240"/>
              <w:jc w:val="left"/>
            </w:pPr>
            <w:r>
              <w:t> </w:t>
            </w:r>
          </w:p>
          <w:p w:rsidR="00070F95" w:rsidRDefault="00D012F3">
            <w:pPr>
              <w:spacing w:before="240" w:after="240"/>
              <w:jc w:val="left"/>
            </w:pPr>
            <w:r>
              <w:t>7. Na državnem nivoju vzpostavljena nova spletna stran za sklade EU, ki vključuje tudi sklade AMIF, ISF in Instrument BMVI (november 2021):</w:t>
            </w:r>
          </w:p>
          <w:p w:rsidR="00070F95" w:rsidRDefault="00D012F3">
            <w:pPr>
              <w:spacing w:before="240" w:after="240"/>
              <w:jc w:val="left"/>
            </w:pPr>
            <w:r>
              <w:t> </w:t>
            </w:r>
          </w:p>
          <w:p w:rsidR="00070F95" w:rsidRDefault="00D012F3">
            <w:pPr>
              <w:spacing w:before="240" w:after="240"/>
              <w:jc w:val="left"/>
            </w:pPr>
            <w:r>
              <w:t>https://evropskasredstva.si/skladi-eu-s-podrocja-notranjih-zadev/</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D012F3" w:rsidP="00115C60">
      <w:pPr>
        <w:pStyle w:val="Naslov2"/>
        <w:numPr>
          <w:ilvl w:val="0"/>
          <w:numId w:val="0"/>
        </w:numPr>
        <w:spacing w:before="0" w:after="0"/>
      </w:pPr>
      <w:r w:rsidRPr="00910C3F">
        <w:br w:type="page"/>
      </w:r>
      <w:bookmarkStart w:id="14" w:name="_Toc256000015"/>
      <w:r w:rsidRPr="00910C3F">
        <w:rPr>
          <w:noProof/>
        </w:rPr>
        <w:lastRenderedPageBreak/>
        <w:t>6.5 Dopolnjevanje z drugimi instrumenti Unije (člen 14(2)(e) in 14(5)(f) Uredbe (EU) št. 514/2014)</w:t>
      </w:r>
      <w:bookmarkEnd w:id="14"/>
    </w:p>
    <w:p w:rsidR="00115C60" w:rsidRPr="00910C3F" w:rsidRDefault="00115C60" w:rsidP="00115C60">
      <w:pPr>
        <w:pStyle w:val="Text1"/>
        <w:spacing w:before="0" w:after="0"/>
        <w:ind w:left="0"/>
      </w:pPr>
    </w:p>
    <w:p w:rsidR="00115C60" w:rsidRDefault="00D012F3" w:rsidP="00115C60">
      <w:pPr>
        <w:pStyle w:val="Naslov2"/>
        <w:numPr>
          <w:ilvl w:val="0"/>
          <w:numId w:val="0"/>
        </w:numPr>
        <w:spacing w:before="0" w:after="0"/>
        <w:rPr>
          <w:lang w:val="fr-BE"/>
        </w:rPr>
      </w:pPr>
      <w:bookmarkStart w:id="15" w:name="_Toc256000016"/>
      <w:r>
        <w:rPr>
          <w:noProof/>
          <w:lang w:val="fr-BE"/>
        </w:rPr>
        <w:t xml:space="preserve">Na kratko opišite glavne ukrepe in posvetovanja, opravljena za zagotovitev </w:t>
      </w:r>
      <w:r>
        <w:rPr>
          <w:noProof/>
          <w:lang w:val="fr-BE"/>
        </w:rPr>
        <w:t>usklajenosti z drugimi instrumenti Unije, zlasti naslednjimi:</w:t>
      </w:r>
      <w:bookmarkEnd w:id="15"/>
    </w:p>
    <w:p w:rsidR="00115C60" w:rsidRPr="00E30D80" w:rsidRDefault="00D012F3" w:rsidP="00115C60">
      <w:pPr>
        <w:pStyle w:val="Text1"/>
        <w:numPr>
          <w:ilvl w:val="0"/>
          <w:numId w:val="36"/>
        </w:numPr>
        <w:spacing w:before="0" w:after="0"/>
        <w:jc w:val="left"/>
        <w:rPr>
          <w:lang w:val="fr-BE"/>
        </w:rPr>
      </w:pPr>
      <w:r>
        <w:rPr>
          <w:noProof/>
          <w:lang w:val="fr-BE"/>
        </w:rPr>
        <w:t>evropski strukturni in investicijski skladi (Evropski sklad za regionalni razvoj, Evropski socialni sklad, Kohezijski sklad, Evropski kmetijski sklad za razvoj podeželja, Evropski sklad za pomor</w:t>
      </w:r>
      <w:r>
        <w:rPr>
          <w:noProof/>
          <w:lang w:val="fr-BE"/>
        </w:rPr>
        <w:t>stvo in ribištvo),</w:t>
      </w:r>
    </w:p>
    <w:p w:rsidR="00115C60" w:rsidRPr="00E30D80" w:rsidRDefault="00D012F3"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D012F3" w:rsidP="00115C60">
      <w:pPr>
        <w:pStyle w:val="Text1"/>
        <w:numPr>
          <w:ilvl w:val="0"/>
          <w:numId w:val="36"/>
        </w:numPr>
        <w:spacing w:before="0" w:after="0"/>
        <w:jc w:val="left"/>
        <w:rPr>
          <w:lang w:val="fr-BE"/>
        </w:rPr>
      </w:pPr>
      <w:r>
        <w:rPr>
          <w:noProof/>
          <w:lang w:val="fr-BE"/>
        </w:rPr>
        <w:t>instrumenti EU za zunanje odnose (npr. instrument za predpristopno pom</w:t>
      </w:r>
      <w:r>
        <w:rPr>
          <w:noProof/>
          <w:lang w:val="fr-BE"/>
        </w:rPr>
        <w:t>oč, evropski instrument sosedstva in partnerstva, instrument za stabilnost), kar zadeva ukrepe v tretjih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70F95" w:rsidTr="00003291">
        <w:tc>
          <w:tcPr>
            <w:tcW w:w="0" w:type="auto"/>
            <w:shd w:val="clear" w:color="auto" w:fill="auto"/>
          </w:tcPr>
          <w:p w:rsidR="00070F95" w:rsidRDefault="00D012F3">
            <w:pPr>
              <w:spacing w:before="0" w:after="240"/>
              <w:jc w:val="left"/>
            </w:pPr>
            <w:r>
              <w:t>OO zagotavlja komplementarnost preko različnih ravni organizacijske strukture:</w:t>
            </w:r>
          </w:p>
          <w:p w:rsidR="00070F95" w:rsidRDefault="00D012F3">
            <w:pPr>
              <w:numPr>
                <w:ilvl w:val="0"/>
                <w:numId w:val="42"/>
              </w:numPr>
              <w:spacing w:before="240" w:after="0"/>
              <w:ind w:hanging="210"/>
              <w:jc w:val="left"/>
            </w:pPr>
            <w:r>
              <w:t>hierarhično na najvišji ravni (Nadzorni</w:t>
            </w:r>
            <w:r>
              <w:t xml:space="preserve"> odbor), v katerem so v skladu z načelom partnerstva zastopana vsa ministrstva/telesa, ki so vključena v izvajanje AMIF in ISF. Sestavljajo ga predstavniki državnih organov - pristojni organi MCS, drugi organi, katerih pristojnosti (delno) vsebinsko zadeva</w:t>
            </w:r>
            <w:r>
              <w:t>jo tudi projekte, ki se financirajo iz AMIF in ISF, predstavnik nevladnih organizacij ter predstavnik Službe vlade RS za razvoj in evropsko kohezijsko politiko - z namenom zagotavljanja skladnosti in dopolnjevanja z drugimi finančnimi instrumenti EU.</w:t>
            </w:r>
          </w:p>
          <w:p w:rsidR="00070F95" w:rsidRDefault="00D012F3">
            <w:pPr>
              <w:numPr>
                <w:ilvl w:val="0"/>
                <w:numId w:val="42"/>
              </w:numPr>
              <w:spacing w:before="0" w:after="0"/>
              <w:ind w:hanging="210"/>
              <w:jc w:val="left"/>
            </w:pPr>
            <w:r>
              <w:t>Na ra</w:t>
            </w:r>
            <w:r>
              <w:t>vni Medresorske delovne skupine (MDS), ki deluje kot operativna delovna skupina Nadzornega odbora, velja enako pravilo sestave članstva kot pri Nadzornem odboru, z namenom zagotavljanja skladnosti in dopolnjevanja z drugimi finančnimi instrumenti EU tudi v</w:t>
            </w:r>
            <w:r>
              <w:t xml:space="preserve"> MDS sodeluje predstavnik Službe vlade RS za razvoj in evropsko kohezijsko politiko.</w:t>
            </w:r>
          </w:p>
          <w:p w:rsidR="00070F95" w:rsidRDefault="00D012F3">
            <w:pPr>
              <w:numPr>
                <w:ilvl w:val="0"/>
                <w:numId w:val="42"/>
              </w:numPr>
              <w:spacing w:before="0" w:after="240"/>
              <w:ind w:hanging="210"/>
              <w:jc w:val="left"/>
            </w:pPr>
            <w:r>
              <w:t xml:space="preserve">Na ravni projekta se komplementarnost zagotavlja že v okviru faze prijave projekta, v kateri mora končni upravičenec (oz. vodja projekta) za vsak projekt, ki je odobren s </w:t>
            </w:r>
            <w:r>
              <w:t>strani OO, kot upravičenec do finančnih sredstev AMIF in ISF podati informacijo o komplementarnosti z drugimi projekti oz. viri financiranja, kadar je to relevantno.</w:t>
            </w:r>
          </w:p>
          <w:p w:rsidR="00070F95" w:rsidRDefault="00D012F3">
            <w:pPr>
              <w:spacing w:before="240" w:after="240"/>
              <w:jc w:val="left"/>
            </w:pPr>
            <w:r>
              <w:t xml:space="preserve"> V letu 2021 je OO nadaljeval z vzpostavljeno prakso, da na rednih sejah MDS, resorji </w:t>
            </w:r>
            <w:r>
              <w:t>predstavijo možnosti dopolnjevanja skladov AMIF in ISF z drugimi evropskimi skladi ali finančnimi instrumenti.</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6.6 Neposredna oddaja naročila</w:t>
      </w:r>
      <w:bookmarkEnd w:id="16"/>
    </w:p>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bookmarkStart w:id="17" w:name="_Toc256000018"/>
      <w:r>
        <w:rPr>
          <w:noProof/>
          <w:lang w:val="fr-BE"/>
        </w:rPr>
        <w:t>Utemeljite vsak primer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70F95" w:rsidTr="00003291">
        <w:tc>
          <w:tcPr>
            <w:tcW w:w="0" w:type="auto"/>
            <w:shd w:val="clear" w:color="auto" w:fill="auto"/>
          </w:tcPr>
          <w:p w:rsidR="00070F95" w:rsidRDefault="00D012F3">
            <w:pPr>
              <w:spacing w:before="0" w:after="240"/>
              <w:jc w:val="left"/>
            </w:pPr>
            <w:r>
              <w:t>V obdobju poročanja je bilo preko neposredne dodelitve odobreni</w:t>
            </w:r>
            <w:r>
              <w:t>h 21 projektov končnih upravičencev, v vseh primerih zaradi narave projekta oz. legalnega monopola končnega upravičenca.</w:t>
            </w:r>
          </w:p>
          <w:p w:rsidR="00070F95" w:rsidRDefault="00D012F3">
            <w:pPr>
              <w:spacing w:before="240" w:after="240"/>
              <w:jc w:val="left"/>
            </w:pPr>
            <w:r>
              <w:t>Dokument "Implementacijsko poročilo 2021 – seznam projektov AMIF in utemeljitev glede načina dodelitve" je pripet v rubriki "Dokumenti"</w:t>
            </w:r>
            <w:r>
              <w:t> (Priloga 1).</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D012F3"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514/2014)</w:t>
      </w:r>
      <w:bookmarkEnd w:id="18"/>
    </w:p>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bookmarkStart w:id="19" w:name="_Toc256000020"/>
      <w:r>
        <w:rPr>
          <w:noProof/>
          <w:lang w:val="fr-BE"/>
        </w:rPr>
        <w:t>Preglednica 1. Finančni povzetek za sklad AMIF, kot je navedeno v obračunih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60"/>
        <w:gridCol w:w="766"/>
        <w:gridCol w:w="2500"/>
        <w:gridCol w:w="766"/>
      </w:tblGrid>
      <w:tr w:rsidR="00070F95" w:rsidTr="004677D0">
        <w:tc>
          <w:tcPr>
            <w:tcW w:w="0" w:type="auto"/>
            <w:shd w:val="clear" w:color="auto" w:fill="auto"/>
          </w:tcPr>
          <w:p w:rsidR="004677D0" w:rsidRPr="004A389B" w:rsidRDefault="00D012F3"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D012F3"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2021</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D012F3" w:rsidP="00883A98">
            <w:pPr>
              <w:pStyle w:val="Text1"/>
              <w:spacing w:before="0" w:after="0"/>
              <w:ind w:left="0"/>
              <w:rPr>
                <w:b/>
                <w:sz w:val="20"/>
                <w:szCs w:val="20"/>
                <w:lang w:val="fr-BE"/>
              </w:rPr>
            </w:pPr>
            <w:r w:rsidRPr="004A389B">
              <w:rPr>
                <w:b/>
                <w:noProof/>
                <w:sz w:val="20"/>
                <w:szCs w:val="20"/>
                <w:lang w:val="fr-BE"/>
              </w:rPr>
              <w:t xml:space="preserve">Plačan </w:t>
            </w:r>
            <w:r w:rsidRPr="004A389B">
              <w:rPr>
                <w:b/>
                <w:noProof/>
                <w:sz w:val="20"/>
                <w:szCs w:val="20"/>
                <w:lang w:val="fr-BE"/>
              </w:rPr>
              <w:t>skupni prispevek Unije (vsa leta)</w:t>
            </w:r>
          </w:p>
        </w:tc>
        <w:tc>
          <w:tcPr>
            <w:tcW w:w="0" w:type="auto"/>
            <w:shd w:val="clear" w:color="auto" w:fill="auto"/>
          </w:tcPr>
          <w:p w:rsidR="004677D0" w:rsidRPr="004A389B" w:rsidRDefault="00D012F3" w:rsidP="00883A98">
            <w:pPr>
              <w:pStyle w:val="Text1"/>
              <w:spacing w:before="0" w:after="0"/>
              <w:ind w:left="0"/>
              <w:jc w:val="center"/>
              <w:rPr>
                <w:b/>
                <w:sz w:val="20"/>
                <w:szCs w:val="20"/>
                <w:lang w:val="fr-BE"/>
              </w:rPr>
            </w:pPr>
            <w:r w:rsidRPr="004A389B">
              <w:rPr>
                <w:b/>
                <w:sz w:val="20"/>
                <w:szCs w:val="20"/>
                <w:lang w:val="fr-BE"/>
              </w:rPr>
              <w:t>%</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Posebni cilj1.Nacionalni cilj1 Sprejem/azil</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987.211,21</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3.036.078,00</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100,00</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987.211,21</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3.036.078,00</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100,00</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SKUPAJ Posebni cilj1</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987.211,21</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27,76</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3.036.078,00</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22,86</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Posebni cilj2.Nacionalni cilj1 Zakonito priseljevanje</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73,42</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0,01</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18.326,96</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0,36</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Posebni cilj2.Nacionalni cilj2 Vključevanje</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1.228.896,49</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94,26</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4.984.287,92</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97,12</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Posebni cilj2.Nacionalni cilj3 Zmogljivost</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74.746,55</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5,73</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129.732,63</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2,53</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 xml:space="preserve">SKUPAJ </w:t>
            </w:r>
            <w:r w:rsidRPr="004A389B">
              <w:rPr>
                <w:b/>
                <w:noProof/>
                <w:sz w:val="20"/>
                <w:szCs w:val="20"/>
              </w:rPr>
              <w:t>NACIONALNI CILJI / POSEBNI CILJI2</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1.303.716,46</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5.132.347,51</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100,00</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SKUPAJ Posebni cilj2</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1.303.716,46</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36,67</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5.132.347,51</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38,65</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Posebni cilj3.Nacionalni cilj1 Spremljevalni ukrepi</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1.005.677,19</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84,19</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2.755.686,55</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92,33</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Posebni cilj3.Nacionalni cilj2</w:t>
            </w:r>
            <w:r w:rsidRPr="004A389B">
              <w:rPr>
                <w:noProof/>
                <w:sz w:val="20"/>
                <w:szCs w:val="20"/>
              </w:rPr>
              <w:t xml:space="preserve"> Ukrepi vračanja</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188.913,95</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15,81</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228.956,08</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7,67</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1.194.591,14</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2.984.642,63</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100,00</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SKUPAJ Posebni cilj3</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1.194.591,14</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33,60</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2.984.642,63</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22,48</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1.858.000,00</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b/>
                <w:noProof/>
                <w:sz w:val="20"/>
                <w:szCs w:val="20"/>
              </w:rPr>
              <w:t>13,99</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sz w:val="20"/>
                <w:szCs w:val="20"/>
              </w:rPr>
              <w:t xml:space="preserve">Tehnična </w:t>
            </w:r>
            <w:r w:rsidRPr="004A389B">
              <w:rPr>
                <w:noProof/>
                <w:sz w:val="20"/>
                <w:szCs w:val="20"/>
              </w:rPr>
              <w:t>pomoč</w:t>
            </w:r>
          </w:p>
        </w:tc>
        <w:tc>
          <w:tcPr>
            <w:tcW w:w="0" w:type="auto"/>
          </w:tcPr>
          <w:p w:rsidR="004677D0" w:rsidRPr="004A389B" w:rsidRDefault="00D012F3" w:rsidP="004677D0">
            <w:pPr>
              <w:pStyle w:val="Text1"/>
              <w:spacing w:before="0" w:after="0"/>
              <w:ind w:left="0"/>
              <w:jc w:val="right"/>
              <w:rPr>
                <w:sz w:val="20"/>
                <w:szCs w:val="20"/>
                <w:lang w:val="fr-BE"/>
              </w:rPr>
            </w:pPr>
            <w:r w:rsidRPr="004A389B">
              <w:rPr>
                <w:noProof/>
                <w:sz w:val="20"/>
                <w:szCs w:val="20"/>
              </w:rPr>
              <w:t>70.111,85</w:t>
            </w: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sz w:val="20"/>
                <w:szCs w:val="20"/>
              </w:rPr>
              <w:t>1,97</w:t>
            </w: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sidRPr="004A389B">
              <w:rPr>
                <w:noProof/>
                <w:sz w:val="20"/>
                <w:szCs w:val="20"/>
              </w:rPr>
              <w:t>268.678,45</w:t>
            </w: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sz w:val="20"/>
                <w:szCs w:val="20"/>
              </w:rPr>
              <w:t>2,02</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D012F3" w:rsidP="004677D0">
            <w:pPr>
              <w:pStyle w:val="Text1"/>
              <w:spacing w:before="0" w:after="0"/>
              <w:ind w:left="0"/>
              <w:jc w:val="right"/>
              <w:rPr>
                <w:sz w:val="20"/>
                <w:szCs w:val="20"/>
                <w:lang w:val="fr-BE"/>
              </w:rPr>
            </w:pPr>
            <w:r w:rsidRPr="004A389B">
              <w:rPr>
                <w:b/>
                <w:noProof/>
                <w:sz w:val="20"/>
                <w:szCs w:val="20"/>
              </w:rPr>
              <w:t>3.555.630,66</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D012F3" w:rsidP="004677D0">
            <w:pPr>
              <w:pStyle w:val="Text1"/>
              <w:spacing w:before="0" w:after="0"/>
              <w:ind w:left="0"/>
              <w:jc w:val="right"/>
              <w:rPr>
                <w:sz w:val="20"/>
                <w:szCs w:val="20"/>
                <w:lang w:val="fr-BE"/>
              </w:rPr>
            </w:pPr>
            <w:r>
              <w:rPr>
                <w:b/>
                <w:noProof/>
                <w:sz w:val="20"/>
                <w:szCs w:val="20"/>
              </w:rPr>
              <w:t>13.279.746,59</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color w:val="FF0000"/>
                <w:sz w:val="20"/>
                <w:szCs w:val="20"/>
              </w:rPr>
              <w:t>NC PC1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color w:val="FF0000"/>
                <w:sz w:val="20"/>
                <w:szCs w:val="20"/>
              </w:rPr>
              <w:t>5,33</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color w:val="FF0000"/>
                <w:sz w:val="20"/>
                <w:szCs w:val="20"/>
              </w:rPr>
              <w:t>16,40</w:t>
            </w:r>
          </w:p>
        </w:tc>
      </w:tr>
      <w:tr w:rsidR="00070F95" w:rsidTr="004677D0">
        <w:tc>
          <w:tcPr>
            <w:tcW w:w="0" w:type="auto"/>
            <w:shd w:val="clear" w:color="auto" w:fill="auto"/>
          </w:tcPr>
          <w:p w:rsidR="004677D0" w:rsidRPr="004A389B" w:rsidRDefault="00D012F3" w:rsidP="004677D0">
            <w:pPr>
              <w:pStyle w:val="Text1"/>
              <w:spacing w:before="0" w:after="0"/>
              <w:ind w:left="0"/>
              <w:rPr>
                <w:sz w:val="20"/>
                <w:szCs w:val="20"/>
                <w:lang w:val="fr-BE"/>
              </w:rPr>
            </w:pPr>
            <w:r w:rsidRPr="004A389B">
              <w:rPr>
                <w:noProof/>
                <w:color w:val="FF0000"/>
                <w:sz w:val="20"/>
                <w:szCs w:val="20"/>
              </w:rPr>
              <w:t xml:space="preserve">NC PC2 skupaj / Osnovna dodelitev iz Sklada za azil, migracije in vključevanje </w:t>
            </w:r>
            <w:r w:rsidRPr="004A389B">
              <w:rPr>
                <w:noProof/>
                <w:color w:val="FF0000"/>
                <w:sz w:val="20"/>
                <w:szCs w:val="20"/>
              </w:rPr>
              <w:t>(AMIF)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D012F3" w:rsidP="00883A98">
            <w:pPr>
              <w:pStyle w:val="Text1"/>
              <w:spacing w:before="0" w:after="0"/>
              <w:ind w:left="0"/>
              <w:jc w:val="right"/>
              <w:rPr>
                <w:sz w:val="20"/>
                <w:szCs w:val="20"/>
                <w:lang w:val="fr-BE"/>
              </w:rPr>
            </w:pPr>
            <w:r w:rsidRPr="004A389B">
              <w:rPr>
                <w:noProof/>
                <w:color w:val="FF0000"/>
                <w:sz w:val="20"/>
                <w:szCs w:val="20"/>
              </w:rPr>
              <w:t>7,04</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D012F3" w:rsidP="00883A98">
            <w:pPr>
              <w:pStyle w:val="Text1"/>
              <w:spacing w:before="0" w:after="0"/>
              <w:ind w:left="0"/>
              <w:jc w:val="right"/>
              <w:rPr>
                <w:sz w:val="20"/>
                <w:szCs w:val="20"/>
                <w:lang w:val="fr-BE"/>
              </w:rPr>
            </w:pPr>
            <w:r w:rsidRPr="004A389B">
              <w:rPr>
                <w:noProof/>
                <w:color w:val="FF0000"/>
                <w:sz w:val="20"/>
                <w:szCs w:val="20"/>
              </w:rPr>
              <w:t>27,72</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D012F3" w:rsidP="00115C60">
      <w:pPr>
        <w:pStyle w:val="Naslov2"/>
        <w:numPr>
          <w:ilvl w:val="0"/>
          <w:numId w:val="0"/>
        </w:numPr>
        <w:spacing w:before="0" w:after="0"/>
        <w:rPr>
          <w:lang w:val="fr-BE"/>
        </w:rPr>
      </w:pPr>
      <w:bookmarkStart w:id="20" w:name="_Toc256000021"/>
      <w:r>
        <w:rPr>
          <w:noProof/>
          <w:lang w:val="fr-BE"/>
        </w:rPr>
        <w:lastRenderedPageBreak/>
        <w:t>Preglednica 2. Obljubljena sredstva za posebne primere, kot je navedeno v 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30"/>
        <w:gridCol w:w="758"/>
        <w:gridCol w:w="758"/>
        <w:gridCol w:w="758"/>
        <w:gridCol w:w="1595"/>
        <w:gridCol w:w="1402"/>
        <w:gridCol w:w="1402"/>
        <w:gridCol w:w="759"/>
        <w:gridCol w:w="759"/>
        <w:gridCol w:w="759"/>
        <w:gridCol w:w="759"/>
        <w:gridCol w:w="1595"/>
      </w:tblGrid>
      <w:tr w:rsidR="00070F95" w:rsidTr="00003291">
        <w:tc>
          <w:tcPr>
            <w:tcW w:w="0" w:type="auto"/>
            <w:shd w:val="clear" w:color="auto" w:fill="auto"/>
          </w:tcPr>
          <w:p w:rsidR="00115C60" w:rsidRPr="004A389B" w:rsidRDefault="00D012F3"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noProof/>
                <w:sz w:val="12"/>
                <w:szCs w:val="12"/>
                <w:lang w:val="fr-BE"/>
              </w:rPr>
              <w:t>Skupaj</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210.000,00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130.000,00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340.000,00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216.000,00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216.000,00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1.302.000,00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1.302.000,00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 xml:space="preserve">Država članica: </w:t>
            </w: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Sprejem iz 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1.302.000,00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426.000,00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130.000,00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1.858.000,00</w:t>
            </w:r>
          </w:p>
        </w:tc>
      </w:tr>
    </w:tbl>
    <w:p w:rsidR="00115C60" w:rsidRDefault="00115C60" w:rsidP="00115C60">
      <w:pPr>
        <w:pStyle w:val="Text1"/>
        <w:spacing w:before="0" w:after="0"/>
        <w:ind w:left="0"/>
        <w:rPr>
          <w:lang w:val="fr-BE"/>
        </w:rPr>
      </w:pPr>
    </w:p>
    <w:p w:rsidR="00115C60" w:rsidRDefault="00D012F3"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Preglednica 3. Izvajanje finančnega načrta nacionalnega programa, pri čemer je naveden skupni prispevek EU za vsako proračunsko 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70"/>
        <w:gridCol w:w="1162"/>
        <w:gridCol w:w="1162"/>
        <w:gridCol w:w="1163"/>
        <w:gridCol w:w="1163"/>
        <w:gridCol w:w="1163"/>
        <w:gridCol w:w="1163"/>
        <w:gridCol w:w="1163"/>
        <w:gridCol w:w="1163"/>
        <w:gridCol w:w="553"/>
        <w:gridCol w:w="553"/>
        <w:gridCol w:w="1256"/>
      </w:tblGrid>
      <w:tr w:rsidR="00070F95"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D012F3" w:rsidP="00003291">
            <w:pPr>
              <w:pStyle w:val="Text1"/>
              <w:spacing w:before="0" w:after="0"/>
              <w:ind w:left="0"/>
              <w:jc w:val="center"/>
              <w:rPr>
                <w:b/>
                <w:sz w:val="12"/>
                <w:szCs w:val="12"/>
                <w:lang w:val="fr-BE"/>
              </w:rPr>
            </w:pPr>
            <w:r w:rsidRPr="004A389B">
              <w:rPr>
                <w:b/>
                <w:noProof/>
                <w:sz w:val="12"/>
                <w:szCs w:val="12"/>
                <w:lang w:val="fr-BE"/>
              </w:rPr>
              <w:t>Skupaj</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 xml:space="preserve">Načrtovano na področju </w:t>
            </w:r>
            <w:r w:rsidRPr="004A389B">
              <w:rPr>
                <w:noProof/>
                <w:sz w:val="12"/>
                <w:szCs w:val="12"/>
                <w:lang w:val="fr-BE"/>
              </w:rPr>
              <w:t>vključevanja in vračanja</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1.545.073,00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2.827.111,40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1.865.646,40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1.336.957,40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1.673.799,42</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12.120.059,37</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621.516,63</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296.123,22</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769.272,92</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2.511.880,35</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1.531.969,62</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2.541.722,12</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8.272.484,86</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Načrtovano na področju azila in solidarnosti</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3.963.611,00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1.134.699,60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841.765,60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723.046,60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835.872,58</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8.515.819,63</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1.816.542,74</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1.148.911,30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596.286,48</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431.612,68</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1.004.366,54</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noProof/>
                <w:sz w:val="12"/>
                <w:szCs w:val="12"/>
                <w:lang w:val="fr-BE"/>
              </w:rPr>
              <w:t>4.997.719,74</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5.508.684,00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3.961.811,00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2.707.412,00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2.060.004,00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2.509.672,00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20.635.879,00</w:t>
            </w:r>
          </w:p>
        </w:tc>
      </w:tr>
      <w:tr w:rsidR="00070F95" w:rsidTr="00003291">
        <w:tc>
          <w:tcPr>
            <w:tcW w:w="0" w:type="auto"/>
            <w:shd w:val="clear" w:color="auto" w:fill="auto"/>
          </w:tcPr>
          <w:p w:rsidR="00115C60" w:rsidRPr="004A389B" w:rsidRDefault="00D012F3"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621.516,63</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2.112.665,96</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1.918.184,22</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3.108.166,83</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1.963.582,30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3.546.088,66</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012F3" w:rsidP="00003291">
            <w:pPr>
              <w:pStyle w:val="Text1"/>
              <w:spacing w:before="0" w:after="0"/>
              <w:ind w:left="0"/>
              <w:jc w:val="right"/>
              <w:rPr>
                <w:sz w:val="12"/>
                <w:szCs w:val="12"/>
                <w:lang w:val="fr-BE"/>
              </w:rPr>
            </w:pPr>
            <w:r w:rsidRPr="004A389B">
              <w:rPr>
                <w:b/>
                <w:noProof/>
                <w:sz w:val="12"/>
                <w:szCs w:val="12"/>
                <w:lang w:val="fr-BE"/>
              </w:rPr>
              <w:t>13.270.204,60</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D012F3" w:rsidP="00115C60">
      <w:pPr>
        <w:pStyle w:val="Naslov2"/>
        <w:numPr>
          <w:ilvl w:val="0"/>
          <w:numId w:val="0"/>
        </w:numPr>
        <w:spacing w:before="0" w:after="0"/>
        <w:rPr>
          <w:lang w:val="fr-BE"/>
        </w:rPr>
      </w:pPr>
      <w:bookmarkStart w:id="22" w:name="_Toc256000023"/>
      <w:r>
        <w:rPr>
          <w:noProof/>
          <w:lang w:val="fr-BE"/>
        </w:rPr>
        <w:lastRenderedPageBreak/>
        <w:t xml:space="preserve">Utemeljitev morebitnega odstopanja od najnižjih deležev, določenih v posebni </w:t>
      </w:r>
      <w:r>
        <w:rPr>
          <w:noProof/>
          <w:lang w:val="fr-BE"/>
        </w:rPr>
        <w:t>uredbi.</w:t>
      </w:r>
      <w:bookmarkEnd w:id="22"/>
    </w:p>
    <w:p w:rsidR="00115C60" w:rsidRDefault="00115C60" w:rsidP="00115C60">
      <w:pPr>
        <w:pStyle w:val="Text1"/>
        <w:spacing w:before="0" w:after="0"/>
        <w:ind w:left="0"/>
        <w:rPr>
          <w:lang w:val="fr-BE"/>
        </w:rPr>
      </w:pPr>
    </w:p>
    <w:p w:rsidR="00115C60" w:rsidRDefault="00D012F3" w:rsidP="00115C60">
      <w:pPr>
        <w:pStyle w:val="Text1"/>
        <w:spacing w:before="0" w:after="0"/>
        <w:ind w:left="0"/>
        <w:rPr>
          <w:lang w:val="fr-BE"/>
        </w:rPr>
      </w:pPr>
      <w:r>
        <w:rPr>
          <w:noProof/>
          <w:lang w:val="fr-BE"/>
        </w:rPr>
        <w:t>(Le če stanje ni tako, kot je določeno v odobrenem nacionalnem programu, člen 14(5)(b) Uredbe (EU) št. 514/2014.)</w:t>
      </w:r>
    </w:p>
    <w:p w:rsidR="00115C60" w:rsidRDefault="00115C60" w:rsidP="00115C60">
      <w:pPr>
        <w:pStyle w:val="Text1"/>
        <w:spacing w:before="0" w:after="0"/>
        <w:ind w:left="0"/>
        <w:rPr>
          <w:lang w:val="fr-BE"/>
        </w:rPr>
      </w:pPr>
    </w:p>
    <w:p w:rsidR="00115C60" w:rsidRDefault="00D012F3" w:rsidP="00115C60">
      <w:pPr>
        <w:pStyle w:val="Text1"/>
        <w:spacing w:before="0" w:after="0"/>
        <w:ind w:left="0"/>
        <w:rPr>
          <w:lang w:val="fr-BE"/>
        </w:rPr>
      </w:pPr>
      <w:r>
        <w:rPr>
          <w:noProof/>
          <w:lang w:val="fr-BE"/>
        </w:rPr>
        <w:t>Podrobno obrazložite odstopanja od najnižjih deležev, določenih v posebnih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70F95"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D012F3"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954"/>
        <w:gridCol w:w="2122"/>
      </w:tblGrid>
      <w:tr w:rsidR="00070F95" w:rsidTr="00003291">
        <w:tc>
          <w:tcPr>
            <w:tcW w:w="0" w:type="auto"/>
            <w:shd w:val="clear" w:color="auto" w:fill="auto"/>
          </w:tcPr>
          <w:p w:rsidR="00115C60" w:rsidRPr="00B81F97" w:rsidRDefault="00D012F3" w:rsidP="00003291">
            <w:pPr>
              <w:pStyle w:val="Text1"/>
              <w:spacing w:before="0" w:after="0"/>
              <w:ind w:left="0"/>
              <w:rPr>
                <w:b/>
                <w:lang w:val="fr-BE"/>
              </w:rPr>
            </w:pPr>
            <w:r w:rsidRPr="00B81F97">
              <w:rPr>
                <w:b/>
                <w:noProof/>
                <w:lang w:val="fr-BE"/>
              </w:rPr>
              <w:t>Po</w:t>
            </w:r>
            <w:r w:rsidRPr="00B81F97">
              <w:rPr>
                <w:b/>
                <w:noProof/>
                <w:lang w:val="fr-BE"/>
              </w:rPr>
              <w:t>sebni cilj</w:t>
            </w:r>
          </w:p>
        </w:tc>
        <w:tc>
          <w:tcPr>
            <w:tcW w:w="0" w:type="auto"/>
            <w:shd w:val="clear" w:color="auto" w:fill="auto"/>
          </w:tcPr>
          <w:p w:rsidR="00115C60" w:rsidRPr="00B81F97" w:rsidRDefault="00D012F3" w:rsidP="00003291">
            <w:pPr>
              <w:pStyle w:val="Text1"/>
              <w:spacing w:before="0" w:after="0"/>
              <w:ind w:left="0"/>
              <w:rPr>
                <w:b/>
                <w:lang w:val="fr-BE"/>
              </w:rPr>
            </w:pPr>
            <w:r w:rsidRPr="00B81F97">
              <w:rPr>
                <w:b/>
                <w:noProof/>
                <w:lang w:val="fr-BE"/>
              </w:rPr>
              <w:t>Skupni znesek v EUR, dodeljen (s pogodbo, kot nepovratna sredstva ali z drugim sporazumom) do datuma tega poročila</w:t>
            </w:r>
          </w:p>
        </w:tc>
        <w:tc>
          <w:tcPr>
            <w:tcW w:w="0" w:type="auto"/>
            <w:shd w:val="clear" w:color="auto" w:fill="auto"/>
          </w:tcPr>
          <w:p w:rsidR="00115C60" w:rsidRPr="00B81F97" w:rsidRDefault="00D012F3" w:rsidP="00003291">
            <w:pPr>
              <w:pStyle w:val="Text1"/>
              <w:spacing w:before="0" w:after="0"/>
              <w:ind w:left="0"/>
              <w:rPr>
                <w:b/>
                <w:lang w:val="fr-BE"/>
              </w:rPr>
            </w:pPr>
            <w:r w:rsidRPr="00B81F97">
              <w:rPr>
                <w:b/>
                <w:noProof/>
                <w:lang w:val="fr-BE"/>
              </w:rPr>
              <w:t>% skupnih povezanih dodelitev</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Pr>
                <w:noProof/>
                <w:lang w:val="fr-BE"/>
              </w:rPr>
              <w:t>SO1 - Azil</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5.229.444,46</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107,26%</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Pr>
                <w:noProof/>
                <w:lang w:val="fr-BE"/>
              </w:rPr>
              <w:t>SO2 - Vključevanje / zakonito priseljevanje</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8.172.064,10</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102,27%</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Pr>
                <w:noProof/>
                <w:lang w:val="fr-BE"/>
              </w:rPr>
              <w:t>SO3 - Vračanje</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4.118.893,59</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88,15%</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Pr>
                <w:noProof/>
                <w:lang w:val="fr-BE"/>
              </w:rPr>
              <w:t>SO4 - Solidarnost</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1.894.800,00</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502,87%</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Pr>
                <w:noProof/>
                <w:lang w:val="fr-BE"/>
              </w:rPr>
              <w:t>Tehnična pomoč</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620.676,85</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103,11%</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Pr>
                <w:noProof/>
                <w:lang w:val="fr-BE"/>
              </w:rPr>
              <w:t>Posebni primeri</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0,00</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0,00%</w:t>
            </w:r>
          </w:p>
        </w:tc>
      </w:tr>
      <w:tr w:rsidR="00070F95" w:rsidTr="00003291">
        <w:tc>
          <w:tcPr>
            <w:tcW w:w="0" w:type="auto"/>
            <w:shd w:val="clear" w:color="auto" w:fill="auto"/>
          </w:tcPr>
          <w:p w:rsidR="00115C60" w:rsidRPr="00B81F97" w:rsidRDefault="00D012F3" w:rsidP="00003291">
            <w:pPr>
              <w:pStyle w:val="Text1"/>
              <w:spacing w:before="0" w:after="0"/>
              <w:ind w:left="0"/>
              <w:rPr>
                <w:lang w:val="fr-BE"/>
              </w:rPr>
            </w:pPr>
            <w:r w:rsidRPr="004C286E">
              <w:rPr>
                <w:b/>
                <w:noProof/>
                <w:lang w:val="fr-BE"/>
              </w:rPr>
              <w:t>Skupaj Sklad za azil, migracije in vključevanje</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20.035.879,00</w:t>
            </w:r>
          </w:p>
        </w:tc>
        <w:tc>
          <w:tcPr>
            <w:tcW w:w="0" w:type="auto"/>
            <w:shd w:val="clear" w:color="auto" w:fill="auto"/>
          </w:tcPr>
          <w:p w:rsidR="00115C60" w:rsidRPr="00B81F97" w:rsidRDefault="00D012F3" w:rsidP="00003291">
            <w:pPr>
              <w:pStyle w:val="Text1"/>
              <w:spacing w:before="0" w:after="0"/>
              <w:ind w:left="0"/>
              <w:jc w:val="right"/>
              <w:rPr>
                <w:lang w:val="fr-BE"/>
              </w:rPr>
            </w:pPr>
            <w:r>
              <w:rPr>
                <w:noProof/>
                <w:lang w:val="fr-BE"/>
              </w:rPr>
              <w:t>97,09%</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4877EB" w:rsidRDefault="008054E0" w:rsidP="004877EB">
      <w:pPr>
        <w:pStyle w:val="Naslov1"/>
        <w:numPr>
          <w:ilvl w:val="0"/>
          <w:numId w:val="0"/>
        </w:numPr>
        <w:spacing w:before="0" w:after="0"/>
        <w:rPr>
          <w:lang w:val="fr-BE"/>
        </w:rPr>
      </w:pPr>
      <w:bookmarkStart w:id="24" w:name="_Toc256000025"/>
      <w:r>
        <w:rPr>
          <w:noProof/>
          <w:lang w:val="fr-BE"/>
        </w:rPr>
        <w:t>ODDELEK 9: POROČANJE O ODHODKIH V ZVEZI S COVID-19</w:t>
      </w:r>
      <w:bookmarkEnd w:id="24"/>
    </w:p>
    <w:p w:rsidR="00B94675" w:rsidRDefault="00B94675" w:rsidP="00C36C5C">
      <w:pPr>
        <w:pStyle w:val="Text1"/>
        <w:spacing w:before="0" w:after="0"/>
        <w:ind w:left="0"/>
        <w:rPr>
          <w:lang w:val="fr-BE"/>
        </w:rPr>
      </w:pPr>
    </w:p>
    <w:p w:rsidR="00C36C5C" w:rsidRDefault="00D012F3" w:rsidP="00C36C5C">
      <w:pPr>
        <w:pStyle w:val="Text1"/>
        <w:spacing w:before="0" w:after="0"/>
        <w:ind w:left="0"/>
        <w:rPr>
          <w:lang w:val="fr-BE"/>
        </w:rPr>
      </w:pPr>
      <w:r>
        <w:rPr>
          <w:noProof/>
          <w:lang w:val="fr-BE"/>
        </w:rPr>
        <w:t>I. Pojasnilo</w:t>
      </w:r>
    </w:p>
    <w:p w:rsidR="00C36C5C" w:rsidRDefault="00C36C5C" w:rsidP="00C36C5C">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070F95" w:rsidTr="00A2107F">
        <w:tc>
          <w:tcPr>
            <w:tcW w:w="0" w:type="auto"/>
            <w:shd w:val="clear" w:color="auto" w:fill="auto"/>
          </w:tcPr>
          <w:p w:rsidR="00C36C5C" w:rsidRPr="00003291" w:rsidRDefault="00C36C5C" w:rsidP="00A2107F">
            <w:pPr>
              <w:pStyle w:val="Text1"/>
              <w:spacing w:before="0" w:after="0"/>
              <w:ind w:left="0"/>
              <w:rPr>
                <w:lang w:val="fr-BE"/>
              </w:rPr>
            </w:pPr>
          </w:p>
        </w:tc>
      </w:tr>
    </w:tbl>
    <w:p w:rsidR="00C36C5C" w:rsidRDefault="00C36C5C" w:rsidP="004877EB">
      <w:pPr>
        <w:pStyle w:val="Text1"/>
        <w:spacing w:before="0" w:after="0"/>
        <w:ind w:left="0"/>
        <w:rPr>
          <w:lang w:val="fr-BE"/>
        </w:rPr>
      </w:pPr>
    </w:p>
    <w:p w:rsidR="004877EB" w:rsidRDefault="00C36C5C" w:rsidP="00552086">
      <w:pPr>
        <w:pStyle w:val="Text1"/>
        <w:keepNext/>
        <w:spacing w:before="0" w:after="0"/>
        <w:ind w:left="0"/>
        <w:rPr>
          <w:lang w:val="fr-BE"/>
        </w:rPr>
      </w:pPr>
      <w:r>
        <w:rPr>
          <w:noProof/>
          <w:lang w:val="fr-BE"/>
        </w:rPr>
        <w:t>II. Odhodki v zvezi s COVID-19 (prispevek EU)</w:t>
      </w:r>
    </w:p>
    <w:p w:rsidR="00B94675" w:rsidRDefault="00B94675" w:rsidP="00552086">
      <w:pPr>
        <w:pStyle w:val="Text1"/>
        <w:keepNext/>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860"/>
        <w:gridCol w:w="1860"/>
        <w:gridCol w:w="1860"/>
        <w:gridCol w:w="1860"/>
        <w:gridCol w:w="1854"/>
      </w:tblGrid>
      <w:tr w:rsidR="00070F95" w:rsidTr="00DB6C33">
        <w:trPr>
          <w:cantSplit/>
          <w:trHeight w:val="1164"/>
        </w:trPr>
        <w:tc>
          <w:tcPr>
            <w:tcW w:w="0" w:type="auto"/>
            <w:shd w:val="clear" w:color="auto" w:fill="auto"/>
          </w:tcPr>
          <w:p w:rsidR="00B60380" w:rsidRPr="00B81F97" w:rsidRDefault="00D012F3" w:rsidP="00A2107F">
            <w:pPr>
              <w:pStyle w:val="Text1"/>
              <w:spacing w:before="0" w:after="0"/>
              <w:ind w:left="0"/>
              <w:rPr>
                <w:b/>
                <w:lang w:val="fr-BE"/>
              </w:rPr>
            </w:pPr>
            <w:r>
              <w:rPr>
                <w:b/>
                <w:noProof/>
                <w:lang w:val="fr-BE"/>
              </w:rPr>
              <w:t>Obveznosti: Prispevek EU za ukrepe za boj proti COVID-19(*)</w:t>
            </w:r>
          </w:p>
        </w:tc>
        <w:tc>
          <w:tcPr>
            <w:tcW w:w="0" w:type="auto"/>
            <w:shd w:val="clear" w:color="auto" w:fill="auto"/>
          </w:tcPr>
          <w:p w:rsidR="00B60380" w:rsidRPr="00B81F97" w:rsidRDefault="00D012F3" w:rsidP="00A2107F">
            <w:pPr>
              <w:pStyle w:val="Text1"/>
              <w:spacing w:before="0" w:after="0"/>
              <w:ind w:left="0"/>
              <w:rPr>
                <w:b/>
                <w:lang w:val="fr-BE"/>
              </w:rPr>
            </w:pPr>
            <w:r>
              <w:rPr>
                <w:b/>
                <w:noProof/>
                <w:lang w:val="fr-BE"/>
              </w:rPr>
              <w:t>Plačila: Prispevek EU za ukrepe za boj proti COVID-19, prikazan v računovodskih izkazih za leto 2020</w:t>
            </w:r>
          </w:p>
        </w:tc>
        <w:tc>
          <w:tcPr>
            <w:tcW w:w="0" w:type="auto"/>
          </w:tcPr>
          <w:p w:rsidR="00B60380" w:rsidRDefault="00D012F3" w:rsidP="00A2107F">
            <w:pPr>
              <w:pStyle w:val="Text1"/>
              <w:spacing w:before="0" w:after="0"/>
              <w:ind w:left="0"/>
              <w:rPr>
                <w:b/>
                <w:lang w:val="fr-BE"/>
              </w:rPr>
            </w:pPr>
            <w:r>
              <w:rPr>
                <w:b/>
                <w:noProof/>
                <w:lang w:val="fr-BE"/>
              </w:rPr>
              <w:t>Plačila: Prispevek EU</w:t>
            </w:r>
            <w:r>
              <w:rPr>
                <w:b/>
                <w:noProof/>
                <w:lang w:val="fr-BE"/>
              </w:rPr>
              <w:t xml:space="preserve"> za ukrepe za boj proti COVID-19, prikazan v računovodskih izkazih za leto 2021</w:t>
            </w:r>
          </w:p>
        </w:tc>
        <w:tc>
          <w:tcPr>
            <w:tcW w:w="0" w:type="auto"/>
          </w:tcPr>
          <w:p w:rsidR="00B60380" w:rsidRDefault="00D012F3" w:rsidP="00A2107F">
            <w:pPr>
              <w:pStyle w:val="Text1"/>
              <w:spacing w:before="0" w:after="0"/>
              <w:ind w:left="0"/>
              <w:rPr>
                <w:b/>
                <w:lang w:val="fr-BE"/>
              </w:rPr>
            </w:pPr>
            <w:r>
              <w:rPr>
                <w:b/>
                <w:noProof/>
                <w:lang w:val="fr-BE"/>
              </w:rPr>
              <w:t>Plačila: Prispevek EU za ukrepe za boj proti COVID-19, prikazan v računovodskih izkazih za leto 2022</w:t>
            </w:r>
          </w:p>
        </w:tc>
        <w:tc>
          <w:tcPr>
            <w:tcW w:w="0" w:type="auto"/>
          </w:tcPr>
          <w:p w:rsidR="00B60380" w:rsidRDefault="00D012F3" w:rsidP="00A2107F">
            <w:pPr>
              <w:pStyle w:val="Text1"/>
              <w:spacing w:before="0" w:after="0"/>
              <w:ind w:left="0"/>
              <w:rPr>
                <w:b/>
                <w:lang w:val="fr-BE"/>
              </w:rPr>
            </w:pPr>
            <w:r>
              <w:rPr>
                <w:b/>
                <w:noProof/>
                <w:lang w:val="fr-BE"/>
              </w:rPr>
              <w:t>Plačila: Prispevek EU za ukrepe za boj proti COVID-19, prikazan v računovod</w:t>
            </w:r>
            <w:r>
              <w:rPr>
                <w:b/>
                <w:noProof/>
                <w:lang w:val="fr-BE"/>
              </w:rPr>
              <w:t>skih izkazih za leto 2023</w:t>
            </w:r>
          </w:p>
        </w:tc>
        <w:tc>
          <w:tcPr>
            <w:tcW w:w="0" w:type="auto"/>
            <w:shd w:val="clear" w:color="auto" w:fill="auto"/>
          </w:tcPr>
          <w:p w:rsidR="00B60380" w:rsidRPr="00B81F97" w:rsidRDefault="00D012F3" w:rsidP="00A2107F">
            <w:pPr>
              <w:pStyle w:val="Text1"/>
              <w:spacing w:before="0" w:after="0"/>
              <w:ind w:left="0"/>
              <w:rPr>
                <w:b/>
                <w:lang w:val="fr-BE"/>
              </w:rPr>
            </w:pPr>
            <w:r>
              <w:rPr>
                <w:b/>
                <w:noProof/>
                <w:lang w:val="fr-BE"/>
              </w:rPr>
              <w:t>Plačila: Skupni prispevek EU za ukrepe za boj proti COVID-19, prikazan v računovodskih izkazih</w:t>
            </w:r>
          </w:p>
        </w:tc>
      </w:tr>
      <w:tr w:rsidR="00070F95" w:rsidTr="00DB6C33">
        <w:trPr>
          <w:cantSplit/>
        </w:trPr>
        <w:tc>
          <w:tcPr>
            <w:tcW w:w="0" w:type="auto"/>
            <w:shd w:val="clear" w:color="auto" w:fill="auto"/>
          </w:tcPr>
          <w:p w:rsidR="00B60380" w:rsidRPr="00B81F97" w:rsidRDefault="00B60380" w:rsidP="00C1692E">
            <w:pPr>
              <w:pStyle w:val="Text1"/>
              <w:spacing w:before="0" w:after="0"/>
              <w:ind w:left="0"/>
              <w:jc w:val="right"/>
              <w:rPr>
                <w:lang w:val="fr-BE"/>
              </w:rPr>
            </w:pPr>
          </w:p>
        </w:tc>
        <w:tc>
          <w:tcPr>
            <w:tcW w:w="0" w:type="auto"/>
            <w:shd w:val="clear" w:color="auto" w:fill="auto"/>
          </w:tcPr>
          <w:p w:rsidR="00B60380" w:rsidRPr="00B81F97" w:rsidRDefault="00B60380" w:rsidP="00A2107F">
            <w:pPr>
              <w:pStyle w:val="Text1"/>
              <w:spacing w:before="0" w:after="0"/>
              <w:ind w:left="0"/>
              <w:jc w:val="right"/>
              <w:rPr>
                <w:lang w:val="fr-BE"/>
              </w:rPr>
            </w:pPr>
          </w:p>
        </w:tc>
        <w:tc>
          <w:tcPr>
            <w:tcW w:w="0" w:type="auto"/>
          </w:tcPr>
          <w:p w:rsidR="00B60380" w:rsidRDefault="00B60380" w:rsidP="00A2107F">
            <w:pPr>
              <w:pStyle w:val="Text1"/>
              <w:spacing w:before="0" w:after="0"/>
              <w:ind w:left="0"/>
              <w:jc w:val="right"/>
              <w:rPr>
                <w:lang w:val="fr-BE"/>
              </w:rPr>
            </w:pPr>
          </w:p>
        </w:tc>
        <w:tc>
          <w:tcPr>
            <w:tcW w:w="0" w:type="auto"/>
          </w:tcPr>
          <w:p w:rsidR="00B60380" w:rsidRDefault="00B60380" w:rsidP="00A2107F">
            <w:pPr>
              <w:pStyle w:val="Text1"/>
              <w:spacing w:before="0" w:after="0"/>
              <w:ind w:left="0"/>
              <w:jc w:val="right"/>
              <w:rPr>
                <w:lang w:val="fr-BE"/>
              </w:rPr>
            </w:pPr>
          </w:p>
        </w:tc>
        <w:tc>
          <w:tcPr>
            <w:tcW w:w="0" w:type="auto"/>
          </w:tcPr>
          <w:p w:rsidR="00B60380" w:rsidRDefault="00B60380" w:rsidP="00A2107F">
            <w:pPr>
              <w:pStyle w:val="Text1"/>
              <w:spacing w:before="0" w:after="0"/>
              <w:ind w:left="0"/>
              <w:jc w:val="right"/>
              <w:rPr>
                <w:lang w:val="fr-BE"/>
              </w:rPr>
            </w:pPr>
          </w:p>
        </w:tc>
        <w:tc>
          <w:tcPr>
            <w:tcW w:w="0" w:type="auto"/>
            <w:shd w:val="clear" w:color="auto" w:fill="auto"/>
          </w:tcPr>
          <w:p w:rsidR="00B60380" w:rsidRPr="00B81F97" w:rsidRDefault="00B60380" w:rsidP="00A2107F">
            <w:pPr>
              <w:pStyle w:val="Text1"/>
              <w:spacing w:before="0" w:after="0"/>
              <w:ind w:left="0"/>
              <w:jc w:val="right"/>
              <w:rPr>
                <w:lang w:val="fr-BE"/>
              </w:rPr>
            </w:pPr>
          </w:p>
        </w:tc>
      </w:tr>
    </w:tbl>
    <w:p w:rsidR="00955A91" w:rsidRPr="00955A91" w:rsidRDefault="00D012F3" w:rsidP="00115C60">
      <w:pPr>
        <w:rPr>
          <w:sz w:val="20"/>
          <w:szCs w:val="20"/>
        </w:rPr>
      </w:pPr>
      <w:r w:rsidRPr="00955A91">
        <w:rPr>
          <w:noProof/>
          <w:sz w:val="20"/>
          <w:szCs w:val="20"/>
        </w:rPr>
        <w:t>(*) V računovodskih izkazih so samo zneski, povezani s projekti.</w:t>
      </w: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D012F3" w:rsidP="00BE2F0F">
      <w:pPr>
        <w:pStyle w:val="Heading10"/>
        <w:tabs>
          <w:tab w:val="clear" w:pos="850"/>
        </w:tabs>
        <w:ind w:left="0" w:right="-283" w:firstLine="0"/>
      </w:pPr>
      <w:bookmarkStart w:id="25" w:name="_Toc256000026"/>
      <w:r>
        <w:rPr>
          <w:noProof/>
        </w:rPr>
        <w:lastRenderedPageBreak/>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070F95" w:rsidTr="00A67CCA">
        <w:trPr>
          <w:trHeight w:val="283"/>
          <w:tblHeader/>
        </w:trPr>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 xml:space="preserve">Naslov </w:t>
            </w:r>
            <w:r>
              <w:rPr>
                <w:b/>
                <w:noProof/>
                <w:sz w:val="16"/>
                <w:szCs w:val="16"/>
              </w:rPr>
              <w:t>dokumenta</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D012F3"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7"/>
      <w:r>
        <w:rPr>
          <w:noProof/>
        </w:rPr>
        <w:lastRenderedPageBreak/>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070F95" w:rsidTr="00BA1B5A">
        <w:trPr>
          <w:trHeight w:val="283"/>
          <w:tblHeader/>
        </w:trPr>
        <w:tc>
          <w:tcPr>
            <w:tcW w:w="0" w:type="auto"/>
            <w:shd w:val="clear" w:color="auto" w:fill="auto"/>
            <w:vAlign w:val="center"/>
          </w:tcPr>
          <w:p w:rsidR="00434D73" w:rsidRPr="00DD2742" w:rsidRDefault="00D012F3"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D012F3"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D012F3" w:rsidP="006477CC">
            <w:pPr>
              <w:pStyle w:val="NormalCentered"/>
              <w:spacing w:before="0" w:after="0"/>
              <w:rPr>
                <w:b/>
                <w:sz w:val="16"/>
                <w:szCs w:val="16"/>
              </w:rPr>
            </w:pPr>
            <w:r w:rsidRPr="00DD2742">
              <w:rPr>
                <w:b/>
                <w:noProof/>
                <w:sz w:val="16"/>
                <w:szCs w:val="16"/>
              </w:rPr>
              <w:t>Sporočilo</w:t>
            </w:r>
          </w:p>
        </w:tc>
      </w:tr>
      <w:tr w:rsidR="00070F95" w:rsidTr="00BA1B5A">
        <w:trPr>
          <w:trHeight w:val="283"/>
        </w:trPr>
        <w:tc>
          <w:tcPr>
            <w:tcW w:w="0" w:type="auto"/>
            <w:shd w:val="clear" w:color="auto" w:fill="auto"/>
          </w:tcPr>
          <w:p w:rsidR="00434D73" w:rsidRPr="00DD2742" w:rsidRDefault="00D012F3"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D012F3"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12F3">
      <w:pPr>
        <w:spacing w:before="0" w:after="0"/>
      </w:pPr>
      <w:r>
        <w:separator/>
      </w:r>
    </w:p>
  </w:endnote>
  <w:endnote w:type="continuationSeparator" w:id="0">
    <w:p w:rsidR="00000000" w:rsidRDefault="00D012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D012F3"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D012F3">
      <w:rPr>
        <w:noProof/>
      </w:rPr>
      <w:t>29</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D012F3"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12</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012F3">
      <w:rPr>
        <w:noProof/>
      </w:rPr>
      <w:t>13</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D012F3"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012F3">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D012F3"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25</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012F3">
      <w:rPr>
        <w:noProof/>
      </w:rPr>
      <w:t>27</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D012F3">
      <w:rPr>
        <w:noProof/>
      </w:rPr>
      <w:t>28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12F3">
      <w:pPr>
        <w:spacing w:before="0" w:after="0"/>
      </w:pPr>
      <w:r>
        <w:separator/>
      </w:r>
    </w:p>
  </w:footnote>
  <w:footnote w:type="continuationSeparator" w:id="0">
    <w:p w:rsidR="00000000" w:rsidRDefault="00D012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FF1206CA">
      <w:start w:val="1"/>
      <w:numFmt w:val="decimal"/>
      <w:pStyle w:val="StyleHeading1Left0cm"/>
      <w:lvlText w:val="%1."/>
      <w:lvlJc w:val="left"/>
      <w:pPr>
        <w:ind w:left="360" w:hanging="360"/>
      </w:pPr>
    </w:lvl>
    <w:lvl w:ilvl="1" w:tplc="D940FC70" w:tentative="1">
      <w:start w:val="1"/>
      <w:numFmt w:val="lowerLetter"/>
      <w:lvlText w:val="%2."/>
      <w:lvlJc w:val="left"/>
      <w:pPr>
        <w:ind w:left="1440" w:hanging="360"/>
      </w:pPr>
    </w:lvl>
    <w:lvl w:ilvl="2" w:tplc="18C81432" w:tentative="1">
      <w:start w:val="1"/>
      <w:numFmt w:val="lowerRoman"/>
      <w:lvlText w:val="%3."/>
      <w:lvlJc w:val="right"/>
      <w:pPr>
        <w:ind w:left="2160" w:hanging="180"/>
      </w:pPr>
    </w:lvl>
    <w:lvl w:ilvl="3" w:tplc="01F0D77E" w:tentative="1">
      <w:start w:val="1"/>
      <w:numFmt w:val="decimal"/>
      <w:lvlText w:val="%4."/>
      <w:lvlJc w:val="left"/>
      <w:pPr>
        <w:ind w:left="2880" w:hanging="360"/>
      </w:pPr>
    </w:lvl>
    <w:lvl w:ilvl="4" w:tplc="B6BCD59C" w:tentative="1">
      <w:start w:val="1"/>
      <w:numFmt w:val="lowerLetter"/>
      <w:lvlText w:val="%5."/>
      <w:lvlJc w:val="left"/>
      <w:pPr>
        <w:ind w:left="3600" w:hanging="360"/>
      </w:pPr>
    </w:lvl>
    <w:lvl w:ilvl="5" w:tplc="7F5459AE" w:tentative="1">
      <w:start w:val="1"/>
      <w:numFmt w:val="lowerRoman"/>
      <w:lvlText w:val="%6."/>
      <w:lvlJc w:val="right"/>
      <w:pPr>
        <w:ind w:left="4320" w:hanging="180"/>
      </w:pPr>
    </w:lvl>
    <w:lvl w:ilvl="6" w:tplc="B9B6F508" w:tentative="1">
      <w:start w:val="1"/>
      <w:numFmt w:val="decimal"/>
      <w:lvlText w:val="%7."/>
      <w:lvlJc w:val="left"/>
      <w:pPr>
        <w:ind w:left="5040" w:hanging="360"/>
      </w:pPr>
    </w:lvl>
    <w:lvl w:ilvl="7" w:tplc="E854A4FA" w:tentative="1">
      <w:start w:val="1"/>
      <w:numFmt w:val="lowerLetter"/>
      <w:lvlText w:val="%8."/>
      <w:lvlJc w:val="left"/>
      <w:pPr>
        <w:ind w:left="5760" w:hanging="360"/>
      </w:pPr>
    </w:lvl>
    <w:lvl w:ilvl="8" w:tplc="97006FDE"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7B96885E">
      <w:start w:val="1"/>
      <w:numFmt w:val="bullet"/>
      <w:lvlText w:val=""/>
      <w:lvlJc w:val="left"/>
      <w:pPr>
        <w:ind w:left="720" w:hanging="360"/>
      </w:pPr>
      <w:rPr>
        <w:rFonts w:ascii="Symbol" w:hAnsi="Symbol" w:hint="default"/>
      </w:rPr>
    </w:lvl>
    <w:lvl w:ilvl="1" w:tplc="2024555A" w:tentative="1">
      <w:start w:val="1"/>
      <w:numFmt w:val="bullet"/>
      <w:lvlText w:val="o"/>
      <w:lvlJc w:val="left"/>
      <w:pPr>
        <w:ind w:left="1440" w:hanging="360"/>
      </w:pPr>
      <w:rPr>
        <w:rFonts w:ascii="Courier New" w:hAnsi="Courier New" w:cs="Courier New" w:hint="default"/>
      </w:rPr>
    </w:lvl>
    <w:lvl w:ilvl="2" w:tplc="F5E4BDBE" w:tentative="1">
      <w:start w:val="1"/>
      <w:numFmt w:val="bullet"/>
      <w:lvlText w:val=""/>
      <w:lvlJc w:val="left"/>
      <w:pPr>
        <w:ind w:left="2160" w:hanging="360"/>
      </w:pPr>
      <w:rPr>
        <w:rFonts w:ascii="Wingdings" w:hAnsi="Wingdings" w:hint="default"/>
      </w:rPr>
    </w:lvl>
    <w:lvl w:ilvl="3" w:tplc="A106CF18" w:tentative="1">
      <w:start w:val="1"/>
      <w:numFmt w:val="bullet"/>
      <w:lvlText w:val=""/>
      <w:lvlJc w:val="left"/>
      <w:pPr>
        <w:ind w:left="2880" w:hanging="360"/>
      </w:pPr>
      <w:rPr>
        <w:rFonts w:ascii="Symbol" w:hAnsi="Symbol" w:hint="default"/>
      </w:rPr>
    </w:lvl>
    <w:lvl w:ilvl="4" w:tplc="7FA0B346" w:tentative="1">
      <w:start w:val="1"/>
      <w:numFmt w:val="bullet"/>
      <w:lvlText w:val="o"/>
      <w:lvlJc w:val="left"/>
      <w:pPr>
        <w:ind w:left="3600" w:hanging="360"/>
      </w:pPr>
      <w:rPr>
        <w:rFonts w:ascii="Courier New" w:hAnsi="Courier New" w:cs="Courier New" w:hint="default"/>
      </w:rPr>
    </w:lvl>
    <w:lvl w:ilvl="5" w:tplc="07384250" w:tentative="1">
      <w:start w:val="1"/>
      <w:numFmt w:val="bullet"/>
      <w:lvlText w:val=""/>
      <w:lvlJc w:val="left"/>
      <w:pPr>
        <w:ind w:left="4320" w:hanging="360"/>
      </w:pPr>
      <w:rPr>
        <w:rFonts w:ascii="Wingdings" w:hAnsi="Wingdings" w:hint="default"/>
      </w:rPr>
    </w:lvl>
    <w:lvl w:ilvl="6" w:tplc="5AB07AC0" w:tentative="1">
      <w:start w:val="1"/>
      <w:numFmt w:val="bullet"/>
      <w:lvlText w:val=""/>
      <w:lvlJc w:val="left"/>
      <w:pPr>
        <w:ind w:left="5040" w:hanging="360"/>
      </w:pPr>
      <w:rPr>
        <w:rFonts w:ascii="Symbol" w:hAnsi="Symbol" w:hint="default"/>
      </w:rPr>
    </w:lvl>
    <w:lvl w:ilvl="7" w:tplc="8EDACAEA" w:tentative="1">
      <w:start w:val="1"/>
      <w:numFmt w:val="bullet"/>
      <w:lvlText w:val="o"/>
      <w:lvlJc w:val="left"/>
      <w:pPr>
        <w:ind w:left="5760" w:hanging="360"/>
      </w:pPr>
      <w:rPr>
        <w:rFonts w:ascii="Courier New" w:hAnsi="Courier New" w:cs="Courier New" w:hint="default"/>
      </w:rPr>
    </w:lvl>
    <w:lvl w:ilvl="8" w:tplc="F20A2778"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DAFA5260">
      <w:start w:val="1"/>
      <w:numFmt w:val="decimal"/>
      <w:lvlText w:val="%1."/>
      <w:lvlJc w:val="left"/>
      <w:pPr>
        <w:ind w:left="720" w:hanging="360"/>
      </w:pPr>
    </w:lvl>
    <w:lvl w:ilvl="1" w:tplc="A4DAC1D6" w:tentative="1">
      <w:start w:val="1"/>
      <w:numFmt w:val="lowerLetter"/>
      <w:lvlText w:val="%2."/>
      <w:lvlJc w:val="left"/>
      <w:pPr>
        <w:ind w:left="1440" w:hanging="360"/>
      </w:pPr>
    </w:lvl>
    <w:lvl w:ilvl="2" w:tplc="A21A31AA" w:tentative="1">
      <w:start w:val="1"/>
      <w:numFmt w:val="lowerRoman"/>
      <w:lvlText w:val="%3."/>
      <w:lvlJc w:val="right"/>
      <w:pPr>
        <w:ind w:left="2160" w:hanging="180"/>
      </w:pPr>
    </w:lvl>
    <w:lvl w:ilvl="3" w:tplc="C8200A72" w:tentative="1">
      <w:start w:val="1"/>
      <w:numFmt w:val="decimal"/>
      <w:lvlText w:val="%4."/>
      <w:lvlJc w:val="left"/>
      <w:pPr>
        <w:ind w:left="2880" w:hanging="360"/>
      </w:pPr>
    </w:lvl>
    <w:lvl w:ilvl="4" w:tplc="FCB8A752" w:tentative="1">
      <w:start w:val="1"/>
      <w:numFmt w:val="lowerLetter"/>
      <w:lvlText w:val="%5."/>
      <w:lvlJc w:val="left"/>
      <w:pPr>
        <w:ind w:left="3600" w:hanging="360"/>
      </w:pPr>
    </w:lvl>
    <w:lvl w:ilvl="5" w:tplc="625840F4" w:tentative="1">
      <w:start w:val="1"/>
      <w:numFmt w:val="lowerRoman"/>
      <w:lvlText w:val="%6."/>
      <w:lvlJc w:val="right"/>
      <w:pPr>
        <w:ind w:left="4320" w:hanging="180"/>
      </w:pPr>
    </w:lvl>
    <w:lvl w:ilvl="6" w:tplc="300EDF34" w:tentative="1">
      <w:start w:val="1"/>
      <w:numFmt w:val="decimal"/>
      <w:lvlText w:val="%7."/>
      <w:lvlJc w:val="left"/>
      <w:pPr>
        <w:ind w:left="5040" w:hanging="360"/>
      </w:pPr>
    </w:lvl>
    <w:lvl w:ilvl="7" w:tplc="56CC2C48" w:tentative="1">
      <w:start w:val="1"/>
      <w:numFmt w:val="lowerLetter"/>
      <w:lvlText w:val="%8."/>
      <w:lvlJc w:val="left"/>
      <w:pPr>
        <w:ind w:left="5760" w:hanging="360"/>
      </w:pPr>
    </w:lvl>
    <w:lvl w:ilvl="8" w:tplc="43C8BDA8"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BD4EFAD0">
      <w:start w:val="1"/>
      <w:numFmt w:val="bullet"/>
      <w:lvlText w:val=""/>
      <w:lvlJc w:val="left"/>
      <w:pPr>
        <w:ind w:left="720" w:hanging="360"/>
      </w:pPr>
      <w:rPr>
        <w:rFonts w:ascii="Symbol" w:hAnsi="Symbol"/>
      </w:rPr>
    </w:lvl>
    <w:lvl w:ilvl="1" w:tplc="9304AAA2">
      <w:start w:val="1"/>
      <w:numFmt w:val="bullet"/>
      <w:lvlText w:val="o"/>
      <w:lvlJc w:val="left"/>
      <w:pPr>
        <w:tabs>
          <w:tab w:val="num" w:pos="1440"/>
        </w:tabs>
        <w:ind w:left="1440" w:hanging="360"/>
      </w:pPr>
      <w:rPr>
        <w:rFonts w:ascii="Courier New" w:hAnsi="Courier New"/>
      </w:rPr>
    </w:lvl>
    <w:lvl w:ilvl="2" w:tplc="B06A532E">
      <w:start w:val="1"/>
      <w:numFmt w:val="bullet"/>
      <w:lvlText w:val=""/>
      <w:lvlJc w:val="left"/>
      <w:pPr>
        <w:tabs>
          <w:tab w:val="num" w:pos="2160"/>
        </w:tabs>
        <w:ind w:left="2160" w:hanging="360"/>
      </w:pPr>
      <w:rPr>
        <w:rFonts w:ascii="Wingdings" w:hAnsi="Wingdings"/>
      </w:rPr>
    </w:lvl>
    <w:lvl w:ilvl="3" w:tplc="760078DE">
      <w:start w:val="1"/>
      <w:numFmt w:val="bullet"/>
      <w:lvlText w:val=""/>
      <w:lvlJc w:val="left"/>
      <w:pPr>
        <w:tabs>
          <w:tab w:val="num" w:pos="2880"/>
        </w:tabs>
        <w:ind w:left="2880" w:hanging="360"/>
      </w:pPr>
      <w:rPr>
        <w:rFonts w:ascii="Symbol" w:hAnsi="Symbol"/>
      </w:rPr>
    </w:lvl>
    <w:lvl w:ilvl="4" w:tplc="51D6DF80">
      <w:start w:val="1"/>
      <w:numFmt w:val="bullet"/>
      <w:lvlText w:val="o"/>
      <w:lvlJc w:val="left"/>
      <w:pPr>
        <w:tabs>
          <w:tab w:val="num" w:pos="3600"/>
        </w:tabs>
        <w:ind w:left="3600" w:hanging="360"/>
      </w:pPr>
      <w:rPr>
        <w:rFonts w:ascii="Courier New" w:hAnsi="Courier New"/>
      </w:rPr>
    </w:lvl>
    <w:lvl w:ilvl="5" w:tplc="BD387D2A">
      <w:start w:val="1"/>
      <w:numFmt w:val="bullet"/>
      <w:lvlText w:val=""/>
      <w:lvlJc w:val="left"/>
      <w:pPr>
        <w:tabs>
          <w:tab w:val="num" w:pos="4320"/>
        </w:tabs>
        <w:ind w:left="4320" w:hanging="360"/>
      </w:pPr>
      <w:rPr>
        <w:rFonts w:ascii="Wingdings" w:hAnsi="Wingdings"/>
      </w:rPr>
    </w:lvl>
    <w:lvl w:ilvl="6" w:tplc="247604AA">
      <w:start w:val="1"/>
      <w:numFmt w:val="bullet"/>
      <w:lvlText w:val=""/>
      <w:lvlJc w:val="left"/>
      <w:pPr>
        <w:tabs>
          <w:tab w:val="num" w:pos="5040"/>
        </w:tabs>
        <w:ind w:left="5040" w:hanging="360"/>
      </w:pPr>
      <w:rPr>
        <w:rFonts w:ascii="Symbol" w:hAnsi="Symbol"/>
      </w:rPr>
    </w:lvl>
    <w:lvl w:ilvl="7" w:tplc="36DAAEE6">
      <w:start w:val="1"/>
      <w:numFmt w:val="bullet"/>
      <w:lvlText w:val="o"/>
      <w:lvlJc w:val="left"/>
      <w:pPr>
        <w:tabs>
          <w:tab w:val="num" w:pos="5760"/>
        </w:tabs>
        <w:ind w:left="5760" w:hanging="360"/>
      </w:pPr>
      <w:rPr>
        <w:rFonts w:ascii="Courier New" w:hAnsi="Courier New"/>
      </w:rPr>
    </w:lvl>
    <w:lvl w:ilvl="8" w:tplc="58727078">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5184AD70">
      <w:start w:val="1"/>
      <w:numFmt w:val="bullet"/>
      <w:lvlText w:val=""/>
      <w:lvlJc w:val="left"/>
      <w:pPr>
        <w:ind w:left="720" w:hanging="360"/>
      </w:pPr>
      <w:rPr>
        <w:rFonts w:ascii="Symbol" w:hAnsi="Symbol"/>
      </w:rPr>
    </w:lvl>
    <w:lvl w:ilvl="1" w:tplc="137CF454">
      <w:start w:val="1"/>
      <w:numFmt w:val="bullet"/>
      <w:lvlText w:val="o"/>
      <w:lvlJc w:val="left"/>
      <w:pPr>
        <w:tabs>
          <w:tab w:val="num" w:pos="1440"/>
        </w:tabs>
        <w:ind w:left="1440" w:hanging="360"/>
      </w:pPr>
      <w:rPr>
        <w:rFonts w:ascii="Courier New" w:hAnsi="Courier New"/>
      </w:rPr>
    </w:lvl>
    <w:lvl w:ilvl="2" w:tplc="D3DE9C66">
      <w:start w:val="1"/>
      <w:numFmt w:val="bullet"/>
      <w:lvlText w:val=""/>
      <w:lvlJc w:val="left"/>
      <w:pPr>
        <w:tabs>
          <w:tab w:val="num" w:pos="2160"/>
        </w:tabs>
        <w:ind w:left="2160" w:hanging="360"/>
      </w:pPr>
      <w:rPr>
        <w:rFonts w:ascii="Wingdings" w:hAnsi="Wingdings"/>
      </w:rPr>
    </w:lvl>
    <w:lvl w:ilvl="3" w:tplc="7C7061C6">
      <w:start w:val="1"/>
      <w:numFmt w:val="bullet"/>
      <w:lvlText w:val=""/>
      <w:lvlJc w:val="left"/>
      <w:pPr>
        <w:tabs>
          <w:tab w:val="num" w:pos="2880"/>
        </w:tabs>
        <w:ind w:left="2880" w:hanging="360"/>
      </w:pPr>
      <w:rPr>
        <w:rFonts w:ascii="Symbol" w:hAnsi="Symbol"/>
      </w:rPr>
    </w:lvl>
    <w:lvl w:ilvl="4" w:tplc="5A8C0C8E">
      <w:start w:val="1"/>
      <w:numFmt w:val="bullet"/>
      <w:lvlText w:val="o"/>
      <w:lvlJc w:val="left"/>
      <w:pPr>
        <w:tabs>
          <w:tab w:val="num" w:pos="3600"/>
        </w:tabs>
        <w:ind w:left="3600" w:hanging="360"/>
      </w:pPr>
      <w:rPr>
        <w:rFonts w:ascii="Courier New" w:hAnsi="Courier New"/>
      </w:rPr>
    </w:lvl>
    <w:lvl w:ilvl="5" w:tplc="E6B67360">
      <w:start w:val="1"/>
      <w:numFmt w:val="bullet"/>
      <w:lvlText w:val=""/>
      <w:lvlJc w:val="left"/>
      <w:pPr>
        <w:tabs>
          <w:tab w:val="num" w:pos="4320"/>
        </w:tabs>
        <w:ind w:left="4320" w:hanging="360"/>
      </w:pPr>
      <w:rPr>
        <w:rFonts w:ascii="Wingdings" w:hAnsi="Wingdings"/>
      </w:rPr>
    </w:lvl>
    <w:lvl w:ilvl="6" w:tplc="A41A0A5A">
      <w:start w:val="1"/>
      <w:numFmt w:val="bullet"/>
      <w:lvlText w:val=""/>
      <w:lvlJc w:val="left"/>
      <w:pPr>
        <w:tabs>
          <w:tab w:val="num" w:pos="5040"/>
        </w:tabs>
        <w:ind w:left="5040" w:hanging="360"/>
      </w:pPr>
      <w:rPr>
        <w:rFonts w:ascii="Symbol" w:hAnsi="Symbol"/>
      </w:rPr>
    </w:lvl>
    <w:lvl w:ilvl="7" w:tplc="72CA245C">
      <w:start w:val="1"/>
      <w:numFmt w:val="bullet"/>
      <w:lvlText w:val="o"/>
      <w:lvlJc w:val="left"/>
      <w:pPr>
        <w:tabs>
          <w:tab w:val="num" w:pos="5760"/>
        </w:tabs>
        <w:ind w:left="5760" w:hanging="360"/>
      </w:pPr>
      <w:rPr>
        <w:rFonts w:ascii="Courier New" w:hAnsi="Courier New"/>
      </w:rPr>
    </w:lvl>
    <w:lvl w:ilvl="8" w:tplc="2E8E85BA">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6514427C">
      <w:start w:val="1"/>
      <w:numFmt w:val="bullet"/>
      <w:lvlText w:val=""/>
      <w:lvlJc w:val="left"/>
      <w:pPr>
        <w:ind w:left="720" w:hanging="360"/>
      </w:pPr>
      <w:rPr>
        <w:rFonts w:ascii="Symbol" w:hAnsi="Symbol"/>
      </w:rPr>
    </w:lvl>
    <w:lvl w:ilvl="1" w:tplc="0B7ABC52">
      <w:start w:val="1"/>
      <w:numFmt w:val="bullet"/>
      <w:lvlText w:val="o"/>
      <w:lvlJc w:val="left"/>
      <w:pPr>
        <w:tabs>
          <w:tab w:val="num" w:pos="1440"/>
        </w:tabs>
        <w:ind w:left="1440" w:hanging="360"/>
      </w:pPr>
      <w:rPr>
        <w:rFonts w:ascii="Courier New" w:hAnsi="Courier New"/>
      </w:rPr>
    </w:lvl>
    <w:lvl w:ilvl="2" w:tplc="384AECCA">
      <w:start w:val="1"/>
      <w:numFmt w:val="bullet"/>
      <w:lvlText w:val=""/>
      <w:lvlJc w:val="left"/>
      <w:pPr>
        <w:tabs>
          <w:tab w:val="num" w:pos="2160"/>
        </w:tabs>
        <w:ind w:left="2160" w:hanging="360"/>
      </w:pPr>
      <w:rPr>
        <w:rFonts w:ascii="Wingdings" w:hAnsi="Wingdings"/>
      </w:rPr>
    </w:lvl>
    <w:lvl w:ilvl="3" w:tplc="9294DC62">
      <w:start w:val="1"/>
      <w:numFmt w:val="bullet"/>
      <w:lvlText w:val=""/>
      <w:lvlJc w:val="left"/>
      <w:pPr>
        <w:tabs>
          <w:tab w:val="num" w:pos="2880"/>
        </w:tabs>
        <w:ind w:left="2880" w:hanging="360"/>
      </w:pPr>
      <w:rPr>
        <w:rFonts w:ascii="Symbol" w:hAnsi="Symbol"/>
      </w:rPr>
    </w:lvl>
    <w:lvl w:ilvl="4" w:tplc="29B0B108">
      <w:start w:val="1"/>
      <w:numFmt w:val="bullet"/>
      <w:lvlText w:val="o"/>
      <w:lvlJc w:val="left"/>
      <w:pPr>
        <w:tabs>
          <w:tab w:val="num" w:pos="3600"/>
        </w:tabs>
        <w:ind w:left="3600" w:hanging="360"/>
      </w:pPr>
      <w:rPr>
        <w:rFonts w:ascii="Courier New" w:hAnsi="Courier New"/>
      </w:rPr>
    </w:lvl>
    <w:lvl w:ilvl="5" w:tplc="F85445D6">
      <w:start w:val="1"/>
      <w:numFmt w:val="bullet"/>
      <w:lvlText w:val=""/>
      <w:lvlJc w:val="left"/>
      <w:pPr>
        <w:tabs>
          <w:tab w:val="num" w:pos="4320"/>
        </w:tabs>
        <w:ind w:left="4320" w:hanging="360"/>
      </w:pPr>
      <w:rPr>
        <w:rFonts w:ascii="Wingdings" w:hAnsi="Wingdings"/>
      </w:rPr>
    </w:lvl>
    <w:lvl w:ilvl="6" w:tplc="8514B30A">
      <w:start w:val="1"/>
      <w:numFmt w:val="bullet"/>
      <w:lvlText w:val=""/>
      <w:lvlJc w:val="left"/>
      <w:pPr>
        <w:tabs>
          <w:tab w:val="num" w:pos="5040"/>
        </w:tabs>
        <w:ind w:left="5040" w:hanging="360"/>
      </w:pPr>
      <w:rPr>
        <w:rFonts w:ascii="Symbol" w:hAnsi="Symbol"/>
      </w:rPr>
    </w:lvl>
    <w:lvl w:ilvl="7" w:tplc="F7FC211A">
      <w:start w:val="1"/>
      <w:numFmt w:val="bullet"/>
      <w:lvlText w:val="o"/>
      <w:lvlJc w:val="left"/>
      <w:pPr>
        <w:tabs>
          <w:tab w:val="num" w:pos="5760"/>
        </w:tabs>
        <w:ind w:left="5760" w:hanging="360"/>
      </w:pPr>
      <w:rPr>
        <w:rFonts w:ascii="Courier New" w:hAnsi="Courier New"/>
      </w:rPr>
    </w:lvl>
    <w:lvl w:ilvl="8" w:tplc="5022BC1E">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082013B6">
      <w:start w:val="1"/>
      <w:numFmt w:val="bullet"/>
      <w:lvlText w:val=""/>
      <w:lvlJc w:val="left"/>
      <w:pPr>
        <w:ind w:left="720" w:hanging="360"/>
      </w:pPr>
      <w:rPr>
        <w:rFonts w:ascii="Symbol" w:hAnsi="Symbol"/>
      </w:rPr>
    </w:lvl>
    <w:lvl w:ilvl="1" w:tplc="A8E835E2">
      <w:start w:val="1"/>
      <w:numFmt w:val="bullet"/>
      <w:lvlText w:val="o"/>
      <w:lvlJc w:val="left"/>
      <w:pPr>
        <w:tabs>
          <w:tab w:val="num" w:pos="1440"/>
        </w:tabs>
        <w:ind w:left="1440" w:hanging="360"/>
      </w:pPr>
      <w:rPr>
        <w:rFonts w:ascii="Courier New" w:hAnsi="Courier New"/>
      </w:rPr>
    </w:lvl>
    <w:lvl w:ilvl="2" w:tplc="94923EF6">
      <w:start w:val="1"/>
      <w:numFmt w:val="bullet"/>
      <w:lvlText w:val=""/>
      <w:lvlJc w:val="left"/>
      <w:pPr>
        <w:tabs>
          <w:tab w:val="num" w:pos="2160"/>
        </w:tabs>
        <w:ind w:left="2160" w:hanging="360"/>
      </w:pPr>
      <w:rPr>
        <w:rFonts w:ascii="Wingdings" w:hAnsi="Wingdings"/>
      </w:rPr>
    </w:lvl>
    <w:lvl w:ilvl="3" w:tplc="D85033DE">
      <w:start w:val="1"/>
      <w:numFmt w:val="bullet"/>
      <w:lvlText w:val=""/>
      <w:lvlJc w:val="left"/>
      <w:pPr>
        <w:tabs>
          <w:tab w:val="num" w:pos="2880"/>
        </w:tabs>
        <w:ind w:left="2880" w:hanging="360"/>
      </w:pPr>
      <w:rPr>
        <w:rFonts w:ascii="Symbol" w:hAnsi="Symbol"/>
      </w:rPr>
    </w:lvl>
    <w:lvl w:ilvl="4" w:tplc="1F00BB5C">
      <w:start w:val="1"/>
      <w:numFmt w:val="bullet"/>
      <w:lvlText w:val="o"/>
      <w:lvlJc w:val="left"/>
      <w:pPr>
        <w:tabs>
          <w:tab w:val="num" w:pos="3600"/>
        </w:tabs>
        <w:ind w:left="3600" w:hanging="360"/>
      </w:pPr>
      <w:rPr>
        <w:rFonts w:ascii="Courier New" w:hAnsi="Courier New"/>
      </w:rPr>
    </w:lvl>
    <w:lvl w:ilvl="5" w:tplc="61463C7E">
      <w:start w:val="1"/>
      <w:numFmt w:val="bullet"/>
      <w:lvlText w:val=""/>
      <w:lvlJc w:val="left"/>
      <w:pPr>
        <w:tabs>
          <w:tab w:val="num" w:pos="4320"/>
        </w:tabs>
        <w:ind w:left="4320" w:hanging="360"/>
      </w:pPr>
      <w:rPr>
        <w:rFonts w:ascii="Wingdings" w:hAnsi="Wingdings"/>
      </w:rPr>
    </w:lvl>
    <w:lvl w:ilvl="6" w:tplc="1C401586">
      <w:start w:val="1"/>
      <w:numFmt w:val="bullet"/>
      <w:lvlText w:val=""/>
      <w:lvlJc w:val="left"/>
      <w:pPr>
        <w:tabs>
          <w:tab w:val="num" w:pos="5040"/>
        </w:tabs>
        <w:ind w:left="5040" w:hanging="360"/>
      </w:pPr>
      <w:rPr>
        <w:rFonts w:ascii="Symbol" w:hAnsi="Symbol"/>
      </w:rPr>
    </w:lvl>
    <w:lvl w:ilvl="7" w:tplc="FAE02FC6">
      <w:start w:val="1"/>
      <w:numFmt w:val="bullet"/>
      <w:lvlText w:val="o"/>
      <w:lvlJc w:val="left"/>
      <w:pPr>
        <w:tabs>
          <w:tab w:val="num" w:pos="5760"/>
        </w:tabs>
        <w:ind w:left="5760" w:hanging="360"/>
      </w:pPr>
      <w:rPr>
        <w:rFonts w:ascii="Courier New" w:hAnsi="Courier New"/>
      </w:rPr>
    </w:lvl>
    <w:lvl w:ilvl="8" w:tplc="1090CDDA">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5B6EE476">
      <w:start w:val="1"/>
      <w:numFmt w:val="bullet"/>
      <w:lvlText w:val=""/>
      <w:lvlJc w:val="left"/>
      <w:pPr>
        <w:ind w:left="720" w:hanging="360"/>
      </w:pPr>
      <w:rPr>
        <w:rFonts w:ascii="Symbol" w:hAnsi="Symbol"/>
      </w:rPr>
    </w:lvl>
    <w:lvl w:ilvl="1" w:tplc="04908590">
      <w:start w:val="1"/>
      <w:numFmt w:val="bullet"/>
      <w:lvlText w:val="o"/>
      <w:lvlJc w:val="left"/>
      <w:pPr>
        <w:tabs>
          <w:tab w:val="num" w:pos="1440"/>
        </w:tabs>
        <w:ind w:left="1440" w:hanging="360"/>
      </w:pPr>
      <w:rPr>
        <w:rFonts w:ascii="Courier New" w:hAnsi="Courier New"/>
      </w:rPr>
    </w:lvl>
    <w:lvl w:ilvl="2" w:tplc="875E8110">
      <w:start w:val="1"/>
      <w:numFmt w:val="bullet"/>
      <w:lvlText w:val=""/>
      <w:lvlJc w:val="left"/>
      <w:pPr>
        <w:tabs>
          <w:tab w:val="num" w:pos="2160"/>
        </w:tabs>
        <w:ind w:left="2160" w:hanging="360"/>
      </w:pPr>
      <w:rPr>
        <w:rFonts w:ascii="Wingdings" w:hAnsi="Wingdings"/>
      </w:rPr>
    </w:lvl>
    <w:lvl w:ilvl="3" w:tplc="A5B24344">
      <w:start w:val="1"/>
      <w:numFmt w:val="bullet"/>
      <w:lvlText w:val=""/>
      <w:lvlJc w:val="left"/>
      <w:pPr>
        <w:tabs>
          <w:tab w:val="num" w:pos="2880"/>
        </w:tabs>
        <w:ind w:left="2880" w:hanging="360"/>
      </w:pPr>
      <w:rPr>
        <w:rFonts w:ascii="Symbol" w:hAnsi="Symbol"/>
      </w:rPr>
    </w:lvl>
    <w:lvl w:ilvl="4" w:tplc="19D2D78A">
      <w:start w:val="1"/>
      <w:numFmt w:val="bullet"/>
      <w:lvlText w:val="o"/>
      <w:lvlJc w:val="left"/>
      <w:pPr>
        <w:tabs>
          <w:tab w:val="num" w:pos="3600"/>
        </w:tabs>
        <w:ind w:left="3600" w:hanging="360"/>
      </w:pPr>
      <w:rPr>
        <w:rFonts w:ascii="Courier New" w:hAnsi="Courier New"/>
      </w:rPr>
    </w:lvl>
    <w:lvl w:ilvl="5" w:tplc="7CCAECDA">
      <w:start w:val="1"/>
      <w:numFmt w:val="bullet"/>
      <w:lvlText w:val=""/>
      <w:lvlJc w:val="left"/>
      <w:pPr>
        <w:tabs>
          <w:tab w:val="num" w:pos="4320"/>
        </w:tabs>
        <w:ind w:left="4320" w:hanging="360"/>
      </w:pPr>
      <w:rPr>
        <w:rFonts w:ascii="Wingdings" w:hAnsi="Wingdings"/>
      </w:rPr>
    </w:lvl>
    <w:lvl w:ilvl="6" w:tplc="2C24EC58">
      <w:start w:val="1"/>
      <w:numFmt w:val="bullet"/>
      <w:lvlText w:val=""/>
      <w:lvlJc w:val="left"/>
      <w:pPr>
        <w:tabs>
          <w:tab w:val="num" w:pos="5040"/>
        </w:tabs>
        <w:ind w:left="5040" w:hanging="360"/>
      </w:pPr>
      <w:rPr>
        <w:rFonts w:ascii="Symbol" w:hAnsi="Symbol"/>
      </w:rPr>
    </w:lvl>
    <w:lvl w:ilvl="7" w:tplc="A656DF34">
      <w:start w:val="1"/>
      <w:numFmt w:val="bullet"/>
      <w:lvlText w:val="o"/>
      <w:lvlJc w:val="left"/>
      <w:pPr>
        <w:tabs>
          <w:tab w:val="num" w:pos="5760"/>
        </w:tabs>
        <w:ind w:left="5760" w:hanging="360"/>
      </w:pPr>
      <w:rPr>
        <w:rFonts w:ascii="Courier New" w:hAnsi="Courier New"/>
      </w:rPr>
    </w:lvl>
    <w:lvl w:ilvl="8" w:tplc="7290A038">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37CCE25C">
      <w:start w:val="1"/>
      <w:numFmt w:val="bullet"/>
      <w:lvlText w:val=""/>
      <w:lvlJc w:val="left"/>
      <w:pPr>
        <w:ind w:left="720" w:hanging="360"/>
      </w:pPr>
      <w:rPr>
        <w:rFonts w:ascii="Symbol" w:hAnsi="Symbol"/>
      </w:rPr>
    </w:lvl>
    <w:lvl w:ilvl="1" w:tplc="617E9DCA">
      <w:start w:val="1"/>
      <w:numFmt w:val="bullet"/>
      <w:lvlText w:val="o"/>
      <w:lvlJc w:val="left"/>
      <w:pPr>
        <w:tabs>
          <w:tab w:val="num" w:pos="1440"/>
        </w:tabs>
        <w:ind w:left="1440" w:hanging="360"/>
      </w:pPr>
      <w:rPr>
        <w:rFonts w:ascii="Courier New" w:hAnsi="Courier New"/>
      </w:rPr>
    </w:lvl>
    <w:lvl w:ilvl="2" w:tplc="E2C8D118">
      <w:start w:val="1"/>
      <w:numFmt w:val="bullet"/>
      <w:lvlText w:val=""/>
      <w:lvlJc w:val="left"/>
      <w:pPr>
        <w:tabs>
          <w:tab w:val="num" w:pos="2160"/>
        </w:tabs>
        <w:ind w:left="2160" w:hanging="360"/>
      </w:pPr>
      <w:rPr>
        <w:rFonts w:ascii="Wingdings" w:hAnsi="Wingdings"/>
      </w:rPr>
    </w:lvl>
    <w:lvl w:ilvl="3" w:tplc="27CAD3BE">
      <w:start w:val="1"/>
      <w:numFmt w:val="bullet"/>
      <w:lvlText w:val=""/>
      <w:lvlJc w:val="left"/>
      <w:pPr>
        <w:tabs>
          <w:tab w:val="num" w:pos="2880"/>
        </w:tabs>
        <w:ind w:left="2880" w:hanging="360"/>
      </w:pPr>
      <w:rPr>
        <w:rFonts w:ascii="Symbol" w:hAnsi="Symbol"/>
      </w:rPr>
    </w:lvl>
    <w:lvl w:ilvl="4" w:tplc="D00E300C">
      <w:start w:val="1"/>
      <w:numFmt w:val="bullet"/>
      <w:lvlText w:val="o"/>
      <w:lvlJc w:val="left"/>
      <w:pPr>
        <w:tabs>
          <w:tab w:val="num" w:pos="3600"/>
        </w:tabs>
        <w:ind w:left="3600" w:hanging="360"/>
      </w:pPr>
      <w:rPr>
        <w:rFonts w:ascii="Courier New" w:hAnsi="Courier New"/>
      </w:rPr>
    </w:lvl>
    <w:lvl w:ilvl="5" w:tplc="CD5CD016">
      <w:start w:val="1"/>
      <w:numFmt w:val="bullet"/>
      <w:lvlText w:val=""/>
      <w:lvlJc w:val="left"/>
      <w:pPr>
        <w:tabs>
          <w:tab w:val="num" w:pos="4320"/>
        </w:tabs>
        <w:ind w:left="4320" w:hanging="360"/>
      </w:pPr>
      <w:rPr>
        <w:rFonts w:ascii="Wingdings" w:hAnsi="Wingdings"/>
      </w:rPr>
    </w:lvl>
    <w:lvl w:ilvl="6" w:tplc="80604348">
      <w:start w:val="1"/>
      <w:numFmt w:val="bullet"/>
      <w:lvlText w:val=""/>
      <w:lvlJc w:val="left"/>
      <w:pPr>
        <w:tabs>
          <w:tab w:val="num" w:pos="5040"/>
        </w:tabs>
        <w:ind w:left="5040" w:hanging="360"/>
      </w:pPr>
      <w:rPr>
        <w:rFonts w:ascii="Symbol" w:hAnsi="Symbol"/>
      </w:rPr>
    </w:lvl>
    <w:lvl w:ilvl="7" w:tplc="A4D613B2">
      <w:start w:val="1"/>
      <w:numFmt w:val="bullet"/>
      <w:lvlText w:val="o"/>
      <w:lvlJc w:val="left"/>
      <w:pPr>
        <w:tabs>
          <w:tab w:val="num" w:pos="5760"/>
        </w:tabs>
        <w:ind w:left="5760" w:hanging="360"/>
      </w:pPr>
      <w:rPr>
        <w:rFonts w:ascii="Courier New" w:hAnsi="Courier New"/>
      </w:rPr>
    </w:lvl>
    <w:lvl w:ilvl="8" w:tplc="EE0AA134">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70F95"/>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12F3"/>
    <w:rsid w:val="00D066A4"/>
    <w:rsid w:val="00D06E4F"/>
    <w:rsid w:val="00D10A8B"/>
    <w:rsid w:val="00D4391C"/>
    <w:rsid w:val="00D5077A"/>
    <w:rsid w:val="00D87DAA"/>
    <w:rsid w:val="00DB25B8"/>
    <w:rsid w:val="00DB4153"/>
    <w:rsid w:val="00DB6C33"/>
    <w:rsid w:val="00DC2298"/>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6A22BE-303C-4FE6-BD43-2641396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DA99-FAD9-4F3D-8385-6DF7ADF9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8760</Words>
  <Characters>49935</Characters>
  <Application>Microsoft Office Word</Application>
  <DocSecurity>0</DocSecurity>
  <Lines>416</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2023-05-08T13:12:00Z</dcterms:created>
  <dcterms:modified xsi:type="dcterms:W3CDTF">2023-05-08T13:12:00Z</dcterms:modified>
</cp:coreProperties>
</file>