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C60" w:rsidRDefault="0011309B" w:rsidP="00115C60">
      <w:pPr>
        <w:pStyle w:val="ChapterTitle"/>
        <w:spacing w:before="0" w:after="0"/>
      </w:pPr>
      <w:bookmarkStart w:id="0" w:name="_GoBack"/>
      <w:bookmarkEnd w:id="0"/>
      <w:r>
        <w:rPr>
          <w:noProof/>
        </w:rPr>
        <w:t>POROČILO O IZVAJANJU ZA SKLAD AMIF</w:t>
      </w:r>
    </w:p>
    <w:p w:rsidR="00115C60" w:rsidRPr="00115C60" w:rsidRDefault="00115C60" w:rsidP="00115C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7797"/>
      </w:tblGrid>
      <w:tr w:rsidR="00855A95" w:rsidTr="00003291">
        <w:trPr>
          <w:trHeight w:val="222"/>
        </w:trPr>
        <w:tc>
          <w:tcPr>
            <w:tcW w:w="0" w:type="auto"/>
            <w:shd w:val="clear" w:color="auto" w:fill="auto"/>
          </w:tcPr>
          <w:p w:rsidR="00115C60" w:rsidRPr="0019232D" w:rsidRDefault="0011309B" w:rsidP="00003291">
            <w:pPr>
              <w:spacing w:before="0" w:after="0"/>
            </w:pPr>
            <w:r>
              <w:rPr>
                <w:noProof/>
              </w:rPr>
              <w:t>Številka CCI</w:t>
            </w:r>
          </w:p>
        </w:tc>
        <w:tc>
          <w:tcPr>
            <w:tcW w:w="0" w:type="auto"/>
            <w:shd w:val="clear" w:color="auto" w:fill="auto"/>
          </w:tcPr>
          <w:p w:rsidR="00115C60" w:rsidRPr="0019232D" w:rsidRDefault="0011309B" w:rsidP="00003291">
            <w:pPr>
              <w:spacing w:before="0" w:after="0"/>
              <w:rPr>
                <w:color w:val="000000"/>
              </w:rPr>
            </w:pPr>
            <w:r>
              <w:rPr>
                <w:noProof/>
                <w:color w:val="000000"/>
              </w:rPr>
              <w:t>2014SI65AMNP001</w:t>
            </w:r>
          </w:p>
        </w:tc>
      </w:tr>
      <w:tr w:rsidR="00855A95" w:rsidTr="00003291">
        <w:trPr>
          <w:trHeight w:val="269"/>
        </w:trPr>
        <w:tc>
          <w:tcPr>
            <w:tcW w:w="0" w:type="auto"/>
            <w:shd w:val="clear" w:color="auto" w:fill="auto"/>
          </w:tcPr>
          <w:p w:rsidR="00115C60" w:rsidRPr="00F433EE" w:rsidRDefault="0011309B" w:rsidP="00003291">
            <w:pPr>
              <w:spacing w:before="0" w:after="0"/>
            </w:pPr>
            <w:r>
              <w:rPr>
                <w:noProof/>
              </w:rPr>
              <w:t>Naslov</w:t>
            </w:r>
          </w:p>
        </w:tc>
        <w:tc>
          <w:tcPr>
            <w:tcW w:w="0" w:type="auto"/>
            <w:shd w:val="clear" w:color="auto" w:fill="auto"/>
          </w:tcPr>
          <w:p w:rsidR="00115C60" w:rsidRPr="0019232D" w:rsidRDefault="0011309B" w:rsidP="00003291">
            <w:pPr>
              <w:spacing w:before="0" w:after="0"/>
              <w:rPr>
                <w:color w:val="000000"/>
              </w:rPr>
            </w:pPr>
            <w:r>
              <w:rPr>
                <w:noProof/>
                <w:color w:val="000000"/>
              </w:rPr>
              <w:t>Slovenija National Programme AMIF</w:t>
            </w:r>
          </w:p>
        </w:tc>
      </w:tr>
      <w:tr w:rsidR="00855A95" w:rsidTr="00003291">
        <w:trPr>
          <w:trHeight w:val="138"/>
        </w:trPr>
        <w:tc>
          <w:tcPr>
            <w:tcW w:w="0" w:type="auto"/>
            <w:shd w:val="clear" w:color="auto" w:fill="auto"/>
          </w:tcPr>
          <w:p w:rsidR="00115C60" w:rsidRPr="0019232D" w:rsidRDefault="0011309B" w:rsidP="00003291">
            <w:pPr>
              <w:spacing w:before="0" w:after="0"/>
            </w:pPr>
            <w:r>
              <w:rPr>
                <w:noProof/>
              </w:rPr>
              <w:t>Različica</w:t>
            </w:r>
          </w:p>
        </w:tc>
        <w:tc>
          <w:tcPr>
            <w:tcW w:w="0" w:type="auto"/>
            <w:shd w:val="clear" w:color="auto" w:fill="auto"/>
          </w:tcPr>
          <w:p w:rsidR="00115C60" w:rsidRPr="0019232D" w:rsidRDefault="0011309B" w:rsidP="00003291">
            <w:pPr>
              <w:spacing w:before="0" w:after="0"/>
              <w:rPr>
                <w:color w:val="000000"/>
              </w:rPr>
            </w:pPr>
            <w:r>
              <w:rPr>
                <w:noProof/>
                <w:color w:val="000000"/>
              </w:rPr>
              <w:t>2020.1</w:t>
            </w:r>
          </w:p>
        </w:tc>
      </w:tr>
    </w:tbl>
    <w:p w:rsidR="00115C60" w:rsidRDefault="00115C60" w:rsidP="00115C60">
      <w:pPr>
        <w:pStyle w:val="Text1"/>
        <w:spacing w:before="0" w:after="0"/>
        <w:ind w:left="0"/>
      </w:pPr>
    </w:p>
    <w:p w:rsidR="00906AC0" w:rsidRDefault="00115C60" w:rsidP="00115C60">
      <w:pPr>
        <w:pStyle w:val="Naslov1"/>
        <w:numPr>
          <w:ilvl w:val="0"/>
          <w:numId w:val="0"/>
        </w:numPr>
        <w:spacing w:before="0" w:after="0"/>
        <w:jc w:val="left"/>
        <w:rPr>
          <w:noProof/>
        </w:rPr>
      </w:pPr>
      <w:r>
        <w:br w:type="page"/>
      </w:r>
      <w:r w:rsidR="003D38C3">
        <w:fldChar w:fldCharType="begin"/>
      </w:r>
      <w:r w:rsidR="003D38C3">
        <w:instrText xml:space="preserve"> TOC \o "1-3" \h \z </w:instrText>
      </w:r>
      <w:r w:rsidR="003D38C3">
        <w:fldChar w:fldCharType="separate"/>
      </w:r>
    </w:p>
    <w:p w:rsidR="00855A95" w:rsidRDefault="0011309B">
      <w:pPr>
        <w:pStyle w:val="Kazalovsebine1"/>
        <w:tabs>
          <w:tab w:val="right" w:leader="dot" w:pos="10761"/>
        </w:tabs>
        <w:rPr>
          <w:rFonts w:asciiTheme="minorHAnsi" w:hAnsiTheme="minorHAnsi"/>
          <w:noProof/>
          <w:sz w:val="22"/>
        </w:rPr>
      </w:pPr>
      <w:hyperlink w:anchor="_Toc256000002" w:history="1">
        <w:r>
          <w:rPr>
            <w:rStyle w:val="Hiperpovezava"/>
            <w:noProof/>
          </w:rPr>
          <w:t>ODDELEK 3: PROGRAMSKI CILJI</w:t>
        </w:r>
        <w:r>
          <w:tab/>
        </w:r>
        <w:r>
          <w:fldChar w:fldCharType="begin"/>
        </w:r>
        <w:r>
          <w:instrText xml:space="preserve"> PAGEREF _Toc256000002 \h </w:instrText>
        </w:r>
        <w:r>
          <w:fldChar w:fldCharType="separate"/>
        </w:r>
        <w:r>
          <w:t>3</w:t>
        </w:r>
        <w:r>
          <w:fldChar w:fldCharType="end"/>
        </w:r>
      </w:hyperlink>
    </w:p>
    <w:p w:rsidR="00855A95" w:rsidRDefault="0011309B">
      <w:pPr>
        <w:pStyle w:val="Kazalovsebine1"/>
        <w:tabs>
          <w:tab w:val="right" w:leader="dot" w:pos="10761"/>
        </w:tabs>
        <w:rPr>
          <w:rFonts w:asciiTheme="minorHAnsi" w:hAnsiTheme="minorHAnsi"/>
          <w:noProof/>
          <w:sz w:val="22"/>
        </w:rPr>
      </w:pPr>
      <w:hyperlink w:anchor="_Toc256000003" w:history="1">
        <w:r w:rsidRPr="00F9367D">
          <w:rPr>
            <w:rStyle w:val="Hiperpovezava"/>
            <w:noProof/>
          </w:rPr>
          <w:t>OKVIRNI ČASOVNI RAZPORED</w:t>
        </w:r>
        <w:r>
          <w:tab/>
        </w:r>
        <w:r>
          <w:fldChar w:fldCharType="begin"/>
        </w:r>
        <w:r>
          <w:instrText xml:space="preserve"> PAGEREF _Toc256000003 \h </w:instrText>
        </w:r>
        <w:r>
          <w:fldChar w:fldCharType="separate"/>
        </w:r>
        <w:r>
          <w:t>11</w:t>
        </w:r>
        <w:r>
          <w:fldChar w:fldCharType="end"/>
        </w:r>
      </w:hyperlink>
    </w:p>
    <w:p w:rsidR="00855A95" w:rsidRDefault="0011309B">
      <w:pPr>
        <w:pStyle w:val="Kazalovsebine1"/>
        <w:tabs>
          <w:tab w:val="right" w:leader="dot" w:pos="10761"/>
        </w:tabs>
        <w:rPr>
          <w:rFonts w:asciiTheme="minorHAnsi" w:hAnsiTheme="minorHAnsi"/>
          <w:noProof/>
          <w:sz w:val="22"/>
        </w:rPr>
      </w:pPr>
      <w:hyperlink w:anchor="_Toc256000004" w:history="1">
        <w:r>
          <w:rPr>
            <w:rStyle w:val="Hiperpovezava"/>
            <w:noProof/>
          </w:rPr>
          <w:t>ODDE</w:t>
        </w:r>
        <w:r>
          <w:rPr>
            <w:rStyle w:val="Hiperpovezava"/>
            <w:noProof/>
          </w:rPr>
          <w:t>LEK 4: POSEBNI PRIMERI</w:t>
        </w:r>
        <w:r>
          <w:tab/>
        </w:r>
        <w:r>
          <w:fldChar w:fldCharType="begin"/>
        </w:r>
        <w:r>
          <w:instrText xml:space="preserve"> PAGEREF _Toc256000004 \h </w:instrText>
        </w:r>
        <w:r>
          <w:fldChar w:fldCharType="separate"/>
        </w:r>
        <w:r>
          <w:t>12</w:t>
        </w:r>
        <w:r>
          <w:fldChar w:fldCharType="end"/>
        </w:r>
      </w:hyperlink>
    </w:p>
    <w:p w:rsidR="00855A95" w:rsidRDefault="0011309B">
      <w:pPr>
        <w:pStyle w:val="Kazalovsebine1"/>
        <w:tabs>
          <w:tab w:val="right" w:leader="dot" w:pos="10761"/>
        </w:tabs>
        <w:rPr>
          <w:rFonts w:asciiTheme="minorHAnsi" w:hAnsiTheme="minorHAnsi"/>
          <w:noProof/>
          <w:sz w:val="22"/>
        </w:rPr>
      </w:pPr>
      <w:hyperlink w:anchor="_Toc256000005" w:history="1">
        <w:r>
          <w:rPr>
            <w:rStyle w:val="Hiperpovezava"/>
            <w:noProof/>
            <w:lang w:val="fr-BE"/>
          </w:rPr>
          <w:t>ODDELEK 5: SKUPNI KAZALNIKI IN KAZALNIKI ZA POSAMEZNE PROGRAME</w:t>
        </w:r>
        <w:r>
          <w:tab/>
        </w:r>
        <w:r>
          <w:fldChar w:fldCharType="begin"/>
        </w:r>
        <w:r>
          <w:instrText xml:space="preserve"> PAGEREF _Toc256000005 \h </w:instrText>
        </w:r>
        <w:r>
          <w:fldChar w:fldCharType="separate"/>
        </w:r>
        <w:r>
          <w:t>13</w:t>
        </w:r>
        <w:r>
          <w:fldChar w:fldCharType="end"/>
        </w:r>
      </w:hyperlink>
    </w:p>
    <w:p w:rsidR="00855A95" w:rsidRDefault="0011309B">
      <w:pPr>
        <w:pStyle w:val="Kazalovsebine1"/>
        <w:tabs>
          <w:tab w:val="right" w:leader="dot" w:pos="10761"/>
        </w:tabs>
        <w:rPr>
          <w:rFonts w:asciiTheme="minorHAnsi" w:hAnsiTheme="minorHAnsi"/>
          <w:noProof/>
          <w:sz w:val="22"/>
        </w:rPr>
      </w:pPr>
      <w:hyperlink w:anchor="_Toc256000006" w:history="1">
        <w:r>
          <w:rPr>
            <w:rStyle w:val="Hiperpovezava"/>
            <w:noProof/>
            <w:lang w:val="fr-BE"/>
          </w:rPr>
          <w:t>ODDELEK 6: OKVIR ZA PRIPRAVO IN IZVAJANJE PROGRAMA S STRANI DRŽAVE ČLANICE</w:t>
        </w:r>
        <w:r>
          <w:tab/>
        </w:r>
        <w:r>
          <w:fldChar w:fldCharType="begin"/>
        </w:r>
        <w:r>
          <w:instrText xml:space="preserve"> PAGEREF _Toc256000006 \h </w:instrText>
        </w:r>
        <w:r>
          <w:fldChar w:fldCharType="separate"/>
        </w:r>
        <w:r>
          <w:t>15</w:t>
        </w:r>
        <w:r>
          <w:fldChar w:fldCharType="end"/>
        </w:r>
      </w:hyperlink>
    </w:p>
    <w:p w:rsidR="00855A95" w:rsidRDefault="0011309B">
      <w:pPr>
        <w:pStyle w:val="Kazalovsebine2"/>
        <w:tabs>
          <w:tab w:val="right" w:leader="dot" w:pos="10761"/>
        </w:tabs>
        <w:rPr>
          <w:rFonts w:asciiTheme="minorHAnsi" w:hAnsiTheme="minorHAnsi"/>
          <w:noProof/>
          <w:sz w:val="22"/>
        </w:rPr>
      </w:pPr>
      <w:hyperlink w:anchor="_Toc256000007" w:history="1">
        <w:r>
          <w:rPr>
            <w:rStyle w:val="Hiperpovezava"/>
            <w:noProof/>
            <w:lang w:val="fr-BE"/>
          </w:rPr>
          <w:t>6.1 Odbor za spremljanje (člen 12(4) Uredbe (EU) št. 514/2014)</w:t>
        </w:r>
        <w:r>
          <w:tab/>
        </w:r>
        <w:r>
          <w:fldChar w:fldCharType="begin"/>
        </w:r>
        <w:r>
          <w:instrText xml:space="preserve"> PAGEREF _Toc256000007 \h </w:instrText>
        </w:r>
        <w:r>
          <w:fldChar w:fldCharType="separate"/>
        </w:r>
        <w:r>
          <w:t>15</w:t>
        </w:r>
        <w:r>
          <w:fldChar w:fldCharType="end"/>
        </w:r>
      </w:hyperlink>
    </w:p>
    <w:p w:rsidR="00855A95" w:rsidRDefault="0011309B">
      <w:pPr>
        <w:pStyle w:val="Kazalovsebine2"/>
        <w:tabs>
          <w:tab w:val="right" w:leader="dot" w:pos="10761"/>
        </w:tabs>
        <w:rPr>
          <w:rFonts w:asciiTheme="minorHAnsi" w:hAnsiTheme="minorHAnsi"/>
          <w:noProof/>
          <w:sz w:val="22"/>
        </w:rPr>
      </w:pPr>
      <w:hyperlink w:anchor="_Toc256000008" w:history="1">
        <w:r>
          <w:rPr>
            <w:rStyle w:val="Hiperpovezava"/>
            <w:noProof/>
            <w:lang w:val="fr-BE"/>
          </w:rPr>
          <w:t>6.2 Skupni okvir za spremljanje in vrednotenje (člen 14(2)(f) Uredbe (EU) št. 514/2014)</w:t>
        </w:r>
        <w:r>
          <w:tab/>
        </w:r>
        <w:r>
          <w:fldChar w:fldCharType="begin"/>
        </w:r>
        <w:r>
          <w:instrText xml:space="preserve"> PAGEREF _Toc256000008 \h </w:instrText>
        </w:r>
        <w:r>
          <w:fldChar w:fldCharType="separate"/>
        </w:r>
        <w:r>
          <w:t>16</w:t>
        </w:r>
        <w:r>
          <w:fldChar w:fldCharType="end"/>
        </w:r>
      </w:hyperlink>
    </w:p>
    <w:p w:rsidR="00855A95" w:rsidRDefault="0011309B">
      <w:pPr>
        <w:pStyle w:val="Kazalovsebine2"/>
        <w:tabs>
          <w:tab w:val="right" w:leader="dot" w:pos="10761"/>
        </w:tabs>
        <w:rPr>
          <w:rFonts w:asciiTheme="minorHAnsi" w:hAnsiTheme="minorHAnsi"/>
          <w:noProof/>
          <w:sz w:val="22"/>
        </w:rPr>
      </w:pPr>
      <w:hyperlink w:anchor="_Toc256000009" w:history="1">
        <w:r>
          <w:rPr>
            <w:rStyle w:val="Hiperpovezava"/>
            <w:noProof/>
            <w:lang w:val="fr-BE"/>
          </w:rPr>
          <w:t>Ukre</w:t>
        </w:r>
        <w:r>
          <w:rPr>
            <w:rStyle w:val="Hiperpovezava"/>
            <w:noProof/>
            <w:lang w:val="fr-BE"/>
          </w:rPr>
          <w:t>pi spremljanja in vrednotenja, ki jih sprejme pristojni organ, vključno z ureditvijo zbiranja podatkov, dejavnostmi vrednotenja, ugotovljenimi težavami ter ukrepi za njihovo odpravo.</w:t>
        </w:r>
        <w:r>
          <w:tab/>
        </w:r>
        <w:r>
          <w:fldChar w:fldCharType="begin"/>
        </w:r>
        <w:r>
          <w:instrText xml:space="preserve"> PAGEREF _Toc256000009 \h </w:instrText>
        </w:r>
        <w:r>
          <w:fldChar w:fldCharType="separate"/>
        </w:r>
        <w:r>
          <w:t>16</w:t>
        </w:r>
        <w:r>
          <w:fldChar w:fldCharType="end"/>
        </w:r>
      </w:hyperlink>
    </w:p>
    <w:p w:rsidR="00855A95" w:rsidRDefault="0011309B">
      <w:pPr>
        <w:pStyle w:val="Kazalovsebine2"/>
        <w:tabs>
          <w:tab w:val="right" w:leader="dot" w:pos="10761"/>
        </w:tabs>
        <w:rPr>
          <w:rFonts w:asciiTheme="minorHAnsi" w:hAnsiTheme="minorHAnsi"/>
          <w:noProof/>
          <w:sz w:val="22"/>
        </w:rPr>
      </w:pPr>
      <w:hyperlink w:anchor="_Toc256000010" w:history="1">
        <w:r>
          <w:rPr>
            <w:rStyle w:val="Hiperpovezava"/>
            <w:noProof/>
            <w:lang w:val="fr-BE"/>
          </w:rPr>
          <w:t>6.3 Partnersko sodelovanje pri izvajanju, spremljanju in vrednotenju nacionalnega programa (člen 12(3) Uredbe (EU) št. 514/2014)</w:t>
        </w:r>
        <w:r>
          <w:tab/>
        </w:r>
        <w:r>
          <w:fldChar w:fldCharType="begin"/>
        </w:r>
        <w:r>
          <w:instrText xml:space="preserve"> PAGEREF _Toc256000010 \h </w:instrText>
        </w:r>
        <w:r>
          <w:fldChar w:fldCharType="separate"/>
        </w:r>
        <w:r>
          <w:t>18</w:t>
        </w:r>
        <w:r>
          <w:fldChar w:fldCharType="end"/>
        </w:r>
      </w:hyperlink>
    </w:p>
    <w:p w:rsidR="00855A95" w:rsidRDefault="0011309B">
      <w:pPr>
        <w:pStyle w:val="Kazalovsebine2"/>
        <w:tabs>
          <w:tab w:val="right" w:leader="dot" w:pos="10761"/>
        </w:tabs>
        <w:rPr>
          <w:rFonts w:asciiTheme="minorHAnsi" w:hAnsiTheme="minorHAnsi"/>
          <w:noProof/>
          <w:sz w:val="22"/>
        </w:rPr>
      </w:pPr>
      <w:hyperlink w:anchor="_Toc256000011" w:history="1">
        <w:r>
          <w:rPr>
            <w:rStyle w:val="Hiperpovezava"/>
            <w:noProof/>
            <w:lang w:val="fr-BE"/>
          </w:rPr>
          <w:t>Na kratko opišite glavne prispevke in mnenja partnerjev v proračunskem letu.</w:t>
        </w:r>
        <w:r>
          <w:tab/>
        </w:r>
        <w:r>
          <w:fldChar w:fldCharType="begin"/>
        </w:r>
        <w:r>
          <w:instrText xml:space="preserve"> PAGEREF _Toc256000011 \h </w:instrText>
        </w:r>
        <w:r>
          <w:fldChar w:fldCharType="separate"/>
        </w:r>
        <w:r>
          <w:t>18</w:t>
        </w:r>
        <w:r>
          <w:fldChar w:fldCharType="end"/>
        </w:r>
      </w:hyperlink>
    </w:p>
    <w:p w:rsidR="00855A95" w:rsidRDefault="0011309B">
      <w:pPr>
        <w:pStyle w:val="Kazalovsebine2"/>
        <w:tabs>
          <w:tab w:val="right" w:leader="dot" w:pos="10761"/>
        </w:tabs>
        <w:rPr>
          <w:rFonts w:asciiTheme="minorHAnsi" w:hAnsiTheme="minorHAnsi"/>
          <w:noProof/>
          <w:sz w:val="22"/>
        </w:rPr>
      </w:pPr>
      <w:hyperlink w:anchor="_Toc256000012" w:history="1">
        <w:r>
          <w:rPr>
            <w:rStyle w:val="Hiperpovezava"/>
            <w:noProof/>
            <w:lang w:val="fr-BE"/>
          </w:rPr>
          <w:t>6.4 Obveščanje in objavljanje (člen 48 Uredbe (ES) št. 514/2014)</w:t>
        </w:r>
        <w:r>
          <w:tab/>
        </w:r>
        <w:r>
          <w:fldChar w:fldCharType="begin"/>
        </w:r>
        <w:r>
          <w:instrText xml:space="preserve"> PAGEREF _Toc256000012 \h </w:instrText>
        </w:r>
        <w:r>
          <w:fldChar w:fldCharType="separate"/>
        </w:r>
        <w:r>
          <w:t>19</w:t>
        </w:r>
        <w:r>
          <w:fldChar w:fldCharType="end"/>
        </w:r>
      </w:hyperlink>
    </w:p>
    <w:p w:rsidR="00855A95" w:rsidRDefault="0011309B">
      <w:pPr>
        <w:pStyle w:val="Kazalovsebine2"/>
        <w:tabs>
          <w:tab w:val="right" w:leader="dot" w:pos="10761"/>
        </w:tabs>
        <w:rPr>
          <w:rFonts w:asciiTheme="minorHAnsi" w:hAnsiTheme="minorHAnsi"/>
          <w:noProof/>
          <w:sz w:val="22"/>
        </w:rPr>
      </w:pPr>
      <w:hyperlink w:anchor="_Toc256000013" w:history="1">
        <w:r>
          <w:rPr>
            <w:rStyle w:val="Hiperpovezava"/>
            <w:noProof/>
            <w:lang w:val="fr-BE"/>
          </w:rPr>
          <w:t>Navedite povezavo do spletišča programa.</w:t>
        </w:r>
        <w:r>
          <w:tab/>
        </w:r>
        <w:r>
          <w:fldChar w:fldCharType="begin"/>
        </w:r>
        <w:r>
          <w:instrText xml:space="preserve"> PAGEREF _Toc256000013 \h </w:instrText>
        </w:r>
        <w:r>
          <w:fldChar w:fldCharType="separate"/>
        </w:r>
        <w:r>
          <w:t>19</w:t>
        </w:r>
        <w:r>
          <w:fldChar w:fldCharType="end"/>
        </w:r>
      </w:hyperlink>
    </w:p>
    <w:p w:rsidR="00855A95" w:rsidRDefault="0011309B">
      <w:pPr>
        <w:pStyle w:val="Kazalovsebine2"/>
        <w:tabs>
          <w:tab w:val="right" w:leader="dot" w:pos="10761"/>
        </w:tabs>
        <w:rPr>
          <w:rFonts w:asciiTheme="minorHAnsi" w:hAnsiTheme="minorHAnsi"/>
          <w:noProof/>
          <w:sz w:val="22"/>
        </w:rPr>
      </w:pPr>
      <w:hyperlink w:anchor="_Toc256000014" w:history="1">
        <w:r>
          <w:rPr>
            <w:rStyle w:val="Hiperpovezava"/>
            <w:noProof/>
            <w:lang w:val="fr-BE"/>
          </w:rPr>
          <w:t xml:space="preserve">Navedite glavne dejavnosti obveščanja in </w:t>
        </w:r>
        <w:r>
          <w:rPr>
            <w:rStyle w:val="Hiperpovezava"/>
            <w:noProof/>
            <w:lang w:val="fr-BE"/>
          </w:rPr>
          <w:t>objavljanja, izvedene v proračunskem letu. Priložiti je treba primere gradiva.</w:t>
        </w:r>
        <w:r>
          <w:tab/>
        </w:r>
        <w:r>
          <w:fldChar w:fldCharType="begin"/>
        </w:r>
        <w:r>
          <w:instrText xml:space="preserve"> PAGEREF _Toc256000014 \h </w:instrText>
        </w:r>
        <w:r>
          <w:fldChar w:fldCharType="separate"/>
        </w:r>
        <w:r>
          <w:t>19</w:t>
        </w:r>
        <w:r>
          <w:fldChar w:fldCharType="end"/>
        </w:r>
      </w:hyperlink>
    </w:p>
    <w:p w:rsidR="00855A95" w:rsidRDefault="0011309B">
      <w:pPr>
        <w:pStyle w:val="Kazalovsebine2"/>
        <w:tabs>
          <w:tab w:val="right" w:leader="dot" w:pos="10761"/>
        </w:tabs>
        <w:rPr>
          <w:rFonts w:asciiTheme="minorHAnsi" w:hAnsiTheme="minorHAnsi"/>
          <w:noProof/>
          <w:sz w:val="22"/>
        </w:rPr>
      </w:pPr>
      <w:hyperlink w:anchor="_Toc256000015" w:history="1">
        <w:r w:rsidRPr="00910C3F">
          <w:rPr>
            <w:rStyle w:val="Hiperpovezava"/>
            <w:noProof/>
          </w:rPr>
          <w:t>6.5 Dopolnjevanje z drugimi instrumenti Unije (č</w:t>
        </w:r>
        <w:r w:rsidRPr="00910C3F">
          <w:rPr>
            <w:rStyle w:val="Hiperpovezava"/>
            <w:noProof/>
          </w:rPr>
          <w:t>len 14(2)(e) in 14(5)(f) Uredbe (EU) št. 514/2014)</w:t>
        </w:r>
        <w:r>
          <w:tab/>
        </w:r>
        <w:r>
          <w:fldChar w:fldCharType="begin"/>
        </w:r>
        <w:r>
          <w:instrText xml:space="preserve"> PAGEREF _Toc256000015 \h </w:instrText>
        </w:r>
        <w:r>
          <w:fldChar w:fldCharType="separate"/>
        </w:r>
        <w:r>
          <w:t>20</w:t>
        </w:r>
        <w:r>
          <w:fldChar w:fldCharType="end"/>
        </w:r>
      </w:hyperlink>
    </w:p>
    <w:p w:rsidR="00855A95" w:rsidRDefault="0011309B">
      <w:pPr>
        <w:pStyle w:val="Kazalovsebine2"/>
        <w:tabs>
          <w:tab w:val="right" w:leader="dot" w:pos="10761"/>
        </w:tabs>
        <w:rPr>
          <w:rFonts w:asciiTheme="minorHAnsi" w:hAnsiTheme="minorHAnsi"/>
          <w:noProof/>
          <w:sz w:val="22"/>
        </w:rPr>
      </w:pPr>
      <w:hyperlink w:anchor="_Toc256000016" w:history="1">
        <w:r>
          <w:rPr>
            <w:rStyle w:val="Hiperpovezava"/>
            <w:noProof/>
            <w:lang w:val="fr-BE"/>
          </w:rPr>
          <w:t>Na kratko opišite glavne ukrepe in posvetovanja, opravljena za zagotovitev u</w:t>
        </w:r>
        <w:r>
          <w:rPr>
            <w:rStyle w:val="Hiperpovezava"/>
            <w:noProof/>
            <w:lang w:val="fr-BE"/>
          </w:rPr>
          <w:t>sklajenosti z drugimi instrumenti Unije, zlasti naslednjimi:</w:t>
        </w:r>
        <w:r>
          <w:tab/>
        </w:r>
        <w:r>
          <w:fldChar w:fldCharType="begin"/>
        </w:r>
        <w:r>
          <w:instrText xml:space="preserve"> PAGEREF _Toc256000016 \h </w:instrText>
        </w:r>
        <w:r>
          <w:fldChar w:fldCharType="separate"/>
        </w:r>
        <w:r>
          <w:t>20</w:t>
        </w:r>
        <w:r>
          <w:fldChar w:fldCharType="end"/>
        </w:r>
      </w:hyperlink>
    </w:p>
    <w:p w:rsidR="00855A95" w:rsidRDefault="0011309B">
      <w:pPr>
        <w:pStyle w:val="Kazalovsebine2"/>
        <w:tabs>
          <w:tab w:val="right" w:leader="dot" w:pos="10761"/>
        </w:tabs>
        <w:rPr>
          <w:rFonts w:asciiTheme="minorHAnsi" w:hAnsiTheme="minorHAnsi"/>
          <w:noProof/>
          <w:sz w:val="22"/>
        </w:rPr>
      </w:pPr>
      <w:hyperlink w:anchor="_Toc256000017" w:history="1">
        <w:r>
          <w:rPr>
            <w:rStyle w:val="Hiperpovezava"/>
            <w:noProof/>
            <w:lang w:val="fr-BE"/>
          </w:rPr>
          <w:t>6.6 Neposredna oddaja naročila</w:t>
        </w:r>
        <w:r>
          <w:tab/>
        </w:r>
        <w:r>
          <w:fldChar w:fldCharType="begin"/>
        </w:r>
        <w:r>
          <w:instrText xml:space="preserve"> PAGEREF _Toc256000017 \h </w:instrText>
        </w:r>
        <w:r>
          <w:fldChar w:fldCharType="separate"/>
        </w:r>
        <w:r>
          <w:t>21</w:t>
        </w:r>
        <w:r>
          <w:fldChar w:fldCharType="end"/>
        </w:r>
      </w:hyperlink>
    </w:p>
    <w:p w:rsidR="00855A95" w:rsidRDefault="0011309B">
      <w:pPr>
        <w:pStyle w:val="Kazalovsebine2"/>
        <w:tabs>
          <w:tab w:val="right" w:leader="dot" w:pos="10761"/>
        </w:tabs>
        <w:rPr>
          <w:rFonts w:asciiTheme="minorHAnsi" w:hAnsiTheme="minorHAnsi"/>
          <w:noProof/>
          <w:sz w:val="22"/>
        </w:rPr>
      </w:pPr>
      <w:hyperlink w:anchor="_Toc256000018" w:history="1">
        <w:r>
          <w:rPr>
            <w:rStyle w:val="Hiperpovezava"/>
            <w:noProof/>
            <w:lang w:val="fr-BE"/>
          </w:rPr>
          <w:t>Utemeljite vsak primer neposredne dodelitve.</w:t>
        </w:r>
        <w:r>
          <w:tab/>
        </w:r>
        <w:r>
          <w:fldChar w:fldCharType="begin"/>
        </w:r>
        <w:r>
          <w:instrText xml:space="preserve"> PAGEREF _Toc256000018 \h </w:instrText>
        </w:r>
        <w:r>
          <w:fldChar w:fldCharType="separate"/>
        </w:r>
        <w:r>
          <w:t>21</w:t>
        </w:r>
        <w:r>
          <w:fldChar w:fldCharType="end"/>
        </w:r>
      </w:hyperlink>
    </w:p>
    <w:p w:rsidR="00855A95" w:rsidRDefault="0011309B">
      <w:pPr>
        <w:pStyle w:val="Kazalovsebine1"/>
        <w:tabs>
          <w:tab w:val="right" w:leader="dot" w:pos="10761"/>
        </w:tabs>
        <w:rPr>
          <w:rFonts w:asciiTheme="minorHAnsi" w:hAnsiTheme="minorHAnsi"/>
          <w:noProof/>
          <w:sz w:val="22"/>
        </w:rPr>
      </w:pPr>
      <w:hyperlink w:anchor="_Toc256000019" w:history="1">
        <w:r>
          <w:rPr>
            <w:rStyle w:val="Hiperpovezava"/>
            <w:noProof/>
            <w:lang w:val="fr-BE"/>
          </w:rPr>
          <w:t>ODDELEK 7: FINANČNO POROČILO (ČLEN 54(2)(A) UREDBE (EU) ŠT. 514/2014)</w:t>
        </w:r>
        <w:r>
          <w:tab/>
        </w:r>
        <w:r>
          <w:fldChar w:fldCharType="begin"/>
        </w:r>
        <w:r>
          <w:instrText xml:space="preserve"> PAGEREF _Toc256000019 \h </w:instrText>
        </w:r>
        <w:r>
          <w:fldChar w:fldCharType="separate"/>
        </w:r>
        <w:r>
          <w:t>22</w:t>
        </w:r>
        <w:r>
          <w:fldChar w:fldCharType="end"/>
        </w:r>
      </w:hyperlink>
    </w:p>
    <w:p w:rsidR="00855A95" w:rsidRDefault="0011309B">
      <w:pPr>
        <w:pStyle w:val="Kazalovsebine2"/>
        <w:tabs>
          <w:tab w:val="right" w:leader="dot" w:pos="10761"/>
        </w:tabs>
        <w:rPr>
          <w:rFonts w:asciiTheme="minorHAnsi" w:hAnsiTheme="minorHAnsi"/>
          <w:noProof/>
          <w:sz w:val="22"/>
        </w:rPr>
      </w:pPr>
      <w:hyperlink w:anchor="_Toc256000020" w:history="1">
        <w:r>
          <w:rPr>
            <w:rStyle w:val="Hiperpovezava"/>
            <w:noProof/>
            <w:lang w:val="fr-BE"/>
          </w:rPr>
          <w:t>Preglednica 1. Finančni povzetek za sklad AM</w:t>
        </w:r>
        <w:r>
          <w:rPr>
            <w:rStyle w:val="Hiperpovezava"/>
            <w:noProof/>
            <w:lang w:val="fr-BE"/>
          </w:rPr>
          <w:t>IF, kot je navedeno v obračunih</w:t>
        </w:r>
        <w:r>
          <w:tab/>
        </w:r>
        <w:r>
          <w:fldChar w:fldCharType="begin"/>
        </w:r>
        <w:r>
          <w:instrText xml:space="preserve"> PAGEREF _Toc256000020 \h </w:instrText>
        </w:r>
        <w:r>
          <w:fldChar w:fldCharType="separate"/>
        </w:r>
        <w:r>
          <w:t>22</w:t>
        </w:r>
        <w:r>
          <w:fldChar w:fldCharType="end"/>
        </w:r>
      </w:hyperlink>
    </w:p>
    <w:p w:rsidR="00855A95" w:rsidRDefault="0011309B">
      <w:pPr>
        <w:pStyle w:val="Kazalovsebine2"/>
        <w:tabs>
          <w:tab w:val="right" w:leader="dot" w:pos="10761"/>
        </w:tabs>
        <w:rPr>
          <w:rFonts w:asciiTheme="minorHAnsi" w:hAnsiTheme="minorHAnsi"/>
          <w:noProof/>
          <w:sz w:val="22"/>
        </w:rPr>
      </w:pPr>
      <w:hyperlink w:anchor="_Toc256000021" w:history="1">
        <w:r>
          <w:rPr>
            <w:rStyle w:val="Hiperpovezava"/>
            <w:noProof/>
            <w:lang w:val="fr-BE"/>
          </w:rPr>
          <w:t>Preglednica 2. Obljubljena sredstva za posebne primere, kot je navedeno v obračunih</w:t>
        </w:r>
        <w:r>
          <w:tab/>
        </w:r>
        <w:r>
          <w:fldChar w:fldCharType="begin"/>
        </w:r>
        <w:r>
          <w:instrText xml:space="preserve"> PAGEREF _</w:instrText>
        </w:r>
        <w:r>
          <w:instrText xml:space="preserve">Toc256000021 \h </w:instrText>
        </w:r>
        <w:r>
          <w:fldChar w:fldCharType="separate"/>
        </w:r>
        <w:r>
          <w:t>23</w:t>
        </w:r>
        <w:r>
          <w:fldChar w:fldCharType="end"/>
        </w:r>
      </w:hyperlink>
    </w:p>
    <w:p w:rsidR="00855A95" w:rsidRDefault="0011309B">
      <w:pPr>
        <w:pStyle w:val="Kazalovsebine2"/>
        <w:tabs>
          <w:tab w:val="right" w:leader="dot" w:pos="10761"/>
        </w:tabs>
        <w:rPr>
          <w:rFonts w:asciiTheme="minorHAnsi" w:hAnsiTheme="minorHAnsi"/>
          <w:noProof/>
          <w:sz w:val="22"/>
        </w:rPr>
      </w:pPr>
      <w:hyperlink w:anchor="_Toc256000022" w:history="1">
        <w:r>
          <w:rPr>
            <w:rStyle w:val="Hiperpovezava"/>
            <w:noProof/>
            <w:lang w:val="fr-BE"/>
          </w:rPr>
          <w:t>Preglednica 3. Izvajanje finančnega načrta nacionalnega programa, pri čemer je naveden skupni prispevek EU za vsako proračunsko leto</w:t>
        </w:r>
        <w:r>
          <w:tab/>
        </w:r>
        <w:r>
          <w:fldChar w:fldCharType="begin"/>
        </w:r>
        <w:r>
          <w:instrText xml:space="preserve"> PAGEREF _Toc256000022 \h</w:instrText>
        </w:r>
        <w:r>
          <w:instrText xml:space="preserve"> </w:instrText>
        </w:r>
        <w:r>
          <w:fldChar w:fldCharType="separate"/>
        </w:r>
        <w:r>
          <w:t>24</w:t>
        </w:r>
        <w:r>
          <w:fldChar w:fldCharType="end"/>
        </w:r>
      </w:hyperlink>
    </w:p>
    <w:p w:rsidR="00855A95" w:rsidRDefault="0011309B">
      <w:pPr>
        <w:pStyle w:val="Kazalovsebine2"/>
        <w:tabs>
          <w:tab w:val="right" w:leader="dot" w:pos="10761"/>
        </w:tabs>
        <w:rPr>
          <w:rFonts w:asciiTheme="minorHAnsi" w:hAnsiTheme="minorHAnsi"/>
          <w:noProof/>
          <w:sz w:val="22"/>
        </w:rPr>
      </w:pPr>
      <w:hyperlink w:anchor="_Toc256000023" w:history="1">
        <w:r>
          <w:rPr>
            <w:rStyle w:val="Hiperpovezava"/>
            <w:noProof/>
            <w:lang w:val="fr-BE"/>
          </w:rPr>
          <w:t>Utemeljitev morebitnega odstopanja od najnižjih deležev, določenih v posebni uredbi.</w:t>
        </w:r>
        <w:r>
          <w:tab/>
        </w:r>
        <w:r>
          <w:fldChar w:fldCharType="begin"/>
        </w:r>
        <w:r>
          <w:instrText xml:space="preserve"> PAGEREF _Toc256000023 \h </w:instrText>
        </w:r>
        <w:r>
          <w:fldChar w:fldCharType="separate"/>
        </w:r>
        <w:r>
          <w:t>25</w:t>
        </w:r>
        <w:r>
          <w:fldChar w:fldCharType="end"/>
        </w:r>
      </w:hyperlink>
    </w:p>
    <w:p w:rsidR="00855A95" w:rsidRDefault="0011309B">
      <w:pPr>
        <w:pStyle w:val="Kazalovsebine1"/>
        <w:tabs>
          <w:tab w:val="right" w:leader="dot" w:pos="10761"/>
        </w:tabs>
        <w:rPr>
          <w:rFonts w:asciiTheme="minorHAnsi" w:hAnsiTheme="minorHAnsi"/>
          <w:noProof/>
          <w:sz w:val="22"/>
        </w:rPr>
      </w:pPr>
      <w:hyperlink w:anchor="_Toc256000024" w:history="1">
        <w:r>
          <w:rPr>
            <w:rStyle w:val="Hiperpovezava"/>
            <w:noProof/>
            <w:lang w:val="fr-BE"/>
          </w:rPr>
          <w:t>ODDELEK 8: OBVEZNOSTI V OBLIKI DOGOVORA</w:t>
        </w:r>
        <w:r>
          <w:tab/>
        </w:r>
        <w:r>
          <w:fldChar w:fldCharType="begin"/>
        </w:r>
        <w:r>
          <w:instrText xml:space="preserve"> PAGEREF _Toc256000024 \h </w:instrText>
        </w:r>
        <w:r>
          <w:fldChar w:fldCharType="separate"/>
        </w:r>
        <w:r>
          <w:t>26</w:t>
        </w:r>
        <w:r>
          <w:fldChar w:fldCharType="end"/>
        </w:r>
      </w:hyperlink>
    </w:p>
    <w:p w:rsidR="00855A95" w:rsidRDefault="0011309B">
      <w:pPr>
        <w:pStyle w:val="Kazalovsebine1"/>
        <w:tabs>
          <w:tab w:val="right" w:leader="dot" w:pos="10761"/>
        </w:tabs>
        <w:rPr>
          <w:rFonts w:asciiTheme="minorHAnsi" w:hAnsiTheme="minorHAnsi"/>
          <w:noProof/>
          <w:sz w:val="22"/>
        </w:rPr>
      </w:pPr>
      <w:hyperlink w:anchor="_Toc256000025" w:history="1">
        <w:r w:rsidR="008054E0">
          <w:rPr>
            <w:rStyle w:val="Hiperpovezava"/>
            <w:noProof/>
            <w:lang w:val="fr-BE"/>
          </w:rPr>
          <w:t>ODDELEK 9: POROČANJE O ODHODKIH V ZVEZI S COVID-19</w:t>
        </w:r>
        <w:r>
          <w:tab/>
        </w:r>
        <w:r>
          <w:fldChar w:fldCharType="begin"/>
        </w:r>
        <w:r>
          <w:instrText xml:space="preserve"> PAGEREF _Toc256000025 \h </w:instrText>
        </w:r>
        <w:r>
          <w:fldChar w:fldCharType="separate"/>
        </w:r>
        <w:r>
          <w:t>26</w:t>
        </w:r>
        <w:r>
          <w:fldChar w:fldCharType="end"/>
        </w:r>
      </w:hyperlink>
    </w:p>
    <w:p w:rsidR="00855A95" w:rsidRDefault="0011309B">
      <w:pPr>
        <w:pStyle w:val="Kazalovsebine1"/>
        <w:tabs>
          <w:tab w:val="right" w:leader="dot" w:pos="10761"/>
        </w:tabs>
        <w:rPr>
          <w:rFonts w:asciiTheme="minorHAnsi" w:hAnsiTheme="minorHAnsi"/>
          <w:noProof/>
          <w:sz w:val="22"/>
        </w:rPr>
      </w:pPr>
      <w:hyperlink w:anchor="_Toc256000026" w:history="1">
        <w:r>
          <w:rPr>
            <w:rStyle w:val="Hiperpovezava"/>
            <w:noProof/>
          </w:rPr>
          <w:t>Dokumenti</w:t>
        </w:r>
        <w:r>
          <w:tab/>
        </w:r>
        <w:r>
          <w:fldChar w:fldCharType="begin"/>
        </w:r>
        <w:r>
          <w:instrText xml:space="preserve"> PAGEREF _Toc256000026 \h </w:instrText>
        </w:r>
        <w:r>
          <w:fldChar w:fldCharType="separate"/>
        </w:r>
        <w:r>
          <w:t>27</w:t>
        </w:r>
        <w:r>
          <w:fldChar w:fldCharType="end"/>
        </w:r>
      </w:hyperlink>
    </w:p>
    <w:p w:rsidR="00855A95" w:rsidRDefault="0011309B">
      <w:pPr>
        <w:pStyle w:val="Kazalovsebine1"/>
        <w:tabs>
          <w:tab w:val="right" w:leader="dot" w:pos="10761"/>
        </w:tabs>
        <w:rPr>
          <w:rFonts w:asciiTheme="minorHAnsi" w:hAnsiTheme="minorHAnsi"/>
          <w:noProof/>
          <w:sz w:val="22"/>
        </w:rPr>
      </w:pPr>
      <w:hyperlink w:anchor="_Toc256000027" w:history="1">
        <w:r w:rsidR="00F05543">
          <w:rPr>
            <w:rStyle w:val="Hiperpovezava"/>
            <w:noProof/>
          </w:rPr>
          <w:t>Zadnji rezultati validacije</w:t>
        </w:r>
        <w:r>
          <w:tab/>
        </w:r>
        <w:r>
          <w:fldChar w:fldCharType="begin"/>
        </w:r>
        <w:r>
          <w:instrText xml:space="preserve"> PAGEREF _Toc256000027 \h </w:instrText>
        </w:r>
        <w:r>
          <w:fldChar w:fldCharType="separate"/>
        </w:r>
        <w:r>
          <w:t>28</w:t>
        </w:r>
        <w:r>
          <w:fldChar w:fldCharType="end"/>
        </w:r>
      </w:hyperlink>
    </w:p>
    <w:p w:rsidR="00115C60" w:rsidRDefault="003D38C3" w:rsidP="00115C60">
      <w:pPr>
        <w:pStyle w:val="Naslov1"/>
        <w:numPr>
          <w:ilvl w:val="0"/>
          <w:numId w:val="0"/>
        </w:numPr>
        <w:spacing w:before="0" w:after="0"/>
        <w:jc w:val="left"/>
      </w:pPr>
      <w:r>
        <w:fldChar w:fldCharType="end"/>
      </w:r>
      <w:r w:rsidR="0011309B" w:rsidRPr="005B18C7">
        <w:br w:type="page"/>
      </w:r>
      <w:bookmarkStart w:id="1" w:name="_Toc256000002"/>
      <w:r w:rsidR="0011309B">
        <w:rPr>
          <w:noProof/>
        </w:rPr>
        <w:lastRenderedPageBreak/>
        <w:t>ODDELEK 3: PROGRAMSKI CILJI</w:t>
      </w:r>
      <w:bookmarkEnd w:id="1"/>
    </w:p>
    <w:p w:rsidR="00115C60" w:rsidRPr="00B77328" w:rsidRDefault="00115C60" w:rsidP="00115C60">
      <w:pPr>
        <w:spacing w:before="0" w:after="0"/>
      </w:pPr>
    </w:p>
    <w:p w:rsidR="00115C60" w:rsidRDefault="0011309B" w:rsidP="00115C60">
      <w:pPr>
        <w:spacing w:before="0" w:after="0"/>
        <w:rPr>
          <w:lang w:val="fr-BE"/>
        </w:rPr>
      </w:pPr>
      <w:r>
        <w:rPr>
          <w:noProof/>
          <w:lang w:val="fr-BE"/>
        </w:rPr>
        <w:t xml:space="preserve">Povzemite napredek pri izvajanju strategije in doseganju </w:t>
      </w:r>
      <w:r>
        <w:rPr>
          <w:noProof/>
          <w:lang w:val="fr-BE"/>
        </w:rPr>
        <w:t>nacionalnih ciljev v proračunskem letu.</w:t>
      </w:r>
    </w:p>
    <w:p w:rsidR="00115C60" w:rsidRDefault="00115C60" w:rsidP="00115C60">
      <w:pPr>
        <w:spacing w:before="0" w:after="0"/>
        <w:rPr>
          <w:lang w:val="fr-BE"/>
        </w:rPr>
      </w:pPr>
    </w:p>
    <w:p w:rsidR="00115C60" w:rsidRDefault="0011309B" w:rsidP="00115C60">
      <w:pPr>
        <w:spacing w:before="0" w:after="0"/>
        <w:rPr>
          <w:lang w:val="fr-BE"/>
        </w:rPr>
      </w:pPr>
      <w:r>
        <w:rPr>
          <w:noProof/>
          <w:lang w:val="fr-BE"/>
        </w:rPr>
        <w:t>Navedite morebitne spremembe v strategiji ali nacionalnih ciljih oziroma dejavnike, ki bi lahko privedli do sprememb v prihodnosti.</w:t>
      </w:r>
    </w:p>
    <w:p w:rsidR="00115C60" w:rsidRDefault="00115C60" w:rsidP="00115C60">
      <w:pPr>
        <w:spacing w:before="0" w:after="0"/>
        <w:rPr>
          <w:lang w:val="fr-BE"/>
        </w:rPr>
      </w:pPr>
    </w:p>
    <w:p w:rsidR="00115C60" w:rsidRDefault="0011309B" w:rsidP="00115C60">
      <w:pPr>
        <w:spacing w:before="0" w:after="0"/>
        <w:rPr>
          <w:lang w:val="fr-BE"/>
        </w:rPr>
      </w:pPr>
      <w:r>
        <w:rPr>
          <w:noProof/>
          <w:lang w:val="fr-BE"/>
        </w:rPr>
        <w:t>Navedite morebitna pomembna vprašanja, ki vplivajo na uspešnost nacionalnega progr</w:t>
      </w:r>
      <w:r>
        <w:rPr>
          <w:noProof/>
          <w:lang w:val="fr-BE"/>
        </w:rPr>
        <w:t>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5"/>
        <w:gridCol w:w="4552"/>
      </w:tblGrid>
      <w:tr w:rsidR="00855A95" w:rsidTr="00003291">
        <w:tc>
          <w:tcPr>
            <w:tcW w:w="0" w:type="auto"/>
            <w:shd w:val="clear" w:color="auto" w:fill="auto"/>
          </w:tcPr>
          <w:p w:rsidR="00115C60" w:rsidRPr="006C1127" w:rsidRDefault="0011309B"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11309B" w:rsidP="00003291">
            <w:pPr>
              <w:spacing w:before="0" w:after="0"/>
              <w:rPr>
                <w:lang w:val="fr-BE"/>
              </w:rPr>
            </w:pPr>
            <w:r w:rsidRPr="006C1127">
              <w:rPr>
                <w:noProof/>
                <w:lang w:val="fr-BE"/>
              </w:rPr>
              <w:t>1</w:t>
            </w:r>
            <w:r w:rsidRPr="006C1127">
              <w:rPr>
                <w:lang w:val="fr-BE"/>
              </w:rPr>
              <w:t xml:space="preserve"> - </w:t>
            </w:r>
            <w:r w:rsidRPr="006C1127">
              <w:rPr>
                <w:noProof/>
                <w:lang w:val="fr-BE"/>
              </w:rPr>
              <w:t>Azil</w:t>
            </w:r>
          </w:p>
        </w:tc>
      </w:tr>
    </w:tbl>
    <w:p w:rsidR="00115C60" w:rsidRDefault="00115C60" w:rsidP="00115C60">
      <w:pPr>
        <w:spacing w:before="0" w:after="0"/>
        <w:rPr>
          <w:lang w:val="fr-BE"/>
        </w:rPr>
      </w:pPr>
    </w:p>
    <w:p w:rsidR="00855A95" w:rsidRDefault="0011309B">
      <w:pPr>
        <w:spacing w:before="0" w:after="240"/>
        <w:jc w:val="left"/>
      </w:pPr>
      <w:r>
        <w:t>Dolgoročni cilj Slovenije v sklopu posebnega cilja A.SO1 »Azil« je učinkovita izvedba Skupnega evropskega azilnega sistema (CEAS) prek učinkovitih in hitrih postopkov, ki zagotavljajo enake možnosti vsem ljudem, ki potrebujejo</w:t>
      </w:r>
      <w:r>
        <w:t xml:space="preserve"> zaščito.</w:t>
      </w:r>
    </w:p>
    <w:p w:rsidR="00855A95" w:rsidRDefault="0011309B">
      <w:pPr>
        <w:spacing w:before="240" w:after="240"/>
        <w:jc w:val="left"/>
      </w:pPr>
      <w:r>
        <w:t>Ukrepi, ki jih sofinancira AMIF, so osredotočeni na izboljšanje kakovosti in hitrost sprejemanja odločitev ter na kakovost spremljanja, vrednotenja in načrtovanja ravnanja v nepredvidljivih razmerah. Ukrepi so usmerjeni k izboljšanju sprejemne in</w:t>
      </w:r>
      <w:r>
        <w:t>frastrukture, storitev in razmer, uporabi alternativ za pridržanje ter identifikacijo in izboljšanju razmer za ranljive osebe. Izboljšanje splošnega ozaveščanja javnosti se zagotavlja prek usposabljanja, informacijskih ukrepov in dogodkov.</w:t>
      </w:r>
    </w:p>
    <w:p w:rsidR="00855A95" w:rsidRDefault="0011309B">
      <w:pPr>
        <w:spacing w:before="240" w:after="240"/>
        <w:jc w:val="left"/>
      </w:pPr>
      <w:r>
        <w:t>Načrtovane aktiv</w:t>
      </w:r>
      <w:r>
        <w:t>nosti v okviru nacionalnega cilja</w:t>
      </w:r>
      <w:r>
        <w:rPr>
          <w:b/>
          <w:bCs/>
        </w:rPr>
        <w:t xml:space="preserve"> </w:t>
      </w:r>
      <w:r>
        <w:t>A.SO1.2 »Vrednotenje« so zaradi izzivov povečanih migracij realizirane v minimalnem obsegu in v okviru drugih finančnih instrumentov (in ne AMIF). Ukrepi Slovenije so osredotočeni na izboljšanje kakovosti in hitrost spreje</w:t>
      </w:r>
      <w:r>
        <w:t>manja odločitev ter na kakovost spremljanja, vrednotenja in načrtovanja ravnanja v nepredvidljivih razmerah. Prosilcem za mednarodno zaščito se v sklopu pomoči in podpore zagotavlja dostop do informacij, tolmačenja in pravnih, prevajalskih, socialnih, zdra</w:t>
      </w:r>
      <w:r>
        <w:t>vstvenih itd. storitev. Izvajajo se izboljšave sprejemne infrastrukture, storitev in razmer, spodbuja alternative za pridržanje, identifikacijo in izboljšanje razmer za ranljive osebe ter deluje na splošni ozaveščenosti širše javnosti.</w:t>
      </w:r>
    </w:p>
    <w:p w:rsidR="00855A95" w:rsidRDefault="0011309B">
      <w:pPr>
        <w:spacing w:before="240" w:after="240"/>
        <w:jc w:val="left"/>
      </w:pPr>
      <w:r>
        <w:t>Alokacija sredstev z</w:t>
      </w:r>
      <w:r>
        <w:t>a leto 2020 je bila končnim upravičencem načrtovana v skladu s potrjenim Akcijskim načrtom. V letu 2020 pri izvajanju ukrepov v okviru tega posebnega cilja ni bilo težav, ki bi vplivale na izvajanje Nacionalnega programa.</w:t>
      </w:r>
    </w:p>
    <w:p w:rsidR="00855A95" w:rsidRDefault="0011309B">
      <w:pPr>
        <w:spacing w:before="240" w:after="240"/>
        <w:jc w:val="left"/>
      </w:pPr>
      <w:r>
        <w:t>V dokumentu poročamo samo o izvede</w:t>
      </w:r>
      <w:r>
        <w:t>nih aktivnostih in projektih, katerih izdatki so vključeni v Obračune za finančno leto 2020.</w:t>
      </w:r>
    </w:p>
    <w:p w:rsidR="00855A95" w:rsidRDefault="0011309B">
      <w:pPr>
        <w:spacing w:before="240" w:after="240"/>
        <w:jc w:val="left"/>
      </w:pPr>
      <w:r>
        <w:t>Slovenija načrtuje kontinuirano izvajanje aktivnosti porabe sredstev tj. do 2022. </w:t>
      </w:r>
    </w:p>
    <w:p w:rsidR="00855A95" w:rsidRDefault="0011309B">
      <w:pPr>
        <w:spacing w:before="240" w:after="240"/>
        <w:jc w:val="left"/>
      </w:pPr>
      <w:r>
        <w:t>V okviru specifičnega cilja SO1 »Azil« so načrtovani 3 nacionalni cilji, to so "</w:t>
      </w:r>
      <w:r>
        <w:t>Sprejem", "Vrednotenje" in "Preselitev", aktivnosti v obdobju poročanja so se izvajale v okviru nacionalnega cilja »Sprejem«.</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1"/>
        <w:gridCol w:w="2976"/>
      </w:tblGrid>
      <w:tr w:rsidR="00855A95" w:rsidTr="00003291">
        <w:tc>
          <w:tcPr>
            <w:tcW w:w="0" w:type="auto"/>
            <w:shd w:val="clear" w:color="auto" w:fill="auto"/>
          </w:tcPr>
          <w:p w:rsidR="00115C60" w:rsidRPr="00707975" w:rsidRDefault="0011309B"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11309B" w:rsidP="00003291">
            <w:pPr>
              <w:spacing w:before="0" w:after="0"/>
              <w:rPr>
                <w:lang w:val="fr-BE"/>
              </w:rPr>
            </w:pPr>
            <w:r w:rsidRPr="00707975">
              <w:rPr>
                <w:noProof/>
                <w:lang w:val="fr-BE"/>
              </w:rPr>
              <w:t>1</w:t>
            </w:r>
            <w:r w:rsidRPr="00707975">
              <w:rPr>
                <w:lang w:val="fr-BE"/>
              </w:rPr>
              <w:t xml:space="preserve"> - </w:t>
            </w:r>
            <w:r w:rsidRPr="00707975">
              <w:rPr>
                <w:noProof/>
                <w:lang w:val="fr-BE"/>
              </w:rPr>
              <w:t>Sprejem/azil</w:t>
            </w:r>
          </w:p>
        </w:tc>
      </w:tr>
    </w:tbl>
    <w:p w:rsidR="00115C60" w:rsidRPr="006C1127" w:rsidRDefault="00115C60" w:rsidP="00115C60">
      <w:pPr>
        <w:spacing w:before="0" w:after="0"/>
        <w:rPr>
          <w:lang w:val="fr-BE"/>
        </w:rPr>
      </w:pPr>
    </w:p>
    <w:p w:rsidR="00855A95" w:rsidRDefault="0011309B">
      <w:pPr>
        <w:spacing w:before="0" w:after="240"/>
        <w:jc w:val="left"/>
      </w:pPr>
      <w:r>
        <w:t xml:space="preserve">Slovenija kontinuirano izvaja aktivnosti A.SO1.1, ki se </w:t>
      </w:r>
      <w:r>
        <w:t>nanašajo na azilni postopek in sprejemanje odločitev, na sprejemne kapacitete, pogoje za sprejem ter ozaveščanje splošne javnosti (usposabljanja, informacijske kampanje in dogodki).</w:t>
      </w:r>
    </w:p>
    <w:p w:rsidR="00855A95" w:rsidRDefault="0011309B">
      <w:pPr>
        <w:spacing w:before="240" w:after="240"/>
        <w:jc w:val="left"/>
      </w:pPr>
      <w:r>
        <w:lastRenderedPageBreak/>
        <w:t>V okviru brezplačne pravne pomoči pred upravnim in vrhovnim sodiščem je pr</w:t>
      </w:r>
      <w:r>
        <w:t>avno pomoč zagotavljalo 40 svetovalcev za begunce in izdanih je bilo 250 sklepov za priznanje nagrad in stroškov zastopanja. Realiziranih je bilo 26 predaj po Dublinski uredbi.</w:t>
      </w:r>
    </w:p>
    <w:p w:rsidR="00855A95" w:rsidRDefault="0011309B">
      <w:pPr>
        <w:spacing w:before="240" w:after="240"/>
        <w:jc w:val="left"/>
      </w:pPr>
      <w:r>
        <w:t>V okviru A.SO1.1.1 za pomoč pri nastanitvi in oskrbi prosilcev ob sprejemu je b</w:t>
      </w:r>
      <w:r>
        <w:t>ilo v izobraževalne delavnice in prostočasne aktivnosti vključenih 20.847 prosilcev za MZ (PMZ), med njimi se je izvedlo 1.361 srečanj za psihosocialno pomoč. V</w:t>
      </w:r>
      <w:r>
        <w:rPr>
          <w:b/>
          <w:bCs/>
        </w:rPr>
        <w:t xml:space="preserve"> </w:t>
      </w:r>
      <w:r>
        <w:t>Azilnem domu se je izvedlo 5.463 zdravstveno/sanitarnih pregledov. Finančna sredstva za pokriva</w:t>
      </w:r>
      <w:r>
        <w:t>nje drobnih izdatkov je prejelo 2.291 PMZ. V opismenjevanje in učno pomoč PMZ je bilo vključenih 534</w:t>
      </w:r>
      <w:r>
        <w:rPr>
          <w:b/>
          <w:bCs/>
        </w:rPr>
        <w:t xml:space="preserve"> </w:t>
      </w:r>
      <w:r>
        <w:t>oseb, Javni zavod Cene Štupar je izvedel 1.070 pedagoških ur opismenjevanja, osnovne konverzacije in učne pomoči.</w:t>
      </w:r>
    </w:p>
    <w:p w:rsidR="00855A95" w:rsidRDefault="0011309B">
      <w:pPr>
        <w:spacing w:before="240" w:after="240"/>
        <w:jc w:val="left"/>
      </w:pPr>
      <w:r>
        <w:t>V okviru A.SO1.1.6 se je izvajala podpora</w:t>
      </w:r>
      <w:r>
        <w:t xml:space="preserve"> v postopkih priznanj MZ (izvedeniška mnenja) ter izplačevanje nagrad za zakonite zastopnike mladoletnih prosilcev brez spremstva ter psihiatrična podpora (izvedenih je bilo 253 rednih in urgentnih obravnav oseb, med njimi v 36 primerih za mladoletnike bre</w:t>
      </w:r>
      <w:r>
        <w:t xml:space="preserve">z spremstva). Največ sredstev je bilo namenjenih izplačilom mladoletnim prosilcem brez spremstva, saj se nadaljuje trend povečanja števila prošenj. Od vseh mladoletnih otrok prosilcev za mednarodno zaščito je bilo kar 70 odstotkov takih, ki so v Republiko </w:t>
      </w:r>
      <w:r>
        <w:t>Slovenijo prišli brez staršev ali drugega zakonitega zastopnika.</w:t>
      </w:r>
    </w:p>
    <w:p w:rsidR="00855A95" w:rsidRDefault="0011309B">
      <w:pPr>
        <w:spacing w:before="240" w:after="240"/>
        <w:jc w:val="left"/>
      </w:pPr>
      <w:r>
        <w:t>V okviru A.SO1.1.7 se je pripravilo 9 novih odločb in 39 osebam izplačala finančna pomoč za nastanitev na zasebnem naslovu.</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gridCol w:w="2944"/>
      </w:tblGrid>
      <w:tr w:rsidR="00855A95" w:rsidTr="00003291">
        <w:tc>
          <w:tcPr>
            <w:tcW w:w="0" w:type="auto"/>
            <w:shd w:val="clear" w:color="auto" w:fill="auto"/>
          </w:tcPr>
          <w:p w:rsidR="00115C60" w:rsidRPr="00707975" w:rsidRDefault="0011309B"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11309B" w:rsidP="00003291">
            <w:pPr>
              <w:spacing w:before="0" w:after="0"/>
              <w:rPr>
                <w:lang w:val="fr-BE"/>
              </w:rPr>
            </w:pPr>
            <w:r w:rsidRPr="00707975">
              <w:rPr>
                <w:noProof/>
                <w:lang w:val="fr-BE"/>
              </w:rPr>
              <w:t>2</w:t>
            </w:r>
            <w:r w:rsidRPr="00707975">
              <w:rPr>
                <w:lang w:val="fr-BE"/>
              </w:rPr>
              <w:t xml:space="preserve"> - </w:t>
            </w:r>
            <w:r w:rsidRPr="00707975">
              <w:rPr>
                <w:noProof/>
                <w:lang w:val="fr-BE"/>
              </w:rPr>
              <w:t>Vrednotenje</w:t>
            </w:r>
          </w:p>
        </w:tc>
      </w:tr>
    </w:tbl>
    <w:p w:rsidR="00115C60" w:rsidRPr="006C1127" w:rsidRDefault="00115C60" w:rsidP="00115C60">
      <w:pPr>
        <w:spacing w:before="0" w:after="0"/>
        <w:rPr>
          <w:lang w:val="fr-BE"/>
        </w:rPr>
      </w:pPr>
    </w:p>
    <w:p w:rsidR="00855A95" w:rsidRDefault="0011309B">
      <w:pPr>
        <w:spacing w:before="0" w:after="240"/>
        <w:jc w:val="left"/>
      </w:pPr>
      <w:r>
        <w:t>Načrtovane aktivnosti</w:t>
      </w:r>
      <w:r>
        <w:rPr>
          <w:b/>
          <w:bCs/>
        </w:rPr>
        <w:t xml:space="preserve"> </w:t>
      </w:r>
      <w:r>
        <w:t>A.SO1.2 »Vrednotenje« so zaradi izzivov povečanih migracij preteklih let bile realizirane v okviru drugih finančnih instrumentov (in ne iz AMIF).</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5"/>
        <w:gridCol w:w="2632"/>
      </w:tblGrid>
      <w:tr w:rsidR="00855A95" w:rsidTr="00003291">
        <w:tc>
          <w:tcPr>
            <w:tcW w:w="0" w:type="auto"/>
            <w:shd w:val="clear" w:color="auto" w:fill="auto"/>
          </w:tcPr>
          <w:p w:rsidR="00115C60" w:rsidRPr="00707975" w:rsidRDefault="0011309B"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11309B" w:rsidP="00003291">
            <w:pPr>
              <w:spacing w:before="0" w:after="0"/>
              <w:rPr>
                <w:lang w:val="fr-BE"/>
              </w:rPr>
            </w:pPr>
            <w:r w:rsidRPr="00707975">
              <w:rPr>
                <w:noProof/>
                <w:lang w:val="fr-BE"/>
              </w:rPr>
              <w:t>3</w:t>
            </w:r>
            <w:r w:rsidRPr="00707975">
              <w:rPr>
                <w:lang w:val="fr-BE"/>
              </w:rPr>
              <w:t xml:space="preserve"> - </w:t>
            </w:r>
            <w:r w:rsidRPr="00707975">
              <w:rPr>
                <w:noProof/>
                <w:lang w:val="fr-BE"/>
              </w:rPr>
              <w:t>Preselitev</w:t>
            </w:r>
          </w:p>
        </w:tc>
      </w:tr>
    </w:tbl>
    <w:p w:rsidR="00115C60" w:rsidRPr="006C1127" w:rsidRDefault="00115C60" w:rsidP="00115C60">
      <w:pPr>
        <w:spacing w:before="0" w:after="0"/>
        <w:rPr>
          <w:lang w:val="fr-BE"/>
        </w:rPr>
      </w:pPr>
    </w:p>
    <w:p w:rsidR="00855A95" w:rsidRDefault="0011309B">
      <w:pPr>
        <w:spacing w:before="0" w:after="240"/>
        <w:jc w:val="left"/>
      </w:pPr>
      <w:r>
        <w:t xml:space="preserve">Na zasedanju </w:t>
      </w:r>
      <w:r>
        <w:t>Evropskega sveta konec junija 2015 so voditelji držav in vlad sprejeli odločitev, da se bo v okviru trajne preselitve v Evropsko unijo skupno preselilo 20.000 oseb. Republika Slovenija se je zavezala sprejeti 20 oseb iz tretjih držav, predvidoma državljano</w:t>
      </w:r>
      <w:r>
        <w:t>v Sirije iz Turčije, Libanona ali Jordanije. V skladu s sporazumom med Evropsko unijo in Turčijo, ki je bil sprejet aprila 2016, je bilo dogovorjeno, da se v Slovenijo preseli 20 državljanov Sirije iz Turčije. Vlada Republike Slovenije je 4. avgusta 2016 s</w:t>
      </w:r>
      <w:r>
        <w:t>prejela sklep, da se na podlagi kvote iz Turčije sprejme 40 državljanov Sirije, ki se jim lahko prizna status begunca.</w:t>
      </w:r>
    </w:p>
    <w:p w:rsidR="00855A95" w:rsidRDefault="0011309B">
      <w:pPr>
        <w:spacing w:before="240" w:after="240"/>
        <w:jc w:val="left"/>
      </w:pPr>
      <w:r>
        <w:t> </w:t>
      </w:r>
    </w:p>
    <w:p w:rsidR="00855A95" w:rsidRDefault="0011309B">
      <w:pPr>
        <w:spacing w:before="240" w:after="240"/>
        <w:jc w:val="left"/>
      </w:pPr>
      <w:r>
        <w:t>Ministrstvo za notranje zadeve je v 2018 organiziralo izbirno misijo. V Ankari so opravili razgovore s člani 13 družin, skupaj 57 oseba</w:t>
      </w:r>
      <w:r>
        <w:t>mi, ki jih je na poziv Slovenije kot primerne kandidate za trajno preselitev predlagal UNHCR. Na podlagi prejete dokumentacije in opravljenih razgovorov je bilo ugotovljeno, da pogoje za pridobitev mednarodne zaščite izpolnjuje 40 oseb.</w:t>
      </w:r>
    </w:p>
    <w:p w:rsidR="00855A95" w:rsidRDefault="0011309B">
      <w:pPr>
        <w:spacing w:before="240" w:after="240"/>
        <w:jc w:val="left"/>
      </w:pPr>
      <w:r>
        <w:t> </w:t>
      </w:r>
    </w:p>
    <w:p w:rsidR="00855A95" w:rsidRDefault="0011309B">
      <w:pPr>
        <w:spacing w:before="240" w:after="240"/>
        <w:jc w:val="left"/>
      </w:pPr>
      <w:r>
        <w:rPr>
          <w:u w:val="single"/>
        </w:rPr>
        <w:t>Skupno je bilo tr</w:t>
      </w:r>
      <w:r>
        <w:rPr>
          <w:u w:val="single"/>
        </w:rPr>
        <w:t>ajno preseljenih 34 državljanov Sirije. V Slovenijo so bili premeščeni v treh skupinah, in sicer 21 oseb v juliju, 6 v septembru in 7 v oktobru 2018.</w:t>
      </w:r>
    </w:p>
    <w:p w:rsidR="00855A95" w:rsidRDefault="0011309B">
      <w:pPr>
        <w:spacing w:before="240" w:after="240"/>
        <w:jc w:val="left"/>
      </w:pPr>
      <w:r>
        <w:lastRenderedPageBreak/>
        <w:t> </w:t>
      </w:r>
    </w:p>
    <w:p w:rsidR="00855A95" w:rsidRDefault="0011309B">
      <w:pPr>
        <w:spacing w:before="240" w:after="240"/>
        <w:jc w:val="left"/>
      </w:pPr>
      <w:r>
        <w:t>Pravne podlage  Sklep Sveta (EU) 2015/1523 s 14. septembra 2015 o uvedbi začasnih ukrepov na področju me</w:t>
      </w:r>
      <w:r>
        <w:t>dnarodne zaščite v korist Italije in Grčije in Sklep Sveta (EU) 2015/1601 z 22. septembra 2015 o uvedbi začasnih ukrepov na področju začasne zaščite v korist Italije in Grčije v 2019 niso več veljale.</w:t>
      </w:r>
    </w:p>
    <w:p w:rsidR="00855A95" w:rsidRDefault="0011309B">
      <w:pPr>
        <w:spacing w:before="240" w:after="240"/>
        <w:jc w:val="left"/>
      </w:pPr>
      <w:r>
        <w:t> </w:t>
      </w:r>
    </w:p>
    <w:p w:rsidR="00855A95" w:rsidRDefault="0011309B">
      <w:pPr>
        <w:spacing w:before="240" w:after="240"/>
        <w:jc w:val="left"/>
      </w:pPr>
      <w:r>
        <w:t>Aktivnosti ukrepa so bile zaključene v letu 2018.</w:t>
      </w:r>
    </w:p>
    <w:p w:rsidR="00115C60" w:rsidRDefault="00115C60" w:rsidP="00115C60">
      <w:pPr>
        <w:spacing w:before="0" w:after="0"/>
        <w:rPr>
          <w:lang w:val="fr-BE"/>
        </w:rPr>
      </w:pPr>
    </w:p>
    <w:p w:rsidR="00115C60" w:rsidRDefault="0011309B" w:rsidP="00115C60">
      <w:pPr>
        <w:spacing w:before="0" w:after="0"/>
        <w:rPr>
          <w:lang w:val="fr-BE"/>
        </w:rPr>
      </w:pPr>
      <w:r>
        <w:rPr>
          <w:noProof/>
          <w:lang w:val="fr-BE"/>
        </w:rPr>
        <w:t>Po</w:t>
      </w:r>
      <w:r>
        <w:rPr>
          <w:noProof/>
          <w:lang w:val="fr-BE"/>
        </w:rPr>
        <w:t>vzemite napredek pri izvajanju strategije in doseganju nacionalnih ciljev v proračunskem letu.</w:t>
      </w:r>
    </w:p>
    <w:p w:rsidR="00115C60" w:rsidRDefault="00115C60" w:rsidP="00115C60">
      <w:pPr>
        <w:spacing w:before="0" w:after="0"/>
        <w:rPr>
          <w:lang w:val="fr-BE"/>
        </w:rPr>
      </w:pPr>
    </w:p>
    <w:p w:rsidR="00115C60" w:rsidRDefault="0011309B" w:rsidP="00115C60">
      <w:pPr>
        <w:spacing w:before="0" w:after="0"/>
        <w:rPr>
          <w:lang w:val="fr-BE"/>
        </w:rPr>
      </w:pPr>
      <w:r>
        <w:rPr>
          <w:noProof/>
          <w:lang w:val="fr-BE"/>
        </w:rPr>
        <w:t>Navedite morebitne spremembe v strategiji ali nacionalnih ciljih oziroma dejavnike, ki bi lahko privedli do sprememb v prihodnosti.</w:t>
      </w:r>
    </w:p>
    <w:p w:rsidR="00115C60" w:rsidRDefault="00115C60" w:rsidP="00115C60">
      <w:pPr>
        <w:spacing w:before="0" w:after="0"/>
        <w:rPr>
          <w:lang w:val="fr-BE"/>
        </w:rPr>
      </w:pPr>
    </w:p>
    <w:p w:rsidR="00115C60" w:rsidRDefault="0011309B" w:rsidP="00115C60">
      <w:pPr>
        <w:spacing w:before="0" w:after="0"/>
        <w:rPr>
          <w:lang w:val="fr-BE"/>
        </w:rPr>
      </w:pPr>
      <w:r>
        <w:rPr>
          <w:noProof/>
          <w:lang w:val="fr-BE"/>
        </w:rPr>
        <w:t>Navedite morebitna pomembna</w:t>
      </w:r>
      <w:r>
        <w:rPr>
          <w:noProof/>
          <w:lang w:val="fr-BE"/>
        </w:rPr>
        <w:t xml:space="preserve">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8284"/>
      </w:tblGrid>
      <w:tr w:rsidR="00855A95" w:rsidTr="00003291">
        <w:tc>
          <w:tcPr>
            <w:tcW w:w="0" w:type="auto"/>
            <w:shd w:val="clear" w:color="auto" w:fill="auto"/>
          </w:tcPr>
          <w:p w:rsidR="00115C60" w:rsidRPr="006C1127" w:rsidRDefault="0011309B"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11309B" w:rsidP="00003291">
            <w:pPr>
              <w:spacing w:before="0" w:after="0"/>
              <w:rPr>
                <w:lang w:val="fr-BE"/>
              </w:rPr>
            </w:pPr>
            <w:r w:rsidRPr="006C1127">
              <w:rPr>
                <w:noProof/>
                <w:lang w:val="fr-BE"/>
              </w:rPr>
              <w:t>2</w:t>
            </w:r>
            <w:r w:rsidRPr="006C1127">
              <w:rPr>
                <w:lang w:val="fr-BE"/>
              </w:rPr>
              <w:t xml:space="preserve"> - </w:t>
            </w:r>
            <w:r w:rsidRPr="006C1127">
              <w:rPr>
                <w:noProof/>
                <w:lang w:val="fr-BE"/>
              </w:rPr>
              <w:t>Vključevanje / zakonito priseljevanje</w:t>
            </w:r>
          </w:p>
        </w:tc>
      </w:tr>
    </w:tbl>
    <w:p w:rsidR="00115C60" w:rsidRDefault="00115C60" w:rsidP="00115C60">
      <w:pPr>
        <w:spacing w:before="0" w:after="0"/>
        <w:rPr>
          <w:lang w:val="fr-BE"/>
        </w:rPr>
      </w:pPr>
    </w:p>
    <w:p w:rsidR="00855A95" w:rsidRDefault="0011309B">
      <w:pPr>
        <w:spacing w:before="0" w:after="240"/>
        <w:jc w:val="left"/>
      </w:pPr>
      <w:r>
        <w:t xml:space="preserve">Dolgoročni cilj Slovenije v sklopu posebnega cilja A.SO2 »Vključevanje/zakonito priseljevanje« je doseči vključenost državljanov tretjih </w:t>
      </w:r>
      <w:r>
        <w:t>držav in oseb z mednarodno zaščito v vsa ključna področja življenja in dela. Posebna pozornost se namenja ranljivim skupinam oseb, kot so ženske, otroci in starejše osebe. Ukrepi so usmerjeni k izboljšanju zavedanja splošne javnosti, organov in samih prise</w:t>
      </w:r>
      <w:r>
        <w:t>ljencev o vprašanjih vključevanja. Pomoč osebam z mednarodno zaščito se pri vključevanju zagotavlja prek individualnega pristopa na osnovi osebnega integracijskega načrta. Krepitev kapacitet je usmerjena k vzpostavitvi trajnostnega sodelovanja med pomembni</w:t>
      </w:r>
      <w:r>
        <w:t>mi deležniki, še zlasti z usposabljanji. Podpira se izboljšanje infrastrukture, storitev in bivanjskih razmer za osebe z mednarodno zaščito v integracijskih hišah, kot tudi praktično sodelovanje med državami članicami ter izdelava analiz, vrednotenj in izb</w:t>
      </w:r>
      <w:r>
        <w:t>oljšav trenutnih mehanizmov in pristopov vključevanja.</w:t>
      </w:r>
    </w:p>
    <w:p w:rsidR="00855A95" w:rsidRDefault="0011309B">
      <w:pPr>
        <w:spacing w:before="240" w:after="240"/>
        <w:jc w:val="left"/>
      </w:pPr>
      <w:r>
        <w:t>Alokacija sredstev za leto 2020 je bila končnima upravičencema načrtovana v skladu s potrjenim Akcijskim načrtom. V letu 2020 pri izvajanju ukrepov ni bilo težav, ki bi vplivale na izvajanje NP.  Slove</w:t>
      </w:r>
      <w:r>
        <w:t>nija načrtuje kontinuirano izvajanje aktivnosti porabe sredstev tj. do 2022. </w:t>
      </w:r>
    </w:p>
    <w:p w:rsidR="00855A95" w:rsidRDefault="0011309B">
      <w:pPr>
        <w:spacing w:before="240" w:after="240"/>
        <w:jc w:val="left"/>
      </w:pPr>
      <w:r>
        <w:t>V dokumentu poročamo samo o izvedenih aktivnostih in projektih, katerih izdatki so vključeni v Obračune za finančno leto 2020.</w:t>
      </w:r>
    </w:p>
    <w:p w:rsidR="00855A95" w:rsidRDefault="0011309B">
      <w:pPr>
        <w:spacing w:before="240" w:after="240"/>
        <w:jc w:val="left"/>
      </w:pPr>
      <w:r>
        <w:t>V okviru posebnega cilja  A.SO2 so načrtovani 3 nac</w:t>
      </w:r>
      <w:r>
        <w:t>ionalni cilji, to so A.SO2.1 »Zakonito priseljevanje«, A.SO2.2 »Vključevanje« in A.SO2.3 »Zmogljivost«.</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3"/>
        <w:gridCol w:w="3994"/>
      </w:tblGrid>
      <w:tr w:rsidR="00855A95" w:rsidTr="00003291">
        <w:tc>
          <w:tcPr>
            <w:tcW w:w="0" w:type="auto"/>
            <w:shd w:val="clear" w:color="auto" w:fill="auto"/>
          </w:tcPr>
          <w:p w:rsidR="00115C60" w:rsidRPr="00707975" w:rsidRDefault="0011309B"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11309B" w:rsidP="00003291">
            <w:pPr>
              <w:spacing w:before="0" w:after="0"/>
              <w:rPr>
                <w:lang w:val="fr-BE"/>
              </w:rPr>
            </w:pPr>
            <w:r w:rsidRPr="00707975">
              <w:rPr>
                <w:noProof/>
                <w:lang w:val="fr-BE"/>
              </w:rPr>
              <w:t>1</w:t>
            </w:r>
            <w:r w:rsidRPr="00707975">
              <w:rPr>
                <w:lang w:val="fr-BE"/>
              </w:rPr>
              <w:t xml:space="preserve"> - </w:t>
            </w:r>
            <w:r w:rsidRPr="00707975">
              <w:rPr>
                <w:noProof/>
                <w:lang w:val="fr-BE"/>
              </w:rPr>
              <w:t>Zakonito priseljevanje</w:t>
            </w:r>
          </w:p>
        </w:tc>
      </w:tr>
    </w:tbl>
    <w:p w:rsidR="00115C60" w:rsidRPr="006C1127" w:rsidRDefault="00115C60" w:rsidP="00115C60">
      <w:pPr>
        <w:spacing w:before="0" w:after="0"/>
        <w:rPr>
          <w:lang w:val="fr-BE"/>
        </w:rPr>
      </w:pPr>
    </w:p>
    <w:p w:rsidR="00855A95" w:rsidRDefault="0011309B">
      <w:pPr>
        <w:spacing w:before="0" w:after="240"/>
        <w:jc w:val="left"/>
      </w:pPr>
      <w:r>
        <w:t xml:space="preserve">V okviru nacionalnega cilja A.SO2.1 »Zakonito priseljevanje« je Slovenija </w:t>
      </w:r>
      <w:r>
        <w:t>kontinuirano izvajala aktivnosti zagotavljanja informacij o življenju in delu v RS, predvsem državljanom tretjih držav. S pred-integracijskimi ukrepi Slovenija zapolnjuje vrzel, ki je nastala z intenzivno gospodarsko rastjo na način, da se opolnomoči delav</w:t>
      </w:r>
      <w:r>
        <w:t>ca migranta z informacijami, znanjem, pred vključitvijo na slovenski trg dela. </w:t>
      </w:r>
    </w:p>
    <w:p w:rsidR="00855A95" w:rsidRDefault="0011309B">
      <w:pPr>
        <w:spacing w:before="240" w:after="240"/>
        <w:jc w:val="left"/>
      </w:pPr>
      <w:r>
        <w:lastRenderedPageBreak/>
        <w:t>Izvajale so se aktivnosti A.SO2.1.1 »Delovanje informacijske točke za državljane tretjih držav in osebe z mednarodno zaščito«, preko posredovanja informacij državljanov tretjih</w:t>
      </w:r>
      <w:r>
        <w:t xml:space="preserve"> držav o njihovih dolžnostih in pravicah (npr. socialno varstvo, zdravstvo, zaposlitev, itd.) in o možnostih sodelovanja v programih integracije v jeziku, ki ga razumejo. Spletna stran </w:t>
      </w:r>
      <w:r>
        <w:rPr>
          <w:b/>
          <w:bCs/>
        </w:rPr>
        <w:t>www.infotujci.si</w:t>
      </w:r>
      <w:r>
        <w:t xml:space="preserve"> vsebuje pomembne podatke o vstopu in bivanju na področ</w:t>
      </w:r>
      <w:r>
        <w:t xml:space="preserve">ju Republike Slovenije, šolskem sistemu, zdravstvenem in socialnem varstvu, programih jezika in programih, ki podajajo vsebine iz področja slovenske zgodovine, kulture in ustavne ureditve ter organizacijah in društvih, ki izvajajo programe integracije ter </w:t>
      </w:r>
      <w:r>
        <w:t>druge koristne informacije. Podatki so dostopni v različnih jezikih.</w:t>
      </w:r>
    </w:p>
    <w:p w:rsidR="00855A95" w:rsidRDefault="0011309B">
      <w:pPr>
        <w:spacing w:before="240" w:after="240"/>
        <w:jc w:val="left"/>
      </w:pPr>
      <w:r>
        <w:t>Od februarja 2018 je tujcem dostopna prenovljena spletna stran www.infotujci.si z vsemi informacijami, ki jih potrebujejo za življenje in delo v Republiki Sloveniji. Spletna stran vsebuje</w:t>
      </w:r>
      <w:r>
        <w:t xml:space="preserve"> informacije tako za tujce, ki so že tukaj, kakor tudi za tiste, ki se pripravljajo na prihod. Pripravljene oziroma posodobljene so bile vsebine v treh razdelkih - informacije za državljane tretjih držav, informacije za osebe z mednarodno zaščito in vključ</w:t>
      </w:r>
      <w:r>
        <w:t>evanje v slovensko družbo. Pri projektu je ministrstvo sodelovalo s številnimi drugimi pristojnimi ministrstvi in Uradom Vlade RS za oskrbo in integracijo migrantov. Vsebina spletne strani je prilagojena dostopu z mobilnih naprav – pametnih telefonov in ta</w:t>
      </w:r>
      <w:r>
        <w:t>blic. V poročevalskem obdobju je bila spletna stran obiskana 219.660-krat, obiskovalci so se na njej povprečno zadržali dobri dve minuti. Večina uporabnikov jo je obiskala dvakrat. Največ uporabnikov je spletno stran obiskalo prek strežnikov v Republiki Sl</w:t>
      </w:r>
      <w:r>
        <w:t xml:space="preserve">oveniji, za dostop pa so uporabili mobilne naprave. Najdlje so se zadržali ob vsebinah namenjenih državljanom tretjih držav, predvsem dovoljenjem za začasno prebivanje, dovoljenjem za stalno prebivanje, pridobitvi slovenskega državljanstva in vključevanju </w:t>
      </w:r>
      <w:r>
        <w:t>v slovensko družbo.</w:t>
      </w:r>
    </w:p>
    <w:p w:rsidR="00855A95" w:rsidRDefault="0011309B">
      <w:pPr>
        <w:spacing w:before="240" w:after="240"/>
        <w:jc w:val="left"/>
      </w:pPr>
      <w:r>
        <w:t>Slovenija načrtuje kontinuirano izvajanje aktivnosti do leta 2022.</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9"/>
        <w:gridCol w:w="3058"/>
      </w:tblGrid>
      <w:tr w:rsidR="00855A95" w:rsidTr="00003291">
        <w:tc>
          <w:tcPr>
            <w:tcW w:w="0" w:type="auto"/>
            <w:shd w:val="clear" w:color="auto" w:fill="auto"/>
          </w:tcPr>
          <w:p w:rsidR="00115C60" w:rsidRPr="00707975" w:rsidRDefault="0011309B"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11309B" w:rsidP="00003291">
            <w:pPr>
              <w:spacing w:before="0" w:after="0"/>
              <w:rPr>
                <w:lang w:val="fr-BE"/>
              </w:rPr>
            </w:pPr>
            <w:r w:rsidRPr="00707975">
              <w:rPr>
                <w:noProof/>
                <w:lang w:val="fr-BE"/>
              </w:rPr>
              <w:t>2</w:t>
            </w:r>
            <w:r w:rsidRPr="00707975">
              <w:rPr>
                <w:lang w:val="fr-BE"/>
              </w:rPr>
              <w:t xml:space="preserve"> - </w:t>
            </w:r>
            <w:r w:rsidRPr="00707975">
              <w:rPr>
                <w:noProof/>
                <w:lang w:val="fr-BE"/>
              </w:rPr>
              <w:t>Vključevanje</w:t>
            </w:r>
          </w:p>
        </w:tc>
      </w:tr>
    </w:tbl>
    <w:p w:rsidR="00115C60" w:rsidRPr="006C1127" w:rsidRDefault="00115C60" w:rsidP="00115C60">
      <w:pPr>
        <w:spacing w:before="0" w:after="0"/>
        <w:rPr>
          <w:lang w:val="fr-BE"/>
        </w:rPr>
      </w:pPr>
    </w:p>
    <w:p w:rsidR="00855A95" w:rsidRDefault="0011309B">
      <w:pPr>
        <w:spacing w:before="0" w:after="240"/>
        <w:jc w:val="left"/>
      </w:pPr>
      <w:r>
        <w:t xml:space="preserve">Povečan obseg migracij je vplival na izvajanje in doseganje zastavljenih ciljev v okviru A.SO2.2 </w:t>
      </w:r>
      <w:r>
        <w:t xml:space="preserve">»Vključevanje«. Slovenija je nadaljevala z aktivnostmi v okviru programov za osnovno pomoč DTD (tečaji, izpiti); pomoč pri vključevanju, obsegajoč pomoč za celostno vključevanje OMZ (finančna pomoč, program celostne pomoči OMZ pri vključevanju v slovensko </w:t>
      </w:r>
      <w:r>
        <w:t>družbo, orientacijski program za osebe, preseljene v RS na podlagi letne kvote); ozaveščanja in informacijskih ukrepov, kot je medkulturni dialog in obveščanje o možnostih sodelovanja v programih integracije.</w:t>
      </w:r>
    </w:p>
    <w:p w:rsidR="00855A95" w:rsidRDefault="0011309B">
      <w:pPr>
        <w:spacing w:before="240" w:after="240"/>
        <w:jc w:val="left"/>
      </w:pPr>
      <w:r>
        <w:t>Izvajal se je program začetne integracije (ZIP)</w:t>
      </w:r>
      <w:r>
        <w:t>, ki je javno veljavni izobraževalni program za učenje slovenščine za odrasle priseljence, vanj so vključene vsebine iz življenja in dela. Namenjen je državljanom tretjih držav (DTD). Program se izvaja že 8 let in je eden temeljnih programov pomoči pri vkl</w:t>
      </w:r>
      <w:r>
        <w:t>jučevanju v slovensko družbo. V obdobju poročanja je bilo izvajanje programa zaznamovano z epidemijo covid-19. V okviru tega je bilo izvajanje programa dvakrat prekinjeno zaradi ukrepov za preprečevanje širjenja virusa. Spomladi 2020 je bilo izvajanje prog</w:t>
      </w:r>
      <w:r>
        <w:t>rama prekinjeno za 2 meseca in pol, jeseni 2020 za 2 meseca. V okviru sprejetih ukrepov za preprečevanja širjenja covid-19, je MNZ pristopilo k sklenitvi aneksov za izvedbo programa na daljavo. Izvajalci so takšno izvedbo programa pozdravili ter vse aktivn</w:t>
      </w:r>
      <w:r>
        <w:t>osti v zvezi z izvajanjem programa začasno izvajali virtualno.</w:t>
      </w:r>
    </w:p>
    <w:p w:rsidR="00855A95" w:rsidRDefault="0011309B">
      <w:pPr>
        <w:spacing w:before="240" w:after="240"/>
        <w:jc w:val="left"/>
      </w:pPr>
      <w:r>
        <w:t>V obdobju poročanja se je program izvajal v 27 krajih po državi. Z obiskovanjem tečaja je v obdobju poročanja pričelo 1.036 oseb, med katerimi je bilo največ državljanov Bosne in Hercegovine, S</w:t>
      </w:r>
      <w:r>
        <w:t>rbije, Kosova, Severne Makedonije in Ukrajine. Vsi udeleženci programa ZIP so prihajali iz kar 53 različnih držav. Slovenija financira tudi prvo opravljanje preizkusa znanja iz slovenskega jezika DTD (pogoj 80 % prisotnost). V obdobju poročanja je izpit op</w:t>
      </w:r>
      <w:r>
        <w:t>ravljalo 391 DTD.</w:t>
      </w:r>
    </w:p>
    <w:p w:rsidR="00855A95" w:rsidRDefault="0011309B">
      <w:pPr>
        <w:spacing w:before="240" w:after="240"/>
        <w:jc w:val="left"/>
      </w:pPr>
      <w:r>
        <w:lastRenderedPageBreak/>
        <w:t>V okviru A.SO2.2.3 je bila nudena pomoč pri urejanju življenjskih situacij 18 OMZ. Učna pomoč je bila nudena 20 osebam, 196 OMZ je prejelo pomoč prek ukrepov, namenjenih izobraževanju in usposabljanju, vključno z jezikovnim usposabljanjem</w:t>
      </w:r>
      <w:r>
        <w:t xml:space="preserve"> in pripravljalnimi ukrepi za lažji dostop do trga dela. Izdanih je bilo 872 odločb o upravičenosti do denarnega nadomestila za nastanitev na zasebnem naslovu. OMZ v osnovnih in srednjih šolah so bili zagotovljeni delovni zvezki ter pokriti stroški za udel</w:t>
      </w:r>
      <w:r>
        <w:t>ežbo na športnih, kulturnih in naravoslovnih dnevih, šolo v naravi in strokovne ekskurzije.</w:t>
      </w:r>
    </w:p>
    <w:p w:rsidR="00855A95" w:rsidRDefault="0011309B">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gridCol w:w="2927"/>
      </w:tblGrid>
      <w:tr w:rsidR="00855A95" w:rsidTr="00003291">
        <w:tc>
          <w:tcPr>
            <w:tcW w:w="0" w:type="auto"/>
            <w:shd w:val="clear" w:color="auto" w:fill="auto"/>
          </w:tcPr>
          <w:p w:rsidR="00115C60" w:rsidRPr="00707975" w:rsidRDefault="0011309B"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11309B" w:rsidP="00003291">
            <w:pPr>
              <w:spacing w:before="0" w:after="0"/>
              <w:rPr>
                <w:lang w:val="fr-BE"/>
              </w:rPr>
            </w:pPr>
            <w:r w:rsidRPr="00707975">
              <w:rPr>
                <w:noProof/>
                <w:lang w:val="fr-BE"/>
              </w:rPr>
              <w:t>3</w:t>
            </w:r>
            <w:r w:rsidRPr="00707975">
              <w:rPr>
                <w:lang w:val="fr-BE"/>
              </w:rPr>
              <w:t xml:space="preserve"> - </w:t>
            </w:r>
            <w:r w:rsidRPr="00707975">
              <w:rPr>
                <w:noProof/>
                <w:lang w:val="fr-BE"/>
              </w:rPr>
              <w:t>Zmogljivost</w:t>
            </w:r>
          </w:p>
        </w:tc>
      </w:tr>
    </w:tbl>
    <w:p w:rsidR="00115C60" w:rsidRPr="006C1127" w:rsidRDefault="00115C60" w:rsidP="00115C60">
      <w:pPr>
        <w:spacing w:before="0" w:after="0"/>
        <w:rPr>
          <w:lang w:val="fr-BE"/>
        </w:rPr>
      </w:pPr>
    </w:p>
    <w:p w:rsidR="00855A95" w:rsidRDefault="0011309B">
      <w:pPr>
        <w:spacing w:before="0" w:after="240"/>
        <w:jc w:val="left"/>
      </w:pPr>
      <w:r>
        <w:t xml:space="preserve">V okviru nacionalnega cilja A.SO2.3 »Zmogljivost« je Slovenija izvajala aktivnosti za </w:t>
      </w:r>
      <w:r>
        <w:t>izboljšanje storitev in bivanja za osebe pod mednarodno zaščito v integracijskih hišah (poleg vzdrževanja in opreme, tudi zagotavljanje nastanitev OMZ v integracijskih hišah in drugih nastanitvenih kapacitetah).</w:t>
      </w:r>
    </w:p>
    <w:p w:rsidR="00855A95" w:rsidRDefault="0011309B">
      <w:pPr>
        <w:spacing w:before="240" w:after="240"/>
        <w:jc w:val="left"/>
      </w:pPr>
      <w:r>
        <w:t xml:space="preserve">Slovenija je v okviru A.SO2.3.3 nadaljevala </w:t>
      </w:r>
      <w:r>
        <w:t>s pripravo slovarja namenjenega lažji komunikaciji migrantov z zdravstvenim osebjem. Slovar je bil pripravljen in oblikovano je bilo usposabljanje za strokovne delavce.</w:t>
      </w:r>
    </w:p>
    <w:p w:rsidR="00855A95" w:rsidRDefault="0011309B">
      <w:pPr>
        <w:spacing w:before="240" w:after="240"/>
        <w:jc w:val="left"/>
      </w:pPr>
      <w:r>
        <w:t>Slovenija ni izvajala aktivnosti spodbujanja trajnostnega sodelovanja med ustreznimi or</w:t>
      </w:r>
      <w:r>
        <w:t>gani in organizacijami v okviru A.SO2.3.1 kot tudi ne A.SO2.3.2 - usposabljanja kadrov, ki se ukvarjajo z vprašanji vključevanja državljanov tretjih držav, saj so bila sredstva prerazporejena na vsebine, ki so zaradi povečanja migracijskega toka in števila</w:t>
      </w:r>
      <w:r>
        <w:t xml:space="preserve"> vloženih prošenj za mednarodno zaščito imele prioritetno obravnavo.</w:t>
      </w:r>
    </w:p>
    <w:p w:rsidR="00115C60" w:rsidRDefault="00115C60" w:rsidP="00115C60">
      <w:pPr>
        <w:spacing w:before="0" w:after="0"/>
        <w:rPr>
          <w:lang w:val="fr-BE"/>
        </w:rPr>
      </w:pPr>
    </w:p>
    <w:p w:rsidR="00115C60" w:rsidRDefault="0011309B"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11309B" w:rsidP="00115C60">
      <w:pPr>
        <w:spacing w:before="0" w:after="0"/>
        <w:rPr>
          <w:lang w:val="fr-BE"/>
        </w:rPr>
      </w:pPr>
      <w:r>
        <w:rPr>
          <w:noProof/>
          <w:lang w:val="fr-BE"/>
        </w:rPr>
        <w:t>Navedite morebitne spremembe v strategiji ali nacionalnih ciljih oziroma dejavnike, ki b</w:t>
      </w:r>
      <w:r>
        <w:rPr>
          <w:noProof/>
          <w:lang w:val="fr-BE"/>
        </w:rPr>
        <w:t>i lahko privedli do sprememb v prihodnosti.</w:t>
      </w:r>
    </w:p>
    <w:p w:rsidR="00115C60" w:rsidRDefault="00115C60" w:rsidP="00115C60">
      <w:pPr>
        <w:spacing w:before="0" w:after="0"/>
        <w:rPr>
          <w:lang w:val="fr-BE"/>
        </w:rPr>
      </w:pPr>
    </w:p>
    <w:p w:rsidR="00115C60" w:rsidRDefault="0011309B"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5612"/>
      </w:tblGrid>
      <w:tr w:rsidR="00855A95" w:rsidTr="00003291">
        <w:tc>
          <w:tcPr>
            <w:tcW w:w="0" w:type="auto"/>
            <w:shd w:val="clear" w:color="auto" w:fill="auto"/>
          </w:tcPr>
          <w:p w:rsidR="00115C60" w:rsidRPr="006C1127" w:rsidRDefault="0011309B"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11309B" w:rsidP="00003291">
            <w:pPr>
              <w:spacing w:before="0" w:after="0"/>
              <w:rPr>
                <w:lang w:val="fr-BE"/>
              </w:rPr>
            </w:pPr>
            <w:r w:rsidRPr="006C1127">
              <w:rPr>
                <w:noProof/>
                <w:lang w:val="fr-BE"/>
              </w:rPr>
              <w:t>3</w:t>
            </w:r>
            <w:r w:rsidRPr="006C1127">
              <w:rPr>
                <w:lang w:val="fr-BE"/>
              </w:rPr>
              <w:t xml:space="preserve"> - </w:t>
            </w:r>
            <w:r w:rsidRPr="006C1127">
              <w:rPr>
                <w:noProof/>
                <w:lang w:val="fr-BE"/>
              </w:rPr>
              <w:t>Vračanje</w:t>
            </w:r>
          </w:p>
        </w:tc>
      </w:tr>
    </w:tbl>
    <w:p w:rsidR="00115C60" w:rsidRDefault="00115C60" w:rsidP="00115C60">
      <w:pPr>
        <w:spacing w:before="0" w:after="0"/>
        <w:rPr>
          <w:lang w:val="fr-BE"/>
        </w:rPr>
      </w:pPr>
    </w:p>
    <w:p w:rsidR="00855A95" w:rsidRDefault="0011309B">
      <w:pPr>
        <w:spacing w:before="0" w:after="240"/>
        <w:jc w:val="left"/>
      </w:pPr>
      <w:r>
        <w:t xml:space="preserve">Dolgoročni cilj Slovenije v sklopu posebnega cilja A.SO3 »Vračanje« je izvajati učinkovito </w:t>
      </w:r>
      <w:r>
        <w:t>politiko vračanja v tretje države tako z vidika prostovoljnega kot prisilnega vračanja ter spodbujati uporabo prostovoljnega vračanja v sodelovanju z nevladnimi organizacijami in pristojnimi mednarodnimi organizacijami kot tudi državami izvora.</w:t>
      </w:r>
    </w:p>
    <w:p w:rsidR="00855A95" w:rsidRDefault="0011309B">
      <w:pPr>
        <w:spacing w:before="240" w:after="240"/>
        <w:jc w:val="left"/>
      </w:pPr>
      <w:r>
        <w:t>Ukrepi za p</w:t>
      </w:r>
      <w:r>
        <w:t>reprečevanje širjenja pandemije covid-19 so imeli bistven vpliv na sprejem in vračanje državljanov tretjih držav. Restrikcije v zračnem prometu in preventivni ukrepi v državah (tako EU kot tretje države) so povzročile upad števila vrnjenih v države izvora.</w:t>
      </w:r>
      <w:r>
        <w:t xml:space="preserve"> Samih postopkov vračanja nismo ukinili, temveč smo iskali alternativne rešitve, da smo lahko izvedli operacije vrnitev. Vsi projekti so v danih razmerah potekali dokaj normalno, vendar z zmanjšanem obsegu in s krajšimi časovnimi zamudami.</w:t>
      </w:r>
    </w:p>
    <w:p w:rsidR="00855A95" w:rsidRDefault="0011309B">
      <w:pPr>
        <w:spacing w:before="240" w:after="240"/>
        <w:jc w:val="left"/>
      </w:pPr>
      <w:r>
        <w:t>Alokacija sredst</w:t>
      </w:r>
      <w:r>
        <w:t>ev za 2020 je bila končnim upravičencem načrtovana v skladu s potrjenim Akcijskim načrtom. V letu 2020 pri izvajanju ukrepov v okviru tega posebnega cilja ni bilo težav, ki bi vplivale na izvajanje NP, zato Slovenija načrtuje kontinuirano izvajanje aktivno</w:t>
      </w:r>
      <w:r>
        <w:t>sti porabe sredstev tj. do 2022. </w:t>
      </w:r>
    </w:p>
    <w:p w:rsidR="00855A95" w:rsidRDefault="0011309B">
      <w:pPr>
        <w:spacing w:before="240" w:after="240"/>
        <w:jc w:val="left"/>
      </w:pPr>
      <w:r>
        <w:lastRenderedPageBreak/>
        <w:t>V dokumentu poročamo samo o izvedenih aktivnostih in projektih, katerih izdatki so vključeni v Obračune za finančno leto 2020.</w:t>
      </w:r>
    </w:p>
    <w:p w:rsidR="00855A95" w:rsidRDefault="0011309B">
      <w:pPr>
        <w:spacing w:before="240" w:after="240"/>
        <w:jc w:val="left"/>
      </w:pPr>
      <w:r>
        <w:t>V okviru posebnega cilja A.SO3 so načrtovani 3 nacionalni cilji A.SO3.1 »Spremljevalni ukrepi«,</w:t>
      </w:r>
      <w:r>
        <w:t xml:space="preserve"> A.SO3.2 »Ukrepi vračanja« in A.SO3.3 »Sodelovanje«, aktivnosti so v obdobju poročanja tekle v okviru vseh treh.</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3866"/>
      </w:tblGrid>
      <w:tr w:rsidR="00855A95" w:rsidTr="00003291">
        <w:tc>
          <w:tcPr>
            <w:tcW w:w="0" w:type="auto"/>
            <w:shd w:val="clear" w:color="auto" w:fill="auto"/>
          </w:tcPr>
          <w:p w:rsidR="00115C60" w:rsidRPr="00707975" w:rsidRDefault="0011309B"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11309B" w:rsidP="00003291">
            <w:pPr>
              <w:spacing w:before="0" w:after="0"/>
              <w:rPr>
                <w:lang w:val="fr-BE"/>
              </w:rPr>
            </w:pPr>
            <w:r w:rsidRPr="00707975">
              <w:rPr>
                <w:noProof/>
                <w:lang w:val="fr-BE"/>
              </w:rPr>
              <w:t>1</w:t>
            </w:r>
            <w:r w:rsidRPr="00707975">
              <w:rPr>
                <w:lang w:val="fr-BE"/>
              </w:rPr>
              <w:t xml:space="preserve"> - </w:t>
            </w:r>
            <w:r w:rsidRPr="00707975">
              <w:rPr>
                <w:noProof/>
                <w:lang w:val="fr-BE"/>
              </w:rPr>
              <w:t>Spremljevalni ukrepi</w:t>
            </w:r>
          </w:p>
        </w:tc>
      </w:tr>
    </w:tbl>
    <w:p w:rsidR="00115C60" w:rsidRPr="006C1127" w:rsidRDefault="00115C60" w:rsidP="00115C60">
      <w:pPr>
        <w:spacing w:before="0" w:after="0"/>
        <w:rPr>
          <w:lang w:val="fr-BE"/>
        </w:rPr>
      </w:pPr>
    </w:p>
    <w:p w:rsidR="00855A95" w:rsidRDefault="0011309B">
      <w:pPr>
        <w:spacing w:before="0" w:after="240"/>
        <w:jc w:val="left"/>
      </w:pPr>
      <w:r>
        <w:t>Slovenija je nadaljevala z izvajanjem ukrepov v okviru A.SO3.1.</w:t>
      </w:r>
    </w:p>
    <w:p w:rsidR="00855A95" w:rsidRDefault="0011309B">
      <w:pPr>
        <w:spacing w:before="240" w:after="240"/>
        <w:jc w:val="left"/>
      </w:pPr>
      <w:r>
        <w:t xml:space="preserve">V </w:t>
      </w:r>
      <w:r>
        <w:t>zaključku pogodbenega obdobja s PIC v prvi polovici leta 2018 za izvajanje aktivnosti svetovanja tujcem in pravnega varstva je bilo informiranih 20 tujcev o postopkih in možnostih vračanja ter 22 nudeno pravno svetovanje v postopku vračanja. Zaradi priprav</w:t>
      </w:r>
      <w:r>
        <w:t>ljalnih postopkov spremembe Zakona o tujcih po letu 2018 ni bilo mogoče izvesti novega javnega razpisa za izvajalca aktivnosti svetovanja tujcem in pravnega varstva v postopkih vračanja v okviru AMIF, zato so bile aktivnosti v celoti financirane iz naciona</w:t>
      </w:r>
      <w:r>
        <w:t>lnega proračuna.</w:t>
      </w:r>
    </w:p>
    <w:p w:rsidR="00855A95" w:rsidRDefault="0011309B">
      <w:pPr>
        <w:spacing w:before="240" w:after="240"/>
        <w:jc w:val="left"/>
      </w:pPr>
      <w:r>
        <w:t>Aktivnosti A.SO3.1.2 se nanašajo na izpolnjevanje določil Direktive 20087ES/115 z vidika implementacije spremljanja prisilnega vračanja s strani neodvisne institucije. Slovenska Karitas izvaja monitoring prisilnega vračanja, zato je bila v</w:t>
      </w:r>
      <w:r>
        <w:t xml:space="preserve"> letu 2020 obveščena o načrtovani prisilni odstranitvi 3 tujcev; v vseh primerih je bilo ugotovljeno zakonito in strokovno ravnanje policistov.</w:t>
      </w:r>
    </w:p>
    <w:p w:rsidR="00855A95" w:rsidRDefault="0011309B">
      <w:pPr>
        <w:spacing w:before="240" w:after="240"/>
        <w:jc w:val="left"/>
      </w:pPr>
      <w:r>
        <w:t>Za izboljšanje bivalnih razmer in varnosti za nastanjene tujce in zaposlene se je v okviru A.SO3.1.3, novembra 2</w:t>
      </w:r>
      <w:r>
        <w:t>019, začela obnova sprejemnih prostorov, nadzorne sobe in administrativnega dela Centra za tujce. Dela so se zaključila novembra 2020. S ciljem izboljšati življenjske razmere ter dvigniti kakovost vseh storitev so bili kriti obratovalni stroški v Centru za</w:t>
      </w:r>
      <w:r>
        <w:t xml:space="preserve"> tujce.</w:t>
      </w:r>
    </w:p>
    <w:p w:rsidR="00855A95" w:rsidRDefault="0011309B">
      <w:pPr>
        <w:spacing w:before="240" w:after="240"/>
        <w:jc w:val="left"/>
      </w:pPr>
      <w:r>
        <w:t>V okviru A.SO3.1.4 so se izvajale aktivnosti ustrezne zdravstvene, psihološke in socialne oskrbe tujcev pred vrnitvijo v matično državo in ustrezne priprave tujcev pred vrnitvijo. Zdravstvena oskrba tujcev zajema preventivni pregled vsakega nastanj</w:t>
      </w:r>
      <w:r>
        <w:t xml:space="preserve">enega tujca, po potrebi pa tudi diagnosticiranje in kurativo; urejena je ustrezna psihološka in socialna podpora (kot npr. pogovori, kreativne delavnice, učne ure ter psihiatrična svetovanja). V Centru za tujce je bilo v času trajanja projekta nastanjenih </w:t>
      </w:r>
      <w:r>
        <w:t>3.059 tujcev ter izvedenih 105 delavnic (prostočasnih aktivnosti) za nastanjene tujce.</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5"/>
        <w:gridCol w:w="3362"/>
      </w:tblGrid>
      <w:tr w:rsidR="00855A95" w:rsidTr="00003291">
        <w:tc>
          <w:tcPr>
            <w:tcW w:w="0" w:type="auto"/>
            <w:shd w:val="clear" w:color="auto" w:fill="auto"/>
          </w:tcPr>
          <w:p w:rsidR="00115C60" w:rsidRPr="00707975" w:rsidRDefault="0011309B"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11309B" w:rsidP="00003291">
            <w:pPr>
              <w:spacing w:before="0" w:after="0"/>
              <w:rPr>
                <w:lang w:val="fr-BE"/>
              </w:rPr>
            </w:pPr>
            <w:r w:rsidRPr="00707975">
              <w:rPr>
                <w:noProof/>
                <w:lang w:val="fr-BE"/>
              </w:rPr>
              <w:t>2</w:t>
            </w:r>
            <w:r w:rsidRPr="00707975">
              <w:rPr>
                <w:lang w:val="fr-BE"/>
              </w:rPr>
              <w:t xml:space="preserve"> - </w:t>
            </w:r>
            <w:r w:rsidRPr="00707975">
              <w:rPr>
                <w:noProof/>
                <w:lang w:val="fr-BE"/>
              </w:rPr>
              <w:t>Ukrepi vračanja</w:t>
            </w:r>
          </w:p>
        </w:tc>
      </w:tr>
    </w:tbl>
    <w:p w:rsidR="00115C60" w:rsidRPr="006C1127" w:rsidRDefault="00115C60" w:rsidP="00115C60">
      <w:pPr>
        <w:spacing w:before="0" w:after="0"/>
        <w:rPr>
          <w:lang w:val="fr-BE"/>
        </w:rPr>
      </w:pPr>
    </w:p>
    <w:p w:rsidR="00855A95" w:rsidRDefault="0011309B">
      <w:pPr>
        <w:spacing w:before="0" w:after="240"/>
        <w:jc w:val="left"/>
      </w:pPr>
      <w:r>
        <w:t xml:space="preserve">Prostovoljno vračanje tujcev iz RS in reintegracijski programi v državi vrnitve tujcev ter </w:t>
      </w:r>
      <w:r>
        <w:t>priprava in izvedba operacij vračanja (upravni stroški, potni stroški, nastanitev) sta prioritetni aktivnosti v okviru nacionalnega cilja A.SO3.2 »Ukrepi vračanja«. V sklopu A.SO3.2 je teklo tudi sodelovanje s konzularnimi organi in službami za priseljevan</w:t>
      </w:r>
      <w:r>
        <w:t>je v tretjih državah.</w:t>
      </w:r>
    </w:p>
    <w:p w:rsidR="00855A95" w:rsidRDefault="0011309B">
      <w:pPr>
        <w:spacing w:before="240" w:after="240"/>
        <w:jc w:val="left"/>
      </w:pPr>
      <w:r>
        <w:t>Pomoč po vrnitvi pri prostovoljnem in prisilnem vračanju (prevoz, prva nastanitev, itd.) je bila vključena v okvir izvajanja reintegracijskih programov kot tudi pri neposredni takojšnji pomoči po vrnitvi (npr. sekundarni transport). S</w:t>
      </w:r>
      <w:r>
        <w:t>lovenija je ustrezno z združevanjem vsebin revidirala Akcijski načrt.</w:t>
      </w:r>
    </w:p>
    <w:p w:rsidR="00855A95" w:rsidRDefault="0011309B">
      <w:pPr>
        <w:spacing w:before="240" w:after="240"/>
        <w:jc w:val="left"/>
      </w:pPr>
      <w:r>
        <w:t>Ukrep A.SO3.2.2 »Sodelovanje z DKP« je bil že v 2017 združen z ukrepom</w:t>
      </w:r>
      <w:r>
        <w:rPr>
          <w:b/>
          <w:bCs/>
        </w:rPr>
        <w:t xml:space="preserve"> </w:t>
      </w:r>
      <w:r>
        <w:t>A.SO3.2.3 »Priprava in izvedba operacij vračanja« zaradi njune vsebinske komplementarnosti. Tujci, ki jim je izdana</w:t>
      </w:r>
      <w:r>
        <w:t xml:space="preserve"> odločba o vrnitvi, </w:t>
      </w:r>
      <w:r>
        <w:lastRenderedPageBreak/>
        <w:t>večinoma ne posedujejo lastnih identifikacijskih dokumentov, zato se jih pridobi na pristojnih DKP tretje države. CT so pri tem v veliko pomoč sklenjeni sporazumi in dobri odnosi, ki zmanjšajo proceduralne težave, kot so zamude ali doda</w:t>
      </w:r>
      <w:r>
        <w:t>tne zahteve, s katerimi se pogojuje izdaja dokumentov. CT je tako v obdobju iz uveljavljenih zahtevkov v Obračunih 2020 pridobil 79 potovalnih dokumentov, nastanjenih je bilo 3.649 oseb iz 55 držav (največ iz Afganistana, Sirije, Maroka, Iraka in Irana). I</w:t>
      </w:r>
      <w:r>
        <w:t>zvedena je bila odstranitev 384 tujcev, vključujoč tudi osebe, ki so bile vrnjene v državo izvora, v tretjo državo ali DČ EU na podlagi drugih veljavnih aktov (sporazumi o vračanju, t.i. Dublinska Uredba). CT je organiziral tudi 3 odstranitve s spremstvom.</w:t>
      </w:r>
      <w:r>
        <w:t xml:space="preserve"> 196 vrnitev je bilo izvedenih na podlagi sporazumov o vračanju. 26 oseb, ki niso bile vključene v programe AVRR je prejelo denarno pomoč.</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gridCol w:w="2944"/>
      </w:tblGrid>
      <w:tr w:rsidR="00855A95" w:rsidTr="00003291">
        <w:tc>
          <w:tcPr>
            <w:tcW w:w="0" w:type="auto"/>
            <w:shd w:val="clear" w:color="auto" w:fill="auto"/>
          </w:tcPr>
          <w:p w:rsidR="00115C60" w:rsidRPr="00707975" w:rsidRDefault="0011309B"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11309B" w:rsidP="00003291">
            <w:pPr>
              <w:spacing w:before="0" w:after="0"/>
              <w:rPr>
                <w:lang w:val="fr-BE"/>
              </w:rPr>
            </w:pPr>
            <w:r w:rsidRPr="00707975">
              <w:rPr>
                <w:noProof/>
                <w:lang w:val="fr-BE"/>
              </w:rPr>
              <w:t>3</w:t>
            </w:r>
            <w:r w:rsidRPr="00707975">
              <w:rPr>
                <w:lang w:val="fr-BE"/>
              </w:rPr>
              <w:t xml:space="preserve"> - </w:t>
            </w:r>
            <w:r w:rsidRPr="00707975">
              <w:rPr>
                <w:noProof/>
                <w:lang w:val="fr-BE"/>
              </w:rPr>
              <w:t>Sodelovanje</w:t>
            </w:r>
          </w:p>
        </w:tc>
      </w:tr>
    </w:tbl>
    <w:p w:rsidR="00115C60" w:rsidRPr="006C1127" w:rsidRDefault="00115C60" w:rsidP="00115C60">
      <w:pPr>
        <w:spacing w:before="0" w:after="0"/>
        <w:rPr>
          <w:lang w:val="fr-BE"/>
        </w:rPr>
      </w:pPr>
    </w:p>
    <w:p w:rsidR="00855A95" w:rsidRDefault="0011309B">
      <w:pPr>
        <w:spacing w:before="0" w:after="240"/>
        <w:jc w:val="left"/>
      </w:pPr>
      <w:r>
        <w:t xml:space="preserve">V sklopu A.SO3.3 se je nadaljevalo sodelovanje s </w:t>
      </w:r>
      <w:r>
        <w:t>članicami EU in agencijo Frontex pri izvajanju skupnih postopkov vračanja, vendar ni bilo uveljavljenih nobenih zahtevkov.</w:t>
      </w:r>
    </w:p>
    <w:p w:rsidR="00855A95" w:rsidRDefault="0011309B">
      <w:pPr>
        <w:spacing w:before="240" w:after="240"/>
        <w:jc w:val="left"/>
      </w:pPr>
      <w:r>
        <w:t>V okviru nacionalnega cilja A.SO3.3 »Sodelovanje« je Slovenija prvotno načrtovala tri ukrepe, vendar so se aktivnosti A.SO3.3.2 »Sode</w:t>
      </w:r>
      <w:r>
        <w:t>lovanje z organizacijami pri zagotavljanju storitev za državljane tretjih držav med pridržanjem« in A.SO3.3.3 »Sodelovanje z državami članicami EU pri izmenjavi dobrih praks na področjih povezanih z ukrepi vračanja« skladno s predlogom končnega upravičenca</w:t>
      </w:r>
      <w:r>
        <w:t xml:space="preserve"> (Policije) izvajale v okviru A.SO3.3.1. Združevanje vsebine se ustrezno odraža v revidiranem Akcijskem načrtu.</w:t>
      </w:r>
    </w:p>
    <w:p w:rsidR="00855A95" w:rsidRDefault="0011309B">
      <w:pPr>
        <w:spacing w:before="240" w:after="240"/>
        <w:jc w:val="left"/>
      </w:pPr>
      <w:r>
        <w:t>Center za tujce je tudi v letu 2020 aktivno sodeloval z Agencijo Frontex v okviru ukrepa A.SO3.3.1. Prav tako je bil dejaven v okviru relevantni</w:t>
      </w:r>
      <w:r>
        <w:t>h delovnih telesih EU, ki so namenjeni izmenjavi izkušenj in dobrih praks, inšpektorji Centra za tujce so sodelovali v delovnih telesih in operacijah agencije Frontex in v delovnem telesu Evropske komisije EMN REG. V obdobju poročanja je sodelovanje s part</w:t>
      </w:r>
      <w:r>
        <w:t>nerji na področju vračanja teklo v normalnem obsegu. </w:t>
      </w:r>
    </w:p>
    <w:p w:rsidR="00115C60" w:rsidRDefault="00115C60" w:rsidP="00115C60">
      <w:pPr>
        <w:spacing w:before="0" w:after="0"/>
        <w:rPr>
          <w:lang w:val="fr-BE"/>
        </w:rPr>
      </w:pPr>
    </w:p>
    <w:p w:rsidR="00115C60" w:rsidRDefault="0011309B"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11309B" w:rsidP="00115C60">
      <w:pPr>
        <w:spacing w:before="0" w:after="0"/>
        <w:rPr>
          <w:lang w:val="fr-BE"/>
        </w:rPr>
      </w:pPr>
      <w:r>
        <w:rPr>
          <w:noProof/>
          <w:lang w:val="fr-BE"/>
        </w:rPr>
        <w:t>Navedite morebitne spremembe v strategiji ali nacionalnih ciljih oziroma dejavnike, ki bi lahko privedl</w:t>
      </w:r>
      <w:r>
        <w:rPr>
          <w:noProof/>
          <w:lang w:val="fr-BE"/>
        </w:rPr>
        <w:t>i do sprememb v prihodnosti.</w:t>
      </w:r>
    </w:p>
    <w:p w:rsidR="00115C60" w:rsidRDefault="00115C60" w:rsidP="00115C60">
      <w:pPr>
        <w:spacing w:before="0" w:after="0"/>
        <w:rPr>
          <w:lang w:val="fr-BE"/>
        </w:rPr>
      </w:pPr>
    </w:p>
    <w:p w:rsidR="00115C60" w:rsidRDefault="0011309B"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6024"/>
      </w:tblGrid>
      <w:tr w:rsidR="00855A95" w:rsidTr="00003291">
        <w:tc>
          <w:tcPr>
            <w:tcW w:w="0" w:type="auto"/>
            <w:shd w:val="clear" w:color="auto" w:fill="auto"/>
          </w:tcPr>
          <w:p w:rsidR="00115C60" w:rsidRPr="006C1127" w:rsidRDefault="0011309B"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11309B" w:rsidP="00003291">
            <w:pPr>
              <w:spacing w:before="0" w:after="0"/>
              <w:rPr>
                <w:lang w:val="fr-BE"/>
              </w:rPr>
            </w:pPr>
            <w:r w:rsidRPr="006C1127">
              <w:rPr>
                <w:noProof/>
                <w:lang w:val="fr-BE"/>
              </w:rPr>
              <w:t>4</w:t>
            </w:r>
            <w:r w:rsidRPr="006C1127">
              <w:rPr>
                <w:lang w:val="fr-BE"/>
              </w:rPr>
              <w:t xml:space="preserve"> - </w:t>
            </w:r>
            <w:r w:rsidRPr="006C1127">
              <w:rPr>
                <w:noProof/>
                <w:lang w:val="fr-BE"/>
              </w:rPr>
              <w:t>Solidarnost</w:t>
            </w:r>
          </w:p>
        </w:tc>
      </w:tr>
    </w:tbl>
    <w:p w:rsidR="00115C60" w:rsidRDefault="00115C60" w:rsidP="00115C60">
      <w:pPr>
        <w:spacing w:before="0" w:after="0"/>
        <w:rPr>
          <w:lang w:val="fr-BE"/>
        </w:rPr>
      </w:pPr>
    </w:p>
    <w:p w:rsidR="00855A95" w:rsidRDefault="0011309B">
      <w:pPr>
        <w:spacing w:before="0" w:after="240"/>
        <w:jc w:val="left"/>
      </w:pPr>
      <w:r>
        <w:t xml:space="preserve">Slovenija se je v okviru nacionalnega cilja – posebni primer »Premestitev« osredotočila na ukrep - posebni </w:t>
      </w:r>
      <w:r>
        <w:t xml:space="preserve">primer »Premestitev prosilcev za mednarodno zaščito« Projekt je v Sloveniji obsegal načrt premestitve 567 prosilcev za mednarodno zaščito v okviru evropskih shem za premestitev na podlagi Sklepa Sveta EU 2015/1523 s 14. septembra 2015 o premestitvi 40.000 </w:t>
      </w:r>
      <w:r>
        <w:t xml:space="preserve">oseb iz Italije in Grčije ter Sklepa Sveta EU 2015/1601 z 22. septembra 2015 o premestitvi 120.000 oseb iz Italije in Grčije. Slovenija je v okviru premestitve sprejela 253 prosilcev. Aktivnosti premestitve so se zaključile leta 2018, ko je bilo izvedenih </w:t>
      </w:r>
      <w:r>
        <w:t>21 zadnjih premestitev iz Italije.</w:t>
      </w:r>
    </w:p>
    <w:p w:rsidR="00855A95" w:rsidRDefault="0011309B">
      <w:pPr>
        <w:spacing w:before="240" w:after="240"/>
        <w:jc w:val="left"/>
      </w:pPr>
      <w:r>
        <w:t> </w:t>
      </w:r>
    </w:p>
    <w:p w:rsidR="00855A95" w:rsidRDefault="0011309B">
      <w:pPr>
        <w:spacing w:before="240" w:after="240"/>
        <w:jc w:val="left"/>
      </w:pPr>
      <w:r>
        <w:t xml:space="preserve">V skladu z nacionalno shemo je v 2019 Vlada Republike Slovenije sprejela sklep, s katerim se na podlagi delitve bremen in v skladu z načelom solidarnosti med državami članicami EU, z Malte sprejme pet prosilcev </w:t>
      </w:r>
      <w:r>
        <w:lastRenderedPageBreak/>
        <w:t xml:space="preserve">za </w:t>
      </w:r>
      <w:r>
        <w:t>mednarodno zaščito, ki sodijo v kategorijo ranljivih oseb s posebnimi potrebami in izpolnjujejo pogoje za priznanje mednarodne zaščite skladno z Zakonom o mednarodni zaščiti.</w:t>
      </w:r>
    </w:p>
    <w:p w:rsidR="00855A95" w:rsidRDefault="0011309B">
      <w:pPr>
        <w:spacing w:before="240" w:after="240"/>
        <w:jc w:val="left"/>
      </w:pPr>
      <w:r>
        <w:t> </w:t>
      </w:r>
    </w:p>
    <w:p w:rsidR="00855A95" w:rsidRDefault="0011309B">
      <w:pPr>
        <w:spacing w:before="240" w:after="240"/>
        <w:jc w:val="left"/>
      </w:pPr>
      <w:r>
        <w:t>Na podlagi navedenega sklepa sta bila v Slovenijo z Malte premeščena 2 prosilca</w:t>
      </w:r>
      <w:r>
        <w:t xml:space="preserve"> za mednarodno zaščito, oba mladoletnika brez spremstva, državljana Eritreje in Sierre Leone.</w:t>
      </w:r>
    </w:p>
    <w:p w:rsidR="00855A95" w:rsidRDefault="0011309B">
      <w:pPr>
        <w:spacing w:before="240" w:after="240"/>
        <w:jc w:val="left"/>
      </w:pPr>
      <w:r>
        <w:t> </w:t>
      </w:r>
    </w:p>
    <w:p w:rsidR="00855A95" w:rsidRDefault="0011309B">
      <w:pPr>
        <w:spacing w:before="240" w:after="240"/>
        <w:jc w:val="left"/>
      </w:pPr>
      <w:r>
        <w:t>Do visoke stopnje prevzetih obveznosti za ta posebni cilj je prišlo, zaradi napačnega vnosa podatkov v SFC 2014, kar je korigirano v tej različici dokumenta.</w:t>
      </w:r>
    </w:p>
    <w:p w:rsidR="00855A95" w:rsidRDefault="0011309B">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2877"/>
      </w:tblGrid>
      <w:tr w:rsidR="00855A95" w:rsidTr="00003291">
        <w:tc>
          <w:tcPr>
            <w:tcW w:w="0" w:type="auto"/>
            <w:shd w:val="clear" w:color="auto" w:fill="auto"/>
          </w:tcPr>
          <w:p w:rsidR="00115C60" w:rsidRPr="00707975" w:rsidRDefault="0011309B"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11309B" w:rsidP="00003291">
            <w:pPr>
              <w:spacing w:before="0" w:after="0"/>
              <w:rPr>
                <w:lang w:val="fr-BE"/>
              </w:rPr>
            </w:pPr>
            <w:r w:rsidRPr="00707975">
              <w:rPr>
                <w:noProof/>
                <w:lang w:val="fr-BE"/>
              </w:rPr>
              <w:t>1</w:t>
            </w:r>
            <w:r w:rsidRPr="00707975">
              <w:rPr>
                <w:lang w:val="fr-BE"/>
              </w:rPr>
              <w:t xml:space="preserve"> - </w:t>
            </w:r>
            <w:r w:rsidRPr="00707975">
              <w:rPr>
                <w:noProof/>
                <w:lang w:val="fr-BE"/>
              </w:rPr>
              <w:t>Premestitev</w:t>
            </w:r>
          </w:p>
        </w:tc>
      </w:tr>
    </w:tbl>
    <w:p w:rsidR="00115C60" w:rsidRPr="006C1127" w:rsidRDefault="00115C60" w:rsidP="00115C60">
      <w:pPr>
        <w:spacing w:before="0" w:after="0"/>
        <w:rPr>
          <w:lang w:val="fr-BE"/>
        </w:rPr>
      </w:pPr>
    </w:p>
    <w:p w:rsidR="00855A95" w:rsidRDefault="0011309B">
      <w:pPr>
        <w:spacing w:before="0" w:after="240"/>
        <w:jc w:val="left"/>
      </w:pPr>
      <w:r>
        <w:t xml:space="preserve">Slovenija se je v okviru nacionalnega cilja-posebni primer »Premestitev« osredotočila na ukrep-posebni primer »Premestitev prosilcev za mednarodno zaščito«, in sicer projekt obsega </w:t>
      </w:r>
      <w:r>
        <w:t>premestitev 567 prosilcev za mednarodno zaščito v okviru evropskih shem za premestitev na podlagi Sklepa Sveta EU 2015/1523 s 14. septembra 2015 o premestitvi 40.000 oseb iz Italije in Grčije ter Sklepa Sveta EU 2015/1601 z 22. septembra 2015 o premestitvi</w:t>
      </w:r>
      <w:r>
        <w:t xml:space="preserve"> 120.000 oseb iz Italije in Grčije.</w:t>
      </w:r>
    </w:p>
    <w:p w:rsidR="00855A95" w:rsidRDefault="0011309B">
      <w:pPr>
        <w:spacing w:before="240" w:after="240"/>
        <w:jc w:val="left"/>
      </w:pPr>
      <w:r>
        <w:t xml:space="preserve">Sklepa Sveta EU 2015/1523 in 2015/1601 predstavljata pravno podlago za premestitev 160.000 oseb, ki so v Italiji in Grčiji zaprosile za mednarodno zaščito. Na tej podlagi bi morala Slovenija premestiti 567 oseb, od tega </w:t>
      </w:r>
      <w:r>
        <w:t>218 iz Italije in 349 iz Grčije. Vlada Republike Slovenije je na tej podlagi na seji 10. marca 2016 sprejela Izvedbeni načrt premestitve 567 oseb iz Italije in Grčije in trajne preselitve 20 oseb iz tretjih držav.</w:t>
      </w:r>
    </w:p>
    <w:p w:rsidR="00855A95" w:rsidRDefault="0011309B">
      <w:pPr>
        <w:spacing w:before="240" w:after="240"/>
        <w:jc w:val="left"/>
      </w:pPr>
      <w:r>
        <w:t>Na podlagi sklepov Sveta EU je bilo v Slov</w:t>
      </w:r>
      <w:r>
        <w:t xml:space="preserve">enijo premeščenih 21 oseb iz Italije, od tega 18 državljanov Eritreje in 3 državljani Sirije. Skupno je bilo v času trajanja projekta premeščenih 253 oseb. Iz Italije je bilo premeščenih 81 oseb, od tega 77 državljanov Eritreje, trije državljani Sirije in </w:t>
      </w:r>
      <w:r>
        <w:t>en državljan Jemna. Iz Grčije je bilo skupno premeščenih 172 oseb, od tega 149 državljanov Sirije, 17 državljanov Iraka in šest oseb brez državljanstva. Aktivnosti premestitve so se zaključile leta 2018, ko je bilo izvedenih 21 zadnjih premestitev iz Itali</w:t>
      </w:r>
      <w:r>
        <w:t>je.</w:t>
      </w:r>
    </w:p>
    <w:p w:rsidR="00855A95" w:rsidRDefault="0011309B">
      <w:pPr>
        <w:spacing w:before="240" w:after="240"/>
        <w:jc w:val="left"/>
      </w:pPr>
      <w:r>
        <w:t>Slovenija se je zavezala tudi k sprejemu 20 oseb iz tretjih držav, predvidoma državljanov Sirije iz Turčije, Libanona ali Jordanije. Skladno s Sporazumom EU - Turčija, ki je bil sprejet aprila 2016, je bilo dogovorjeno, da se v Slovenijo preseli 20 drž</w:t>
      </w:r>
      <w:r>
        <w:t xml:space="preserve">avljanov Sirije iz Turčije. Vlada Republike Slovenije je 4. avgusta 2016 sprejela sklep, da se na podlagi kvote iz Turčije sprejme 40 državljanov Sirije, ki se jim lahko prizna status begunca. Slovenija je aktivnosti zaključila v letu 2018. Skupno je bilo </w:t>
      </w:r>
      <w:r>
        <w:t>trajno preseljenih 34 državljanov Sirije. Drugih ustreznih kandidatov za preselitev v tej misiji ni bilo.</w:t>
      </w:r>
    </w:p>
    <w:p w:rsidR="00115C60" w:rsidRDefault="00115C60" w:rsidP="00115C60">
      <w:pPr>
        <w:spacing w:before="0" w:after="0"/>
        <w:rPr>
          <w:lang w:val="fr-BE"/>
        </w:rPr>
      </w:pPr>
    </w:p>
    <w:p w:rsidR="00115C60" w:rsidRDefault="00115C60" w:rsidP="00115C60">
      <w:pPr>
        <w:spacing w:before="0" w:after="0"/>
        <w:rPr>
          <w:lang w:val="fr-BE"/>
        </w:rPr>
      </w:pPr>
    </w:p>
    <w:p w:rsidR="00115C60" w:rsidRDefault="0011309B" w:rsidP="00115C60">
      <w:pPr>
        <w:pStyle w:val="Naslov1"/>
        <w:numPr>
          <w:ilvl w:val="0"/>
          <w:numId w:val="0"/>
        </w:numPr>
        <w:spacing w:before="0" w:after="0"/>
      </w:pPr>
      <w:r>
        <w:rPr>
          <w:lang w:val="fr-BE"/>
        </w:rPr>
        <w:br w:type="page"/>
      </w:r>
      <w:bookmarkStart w:id="2" w:name="_Toc256000003"/>
      <w:r w:rsidRPr="00F9367D">
        <w:rPr>
          <w:noProof/>
        </w:rPr>
        <w:lastRenderedPageBreak/>
        <w:t>OKVIRNI ČASOVNI RAZPORED</w:t>
      </w:r>
      <w:bookmarkEnd w:id="2"/>
    </w:p>
    <w:p w:rsidR="00AB614B" w:rsidRPr="00AB614B" w:rsidRDefault="00AB614B" w:rsidP="00AB614B">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698"/>
        <w:gridCol w:w="833"/>
        <w:gridCol w:w="2836"/>
        <w:gridCol w:w="1352"/>
        <w:gridCol w:w="1157"/>
        <w:gridCol w:w="1183"/>
      </w:tblGrid>
      <w:tr w:rsidR="00855A95" w:rsidTr="00003291">
        <w:trPr>
          <w:tblHeader/>
        </w:trPr>
        <w:tc>
          <w:tcPr>
            <w:tcW w:w="0" w:type="auto"/>
            <w:shd w:val="clear" w:color="auto" w:fill="auto"/>
          </w:tcPr>
          <w:p w:rsidR="00115C60" w:rsidRPr="00CB3B6C" w:rsidRDefault="0011309B" w:rsidP="00003291">
            <w:pPr>
              <w:spacing w:before="0" w:after="0"/>
              <w:rPr>
                <w:b/>
                <w:sz w:val="16"/>
                <w:szCs w:val="16"/>
              </w:rPr>
            </w:pPr>
            <w:r w:rsidRPr="00CB3B6C">
              <w:rPr>
                <w:b/>
                <w:noProof/>
                <w:sz w:val="16"/>
                <w:szCs w:val="16"/>
              </w:rPr>
              <w:t>Posebni cilj</w:t>
            </w:r>
          </w:p>
        </w:tc>
        <w:tc>
          <w:tcPr>
            <w:tcW w:w="0" w:type="auto"/>
            <w:shd w:val="clear" w:color="auto" w:fill="auto"/>
          </w:tcPr>
          <w:p w:rsidR="00115C60" w:rsidRPr="00CB3B6C" w:rsidRDefault="0011309B" w:rsidP="00003291">
            <w:pPr>
              <w:spacing w:before="0" w:after="0"/>
              <w:rPr>
                <w:b/>
                <w:sz w:val="16"/>
                <w:szCs w:val="16"/>
              </w:rPr>
            </w:pPr>
            <w:r w:rsidRPr="00CB3B6C">
              <w:rPr>
                <w:b/>
                <w:noProof/>
                <w:sz w:val="16"/>
                <w:szCs w:val="16"/>
              </w:rPr>
              <w:t>Nacionalni cilj / posebni ukrep</w:t>
            </w:r>
          </w:p>
        </w:tc>
        <w:tc>
          <w:tcPr>
            <w:tcW w:w="0" w:type="auto"/>
            <w:shd w:val="clear" w:color="auto" w:fill="auto"/>
          </w:tcPr>
          <w:p w:rsidR="00115C60" w:rsidRPr="00CB3B6C" w:rsidRDefault="0011309B" w:rsidP="00003291">
            <w:pPr>
              <w:spacing w:before="0" w:after="0"/>
              <w:jc w:val="center"/>
              <w:rPr>
                <w:b/>
                <w:sz w:val="16"/>
                <w:szCs w:val="16"/>
              </w:rPr>
            </w:pPr>
            <w:r w:rsidRPr="00CB3B6C">
              <w:rPr>
                <w:b/>
                <w:noProof/>
                <w:sz w:val="16"/>
                <w:szCs w:val="16"/>
              </w:rPr>
              <w:t>Glavni ukrep</w:t>
            </w:r>
          </w:p>
        </w:tc>
        <w:tc>
          <w:tcPr>
            <w:tcW w:w="0" w:type="auto"/>
            <w:shd w:val="clear" w:color="auto" w:fill="auto"/>
          </w:tcPr>
          <w:p w:rsidR="00115C60" w:rsidRPr="00CB3B6C" w:rsidRDefault="0011309B" w:rsidP="00003291">
            <w:pPr>
              <w:spacing w:before="0" w:after="0"/>
              <w:rPr>
                <w:b/>
                <w:sz w:val="16"/>
                <w:szCs w:val="16"/>
              </w:rPr>
            </w:pPr>
            <w:r w:rsidRPr="00CB3B6C">
              <w:rPr>
                <w:b/>
                <w:noProof/>
                <w:sz w:val="16"/>
                <w:szCs w:val="16"/>
              </w:rPr>
              <w:t>Ime ukrepa</w:t>
            </w:r>
          </w:p>
        </w:tc>
        <w:tc>
          <w:tcPr>
            <w:tcW w:w="0" w:type="auto"/>
            <w:shd w:val="clear" w:color="auto" w:fill="auto"/>
          </w:tcPr>
          <w:p w:rsidR="00115C60" w:rsidRPr="00CB3B6C" w:rsidRDefault="0011309B" w:rsidP="00003291">
            <w:pPr>
              <w:spacing w:before="0" w:after="0"/>
              <w:jc w:val="center"/>
              <w:rPr>
                <w:b/>
                <w:sz w:val="16"/>
                <w:szCs w:val="16"/>
              </w:rPr>
            </w:pPr>
            <w:r w:rsidRPr="00CB3B6C">
              <w:rPr>
                <w:b/>
                <w:noProof/>
                <w:sz w:val="16"/>
                <w:szCs w:val="16"/>
              </w:rPr>
              <w:t>Začetek faze načrtovanja</w:t>
            </w:r>
          </w:p>
        </w:tc>
        <w:tc>
          <w:tcPr>
            <w:tcW w:w="0" w:type="auto"/>
            <w:shd w:val="clear" w:color="auto" w:fill="auto"/>
          </w:tcPr>
          <w:p w:rsidR="00115C60" w:rsidRPr="00CB3B6C" w:rsidRDefault="0011309B" w:rsidP="00003291">
            <w:pPr>
              <w:spacing w:before="0" w:after="0"/>
              <w:jc w:val="center"/>
              <w:rPr>
                <w:b/>
                <w:sz w:val="16"/>
                <w:szCs w:val="16"/>
              </w:rPr>
            </w:pPr>
            <w:r w:rsidRPr="00CB3B6C">
              <w:rPr>
                <w:b/>
                <w:noProof/>
                <w:sz w:val="16"/>
                <w:szCs w:val="16"/>
              </w:rPr>
              <w:t>Začetek faze izvajanja</w:t>
            </w:r>
          </w:p>
        </w:tc>
        <w:tc>
          <w:tcPr>
            <w:tcW w:w="0" w:type="auto"/>
            <w:shd w:val="clear" w:color="auto" w:fill="auto"/>
          </w:tcPr>
          <w:p w:rsidR="00115C60" w:rsidRPr="00CB3B6C" w:rsidRDefault="0011309B" w:rsidP="00003291">
            <w:pPr>
              <w:spacing w:before="0" w:after="0"/>
              <w:jc w:val="center"/>
              <w:rPr>
                <w:b/>
                <w:sz w:val="16"/>
                <w:szCs w:val="16"/>
              </w:rPr>
            </w:pPr>
            <w:r w:rsidRPr="00CB3B6C">
              <w:rPr>
                <w:b/>
                <w:noProof/>
                <w:sz w:val="16"/>
                <w:szCs w:val="16"/>
              </w:rPr>
              <w:t>Začetek zaključne faze</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Assistance and support to asylum seekers</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2022</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Strengthening of competent services involved in processing asylum</w:t>
            </w:r>
            <w:r w:rsidRPr="00557448">
              <w:rPr>
                <w:noProof/>
                <w:sz w:val="16"/>
                <w:szCs w:val="16"/>
              </w:rPr>
              <w:t xml:space="preserve"> applications</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2021</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Development of reception infrastructure, services and conditions of stay</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2021</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cilj2</w:t>
            </w:r>
            <w:r>
              <w:rPr>
                <w:sz w:val="16"/>
                <w:szCs w:val="16"/>
              </w:rPr>
              <w:t xml:space="preserve"> - </w:t>
            </w:r>
            <w:r>
              <w:rPr>
                <w:noProof/>
                <w:sz w:val="16"/>
                <w:szCs w:val="16"/>
              </w:rPr>
              <w:t>Vrednotenje</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 xml:space="preserve">National system of </w:t>
            </w:r>
            <w:r w:rsidRPr="00557448">
              <w:rPr>
                <w:noProof/>
                <w:sz w:val="16"/>
                <w:szCs w:val="16"/>
              </w:rPr>
              <w:t>evaluation of the asylum procedures</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2019</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2020</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2020</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cilj3</w:t>
            </w:r>
            <w:r>
              <w:rPr>
                <w:sz w:val="16"/>
                <w:szCs w:val="16"/>
              </w:rPr>
              <w:t xml:space="preserve"> - </w:t>
            </w:r>
            <w:r>
              <w:rPr>
                <w:noProof/>
                <w:sz w:val="16"/>
                <w:szCs w:val="16"/>
              </w:rPr>
              <w:t>Preselitev</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Resettlement of persons in clear need of international protection</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2017</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cilj3</w:t>
            </w:r>
            <w:r>
              <w:rPr>
                <w:sz w:val="16"/>
                <w:szCs w:val="16"/>
              </w:rPr>
              <w:t xml:space="preserve"> - </w:t>
            </w:r>
            <w:r>
              <w:rPr>
                <w:noProof/>
                <w:sz w:val="16"/>
                <w:szCs w:val="16"/>
              </w:rPr>
              <w:t>Preselitev</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 xml:space="preserve">Ad-hoc </w:t>
            </w:r>
            <w:r w:rsidRPr="00557448">
              <w:rPr>
                <w:noProof/>
                <w:sz w:val="16"/>
                <w:szCs w:val="16"/>
              </w:rPr>
              <w:t>adminssion</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2019</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2020</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2021</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cilj1</w:t>
            </w:r>
            <w:r>
              <w:rPr>
                <w:sz w:val="16"/>
                <w:szCs w:val="16"/>
              </w:rPr>
              <w:t xml:space="preserve"> - </w:t>
            </w:r>
            <w:r>
              <w:rPr>
                <w:noProof/>
                <w:sz w:val="16"/>
                <w:szCs w:val="16"/>
              </w:rPr>
              <w:t>Zakonito priseljevanje</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Info-point for TCN</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2021</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Implementation of programmes for basic assistance and services for TCN</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2021</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Specific measures targeting vulnerable persons</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2021</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Integration assistance including comprehensive inclusion assistance for persons under IP</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2022</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Sustainable cooperation</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2020</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Training of staff and policy makers</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2019</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Improvement of services and conditions of stay</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2020</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Improved infrastructure, living conditions, running costs at the Aliens centre</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2020</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Social, psychological and medical assistance for detained persons</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2021</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 xml:space="preserve">Expansion of the network of </w:t>
            </w:r>
            <w:r w:rsidRPr="00557448">
              <w:rPr>
                <w:noProof/>
                <w:sz w:val="16"/>
                <w:szCs w:val="16"/>
              </w:rPr>
              <w:t>translators and interpreters</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2022</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cilj2</w:t>
            </w:r>
            <w:r>
              <w:rPr>
                <w:sz w:val="16"/>
                <w:szCs w:val="16"/>
              </w:rPr>
              <w:t xml:space="preserve"> - </w:t>
            </w:r>
            <w:r>
              <w:rPr>
                <w:noProof/>
                <w:sz w:val="16"/>
                <w:szCs w:val="16"/>
              </w:rPr>
              <w:t>Ukrepi vračanja</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Implementation of voluntary return and reintegration projects for TCN</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2021</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cilj2</w:t>
            </w:r>
            <w:r>
              <w:rPr>
                <w:sz w:val="16"/>
                <w:szCs w:val="16"/>
              </w:rPr>
              <w:t xml:space="preserve"> - </w:t>
            </w:r>
            <w:r>
              <w:rPr>
                <w:noProof/>
                <w:sz w:val="16"/>
                <w:szCs w:val="16"/>
              </w:rPr>
              <w:t>Ukrepi vračanja</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Preparation and enforcement of return operations</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2021</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cilj3</w:t>
            </w:r>
            <w:r>
              <w:rPr>
                <w:sz w:val="16"/>
                <w:szCs w:val="16"/>
              </w:rPr>
              <w:t xml:space="preserve"> - </w:t>
            </w:r>
            <w:r>
              <w:rPr>
                <w:noProof/>
                <w:sz w:val="16"/>
                <w:szCs w:val="16"/>
              </w:rPr>
              <w:t>Sodelovanje</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Cooperation with EU MS and Frontex</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2021</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cilj4</w:t>
            </w:r>
            <w:r>
              <w:rPr>
                <w:sz w:val="16"/>
                <w:szCs w:val="16"/>
              </w:rPr>
              <w:t xml:space="preserve"> - </w:t>
            </w:r>
            <w:r>
              <w:rPr>
                <w:noProof/>
                <w:sz w:val="16"/>
                <w:szCs w:val="16"/>
              </w:rPr>
              <w:t>Solidarnost</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cilj1</w:t>
            </w:r>
            <w:r>
              <w:rPr>
                <w:sz w:val="16"/>
                <w:szCs w:val="16"/>
              </w:rPr>
              <w:t xml:space="preserve"> - </w:t>
            </w:r>
            <w:r>
              <w:rPr>
                <w:noProof/>
                <w:sz w:val="16"/>
                <w:szCs w:val="16"/>
              </w:rPr>
              <w:t>Premestitev</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 xml:space="preserve">Realocation </w:t>
            </w:r>
            <w:r w:rsidRPr="00557448">
              <w:rPr>
                <w:noProof/>
                <w:sz w:val="16"/>
                <w:szCs w:val="16"/>
              </w:rPr>
              <w:t>activities for applicants for international protection from Italy and Greece</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2017</w:t>
            </w:r>
          </w:p>
        </w:tc>
      </w:tr>
      <w:tr w:rsidR="00855A95" w:rsidTr="00003291">
        <w:tc>
          <w:tcPr>
            <w:tcW w:w="0" w:type="auto"/>
            <w:shd w:val="clear" w:color="auto" w:fill="auto"/>
          </w:tcPr>
          <w:p w:rsidR="00115C60" w:rsidRPr="00557448" w:rsidRDefault="0011309B" w:rsidP="00003291">
            <w:pPr>
              <w:spacing w:before="0" w:after="0"/>
              <w:rPr>
                <w:sz w:val="16"/>
                <w:szCs w:val="16"/>
              </w:rPr>
            </w:pPr>
            <w:r>
              <w:rPr>
                <w:noProof/>
                <w:sz w:val="16"/>
                <w:szCs w:val="16"/>
              </w:rPr>
              <w:t>Posebni cilj4</w:t>
            </w:r>
            <w:r>
              <w:rPr>
                <w:sz w:val="16"/>
                <w:szCs w:val="16"/>
              </w:rPr>
              <w:t xml:space="preserve"> - </w:t>
            </w:r>
            <w:r>
              <w:rPr>
                <w:noProof/>
                <w:sz w:val="16"/>
                <w:szCs w:val="16"/>
              </w:rPr>
              <w:t>Solidarnost</w:t>
            </w:r>
          </w:p>
        </w:tc>
        <w:tc>
          <w:tcPr>
            <w:tcW w:w="0" w:type="auto"/>
            <w:shd w:val="clear" w:color="auto" w:fill="auto"/>
          </w:tcPr>
          <w:p w:rsidR="00115C60" w:rsidRPr="00557448" w:rsidRDefault="0011309B" w:rsidP="00003291">
            <w:pPr>
              <w:spacing w:before="0" w:after="0"/>
              <w:rPr>
                <w:sz w:val="16"/>
                <w:szCs w:val="16"/>
              </w:rPr>
            </w:pPr>
            <w:r>
              <w:rPr>
                <w:noProof/>
                <w:sz w:val="16"/>
                <w:szCs w:val="16"/>
              </w:rPr>
              <w:t>Nacionalni cilj1</w:t>
            </w:r>
            <w:r>
              <w:rPr>
                <w:sz w:val="16"/>
                <w:szCs w:val="16"/>
              </w:rPr>
              <w:t xml:space="preserve"> - </w:t>
            </w:r>
            <w:r>
              <w:rPr>
                <w:noProof/>
                <w:sz w:val="16"/>
                <w:szCs w:val="16"/>
              </w:rPr>
              <w:t>Premestitev</w:t>
            </w:r>
          </w:p>
        </w:tc>
        <w:tc>
          <w:tcPr>
            <w:tcW w:w="0" w:type="auto"/>
            <w:shd w:val="clear" w:color="auto" w:fill="auto"/>
          </w:tcPr>
          <w:p w:rsidR="00115C60" w:rsidRPr="00557448" w:rsidRDefault="0011309B"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11309B" w:rsidP="00003291">
            <w:pPr>
              <w:spacing w:before="0" w:after="0"/>
              <w:rPr>
                <w:sz w:val="16"/>
                <w:szCs w:val="16"/>
              </w:rPr>
            </w:pPr>
            <w:r w:rsidRPr="00557448">
              <w:rPr>
                <w:noProof/>
                <w:sz w:val="16"/>
                <w:szCs w:val="16"/>
              </w:rPr>
              <w:t>Preparatory measures</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2019</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2020</w:t>
            </w:r>
          </w:p>
        </w:tc>
        <w:tc>
          <w:tcPr>
            <w:tcW w:w="0" w:type="auto"/>
            <w:shd w:val="clear" w:color="auto" w:fill="auto"/>
          </w:tcPr>
          <w:p w:rsidR="00115C60" w:rsidRPr="00557448" w:rsidRDefault="0011309B" w:rsidP="00003291">
            <w:pPr>
              <w:spacing w:before="0" w:after="0"/>
              <w:jc w:val="center"/>
              <w:rPr>
                <w:sz w:val="16"/>
                <w:szCs w:val="16"/>
              </w:rPr>
            </w:pPr>
            <w:r>
              <w:rPr>
                <w:noProof/>
                <w:sz w:val="16"/>
                <w:szCs w:val="16"/>
              </w:rPr>
              <w:t>2021</w:t>
            </w:r>
          </w:p>
        </w:tc>
      </w:tr>
    </w:tbl>
    <w:p w:rsidR="0056117D" w:rsidRDefault="00115C60" w:rsidP="00115C60">
      <w:pPr>
        <w:spacing w:before="0" w:after="0"/>
        <w:rPr>
          <w:lang w:val="fr-BE"/>
        </w:rPr>
        <w:sectPr w:rsidR="0056117D" w:rsidSect="00ED6293">
          <w:headerReference w:type="default" r:id="rId8"/>
          <w:footerReference w:type="default" r:id="rId9"/>
          <w:pgSz w:w="11906" w:h="16838"/>
          <w:pgMar w:top="284" w:right="851" w:bottom="284" w:left="284" w:header="567" w:footer="0" w:gutter="0"/>
          <w:cols w:space="708"/>
          <w:docGrid w:linePitch="360"/>
        </w:sectPr>
      </w:pPr>
      <w:r>
        <w:rPr>
          <w:lang w:val="fr-BE"/>
        </w:rPr>
        <w:t xml:space="preserve"> </w:t>
      </w:r>
    </w:p>
    <w:p w:rsidR="00115C60" w:rsidRDefault="0011309B" w:rsidP="00115C60">
      <w:pPr>
        <w:pStyle w:val="Naslov1"/>
        <w:numPr>
          <w:ilvl w:val="0"/>
          <w:numId w:val="0"/>
        </w:numPr>
        <w:spacing w:before="0" w:after="0"/>
      </w:pPr>
      <w:bookmarkStart w:id="3" w:name="_Toc256000004"/>
      <w:r>
        <w:rPr>
          <w:noProof/>
        </w:rPr>
        <w:lastRenderedPageBreak/>
        <w:t>ODDELEK 4: POSEBNI PRIMERI</w:t>
      </w:r>
      <w:bookmarkEnd w:id="3"/>
    </w:p>
    <w:p w:rsidR="00115C60" w:rsidRDefault="00115C60" w:rsidP="00115C60">
      <w:pPr>
        <w:spacing w:before="0" w:after="0"/>
        <w:rPr>
          <w:lang w:val="fr-BE"/>
        </w:rPr>
      </w:pPr>
    </w:p>
    <w:p w:rsidR="00115C60" w:rsidRDefault="0011309B" w:rsidP="00115C60">
      <w:pPr>
        <w:spacing w:before="0" w:after="0"/>
        <w:rPr>
          <w:lang w:val="fr-BE"/>
        </w:rPr>
      </w:pPr>
      <w:r>
        <w:rPr>
          <w:noProof/>
          <w:lang w:val="fr-BE"/>
        </w:rPr>
        <w:t>4.1 Preselitev</w:t>
      </w:r>
    </w:p>
    <w:p w:rsidR="00115C60" w:rsidRDefault="00225E97" w:rsidP="00225E97">
      <w:pPr>
        <w:tabs>
          <w:tab w:val="left" w:pos="14070"/>
        </w:tabs>
        <w:spacing w:before="0" w:after="0"/>
        <w:ind w:right="404"/>
        <w:rPr>
          <w:lang w:val="fr-BE"/>
        </w:rPr>
      </w:pPr>
      <w:r>
        <w:rPr>
          <w:lang w:val="fr-BE"/>
        </w:rPr>
        <w:tab/>
      </w:r>
    </w:p>
    <w:p w:rsidR="00115C60" w:rsidRDefault="0011309B" w:rsidP="00115C60">
      <w:pPr>
        <w:spacing w:before="0" w:after="0"/>
        <w:rPr>
          <w:lang w:val="fr-BE"/>
        </w:rPr>
      </w:pPr>
      <w:r>
        <w:rPr>
          <w:noProof/>
          <w:lang w:val="fr-BE"/>
        </w:rPr>
        <w:t>Število preseljenih oseb, kot je navedeno v obračunih</w:t>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58"/>
        <w:gridCol w:w="968"/>
        <w:gridCol w:w="968"/>
        <w:gridCol w:w="968"/>
        <w:gridCol w:w="968"/>
        <w:gridCol w:w="968"/>
        <w:gridCol w:w="968"/>
        <w:gridCol w:w="968"/>
      </w:tblGrid>
      <w:tr w:rsidR="00855A95" w:rsidTr="006D1BFF">
        <w:tc>
          <w:tcPr>
            <w:tcW w:w="0" w:type="auto"/>
            <w:shd w:val="clear" w:color="auto" w:fill="auto"/>
          </w:tcPr>
          <w:p w:rsidR="00B02E47" w:rsidRPr="00597A79" w:rsidRDefault="0011309B" w:rsidP="00003291">
            <w:pPr>
              <w:spacing w:before="0" w:after="0"/>
              <w:rPr>
                <w:b/>
                <w:sz w:val="16"/>
                <w:szCs w:val="16"/>
                <w:lang w:val="fr-BE"/>
              </w:rPr>
            </w:pPr>
            <w:r w:rsidRPr="00597A79">
              <w:rPr>
                <w:b/>
                <w:noProof/>
                <w:sz w:val="16"/>
                <w:szCs w:val="16"/>
                <w:lang w:val="fr-BE"/>
              </w:rPr>
              <w:t>Skupna prednostna naloga Unije na področju preselitve</w:t>
            </w:r>
          </w:p>
        </w:tc>
        <w:tc>
          <w:tcPr>
            <w:tcW w:w="0" w:type="auto"/>
            <w:shd w:val="clear" w:color="auto" w:fill="auto"/>
          </w:tcPr>
          <w:p w:rsidR="00B02E47" w:rsidRPr="00597A79" w:rsidRDefault="0011309B" w:rsidP="00D06E4F">
            <w:pPr>
              <w:spacing w:before="0" w:after="0"/>
              <w:jc w:val="center"/>
              <w:rPr>
                <w:b/>
                <w:sz w:val="16"/>
                <w:szCs w:val="16"/>
                <w:lang w:val="fr-BE"/>
              </w:rPr>
            </w:pPr>
            <w:r w:rsidRPr="00597A79">
              <w:rPr>
                <w:b/>
                <w:sz w:val="16"/>
                <w:szCs w:val="16"/>
                <w:lang w:val="fr-BE"/>
              </w:rPr>
              <w:t>2014</w:t>
            </w:r>
          </w:p>
        </w:tc>
        <w:tc>
          <w:tcPr>
            <w:tcW w:w="0" w:type="auto"/>
            <w:shd w:val="clear" w:color="auto" w:fill="auto"/>
          </w:tcPr>
          <w:p w:rsidR="00B02E47" w:rsidRPr="00597A79" w:rsidRDefault="0011309B" w:rsidP="00D06E4F">
            <w:pPr>
              <w:spacing w:before="0" w:after="0"/>
              <w:jc w:val="center"/>
              <w:rPr>
                <w:b/>
                <w:sz w:val="16"/>
                <w:szCs w:val="16"/>
                <w:lang w:val="fr-BE"/>
              </w:rPr>
            </w:pPr>
            <w:r w:rsidRPr="00597A79">
              <w:rPr>
                <w:b/>
                <w:sz w:val="16"/>
                <w:szCs w:val="16"/>
                <w:lang w:val="fr-BE"/>
              </w:rPr>
              <w:t>2015</w:t>
            </w:r>
          </w:p>
        </w:tc>
        <w:tc>
          <w:tcPr>
            <w:tcW w:w="0" w:type="auto"/>
            <w:shd w:val="clear" w:color="auto" w:fill="auto"/>
          </w:tcPr>
          <w:p w:rsidR="00B02E47" w:rsidRPr="00597A79" w:rsidRDefault="0011309B" w:rsidP="00D06E4F">
            <w:pPr>
              <w:spacing w:before="0" w:after="0"/>
              <w:jc w:val="center"/>
              <w:rPr>
                <w:b/>
                <w:sz w:val="16"/>
                <w:szCs w:val="16"/>
                <w:lang w:val="fr-BE"/>
              </w:rPr>
            </w:pPr>
            <w:r w:rsidRPr="00597A79">
              <w:rPr>
                <w:b/>
                <w:sz w:val="16"/>
                <w:szCs w:val="16"/>
                <w:lang w:val="fr-BE"/>
              </w:rPr>
              <w:t>2016</w:t>
            </w:r>
          </w:p>
        </w:tc>
        <w:tc>
          <w:tcPr>
            <w:tcW w:w="0" w:type="auto"/>
          </w:tcPr>
          <w:p w:rsidR="00B02E47" w:rsidRPr="00597A79" w:rsidRDefault="0011309B" w:rsidP="00D06E4F">
            <w:pPr>
              <w:spacing w:before="0" w:after="0"/>
              <w:jc w:val="center"/>
              <w:rPr>
                <w:b/>
                <w:sz w:val="16"/>
                <w:szCs w:val="16"/>
                <w:lang w:val="fr-BE"/>
              </w:rPr>
            </w:pPr>
            <w:r w:rsidRPr="00597A79">
              <w:rPr>
                <w:b/>
                <w:sz w:val="16"/>
                <w:szCs w:val="16"/>
                <w:lang w:val="fr-BE"/>
              </w:rPr>
              <w:t>2017</w:t>
            </w:r>
          </w:p>
        </w:tc>
        <w:tc>
          <w:tcPr>
            <w:tcW w:w="0" w:type="auto"/>
          </w:tcPr>
          <w:p w:rsidR="00B02E47" w:rsidRPr="00597A79" w:rsidRDefault="0011309B" w:rsidP="00D06E4F">
            <w:pPr>
              <w:spacing w:before="0" w:after="0"/>
              <w:jc w:val="center"/>
              <w:rPr>
                <w:b/>
                <w:sz w:val="16"/>
                <w:szCs w:val="16"/>
                <w:lang w:val="fr-BE"/>
              </w:rPr>
            </w:pPr>
            <w:r w:rsidRPr="00597A79">
              <w:rPr>
                <w:b/>
                <w:sz w:val="16"/>
                <w:szCs w:val="16"/>
                <w:lang w:val="fr-BE"/>
              </w:rPr>
              <w:t>2018</w:t>
            </w:r>
          </w:p>
        </w:tc>
        <w:tc>
          <w:tcPr>
            <w:tcW w:w="0" w:type="auto"/>
          </w:tcPr>
          <w:p w:rsidR="00B02E47" w:rsidRPr="00597A79" w:rsidRDefault="0011309B" w:rsidP="00D06E4F">
            <w:pPr>
              <w:spacing w:before="0" w:after="0"/>
              <w:jc w:val="center"/>
              <w:rPr>
                <w:b/>
                <w:sz w:val="16"/>
                <w:szCs w:val="16"/>
                <w:lang w:val="fr-BE"/>
              </w:rPr>
            </w:pPr>
            <w:r w:rsidRPr="00597A79">
              <w:rPr>
                <w:b/>
                <w:sz w:val="16"/>
                <w:szCs w:val="16"/>
                <w:lang w:val="fr-BE"/>
              </w:rPr>
              <w:t>2019</w:t>
            </w:r>
          </w:p>
        </w:tc>
        <w:tc>
          <w:tcPr>
            <w:tcW w:w="0" w:type="auto"/>
          </w:tcPr>
          <w:p w:rsidR="00B02E47" w:rsidRPr="00597A79" w:rsidRDefault="0011309B" w:rsidP="00D06E4F">
            <w:pPr>
              <w:spacing w:before="0" w:after="0"/>
              <w:jc w:val="center"/>
              <w:rPr>
                <w:b/>
                <w:sz w:val="16"/>
                <w:szCs w:val="16"/>
                <w:lang w:val="fr-BE"/>
              </w:rPr>
            </w:pPr>
            <w:r w:rsidRPr="00597A79">
              <w:rPr>
                <w:b/>
                <w:sz w:val="16"/>
                <w:szCs w:val="16"/>
                <w:lang w:val="fr-BE"/>
              </w:rPr>
              <w:t>2020</w:t>
            </w:r>
          </w:p>
        </w:tc>
      </w:tr>
      <w:tr w:rsidR="00855A95" w:rsidTr="006D1BFF">
        <w:tc>
          <w:tcPr>
            <w:tcW w:w="0" w:type="auto"/>
            <w:shd w:val="clear" w:color="auto" w:fill="auto"/>
          </w:tcPr>
          <w:p w:rsidR="00B02E47" w:rsidRPr="00597A79" w:rsidRDefault="0011309B" w:rsidP="00003291">
            <w:pPr>
              <w:spacing w:before="0" w:after="0"/>
              <w:rPr>
                <w:sz w:val="16"/>
                <w:szCs w:val="16"/>
                <w:lang w:val="fr-BE"/>
              </w:rPr>
            </w:pPr>
            <w:r w:rsidRPr="00597A79">
              <w:rPr>
                <w:noProof/>
                <w:sz w:val="16"/>
                <w:szCs w:val="16"/>
                <w:lang w:val="fr-BE"/>
              </w:rPr>
              <w:t xml:space="preserve">Sirski begunci v </w:t>
            </w:r>
            <w:r w:rsidRPr="00597A79">
              <w:rPr>
                <w:noProof/>
                <w:sz w:val="16"/>
                <w:szCs w:val="16"/>
                <w:lang w:val="fr-BE"/>
              </w:rPr>
              <w:t>regiji</w:t>
            </w:r>
          </w:p>
        </w:tc>
        <w:tc>
          <w:tcPr>
            <w:tcW w:w="0" w:type="auto"/>
            <w:shd w:val="clear" w:color="auto" w:fill="auto"/>
          </w:tcPr>
          <w:p w:rsidR="00B02E47" w:rsidRPr="00597A79" w:rsidRDefault="00B02E47" w:rsidP="00003291">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11309B" w:rsidP="00A35F00">
            <w:pPr>
              <w:spacing w:before="0" w:after="0"/>
              <w:jc w:val="right"/>
              <w:rPr>
                <w:sz w:val="16"/>
                <w:szCs w:val="16"/>
                <w:lang w:val="fr-BE"/>
              </w:rPr>
            </w:pPr>
            <w:r w:rsidRPr="00597A79">
              <w:rPr>
                <w:noProof/>
                <w:sz w:val="16"/>
                <w:szCs w:val="16"/>
                <w:lang w:val="fr-BE"/>
              </w:rPr>
              <w:t>21</w:t>
            </w:r>
          </w:p>
        </w:tc>
        <w:tc>
          <w:tcPr>
            <w:tcW w:w="0" w:type="auto"/>
          </w:tcPr>
          <w:p w:rsidR="00B02E47" w:rsidRPr="00597A79" w:rsidRDefault="0011309B" w:rsidP="00A35F00">
            <w:pPr>
              <w:spacing w:before="0" w:after="0"/>
              <w:jc w:val="right"/>
              <w:rPr>
                <w:sz w:val="16"/>
                <w:szCs w:val="16"/>
                <w:lang w:val="fr-BE"/>
              </w:rPr>
            </w:pPr>
            <w:r w:rsidRPr="00597A79">
              <w:rPr>
                <w:noProof/>
                <w:sz w:val="16"/>
                <w:szCs w:val="16"/>
                <w:lang w:val="fr-BE"/>
              </w:rPr>
              <w:t>13</w:t>
            </w:r>
          </w:p>
        </w:tc>
        <w:tc>
          <w:tcPr>
            <w:tcW w:w="0" w:type="auto"/>
          </w:tcPr>
          <w:p w:rsidR="00B02E47" w:rsidRPr="00597A79" w:rsidRDefault="00B02E47" w:rsidP="00A35F00">
            <w:pPr>
              <w:spacing w:before="0" w:after="0"/>
              <w:jc w:val="right"/>
              <w:rPr>
                <w:sz w:val="16"/>
                <w:szCs w:val="16"/>
                <w:lang w:val="fr-BE"/>
              </w:rPr>
            </w:pPr>
          </w:p>
        </w:tc>
      </w:tr>
      <w:tr w:rsidR="00855A95" w:rsidTr="006D1BFF">
        <w:tc>
          <w:tcPr>
            <w:tcW w:w="0" w:type="auto"/>
            <w:shd w:val="clear" w:color="auto" w:fill="auto"/>
          </w:tcPr>
          <w:p w:rsidR="00B02E47" w:rsidRPr="00597A79" w:rsidRDefault="0011309B" w:rsidP="00003291">
            <w:pPr>
              <w:spacing w:before="0" w:after="0"/>
              <w:rPr>
                <w:sz w:val="16"/>
                <w:szCs w:val="16"/>
                <w:lang w:val="fr-BE"/>
              </w:rPr>
            </w:pPr>
            <w:r w:rsidRPr="00597A79">
              <w:rPr>
                <w:b/>
                <w:noProof/>
                <w:sz w:val="16"/>
                <w:szCs w:val="16"/>
                <w:lang w:val="fr-BE"/>
              </w:rPr>
              <w:t>Prednostne naloge Unije skupaj</w:t>
            </w:r>
          </w:p>
        </w:tc>
        <w:tc>
          <w:tcPr>
            <w:tcW w:w="0" w:type="auto"/>
            <w:shd w:val="clear" w:color="auto" w:fill="auto"/>
          </w:tcPr>
          <w:p w:rsidR="00B02E47" w:rsidRPr="00597A79" w:rsidRDefault="00B02E47" w:rsidP="00003291">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11309B" w:rsidP="00A35F00">
            <w:pPr>
              <w:spacing w:before="0" w:after="0"/>
              <w:jc w:val="right"/>
              <w:rPr>
                <w:sz w:val="16"/>
                <w:szCs w:val="16"/>
                <w:lang w:val="fr-BE"/>
              </w:rPr>
            </w:pPr>
            <w:r w:rsidRPr="00597A79">
              <w:rPr>
                <w:b/>
                <w:noProof/>
                <w:sz w:val="16"/>
                <w:szCs w:val="16"/>
                <w:lang w:val="fr-BE"/>
              </w:rPr>
              <w:t>21</w:t>
            </w:r>
          </w:p>
        </w:tc>
        <w:tc>
          <w:tcPr>
            <w:tcW w:w="0" w:type="auto"/>
          </w:tcPr>
          <w:p w:rsidR="00B02E47" w:rsidRPr="00597A79" w:rsidRDefault="0011309B" w:rsidP="00A35F00">
            <w:pPr>
              <w:spacing w:before="0" w:after="0"/>
              <w:jc w:val="right"/>
              <w:rPr>
                <w:sz w:val="16"/>
                <w:szCs w:val="16"/>
                <w:lang w:val="fr-BE"/>
              </w:rPr>
            </w:pPr>
            <w:r w:rsidRPr="00597A79">
              <w:rPr>
                <w:b/>
                <w:noProof/>
                <w:sz w:val="16"/>
                <w:szCs w:val="16"/>
                <w:lang w:val="fr-BE"/>
              </w:rPr>
              <w:t>13</w:t>
            </w:r>
          </w:p>
        </w:tc>
        <w:tc>
          <w:tcPr>
            <w:tcW w:w="0" w:type="auto"/>
          </w:tcPr>
          <w:p w:rsidR="00B02E47" w:rsidRPr="00597A79" w:rsidRDefault="00B02E47" w:rsidP="00A35F00">
            <w:pPr>
              <w:spacing w:before="0" w:after="0"/>
              <w:jc w:val="right"/>
              <w:rPr>
                <w:sz w:val="16"/>
                <w:szCs w:val="16"/>
                <w:lang w:val="fr-BE"/>
              </w:rPr>
            </w:pPr>
          </w:p>
        </w:tc>
      </w:tr>
      <w:tr w:rsidR="00855A95" w:rsidTr="006D1BFF">
        <w:tc>
          <w:tcPr>
            <w:tcW w:w="0" w:type="auto"/>
            <w:shd w:val="clear" w:color="auto" w:fill="auto"/>
          </w:tcPr>
          <w:p w:rsidR="00B02E47" w:rsidRPr="00597A79" w:rsidRDefault="0011309B" w:rsidP="00003291">
            <w:pPr>
              <w:spacing w:before="0" w:after="0"/>
              <w:rPr>
                <w:sz w:val="16"/>
                <w:szCs w:val="16"/>
                <w:lang w:val="fr-BE"/>
              </w:rPr>
            </w:pPr>
            <w:r w:rsidRPr="00597A79">
              <w:rPr>
                <w:b/>
                <w:noProof/>
                <w:sz w:val="16"/>
                <w:szCs w:val="16"/>
                <w:lang w:val="fr-BE"/>
              </w:rPr>
              <w:t>Skupni seštevek</w:t>
            </w:r>
          </w:p>
        </w:tc>
        <w:tc>
          <w:tcPr>
            <w:tcW w:w="0" w:type="auto"/>
            <w:shd w:val="clear" w:color="auto" w:fill="auto"/>
          </w:tcPr>
          <w:p w:rsidR="00B02E47" w:rsidRPr="00597A79" w:rsidRDefault="00B02E47" w:rsidP="00003291">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11309B" w:rsidP="00A35F00">
            <w:pPr>
              <w:spacing w:before="0" w:after="0"/>
              <w:jc w:val="right"/>
              <w:rPr>
                <w:sz w:val="16"/>
                <w:szCs w:val="16"/>
                <w:lang w:val="fr-BE"/>
              </w:rPr>
            </w:pPr>
            <w:r w:rsidRPr="00597A79">
              <w:rPr>
                <w:b/>
                <w:noProof/>
                <w:sz w:val="16"/>
                <w:szCs w:val="16"/>
                <w:lang w:val="fr-BE"/>
              </w:rPr>
              <w:t>21</w:t>
            </w:r>
          </w:p>
        </w:tc>
        <w:tc>
          <w:tcPr>
            <w:tcW w:w="0" w:type="auto"/>
          </w:tcPr>
          <w:p w:rsidR="00B02E47" w:rsidRPr="00597A79" w:rsidRDefault="0011309B" w:rsidP="00A35F00">
            <w:pPr>
              <w:spacing w:before="0" w:after="0"/>
              <w:jc w:val="right"/>
              <w:rPr>
                <w:sz w:val="16"/>
                <w:szCs w:val="16"/>
                <w:lang w:val="fr-BE"/>
              </w:rPr>
            </w:pPr>
            <w:r w:rsidRPr="00597A79">
              <w:rPr>
                <w:b/>
                <w:noProof/>
                <w:sz w:val="16"/>
                <w:szCs w:val="16"/>
                <w:lang w:val="fr-BE"/>
              </w:rPr>
              <w:t>13</w:t>
            </w:r>
          </w:p>
        </w:tc>
        <w:tc>
          <w:tcPr>
            <w:tcW w:w="0" w:type="auto"/>
          </w:tcPr>
          <w:p w:rsidR="00B02E47" w:rsidRPr="00597A79" w:rsidRDefault="00B02E47" w:rsidP="00A35F00">
            <w:pPr>
              <w:spacing w:before="0" w:after="0"/>
              <w:jc w:val="right"/>
              <w:rPr>
                <w:sz w:val="16"/>
                <w:szCs w:val="16"/>
                <w:lang w:val="fr-BE"/>
              </w:rPr>
            </w:pPr>
          </w:p>
        </w:tc>
      </w:tr>
    </w:tbl>
    <w:p w:rsidR="00115C60" w:rsidRDefault="00115C60" w:rsidP="00115C60">
      <w:pPr>
        <w:spacing w:before="0" w:after="0"/>
        <w:rPr>
          <w:lang w:val="fr-BE"/>
        </w:rPr>
      </w:pPr>
    </w:p>
    <w:p w:rsidR="00115C60" w:rsidRDefault="0011309B" w:rsidP="00225E97">
      <w:pPr>
        <w:spacing w:before="0" w:after="0"/>
        <w:ind w:right="418"/>
        <w:rPr>
          <w:lang w:val="fr-BE"/>
        </w:rPr>
      </w:pPr>
      <w:r>
        <w:rPr>
          <w:noProof/>
          <w:lang w:val="fr-BE"/>
        </w:rPr>
        <w:t>4.2 Predaja in premestitev</w:t>
      </w:r>
    </w:p>
    <w:p w:rsidR="00115C60" w:rsidRDefault="00115C60" w:rsidP="000C0709">
      <w:pPr>
        <w:spacing w:before="0" w:after="0"/>
        <w:ind w:right="395"/>
        <w:rPr>
          <w:lang w:val="fr-BE"/>
        </w:rPr>
      </w:pPr>
    </w:p>
    <w:p w:rsidR="00115C60" w:rsidRDefault="0011309B" w:rsidP="00225E97">
      <w:pPr>
        <w:tabs>
          <w:tab w:val="right" w:pos="15309"/>
        </w:tabs>
        <w:spacing w:before="0" w:after="0"/>
        <w:rPr>
          <w:lang w:val="fr-BE"/>
        </w:rPr>
      </w:pPr>
      <w:r>
        <w:rPr>
          <w:noProof/>
          <w:lang w:val="fr-BE"/>
        </w:rPr>
        <w:t>Število predanih in premeščenih prosilcev na obdobje zaveze, kot je navedeno v obračunih</w:t>
      </w:r>
      <w:r w:rsidR="00225E97">
        <w:rPr>
          <w:lang w:val="fr-BE"/>
        </w:rPr>
        <w:tab/>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569"/>
        <w:gridCol w:w="2129"/>
        <w:gridCol w:w="2373"/>
        <w:gridCol w:w="2373"/>
        <w:gridCol w:w="2373"/>
      </w:tblGrid>
      <w:tr w:rsidR="00855A95" w:rsidTr="00003291">
        <w:tc>
          <w:tcPr>
            <w:tcW w:w="0" w:type="auto"/>
            <w:shd w:val="clear" w:color="auto" w:fill="auto"/>
          </w:tcPr>
          <w:p w:rsidR="00115C60" w:rsidRPr="00F65BC9" w:rsidRDefault="0011309B" w:rsidP="00003291">
            <w:pPr>
              <w:spacing w:before="0" w:after="0"/>
              <w:rPr>
                <w:b/>
                <w:sz w:val="20"/>
                <w:szCs w:val="20"/>
                <w:lang w:val="fr-BE"/>
              </w:rPr>
            </w:pPr>
            <w:r w:rsidRPr="00F65BC9">
              <w:rPr>
                <w:b/>
                <w:noProof/>
                <w:sz w:val="20"/>
                <w:szCs w:val="20"/>
                <w:lang w:val="fr-BE"/>
              </w:rPr>
              <w:t>Vrsta</w:t>
            </w:r>
          </w:p>
        </w:tc>
        <w:tc>
          <w:tcPr>
            <w:tcW w:w="0" w:type="auto"/>
            <w:shd w:val="clear" w:color="auto" w:fill="auto"/>
          </w:tcPr>
          <w:p w:rsidR="00115C60" w:rsidRPr="00F65BC9" w:rsidRDefault="0011309B" w:rsidP="00003291">
            <w:pPr>
              <w:spacing w:before="0" w:after="0"/>
              <w:rPr>
                <w:b/>
                <w:sz w:val="20"/>
                <w:szCs w:val="20"/>
                <w:lang w:val="fr-BE"/>
              </w:rPr>
            </w:pPr>
            <w:r w:rsidRPr="00F65BC9">
              <w:rPr>
                <w:b/>
                <w:noProof/>
                <w:sz w:val="20"/>
                <w:szCs w:val="20"/>
                <w:lang w:val="fr-BE"/>
              </w:rPr>
              <w:t>Iz</w:t>
            </w:r>
          </w:p>
        </w:tc>
        <w:tc>
          <w:tcPr>
            <w:tcW w:w="0" w:type="auto"/>
            <w:shd w:val="clear" w:color="auto" w:fill="auto"/>
          </w:tcPr>
          <w:p w:rsidR="00115C60" w:rsidRPr="00F65BC9" w:rsidRDefault="0011309B" w:rsidP="00003291">
            <w:pPr>
              <w:spacing w:before="0" w:after="0"/>
              <w:rPr>
                <w:b/>
                <w:sz w:val="20"/>
                <w:szCs w:val="20"/>
                <w:lang w:val="fr-BE"/>
              </w:rPr>
            </w:pPr>
            <w:r w:rsidRPr="00F65BC9">
              <w:rPr>
                <w:b/>
                <w:noProof/>
                <w:sz w:val="20"/>
                <w:szCs w:val="20"/>
                <w:lang w:val="fr-BE"/>
              </w:rPr>
              <w:t>V</w:t>
            </w:r>
          </w:p>
        </w:tc>
        <w:tc>
          <w:tcPr>
            <w:tcW w:w="0" w:type="auto"/>
            <w:shd w:val="clear" w:color="auto" w:fill="auto"/>
          </w:tcPr>
          <w:p w:rsidR="00115C60" w:rsidRPr="00F65BC9" w:rsidRDefault="0011309B" w:rsidP="0056117D">
            <w:pPr>
              <w:spacing w:before="0" w:after="0"/>
              <w:jc w:val="center"/>
              <w:rPr>
                <w:b/>
                <w:sz w:val="20"/>
                <w:szCs w:val="20"/>
                <w:lang w:val="fr-BE"/>
              </w:rPr>
            </w:pPr>
            <w:r w:rsidRPr="00F65BC9">
              <w:rPr>
                <w:b/>
                <w:sz w:val="20"/>
                <w:szCs w:val="20"/>
                <w:lang w:val="fr-BE"/>
              </w:rPr>
              <w:t>2014-2015</w:t>
            </w:r>
          </w:p>
        </w:tc>
        <w:tc>
          <w:tcPr>
            <w:tcW w:w="0" w:type="auto"/>
            <w:shd w:val="clear" w:color="auto" w:fill="auto"/>
          </w:tcPr>
          <w:p w:rsidR="00115C60" w:rsidRPr="00F65BC9" w:rsidRDefault="0011309B" w:rsidP="0056117D">
            <w:pPr>
              <w:spacing w:before="0" w:after="0"/>
              <w:jc w:val="center"/>
              <w:rPr>
                <w:b/>
                <w:sz w:val="20"/>
                <w:szCs w:val="20"/>
                <w:lang w:val="fr-BE"/>
              </w:rPr>
            </w:pPr>
            <w:r w:rsidRPr="00F65BC9">
              <w:rPr>
                <w:b/>
                <w:sz w:val="20"/>
                <w:szCs w:val="20"/>
                <w:lang w:val="fr-BE"/>
              </w:rPr>
              <w:t>2016-2017</w:t>
            </w:r>
          </w:p>
        </w:tc>
        <w:tc>
          <w:tcPr>
            <w:tcW w:w="0" w:type="auto"/>
            <w:shd w:val="clear" w:color="auto" w:fill="auto"/>
          </w:tcPr>
          <w:p w:rsidR="00115C60" w:rsidRPr="00F65BC9" w:rsidRDefault="0011309B" w:rsidP="0056117D">
            <w:pPr>
              <w:spacing w:before="0" w:after="0"/>
              <w:jc w:val="center"/>
              <w:rPr>
                <w:b/>
                <w:sz w:val="20"/>
                <w:szCs w:val="20"/>
                <w:lang w:val="fr-BE"/>
              </w:rPr>
            </w:pPr>
            <w:r w:rsidRPr="00F65BC9">
              <w:rPr>
                <w:b/>
                <w:sz w:val="20"/>
                <w:szCs w:val="20"/>
                <w:lang w:val="fr-BE"/>
              </w:rPr>
              <w:t>2018-2019</w:t>
            </w:r>
          </w:p>
        </w:tc>
      </w:tr>
      <w:tr w:rsidR="00855A95" w:rsidTr="00003291">
        <w:tc>
          <w:tcPr>
            <w:tcW w:w="0" w:type="auto"/>
            <w:shd w:val="clear" w:color="auto" w:fill="auto"/>
          </w:tcPr>
          <w:p w:rsidR="00115C60" w:rsidRPr="002B6309" w:rsidRDefault="0011309B" w:rsidP="00003291">
            <w:pPr>
              <w:spacing w:before="0" w:after="0"/>
              <w:rPr>
                <w:sz w:val="20"/>
                <w:szCs w:val="20"/>
                <w:lang w:val="fr-BE"/>
              </w:rPr>
            </w:pPr>
            <w:r w:rsidRPr="002B6309">
              <w:rPr>
                <w:noProof/>
                <w:sz w:val="20"/>
                <w:szCs w:val="20"/>
                <w:lang w:val="fr-BE"/>
              </w:rPr>
              <w:t>Premestitev (2015/1523)</w:t>
            </w:r>
          </w:p>
        </w:tc>
        <w:tc>
          <w:tcPr>
            <w:tcW w:w="0" w:type="auto"/>
            <w:shd w:val="clear" w:color="auto" w:fill="auto"/>
          </w:tcPr>
          <w:p w:rsidR="00115C60" w:rsidRPr="002B6309" w:rsidRDefault="0011309B" w:rsidP="00003291">
            <w:pPr>
              <w:spacing w:before="0" w:after="0"/>
              <w:rPr>
                <w:sz w:val="20"/>
                <w:szCs w:val="20"/>
                <w:lang w:val="fr-BE"/>
              </w:rPr>
            </w:pPr>
            <w:r w:rsidRPr="002B6309">
              <w:rPr>
                <w:noProof/>
                <w:sz w:val="20"/>
                <w:szCs w:val="20"/>
                <w:lang w:val="fr-BE"/>
              </w:rPr>
              <w:t>Italija</w:t>
            </w:r>
          </w:p>
        </w:tc>
        <w:tc>
          <w:tcPr>
            <w:tcW w:w="0" w:type="auto"/>
            <w:shd w:val="clear" w:color="auto" w:fill="auto"/>
          </w:tcPr>
          <w:p w:rsidR="00115C60" w:rsidRPr="002B6309" w:rsidRDefault="0011309B" w:rsidP="00003291">
            <w:pPr>
              <w:spacing w:before="0" w:after="0"/>
              <w:rPr>
                <w:sz w:val="20"/>
                <w:szCs w:val="20"/>
                <w:lang w:val="fr-BE"/>
              </w:rPr>
            </w:pPr>
            <w:r w:rsidRPr="002B6309">
              <w:rPr>
                <w:noProof/>
                <w:sz w:val="20"/>
                <w:szCs w:val="20"/>
                <w:lang w:val="fr-BE"/>
              </w:rPr>
              <w:t>Slovenija</w:t>
            </w: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11309B" w:rsidP="00003291">
            <w:pPr>
              <w:spacing w:before="0" w:after="0"/>
              <w:jc w:val="right"/>
              <w:rPr>
                <w:sz w:val="20"/>
                <w:szCs w:val="20"/>
                <w:lang w:val="fr-BE"/>
              </w:rPr>
            </w:pPr>
            <w:r w:rsidRPr="002B6309">
              <w:rPr>
                <w:noProof/>
                <w:sz w:val="20"/>
                <w:szCs w:val="20"/>
                <w:lang w:val="fr-BE"/>
              </w:rPr>
              <w:t>36</w:t>
            </w:r>
          </w:p>
        </w:tc>
      </w:tr>
      <w:tr w:rsidR="00855A95" w:rsidTr="00003291">
        <w:tc>
          <w:tcPr>
            <w:tcW w:w="0" w:type="auto"/>
            <w:shd w:val="clear" w:color="auto" w:fill="auto"/>
          </w:tcPr>
          <w:p w:rsidR="00115C60" w:rsidRPr="002B6309" w:rsidRDefault="0011309B" w:rsidP="00003291">
            <w:pPr>
              <w:spacing w:before="0" w:after="0"/>
              <w:rPr>
                <w:sz w:val="20"/>
                <w:szCs w:val="20"/>
                <w:lang w:val="fr-BE"/>
              </w:rPr>
            </w:pPr>
            <w:r w:rsidRPr="002B6309">
              <w:rPr>
                <w:noProof/>
                <w:sz w:val="20"/>
                <w:szCs w:val="20"/>
                <w:lang w:val="fr-BE"/>
              </w:rPr>
              <w:t>Premestitev (2015/1601)</w:t>
            </w:r>
          </w:p>
        </w:tc>
        <w:tc>
          <w:tcPr>
            <w:tcW w:w="0" w:type="auto"/>
            <w:shd w:val="clear" w:color="auto" w:fill="auto"/>
          </w:tcPr>
          <w:p w:rsidR="00115C60" w:rsidRPr="002B6309" w:rsidRDefault="0011309B" w:rsidP="00003291">
            <w:pPr>
              <w:spacing w:before="0" w:after="0"/>
              <w:rPr>
                <w:sz w:val="20"/>
                <w:szCs w:val="20"/>
                <w:lang w:val="fr-BE"/>
              </w:rPr>
            </w:pPr>
            <w:r w:rsidRPr="002B6309">
              <w:rPr>
                <w:noProof/>
                <w:sz w:val="20"/>
                <w:szCs w:val="20"/>
                <w:lang w:val="fr-BE"/>
              </w:rPr>
              <w:t>Italija</w:t>
            </w:r>
          </w:p>
        </w:tc>
        <w:tc>
          <w:tcPr>
            <w:tcW w:w="0" w:type="auto"/>
            <w:shd w:val="clear" w:color="auto" w:fill="auto"/>
          </w:tcPr>
          <w:p w:rsidR="00115C60" w:rsidRPr="002B6309" w:rsidRDefault="0011309B" w:rsidP="00003291">
            <w:pPr>
              <w:spacing w:before="0" w:after="0"/>
              <w:rPr>
                <w:sz w:val="20"/>
                <w:szCs w:val="20"/>
                <w:lang w:val="fr-BE"/>
              </w:rPr>
            </w:pPr>
            <w:r w:rsidRPr="002B6309">
              <w:rPr>
                <w:noProof/>
                <w:sz w:val="20"/>
                <w:szCs w:val="20"/>
                <w:lang w:val="fr-BE"/>
              </w:rPr>
              <w:t>Slovenija</w:t>
            </w: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11309B" w:rsidP="00003291">
            <w:pPr>
              <w:spacing w:before="0" w:after="0"/>
              <w:jc w:val="right"/>
              <w:rPr>
                <w:sz w:val="20"/>
                <w:szCs w:val="20"/>
                <w:lang w:val="fr-BE"/>
              </w:rPr>
            </w:pPr>
            <w:r w:rsidRPr="002B6309">
              <w:rPr>
                <w:noProof/>
                <w:sz w:val="20"/>
                <w:szCs w:val="20"/>
                <w:lang w:val="fr-BE"/>
              </w:rPr>
              <w:t>54</w:t>
            </w:r>
          </w:p>
        </w:tc>
        <w:tc>
          <w:tcPr>
            <w:tcW w:w="0" w:type="auto"/>
            <w:shd w:val="clear" w:color="auto" w:fill="auto"/>
          </w:tcPr>
          <w:p w:rsidR="00115C60" w:rsidRPr="002B6309" w:rsidRDefault="00115C60" w:rsidP="00003291">
            <w:pPr>
              <w:spacing w:before="0" w:after="0"/>
              <w:jc w:val="right"/>
              <w:rPr>
                <w:sz w:val="20"/>
                <w:szCs w:val="20"/>
                <w:lang w:val="fr-BE"/>
              </w:rPr>
            </w:pPr>
          </w:p>
        </w:tc>
      </w:tr>
      <w:tr w:rsidR="00855A95" w:rsidTr="00003291">
        <w:tc>
          <w:tcPr>
            <w:tcW w:w="0" w:type="auto"/>
            <w:shd w:val="clear" w:color="auto" w:fill="auto"/>
          </w:tcPr>
          <w:p w:rsidR="00115C60" w:rsidRPr="002B6309" w:rsidRDefault="0011309B" w:rsidP="00003291">
            <w:pPr>
              <w:spacing w:before="0" w:after="0"/>
              <w:rPr>
                <w:sz w:val="20"/>
                <w:szCs w:val="20"/>
                <w:lang w:val="fr-BE"/>
              </w:rPr>
            </w:pPr>
            <w:r w:rsidRPr="002B6309">
              <w:rPr>
                <w:noProof/>
                <w:sz w:val="20"/>
                <w:szCs w:val="20"/>
                <w:lang w:val="fr-BE"/>
              </w:rPr>
              <w:t>Premestitev (2015/1601)</w:t>
            </w:r>
          </w:p>
        </w:tc>
        <w:tc>
          <w:tcPr>
            <w:tcW w:w="0" w:type="auto"/>
            <w:shd w:val="clear" w:color="auto" w:fill="auto"/>
          </w:tcPr>
          <w:p w:rsidR="00115C60" w:rsidRPr="002B6309" w:rsidRDefault="0011309B" w:rsidP="00003291">
            <w:pPr>
              <w:spacing w:before="0" w:after="0"/>
              <w:rPr>
                <w:sz w:val="20"/>
                <w:szCs w:val="20"/>
                <w:lang w:val="fr-BE"/>
              </w:rPr>
            </w:pPr>
            <w:r w:rsidRPr="002B6309">
              <w:rPr>
                <w:noProof/>
                <w:sz w:val="20"/>
                <w:szCs w:val="20"/>
                <w:lang w:val="fr-BE"/>
              </w:rPr>
              <w:t>Grčija</w:t>
            </w:r>
          </w:p>
        </w:tc>
        <w:tc>
          <w:tcPr>
            <w:tcW w:w="0" w:type="auto"/>
            <w:shd w:val="clear" w:color="auto" w:fill="auto"/>
          </w:tcPr>
          <w:p w:rsidR="00115C60" w:rsidRPr="002B6309" w:rsidRDefault="0011309B" w:rsidP="00003291">
            <w:pPr>
              <w:spacing w:before="0" w:after="0"/>
              <w:rPr>
                <w:sz w:val="20"/>
                <w:szCs w:val="20"/>
                <w:lang w:val="fr-BE"/>
              </w:rPr>
            </w:pPr>
            <w:r w:rsidRPr="002B6309">
              <w:rPr>
                <w:noProof/>
                <w:sz w:val="20"/>
                <w:szCs w:val="20"/>
                <w:lang w:val="fr-BE"/>
              </w:rPr>
              <w:t>Slovenija</w:t>
            </w: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11309B" w:rsidP="00003291">
            <w:pPr>
              <w:spacing w:before="0" w:after="0"/>
              <w:jc w:val="right"/>
              <w:rPr>
                <w:sz w:val="20"/>
                <w:szCs w:val="20"/>
                <w:lang w:val="fr-BE"/>
              </w:rPr>
            </w:pPr>
            <w:r w:rsidRPr="002B6309">
              <w:rPr>
                <w:noProof/>
                <w:sz w:val="20"/>
                <w:szCs w:val="20"/>
                <w:lang w:val="fr-BE"/>
              </w:rPr>
              <w:t>163</w:t>
            </w:r>
          </w:p>
        </w:tc>
        <w:tc>
          <w:tcPr>
            <w:tcW w:w="0" w:type="auto"/>
            <w:shd w:val="clear" w:color="auto" w:fill="auto"/>
          </w:tcPr>
          <w:p w:rsidR="00115C60" w:rsidRPr="002B6309" w:rsidRDefault="00115C60" w:rsidP="00003291">
            <w:pPr>
              <w:spacing w:before="0" w:after="0"/>
              <w:jc w:val="right"/>
              <w:rPr>
                <w:sz w:val="20"/>
                <w:szCs w:val="20"/>
                <w:lang w:val="fr-BE"/>
              </w:rPr>
            </w:pPr>
          </w:p>
        </w:tc>
      </w:tr>
    </w:tbl>
    <w:p w:rsidR="00115C60" w:rsidRDefault="00115C60" w:rsidP="00115C60">
      <w:pPr>
        <w:spacing w:before="0" w:after="0"/>
        <w:rPr>
          <w:lang w:val="fr-BE"/>
        </w:rPr>
      </w:pPr>
    </w:p>
    <w:p w:rsidR="00115C60" w:rsidRDefault="0011309B" w:rsidP="00115C60">
      <w:pPr>
        <w:spacing w:before="0" w:after="0"/>
        <w:rPr>
          <w:lang w:val="fr-BE"/>
        </w:rPr>
      </w:pPr>
      <w:r>
        <w:rPr>
          <w:noProof/>
          <w:lang w:val="fr-BE"/>
        </w:rPr>
        <w:t>4.3 Sprejem iz Turčije (2016/1754)</w:t>
      </w:r>
    </w:p>
    <w:p w:rsidR="00115C60" w:rsidRDefault="00115C60" w:rsidP="00115C60">
      <w:pPr>
        <w:spacing w:before="0" w:after="0"/>
        <w:rPr>
          <w:lang w:val="fr-BE"/>
        </w:rPr>
      </w:pPr>
    </w:p>
    <w:p w:rsidR="00115C60" w:rsidRDefault="0011309B" w:rsidP="00115C60">
      <w:pPr>
        <w:spacing w:before="0" w:after="0"/>
        <w:rPr>
          <w:lang w:val="fr-BE"/>
        </w:rPr>
      </w:pPr>
      <w:r>
        <w:rPr>
          <w:noProof/>
          <w:lang w:val="fr-BE"/>
        </w:rPr>
        <w:t>Število sprejetih prosilcev iz Turčije na obdobje zaveze, kot je navedeno v</w:t>
      </w:r>
      <w:r>
        <w:rPr>
          <w:noProof/>
          <w:lang w:val="fr-BE"/>
        </w:rPr>
        <w:t xml:space="preserve"> obračunih</w:t>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12"/>
        <w:gridCol w:w="5212"/>
      </w:tblGrid>
      <w:tr w:rsidR="00855A95" w:rsidTr="00003291">
        <w:tc>
          <w:tcPr>
            <w:tcW w:w="0" w:type="auto"/>
            <w:shd w:val="clear" w:color="auto" w:fill="auto"/>
          </w:tcPr>
          <w:p w:rsidR="00115C60" w:rsidRPr="00F65BC9" w:rsidRDefault="0011309B" w:rsidP="0056117D">
            <w:pPr>
              <w:spacing w:before="0" w:after="0"/>
              <w:jc w:val="center"/>
              <w:rPr>
                <w:b/>
                <w:sz w:val="20"/>
                <w:szCs w:val="20"/>
                <w:lang w:val="fr-BE"/>
              </w:rPr>
            </w:pPr>
            <w:r w:rsidRPr="00F65BC9">
              <w:rPr>
                <w:b/>
                <w:sz w:val="20"/>
                <w:szCs w:val="20"/>
                <w:lang w:val="fr-BE"/>
              </w:rPr>
              <w:t>2014-2015</w:t>
            </w:r>
          </w:p>
        </w:tc>
        <w:tc>
          <w:tcPr>
            <w:tcW w:w="0" w:type="auto"/>
            <w:shd w:val="clear" w:color="auto" w:fill="auto"/>
          </w:tcPr>
          <w:p w:rsidR="00115C60" w:rsidRPr="00F65BC9" w:rsidRDefault="0011309B" w:rsidP="0056117D">
            <w:pPr>
              <w:spacing w:before="0" w:after="0"/>
              <w:jc w:val="center"/>
              <w:rPr>
                <w:b/>
                <w:sz w:val="20"/>
                <w:szCs w:val="20"/>
                <w:lang w:val="fr-BE"/>
              </w:rPr>
            </w:pPr>
            <w:r w:rsidRPr="00F65BC9">
              <w:rPr>
                <w:b/>
                <w:sz w:val="20"/>
                <w:szCs w:val="20"/>
                <w:lang w:val="fr-BE"/>
              </w:rPr>
              <w:t>2016-2017</w:t>
            </w:r>
          </w:p>
        </w:tc>
        <w:tc>
          <w:tcPr>
            <w:tcW w:w="0" w:type="auto"/>
            <w:shd w:val="clear" w:color="auto" w:fill="auto"/>
          </w:tcPr>
          <w:p w:rsidR="00115C60" w:rsidRPr="00F65BC9" w:rsidRDefault="0011309B" w:rsidP="0056117D">
            <w:pPr>
              <w:spacing w:before="0" w:after="0"/>
              <w:jc w:val="center"/>
              <w:rPr>
                <w:b/>
                <w:sz w:val="20"/>
                <w:szCs w:val="20"/>
                <w:lang w:val="fr-BE"/>
              </w:rPr>
            </w:pPr>
            <w:r w:rsidRPr="00F65BC9">
              <w:rPr>
                <w:b/>
                <w:sz w:val="20"/>
                <w:szCs w:val="20"/>
                <w:lang w:val="fr-BE"/>
              </w:rPr>
              <w:t>2018-2019</w:t>
            </w:r>
          </w:p>
        </w:tc>
      </w:tr>
    </w:tbl>
    <w:p w:rsidR="00115C60" w:rsidRDefault="00115C60" w:rsidP="00115C60">
      <w:pPr>
        <w:spacing w:before="0" w:after="0"/>
        <w:rPr>
          <w:lang w:val="fr-BE"/>
        </w:rPr>
      </w:pPr>
    </w:p>
    <w:p w:rsidR="0056117D" w:rsidRDefault="0056117D" w:rsidP="00115C60">
      <w:pPr>
        <w:pStyle w:val="Naslov1"/>
        <w:numPr>
          <w:ilvl w:val="0"/>
          <w:numId w:val="0"/>
        </w:numPr>
        <w:spacing w:before="0" w:after="0"/>
        <w:rPr>
          <w:lang w:val="fr-BE"/>
        </w:rPr>
        <w:sectPr w:rsidR="0056117D" w:rsidSect="00AB614B">
          <w:headerReference w:type="default" r:id="rId10"/>
          <w:footerReference w:type="default" r:id="rId11"/>
          <w:pgSz w:w="16838" w:h="11906" w:orient="landscape"/>
          <w:pgMar w:top="0" w:right="567" w:bottom="0" w:left="851" w:header="0" w:footer="284" w:gutter="0"/>
          <w:cols w:space="708"/>
          <w:docGrid w:linePitch="360"/>
        </w:sectPr>
      </w:pPr>
    </w:p>
    <w:p w:rsidR="00115C60" w:rsidRDefault="0011309B" w:rsidP="00115C60">
      <w:pPr>
        <w:pStyle w:val="Naslov1"/>
        <w:numPr>
          <w:ilvl w:val="0"/>
          <w:numId w:val="0"/>
        </w:numPr>
        <w:spacing w:before="0" w:after="0"/>
        <w:rPr>
          <w:lang w:val="fr-BE"/>
        </w:rPr>
      </w:pPr>
      <w:bookmarkStart w:id="4" w:name="_Toc256000005"/>
      <w:r>
        <w:rPr>
          <w:noProof/>
          <w:lang w:val="fr-BE"/>
        </w:rPr>
        <w:lastRenderedPageBreak/>
        <w:t>ODDELEK 5: SKUPNI KAZALNIKI IN KAZALNIKI ZA POSAMEZNE PROGRAME</w:t>
      </w:r>
      <w:bookmarkEnd w:id="4"/>
    </w:p>
    <w:p w:rsidR="00115C60" w:rsidRDefault="00115C60" w:rsidP="00115C60">
      <w:pPr>
        <w:spacing w:before="0" w:after="0"/>
        <w:rPr>
          <w:lang w:val="fr-BE"/>
        </w:rPr>
      </w:pPr>
    </w:p>
    <w:p w:rsidR="00115C60" w:rsidRDefault="0011309B" w:rsidP="00115C60">
      <w:pPr>
        <w:spacing w:before="0" w:after="0"/>
        <w:rPr>
          <w:lang w:val="fr-BE"/>
        </w:rPr>
      </w:pPr>
      <w:r>
        <w:rPr>
          <w:noProof/>
          <w:lang w:val="fr-BE"/>
        </w:rPr>
        <w:t xml:space="preserve">Razložite morebitne dejavnike, ki bi lahko znatno vplivali na doseganje katerih koli </w:t>
      </w:r>
      <w:r>
        <w:rPr>
          <w:noProof/>
          <w:lang w:val="fr-BE"/>
        </w:rPr>
        <w:t>ciljev, zlasti pa prepočasen napredek.</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55A95" w:rsidTr="00003291">
        <w:tc>
          <w:tcPr>
            <w:tcW w:w="0" w:type="auto"/>
            <w:shd w:val="clear" w:color="auto" w:fill="auto"/>
          </w:tcPr>
          <w:p w:rsidR="00855A95" w:rsidRDefault="0011309B">
            <w:pPr>
              <w:spacing w:before="0" w:after="240"/>
              <w:jc w:val="left"/>
            </w:pPr>
            <w:r>
              <w:t xml:space="preserve">Aktivnosti znotraj posameznega specifičnega cilja v letnem poročilu so zgoščene in statistično pravilne ter odražajo napredek pri posameznem ukrepu. Poročane vrednosti kazalnikov temeljijo na odobrenih zahtevkih, ki </w:t>
            </w:r>
            <w:r>
              <w:t>so bili vključeni v Letne izkaze 2020. Pri poročanju prihaja do odstopanj v vrednostih, saj je bilo za večino kazalnikov določeno poročanje ob zaključku projektov. Ker se projekti zaključujejo v 2021 in 2022, bodo statistično pravilni podatki glede napredk</w:t>
            </w:r>
            <w:r>
              <w:t>a ter končne vrednosti kazalnikov prikazane v poročilih v naslednjih 2 letih. Večina vsebin se izvaja brez posebnih težav, zato v 2020 ni bilo potrebe po vzpostavitvi posebnih blažitvenih ukrepov.</w:t>
            </w:r>
          </w:p>
          <w:p w:rsidR="00855A95" w:rsidRDefault="0011309B">
            <w:pPr>
              <w:spacing w:before="240" w:after="240"/>
              <w:jc w:val="left"/>
            </w:pPr>
            <w:r>
              <w:t>V obdobju poročanja ni bilo večjih nepredvidljivih dogodkov</w:t>
            </w:r>
            <w:r>
              <w:t>, ki bi imeli ne/posreden vpliv na projekte, z izjemo prilagoditev dela aktivnosti zaradi razglašene pandemije covid-19 v Sloveniji. Projekti so se izvajali, prilagoditve so se uvedle le pri izvedbi vračanj, saj niso bile možne uporabe letalskih prevozov.</w:t>
            </w:r>
          </w:p>
          <w:p w:rsidR="00754FB5" w:rsidRPr="00003291" w:rsidRDefault="00754FB5" w:rsidP="00003291">
            <w:pPr>
              <w:spacing w:before="0" w:after="0"/>
              <w:rPr>
                <w:lang w:val="fr-BE"/>
              </w:rPr>
            </w:pPr>
          </w:p>
        </w:tc>
      </w:tr>
    </w:tbl>
    <w:p w:rsidR="00115C60" w:rsidRDefault="00115C60" w:rsidP="00115C60">
      <w:pPr>
        <w:spacing w:before="0" w:after="0"/>
        <w:rPr>
          <w:lang w:val="fr-BE"/>
        </w:rPr>
      </w:pPr>
    </w:p>
    <w:p w:rsidR="00115C60" w:rsidRDefault="00115C60" w:rsidP="00115C60">
      <w:pPr>
        <w:spacing w:before="0" w:after="0"/>
        <w:rPr>
          <w:lang w:val="fr-BE"/>
        </w:rPr>
        <w:sectPr w:rsidR="00115C60" w:rsidSect="0099233A">
          <w:headerReference w:type="default" r:id="rId12"/>
          <w:footerReference w:type="default" r:id="rId13"/>
          <w:pgSz w:w="11906" w:h="16838"/>
          <w:pgMar w:top="284" w:right="851" w:bottom="284" w:left="284" w:header="567" w:footer="0" w:gutter="0"/>
          <w:cols w:space="708"/>
          <w:docGrid w:linePitch="360"/>
        </w:sectPr>
      </w:pPr>
    </w:p>
    <w:p w:rsidR="00FC3B62" w:rsidRDefault="00115C60" w:rsidP="00115C60">
      <w:pPr>
        <w:spacing w:before="0" w:after="0"/>
        <w:rPr>
          <w:lang w:val="fr-BE"/>
        </w:rPr>
      </w:pPr>
      <w:r>
        <w:rPr>
          <w:noProof/>
          <w:lang w:val="fr-BE"/>
        </w:rPr>
        <w:lastRenderedPageBreak/>
        <w:t>Preglednica kazalnikov</w:t>
      </w:r>
    </w:p>
    <w:p w:rsidR="00813BAD" w:rsidRDefault="00813BAD"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137"/>
        <w:gridCol w:w="628"/>
        <w:gridCol w:w="852"/>
        <w:gridCol w:w="696"/>
        <w:gridCol w:w="2375"/>
        <w:gridCol w:w="354"/>
        <w:gridCol w:w="354"/>
        <w:gridCol w:w="354"/>
        <w:gridCol w:w="464"/>
        <w:gridCol w:w="464"/>
        <w:gridCol w:w="464"/>
        <w:gridCol w:w="389"/>
        <w:gridCol w:w="354"/>
        <w:gridCol w:w="354"/>
        <w:gridCol w:w="354"/>
        <w:gridCol w:w="941"/>
      </w:tblGrid>
      <w:tr w:rsidR="00855A95" w:rsidTr="00003291">
        <w:trPr>
          <w:cantSplit/>
          <w:tblHeader/>
        </w:trPr>
        <w:tc>
          <w:tcPr>
            <w:tcW w:w="0" w:type="auto"/>
            <w:gridSpan w:val="2"/>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11309B" w:rsidP="00003291">
            <w:pPr>
              <w:spacing w:before="0" w:after="0"/>
              <w:rPr>
                <w:b/>
                <w:sz w:val="12"/>
                <w:szCs w:val="12"/>
                <w:lang w:val="fr-BE"/>
              </w:rPr>
            </w:pPr>
            <w:r w:rsidRPr="00F07BE5">
              <w:rPr>
                <w:b/>
                <w:noProof/>
                <w:sz w:val="12"/>
                <w:szCs w:val="12"/>
              </w:rPr>
              <w:t>1</w:t>
            </w:r>
            <w:r w:rsidRPr="00F07BE5">
              <w:rPr>
                <w:b/>
                <w:sz w:val="12"/>
                <w:szCs w:val="12"/>
              </w:rPr>
              <w:t xml:space="preserve"> - </w:t>
            </w:r>
            <w:r w:rsidRPr="00F07BE5">
              <w:rPr>
                <w:b/>
                <w:noProof/>
                <w:sz w:val="12"/>
                <w:szCs w:val="12"/>
              </w:rPr>
              <w:t>Azil</w:t>
            </w:r>
          </w:p>
        </w:tc>
      </w:tr>
      <w:tr w:rsidR="00855A95" w:rsidTr="00003291">
        <w:trPr>
          <w:cantSplit/>
          <w:tblHeader/>
        </w:trPr>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11309B"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Kumulativno skupaj</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 xml:space="preserve">Število oseb iz </w:t>
            </w:r>
            <w:r w:rsidRPr="00F07BE5">
              <w:rPr>
                <w:noProof/>
                <w:sz w:val="12"/>
                <w:szCs w:val="12"/>
                <w:lang w:val="fr-BE"/>
              </w:rPr>
              <w:t>ciljnih skupin, ki so prejele pomoč iz projektov na področju sistemov za sprejem in azilnih sistemov, podprtih iz tega sklada</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3.000,00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5.693,00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2.923,00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7.184,00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175,00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15.975,00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Število oseb iz ciljnih skupin, ki prejemajo informacije in pomoč med celotnim azilnim postopkom</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3.340,00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583,00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4.712,00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8.635,00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 xml:space="preserve">Število oseb iz ciljnih skupin, ki prejemajo pravno pomoč in </w:t>
            </w:r>
            <w:r w:rsidRPr="00F07BE5">
              <w:rPr>
                <w:noProof/>
                <w:sz w:val="12"/>
                <w:szCs w:val="12"/>
                <w:lang w:val="fr-BE"/>
              </w:rPr>
              <w:t>zastopanje</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28,00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321,00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2.155,00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2.651,00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5.155,00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Število ranljivih oseb in mladoletnikov brez spremstva, ki prejemajo posebno pomoč</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576,00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359,00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1.222,00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19,00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2.176,00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 xml:space="preserve">Zmogljivost (tj. število mest) nove sprejemne nastanitvene infrastrukture, urejene v skladu z minimalnimi zahtevami za sprejemne pogoje, določenimi v pravnem redu EU, in obstoječe sprejemne infrastrukture, izboljšane v skladu z </w:t>
            </w:r>
            <w:r w:rsidRPr="00F07BE5">
              <w:rPr>
                <w:noProof/>
                <w:sz w:val="12"/>
                <w:szCs w:val="12"/>
                <w:lang w:val="fr-BE"/>
              </w:rPr>
              <w:t>istimi zahtevami na podlagi projektov, podprtih iz tega sklada</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420,00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projektuProject reporting on improvement of existing capacity and accompanying facilities (1 Asylum home)</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406,00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406,00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Delež glede na celotno sprejemno nastanitveno zmogljivost</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100,00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projektuProject reporting on improvement of existing capacity and accompanying facilities (1 Asylum home)</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100,00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101,00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 xml:space="preserve">Število oseb, </w:t>
            </w:r>
            <w:r w:rsidRPr="00F07BE5">
              <w:rPr>
                <w:noProof/>
                <w:sz w:val="12"/>
                <w:szCs w:val="12"/>
                <w:lang w:val="fr-BE"/>
              </w:rPr>
              <w:t>usposobljenih na področju vprašanj, povezanih z azilom, ki prejemajo pomoč iz sklada</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50,00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21,00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35,00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21,00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77,00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 xml:space="preserve">To število kot delež celotnega števila osebja, usposobljenega </w:t>
            </w:r>
            <w:r w:rsidRPr="00F07BE5">
              <w:rPr>
                <w:noProof/>
                <w:sz w:val="12"/>
                <w:szCs w:val="12"/>
                <w:lang w:val="fr-BE"/>
              </w:rPr>
              <w:t>na področju teh vprašanj</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25,00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0,70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10,70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informativnih produktov o državi izvora in misij za ugotavljanje dejstev, izvedenih s pomočjo iz sklada</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projektov, podprtih v okviru tega sklada, namenjenih razvoju, spremljanju in ocenjevanju azilnih politik v državah članicah</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C6</w:t>
            </w:r>
            <w:r w:rsidRPr="00F07BE5">
              <w:rPr>
                <w:sz w:val="12"/>
                <w:szCs w:val="12"/>
                <w:lang w:val="fr-BE"/>
              </w:rPr>
              <w:t xml:space="preserve"> - </w:t>
            </w:r>
            <w:r w:rsidRPr="00F07BE5">
              <w:rPr>
                <w:noProof/>
                <w:sz w:val="12"/>
                <w:szCs w:val="12"/>
                <w:lang w:val="fr-BE"/>
              </w:rPr>
              <w:t>Število oseb, preseljenih s podporo iz tega sklada</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60,00</w:t>
            </w:r>
          </w:p>
        </w:tc>
        <w:tc>
          <w:tcPr>
            <w:tcW w:w="0" w:type="auto"/>
          </w:tcPr>
          <w:p w:rsidR="00115C60" w:rsidRPr="003F352C" w:rsidRDefault="0011309B" w:rsidP="00003291">
            <w:pPr>
              <w:spacing w:before="0" w:after="0"/>
              <w:rPr>
                <w:sz w:val="10"/>
                <w:szCs w:val="10"/>
                <w:lang w:val="fr-BE"/>
              </w:rPr>
            </w:pPr>
            <w:r>
              <w:rPr>
                <w:noProof/>
                <w:sz w:val="10"/>
                <w:szCs w:val="10"/>
                <w:lang w:val="fr-BE"/>
              </w:rPr>
              <w:t>Organ, odgovoren za premestitev osebAuthority in charge of transferring the persons</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7210"/>
        <w:gridCol w:w="667"/>
        <w:gridCol w:w="912"/>
        <w:gridCol w:w="740"/>
        <w:gridCol w:w="1187"/>
        <w:gridCol w:w="354"/>
        <w:gridCol w:w="354"/>
        <w:gridCol w:w="464"/>
        <w:gridCol w:w="354"/>
        <w:gridCol w:w="464"/>
        <w:gridCol w:w="389"/>
        <w:gridCol w:w="389"/>
        <w:gridCol w:w="354"/>
        <w:gridCol w:w="354"/>
        <w:gridCol w:w="354"/>
        <w:gridCol w:w="988"/>
      </w:tblGrid>
      <w:tr w:rsidR="00855A95" w:rsidTr="00003291">
        <w:trPr>
          <w:cantSplit/>
          <w:tblHeader/>
        </w:trPr>
        <w:tc>
          <w:tcPr>
            <w:tcW w:w="0" w:type="auto"/>
            <w:gridSpan w:val="2"/>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11309B" w:rsidP="00003291">
            <w:pPr>
              <w:spacing w:before="0" w:after="0"/>
              <w:rPr>
                <w:b/>
                <w:sz w:val="12"/>
                <w:szCs w:val="12"/>
                <w:lang w:val="fr-BE"/>
              </w:rPr>
            </w:pPr>
            <w:r w:rsidRPr="00F07BE5">
              <w:rPr>
                <w:b/>
                <w:noProof/>
                <w:sz w:val="12"/>
                <w:szCs w:val="12"/>
              </w:rPr>
              <w:t>2</w:t>
            </w:r>
            <w:r w:rsidRPr="00F07BE5">
              <w:rPr>
                <w:b/>
                <w:sz w:val="12"/>
                <w:szCs w:val="12"/>
              </w:rPr>
              <w:t xml:space="preserve"> - </w:t>
            </w:r>
            <w:r w:rsidRPr="00F07BE5">
              <w:rPr>
                <w:b/>
                <w:noProof/>
                <w:sz w:val="12"/>
                <w:szCs w:val="12"/>
              </w:rPr>
              <w:t>Vključevanje / zakonito priseljevanje</w:t>
            </w:r>
          </w:p>
        </w:tc>
      </w:tr>
      <w:tr w:rsidR="00855A95" w:rsidTr="00003291">
        <w:trPr>
          <w:cantSplit/>
          <w:tblHeader/>
        </w:trPr>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11309B"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Kumulativno skupaj</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iz ciljnih skupin, ki so sodelovale pri</w:t>
            </w:r>
            <w:r w:rsidRPr="00F07BE5">
              <w:rPr>
                <w:noProof/>
                <w:sz w:val="12"/>
                <w:szCs w:val="12"/>
                <w:lang w:val="fr-BE"/>
              </w:rPr>
              <w:t xml:space="preserve"> ukrepih pred odhodom, podprtih iz tega sklada</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 xml:space="preserve">Število oseb iz ciljnih skupin, ki so prejele pomoč iz tega sklada prek ukrepov za vključevanje v okviru </w:t>
            </w:r>
            <w:r w:rsidRPr="00F07BE5">
              <w:rPr>
                <w:noProof/>
                <w:sz w:val="12"/>
                <w:szCs w:val="12"/>
                <w:lang w:val="fr-BE"/>
              </w:rPr>
              <w:t>nacionalnih, lokalnih in regionalnih strategij</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13.000,00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2.201,00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2.043,00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816,00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116,00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5.176,00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 xml:space="preserve">Število vzpostavljenih lokalnih, regionalnih in nacionalnih političnih okvirov / </w:t>
            </w:r>
            <w:r w:rsidRPr="00F07BE5">
              <w:rPr>
                <w:noProof/>
                <w:sz w:val="12"/>
                <w:szCs w:val="12"/>
                <w:lang w:val="fr-BE"/>
              </w:rPr>
              <w:t>ukrepov / orodij za vključevanje državljanov tretjih držav, pri katerih sodelujejo civilna družba, skupnosti migrantov in drugi zadevni deležniki, kot posledica ukrepov, podprtih iz tega sklada</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14,00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4,00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18,00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27,00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projektov sodelovanja z drugimi državami članicami glede vključevanja državljanov tretjih držav, podprtih iz tega sklada</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projektov, podprtih iz tega sklada, namenjenih razvoju, spremljanju in ocenjevanju politik vključevanja v državah članicah</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2,00</w:t>
            </w: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288"/>
        <w:gridCol w:w="809"/>
        <w:gridCol w:w="1132"/>
        <w:gridCol w:w="901"/>
        <w:gridCol w:w="1597"/>
        <w:gridCol w:w="354"/>
        <w:gridCol w:w="354"/>
        <w:gridCol w:w="389"/>
        <w:gridCol w:w="389"/>
        <w:gridCol w:w="389"/>
        <w:gridCol w:w="354"/>
        <w:gridCol w:w="354"/>
        <w:gridCol w:w="354"/>
        <w:gridCol w:w="354"/>
        <w:gridCol w:w="354"/>
        <w:gridCol w:w="1162"/>
      </w:tblGrid>
      <w:tr w:rsidR="00855A95" w:rsidTr="00003291">
        <w:trPr>
          <w:cantSplit/>
          <w:tblHeader/>
        </w:trPr>
        <w:tc>
          <w:tcPr>
            <w:tcW w:w="0" w:type="auto"/>
            <w:gridSpan w:val="2"/>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 xml:space="preserve">Posebni </w:t>
            </w:r>
            <w:r w:rsidRPr="00F07BE5">
              <w:rPr>
                <w:b/>
                <w:noProof/>
                <w:sz w:val="12"/>
                <w:szCs w:val="12"/>
                <w:lang w:val="fr-BE"/>
              </w:rPr>
              <w:t>cilj</w:t>
            </w:r>
          </w:p>
        </w:tc>
        <w:tc>
          <w:tcPr>
            <w:tcW w:w="0" w:type="auto"/>
            <w:gridSpan w:val="14"/>
            <w:shd w:val="clear" w:color="auto" w:fill="auto"/>
          </w:tcPr>
          <w:p w:rsidR="00115C60" w:rsidRPr="00F07BE5" w:rsidRDefault="0011309B" w:rsidP="00003291">
            <w:pPr>
              <w:spacing w:before="0" w:after="0"/>
              <w:rPr>
                <w:b/>
                <w:sz w:val="12"/>
                <w:szCs w:val="12"/>
                <w:lang w:val="fr-BE"/>
              </w:rPr>
            </w:pPr>
            <w:r w:rsidRPr="00F07BE5">
              <w:rPr>
                <w:b/>
                <w:noProof/>
                <w:sz w:val="12"/>
                <w:szCs w:val="12"/>
              </w:rPr>
              <w:t>3</w:t>
            </w:r>
            <w:r w:rsidRPr="00F07BE5">
              <w:rPr>
                <w:b/>
                <w:sz w:val="12"/>
                <w:szCs w:val="12"/>
              </w:rPr>
              <w:t xml:space="preserve"> - </w:t>
            </w:r>
            <w:r w:rsidRPr="00F07BE5">
              <w:rPr>
                <w:b/>
                <w:noProof/>
                <w:sz w:val="12"/>
                <w:szCs w:val="12"/>
              </w:rPr>
              <w:t>Vračanje</w:t>
            </w:r>
          </w:p>
        </w:tc>
      </w:tr>
      <w:tr w:rsidR="00855A95" w:rsidTr="00003291">
        <w:trPr>
          <w:cantSplit/>
          <w:tblHeader/>
        </w:trPr>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11309B"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Kumulativno skupaj</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usposobljenih za vprašanja v zvezi z vračanjem s podporo sklada</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150,00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49,00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4,00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53,00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povratnikov, ki so prejeli pomoč za ponovno vključevanje pred ali po vrnitvi, sofinancirano iz sklada</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500,00</w:t>
            </w:r>
          </w:p>
        </w:tc>
        <w:tc>
          <w:tcPr>
            <w:tcW w:w="0" w:type="auto"/>
          </w:tcPr>
          <w:p w:rsidR="00115C60" w:rsidRPr="003F352C" w:rsidRDefault="0011309B" w:rsidP="00003291">
            <w:pPr>
              <w:spacing w:before="0" w:after="0"/>
              <w:rPr>
                <w:sz w:val="10"/>
                <w:szCs w:val="10"/>
                <w:lang w:val="fr-BE"/>
              </w:rPr>
            </w:pPr>
            <w:r>
              <w:rPr>
                <w:noProof/>
                <w:sz w:val="10"/>
                <w:szCs w:val="10"/>
                <w:lang w:val="fr-BE"/>
              </w:rPr>
              <w:t xml:space="preserve">Poročanje o projektuProject </w:t>
            </w:r>
            <w:r>
              <w:rPr>
                <w:noProof/>
                <w:sz w:val="10"/>
                <w:szCs w:val="10"/>
                <w:lang w:val="fr-BE"/>
              </w:rPr>
              <w:t>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4,00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82,00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92,00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povratnikov, katerih vrnitev se je sofinancirala iz sklada – osebe, ki so se vrnile prostovoljno</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1.000,00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62,00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13,00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12,00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87,00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povratnikov, katerih vrnitev se je sofinancirala iz sklada – osebe, ki so bile odstranjene</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100,00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290,00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172,00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771,00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1.233,00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 xml:space="preserve">Število nadzorovanih </w:t>
            </w:r>
            <w:r w:rsidRPr="00F07BE5">
              <w:rPr>
                <w:noProof/>
                <w:sz w:val="12"/>
                <w:szCs w:val="12"/>
                <w:lang w:val="fr-BE"/>
              </w:rPr>
              <w:t>postopkov odstranitve, sofinanciranih iz sklada</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50,00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12,00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17,00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C6</w:t>
            </w:r>
            <w:r w:rsidRPr="00F07BE5">
              <w:rPr>
                <w:sz w:val="12"/>
                <w:szCs w:val="12"/>
                <w:lang w:val="fr-BE"/>
              </w:rPr>
              <w:t xml:space="preserve"> - </w:t>
            </w:r>
            <w:r w:rsidRPr="00F07BE5">
              <w:rPr>
                <w:noProof/>
                <w:sz w:val="12"/>
                <w:szCs w:val="12"/>
                <w:lang w:val="fr-BE"/>
              </w:rPr>
              <w:t xml:space="preserve">Število projektov, podprtih iz tega sklada, namenjenih razvoju, spremljanju in ocenjevanju politik </w:t>
            </w:r>
            <w:r w:rsidRPr="00F07BE5">
              <w:rPr>
                <w:noProof/>
                <w:sz w:val="12"/>
                <w:szCs w:val="12"/>
                <w:lang w:val="fr-BE"/>
              </w:rPr>
              <w:t>vračanja v državah članicah.</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5981"/>
        <w:gridCol w:w="740"/>
        <w:gridCol w:w="1025"/>
        <w:gridCol w:w="823"/>
        <w:gridCol w:w="2313"/>
        <w:gridCol w:w="354"/>
        <w:gridCol w:w="354"/>
        <w:gridCol w:w="354"/>
        <w:gridCol w:w="389"/>
        <w:gridCol w:w="354"/>
        <w:gridCol w:w="354"/>
        <w:gridCol w:w="354"/>
        <w:gridCol w:w="354"/>
        <w:gridCol w:w="354"/>
        <w:gridCol w:w="354"/>
        <w:gridCol w:w="1077"/>
      </w:tblGrid>
      <w:tr w:rsidR="00855A95" w:rsidTr="00003291">
        <w:trPr>
          <w:cantSplit/>
          <w:tblHeader/>
        </w:trPr>
        <w:tc>
          <w:tcPr>
            <w:tcW w:w="0" w:type="auto"/>
            <w:gridSpan w:val="2"/>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11309B" w:rsidP="00003291">
            <w:pPr>
              <w:spacing w:before="0" w:after="0"/>
              <w:rPr>
                <w:b/>
                <w:sz w:val="12"/>
                <w:szCs w:val="12"/>
                <w:lang w:val="fr-BE"/>
              </w:rPr>
            </w:pPr>
            <w:r w:rsidRPr="00F07BE5">
              <w:rPr>
                <w:b/>
                <w:noProof/>
                <w:sz w:val="12"/>
                <w:szCs w:val="12"/>
              </w:rPr>
              <w:t>4</w:t>
            </w:r>
            <w:r w:rsidRPr="00F07BE5">
              <w:rPr>
                <w:b/>
                <w:sz w:val="12"/>
                <w:szCs w:val="12"/>
              </w:rPr>
              <w:t xml:space="preserve"> - </w:t>
            </w:r>
            <w:r w:rsidRPr="00F07BE5">
              <w:rPr>
                <w:b/>
                <w:noProof/>
                <w:sz w:val="12"/>
                <w:szCs w:val="12"/>
              </w:rPr>
              <w:t>Solidarnost</w:t>
            </w:r>
          </w:p>
        </w:tc>
      </w:tr>
      <w:tr w:rsidR="00855A95" w:rsidTr="00003291">
        <w:trPr>
          <w:cantSplit/>
          <w:tblHeader/>
        </w:trPr>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11309B"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11309B"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11309B" w:rsidP="00003291">
            <w:pPr>
              <w:spacing w:before="0" w:after="0"/>
              <w:rPr>
                <w:b/>
                <w:sz w:val="12"/>
                <w:szCs w:val="12"/>
                <w:lang w:val="fr-BE"/>
              </w:rPr>
            </w:pPr>
            <w:r w:rsidRPr="00F07BE5">
              <w:rPr>
                <w:b/>
                <w:noProof/>
                <w:sz w:val="12"/>
                <w:szCs w:val="12"/>
                <w:lang w:val="fr-BE"/>
              </w:rPr>
              <w:t>Kumulativno skupaj</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prosilcev, predanih iz ene države članice v drugo s podporo iz tega sklada</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253,00</w:t>
            </w:r>
          </w:p>
        </w:tc>
        <w:tc>
          <w:tcPr>
            <w:tcW w:w="0" w:type="auto"/>
          </w:tcPr>
          <w:p w:rsidR="00115C60" w:rsidRPr="003F352C" w:rsidRDefault="0011309B" w:rsidP="00003291">
            <w:pPr>
              <w:spacing w:before="0" w:after="0"/>
              <w:rPr>
                <w:sz w:val="10"/>
                <w:szCs w:val="10"/>
                <w:lang w:val="fr-BE"/>
              </w:rPr>
            </w:pPr>
            <w:r>
              <w:rPr>
                <w:noProof/>
                <w:sz w:val="10"/>
                <w:szCs w:val="10"/>
                <w:lang w:val="fr-BE"/>
              </w:rPr>
              <w:t>Organ, odgovoren za premestitevAuthority in charge of relocation</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217,00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13,00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230,00</w:t>
            </w:r>
          </w:p>
        </w:tc>
      </w:tr>
      <w:tr w:rsidR="00855A95" w:rsidTr="00003291">
        <w:trPr>
          <w:cantSplit/>
        </w:trPr>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projektov sodelovanja z drugimi državami članicami za večjo solidarnost in delitev odgovornosti med državami članicami, podprtih iz tega sklada</w:t>
            </w:r>
          </w:p>
        </w:tc>
        <w:tc>
          <w:tcPr>
            <w:tcW w:w="0" w:type="auto"/>
            <w:shd w:val="clear" w:color="auto" w:fill="auto"/>
          </w:tcPr>
          <w:p w:rsidR="00115C60" w:rsidRPr="00F07BE5" w:rsidRDefault="0011309B"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11309B"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309B" w:rsidP="00003291">
            <w:pPr>
              <w:spacing w:before="0" w:after="0"/>
              <w:jc w:val="right"/>
              <w:rPr>
                <w:sz w:val="10"/>
                <w:szCs w:val="10"/>
                <w:lang w:val="fr-BE"/>
              </w:rPr>
            </w:pPr>
            <w:r w:rsidRPr="003F352C">
              <w:rPr>
                <w:noProof/>
                <w:sz w:val="10"/>
                <w:szCs w:val="10"/>
                <w:lang w:val="fr-BE"/>
              </w:rPr>
              <w:t>0,00</w:t>
            </w:r>
          </w:p>
        </w:tc>
      </w:tr>
    </w:tbl>
    <w:p w:rsidR="00115C60" w:rsidRDefault="00115C60" w:rsidP="00115C60">
      <w:pPr>
        <w:spacing w:before="0" w:after="0"/>
        <w:rPr>
          <w:lang w:val="fr-BE"/>
        </w:rPr>
      </w:pPr>
    </w:p>
    <w:p w:rsidR="00115C60" w:rsidRDefault="00115C60" w:rsidP="00115C60">
      <w:pPr>
        <w:pStyle w:val="Naslov1"/>
        <w:numPr>
          <w:ilvl w:val="0"/>
          <w:numId w:val="0"/>
        </w:numPr>
        <w:spacing w:before="0" w:after="0"/>
        <w:rPr>
          <w:lang w:val="fr-BE"/>
        </w:rPr>
        <w:sectPr w:rsidR="00115C60" w:rsidSect="00F9131C">
          <w:headerReference w:type="default" r:id="rId14"/>
          <w:footerReference w:type="default" r:id="rId15"/>
          <w:pgSz w:w="16838" w:h="11906" w:orient="landscape"/>
          <w:pgMar w:top="0" w:right="567" w:bottom="0" w:left="851" w:header="0" w:footer="284" w:gutter="0"/>
          <w:cols w:space="708"/>
          <w:docGrid w:linePitch="360"/>
        </w:sectPr>
      </w:pPr>
    </w:p>
    <w:p w:rsidR="00115C60" w:rsidRDefault="0011309B" w:rsidP="00115C60">
      <w:pPr>
        <w:pStyle w:val="Naslov1"/>
        <w:numPr>
          <w:ilvl w:val="0"/>
          <w:numId w:val="0"/>
        </w:numPr>
        <w:spacing w:before="0" w:after="0"/>
        <w:rPr>
          <w:lang w:val="fr-BE"/>
        </w:rPr>
      </w:pPr>
      <w:bookmarkStart w:id="5" w:name="_Toc256000006"/>
      <w:r>
        <w:rPr>
          <w:noProof/>
          <w:lang w:val="fr-BE"/>
        </w:rPr>
        <w:lastRenderedPageBreak/>
        <w:t>ODDELEK 6: OKVIR ZA PRIPRAVO IN IZVAJANJE PROGRAMA S STRANI DRŽAVE ČLANICE</w:t>
      </w:r>
      <w:bookmarkEnd w:id="5"/>
    </w:p>
    <w:p w:rsidR="00115C60" w:rsidRDefault="00115C60" w:rsidP="00115C60">
      <w:pPr>
        <w:pStyle w:val="Text1"/>
        <w:spacing w:before="0" w:after="0"/>
        <w:ind w:left="0"/>
        <w:rPr>
          <w:lang w:val="fr-BE"/>
        </w:rPr>
      </w:pPr>
    </w:p>
    <w:p w:rsidR="00115C60" w:rsidRDefault="0011309B" w:rsidP="00115C60">
      <w:pPr>
        <w:pStyle w:val="Naslov2"/>
        <w:numPr>
          <w:ilvl w:val="0"/>
          <w:numId w:val="0"/>
        </w:numPr>
        <w:spacing w:before="0" w:after="0"/>
        <w:rPr>
          <w:lang w:val="fr-BE"/>
        </w:rPr>
      </w:pPr>
      <w:bookmarkStart w:id="6" w:name="_Toc256000007"/>
      <w:r>
        <w:rPr>
          <w:noProof/>
          <w:lang w:val="fr-BE"/>
        </w:rPr>
        <w:t>6.1 Odbor za spremljanje (člen 12(4) Uredbe (EU) št. 514/2014)</w:t>
      </w:r>
      <w:bookmarkEnd w:id="6"/>
    </w:p>
    <w:p w:rsidR="00115C60" w:rsidRDefault="00115C60" w:rsidP="00115C60">
      <w:pPr>
        <w:pStyle w:val="Text1"/>
        <w:spacing w:before="0" w:after="0"/>
        <w:ind w:left="0"/>
        <w:rPr>
          <w:lang w:val="fr-BE"/>
        </w:rPr>
      </w:pPr>
    </w:p>
    <w:p w:rsidR="00115C60" w:rsidRDefault="0011309B" w:rsidP="00115C60">
      <w:pPr>
        <w:pStyle w:val="Text1"/>
        <w:spacing w:before="0" w:after="0"/>
        <w:ind w:left="0"/>
        <w:rPr>
          <w:lang w:val="fr-BE"/>
        </w:rPr>
      </w:pPr>
      <w:r>
        <w:rPr>
          <w:noProof/>
          <w:lang w:val="fr-BE"/>
        </w:rPr>
        <w:t xml:space="preserve">Navedite glavne odločitve odbora za spremljanje </w:t>
      </w:r>
      <w:r>
        <w:rPr>
          <w:noProof/>
          <w:lang w:val="fr-BE"/>
        </w:rPr>
        <w:t>in vprašanja, ki jih ta še obravnava.</w:t>
      </w:r>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855A95" w:rsidTr="00003291">
        <w:tc>
          <w:tcPr>
            <w:tcW w:w="15420" w:type="dxa"/>
            <w:shd w:val="clear" w:color="auto" w:fill="auto"/>
          </w:tcPr>
          <w:p w:rsidR="00855A95" w:rsidRDefault="0011309B">
            <w:pPr>
              <w:spacing w:before="0" w:after="240"/>
              <w:jc w:val="left"/>
            </w:pPr>
            <w:r>
              <w:t>Nadzorni odbor za spremljanje skladov s področja notranje varnosti in migracij (NO) sestavljajo predstavniki Ministrstva za notranje zadeve, Ministrstva za javno upravo, Ministrstva za notranje zadeve - Policija, Mini</w:t>
            </w:r>
            <w:r>
              <w:t>strstva za zunanje zadeve, Ministrstva za izobraževanje, znanost in šport, Ministrstva za kulturo, Ministrstva za delo, družino, socialne zadeve in enake možnosti, Službe Vlade Republike Slovenije za razvoj in evropsko kohezijsko politiko, Ministrstva za o</w:t>
            </w:r>
            <w:r>
              <w:t>brambo, Ministrstva za zdravje, Urada Vlade RS za oskrbo in integracijo migrantov. Predstavniki Ministrstva za finance (Sektor za upravljanje s sredstvi EU/PO) so v vlogi pooblaščenega organa. V vlogi opazovalcev pa predstavniki Ministrstva za finance (Ura</w:t>
            </w:r>
            <w:r>
              <w:t>d RS za nadzor proračuna), Službe za notranjo revizijo Ministrstva za notranje zadeve in predstavnik Evropske komisije. Za zagotavljanje izvajanja t.i. načela partnerstva je v NO imenovan tudi predstavnik nevladnih organizacij.</w:t>
            </w:r>
          </w:p>
          <w:p w:rsidR="00855A95" w:rsidRDefault="0011309B">
            <w:pPr>
              <w:spacing w:before="240" w:after="240"/>
              <w:jc w:val="left"/>
            </w:pPr>
            <w:r>
              <w:t>Ključne naloge NO so opredel</w:t>
            </w:r>
            <w:r>
              <w:t>jene s Poslovnikom (http://www.mnz.gov.si/si/o_ministrstvu/crpanje_evropskih_sredstev/sklad_za_notranjo_varnost_in_sklad_za_azil_migracije_in_vkljucevanje_2014_2020/prirocniki_pravilniki_in_navodila/).</w:t>
            </w:r>
          </w:p>
          <w:p w:rsidR="00855A95" w:rsidRDefault="0011309B">
            <w:pPr>
              <w:spacing w:before="240" w:after="240"/>
              <w:jc w:val="left"/>
            </w:pPr>
            <w:r>
              <w:t>NO je v 2020 zaradi COVID-19 razmer zasedal le v okvir</w:t>
            </w:r>
            <w:r>
              <w:t>u ene korespondenčne seje (sklicana je bila 16. 7. 2020 in zaključena 4. 8. 2020). Obravnavano je bilo: </w:t>
            </w:r>
          </w:p>
          <w:p w:rsidR="00855A95" w:rsidRDefault="0011309B">
            <w:pPr>
              <w:numPr>
                <w:ilvl w:val="0"/>
                <w:numId w:val="37"/>
              </w:numPr>
              <w:spacing w:before="240" w:after="0"/>
              <w:ind w:hanging="210"/>
              <w:jc w:val="left"/>
            </w:pPr>
            <w:r>
              <w:t>Spremembe Priročnika za izvajanje Sklada za azil, migracije in vključevanje ter Sklada za notranjo varnost (različica 1.4);</w:t>
            </w:r>
          </w:p>
          <w:p w:rsidR="00855A95" w:rsidRDefault="0011309B">
            <w:pPr>
              <w:numPr>
                <w:ilvl w:val="0"/>
                <w:numId w:val="37"/>
              </w:numPr>
              <w:spacing w:before="0" w:after="0"/>
              <w:ind w:hanging="210"/>
              <w:jc w:val="left"/>
            </w:pPr>
            <w:r>
              <w:t>Spremembe obstoječih prilog</w:t>
            </w:r>
            <w:r>
              <w:t xml:space="preserve"> Priročnika za izvajanje Sklada za azil, migracije in vključevanje ter Sklada za notranjo varnost;</w:t>
            </w:r>
          </w:p>
          <w:p w:rsidR="00855A95" w:rsidRDefault="0011309B">
            <w:pPr>
              <w:numPr>
                <w:ilvl w:val="0"/>
                <w:numId w:val="37"/>
              </w:numPr>
              <w:spacing w:before="0" w:after="0"/>
              <w:ind w:hanging="210"/>
              <w:jc w:val="left"/>
            </w:pPr>
            <w:r>
              <w:t>Nove priloge Priročnika za izvajanje Sklada za azil, migracije in vključevanje ter Sklada za notranjo varnost;</w:t>
            </w:r>
          </w:p>
          <w:p w:rsidR="00855A95" w:rsidRDefault="0011309B">
            <w:pPr>
              <w:numPr>
                <w:ilvl w:val="0"/>
                <w:numId w:val="37"/>
              </w:numPr>
              <w:spacing w:before="0" w:after="0"/>
              <w:ind w:hanging="210"/>
              <w:jc w:val="left"/>
            </w:pPr>
            <w:r>
              <w:t>Akcijski načrt za črpanje sredstev Sklada za a</w:t>
            </w:r>
            <w:r>
              <w:t>zil, migracije in vključevanje ter Sklada za notranjo varnost (različica 1.6);</w:t>
            </w:r>
          </w:p>
          <w:p w:rsidR="00855A95" w:rsidRDefault="0011309B">
            <w:pPr>
              <w:numPr>
                <w:ilvl w:val="0"/>
                <w:numId w:val="37"/>
              </w:numPr>
              <w:spacing w:before="0" w:after="0"/>
              <w:ind w:hanging="210"/>
              <w:jc w:val="left"/>
            </w:pPr>
            <w:r>
              <w:t>Poslovnik Nadzornega odbora za spremljanje skladov s področja notranje varnosti in migracij;</w:t>
            </w:r>
          </w:p>
          <w:p w:rsidR="00855A95" w:rsidRDefault="0011309B">
            <w:pPr>
              <w:numPr>
                <w:ilvl w:val="0"/>
                <w:numId w:val="37"/>
              </w:numPr>
              <w:spacing w:before="0" w:after="240"/>
              <w:ind w:hanging="210"/>
              <w:jc w:val="left"/>
            </w:pPr>
            <w:r>
              <w:t>Informacija o razpoložljivih sredstvih nove finančne perspektive.</w:t>
            </w:r>
          </w:p>
          <w:p w:rsidR="00855A95" w:rsidRDefault="0011309B">
            <w:pPr>
              <w:spacing w:before="240" w:after="240"/>
              <w:jc w:val="left"/>
            </w:pPr>
            <w:r>
              <w:t xml:space="preserve">Odgovorni organ </w:t>
            </w:r>
            <w:r>
              <w:t>je pripravil različice dokumentov, ki vključujejo spremembe, poenostavitve in izboljšave, ki so se pokazale pri upravnem nadzoru zahtevkov za povračilo in vključujejo tudi priporočila opravljenih revizij UNP in KKS.</w:t>
            </w:r>
          </w:p>
          <w:p w:rsidR="00855A95" w:rsidRDefault="0011309B">
            <w:pPr>
              <w:spacing w:before="240" w:after="240"/>
              <w:jc w:val="left"/>
            </w:pPr>
            <w:r>
              <w:t>Programa AMIF in ISF pripravlja Služba z</w:t>
            </w:r>
            <w:r>
              <w:t>a evropska sredstva MNZ, ki načelo partnerstva udejanja preko sodelovanja z državnimi resorji, službami in predstavniki civilne družbe, na način, da se obravnavajo vsi dani predlogi glede izboljšav, izvajanja in spremljanja programov preko MDS in NO. Dobra</w:t>
            </w:r>
            <w:r>
              <w:t xml:space="preserve"> praksa sodelovanja predstavnika civilne družbe na sejah NO se bo izvajala tudi v prihodnje. </w:t>
            </w:r>
          </w:p>
          <w:p w:rsidR="00855A95" w:rsidRDefault="0011309B">
            <w:pPr>
              <w:spacing w:before="240" w:after="240"/>
              <w:jc w:val="left"/>
            </w:pPr>
            <w:r>
              <w:t> </w:t>
            </w:r>
          </w:p>
          <w:p w:rsidR="004B5B5F" w:rsidRPr="00003291" w:rsidRDefault="004B5B5F" w:rsidP="00003291">
            <w:pPr>
              <w:pStyle w:val="Text1"/>
              <w:spacing w:before="0" w:after="0"/>
              <w:ind w:left="0"/>
              <w:rPr>
                <w:lang w:val="fr-BE"/>
              </w:rPr>
            </w:pPr>
          </w:p>
        </w:tc>
      </w:tr>
    </w:tbl>
    <w:p w:rsidR="004B5B5F" w:rsidRDefault="004B5B5F" w:rsidP="00115C60">
      <w:pPr>
        <w:pStyle w:val="Text1"/>
        <w:spacing w:before="0" w:after="0"/>
        <w:ind w:left="0"/>
        <w:rPr>
          <w:lang w:val="fr-BE"/>
        </w:rPr>
      </w:pPr>
    </w:p>
    <w:p w:rsidR="00115C60" w:rsidRDefault="0011309B" w:rsidP="00115C60">
      <w:pPr>
        <w:pStyle w:val="Naslov2"/>
        <w:numPr>
          <w:ilvl w:val="0"/>
          <w:numId w:val="0"/>
        </w:numPr>
        <w:spacing w:before="0" w:after="0"/>
        <w:rPr>
          <w:lang w:val="fr-BE"/>
        </w:rPr>
      </w:pPr>
      <w:r>
        <w:rPr>
          <w:lang w:val="fr-BE"/>
        </w:rPr>
        <w:br w:type="page"/>
      </w:r>
      <w:bookmarkStart w:id="7" w:name="_Toc256000008"/>
      <w:r>
        <w:rPr>
          <w:noProof/>
          <w:lang w:val="fr-BE"/>
        </w:rPr>
        <w:lastRenderedPageBreak/>
        <w:t>6.2 Skupni okvir za spremljanje in vrednotenje (člen 14(2)(f) Uredbe (EU) št. 514/2014)</w:t>
      </w:r>
      <w:bookmarkEnd w:id="7"/>
    </w:p>
    <w:p w:rsidR="00115C60" w:rsidRDefault="00115C60" w:rsidP="00115C60">
      <w:pPr>
        <w:pStyle w:val="Text1"/>
        <w:spacing w:before="0" w:after="0"/>
        <w:ind w:left="0"/>
        <w:rPr>
          <w:lang w:val="fr-BE"/>
        </w:rPr>
      </w:pPr>
    </w:p>
    <w:p w:rsidR="00115C60" w:rsidRDefault="0011309B" w:rsidP="00115C60">
      <w:pPr>
        <w:pStyle w:val="Naslov2"/>
        <w:numPr>
          <w:ilvl w:val="0"/>
          <w:numId w:val="0"/>
        </w:numPr>
        <w:spacing w:before="0" w:after="0"/>
        <w:rPr>
          <w:lang w:val="fr-BE"/>
        </w:rPr>
      </w:pPr>
      <w:bookmarkStart w:id="8" w:name="_Toc256000009"/>
      <w:r>
        <w:rPr>
          <w:noProof/>
          <w:lang w:val="fr-BE"/>
        </w:rPr>
        <w:t xml:space="preserve">Ukrepi spremljanja in vrednotenja, ki jih sprejme pristojni organ, </w:t>
      </w:r>
      <w:r>
        <w:rPr>
          <w:noProof/>
          <w:lang w:val="fr-BE"/>
        </w:rPr>
        <w:t>vključno z ureditvijo zbiranja podatkov, dejavnostmi vrednotenja, ugotovljenimi težavami ter ukrepi za njihovo odpravo.</w:t>
      </w:r>
      <w:bookmarkEnd w:id="8"/>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855A95" w:rsidTr="00003291">
        <w:tc>
          <w:tcPr>
            <w:tcW w:w="15420" w:type="dxa"/>
            <w:shd w:val="clear" w:color="auto" w:fill="auto"/>
          </w:tcPr>
          <w:p w:rsidR="00855A95" w:rsidRDefault="0011309B">
            <w:pPr>
              <w:spacing w:before="0" w:after="240"/>
              <w:jc w:val="left"/>
            </w:pPr>
            <w:r>
              <w:t xml:space="preserve">Za spremljanje in finančno upravljanje se uporablja aplikacijo - elektronski sistem za upravljanje skladov AMIF in ISF - MIGRA II. </w:t>
            </w:r>
            <w:r>
              <w:t>Spremljanje programov AMIF in ISF teče v okviru MIGRA II na podlagi podatkov zahtevkov za povračilo (ZzP) in izvedbe kontrol na kraju samem. OO v okviru upravnega nadzora pregleda finančna in vsebinska poročila končnih upravičencev o okviru posredovanih Zz</w:t>
            </w:r>
            <w:r>
              <w:t>P-jev v okviru MIGRA II in v skladu s Priročnikom za izvajanje AMIF in ISF ter drugimi programskimi dokumenti OO. Izvedba 100% administrativne in finančne kontrole popolnosti, pravilnosti in upravičenosti ZzP zajema:</w:t>
            </w:r>
          </w:p>
          <w:p w:rsidR="00855A95" w:rsidRDefault="0011309B">
            <w:pPr>
              <w:numPr>
                <w:ilvl w:val="0"/>
                <w:numId w:val="38"/>
              </w:numPr>
              <w:spacing w:before="240" w:after="0"/>
              <w:ind w:hanging="210"/>
              <w:jc w:val="left"/>
            </w:pPr>
            <w:r>
              <w:t>preverjanje formalne pravilnosti in toč</w:t>
            </w:r>
            <w:r>
              <w:t>nost finančnih izjav, </w:t>
            </w:r>
          </w:p>
          <w:p w:rsidR="00855A95" w:rsidRDefault="0011309B">
            <w:pPr>
              <w:numPr>
                <w:ilvl w:val="0"/>
                <w:numId w:val="38"/>
              </w:numPr>
              <w:spacing w:before="0" w:after="0"/>
              <w:ind w:hanging="210"/>
              <w:jc w:val="left"/>
            </w:pPr>
            <w:r>
              <w:t>ali projekt dosega zastavljene cilje oz. viden napredek,</w:t>
            </w:r>
          </w:p>
          <w:p w:rsidR="00855A95" w:rsidRDefault="0011309B">
            <w:pPr>
              <w:numPr>
                <w:ilvl w:val="0"/>
                <w:numId w:val="38"/>
              </w:numPr>
              <w:spacing w:before="0" w:after="240"/>
              <w:ind w:hanging="210"/>
              <w:jc w:val="left"/>
            </w:pPr>
            <w:r>
              <w:t>analitični pregled za oceno relevantnosti prijavljenih izdatkov v finančnih izjavah in njihove skladnosti s pogodbo o financiranju programa/projekta, odločitvi o podpori oz. sk</w:t>
            </w:r>
            <w:r>
              <w:t>lepu o financiranju tehnične pomoči, pravili upravičenosti ter z drugimi veljavnimi pravili EU in nacionalnimi pravili.</w:t>
            </w:r>
          </w:p>
          <w:p w:rsidR="00855A95" w:rsidRDefault="0011309B">
            <w:pPr>
              <w:spacing w:before="240" w:after="240"/>
              <w:jc w:val="left"/>
            </w:pPr>
            <w:r>
              <w:t>OO izvaja dve vrsti kontrol na kraju samem (lahko so tudi nenapovedane), in sicer:</w:t>
            </w:r>
          </w:p>
          <w:p w:rsidR="00855A95" w:rsidRDefault="0011309B">
            <w:pPr>
              <w:numPr>
                <w:ilvl w:val="0"/>
                <w:numId w:val="39"/>
              </w:numPr>
              <w:spacing w:before="240" w:after="0"/>
              <w:ind w:hanging="210"/>
              <w:jc w:val="left"/>
            </w:pPr>
            <w:r>
              <w:t>finančne kontrole na kraju samem ter</w:t>
            </w:r>
          </w:p>
          <w:p w:rsidR="00855A95" w:rsidRDefault="0011309B">
            <w:pPr>
              <w:numPr>
                <w:ilvl w:val="0"/>
                <w:numId w:val="39"/>
              </w:numPr>
              <w:spacing w:before="0" w:after="240"/>
              <w:ind w:hanging="210"/>
              <w:jc w:val="left"/>
            </w:pPr>
            <w:r>
              <w:t>operativne kontr</w:t>
            </w:r>
            <w:r>
              <w:t>ole na kraju samem.</w:t>
            </w:r>
          </w:p>
          <w:p w:rsidR="00855A95" w:rsidRDefault="0011309B">
            <w:pPr>
              <w:spacing w:before="240" w:after="240"/>
              <w:jc w:val="left"/>
            </w:pPr>
            <w:r>
              <w:t>Kontrole na kraju samem se izvaja na podlagi načrta, ki ga OO pripravi na podlagi analize tveganja v skladu z metodologijo in naključnega izbora. Slednji dopolnjuje analizo tveganja na način, da načrt upošteva tudi ustrezno razmerje vrs</w:t>
            </w:r>
            <w:r>
              <w:t>t in velikosti projektov, transakcij, upravičencev in izvajalskih teles, ki se pojavljajo pri izvajanju skladov.</w:t>
            </w:r>
          </w:p>
          <w:p w:rsidR="00855A95" w:rsidRDefault="0011309B">
            <w:pPr>
              <w:spacing w:before="240" w:after="240"/>
              <w:jc w:val="left"/>
            </w:pPr>
            <w:r>
              <w:t>OO je v letu 2020 v okviru spremljanja izvajanja projektov AMIF in ISF pri kontroli na kraju samem preverjal, ali se projekti izvajajo v skladu</w:t>
            </w:r>
            <w:r>
              <w:t xml:space="preserve"> z odločitvijo o podpori, napredek projektov, zanesljivost kazalnikov in morebitne težave pri izvajanju. Poleg tega se je preverjalo:</w:t>
            </w:r>
          </w:p>
          <w:p w:rsidR="00855A95" w:rsidRDefault="0011309B">
            <w:pPr>
              <w:numPr>
                <w:ilvl w:val="0"/>
                <w:numId w:val="40"/>
              </w:numPr>
              <w:spacing w:before="240" w:after="0"/>
              <w:ind w:hanging="210"/>
              <w:jc w:val="left"/>
            </w:pPr>
            <w:r>
              <w:t>ali so končni upravičenci razumeli pravila upravičenosti,</w:t>
            </w:r>
          </w:p>
          <w:p w:rsidR="00855A95" w:rsidRDefault="0011309B">
            <w:pPr>
              <w:numPr>
                <w:ilvl w:val="0"/>
                <w:numId w:val="40"/>
              </w:numPr>
              <w:spacing w:before="0" w:after="0"/>
              <w:ind w:hanging="210"/>
              <w:jc w:val="left"/>
            </w:pPr>
            <w:r>
              <w:t xml:space="preserve">ali imajo vzpostavljeno ustrezno metodologijo, s katero </w:t>
            </w:r>
            <w:r>
              <w:t>zagotavljajo ustrezno ciljno skupino,</w:t>
            </w:r>
          </w:p>
          <w:p w:rsidR="00855A95" w:rsidRDefault="0011309B">
            <w:pPr>
              <w:numPr>
                <w:ilvl w:val="0"/>
                <w:numId w:val="40"/>
              </w:numPr>
              <w:spacing w:before="0" w:after="0"/>
              <w:ind w:hanging="210"/>
              <w:jc w:val="left"/>
            </w:pPr>
            <w:r>
              <w:t>ali beležijo ustrezne kazalnike v pravem času,</w:t>
            </w:r>
          </w:p>
          <w:p w:rsidR="00855A95" w:rsidRDefault="0011309B">
            <w:pPr>
              <w:numPr>
                <w:ilvl w:val="0"/>
                <w:numId w:val="40"/>
              </w:numPr>
              <w:spacing w:before="0" w:after="0"/>
              <w:ind w:hanging="210"/>
              <w:jc w:val="left"/>
            </w:pPr>
            <w:r>
              <w:t>ali izvajajo določbe vezane na informiranje in obveščanje ter</w:t>
            </w:r>
          </w:p>
          <w:p w:rsidR="00855A95" w:rsidRDefault="0011309B">
            <w:pPr>
              <w:numPr>
                <w:ilvl w:val="0"/>
                <w:numId w:val="40"/>
              </w:numPr>
              <w:spacing w:before="0" w:after="240"/>
              <w:ind w:hanging="210"/>
              <w:jc w:val="left"/>
            </w:pPr>
            <w:r>
              <w:t>ali dejansko uporabljajo blago, ki je bilo nabavljeno glede na izkazane izdatke.</w:t>
            </w:r>
          </w:p>
          <w:p w:rsidR="00855A95" w:rsidRDefault="0011309B">
            <w:pPr>
              <w:spacing w:before="240" w:after="240"/>
              <w:jc w:val="left"/>
            </w:pPr>
            <w:r>
              <w:t>OO o vsebinskih in finančnih</w:t>
            </w:r>
            <w:r>
              <w:t xml:space="preserve"> elementih programov AMIF in ISF redno poroča MDS in NO, v obeh telesih so v skladu z načelom partnerstva zastopana vsa ministrstva/resorji, ki pri črpanju sredstev iz AMIF in ISF sodelujejo kot pristojni organi MCS (»Management and Control System«) in NVO</w:t>
            </w:r>
            <w:r>
              <w:t xml:space="preserve"> preko izbranega predstavnika. OO vse zaznane pomanjkljivosti oz. novosti aplicira v strateških dokumentih, kateri so navedeni pod rubriko 6.1. in so dosegljivi preko spletne strani: http://www.mnz.gov.si/si/o_ministrstvu/crpanje_evropskih_sredstev/sklad_z</w:t>
            </w:r>
            <w:r>
              <w:t>a_notranjo_varnost_in_sklad_za_azil_migracije_in_vkljucevanje_2014_2020/prirocniki_pravilniki_in_navodila/</w:t>
            </w:r>
          </w:p>
          <w:p w:rsidR="00855A95" w:rsidRDefault="0011309B">
            <w:pPr>
              <w:spacing w:before="240" w:after="240"/>
              <w:jc w:val="left"/>
            </w:pPr>
            <w:r>
              <w:t>OO sodeluje tudi v postopkih izvajanja revizij s strani RO. Naloga OO, po zaključeni reviziji je, da izvede priporočila RO.</w:t>
            </w:r>
          </w:p>
          <w:p w:rsidR="00855A95" w:rsidRDefault="0011309B">
            <w:pPr>
              <w:spacing w:before="240" w:after="240"/>
              <w:jc w:val="left"/>
            </w:pPr>
            <w:r>
              <w:t>Prav tako OO aktivno delu</w:t>
            </w:r>
            <w:r>
              <w:t>je v okviru monitoringov s strani EK ter predlagane usmeritve aplicira na sistemski okvir izvajanja skladov AMIF in ISF.</w:t>
            </w:r>
          </w:p>
          <w:p w:rsidR="00855A95" w:rsidRDefault="0011309B">
            <w:pPr>
              <w:spacing w:before="240" w:after="240"/>
              <w:jc w:val="left"/>
            </w:pPr>
            <w:r>
              <w:lastRenderedPageBreak/>
              <w:t> </w:t>
            </w:r>
          </w:p>
          <w:p w:rsidR="004B5B5F" w:rsidRPr="00003291" w:rsidRDefault="004B5B5F" w:rsidP="00003291">
            <w:pPr>
              <w:pStyle w:val="Text1"/>
              <w:spacing w:before="0" w:after="0"/>
              <w:ind w:left="0"/>
              <w:rPr>
                <w:lang w:val="fr-BE"/>
              </w:rPr>
            </w:pPr>
          </w:p>
        </w:tc>
      </w:tr>
    </w:tbl>
    <w:p w:rsidR="00115C60" w:rsidRPr="00E30D80" w:rsidRDefault="00115C60" w:rsidP="00115C60">
      <w:pPr>
        <w:pStyle w:val="Text1"/>
        <w:spacing w:before="0" w:after="0"/>
        <w:ind w:left="0"/>
        <w:rPr>
          <w:lang w:val="fr-BE"/>
        </w:rPr>
      </w:pPr>
    </w:p>
    <w:p w:rsidR="00115C60" w:rsidRDefault="0011309B" w:rsidP="00115C60">
      <w:pPr>
        <w:pStyle w:val="Naslov2"/>
        <w:numPr>
          <w:ilvl w:val="0"/>
          <w:numId w:val="0"/>
        </w:numPr>
        <w:spacing w:before="0" w:after="0"/>
        <w:rPr>
          <w:lang w:val="fr-BE"/>
        </w:rPr>
      </w:pPr>
      <w:r>
        <w:rPr>
          <w:lang w:val="fr-BE"/>
        </w:rPr>
        <w:br w:type="page"/>
      </w:r>
      <w:bookmarkStart w:id="9" w:name="_Toc256000010"/>
      <w:r>
        <w:rPr>
          <w:noProof/>
          <w:lang w:val="fr-BE"/>
        </w:rPr>
        <w:lastRenderedPageBreak/>
        <w:t>6.3 Partnersko sodelovanje pri izvajanju, spremljanju in vrednotenju nacionalnega programa (člen 12(3) Uredbe (EU) št. 514/2014)</w:t>
      </w:r>
      <w:bookmarkEnd w:id="9"/>
    </w:p>
    <w:p w:rsidR="00115C60" w:rsidRDefault="00115C60" w:rsidP="00115C60">
      <w:pPr>
        <w:pStyle w:val="Text1"/>
        <w:spacing w:before="0" w:after="0"/>
        <w:ind w:left="0"/>
        <w:rPr>
          <w:lang w:val="fr-BE"/>
        </w:rPr>
      </w:pPr>
    </w:p>
    <w:p w:rsidR="00115C60" w:rsidRDefault="0011309B" w:rsidP="00115C60">
      <w:pPr>
        <w:pStyle w:val="Naslov2"/>
        <w:numPr>
          <w:ilvl w:val="0"/>
          <w:numId w:val="0"/>
        </w:numPr>
        <w:spacing w:before="0" w:after="0"/>
        <w:rPr>
          <w:lang w:val="fr-BE"/>
        </w:rPr>
      </w:pPr>
      <w:bookmarkStart w:id="10" w:name="_Toc256000011"/>
      <w:r>
        <w:rPr>
          <w:noProof/>
          <w:lang w:val="fr-BE"/>
        </w:rPr>
        <w:t>Na kratko opišite glavne prispevke in mnenja partnerjev v proračunskem letu.</w:t>
      </w:r>
      <w:bookmarkEnd w:id="10"/>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855A95" w:rsidTr="00003291">
        <w:tc>
          <w:tcPr>
            <w:tcW w:w="15420" w:type="dxa"/>
            <w:shd w:val="clear" w:color="auto" w:fill="auto"/>
          </w:tcPr>
          <w:p w:rsidR="00855A95" w:rsidRDefault="0011309B">
            <w:pPr>
              <w:spacing w:before="0" w:after="240"/>
              <w:jc w:val="left"/>
            </w:pPr>
            <w:r>
              <w:t>Za pripravo Nacionalnih programov skladov AMIF in ISF je zadolžena Projektna enota za sklade notranje varnosti in migracije znotraj Službe za evropska sredstva Ministrstva za no</w:t>
            </w:r>
            <w:r>
              <w:t>tranje zadeve (MNZ SES PESNVM).</w:t>
            </w:r>
          </w:p>
          <w:p w:rsidR="00855A95" w:rsidRDefault="0011309B">
            <w:pPr>
              <w:spacing w:before="240" w:after="240"/>
              <w:jc w:val="left"/>
            </w:pPr>
            <w:r>
              <w:t>- Ves čas </w:t>
            </w:r>
            <w:r>
              <w:rPr>
                <w:u w:val="single"/>
              </w:rPr>
              <w:t>priprave </w:t>
            </w:r>
            <w:r>
              <w:t>NP je MNZ-SES-PESNVM sledila načelu javnosti in publicitete, zato so bile dopolnjene različice programov sproti objavljene na spletnem mestu: http://www.mnz.gov.si/si/o_ministrstvu/crpanje_evropskih_sredst</w:t>
            </w:r>
            <w:r>
              <w:t>ev/sklad_za_notranjo_varnost_in_sklad_za_azil_migracije_in_vkljucevanje_2014_2020/priprava_nacionalnih_programov/.</w:t>
            </w:r>
          </w:p>
          <w:p w:rsidR="00855A95" w:rsidRDefault="0011309B">
            <w:pPr>
              <w:spacing w:before="240" w:after="240"/>
              <w:jc w:val="left"/>
            </w:pPr>
            <w:r>
              <w:t>- MNZ-SES-PESNVM </w:t>
            </w:r>
            <w:r>
              <w:rPr>
                <w:u w:val="single"/>
              </w:rPr>
              <w:t>implementacijo</w:t>
            </w:r>
            <w:r>
              <w:t> NP izvaja preko Akcijskega načrta, ki je temeljni in celovit programski dokument namenjen izvajanju skladov A</w:t>
            </w:r>
            <w:r>
              <w:t>MIF in ISF v Sloveniji. Predstavlja osnovo za prijavo in odobritev projektov s strani OO, na predlog končnih upravičencev, po odobritvi na NO, in je izvedbeni dokument, ki razčlenjuje NP na projekte s podatki o finančni alokaciji po letih.</w:t>
            </w:r>
          </w:p>
          <w:p w:rsidR="00855A95" w:rsidRDefault="0011309B">
            <w:pPr>
              <w:spacing w:before="240" w:after="240"/>
              <w:jc w:val="left"/>
            </w:pPr>
            <w:r>
              <w:t>Prispevki partne</w:t>
            </w:r>
            <w:r>
              <w:t>rjev v času izvajanja NP se v glavnini nanašajo na spodaj zapisane vsebine, vse predloge je OO sprejel. MDS in NO sta obravnavala:</w:t>
            </w:r>
          </w:p>
          <w:p w:rsidR="00855A95" w:rsidRDefault="0011309B">
            <w:pPr>
              <w:numPr>
                <w:ilvl w:val="0"/>
                <w:numId w:val="41"/>
              </w:numPr>
              <w:spacing w:before="240" w:after="0"/>
              <w:ind w:hanging="210"/>
              <w:jc w:val="left"/>
            </w:pPr>
            <w:r>
              <w:t>predlog OO in pozitiven odziv Centra za tujce za združevanje projektov - načrtovanje sprememb Akcijskega načrta in NP;</w:t>
            </w:r>
          </w:p>
          <w:p w:rsidR="00855A95" w:rsidRDefault="0011309B">
            <w:pPr>
              <w:numPr>
                <w:ilvl w:val="0"/>
                <w:numId w:val="41"/>
              </w:numPr>
              <w:spacing w:before="0" w:after="0"/>
              <w:ind w:hanging="210"/>
              <w:jc w:val="left"/>
            </w:pPr>
            <w:r>
              <w:t>omejen</w:t>
            </w:r>
            <w:r>
              <w:t xml:space="preserve"> obseg izvajanja aktivnosti določenih ukrepov s strani Centra za tujce zaradi upravičenosti povrnitve stroškov iz drugih virov financiranja EU - načrtovanje sprememb Akcijskega načrta in NP;</w:t>
            </w:r>
          </w:p>
          <w:p w:rsidR="00855A95" w:rsidRDefault="0011309B">
            <w:pPr>
              <w:numPr>
                <w:ilvl w:val="0"/>
                <w:numId w:val="41"/>
              </w:numPr>
              <w:spacing w:before="0" w:after="240"/>
              <w:ind w:hanging="210"/>
              <w:jc w:val="left"/>
            </w:pPr>
            <w:r>
              <w:t>v fazo </w:t>
            </w:r>
            <w:r>
              <w:rPr>
                <w:u w:val="single"/>
              </w:rPr>
              <w:t>vrednotenja</w:t>
            </w:r>
            <w:r>
              <w:t> NP so vključena vsa pristojna ministrstva/orga</w:t>
            </w:r>
            <w:r>
              <w:t>ni kot tudi predstavniki NVO preko delovanja Medresorske delovne skupine za koordinacijo in operativno usklajevanje izvajanja projektov, ki se financirajo iz sredstev AMIF in ISF kot tudi preko NO. V fazi vrednotenja izvajanja napredka je pristojnost odloč</w:t>
            </w:r>
            <w:r>
              <w:t>anja na NO, ki o tem seznani tudi Vlado Slovenije.</w:t>
            </w:r>
          </w:p>
          <w:p w:rsidR="00855A95" w:rsidRDefault="0011309B">
            <w:pPr>
              <w:spacing w:before="240" w:after="240"/>
              <w:jc w:val="left"/>
            </w:pPr>
            <w:r>
              <w:t>Med izvajanjem projektov je prišlo do nekaterih sprememb, vendar so bile vse skupaj v manjšem obsegu od meje, zaradi katere je potrebno spreminjati NP.</w:t>
            </w:r>
          </w:p>
          <w:p w:rsidR="00855A95" w:rsidRDefault="0011309B">
            <w:pPr>
              <w:spacing w:before="240" w:after="240"/>
              <w:jc w:val="left"/>
            </w:pPr>
            <w:r>
              <w:t> </w:t>
            </w:r>
          </w:p>
          <w:p w:rsidR="00855A95" w:rsidRDefault="0011309B">
            <w:pPr>
              <w:spacing w:before="240" w:after="240"/>
              <w:jc w:val="left"/>
            </w:pPr>
            <w:r>
              <w:t> </w:t>
            </w:r>
          </w:p>
          <w:p w:rsidR="00855A95" w:rsidRDefault="0011309B">
            <w:pPr>
              <w:spacing w:before="240" w:after="240"/>
              <w:jc w:val="left"/>
            </w:pPr>
            <w:r>
              <w:t> </w:t>
            </w:r>
          </w:p>
          <w:p w:rsidR="00855A95" w:rsidRDefault="0011309B">
            <w:pPr>
              <w:spacing w:before="240" w:after="240"/>
              <w:jc w:val="left"/>
            </w:pPr>
            <w:r>
              <w:t> </w:t>
            </w:r>
          </w:p>
          <w:p w:rsidR="004B5B5F" w:rsidRPr="00003291" w:rsidRDefault="004B5B5F" w:rsidP="00003291">
            <w:pPr>
              <w:pStyle w:val="Text1"/>
              <w:spacing w:before="0" w:after="0"/>
              <w:ind w:left="0"/>
              <w:rPr>
                <w:lang w:val="fr-BE"/>
              </w:rPr>
            </w:pPr>
          </w:p>
        </w:tc>
      </w:tr>
    </w:tbl>
    <w:p w:rsidR="00115C60" w:rsidRDefault="00115C60" w:rsidP="00115C60">
      <w:pPr>
        <w:pStyle w:val="Text1"/>
        <w:spacing w:before="0" w:after="0"/>
        <w:ind w:left="0"/>
        <w:rPr>
          <w:lang w:val="fr-BE"/>
        </w:rPr>
      </w:pPr>
    </w:p>
    <w:p w:rsidR="00115C60" w:rsidRDefault="0011309B" w:rsidP="00115C60">
      <w:pPr>
        <w:pStyle w:val="Naslov2"/>
        <w:numPr>
          <w:ilvl w:val="0"/>
          <w:numId w:val="0"/>
        </w:numPr>
        <w:spacing w:before="0" w:after="0"/>
        <w:rPr>
          <w:lang w:val="fr-BE"/>
        </w:rPr>
      </w:pPr>
      <w:r>
        <w:rPr>
          <w:lang w:val="fr-BE"/>
        </w:rPr>
        <w:br w:type="page"/>
      </w:r>
      <w:bookmarkStart w:id="11" w:name="_Toc256000012"/>
      <w:r>
        <w:rPr>
          <w:noProof/>
          <w:lang w:val="fr-BE"/>
        </w:rPr>
        <w:lastRenderedPageBreak/>
        <w:t xml:space="preserve">6.4 Obveščanje in objavljanje (člen 48 </w:t>
      </w:r>
      <w:r>
        <w:rPr>
          <w:noProof/>
          <w:lang w:val="fr-BE"/>
        </w:rPr>
        <w:t>Uredbe (ES) št. 514/2014)</w:t>
      </w:r>
      <w:bookmarkEnd w:id="11"/>
    </w:p>
    <w:p w:rsidR="00115C60" w:rsidRDefault="00115C60" w:rsidP="00115C60">
      <w:pPr>
        <w:pStyle w:val="Text1"/>
        <w:spacing w:before="0" w:after="0"/>
        <w:ind w:left="0"/>
        <w:rPr>
          <w:lang w:val="fr-BE"/>
        </w:rPr>
      </w:pPr>
    </w:p>
    <w:p w:rsidR="00115C60" w:rsidRDefault="0011309B" w:rsidP="00115C60">
      <w:pPr>
        <w:pStyle w:val="Naslov2"/>
        <w:numPr>
          <w:ilvl w:val="0"/>
          <w:numId w:val="0"/>
        </w:numPr>
        <w:spacing w:before="0" w:after="0"/>
        <w:rPr>
          <w:lang w:val="fr-BE"/>
        </w:rPr>
      </w:pPr>
      <w:bookmarkStart w:id="12" w:name="_Toc256000013"/>
      <w:r>
        <w:rPr>
          <w:noProof/>
          <w:lang w:val="fr-BE"/>
        </w:rPr>
        <w:t>Navedite povezavo do spletišča programa.</w:t>
      </w:r>
      <w:bookmarkEnd w:id="12"/>
      <w:r>
        <w:rPr>
          <w:noProof/>
          <w:lang w:val="fr-BE"/>
        </w:rPr>
        <w:t xml:space="preserve"> </w:t>
      </w:r>
    </w:p>
    <w:p w:rsidR="00115C60" w:rsidRDefault="0011309B" w:rsidP="00115C60">
      <w:pPr>
        <w:pStyle w:val="Naslov2"/>
        <w:numPr>
          <w:ilvl w:val="0"/>
          <w:numId w:val="0"/>
        </w:numPr>
        <w:spacing w:before="0" w:after="0"/>
        <w:rPr>
          <w:lang w:val="fr-BE"/>
        </w:rPr>
      </w:pPr>
      <w:bookmarkStart w:id="13" w:name="_Toc256000014"/>
      <w:r>
        <w:rPr>
          <w:noProof/>
          <w:lang w:val="fr-BE"/>
        </w:rPr>
        <w:t>Navedite glavne dejavnosti obveščanja in objavljanja, izvedene v proračunskem letu. Priložiti je treba primere gradiva.</w:t>
      </w:r>
      <w:bookmarkEnd w:id="13"/>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855A95" w:rsidTr="00003291">
        <w:tc>
          <w:tcPr>
            <w:tcW w:w="15420" w:type="dxa"/>
            <w:shd w:val="clear" w:color="auto" w:fill="auto"/>
          </w:tcPr>
          <w:p w:rsidR="00855A95" w:rsidRDefault="0011309B">
            <w:pPr>
              <w:spacing w:before="0" w:after="240"/>
              <w:jc w:val="left"/>
            </w:pPr>
            <w:r>
              <w:t>V letu 2020 so bile izvedene sledeče dejavnosti s ciljem obveščanj</w:t>
            </w:r>
            <w:r>
              <w:t>a javnosti:</w:t>
            </w:r>
          </w:p>
          <w:p w:rsidR="00855A95" w:rsidRDefault="0011309B">
            <w:pPr>
              <w:spacing w:before="240" w:after="240"/>
              <w:jc w:val="left"/>
            </w:pPr>
            <w:r>
              <w:t>1. Na državnem nivoju je bila vzpostavljena nova spletna stran državne uprave in s tem tudi nov dostop do spletne strani odgovornega organa z dostopom do vseh potrebnih programskih dokumentov:</w:t>
            </w:r>
          </w:p>
          <w:p w:rsidR="00855A95" w:rsidRDefault="0011309B">
            <w:pPr>
              <w:spacing w:before="240" w:after="240"/>
              <w:jc w:val="left"/>
            </w:pPr>
            <w:r>
              <w:t>https://www.gov.si/drzavni-organi/ministrstva/minis</w:t>
            </w:r>
            <w:r>
              <w:t>trstvo-za-notranje-zadeve/o-ministrstvu/sekretariat/sluzba-za-evropska-sredstva/</w:t>
            </w:r>
          </w:p>
          <w:p w:rsidR="00855A95" w:rsidRDefault="0011309B">
            <w:pPr>
              <w:spacing w:before="240" w:after="240"/>
              <w:jc w:val="left"/>
            </w:pPr>
            <w:r>
              <w:t>2. Vzpostavljena nova povezava do Akcijskega načrta za črpanje sredstev sklada AMIF in ISF (različica 1.6) (avgust 2020):</w:t>
            </w:r>
          </w:p>
          <w:p w:rsidR="00855A95" w:rsidRDefault="0011309B">
            <w:pPr>
              <w:spacing w:before="240" w:after="240"/>
              <w:jc w:val="left"/>
            </w:pPr>
            <w:r>
              <w:t>https://www.gov.si/assets/ministrstva/MNZ/Dokumenti/S</w:t>
            </w:r>
            <w:r>
              <w:t>ES/Akcijski-nacrt/Akcijski_nacrt_AMIF-ISF_Razlicica_1_P.pdf</w:t>
            </w:r>
          </w:p>
          <w:p w:rsidR="00855A95" w:rsidRDefault="0011309B">
            <w:pPr>
              <w:spacing w:before="240" w:after="240"/>
              <w:jc w:val="left"/>
            </w:pPr>
            <w:r>
              <w:t>3. Na spletni strani objavljena Nacionalna pravila o upravičenih stroških Sklada za azil, migracije in vključevanje ter Sklada za notranjo varnost za obdobje 2014-2020 (različica 1.5):</w:t>
            </w:r>
          </w:p>
          <w:p w:rsidR="00855A95" w:rsidRDefault="0011309B">
            <w:pPr>
              <w:spacing w:before="240" w:after="240"/>
              <w:jc w:val="left"/>
            </w:pPr>
            <w:r>
              <w:t>https://www</w:t>
            </w:r>
            <w:r>
              <w:t>.gov.si/assets/ministrstva/MNZ/Dokumenti/SES/Nacionalna-pravila-upravicenosti/Nacionalna-pravila-o-upravicenih-stroskih-AMIF-in-ISF.pdf</w:t>
            </w:r>
          </w:p>
          <w:p w:rsidR="00855A95" w:rsidRDefault="0011309B">
            <w:pPr>
              <w:spacing w:before="240" w:after="240"/>
              <w:jc w:val="left"/>
            </w:pPr>
            <w:r>
              <w:t>4. Spletna objava nove različice Priročnika za izvajanje Sklada za azil, migracije in vključevanje ter Sklada za notranj</w:t>
            </w:r>
            <w:r>
              <w:t>o varnost (različica 1.4) z vsemi prilogami (avgust 2020):</w:t>
            </w:r>
          </w:p>
          <w:p w:rsidR="00855A95" w:rsidRDefault="0011309B">
            <w:pPr>
              <w:spacing w:before="240" w:after="240"/>
              <w:jc w:val="left"/>
            </w:pPr>
            <w:r>
              <w:t>https://www.gov.si/assets/ministrstva/MNZ/Dokumenti/SES/Prirocnik/Prirocnik_AMIF-ISF_Razlicica_1_4_P.pdf</w:t>
            </w:r>
          </w:p>
          <w:p w:rsidR="00855A95" w:rsidRDefault="0011309B">
            <w:pPr>
              <w:spacing w:before="240" w:after="240"/>
              <w:jc w:val="left"/>
            </w:pPr>
            <w:r>
              <w:t>5. Spletna objava programskih dokumentov odgovornega organa v rubriki »Spremljanje, vrednote</w:t>
            </w:r>
            <w:r>
              <w:t>nje in poročanje«: http://www.mnz.gov.si/si/o_ministrstvu/crpanje_evropskih_sredstev/sklad_za_notranjo_varnost_in_sklad_za_azil_migracije_in_vkljucevanje_2014_2020/spremljanje_vrednotenje_in_porocanje/</w:t>
            </w:r>
          </w:p>
          <w:p w:rsidR="00855A95" w:rsidRDefault="0011309B">
            <w:pPr>
              <w:spacing w:before="240" w:after="240"/>
              <w:jc w:val="left"/>
            </w:pPr>
            <w:r>
              <w:t xml:space="preserve">6. Sodelovanje v »Survey to the responsible authority </w:t>
            </w:r>
            <w:r>
              <w:t>on communication for DG Home Funds for the current period and the period 2021-2027«, 7. 9. 2020</w:t>
            </w:r>
          </w:p>
          <w:p w:rsidR="00855A95" w:rsidRDefault="0011309B">
            <w:pPr>
              <w:spacing w:before="240" w:after="240"/>
              <w:jc w:val="left"/>
            </w:pPr>
            <w:r>
              <w:t>7. Preko adreme posredovana informacija NVO o JR EK za AMIF CALL 2020, 20. 10. 2020</w:t>
            </w:r>
          </w:p>
          <w:p w:rsidR="00855A95" w:rsidRDefault="0011309B">
            <w:pPr>
              <w:spacing w:before="240" w:after="240"/>
              <w:jc w:val="left"/>
            </w:pPr>
            <w:r>
              <w:t> </w:t>
            </w:r>
          </w:p>
          <w:p w:rsidR="00855A95" w:rsidRDefault="0011309B">
            <w:pPr>
              <w:spacing w:before="240" w:after="240"/>
              <w:jc w:val="left"/>
            </w:pPr>
            <w:r>
              <w:t>Leto 2020 je bilo zaradi svetovne krize ob epidemiji Covid-19 posebno leto</w:t>
            </w:r>
            <w:r>
              <w:t>, večina aktivnosti in dejavnosti obveščanja in objavljanja je bila izvedena preko svetovnega spleta. </w:t>
            </w:r>
          </w:p>
          <w:p w:rsidR="004B5B5F" w:rsidRPr="004B5B5F" w:rsidRDefault="004B5B5F" w:rsidP="00003291">
            <w:pPr>
              <w:pStyle w:val="Text1"/>
              <w:spacing w:before="0" w:after="0"/>
              <w:ind w:left="0"/>
            </w:pPr>
          </w:p>
        </w:tc>
      </w:tr>
    </w:tbl>
    <w:p w:rsidR="004B5B5F" w:rsidRDefault="004B5B5F" w:rsidP="00115C60">
      <w:pPr>
        <w:pStyle w:val="Text1"/>
        <w:spacing w:before="0" w:after="0"/>
        <w:ind w:left="0"/>
        <w:rPr>
          <w:lang w:val="fr-BE"/>
        </w:rPr>
      </w:pPr>
    </w:p>
    <w:p w:rsidR="00115C60" w:rsidRPr="00910C3F" w:rsidRDefault="0011309B" w:rsidP="00115C60">
      <w:pPr>
        <w:pStyle w:val="Naslov2"/>
        <w:numPr>
          <w:ilvl w:val="0"/>
          <w:numId w:val="0"/>
        </w:numPr>
        <w:spacing w:before="0" w:after="0"/>
      </w:pPr>
      <w:r w:rsidRPr="00910C3F">
        <w:br w:type="page"/>
      </w:r>
      <w:bookmarkStart w:id="14" w:name="_Toc256000015"/>
      <w:r w:rsidRPr="00910C3F">
        <w:rPr>
          <w:noProof/>
        </w:rPr>
        <w:lastRenderedPageBreak/>
        <w:t>6.5 Dopolnjevanje z drugimi instrumenti Unije (člen 14(2)(e) in 14(5)(f) Uredbe (EU) št. 514/2014)</w:t>
      </w:r>
      <w:bookmarkEnd w:id="14"/>
    </w:p>
    <w:p w:rsidR="00115C60" w:rsidRPr="00910C3F" w:rsidRDefault="00115C60" w:rsidP="00115C60">
      <w:pPr>
        <w:pStyle w:val="Text1"/>
        <w:spacing w:before="0" w:after="0"/>
        <w:ind w:left="0"/>
      </w:pPr>
    </w:p>
    <w:p w:rsidR="00115C60" w:rsidRDefault="0011309B" w:rsidP="00115C60">
      <w:pPr>
        <w:pStyle w:val="Naslov2"/>
        <w:numPr>
          <w:ilvl w:val="0"/>
          <w:numId w:val="0"/>
        </w:numPr>
        <w:spacing w:before="0" w:after="0"/>
        <w:rPr>
          <w:lang w:val="fr-BE"/>
        </w:rPr>
      </w:pPr>
      <w:bookmarkStart w:id="15" w:name="_Toc256000016"/>
      <w:r>
        <w:rPr>
          <w:noProof/>
          <w:lang w:val="fr-BE"/>
        </w:rPr>
        <w:t xml:space="preserve">Na kratko opišite glavne ukrepe in posvetovanja, </w:t>
      </w:r>
      <w:r>
        <w:rPr>
          <w:noProof/>
          <w:lang w:val="fr-BE"/>
        </w:rPr>
        <w:t>opravljena za zagotovitev usklajenosti z drugimi instrumenti Unije, zlasti naslednjimi:</w:t>
      </w:r>
      <w:bookmarkEnd w:id="15"/>
    </w:p>
    <w:p w:rsidR="00115C60" w:rsidRPr="00E30D80" w:rsidRDefault="0011309B" w:rsidP="00115C60">
      <w:pPr>
        <w:pStyle w:val="Text1"/>
        <w:numPr>
          <w:ilvl w:val="0"/>
          <w:numId w:val="36"/>
        </w:numPr>
        <w:spacing w:before="0" w:after="0"/>
        <w:jc w:val="left"/>
        <w:rPr>
          <w:lang w:val="fr-BE"/>
        </w:rPr>
      </w:pPr>
      <w:r>
        <w:rPr>
          <w:noProof/>
          <w:lang w:val="fr-BE"/>
        </w:rPr>
        <w:t>evropski strukturni in investicijski skladi (Evropski sklad za regionalni razvoj, Evropski socialni sklad, Kohezijski sklad, Evropski kmetijski sklad za razvoj podeželj</w:t>
      </w:r>
      <w:r>
        <w:rPr>
          <w:noProof/>
          <w:lang w:val="fr-BE"/>
        </w:rPr>
        <w:t>a, Evropski sklad za pomorstvo in ribištvo),</w:t>
      </w:r>
    </w:p>
    <w:p w:rsidR="00115C60" w:rsidRPr="00E30D80" w:rsidRDefault="0011309B" w:rsidP="00115C60">
      <w:pPr>
        <w:pStyle w:val="Text1"/>
        <w:numPr>
          <w:ilvl w:val="0"/>
          <w:numId w:val="36"/>
        </w:numPr>
        <w:spacing w:before="0" w:after="0"/>
        <w:jc w:val="left"/>
        <w:rPr>
          <w:lang w:val="fr-BE"/>
        </w:rPr>
      </w:pPr>
      <w:r>
        <w:rPr>
          <w:lang w:val="fr-BE"/>
        </w:rPr>
        <w:t xml:space="preserve">drugi skladi ali programi EU (npr. programi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Vseživljenjsko učenje</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Kultura</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in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Mladi v akciji</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w:t>
      </w:r>
    </w:p>
    <w:p w:rsidR="00115C60" w:rsidRPr="00E30D80" w:rsidRDefault="0011309B" w:rsidP="00115C60">
      <w:pPr>
        <w:pStyle w:val="Text1"/>
        <w:numPr>
          <w:ilvl w:val="0"/>
          <w:numId w:val="36"/>
        </w:numPr>
        <w:spacing w:before="0" w:after="0"/>
        <w:jc w:val="left"/>
        <w:rPr>
          <w:lang w:val="fr-BE"/>
        </w:rPr>
      </w:pPr>
      <w:r>
        <w:rPr>
          <w:noProof/>
          <w:lang w:val="fr-BE"/>
        </w:rPr>
        <w:t xml:space="preserve">instrumenti EU za zunanje odnose (npr. </w:t>
      </w:r>
      <w:r>
        <w:rPr>
          <w:noProof/>
          <w:lang w:val="fr-BE"/>
        </w:rPr>
        <w:t>instrument za predpristopno pomoč, evropski instrument sosedstva in partnerstva, instrument za stabilnost), kar zadeva ukrepe v tretjih državah oziroma odnose z njimi.</w:t>
      </w:r>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55A95" w:rsidTr="00003291">
        <w:tc>
          <w:tcPr>
            <w:tcW w:w="0" w:type="auto"/>
            <w:shd w:val="clear" w:color="auto" w:fill="auto"/>
          </w:tcPr>
          <w:p w:rsidR="00855A95" w:rsidRDefault="0011309B">
            <w:pPr>
              <w:spacing w:before="0" w:after="240"/>
              <w:jc w:val="left"/>
            </w:pPr>
            <w:r>
              <w:t>OO zagotavlja komplementarnost preko različnih ravni organizacijske strukture:</w:t>
            </w:r>
          </w:p>
          <w:p w:rsidR="00855A95" w:rsidRDefault="0011309B">
            <w:pPr>
              <w:numPr>
                <w:ilvl w:val="0"/>
                <w:numId w:val="42"/>
              </w:numPr>
              <w:spacing w:before="240" w:after="0"/>
              <w:ind w:hanging="210"/>
              <w:jc w:val="left"/>
            </w:pPr>
            <w:r>
              <w:t>hierarhično na najvišji ravni (Nadzorni odbor), v katerem so v skladu z načelom partnerstva zastopana vsa ministrstva/telesa, ki so vključena v izvajanje AMIF in ISF. Sestavljajo ga predstavniki državnih organov - pristojni organi MCS, drugi organi, kateri</w:t>
            </w:r>
            <w:r>
              <w:t>h pristojnosti (delno) vsebinsko zadevajo tudi projekte, ki se financirajo iz AMIF in ISF, predstavnik nevladnih organizacij ter predstavnik Službe vlade RS za razvoj in evropsko kohezijsko politiko - z namenom zagotavljanja skladnosti in dopolnjevanja z d</w:t>
            </w:r>
            <w:r>
              <w:t>rugimi finančnimi instrumenti EU.</w:t>
            </w:r>
          </w:p>
          <w:p w:rsidR="00855A95" w:rsidRDefault="0011309B">
            <w:pPr>
              <w:numPr>
                <w:ilvl w:val="0"/>
                <w:numId w:val="42"/>
              </w:numPr>
              <w:spacing w:before="0" w:after="0"/>
              <w:ind w:hanging="210"/>
              <w:jc w:val="left"/>
            </w:pPr>
            <w:r>
              <w:t>Na ravni Medresorske delovne skupine (MDS), ki deluje kot operativna delovna skupina Nadzornega odbora, velja enako pravilo sestave članstva kot pri Nadzornem odboru, z namenom zagotavljanja skladnosti in dopolnjevanja z d</w:t>
            </w:r>
            <w:r>
              <w:t>rugimi finančnimi instrumenti EU tudi v MDS sodeluje predstavnik Službe vlade RS za razvoj in evropsko kohezijsko politiko.</w:t>
            </w:r>
          </w:p>
          <w:p w:rsidR="00855A95" w:rsidRDefault="0011309B">
            <w:pPr>
              <w:numPr>
                <w:ilvl w:val="0"/>
                <w:numId w:val="42"/>
              </w:numPr>
              <w:spacing w:before="0" w:after="240"/>
              <w:ind w:hanging="210"/>
              <w:jc w:val="left"/>
            </w:pPr>
            <w:r>
              <w:t>Na ravni projekta se komplementarnost zagotavlja že v okviru faze prijave projekta, v kateri mora končni upravičenec (oz. vodja proj</w:t>
            </w:r>
            <w:r>
              <w:t>ekta) za vsak projekt, ki je odobren s strani OO, kot upravičenec do finančnih sredstev AMIF in ISF podati informacijo o komplementarnosti z drugimi projekti oz. viri financiranja, kadar je to relevantno.</w:t>
            </w:r>
          </w:p>
          <w:p w:rsidR="00855A95" w:rsidRDefault="0011309B">
            <w:pPr>
              <w:spacing w:before="240" w:after="240"/>
              <w:jc w:val="left"/>
            </w:pPr>
            <w:r>
              <w:t> V letu 2020 je OO nadaljeval z vzpostavljeno praks</w:t>
            </w:r>
            <w:r>
              <w:t>o, da na rednih sejah MDS, resorji predstavijo možnosti dopolnjevanja skladov AMIF in ISF z drugimi evropskimi skladi ali finančnimi instrumenti.</w:t>
            </w:r>
          </w:p>
          <w:p w:rsidR="00855A95" w:rsidRDefault="0011309B">
            <w:pPr>
              <w:spacing w:before="240" w:after="240"/>
              <w:jc w:val="left"/>
            </w:pPr>
            <w:r>
              <w:t> </w:t>
            </w:r>
          </w:p>
          <w:p w:rsidR="004B5B5F" w:rsidRPr="00003291" w:rsidRDefault="004B5B5F" w:rsidP="00003291">
            <w:pPr>
              <w:pStyle w:val="Text1"/>
              <w:spacing w:before="0" w:after="0"/>
              <w:ind w:left="0"/>
              <w:rPr>
                <w:lang w:val="fr-BE"/>
              </w:rPr>
            </w:pPr>
          </w:p>
        </w:tc>
      </w:tr>
    </w:tbl>
    <w:p w:rsidR="00115C60" w:rsidRDefault="00115C60" w:rsidP="00115C60">
      <w:pPr>
        <w:pStyle w:val="Text1"/>
        <w:spacing w:before="0" w:after="0"/>
        <w:ind w:left="0"/>
        <w:rPr>
          <w:lang w:val="fr-BE"/>
        </w:rPr>
      </w:pPr>
    </w:p>
    <w:p w:rsidR="00115C60" w:rsidRDefault="0011309B" w:rsidP="00115C60">
      <w:pPr>
        <w:pStyle w:val="Naslov2"/>
        <w:numPr>
          <w:ilvl w:val="0"/>
          <w:numId w:val="0"/>
        </w:numPr>
        <w:spacing w:before="0" w:after="0"/>
        <w:rPr>
          <w:lang w:val="fr-BE"/>
        </w:rPr>
      </w:pPr>
      <w:r>
        <w:rPr>
          <w:lang w:val="fr-BE"/>
        </w:rPr>
        <w:br w:type="page"/>
      </w:r>
      <w:bookmarkStart w:id="16" w:name="_Toc256000017"/>
      <w:r>
        <w:rPr>
          <w:noProof/>
          <w:lang w:val="fr-BE"/>
        </w:rPr>
        <w:lastRenderedPageBreak/>
        <w:t>6.6 Neposredna oddaja naročila</w:t>
      </w:r>
      <w:bookmarkEnd w:id="16"/>
    </w:p>
    <w:p w:rsidR="00115C60" w:rsidRDefault="00115C60" w:rsidP="00115C60">
      <w:pPr>
        <w:pStyle w:val="Text1"/>
        <w:spacing w:before="0" w:after="0"/>
        <w:ind w:left="0"/>
        <w:rPr>
          <w:lang w:val="fr-BE"/>
        </w:rPr>
      </w:pPr>
    </w:p>
    <w:p w:rsidR="00115C60" w:rsidRDefault="0011309B" w:rsidP="00115C60">
      <w:pPr>
        <w:pStyle w:val="Naslov2"/>
        <w:numPr>
          <w:ilvl w:val="0"/>
          <w:numId w:val="0"/>
        </w:numPr>
        <w:spacing w:before="0" w:after="0"/>
        <w:rPr>
          <w:lang w:val="fr-BE"/>
        </w:rPr>
      </w:pPr>
      <w:bookmarkStart w:id="17" w:name="_Toc256000018"/>
      <w:r>
        <w:rPr>
          <w:noProof/>
          <w:lang w:val="fr-BE"/>
        </w:rPr>
        <w:t>Utemeljite vsak primer neposredne dodelitve.</w:t>
      </w:r>
      <w:bookmarkEnd w:id="17"/>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55A95" w:rsidTr="00003291">
        <w:tc>
          <w:tcPr>
            <w:tcW w:w="0" w:type="auto"/>
            <w:shd w:val="clear" w:color="auto" w:fill="auto"/>
          </w:tcPr>
          <w:p w:rsidR="00855A95" w:rsidRDefault="0011309B">
            <w:pPr>
              <w:spacing w:before="0" w:after="240"/>
              <w:jc w:val="left"/>
            </w:pPr>
            <w:r>
              <w:t xml:space="preserve">V obdobju poročanja je </w:t>
            </w:r>
            <w:r>
              <w:t>bilo preko neposredne dodelitve odobrenih 21 projektov končnih upravičencev, v vseh primerih zaradi narave projekta oz. legalnega monopola končnega upravičenca.</w:t>
            </w:r>
          </w:p>
          <w:p w:rsidR="00855A95" w:rsidRDefault="0011309B">
            <w:pPr>
              <w:spacing w:before="240" w:after="240"/>
              <w:jc w:val="left"/>
            </w:pPr>
            <w:r>
              <w:t>Dokument "Implementacijsko poročilo 2020 – seznam projektov AMIF in utemeljitev glede načina do</w:t>
            </w:r>
            <w:r>
              <w:t>delitve" je pripet v rubriki "Dokumenti" (Priloga 1).</w:t>
            </w:r>
          </w:p>
          <w:p w:rsidR="00855A95" w:rsidRDefault="0011309B">
            <w:pPr>
              <w:spacing w:before="240" w:after="240"/>
              <w:jc w:val="left"/>
            </w:pPr>
            <w:r>
              <w:t> </w:t>
            </w:r>
          </w:p>
          <w:p w:rsidR="004B5B5F" w:rsidRPr="00003291" w:rsidRDefault="004B5B5F" w:rsidP="00003291">
            <w:pPr>
              <w:pStyle w:val="Text1"/>
              <w:spacing w:before="0" w:after="0"/>
              <w:ind w:left="0"/>
              <w:rPr>
                <w:lang w:val="fr-BE"/>
              </w:rPr>
            </w:pPr>
          </w:p>
        </w:tc>
      </w:tr>
    </w:tbl>
    <w:p w:rsidR="00115C60" w:rsidRPr="00E30D80" w:rsidRDefault="00115C60" w:rsidP="00115C60">
      <w:pPr>
        <w:pStyle w:val="Text1"/>
        <w:spacing w:before="0" w:after="0"/>
        <w:ind w:left="0"/>
        <w:rPr>
          <w:lang w:val="fr-BE"/>
        </w:rPr>
      </w:pPr>
    </w:p>
    <w:p w:rsidR="00115C60" w:rsidRDefault="0011309B" w:rsidP="00115C60">
      <w:pPr>
        <w:pStyle w:val="Naslov1"/>
        <w:numPr>
          <w:ilvl w:val="0"/>
          <w:numId w:val="0"/>
        </w:numPr>
        <w:spacing w:before="0" w:after="0"/>
        <w:rPr>
          <w:lang w:val="fr-BE"/>
        </w:rPr>
      </w:pPr>
      <w:r>
        <w:rPr>
          <w:lang w:val="fr-BE"/>
        </w:rPr>
        <w:br w:type="page"/>
      </w:r>
      <w:bookmarkStart w:id="18" w:name="_Toc256000019"/>
      <w:r>
        <w:rPr>
          <w:noProof/>
          <w:lang w:val="fr-BE"/>
        </w:rPr>
        <w:lastRenderedPageBreak/>
        <w:t>ODDELEK 7: FINANČNO POROČILO (ČLEN 54(2)(A) UREDBE (EU) ŠT. 514/2014)</w:t>
      </w:r>
      <w:bookmarkEnd w:id="18"/>
    </w:p>
    <w:p w:rsidR="00115C60" w:rsidRDefault="00115C60" w:rsidP="00115C60">
      <w:pPr>
        <w:pStyle w:val="Text1"/>
        <w:spacing w:before="0" w:after="0"/>
        <w:ind w:left="0"/>
        <w:rPr>
          <w:lang w:val="fr-BE"/>
        </w:rPr>
      </w:pPr>
    </w:p>
    <w:p w:rsidR="00115C60" w:rsidRDefault="0011309B" w:rsidP="00115C60">
      <w:pPr>
        <w:pStyle w:val="Naslov2"/>
        <w:numPr>
          <w:ilvl w:val="0"/>
          <w:numId w:val="0"/>
        </w:numPr>
        <w:spacing w:before="0" w:after="0"/>
        <w:rPr>
          <w:lang w:val="fr-BE"/>
        </w:rPr>
      </w:pPr>
      <w:bookmarkStart w:id="19" w:name="_Toc256000020"/>
      <w:r>
        <w:rPr>
          <w:noProof/>
          <w:lang w:val="fr-BE"/>
        </w:rPr>
        <w:t>Preglednica 1. Finančni povzetek za sklad AMIF, kot je navedeno v obračunih</w:t>
      </w:r>
      <w:bookmarkEnd w:id="19"/>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572"/>
        <w:gridCol w:w="766"/>
        <w:gridCol w:w="2460"/>
        <w:gridCol w:w="766"/>
      </w:tblGrid>
      <w:tr w:rsidR="00855A95" w:rsidTr="004677D0">
        <w:tc>
          <w:tcPr>
            <w:tcW w:w="0" w:type="auto"/>
            <w:shd w:val="clear" w:color="auto" w:fill="auto"/>
          </w:tcPr>
          <w:p w:rsidR="004677D0" w:rsidRPr="004A389B" w:rsidRDefault="0011309B" w:rsidP="00883A98">
            <w:pPr>
              <w:pStyle w:val="Text1"/>
              <w:spacing w:before="0" w:after="0"/>
              <w:ind w:left="0"/>
              <w:rPr>
                <w:b/>
                <w:sz w:val="20"/>
                <w:szCs w:val="20"/>
                <w:lang w:val="fr-BE"/>
              </w:rPr>
            </w:pPr>
            <w:r w:rsidRPr="004A389B">
              <w:rPr>
                <w:b/>
                <w:noProof/>
                <w:sz w:val="20"/>
                <w:szCs w:val="20"/>
                <w:lang w:val="fr-BE"/>
              </w:rPr>
              <w:t>Nacionalni cilj / specifični ukrep</w:t>
            </w:r>
          </w:p>
        </w:tc>
        <w:tc>
          <w:tcPr>
            <w:tcW w:w="0" w:type="auto"/>
          </w:tcPr>
          <w:p w:rsidR="004677D0" w:rsidRPr="004A389B" w:rsidRDefault="0011309B" w:rsidP="00883A98">
            <w:pPr>
              <w:pStyle w:val="Text1"/>
              <w:spacing w:before="0" w:after="0"/>
              <w:ind w:left="0"/>
              <w:rPr>
                <w:b/>
                <w:sz w:val="20"/>
                <w:szCs w:val="20"/>
                <w:lang w:val="fr-BE"/>
              </w:rPr>
            </w:pPr>
            <w:r w:rsidRPr="004A389B">
              <w:rPr>
                <w:b/>
                <w:noProof/>
                <w:sz w:val="20"/>
                <w:szCs w:val="20"/>
                <w:lang w:val="fr-BE"/>
              </w:rPr>
              <w:t xml:space="preserve">Skupni </w:t>
            </w:r>
            <w:r w:rsidRPr="004A389B">
              <w:rPr>
                <w:b/>
                <w:noProof/>
                <w:sz w:val="20"/>
                <w:szCs w:val="20"/>
                <w:lang w:val="fr-BE"/>
              </w:rPr>
              <w:t>prispevek Unije, plačan v letu</w:t>
            </w:r>
            <w:r w:rsidR="00A505F8">
              <w:rPr>
                <w:b/>
                <w:sz w:val="20"/>
                <w:szCs w:val="20"/>
                <w:lang w:val="fr-BE"/>
              </w:rPr>
              <w:t xml:space="preserve"> </w:t>
            </w:r>
            <w:r w:rsidR="00A505F8">
              <w:rPr>
                <w:b/>
                <w:noProof/>
                <w:sz w:val="20"/>
                <w:szCs w:val="20"/>
                <w:lang w:val="fr-BE"/>
              </w:rPr>
              <w:t>2020</w:t>
            </w:r>
          </w:p>
        </w:tc>
        <w:tc>
          <w:tcPr>
            <w:tcW w:w="0" w:type="auto"/>
          </w:tcPr>
          <w:p w:rsidR="004677D0" w:rsidRPr="004A389B" w:rsidRDefault="00883A98" w:rsidP="00883A98">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4677D0" w:rsidRPr="004A389B" w:rsidRDefault="0011309B" w:rsidP="00883A98">
            <w:pPr>
              <w:pStyle w:val="Text1"/>
              <w:spacing w:before="0" w:after="0"/>
              <w:ind w:left="0"/>
              <w:rPr>
                <w:b/>
                <w:sz w:val="20"/>
                <w:szCs w:val="20"/>
                <w:lang w:val="fr-BE"/>
              </w:rPr>
            </w:pPr>
            <w:r w:rsidRPr="004A389B">
              <w:rPr>
                <w:b/>
                <w:noProof/>
                <w:sz w:val="20"/>
                <w:szCs w:val="20"/>
                <w:lang w:val="fr-BE"/>
              </w:rPr>
              <w:t>Plačan skupni prispevek Unije (vsa leta)</w:t>
            </w:r>
          </w:p>
        </w:tc>
        <w:tc>
          <w:tcPr>
            <w:tcW w:w="0" w:type="auto"/>
            <w:shd w:val="clear" w:color="auto" w:fill="auto"/>
          </w:tcPr>
          <w:p w:rsidR="004677D0" w:rsidRPr="004A389B" w:rsidRDefault="0011309B" w:rsidP="00883A98">
            <w:pPr>
              <w:pStyle w:val="Text1"/>
              <w:spacing w:before="0" w:after="0"/>
              <w:ind w:left="0"/>
              <w:jc w:val="center"/>
              <w:rPr>
                <w:b/>
                <w:sz w:val="20"/>
                <w:szCs w:val="20"/>
                <w:lang w:val="fr-BE"/>
              </w:rPr>
            </w:pPr>
            <w:r w:rsidRPr="004A389B">
              <w:rPr>
                <w:b/>
                <w:sz w:val="20"/>
                <w:szCs w:val="20"/>
                <w:lang w:val="fr-BE"/>
              </w:rPr>
              <w:t>%</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noProof/>
                <w:sz w:val="20"/>
                <w:szCs w:val="20"/>
              </w:rPr>
              <w:t>Posebni cilj1.Nacionalni cilj1 Sprejem/azil</w:t>
            </w:r>
          </w:p>
        </w:tc>
        <w:tc>
          <w:tcPr>
            <w:tcW w:w="0" w:type="auto"/>
          </w:tcPr>
          <w:p w:rsidR="004677D0" w:rsidRPr="004A389B" w:rsidRDefault="0011309B" w:rsidP="004677D0">
            <w:pPr>
              <w:pStyle w:val="Text1"/>
              <w:spacing w:before="0" w:after="0"/>
              <w:ind w:left="0"/>
              <w:jc w:val="right"/>
              <w:rPr>
                <w:sz w:val="20"/>
                <w:szCs w:val="20"/>
                <w:lang w:val="fr-BE"/>
              </w:rPr>
            </w:pPr>
            <w:r w:rsidRPr="004A389B">
              <w:rPr>
                <w:noProof/>
                <w:sz w:val="20"/>
                <w:szCs w:val="20"/>
              </w:rPr>
              <w:t>429.099,80</w:t>
            </w:r>
          </w:p>
        </w:tc>
        <w:tc>
          <w:tcPr>
            <w:tcW w:w="0" w:type="auto"/>
          </w:tcPr>
          <w:p w:rsidR="004677D0" w:rsidRPr="004A389B" w:rsidRDefault="0011309B" w:rsidP="00883A98">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sidRPr="004A389B">
              <w:rPr>
                <w:noProof/>
                <w:sz w:val="20"/>
                <w:szCs w:val="20"/>
              </w:rPr>
              <w:t>2.048.866,79</w:t>
            </w: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noProof/>
                <w:sz w:val="20"/>
                <w:szCs w:val="20"/>
              </w:rPr>
              <w:t>100,00</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b/>
                <w:noProof/>
                <w:sz w:val="20"/>
                <w:szCs w:val="20"/>
              </w:rPr>
              <w:t>SKUPAJ NACIONALNI CILJI / POSEBNI CILJI1</w:t>
            </w:r>
          </w:p>
        </w:tc>
        <w:tc>
          <w:tcPr>
            <w:tcW w:w="0" w:type="auto"/>
          </w:tcPr>
          <w:p w:rsidR="004677D0" w:rsidRPr="004A389B" w:rsidRDefault="0011309B" w:rsidP="004677D0">
            <w:pPr>
              <w:pStyle w:val="Text1"/>
              <w:spacing w:before="0" w:after="0"/>
              <w:ind w:left="0"/>
              <w:jc w:val="right"/>
              <w:rPr>
                <w:sz w:val="20"/>
                <w:szCs w:val="20"/>
                <w:lang w:val="fr-BE"/>
              </w:rPr>
            </w:pPr>
            <w:r w:rsidRPr="004A389B">
              <w:rPr>
                <w:b/>
                <w:noProof/>
                <w:sz w:val="20"/>
                <w:szCs w:val="20"/>
              </w:rPr>
              <w:t>429.099,80</w:t>
            </w:r>
          </w:p>
        </w:tc>
        <w:tc>
          <w:tcPr>
            <w:tcW w:w="0" w:type="auto"/>
          </w:tcPr>
          <w:p w:rsidR="004677D0" w:rsidRPr="004A389B" w:rsidRDefault="0011309B"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Pr>
                <w:b/>
                <w:noProof/>
                <w:sz w:val="20"/>
                <w:szCs w:val="20"/>
              </w:rPr>
              <w:t>2.048.866,79</w:t>
            </w: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b/>
                <w:noProof/>
                <w:sz w:val="20"/>
                <w:szCs w:val="20"/>
              </w:rPr>
              <w:t>100,00</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b/>
                <w:noProof/>
                <w:sz w:val="20"/>
                <w:szCs w:val="20"/>
              </w:rPr>
              <w:t xml:space="preserve">SKUPAJ </w:t>
            </w:r>
            <w:r w:rsidRPr="004A389B">
              <w:rPr>
                <w:b/>
                <w:noProof/>
                <w:sz w:val="20"/>
                <w:szCs w:val="20"/>
              </w:rPr>
              <w:t>Posebni cilj1</w:t>
            </w:r>
          </w:p>
        </w:tc>
        <w:tc>
          <w:tcPr>
            <w:tcW w:w="0" w:type="auto"/>
          </w:tcPr>
          <w:p w:rsidR="004677D0" w:rsidRPr="004A389B" w:rsidRDefault="0011309B" w:rsidP="004677D0">
            <w:pPr>
              <w:pStyle w:val="Text1"/>
              <w:spacing w:before="0" w:after="0"/>
              <w:ind w:left="0"/>
              <w:jc w:val="right"/>
              <w:rPr>
                <w:sz w:val="20"/>
                <w:szCs w:val="20"/>
                <w:lang w:val="fr-BE"/>
              </w:rPr>
            </w:pPr>
            <w:r w:rsidRPr="004A389B">
              <w:rPr>
                <w:b/>
                <w:noProof/>
                <w:sz w:val="20"/>
                <w:szCs w:val="20"/>
              </w:rPr>
              <w:t>429.099,80</w:t>
            </w:r>
          </w:p>
        </w:tc>
        <w:tc>
          <w:tcPr>
            <w:tcW w:w="0" w:type="auto"/>
          </w:tcPr>
          <w:p w:rsidR="004677D0" w:rsidRPr="004A389B" w:rsidRDefault="0011309B" w:rsidP="00883A98">
            <w:pPr>
              <w:pStyle w:val="Text1"/>
              <w:spacing w:before="0" w:after="0"/>
              <w:ind w:left="0"/>
              <w:jc w:val="right"/>
              <w:rPr>
                <w:sz w:val="20"/>
                <w:szCs w:val="20"/>
                <w:lang w:val="fr-BE"/>
              </w:rPr>
            </w:pPr>
            <w:r w:rsidRPr="004A389B">
              <w:rPr>
                <w:b/>
                <w:noProof/>
                <w:sz w:val="20"/>
                <w:szCs w:val="20"/>
              </w:rPr>
              <w:t>21,85</w:t>
            </w: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Pr>
                <w:b/>
                <w:noProof/>
                <w:sz w:val="20"/>
                <w:szCs w:val="20"/>
              </w:rPr>
              <w:t>2.048.866,79</w:t>
            </w: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b/>
                <w:noProof/>
                <w:sz w:val="20"/>
                <w:szCs w:val="20"/>
              </w:rPr>
              <w:t>21,07</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noProof/>
                <w:sz w:val="20"/>
                <w:szCs w:val="20"/>
              </w:rPr>
              <w:t>Posebni cilj2.Nacionalni cilj1 Zakonito priseljevanje</w:t>
            </w:r>
          </w:p>
        </w:tc>
        <w:tc>
          <w:tcPr>
            <w:tcW w:w="0" w:type="auto"/>
          </w:tcPr>
          <w:p w:rsidR="004677D0" w:rsidRPr="004A389B" w:rsidRDefault="0011309B" w:rsidP="004677D0">
            <w:pPr>
              <w:pStyle w:val="Text1"/>
              <w:spacing w:before="0" w:after="0"/>
              <w:ind w:left="0"/>
              <w:jc w:val="right"/>
              <w:rPr>
                <w:sz w:val="20"/>
                <w:szCs w:val="20"/>
                <w:lang w:val="fr-BE"/>
              </w:rPr>
            </w:pPr>
            <w:r w:rsidRPr="004A389B">
              <w:rPr>
                <w:noProof/>
                <w:sz w:val="20"/>
                <w:szCs w:val="20"/>
              </w:rPr>
              <w:t>18.253,54</w:t>
            </w:r>
          </w:p>
        </w:tc>
        <w:tc>
          <w:tcPr>
            <w:tcW w:w="0" w:type="auto"/>
          </w:tcPr>
          <w:p w:rsidR="004677D0" w:rsidRPr="004A389B" w:rsidRDefault="0011309B" w:rsidP="00883A98">
            <w:pPr>
              <w:pStyle w:val="Text1"/>
              <w:spacing w:before="0" w:after="0"/>
              <w:ind w:left="0"/>
              <w:jc w:val="right"/>
              <w:rPr>
                <w:sz w:val="20"/>
                <w:szCs w:val="20"/>
                <w:lang w:val="fr-BE"/>
              </w:rPr>
            </w:pPr>
            <w:r w:rsidRPr="004A389B">
              <w:rPr>
                <w:noProof/>
                <w:sz w:val="20"/>
                <w:szCs w:val="20"/>
              </w:rPr>
              <w:t>1,67</w:t>
            </w: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sidRPr="004A389B">
              <w:rPr>
                <w:noProof/>
                <w:sz w:val="20"/>
                <w:szCs w:val="20"/>
              </w:rPr>
              <w:t>18.253,54</w:t>
            </w: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noProof/>
                <w:sz w:val="20"/>
                <w:szCs w:val="20"/>
              </w:rPr>
              <w:t>0,48</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noProof/>
                <w:sz w:val="20"/>
                <w:szCs w:val="20"/>
              </w:rPr>
              <w:t>Posebni cilj2.Nacionalni cilj2 Vključevanje</w:t>
            </w:r>
          </w:p>
        </w:tc>
        <w:tc>
          <w:tcPr>
            <w:tcW w:w="0" w:type="auto"/>
          </w:tcPr>
          <w:p w:rsidR="004677D0" w:rsidRPr="004A389B" w:rsidRDefault="0011309B" w:rsidP="004677D0">
            <w:pPr>
              <w:pStyle w:val="Text1"/>
              <w:spacing w:before="0" w:after="0"/>
              <w:ind w:left="0"/>
              <w:jc w:val="right"/>
              <w:rPr>
                <w:sz w:val="20"/>
                <w:szCs w:val="20"/>
                <w:lang w:val="fr-BE"/>
              </w:rPr>
            </w:pPr>
            <w:r w:rsidRPr="004A389B">
              <w:rPr>
                <w:noProof/>
                <w:sz w:val="20"/>
                <w:szCs w:val="20"/>
              </w:rPr>
              <w:t>1.065.569,06</w:t>
            </w:r>
          </w:p>
        </w:tc>
        <w:tc>
          <w:tcPr>
            <w:tcW w:w="0" w:type="auto"/>
          </w:tcPr>
          <w:p w:rsidR="004677D0" w:rsidRPr="004A389B" w:rsidRDefault="0011309B" w:rsidP="00883A98">
            <w:pPr>
              <w:pStyle w:val="Text1"/>
              <w:spacing w:before="0" w:after="0"/>
              <w:ind w:left="0"/>
              <w:jc w:val="right"/>
              <w:rPr>
                <w:sz w:val="20"/>
                <w:szCs w:val="20"/>
                <w:lang w:val="fr-BE"/>
              </w:rPr>
            </w:pPr>
            <w:r w:rsidRPr="004A389B">
              <w:rPr>
                <w:noProof/>
                <w:sz w:val="20"/>
                <w:szCs w:val="20"/>
              </w:rPr>
              <w:t>97,57</w:t>
            </w: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sidRPr="004A389B">
              <w:rPr>
                <w:noProof/>
                <w:sz w:val="20"/>
                <w:szCs w:val="20"/>
              </w:rPr>
              <w:t>3.755.391,43</w:t>
            </w: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noProof/>
                <w:sz w:val="20"/>
                <w:szCs w:val="20"/>
              </w:rPr>
              <w:t>98,09</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noProof/>
                <w:sz w:val="20"/>
                <w:szCs w:val="20"/>
              </w:rPr>
              <w:t xml:space="preserve">Posebni cilj2.Nacionalni cilj3 </w:t>
            </w:r>
            <w:r w:rsidRPr="004A389B">
              <w:rPr>
                <w:noProof/>
                <w:sz w:val="20"/>
                <w:szCs w:val="20"/>
              </w:rPr>
              <w:t>Zmogljivost</w:t>
            </w:r>
          </w:p>
        </w:tc>
        <w:tc>
          <w:tcPr>
            <w:tcW w:w="0" w:type="auto"/>
          </w:tcPr>
          <w:p w:rsidR="004677D0" w:rsidRPr="004A389B" w:rsidRDefault="0011309B" w:rsidP="004677D0">
            <w:pPr>
              <w:pStyle w:val="Text1"/>
              <w:spacing w:before="0" w:after="0"/>
              <w:ind w:left="0"/>
              <w:jc w:val="right"/>
              <w:rPr>
                <w:sz w:val="20"/>
                <w:szCs w:val="20"/>
                <w:lang w:val="fr-BE"/>
              </w:rPr>
            </w:pPr>
            <w:r w:rsidRPr="004A389B">
              <w:rPr>
                <w:noProof/>
                <w:sz w:val="20"/>
                <w:szCs w:val="20"/>
              </w:rPr>
              <w:t>8.321,01</w:t>
            </w:r>
          </w:p>
        </w:tc>
        <w:tc>
          <w:tcPr>
            <w:tcW w:w="0" w:type="auto"/>
          </w:tcPr>
          <w:p w:rsidR="004677D0" w:rsidRPr="004A389B" w:rsidRDefault="0011309B" w:rsidP="00883A98">
            <w:pPr>
              <w:pStyle w:val="Text1"/>
              <w:spacing w:before="0" w:after="0"/>
              <w:ind w:left="0"/>
              <w:jc w:val="right"/>
              <w:rPr>
                <w:sz w:val="20"/>
                <w:szCs w:val="20"/>
                <w:lang w:val="fr-BE"/>
              </w:rPr>
            </w:pPr>
            <w:r w:rsidRPr="004A389B">
              <w:rPr>
                <w:noProof/>
                <w:sz w:val="20"/>
                <w:szCs w:val="20"/>
              </w:rPr>
              <w:t>0,76</w:t>
            </w: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sidRPr="004A389B">
              <w:rPr>
                <w:noProof/>
                <w:sz w:val="20"/>
                <w:szCs w:val="20"/>
              </w:rPr>
              <w:t>54.986,08</w:t>
            </w: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noProof/>
                <w:sz w:val="20"/>
                <w:szCs w:val="20"/>
              </w:rPr>
              <w:t>1,44</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b/>
                <w:noProof/>
                <w:sz w:val="20"/>
                <w:szCs w:val="20"/>
              </w:rPr>
              <w:t>SKUPAJ NACIONALNI CILJI / POSEBNI CILJI2</w:t>
            </w:r>
          </w:p>
        </w:tc>
        <w:tc>
          <w:tcPr>
            <w:tcW w:w="0" w:type="auto"/>
          </w:tcPr>
          <w:p w:rsidR="004677D0" w:rsidRPr="004A389B" w:rsidRDefault="0011309B" w:rsidP="004677D0">
            <w:pPr>
              <w:pStyle w:val="Text1"/>
              <w:spacing w:before="0" w:after="0"/>
              <w:ind w:left="0"/>
              <w:jc w:val="right"/>
              <w:rPr>
                <w:sz w:val="20"/>
                <w:szCs w:val="20"/>
                <w:lang w:val="fr-BE"/>
              </w:rPr>
            </w:pPr>
            <w:r w:rsidRPr="004A389B">
              <w:rPr>
                <w:b/>
                <w:noProof/>
                <w:sz w:val="20"/>
                <w:szCs w:val="20"/>
              </w:rPr>
              <w:t>1.092.143,61</w:t>
            </w:r>
          </w:p>
        </w:tc>
        <w:tc>
          <w:tcPr>
            <w:tcW w:w="0" w:type="auto"/>
          </w:tcPr>
          <w:p w:rsidR="004677D0" w:rsidRPr="004A389B" w:rsidRDefault="0011309B"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Pr>
                <w:b/>
                <w:noProof/>
                <w:sz w:val="20"/>
                <w:szCs w:val="20"/>
              </w:rPr>
              <w:t>3.828.631,05</w:t>
            </w: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b/>
                <w:noProof/>
                <w:sz w:val="20"/>
                <w:szCs w:val="20"/>
              </w:rPr>
              <w:t>100,00</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b/>
                <w:noProof/>
                <w:sz w:val="20"/>
                <w:szCs w:val="20"/>
              </w:rPr>
              <w:t>SKUPAJ Posebni cilj2</w:t>
            </w:r>
          </w:p>
        </w:tc>
        <w:tc>
          <w:tcPr>
            <w:tcW w:w="0" w:type="auto"/>
          </w:tcPr>
          <w:p w:rsidR="004677D0" w:rsidRPr="004A389B" w:rsidRDefault="0011309B" w:rsidP="004677D0">
            <w:pPr>
              <w:pStyle w:val="Text1"/>
              <w:spacing w:before="0" w:after="0"/>
              <w:ind w:left="0"/>
              <w:jc w:val="right"/>
              <w:rPr>
                <w:sz w:val="20"/>
                <w:szCs w:val="20"/>
                <w:lang w:val="fr-BE"/>
              </w:rPr>
            </w:pPr>
            <w:r w:rsidRPr="004A389B">
              <w:rPr>
                <w:b/>
                <w:noProof/>
                <w:sz w:val="20"/>
                <w:szCs w:val="20"/>
              </w:rPr>
              <w:t>1.092.143,61</w:t>
            </w:r>
          </w:p>
        </w:tc>
        <w:tc>
          <w:tcPr>
            <w:tcW w:w="0" w:type="auto"/>
          </w:tcPr>
          <w:p w:rsidR="004677D0" w:rsidRPr="004A389B" w:rsidRDefault="0011309B" w:rsidP="00883A98">
            <w:pPr>
              <w:pStyle w:val="Text1"/>
              <w:spacing w:before="0" w:after="0"/>
              <w:ind w:left="0"/>
              <w:jc w:val="right"/>
              <w:rPr>
                <w:sz w:val="20"/>
                <w:szCs w:val="20"/>
                <w:lang w:val="fr-BE"/>
              </w:rPr>
            </w:pPr>
            <w:r w:rsidRPr="004A389B">
              <w:rPr>
                <w:b/>
                <w:noProof/>
                <w:sz w:val="20"/>
                <w:szCs w:val="20"/>
              </w:rPr>
              <w:t>55,62</w:t>
            </w: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Pr>
                <w:b/>
                <w:noProof/>
                <w:sz w:val="20"/>
                <w:szCs w:val="20"/>
              </w:rPr>
              <w:t>3.828.631,05</w:t>
            </w: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b/>
                <w:noProof/>
                <w:sz w:val="20"/>
                <w:szCs w:val="20"/>
              </w:rPr>
              <w:t>39,37</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noProof/>
                <w:sz w:val="20"/>
                <w:szCs w:val="20"/>
              </w:rPr>
              <w:t>Posebni cilj3.Nacionalni cilj1 Spremljevalni ukrepi</w:t>
            </w:r>
          </w:p>
        </w:tc>
        <w:tc>
          <w:tcPr>
            <w:tcW w:w="0" w:type="auto"/>
          </w:tcPr>
          <w:p w:rsidR="004677D0" w:rsidRPr="004A389B" w:rsidRDefault="0011309B" w:rsidP="004677D0">
            <w:pPr>
              <w:pStyle w:val="Text1"/>
              <w:spacing w:before="0" w:after="0"/>
              <w:ind w:left="0"/>
              <w:jc w:val="right"/>
              <w:rPr>
                <w:sz w:val="20"/>
                <w:szCs w:val="20"/>
                <w:lang w:val="fr-BE"/>
              </w:rPr>
            </w:pPr>
            <w:r w:rsidRPr="004A389B">
              <w:rPr>
                <w:noProof/>
                <w:sz w:val="20"/>
                <w:szCs w:val="20"/>
              </w:rPr>
              <w:t>390.864,64</w:t>
            </w:r>
          </w:p>
        </w:tc>
        <w:tc>
          <w:tcPr>
            <w:tcW w:w="0" w:type="auto"/>
          </w:tcPr>
          <w:p w:rsidR="004677D0" w:rsidRPr="004A389B" w:rsidRDefault="0011309B" w:rsidP="00883A98">
            <w:pPr>
              <w:pStyle w:val="Text1"/>
              <w:spacing w:before="0" w:after="0"/>
              <w:ind w:left="0"/>
              <w:jc w:val="right"/>
              <w:rPr>
                <w:sz w:val="20"/>
                <w:szCs w:val="20"/>
                <w:lang w:val="fr-BE"/>
              </w:rPr>
            </w:pPr>
            <w:r w:rsidRPr="004A389B">
              <w:rPr>
                <w:noProof/>
                <w:sz w:val="20"/>
                <w:szCs w:val="20"/>
              </w:rPr>
              <w:t>90,71</w:t>
            </w: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sidRPr="004A389B">
              <w:rPr>
                <w:noProof/>
                <w:sz w:val="20"/>
                <w:szCs w:val="20"/>
              </w:rPr>
              <w:t>1.750.009,36</w:t>
            </w: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noProof/>
                <w:sz w:val="20"/>
                <w:szCs w:val="20"/>
              </w:rPr>
              <w:t>97,76</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noProof/>
                <w:sz w:val="20"/>
                <w:szCs w:val="20"/>
              </w:rPr>
              <w:t>Posebni cilj3.Nacionalni cilj2 Ukrepi vračanja</w:t>
            </w:r>
          </w:p>
        </w:tc>
        <w:tc>
          <w:tcPr>
            <w:tcW w:w="0" w:type="auto"/>
          </w:tcPr>
          <w:p w:rsidR="004677D0" w:rsidRPr="004A389B" w:rsidRDefault="0011309B" w:rsidP="004677D0">
            <w:pPr>
              <w:pStyle w:val="Text1"/>
              <w:spacing w:before="0" w:after="0"/>
              <w:ind w:left="0"/>
              <w:jc w:val="right"/>
              <w:rPr>
                <w:sz w:val="20"/>
                <w:szCs w:val="20"/>
                <w:lang w:val="fr-BE"/>
              </w:rPr>
            </w:pPr>
            <w:r w:rsidRPr="004A389B">
              <w:rPr>
                <w:noProof/>
                <w:sz w:val="20"/>
                <w:szCs w:val="20"/>
              </w:rPr>
              <w:t>40.042,13</w:t>
            </w:r>
          </w:p>
        </w:tc>
        <w:tc>
          <w:tcPr>
            <w:tcW w:w="0" w:type="auto"/>
          </w:tcPr>
          <w:p w:rsidR="004677D0" w:rsidRPr="004A389B" w:rsidRDefault="0011309B" w:rsidP="00883A98">
            <w:pPr>
              <w:pStyle w:val="Text1"/>
              <w:spacing w:before="0" w:after="0"/>
              <w:ind w:left="0"/>
              <w:jc w:val="right"/>
              <w:rPr>
                <w:sz w:val="20"/>
                <w:szCs w:val="20"/>
                <w:lang w:val="fr-BE"/>
              </w:rPr>
            </w:pPr>
            <w:r w:rsidRPr="004A389B">
              <w:rPr>
                <w:noProof/>
                <w:sz w:val="20"/>
                <w:szCs w:val="20"/>
              </w:rPr>
              <w:t>9,29</w:t>
            </w: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sidRPr="004A389B">
              <w:rPr>
                <w:noProof/>
                <w:sz w:val="20"/>
                <w:szCs w:val="20"/>
              </w:rPr>
              <w:t>40.042,13</w:t>
            </w: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noProof/>
                <w:sz w:val="20"/>
                <w:szCs w:val="20"/>
              </w:rPr>
              <w:t>2,24</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b/>
                <w:noProof/>
                <w:sz w:val="20"/>
                <w:szCs w:val="20"/>
              </w:rPr>
              <w:t>SKUPAJ NACIONALNI CILJI / POSEBNI CILJI3</w:t>
            </w:r>
          </w:p>
        </w:tc>
        <w:tc>
          <w:tcPr>
            <w:tcW w:w="0" w:type="auto"/>
          </w:tcPr>
          <w:p w:rsidR="004677D0" w:rsidRPr="004A389B" w:rsidRDefault="0011309B" w:rsidP="004677D0">
            <w:pPr>
              <w:pStyle w:val="Text1"/>
              <w:spacing w:before="0" w:after="0"/>
              <w:ind w:left="0"/>
              <w:jc w:val="right"/>
              <w:rPr>
                <w:sz w:val="20"/>
                <w:szCs w:val="20"/>
                <w:lang w:val="fr-BE"/>
              </w:rPr>
            </w:pPr>
            <w:r w:rsidRPr="004A389B">
              <w:rPr>
                <w:b/>
                <w:noProof/>
                <w:sz w:val="20"/>
                <w:szCs w:val="20"/>
              </w:rPr>
              <w:t>430.906,77</w:t>
            </w:r>
          </w:p>
        </w:tc>
        <w:tc>
          <w:tcPr>
            <w:tcW w:w="0" w:type="auto"/>
          </w:tcPr>
          <w:p w:rsidR="004677D0" w:rsidRPr="004A389B" w:rsidRDefault="0011309B"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Pr>
                <w:b/>
                <w:noProof/>
                <w:sz w:val="20"/>
                <w:szCs w:val="20"/>
              </w:rPr>
              <w:t>1.790.051,49</w:t>
            </w: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b/>
                <w:noProof/>
                <w:sz w:val="20"/>
                <w:szCs w:val="20"/>
              </w:rPr>
              <w:t>100,00</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b/>
                <w:noProof/>
                <w:sz w:val="20"/>
                <w:szCs w:val="20"/>
              </w:rPr>
              <w:t>SKUPAJ Posebni cilj3</w:t>
            </w:r>
          </w:p>
        </w:tc>
        <w:tc>
          <w:tcPr>
            <w:tcW w:w="0" w:type="auto"/>
          </w:tcPr>
          <w:p w:rsidR="004677D0" w:rsidRPr="004A389B" w:rsidRDefault="0011309B" w:rsidP="004677D0">
            <w:pPr>
              <w:pStyle w:val="Text1"/>
              <w:spacing w:before="0" w:after="0"/>
              <w:ind w:left="0"/>
              <w:jc w:val="right"/>
              <w:rPr>
                <w:sz w:val="20"/>
                <w:szCs w:val="20"/>
                <w:lang w:val="fr-BE"/>
              </w:rPr>
            </w:pPr>
            <w:r w:rsidRPr="004A389B">
              <w:rPr>
                <w:b/>
                <w:noProof/>
                <w:sz w:val="20"/>
                <w:szCs w:val="20"/>
              </w:rPr>
              <w:t>430.906,77</w:t>
            </w:r>
          </w:p>
        </w:tc>
        <w:tc>
          <w:tcPr>
            <w:tcW w:w="0" w:type="auto"/>
          </w:tcPr>
          <w:p w:rsidR="004677D0" w:rsidRPr="004A389B" w:rsidRDefault="0011309B" w:rsidP="00883A98">
            <w:pPr>
              <w:pStyle w:val="Text1"/>
              <w:spacing w:before="0" w:after="0"/>
              <w:ind w:left="0"/>
              <w:jc w:val="right"/>
              <w:rPr>
                <w:sz w:val="20"/>
                <w:szCs w:val="20"/>
                <w:lang w:val="fr-BE"/>
              </w:rPr>
            </w:pPr>
            <w:r w:rsidRPr="004A389B">
              <w:rPr>
                <w:b/>
                <w:noProof/>
                <w:sz w:val="20"/>
                <w:szCs w:val="20"/>
              </w:rPr>
              <w:t>21,94</w:t>
            </w: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Pr>
                <w:b/>
                <w:noProof/>
                <w:sz w:val="20"/>
                <w:szCs w:val="20"/>
              </w:rPr>
              <w:t>1.790.051,49</w:t>
            </w: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b/>
                <w:noProof/>
                <w:sz w:val="20"/>
                <w:szCs w:val="20"/>
              </w:rPr>
              <w:t>18,41</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noProof/>
                <w:sz w:val="20"/>
                <w:szCs w:val="20"/>
              </w:rPr>
              <w:t>Obljubljena sredstva</w:t>
            </w:r>
            <w:r w:rsidRPr="004A389B">
              <w:rPr>
                <w:noProof/>
                <w:sz w:val="20"/>
                <w:szCs w:val="20"/>
              </w:rPr>
              <w:t xml:space="preserve"> (prednostne naloge Unije)</w:t>
            </w:r>
          </w:p>
        </w:tc>
        <w:tc>
          <w:tcPr>
            <w:tcW w:w="0" w:type="auto"/>
          </w:tcPr>
          <w:p w:rsidR="004677D0" w:rsidRPr="004A389B" w:rsidRDefault="0011309B" w:rsidP="004677D0">
            <w:pPr>
              <w:pStyle w:val="Text1"/>
              <w:spacing w:before="0" w:after="0"/>
              <w:ind w:left="0"/>
              <w:jc w:val="right"/>
              <w:rPr>
                <w:sz w:val="20"/>
                <w:szCs w:val="20"/>
                <w:lang w:val="fr-BE"/>
              </w:rPr>
            </w:pPr>
            <w:r w:rsidRPr="004A389B">
              <w:rPr>
                <w:noProof/>
                <w:sz w:val="20"/>
                <w:szCs w:val="20"/>
              </w:rPr>
              <w:t>0,00</w:t>
            </w:r>
          </w:p>
        </w:tc>
        <w:tc>
          <w:tcPr>
            <w:tcW w:w="0" w:type="auto"/>
          </w:tcPr>
          <w:p w:rsidR="004677D0" w:rsidRPr="004A389B" w:rsidRDefault="0011309B" w:rsidP="00883A98">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sidRPr="004A389B">
              <w:rPr>
                <w:noProof/>
                <w:sz w:val="20"/>
                <w:szCs w:val="20"/>
              </w:rPr>
              <w:t>340.000,00</w:t>
            </w: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noProof/>
                <w:sz w:val="20"/>
                <w:szCs w:val="20"/>
              </w:rPr>
              <w:t>18,30</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noProof/>
                <w:sz w:val="20"/>
                <w:szCs w:val="20"/>
              </w:rPr>
              <w:t>Predaje</w:t>
            </w:r>
          </w:p>
        </w:tc>
        <w:tc>
          <w:tcPr>
            <w:tcW w:w="0" w:type="auto"/>
          </w:tcPr>
          <w:p w:rsidR="004677D0" w:rsidRPr="004A389B" w:rsidRDefault="0011309B" w:rsidP="004677D0">
            <w:pPr>
              <w:pStyle w:val="Text1"/>
              <w:spacing w:before="0" w:after="0"/>
              <w:ind w:left="0"/>
              <w:jc w:val="right"/>
              <w:rPr>
                <w:sz w:val="20"/>
                <w:szCs w:val="20"/>
                <w:lang w:val="fr-BE"/>
              </w:rPr>
            </w:pPr>
            <w:r w:rsidRPr="004A389B">
              <w:rPr>
                <w:noProof/>
                <w:sz w:val="20"/>
                <w:szCs w:val="20"/>
              </w:rPr>
              <w:t>0,00</w:t>
            </w:r>
          </w:p>
        </w:tc>
        <w:tc>
          <w:tcPr>
            <w:tcW w:w="0" w:type="auto"/>
          </w:tcPr>
          <w:p w:rsidR="004677D0" w:rsidRPr="004A389B" w:rsidRDefault="0011309B" w:rsidP="00883A98">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noProof/>
                <w:sz w:val="20"/>
                <w:szCs w:val="20"/>
              </w:rPr>
              <w:t>0,00</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noProof/>
                <w:sz w:val="20"/>
                <w:szCs w:val="20"/>
              </w:rPr>
              <w:t>Premestitve</w:t>
            </w:r>
          </w:p>
        </w:tc>
        <w:tc>
          <w:tcPr>
            <w:tcW w:w="0" w:type="auto"/>
          </w:tcPr>
          <w:p w:rsidR="004677D0" w:rsidRPr="004A389B" w:rsidRDefault="0011309B" w:rsidP="004677D0">
            <w:pPr>
              <w:pStyle w:val="Text1"/>
              <w:spacing w:before="0" w:after="0"/>
              <w:ind w:left="0"/>
              <w:jc w:val="right"/>
              <w:rPr>
                <w:sz w:val="20"/>
                <w:szCs w:val="20"/>
                <w:lang w:val="fr-BE"/>
              </w:rPr>
            </w:pPr>
            <w:r w:rsidRPr="004A389B">
              <w:rPr>
                <w:noProof/>
                <w:sz w:val="20"/>
                <w:szCs w:val="20"/>
              </w:rPr>
              <w:t>0,00</w:t>
            </w:r>
          </w:p>
        </w:tc>
        <w:tc>
          <w:tcPr>
            <w:tcW w:w="0" w:type="auto"/>
          </w:tcPr>
          <w:p w:rsidR="004677D0" w:rsidRPr="004A389B" w:rsidRDefault="0011309B" w:rsidP="00883A98">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sidRPr="004A389B">
              <w:rPr>
                <w:noProof/>
                <w:sz w:val="20"/>
                <w:szCs w:val="20"/>
              </w:rPr>
              <w:t>1.518.000,00</w:t>
            </w: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noProof/>
                <w:sz w:val="20"/>
                <w:szCs w:val="20"/>
              </w:rPr>
              <w:t>81,70</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b/>
                <w:noProof/>
                <w:sz w:val="20"/>
                <w:szCs w:val="20"/>
              </w:rPr>
              <w:t>SKUPAJ posebni primeri</w:t>
            </w:r>
          </w:p>
        </w:tc>
        <w:tc>
          <w:tcPr>
            <w:tcW w:w="0" w:type="auto"/>
          </w:tcPr>
          <w:p w:rsidR="004677D0" w:rsidRPr="004A389B" w:rsidRDefault="0011309B" w:rsidP="004677D0">
            <w:pPr>
              <w:pStyle w:val="Text1"/>
              <w:spacing w:before="0" w:after="0"/>
              <w:ind w:left="0"/>
              <w:jc w:val="right"/>
              <w:rPr>
                <w:sz w:val="20"/>
                <w:szCs w:val="20"/>
                <w:lang w:val="fr-BE"/>
              </w:rPr>
            </w:pPr>
            <w:r w:rsidRPr="004A389B">
              <w:rPr>
                <w:b/>
                <w:noProof/>
                <w:sz w:val="20"/>
                <w:szCs w:val="20"/>
              </w:rPr>
              <w:t>0,00</w:t>
            </w:r>
          </w:p>
        </w:tc>
        <w:tc>
          <w:tcPr>
            <w:tcW w:w="0" w:type="auto"/>
          </w:tcPr>
          <w:p w:rsidR="004677D0" w:rsidRPr="004A389B" w:rsidRDefault="0011309B" w:rsidP="00883A98">
            <w:pPr>
              <w:pStyle w:val="Text1"/>
              <w:spacing w:before="0" w:after="0"/>
              <w:ind w:left="0"/>
              <w:jc w:val="right"/>
              <w:rPr>
                <w:sz w:val="20"/>
                <w:szCs w:val="20"/>
                <w:lang w:val="fr-BE"/>
              </w:rPr>
            </w:pPr>
            <w:r w:rsidRPr="004A389B">
              <w:rPr>
                <w:b/>
                <w:noProof/>
                <w:sz w:val="20"/>
                <w:szCs w:val="20"/>
              </w:rPr>
              <w:t>0,00</w:t>
            </w: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Pr>
                <w:b/>
                <w:noProof/>
                <w:sz w:val="20"/>
                <w:szCs w:val="20"/>
              </w:rPr>
              <w:t>1.858.000,00</w:t>
            </w: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b/>
                <w:noProof/>
                <w:sz w:val="20"/>
                <w:szCs w:val="20"/>
              </w:rPr>
              <w:t>19,11</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noProof/>
                <w:sz w:val="20"/>
                <w:szCs w:val="20"/>
              </w:rPr>
              <w:t>Tehnična pomoč</w:t>
            </w:r>
          </w:p>
        </w:tc>
        <w:tc>
          <w:tcPr>
            <w:tcW w:w="0" w:type="auto"/>
          </w:tcPr>
          <w:p w:rsidR="004677D0" w:rsidRPr="004A389B" w:rsidRDefault="0011309B" w:rsidP="004677D0">
            <w:pPr>
              <w:pStyle w:val="Text1"/>
              <w:spacing w:before="0" w:after="0"/>
              <w:ind w:left="0"/>
              <w:jc w:val="right"/>
              <w:rPr>
                <w:sz w:val="20"/>
                <w:szCs w:val="20"/>
                <w:lang w:val="fr-BE"/>
              </w:rPr>
            </w:pPr>
            <w:r w:rsidRPr="004A389B">
              <w:rPr>
                <w:noProof/>
                <w:sz w:val="20"/>
                <w:szCs w:val="20"/>
              </w:rPr>
              <w:t>11.432,12</w:t>
            </w:r>
          </w:p>
        </w:tc>
        <w:tc>
          <w:tcPr>
            <w:tcW w:w="0" w:type="auto"/>
          </w:tcPr>
          <w:p w:rsidR="004677D0" w:rsidRPr="004A389B" w:rsidRDefault="0011309B" w:rsidP="00883A98">
            <w:pPr>
              <w:pStyle w:val="Text1"/>
              <w:spacing w:before="0" w:after="0"/>
              <w:ind w:left="0"/>
              <w:jc w:val="right"/>
              <w:rPr>
                <w:sz w:val="20"/>
                <w:szCs w:val="20"/>
                <w:lang w:val="fr-BE"/>
              </w:rPr>
            </w:pPr>
            <w:r w:rsidRPr="004A389B">
              <w:rPr>
                <w:noProof/>
                <w:sz w:val="20"/>
                <w:szCs w:val="20"/>
              </w:rPr>
              <w:t>0,58</w:t>
            </w: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sidRPr="004A389B">
              <w:rPr>
                <w:noProof/>
                <w:sz w:val="20"/>
                <w:szCs w:val="20"/>
              </w:rPr>
              <w:t>198.566,60</w:t>
            </w: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noProof/>
                <w:sz w:val="20"/>
                <w:szCs w:val="20"/>
              </w:rPr>
              <w:t>2,04</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b/>
                <w:noProof/>
                <w:sz w:val="20"/>
                <w:szCs w:val="20"/>
              </w:rPr>
              <w:t>TOTAL</w:t>
            </w:r>
          </w:p>
        </w:tc>
        <w:tc>
          <w:tcPr>
            <w:tcW w:w="0" w:type="auto"/>
          </w:tcPr>
          <w:p w:rsidR="004677D0" w:rsidRPr="004A389B" w:rsidRDefault="0011309B" w:rsidP="004677D0">
            <w:pPr>
              <w:pStyle w:val="Text1"/>
              <w:spacing w:before="0" w:after="0"/>
              <w:ind w:left="0"/>
              <w:jc w:val="right"/>
              <w:rPr>
                <w:sz w:val="20"/>
                <w:szCs w:val="20"/>
                <w:lang w:val="fr-BE"/>
              </w:rPr>
            </w:pPr>
            <w:r w:rsidRPr="004A389B">
              <w:rPr>
                <w:b/>
                <w:noProof/>
                <w:sz w:val="20"/>
                <w:szCs w:val="20"/>
              </w:rPr>
              <w:t>1.963.582,30</w:t>
            </w:r>
          </w:p>
        </w:tc>
        <w:tc>
          <w:tcPr>
            <w:tcW w:w="0" w:type="auto"/>
          </w:tcPr>
          <w:p w:rsidR="004677D0" w:rsidRPr="004A389B" w:rsidRDefault="004677D0" w:rsidP="00883A98">
            <w:pPr>
              <w:pStyle w:val="Text1"/>
              <w:spacing w:before="0" w:after="0"/>
              <w:ind w:left="0"/>
              <w:jc w:val="right"/>
              <w:rPr>
                <w:sz w:val="20"/>
                <w:szCs w:val="20"/>
                <w:lang w:val="fr-BE"/>
              </w:rPr>
            </w:pPr>
          </w:p>
        </w:tc>
        <w:tc>
          <w:tcPr>
            <w:tcW w:w="0" w:type="auto"/>
            <w:shd w:val="clear" w:color="auto" w:fill="auto"/>
          </w:tcPr>
          <w:p w:rsidR="004677D0" w:rsidRPr="004A389B" w:rsidRDefault="0011309B" w:rsidP="004677D0">
            <w:pPr>
              <w:pStyle w:val="Text1"/>
              <w:spacing w:before="0" w:after="0"/>
              <w:ind w:left="0"/>
              <w:jc w:val="right"/>
              <w:rPr>
                <w:sz w:val="20"/>
                <w:szCs w:val="20"/>
                <w:lang w:val="fr-BE"/>
              </w:rPr>
            </w:pPr>
            <w:r>
              <w:rPr>
                <w:b/>
                <w:noProof/>
                <w:sz w:val="20"/>
                <w:szCs w:val="20"/>
              </w:rPr>
              <w:t>9.724.115,93</w:t>
            </w:r>
          </w:p>
        </w:tc>
        <w:tc>
          <w:tcPr>
            <w:tcW w:w="0" w:type="auto"/>
            <w:shd w:val="clear" w:color="auto" w:fill="auto"/>
          </w:tcPr>
          <w:p w:rsidR="004677D0" w:rsidRPr="004A389B" w:rsidRDefault="004677D0" w:rsidP="00883A98">
            <w:pPr>
              <w:pStyle w:val="Text1"/>
              <w:spacing w:before="0" w:after="0"/>
              <w:ind w:left="0"/>
              <w:jc w:val="right"/>
              <w:rPr>
                <w:sz w:val="20"/>
                <w:szCs w:val="20"/>
                <w:lang w:val="fr-BE"/>
              </w:rPr>
            </w:pP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noProof/>
                <w:color w:val="FF0000"/>
                <w:sz w:val="20"/>
                <w:szCs w:val="20"/>
              </w:rPr>
              <w:t>NC PC1 skupaj / Osnovna dodelitev iz Sklada za azil, migracije in vključevanje (AMIF)</w:t>
            </w:r>
          </w:p>
        </w:tc>
        <w:tc>
          <w:tcPr>
            <w:tcW w:w="0" w:type="auto"/>
          </w:tcPr>
          <w:p w:rsidR="004677D0" w:rsidRPr="004A389B" w:rsidRDefault="004677D0" w:rsidP="004677D0">
            <w:pPr>
              <w:pStyle w:val="Text1"/>
              <w:spacing w:before="0" w:after="0"/>
              <w:ind w:left="0"/>
              <w:jc w:val="right"/>
              <w:rPr>
                <w:sz w:val="20"/>
                <w:szCs w:val="20"/>
                <w:lang w:val="fr-BE"/>
              </w:rPr>
            </w:pPr>
          </w:p>
        </w:tc>
        <w:tc>
          <w:tcPr>
            <w:tcW w:w="0" w:type="auto"/>
          </w:tcPr>
          <w:p w:rsidR="004677D0" w:rsidRPr="004A389B" w:rsidRDefault="0011309B" w:rsidP="00883A98">
            <w:pPr>
              <w:pStyle w:val="Text1"/>
              <w:spacing w:before="0" w:after="0"/>
              <w:ind w:left="0"/>
              <w:jc w:val="right"/>
              <w:rPr>
                <w:sz w:val="20"/>
                <w:szCs w:val="20"/>
                <w:lang w:val="fr-BE"/>
              </w:rPr>
            </w:pPr>
            <w:r w:rsidRPr="004A389B">
              <w:rPr>
                <w:noProof/>
                <w:color w:val="FF0000"/>
                <w:sz w:val="20"/>
                <w:szCs w:val="20"/>
              </w:rPr>
              <w:t>2,32</w:t>
            </w:r>
          </w:p>
        </w:tc>
        <w:tc>
          <w:tcPr>
            <w:tcW w:w="0" w:type="auto"/>
            <w:shd w:val="clear" w:color="auto" w:fill="auto"/>
          </w:tcPr>
          <w:p w:rsidR="004677D0" w:rsidRPr="004A389B" w:rsidRDefault="004677D0" w:rsidP="004677D0">
            <w:pPr>
              <w:pStyle w:val="Text1"/>
              <w:spacing w:before="0" w:after="0"/>
              <w:ind w:left="0"/>
              <w:jc w:val="right"/>
              <w:rPr>
                <w:sz w:val="20"/>
                <w:szCs w:val="20"/>
                <w:lang w:val="fr-BE"/>
              </w:rPr>
            </w:pP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noProof/>
                <w:color w:val="FF0000"/>
                <w:sz w:val="20"/>
                <w:szCs w:val="20"/>
              </w:rPr>
              <w:t>11,06</w:t>
            </w:r>
          </w:p>
        </w:tc>
      </w:tr>
      <w:tr w:rsidR="00855A95" w:rsidTr="004677D0">
        <w:tc>
          <w:tcPr>
            <w:tcW w:w="0" w:type="auto"/>
            <w:shd w:val="clear" w:color="auto" w:fill="auto"/>
          </w:tcPr>
          <w:p w:rsidR="004677D0" w:rsidRPr="004A389B" w:rsidRDefault="0011309B" w:rsidP="004677D0">
            <w:pPr>
              <w:pStyle w:val="Text1"/>
              <w:spacing w:before="0" w:after="0"/>
              <w:ind w:left="0"/>
              <w:rPr>
                <w:sz w:val="20"/>
                <w:szCs w:val="20"/>
                <w:lang w:val="fr-BE"/>
              </w:rPr>
            </w:pPr>
            <w:r w:rsidRPr="004A389B">
              <w:rPr>
                <w:noProof/>
                <w:color w:val="FF0000"/>
                <w:sz w:val="20"/>
                <w:szCs w:val="20"/>
              </w:rPr>
              <w:t>NC PC2 skupaj / Osnovna dodelitev iz Sklada za azil, migracije in vključevanje (AMIF)</w:t>
            </w:r>
          </w:p>
        </w:tc>
        <w:tc>
          <w:tcPr>
            <w:tcW w:w="0" w:type="auto"/>
          </w:tcPr>
          <w:p w:rsidR="004677D0" w:rsidRPr="004A389B" w:rsidRDefault="004677D0" w:rsidP="004677D0">
            <w:pPr>
              <w:pStyle w:val="Text1"/>
              <w:spacing w:before="0" w:after="0"/>
              <w:ind w:left="0"/>
              <w:jc w:val="right"/>
              <w:rPr>
                <w:sz w:val="20"/>
                <w:szCs w:val="20"/>
                <w:lang w:val="fr-BE"/>
              </w:rPr>
            </w:pPr>
          </w:p>
        </w:tc>
        <w:tc>
          <w:tcPr>
            <w:tcW w:w="0" w:type="auto"/>
          </w:tcPr>
          <w:p w:rsidR="004677D0" w:rsidRPr="004A389B" w:rsidRDefault="0011309B" w:rsidP="00883A98">
            <w:pPr>
              <w:pStyle w:val="Text1"/>
              <w:spacing w:before="0" w:after="0"/>
              <w:ind w:left="0"/>
              <w:jc w:val="right"/>
              <w:rPr>
                <w:sz w:val="20"/>
                <w:szCs w:val="20"/>
                <w:lang w:val="fr-BE"/>
              </w:rPr>
            </w:pPr>
            <w:r w:rsidRPr="004A389B">
              <w:rPr>
                <w:noProof/>
                <w:color w:val="FF0000"/>
                <w:sz w:val="20"/>
                <w:szCs w:val="20"/>
              </w:rPr>
              <w:t>5,90</w:t>
            </w:r>
          </w:p>
        </w:tc>
        <w:tc>
          <w:tcPr>
            <w:tcW w:w="0" w:type="auto"/>
            <w:shd w:val="clear" w:color="auto" w:fill="auto"/>
          </w:tcPr>
          <w:p w:rsidR="004677D0" w:rsidRPr="004A389B" w:rsidRDefault="004677D0" w:rsidP="004677D0">
            <w:pPr>
              <w:pStyle w:val="Text1"/>
              <w:spacing w:before="0" w:after="0"/>
              <w:ind w:left="0"/>
              <w:jc w:val="right"/>
              <w:rPr>
                <w:sz w:val="20"/>
                <w:szCs w:val="20"/>
                <w:lang w:val="fr-BE"/>
              </w:rPr>
            </w:pPr>
          </w:p>
        </w:tc>
        <w:tc>
          <w:tcPr>
            <w:tcW w:w="0" w:type="auto"/>
            <w:shd w:val="clear" w:color="auto" w:fill="auto"/>
          </w:tcPr>
          <w:p w:rsidR="004677D0" w:rsidRPr="004A389B" w:rsidRDefault="0011309B" w:rsidP="00883A98">
            <w:pPr>
              <w:pStyle w:val="Text1"/>
              <w:spacing w:before="0" w:after="0"/>
              <w:ind w:left="0"/>
              <w:jc w:val="right"/>
              <w:rPr>
                <w:sz w:val="20"/>
                <w:szCs w:val="20"/>
                <w:lang w:val="fr-BE"/>
              </w:rPr>
            </w:pPr>
            <w:r w:rsidRPr="004A389B">
              <w:rPr>
                <w:noProof/>
                <w:color w:val="FF0000"/>
                <w:sz w:val="20"/>
                <w:szCs w:val="20"/>
              </w:rPr>
              <w:t>20,68</w:t>
            </w:r>
          </w:p>
        </w:tc>
      </w:tr>
    </w:tbl>
    <w:p w:rsidR="00115C60" w:rsidRDefault="00115C60" w:rsidP="00115C60">
      <w:pPr>
        <w:pStyle w:val="Text1"/>
        <w:spacing w:before="0" w:after="0"/>
        <w:ind w:left="0"/>
        <w:rPr>
          <w:lang w:val="fr-BE"/>
        </w:rPr>
      </w:pPr>
    </w:p>
    <w:p w:rsidR="00115C60" w:rsidRDefault="00115C60" w:rsidP="00115C60">
      <w:pPr>
        <w:pStyle w:val="Text1"/>
        <w:spacing w:before="0" w:after="0"/>
        <w:ind w:left="0"/>
        <w:rPr>
          <w:lang w:val="fr-BE"/>
        </w:rPr>
        <w:sectPr w:rsidR="00115C60" w:rsidSect="0072625A">
          <w:headerReference w:type="default" r:id="rId16"/>
          <w:footerReference w:type="default" r:id="rId17"/>
          <w:pgSz w:w="11906" w:h="16838"/>
          <w:pgMar w:top="284" w:right="851" w:bottom="284" w:left="284" w:header="567" w:footer="0" w:gutter="0"/>
          <w:cols w:space="708"/>
          <w:docGrid w:linePitch="360"/>
        </w:sectPr>
      </w:pPr>
    </w:p>
    <w:p w:rsidR="00115C60" w:rsidRDefault="0011309B" w:rsidP="00115C60">
      <w:pPr>
        <w:pStyle w:val="Naslov2"/>
        <w:numPr>
          <w:ilvl w:val="0"/>
          <w:numId w:val="0"/>
        </w:numPr>
        <w:spacing w:before="0" w:after="0"/>
        <w:rPr>
          <w:lang w:val="fr-BE"/>
        </w:rPr>
      </w:pPr>
      <w:bookmarkStart w:id="20" w:name="_Toc256000021"/>
      <w:r>
        <w:rPr>
          <w:noProof/>
          <w:lang w:val="fr-BE"/>
        </w:rPr>
        <w:lastRenderedPageBreak/>
        <w:t>Preglednica 2. Obljubljena sredstva za posebne primere, kot je navedeno v obračunih</w:t>
      </w:r>
      <w:bookmarkEnd w:id="20"/>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30"/>
        <w:gridCol w:w="758"/>
        <w:gridCol w:w="758"/>
        <w:gridCol w:w="758"/>
        <w:gridCol w:w="1595"/>
        <w:gridCol w:w="1402"/>
        <w:gridCol w:w="1402"/>
        <w:gridCol w:w="759"/>
        <w:gridCol w:w="759"/>
        <w:gridCol w:w="759"/>
        <w:gridCol w:w="759"/>
        <w:gridCol w:w="1595"/>
      </w:tblGrid>
      <w:tr w:rsidR="00855A95" w:rsidTr="00003291">
        <w:tc>
          <w:tcPr>
            <w:tcW w:w="0" w:type="auto"/>
            <w:shd w:val="clear" w:color="auto" w:fill="auto"/>
          </w:tcPr>
          <w:p w:rsidR="00115C60" w:rsidRPr="004A389B" w:rsidRDefault="0011309B" w:rsidP="00003291">
            <w:pPr>
              <w:pStyle w:val="Text1"/>
              <w:spacing w:before="0" w:after="0"/>
              <w:ind w:left="0"/>
              <w:rPr>
                <w:b/>
                <w:sz w:val="12"/>
                <w:szCs w:val="12"/>
                <w:lang w:val="fr-BE"/>
              </w:rPr>
            </w:pPr>
            <w:r w:rsidRPr="004A389B">
              <w:rPr>
                <w:b/>
                <w:noProof/>
                <w:sz w:val="12"/>
                <w:szCs w:val="12"/>
                <w:lang w:val="fr-BE"/>
              </w:rPr>
              <w:t>Posebni primer zavez</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noProof/>
                <w:sz w:val="12"/>
                <w:szCs w:val="12"/>
                <w:lang w:val="fr-BE"/>
              </w:rPr>
              <w:t>Skupaj</w:t>
            </w:r>
          </w:p>
        </w:tc>
      </w:tr>
      <w:tr w:rsidR="00855A95" w:rsidTr="00003291">
        <w:tc>
          <w:tcPr>
            <w:tcW w:w="0" w:type="auto"/>
            <w:shd w:val="clear" w:color="auto" w:fill="auto"/>
          </w:tcPr>
          <w:p w:rsidR="00115C60" w:rsidRPr="004A389B" w:rsidRDefault="0011309B" w:rsidP="00003291">
            <w:pPr>
              <w:pStyle w:val="Text1"/>
              <w:spacing w:before="0" w:after="0"/>
              <w:ind w:left="0"/>
              <w:rPr>
                <w:sz w:val="12"/>
                <w:szCs w:val="12"/>
                <w:lang w:val="fr-BE"/>
              </w:rPr>
            </w:pPr>
            <w:r w:rsidRPr="004A389B">
              <w:rPr>
                <w:noProof/>
                <w:sz w:val="12"/>
                <w:szCs w:val="12"/>
                <w:lang w:val="fr-BE"/>
              </w:rPr>
              <w:t>Preselitve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210.000,00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130.000,00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340.000,00</w:t>
            </w:r>
          </w:p>
        </w:tc>
      </w:tr>
      <w:tr w:rsidR="00855A95" w:rsidTr="00003291">
        <w:tc>
          <w:tcPr>
            <w:tcW w:w="0" w:type="auto"/>
            <w:shd w:val="clear" w:color="auto" w:fill="auto"/>
          </w:tcPr>
          <w:p w:rsidR="00115C60" w:rsidRPr="004A389B" w:rsidRDefault="0011309B" w:rsidP="00003291">
            <w:pPr>
              <w:pStyle w:val="Text1"/>
              <w:spacing w:before="0" w:after="0"/>
              <w:ind w:left="0"/>
              <w:rPr>
                <w:sz w:val="12"/>
                <w:szCs w:val="12"/>
                <w:lang w:val="fr-BE"/>
              </w:rPr>
            </w:pPr>
            <w:r w:rsidRPr="004A389B">
              <w:rPr>
                <w:noProof/>
                <w:sz w:val="12"/>
                <w:szCs w:val="12"/>
                <w:lang w:val="fr-BE"/>
              </w:rPr>
              <w:t>Premestitve (2015/1523)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216.000,00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216.000,00</w:t>
            </w:r>
          </w:p>
        </w:tc>
      </w:tr>
      <w:tr w:rsidR="00855A95" w:rsidTr="00003291">
        <w:tc>
          <w:tcPr>
            <w:tcW w:w="0" w:type="auto"/>
            <w:shd w:val="clear" w:color="auto" w:fill="auto"/>
          </w:tcPr>
          <w:p w:rsidR="00115C60" w:rsidRPr="004A389B" w:rsidRDefault="0011309B" w:rsidP="00003291">
            <w:pPr>
              <w:pStyle w:val="Text1"/>
              <w:spacing w:before="0" w:after="0"/>
              <w:ind w:left="0"/>
              <w:rPr>
                <w:sz w:val="12"/>
                <w:szCs w:val="12"/>
                <w:lang w:val="fr-BE"/>
              </w:rPr>
            </w:pPr>
            <w:r w:rsidRPr="004A389B">
              <w:rPr>
                <w:noProof/>
                <w:sz w:val="12"/>
                <w:szCs w:val="12"/>
                <w:lang w:val="fr-BE"/>
              </w:rPr>
              <w:t>Premestitve (2015/1601)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1.302.000,00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1.302.000,00</w:t>
            </w:r>
          </w:p>
        </w:tc>
      </w:tr>
      <w:tr w:rsidR="00855A95" w:rsidTr="00003291">
        <w:tc>
          <w:tcPr>
            <w:tcW w:w="0" w:type="auto"/>
            <w:shd w:val="clear" w:color="auto" w:fill="auto"/>
          </w:tcPr>
          <w:p w:rsidR="00115C60" w:rsidRPr="004A389B" w:rsidRDefault="0011309B" w:rsidP="00003291">
            <w:pPr>
              <w:pStyle w:val="Text1"/>
              <w:spacing w:before="0" w:after="0"/>
              <w:ind w:left="0"/>
              <w:rPr>
                <w:sz w:val="12"/>
                <w:szCs w:val="12"/>
                <w:lang w:val="fr-BE"/>
              </w:rPr>
            </w:pPr>
            <w:r w:rsidRPr="004A389B">
              <w:rPr>
                <w:noProof/>
                <w:sz w:val="12"/>
                <w:szCs w:val="12"/>
                <w:lang w:val="fr-BE"/>
              </w:rPr>
              <w:t>Država članica: Premestitve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r>
      <w:tr w:rsidR="00855A95" w:rsidTr="00003291">
        <w:tc>
          <w:tcPr>
            <w:tcW w:w="0" w:type="auto"/>
            <w:shd w:val="clear" w:color="auto" w:fill="auto"/>
          </w:tcPr>
          <w:p w:rsidR="00115C60" w:rsidRPr="004A389B" w:rsidRDefault="0011309B" w:rsidP="00003291">
            <w:pPr>
              <w:pStyle w:val="Text1"/>
              <w:spacing w:before="0" w:after="0"/>
              <w:ind w:left="0"/>
              <w:rPr>
                <w:sz w:val="12"/>
                <w:szCs w:val="12"/>
                <w:lang w:val="fr-BE"/>
              </w:rPr>
            </w:pPr>
            <w:r w:rsidRPr="004A389B">
              <w:rPr>
                <w:noProof/>
                <w:sz w:val="12"/>
                <w:szCs w:val="12"/>
                <w:lang w:val="fr-BE"/>
              </w:rPr>
              <w:t>Premestitve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r>
      <w:tr w:rsidR="00855A95" w:rsidTr="00003291">
        <w:tc>
          <w:tcPr>
            <w:tcW w:w="0" w:type="auto"/>
            <w:shd w:val="clear" w:color="auto" w:fill="auto"/>
          </w:tcPr>
          <w:p w:rsidR="00115C60" w:rsidRPr="004A389B" w:rsidRDefault="0011309B" w:rsidP="00003291">
            <w:pPr>
              <w:pStyle w:val="Text1"/>
              <w:spacing w:before="0" w:after="0"/>
              <w:ind w:left="0"/>
              <w:rPr>
                <w:sz w:val="12"/>
                <w:szCs w:val="12"/>
                <w:lang w:val="fr-BE"/>
              </w:rPr>
            </w:pPr>
            <w:r w:rsidRPr="004A389B">
              <w:rPr>
                <w:noProof/>
                <w:sz w:val="12"/>
                <w:szCs w:val="12"/>
                <w:lang w:val="fr-BE"/>
              </w:rPr>
              <w:t>Sprejem iz Turčije (2016/1754)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r>
      <w:tr w:rsidR="00855A95" w:rsidTr="00003291">
        <w:tc>
          <w:tcPr>
            <w:tcW w:w="0" w:type="auto"/>
            <w:shd w:val="clear" w:color="auto" w:fill="auto"/>
          </w:tcPr>
          <w:p w:rsidR="00115C60" w:rsidRPr="004A389B" w:rsidRDefault="0011309B" w:rsidP="00003291">
            <w:pPr>
              <w:pStyle w:val="Text1"/>
              <w:spacing w:before="0" w:after="0"/>
              <w:ind w:left="0"/>
              <w:rPr>
                <w:sz w:val="12"/>
                <w:szCs w:val="12"/>
                <w:lang w:val="fr-BE"/>
              </w:rPr>
            </w:pPr>
            <w:r w:rsidRPr="004A389B">
              <w:rPr>
                <w:b/>
                <w:noProof/>
                <w:sz w:val="12"/>
                <w:szCs w:val="12"/>
                <w:lang w:val="fr-BE"/>
              </w:rPr>
              <w:t>SKUPAJ</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1.302.000,00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426.000,00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130.000,00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1.858.000,00</w:t>
            </w:r>
          </w:p>
        </w:tc>
      </w:tr>
    </w:tbl>
    <w:p w:rsidR="00115C60" w:rsidRDefault="00115C60" w:rsidP="00115C60">
      <w:pPr>
        <w:pStyle w:val="Text1"/>
        <w:spacing w:before="0" w:after="0"/>
        <w:ind w:left="0"/>
        <w:rPr>
          <w:lang w:val="fr-BE"/>
        </w:rPr>
      </w:pPr>
    </w:p>
    <w:p w:rsidR="00115C60" w:rsidRDefault="0011309B" w:rsidP="00115C60">
      <w:pPr>
        <w:pStyle w:val="Naslov2"/>
        <w:numPr>
          <w:ilvl w:val="0"/>
          <w:numId w:val="0"/>
        </w:numPr>
        <w:spacing w:before="0" w:after="0"/>
        <w:rPr>
          <w:lang w:val="fr-BE"/>
        </w:rPr>
      </w:pPr>
      <w:r>
        <w:rPr>
          <w:lang w:val="fr-BE"/>
        </w:rPr>
        <w:br w:type="page"/>
      </w:r>
      <w:bookmarkStart w:id="21" w:name="_Toc256000022"/>
      <w:r>
        <w:rPr>
          <w:noProof/>
          <w:lang w:val="fr-BE"/>
        </w:rPr>
        <w:lastRenderedPageBreak/>
        <w:t xml:space="preserve">Preglednica 3. Izvajanje </w:t>
      </w:r>
      <w:r>
        <w:rPr>
          <w:noProof/>
          <w:lang w:val="fr-BE"/>
        </w:rPr>
        <w:t>finančnega načrta nacionalnega programa, pri čemer je naveden skupni prispevek EU za vsako proračunsko leto</w:t>
      </w:r>
      <w:bookmarkEnd w:id="21"/>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28"/>
        <w:gridCol w:w="1210"/>
        <w:gridCol w:w="1210"/>
        <w:gridCol w:w="1210"/>
        <w:gridCol w:w="1210"/>
        <w:gridCol w:w="1210"/>
        <w:gridCol w:w="1210"/>
        <w:gridCol w:w="1210"/>
        <w:gridCol w:w="576"/>
        <w:gridCol w:w="576"/>
        <w:gridCol w:w="576"/>
        <w:gridCol w:w="1308"/>
      </w:tblGrid>
      <w:tr w:rsidR="00855A95" w:rsidTr="00003291">
        <w:tc>
          <w:tcPr>
            <w:tcW w:w="0" w:type="auto"/>
            <w:shd w:val="clear" w:color="auto" w:fill="auto"/>
          </w:tcPr>
          <w:p w:rsidR="00115C60" w:rsidRPr="004A389B" w:rsidRDefault="00115C60" w:rsidP="00003291">
            <w:pPr>
              <w:pStyle w:val="Text1"/>
              <w:spacing w:before="0" w:after="0"/>
              <w:ind w:left="0"/>
              <w:rPr>
                <w:b/>
                <w:sz w:val="12"/>
                <w:szCs w:val="12"/>
                <w:lang w:val="fr-BE"/>
              </w:rPr>
            </w:pP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115C60" w:rsidRPr="004A389B" w:rsidRDefault="0011309B" w:rsidP="00003291">
            <w:pPr>
              <w:pStyle w:val="Text1"/>
              <w:spacing w:before="0" w:after="0"/>
              <w:ind w:left="0"/>
              <w:jc w:val="center"/>
              <w:rPr>
                <w:b/>
                <w:sz w:val="12"/>
                <w:szCs w:val="12"/>
                <w:lang w:val="fr-BE"/>
              </w:rPr>
            </w:pPr>
            <w:r w:rsidRPr="004A389B">
              <w:rPr>
                <w:b/>
                <w:noProof/>
                <w:sz w:val="12"/>
                <w:szCs w:val="12"/>
                <w:lang w:val="fr-BE"/>
              </w:rPr>
              <w:t>Skupaj</w:t>
            </w:r>
          </w:p>
        </w:tc>
      </w:tr>
      <w:tr w:rsidR="00855A95" w:rsidTr="00003291">
        <w:tc>
          <w:tcPr>
            <w:tcW w:w="0" w:type="auto"/>
            <w:shd w:val="clear" w:color="auto" w:fill="auto"/>
          </w:tcPr>
          <w:p w:rsidR="00115C60" w:rsidRPr="004A389B" w:rsidRDefault="0011309B" w:rsidP="00003291">
            <w:pPr>
              <w:pStyle w:val="Text1"/>
              <w:spacing w:before="0" w:after="0"/>
              <w:ind w:left="0"/>
              <w:rPr>
                <w:sz w:val="12"/>
                <w:szCs w:val="12"/>
                <w:lang w:val="fr-BE"/>
              </w:rPr>
            </w:pPr>
            <w:r w:rsidRPr="004A389B">
              <w:rPr>
                <w:noProof/>
                <w:sz w:val="12"/>
                <w:szCs w:val="12"/>
                <w:lang w:val="fr-BE"/>
              </w:rPr>
              <w:t>Načrtovano na področju vključevanja in vračanja</w:t>
            </w:r>
            <w:r w:rsidRPr="004A389B">
              <w:rPr>
                <w:sz w:val="12"/>
                <w:szCs w:val="12"/>
                <w:lang w:val="fr-BE"/>
              </w:rPr>
              <w:t xml:space="preserve"> </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1.435.734,75</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1.435.737,00</w:t>
            </w:r>
            <w:r w:rsidRPr="004A389B">
              <w:rPr>
                <w:sz w:val="12"/>
                <w:szCs w:val="12"/>
                <w:lang w:val="fr-BE"/>
              </w:rPr>
              <w:t xml:space="preserve">  </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1.545.073,00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2.827.111,40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1.865.646,40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1.336.957,40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1.673.799,42</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12.120.059,37</w:t>
            </w:r>
          </w:p>
        </w:tc>
      </w:tr>
      <w:tr w:rsidR="00855A95" w:rsidTr="00003291">
        <w:tc>
          <w:tcPr>
            <w:tcW w:w="0" w:type="auto"/>
            <w:shd w:val="clear" w:color="auto" w:fill="auto"/>
          </w:tcPr>
          <w:p w:rsidR="00115C60" w:rsidRPr="004A389B" w:rsidRDefault="0011309B" w:rsidP="00003291">
            <w:pPr>
              <w:pStyle w:val="Text1"/>
              <w:spacing w:before="0" w:after="0"/>
              <w:ind w:left="0"/>
              <w:rPr>
                <w:sz w:val="12"/>
                <w:szCs w:val="12"/>
                <w:lang w:val="fr-BE"/>
              </w:rPr>
            </w:pPr>
            <w:r w:rsidRPr="004A389B">
              <w:rPr>
                <w:noProof/>
                <w:sz w:val="12"/>
                <w:szCs w:val="12"/>
                <w:lang w:val="fr-BE"/>
              </w:rPr>
              <w:t>Izvedeno na področju vključevanja in vračanja</w:t>
            </w:r>
            <w:r w:rsidRPr="004A389B">
              <w:rPr>
                <w:sz w:val="12"/>
                <w:szCs w:val="12"/>
                <w:lang w:val="fr-BE"/>
              </w:rPr>
              <w:t xml:space="preserve"> </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621.516,63</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296.123,22</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769.272,92</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2.511.880,35</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1.531.969,62</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5.730.762,74</w:t>
            </w:r>
          </w:p>
        </w:tc>
      </w:tr>
      <w:tr w:rsidR="00855A95" w:rsidTr="00003291">
        <w:tc>
          <w:tcPr>
            <w:tcW w:w="0" w:type="auto"/>
            <w:shd w:val="clear" w:color="auto" w:fill="auto"/>
          </w:tcPr>
          <w:p w:rsidR="00115C60" w:rsidRPr="004A389B" w:rsidRDefault="0011309B" w:rsidP="00003291">
            <w:pPr>
              <w:pStyle w:val="Text1"/>
              <w:spacing w:before="0" w:after="0"/>
              <w:ind w:left="0"/>
              <w:rPr>
                <w:sz w:val="12"/>
                <w:szCs w:val="12"/>
                <w:lang w:val="fr-BE"/>
              </w:rPr>
            </w:pPr>
            <w:r w:rsidRPr="004A389B">
              <w:rPr>
                <w:noProof/>
                <w:sz w:val="12"/>
                <w:szCs w:val="12"/>
                <w:lang w:val="fr-BE"/>
              </w:rPr>
              <w:t xml:space="preserve">Načrtovano na </w:t>
            </w:r>
            <w:r w:rsidRPr="004A389B">
              <w:rPr>
                <w:noProof/>
                <w:sz w:val="12"/>
                <w:szCs w:val="12"/>
                <w:lang w:val="fr-BE"/>
              </w:rPr>
              <w:t>področju azila in solidarnosti</w:t>
            </w:r>
            <w:r w:rsidRPr="004A389B">
              <w:rPr>
                <w:sz w:val="12"/>
                <w:szCs w:val="12"/>
                <w:lang w:val="fr-BE"/>
              </w:rPr>
              <w:t xml:space="preserve"> </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478.580,25</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538.244,00</w:t>
            </w:r>
            <w:r w:rsidRPr="004A389B">
              <w:rPr>
                <w:sz w:val="12"/>
                <w:szCs w:val="12"/>
                <w:lang w:val="fr-BE"/>
              </w:rPr>
              <w:t xml:space="preserve">  </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3.963.611,00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1.134.699,60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841.765,60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723.046,60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835.872,58</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8.515.819,63</w:t>
            </w:r>
          </w:p>
        </w:tc>
      </w:tr>
      <w:tr w:rsidR="00855A95" w:rsidTr="00003291">
        <w:tc>
          <w:tcPr>
            <w:tcW w:w="0" w:type="auto"/>
            <w:shd w:val="clear" w:color="auto" w:fill="auto"/>
          </w:tcPr>
          <w:p w:rsidR="00115C60" w:rsidRPr="004A389B" w:rsidRDefault="0011309B" w:rsidP="00003291">
            <w:pPr>
              <w:pStyle w:val="Text1"/>
              <w:spacing w:before="0" w:after="0"/>
              <w:ind w:left="0"/>
              <w:rPr>
                <w:sz w:val="12"/>
                <w:szCs w:val="12"/>
                <w:lang w:val="fr-BE"/>
              </w:rPr>
            </w:pPr>
            <w:r w:rsidRPr="004A389B">
              <w:rPr>
                <w:noProof/>
                <w:sz w:val="12"/>
                <w:szCs w:val="12"/>
                <w:lang w:val="fr-BE"/>
              </w:rPr>
              <w:t>Izvedeno na področju azila in solidarnosti</w:t>
            </w:r>
            <w:r w:rsidRPr="004A389B">
              <w:rPr>
                <w:sz w:val="12"/>
                <w:szCs w:val="12"/>
                <w:lang w:val="fr-BE"/>
              </w:rPr>
              <w:t xml:space="preserve"> </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1.816.542,74</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1.148.911,30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596.286,48</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431.612,68</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noProof/>
                <w:sz w:val="12"/>
                <w:szCs w:val="12"/>
                <w:lang w:val="fr-BE"/>
              </w:rPr>
              <w:t>3.993.353,20</w:t>
            </w:r>
          </w:p>
        </w:tc>
      </w:tr>
      <w:tr w:rsidR="00855A95" w:rsidTr="00003291">
        <w:tc>
          <w:tcPr>
            <w:tcW w:w="0" w:type="auto"/>
            <w:shd w:val="clear" w:color="auto" w:fill="auto"/>
          </w:tcPr>
          <w:p w:rsidR="00115C60" w:rsidRPr="004A389B" w:rsidRDefault="0011309B" w:rsidP="00003291">
            <w:pPr>
              <w:pStyle w:val="Text1"/>
              <w:spacing w:before="0" w:after="0"/>
              <w:ind w:left="0"/>
              <w:rPr>
                <w:sz w:val="12"/>
                <w:szCs w:val="12"/>
                <w:lang w:val="fr-BE"/>
              </w:rPr>
            </w:pPr>
            <w:r w:rsidRPr="004A389B">
              <w:rPr>
                <w:b/>
                <w:noProof/>
                <w:sz w:val="12"/>
                <w:szCs w:val="12"/>
                <w:lang w:val="fr-BE"/>
              </w:rPr>
              <w:t>Načrtovano skupaj</w:t>
            </w:r>
            <w:r w:rsidRPr="004A389B">
              <w:rPr>
                <w:sz w:val="12"/>
                <w:szCs w:val="12"/>
                <w:lang w:val="fr-BE"/>
              </w:rPr>
              <w:t xml:space="preserve"> </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1.914.315,00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1.973.981,00</w:t>
            </w:r>
            <w:r w:rsidRPr="004A389B">
              <w:rPr>
                <w:sz w:val="12"/>
                <w:szCs w:val="12"/>
                <w:lang w:val="fr-BE"/>
              </w:rPr>
              <w:t xml:space="preserve">  </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5.508.684,00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3.961.811,00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2.707.412,00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2.060.004,00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2.509.672,00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20.635.879,00</w:t>
            </w:r>
          </w:p>
        </w:tc>
      </w:tr>
      <w:tr w:rsidR="00855A95" w:rsidTr="00003291">
        <w:tc>
          <w:tcPr>
            <w:tcW w:w="0" w:type="auto"/>
            <w:shd w:val="clear" w:color="auto" w:fill="auto"/>
          </w:tcPr>
          <w:p w:rsidR="00115C60" w:rsidRPr="004A389B" w:rsidRDefault="0011309B" w:rsidP="00003291">
            <w:pPr>
              <w:pStyle w:val="Text1"/>
              <w:spacing w:before="0" w:after="0"/>
              <w:ind w:left="0"/>
              <w:rPr>
                <w:sz w:val="12"/>
                <w:szCs w:val="12"/>
                <w:lang w:val="fr-BE"/>
              </w:rPr>
            </w:pPr>
            <w:r w:rsidRPr="004A389B">
              <w:rPr>
                <w:b/>
                <w:noProof/>
                <w:sz w:val="12"/>
                <w:szCs w:val="12"/>
                <w:lang w:val="fr-BE"/>
              </w:rPr>
              <w:t>Izvedeno skupaj</w:t>
            </w:r>
            <w:r w:rsidRPr="004A389B">
              <w:rPr>
                <w:sz w:val="12"/>
                <w:szCs w:val="12"/>
                <w:lang w:val="fr-BE"/>
              </w:rPr>
              <w:t xml:space="preserve"> </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621.516,63</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2.112.665,96</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1.918.184,22</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3.108.166,83</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1.963.582,30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309B" w:rsidP="00003291">
            <w:pPr>
              <w:pStyle w:val="Text1"/>
              <w:spacing w:before="0" w:after="0"/>
              <w:ind w:left="0"/>
              <w:jc w:val="right"/>
              <w:rPr>
                <w:sz w:val="12"/>
                <w:szCs w:val="12"/>
                <w:lang w:val="fr-BE"/>
              </w:rPr>
            </w:pPr>
            <w:r w:rsidRPr="004A389B">
              <w:rPr>
                <w:b/>
                <w:noProof/>
                <w:sz w:val="12"/>
                <w:szCs w:val="12"/>
                <w:lang w:val="fr-BE"/>
              </w:rPr>
              <w:t>9.724.115,94</w:t>
            </w:r>
          </w:p>
        </w:tc>
      </w:tr>
    </w:tbl>
    <w:p w:rsidR="00115C60" w:rsidRDefault="00115C60" w:rsidP="00115C60">
      <w:pPr>
        <w:pStyle w:val="Text1"/>
        <w:spacing w:before="0" w:after="0"/>
        <w:ind w:left="0"/>
        <w:rPr>
          <w:lang w:val="fr-BE"/>
        </w:rPr>
      </w:pPr>
    </w:p>
    <w:p w:rsidR="00115C60" w:rsidRDefault="00115C60" w:rsidP="00115C60">
      <w:pPr>
        <w:pStyle w:val="Text1"/>
        <w:spacing w:before="0" w:after="0"/>
        <w:ind w:left="0"/>
        <w:rPr>
          <w:lang w:val="fr-BE"/>
        </w:rPr>
        <w:sectPr w:rsidR="00115C60" w:rsidSect="00DB4153">
          <w:headerReference w:type="default" r:id="rId18"/>
          <w:footerReference w:type="default" r:id="rId19"/>
          <w:pgSz w:w="16838" w:h="11906" w:orient="landscape"/>
          <w:pgMar w:top="0" w:right="567" w:bottom="0" w:left="851" w:header="0" w:footer="284" w:gutter="0"/>
          <w:cols w:space="708"/>
          <w:docGrid w:linePitch="360"/>
        </w:sectPr>
      </w:pPr>
    </w:p>
    <w:p w:rsidR="00115C60" w:rsidRDefault="0011309B" w:rsidP="00115C60">
      <w:pPr>
        <w:pStyle w:val="Naslov2"/>
        <w:numPr>
          <w:ilvl w:val="0"/>
          <w:numId w:val="0"/>
        </w:numPr>
        <w:spacing w:before="0" w:after="0"/>
        <w:rPr>
          <w:lang w:val="fr-BE"/>
        </w:rPr>
      </w:pPr>
      <w:bookmarkStart w:id="22" w:name="_Toc256000023"/>
      <w:r>
        <w:rPr>
          <w:noProof/>
          <w:lang w:val="fr-BE"/>
        </w:rPr>
        <w:lastRenderedPageBreak/>
        <w:t>Utemeljitev morebitnega odstopanja od najnižjih deležev, določenih v posebni uredbi.</w:t>
      </w:r>
      <w:bookmarkEnd w:id="22"/>
    </w:p>
    <w:p w:rsidR="00115C60" w:rsidRDefault="00115C60" w:rsidP="00115C60">
      <w:pPr>
        <w:pStyle w:val="Text1"/>
        <w:spacing w:before="0" w:after="0"/>
        <w:ind w:left="0"/>
        <w:rPr>
          <w:lang w:val="fr-BE"/>
        </w:rPr>
      </w:pPr>
    </w:p>
    <w:p w:rsidR="00115C60" w:rsidRDefault="0011309B" w:rsidP="00115C60">
      <w:pPr>
        <w:pStyle w:val="Text1"/>
        <w:spacing w:before="0" w:after="0"/>
        <w:ind w:left="0"/>
        <w:rPr>
          <w:lang w:val="fr-BE"/>
        </w:rPr>
      </w:pPr>
      <w:r>
        <w:rPr>
          <w:noProof/>
          <w:lang w:val="fr-BE"/>
        </w:rPr>
        <w:t xml:space="preserve">(Le če stanje ni tako, kot je določeno v odobrenem nacionalnem </w:t>
      </w:r>
      <w:r>
        <w:rPr>
          <w:noProof/>
          <w:lang w:val="fr-BE"/>
        </w:rPr>
        <w:t>programu, člen 14(5)(b) Uredbe (EU) št. 514/2014.)</w:t>
      </w:r>
    </w:p>
    <w:p w:rsidR="00115C60" w:rsidRDefault="00115C60" w:rsidP="00115C60">
      <w:pPr>
        <w:pStyle w:val="Text1"/>
        <w:spacing w:before="0" w:after="0"/>
        <w:ind w:left="0"/>
        <w:rPr>
          <w:lang w:val="fr-BE"/>
        </w:rPr>
      </w:pPr>
    </w:p>
    <w:p w:rsidR="00115C60" w:rsidRDefault="0011309B" w:rsidP="00115C60">
      <w:pPr>
        <w:pStyle w:val="Text1"/>
        <w:spacing w:before="0" w:after="0"/>
        <w:ind w:left="0"/>
        <w:rPr>
          <w:lang w:val="fr-BE"/>
        </w:rPr>
      </w:pPr>
      <w:r>
        <w:rPr>
          <w:noProof/>
          <w:lang w:val="fr-BE"/>
        </w:rPr>
        <w:t>Podrobno obrazložite odstopanja od najnižjih deležev, določenih v posebnih uredbah.</w:t>
      </w:r>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55A95" w:rsidTr="00003291">
        <w:tc>
          <w:tcPr>
            <w:tcW w:w="0" w:type="auto"/>
            <w:shd w:val="clear" w:color="auto" w:fill="auto"/>
          </w:tcPr>
          <w:p w:rsidR="004B5B5F" w:rsidRPr="00003291" w:rsidRDefault="004B5B5F" w:rsidP="00003291">
            <w:pPr>
              <w:pStyle w:val="Text1"/>
              <w:spacing w:before="0" w:after="0"/>
              <w:ind w:left="0"/>
              <w:rPr>
                <w:lang w:val="fr-BE"/>
              </w:rPr>
            </w:pPr>
          </w:p>
        </w:tc>
      </w:tr>
    </w:tbl>
    <w:p w:rsidR="004B5B5F" w:rsidRDefault="004B5B5F" w:rsidP="00115C60">
      <w:pPr>
        <w:pStyle w:val="Text1"/>
        <w:spacing w:before="0" w:after="0"/>
        <w:ind w:left="0"/>
        <w:rPr>
          <w:lang w:val="fr-BE"/>
        </w:rPr>
      </w:pPr>
    </w:p>
    <w:p w:rsidR="00115C60" w:rsidRDefault="0011309B" w:rsidP="00115C60">
      <w:pPr>
        <w:pStyle w:val="Naslov1"/>
        <w:numPr>
          <w:ilvl w:val="0"/>
          <w:numId w:val="0"/>
        </w:numPr>
        <w:spacing w:before="0" w:after="0"/>
        <w:rPr>
          <w:lang w:val="fr-BE"/>
        </w:rPr>
      </w:pPr>
      <w:r>
        <w:rPr>
          <w:lang w:val="fr-BE"/>
        </w:rPr>
        <w:br w:type="page"/>
      </w:r>
      <w:bookmarkStart w:id="23" w:name="_Toc256000024"/>
      <w:r>
        <w:rPr>
          <w:noProof/>
          <w:lang w:val="fr-BE"/>
        </w:rPr>
        <w:lastRenderedPageBreak/>
        <w:t>ODDELEK 8: OBVEZNOSTI V OBLIKI DOGOVORA</w:t>
      </w:r>
      <w:bookmarkEnd w:id="23"/>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954"/>
        <w:gridCol w:w="2122"/>
      </w:tblGrid>
      <w:tr w:rsidR="00855A95" w:rsidTr="00003291">
        <w:tc>
          <w:tcPr>
            <w:tcW w:w="0" w:type="auto"/>
            <w:shd w:val="clear" w:color="auto" w:fill="auto"/>
          </w:tcPr>
          <w:p w:rsidR="00115C60" w:rsidRPr="00B81F97" w:rsidRDefault="0011309B" w:rsidP="00003291">
            <w:pPr>
              <w:pStyle w:val="Text1"/>
              <w:spacing w:before="0" w:after="0"/>
              <w:ind w:left="0"/>
              <w:rPr>
                <w:b/>
                <w:lang w:val="fr-BE"/>
              </w:rPr>
            </w:pPr>
            <w:r w:rsidRPr="00B81F97">
              <w:rPr>
                <w:b/>
                <w:noProof/>
                <w:lang w:val="fr-BE"/>
              </w:rPr>
              <w:t>Posebni cilj</w:t>
            </w:r>
          </w:p>
        </w:tc>
        <w:tc>
          <w:tcPr>
            <w:tcW w:w="0" w:type="auto"/>
            <w:shd w:val="clear" w:color="auto" w:fill="auto"/>
          </w:tcPr>
          <w:p w:rsidR="00115C60" w:rsidRPr="00B81F97" w:rsidRDefault="0011309B" w:rsidP="00003291">
            <w:pPr>
              <w:pStyle w:val="Text1"/>
              <w:spacing w:before="0" w:after="0"/>
              <w:ind w:left="0"/>
              <w:rPr>
                <w:b/>
                <w:lang w:val="fr-BE"/>
              </w:rPr>
            </w:pPr>
            <w:r w:rsidRPr="00B81F97">
              <w:rPr>
                <w:b/>
                <w:noProof/>
                <w:lang w:val="fr-BE"/>
              </w:rPr>
              <w:t>Skupni znesek v EUR, dodeljen (s pogodbo, kot nepovratna sred</w:t>
            </w:r>
            <w:r w:rsidRPr="00B81F97">
              <w:rPr>
                <w:b/>
                <w:noProof/>
                <w:lang w:val="fr-BE"/>
              </w:rPr>
              <w:t>stva ali z drugim sporazumom) do datuma tega poročila</w:t>
            </w:r>
          </w:p>
        </w:tc>
        <w:tc>
          <w:tcPr>
            <w:tcW w:w="0" w:type="auto"/>
            <w:shd w:val="clear" w:color="auto" w:fill="auto"/>
          </w:tcPr>
          <w:p w:rsidR="00115C60" w:rsidRPr="00B81F97" w:rsidRDefault="0011309B" w:rsidP="00003291">
            <w:pPr>
              <w:pStyle w:val="Text1"/>
              <w:spacing w:before="0" w:after="0"/>
              <w:ind w:left="0"/>
              <w:rPr>
                <w:b/>
                <w:lang w:val="fr-BE"/>
              </w:rPr>
            </w:pPr>
            <w:r w:rsidRPr="00B81F97">
              <w:rPr>
                <w:b/>
                <w:noProof/>
                <w:lang w:val="fr-BE"/>
              </w:rPr>
              <w:t>% skupnih povezanih dodelitev</w:t>
            </w:r>
          </w:p>
        </w:tc>
      </w:tr>
      <w:tr w:rsidR="00855A95" w:rsidTr="00003291">
        <w:tc>
          <w:tcPr>
            <w:tcW w:w="0" w:type="auto"/>
            <w:shd w:val="clear" w:color="auto" w:fill="auto"/>
          </w:tcPr>
          <w:p w:rsidR="00115C60" w:rsidRPr="00B81F97" w:rsidRDefault="0011309B" w:rsidP="00003291">
            <w:pPr>
              <w:pStyle w:val="Text1"/>
              <w:spacing w:before="0" w:after="0"/>
              <w:ind w:left="0"/>
              <w:rPr>
                <w:lang w:val="fr-BE"/>
              </w:rPr>
            </w:pPr>
            <w:r>
              <w:rPr>
                <w:noProof/>
                <w:lang w:val="fr-BE"/>
              </w:rPr>
              <w:t>SO1 - Azil</w:t>
            </w:r>
          </w:p>
        </w:tc>
        <w:tc>
          <w:tcPr>
            <w:tcW w:w="0" w:type="auto"/>
            <w:shd w:val="clear" w:color="auto" w:fill="auto"/>
          </w:tcPr>
          <w:p w:rsidR="00115C60" w:rsidRPr="00B81F97" w:rsidRDefault="0011309B" w:rsidP="00003291">
            <w:pPr>
              <w:pStyle w:val="Text1"/>
              <w:spacing w:before="0" w:after="0"/>
              <w:ind w:left="0"/>
              <w:jc w:val="right"/>
              <w:rPr>
                <w:lang w:val="fr-BE"/>
              </w:rPr>
            </w:pPr>
            <w:r>
              <w:rPr>
                <w:noProof/>
                <w:lang w:val="fr-BE"/>
              </w:rPr>
              <w:t>4.952.743,75</w:t>
            </w:r>
          </w:p>
        </w:tc>
        <w:tc>
          <w:tcPr>
            <w:tcW w:w="0" w:type="auto"/>
            <w:shd w:val="clear" w:color="auto" w:fill="auto"/>
          </w:tcPr>
          <w:p w:rsidR="00115C60" w:rsidRPr="00B81F97" w:rsidRDefault="0011309B" w:rsidP="00003291">
            <w:pPr>
              <w:pStyle w:val="Text1"/>
              <w:spacing w:before="0" w:after="0"/>
              <w:ind w:left="0"/>
              <w:jc w:val="right"/>
              <w:rPr>
                <w:lang w:val="fr-BE"/>
              </w:rPr>
            </w:pPr>
            <w:r>
              <w:rPr>
                <w:noProof/>
                <w:lang w:val="fr-BE"/>
              </w:rPr>
              <w:t>101,58%</w:t>
            </w:r>
          </w:p>
        </w:tc>
      </w:tr>
      <w:tr w:rsidR="00855A95" w:rsidTr="00003291">
        <w:tc>
          <w:tcPr>
            <w:tcW w:w="0" w:type="auto"/>
            <w:shd w:val="clear" w:color="auto" w:fill="auto"/>
          </w:tcPr>
          <w:p w:rsidR="00115C60" w:rsidRPr="00B81F97" w:rsidRDefault="0011309B" w:rsidP="00003291">
            <w:pPr>
              <w:pStyle w:val="Text1"/>
              <w:spacing w:before="0" w:after="0"/>
              <w:ind w:left="0"/>
              <w:rPr>
                <w:lang w:val="fr-BE"/>
              </w:rPr>
            </w:pPr>
            <w:r>
              <w:rPr>
                <w:noProof/>
                <w:lang w:val="fr-BE"/>
              </w:rPr>
              <w:t>SO2 - Vključevanje / zakonito priseljevanje</w:t>
            </w:r>
          </w:p>
        </w:tc>
        <w:tc>
          <w:tcPr>
            <w:tcW w:w="0" w:type="auto"/>
            <w:shd w:val="clear" w:color="auto" w:fill="auto"/>
          </w:tcPr>
          <w:p w:rsidR="00115C60" w:rsidRPr="00B81F97" w:rsidRDefault="0011309B" w:rsidP="00003291">
            <w:pPr>
              <w:pStyle w:val="Text1"/>
              <w:spacing w:before="0" w:after="0"/>
              <w:ind w:left="0"/>
              <w:jc w:val="right"/>
              <w:rPr>
                <w:lang w:val="fr-BE"/>
              </w:rPr>
            </w:pPr>
            <w:r>
              <w:rPr>
                <w:noProof/>
                <w:lang w:val="fr-BE"/>
              </w:rPr>
              <w:t>7.526.482,65</w:t>
            </w:r>
          </w:p>
        </w:tc>
        <w:tc>
          <w:tcPr>
            <w:tcW w:w="0" w:type="auto"/>
            <w:shd w:val="clear" w:color="auto" w:fill="auto"/>
          </w:tcPr>
          <w:p w:rsidR="00115C60" w:rsidRPr="00B81F97" w:rsidRDefault="0011309B" w:rsidP="00003291">
            <w:pPr>
              <w:pStyle w:val="Text1"/>
              <w:spacing w:before="0" w:after="0"/>
              <w:ind w:left="0"/>
              <w:jc w:val="right"/>
              <w:rPr>
                <w:lang w:val="fr-BE"/>
              </w:rPr>
            </w:pPr>
            <w:r>
              <w:rPr>
                <w:noProof/>
                <w:lang w:val="fr-BE"/>
              </w:rPr>
              <w:t>94,19%</w:t>
            </w:r>
          </w:p>
        </w:tc>
      </w:tr>
      <w:tr w:rsidR="00855A95" w:rsidTr="00003291">
        <w:tc>
          <w:tcPr>
            <w:tcW w:w="0" w:type="auto"/>
            <w:shd w:val="clear" w:color="auto" w:fill="auto"/>
          </w:tcPr>
          <w:p w:rsidR="00115C60" w:rsidRPr="00B81F97" w:rsidRDefault="0011309B" w:rsidP="00003291">
            <w:pPr>
              <w:pStyle w:val="Text1"/>
              <w:spacing w:before="0" w:after="0"/>
              <w:ind w:left="0"/>
              <w:rPr>
                <w:lang w:val="fr-BE"/>
              </w:rPr>
            </w:pPr>
            <w:r>
              <w:rPr>
                <w:noProof/>
                <w:lang w:val="fr-BE"/>
              </w:rPr>
              <w:t>SO3 - Vračanje</w:t>
            </w:r>
          </w:p>
        </w:tc>
        <w:tc>
          <w:tcPr>
            <w:tcW w:w="0" w:type="auto"/>
            <w:shd w:val="clear" w:color="auto" w:fill="auto"/>
          </w:tcPr>
          <w:p w:rsidR="00115C60" w:rsidRPr="00B81F97" w:rsidRDefault="0011309B" w:rsidP="00003291">
            <w:pPr>
              <w:pStyle w:val="Text1"/>
              <w:spacing w:before="0" w:after="0"/>
              <w:ind w:left="0"/>
              <w:jc w:val="right"/>
              <w:rPr>
                <w:lang w:val="fr-BE"/>
              </w:rPr>
            </w:pPr>
            <w:r>
              <w:rPr>
                <w:noProof/>
                <w:lang w:val="fr-BE"/>
              </w:rPr>
              <w:t>4.376.824,29</w:t>
            </w:r>
          </w:p>
        </w:tc>
        <w:tc>
          <w:tcPr>
            <w:tcW w:w="0" w:type="auto"/>
            <w:shd w:val="clear" w:color="auto" w:fill="auto"/>
          </w:tcPr>
          <w:p w:rsidR="00115C60" w:rsidRPr="00B81F97" w:rsidRDefault="0011309B" w:rsidP="00003291">
            <w:pPr>
              <w:pStyle w:val="Text1"/>
              <w:spacing w:before="0" w:after="0"/>
              <w:ind w:left="0"/>
              <w:jc w:val="right"/>
              <w:rPr>
                <w:lang w:val="fr-BE"/>
              </w:rPr>
            </w:pPr>
            <w:r>
              <w:rPr>
                <w:noProof/>
                <w:lang w:val="fr-BE"/>
              </w:rPr>
              <w:t>93,67%</w:t>
            </w:r>
          </w:p>
        </w:tc>
      </w:tr>
      <w:tr w:rsidR="00855A95" w:rsidTr="00003291">
        <w:tc>
          <w:tcPr>
            <w:tcW w:w="0" w:type="auto"/>
            <w:shd w:val="clear" w:color="auto" w:fill="auto"/>
          </w:tcPr>
          <w:p w:rsidR="00115C60" w:rsidRPr="00B81F97" w:rsidRDefault="0011309B" w:rsidP="00003291">
            <w:pPr>
              <w:pStyle w:val="Text1"/>
              <w:spacing w:before="0" w:after="0"/>
              <w:ind w:left="0"/>
              <w:rPr>
                <w:lang w:val="fr-BE"/>
              </w:rPr>
            </w:pPr>
            <w:r>
              <w:rPr>
                <w:noProof/>
                <w:lang w:val="fr-BE"/>
              </w:rPr>
              <w:t>SO4 - Solidarnost</w:t>
            </w:r>
          </w:p>
        </w:tc>
        <w:tc>
          <w:tcPr>
            <w:tcW w:w="0" w:type="auto"/>
            <w:shd w:val="clear" w:color="auto" w:fill="auto"/>
          </w:tcPr>
          <w:p w:rsidR="00115C60" w:rsidRPr="00B81F97" w:rsidRDefault="0011309B" w:rsidP="00003291">
            <w:pPr>
              <w:pStyle w:val="Text1"/>
              <w:spacing w:before="0" w:after="0"/>
              <w:ind w:left="0"/>
              <w:jc w:val="right"/>
              <w:rPr>
                <w:lang w:val="fr-BE"/>
              </w:rPr>
            </w:pPr>
            <w:r>
              <w:rPr>
                <w:noProof/>
                <w:lang w:val="fr-BE"/>
              </w:rPr>
              <w:t>376.800,00</w:t>
            </w:r>
          </w:p>
        </w:tc>
        <w:tc>
          <w:tcPr>
            <w:tcW w:w="0" w:type="auto"/>
            <w:shd w:val="clear" w:color="auto" w:fill="auto"/>
          </w:tcPr>
          <w:p w:rsidR="00115C60" w:rsidRPr="00B81F97" w:rsidRDefault="0011309B" w:rsidP="00003291">
            <w:pPr>
              <w:pStyle w:val="Text1"/>
              <w:spacing w:before="0" w:after="0"/>
              <w:ind w:left="0"/>
              <w:jc w:val="right"/>
              <w:rPr>
                <w:lang w:val="fr-BE"/>
              </w:rPr>
            </w:pPr>
            <w:r>
              <w:rPr>
                <w:noProof/>
                <w:lang w:val="fr-BE"/>
              </w:rPr>
              <w:t>100,00%</w:t>
            </w:r>
          </w:p>
        </w:tc>
      </w:tr>
      <w:tr w:rsidR="00855A95" w:rsidTr="00003291">
        <w:tc>
          <w:tcPr>
            <w:tcW w:w="0" w:type="auto"/>
            <w:shd w:val="clear" w:color="auto" w:fill="auto"/>
          </w:tcPr>
          <w:p w:rsidR="00115C60" w:rsidRPr="00B81F97" w:rsidRDefault="0011309B" w:rsidP="00003291">
            <w:pPr>
              <w:pStyle w:val="Text1"/>
              <w:spacing w:before="0" w:after="0"/>
              <w:ind w:left="0"/>
              <w:rPr>
                <w:lang w:val="fr-BE"/>
              </w:rPr>
            </w:pPr>
            <w:r>
              <w:rPr>
                <w:noProof/>
                <w:lang w:val="fr-BE"/>
              </w:rPr>
              <w:t>Tehnična pomoč</w:t>
            </w:r>
          </w:p>
        </w:tc>
        <w:tc>
          <w:tcPr>
            <w:tcW w:w="0" w:type="auto"/>
            <w:shd w:val="clear" w:color="auto" w:fill="auto"/>
          </w:tcPr>
          <w:p w:rsidR="00115C60" w:rsidRPr="00B81F97" w:rsidRDefault="0011309B" w:rsidP="00003291">
            <w:pPr>
              <w:pStyle w:val="Text1"/>
              <w:spacing w:before="0" w:after="0"/>
              <w:ind w:left="0"/>
              <w:jc w:val="right"/>
              <w:rPr>
                <w:lang w:val="fr-BE"/>
              </w:rPr>
            </w:pPr>
            <w:r>
              <w:rPr>
                <w:noProof/>
                <w:lang w:val="fr-BE"/>
              </w:rPr>
              <w:t>217.064,12</w:t>
            </w:r>
          </w:p>
        </w:tc>
        <w:tc>
          <w:tcPr>
            <w:tcW w:w="0" w:type="auto"/>
            <w:shd w:val="clear" w:color="auto" w:fill="auto"/>
          </w:tcPr>
          <w:p w:rsidR="00115C60" w:rsidRPr="00B81F97" w:rsidRDefault="0011309B" w:rsidP="00003291">
            <w:pPr>
              <w:pStyle w:val="Text1"/>
              <w:spacing w:before="0" w:after="0"/>
              <w:ind w:left="0"/>
              <w:jc w:val="right"/>
              <w:rPr>
                <w:lang w:val="fr-BE"/>
              </w:rPr>
            </w:pPr>
            <w:r>
              <w:rPr>
                <w:noProof/>
                <w:lang w:val="fr-BE"/>
              </w:rPr>
              <w:t>36,06%</w:t>
            </w:r>
          </w:p>
        </w:tc>
      </w:tr>
      <w:tr w:rsidR="00855A95" w:rsidTr="00003291">
        <w:tc>
          <w:tcPr>
            <w:tcW w:w="0" w:type="auto"/>
            <w:shd w:val="clear" w:color="auto" w:fill="auto"/>
          </w:tcPr>
          <w:p w:rsidR="00115C60" w:rsidRPr="00B81F97" w:rsidRDefault="0011309B" w:rsidP="00003291">
            <w:pPr>
              <w:pStyle w:val="Text1"/>
              <w:spacing w:before="0" w:after="0"/>
              <w:ind w:left="0"/>
              <w:rPr>
                <w:lang w:val="fr-BE"/>
              </w:rPr>
            </w:pPr>
            <w:r>
              <w:rPr>
                <w:noProof/>
                <w:lang w:val="fr-BE"/>
              </w:rPr>
              <w:t>Posebni primeri</w:t>
            </w:r>
          </w:p>
        </w:tc>
        <w:tc>
          <w:tcPr>
            <w:tcW w:w="0" w:type="auto"/>
            <w:shd w:val="clear" w:color="auto" w:fill="auto"/>
          </w:tcPr>
          <w:p w:rsidR="00115C60" w:rsidRPr="00B81F97" w:rsidRDefault="0011309B" w:rsidP="00003291">
            <w:pPr>
              <w:pStyle w:val="Text1"/>
              <w:spacing w:before="0" w:after="0"/>
              <w:ind w:left="0"/>
              <w:jc w:val="right"/>
              <w:rPr>
                <w:lang w:val="fr-BE"/>
              </w:rPr>
            </w:pPr>
            <w:r>
              <w:rPr>
                <w:noProof/>
                <w:lang w:val="fr-BE"/>
              </w:rPr>
              <w:t>1.858.000,00</w:t>
            </w:r>
          </w:p>
        </w:tc>
        <w:tc>
          <w:tcPr>
            <w:tcW w:w="0" w:type="auto"/>
            <w:shd w:val="clear" w:color="auto" w:fill="auto"/>
          </w:tcPr>
          <w:p w:rsidR="00115C60" w:rsidRPr="00B81F97" w:rsidRDefault="0011309B" w:rsidP="00003291">
            <w:pPr>
              <w:pStyle w:val="Text1"/>
              <w:spacing w:before="0" w:after="0"/>
              <w:ind w:left="0"/>
              <w:jc w:val="right"/>
              <w:rPr>
                <w:lang w:val="fr-BE"/>
              </w:rPr>
            </w:pPr>
            <w:r>
              <w:rPr>
                <w:noProof/>
                <w:lang w:val="fr-BE"/>
              </w:rPr>
              <w:t>87,72%</w:t>
            </w:r>
          </w:p>
        </w:tc>
      </w:tr>
      <w:tr w:rsidR="00855A95" w:rsidTr="00003291">
        <w:tc>
          <w:tcPr>
            <w:tcW w:w="0" w:type="auto"/>
            <w:shd w:val="clear" w:color="auto" w:fill="auto"/>
          </w:tcPr>
          <w:p w:rsidR="00115C60" w:rsidRPr="00B81F97" w:rsidRDefault="0011309B" w:rsidP="00003291">
            <w:pPr>
              <w:pStyle w:val="Text1"/>
              <w:spacing w:before="0" w:after="0"/>
              <w:ind w:left="0"/>
              <w:rPr>
                <w:lang w:val="fr-BE"/>
              </w:rPr>
            </w:pPr>
            <w:r w:rsidRPr="004C286E">
              <w:rPr>
                <w:b/>
                <w:noProof/>
                <w:lang w:val="fr-BE"/>
              </w:rPr>
              <w:t>Skupaj Sklad za azil, migracije in vključevanje</w:t>
            </w:r>
          </w:p>
        </w:tc>
        <w:tc>
          <w:tcPr>
            <w:tcW w:w="0" w:type="auto"/>
            <w:shd w:val="clear" w:color="auto" w:fill="auto"/>
          </w:tcPr>
          <w:p w:rsidR="00115C60" w:rsidRPr="00B81F97" w:rsidRDefault="0011309B" w:rsidP="00003291">
            <w:pPr>
              <w:pStyle w:val="Text1"/>
              <w:spacing w:before="0" w:after="0"/>
              <w:ind w:left="0"/>
              <w:jc w:val="right"/>
              <w:rPr>
                <w:lang w:val="fr-BE"/>
              </w:rPr>
            </w:pPr>
            <w:r>
              <w:rPr>
                <w:noProof/>
                <w:lang w:val="fr-BE"/>
              </w:rPr>
              <w:t>19.307.914,81</w:t>
            </w:r>
          </w:p>
        </w:tc>
        <w:tc>
          <w:tcPr>
            <w:tcW w:w="0" w:type="auto"/>
            <w:shd w:val="clear" w:color="auto" w:fill="auto"/>
          </w:tcPr>
          <w:p w:rsidR="00115C60" w:rsidRPr="00B81F97" w:rsidRDefault="0011309B" w:rsidP="00003291">
            <w:pPr>
              <w:pStyle w:val="Text1"/>
              <w:spacing w:before="0" w:after="0"/>
              <w:ind w:left="0"/>
              <w:jc w:val="right"/>
              <w:rPr>
                <w:lang w:val="fr-BE"/>
              </w:rPr>
            </w:pPr>
            <w:r>
              <w:rPr>
                <w:noProof/>
                <w:lang w:val="fr-BE"/>
              </w:rPr>
              <w:t>93,56%</w:t>
            </w:r>
          </w:p>
        </w:tc>
      </w:tr>
    </w:tbl>
    <w:p w:rsidR="00115C60" w:rsidRPr="00E22750" w:rsidRDefault="00115C60" w:rsidP="00115C60">
      <w:pPr>
        <w:pStyle w:val="Text1"/>
        <w:spacing w:before="0" w:after="0"/>
        <w:ind w:left="0"/>
        <w:rPr>
          <w:lang w:val="fr-BE"/>
        </w:rPr>
      </w:pPr>
    </w:p>
    <w:p w:rsidR="00115C60" w:rsidRDefault="00115C60" w:rsidP="00115C60">
      <w:pPr>
        <w:spacing w:before="0" w:after="0"/>
      </w:pPr>
    </w:p>
    <w:p w:rsidR="004877EB" w:rsidRDefault="008054E0" w:rsidP="004877EB">
      <w:pPr>
        <w:pStyle w:val="Naslov1"/>
        <w:numPr>
          <w:ilvl w:val="0"/>
          <w:numId w:val="0"/>
        </w:numPr>
        <w:spacing w:before="0" w:after="0"/>
        <w:rPr>
          <w:lang w:val="fr-BE"/>
        </w:rPr>
      </w:pPr>
      <w:bookmarkStart w:id="24" w:name="_Toc256000025"/>
      <w:r>
        <w:rPr>
          <w:noProof/>
          <w:lang w:val="fr-BE"/>
        </w:rPr>
        <w:t>ODDELEK 9: POROČANJE O ODHODKIH V ZVEZI S COVID-19</w:t>
      </w:r>
      <w:bookmarkEnd w:id="24"/>
    </w:p>
    <w:p w:rsidR="00B94675" w:rsidRDefault="00B94675" w:rsidP="00C36C5C">
      <w:pPr>
        <w:pStyle w:val="Text1"/>
        <w:spacing w:before="0" w:after="0"/>
        <w:ind w:left="0"/>
        <w:rPr>
          <w:lang w:val="fr-BE"/>
        </w:rPr>
      </w:pPr>
    </w:p>
    <w:p w:rsidR="00C36C5C" w:rsidRDefault="0011309B" w:rsidP="00C36C5C">
      <w:pPr>
        <w:pStyle w:val="Text1"/>
        <w:spacing w:before="0" w:after="0"/>
        <w:ind w:left="0"/>
        <w:rPr>
          <w:lang w:val="fr-BE"/>
        </w:rPr>
      </w:pPr>
      <w:r>
        <w:rPr>
          <w:noProof/>
          <w:lang w:val="fr-BE"/>
        </w:rPr>
        <w:t>I. Pojasnilo</w:t>
      </w:r>
    </w:p>
    <w:p w:rsidR="00C36C5C" w:rsidRDefault="00C36C5C" w:rsidP="00C36C5C">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55A95" w:rsidTr="00A2107F">
        <w:tc>
          <w:tcPr>
            <w:tcW w:w="0" w:type="auto"/>
            <w:shd w:val="clear" w:color="auto" w:fill="auto"/>
          </w:tcPr>
          <w:p w:rsidR="00C36C5C" w:rsidRPr="00003291" w:rsidRDefault="0011309B" w:rsidP="00A2107F">
            <w:pPr>
              <w:pStyle w:val="Text1"/>
              <w:spacing w:before="0" w:after="0"/>
              <w:ind w:left="0"/>
              <w:rPr>
                <w:lang w:val="fr-BE"/>
              </w:rPr>
            </w:pPr>
            <w:r>
              <w:t xml:space="preserve">Slovenija ni imela nobenih posebnih izdatkov, </w:t>
            </w:r>
            <w:r>
              <w:t>ki bi bili povezani z ukrepi zaradi COVID-19.</w:t>
            </w:r>
          </w:p>
        </w:tc>
      </w:tr>
    </w:tbl>
    <w:p w:rsidR="00C36C5C" w:rsidRDefault="00C36C5C" w:rsidP="004877EB">
      <w:pPr>
        <w:pStyle w:val="Text1"/>
        <w:spacing w:before="0" w:after="0"/>
        <w:ind w:left="0"/>
        <w:rPr>
          <w:lang w:val="fr-BE"/>
        </w:rPr>
      </w:pPr>
    </w:p>
    <w:p w:rsidR="004877EB" w:rsidRDefault="00C36C5C" w:rsidP="00552086">
      <w:pPr>
        <w:pStyle w:val="Text1"/>
        <w:keepNext/>
        <w:spacing w:before="0" w:after="0"/>
        <w:ind w:left="0"/>
        <w:rPr>
          <w:lang w:val="fr-BE"/>
        </w:rPr>
      </w:pPr>
      <w:r>
        <w:rPr>
          <w:noProof/>
          <w:lang w:val="fr-BE"/>
        </w:rPr>
        <w:t>II. Odhodki v zvezi s COVID-19 (prispevek EU)</w:t>
      </w:r>
    </w:p>
    <w:p w:rsidR="00B94675" w:rsidRDefault="00B94675" w:rsidP="00552086">
      <w:pPr>
        <w:pStyle w:val="Text1"/>
        <w:keepNext/>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860"/>
        <w:gridCol w:w="1860"/>
        <w:gridCol w:w="1860"/>
        <w:gridCol w:w="1860"/>
        <w:gridCol w:w="1854"/>
      </w:tblGrid>
      <w:tr w:rsidR="00855A95" w:rsidTr="00DB6C33">
        <w:trPr>
          <w:cantSplit/>
          <w:trHeight w:val="1164"/>
        </w:trPr>
        <w:tc>
          <w:tcPr>
            <w:tcW w:w="0" w:type="auto"/>
            <w:shd w:val="clear" w:color="auto" w:fill="auto"/>
          </w:tcPr>
          <w:p w:rsidR="00B60380" w:rsidRPr="00B81F97" w:rsidRDefault="0011309B" w:rsidP="00A2107F">
            <w:pPr>
              <w:pStyle w:val="Text1"/>
              <w:spacing w:before="0" w:after="0"/>
              <w:ind w:left="0"/>
              <w:rPr>
                <w:b/>
                <w:lang w:val="fr-BE"/>
              </w:rPr>
            </w:pPr>
            <w:r>
              <w:rPr>
                <w:b/>
                <w:noProof/>
                <w:lang w:val="fr-BE"/>
              </w:rPr>
              <w:t>Obveznosti: Prispevek EU za ukrepe za boj proti COVID-19(*)</w:t>
            </w:r>
          </w:p>
        </w:tc>
        <w:tc>
          <w:tcPr>
            <w:tcW w:w="0" w:type="auto"/>
            <w:shd w:val="clear" w:color="auto" w:fill="auto"/>
          </w:tcPr>
          <w:p w:rsidR="00B60380" w:rsidRPr="00B81F97" w:rsidRDefault="0011309B" w:rsidP="00A2107F">
            <w:pPr>
              <w:pStyle w:val="Text1"/>
              <w:spacing w:before="0" w:after="0"/>
              <w:ind w:left="0"/>
              <w:rPr>
                <w:b/>
                <w:lang w:val="fr-BE"/>
              </w:rPr>
            </w:pPr>
            <w:r>
              <w:rPr>
                <w:b/>
                <w:noProof/>
                <w:lang w:val="fr-BE"/>
              </w:rPr>
              <w:t>Plačila: Prispevek EU za ukrepe za boj proti COVID-19, prikazan v računovodskih izkazih za leto 2020</w:t>
            </w:r>
          </w:p>
        </w:tc>
        <w:tc>
          <w:tcPr>
            <w:tcW w:w="0" w:type="auto"/>
          </w:tcPr>
          <w:p w:rsidR="00B60380" w:rsidRDefault="0011309B" w:rsidP="00A2107F">
            <w:pPr>
              <w:pStyle w:val="Text1"/>
              <w:spacing w:before="0" w:after="0"/>
              <w:ind w:left="0"/>
              <w:rPr>
                <w:b/>
                <w:lang w:val="fr-BE"/>
              </w:rPr>
            </w:pPr>
            <w:r>
              <w:rPr>
                <w:b/>
                <w:noProof/>
                <w:lang w:val="fr-BE"/>
              </w:rPr>
              <w:t>Plačila: Prispevek EU za ukrepe za boj proti COVID-19, prikazan v računovodskih izkazih za leto 2021</w:t>
            </w:r>
          </w:p>
        </w:tc>
        <w:tc>
          <w:tcPr>
            <w:tcW w:w="0" w:type="auto"/>
          </w:tcPr>
          <w:p w:rsidR="00B60380" w:rsidRDefault="0011309B" w:rsidP="00A2107F">
            <w:pPr>
              <w:pStyle w:val="Text1"/>
              <w:spacing w:before="0" w:after="0"/>
              <w:ind w:left="0"/>
              <w:rPr>
                <w:b/>
                <w:lang w:val="fr-BE"/>
              </w:rPr>
            </w:pPr>
            <w:r>
              <w:rPr>
                <w:b/>
                <w:noProof/>
                <w:lang w:val="fr-BE"/>
              </w:rPr>
              <w:t>Plačila: Prispevek EU za ukrepe za boj proti COVID-19, prikazan v računovodskih izkazih za leto 2022</w:t>
            </w:r>
          </w:p>
        </w:tc>
        <w:tc>
          <w:tcPr>
            <w:tcW w:w="0" w:type="auto"/>
          </w:tcPr>
          <w:p w:rsidR="00B60380" w:rsidRDefault="0011309B" w:rsidP="00A2107F">
            <w:pPr>
              <w:pStyle w:val="Text1"/>
              <w:spacing w:before="0" w:after="0"/>
              <w:ind w:left="0"/>
              <w:rPr>
                <w:b/>
                <w:lang w:val="fr-BE"/>
              </w:rPr>
            </w:pPr>
            <w:r>
              <w:rPr>
                <w:b/>
                <w:noProof/>
                <w:lang w:val="fr-BE"/>
              </w:rPr>
              <w:t>Plačila: Prispevek EU za ukrepe za boj proti COVID-19,</w:t>
            </w:r>
            <w:r>
              <w:rPr>
                <w:b/>
                <w:noProof/>
                <w:lang w:val="fr-BE"/>
              </w:rPr>
              <w:t xml:space="preserve"> prikazan v računovodskih izkazih za leto 2023</w:t>
            </w:r>
          </w:p>
        </w:tc>
        <w:tc>
          <w:tcPr>
            <w:tcW w:w="0" w:type="auto"/>
            <w:shd w:val="clear" w:color="auto" w:fill="auto"/>
          </w:tcPr>
          <w:p w:rsidR="00B60380" w:rsidRPr="00B81F97" w:rsidRDefault="0011309B" w:rsidP="00A2107F">
            <w:pPr>
              <w:pStyle w:val="Text1"/>
              <w:spacing w:before="0" w:after="0"/>
              <w:ind w:left="0"/>
              <w:rPr>
                <w:b/>
                <w:lang w:val="fr-BE"/>
              </w:rPr>
            </w:pPr>
            <w:r>
              <w:rPr>
                <w:b/>
                <w:noProof/>
                <w:lang w:val="fr-BE"/>
              </w:rPr>
              <w:t>Plačila: Skupni prispevek EU za ukrepe za boj proti COVID-19, prikazan v računovodskih izkazih</w:t>
            </w:r>
          </w:p>
        </w:tc>
      </w:tr>
      <w:tr w:rsidR="00855A95" w:rsidTr="00DB6C33">
        <w:trPr>
          <w:cantSplit/>
        </w:trPr>
        <w:tc>
          <w:tcPr>
            <w:tcW w:w="0" w:type="auto"/>
            <w:shd w:val="clear" w:color="auto" w:fill="auto"/>
          </w:tcPr>
          <w:p w:rsidR="00B60380" w:rsidRPr="00B81F97" w:rsidRDefault="00B60380" w:rsidP="00C1692E">
            <w:pPr>
              <w:pStyle w:val="Text1"/>
              <w:spacing w:before="0" w:after="0"/>
              <w:ind w:left="0"/>
              <w:jc w:val="right"/>
              <w:rPr>
                <w:lang w:val="fr-BE"/>
              </w:rPr>
            </w:pPr>
          </w:p>
        </w:tc>
        <w:tc>
          <w:tcPr>
            <w:tcW w:w="0" w:type="auto"/>
            <w:shd w:val="clear" w:color="auto" w:fill="auto"/>
          </w:tcPr>
          <w:p w:rsidR="00B60380" w:rsidRPr="00B81F97" w:rsidRDefault="00B60380" w:rsidP="00A2107F">
            <w:pPr>
              <w:pStyle w:val="Text1"/>
              <w:spacing w:before="0" w:after="0"/>
              <w:ind w:left="0"/>
              <w:jc w:val="right"/>
              <w:rPr>
                <w:lang w:val="fr-BE"/>
              </w:rPr>
            </w:pPr>
          </w:p>
        </w:tc>
        <w:tc>
          <w:tcPr>
            <w:tcW w:w="0" w:type="auto"/>
          </w:tcPr>
          <w:p w:rsidR="00B60380" w:rsidRDefault="00B60380" w:rsidP="00A2107F">
            <w:pPr>
              <w:pStyle w:val="Text1"/>
              <w:spacing w:before="0" w:after="0"/>
              <w:ind w:left="0"/>
              <w:jc w:val="right"/>
              <w:rPr>
                <w:lang w:val="fr-BE"/>
              </w:rPr>
            </w:pPr>
          </w:p>
        </w:tc>
        <w:tc>
          <w:tcPr>
            <w:tcW w:w="0" w:type="auto"/>
          </w:tcPr>
          <w:p w:rsidR="00B60380" w:rsidRDefault="00B60380" w:rsidP="00A2107F">
            <w:pPr>
              <w:pStyle w:val="Text1"/>
              <w:spacing w:before="0" w:after="0"/>
              <w:ind w:left="0"/>
              <w:jc w:val="right"/>
              <w:rPr>
                <w:lang w:val="fr-BE"/>
              </w:rPr>
            </w:pPr>
          </w:p>
        </w:tc>
        <w:tc>
          <w:tcPr>
            <w:tcW w:w="0" w:type="auto"/>
          </w:tcPr>
          <w:p w:rsidR="00B60380" w:rsidRDefault="00B60380" w:rsidP="00A2107F">
            <w:pPr>
              <w:pStyle w:val="Text1"/>
              <w:spacing w:before="0" w:after="0"/>
              <w:ind w:left="0"/>
              <w:jc w:val="right"/>
              <w:rPr>
                <w:lang w:val="fr-BE"/>
              </w:rPr>
            </w:pPr>
          </w:p>
        </w:tc>
        <w:tc>
          <w:tcPr>
            <w:tcW w:w="0" w:type="auto"/>
            <w:shd w:val="clear" w:color="auto" w:fill="auto"/>
          </w:tcPr>
          <w:p w:rsidR="00B60380" w:rsidRPr="00B81F97" w:rsidRDefault="00B60380" w:rsidP="00A2107F">
            <w:pPr>
              <w:pStyle w:val="Text1"/>
              <w:spacing w:before="0" w:after="0"/>
              <w:ind w:left="0"/>
              <w:jc w:val="right"/>
              <w:rPr>
                <w:lang w:val="fr-BE"/>
              </w:rPr>
            </w:pPr>
          </w:p>
        </w:tc>
      </w:tr>
    </w:tbl>
    <w:p w:rsidR="00955A91" w:rsidRPr="00955A91" w:rsidRDefault="0011309B" w:rsidP="00115C60">
      <w:pPr>
        <w:rPr>
          <w:sz w:val="20"/>
          <w:szCs w:val="20"/>
        </w:rPr>
      </w:pPr>
      <w:r w:rsidRPr="00955A91">
        <w:rPr>
          <w:noProof/>
          <w:sz w:val="20"/>
          <w:szCs w:val="20"/>
        </w:rPr>
        <w:t>(*) V računovodskih izkazih so samo zneski, povezani s projekti.</w:t>
      </w:r>
    </w:p>
    <w:p w:rsidR="00094173" w:rsidRPr="00115C60" w:rsidRDefault="00094173" w:rsidP="00115C60">
      <w:pPr>
        <w:sectPr w:rsidR="00094173" w:rsidRPr="00115C60" w:rsidSect="00DB4153">
          <w:headerReference w:type="default" r:id="rId20"/>
          <w:footerReference w:type="default" r:id="rId21"/>
          <w:headerReference w:type="first" r:id="rId22"/>
          <w:footerReference w:type="first" r:id="rId23"/>
          <w:pgSz w:w="11906" w:h="16838"/>
          <w:pgMar w:top="284" w:right="851" w:bottom="284" w:left="284" w:header="567" w:footer="0" w:gutter="0"/>
          <w:cols w:space="708"/>
          <w:docGrid w:linePitch="360"/>
        </w:sectPr>
      </w:pPr>
    </w:p>
    <w:p w:rsidR="00D5077A" w:rsidRDefault="0011309B" w:rsidP="00BE2F0F">
      <w:pPr>
        <w:pStyle w:val="Heading10"/>
        <w:tabs>
          <w:tab w:val="clear" w:pos="850"/>
        </w:tabs>
        <w:ind w:left="0" w:right="-283" w:firstLine="0"/>
      </w:pPr>
      <w:bookmarkStart w:id="25" w:name="_Toc256000026"/>
      <w:r>
        <w:rPr>
          <w:noProof/>
        </w:rPr>
        <w:lastRenderedPageBreak/>
        <w:t>Dokumenti</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855A95" w:rsidTr="00A67CCA">
        <w:trPr>
          <w:trHeight w:val="283"/>
          <w:tblHeader/>
        </w:trPr>
        <w:tc>
          <w:tcPr>
            <w:tcW w:w="0" w:type="auto"/>
            <w:shd w:val="clear" w:color="auto" w:fill="auto"/>
            <w:vAlign w:val="center"/>
          </w:tcPr>
          <w:p w:rsidR="00D5077A" w:rsidRPr="00C40F08" w:rsidRDefault="0011309B"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11309B"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11309B"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11309B"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11309B"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11309B"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11309B"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11309B"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24"/>
          <w:footerReference w:type="default" r:id="rId2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6" w:name="_Toc256000027"/>
      <w:r>
        <w:rPr>
          <w:noProof/>
        </w:rPr>
        <w:lastRenderedPageBreak/>
        <w:t>Zadnji rezultati validacije</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918"/>
        <w:gridCol w:w="2191"/>
        <w:gridCol w:w="10424"/>
      </w:tblGrid>
      <w:tr w:rsidR="00855A95" w:rsidTr="00BA1B5A">
        <w:trPr>
          <w:trHeight w:val="283"/>
          <w:tblHeader/>
        </w:trPr>
        <w:tc>
          <w:tcPr>
            <w:tcW w:w="0" w:type="auto"/>
            <w:shd w:val="clear" w:color="auto" w:fill="auto"/>
            <w:vAlign w:val="center"/>
          </w:tcPr>
          <w:p w:rsidR="00434D73" w:rsidRPr="00DD2742" w:rsidRDefault="0011309B"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11309B"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11309B" w:rsidP="006477CC">
            <w:pPr>
              <w:pStyle w:val="NormalCentered"/>
              <w:spacing w:before="0" w:after="0"/>
              <w:rPr>
                <w:b/>
                <w:sz w:val="16"/>
                <w:szCs w:val="16"/>
              </w:rPr>
            </w:pPr>
            <w:r w:rsidRPr="00DD2742">
              <w:rPr>
                <w:b/>
                <w:noProof/>
                <w:sz w:val="16"/>
                <w:szCs w:val="16"/>
              </w:rPr>
              <w:t>Sporočilo</w:t>
            </w:r>
          </w:p>
        </w:tc>
      </w:tr>
      <w:tr w:rsidR="00855A95" w:rsidTr="00BA1B5A">
        <w:trPr>
          <w:trHeight w:val="283"/>
        </w:trPr>
        <w:tc>
          <w:tcPr>
            <w:tcW w:w="0" w:type="auto"/>
            <w:shd w:val="clear" w:color="auto" w:fill="auto"/>
          </w:tcPr>
          <w:p w:rsidR="00434D73" w:rsidRPr="00DD2742" w:rsidRDefault="0011309B"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11309B" w:rsidP="006477CC">
            <w:pPr>
              <w:pStyle w:val="NormalLeft"/>
              <w:spacing w:before="0" w:after="0"/>
              <w:rPr>
                <w:sz w:val="16"/>
                <w:szCs w:val="16"/>
              </w:rPr>
            </w:pPr>
            <w:r w:rsidRPr="00DD2742">
              <w:rPr>
                <w:noProof/>
                <w:sz w:val="16"/>
                <w:szCs w:val="16"/>
              </w:rPr>
              <w:t>Različica poročila o izvajanju je bila potrjena.</w:t>
            </w:r>
          </w:p>
        </w:tc>
      </w:tr>
    </w:tbl>
    <w:p w:rsidR="00673320" w:rsidRPr="001A4AC5" w:rsidRDefault="00673320" w:rsidP="00DD2742">
      <w:pPr>
        <w:pStyle w:val="Normal0"/>
      </w:pPr>
    </w:p>
    <w:sectPr w:rsidR="00673320" w:rsidRPr="001A4AC5" w:rsidSect="009B4CA5">
      <w:headerReference w:type="default" r:id="rId26"/>
      <w:footerReference w:type="default" r:id="rId2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309B">
      <w:pPr>
        <w:spacing w:before="0" w:after="0"/>
      </w:pPr>
      <w:r>
        <w:separator/>
      </w:r>
    </w:p>
  </w:endnote>
  <w:endnote w:type="continuationSeparator" w:id="0">
    <w:p w:rsidR="00000000" w:rsidRDefault="001130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5432E7" w:rsidRDefault="0011309B" w:rsidP="008E794B">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rsidRPr="007C3041">
      <w:tab/>
    </w:r>
    <w:r>
      <w:rPr>
        <w:rFonts w:ascii="Arial" w:hAnsi="Arial" w:cs="Arial"/>
        <w:b/>
        <w:noProof/>
        <w:sz w:val="48"/>
      </w:rPr>
      <w:t>SL</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11309B">
      <w:rPr>
        <w:noProof/>
      </w:rPr>
      <w:t>28</w:t>
    </w:r>
    <w:r>
      <w:fldChar w:fldCharType="end"/>
    </w:r>
    <w:r w:rsidRPr="008E3442">
      <w:tab/>
    </w:r>
    <w:r w:rsidRPr="005F6C78">
      <w:rPr>
        <w:rFonts w:ascii="Arial" w:hAnsi="Arial" w:cs="Arial"/>
        <w:b/>
        <w:noProof/>
        <w:sz w:val="48"/>
        <w:szCs w:val="48"/>
        <w:lang w:val="fr-BE"/>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Pr="00AB614B" w:rsidRDefault="0011309B" w:rsidP="00AB614B">
    <w:pPr>
      <w:pStyle w:val="FooterLandscape"/>
      <w:tabs>
        <w:tab w:val="clear" w:pos="7285"/>
        <w:tab w:val="clear" w:pos="10913"/>
        <w:tab w:val="clear" w:pos="15137"/>
        <w:tab w:val="center" w:pos="7371"/>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12</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Pr="00942505" w:rsidRDefault="00942505" w:rsidP="00942505">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11309B">
      <w:rPr>
        <w:noProof/>
      </w:rPr>
      <w:t>13</w:t>
    </w:r>
    <w:r>
      <w:fldChar w:fldCharType="end"/>
    </w:r>
    <w:r w:rsidRPr="007C3041">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634112" w:rsidRDefault="0011309B" w:rsidP="0072625A">
    <w:pPr>
      <w:pStyle w:val="FooterLandscape"/>
      <w:tabs>
        <w:tab w:val="clear" w:pos="7285"/>
        <w:tab w:val="clear" w:pos="10913"/>
        <w:tab w:val="clear" w:pos="15137"/>
        <w:tab w:val="center" w:pos="7371"/>
        <w:tab w:val="right" w:pos="15309"/>
      </w:tabs>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14</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E57341" w:rsidRDefault="00E57341" w:rsidP="00E57341">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11309B">
      <w:rPr>
        <w:noProof/>
      </w:rPr>
      <w:t>21</w:t>
    </w:r>
    <w:r>
      <w:fldChar w:fldCharType="end"/>
    </w:r>
    <w:r w:rsidRPr="007C3041">
      <w:tab/>
    </w:r>
    <w:r>
      <w:rPr>
        <w:rFonts w:ascii="Arial" w:hAnsi="Arial" w:cs="Arial"/>
        <w:b/>
        <w:noProof/>
        <w:sz w:val="48"/>
      </w:rPr>
      <w:t>SL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091521" w:rsidRDefault="0011309B" w:rsidP="00DB4153">
    <w:pPr>
      <w:pStyle w:val="FooterLandscape"/>
      <w:tabs>
        <w:tab w:val="clear" w:pos="7285"/>
        <w:tab w:val="clear" w:pos="10913"/>
        <w:tab w:val="clear" w:pos="15137"/>
        <w:tab w:val="center" w:pos="7371"/>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24</w:t>
    </w:r>
    <w:r>
      <w:fldChar w:fldCharType="end"/>
    </w:r>
    <w:r w:rsidRPr="008E3442">
      <w:tab/>
    </w:r>
    <w:r w:rsidRPr="005F6C78">
      <w:rPr>
        <w:rFonts w:ascii="Arial" w:hAnsi="Arial" w:cs="Arial"/>
        <w:b/>
        <w:noProof/>
        <w:sz w:val="48"/>
        <w:szCs w:val="48"/>
        <w:lang w:val="fr-BE"/>
      </w:rPr>
      <w:t>SL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C3B15" w:rsidRDefault="00CC3B15" w:rsidP="00CC3B15">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11309B">
      <w:rPr>
        <w:noProof/>
      </w:rPr>
      <w:t>26</w:t>
    </w:r>
    <w:r>
      <w:fldChar w:fldCharType="end"/>
    </w:r>
    <w:r w:rsidRPr="007C3041">
      <w:tab/>
    </w:r>
    <w:r>
      <w:rPr>
        <w:rFonts w:ascii="Arial" w:hAnsi="Arial" w:cs="Arial"/>
        <w:b/>
        <w:noProof/>
        <w:sz w:val="48"/>
      </w:rPr>
      <w:t>SL</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11309B">
      <w:rPr>
        <w:noProof/>
      </w:rPr>
      <w:t>27</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309B">
      <w:pPr>
        <w:spacing w:before="0" w:after="0"/>
      </w:pPr>
      <w:r>
        <w:separator/>
      </w:r>
    </w:p>
  </w:footnote>
  <w:footnote w:type="continuationSeparator" w:id="0">
    <w:p w:rsidR="00000000" w:rsidRDefault="0011309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B3" w:rsidRDefault="00C568B3" w:rsidP="008E794B">
    <w:pPr>
      <w:pStyle w:val="Glava"/>
      <w:spacing w:before="0" w:after="24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Default="0056117D" w:rsidP="00166DC8">
    <w:pPr>
      <w:pStyle w:val="Glava"/>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846" w:rsidRDefault="001D5846" w:rsidP="00957B74">
    <w:pPr>
      <w:pStyle w:val="Glava"/>
      <w:spacing w:before="0" w:after="24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957B74">
    <w:pPr>
      <w:pStyle w:val="Glava"/>
      <w:spacing w:before="0" w:after="24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957B74">
    <w:pPr>
      <w:pStyle w:val="Glava"/>
      <w:spacing w:before="0" w:after="24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E367EA">
    <w:pPr>
      <w:pStyle w:val="Glava"/>
      <w:tabs>
        <w:tab w:val="clear" w:pos="4535"/>
        <w:tab w:val="clear" w:pos="9071"/>
        <w:tab w:val="center" w:pos="7371"/>
        <w:tab w:val="right" w:pos="15309"/>
      </w:tabs>
      <w:spacing w:before="0" w:after="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DB4153">
    <w:pPr>
      <w:pStyle w:val="Glava"/>
      <w:spacing w:before="0" w:after="240"/>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CFD8073C">
      <w:start w:val="1"/>
      <w:numFmt w:val="decimal"/>
      <w:pStyle w:val="StyleHeading1Left0cm"/>
      <w:lvlText w:val="%1."/>
      <w:lvlJc w:val="left"/>
      <w:pPr>
        <w:ind w:left="360" w:hanging="360"/>
      </w:pPr>
    </w:lvl>
    <w:lvl w:ilvl="1" w:tplc="CB6ECCBC" w:tentative="1">
      <w:start w:val="1"/>
      <w:numFmt w:val="lowerLetter"/>
      <w:lvlText w:val="%2."/>
      <w:lvlJc w:val="left"/>
      <w:pPr>
        <w:ind w:left="1440" w:hanging="360"/>
      </w:pPr>
    </w:lvl>
    <w:lvl w:ilvl="2" w:tplc="FF342184" w:tentative="1">
      <w:start w:val="1"/>
      <w:numFmt w:val="lowerRoman"/>
      <w:lvlText w:val="%3."/>
      <w:lvlJc w:val="right"/>
      <w:pPr>
        <w:ind w:left="2160" w:hanging="180"/>
      </w:pPr>
    </w:lvl>
    <w:lvl w:ilvl="3" w:tplc="2F2CFDC4" w:tentative="1">
      <w:start w:val="1"/>
      <w:numFmt w:val="decimal"/>
      <w:lvlText w:val="%4."/>
      <w:lvlJc w:val="left"/>
      <w:pPr>
        <w:ind w:left="2880" w:hanging="360"/>
      </w:pPr>
    </w:lvl>
    <w:lvl w:ilvl="4" w:tplc="0C72ED70" w:tentative="1">
      <w:start w:val="1"/>
      <w:numFmt w:val="lowerLetter"/>
      <w:lvlText w:val="%5."/>
      <w:lvlJc w:val="left"/>
      <w:pPr>
        <w:ind w:left="3600" w:hanging="360"/>
      </w:pPr>
    </w:lvl>
    <w:lvl w:ilvl="5" w:tplc="66EA75B2" w:tentative="1">
      <w:start w:val="1"/>
      <w:numFmt w:val="lowerRoman"/>
      <w:lvlText w:val="%6."/>
      <w:lvlJc w:val="right"/>
      <w:pPr>
        <w:ind w:left="4320" w:hanging="180"/>
      </w:pPr>
    </w:lvl>
    <w:lvl w:ilvl="6" w:tplc="A6D49420" w:tentative="1">
      <w:start w:val="1"/>
      <w:numFmt w:val="decimal"/>
      <w:lvlText w:val="%7."/>
      <w:lvlJc w:val="left"/>
      <w:pPr>
        <w:ind w:left="5040" w:hanging="360"/>
      </w:pPr>
    </w:lvl>
    <w:lvl w:ilvl="7" w:tplc="F4445A32" w:tentative="1">
      <w:start w:val="1"/>
      <w:numFmt w:val="lowerLetter"/>
      <w:lvlText w:val="%8."/>
      <w:lvlJc w:val="left"/>
      <w:pPr>
        <w:ind w:left="5760" w:hanging="360"/>
      </w:pPr>
    </w:lvl>
    <w:lvl w:ilvl="8" w:tplc="889E8706" w:tentative="1">
      <w:start w:val="1"/>
      <w:numFmt w:val="lowerRoman"/>
      <w:lvlText w:val="%9."/>
      <w:lvlJc w:val="right"/>
      <w:pPr>
        <w:ind w:left="6480" w:hanging="180"/>
      </w:pPr>
    </w:lvl>
  </w:abstractNum>
  <w:abstractNum w:abstractNumId="5" w15:restartNumberingAfterBreak="0">
    <w:nsid w:val="11954660"/>
    <w:multiLevelType w:val="hybridMultilevel"/>
    <w:tmpl w:val="0EA2DA38"/>
    <w:lvl w:ilvl="0" w:tplc="C6A4F36E">
      <w:start w:val="1"/>
      <w:numFmt w:val="bullet"/>
      <w:lvlText w:val=""/>
      <w:lvlJc w:val="left"/>
      <w:pPr>
        <w:ind w:left="720" w:hanging="360"/>
      </w:pPr>
      <w:rPr>
        <w:rFonts w:ascii="Symbol" w:hAnsi="Symbol" w:hint="default"/>
      </w:rPr>
    </w:lvl>
    <w:lvl w:ilvl="1" w:tplc="6628857E" w:tentative="1">
      <w:start w:val="1"/>
      <w:numFmt w:val="bullet"/>
      <w:lvlText w:val="o"/>
      <w:lvlJc w:val="left"/>
      <w:pPr>
        <w:ind w:left="1440" w:hanging="360"/>
      </w:pPr>
      <w:rPr>
        <w:rFonts w:ascii="Courier New" w:hAnsi="Courier New" w:cs="Courier New" w:hint="default"/>
      </w:rPr>
    </w:lvl>
    <w:lvl w:ilvl="2" w:tplc="93DE479C" w:tentative="1">
      <w:start w:val="1"/>
      <w:numFmt w:val="bullet"/>
      <w:lvlText w:val=""/>
      <w:lvlJc w:val="left"/>
      <w:pPr>
        <w:ind w:left="2160" w:hanging="360"/>
      </w:pPr>
      <w:rPr>
        <w:rFonts w:ascii="Wingdings" w:hAnsi="Wingdings" w:hint="default"/>
      </w:rPr>
    </w:lvl>
    <w:lvl w:ilvl="3" w:tplc="8B86FB62" w:tentative="1">
      <w:start w:val="1"/>
      <w:numFmt w:val="bullet"/>
      <w:lvlText w:val=""/>
      <w:lvlJc w:val="left"/>
      <w:pPr>
        <w:ind w:left="2880" w:hanging="360"/>
      </w:pPr>
      <w:rPr>
        <w:rFonts w:ascii="Symbol" w:hAnsi="Symbol" w:hint="default"/>
      </w:rPr>
    </w:lvl>
    <w:lvl w:ilvl="4" w:tplc="A6B042C0" w:tentative="1">
      <w:start w:val="1"/>
      <w:numFmt w:val="bullet"/>
      <w:lvlText w:val="o"/>
      <w:lvlJc w:val="left"/>
      <w:pPr>
        <w:ind w:left="3600" w:hanging="360"/>
      </w:pPr>
      <w:rPr>
        <w:rFonts w:ascii="Courier New" w:hAnsi="Courier New" w:cs="Courier New" w:hint="default"/>
      </w:rPr>
    </w:lvl>
    <w:lvl w:ilvl="5" w:tplc="153621D2" w:tentative="1">
      <w:start w:val="1"/>
      <w:numFmt w:val="bullet"/>
      <w:lvlText w:val=""/>
      <w:lvlJc w:val="left"/>
      <w:pPr>
        <w:ind w:left="4320" w:hanging="360"/>
      </w:pPr>
      <w:rPr>
        <w:rFonts w:ascii="Wingdings" w:hAnsi="Wingdings" w:hint="default"/>
      </w:rPr>
    </w:lvl>
    <w:lvl w:ilvl="6" w:tplc="F3BCF61C" w:tentative="1">
      <w:start w:val="1"/>
      <w:numFmt w:val="bullet"/>
      <w:lvlText w:val=""/>
      <w:lvlJc w:val="left"/>
      <w:pPr>
        <w:ind w:left="5040" w:hanging="360"/>
      </w:pPr>
      <w:rPr>
        <w:rFonts w:ascii="Symbol" w:hAnsi="Symbol" w:hint="default"/>
      </w:rPr>
    </w:lvl>
    <w:lvl w:ilvl="7" w:tplc="3CD658BC" w:tentative="1">
      <w:start w:val="1"/>
      <w:numFmt w:val="bullet"/>
      <w:lvlText w:val="o"/>
      <w:lvlJc w:val="left"/>
      <w:pPr>
        <w:ind w:left="5760" w:hanging="360"/>
      </w:pPr>
      <w:rPr>
        <w:rFonts w:ascii="Courier New" w:hAnsi="Courier New" w:cs="Courier New" w:hint="default"/>
      </w:rPr>
    </w:lvl>
    <w:lvl w:ilvl="8" w:tplc="75E661DC"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1CA6495F"/>
    <w:multiLevelType w:val="hybridMultilevel"/>
    <w:tmpl w:val="F19CAA04"/>
    <w:lvl w:ilvl="0" w:tplc="27F0965E">
      <w:start w:val="1"/>
      <w:numFmt w:val="decimal"/>
      <w:lvlText w:val="%1."/>
      <w:lvlJc w:val="left"/>
      <w:pPr>
        <w:ind w:left="720" w:hanging="360"/>
      </w:pPr>
    </w:lvl>
    <w:lvl w:ilvl="1" w:tplc="0FC2DB72" w:tentative="1">
      <w:start w:val="1"/>
      <w:numFmt w:val="lowerLetter"/>
      <w:lvlText w:val="%2."/>
      <w:lvlJc w:val="left"/>
      <w:pPr>
        <w:ind w:left="1440" w:hanging="360"/>
      </w:pPr>
    </w:lvl>
    <w:lvl w:ilvl="2" w:tplc="249836A4" w:tentative="1">
      <w:start w:val="1"/>
      <w:numFmt w:val="lowerRoman"/>
      <w:lvlText w:val="%3."/>
      <w:lvlJc w:val="right"/>
      <w:pPr>
        <w:ind w:left="2160" w:hanging="180"/>
      </w:pPr>
    </w:lvl>
    <w:lvl w:ilvl="3" w:tplc="ABA45C16" w:tentative="1">
      <w:start w:val="1"/>
      <w:numFmt w:val="decimal"/>
      <w:lvlText w:val="%4."/>
      <w:lvlJc w:val="left"/>
      <w:pPr>
        <w:ind w:left="2880" w:hanging="360"/>
      </w:pPr>
    </w:lvl>
    <w:lvl w:ilvl="4" w:tplc="247271B8" w:tentative="1">
      <w:start w:val="1"/>
      <w:numFmt w:val="lowerLetter"/>
      <w:lvlText w:val="%5."/>
      <w:lvlJc w:val="left"/>
      <w:pPr>
        <w:ind w:left="3600" w:hanging="360"/>
      </w:pPr>
    </w:lvl>
    <w:lvl w:ilvl="5" w:tplc="3BE40980" w:tentative="1">
      <w:start w:val="1"/>
      <w:numFmt w:val="lowerRoman"/>
      <w:lvlText w:val="%6."/>
      <w:lvlJc w:val="right"/>
      <w:pPr>
        <w:ind w:left="4320" w:hanging="180"/>
      </w:pPr>
    </w:lvl>
    <w:lvl w:ilvl="6" w:tplc="CA92004A" w:tentative="1">
      <w:start w:val="1"/>
      <w:numFmt w:val="decimal"/>
      <w:lvlText w:val="%7."/>
      <w:lvlJc w:val="left"/>
      <w:pPr>
        <w:ind w:left="5040" w:hanging="360"/>
      </w:pPr>
    </w:lvl>
    <w:lvl w:ilvl="7" w:tplc="5FF6CBA0" w:tentative="1">
      <w:start w:val="1"/>
      <w:numFmt w:val="lowerLetter"/>
      <w:lvlText w:val="%8."/>
      <w:lvlJc w:val="left"/>
      <w:pPr>
        <w:ind w:left="5760" w:hanging="360"/>
      </w:pPr>
    </w:lvl>
    <w:lvl w:ilvl="8" w:tplc="439288F4"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3"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4"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5"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6"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7"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1"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3"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4"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5"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6"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7"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15:restartNumberingAfterBreak="0">
    <w:nsid w:val="7BE95D80"/>
    <w:multiLevelType w:val="hybridMultilevel"/>
    <w:tmpl w:val="7BE95D80"/>
    <w:lvl w:ilvl="0" w:tplc="9AC4FEE2">
      <w:start w:val="1"/>
      <w:numFmt w:val="bullet"/>
      <w:lvlText w:val=""/>
      <w:lvlJc w:val="left"/>
      <w:pPr>
        <w:ind w:left="720" w:hanging="360"/>
      </w:pPr>
      <w:rPr>
        <w:rFonts w:ascii="Symbol" w:hAnsi="Symbol"/>
      </w:rPr>
    </w:lvl>
    <w:lvl w:ilvl="1" w:tplc="EDA43FA4">
      <w:start w:val="1"/>
      <w:numFmt w:val="bullet"/>
      <w:lvlText w:val="o"/>
      <w:lvlJc w:val="left"/>
      <w:pPr>
        <w:tabs>
          <w:tab w:val="num" w:pos="1440"/>
        </w:tabs>
        <w:ind w:left="1440" w:hanging="360"/>
      </w:pPr>
      <w:rPr>
        <w:rFonts w:ascii="Courier New" w:hAnsi="Courier New"/>
      </w:rPr>
    </w:lvl>
    <w:lvl w:ilvl="2" w:tplc="05F2705C">
      <w:start w:val="1"/>
      <w:numFmt w:val="bullet"/>
      <w:lvlText w:val=""/>
      <w:lvlJc w:val="left"/>
      <w:pPr>
        <w:tabs>
          <w:tab w:val="num" w:pos="2160"/>
        </w:tabs>
        <w:ind w:left="2160" w:hanging="360"/>
      </w:pPr>
      <w:rPr>
        <w:rFonts w:ascii="Wingdings" w:hAnsi="Wingdings"/>
      </w:rPr>
    </w:lvl>
    <w:lvl w:ilvl="3" w:tplc="D9BC8676">
      <w:start w:val="1"/>
      <w:numFmt w:val="bullet"/>
      <w:lvlText w:val=""/>
      <w:lvlJc w:val="left"/>
      <w:pPr>
        <w:tabs>
          <w:tab w:val="num" w:pos="2880"/>
        </w:tabs>
        <w:ind w:left="2880" w:hanging="360"/>
      </w:pPr>
      <w:rPr>
        <w:rFonts w:ascii="Symbol" w:hAnsi="Symbol"/>
      </w:rPr>
    </w:lvl>
    <w:lvl w:ilvl="4" w:tplc="E8FE0988">
      <w:start w:val="1"/>
      <w:numFmt w:val="bullet"/>
      <w:lvlText w:val="o"/>
      <w:lvlJc w:val="left"/>
      <w:pPr>
        <w:tabs>
          <w:tab w:val="num" w:pos="3600"/>
        </w:tabs>
        <w:ind w:left="3600" w:hanging="360"/>
      </w:pPr>
      <w:rPr>
        <w:rFonts w:ascii="Courier New" w:hAnsi="Courier New"/>
      </w:rPr>
    </w:lvl>
    <w:lvl w:ilvl="5" w:tplc="FBCC6604">
      <w:start w:val="1"/>
      <w:numFmt w:val="bullet"/>
      <w:lvlText w:val=""/>
      <w:lvlJc w:val="left"/>
      <w:pPr>
        <w:tabs>
          <w:tab w:val="num" w:pos="4320"/>
        </w:tabs>
        <w:ind w:left="4320" w:hanging="360"/>
      </w:pPr>
      <w:rPr>
        <w:rFonts w:ascii="Wingdings" w:hAnsi="Wingdings"/>
      </w:rPr>
    </w:lvl>
    <w:lvl w:ilvl="6" w:tplc="049AE9A6">
      <w:start w:val="1"/>
      <w:numFmt w:val="bullet"/>
      <w:lvlText w:val=""/>
      <w:lvlJc w:val="left"/>
      <w:pPr>
        <w:tabs>
          <w:tab w:val="num" w:pos="5040"/>
        </w:tabs>
        <w:ind w:left="5040" w:hanging="360"/>
      </w:pPr>
      <w:rPr>
        <w:rFonts w:ascii="Symbol" w:hAnsi="Symbol"/>
      </w:rPr>
    </w:lvl>
    <w:lvl w:ilvl="7" w:tplc="36B67510">
      <w:start w:val="1"/>
      <w:numFmt w:val="bullet"/>
      <w:lvlText w:val="o"/>
      <w:lvlJc w:val="left"/>
      <w:pPr>
        <w:tabs>
          <w:tab w:val="num" w:pos="5760"/>
        </w:tabs>
        <w:ind w:left="5760" w:hanging="360"/>
      </w:pPr>
      <w:rPr>
        <w:rFonts w:ascii="Courier New" w:hAnsi="Courier New"/>
      </w:rPr>
    </w:lvl>
    <w:lvl w:ilvl="8" w:tplc="4532DED2">
      <w:start w:val="1"/>
      <w:numFmt w:val="bullet"/>
      <w:lvlText w:val=""/>
      <w:lvlJc w:val="left"/>
      <w:pPr>
        <w:tabs>
          <w:tab w:val="num" w:pos="6480"/>
        </w:tabs>
        <w:ind w:left="6480" w:hanging="360"/>
      </w:pPr>
      <w:rPr>
        <w:rFonts w:ascii="Wingdings" w:hAnsi="Wingdings"/>
      </w:rPr>
    </w:lvl>
  </w:abstractNum>
  <w:abstractNum w:abstractNumId="37" w15:restartNumberingAfterBreak="0">
    <w:nsid w:val="7BE95D81"/>
    <w:multiLevelType w:val="hybridMultilevel"/>
    <w:tmpl w:val="7BE95D81"/>
    <w:lvl w:ilvl="0" w:tplc="44E2F174">
      <w:start w:val="1"/>
      <w:numFmt w:val="bullet"/>
      <w:lvlText w:val=""/>
      <w:lvlJc w:val="left"/>
      <w:pPr>
        <w:ind w:left="720" w:hanging="360"/>
      </w:pPr>
      <w:rPr>
        <w:rFonts w:ascii="Symbol" w:hAnsi="Symbol"/>
      </w:rPr>
    </w:lvl>
    <w:lvl w:ilvl="1" w:tplc="8B582344">
      <w:start w:val="1"/>
      <w:numFmt w:val="bullet"/>
      <w:lvlText w:val="o"/>
      <w:lvlJc w:val="left"/>
      <w:pPr>
        <w:tabs>
          <w:tab w:val="num" w:pos="1440"/>
        </w:tabs>
        <w:ind w:left="1440" w:hanging="360"/>
      </w:pPr>
      <w:rPr>
        <w:rFonts w:ascii="Courier New" w:hAnsi="Courier New"/>
      </w:rPr>
    </w:lvl>
    <w:lvl w:ilvl="2" w:tplc="4874E6F4">
      <w:start w:val="1"/>
      <w:numFmt w:val="bullet"/>
      <w:lvlText w:val=""/>
      <w:lvlJc w:val="left"/>
      <w:pPr>
        <w:tabs>
          <w:tab w:val="num" w:pos="2160"/>
        </w:tabs>
        <w:ind w:left="2160" w:hanging="360"/>
      </w:pPr>
      <w:rPr>
        <w:rFonts w:ascii="Wingdings" w:hAnsi="Wingdings"/>
      </w:rPr>
    </w:lvl>
    <w:lvl w:ilvl="3" w:tplc="D3F88926">
      <w:start w:val="1"/>
      <w:numFmt w:val="bullet"/>
      <w:lvlText w:val=""/>
      <w:lvlJc w:val="left"/>
      <w:pPr>
        <w:tabs>
          <w:tab w:val="num" w:pos="2880"/>
        </w:tabs>
        <w:ind w:left="2880" w:hanging="360"/>
      </w:pPr>
      <w:rPr>
        <w:rFonts w:ascii="Symbol" w:hAnsi="Symbol"/>
      </w:rPr>
    </w:lvl>
    <w:lvl w:ilvl="4" w:tplc="E4F63F5C">
      <w:start w:val="1"/>
      <w:numFmt w:val="bullet"/>
      <w:lvlText w:val="o"/>
      <w:lvlJc w:val="left"/>
      <w:pPr>
        <w:tabs>
          <w:tab w:val="num" w:pos="3600"/>
        </w:tabs>
        <w:ind w:left="3600" w:hanging="360"/>
      </w:pPr>
      <w:rPr>
        <w:rFonts w:ascii="Courier New" w:hAnsi="Courier New"/>
      </w:rPr>
    </w:lvl>
    <w:lvl w:ilvl="5" w:tplc="41FA84E0">
      <w:start w:val="1"/>
      <w:numFmt w:val="bullet"/>
      <w:lvlText w:val=""/>
      <w:lvlJc w:val="left"/>
      <w:pPr>
        <w:tabs>
          <w:tab w:val="num" w:pos="4320"/>
        </w:tabs>
        <w:ind w:left="4320" w:hanging="360"/>
      </w:pPr>
      <w:rPr>
        <w:rFonts w:ascii="Wingdings" w:hAnsi="Wingdings"/>
      </w:rPr>
    </w:lvl>
    <w:lvl w:ilvl="6" w:tplc="2130A4E8">
      <w:start w:val="1"/>
      <w:numFmt w:val="bullet"/>
      <w:lvlText w:val=""/>
      <w:lvlJc w:val="left"/>
      <w:pPr>
        <w:tabs>
          <w:tab w:val="num" w:pos="5040"/>
        </w:tabs>
        <w:ind w:left="5040" w:hanging="360"/>
      </w:pPr>
      <w:rPr>
        <w:rFonts w:ascii="Symbol" w:hAnsi="Symbol"/>
      </w:rPr>
    </w:lvl>
    <w:lvl w:ilvl="7" w:tplc="FC388986">
      <w:start w:val="1"/>
      <w:numFmt w:val="bullet"/>
      <w:lvlText w:val="o"/>
      <w:lvlJc w:val="left"/>
      <w:pPr>
        <w:tabs>
          <w:tab w:val="num" w:pos="5760"/>
        </w:tabs>
        <w:ind w:left="5760" w:hanging="360"/>
      </w:pPr>
      <w:rPr>
        <w:rFonts w:ascii="Courier New" w:hAnsi="Courier New"/>
      </w:rPr>
    </w:lvl>
    <w:lvl w:ilvl="8" w:tplc="78908D3A">
      <w:start w:val="1"/>
      <w:numFmt w:val="bullet"/>
      <w:lvlText w:val=""/>
      <w:lvlJc w:val="left"/>
      <w:pPr>
        <w:tabs>
          <w:tab w:val="num" w:pos="6480"/>
        </w:tabs>
        <w:ind w:left="6480" w:hanging="360"/>
      </w:pPr>
      <w:rPr>
        <w:rFonts w:ascii="Wingdings" w:hAnsi="Wingdings"/>
      </w:rPr>
    </w:lvl>
  </w:abstractNum>
  <w:abstractNum w:abstractNumId="38" w15:restartNumberingAfterBreak="0">
    <w:nsid w:val="7BE95D82"/>
    <w:multiLevelType w:val="hybridMultilevel"/>
    <w:tmpl w:val="7BE95D82"/>
    <w:lvl w:ilvl="0" w:tplc="E6087746">
      <w:start w:val="1"/>
      <w:numFmt w:val="bullet"/>
      <w:lvlText w:val=""/>
      <w:lvlJc w:val="left"/>
      <w:pPr>
        <w:ind w:left="720" w:hanging="360"/>
      </w:pPr>
      <w:rPr>
        <w:rFonts w:ascii="Symbol" w:hAnsi="Symbol"/>
      </w:rPr>
    </w:lvl>
    <w:lvl w:ilvl="1" w:tplc="17103EAE">
      <w:start w:val="1"/>
      <w:numFmt w:val="bullet"/>
      <w:lvlText w:val="o"/>
      <w:lvlJc w:val="left"/>
      <w:pPr>
        <w:tabs>
          <w:tab w:val="num" w:pos="1440"/>
        </w:tabs>
        <w:ind w:left="1440" w:hanging="360"/>
      </w:pPr>
      <w:rPr>
        <w:rFonts w:ascii="Courier New" w:hAnsi="Courier New"/>
      </w:rPr>
    </w:lvl>
    <w:lvl w:ilvl="2" w:tplc="1EB0C5A0">
      <w:start w:val="1"/>
      <w:numFmt w:val="bullet"/>
      <w:lvlText w:val=""/>
      <w:lvlJc w:val="left"/>
      <w:pPr>
        <w:tabs>
          <w:tab w:val="num" w:pos="2160"/>
        </w:tabs>
        <w:ind w:left="2160" w:hanging="360"/>
      </w:pPr>
      <w:rPr>
        <w:rFonts w:ascii="Wingdings" w:hAnsi="Wingdings"/>
      </w:rPr>
    </w:lvl>
    <w:lvl w:ilvl="3" w:tplc="153CF746">
      <w:start w:val="1"/>
      <w:numFmt w:val="bullet"/>
      <w:lvlText w:val=""/>
      <w:lvlJc w:val="left"/>
      <w:pPr>
        <w:tabs>
          <w:tab w:val="num" w:pos="2880"/>
        </w:tabs>
        <w:ind w:left="2880" w:hanging="360"/>
      </w:pPr>
      <w:rPr>
        <w:rFonts w:ascii="Symbol" w:hAnsi="Symbol"/>
      </w:rPr>
    </w:lvl>
    <w:lvl w:ilvl="4" w:tplc="CB7E5E72">
      <w:start w:val="1"/>
      <w:numFmt w:val="bullet"/>
      <w:lvlText w:val="o"/>
      <w:lvlJc w:val="left"/>
      <w:pPr>
        <w:tabs>
          <w:tab w:val="num" w:pos="3600"/>
        </w:tabs>
        <w:ind w:left="3600" w:hanging="360"/>
      </w:pPr>
      <w:rPr>
        <w:rFonts w:ascii="Courier New" w:hAnsi="Courier New"/>
      </w:rPr>
    </w:lvl>
    <w:lvl w:ilvl="5" w:tplc="A6D6065C">
      <w:start w:val="1"/>
      <w:numFmt w:val="bullet"/>
      <w:lvlText w:val=""/>
      <w:lvlJc w:val="left"/>
      <w:pPr>
        <w:tabs>
          <w:tab w:val="num" w:pos="4320"/>
        </w:tabs>
        <w:ind w:left="4320" w:hanging="360"/>
      </w:pPr>
      <w:rPr>
        <w:rFonts w:ascii="Wingdings" w:hAnsi="Wingdings"/>
      </w:rPr>
    </w:lvl>
    <w:lvl w:ilvl="6" w:tplc="307EC24A">
      <w:start w:val="1"/>
      <w:numFmt w:val="bullet"/>
      <w:lvlText w:val=""/>
      <w:lvlJc w:val="left"/>
      <w:pPr>
        <w:tabs>
          <w:tab w:val="num" w:pos="5040"/>
        </w:tabs>
        <w:ind w:left="5040" w:hanging="360"/>
      </w:pPr>
      <w:rPr>
        <w:rFonts w:ascii="Symbol" w:hAnsi="Symbol"/>
      </w:rPr>
    </w:lvl>
    <w:lvl w:ilvl="7" w:tplc="17322C84">
      <w:start w:val="1"/>
      <w:numFmt w:val="bullet"/>
      <w:lvlText w:val="o"/>
      <w:lvlJc w:val="left"/>
      <w:pPr>
        <w:tabs>
          <w:tab w:val="num" w:pos="5760"/>
        </w:tabs>
        <w:ind w:left="5760" w:hanging="360"/>
      </w:pPr>
      <w:rPr>
        <w:rFonts w:ascii="Courier New" w:hAnsi="Courier New"/>
      </w:rPr>
    </w:lvl>
    <w:lvl w:ilvl="8" w:tplc="531CE444">
      <w:start w:val="1"/>
      <w:numFmt w:val="bullet"/>
      <w:lvlText w:val=""/>
      <w:lvlJc w:val="left"/>
      <w:pPr>
        <w:tabs>
          <w:tab w:val="num" w:pos="6480"/>
        </w:tabs>
        <w:ind w:left="6480" w:hanging="360"/>
      </w:pPr>
      <w:rPr>
        <w:rFonts w:ascii="Wingdings" w:hAnsi="Wingdings"/>
      </w:rPr>
    </w:lvl>
  </w:abstractNum>
  <w:abstractNum w:abstractNumId="39" w15:restartNumberingAfterBreak="0">
    <w:nsid w:val="7BE95D83"/>
    <w:multiLevelType w:val="hybridMultilevel"/>
    <w:tmpl w:val="7BE95D83"/>
    <w:lvl w:ilvl="0" w:tplc="A3A467DE">
      <w:start w:val="1"/>
      <w:numFmt w:val="bullet"/>
      <w:lvlText w:val=""/>
      <w:lvlJc w:val="left"/>
      <w:pPr>
        <w:ind w:left="720" w:hanging="360"/>
      </w:pPr>
      <w:rPr>
        <w:rFonts w:ascii="Symbol" w:hAnsi="Symbol"/>
      </w:rPr>
    </w:lvl>
    <w:lvl w:ilvl="1" w:tplc="44802E7C">
      <w:start w:val="1"/>
      <w:numFmt w:val="bullet"/>
      <w:lvlText w:val="o"/>
      <w:lvlJc w:val="left"/>
      <w:pPr>
        <w:tabs>
          <w:tab w:val="num" w:pos="1440"/>
        </w:tabs>
        <w:ind w:left="1440" w:hanging="360"/>
      </w:pPr>
      <w:rPr>
        <w:rFonts w:ascii="Courier New" w:hAnsi="Courier New"/>
      </w:rPr>
    </w:lvl>
    <w:lvl w:ilvl="2" w:tplc="B10A778A">
      <w:start w:val="1"/>
      <w:numFmt w:val="bullet"/>
      <w:lvlText w:val=""/>
      <w:lvlJc w:val="left"/>
      <w:pPr>
        <w:tabs>
          <w:tab w:val="num" w:pos="2160"/>
        </w:tabs>
        <w:ind w:left="2160" w:hanging="360"/>
      </w:pPr>
      <w:rPr>
        <w:rFonts w:ascii="Wingdings" w:hAnsi="Wingdings"/>
      </w:rPr>
    </w:lvl>
    <w:lvl w:ilvl="3" w:tplc="59744916">
      <w:start w:val="1"/>
      <w:numFmt w:val="bullet"/>
      <w:lvlText w:val=""/>
      <w:lvlJc w:val="left"/>
      <w:pPr>
        <w:tabs>
          <w:tab w:val="num" w:pos="2880"/>
        </w:tabs>
        <w:ind w:left="2880" w:hanging="360"/>
      </w:pPr>
      <w:rPr>
        <w:rFonts w:ascii="Symbol" w:hAnsi="Symbol"/>
      </w:rPr>
    </w:lvl>
    <w:lvl w:ilvl="4" w:tplc="1E782DA4">
      <w:start w:val="1"/>
      <w:numFmt w:val="bullet"/>
      <w:lvlText w:val="o"/>
      <w:lvlJc w:val="left"/>
      <w:pPr>
        <w:tabs>
          <w:tab w:val="num" w:pos="3600"/>
        </w:tabs>
        <w:ind w:left="3600" w:hanging="360"/>
      </w:pPr>
      <w:rPr>
        <w:rFonts w:ascii="Courier New" w:hAnsi="Courier New"/>
      </w:rPr>
    </w:lvl>
    <w:lvl w:ilvl="5" w:tplc="4E1C0FFA">
      <w:start w:val="1"/>
      <w:numFmt w:val="bullet"/>
      <w:lvlText w:val=""/>
      <w:lvlJc w:val="left"/>
      <w:pPr>
        <w:tabs>
          <w:tab w:val="num" w:pos="4320"/>
        </w:tabs>
        <w:ind w:left="4320" w:hanging="360"/>
      </w:pPr>
      <w:rPr>
        <w:rFonts w:ascii="Wingdings" w:hAnsi="Wingdings"/>
      </w:rPr>
    </w:lvl>
    <w:lvl w:ilvl="6" w:tplc="3A264B84">
      <w:start w:val="1"/>
      <w:numFmt w:val="bullet"/>
      <w:lvlText w:val=""/>
      <w:lvlJc w:val="left"/>
      <w:pPr>
        <w:tabs>
          <w:tab w:val="num" w:pos="5040"/>
        </w:tabs>
        <w:ind w:left="5040" w:hanging="360"/>
      </w:pPr>
      <w:rPr>
        <w:rFonts w:ascii="Symbol" w:hAnsi="Symbol"/>
      </w:rPr>
    </w:lvl>
    <w:lvl w:ilvl="7" w:tplc="757ED9C8">
      <w:start w:val="1"/>
      <w:numFmt w:val="bullet"/>
      <w:lvlText w:val="o"/>
      <w:lvlJc w:val="left"/>
      <w:pPr>
        <w:tabs>
          <w:tab w:val="num" w:pos="5760"/>
        </w:tabs>
        <w:ind w:left="5760" w:hanging="360"/>
      </w:pPr>
      <w:rPr>
        <w:rFonts w:ascii="Courier New" w:hAnsi="Courier New"/>
      </w:rPr>
    </w:lvl>
    <w:lvl w:ilvl="8" w:tplc="720A4AEA">
      <w:start w:val="1"/>
      <w:numFmt w:val="bullet"/>
      <w:lvlText w:val=""/>
      <w:lvlJc w:val="left"/>
      <w:pPr>
        <w:tabs>
          <w:tab w:val="num" w:pos="6480"/>
        </w:tabs>
        <w:ind w:left="6480" w:hanging="360"/>
      </w:pPr>
      <w:rPr>
        <w:rFonts w:ascii="Wingdings" w:hAnsi="Wingdings"/>
      </w:rPr>
    </w:lvl>
  </w:abstractNum>
  <w:abstractNum w:abstractNumId="40" w15:restartNumberingAfterBreak="0">
    <w:nsid w:val="7BE95D84"/>
    <w:multiLevelType w:val="hybridMultilevel"/>
    <w:tmpl w:val="7BE95D84"/>
    <w:lvl w:ilvl="0" w:tplc="B2085D42">
      <w:start w:val="1"/>
      <w:numFmt w:val="bullet"/>
      <w:lvlText w:val=""/>
      <w:lvlJc w:val="left"/>
      <w:pPr>
        <w:ind w:left="720" w:hanging="360"/>
      </w:pPr>
      <w:rPr>
        <w:rFonts w:ascii="Symbol" w:hAnsi="Symbol"/>
      </w:rPr>
    </w:lvl>
    <w:lvl w:ilvl="1" w:tplc="3394332A">
      <w:start w:val="1"/>
      <w:numFmt w:val="bullet"/>
      <w:lvlText w:val="o"/>
      <w:lvlJc w:val="left"/>
      <w:pPr>
        <w:tabs>
          <w:tab w:val="num" w:pos="1440"/>
        </w:tabs>
        <w:ind w:left="1440" w:hanging="360"/>
      </w:pPr>
      <w:rPr>
        <w:rFonts w:ascii="Courier New" w:hAnsi="Courier New"/>
      </w:rPr>
    </w:lvl>
    <w:lvl w:ilvl="2" w:tplc="51AED160">
      <w:start w:val="1"/>
      <w:numFmt w:val="bullet"/>
      <w:lvlText w:val=""/>
      <w:lvlJc w:val="left"/>
      <w:pPr>
        <w:tabs>
          <w:tab w:val="num" w:pos="2160"/>
        </w:tabs>
        <w:ind w:left="2160" w:hanging="360"/>
      </w:pPr>
      <w:rPr>
        <w:rFonts w:ascii="Wingdings" w:hAnsi="Wingdings"/>
      </w:rPr>
    </w:lvl>
    <w:lvl w:ilvl="3" w:tplc="CC022072">
      <w:start w:val="1"/>
      <w:numFmt w:val="bullet"/>
      <w:lvlText w:val=""/>
      <w:lvlJc w:val="left"/>
      <w:pPr>
        <w:tabs>
          <w:tab w:val="num" w:pos="2880"/>
        </w:tabs>
        <w:ind w:left="2880" w:hanging="360"/>
      </w:pPr>
      <w:rPr>
        <w:rFonts w:ascii="Symbol" w:hAnsi="Symbol"/>
      </w:rPr>
    </w:lvl>
    <w:lvl w:ilvl="4" w:tplc="383A974E">
      <w:start w:val="1"/>
      <w:numFmt w:val="bullet"/>
      <w:lvlText w:val="o"/>
      <w:lvlJc w:val="left"/>
      <w:pPr>
        <w:tabs>
          <w:tab w:val="num" w:pos="3600"/>
        </w:tabs>
        <w:ind w:left="3600" w:hanging="360"/>
      </w:pPr>
      <w:rPr>
        <w:rFonts w:ascii="Courier New" w:hAnsi="Courier New"/>
      </w:rPr>
    </w:lvl>
    <w:lvl w:ilvl="5" w:tplc="0ADE6A10">
      <w:start w:val="1"/>
      <w:numFmt w:val="bullet"/>
      <w:lvlText w:val=""/>
      <w:lvlJc w:val="left"/>
      <w:pPr>
        <w:tabs>
          <w:tab w:val="num" w:pos="4320"/>
        </w:tabs>
        <w:ind w:left="4320" w:hanging="360"/>
      </w:pPr>
      <w:rPr>
        <w:rFonts w:ascii="Wingdings" w:hAnsi="Wingdings"/>
      </w:rPr>
    </w:lvl>
    <w:lvl w:ilvl="6" w:tplc="608E7D74">
      <w:start w:val="1"/>
      <w:numFmt w:val="bullet"/>
      <w:lvlText w:val=""/>
      <w:lvlJc w:val="left"/>
      <w:pPr>
        <w:tabs>
          <w:tab w:val="num" w:pos="5040"/>
        </w:tabs>
        <w:ind w:left="5040" w:hanging="360"/>
      </w:pPr>
      <w:rPr>
        <w:rFonts w:ascii="Symbol" w:hAnsi="Symbol"/>
      </w:rPr>
    </w:lvl>
    <w:lvl w:ilvl="7" w:tplc="2A264096">
      <w:start w:val="1"/>
      <w:numFmt w:val="bullet"/>
      <w:lvlText w:val="o"/>
      <w:lvlJc w:val="left"/>
      <w:pPr>
        <w:tabs>
          <w:tab w:val="num" w:pos="5760"/>
        </w:tabs>
        <w:ind w:left="5760" w:hanging="360"/>
      </w:pPr>
      <w:rPr>
        <w:rFonts w:ascii="Courier New" w:hAnsi="Courier New"/>
      </w:rPr>
    </w:lvl>
    <w:lvl w:ilvl="8" w:tplc="36E09C82">
      <w:start w:val="1"/>
      <w:numFmt w:val="bullet"/>
      <w:lvlText w:val=""/>
      <w:lvlJc w:val="left"/>
      <w:pPr>
        <w:tabs>
          <w:tab w:val="num" w:pos="6480"/>
        </w:tabs>
        <w:ind w:left="6480" w:hanging="360"/>
      </w:pPr>
      <w:rPr>
        <w:rFonts w:ascii="Wingdings" w:hAnsi="Wingdings"/>
      </w:rPr>
    </w:lvl>
  </w:abstractNum>
  <w:abstractNum w:abstractNumId="41" w15:restartNumberingAfterBreak="0">
    <w:nsid w:val="7BE95D85"/>
    <w:multiLevelType w:val="hybridMultilevel"/>
    <w:tmpl w:val="7BE95D85"/>
    <w:lvl w:ilvl="0" w:tplc="391E9B82">
      <w:start w:val="1"/>
      <w:numFmt w:val="bullet"/>
      <w:lvlText w:val=""/>
      <w:lvlJc w:val="left"/>
      <w:pPr>
        <w:ind w:left="720" w:hanging="360"/>
      </w:pPr>
      <w:rPr>
        <w:rFonts w:ascii="Symbol" w:hAnsi="Symbol"/>
      </w:rPr>
    </w:lvl>
    <w:lvl w:ilvl="1" w:tplc="47B2F0E4">
      <w:start w:val="1"/>
      <w:numFmt w:val="bullet"/>
      <w:lvlText w:val="o"/>
      <w:lvlJc w:val="left"/>
      <w:pPr>
        <w:tabs>
          <w:tab w:val="num" w:pos="1440"/>
        </w:tabs>
        <w:ind w:left="1440" w:hanging="360"/>
      </w:pPr>
      <w:rPr>
        <w:rFonts w:ascii="Courier New" w:hAnsi="Courier New"/>
      </w:rPr>
    </w:lvl>
    <w:lvl w:ilvl="2" w:tplc="F1A051BC">
      <w:start w:val="1"/>
      <w:numFmt w:val="bullet"/>
      <w:lvlText w:val=""/>
      <w:lvlJc w:val="left"/>
      <w:pPr>
        <w:tabs>
          <w:tab w:val="num" w:pos="2160"/>
        </w:tabs>
        <w:ind w:left="2160" w:hanging="360"/>
      </w:pPr>
      <w:rPr>
        <w:rFonts w:ascii="Wingdings" w:hAnsi="Wingdings"/>
      </w:rPr>
    </w:lvl>
    <w:lvl w:ilvl="3" w:tplc="F5FC5E62">
      <w:start w:val="1"/>
      <w:numFmt w:val="bullet"/>
      <w:lvlText w:val=""/>
      <w:lvlJc w:val="left"/>
      <w:pPr>
        <w:tabs>
          <w:tab w:val="num" w:pos="2880"/>
        </w:tabs>
        <w:ind w:left="2880" w:hanging="360"/>
      </w:pPr>
      <w:rPr>
        <w:rFonts w:ascii="Symbol" w:hAnsi="Symbol"/>
      </w:rPr>
    </w:lvl>
    <w:lvl w:ilvl="4" w:tplc="661A5B4E">
      <w:start w:val="1"/>
      <w:numFmt w:val="bullet"/>
      <w:lvlText w:val="o"/>
      <w:lvlJc w:val="left"/>
      <w:pPr>
        <w:tabs>
          <w:tab w:val="num" w:pos="3600"/>
        </w:tabs>
        <w:ind w:left="3600" w:hanging="360"/>
      </w:pPr>
      <w:rPr>
        <w:rFonts w:ascii="Courier New" w:hAnsi="Courier New"/>
      </w:rPr>
    </w:lvl>
    <w:lvl w:ilvl="5" w:tplc="42482BBE">
      <w:start w:val="1"/>
      <w:numFmt w:val="bullet"/>
      <w:lvlText w:val=""/>
      <w:lvlJc w:val="left"/>
      <w:pPr>
        <w:tabs>
          <w:tab w:val="num" w:pos="4320"/>
        </w:tabs>
        <w:ind w:left="4320" w:hanging="360"/>
      </w:pPr>
      <w:rPr>
        <w:rFonts w:ascii="Wingdings" w:hAnsi="Wingdings"/>
      </w:rPr>
    </w:lvl>
    <w:lvl w:ilvl="6" w:tplc="69B833F8">
      <w:start w:val="1"/>
      <w:numFmt w:val="bullet"/>
      <w:lvlText w:val=""/>
      <w:lvlJc w:val="left"/>
      <w:pPr>
        <w:tabs>
          <w:tab w:val="num" w:pos="5040"/>
        </w:tabs>
        <w:ind w:left="5040" w:hanging="360"/>
      </w:pPr>
      <w:rPr>
        <w:rFonts w:ascii="Symbol" w:hAnsi="Symbol"/>
      </w:rPr>
    </w:lvl>
    <w:lvl w:ilvl="7" w:tplc="FFE8F0AE">
      <w:start w:val="1"/>
      <w:numFmt w:val="bullet"/>
      <w:lvlText w:val="o"/>
      <w:lvlJc w:val="left"/>
      <w:pPr>
        <w:tabs>
          <w:tab w:val="num" w:pos="5760"/>
        </w:tabs>
        <w:ind w:left="5760" w:hanging="360"/>
      </w:pPr>
      <w:rPr>
        <w:rFonts w:ascii="Courier New" w:hAnsi="Courier New"/>
      </w:rPr>
    </w:lvl>
    <w:lvl w:ilvl="8" w:tplc="F91AE12C">
      <w:start w:val="1"/>
      <w:numFmt w:val="bullet"/>
      <w:lvlText w:val=""/>
      <w:lvlJc w:val="left"/>
      <w:pPr>
        <w:tabs>
          <w:tab w:val="num" w:pos="6480"/>
        </w:tabs>
        <w:ind w:left="6480" w:hanging="360"/>
      </w:pPr>
      <w:rPr>
        <w:rFonts w:ascii="Wingdings" w:hAnsi="Wingdings"/>
      </w:rPr>
    </w:lvl>
  </w:abstractNum>
  <w:num w:numId="1">
    <w:abstractNumId w:val="22"/>
  </w:num>
  <w:num w:numId="2">
    <w:abstractNumId w:val="12"/>
  </w:num>
  <w:num w:numId="3">
    <w:abstractNumId w:val="25"/>
  </w:num>
  <w:num w:numId="4">
    <w:abstractNumId w:val="24"/>
  </w:num>
  <w:num w:numId="5">
    <w:abstractNumId w:val="20"/>
  </w:num>
  <w:num w:numId="6">
    <w:abstractNumId w:val="31"/>
  </w:num>
  <w:num w:numId="7">
    <w:abstractNumId w:val="34"/>
  </w:num>
  <w:num w:numId="8">
    <w:abstractNumId w:val="33"/>
  </w:num>
  <w:num w:numId="9">
    <w:abstractNumId w:val="35"/>
  </w:num>
  <w:num w:numId="10">
    <w:abstractNumId w:val="15"/>
  </w:num>
  <w:num w:numId="11">
    <w:abstractNumId w:val="14"/>
  </w:num>
  <w:num w:numId="12">
    <w:abstractNumId w:val="26"/>
  </w:num>
  <w:num w:numId="13">
    <w:abstractNumId w:val="16"/>
  </w:num>
  <w:num w:numId="14">
    <w:abstractNumId w:val="23"/>
  </w:num>
  <w:num w:numId="15">
    <w:abstractNumId w:val="27"/>
  </w:num>
  <w:num w:numId="16">
    <w:abstractNumId w:val="1"/>
  </w:num>
  <w:num w:numId="17">
    <w:abstractNumId w:val="0"/>
  </w:num>
  <w:num w:numId="18">
    <w:abstractNumId w:val="13"/>
  </w:num>
  <w:num w:numId="19">
    <w:abstractNumId w:val="7"/>
  </w:num>
  <w:num w:numId="20">
    <w:abstractNumId w:val="6"/>
  </w:num>
  <w:num w:numId="21">
    <w:abstractNumId w:val="28"/>
  </w:num>
  <w:num w:numId="22">
    <w:abstractNumId w:val="30"/>
  </w:num>
  <w:num w:numId="23">
    <w:abstractNumId w:val="29"/>
  </w:num>
  <w:num w:numId="24">
    <w:abstractNumId w:val="32"/>
  </w:num>
  <w:num w:numId="25">
    <w:abstractNumId w:val="11"/>
  </w:num>
  <w:num w:numId="26">
    <w:abstractNumId w:val="17"/>
  </w:num>
  <w:num w:numId="27">
    <w:abstractNumId w:val="19"/>
  </w:num>
  <w:num w:numId="28">
    <w:abstractNumId w:val="18"/>
  </w:num>
  <w:num w:numId="29">
    <w:abstractNumId w:val="3"/>
  </w:num>
  <w:num w:numId="30">
    <w:abstractNumId w:val="21"/>
  </w:num>
  <w:num w:numId="31">
    <w:abstractNumId w:val="4"/>
  </w:num>
  <w:num w:numId="32">
    <w:abstractNumId w:val="2"/>
  </w:num>
  <w:num w:numId="33">
    <w:abstractNumId w:val="27"/>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7"/>
    <w:lvlOverride w:ilvl="0">
      <w:startOverride w:val="6"/>
      <w:lvl w:ilvl="0">
        <w:start w:val="6"/>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9"/>
  </w:num>
  <w:num w:numId="36">
    <w:abstractNumId w:val="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136E"/>
    <w:rsid w:val="00003291"/>
    <w:rsid w:val="00003ACF"/>
    <w:rsid w:val="00030CC3"/>
    <w:rsid w:val="00033DEC"/>
    <w:rsid w:val="00040967"/>
    <w:rsid w:val="00046E2A"/>
    <w:rsid w:val="00051C75"/>
    <w:rsid w:val="00051DD6"/>
    <w:rsid w:val="00053478"/>
    <w:rsid w:val="00064A75"/>
    <w:rsid w:val="00065B92"/>
    <w:rsid w:val="00091521"/>
    <w:rsid w:val="00094173"/>
    <w:rsid w:val="000A3B64"/>
    <w:rsid w:val="000C0709"/>
    <w:rsid w:val="000D2496"/>
    <w:rsid w:val="000E2AA1"/>
    <w:rsid w:val="0010723D"/>
    <w:rsid w:val="00111889"/>
    <w:rsid w:val="0011309B"/>
    <w:rsid w:val="00115C60"/>
    <w:rsid w:val="00152993"/>
    <w:rsid w:val="0015397F"/>
    <w:rsid w:val="00154F4D"/>
    <w:rsid w:val="00166DC8"/>
    <w:rsid w:val="001758BE"/>
    <w:rsid w:val="0019155C"/>
    <w:rsid w:val="0019232D"/>
    <w:rsid w:val="001A4A08"/>
    <w:rsid w:val="001A4AC5"/>
    <w:rsid w:val="001C6826"/>
    <w:rsid w:val="001D5846"/>
    <w:rsid w:val="001E682E"/>
    <w:rsid w:val="00224619"/>
    <w:rsid w:val="00225E97"/>
    <w:rsid w:val="00235FB7"/>
    <w:rsid w:val="00236B79"/>
    <w:rsid w:val="00286142"/>
    <w:rsid w:val="002B6309"/>
    <w:rsid w:val="002B6F87"/>
    <w:rsid w:val="002C0C21"/>
    <w:rsid w:val="002C592F"/>
    <w:rsid w:val="002C6D47"/>
    <w:rsid w:val="002D1FBB"/>
    <w:rsid w:val="002E06F3"/>
    <w:rsid w:val="00331A05"/>
    <w:rsid w:val="003579A1"/>
    <w:rsid w:val="00384433"/>
    <w:rsid w:val="0038606E"/>
    <w:rsid w:val="003A002E"/>
    <w:rsid w:val="003D1618"/>
    <w:rsid w:val="003D38C3"/>
    <w:rsid w:val="003E41A7"/>
    <w:rsid w:val="003E7115"/>
    <w:rsid w:val="003E726F"/>
    <w:rsid w:val="003F312A"/>
    <w:rsid w:val="003F352C"/>
    <w:rsid w:val="00434D73"/>
    <w:rsid w:val="00447F0A"/>
    <w:rsid w:val="004677D0"/>
    <w:rsid w:val="00470F82"/>
    <w:rsid w:val="0047688D"/>
    <w:rsid w:val="00484F41"/>
    <w:rsid w:val="00486E01"/>
    <w:rsid w:val="004877EB"/>
    <w:rsid w:val="00497523"/>
    <w:rsid w:val="00497FD5"/>
    <w:rsid w:val="004A389B"/>
    <w:rsid w:val="004B3428"/>
    <w:rsid w:val="004B5B5F"/>
    <w:rsid w:val="004B66B6"/>
    <w:rsid w:val="004C286E"/>
    <w:rsid w:val="004E1FDD"/>
    <w:rsid w:val="004F6677"/>
    <w:rsid w:val="00501DA0"/>
    <w:rsid w:val="00506B9C"/>
    <w:rsid w:val="005113EF"/>
    <w:rsid w:val="005411DA"/>
    <w:rsid w:val="005432E7"/>
    <w:rsid w:val="00547336"/>
    <w:rsid w:val="00552086"/>
    <w:rsid w:val="00552102"/>
    <w:rsid w:val="005547CD"/>
    <w:rsid w:val="0055686A"/>
    <w:rsid w:val="00557448"/>
    <w:rsid w:val="0056117D"/>
    <w:rsid w:val="00562C60"/>
    <w:rsid w:val="005643CD"/>
    <w:rsid w:val="00597A79"/>
    <w:rsid w:val="005A1CA2"/>
    <w:rsid w:val="005A5145"/>
    <w:rsid w:val="005A5785"/>
    <w:rsid w:val="005A6EF8"/>
    <w:rsid w:val="005B18C7"/>
    <w:rsid w:val="005C48A0"/>
    <w:rsid w:val="005E3257"/>
    <w:rsid w:val="005F6C78"/>
    <w:rsid w:val="00600727"/>
    <w:rsid w:val="00634112"/>
    <w:rsid w:val="00636EE1"/>
    <w:rsid w:val="006477CC"/>
    <w:rsid w:val="00656874"/>
    <w:rsid w:val="00667188"/>
    <w:rsid w:val="00673320"/>
    <w:rsid w:val="00684380"/>
    <w:rsid w:val="00691297"/>
    <w:rsid w:val="006A0BCE"/>
    <w:rsid w:val="006C1127"/>
    <w:rsid w:val="006C3A4F"/>
    <w:rsid w:val="006D1BFF"/>
    <w:rsid w:val="006E04F8"/>
    <w:rsid w:val="007056FA"/>
    <w:rsid w:val="00707975"/>
    <w:rsid w:val="00716640"/>
    <w:rsid w:val="00723C84"/>
    <w:rsid w:val="007241BF"/>
    <w:rsid w:val="0072625A"/>
    <w:rsid w:val="00751387"/>
    <w:rsid w:val="00754B49"/>
    <w:rsid w:val="00754FB5"/>
    <w:rsid w:val="00785519"/>
    <w:rsid w:val="007A548F"/>
    <w:rsid w:val="007B0B32"/>
    <w:rsid w:val="007C3041"/>
    <w:rsid w:val="007E1282"/>
    <w:rsid w:val="007E5180"/>
    <w:rsid w:val="008054E0"/>
    <w:rsid w:val="00813BAD"/>
    <w:rsid w:val="00823E47"/>
    <w:rsid w:val="00846353"/>
    <w:rsid w:val="00855A95"/>
    <w:rsid w:val="0085753F"/>
    <w:rsid w:val="00860EA9"/>
    <w:rsid w:val="008624D7"/>
    <w:rsid w:val="0087734D"/>
    <w:rsid w:val="00882024"/>
    <w:rsid w:val="00883A98"/>
    <w:rsid w:val="008B5D13"/>
    <w:rsid w:val="008C5CFA"/>
    <w:rsid w:val="008D382F"/>
    <w:rsid w:val="008E3442"/>
    <w:rsid w:val="008E794B"/>
    <w:rsid w:val="008F0A0F"/>
    <w:rsid w:val="0090303F"/>
    <w:rsid w:val="00906AC0"/>
    <w:rsid w:val="00910C3F"/>
    <w:rsid w:val="00936532"/>
    <w:rsid w:val="00942505"/>
    <w:rsid w:val="00955A91"/>
    <w:rsid w:val="00957B74"/>
    <w:rsid w:val="00963FAE"/>
    <w:rsid w:val="00977763"/>
    <w:rsid w:val="00977F41"/>
    <w:rsid w:val="00990A5A"/>
    <w:rsid w:val="00991CF3"/>
    <w:rsid w:val="0099233A"/>
    <w:rsid w:val="009937DA"/>
    <w:rsid w:val="009A2413"/>
    <w:rsid w:val="009A51C8"/>
    <w:rsid w:val="009C5874"/>
    <w:rsid w:val="009C5CD5"/>
    <w:rsid w:val="009E24C0"/>
    <w:rsid w:val="009E5061"/>
    <w:rsid w:val="009F3013"/>
    <w:rsid w:val="009F56AD"/>
    <w:rsid w:val="00A03573"/>
    <w:rsid w:val="00A06C1C"/>
    <w:rsid w:val="00A11A16"/>
    <w:rsid w:val="00A2107F"/>
    <w:rsid w:val="00A25F85"/>
    <w:rsid w:val="00A35F00"/>
    <w:rsid w:val="00A45A26"/>
    <w:rsid w:val="00A505F8"/>
    <w:rsid w:val="00A82BBD"/>
    <w:rsid w:val="00A859BA"/>
    <w:rsid w:val="00A91FB2"/>
    <w:rsid w:val="00AA25C0"/>
    <w:rsid w:val="00AB2305"/>
    <w:rsid w:val="00AB614B"/>
    <w:rsid w:val="00AD1925"/>
    <w:rsid w:val="00AE443E"/>
    <w:rsid w:val="00B02E47"/>
    <w:rsid w:val="00B24927"/>
    <w:rsid w:val="00B268D3"/>
    <w:rsid w:val="00B35940"/>
    <w:rsid w:val="00B50750"/>
    <w:rsid w:val="00B5163C"/>
    <w:rsid w:val="00B52CDD"/>
    <w:rsid w:val="00B60380"/>
    <w:rsid w:val="00B77328"/>
    <w:rsid w:val="00B81F97"/>
    <w:rsid w:val="00B94675"/>
    <w:rsid w:val="00B97021"/>
    <w:rsid w:val="00BA3C81"/>
    <w:rsid w:val="00BB7115"/>
    <w:rsid w:val="00BC54BA"/>
    <w:rsid w:val="00BC7D65"/>
    <w:rsid w:val="00BE06D6"/>
    <w:rsid w:val="00BE2F0F"/>
    <w:rsid w:val="00BE5814"/>
    <w:rsid w:val="00BF021B"/>
    <w:rsid w:val="00BF036C"/>
    <w:rsid w:val="00BF0C8E"/>
    <w:rsid w:val="00BF682D"/>
    <w:rsid w:val="00C15429"/>
    <w:rsid w:val="00C1692E"/>
    <w:rsid w:val="00C2219E"/>
    <w:rsid w:val="00C35D17"/>
    <w:rsid w:val="00C36C5C"/>
    <w:rsid w:val="00C403AC"/>
    <w:rsid w:val="00C40F08"/>
    <w:rsid w:val="00C568B3"/>
    <w:rsid w:val="00C61193"/>
    <w:rsid w:val="00C63717"/>
    <w:rsid w:val="00C7475F"/>
    <w:rsid w:val="00C83EDB"/>
    <w:rsid w:val="00CB3B6C"/>
    <w:rsid w:val="00CC2601"/>
    <w:rsid w:val="00CC3B15"/>
    <w:rsid w:val="00CD24A9"/>
    <w:rsid w:val="00CE4BC7"/>
    <w:rsid w:val="00CF0C37"/>
    <w:rsid w:val="00CF2144"/>
    <w:rsid w:val="00D066A4"/>
    <w:rsid w:val="00D06E4F"/>
    <w:rsid w:val="00D10A8B"/>
    <w:rsid w:val="00D4391C"/>
    <w:rsid w:val="00D5077A"/>
    <w:rsid w:val="00D87DAA"/>
    <w:rsid w:val="00DB25B8"/>
    <w:rsid w:val="00DB4153"/>
    <w:rsid w:val="00DB6C33"/>
    <w:rsid w:val="00DC2298"/>
    <w:rsid w:val="00DD0A72"/>
    <w:rsid w:val="00DD2742"/>
    <w:rsid w:val="00DD7063"/>
    <w:rsid w:val="00DD7278"/>
    <w:rsid w:val="00DF0D6A"/>
    <w:rsid w:val="00E03250"/>
    <w:rsid w:val="00E22750"/>
    <w:rsid w:val="00E30D80"/>
    <w:rsid w:val="00E31209"/>
    <w:rsid w:val="00E352CA"/>
    <w:rsid w:val="00E367EA"/>
    <w:rsid w:val="00E505CB"/>
    <w:rsid w:val="00E50D6A"/>
    <w:rsid w:val="00E57341"/>
    <w:rsid w:val="00E61062"/>
    <w:rsid w:val="00E82DCA"/>
    <w:rsid w:val="00E94987"/>
    <w:rsid w:val="00EC7CD7"/>
    <w:rsid w:val="00ED27A3"/>
    <w:rsid w:val="00ED482A"/>
    <w:rsid w:val="00ED6293"/>
    <w:rsid w:val="00EE26D8"/>
    <w:rsid w:val="00EF5E4D"/>
    <w:rsid w:val="00EF7D0A"/>
    <w:rsid w:val="00F022AC"/>
    <w:rsid w:val="00F05543"/>
    <w:rsid w:val="00F07BE5"/>
    <w:rsid w:val="00F20807"/>
    <w:rsid w:val="00F33CAB"/>
    <w:rsid w:val="00F433EE"/>
    <w:rsid w:val="00F43F8E"/>
    <w:rsid w:val="00F65BC9"/>
    <w:rsid w:val="00F66B1A"/>
    <w:rsid w:val="00F66DE9"/>
    <w:rsid w:val="00F9131C"/>
    <w:rsid w:val="00F924F6"/>
    <w:rsid w:val="00F9367D"/>
    <w:rsid w:val="00F94992"/>
    <w:rsid w:val="00FB0D59"/>
    <w:rsid w:val="00FC25A0"/>
    <w:rsid w:val="00FC3B62"/>
    <w:rsid w:val="00FC513F"/>
    <w:rsid w:val="00FC6A8D"/>
    <w:rsid w:val="00FD7D88"/>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2C72BB-5F6D-429C-A3F7-6236B4AA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3D38C3"/>
    <w:pPr>
      <w:spacing w:before="0" w:after="0"/>
      <w:ind w:left="240"/>
      <w:jc w:val="left"/>
    </w:pPr>
    <w:rPr>
      <w:smallCaps/>
      <w:sz w:val="20"/>
      <w:szCs w:val="20"/>
    </w:rPr>
  </w:style>
  <w:style w:type="paragraph" w:styleId="Kazalovsebine3">
    <w:name w:val="toc 3"/>
    <w:basedOn w:val="Navaden"/>
    <w:next w:val="Navaden"/>
    <w:rsid w:val="003D38C3"/>
    <w:pPr>
      <w:spacing w:before="0" w:after="0"/>
      <w:ind w:left="480"/>
      <w:jc w:val="left"/>
    </w:pPr>
    <w:rPr>
      <w:i/>
      <w:iCs/>
      <w:sz w:val="20"/>
      <w:szCs w:val="20"/>
    </w:rPr>
  </w:style>
  <w:style w:type="paragraph" w:styleId="Kazalovsebine4">
    <w:name w:val="toc 4"/>
    <w:basedOn w:val="Navaden"/>
    <w:next w:val="Navaden"/>
    <w:semiHidden/>
    <w:rsid w:val="003D38C3"/>
    <w:pPr>
      <w:spacing w:before="0" w:after="0"/>
      <w:ind w:left="720"/>
      <w:jc w:val="left"/>
    </w:pPr>
    <w:rPr>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2"/>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8"/>
      </w:numPr>
      <w:spacing w:before="0" w:after="240"/>
      <w:jc w:val="left"/>
    </w:pPr>
    <w:rPr>
      <w:szCs w:val="20"/>
    </w:rPr>
  </w:style>
  <w:style w:type="paragraph" w:styleId="Oznaenseznam3">
    <w:name w:val="List Bullet 3"/>
    <w:basedOn w:val="Text3"/>
    <w:rsid w:val="008C5CFA"/>
    <w:pPr>
      <w:numPr>
        <w:numId w:val="19"/>
      </w:numPr>
      <w:spacing w:before="0" w:after="240"/>
      <w:jc w:val="left"/>
    </w:pPr>
    <w:rPr>
      <w:szCs w:val="20"/>
    </w:rPr>
  </w:style>
  <w:style w:type="paragraph" w:styleId="Oznaenseznam4">
    <w:name w:val="List Bullet 4"/>
    <w:basedOn w:val="Text4"/>
    <w:rsid w:val="008C5CFA"/>
    <w:pPr>
      <w:numPr>
        <w:numId w:val="20"/>
      </w:numPr>
      <w:spacing w:before="0" w:after="240"/>
      <w:jc w:val="left"/>
    </w:pPr>
    <w:rPr>
      <w:szCs w:val="20"/>
    </w:rPr>
  </w:style>
  <w:style w:type="paragraph" w:styleId="Oznaenseznam5">
    <w:name w:val="List Bullet 5"/>
    <w:basedOn w:val="Navaden"/>
    <w:autoRedefine/>
    <w:rsid w:val="008C5CFA"/>
    <w:pPr>
      <w:numPr>
        <w:numId w:val="16"/>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6"/>
      </w:numPr>
      <w:spacing w:before="0" w:after="240"/>
      <w:jc w:val="left"/>
    </w:pPr>
    <w:rPr>
      <w:szCs w:val="20"/>
    </w:rPr>
  </w:style>
  <w:style w:type="paragraph" w:styleId="Otevilenseznam2">
    <w:name w:val="List Number 2"/>
    <w:basedOn w:val="Text2"/>
    <w:rsid w:val="008C5CFA"/>
    <w:pPr>
      <w:numPr>
        <w:numId w:val="28"/>
      </w:numPr>
      <w:spacing w:before="0" w:after="240"/>
      <w:jc w:val="left"/>
    </w:pPr>
    <w:rPr>
      <w:szCs w:val="20"/>
    </w:rPr>
  </w:style>
  <w:style w:type="paragraph" w:styleId="Otevilenseznam3">
    <w:name w:val="List Number 3"/>
    <w:basedOn w:val="Text3"/>
    <w:rsid w:val="008C5CFA"/>
    <w:pPr>
      <w:numPr>
        <w:numId w:val="29"/>
      </w:numPr>
      <w:spacing w:before="0" w:after="240"/>
      <w:jc w:val="left"/>
    </w:pPr>
    <w:rPr>
      <w:szCs w:val="20"/>
    </w:rPr>
  </w:style>
  <w:style w:type="paragraph" w:styleId="Otevilenseznam4">
    <w:name w:val="List Number 4"/>
    <w:basedOn w:val="Text4"/>
    <w:rsid w:val="008C5CFA"/>
    <w:pPr>
      <w:numPr>
        <w:numId w:val="30"/>
      </w:numPr>
      <w:spacing w:before="0" w:after="240"/>
      <w:jc w:val="left"/>
    </w:pPr>
    <w:rPr>
      <w:szCs w:val="20"/>
    </w:rPr>
  </w:style>
  <w:style w:type="paragraph" w:styleId="Otevilenseznam5">
    <w:name w:val="List Number 5"/>
    <w:basedOn w:val="Navaden"/>
    <w:rsid w:val="008C5CFA"/>
    <w:pPr>
      <w:numPr>
        <w:numId w:val="17"/>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avaden"/>
    <w:rsid w:val="008C5CFA"/>
    <w:pPr>
      <w:numPr>
        <w:ilvl w:val="1"/>
        <w:numId w:val="26"/>
      </w:numPr>
      <w:spacing w:before="0" w:after="240"/>
      <w:jc w:val="left"/>
    </w:pPr>
    <w:rPr>
      <w:szCs w:val="20"/>
    </w:rPr>
  </w:style>
  <w:style w:type="paragraph" w:customStyle="1" w:styleId="ListNumberLevel3">
    <w:name w:val="List Number (Level 3)"/>
    <w:basedOn w:val="Navaden"/>
    <w:rsid w:val="008C5CFA"/>
    <w:pPr>
      <w:numPr>
        <w:ilvl w:val="2"/>
        <w:numId w:val="26"/>
      </w:numPr>
      <w:spacing w:before="0" w:after="240"/>
      <w:jc w:val="left"/>
    </w:pPr>
    <w:rPr>
      <w:szCs w:val="20"/>
    </w:rPr>
  </w:style>
  <w:style w:type="paragraph" w:customStyle="1" w:styleId="ListNumberLevel4">
    <w:name w:val="List Number (Level 4)"/>
    <w:basedOn w:val="Navaden"/>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1"/>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vaden"/>
    <w:link w:val="Style3Char"/>
    <w:qFormat/>
    <w:rsid w:val="00115C60"/>
    <w:pPr>
      <w:spacing w:before="60" w:after="60"/>
      <w:jc w:val="left"/>
    </w:pPr>
    <w:rPr>
      <w:lang w:val="fr-BE"/>
    </w:rPr>
  </w:style>
  <w:style w:type="character" w:customStyle="1" w:styleId="Style3Char">
    <w:name w:val="Style3 Char"/>
    <w:link w:val="Style3"/>
    <w:rsid w:val="00115C60"/>
    <w:rPr>
      <w:sz w:val="24"/>
      <w:szCs w:val="24"/>
      <w:lang w:val="fr-BE"/>
    </w:rPr>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CB588-126B-4F93-8C0C-59426B13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8755</Words>
  <Characters>49908</Characters>
  <Application>Microsoft Office Word</Application>
  <DocSecurity>0</DocSecurity>
  <Lines>415</Lines>
  <Paragraphs>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cp:lastPrinted>2018-07-02T12:30:00Z</cp:lastPrinted>
  <dcterms:created xsi:type="dcterms:W3CDTF">2023-05-08T13:12:00Z</dcterms:created>
  <dcterms:modified xsi:type="dcterms:W3CDTF">2023-05-08T13:12:00Z</dcterms:modified>
</cp:coreProperties>
</file>