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60" w:rsidRDefault="00DC2731" w:rsidP="00115C60">
      <w:pPr>
        <w:pStyle w:val="ChapterTitle"/>
        <w:spacing w:before="0" w:after="0"/>
      </w:pPr>
      <w:bookmarkStart w:id="0" w:name="_GoBack"/>
      <w:bookmarkEnd w:id="0"/>
      <w:r>
        <w:rPr>
          <w:noProof/>
        </w:rPr>
        <w:t>POROČILO O IZVAJANJU ZA SKLAD AMIF</w:t>
      </w:r>
    </w:p>
    <w:p w:rsidR="00115C60" w:rsidRPr="00115C60" w:rsidRDefault="00115C60" w:rsidP="0011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7797"/>
      </w:tblGrid>
      <w:tr w:rsidR="006E3F8B" w:rsidTr="00003291">
        <w:trPr>
          <w:trHeight w:val="222"/>
        </w:trPr>
        <w:tc>
          <w:tcPr>
            <w:tcW w:w="0" w:type="auto"/>
            <w:shd w:val="clear" w:color="auto" w:fill="auto"/>
          </w:tcPr>
          <w:p w:rsidR="00115C60" w:rsidRPr="0019232D" w:rsidRDefault="00DC2731" w:rsidP="00003291">
            <w:pPr>
              <w:spacing w:before="0" w:after="0"/>
            </w:pPr>
            <w:r>
              <w:rPr>
                <w:noProof/>
              </w:rPr>
              <w:t>Številka CCI</w:t>
            </w:r>
          </w:p>
        </w:tc>
        <w:tc>
          <w:tcPr>
            <w:tcW w:w="0" w:type="auto"/>
            <w:shd w:val="clear" w:color="auto" w:fill="auto"/>
          </w:tcPr>
          <w:p w:rsidR="00115C60" w:rsidRPr="0019232D" w:rsidRDefault="00DC2731" w:rsidP="00003291">
            <w:pPr>
              <w:spacing w:before="0" w:after="0"/>
              <w:rPr>
                <w:color w:val="000000"/>
              </w:rPr>
            </w:pPr>
            <w:r>
              <w:rPr>
                <w:noProof/>
                <w:color w:val="000000"/>
              </w:rPr>
              <w:t>2014SI65AMNP001</w:t>
            </w:r>
          </w:p>
        </w:tc>
      </w:tr>
      <w:tr w:rsidR="006E3F8B" w:rsidTr="00003291">
        <w:trPr>
          <w:trHeight w:val="269"/>
        </w:trPr>
        <w:tc>
          <w:tcPr>
            <w:tcW w:w="0" w:type="auto"/>
            <w:shd w:val="clear" w:color="auto" w:fill="auto"/>
          </w:tcPr>
          <w:p w:rsidR="00115C60" w:rsidRPr="00F433EE" w:rsidRDefault="00DC2731" w:rsidP="00003291">
            <w:pPr>
              <w:spacing w:before="0" w:after="0"/>
            </w:pPr>
            <w:r>
              <w:rPr>
                <w:noProof/>
              </w:rPr>
              <w:t>Naslov</w:t>
            </w:r>
          </w:p>
        </w:tc>
        <w:tc>
          <w:tcPr>
            <w:tcW w:w="0" w:type="auto"/>
            <w:shd w:val="clear" w:color="auto" w:fill="auto"/>
          </w:tcPr>
          <w:p w:rsidR="00115C60" w:rsidRPr="0019232D" w:rsidRDefault="00DC2731" w:rsidP="00003291">
            <w:pPr>
              <w:spacing w:before="0" w:after="0"/>
              <w:rPr>
                <w:color w:val="000000"/>
              </w:rPr>
            </w:pPr>
            <w:r>
              <w:rPr>
                <w:noProof/>
                <w:color w:val="000000"/>
              </w:rPr>
              <w:t>Slovenija National Programme AMIF</w:t>
            </w:r>
          </w:p>
        </w:tc>
      </w:tr>
      <w:tr w:rsidR="006E3F8B" w:rsidTr="00003291">
        <w:trPr>
          <w:trHeight w:val="138"/>
        </w:trPr>
        <w:tc>
          <w:tcPr>
            <w:tcW w:w="0" w:type="auto"/>
            <w:shd w:val="clear" w:color="auto" w:fill="auto"/>
          </w:tcPr>
          <w:p w:rsidR="00115C60" w:rsidRPr="0019232D" w:rsidRDefault="00DC2731" w:rsidP="00003291">
            <w:pPr>
              <w:spacing w:before="0" w:after="0"/>
            </w:pPr>
            <w:r>
              <w:rPr>
                <w:noProof/>
              </w:rPr>
              <w:t>Različica</w:t>
            </w:r>
          </w:p>
        </w:tc>
        <w:tc>
          <w:tcPr>
            <w:tcW w:w="0" w:type="auto"/>
            <w:shd w:val="clear" w:color="auto" w:fill="auto"/>
          </w:tcPr>
          <w:p w:rsidR="00115C60" w:rsidRPr="0019232D" w:rsidRDefault="00DC2731" w:rsidP="00003291">
            <w:pPr>
              <w:spacing w:before="0" w:after="0"/>
              <w:rPr>
                <w:color w:val="000000"/>
              </w:rPr>
            </w:pPr>
            <w:r>
              <w:rPr>
                <w:noProof/>
                <w:color w:val="000000"/>
              </w:rPr>
              <w:t>2019.0</w:t>
            </w:r>
          </w:p>
        </w:tc>
      </w:tr>
    </w:tbl>
    <w:p w:rsidR="00115C60" w:rsidRDefault="00115C60" w:rsidP="00115C60">
      <w:pPr>
        <w:pStyle w:val="Text1"/>
        <w:spacing w:before="0" w:after="0"/>
        <w:ind w:left="0"/>
      </w:pPr>
    </w:p>
    <w:p w:rsidR="00906AC0" w:rsidRDefault="00115C60" w:rsidP="00115C60">
      <w:pPr>
        <w:pStyle w:val="Naslov1"/>
        <w:numPr>
          <w:ilvl w:val="0"/>
          <w:numId w:val="0"/>
        </w:numPr>
        <w:spacing w:before="0" w:after="0"/>
        <w:jc w:val="left"/>
        <w:rPr>
          <w:noProof/>
        </w:rPr>
      </w:pPr>
      <w:r>
        <w:br w:type="page"/>
      </w:r>
      <w:r w:rsidR="003D38C3">
        <w:fldChar w:fldCharType="begin"/>
      </w:r>
      <w:r w:rsidR="003D38C3">
        <w:instrText xml:space="preserve"> TOC \o "1-3" \h \z </w:instrText>
      </w:r>
      <w:r w:rsidR="003D38C3">
        <w:fldChar w:fldCharType="separate"/>
      </w:r>
    </w:p>
    <w:p w:rsidR="006E3F8B" w:rsidRDefault="00DC2731">
      <w:pPr>
        <w:pStyle w:val="Kazalovsebine1"/>
        <w:tabs>
          <w:tab w:val="right" w:leader="dot" w:pos="10761"/>
        </w:tabs>
        <w:rPr>
          <w:rFonts w:asciiTheme="minorHAnsi" w:hAnsiTheme="minorHAnsi"/>
          <w:noProof/>
          <w:sz w:val="22"/>
        </w:rPr>
      </w:pPr>
      <w:hyperlink w:anchor="_Toc256000002" w:history="1">
        <w:r>
          <w:rPr>
            <w:rStyle w:val="Hiperpovezava"/>
            <w:noProof/>
          </w:rPr>
          <w:t>ODDELEK 3: PROGRAMSKI CILJI</w:t>
        </w:r>
        <w:r>
          <w:tab/>
        </w:r>
        <w:r>
          <w:fldChar w:fldCharType="begin"/>
        </w:r>
        <w:r>
          <w:instrText xml:space="preserve"> PAGEREF _Toc256000002 \h </w:instrText>
        </w:r>
        <w:r>
          <w:fldChar w:fldCharType="separate"/>
        </w:r>
        <w:r>
          <w:t>3</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03" w:history="1">
        <w:r w:rsidRPr="00F9367D">
          <w:rPr>
            <w:rStyle w:val="Hiperpovezava"/>
            <w:noProof/>
          </w:rPr>
          <w:t>OKVIRNI ČASOVNI RAZPORED</w:t>
        </w:r>
        <w:r>
          <w:tab/>
        </w:r>
        <w:r>
          <w:fldChar w:fldCharType="begin"/>
        </w:r>
        <w:r>
          <w:instrText xml:space="preserve"> PAGEREF _Toc256000003 \h </w:instrText>
        </w:r>
        <w:r>
          <w:fldChar w:fldCharType="separate"/>
        </w:r>
        <w:r>
          <w:t>13</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04" w:history="1">
        <w:r>
          <w:rPr>
            <w:rStyle w:val="Hiperpovezava"/>
            <w:noProof/>
          </w:rPr>
          <w:t>ODDE</w:t>
        </w:r>
        <w:r>
          <w:rPr>
            <w:rStyle w:val="Hiperpovezava"/>
            <w:noProof/>
          </w:rPr>
          <w:t>LEK 4: POSEBNI PRIMERI</w:t>
        </w:r>
        <w:r>
          <w:tab/>
        </w:r>
        <w:r>
          <w:fldChar w:fldCharType="begin"/>
        </w:r>
        <w:r>
          <w:instrText xml:space="preserve"> PAGEREF _Toc256000004 \h </w:instrText>
        </w:r>
        <w:r>
          <w:fldChar w:fldCharType="separate"/>
        </w:r>
        <w:r>
          <w:t>14</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05" w:history="1">
        <w:r>
          <w:rPr>
            <w:rStyle w:val="Hiperpovezava"/>
            <w:noProof/>
            <w:lang w:val="fr-BE"/>
          </w:rPr>
          <w:t>ODDELEK 5: SKUPNI KAZALNIKI IN KAZALNIKI ZA POSAMEZNE PROGRAME</w:t>
        </w:r>
        <w:r>
          <w:tab/>
        </w:r>
        <w:r>
          <w:fldChar w:fldCharType="begin"/>
        </w:r>
        <w:r>
          <w:instrText xml:space="preserve"> PAGEREF _Toc256000005 \h </w:instrText>
        </w:r>
        <w:r>
          <w:fldChar w:fldCharType="separate"/>
        </w:r>
        <w:r>
          <w:t>15</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06" w:history="1">
        <w:r>
          <w:rPr>
            <w:rStyle w:val="Hiperpovezava"/>
            <w:noProof/>
            <w:lang w:val="fr-BE"/>
          </w:rPr>
          <w:t>ODDELEK 6: OKVIR ZA PRIPRAVO IN IZVAJANJE PROGRAMA S STRANI DRŽAVE ČLANICE</w:t>
        </w:r>
        <w:r>
          <w:tab/>
        </w:r>
        <w:r>
          <w:fldChar w:fldCharType="begin"/>
        </w:r>
        <w:r>
          <w:instrText xml:space="preserve"> PAGEREF _Toc256000006 \h </w:instrText>
        </w:r>
        <w:r>
          <w:fldChar w:fldCharType="separate"/>
        </w:r>
        <w:r>
          <w:t>17</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07" w:history="1">
        <w:r>
          <w:rPr>
            <w:rStyle w:val="Hiperpovezava"/>
            <w:noProof/>
            <w:lang w:val="fr-BE"/>
          </w:rPr>
          <w:t>6.1 Odbor za spremljanje (člen 12(4) Uredbe (EU) št. 514/2014)</w:t>
        </w:r>
        <w:r>
          <w:tab/>
        </w:r>
        <w:r>
          <w:fldChar w:fldCharType="begin"/>
        </w:r>
        <w:r>
          <w:instrText xml:space="preserve"> PAGEREF _Toc256000007 \h </w:instrText>
        </w:r>
        <w:r>
          <w:fldChar w:fldCharType="separate"/>
        </w:r>
        <w:r>
          <w:t>17</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08" w:history="1">
        <w:r>
          <w:rPr>
            <w:rStyle w:val="Hiperpovezava"/>
            <w:noProof/>
            <w:lang w:val="fr-BE"/>
          </w:rPr>
          <w:t>6.2 Skupni okvir za spremljanje in vrednotenje (člen 14(2)(f) Uredbe (EU) št. 514/2014)</w:t>
        </w:r>
        <w:r>
          <w:tab/>
        </w:r>
        <w:r>
          <w:fldChar w:fldCharType="begin"/>
        </w:r>
        <w:r>
          <w:instrText xml:space="preserve"> PAGEREF _Toc256000008 \h </w:instrText>
        </w:r>
        <w:r>
          <w:fldChar w:fldCharType="separate"/>
        </w:r>
        <w:r>
          <w:t>18</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09" w:history="1">
        <w:r>
          <w:rPr>
            <w:rStyle w:val="Hiperpovezava"/>
            <w:noProof/>
            <w:lang w:val="fr-BE"/>
          </w:rPr>
          <w:t>Ukre</w:t>
        </w:r>
        <w:r>
          <w:rPr>
            <w:rStyle w:val="Hiperpovezava"/>
            <w:noProof/>
            <w:lang w:val="fr-BE"/>
          </w:rPr>
          <w:t>pi spremljanja in vrednotenja, ki jih sprejme pristojni organ, vključno z ureditvijo zbiranja podatkov, dejavnostmi vrednotenja, ugotovljenimi težavami ter ukrepi za njihovo odpravo.</w:t>
        </w:r>
        <w:r>
          <w:tab/>
        </w:r>
        <w:r>
          <w:fldChar w:fldCharType="begin"/>
        </w:r>
        <w:r>
          <w:instrText xml:space="preserve"> PAGEREF _Toc256000009 \h </w:instrText>
        </w:r>
        <w:r>
          <w:fldChar w:fldCharType="separate"/>
        </w:r>
        <w:r>
          <w:t>18</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0" w:history="1">
        <w:r>
          <w:rPr>
            <w:rStyle w:val="Hiperpovezava"/>
            <w:noProof/>
            <w:lang w:val="fr-BE"/>
          </w:rPr>
          <w:t>6.3 Partnersko sodelovanje pri izvajanju, spremljanju in vrednotenju nacionalnega programa (člen 12(3) Uredbe (EU) št. 514/2014)</w:t>
        </w:r>
        <w:r>
          <w:tab/>
        </w:r>
        <w:r>
          <w:fldChar w:fldCharType="begin"/>
        </w:r>
        <w:r>
          <w:instrText xml:space="preserve"> PAGEREF _Toc256000010 \h </w:instrText>
        </w:r>
        <w:r>
          <w:fldChar w:fldCharType="separate"/>
        </w:r>
        <w:r>
          <w:t>20</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1" w:history="1">
        <w:r>
          <w:rPr>
            <w:rStyle w:val="Hiperpovezava"/>
            <w:noProof/>
            <w:lang w:val="fr-BE"/>
          </w:rPr>
          <w:t>Na kratko opišite glavne prispevke in mnenja partnerjev v proračunskem letu.</w:t>
        </w:r>
        <w:r>
          <w:tab/>
        </w:r>
        <w:r>
          <w:fldChar w:fldCharType="begin"/>
        </w:r>
        <w:r>
          <w:instrText xml:space="preserve"> PAGEREF _Toc256000011 \h </w:instrText>
        </w:r>
        <w:r>
          <w:fldChar w:fldCharType="separate"/>
        </w:r>
        <w:r>
          <w:t>20</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2" w:history="1">
        <w:r>
          <w:rPr>
            <w:rStyle w:val="Hiperpovezava"/>
            <w:noProof/>
            <w:lang w:val="fr-BE"/>
          </w:rPr>
          <w:t>6.4 Obveščanje in objavljanje (člen 48 Uredbe (ES) št. 514/2014)</w:t>
        </w:r>
        <w:r>
          <w:tab/>
        </w:r>
        <w:r>
          <w:fldChar w:fldCharType="begin"/>
        </w:r>
        <w:r>
          <w:instrText xml:space="preserve"> PAGEREF _Toc256000012 \h </w:instrText>
        </w:r>
        <w:r>
          <w:fldChar w:fldCharType="separate"/>
        </w:r>
        <w:r>
          <w:t>21</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3" w:history="1">
        <w:r>
          <w:rPr>
            <w:rStyle w:val="Hiperpovezava"/>
            <w:noProof/>
            <w:lang w:val="fr-BE"/>
          </w:rPr>
          <w:t>Navedite povezavo do spletišča programa.</w:t>
        </w:r>
        <w:r>
          <w:tab/>
        </w:r>
        <w:r>
          <w:fldChar w:fldCharType="begin"/>
        </w:r>
        <w:r>
          <w:instrText xml:space="preserve"> PAGEREF _Toc256000013 \h </w:instrText>
        </w:r>
        <w:r>
          <w:fldChar w:fldCharType="separate"/>
        </w:r>
        <w:r>
          <w:t>21</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4" w:history="1">
        <w:r>
          <w:rPr>
            <w:rStyle w:val="Hiperpovezava"/>
            <w:noProof/>
            <w:lang w:val="fr-BE"/>
          </w:rPr>
          <w:t xml:space="preserve">Navedite glavne dejavnosti obveščanja in </w:t>
        </w:r>
        <w:r>
          <w:rPr>
            <w:rStyle w:val="Hiperpovezava"/>
            <w:noProof/>
            <w:lang w:val="fr-BE"/>
          </w:rPr>
          <w:t>objavljanja, izvedene v proračunskem letu. Priložiti je treba primere gradiva.</w:t>
        </w:r>
        <w:r>
          <w:tab/>
        </w:r>
        <w:r>
          <w:fldChar w:fldCharType="begin"/>
        </w:r>
        <w:r>
          <w:instrText xml:space="preserve"> PAGEREF _Toc256000014 \h </w:instrText>
        </w:r>
        <w:r>
          <w:fldChar w:fldCharType="separate"/>
        </w:r>
        <w:r>
          <w:t>21</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5" w:history="1">
        <w:r w:rsidRPr="00910C3F">
          <w:rPr>
            <w:rStyle w:val="Hiperpovezava"/>
            <w:noProof/>
          </w:rPr>
          <w:t>6.5 Dopolnjevanje z drugimi instrumenti Unije (č</w:t>
        </w:r>
        <w:r w:rsidRPr="00910C3F">
          <w:rPr>
            <w:rStyle w:val="Hiperpovezava"/>
            <w:noProof/>
          </w:rPr>
          <w:t>len 14(2)(e) in 14(5)(f) Uredbe (EU) št. 514/2014)</w:t>
        </w:r>
        <w:r>
          <w:tab/>
        </w:r>
        <w:r>
          <w:fldChar w:fldCharType="begin"/>
        </w:r>
        <w:r>
          <w:instrText xml:space="preserve"> PAGEREF _Toc256000015 \h </w:instrText>
        </w:r>
        <w:r>
          <w:fldChar w:fldCharType="separate"/>
        </w:r>
        <w:r>
          <w:t>22</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6" w:history="1">
        <w:r>
          <w:rPr>
            <w:rStyle w:val="Hiperpovezava"/>
            <w:noProof/>
            <w:lang w:val="fr-BE"/>
          </w:rPr>
          <w:t>Na kratko opišite glavne ukrepe in posvetovanja, opravljena za zagotovitev u</w:t>
        </w:r>
        <w:r>
          <w:rPr>
            <w:rStyle w:val="Hiperpovezava"/>
            <w:noProof/>
            <w:lang w:val="fr-BE"/>
          </w:rPr>
          <w:t>sklajenosti z drugimi instrumenti Unije, zlasti naslednjimi:</w:t>
        </w:r>
        <w:r>
          <w:tab/>
        </w:r>
        <w:r>
          <w:fldChar w:fldCharType="begin"/>
        </w:r>
        <w:r>
          <w:instrText xml:space="preserve"> PAGEREF _Toc256000016 \h </w:instrText>
        </w:r>
        <w:r>
          <w:fldChar w:fldCharType="separate"/>
        </w:r>
        <w:r>
          <w:t>22</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7" w:history="1">
        <w:r>
          <w:rPr>
            <w:rStyle w:val="Hiperpovezava"/>
            <w:noProof/>
            <w:lang w:val="fr-BE"/>
          </w:rPr>
          <w:t>6.6 Neposredna oddaja naročila</w:t>
        </w:r>
        <w:r>
          <w:tab/>
        </w:r>
        <w:r>
          <w:fldChar w:fldCharType="begin"/>
        </w:r>
        <w:r>
          <w:instrText xml:space="preserve"> PAGEREF _Toc256000017 \h </w:instrText>
        </w:r>
        <w:r>
          <w:fldChar w:fldCharType="separate"/>
        </w:r>
        <w:r>
          <w:t>23</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18" w:history="1">
        <w:r>
          <w:rPr>
            <w:rStyle w:val="Hiperpovezava"/>
            <w:noProof/>
            <w:lang w:val="fr-BE"/>
          </w:rPr>
          <w:t>Utemeljite vsak primer neposredne dodelitve.</w:t>
        </w:r>
        <w:r>
          <w:tab/>
        </w:r>
        <w:r>
          <w:fldChar w:fldCharType="begin"/>
        </w:r>
        <w:r>
          <w:instrText xml:space="preserve"> PAGEREF _Toc256000018 \h </w:instrText>
        </w:r>
        <w:r>
          <w:fldChar w:fldCharType="separate"/>
        </w:r>
        <w:r>
          <w:t>23</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19" w:history="1">
        <w:r>
          <w:rPr>
            <w:rStyle w:val="Hiperpovezava"/>
            <w:noProof/>
            <w:lang w:val="fr-BE"/>
          </w:rPr>
          <w:t>ODDELEK 7: FINANČNO POROČILO (ČLEN 54(2)(A) UREDBE (EU) ŠT. 514/2014)</w:t>
        </w:r>
        <w:r>
          <w:tab/>
        </w:r>
        <w:r>
          <w:fldChar w:fldCharType="begin"/>
        </w:r>
        <w:r>
          <w:instrText xml:space="preserve"> PAGEREF _Toc256000019 \h </w:instrText>
        </w:r>
        <w:r>
          <w:fldChar w:fldCharType="separate"/>
        </w:r>
        <w:r>
          <w:t>24</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20" w:history="1">
        <w:r>
          <w:rPr>
            <w:rStyle w:val="Hiperpovezava"/>
            <w:noProof/>
            <w:lang w:val="fr-BE"/>
          </w:rPr>
          <w:t>Preglednica 1. Finančni povzetek za sklad AM</w:t>
        </w:r>
        <w:r>
          <w:rPr>
            <w:rStyle w:val="Hiperpovezava"/>
            <w:noProof/>
            <w:lang w:val="fr-BE"/>
          </w:rPr>
          <w:t>IF, kot je navedeno v obračunih</w:t>
        </w:r>
        <w:r>
          <w:tab/>
        </w:r>
        <w:r>
          <w:fldChar w:fldCharType="begin"/>
        </w:r>
        <w:r>
          <w:instrText xml:space="preserve"> PAGEREF _Toc256000020 \h </w:instrText>
        </w:r>
        <w:r>
          <w:fldChar w:fldCharType="separate"/>
        </w:r>
        <w:r>
          <w:t>24</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21" w:history="1">
        <w:r>
          <w:rPr>
            <w:rStyle w:val="Hiperpovezava"/>
            <w:noProof/>
            <w:lang w:val="fr-BE"/>
          </w:rPr>
          <w:t>Preglednica 2. Obljubljena sredstva za posebne primere, kot je navedeno v obračunih</w:t>
        </w:r>
        <w:r>
          <w:tab/>
        </w:r>
        <w:r>
          <w:fldChar w:fldCharType="begin"/>
        </w:r>
        <w:r>
          <w:instrText xml:space="preserve"> PAGEREF _</w:instrText>
        </w:r>
        <w:r>
          <w:instrText xml:space="preserve">Toc256000021 \h </w:instrText>
        </w:r>
        <w:r>
          <w:fldChar w:fldCharType="separate"/>
        </w:r>
        <w:r>
          <w:t>25</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22" w:history="1">
        <w:r>
          <w:rPr>
            <w:rStyle w:val="Hiperpovezava"/>
            <w:noProof/>
            <w:lang w:val="fr-BE"/>
          </w:rPr>
          <w:t>Preglednica 3. Izvajanje finančnega načrta nacionalnega programa, pri čemer je naveden skupni prispevek EU za vsako proračunsko leto</w:t>
        </w:r>
        <w:r>
          <w:tab/>
        </w:r>
        <w:r>
          <w:fldChar w:fldCharType="begin"/>
        </w:r>
        <w:r>
          <w:instrText xml:space="preserve"> PAGEREF _Toc256000022 \h</w:instrText>
        </w:r>
        <w:r>
          <w:instrText xml:space="preserve"> </w:instrText>
        </w:r>
        <w:r>
          <w:fldChar w:fldCharType="separate"/>
        </w:r>
        <w:r>
          <w:t>26</w:t>
        </w:r>
        <w:r>
          <w:fldChar w:fldCharType="end"/>
        </w:r>
      </w:hyperlink>
    </w:p>
    <w:p w:rsidR="006E3F8B" w:rsidRDefault="00DC2731">
      <w:pPr>
        <w:pStyle w:val="Kazalovsebine2"/>
        <w:tabs>
          <w:tab w:val="right" w:leader="dot" w:pos="10761"/>
        </w:tabs>
        <w:rPr>
          <w:rFonts w:asciiTheme="minorHAnsi" w:hAnsiTheme="minorHAnsi"/>
          <w:noProof/>
          <w:sz w:val="22"/>
        </w:rPr>
      </w:pPr>
      <w:hyperlink w:anchor="_Toc256000023" w:history="1">
        <w:r>
          <w:rPr>
            <w:rStyle w:val="Hiperpovezava"/>
            <w:noProof/>
            <w:lang w:val="fr-BE"/>
          </w:rPr>
          <w:t>Utemeljitev morebitnega odstopanja od najnižjih deležev, določenih v posebni uredbi.</w:t>
        </w:r>
        <w:r>
          <w:tab/>
        </w:r>
        <w:r>
          <w:fldChar w:fldCharType="begin"/>
        </w:r>
        <w:r>
          <w:instrText xml:space="preserve"> PAGEREF _Toc256000023 \h </w:instrText>
        </w:r>
        <w:r>
          <w:fldChar w:fldCharType="separate"/>
        </w:r>
        <w:r>
          <w:t>27</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24" w:history="1">
        <w:r>
          <w:rPr>
            <w:rStyle w:val="Hiperpovezava"/>
            <w:noProof/>
            <w:lang w:val="fr-BE"/>
          </w:rPr>
          <w:t>ODDELEK 8: OBVEZNOSTI V OBLIKI DOGOVORA</w:t>
        </w:r>
        <w:r>
          <w:tab/>
        </w:r>
        <w:r>
          <w:fldChar w:fldCharType="begin"/>
        </w:r>
        <w:r>
          <w:instrText xml:space="preserve"> PAGEREF _Toc256000024 \h </w:instrText>
        </w:r>
        <w:r>
          <w:fldChar w:fldCharType="separate"/>
        </w:r>
        <w:r>
          <w:t>28</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25" w:history="1">
        <w:r>
          <w:rPr>
            <w:rStyle w:val="Hiperpovezava"/>
            <w:noProof/>
          </w:rPr>
          <w:t>Dokumenti</w:t>
        </w:r>
        <w:r>
          <w:tab/>
        </w:r>
        <w:r>
          <w:fldChar w:fldCharType="begin"/>
        </w:r>
        <w:r>
          <w:instrText xml:space="preserve"> PAGEREF _Toc2</w:instrText>
        </w:r>
        <w:r>
          <w:instrText xml:space="preserve">56000025 \h </w:instrText>
        </w:r>
        <w:r>
          <w:fldChar w:fldCharType="separate"/>
        </w:r>
        <w:r>
          <w:t>29</w:t>
        </w:r>
        <w:r>
          <w:fldChar w:fldCharType="end"/>
        </w:r>
      </w:hyperlink>
    </w:p>
    <w:p w:rsidR="006E3F8B" w:rsidRDefault="00DC2731">
      <w:pPr>
        <w:pStyle w:val="Kazalovsebine1"/>
        <w:tabs>
          <w:tab w:val="right" w:leader="dot" w:pos="10761"/>
        </w:tabs>
        <w:rPr>
          <w:rFonts w:asciiTheme="minorHAnsi" w:hAnsiTheme="minorHAnsi"/>
          <w:noProof/>
          <w:sz w:val="22"/>
        </w:rPr>
      </w:pPr>
      <w:hyperlink w:anchor="_Toc256000026" w:history="1">
        <w:r w:rsidR="00F05543">
          <w:rPr>
            <w:rStyle w:val="Hiperpovezava"/>
            <w:noProof/>
          </w:rPr>
          <w:t>Zadnji rezultati validacije</w:t>
        </w:r>
        <w:r>
          <w:tab/>
        </w:r>
        <w:r>
          <w:fldChar w:fldCharType="begin"/>
        </w:r>
        <w:r>
          <w:instrText xml:space="preserve"> PAGEREF _Toc256000026 \h </w:instrText>
        </w:r>
        <w:r>
          <w:fldChar w:fldCharType="separate"/>
        </w:r>
        <w:r>
          <w:t>30</w:t>
        </w:r>
        <w:r>
          <w:fldChar w:fldCharType="end"/>
        </w:r>
      </w:hyperlink>
    </w:p>
    <w:p w:rsidR="00115C60" w:rsidRDefault="003D38C3" w:rsidP="00115C60">
      <w:pPr>
        <w:pStyle w:val="Naslov1"/>
        <w:numPr>
          <w:ilvl w:val="0"/>
          <w:numId w:val="0"/>
        </w:numPr>
        <w:spacing w:before="0" w:after="0"/>
        <w:jc w:val="left"/>
      </w:pPr>
      <w:r>
        <w:fldChar w:fldCharType="end"/>
      </w:r>
      <w:r w:rsidR="00DC2731" w:rsidRPr="005B18C7">
        <w:br w:type="page"/>
      </w:r>
      <w:bookmarkStart w:id="1" w:name="_Toc256000002"/>
      <w:r w:rsidR="00DC2731">
        <w:rPr>
          <w:noProof/>
        </w:rPr>
        <w:lastRenderedPageBreak/>
        <w:t xml:space="preserve">ODDELEK 3: </w:t>
      </w:r>
      <w:r w:rsidR="00DC2731">
        <w:rPr>
          <w:noProof/>
        </w:rPr>
        <w:t>PROGRAMSKI CILJI</w:t>
      </w:r>
      <w:bookmarkEnd w:id="1"/>
    </w:p>
    <w:p w:rsidR="00115C60" w:rsidRPr="00B77328" w:rsidRDefault="00115C60" w:rsidP="00115C60">
      <w:pPr>
        <w:spacing w:before="0" w:after="0"/>
      </w:pPr>
    </w:p>
    <w:p w:rsidR="00115C60" w:rsidRDefault="00DC2731"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4552"/>
      </w:tblGrid>
      <w:tr w:rsidR="006E3F8B" w:rsidTr="00003291">
        <w:tc>
          <w:tcPr>
            <w:tcW w:w="0" w:type="auto"/>
            <w:shd w:val="clear" w:color="auto" w:fill="auto"/>
          </w:tcPr>
          <w:p w:rsidR="00115C60" w:rsidRPr="006C1127" w:rsidRDefault="00DC273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C2731" w:rsidP="00003291">
            <w:pPr>
              <w:spacing w:before="0" w:after="0"/>
              <w:rPr>
                <w:lang w:val="fr-BE"/>
              </w:rPr>
            </w:pPr>
            <w:r w:rsidRPr="006C1127">
              <w:rPr>
                <w:noProof/>
                <w:lang w:val="fr-BE"/>
              </w:rPr>
              <w:t>1</w:t>
            </w:r>
            <w:r w:rsidRPr="006C1127">
              <w:rPr>
                <w:lang w:val="fr-BE"/>
              </w:rPr>
              <w:t xml:space="preserve"> - </w:t>
            </w:r>
            <w:r w:rsidRPr="006C1127">
              <w:rPr>
                <w:noProof/>
                <w:lang w:val="fr-BE"/>
              </w:rPr>
              <w:t>Azil</w:t>
            </w:r>
          </w:p>
        </w:tc>
      </w:tr>
    </w:tbl>
    <w:p w:rsidR="00115C60" w:rsidRDefault="00115C60" w:rsidP="00115C60">
      <w:pPr>
        <w:spacing w:before="0" w:after="0"/>
        <w:rPr>
          <w:lang w:val="fr-BE"/>
        </w:rPr>
      </w:pPr>
    </w:p>
    <w:p w:rsidR="006E3F8B" w:rsidRDefault="00DC2731">
      <w:pPr>
        <w:spacing w:before="0" w:after="240"/>
        <w:jc w:val="left"/>
      </w:pPr>
      <w:r>
        <w:t>V okviru političnega dialoga je Slovenija izpostavila dve svoji prioriteti v okviru posebnega cilja A.SO1:</w:t>
      </w:r>
    </w:p>
    <w:p w:rsidR="006E3F8B" w:rsidRDefault="00DC2731">
      <w:pPr>
        <w:numPr>
          <w:ilvl w:val="0"/>
          <w:numId w:val="43"/>
        </w:numPr>
        <w:spacing w:before="240" w:after="0"/>
        <w:ind w:hanging="210"/>
        <w:jc w:val="left"/>
      </w:pPr>
      <w:r>
        <w:t xml:space="preserve">krepitev pristojnih služb za </w:t>
      </w:r>
      <w:r>
        <w:t>obravnavo prošenj za azil v celoti v skladu s pravnim redom EU, vključno z usposabljanjem osebja, mejnih straž, sodnikov, skrbnikov in zakonitih zastopnikov mladoletnikov brez spremstva itd.;</w:t>
      </w:r>
    </w:p>
    <w:p w:rsidR="006E3F8B" w:rsidRDefault="00DC2731">
      <w:pPr>
        <w:numPr>
          <w:ilvl w:val="0"/>
          <w:numId w:val="43"/>
        </w:numPr>
        <w:spacing w:before="0" w:after="240"/>
        <w:ind w:hanging="210"/>
        <w:jc w:val="left"/>
      </w:pPr>
      <w:r>
        <w:t>zagotavljanje podpornih mehanizmov prosilcem za azil pravna pomo</w:t>
      </w:r>
      <w:r>
        <w:t>č in svetovanje, prevajalske in storitve tolmačenja, usposabljanje osebja, predaje po Dublinski uredbi, medicinska pomoč, socialna mediacija, vključno z identifikacijo ranljivih ljudi in reševanjem njihovih potreb itd</w:t>
      </w:r>
    </w:p>
    <w:p w:rsidR="006E3F8B" w:rsidRDefault="00DC2731">
      <w:pPr>
        <w:spacing w:before="240" w:after="240"/>
        <w:jc w:val="left"/>
      </w:pPr>
      <w:r>
        <w:t>Na dejansko izvajanje so močno vplival</w:t>
      </w:r>
      <w:r>
        <w:t>e razmere v letih 2015 in 2016, saj je Slovenija postala del poti migrantskega vala, ki je tekel od slovensko-hrvaške meje do slovensko-avstrijske meje. Na te izzive se je Slovenija odzvala v skladu s skupnimi ukrepi EU in prioritetno obravnavo in izvajanj</w:t>
      </w:r>
      <w:r>
        <w:t>em aktivnosti ukrepov sprejema in integracije. Prioritetna obravnava ukrepov v okviru nacionalnega cilja A.SO1 in povečana sredstva za izvajanje teh ukrepov so se odrazili v revidiranem NP z dne 31.8.2017.</w:t>
      </w:r>
    </w:p>
    <w:p w:rsidR="006E3F8B" w:rsidRDefault="00DC2731">
      <w:pPr>
        <w:spacing w:before="240" w:after="240"/>
        <w:jc w:val="left"/>
      </w:pPr>
      <w:r>
        <w:t>Dolgoročni cilj Slovenije v sklopu posebnega cilja</w:t>
      </w:r>
      <w:r>
        <w:t xml:space="preserve"> A.SO1 "Azil" je učinkovita izvedba Skupnega evropskega azilnega sistema (CEAS) prek učinkovitih in hitrih postopkov, ki zagotavljajo enake možnosti vsem ljudem, ki potrebujejo zaščito. Načrtovane aktivnosti</w:t>
      </w:r>
      <w:r>
        <w:rPr>
          <w:b/>
          <w:bCs/>
        </w:rPr>
        <w:t> </w:t>
      </w:r>
      <w:r>
        <w:t xml:space="preserve"> v okviru nacionalnega cilja</w:t>
      </w:r>
      <w:r>
        <w:rPr>
          <w:b/>
          <w:bCs/>
        </w:rPr>
        <w:t xml:space="preserve"> </w:t>
      </w:r>
      <w:r>
        <w:t>A.SO1.2 »Vrednotenj</w:t>
      </w:r>
      <w:r>
        <w:t>e« so zaradi izzivov povečanih migracij realizirane v minimalnem obsegu in v okviru drugih finančnih instrumentov (in ne AMIF). Ukrepi Slovenije so osredotočeni na izboljšanje kakovosti in hitrost sprejemanja odločitev ter na kakovost spremljanja, vrednote</w:t>
      </w:r>
      <w:r>
        <w:t>nja in načrtovanja ravnanja v nepredvidljivih razmerah. Prosilcem za mednarodno zaščito se v sklopu pomoči in podpore zagotavlja dostop do informacij in pravnih, prevajalskih, tolmačenja, socialnih, zdravstvenih itd. storitev. Izvajajo se izboljšave spreje</w:t>
      </w:r>
      <w:r>
        <w:t>mne infrastrukture, storitev in razmer, spodbuja  alternative za pridržanje identifikacijo in izboljšanje razmer za ranljive osebe, ter deluje na splošni ozaveščenosti širše javnosti.</w:t>
      </w:r>
    </w:p>
    <w:p w:rsidR="006E3F8B" w:rsidRDefault="00DC2731">
      <w:pPr>
        <w:spacing w:before="240" w:after="240"/>
        <w:jc w:val="left"/>
      </w:pPr>
      <w:r>
        <w:t xml:space="preserve">Alokacija sredstev za leto 2019 je bila končnim upravičencem načrtovana </w:t>
      </w:r>
      <w:r>
        <w:t xml:space="preserve">v skladu s potrjenim Akcijskim načrtom. V letu 2019 pri izvajanju ukrepov v okviru tega posebnega cilja ni bilo težav, ki bi vplivale na izvajanje Nacionalnega programa. Slovenija načrtuje kontinuirano izvajanje aktivnosti do 2021. Dodatna obrazložitev je </w:t>
      </w:r>
      <w:r>
        <w:t>podana v prilogi AIR (Priloga1).</w:t>
      </w:r>
    </w:p>
    <w:p w:rsidR="006E3F8B" w:rsidRDefault="00DC273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gridCol w:w="2976"/>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1</w:t>
            </w:r>
            <w:r w:rsidRPr="00707975">
              <w:rPr>
                <w:lang w:val="fr-BE"/>
              </w:rPr>
              <w:t xml:space="preserve"> - </w:t>
            </w:r>
            <w:r w:rsidRPr="00707975">
              <w:rPr>
                <w:noProof/>
                <w:lang w:val="fr-BE"/>
              </w:rPr>
              <w:t>Sprejem/azil</w:t>
            </w:r>
          </w:p>
        </w:tc>
      </w:tr>
    </w:tbl>
    <w:p w:rsidR="00115C60" w:rsidRPr="006C1127" w:rsidRDefault="00115C60" w:rsidP="00115C60">
      <w:pPr>
        <w:spacing w:before="0" w:after="0"/>
        <w:rPr>
          <w:lang w:val="fr-BE"/>
        </w:rPr>
      </w:pPr>
    </w:p>
    <w:p w:rsidR="006E3F8B" w:rsidRDefault="00DC2731">
      <w:pPr>
        <w:spacing w:before="0" w:after="240"/>
        <w:jc w:val="left"/>
      </w:pPr>
      <w:r>
        <w:t xml:space="preserve">Slovenija kontinuirano izvaja aktivnosti A.SO1.1, ki se nanašajo na azilni postopek in sprejemanje odločitev, na sprejemne kapacitete, pogoje za sprejem </w:t>
      </w:r>
      <w:r>
        <w:t>ter ozaveščanje splošnje javnosti (usposabljanja, informacijske kampanje in dogodki). Dodatna obrazložitev je v prilogi AIR (Priloga 1).</w:t>
      </w:r>
    </w:p>
    <w:p w:rsidR="006E3F8B" w:rsidRDefault="00DC2731">
      <w:pPr>
        <w:spacing w:before="240" w:after="240"/>
        <w:jc w:val="left"/>
      </w:pPr>
      <w:r>
        <w:lastRenderedPageBreak/>
        <w:t>V okviru A.SO1.1.1 je bilo vloženih 3.821 prošenj za mednarodno zaščito (MZ). Inf. in pravno svetovanje je izvajal Prav</w:t>
      </w:r>
      <w:r>
        <w:t>no-informacijski center. PIC je vlagateljem pred začetkom postopka zagotovil informacije o postopkih ter o svetovalcih za begunce in informacije o NVO, ki delujejo na področju MZ.</w:t>
      </w:r>
    </w:p>
    <w:p w:rsidR="006E3F8B" w:rsidRDefault="00DC2731">
      <w:pPr>
        <w:spacing w:before="240" w:after="240"/>
        <w:jc w:val="left"/>
      </w:pPr>
      <w:r>
        <w:t>V okviru brezplačne pravne pomoči pred upravnim in vrhovnim sodiščem je prav</w:t>
      </w:r>
      <w:r>
        <w:t>no pomoč zagotavljalo 59 svetovalcev za begunce. Realiziranih je bilo 16 predaj po Dublinski uredbi. Izvajalo se je prevajanje in tolmačenje v postopkih sprejema prošnje in pri osebnih razgovorih v okviru pogodb s 53 prevajalci.</w:t>
      </w:r>
    </w:p>
    <w:p w:rsidR="006E3F8B" w:rsidRDefault="00DC2731">
      <w:pPr>
        <w:spacing w:before="240" w:after="240"/>
        <w:jc w:val="left"/>
      </w:pPr>
      <w:r>
        <w:t>V okviru pomoči pri nastani</w:t>
      </w:r>
      <w:r>
        <w:t>tvi in oskrbi prosilcev ob sprejemu je društvo UP izvedlo 1.071 delavnic (za 13.745 oseb). V Azilnem domu se je izvedlo 7.002 zdravstveno/sanitarnih pregledov. Fin. sredstva za pokrivanje drobnih izdatkov je prejelo 2.730 prosilcev MZ (PMZ). V opismenjevan</w:t>
      </w:r>
      <w:r>
        <w:t>je in učno pomoč PMZ je bilo vključenih 176 oseb, od tega 29 otrok.</w:t>
      </w:r>
    </w:p>
    <w:p w:rsidR="006E3F8B" w:rsidRDefault="00DC2731">
      <w:pPr>
        <w:spacing w:before="240" w:after="240"/>
        <w:jc w:val="left"/>
      </w:pPr>
      <w:r>
        <w:t xml:space="preserve">V okviru A.SO1.1.2 ni bilo organiziranih usposabljanj za zakonite zastopnike, saj so bila izvedena v 2018. Glede na celotno povečanje št. vloženih prošenj za MZ se je v 2019 povečalo tudi </w:t>
      </w:r>
      <w:r>
        <w:t>št. prošenj mladoletnih prosilcev brez spremstva (20 %). Od vseh mladoletnih otrok PMZ je bilo kar 80 % takih, ki so v Slovenijo prišli brez staršev ali drugega zak. zastopnika.</w:t>
      </w:r>
    </w:p>
    <w:p w:rsidR="006E3F8B" w:rsidRDefault="00DC2731">
      <w:pPr>
        <w:spacing w:before="240" w:after="240"/>
        <w:jc w:val="left"/>
      </w:pPr>
      <w:r>
        <w:t>V okviru A.SO1.1.4 se je nadaljevalo investicijsko vzdrževanje AD. V sprejemni</w:t>
      </w:r>
      <w:r>
        <w:t>ci je bil vzpostavljen brezžični internet, dobavljena in montirana so bila dodatna kovinska notranja vrata. Financiral se je brezžični dostop do interneta za PMZ.</w:t>
      </w:r>
    </w:p>
    <w:p w:rsidR="006E3F8B" w:rsidRDefault="00DC2731">
      <w:pPr>
        <w:spacing w:before="240" w:after="240"/>
        <w:jc w:val="left"/>
      </w:pPr>
      <w:r>
        <w:t>V okviru A.SO1.1.6 se je izvajalo aktivnosti preprečevanja trgovine z ljudmi, spolnega nasilj</w:t>
      </w:r>
      <w:r>
        <w:t>a ali nasilja po spolu. Inštitut za afriške študije je opravil 214 informiranj (pri 205 mladoletnikih brez spremstva, 9 ženskah). Izvajala se je psih. podpora (475 oseb, med njimi 30 mladoletnikov brez spremstva). Izvedenih je bilo 13 usposabljanj, kontinu</w:t>
      </w:r>
      <w:r>
        <w:t>irano je teklo tudi nagrajevanje zak. zastopnikov za mladoletne PMZ brez spremstva.</w:t>
      </w:r>
    </w:p>
    <w:p w:rsidR="006E3F8B" w:rsidRDefault="00DC2731">
      <w:pPr>
        <w:spacing w:before="240" w:after="240"/>
        <w:jc w:val="left"/>
      </w:pPr>
      <w:r>
        <w:t>V okviru A.SO1.1.7 se je 32 osebam izplačala fin. pomoč za nastanitev na zasebnem naslovu, od teh 28 osebam v 2019.</w:t>
      </w:r>
    </w:p>
    <w:p w:rsidR="006E3F8B" w:rsidRDefault="00DC2731">
      <w:pPr>
        <w:spacing w:before="240" w:after="240"/>
        <w:jc w:val="left"/>
      </w:pPr>
      <w:r>
        <w:t xml:space="preserve">V okviru A.SO1.1.8 so NVO izvedle javno prireditev v </w:t>
      </w:r>
      <w:r>
        <w:t>Ljubljani za obeležitev Svetovnega dneva beguncev.</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2</w:t>
            </w:r>
            <w:r w:rsidRPr="00707975">
              <w:rPr>
                <w:lang w:val="fr-BE"/>
              </w:rPr>
              <w:t xml:space="preserve"> - </w:t>
            </w:r>
            <w:r w:rsidRPr="00707975">
              <w:rPr>
                <w:noProof/>
                <w:lang w:val="fr-BE"/>
              </w:rPr>
              <w:t>Vrednotenje</w:t>
            </w:r>
          </w:p>
        </w:tc>
      </w:tr>
    </w:tbl>
    <w:p w:rsidR="00115C60" w:rsidRPr="006C1127" w:rsidRDefault="00115C60" w:rsidP="00115C60">
      <w:pPr>
        <w:spacing w:before="0" w:after="0"/>
        <w:rPr>
          <w:lang w:val="fr-BE"/>
        </w:rPr>
      </w:pPr>
    </w:p>
    <w:p w:rsidR="006E3F8B" w:rsidRDefault="00DC2731">
      <w:pPr>
        <w:spacing w:before="0" w:after="240"/>
        <w:jc w:val="left"/>
      </w:pPr>
      <w:r>
        <w:t>Slovenija ocenjuje, da je dosegla, v okviru političnega dialoga, postavljene cilje. Razmere 2015 in 2016 so vplivale na prioritetno obravn</w:t>
      </w:r>
      <w:r>
        <w:t>avo ukrepov sprejema in integracije, kar se je odražalo v učinkovitem delovanju nacionalnega sistema ocenjevanja azilnih postopkov in pomoči prosilcem za azil ter na hitrejši in večji kvaliteti odločanja o azilu. Ne glede na to, da Slovenija ni izvajala ak</w:t>
      </w:r>
      <w:r>
        <w:t>tivnosti vzpostavitve trajnostne in strukturirane brezplačne pravne pomoči na prvi stopnji, je bila vsebina umeščena v okvir pomoči in podpore prosilcem za mednarodno zaščito.</w:t>
      </w:r>
    </w:p>
    <w:p w:rsidR="006E3F8B" w:rsidRDefault="00DC2731">
      <w:pPr>
        <w:spacing w:before="240" w:after="240"/>
        <w:jc w:val="left"/>
      </w:pPr>
      <w:r>
        <w:t>Na področju mednarodne zaščite Slovenija spremlja nadaljevanje trenda povečevanj</w:t>
      </w:r>
      <w:r>
        <w:t>a števila prošenj za mednarodno zaščito zadnjih let. V 2019 je bilo vloženih 3.821 prošenj za mednarodno zaščito, kar je dobrih 30 % prošenj več kot leto poprej. V primerjavi z 2017 to predstavlja 160 % povečanje, v primerjavi z 2016 pa 190 %. V 2019 je bi</w:t>
      </w:r>
      <w:r>
        <w:t>lo tako sprejetih kar 1.058 več prošenj glede na desetletno povprečje v obdobju 2006-2015 (ki znaša 330 prošenj).</w:t>
      </w:r>
    </w:p>
    <w:p w:rsidR="006E3F8B" w:rsidRDefault="00DC2731">
      <w:pPr>
        <w:spacing w:before="240" w:after="240"/>
        <w:jc w:val="left"/>
      </w:pPr>
      <w:r>
        <w:lastRenderedPageBreak/>
        <w:t>Zaradi povečanja števila prosilcev za mednarodno zaščito in povečanja števila oseb, ki so pridobile status mednarodne zaščite so se aktivnosti</w:t>
      </w:r>
      <w:r>
        <w:t xml:space="preserve"> vrednotenja azilnih postopkov v obstoječem sistemu v okviru A.SO1.2.2 "Stalno delovanje obstoječega državnega sistema za vrednotenje azilnih postopkov" izvedle v minimalnem obsegu. Sredstva so bila razporejena v bolj prioritetne aktivnosti kot je kritje s</w:t>
      </w:r>
      <w:r>
        <w:t>troškov prevajanja in tolmačenja, informiranja in pravnega svetovanja ter za stroške zakonitih zastopnikov, ki zastopajo mladoletne prosilce za mednarodno zaščito v postopku priznanja mednarodne zaščite.</w:t>
      </w:r>
      <w:r>
        <w:rPr>
          <w:b/>
          <w:bCs/>
        </w:rPr>
        <w:t xml:space="preserve"> </w:t>
      </w:r>
      <w:r>
        <w:t>Načrtovane aktivnosti</w:t>
      </w:r>
      <w:r>
        <w:rPr>
          <w:b/>
          <w:bCs/>
        </w:rPr>
        <w:t xml:space="preserve"> </w:t>
      </w:r>
      <w:r>
        <w:t>A.SO1.2 »Vrednotenje« so zarad</w:t>
      </w:r>
      <w:r>
        <w:t>i izzivov povečanih migracij realizirane v okviru drugih finančnih instrumentov (in ne AMIF).</w:t>
      </w:r>
    </w:p>
    <w:p w:rsidR="006E3F8B" w:rsidRDefault="00DC2731">
      <w:pPr>
        <w:spacing w:before="240" w:after="240"/>
        <w:jc w:val="left"/>
      </w:pPr>
      <w:r>
        <w:t> </w:t>
      </w:r>
    </w:p>
    <w:p w:rsidR="006E3F8B" w:rsidRDefault="00DC2731">
      <w:pPr>
        <w:spacing w:before="240" w:after="240"/>
        <w:jc w:val="left"/>
      </w:pPr>
      <w:r>
        <w:t> </w:t>
      </w:r>
    </w:p>
    <w:p w:rsidR="006E3F8B" w:rsidRDefault="00DC2731">
      <w:pPr>
        <w:spacing w:before="240" w:after="240"/>
        <w:jc w:val="left"/>
      </w:pPr>
      <w:r>
        <w:t>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5"/>
        <w:gridCol w:w="2632"/>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3</w:t>
            </w:r>
            <w:r w:rsidRPr="00707975">
              <w:rPr>
                <w:lang w:val="fr-BE"/>
              </w:rPr>
              <w:t xml:space="preserve"> - </w:t>
            </w:r>
            <w:r w:rsidRPr="00707975">
              <w:rPr>
                <w:noProof/>
                <w:lang w:val="fr-BE"/>
              </w:rPr>
              <w:t>Preselitev</w:t>
            </w:r>
          </w:p>
        </w:tc>
      </w:tr>
    </w:tbl>
    <w:p w:rsidR="00115C60" w:rsidRPr="006C1127" w:rsidRDefault="00115C60" w:rsidP="00115C60">
      <w:pPr>
        <w:spacing w:before="0" w:after="0"/>
        <w:rPr>
          <w:lang w:val="fr-BE"/>
        </w:rPr>
      </w:pPr>
    </w:p>
    <w:p w:rsidR="006E3F8B" w:rsidRDefault="00DC2731">
      <w:pPr>
        <w:spacing w:before="0" w:after="240"/>
        <w:jc w:val="left"/>
      </w:pPr>
      <w:r>
        <w:t xml:space="preserve">Na zasedanju Evropskega Sveta konec junija 2015 so voditelji držav in vlad sprejeli </w:t>
      </w:r>
      <w:r>
        <w:t>odločitev, da se bo v EU skupno preselilo 20.000 oseb v okviru trajne preselitve. Slovenija se je zavezala k sprejemu 20 oseb iz tretjih držav, predvidoma državljanov Sirije iz Turčije, Libanona ali Jordanije. Skladno z EU Sporazumom EU - Turčija, ki je bi</w:t>
      </w:r>
      <w:r>
        <w:t>l sprejet aprila 2016, je bilo dogovorjeno, da se v Slovenijo preseli 20 državljanov Sirije iz Turčije. Vlada Republike Slovenije je 4. avgusta 2016 sprejela sklep, da se na podlagi kvote iz Turčije sprejme 40 državljanov Sirije, ki se jim lahko prizna sta</w:t>
      </w:r>
      <w:r>
        <w:t>tus begunca.</w:t>
      </w:r>
    </w:p>
    <w:p w:rsidR="006E3F8B" w:rsidRDefault="00DC2731">
      <w:pPr>
        <w:spacing w:before="240" w:after="240"/>
        <w:jc w:val="left"/>
      </w:pPr>
      <w:r>
        <w:t>Ministrstvo za notranje zadeve je v letu 2018 organiziralo izbirno misijo, katere se je udeležilo 10 javnih uslužbencev, od tega 5 predstavnikov Urada za migracije, 3 predstavniki Urada za oskrbo in integracijo migrantov (UOIM) ter 2 predstavn</w:t>
      </w:r>
      <w:r>
        <w:t>ika Policije. V Ankari so opravili razgovore s člani 13 družin, skupaj 57 osebami, ki jih je na poziv Republike Slovenije kot primerne kandidate za trajno preselitev predlagal UNHCR. Na podlagi prejete dokumentacije in opravljenih razgovorov je bilo ugotov</w:t>
      </w:r>
      <w:r>
        <w:t>ljeno, da pogojem za pridobitev mednarodne zaščite ustreza 40 oseb.</w:t>
      </w:r>
    </w:p>
    <w:p w:rsidR="006E3F8B" w:rsidRDefault="00DC2731">
      <w:pPr>
        <w:spacing w:before="240" w:after="240"/>
        <w:jc w:val="left"/>
      </w:pPr>
      <w:r>
        <w:t xml:space="preserve">Prihod v Slovenijo je potekal ob tesnem sodelovanju z UOIM, čigar uslužbenci so zagotovili nekajdnevni orientacijski tečaj pred prihodom ter poskrbeli za nastanitev in vključitev teh oseb </w:t>
      </w:r>
      <w:r>
        <w:t>v obstoječe programe po prihodu v Slovenijo. Postopek je potekal ob organizacijski podpori Mednarodne organizacije za migracije (IOM), s katero je bil za izvedbo postopka podpisan okvirni sporazum in je del ustaljene prakse pri trajnih preselitvah iz Turči</w:t>
      </w:r>
      <w:r>
        <w:t>je.</w:t>
      </w:r>
    </w:p>
    <w:p w:rsidR="006E3F8B" w:rsidRDefault="00DC2731">
      <w:pPr>
        <w:spacing w:before="240" w:after="240"/>
        <w:jc w:val="left"/>
      </w:pPr>
      <w:r>
        <w:t>Skupno je bilo trajno preseljenih 34 državljanov Sirije. V Slovenijo so bili premeščeni v treh skupinah in sicer julija 21 oseb, septembra šest oseb in oktobra sedem oseb.</w:t>
      </w:r>
    </w:p>
    <w:p w:rsidR="006E3F8B" w:rsidRDefault="00DC2731">
      <w:pPr>
        <w:spacing w:before="240" w:after="240"/>
        <w:jc w:val="left"/>
      </w:pPr>
      <w:r>
        <w:t>Aktivnosti ukrepa so bile zaključene v letu 2018.</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Povzemite napredek pri izvaja</w:t>
      </w:r>
      <w:r>
        <w:rPr>
          <w:noProof/>
          <w:lang w:val="fr-BE"/>
        </w:rPr>
        <w:t>nju strategije in doseganju nacionalnih ciljev v proračunskem letu.</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Navedite morebitne spremembe v strategiji ali nacionalnih ciljih oziroma dejavnike, ki bi lahko privedli do sprememb v prihodnosti.</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 xml:space="preserve">Navedite morebitna pomembna vprašanja, ki vplivajo na </w:t>
      </w:r>
      <w:r>
        <w:rPr>
          <w:noProof/>
          <w:lang w:val="fr-BE"/>
        </w:rPr>
        <w:t>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8284"/>
      </w:tblGrid>
      <w:tr w:rsidR="006E3F8B" w:rsidTr="00003291">
        <w:tc>
          <w:tcPr>
            <w:tcW w:w="0" w:type="auto"/>
            <w:shd w:val="clear" w:color="auto" w:fill="auto"/>
          </w:tcPr>
          <w:p w:rsidR="00115C60" w:rsidRPr="006C1127" w:rsidRDefault="00DC273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C2731" w:rsidP="00003291">
            <w:pPr>
              <w:spacing w:before="0" w:after="0"/>
              <w:rPr>
                <w:lang w:val="fr-BE"/>
              </w:rPr>
            </w:pPr>
            <w:r w:rsidRPr="006C1127">
              <w:rPr>
                <w:noProof/>
                <w:lang w:val="fr-BE"/>
              </w:rPr>
              <w:t>2</w:t>
            </w:r>
            <w:r w:rsidRPr="006C1127">
              <w:rPr>
                <w:lang w:val="fr-BE"/>
              </w:rPr>
              <w:t xml:space="preserve"> - </w:t>
            </w:r>
            <w:r w:rsidRPr="006C1127">
              <w:rPr>
                <w:noProof/>
                <w:lang w:val="fr-BE"/>
              </w:rPr>
              <w:t>Vključevanje / zakonito priseljevanje</w:t>
            </w:r>
          </w:p>
        </w:tc>
      </w:tr>
    </w:tbl>
    <w:p w:rsidR="00115C60" w:rsidRDefault="00115C60" w:rsidP="00115C60">
      <w:pPr>
        <w:spacing w:before="0" w:after="0"/>
        <w:rPr>
          <w:lang w:val="fr-BE"/>
        </w:rPr>
      </w:pPr>
    </w:p>
    <w:p w:rsidR="006E3F8B" w:rsidRDefault="00DC2731">
      <w:pPr>
        <w:spacing w:before="0" w:after="240"/>
        <w:jc w:val="left"/>
      </w:pPr>
      <w:r>
        <w:t xml:space="preserve">V okviru političnega dialoga je Slovenija poudarila, da je vključevanje državljanov tretjih držav in osebe za mednarodno zaščito prioritetna naloga v skladu z </w:t>
      </w:r>
      <w:r>
        <w:t>evropsko agendo za vključevanje in se izvaja v okviru nacionalne politike, z dodatnim poudarkom na posebnih ciljnih skupinah. V okviru posebnega cilja A.SO2 je Slovenija za svoje prednostne cilje določila:</w:t>
      </w:r>
    </w:p>
    <w:p w:rsidR="006E3F8B" w:rsidRDefault="00DC2731">
      <w:pPr>
        <w:numPr>
          <w:ilvl w:val="0"/>
          <w:numId w:val="44"/>
        </w:numPr>
        <w:spacing w:before="240" w:after="0"/>
        <w:ind w:hanging="210"/>
        <w:jc w:val="left"/>
      </w:pPr>
      <w:r>
        <w:t>nadaljnje izvajanje programov osnovne pomoči in st</w:t>
      </w:r>
      <w:r>
        <w:t>oritev za državljane tretjih držav, kot so jezikovni tečaji in državljanska usmeritev, izobraževanje in nastanitev, zdravstvena in psihološka pomoč, socialno in delovno svetovanje, priznavanje diplom in kvalifikacij, zagotavljanje informacij itd.</w:t>
      </w:r>
    </w:p>
    <w:p w:rsidR="006E3F8B" w:rsidRDefault="00DC2731">
      <w:pPr>
        <w:numPr>
          <w:ilvl w:val="0"/>
          <w:numId w:val="44"/>
        </w:numPr>
        <w:spacing w:before="0" w:after="0"/>
        <w:ind w:hanging="210"/>
        <w:jc w:val="left"/>
      </w:pPr>
      <w:r>
        <w:t>posebni u</w:t>
      </w:r>
      <w:r>
        <w:t>krepi, ki so namenjeni ranljivim osebam in upravičencem do mednarodne zaščite, pa tudi za krepitev zmogljivosti in usposabljanje upravnih organov.</w:t>
      </w:r>
    </w:p>
    <w:p w:rsidR="006E3F8B" w:rsidRDefault="00DC2731">
      <w:pPr>
        <w:numPr>
          <w:ilvl w:val="0"/>
          <w:numId w:val="44"/>
        </w:numPr>
        <w:spacing w:before="0" w:after="240"/>
        <w:ind w:hanging="210"/>
        <w:jc w:val="left"/>
      </w:pPr>
      <w:r>
        <w:t>nadaljnje ukrepe za ozaveščanje, ki vključujejo vse ustrezne akterje in širšo javnost, ter možno izmenjavo iz</w:t>
      </w:r>
      <w:r>
        <w:t>kušenj z drugimi državami članicami.</w:t>
      </w:r>
    </w:p>
    <w:p w:rsidR="006E3F8B" w:rsidRDefault="00DC2731">
      <w:pPr>
        <w:spacing w:before="240" w:after="240"/>
        <w:jc w:val="left"/>
      </w:pPr>
      <w:r>
        <w:t xml:space="preserve">Dolgoročni cilj Slovenije v sklopu posebnega cilja A.SO2 "Vključevanje/zakonito priseljevanje" je vključenost državljanov tretjih držav in oseb z mednarodno zaščito v vsa ključna področja življenja in dela. Posebna </w:t>
      </w:r>
      <w:r>
        <w:t>pozornost se namenja ranljivim skupinam oseb, kot so ženske, otroci in starejše osebe. Ukrepi so usmerjeni k izboljšanju zavedanja splošne javnosti, organov in samih priseljencev o vprašanjih vključevanja. Pomoč osebam z mednarodno zaščito se pri vključeva</w:t>
      </w:r>
      <w:r>
        <w:t>nju zagotavlja prek individualnega pristopa na osnovi osebnega integracijskega načrta. Krepitev kapacitet je usmerjena k vzpostavitvi trajnostnega sodelovanja med pomembnimi deležniki, še zlasti z usposabljanji. Podpira se izboljšanje infrastrukture, stori</w:t>
      </w:r>
      <w:r>
        <w:t>tev in bivanjskih razmer za osebe z mednarodno zaščito v integracijskih hišah, kot tudi praktično sodelovanje med državami članicami ter izdelava analiz, vrednotenj in izboljšav trenutnih mehanizmov in pristopov vključevanja. Dodatna obrazložitev je v pril</w:t>
      </w:r>
      <w:r>
        <w:t>ogi AIR (Priloga 1).</w:t>
      </w:r>
    </w:p>
    <w:p w:rsidR="006E3F8B" w:rsidRDefault="00DC2731">
      <w:pPr>
        <w:spacing w:before="240" w:after="240"/>
        <w:jc w:val="left"/>
      </w:pPr>
      <w:r>
        <w:t>Alokacija sredstev za leto 2019 je bila končnima upravičencema načrtovana v skladu s potrjenim Akcijskim načrtom. V letu 2019 pri izvajanju ukrepov ni bilo težav, ki bi vplivale na izvajanje NP, zato v okviru posebnega cilja A.SO2 Slov</w:t>
      </w:r>
      <w:r>
        <w:t>enija načrtuje kontinuirano izvajanje ukrepov A.SO2.1 "Zakonito priseljevanje", A.SO2.2 "Vključevanje" in A.SO2.3 "Zmogljivost" do leta 2021. Dodatna obrazložitev je v prilogi AIR.</w:t>
      </w:r>
    </w:p>
    <w:p w:rsidR="006E3F8B" w:rsidRDefault="00DC2731">
      <w:pPr>
        <w:spacing w:before="240" w:after="240"/>
        <w:jc w:val="left"/>
      </w:pPr>
      <w:r>
        <w:t>Slovenija ocenjuje, da je dosegla, v okviru političnega dialoga, postavljen</w:t>
      </w:r>
      <w:r>
        <w:t>e cilje, ki so prepoznani v učinkoviti integraciji državljanov tretjih držav in oseb z mednarodno zaščito, v vzpostavljenem trajnostnem sodelovanju med ustreznimi organi in organizacijami, pristojnimi javnimi organi in nevladnimi organizacijami kot tudi dr</w:t>
      </w:r>
      <w:r>
        <w:t>ugimi akterji; in večjem ozaveščanju javnosti, organov in samih migrantov o vprašanjih vključevanja, vključno z vključevanjem upravičencev do mednarodne zaščite.</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3"/>
        <w:gridCol w:w="3994"/>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1</w:t>
            </w:r>
            <w:r w:rsidRPr="00707975">
              <w:rPr>
                <w:lang w:val="fr-BE"/>
              </w:rPr>
              <w:t xml:space="preserve"> - </w:t>
            </w:r>
            <w:r w:rsidRPr="00707975">
              <w:rPr>
                <w:noProof/>
                <w:lang w:val="fr-BE"/>
              </w:rPr>
              <w:t>Zakonito priseljevanje</w:t>
            </w:r>
          </w:p>
        </w:tc>
      </w:tr>
    </w:tbl>
    <w:p w:rsidR="00115C60" w:rsidRPr="006C1127" w:rsidRDefault="00115C60" w:rsidP="00115C60">
      <w:pPr>
        <w:spacing w:before="0" w:after="0"/>
        <w:rPr>
          <w:lang w:val="fr-BE"/>
        </w:rPr>
      </w:pPr>
    </w:p>
    <w:p w:rsidR="006E3F8B" w:rsidRDefault="00DC2731">
      <w:pPr>
        <w:spacing w:before="0" w:after="240"/>
        <w:jc w:val="left"/>
      </w:pPr>
      <w:r>
        <w:t xml:space="preserve">V okviru </w:t>
      </w:r>
      <w:r>
        <w:t>nacionalnega cilja A.SO2.1 »Zakonito priseljevanje« je Slovenija kontinuirano izvajala aktivnosti zagotavljanja informacij o življenju in delu v RS, predvsem državljanom tretjih držav. S pred integracijskimi ukrepi, z začetkom izvajanja v 2020, Slovenija z</w:t>
      </w:r>
      <w:r>
        <w:t>apolnjuje vrzel, ki je nastala z intenzivno gospodarsko rastjo na način, da se opolnomoči delavca migranta z informacijami, znanjem pred vključitvijo na slovenski trg dela. </w:t>
      </w:r>
    </w:p>
    <w:p w:rsidR="006E3F8B" w:rsidRDefault="00DC2731">
      <w:pPr>
        <w:spacing w:before="240" w:after="240"/>
        <w:jc w:val="left"/>
      </w:pPr>
      <w:r>
        <w:t>Izvajale so se aktivnosti A.SO2.1.1</w:t>
      </w:r>
      <w:r>
        <w:rPr>
          <w:b/>
          <w:bCs/>
        </w:rPr>
        <w:t> </w:t>
      </w:r>
      <w:r>
        <w:t>"Delovanje informacijske točke za državljane t</w:t>
      </w:r>
      <w:r>
        <w:t>retjih držav in osebe z mednarodno zaščito", preko posredovanja informacij državljanov tretjih držav o njihovih dolžnostih in pravicah (npr. socialno varstvo, zdravstvo, zaposlitev, itd.) in o možnostih sodelovanja v programih integracije v jeziku, ki ga r</w:t>
      </w:r>
      <w:r>
        <w:t xml:space="preserve">azumejo. Spletna stran </w:t>
      </w:r>
      <w:r>
        <w:rPr>
          <w:b/>
          <w:bCs/>
        </w:rPr>
        <w:t>www.infotujci.si</w:t>
      </w:r>
      <w:r>
        <w:t xml:space="preserve"> vsebuje pomembne podatke o vstopu in bivanju na področju </w:t>
      </w:r>
      <w:r>
        <w:lastRenderedPageBreak/>
        <w:t>Republike Slovenije, šolskem sistemu, zdravstvenem in socialnem varstvu, programih jezika in programih, ki podajajo vsebine iz področja slovenske zgodovine, ku</w:t>
      </w:r>
      <w:r>
        <w:t>lture in ustavne ureditve ter organizacijah in društvih, ki izvajajo programe integracije ter druge koristne informacije. Podatki so dostopni v različnih jezikih.</w:t>
      </w:r>
    </w:p>
    <w:p w:rsidR="006E3F8B" w:rsidRDefault="00DC2731">
      <w:pPr>
        <w:spacing w:before="240" w:after="240"/>
        <w:jc w:val="left"/>
      </w:pPr>
      <w:r>
        <w:t>Od februarja 2018 je tujcem dostopna prenovljena spletna stran www.infotujci.si z vsemi infor</w:t>
      </w:r>
      <w:r>
        <w:t>macijami, ki jih potrebujejo za življenje in delo v Republiki Sloveniji. Spletna stran vsebuje informacije tako za tujce, ki so že tukaj, kakor tudi za tiste, ki se pripravljajo na prihod. Vsebina spletne strani je prilagojena dostopu z mobilnih naprav – p</w:t>
      </w:r>
      <w:r>
        <w:t>ametnih telefonov in tablic. V letu 2019 je bila spletna stran obiskana 115.257-krat, obiskovalci so se zadržali slabe tri minute. Večina uporabnikov jo je obiskala le enkrat. Največ uporabnikov je spletno stran obiskalo prek strežnikov v Republiki Sloveni</w:t>
      </w:r>
      <w:r>
        <w:t>ji, za dostop pa so uporabili mobilne naprave. Najdlje so se zadržali ob vsebinah namenjenih državljanom tretjih držav, predvsem dovoljenjem za začasno prebivanje, dovoljenjem za stalno prebivanje in pridobitvi slovenskega državljanstva in vključevanju v s</w:t>
      </w:r>
      <w:r>
        <w:t>lovensko družbo.</w:t>
      </w:r>
    </w:p>
    <w:p w:rsidR="006E3F8B" w:rsidRDefault="00DC2731">
      <w:pPr>
        <w:spacing w:before="240" w:after="240"/>
        <w:jc w:val="left"/>
      </w:pPr>
      <w:r>
        <w:t>Slovenija načrtuje kontinuirano izvajanje aktivnosti do leta 2021.</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gridCol w:w="3058"/>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2</w:t>
            </w:r>
            <w:r w:rsidRPr="00707975">
              <w:rPr>
                <w:lang w:val="fr-BE"/>
              </w:rPr>
              <w:t xml:space="preserve"> - </w:t>
            </w:r>
            <w:r w:rsidRPr="00707975">
              <w:rPr>
                <w:noProof/>
                <w:lang w:val="fr-BE"/>
              </w:rPr>
              <w:t>Vključevanje</w:t>
            </w:r>
          </w:p>
        </w:tc>
      </w:tr>
    </w:tbl>
    <w:p w:rsidR="00115C60" w:rsidRPr="006C1127" w:rsidRDefault="00115C60" w:rsidP="00115C60">
      <w:pPr>
        <w:spacing w:before="0" w:after="0"/>
        <w:rPr>
          <w:lang w:val="fr-BE"/>
        </w:rPr>
      </w:pPr>
    </w:p>
    <w:p w:rsidR="006E3F8B" w:rsidRDefault="00DC2731">
      <w:pPr>
        <w:spacing w:before="0" w:after="240"/>
        <w:jc w:val="left"/>
      </w:pPr>
      <w:r>
        <w:t xml:space="preserve">Povečan obseg migracij je vplival tudi na izvajanje in doseganje zastavljenih ciljev v okviru </w:t>
      </w:r>
      <w:r>
        <w:t>nacionalnega cilja A.SO2.2 »Vključevanje«. Slovenija je nadaljevala z aktivnostmi v okviru programov za osnovno pomoč DTD (tečaji, izpiti); pomoč pri vključevanju, obsegajoč pomoč za celostno vključevanje OMZ (finančna pomoč, program celostne pomoči OMZ pr</w:t>
      </w:r>
      <w:r>
        <w:t>i vključevanju v slovensko družbo, orientacijski program za osebe, preseljene v RS na podlagi letne kvote); ozaveščanja in informacijskih ukrepov, kot je medkulturni dialog in obveščanje o možnostih sodelovanja v programih integracije.</w:t>
      </w:r>
    </w:p>
    <w:p w:rsidR="006E3F8B" w:rsidRDefault="00DC2731">
      <w:pPr>
        <w:spacing w:before="240" w:after="240"/>
        <w:jc w:val="left"/>
      </w:pPr>
      <w:r>
        <w:t>V okviru A.SO2.2.1 j</w:t>
      </w:r>
      <w:r>
        <w:t xml:space="preserve">e tekel program začetne integracije (ZIP), ki je javno veljavni izobraževalni program za učenje slovenskega jezika za odrasle priseljence, vanj pa so vključene tudi vsebine iz življenja in dela. Namenjen je državljanom tretjih držav (DTD). Vsebine modulov </w:t>
      </w:r>
      <w:r>
        <w:t>obsegajo teme, kot so osebna identiteta, stanovanje in bivanje, družina in dom, trg dela, zdravje in socialna varnost, izobraževanje, ustavna ureditev ter kultura, zgodovina in tradicija. Program se izvaja že sedem let in je eden temeljnih programov pomoči</w:t>
      </w:r>
      <w:r>
        <w:t xml:space="preserve"> pri vključevanju v slovensko družbo. V 2019 se je program izvajal v 30 krajih po državi, beleži se obisk 1599 oseb iz 59 držav (največ državljanov BiH, Srbije, Kosova, RF in Severne Makedonije). Slovenija financira tudi prvo opravljanje preizkusa znanja i</w:t>
      </w:r>
      <w:r>
        <w:t>z slovenskega jezika DTD (pogoj 80 % prisotnost). V 2019 je izpit opravljalo 719 DTD.</w:t>
      </w:r>
    </w:p>
    <w:p w:rsidR="006E3F8B" w:rsidRDefault="00DC2731">
      <w:pPr>
        <w:spacing w:before="240" w:after="240"/>
        <w:jc w:val="left"/>
      </w:pPr>
      <w:r>
        <w:t>V okviru A.SO2.2.3 je bila nudena pomoč pri urejanju življenjskih situacij (2.295 krat povprečno 191 OMZ na mesec). Učna pomoč je bila nudena 237 krat. Od sept. 2019 dalj</w:t>
      </w:r>
      <w:r>
        <w:t>e so vse osebe, ki prejmejo status MZ, vključene v enomesečni orientacijski program, beleži se obisk 23 OMZ. Izdanih je bilo 609 odločb o upravičenosti do denarnega nadomestila za nastanitev na zasebnem naslovu. OMZ v osnovnih in srednjih šolah so bili zag</w:t>
      </w:r>
      <w:r>
        <w:t>otovljeni delovni zvezki.</w:t>
      </w:r>
    </w:p>
    <w:p w:rsidR="006E3F8B" w:rsidRDefault="00DC2731">
      <w:pPr>
        <w:spacing w:before="240" w:after="240"/>
        <w:jc w:val="left"/>
      </w:pPr>
      <w:r>
        <w:t>V okviru A.SO2.2.5 se je v središčih medkulturnega dialoga Koper, Maribor in Velenje izvajalo ozaveščanje in informiranje o vključevanju tujcev v družbo ter aktiviranje lokalnega prebivalstva.</w:t>
      </w:r>
    </w:p>
    <w:p w:rsidR="006E3F8B" w:rsidRDefault="00DC2731">
      <w:pPr>
        <w:spacing w:before="240" w:after="240"/>
        <w:jc w:val="left"/>
      </w:pPr>
      <w:r>
        <w:t>Aktivnosti A.SO2.2.6 "Oblikovanje/izv</w:t>
      </w:r>
      <w:r>
        <w:t>edba informacijskih programov z uporabo različnih komunikacijskih sredstev so se izvajale v okviru A.SO2.1, preko</w:t>
      </w:r>
      <w:r>
        <w:rPr>
          <w:b/>
          <w:bCs/>
        </w:rPr>
        <w:t xml:space="preserve"> </w:t>
      </w:r>
      <w:r>
        <w:t>obveščanja na spletni strani infotujci.si. Zaradi povečanja št. PMZ in oseb, ki so pridobile status MZ so bila sredstva tega ukrepa prerazpore</w:t>
      </w:r>
      <w:r>
        <w:t>jena za prioritetne stroške prevajanja in tolmačenja, informiranja in pravnega svetovanja ter za ZZ.</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2927"/>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3</w:t>
            </w:r>
            <w:r w:rsidRPr="00707975">
              <w:rPr>
                <w:lang w:val="fr-BE"/>
              </w:rPr>
              <w:t xml:space="preserve"> - </w:t>
            </w:r>
            <w:r w:rsidRPr="00707975">
              <w:rPr>
                <w:noProof/>
                <w:lang w:val="fr-BE"/>
              </w:rPr>
              <w:t>Zmogljivost</w:t>
            </w:r>
          </w:p>
        </w:tc>
      </w:tr>
    </w:tbl>
    <w:p w:rsidR="00115C60" w:rsidRPr="006C1127" w:rsidRDefault="00115C60" w:rsidP="00115C60">
      <w:pPr>
        <w:spacing w:before="0" w:after="0"/>
        <w:rPr>
          <w:lang w:val="fr-BE"/>
        </w:rPr>
      </w:pPr>
    </w:p>
    <w:p w:rsidR="006E3F8B" w:rsidRDefault="00DC2731">
      <w:pPr>
        <w:spacing w:before="0" w:after="240"/>
        <w:jc w:val="left"/>
      </w:pPr>
      <w:r>
        <w:t xml:space="preserve">V okviru nacionalnega cilja A.SO2.3 »Zmogljivost« je Slovenija izvajala aktivnosti za </w:t>
      </w:r>
      <w:r>
        <w:t>izboljšanje storitev in bivanja za osebe pod mednarodno zaščito v integracijskih hišah (poleg vzdrževanja in opreme tudi izdaja slovarja namenjenega lažji komunikaciji migrantov z zdravstvenim osebjem, ter zagotavljanje nastanitev OMZ v integracijskih hiša</w:t>
      </w:r>
      <w:r>
        <w:t>h in drugih nastanitvenih kapacitetah). Izvedena je bila nadgradnja informacijskega sistema upravnih notranjih zadev.</w:t>
      </w:r>
    </w:p>
    <w:p w:rsidR="006E3F8B" w:rsidRDefault="00DC2731">
      <w:pPr>
        <w:spacing w:before="240" w:after="240"/>
        <w:jc w:val="left"/>
      </w:pPr>
      <w:r>
        <w:t>V 2019 je Slovenija v okviru A.SO2.3.3 nadaljevala z ukrepi nastanitve OMZ v integracijske hiše, kot tudi v druge nastanitvene kapacitete.</w:t>
      </w:r>
      <w:r>
        <w:t xml:space="preserve"> V integracijski hiši Maribor je bilo vzpostavljeno brezžično omrežje za OMZ, financirano je bilo tekoče vzdrževanje (ogrevanje, čiščenje, voda, odvoz smeti) ter dostop do interneta za integracijski hiši v Mariboru in Ljubljani.</w:t>
      </w:r>
    </w:p>
    <w:p w:rsidR="006E3F8B" w:rsidRDefault="00DC2731">
      <w:pPr>
        <w:spacing w:before="240" w:after="240"/>
        <w:jc w:val="left"/>
      </w:pPr>
      <w:r>
        <w:t>Slovenija ni izvajala aktiv</w:t>
      </w:r>
      <w:r>
        <w:t>nosti spodbujanja trajnostnega sodelovanja med ustreznimi organi in organizacijami v okviru A.SO2.3.1 kot tudi ne A.SO2.3.2 - usposabljanja kadrov, ki se ukvarjajo z vprašanji vključevanja državljanov tretjih držav, saj so bila sredstva prerazporejena na v</w:t>
      </w:r>
      <w:r>
        <w:t>sebine, ki so zaradi povečanja migracijskega toka in števila vloženih prošenj za mednarodno zaščito imele prioritetno obravnavo.</w:t>
      </w:r>
    </w:p>
    <w:p w:rsidR="006E3F8B" w:rsidRDefault="00DC2731">
      <w:pPr>
        <w:spacing w:before="240" w:after="240"/>
        <w:jc w:val="left"/>
      </w:pPr>
      <w:r>
        <w:t>V 2019 je bila izvedena nadgradnja informacijskega sistema upravno notranjih zadev ukrepa A.SO2.3.4. V ta namen se je vzpostavi</w:t>
      </w:r>
      <w:r>
        <w:t>la aplikacija Azil – povezava s SI.VIS na strežnik EURODAC.</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Navedite morebitne spremembe v strategiji ali nacionalnih ciljih oziroma dejavnike, ki bi lahko p</w:t>
      </w:r>
      <w:r>
        <w:rPr>
          <w:noProof/>
          <w:lang w:val="fr-BE"/>
        </w:rPr>
        <w:t>rivedli do sprememb v prihodnosti.</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5612"/>
      </w:tblGrid>
      <w:tr w:rsidR="006E3F8B" w:rsidTr="00003291">
        <w:tc>
          <w:tcPr>
            <w:tcW w:w="0" w:type="auto"/>
            <w:shd w:val="clear" w:color="auto" w:fill="auto"/>
          </w:tcPr>
          <w:p w:rsidR="00115C60" w:rsidRPr="006C1127" w:rsidRDefault="00DC273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C2731" w:rsidP="00003291">
            <w:pPr>
              <w:spacing w:before="0" w:after="0"/>
              <w:rPr>
                <w:lang w:val="fr-BE"/>
              </w:rPr>
            </w:pPr>
            <w:r w:rsidRPr="006C1127">
              <w:rPr>
                <w:noProof/>
                <w:lang w:val="fr-BE"/>
              </w:rPr>
              <w:t>3</w:t>
            </w:r>
            <w:r w:rsidRPr="006C1127">
              <w:rPr>
                <w:lang w:val="fr-BE"/>
              </w:rPr>
              <w:t xml:space="preserve"> - </w:t>
            </w:r>
            <w:r w:rsidRPr="006C1127">
              <w:rPr>
                <w:noProof/>
                <w:lang w:val="fr-BE"/>
              </w:rPr>
              <w:t>Vračanje</w:t>
            </w:r>
          </w:p>
        </w:tc>
      </w:tr>
    </w:tbl>
    <w:p w:rsidR="00115C60" w:rsidRDefault="00115C60" w:rsidP="00115C60">
      <w:pPr>
        <w:spacing w:before="0" w:after="0"/>
        <w:rPr>
          <w:lang w:val="fr-BE"/>
        </w:rPr>
      </w:pPr>
    </w:p>
    <w:p w:rsidR="006E3F8B" w:rsidRDefault="00DC2731">
      <w:pPr>
        <w:spacing w:before="0" w:after="240"/>
        <w:jc w:val="left"/>
      </w:pPr>
      <w:r>
        <w:t>V okviru političnega dialoga glede posebnega cilja A.SO3 je Slovenija izpostavila sledeče prioritete: </w:t>
      </w:r>
    </w:p>
    <w:p w:rsidR="006E3F8B" w:rsidRDefault="00DC2731">
      <w:pPr>
        <w:numPr>
          <w:ilvl w:val="0"/>
          <w:numId w:val="45"/>
        </w:numPr>
        <w:spacing w:before="240" w:after="0"/>
        <w:ind w:hanging="210"/>
        <w:jc w:val="left"/>
      </w:pPr>
      <w:r>
        <w:t>izvajanje informativnih kampanj o prostovoljni vrnitvi in ​​programov pomoči prostovoljnemu vračanju (tj. prevajalske storitve, zagotavljanje pravne pomoči, socialno varstvo, delo z mladoletniki itd.) ter trajnostna ponovna vključitev v izvorno državo;</w:t>
      </w:r>
    </w:p>
    <w:p w:rsidR="006E3F8B" w:rsidRDefault="00DC2731">
      <w:pPr>
        <w:numPr>
          <w:ilvl w:val="0"/>
          <w:numId w:val="45"/>
        </w:numPr>
        <w:spacing w:before="0" w:after="0"/>
        <w:ind w:hanging="210"/>
        <w:jc w:val="left"/>
      </w:pPr>
      <w:r>
        <w:t>nal</w:t>
      </w:r>
      <w:r>
        <w:t>ožbe v infrastrukturo, storitve in pogoje centra za tujce s posebno pozornostjo na potrebe ranljivih skupin;</w:t>
      </w:r>
    </w:p>
    <w:p w:rsidR="006E3F8B" w:rsidRDefault="00DC2731">
      <w:pPr>
        <w:numPr>
          <w:ilvl w:val="0"/>
          <w:numId w:val="45"/>
        </w:numPr>
        <w:spacing w:before="0" w:after="0"/>
        <w:ind w:hanging="210"/>
        <w:jc w:val="left"/>
      </w:pPr>
      <w:r>
        <w:t>sodelovanje s konzularnimi organi in službami za priseljevanje iz tretjih držav za pridobitev potnih listin in olajšanje vračanja in ponovnega spre</w:t>
      </w:r>
      <w:r>
        <w:t>jema;</w:t>
      </w:r>
    </w:p>
    <w:p w:rsidR="006E3F8B" w:rsidRDefault="00DC2731">
      <w:pPr>
        <w:numPr>
          <w:ilvl w:val="0"/>
          <w:numId w:val="45"/>
        </w:numPr>
        <w:spacing w:before="0" w:after="0"/>
        <w:ind w:hanging="210"/>
        <w:jc w:val="left"/>
      </w:pPr>
      <w:r>
        <w:t>izvajanje ukrepov za krepitev sistema spremljanja prisilnega vračanja;</w:t>
      </w:r>
    </w:p>
    <w:p w:rsidR="006E3F8B" w:rsidRDefault="00DC2731">
      <w:pPr>
        <w:numPr>
          <w:ilvl w:val="0"/>
          <w:numId w:val="45"/>
        </w:numPr>
        <w:spacing w:before="0" w:after="240"/>
        <w:ind w:hanging="210"/>
        <w:jc w:val="left"/>
      </w:pPr>
      <w:r>
        <w:t>podpora upravnim stroškom (brezplačna pravna pomoč in stroški osebja) in</w:t>
      </w:r>
      <w:r>
        <w:rPr>
          <w:b/>
          <w:bCs/>
        </w:rPr>
        <w:t xml:space="preserve"> </w:t>
      </w:r>
      <w:r>
        <w:t>ukrepi za povečanje zmogljivosti sodstva v zvezi s pravnim pregledom pridržanja.</w:t>
      </w:r>
    </w:p>
    <w:p w:rsidR="006E3F8B" w:rsidRDefault="00DC2731">
      <w:pPr>
        <w:spacing w:before="240" w:after="240"/>
        <w:jc w:val="left"/>
      </w:pPr>
      <w:r>
        <w:t>Dolgoročni cilj Slovenije</w:t>
      </w:r>
      <w:r>
        <w:t> v sklopu posebnega cilja A.SO3 "Vračanje" je izvajati učinkovito politiko vračanja v tretje države tako z vidika prostovoljnega kot prisilnega vračanja ter spodbujati uporabo prostovoljnega vračanja v sodelovanju z nevladnimi organizacijami in pristojnimi</w:t>
      </w:r>
      <w:r>
        <w:t xml:space="preserve"> mednarodnimi organizacijami kot tudi državami izvora.</w:t>
      </w:r>
    </w:p>
    <w:p w:rsidR="006E3F8B" w:rsidRDefault="00DC2731">
      <w:pPr>
        <w:spacing w:before="240" w:after="240"/>
        <w:jc w:val="left"/>
      </w:pPr>
      <w:r>
        <w:lastRenderedPageBreak/>
        <w:t xml:space="preserve">Alokacija sredstev za 2019 je bila končnim upravičencen načrtovana v skladu s potrjenim Akcijskim načrtom. Izvajanje aktivnosti nacionalnega cilja A.SO3.1 "Spremljevalni ukrepi", A.SO3.2 "Ukrepi </w:t>
      </w:r>
      <w:r>
        <w:t>vračanja" in A.SO.3.3 "Sodelovanje" je nemoteno teklo tudi v letu 2019, pri tem Slovenija ni zaznala težav, ki bi vplivale na izvajanje nacionalnega programa. Slovenija načrtuje kontinuirano izvajanje aktivnosti do leta 2021. Dodatna obrazložitev je v pril</w:t>
      </w:r>
      <w:r>
        <w:t>ogi AIR (Priloga 1).</w:t>
      </w:r>
    </w:p>
    <w:p w:rsidR="006E3F8B" w:rsidRDefault="00DC2731">
      <w:pPr>
        <w:spacing w:before="240" w:after="240"/>
        <w:jc w:val="left"/>
      </w:pPr>
      <w:r>
        <w:t xml:space="preserve">Na podlagi izvedenih aktivnosti v okviru spodbujanja prednostne uporabe prostovoljnega vračanja za nezakonite migrante; dviga učinkovitosti sistema spremljanja prisilnega vračanja od faze pred povratkom do sprejema povratnika v državo </w:t>
      </w:r>
      <w:r>
        <w:t>vrnitve; izboljšane infrastrukture, boljših življenjskih pogojih v Centru za tujce skladno z Direktivo o vračanju in s posebno pozornostjo namenjeno ranljivim skupinam; optimalnega mednarodnega sodelovanja z izvornimi državami na vseh stopnjah procesa vrač</w:t>
      </w:r>
      <w:r>
        <w:t>anja, ter zagotavljanja sodnega nadzora pridržanja skladno z zakonodajo in prakso, Slovenija ocenjuje, da je dosegla, v okviru političnega dialoga načrtovane cilje. Glede ukrepov za povečanje zmogljivosti sodstva glede pravnega pregleda pridržanja pa je Sl</w:t>
      </w:r>
      <w:r>
        <w:t xml:space="preserve">ovenija na podlagi dejanskih razmer ocenila, da gre na letni ravni le za nekaj primerov, ko so sodišča vpletena v potrditev podaljšanega bivanja tujcev za nadaljnjih šest mesecev. Na podlagi ocen, da gre za pretočno razreševanje vlog, katerih obravnava ne </w:t>
      </w:r>
      <w:r>
        <w:t>predstavlja dodatnega finančnega bremena, Slovenija ni izrazila  potreb po sofinanciranju iz AMIF. </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1"/>
        <w:gridCol w:w="3866"/>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1</w:t>
            </w:r>
            <w:r w:rsidRPr="00707975">
              <w:rPr>
                <w:lang w:val="fr-BE"/>
              </w:rPr>
              <w:t xml:space="preserve"> - </w:t>
            </w:r>
            <w:r w:rsidRPr="00707975">
              <w:rPr>
                <w:noProof/>
                <w:lang w:val="fr-BE"/>
              </w:rPr>
              <w:t>Spremljevalni ukrepi</w:t>
            </w:r>
          </w:p>
        </w:tc>
      </w:tr>
    </w:tbl>
    <w:p w:rsidR="00115C60" w:rsidRPr="006C1127" w:rsidRDefault="00115C60" w:rsidP="00115C60">
      <w:pPr>
        <w:spacing w:before="0" w:after="0"/>
        <w:rPr>
          <w:lang w:val="fr-BE"/>
        </w:rPr>
      </w:pPr>
    </w:p>
    <w:p w:rsidR="006E3F8B" w:rsidRDefault="00DC2731">
      <w:pPr>
        <w:spacing w:before="0" w:after="240"/>
        <w:jc w:val="left"/>
      </w:pPr>
      <w:r>
        <w:t>Slovenija je tudi v 2019 nadaljevala z izvajanjem ukrepa A.SO3.1.</w:t>
      </w:r>
    </w:p>
    <w:p w:rsidR="006E3F8B" w:rsidRDefault="00DC2731">
      <w:pPr>
        <w:spacing w:before="240" w:after="240"/>
        <w:jc w:val="left"/>
      </w:pPr>
      <w:r>
        <w:t>Ker je pogodba</w:t>
      </w:r>
      <w:r>
        <w:t xml:space="preserve"> s PIC za izvajanje ukrepa A.SO3.1.1 junija 2018 potekla, zaradi pripravljalnih postopkov spremembe Zakona o tujcih pa novega JR ni bilo mogoče izvesti, so bile aktivnosti svetovanja tujcem in pravnega varstva v postopkih vračanja v celoti financirane iz n</w:t>
      </w:r>
      <w:r>
        <w:t>acionalnega proračuna.</w:t>
      </w:r>
    </w:p>
    <w:p w:rsidR="006E3F8B" w:rsidRDefault="00DC2731">
      <w:pPr>
        <w:spacing w:before="240" w:after="240"/>
        <w:jc w:val="left"/>
      </w:pPr>
      <w:r>
        <w:t>Aktivnosti A.SO3.1.2 se nanašajo na izpolnjevanje določil Direktive 20087ES/115 z vidika implementacije spremljanja prisilnega vračanja s strani neodvisne institucije, zato je v letu 2019, pristojno ministrstvo MNZ izvedlo javni razp</w:t>
      </w:r>
      <w:r>
        <w:t>is za spremljanje odstranitev ter za izvajalca izbralo Slovensko Karitas. Ta je bila v 9 primerih obveščena o načrtovani prisilni odstranitvi, v 7 pa je izvedla monitoring; v vseh primerih pa ugotovila zakonito in strokovno ravnanje policistov.</w:t>
      </w:r>
    </w:p>
    <w:p w:rsidR="006E3F8B" w:rsidRDefault="00DC2731">
      <w:pPr>
        <w:spacing w:before="240" w:after="240"/>
        <w:jc w:val="left"/>
      </w:pPr>
      <w:r>
        <w:t>Za izboljša</w:t>
      </w:r>
      <w:r>
        <w:t>nje bivalnih razmer in varnosti za nastanjene tujce in zaposlene se je v okviru A.SO3.1.3, novembra 2019, začela obnova sprejemnih prostorov, nadzorne sobe in administrativnega dela Centra za tujce. Predviden zaključek del je avgust 2020. S ciljem izboljša</w:t>
      </w:r>
      <w:r>
        <w:t>ti življenjske razmere ter dvigniti kakovost vseh storitev so bili kriti obratovalni stroški v Centru za tujce, kot tudi stroški, povezani z obratovanjem mednarodnega prostora za zavrnjene tujce na Letališču Jožeta Pučnika Ljubljana, kjer se je tudi v 2019</w:t>
      </w:r>
      <w:r>
        <w:t xml:space="preserve"> zagotavljalo ustrezno oskrbo vsem nastanjenim tujcem. Le-to je v skladu z nacionalnimi in mednarodnimi standardi in načeli za humano, dostojno in obzirno ravnanje z osebami, ki jim je vzeta prostost. V letu 2019 je bilo evidentiranih 389 zavrnjenih tujcev</w:t>
      </w:r>
      <w:r>
        <w:t xml:space="preserve"> ob vstopu v Slovenijo ( v 2018 je bilo zavrnjenih tujcev 378). Izdanih je bilo 369 vizumov. Na podlagi »Dublinske uredbe« je bilo prevzetih 226 tujcev (130 v letu 2018).</w:t>
      </w:r>
    </w:p>
    <w:p w:rsidR="006E3F8B" w:rsidRDefault="00DC2731">
      <w:pPr>
        <w:spacing w:before="240" w:after="240"/>
        <w:jc w:val="left"/>
      </w:pPr>
      <w:r>
        <w:t xml:space="preserve">V okviru A.SO3.1.4 so se v 2019 izvajale aktivnosti ustrezne zdravstvene, psihološke </w:t>
      </w:r>
      <w:r>
        <w:t>in socialne oskrbe tujcev pred vrnitvijo v matično državo in ustrezne priprave tujcev pred vrnitvijo. Zdravstvena oskrba tujcev zajema preventivni pregled vsakega nastanjenega tujca, po potrebi pa tudi diagnosticiranje in kurativo; urejena je ustrezna psih</w:t>
      </w:r>
      <w:r>
        <w:t>ološka in socialna podpora (kot npr. pogovori, kreativne delavnice, učne ure ter psihiatrično svetovanja). V Centru za tujce je bilo v letu 2019 nastanjenih 1423 tujcev. </w:t>
      </w:r>
    </w:p>
    <w:p w:rsidR="006E3F8B" w:rsidRDefault="00DC2731">
      <w:pPr>
        <w:spacing w:before="240" w:after="240"/>
        <w:jc w:val="left"/>
      </w:pPr>
      <w:r>
        <w:lastRenderedPageBreak/>
        <w:t>V okviru A.SO3.1.6 so bile zagotovljene storitve prevajanja 121 državljanom tretjih d</w:t>
      </w:r>
      <w:r>
        <w:t>ržav, ki so v postopku vračanja.</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5"/>
        <w:gridCol w:w="3362"/>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2</w:t>
            </w:r>
            <w:r w:rsidRPr="00707975">
              <w:rPr>
                <w:lang w:val="fr-BE"/>
              </w:rPr>
              <w:t xml:space="preserve"> - </w:t>
            </w:r>
            <w:r w:rsidRPr="00707975">
              <w:rPr>
                <w:noProof/>
                <w:lang w:val="fr-BE"/>
              </w:rPr>
              <w:t>Ukrepi vračanja</w:t>
            </w:r>
          </w:p>
        </w:tc>
      </w:tr>
    </w:tbl>
    <w:p w:rsidR="00115C60" w:rsidRPr="006C1127" w:rsidRDefault="00115C60" w:rsidP="00115C60">
      <w:pPr>
        <w:spacing w:before="0" w:after="0"/>
        <w:rPr>
          <w:lang w:val="fr-BE"/>
        </w:rPr>
      </w:pPr>
    </w:p>
    <w:p w:rsidR="006E3F8B" w:rsidRDefault="00DC2731">
      <w:pPr>
        <w:spacing w:before="0" w:after="240"/>
        <w:jc w:val="left"/>
      </w:pPr>
      <w:r>
        <w:t>Prostovoljno vračanje tujcev iz RS in reintegracijski programi v državi vrnitve tujcev ter priprava in izvedba operacij vračanja (upravni stroški, potni</w:t>
      </w:r>
      <w:r>
        <w:t xml:space="preserve"> stroški, nastanitev) sta prioritetni aktivnosti v okviru nacionalnega cilja A.SO3.2 »Ukrepi vračanja«. V sklopu A.SO3.2 je teklo tudi sodelovanje s konzularnimi organi in službami za priseljevanje v tretjih državah.</w:t>
      </w:r>
    </w:p>
    <w:p w:rsidR="006E3F8B" w:rsidRDefault="00DC2731">
      <w:pPr>
        <w:spacing w:before="240" w:after="240"/>
        <w:jc w:val="left"/>
      </w:pPr>
      <w:r>
        <w:t>Pomoč po vrnitvi pri prostovoljnem in p</w:t>
      </w:r>
      <w:r>
        <w:t>risilnem vračanju (prevoz, prva nastanitev, itd.) je bila vključena v okvir izvajanja reintegracijskih programov kot tudi pri neposredni takojšnji pomoči po vrnitvi (npr. sekundarni transport). Slovenija je ustrezno z združevanjem vsebin revidirala Akcijsk</w:t>
      </w:r>
      <w:r>
        <w:t>i načrt.</w:t>
      </w:r>
    </w:p>
    <w:p w:rsidR="006E3F8B" w:rsidRDefault="00DC2731">
      <w:pPr>
        <w:spacing w:before="240" w:after="240"/>
        <w:jc w:val="left"/>
      </w:pPr>
      <w:r>
        <w:t>V okviru A.SO3.2.1 je CT spodbujal prostovoljno vračanje tujcev iz RS in reintegracijske programe v državi vrnitve tujcev, ki ga v sodelovanju s Policijo izvaja IOM-MOM (na podlagi javnega razpisa izbrana NVO) in ga v primerljivih programih izvaja</w:t>
      </w:r>
      <w:r>
        <w:t>jo vse DČ EU. Spodbujanje vključevanja tujcev je z nacionalnega vidika izjemnega pomena, saj zmanjša število prisilnih vrnitev. Na ta način vrnjeni tujci so v izvornih državah obravnavani humanejše, njihova vrnitev je dostojnejša, zagotovljena jim je pomoč</w:t>
      </w:r>
      <w:r>
        <w:t xml:space="preserve"> na poti in v državi izvora. V 2019 je bilo informiranih 18 oseb, od katerih se je v matične države prostovoljno vrnilo 5 tujcev (1 državljan Alžirije, Iraka, Ukrajine in 2 državljana BiH).  </w:t>
      </w:r>
    </w:p>
    <w:p w:rsidR="006E3F8B" w:rsidRDefault="00DC2731">
      <w:pPr>
        <w:spacing w:before="240" w:after="240"/>
        <w:jc w:val="left"/>
      </w:pPr>
      <w:r>
        <w:t>Ukrep A.SO3.2.2 »Sodelovanje z DKP« je bil že v 2017 združen z u</w:t>
      </w:r>
      <w:r>
        <w:t>krepom</w:t>
      </w:r>
      <w:r>
        <w:rPr>
          <w:b/>
          <w:bCs/>
        </w:rPr>
        <w:t xml:space="preserve"> </w:t>
      </w:r>
      <w:r>
        <w:t>A.SO3.2.3 »Priprava in izvedba operacij vračanja« zaradi njune vsebinske komplementarnosti. Tujci, ki jim je izdana odločba o vrnitvi, večinoma ne posedujejo lastnih identifikacijskih dokumentov, zato se jih pridobi na pristojnih DKP tretje države. </w:t>
      </w:r>
      <w:r>
        <w:t>CT so pri tem v veliko pomoč sklenjeni sporazumi in dobri odnosti, ki zmanjšajo proceduralne težave, kot so zamude ali dodatne zahteve, s katerimi se pogojuje izdaja dokumentov. V 2019 je CT zaprosil za 54 potovalnih dokumentov, od tega pridobil 41, nastan</w:t>
      </w:r>
      <w:r>
        <w:t xml:space="preserve">jenih je bilo 1423 oseb (1400 tujcev in 23 prosilcev MZ) iz 47 držav (Bližnji vzhod, Srednja Azija, afriške države, Z Balkan). Izvedena je bila odstranitev 832 tujcev, vključujoč tudi osebe, ki so bile vrnjene v državo izvora, v tretjo državo ali DČ EU na </w:t>
      </w:r>
      <w:r>
        <w:t xml:space="preserve">podlagi drugih veljavnih aktov (sporazumi o vračanju, t.i. Dublinska Uredba). CT je organiziral tudi 13 odstranitev s spremstvom. 722 vrnitev je bilo izvedenih na podlagi sporazumov o vračanju, od tega 4 uradna predaja tujim varnostnim organom. 105 tujcev </w:t>
      </w:r>
      <w:r>
        <w:t>je bilo odstranjenih iz države z letalom.</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3"/>
        <w:gridCol w:w="2944"/>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3</w:t>
            </w:r>
            <w:r w:rsidRPr="00707975">
              <w:rPr>
                <w:lang w:val="fr-BE"/>
              </w:rPr>
              <w:t xml:space="preserve"> - </w:t>
            </w:r>
            <w:r w:rsidRPr="00707975">
              <w:rPr>
                <w:noProof/>
                <w:lang w:val="fr-BE"/>
              </w:rPr>
              <w:t>Sodelovanje</w:t>
            </w:r>
          </w:p>
        </w:tc>
      </w:tr>
    </w:tbl>
    <w:p w:rsidR="00115C60" w:rsidRPr="006C1127" w:rsidRDefault="00115C60" w:rsidP="00115C60">
      <w:pPr>
        <w:spacing w:before="0" w:after="0"/>
        <w:rPr>
          <w:lang w:val="fr-BE"/>
        </w:rPr>
      </w:pPr>
    </w:p>
    <w:p w:rsidR="006E3F8B" w:rsidRDefault="00DC2731">
      <w:pPr>
        <w:spacing w:before="0" w:after="240"/>
        <w:jc w:val="left"/>
      </w:pPr>
      <w:r>
        <w:t xml:space="preserve">V sklopu A.SO3.3 se je nadaljevalo sodelovanje s članicami EU in agencijo Frontex pri izvajanju skupnih postopkov vračanja. Slovenija v okviru </w:t>
      </w:r>
      <w:r>
        <w:t>A.SO3.3 izvaja tudi sodelovanje z organizacijami pri zagotavljanju storitev za DTD med pridržanjem ter sodelovanje s članicami EU pri izmenjavi praks na področjih, povezanih z ukrepi vračanja. </w:t>
      </w:r>
    </w:p>
    <w:p w:rsidR="006E3F8B" w:rsidRDefault="00DC2731">
      <w:pPr>
        <w:spacing w:before="240" w:after="240"/>
        <w:jc w:val="left"/>
      </w:pPr>
      <w:r>
        <w:t>V okviru nacionalnega cilja A.SO3.3 "Sodelovanje" je Slovenija</w:t>
      </w:r>
      <w:r>
        <w:t> prvotno načrtovala tri ukrepe, pa vendar so se aktivnosti A.SO3.3.2 "Sodelovanje z organizacijami pri zagotavljanju storitev za državljane tretjih držav med pridržanjem in A.SO3.3.3 "Sodelovanje z državami članicami EU pri izmenjavi dobrih praks na področ</w:t>
      </w:r>
      <w:r>
        <w:t>jih povezanih z ukrepi vračanja" skladno s predlogom končnega upravičenca (Policije) izvajale v okviru A.SO3.3.1. Združevanje vsebine se ustrezno odraža v revidiranem Akcijskem načrtu. </w:t>
      </w:r>
    </w:p>
    <w:p w:rsidR="006E3F8B" w:rsidRDefault="00DC2731">
      <w:pPr>
        <w:spacing w:before="240" w:after="240"/>
        <w:jc w:val="left"/>
      </w:pPr>
      <w:r>
        <w:lastRenderedPageBreak/>
        <w:t>Center za tujce je tudi v letu 2019 aktivno sodeloval z Agencijo Front</w:t>
      </w:r>
      <w:r>
        <w:t>ex v okviru ukrepa A.SO3.3.1. Prav tako je bil dejaven v okviru relevantnih delovnih telesih EU, ki so namenjeni izmenjavi izkušenj in dobrih praks, inšpektorji Centra za tujce so sodelovali v delovnih telesih in operacijah agencije Frontex, EURINT in v de</w:t>
      </w:r>
      <w:r>
        <w:t>lovnem telesu Evropske komisije EMN REG. V letu 2019 je teklo sodelovanje s partnerji na področju vračanja. </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Povzemite napredek pri izvajanju strategije in doseganju nacionalnih ciljev v proračunskem letu.</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 xml:space="preserve">Navedite morebitne spremembe v strategiji ali </w:t>
      </w:r>
      <w:r>
        <w:rPr>
          <w:noProof/>
          <w:lang w:val="fr-BE"/>
        </w:rPr>
        <w:t>nacionalnih ciljih oziroma dejavnike, ki bi lahko privedli do sprememb v prihodnosti.</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Navedite morebitna pomembna vprašanja, ki vplivajo na uspešnost nacionalnega programa.</w:t>
      </w:r>
    </w:p>
    <w:p w:rsidR="00115C60" w:rsidRPr="006C1127"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6024"/>
      </w:tblGrid>
      <w:tr w:rsidR="006E3F8B" w:rsidTr="00003291">
        <w:tc>
          <w:tcPr>
            <w:tcW w:w="0" w:type="auto"/>
            <w:shd w:val="clear" w:color="auto" w:fill="auto"/>
          </w:tcPr>
          <w:p w:rsidR="00115C60" w:rsidRPr="006C1127" w:rsidRDefault="00DC2731" w:rsidP="00003291">
            <w:pPr>
              <w:spacing w:before="0" w:after="0"/>
              <w:ind w:left="113" w:hanging="113"/>
              <w:rPr>
                <w:lang w:val="fr-BE"/>
              </w:rPr>
            </w:pPr>
            <w:r w:rsidRPr="006C1127">
              <w:rPr>
                <w:noProof/>
                <w:lang w:val="fr-BE"/>
              </w:rPr>
              <w:t>Posebni cilj</w:t>
            </w:r>
          </w:p>
        </w:tc>
        <w:tc>
          <w:tcPr>
            <w:tcW w:w="0" w:type="auto"/>
            <w:shd w:val="clear" w:color="auto" w:fill="auto"/>
          </w:tcPr>
          <w:p w:rsidR="00115C60" w:rsidRPr="006C1127" w:rsidRDefault="00DC2731" w:rsidP="00003291">
            <w:pPr>
              <w:spacing w:before="0" w:after="0"/>
              <w:rPr>
                <w:lang w:val="fr-BE"/>
              </w:rPr>
            </w:pPr>
            <w:r w:rsidRPr="006C1127">
              <w:rPr>
                <w:noProof/>
                <w:lang w:val="fr-BE"/>
              </w:rPr>
              <w:t>4</w:t>
            </w:r>
            <w:r w:rsidRPr="006C1127">
              <w:rPr>
                <w:lang w:val="fr-BE"/>
              </w:rPr>
              <w:t xml:space="preserve"> - </w:t>
            </w:r>
            <w:r w:rsidRPr="006C1127">
              <w:rPr>
                <w:noProof/>
                <w:lang w:val="fr-BE"/>
              </w:rPr>
              <w:t>Solidarnost</w:t>
            </w:r>
          </w:p>
        </w:tc>
      </w:tr>
    </w:tbl>
    <w:p w:rsidR="00115C60" w:rsidRDefault="00115C60" w:rsidP="00115C60">
      <w:pPr>
        <w:spacing w:before="0" w:after="0"/>
        <w:rPr>
          <w:lang w:val="fr-BE"/>
        </w:rPr>
      </w:pPr>
    </w:p>
    <w:p w:rsidR="006E3F8B" w:rsidRDefault="00DC2731">
      <w:pPr>
        <w:spacing w:before="0" w:after="240"/>
        <w:jc w:val="left"/>
      </w:pPr>
      <w:r>
        <w:t xml:space="preserve">Slovenija sodeluje v aktivnostih premestitve v </w:t>
      </w:r>
      <w:r>
        <w:t>skladu z dvema shemama EU o premestitvi 40.000 in 120.000 prosilcev za mednarodno zaščito iz Italije in Grčije v skladu s Sklepom Sveta (EU) 2015/1523 z dne 14. 9. 2015 in Sklepom Sveta (EU) 2015/1601 z dne 22. 9. 2015.</w:t>
      </w:r>
    </w:p>
    <w:p w:rsidR="006E3F8B" w:rsidRDefault="00DC2731">
      <w:pPr>
        <w:spacing w:before="240" w:after="240"/>
        <w:jc w:val="left"/>
      </w:pPr>
      <w:r>
        <w:t>Aktivnosti premestitve so se zaključ</w:t>
      </w:r>
      <w:r>
        <w:t>ile leta 2018, ko je bilo izvedenih 21 zadnjih premestitev iz Italije.</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2877"/>
      </w:tblGrid>
      <w:tr w:rsidR="006E3F8B" w:rsidTr="00003291">
        <w:tc>
          <w:tcPr>
            <w:tcW w:w="0" w:type="auto"/>
            <w:shd w:val="clear" w:color="auto" w:fill="auto"/>
          </w:tcPr>
          <w:p w:rsidR="00115C60" w:rsidRPr="00707975" w:rsidRDefault="00DC2731" w:rsidP="00003291">
            <w:pPr>
              <w:spacing w:before="0" w:after="0"/>
              <w:rPr>
                <w:lang w:val="fr-BE"/>
              </w:rPr>
            </w:pPr>
            <w:r w:rsidRPr="00707975">
              <w:rPr>
                <w:noProof/>
                <w:lang w:val="fr-BE"/>
              </w:rPr>
              <w:t>Ukrepi, financirani v okviru nacionalnega cilja</w:t>
            </w:r>
          </w:p>
        </w:tc>
        <w:tc>
          <w:tcPr>
            <w:tcW w:w="0" w:type="auto"/>
            <w:shd w:val="clear" w:color="auto" w:fill="auto"/>
          </w:tcPr>
          <w:p w:rsidR="00115C60" w:rsidRPr="00707975" w:rsidRDefault="00DC2731" w:rsidP="00003291">
            <w:pPr>
              <w:spacing w:before="0" w:after="0"/>
              <w:rPr>
                <w:lang w:val="fr-BE"/>
              </w:rPr>
            </w:pPr>
            <w:r w:rsidRPr="00707975">
              <w:rPr>
                <w:noProof/>
                <w:lang w:val="fr-BE"/>
              </w:rPr>
              <w:t>1</w:t>
            </w:r>
            <w:r w:rsidRPr="00707975">
              <w:rPr>
                <w:lang w:val="fr-BE"/>
              </w:rPr>
              <w:t xml:space="preserve"> - </w:t>
            </w:r>
            <w:r w:rsidRPr="00707975">
              <w:rPr>
                <w:noProof/>
                <w:lang w:val="fr-BE"/>
              </w:rPr>
              <w:t>Premestitev</w:t>
            </w:r>
          </w:p>
        </w:tc>
      </w:tr>
    </w:tbl>
    <w:p w:rsidR="00115C60" w:rsidRPr="006C1127" w:rsidRDefault="00115C60" w:rsidP="00115C60">
      <w:pPr>
        <w:spacing w:before="0" w:after="0"/>
        <w:rPr>
          <w:lang w:val="fr-BE"/>
        </w:rPr>
      </w:pPr>
    </w:p>
    <w:p w:rsidR="006E3F8B" w:rsidRDefault="00DC2731">
      <w:pPr>
        <w:spacing w:before="0" w:after="240"/>
        <w:jc w:val="left"/>
      </w:pPr>
      <w:r>
        <w:t xml:space="preserve">Slovenija se je v okviru nacionalnega cilja-posebni primer "Premestitev" osredotočila na ukrep-posebni primer </w:t>
      </w:r>
      <w:r>
        <w:t xml:space="preserve">"Premestitev" prosilcev za mednarodno zaščito", in sicer projekt obsega premestitev 567 prosilcev za mednarodno zaščito v okviru evropskih shem za premestitev na podlagi Sklepa Sveta EU 2015/1523 s 14 septembra 2015 o premestitvi 40.000 oseb iz Italije in </w:t>
      </w:r>
      <w:r>
        <w:t>Grčije ter Sklepa Sveta EU 2015/1601 z 22 septembra 2015 o premestitvi 120.000 oseb iz Italije in Grčije.</w:t>
      </w:r>
    </w:p>
    <w:p w:rsidR="006E3F8B" w:rsidRDefault="00DC2731">
      <w:pPr>
        <w:spacing w:before="240" w:after="240"/>
        <w:jc w:val="left"/>
      </w:pPr>
      <w:r>
        <w:t>Sklepa Sveta EU 2015/1523 in 2015/1601 predstavljata pravno podlago za premestitev 160.000 oseb, ki so v Italiji in Grčiji zaprosili za mednarodno zaš</w:t>
      </w:r>
      <w:r>
        <w:t>čito. Na tej podlagi bi morala Slovenija premestiti 567 oseb, od tega 218 iz Italije in 349 iz Grčije. Vlada Republike Slovenije je na tej podlagi na seji 10. marca 2016 sprejela Izvedbeni načrt premestitve 567 oseb iz Italije in Grčije in trajne preselitv</w:t>
      </w:r>
      <w:r>
        <w:t>e 20 oseb iz tretjih držav.</w:t>
      </w:r>
    </w:p>
    <w:p w:rsidR="006E3F8B" w:rsidRDefault="00DC2731">
      <w:pPr>
        <w:spacing w:before="240" w:after="240"/>
        <w:jc w:val="left"/>
      </w:pPr>
      <w:r>
        <w:t xml:space="preserve">V letu 2018 pri izvajanju ukrepov ni bilo težav, ki bi vplivale na izvajanje Nacionalnega programa. Na podlagi sklepov Sveta EU je bilo v Slovenijo premeščenih 21 oseb iz Italije, od tega 18 državljanov Eritreje in 3 državljani </w:t>
      </w:r>
      <w:r>
        <w:t>Sirije. Iz Grčije premestitev v letu 2018 ni bilo. Skupno je bilo v času trajanja projekta premeščenih 253 oseb. Iz Italije je bilo premeščenih 81 oseb, od tega 77 državljanov Eritreje, trije državljani Sirije in en državljan Jemna. Iz Grčije je bilo skupn</w:t>
      </w:r>
      <w:r>
        <w:t>o premeščenih 172 oseb, od tega 149 državljanov Sirije, 17 državljanov Iraka in šest oseb brez državljanstva. Aktivnosti premestitve so se zaključile leta 2018, ko je bilo izvedenih 21 zadnjih premestitev iz Italije.</w:t>
      </w:r>
    </w:p>
    <w:p w:rsidR="006E3F8B" w:rsidRDefault="00DC2731">
      <w:pPr>
        <w:spacing w:before="240" w:after="240"/>
        <w:jc w:val="left"/>
      </w:pPr>
      <w:r>
        <w:t>Slovenija se je zavezala tudi k sprejem</w:t>
      </w:r>
      <w:r>
        <w:t>u 20 oseb iz tretjih držav, predvidoma državljanov Sirije iz Turčije, Libanona ali Jordanije. Skladno s Sporazumom EU - Turčija, ki je bil sprejet aprila 2016, je bilo dogovorjeno, da se v Slovenijo preseli 20 državljanov Sirije iz Turčije. Vlada Republike</w:t>
      </w:r>
      <w:r>
        <w:t xml:space="preserve"> Slovenije je 4. avgusta 2016 sprejela sklep, da se na podlagi kvote iz Turčije sprejme 40 državljanov Sirije, ki se jim lahko prizna status begunca. Slovenija je aktivnosti zaključila v letu 2018. Skupno je bilo trajno preseljenih 34 državljanov Sirije. D</w:t>
      </w:r>
      <w:r>
        <w:t>rugih ustreznih kandidatov za preselitev v tej misiji ni bilo.</w:t>
      </w:r>
    </w:p>
    <w:p w:rsidR="00115C60" w:rsidRDefault="00115C60" w:rsidP="00115C60">
      <w:pPr>
        <w:spacing w:before="0" w:after="0"/>
        <w:rPr>
          <w:lang w:val="fr-BE"/>
        </w:rPr>
      </w:pPr>
    </w:p>
    <w:p w:rsidR="00115C60" w:rsidRDefault="00115C60" w:rsidP="00115C60">
      <w:pPr>
        <w:spacing w:before="0" w:after="0"/>
        <w:rPr>
          <w:lang w:val="fr-BE"/>
        </w:rPr>
      </w:pPr>
    </w:p>
    <w:p w:rsidR="00115C60" w:rsidRDefault="00DC2731" w:rsidP="00115C60">
      <w:pPr>
        <w:pStyle w:val="Naslov1"/>
        <w:numPr>
          <w:ilvl w:val="0"/>
          <w:numId w:val="0"/>
        </w:numPr>
        <w:spacing w:before="0" w:after="0"/>
      </w:pPr>
      <w:r>
        <w:rPr>
          <w:lang w:val="fr-BE"/>
        </w:rPr>
        <w:br w:type="page"/>
      </w:r>
      <w:bookmarkStart w:id="2" w:name="_Toc256000003"/>
      <w:r w:rsidRPr="00F9367D">
        <w:rPr>
          <w:noProof/>
        </w:rPr>
        <w:lastRenderedPageBreak/>
        <w:t>OKVIRNI ČASOVNI RAZPORED</w:t>
      </w:r>
      <w:bookmarkEnd w:id="2"/>
    </w:p>
    <w:p w:rsidR="00AB614B" w:rsidRPr="00AB614B" w:rsidRDefault="00AB614B" w:rsidP="00AB614B">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698"/>
        <w:gridCol w:w="833"/>
        <w:gridCol w:w="2836"/>
        <w:gridCol w:w="1352"/>
        <w:gridCol w:w="1157"/>
        <w:gridCol w:w="1183"/>
      </w:tblGrid>
      <w:tr w:rsidR="006E3F8B" w:rsidTr="00003291">
        <w:trPr>
          <w:tblHeader/>
        </w:trPr>
        <w:tc>
          <w:tcPr>
            <w:tcW w:w="0" w:type="auto"/>
            <w:shd w:val="clear" w:color="auto" w:fill="auto"/>
          </w:tcPr>
          <w:p w:rsidR="00115C60" w:rsidRPr="00CB3B6C" w:rsidRDefault="00DC2731" w:rsidP="00003291">
            <w:pPr>
              <w:spacing w:before="0" w:after="0"/>
              <w:rPr>
                <w:b/>
                <w:sz w:val="16"/>
                <w:szCs w:val="16"/>
              </w:rPr>
            </w:pPr>
            <w:r w:rsidRPr="00CB3B6C">
              <w:rPr>
                <w:b/>
                <w:noProof/>
                <w:sz w:val="16"/>
                <w:szCs w:val="16"/>
              </w:rPr>
              <w:t>Posebni cilj</w:t>
            </w:r>
          </w:p>
        </w:tc>
        <w:tc>
          <w:tcPr>
            <w:tcW w:w="0" w:type="auto"/>
            <w:shd w:val="clear" w:color="auto" w:fill="auto"/>
          </w:tcPr>
          <w:p w:rsidR="00115C60" w:rsidRPr="00CB3B6C" w:rsidRDefault="00DC2731" w:rsidP="00003291">
            <w:pPr>
              <w:spacing w:before="0" w:after="0"/>
              <w:rPr>
                <w:b/>
                <w:sz w:val="16"/>
                <w:szCs w:val="16"/>
              </w:rPr>
            </w:pPr>
            <w:r w:rsidRPr="00CB3B6C">
              <w:rPr>
                <w:b/>
                <w:noProof/>
                <w:sz w:val="16"/>
                <w:szCs w:val="16"/>
              </w:rPr>
              <w:t>Nacionalni cilj / posebni ukrep</w:t>
            </w:r>
          </w:p>
        </w:tc>
        <w:tc>
          <w:tcPr>
            <w:tcW w:w="0" w:type="auto"/>
            <w:shd w:val="clear" w:color="auto" w:fill="auto"/>
          </w:tcPr>
          <w:p w:rsidR="00115C60" w:rsidRPr="00CB3B6C" w:rsidRDefault="00DC2731" w:rsidP="00003291">
            <w:pPr>
              <w:spacing w:before="0" w:after="0"/>
              <w:jc w:val="center"/>
              <w:rPr>
                <w:b/>
                <w:sz w:val="16"/>
                <w:szCs w:val="16"/>
              </w:rPr>
            </w:pPr>
            <w:r w:rsidRPr="00CB3B6C">
              <w:rPr>
                <w:b/>
                <w:noProof/>
                <w:sz w:val="16"/>
                <w:szCs w:val="16"/>
              </w:rPr>
              <w:t>Glavni ukrep</w:t>
            </w:r>
          </w:p>
        </w:tc>
        <w:tc>
          <w:tcPr>
            <w:tcW w:w="0" w:type="auto"/>
            <w:shd w:val="clear" w:color="auto" w:fill="auto"/>
          </w:tcPr>
          <w:p w:rsidR="00115C60" w:rsidRPr="00CB3B6C" w:rsidRDefault="00DC2731" w:rsidP="00003291">
            <w:pPr>
              <w:spacing w:before="0" w:after="0"/>
              <w:rPr>
                <w:b/>
                <w:sz w:val="16"/>
                <w:szCs w:val="16"/>
              </w:rPr>
            </w:pPr>
            <w:r w:rsidRPr="00CB3B6C">
              <w:rPr>
                <w:b/>
                <w:noProof/>
                <w:sz w:val="16"/>
                <w:szCs w:val="16"/>
              </w:rPr>
              <w:t>Ime ukrepa</w:t>
            </w:r>
          </w:p>
        </w:tc>
        <w:tc>
          <w:tcPr>
            <w:tcW w:w="0" w:type="auto"/>
            <w:shd w:val="clear" w:color="auto" w:fill="auto"/>
          </w:tcPr>
          <w:p w:rsidR="00115C60" w:rsidRPr="00CB3B6C" w:rsidRDefault="00DC2731" w:rsidP="00003291">
            <w:pPr>
              <w:spacing w:before="0" w:after="0"/>
              <w:jc w:val="center"/>
              <w:rPr>
                <w:b/>
                <w:sz w:val="16"/>
                <w:szCs w:val="16"/>
              </w:rPr>
            </w:pPr>
            <w:r w:rsidRPr="00CB3B6C">
              <w:rPr>
                <w:b/>
                <w:noProof/>
                <w:sz w:val="16"/>
                <w:szCs w:val="16"/>
              </w:rPr>
              <w:t>Začetek faze načrtovanja</w:t>
            </w:r>
          </w:p>
        </w:tc>
        <w:tc>
          <w:tcPr>
            <w:tcW w:w="0" w:type="auto"/>
            <w:shd w:val="clear" w:color="auto" w:fill="auto"/>
          </w:tcPr>
          <w:p w:rsidR="00115C60" w:rsidRPr="00CB3B6C" w:rsidRDefault="00DC2731" w:rsidP="00003291">
            <w:pPr>
              <w:spacing w:before="0" w:after="0"/>
              <w:jc w:val="center"/>
              <w:rPr>
                <w:b/>
                <w:sz w:val="16"/>
                <w:szCs w:val="16"/>
              </w:rPr>
            </w:pPr>
            <w:r w:rsidRPr="00CB3B6C">
              <w:rPr>
                <w:b/>
                <w:noProof/>
                <w:sz w:val="16"/>
                <w:szCs w:val="16"/>
              </w:rPr>
              <w:t>Začetek faze izvajanja</w:t>
            </w:r>
          </w:p>
        </w:tc>
        <w:tc>
          <w:tcPr>
            <w:tcW w:w="0" w:type="auto"/>
            <w:shd w:val="clear" w:color="auto" w:fill="auto"/>
          </w:tcPr>
          <w:p w:rsidR="00115C60" w:rsidRPr="00CB3B6C" w:rsidRDefault="00DC2731" w:rsidP="00003291">
            <w:pPr>
              <w:spacing w:before="0" w:after="0"/>
              <w:jc w:val="center"/>
              <w:rPr>
                <w:b/>
                <w:sz w:val="16"/>
                <w:szCs w:val="16"/>
              </w:rPr>
            </w:pPr>
            <w:r w:rsidRPr="00CB3B6C">
              <w:rPr>
                <w:b/>
                <w:noProof/>
                <w:sz w:val="16"/>
                <w:szCs w:val="16"/>
              </w:rPr>
              <w:t>Začetek zaključne faze</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Assistance and support to asylum seekers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Strengthening of competent services involved in processing asylum applications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Sprejem/azil</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Development of reception infrastructure, services and conditions of stay</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cilj2</w:t>
            </w:r>
            <w:r>
              <w:rPr>
                <w:sz w:val="16"/>
                <w:szCs w:val="16"/>
              </w:rPr>
              <w:t xml:space="preserve"> - </w:t>
            </w:r>
            <w:r>
              <w:rPr>
                <w:noProof/>
                <w:sz w:val="16"/>
                <w:szCs w:val="16"/>
              </w:rPr>
              <w:t>Vrednotenje</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National system of evaluation of the asylum procedures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Resettlement of persons in clear need of international protection</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2017</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cilj1</w:t>
            </w:r>
            <w:r>
              <w:rPr>
                <w:sz w:val="16"/>
                <w:szCs w:val="16"/>
              </w:rPr>
              <w:t xml:space="preserve"> - </w:t>
            </w:r>
            <w:r>
              <w:rPr>
                <w:noProof/>
                <w:sz w:val="16"/>
                <w:szCs w:val="16"/>
              </w:rPr>
              <w:t>Azil</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cilj3</w:t>
            </w:r>
            <w:r>
              <w:rPr>
                <w:sz w:val="16"/>
                <w:szCs w:val="16"/>
              </w:rPr>
              <w:t xml:space="preserve"> - </w:t>
            </w:r>
            <w:r>
              <w:rPr>
                <w:noProof/>
                <w:sz w:val="16"/>
                <w:szCs w:val="16"/>
              </w:rPr>
              <w:t>Preselitev</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Ad-hoc adminssion</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cilj2</w:t>
            </w:r>
            <w:r>
              <w:rPr>
                <w:sz w:val="16"/>
                <w:szCs w:val="16"/>
              </w:rPr>
              <w:t xml:space="preserve"> - </w:t>
            </w:r>
            <w:r>
              <w:rPr>
                <w:noProof/>
                <w:sz w:val="16"/>
                <w:szCs w:val="16"/>
              </w:rPr>
              <w:t xml:space="preserve">Vključevanje / </w:t>
            </w:r>
            <w:r>
              <w:rPr>
                <w:noProof/>
                <w:sz w:val="16"/>
                <w:szCs w:val="16"/>
              </w:rPr>
              <w:t>zakonito priseljevanje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Zakonito priseljevanje</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Info-point for TCN</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Implementation of programmes for basic assistance and services for</w:t>
            </w:r>
            <w:r w:rsidRPr="00557448">
              <w:rPr>
                <w:noProof/>
                <w:sz w:val="16"/>
                <w:szCs w:val="16"/>
              </w:rPr>
              <w:t xml:space="preserve"> TCN</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Specific measures targeting vulnerable persons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cilj2</w:t>
            </w:r>
            <w:r>
              <w:rPr>
                <w:sz w:val="16"/>
                <w:szCs w:val="16"/>
              </w:rPr>
              <w:t xml:space="preserve"> - </w:t>
            </w:r>
            <w:r>
              <w:rPr>
                <w:noProof/>
                <w:sz w:val="16"/>
                <w:szCs w:val="16"/>
              </w:rPr>
              <w:t>Vključevanje</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Integration assistance including comprehensive inclusion assistance for persons under IP</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Sustainable cooperation</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 xml:space="preserve">Posebni </w:t>
            </w:r>
            <w:r>
              <w:rPr>
                <w:noProof/>
                <w:sz w:val="16"/>
                <w:szCs w:val="16"/>
              </w:rPr>
              <w:t>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Training of staff and policy makers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2017</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2018</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2019</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cilj2</w:t>
            </w:r>
            <w:r>
              <w:rPr>
                <w:sz w:val="16"/>
                <w:szCs w:val="16"/>
              </w:rPr>
              <w:t xml:space="preserve"> - </w:t>
            </w:r>
            <w:r>
              <w:rPr>
                <w:noProof/>
                <w:sz w:val="16"/>
                <w:szCs w:val="16"/>
              </w:rPr>
              <w:t>Vključevanje / zakonito priseljevanje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cilj3</w:t>
            </w:r>
            <w:r>
              <w:rPr>
                <w:sz w:val="16"/>
                <w:szCs w:val="16"/>
              </w:rPr>
              <w:t xml:space="preserve"> - </w:t>
            </w:r>
            <w:r>
              <w:rPr>
                <w:noProof/>
                <w:sz w:val="16"/>
                <w:szCs w:val="16"/>
              </w:rPr>
              <w:t>Zmogljivost</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Improvement of services and conditions</w:t>
            </w:r>
            <w:r w:rsidRPr="00557448">
              <w:rPr>
                <w:noProof/>
                <w:sz w:val="16"/>
                <w:szCs w:val="16"/>
              </w:rPr>
              <w:t xml:space="preserve"> of stay</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Improved infrastructure, living conditions, running costs at the Aliens centre</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Social, psychological and medical assistance for detained persons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2023</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Spremljevalni ukrepi</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3</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Expansion of the network of translators and interpreters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Implementation of voluntary return and reintegration projects for TCN</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cilj2</w:t>
            </w:r>
            <w:r>
              <w:rPr>
                <w:sz w:val="16"/>
                <w:szCs w:val="16"/>
              </w:rPr>
              <w:t xml:space="preserve"> - </w:t>
            </w:r>
            <w:r>
              <w:rPr>
                <w:noProof/>
                <w:sz w:val="16"/>
                <w:szCs w:val="16"/>
              </w:rPr>
              <w:t>Ukrepi vračanja</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Preparation and enforcement of return operations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cilj3</w:t>
            </w:r>
            <w:r>
              <w:rPr>
                <w:sz w:val="16"/>
                <w:szCs w:val="16"/>
              </w:rPr>
              <w:t xml:space="preserve"> - </w:t>
            </w:r>
            <w:r>
              <w:rPr>
                <w:noProof/>
                <w:sz w:val="16"/>
                <w:szCs w:val="16"/>
              </w:rPr>
              <w:t>Vračanje</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cilj3</w:t>
            </w:r>
            <w:r>
              <w:rPr>
                <w:sz w:val="16"/>
                <w:szCs w:val="16"/>
              </w:rPr>
              <w:t xml:space="preserve"> - </w:t>
            </w:r>
            <w:r>
              <w:rPr>
                <w:noProof/>
                <w:sz w:val="16"/>
                <w:szCs w:val="16"/>
              </w:rPr>
              <w:t>Sodelovanje</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Cooperation with EU MS and Frontex</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2014</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1</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 xml:space="preserve">Realocation activities for applicants for international protection from Italy and </w:t>
            </w:r>
            <w:r w:rsidRPr="00557448">
              <w:rPr>
                <w:noProof/>
                <w:sz w:val="16"/>
                <w:szCs w:val="16"/>
              </w:rPr>
              <w:t>Greece</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2015</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2016</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2017</w:t>
            </w:r>
          </w:p>
        </w:tc>
      </w:tr>
      <w:tr w:rsidR="006E3F8B" w:rsidTr="00003291">
        <w:tc>
          <w:tcPr>
            <w:tcW w:w="0" w:type="auto"/>
            <w:shd w:val="clear" w:color="auto" w:fill="auto"/>
          </w:tcPr>
          <w:p w:rsidR="00115C60" w:rsidRPr="00557448" w:rsidRDefault="00DC2731" w:rsidP="00003291">
            <w:pPr>
              <w:spacing w:before="0" w:after="0"/>
              <w:rPr>
                <w:sz w:val="16"/>
                <w:szCs w:val="16"/>
              </w:rPr>
            </w:pPr>
            <w:r>
              <w:rPr>
                <w:noProof/>
                <w:sz w:val="16"/>
                <w:szCs w:val="16"/>
              </w:rPr>
              <w:t>Posebni cilj4</w:t>
            </w:r>
            <w:r>
              <w:rPr>
                <w:sz w:val="16"/>
                <w:szCs w:val="16"/>
              </w:rPr>
              <w:t xml:space="preserve"> - </w:t>
            </w:r>
            <w:r>
              <w:rPr>
                <w:noProof/>
                <w:sz w:val="16"/>
                <w:szCs w:val="16"/>
              </w:rPr>
              <w:t>Solidarnost</w:t>
            </w:r>
          </w:p>
        </w:tc>
        <w:tc>
          <w:tcPr>
            <w:tcW w:w="0" w:type="auto"/>
            <w:shd w:val="clear" w:color="auto" w:fill="auto"/>
          </w:tcPr>
          <w:p w:rsidR="00115C60" w:rsidRPr="00557448" w:rsidRDefault="00DC2731" w:rsidP="00003291">
            <w:pPr>
              <w:spacing w:before="0" w:after="0"/>
              <w:rPr>
                <w:sz w:val="16"/>
                <w:szCs w:val="16"/>
              </w:rPr>
            </w:pPr>
            <w:r>
              <w:rPr>
                <w:noProof/>
                <w:sz w:val="16"/>
                <w:szCs w:val="16"/>
              </w:rPr>
              <w:t>Nacionalni cilj1</w:t>
            </w:r>
            <w:r>
              <w:rPr>
                <w:sz w:val="16"/>
                <w:szCs w:val="16"/>
              </w:rPr>
              <w:t xml:space="preserve"> - </w:t>
            </w:r>
            <w:r>
              <w:rPr>
                <w:noProof/>
                <w:sz w:val="16"/>
                <w:szCs w:val="16"/>
              </w:rPr>
              <w:t>Premestitev</w:t>
            </w:r>
          </w:p>
        </w:tc>
        <w:tc>
          <w:tcPr>
            <w:tcW w:w="0" w:type="auto"/>
            <w:shd w:val="clear" w:color="auto" w:fill="auto"/>
          </w:tcPr>
          <w:p w:rsidR="00115C60" w:rsidRPr="00557448" w:rsidRDefault="00DC2731" w:rsidP="00003291">
            <w:pPr>
              <w:spacing w:before="0" w:after="0"/>
              <w:jc w:val="center"/>
              <w:rPr>
                <w:sz w:val="16"/>
                <w:szCs w:val="16"/>
              </w:rPr>
            </w:pPr>
            <w:r w:rsidRPr="00557448">
              <w:rPr>
                <w:noProof/>
                <w:sz w:val="16"/>
                <w:szCs w:val="16"/>
              </w:rPr>
              <w:t>2</w:t>
            </w:r>
          </w:p>
        </w:tc>
        <w:tc>
          <w:tcPr>
            <w:tcW w:w="0" w:type="auto"/>
            <w:shd w:val="clear" w:color="auto" w:fill="auto"/>
          </w:tcPr>
          <w:p w:rsidR="00115C60" w:rsidRPr="00557448" w:rsidRDefault="00DC2731" w:rsidP="00003291">
            <w:pPr>
              <w:spacing w:before="0" w:after="0"/>
              <w:rPr>
                <w:sz w:val="16"/>
                <w:szCs w:val="16"/>
              </w:rPr>
            </w:pPr>
            <w:r w:rsidRPr="00557448">
              <w:rPr>
                <w:noProof/>
                <w:sz w:val="16"/>
                <w:szCs w:val="16"/>
              </w:rPr>
              <w:t>Preparatory measures</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2019</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2020</w:t>
            </w:r>
          </w:p>
        </w:tc>
        <w:tc>
          <w:tcPr>
            <w:tcW w:w="0" w:type="auto"/>
            <w:shd w:val="clear" w:color="auto" w:fill="auto"/>
          </w:tcPr>
          <w:p w:rsidR="00115C60" w:rsidRPr="00557448" w:rsidRDefault="00DC2731" w:rsidP="00003291">
            <w:pPr>
              <w:spacing w:before="0" w:after="0"/>
              <w:jc w:val="center"/>
              <w:rPr>
                <w:sz w:val="16"/>
                <w:szCs w:val="16"/>
              </w:rPr>
            </w:pPr>
            <w:r>
              <w:rPr>
                <w:noProof/>
                <w:sz w:val="16"/>
                <w:szCs w:val="16"/>
              </w:rPr>
              <w:t>2021</w:t>
            </w:r>
          </w:p>
        </w:tc>
      </w:tr>
    </w:tbl>
    <w:p w:rsidR="0056117D" w:rsidRDefault="00115C60" w:rsidP="00115C60">
      <w:pPr>
        <w:spacing w:before="0" w:after="0"/>
        <w:rPr>
          <w:lang w:val="fr-BE"/>
        </w:rPr>
        <w:sectPr w:rsidR="0056117D" w:rsidSect="00ED6293">
          <w:headerReference w:type="default" r:id="rId8"/>
          <w:footerReference w:type="default" r:id="rId9"/>
          <w:pgSz w:w="11906" w:h="16838"/>
          <w:pgMar w:top="284" w:right="851" w:bottom="284" w:left="284" w:header="567" w:footer="0" w:gutter="0"/>
          <w:cols w:space="708"/>
          <w:docGrid w:linePitch="360"/>
        </w:sectPr>
      </w:pPr>
      <w:r>
        <w:rPr>
          <w:lang w:val="fr-BE"/>
        </w:rPr>
        <w:t xml:space="preserve"> </w:t>
      </w:r>
    </w:p>
    <w:p w:rsidR="00115C60" w:rsidRDefault="00DC2731" w:rsidP="00115C60">
      <w:pPr>
        <w:pStyle w:val="Naslov1"/>
        <w:numPr>
          <w:ilvl w:val="0"/>
          <w:numId w:val="0"/>
        </w:numPr>
        <w:spacing w:before="0" w:after="0"/>
      </w:pPr>
      <w:bookmarkStart w:id="3" w:name="_Toc256000004"/>
      <w:r>
        <w:rPr>
          <w:noProof/>
        </w:rPr>
        <w:lastRenderedPageBreak/>
        <w:t xml:space="preserve">ODDELEK 4: POSEBNI </w:t>
      </w:r>
      <w:r>
        <w:rPr>
          <w:noProof/>
        </w:rPr>
        <w:t>PRIMERI</w:t>
      </w:r>
      <w:bookmarkEnd w:id="3"/>
    </w:p>
    <w:p w:rsidR="00115C60" w:rsidRDefault="00115C60" w:rsidP="00115C60">
      <w:pPr>
        <w:spacing w:before="0" w:after="0"/>
        <w:rPr>
          <w:lang w:val="fr-BE"/>
        </w:rPr>
      </w:pPr>
    </w:p>
    <w:p w:rsidR="00115C60" w:rsidRDefault="00DC2731" w:rsidP="00115C60">
      <w:pPr>
        <w:spacing w:before="0" w:after="0"/>
        <w:rPr>
          <w:lang w:val="fr-BE"/>
        </w:rPr>
      </w:pPr>
      <w:r>
        <w:rPr>
          <w:noProof/>
          <w:lang w:val="fr-BE"/>
        </w:rPr>
        <w:t>4.1 Preselitev</w:t>
      </w:r>
    </w:p>
    <w:p w:rsidR="00115C60" w:rsidRDefault="00225E97" w:rsidP="00225E97">
      <w:pPr>
        <w:tabs>
          <w:tab w:val="left" w:pos="14070"/>
        </w:tabs>
        <w:spacing w:before="0" w:after="0"/>
        <w:ind w:right="404"/>
        <w:rPr>
          <w:lang w:val="fr-BE"/>
        </w:rPr>
      </w:pPr>
      <w:r>
        <w:rPr>
          <w:lang w:val="fr-BE"/>
        </w:rPr>
        <w:tab/>
      </w:r>
    </w:p>
    <w:p w:rsidR="00115C60" w:rsidRDefault="00DC2731" w:rsidP="00115C60">
      <w:pPr>
        <w:spacing w:before="0" w:after="0"/>
        <w:rPr>
          <w:lang w:val="fr-BE"/>
        </w:rPr>
      </w:pPr>
      <w:r>
        <w:rPr>
          <w:noProof/>
          <w:lang w:val="fr-BE"/>
        </w:rPr>
        <w:t>Število preseljenih oseb,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58"/>
        <w:gridCol w:w="968"/>
        <w:gridCol w:w="968"/>
        <w:gridCol w:w="968"/>
        <w:gridCol w:w="968"/>
        <w:gridCol w:w="968"/>
        <w:gridCol w:w="968"/>
        <w:gridCol w:w="968"/>
      </w:tblGrid>
      <w:tr w:rsidR="006E3F8B" w:rsidTr="006D1BFF">
        <w:tc>
          <w:tcPr>
            <w:tcW w:w="0" w:type="auto"/>
            <w:shd w:val="clear" w:color="auto" w:fill="auto"/>
          </w:tcPr>
          <w:p w:rsidR="00B02E47" w:rsidRPr="00597A79" w:rsidRDefault="00DC2731" w:rsidP="00003291">
            <w:pPr>
              <w:spacing w:before="0" w:after="0"/>
              <w:rPr>
                <w:b/>
                <w:sz w:val="16"/>
                <w:szCs w:val="16"/>
                <w:lang w:val="fr-BE"/>
              </w:rPr>
            </w:pPr>
            <w:r w:rsidRPr="00597A79">
              <w:rPr>
                <w:b/>
                <w:noProof/>
                <w:sz w:val="16"/>
                <w:szCs w:val="16"/>
                <w:lang w:val="fr-BE"/>
              </w:rPr>
              <w:t>Skupna prednostna naloga Unije na področju preselitve</w:t>
            </w:r>
          </w:p>
        </w:tc>
        <w:tc>
          <w:tcPr>
            <w:tcW w:w="0" w:type="auto"/>
            <w:shd w:val="clear" w:color="auto" w:fill="auto"/>
          </w:tcPr>
          <w:p w:rsidR="00B02E47" w:rsidRPr="00597A79" w:rsidRDefault="00DC2731" w:rsidP="00D06E4F">
            <w:pPr>
              <w:spacing w:before="0" w:after="0"/>
              <w:jc w:val="center"/>
              <w:rPr>
                <w:b/>
                <w:sz w:val="16"/>
                <w:szCs w:val="16"/>
                <w:lang w:val="fr-BE"/>
              </w:rPr>
            </w:pPr>
            <w:r w:rsidRPr="00597A79">
              <w:rPr>
                <w:b/>
                <w:sz w:val="16"/>
                <w:szCs w:val="16"/>
                <w:lang w:val="fr-BE"/>
              </w:rPr>
              <w:t>2014</w:t>
            </w:r>
          </w:p>
        </w:tc>
        <w:tc>
          <w:tcPr>
            <w:tcW w:w="0" w:type="auto"/>
            <w:shd w:val="clear" w:color="auto" w:fill="auto"/>
          </w:tcPr>
          <w:p w:rsidR="00B02E47" w:rsidRPr="00597A79" w:rsidRDefault="00DC2731" w:rsidP="00D06E4F">
            <w:pPr>
              <w:spacing w:before="0" w:after="0"/>
              <w:jc w:val="center"/>
              <w:rPr>
                <w:b/>
                <w:sz w:val="16"/>
                <w:szCs w:val="16"/>
                <w:lang w:val="fr-BE"/>
              </w:rPr>
            </w:pPr>
            <w:r w:rsidRPr="00597A79">
              <w:rPr>
                <w:b/>
                <w:sz w:val="16"/>
                <w:szCs w:val="16"/>
                <w:lang w:val="fr-BE"/>
              </w:rPr>
              <w:t>2015</w:t>
            </w:r>
          </w:p>
        </w:tc>
        <w:tc>
          <w:tcPr>
            <w:tcW w:w="0" w:type="auto"/>
            <w:shd w:val="clear" w:color="auto" w:fill="auto"/>
          </w:tcPr>
          <w:p w:rsidR="00B02E47" w:rsidRPr="00597A79" w:rsidRDefault="00DC2731" w:rsidP="00D06E4F">
            <w:pPr>
              <w:spacing w:before="0" w:after="0"/>
              <w:jc w:val="center"/>
              <w:rPr>
                <w:b/>
                <w:sz w:val="16"/>
                <w:szCs w:val="16"/>
                <w:lang w:val="fr-BE"/>
              </w:rPr>
            </w:pPr>
            <w:r w:rsidRPr="00597A79">
              <w:rPr>
                <w:b/>
                <w:sz w:val="16"/>
                <w:szCs w:val="16"/>
                <w:lang w:val="fr-BE"/>
              </w:rPr>
              <w:t>2016</w:t>
            </w:r>
          </w:p>
        </w:tc>
        <w:tc>
          <w:tcPr>
            <w:tcW w:w="0" w:type="auto"/>
          </w:tcPr>
          <w:p w:rsidR="00B02E47" w:rsidRPr="00597A79" w:rsidRDefault="00DC2731" w:rsidP="00D06E4F">
            <w:pPr>
              <w:spacing w:before="0" w:after="0"/>
              <w:jc w:val="center"/>
              <w:rPr>
                <w:b/>
                <w:sz w:val="16"/>
                <w:szCs w:val="16"/>
                <w:lang w:val="fr-BE"/>
              </w:rPr>
            </w:pPr>
            <w:r w:rsidRPr="00597A79">
              <w:rPr>
                <w:b/>
                <w:sz w:val="16"/>
                <w:szCs w:val="16"/>
                <w:lang w:val="fr-BE"/>
              </w:rPr>
              <w:t>2017</w:t>
            </w:r>
          </w:p>
        </w:tc>
        <w:tc>
          <w:tcPr>
            <w:tcW w:w="0" w:type="auto"/>
          </w:tcPr>
          <w:p w:rsidR="00B02E47" w:rsidRPr="00597A79" w:rsidRDefault="00DC2731" w:rsidP="00D06E4F">
            <w:pPr>
              <w:spacing w:before="0" w:after="0"/>
              <w:jc w:val="center"/>
              <w:rPr>
                <w:b/>
                <w:sz w:val="16"/>
                <w:szCs w:val="16"/>
                <w:lang w:val="fr-BE"/>
              </w:rPr>
            </w:pPr>
            <w:r w:rsidRPr="00597A79">
              <w:rPr>
                <w:b/>
                <w:sz w:val="16"/>
                <w:szCs w:val="16"/>
                <w:lang w:val="fr-BE"/>
              </w:rPr>
              <w:t>2018</w:t>
            </w:r>
          </w:p>
        </w:tc>
        <w:tc>
          <w:tcPr>
            <w:tcW w:w="0" w:type="auto"/>
          </w:tcPr>
          <w:p w:rsidR="00B02E47" w:rsidRPr="00597A79" w:rsidRDefault="00DC2731" w:rsidP="00D06E4F">
            <w:pPr>
              <w:spacing w:before="0" w:after="0"/>
              <w:jc w:val="center"/>
              <w:rPr>
                <w:b/>
                <w:sz w:val="16"/>
                <w:szCs w:val="16"/>
                <w:lang w:val="fr-BE"/>
              </w:rPr>
            </w:pPr>
            <w:r w:rsidRPr="00597A79">
              <w:rPr>
                <w:b/>
                <w:sz w:val="16"/>
                <w:szCs w:val="16"/>
                <w:lang w:val="fr-BE"/>
              </w:rPr>
              <w:t>2019</w:t>
            </w:r>
          </w:p>
        </w:tc>
        <w:tc>
          <w:tcPr>
            <w:tcW w:w="0" w:type="auto"/>
          </w:tcPr>
          <w:p w:rsidR="00B02E47" w:rsidRPr="00597A79" w:rsidRDefault="00DC2731" w:rsidP="00D06E4F">
            <w:pPr>
              <w:spacing w:before="0" w:after="0"/>
              <w:jc w:val="center"/>
              <w:rPr>
                <w:b/>
                <w:sz w:val="16"/>
                <w:szCs w:val="16"/>
                <w:lang w:val="fr-BE"/>
              </w:rPr>
            </w:pPr>
            <w:r w:rsidRPr="00597A79">
              <w:rPr>
                <w:b/>
                <w:sz w:val="16"/>
                <w:szCs w:val="16"/>
                <w:lang w:val="fr-BE"/>
              </w:rPr>
              <w:t>2020</w:t>
            </w:r>
          </w:p>
        </w:tc>
      </w:tr>
      <w:tr w:rsidR="006E3F8B" w:rsidTr="006D1BFF">
        <w:tc>
          <w:tcPr>
            <w:tcW w:w="0" w:type="auto"/>
            <w:shd w:val="clear" w:color="auto" w:fill="auto"/>
          </w:tcPr>
          <w:p w:rsidR="00B02E47" w:rsidRPr="00597A79" w:rsidRDefault="00DC2731" w:rsidP="00003291">
            <w:pPr>
              <w:spacing w:before="0" w:after="0"/>
              <w:rPr>
                <w:sz w:val="16"/>
                <w:szCs w:val="16"/>
                <w:lang w:val="fr-BE"/>
              </w:rPr>
            </w:pPr>
            <w:r w:rsidRPr="00597A79">
              <w:rPr>
                <w:noProof/>
                <w:sz w:val="16"/>
                <w:szCs w:val="16"/>
                <w:lang w:val="fr-BE"/>
              </w:rPr>
              <w:t>Sirski begunci v regiji</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DC2731" w:rsidP="00A35F00">
            <w:pPr>
              <w:spacing w:before="0" w:after="0"/>
              <w:jc w:val="right"/>
              <w:rPr>
                <w:sz w:val="16"/>
                <w:szCs w:val="16"/>
                <w:lang w:val="fr-BE"/>
              </w:rPr>
            </w:pPr>
            <w:r w:rsidRPr="00597A79">
              <w:rPr>
                <w:noProof/>
                <w:sz w:val="16"/>
                <w:szCs w:val="16"/>
                <w:lang w:val="fr-BE"/>
              </w:rPr>
              <w:t>21</w:t>
            </w:r>
          </w:p>
        </w:tc>
        <w:tc>
          <w:tcPr>
            <w:tcW w:w="0" w:type="auto"/>
          </w:tcPr>
          <w:p w:rsidR="00B02E47" w:rsidRPr="00597A79" w:rsidRDefault="00DC2731" w:rsidP="00A35F00">
            <w:pPr>
              <w:spacing w:before="0" w:after="0"/>
              <w:jc w:val="right"/>
              <w:rPr>
                <w:sz w:val="16"/>
                <w:szCs w:val="16"/>
                <w:lang w:val="fr-BE"/>
              </w:rPr>
            </w:pPr>
            <w:r w:rsidRPr="00597A79">
              <w:rPr>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r w:rsidR="006E3F8B" w:rsidTr="006D1BFF">
        <w:tc>
          <w:tcPr>
            <w:tcW w:w="0" w:type="auto"/>
            <w:shd w:val="clear" w:color="auto" w:fill="auto"/>
          </w:tcPr>
          <w:p w:rsidR="00B02E47" w:rsidRPr="00597A79" w:rsidRDefault="00DC2731" w:rsidP="00003291">
            <w:pPr>
              <w:spacing w:before="0" w:after="0"/>
              <w:rPr>
                <w:sz w:val="16"/>
                <w:szCs w:val="16"/>
                <w:lang w:val="fr-BE"/>
              </w:rPr>
            </w:pPr>
            <w:r w:rsidRPr="00597A79">
              <w:rPr>
                <w:b/>
                <w:noProof/>
                <w:sz w:val="16"/>
                <w:szCs w:val="16"/>
                <w:lang w:val="fr-BE"/>
              </w:rPr>
              <w:t>Prednostne naloge Unije skupaj</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DC2731"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DC2731" w:rsidP="00A35F00">
            <w:pPr>
              <w:spacing w:before="0" w:after="0"/>
              <w:jc w:val="right"/>
              <w:rPr>
                <w:sz w:val="16"/>
                <w:szCs w:val="16"/>
                <w:lang w:val="fr-BE"/>
              </w:rPr>
            </w:pPr>
            <w:r w:rsidRPr="00597A79">
              <w:rPr>
                <w:b/>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r w:rsidR="006E3F8B" w:rsidTr="006D1BFF">
        <w:tc>
          <w:tcPr>
            <w:tcW w:w="0" w:type="auto"/>
            <w:shd w:val="clear" w:color="auto" w:fill="auto"/>
          </w:tcPr>
          <w:p w:rsidR="00B02E47" w:rsidRPr="00597A79" w:rsidRDefault="00DC2731" w:rsidP="00003291">
            <w:pPr>
              <w:spacing w:before="0" w:after="0"/>
              <w:rPr>
                <w:sz w:val="16"/>
                <w:szCs w:val="16"/>
                <w:lang w:val="fr-BE"/>
              </w:rPr>
            </w:pPr>
            <w:r w:rsidRPr="00597A79">
              <w:rPr>
                <w:b/>
                <w:noProof/>
                <w:sz w:val="16"/>
                <w:szCs w:val="16"/>
                <w:lang w:val="fr-BE"/>
              </w:rPr>
              <w:t>Skupni</w:t>
            </w:r>
            <w:r w:rsidRPr="00597A79">
              <w:rPr>
                <w:b/>
                <w:noProof/>
                <w:sz w:val="16"/>
                <w:szCs w:val="16"/>
                <w:lang w:val="fr-BE"/>
              </w:rPr>
              <w:t xml:space="preserve"> seštevek</w:t>
            </w:r>
          </w:p>
        </w:tc>
        <w:tc>
          <w:tcPr>
            <w:tcW w:w="0" w:type="auto"/>
            <w:shd w:val="clear" w:color="auto" w:fill="auto"/>
          </w:tcPr>
          <w:p w:rsidR="00B02E47" w:rsidRPr="00597A79" w:rsidRDefault="00B02E47" w:rsidP="00003291">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shd w:val="clear" w:color="auto" w:fill="auto"/>
          </w:tcPr>
          <w:p w:rsidR="00B02E47" w:rsidRPr="00597A79" w:rsidRDefault="00B02E47" w:rsidP="00D06E4F">
            <w:pPr>
              <w:spacing w:before="0" w:after="0"/>
              <w:jc w:val="right"/>
              <w:rPr>
                <w:sz w:val="16"/>
                <w:szCs w:val="16"/>
                <w:lang w:val="fr-BE"/>
              </w:rPr>
            </w:pPr>
          </w:p>
        </w:tc>
        <w:tc>
          <w:tcPr>
            <w:tcW w:w="0" w:type="auto"/>
          </w:tcPr>
          <w:p w:rsidR="00B02E47" w:rsidRPr="00597A79" w:rsidRDefault="00B02E47" w:rsidP="00A35F00">
            <w:pPr>
              <w:spacing w:before="0" w:after="0"/>
              <w:jc w:val="right"/>
              <w:rPr>
                <w:sz w:val="16"/>
                <w:szCs w:val="16"/>
                <w:lang w:val="fr-BE"/>
              </w:rPr>
            </w:pPr>
          </w:p>
        </w:tc>
        <w:tc>
          <w:tcPr>
            <w:tcW w:w="0" w:type="auto"/>
          </w:tcPr>
          <w:p w:rsidR="00B02E47" w:rsidRPr="00597A79" w:rsidRDefault="00DC2731" w:rsidP="00A35F00">
            <w:pPr>
              <w:spacing w:before="0" w:after="0"/>
              <w:jc w:val="right"/>
              <w:rPr>
                <w:sz w:val="16"/>
                <w:szCs w:val="16"/>
                <w:lang w:val="fr-BE"/>
              </w:rPr>
            </w:pPr>
            <w:r w:rsidRPr="00597A79">
              <w:rPr>
                <w:b/>
                <w:noProof/>
                <w:sz w:val="16"/>
                <w:szCs w:val="16"/>
                <w:lang w:val="fr-BE"/>
              </w:rPr>
              <w:t>21</w:t>
            </w:r>
          </w:p>
        </w:tc>
        <w:tc>
          <w:tcPr>
            <w:tcW w:w="0" w:type="auto"/>
          </w:tcPr>
          <w:p w:rsidR="00B02E47" w:rsidRPr="00597A79" w:rsidRDefault="00DC2731" w:rsidP="00A35F00">
            <w:pPr>
              <w:spacing w:before="0" w:after="0"/>
              <w:jc w:val="right"/>
              <w:rPr>
                <w:sz w:val="16"/>
                <w:szCs w:val="16"/>
                <w:lang w:val="fr-BE"/>
              </w:rPr>
            </w:pPr>
            <w:r w:rsidRPr="00597A79">
              <w:rPr>
                <w:b/>
                <w:noProof/>
                <w:sz w:val="16"/>
                <w:szCs w:val="16"/>
                <w:lang w:val="fr-BE"/>
              </w:rPr>
              <w:t>13</w:t>
            </w:r>
          </w:p>
        </w:tc>
        <w:tc>
          <w:tcPr>
            <w:tcW w:w="0" w:type="auto"/>
          </w:tcPr>
          <w:p w:rsidR="00B02E47" w:rsidRPr="00597A79" w:rsidRDefault="00B02E47" w:rsidP="00A35F00">
            <w:pPr>
              <w:spacing w:before="0" w:after="0"/>
              <w:jc w:val="right"/>
              <w:rPr>
                <w:sz w:val="16"/>
                <w:szCs w:val="16"/>
                <w:lang w:val="fr-BE"/>
              </w:rPr>
            </w:pPr>
          </w:p>
        </w:tc>
      </w:tr>
    </w:tbl>
    <w:p w:rsidR="00115C60" w:rsidRDefault="00115C60" w:rsidP="00115C60">
      <w:pPr>
        <w:spacing w:before="0" w:after="0"/>
        <w:rPr>
          <w:lang w:val="fr-BE"/>
        </w:rPr>
      </w:pPr>
    </w:p>
    <w:p w:rsidR="00115C60" w:rsidRDefault="00DC2731" w:rsidP="00225E97">
      <w:pPr>
        <w:spacing w:before="0" w:after="0"/>
        <w:ind w:right="418"/>
        <w:rPr>
          <w:lang w:val="fr-BE"/>
        </w:rPr>
      </w:pPr>
      <w:r>
        <w:rPr>
          <w:noProof/>
          <w:lang w:val="fr-BE"/>
        </w:rPr>
        <w:t>4.2 Predaja in premestitev</w:t>
      </w:r>
    </w:p>
    <w:p w:rsidR="00115C60" w:rsidRDefault="00115C60" w:rsidP="000C0709">
      <w:pPr>
        <w:spacing w:before="0" w:after="0"/>
        <w:ind w:right="395"/>
        <w:rPr>
          <w:lang w:val="fr-BE"/>
        </w:rPr>
      </w:pPr>
    </w:p>
    <w:p w:rsidR="00115C60" w:rsidRDefault="00DC2731" w:rsidP="00225E97">
      <w:pPr>
        <w:tabs>
          <w:tab w:val="right" w:pos="15309"/>
        </w:tabs>
        <w:spacing w:before="0" w:after="0"/>
        <w:rPr>
          <w:lang w:val="fr-BE"/>
        </w:rPr>
      </w:pPr>
      <w:r>
        <w:rPr>
          <w:noProof/>
          <w:lang w:val="fr-BE"/>
        </w:rPr>
        <w:t>Število predanih in premeščenih prosilcev na obdobje zaveze, kot je navedeno v obračunih</w:t>
      </w:r>
      <w:r w:rsidR="00225E97">
        <w:rPr>
          <w:lang w:val="fr-BE"/>
        </w:rPr>
        <w:tab/>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569"/>
        <w:gridCol w:w="2129"/>
        <w:gridCol w:w="2373"/>
        <w:gridCol w:w="2373"/>
        <w:gridCol w:w="2373"/>
      </w:tblGrid>
      <w:tr w:rsidR="006E3F8B" w:rsidTr="00003291">
        <w:tc>
          <w:tcPr>
            <w:tcW w:w="0" w:type="auto"/>
            <w:shd w:val="clear" w:color="auto" w:fill="auto"/>
          </w:tcPr>
          <w:p w:rsidR="00115C60" w:rsidRPr="00F65BC9" w:rsidRDefault="00DC2731" w:rsidP="00003291">
            <w:pPr>
              <w:spacing w:before="0" w:after="0"/>
              <w:rPr>
                <w:b/>
                <w:sz w:val="20"/>
                <w:szCs w:val="20"/>
                <w:lang w:val="fr-BE"/>
              </w:rPr>
            </w:pPr>
            <w:r w:rsidRPr="00F65BC9">
              <w:rPr>
                <w:b/>
                <w:noProof/>
                <w:sz w:val="20"/>
                <w:szCs w:val="20"/>
                <w:lang w:val="fr-BE"/>
              </w:rPr>
              <w:t>Vrsta</w:t>
            </w:r>
          </w:p>
        </w:tc>
        <w:tc>
          <w:tcPr>
            <w:tcW w:w="0" w:type="auto"/>
            <w:shd w:val="clear" w:color="auto" w:fill="auto"/>
          </w:tcPr>
          <w:p w:rsidR="00115C60" w:rsidRPr="00F65BC9" w:rsidRDefault="00DC2731" w:rsidP="00003291">
            <w:pPr>
              <w:spacing w:before="0" w:after="0"/>
              <w:rPr>
                <w:b/>
                <w:sz w:val="20"/>
                <w:szCs w:val="20"/>
                <w:lang w:val="fr-BE"/>
              </w:rPr>
            </w:pPr>
            <w:r w:rsidRPr="00F65BC9">
              <w:rPr>
                <w:b/>
                <w:noProof/>
                <w:sz w:val="20"/>
                <w:szCs w:val="20"/>
                <w:lang w:val="fr-BE"/>
              </w:rPr>
              <w:t>Iz</w:t>
            </w:r>
          </w:p>
        </w:tc>
        <w:tc>
          <w:tcPr>
            <w:tcW w:w="0" w:type="auto"/>
            <w:shd w:val="clear" w:color="auto" w:fill="auto"/>
          </w:tcPr>
          <w:p w:rsidR="00115C60" w:rsidRPr="00F65BC9" w:rsidRDefault="00DC2731" w:rsidP="00003291">
            <w:pPr>
              <w:spacing w:before="0" w:after="0"/>
              <w:rPr>
                <w:b/>
                <w:sz w:val="20"/>
                <w:szCs w:val="20"/>
                <w:lang w:val="fr-BE"/>
              </w:rPr>
            </w:pPr>
            <w:r w:rsidRPr="00F65BC9">
              <w:rPr>
                <w:b/>
                <w:noProof/>
                <w:sz w:val="20"/>
                <w:szCs w:val="20"/>
                <w:lang w:val="fr-BE"/>
              </w:rPr>
              <w:t>V</w:t>
            </w:r>
          </w:p>
        </w:tc>
        <w:tc>
          <w:tcPr>
            <w:tcW w:w="0" w:type="auto"/>
            <w:shd w:val="clear" w:color="auto" w:fill="auto"/>
          </w:tcPr>
          <w:p w:rsidR="00115C60" w:rsidRPr="00F65BC9" w:rsidRDefault="00DC2731"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DC2731"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DC2731" w:rsidP="0056117D">
            <w:pPr>
              <w:spacing w:before="0" w:after="0"/>
              <w:jc w:val="center"/>
              <w:rPr>
                <w:b/>
                <w:sz w:val="20"/>
                <w:szCs w:val="20"/>
                <w:lang w:val="fr-BE"/>
              </w:rPr>
            </w:pPr>
            <w:r w:rsidRPr="00F65BC9">
              <w:rPr>
                <w:b/>
                <w:sz w:val="20"/>
                <w:szCs w:val="20"/>
                <w:lang w:val="fr-BE"/>
              </w:rPr>
              <w:t>2018-2019</w:t>
            </w:r>
          </w:p>
        </w:tc>
      </w:tr>
      <w:tr w:rsidR="006E3F8B" w:rsidTr="00003291">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Premestitev (2015/1523)</w:t>
            </w:r>
          </w:p>
        </w:tc>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C2731" w:rsidP="00003291">
            <w:pPr>
              <w:spacing w:before="0" w:after="0"/>
              <w:jc w:val="right"/>
              <w:rPr>
                <w:sz w:val="20"/>
                <w:szCs w:val="20"/>
                <w:lang w:val="fr-BE"/>
              </w:rPr>
            </w:pPr>
            <w:r w:rsidRPr="002B6309">
              <w:rPr>
                <w:noProof/>
                <w:sz w:val="20"/>
                <w:szCs w:val="20"/>
                <w:lang w:val="fr-BE"/>
              </w:rPr>
              <w:t>36</w:t>
            </w:r>
          </w:p>
        </w:tc>
      </w:tr>
      <w:tr w:rsidR="006E3F8B" w:rsidTr="00003291">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Italija</w:t>
            </w:r>
          </w:p>
        </w:tc>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C2731" w:rsidP="00003291">
            <w:pPr>
              <w:spacing w:before="0" w:after="0"/>
              <w:jc w:val="right"/>
              <w:rPr>
                <w:sz w:val="20"/>
                <w:szCs w:val="20"/>
                <w:lang w:val="fr-BE"/>
              </w:rPr>
            </w:pPr>
            <w:r w:rsidRPr="002B6309">
              <w:rPr>
                <w:noProof/>
                <w:sz w:val="20"/>
                <w:szCs w:val="20"/>
                <w:lang w:val="fr-BE"/>
              </w:rPr>
              <w:t>54</w:t>
            </w:r>
          </w:p>
        </w:tc>
        <w:tc>
          <w:tcPr>
            <w:tcW w:w="0" w:type="auto"/>
            <w:shd w:val="clear" w:color="auto" w:fill="auto"/>
          </w:tcPr>
          <w:p w:rsidR="00115C60" w:rsidRPr="002B6309" w:rsidRDefault="00115C60" w:rsidP="00003291">
            <w:pPr>
              <w:spacing w:before="0" w:after="0"/>
              <w:jc w:val="right"/>
              <w:rPr>
                <w:sz w:val="20"/>
                <w:szCs w:val="20"/>
                <w:lang w:val="fr-BE"/>
              </w:rPr>
            </w:pPr>
          </w:p>
        </w:tc>
      </w:tr>
      <w:tr w:rsidR="006E3F8B" w:rsidTr="00003291">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Premestitev (2015/1601)</w:t>
            </w:r>
          </w:p>
        </w:tc>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Grčija</w:t>
            </w:r>
          </w:p>
        </w:tc>
        <w:tc>
          <w:tcPr>
            <w:tcW w:w="0" w:type="auto"/>
            <w:shd w:val="clear" w:color="auto" w:fill="auto"/>
          </w:tcPr>
          <w:p w:rsidR="00115C60" w:rsidRPr="002B6309" w:rsidRDefault="00DC2731" w:rsidP="00003291">
            <w:pPr>
              <w:spacing w:before="0" w:after="0"/>
              <w:rPr>
                <w:sz w:val="20"/>
                <w:szCs w:val="20"/>
                <w:lang w:val="fr-BE"/>
              </w:rPr>
            </w:pPr>
            <w:r w:rsidRPr="002B6309">
              <w:rPr>
                <w:noProof/>
                <w:sz w:val="20"/>
                <w:szCs w:val="20"/>
                <w:lang w:val="fr-BE"/>
              </w:rPr>
              <w:t>Slovenija</w:t>
            </w:r>
          </w:p>
        </w:tc>
        <w:tc>
          <w:tcPr>
            <w:tcW w:w="0" w:type="auto"/>
            <w:shd w:val="clear" w:color="auto" w:fill="auto"/>
          </w:tcPr>
          <w:p w:rsidR="00115C60" w:rsidRPr="002B6309" w:rsidRDefault="00115C60" w:rsidP="00003291">
            <w:pPr>
              <w:spacing w:before="0" w:after="0"/>
              <w:jc w:val="right"/>
              <w:rPr>
                <w:sz w:val="20"/>
                <w:szCs w:val="20"/>
                <w:lang w:val="fr-BE"/>
              </w:rPr>
            </w:pPr>
          </w:p>
        </w:tc>
        <w:tc>
          <w:tcPr>
            <w:tcW w:w="0" w:type="auto"/>
            <w:shd w:val="clear" w:color="auto" w:fill="auto"/>
          </w:tcPr>
          <w:p w:rsidR="00115C60" w:rsidRPr="002B6309" w:rsidRDefault="00DC2731" w:rsidP="00003291">
            <w:pPr>
              <w:spacing w:before="0" w:after="0"/>
              <w:jc w:val="right"/>
              <w:rPr>
                <w:sz w:val="20"/>
                <w:szCs w:val="20"/>
                <w:lang w:val="fr-BE"/>
              </w:rPr>
            </w:pPr>
            <w:r w:rsidRPr="002B6309">
              <w:rPr>
                <w:noProof/>
                <w:sz w:val="20"/>
                <w:szCs w:val="20"/>
                <w:lang w:val="fr-BE"/>
              </w:rPr>
              <w:t>163</w:t>
            </w:r>
          </w:p>
        </w:tc>
        <w:tc>
          <w:tcPr>
            <w:tcW w:w="0" w:type="auto"/>
            <w:shd w:val="clear" w:color="auto" w:fill="auto"/>
          </w:tcPr>
          <w:p w:rsidR="00115C60" w:rsidRPr="002B6309" w:rsidRDefault="00115C60" w:rsidP="00003291">
            <w:pPr>
              <w:spacing w:before="0" w:after="0"/>
              <w:jc w:val="right"/>
              <w:rPr>
                <w:sz w:val="20"/>
                <w:szCs w:val="20"/>
                <w:lang w:val="fr-BE"/>
              </w:rPr>
            </w:pPr>
          </w:p>
        </w:tc>
      </w:tr>
    </w:tbl>
    <w:p w:rsidR="00115C60" w:rsidRDefault="00115C60" w:rsidP="00115C60">
      <w:pPr>
        <w:spacing w:before="0" w:after="0"/>
        <w:rPr>
          <w:lang w:val="fr-BE"/>
        </w:rPr>
      </w:pPr>
    </w:p>
    <w:p w:rsidR="00115C60" w:rsidRDefault="00DC2731" w:rsidP="00115C60">
      <w:pPr>
        <w:spacing w:before="0" w:after="0"/>
        <w:rPr>
          <w:lang w:val="fr-BE"/>
        </w:rPr>
      </w:pPr>
      <w:r>
        <w:rPr>
          <w:noProof/>
          <w:lang w:val="fr-BE"/>
        </w:rPr>
        <w:t>4.3 Sprejem iz Turčije (2016/1754)</w:t>
      </w:r>
    </w:p>
    <w:p w:rsidR="00115C60" w:rsidRDefault="00115C60" w:rsidP="00115C60">
      <w:pPr>
        <w:spacing w:before="0" w:after="0"/>
        <w:rPr>
          <w:lang w:val="fr-BE"/>
        </w:rPr>
      </w:pPr>
    </w:p>
    <w:p w:rsidR="00115C60" w:rsidRDefault="00DC2731" w:rsidP="00115C60">
      <w:pPr>
        <w:spacing w:before="0" w:after="0"/>
        <w:rPr>
          <w:lang w:val="fr-BE"/>
        </w:rPr>
      </w:pPr>
      <w:r>
        <w:rPr>
          <w:noProof/>
          <w:lang w:val="fr-BE"/>
        </w:rPr>
        <w:t>Število sprejetih prosilcev iz Turčije na obdobje zaveze, kot je navedeno v obračunih</w:t>
      </w:r>
    </w:p>
    <w:p w:rsidR="004F6677" w:rsidRDefault="004F6677"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gridCol w:w="5212"/>
      </w:tblGrid>
      <w:tr w:rsidR="006E3F8B" w:rsidTr="00003291">
        <w:tc>
          <w:tcPr>
            <w:tcW w:w="0" w:type="auto"/>
            <w:shd w:val="clear" w:color="auto" w:fill="auto"/>
          </w:tcPr>
          <w:p w:rsidR="00115C60" w:rsidRPr="00F65BC9" w:rsidRDefault="00DC2731" w:rsidP="0056117D">
            <w:pPr>
              <w:spacing w:before="0" w:after="0"/>
              <w:jc w:val="center"/>
              <w:rPr>
                <w:b/>
                <w:sz w:val="20"/>
                <w:szCs w:val="20"/>
                <w:lang w:val="fr-BE"/>
              </w:rPr>
            </w:pPr>
            <w:r w:rsidRPr="00F65BC9">
              <w:rPr>
                <w:b/>
                <w:sz w:val="20"/>
                <w:szCs w:val="20"/>
                <w:lang w:val="fr-BE"/>
              </w:rPr>
              <w:t>2014-2015</w:t>
            </w:r>
          </w:p>
        </w:tc>
        <w:tc>
          <w:tcPr>
            <w:tcW w:w="0" w:type="auto"/>
            <w:shd w:val="clear" w:color="auto" w:fill="auto"/>
          </w:tcPr>
          <w:p w:rsidR="00115C60" w:rsidRPr="00F65BC9" w:rsidRDefault="00DC2731" w:rsidP="0056117D">
            <w:pPr>
              <w:spacing w:before="0" w:after="0"/>
              <w:jc w:val="center"/>
              <w:rPr>
                <w:b/>
                <w:sz w:val="20"/>
                <w:szCs w:val="20"/>
                <w:lang w:val="fr-BE"/>
              </w:rPr>
            </w:pPr>
            <w:r w:rsidRPr="00F65BC9">
              <w:rPr>
                <w:b/>
                <w:sz w:val="20"/>
                <w:szCs w:val="20"/>
                <w:lang w:val="fr-BE"/>
              </w:rPr>
              <w:t>2016-2017</w:t>
            </w:r>
          </w:p>
        </w:tc>
        <w:tc>
          <w:tcPr>
            <w:tcW w:w="0" w:type="auto"/>
            <w:shd w:val="clear" w:color="auto" w:fill="auto"/>
          </w:tcPr>
          <w:p w:rsidR="00115C60" w:rsidRPr="00F65BC9" w:rsidRDefault="00DC2731" w:rsidP="0056117D">
            <w:pPr>
              <w:spacing w:before="0" w:after="0"/>
              <w:jc w:val="center"/>
              <w:rPr>
                <w:b/>
                <w:sz w:val="20"/>
                <w:szCs w:val="20"/>
                <w:lang w:val="fr-BE"/>
              </w:rPr>
            </w:pPr>
            <w:r w:rsidRPr="00F65BC9">
              <w:rPr>
                <w:b/>
                <w:sz w:val="20"/>
                <w:szCs w:val="20"/>
                <w:lang w:val="fr-BE"/>
              </w:rPr>
              <w:t>2018-2019</w:t>
            </w:r>
          </w:p>
        </w:tc>
      </w:tr>
    </w:tbl>
    <w:p w:rsidR="00115C60" w:rsidRDefault="00115C60" w:rsidP="00115C60">
      <w:pPr>
        <w:spacing w:before="0" w:after="0"/>
        <w:rPr>
          <w:lang w:val="fr-BE"/>
        </w:rPr>
      </w:pPr>
    </w:p>
    <w:p w:rsidR="0056117D" w:rsidRDefault="0056117D" w:rsidP="00115C60">
      <w:pPr>
        <w:pStyle w:val="Naslov1"/>
        <w:numPr>
          <w:ilvl w:val="0"/>
          <w:numId w:val="0"/>
        </w:numPr>
        <w:spacing w:before="0" w:after="0"/>
        <w:rPr>
          <w:lang w:val="fr-BE"/>
        </w:rPr>
        <w:sectPr w:rsidR="0056117D" w:rsidSect="00AB614B">
          <w:headerReference w:type="default" r:id="rId10"/>
          <w:footerReference w:type="default" r:id="rId11"/>
          <w:pgSz w:w="16838" w:h="11906" w:orient="landscape"/>
          <w:pgMar w:top="0" w:right="567" w:bottom="0" w:left="851" w:header="0" w:footer="284" w:gutter="0"/>
          <w:cols w:space="708"/>
          <w:docGrid w:linePitch="360"/>
        </w:sectPr>
      </w:pPr>
    </w:p>
    <w:p w:rsidR="00115C60" w:rsidRDefault="00DC2731" w:rsidP="00115C60">
      <w:pPr>
        <w:pStyle w:val="Naslov1"/>
        <w:numPr>
          <w:ilvl w:val="0"/>
          <w:numId w:val="0"/>
        </w:numPr>
        <w:spacing w:before="0" w:after="0"/>
        <w:rPr>
          <w:lang w:val="fr-BE"/>
        </w:rPr>
      </w:pPr>
      <w:bookmarkStart w:id="4" w:name="_Toc256000005"/>
      <w:r>
        <w:rPr>
          <w:noProof/>
          <w:lang w:val="fr-BE"/>
        </w:rPr>
        <w:lastRenderedPageBreak/>
        <w:t>ODDELEK 5: SKUPNI KAZALNIKI IN KAZALNIKI ZA POSAMEZNE PROGRAME</w:t>
      </w:r>
      <w:bookmarkEnd w:id="4"/>
    </w:p>
    <w:p w:rsidR="00115C60" w:rsidRDefault="00115C60" w:rsidP="00115C60">
      <w:pPr>
        <w:spacing w:before="0" w:after="0"/>
        <w:rPr>
          <w:lang w:val="fr-BE"/>
        </w:rPr>
      </w:pPr>
    </w:p>
    <w:p w:rsidR="00115C60" w:rsidRDefault="00DC2731" w:rsidP="00115C60">
      <w:pPr>
        <w:spacing w:before="0" w:after="0"/>
        <w:rPr>
          <w:lang w:val="fr-BE"/>
        </w:rPr>
      </w:pPr>
      <w:r>
        <w:rPr>
          <w:noProof/>
          <w:lang w:val="fr-BE"/>
        </w:rPr>
        <w:t>Razložite morebitne dejavnike, ki bi lahko znatno vplivali na doseganje katerih koli ciljev, zlasti pa prepočasen napredek.</w:t>
      </w:r>
    </w:p>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E3F8B" w:rsidTr="00003291">
        <w:tc>
          <w:tcPr>
            <w:tcW w:w="0" w:type="auto"/>
            <w:shd w:val="clear" w:color="auto" w:fill="auto"/>
          </w:tcPr>
          <w:p w:rsidR="006E3F8B" w:rsidRDefault="00DC2731">
            <w:pPr>
              <w:spacing w:before="0" w:after="240"/>
              <w:jc w:val="left"/>
            </w:pPr>
            <w:r>
              <w:t xml:space="preserve">Alokacija sredstev za leto 2019 je </w:t>
            </w:r>
            <w:r>
              <w:t>bila končnim upravičencem načrtovana v skladu s potrjenim Akcijskim načrtom preko neposredne dodelitve in javnih razpisov. V spletnem sistemu MIGRA II končni upravičenci poročajo o natančno doseženih kazalnikih.</w:t>
            </w:r>
          </w:p>
          <w:p w:rsidR="006E3F8B" w:rsidRDefault="00DC2731">
            <w:pPr>
              <w:spacing w:before="240" w:after="240"/>
              <w:jc w:val="left"/>
            </w:pPr>
            <w:r>
              <w:t>V letu 2019 ni bilo večjih nepredvidljivih d</w:t>
            </w:r>
            <w:r>
              <w:t>ogodkov, ki bi imeli ne/posreden vpliv na doseganje načrtovanih rezultatov in na doseganje katerih koli ciljev.</w:t>
            </w:r>
          </w:p>
          <w:p w:rsidR="00754FB5" w:rsidRPr="00003291" w:rsidRDefault="00754FB5" w:rsidP="00003291">
            <w:pPr>
              <w:spacing w:before="0" w:after="0"/>
              <w:rPr>
                <w:lang w:val="fr-BE"/>
              </w:rPr>
            </w:pPr>
          </w:p>
        </w:tc>
      </w:tr>
    </w:tbl>
    <w:p w:rsidR="00115C60" w:rsidRDefault="00115C60" w:rsidP="00115C60">
      <w:pPr>
        <w:spacing w:before="0" w:after="0"/>
        <w:rPr>
          <w:lang w:val="fr-BE"/>
        </w:rPr>
      </w:pPr>
    </w:p>
    <w:p w:rsidR="00115C60" w:rsidRDefault="00115C60" w:rsidP="00115C60">
      <w:pPr>
        <w:spacing w:before="0" w:after="0"/>
        <w:rPr>
          <w:lang w:val="fr-BE"/>
        </w:rPr>
        <w:sectPr w:rsidR="00115C60" w:rsidSect="0099233A">
          <w:headerReference w:type="default" r:id="rId12"/>
          <w:footerReference w:type="default" r:id="rId13"/>
          <w:pgSz w:w="11906" w:h="16838"/>
          <w:pgMar w:top="284" w:right="851" w:bottom="284" w:left="284" w:header="567" w:footer="0" w:gutter="0"/>
          <w:cols w:space="708"/>
          <w:docGrid w:linePitch="360"/>
        </w:sectPr>
      </w:pPr>
    </w:p>
    <w:p w:rsidR="00FC3B62" w:rsidRDefault="00115C60" w:rsidP="00115C60">
      <w:pPr>
        <w:spacing w:before="0" w:after="0"/>
        <w:rPr>
          <w:lang w:val="fr-BE"/>
        </w:rPr>
      </w:pPr>
      <w:r>
        <w:rPr>
          <w:noProof/>
          <w:lang w:val="fr-BE"/>
        </w:rPr>
        <w:lastRenderedPageBreak/>
        <w:t>Preglednica kazalnikov</w:t>
      </w:r>
    </w:p>
    <w:p w:rsidR="00813BAD" w:rsidRDefault="00813BAD"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162"/>
        <w:gridCol w:w="628"/>
        <w:gridCol w:w="853"/>
        <w:gridCol w:w="697"/>
        <w:gridCol w:w="2383"/>
        <w:gridCol w:w="354"/>
        <w:gridCol w:w="354"/>
        <w:gridCol w:w="354"/>
        <w:gridCol w:w="464"/>
        <w:gridCol w:w="464"/>
        <w:gridCol w:w="464"/>
        <w:gridCol w:w="354"/>
        <w:gridCol w:w="354"/>
        <w:gridCol w:w="354"/>
        <w:gridCol w:w="354"/>
        <w:gridCol w:w="941"/>
      </w:tblGrid>
      <w:tr w:rsidR="006E3F8B" w:rsidTr="00003291">
        <w:trPr>
          <w:cantSplit/>
          <w:tblHeader/>
        </w:trPr>
        <w:tc>
          <w:tcPr>
            <w:tcW w:w="0" w:type="auto"/>
            <w:gridSpan w:val="2"/>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C2731" w:rsidP="00003291">
            <w:pPr>
              <w:spacing w:before="0" w:after="0"/>
              <w:rPr>
                <w:b/>
                <w:sz w:val="12"/>
                <w:szCs w:val="12"/>
                <w:lang w:val="fr-BE"/>
              </w:rPr>
            </w:pPr>
            <w:r w:rsidRPr="00F07BE5">
              <w:rPr>
                <w:b/>
                <w:noProof/>
                <w:sz w:val="12"/>
                <w:szCs w:val="12"/>
              </w:rPr>
              <w:t>1</w:t>
            </w:r>
            <w:r w:rsidRPr="00F07BE5">
              <w:rPr>
                <w:b/>
                <w:sz w:val="12"/>
                <w:szCs w:val="12"/>
              </w:rPr>
              <w:t xml:space="preserve"> - </w:t>
            </w:r>
            <w:r w:rsidRPr="00F07BE5">
              <w:rPr>
                <w:b/>
                <w:noProof/>
                <w:sz w:val="12"/>
                <w:szCs w:val="12"/>
              </w:rPr>
              <w:t>Azil</w:t>
            </w:r>
          </w:p>
        </w:tc>
      </w:tr>
      <w:tr w:rsidR="006E3F8B" w:rsidTr="00003291">
        <w:trPr>
          <w:cantSplit/>
          <w:tblHeader/>
        </w:trPr>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 xml:space="preserve">Ciljna </w:t>
            </w:r>
            <w:r w:rsidRPr="00F07BE5">
              <w:rPr>
                <w:b/>
                <w:noProof/>
                <w:sz w:val="12"/>
                <w:szCs w:val="12"/>
                <w:lang w:val="fr-BE"/>
              </w:rPr>
              <w:t>vrednost</w:t>
            </w:r>
          </w:p>
        </w:tc>
        <w:tc>
          <w:tcPr>
            <w:tcW w:w="0" w:type="auto"/>
          </w:tcPr>
          <w:p w:rsidR="00115C60" w:rsidRPr="00F07BE5" w:rsidRDefault="00DC273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Kumulativno skupaj</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prejele pomoč iz projektov na področju sistemov za sprejem in azilnih sistemov, podprtih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3.000,00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5.693,00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2.923,00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7.184,00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15.800,00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C1.a</w:t>
            </w:r>
            <w:r w:rsidRPr="00F07BE5">
              <w:rPr>
                <w:sz w:val="12"/>
                <w:szCs w:val="12"/>
                <w:lang w:val="fr-BE"/>
              </w:rPr>
              <w:t xml:space="preserve"> - </w:t>
            </w:r>
            <w:r w:rsidRPr="00F07BE5">
              <w:rPr>
                <w:noProof/>
                <w:sz w:val="12"/>
                <w:szCs w:val="12"/>
                <w:lang w:val="fr-BE"/>
              </w:rPr>
              <w:t>Število oseb iz ciljnih skupin, ki prejemajo informacije in pomoč med celotnim azilnim postopkom</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3.340,00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583,00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4.712,00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8.635,00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C1.b</w:t>
            </w:r>
            <w:r w:rsidRPr="00F07BE5">
              <w:rPr>
                <w:sz w:val="12"/>
                <w:szCs w:val="12"/>
                <w:lang w:val="fr-BE"/>
              </w:rPr>
              <w:t xml:space="preserve"> - </w:t>
            </w:r>
            <w:r w:rsidRPr="00F07BE5">
              <w:rPr>
                <w:noProof/>
                <w:sz w:val="12"/>
                <w:szCs w:val="12"/>
                <w:lang w:val="fr-BE"/>
              </w:rPr>
              <w:t>Število oseb iz ciljnih skupin, ki prejemajo pravno pomoč in zastopanje</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28,00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321,00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2.155,00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2.651,00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5.155,00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C1.c</w:t>
            </w:r>
            <w:r w:rsidRPr="00F07BE5">
              <w:rPr>
                <w:sz w:val="12"/>
                <w:szCs w:val="12"/>
                <w:lang w:val="fr-BE"/>
              </w:rPr>
              <w:t xml:space="preserve"> - </w:t>
            </w:r>
            <w:r w:rsidRPr="00F07BE5">
              <w:rPr>
                <w:noProof/>
                <w:sz w:val="12"/>
                <w:szCs w:val="12"/>
                <w:lang w:val="fr-BE"/>
              </w:rPr>
              <w:t>Število ranljivih oseb in mladoletnikov brez spremstva, ki</w:t>
            </w:r>
            <w:r w:rsidRPr="00F07BE5">
              <w:rPr>
                <w:noProof/>
                <w:sz w:val="12"/>
                <w:szCs w:val="12"/>
                <w:lang w:val="fr-BE"/>
              </w:rPr>
              <w:t xml:space="preserve"> prejemajo posebno pomoč</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576,00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359,00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1.222,00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2.157,00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C2.1</w:t>
            </w:r>
            <w:r w:rsidRPr="00F07BE5">
              <w:rPr>
                <w:sz w:val="12"/>
                <w:szCs w:val="12"/>
                <w:lang w:val="fr-BE"/>
              </w:rPr>
              <w:t xml:space="preserve"> - </w:t>
            </w:r>
            <w:r w:rsidRPr="00F07BE5">
              <w:rPr>
                <w:noProof/>
                <w:sz w:val="12"/>
                <w:szCs w:val="12"/>
                <w:lang w:val="fr-BE"/>
              </w:rPr>
              <w:t>Zmogljivost (tj. število mest) nove sprejemne nastanitvene infrastrukture, urejene v skladu z minimalnimi zahtevami za sprejemne pogoje, določenimi v</w:t>
            </w:r>
            <w:r w:rsidRPr="00F07BE5">
              <w:rPr>
                <w:noProof/>
                <w:sz w:val="12"/>
                <w:szCs w:val="12"/>
                <w:lang w:val="fr-BE"/>
              </w:rPr>
              <w:t xml:space="preserve"> pravnem redu EU, in obstoječe sprejemne infrastrukture, izboljšane v skladu z istimi zahtevami na podlagi projektov, podprtih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420,00</w:t>
            </w:r>
          </w:p>
        </w:tc>
        <w:tc>
          <w:tcPr>
            <w:tcW w:w="0" w:type="auto"/>
          </w:tcPr>
          <w:p w:rsidR="00115C60" w:rsidRPr="003F352C" w:rsidRDefault="00DC2731" w:rsidP="00003291">
            <w:pPr>
              <w:spacing w:before="0" w:after="0"/>
              <w:rPr>
                <w:sz w:val="10"/>
                <w:szCs w:val="10"/>
                <w:lang w:val="fr-BE"/>
              </w:rPr>
            </w:pPr>
            <w:r>
              <w:rPr>
                <w:noProof/>
                <w:sz w:val="10"/>
                <w:szCs w:val="10"/>
                <w:lang w:val="fr-BE"/>
              </w:rPr>
              <w:t xml:space="preserve">Poročanje o projektuProject reporting on improvement of existing capacity and accompanying </w:t>
            </w:r>
            <w:r>
              <w:rPr>
                <w:noProof/>
                <w:sz w:val="10"/>
                <w:szCs w:val="10"/>
                <w:lang w:val="fr-BE"/>
              </w:rPr>
              <w:t>facilities (1 Asylum 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406,00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406,00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C2.2</w:t>
            </w:r>
            <w:r w:rsidRPr="00F07BE5">
              <w:rPr>
                <w:sz w:val="12"/>
                <w:szCs w:val="12"/>
                <w:lang w:val="fr-BE"/>
              </w:rPr>
              <w:t xml:space="preserve"> - </w:t>
            </w:r>
            <w:r w:rsidRPr="00F07BE5">
              <w:rPr>
                <w:noProof/>
                <w:sz w:val="12"/>
                <w:szCs w:val="12"/>
                <w:lang w:val="fr-BE"/>
              </w:rPr>
              <w:t>Delež glede na celotno sprejemno nastanitveno zmogljivost</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DC2731" w:rsidP="00003291">
            <w:pPr>
              <w:spacing w:before="0" w:after="0"/>
              <w:rPr>
                <w:sz w:val="10"/>
                <w:szCs w:val="10"/>
                <w:lang w:val="fr-BE"/>
              </w:rPr>
            </w:pPr>
            <w:r>
              <w:rPr>
                <w:noProof/>
                <w:sz w:val="10"/>
                <w:szCs w:val="10"/>
                <w:lang w:val="fr-BE"/>
              </w:rPr>
              <w:t xml:space="preserve">Poročanje o projektuProject reporting on improvement of existing capacity and accompanying facilities (1 Asylum </w:t>
            </w:r>
            <w:r>
              <w:rPr>
                <w:noProof/>
                <w:sz w:val="10"/>
                <w:szCs w:val="10"/>
                <w:lang w:val="fr-BE"/>
              </w:rPr>
              <w:t>home)</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C3.1</w:t>
            </w:r>
            <w:r w:rsidRPr="00F07BE5">
              <w:rPr>
                <w:sz w:val="12"/>
                <w:szCs w:val="12"/>
                <w:lang w:val="fr-BE"/>
              </w:rPr>
              <w:t xml:space="preserve"> - </w:t>
            </w:r>
            <w:r w:rsidRPr="00F07BE5">
              <w:rPr>
                <w:noProof/>
                <w:sz w:val="12"/>
                <w:szCs w:val="12"/>
                <w:lang w:val="fr-BE"/>
              </w:rPr>
              <w:t>Število oseb, usposobljenih na področju vprašanj, povezanih z azilom, ki prejemajo pomoč iz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21,00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35,00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56,00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C3.2</w:t>
            </w:r>
            <w:r w:rsidRPr="00F07BE5">
              <w:rPr>
                <w:sz w:val="12"/>
                <w:szCs w:val="12"/>
                <w:lang w:val="fr-BE"/>
              </w:rPr>
              <w:t xml:space="preserve"> - </w:t>
            </w:r>
            <w:r w:rsidRPr="00F07BE5">
              <w:rPr>
                <w:noProof/>
                <w:sz w:val="12"/>
                <w:szCs w:val="12"/>
                <w:lang w:val="fr-BE"/>
              </w:rPr>
              <w:t xml:space="preserve">To število kot delež </w:t>
            </w:r>
            <w:r w:rsidRPr="00F07BE5">
              <w:rPr>
                <w:noProof/>
                <w:sz w:val="12"/>
                <w:szCs w:val="12"/>
                <w:lang w:val="fr-BE"/>
              </w:rPr>
              <w:t>celotnega števila osebja, usposobljenega na področju teh vprašanj</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25,00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informativnih produktov o državi izvora in misij za ugotavljanje dejstev, izvedenih s pomočjo iz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projektov, podprtih v okviru tega sklada, namenjenih razvoju, spremljanju in ocenjevanju azilnih politik v državah članicah</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DC2731"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Število oseb, preseljenih s podporo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60,00</w:t>
            </w:r>
          </w:p>
        </w:tc>
        <w:tc>
          <w:tcPr>
            <w:tcW w:w="0" w:type="auto"/>
          </w:tcPr>
          <w:p w:rsidR="00115C60" w:rsidRPr="003F352C" w:rsidRDefault="00DC2731" w:rsidP="00003291">
            <w:pPr>
              <w:spacing w:before="0" w:after="0"/>
              <w:rPr>
                <w:sz w:val="10"/>
                <w:szCs w:val="10"/>
                <w:lang w:val="fr-BE"/>
              </w:rPr>
            </w:pPr>
            <w:r>
              <w:rPr>
                <w:noProof/>
                <w:sz w:val="10"/>
                <w:szCs w:val="10"/>
                <w:lang w:val="fr-BE"/>
              </w:rPr>
              <w:t>Organ, odgovoren za premestitev osebAuthority in charge of transferring the persons</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7240"/>
        <w:gridCol w:w="667"/>
        <w:gridCol w:w="913"/>
        <w:gridCol w:w="741"/>
        <w:gridCol w:w="1189"/>
        <w:gridCol w:w="354"/>
        <w:gridCol w:w="354"/>
        <w:gridCol w:w="464"/>
        <w:gridCol w:w="354"/>
        <w:gridCol w:w="464"/>
        <w:gridCol w:w="389"/>
        <w:gridCol w:w="354"/>
        <w:gridCol w:w="354"/>
        <w:gridCol w:w="354"/>
        <w:gridCol w:w="354"/>
        <w:gridCol w:w="989"/>
      </w:tblGrid>
      <w:tr w:rsidR="006E3F8B" w:rsidTr="00003291">
        <w:trPr>
          <w:cantSplit/>
          <w:tblHeader/>
        </w:trPr>
        <w:tc>
          <w:tcPr>
            <w:tcW w:w="0" w:type="auto"/>
            <w:gridSpan w:val="2"/>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C2731" w:rsidP="00003291">
            <w:pPr>
              <w:spacing w:before="0" w:after="0"/>
              <w:rPr>
                <w:b/>
                <w:sz w:val="12"/>
                <w:szCs w:val="12"/>
                <w:lang w:val="fr-BE"/>
              </w:rPr>
            </w:pPr>
            <w:r w:rsidRPr="00F07BE5">
              <w:rPr>
                <w:b/>
                <w:noProof/>
                <w:sz w:val="12"/>
                <w:szCs w:val="12"/>
              </w:rPr>
              <w:t>2</w:t>
            </w:r>
            <w:r w:rsidRPr="00F07BE5">
              <w:rPr>
                <w:b/>
                <w:sz w:val="12"/>
                <w:szCs w:val="12"/>
              </w:rPr>
              <w:t xml:space="preserve"> - </w:t>
            </w:r>
            <w:r w:rsidRPr="00F07BE5">
              <w:rPr>
                <w:b/>
                <w:noProof/>
                <w:sz w:val="12"/>
                <w:szCs w:val="12"/>
              </w:rPr>
              <w:t>Vključevanje / zakonito priseljevanje</w:t>
            </w:r>
          </w:p>
        </w:tc>
      </w:tr>
      <w:tr w:rsidR="006E3F8B" w:rsidTr="00003291">
        <w:trPr>
          <w:cantSplit/>
          <w:tblHeader/>
        </w:trPr>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C273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Kumulativno skupaj</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iz ciljnih skupin, ki so sodelovale pri ukrepih pred odhodom, podprtih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oseb iz ciljnih skupin, ki so prejele pomoč iz tega sklada prek ukrepov za vključevanje v okviru nacionalnih, lokalnih in regionalnih strategij</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13.000,00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2.201,00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2.043,00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816,00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5.060,00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Število vzpostavljenih lokalnih, regionalnih in nacionalnih političnih okvirov / ukrepov / orodij za vključevanje državljanov tretjih držav, pri katerih sodelujejo</w:t>
            </w:r>
            <w:r w:rsidRPr="00F07BE5">
              <w:rPr>
                <w:noProof/>
                <w:sz w:val="12"/>
                <w:szCs w:val="12"/>
                <w:lang w:val="fr-BE"/>
              </w:rPr>
              <w:t xml:space="preserve"> civilna družba, skupnosti migrantov in drugi zadevni deležniki, kot posledica ukrepov, podprtih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14,00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18,00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27,00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 xml:space="preserve">Število projektov sodelovanja z drugimi </w:t>
            </w:r>
            <w:r w:rsidRPr="00F07BE5">
              <w:rPr>
                <w:noProof/>
                <w:sz w:val="12"/>
                <w:szCs w:val="12"/>
                <w:lang w:val="fr-BE"/>
              </w:rPr>
              <w:t>državami članicami glede vključevanja državljanov tretjih držav, podprtih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 xml:space="preserve">Število projektov, podprtih iz tega sklada, namenjenih razvoju, spremljanju in ocenjevanju </w:t>
            </w:r>
            <w:r w:rsidRPr="00F07BE5">
              <w:rPr>
                <w:noProof/>
                <w:sz w:val="12"/>
                <w:szCs w:val="12"/>
                <w:lang w:val="fr-BE"/>
              </w:rPr>
              <w:t>politik vključevanja v državah članicah</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6288"/>
        <w:gridCol w:w="809"/>
        <w:gridCol w:w="1132"/>
        <w:gridCol w:w="901"/>
        <w:gridCol w:w="1597"/>
        <w:gridCol w:w="354"/>
        <w:gridCol w:w="354"/>
        <w:gridCol w:w="389"/>
        <w:gridCol w:w="389"/>
        <w:gridCol w:w="389"/>
        <w:gridCol w:w="354"/>
        <w:gridCol w:w="354"/>
        <w:gridCol w:w="354"/>
        <w:gridCol w:w="354"/>
        <w:gridCol w:w="354"/>
        <w:gridCol w:w="1162"/>
      </w:tblGrid>
      <w:tr w:rsidR="006E3F8B" w:rsidTr="00003291">
        <w:trPr>
          <w:cantSplit/>
          <w:tblHeader/>
        </w:trPr>
        <w:tc>
          <w:tcPr>
            <w:tcW w:w="0" w:type="auto"/>
            <w:gridSpan w:val="2"/>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C2731" w:rsidP="00003291">
            <w:pPr>
              <w:spacing w:before="0" w:after="0"/>
              <w:rPr>
                <w:b/>
                <w:sz w:val="12"/>
                <w:szCs w:val="12"/>
                <w:lang w:val="fr-BE"/>
              </w:rPr>
            </w:pPr>
            <w:r w:rsidRPr="00F07BE5">
              <w:rPr>
                <w:b/>
                <w:noProof/>
                <w:sz w:val="12"/>
                <w:szCs w:val="12"/>
              </w:rPr>
              <w:t>3</w:t>
            </w:r>
            <w:r w:rsidRPr="00F07BE5">
              <w:rPr>
                <w:b/>
                <w:sz w:val="12"/>
                <w:szCs w:val="12"/>
              </w:rPr>
              <w:t xml:space="preserve"> - </w:t>
            </w:r>
            <w:r w:rsidRPr="00F07BE5">
              <w:rPr>
                <w:b/>
                <w:noProof/>
                <w:sz w:val="12"/>
                <w:szCs w:val="12"/>
              </w:rPr>
              <w:t>Vračanje</w:t>
            </w:r>
          </w:p>
        </w:tc>
      </w:tr>
      <w:tr w:rsidR="006E3F8B" w:rsidTr="00003291">
        <w:trPr>
          <w:cantSplit/>
          <w:tblHeader/>
        </w:trPr>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C273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Kumulativno skupaj</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oseb, usposobljenih za vprašanja v zvezi z vračanjem s podporo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150,00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49,00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53,00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 xml:space="preserve">Število povratnikov, ki so prejeli pomoč za ponovno </w:t>
            </w:r>
            <w:r w:rsidRPr="00F07BE5">
              <w:rPr>
                <w:noProof/>
                <w:sz w:val="12"/>
                <w:szCs w:val="12"/>
                <w:lang w:val="fr-BE"/>
              </w:rPr>
              <w:t>vključevanje pred ali po vrnitvi, sofinancirano iz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500,00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4,00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C3</w:t>
            </w:r>
            <w:r w:rsidRPr="00F07BE5">
              <w:rPr>
                <w:sz w:val="12"/>
                <w:szCs w:val="12"/>
                <w:lang w:val="fr-BE"/>
              </w:rPr>
              <w:t xml:space="preserve"> - </w:t>
            </w:r>
            <w:r w:rsidRPr="00F07BE5">
              <w:rPr>
                <w:noProof/>
                <w:sz w:val="12"/>
                <w:szCs w:val="12"/>
                <w:lang w:val="fr-BE"/>
              </w:rPr>
              <w:t xml:space="preserve">Število povratnikov, katerih vrnitev se je sofinancirala iz sklada – osebe, ki so se vrnile </w:t>
            </w:r>
            <w:r w:rsidRPr="00F07BE5">
              <w:rPr>
                <w:noProof/>
                <w:sz w:val="12"/>
                <w:szCs w:val="12"/>
                <w:lang w:val="fr-BE"/>
              </w:rPr>
              <w:t>prostovoljno</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62,00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87,00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C4</w:t>
            </w:r>
            <w:r w:rsidRPr="00F07BE5">
              <w:rPr>
                <w:sz w:val="12"/>
                <w:szCs w:val="12"/>
                <w:lang w:val="fr-BE"/>
              </w:rPr>
              <w:t xml:space="preserve"> - </w:t>
            </w:r>
            <w:r w:rsidRPr="00F07BE5">
              <w:rPr>
                <w:noProof/>
                <w:sz w:val="12"/>
                <w:szCs w:val="12"/>
                <w:lang w:val="fr-BE"/>
              </w:rPr>
              <w:t>Število povratnikov, katerih vrnitev se je sofinancirala iz sklada – osebe, ki so bile odstranjene</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100,00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w:t>
            </w:r>
            <w:r>
              <w:rPr>
                <w:noProof/>
                <w:sz w:val="10"/>
                <w:szCs w:val="10"/>
                <w:lang w:val="fr-BE"/>
              </w:rPr>
              <w:t xml:space="preserve">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290,00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172,00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771,00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1.233,00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C5</w:t>
            </w:r>
            <w:r w:rsidRPr="00F07BE5">
              <w:rPr>
                <w:sz w:val="12"/>
                <w:szCs w:val="12"/>
                <w:lang w:val="fr-BE"/>
              </w:rPr>
              <w:t xml:space="preserve"> - </w:t>
            </w:r>
            <w:r w:rsidRPr="00F07BE5">
              <w:rPr>
                <w:noProof/>
                <w:sz w:val="12"/>
                <w:szCs w:val="12"/>
                <w:lang w:val="fr-BE"/>
              </w:rPr>
              <w:t>Število nadzorovanih postopkov odstranitve, sofinanciranih iz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50,00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3,00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12,00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17,00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C6</w:t>
            </w:r>
            <w:r w:rsidRPr="00F07BE5">
              <w:rPr>
                <w:sz w:val="12"/>
                <w:szCs w:val="12"/>
                <w:lang w:val="fr-BE"/>
              </w:rPr>
              <w:t xml:space="preserve"> - </w:t>
            </w:r>
            <w:r w:rsidRPr="00F07BE5">
              <w:rPr>
                <w:noProof/>
                <w:sz w:val="12"/>
                <w:szCs w:val="12"/>
                <w:lang w:val="fr-BE"/>
              </w:rPr>
              <w:t xml:space="preserve">Število projektov, podprtih iz </w:t>
            </w:r>
            <w:r w:rsidRPr="00F07BE5">
              <w:rPr>
                <w:noProof/>
                <w:sz w:val="12"/>
                <w:szCs w:val="12"/>
                <w:lang w:val="fr-BE"/>
              </w:rPr>
              <w:t>tega sklada, namenjenih razvoju, spremljanju in ocenjevanju politik vračanja v državah članicah.</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C2731" w:rsidP="00003291">
            <w:pPr>
              <w:spacing w:before="0" w:after="0"/>
              <w:rPr>
                <w:sz w:val="10"/>
                <w:szCs w:val="10"/>
                <w:lang w:val="fr-BE"/>
              </w:rPr>
            </w:pPr>
            <w:r>
              <w:rPr>
                <w:noProof/>
                <w:sz w:val="10"/>
                <w:szCs w:val="10"/>
                <w:lang w:val="fr-BE"/>
              </w:rPr>
              <w:t>Poročanje o projektuProject 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r>
    </w:tbl>
    <w:p w:rsidR="00115C60" w:rsidRDefault="00115C60" w:rsidP="00115C6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20" w:firstRow="1" w:lastRow="0" w:firstColumn="0" w:lastColumn="0" w:noHBand="0" w:noVBand="1"/>
      </w:tblPr>
      <w:tblGrid>
        <w:gridCol w:w="5981"/>
        <w:gridCol w:w="740"/>
        <w:gridCol w:w="1025"/>
        <w:gridCol w:w="823"/>
        <w:gridCol w:w="2313"/>
        <w:gridCol w:w="354"/>
        <w:gridCol w:w="354"/>
        <w:gridCol w:w="354"/>
        <w:gridCol w:w="389"/>
        <w:gridCol w:w="354"/>
        <w:gridCol w:w="354"/>
        <w:gridCol w:w="354"/>
        <w:gridCol w:w="354"/>
        <w:gridCol w:w="354"/>
        <w:gridCol w:w="354"/>
        <w:gridCol w:w="1077"/>
      </w:tblGrid>
      <w:tr w:rsidR="006E3F8B" w:rsidTr="00003291">
        <w:trPr>
          <w:cantSplit/>
          <w:tblHeader/>
        </w:trPr>
        <w:tc>
          <w:tcPr>
            <w:tcW w:w="0" w:type="auto"/>
            <w:gridSpan w:val="2"/>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Posebni cilj</w:t>
            </w:r>
          </w:p>
        </w:tc>
        <w:tc>
          <w:tcPr>
            <w:tcW w:w="0" w:type="auto"/>
            <w:gridSpan w:val="14"/>
            <w:shd w:val="clear" w:color="auto" w:fill="auto"/>
          </w:tcPr>
          <w:p w:rsidR="00115C60" w:rsidRPr="00F07BE5" w:rsidRDefault="00DC2731" w:rsidP="00003291">
            <w:pPr>
              <w:spacing w:before="0" w:after="0"/>
              <w:rPr>
                <w:b/>
                <w:sz w:val="12"/>
                <w:szCs w:val="12"/>
                <w:lang w:val="fr-BE"/>
              </w:rPr>
            </w:pPr>
            <w:r w:rsidRPr="00F07BE5">
              <w:rPr>
                <w:b/>
                <w:noProof/>
                <w:sz w:val="12"/>
                <w:szCs w:val="12"/>
              </w:rPr>
              <w:t>4</w:t>
            </w:r>
            <w:r w:rsidRPr="00F07BE5">
              <w:rPr>
                <w:b/>
                <w:sz w:val="12"/>
                <w:szCs w:val="12"/>
              </w:rPr>
              <w:t xml:space="preserve"> - </w:t>
            </w:r>
            <w:r w:rsidRPr="00F07BE5">
              <w:rPr>
                <w:b/>
                <w:noProof/>
                <w:sz w:val="12"/>
                <w:szCs w:val="12"/>
              </w:rPr>
              <w:t>Solidarnost</w:t>
            </w:r>
          </w:p>
        </w:tc>
      </w:tr>
      <w:tr w:rsidR="006E3F8B" w:rsidTr="00003291">
        <w:trPr>
          <w:cantSplit/>
          <w:tblHeader/>
        </w:trPr>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Kazalnik</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Merska enota</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Izhodiščna vrednost</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Ciljna vrednost</w:t>
            </w:r>
          </w:p>
        </w:tc>
        <w:tc>
          <w:tcPr>
            <w:tcW w:w="0" w:type="auto"/>
          </w:tcPr>
          <w:p w:rsidR="00115C60" w:rsidRPr="00F07BE5" w:rsidRDefault="00DC2731" w:rsidP="00003291">
            <w:pPr>
              <w:spacing w:before="0" w:after="0"/>
              <w:rPr>
                <w:b/>
                <w:sz w:val="12"/>
                <w:szCs w:val="12"/>
                <w:lang w:val="fr-BE"/>
              </w:rPr>
            </w:pPr>
            <w:r>
              <w:rPr>
                <w:b/>
                <w:noProof/>
                <w:sz w:val="12"/>
                <w:szCs w:val="12"/>
                <w:lang w:val="fr-BE"/>
              </w:rPr>
              <w:t>Vir podatkov</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2014</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2015</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2016</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2017</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2018</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2019</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2020</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2021</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2022</w:t>
            </w:r>
          </w:p>
        </w:tc>
        <w:tc>
          <w:tcPr>
            <w:tcW w:w="0" w:type="auto"/>
            <w:shd w:val="clear" w:color="auto" w:fill="auto"/>
          </w:tcPr>
          <w:p w:rsidR="00115C60" w:rsidRPr="00F07BE5" w:rsidRDefault="00DC2731" w:rsidP="00003291">
            <w:pPr>
              <w:spacing w:before="0" w:after="0"/>
              <w:rPr>
                <w:b/>
                <w:sz w:val="12"/>
                <w:szCs w:val="12"/>
                <w:lang w:val="fr-BE"/>
              </w:rPr>
            </w:pPr>
            <w:r w:rsidRPr="00F07BE5">
              <w:rPr>
                <w:b/>
                <w:sz w:val="12"/>
                <w:szCs w:val="12"/>
                <w:lang w:val="fr-BE"/>
              </w:rPr>
              <w:t>2023</w:t>
            </w:r>
          </w:p>
        </w:tc>
        <w:tc>
          <w:tcPr>
            <w:tcW w:w="0" w:type="auto"/>
            <w:shd w:val="clear" w:color="auto" w:fill="auto"/>
          </w:tcPr>
          <w:p w:rsidR="00115C60" w:rsidRPr="00F07BE5" w:rsidRDefault="00DC2731" w:rsidP="00003291">
            <w:pPr>
              <w:spacing w:before="0" w:after="0"/>
              <w:rPr>
                <w:b/>
                <w:sz w:val="12"/>
                <w:szCs w:val="12"/>
                <w:lang w:val="fr-BE"/>
              </w:rPr>
            </w:pPr>
            <w:r w:rsidRPr="00F07BE5">
              <w:rPr>
                <w:b/>
                <w:noProof/>
                <w:sz w:val="12"/>
                <w:szCs w:val="12"/>
                <w:lang w:val="fr-BE"/>
              </w:rPr>
              <w:t>Kumulativno skupaj</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C1</w:t>
            </w:r>
            <w:r w:rsidRPr="00F07BE5">
              <w:rPr>
                <w:sz w:val="12"/>
                <w:szCs w:val="12"/>
                <w:lang w:val="fr-BE"/>
              </w:rPr>
              <w:t xml:space="preserve"> - </w:t>
            </w:r>
            <w:r w:rsidRPr="00F07BE5">
              <w:rPr>
                <w:noProof/>
                <w:sz w:val="12"/>
                <w:szCs w:val="12"/>
                <w:lang w:val="fr-BE"/>
              </w:rPr>
              <w:t>Število prosilcev, predanih iz ene države članice v drugo s podporo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253,00</w:t>
            </w:r>
          </w:p>
        </w:tc>
        <w:tc>
          <w:tcPr>
            <w:tcW w:w="0" w:type="auto"/>
          </w:tcPr>
          <w:p w:rsidR="00115C60" w:rsidRPr="003F352C" w:rsidRDefault="00DC2731" w:rsidP="00003291">
            <w:pPr>
              <w:spacing w:before="0" w:after="0"/>
              <w:rPr>
                <w:sz w:val="10"/>
                <w:szCs w:val="10"/>
                <w:lang w:val="fr-BE"/>
              </w:rPr>
            </w:pPr>
            <w:r>
              <w:rPr>
                <w:noProof/>
                <w:sz w:val="10"/>
                <w:szCs w:val="10"/>
                <w:lang w:val="fr-BE"/>
              </w:rPr>
              <w:t xml:space="preserve">Organ, odgovoren za premestitevAuthority in </w:t>
            </w:r>
            <w:r>
              <w:rPr>
                <w:noProof/>
                <w:sz w:val="10"/>
                <w:szCs w:val="10"/>
                <w:lang w:val="fr-BE"/>
              </w:rPr>
              <w:t>charge of relocation</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217,00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13,00</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230,00</w:t>
            </w:r>
          </w:p>
        </w:tc>
      </w:tr>
      <w:tr w:rsidR="006E3F8B" w:rsidTr="00003291">
        <w:trPr>
          <w:cantSplit/>
        </w:trPr>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lang w:val="fr-BE"/>
              </w:rPr>
              <w:t>C2</w:t>
            </w:r>
            <w:r w:rsidRPr="00F07BE5">
              <w:rPr>
                <w:sz w:val="12"/>
                <w:szCs w:val="12"/>
                <w:lang w:val="fr-BE"/>
              </w:rPr>
              <w:t xml:space="preserve"> - </w:t>
            </w:r>
            <w:r w:rsidRPr="00F07BE5">
              <w:rPr>
                <w:noProof/>
                <w:sz w:val="12"/>
                <w:szCs w:val="12"/>
                <w:lang w:val="fr-BE"/>
              </w:rPr>
              <w:t>Število projektov sodelovanja z drugimi državami članicami za večjo solidarnost in delitev odgovornosti med državami članicami, podprtih iz tega sklada</w:t>
            </w:r>
          </w:p>
        </w:tc>
        <w:tc>
          <w:tcPr>
            <w:tcW w:w="0" w:type="auto"/>
            <w:shd w:val="clear" w:color="auto" w:fill="auto"/>
          </w:tcPr>
          <w:p w:rsidR="00115C60" w:rsidRPr="00F07BE5" w:rsidRDefault="00DC2731" w:rsidP="00003291">
            <w:pPr>
              <w:spacing w:before="0" w:after="0"/>
              <w:rPr>
                <w:sz w:val="12"/>
                <w:szCs w:val="12"/>
                <w:lang w:val="fr-BE"/>
              </w:rPr>
            </w:pPr>
            <w:r w:rsidRPr="00F07BE5">
              <w:rPr>
                <w:noProof/>
                <w:sz w:val="12"/>
                <w:szCs w:val="12"/>
              </w:rPr>
              <w:t>Število</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shd w:val="clear" w:color="auto" w:fill="auto"/>
          </w:tcPr>
          <w:p w:rsidR="00115C60" w:rsidRPr="003F352C" w:rsidRDefault="00DC2731" w:rsidP="00003291">
            <w:pPr>
              <w:spacing w:before="0" w:after="0"/>
              <w:jc w:val="right"/>
              <w:rPr>
                <w:sz w:val="10"/>
                <w:szCs w:val="10"/>
                <w:lang w:val="fr-BE"/>
              </w:rPr>
            </w:pPr>
            <w:r w:rsidRPr="003F352C">
              <w:rPr>
                <w:noProof/>
                <w:sz w:val="10"/>
                <w:szCs w:val="10"/>
                <w:lang w:val="fr-BE"/>
              </w:rPr>
              <w:t>0,00</w:t>
            </w:r>
          </w:p>
        </w:tc>
        <w:tc>
          <w:tcPr>
            <w:tcW w:w="0" w:type="auto"/>
          </w:tcPr>
          <w:p w:rsidR="00115C60" w:rsidRPr="003F352C" w:rsidRDefault="00DC2731" w:rsidP="00003291">
            <w:pPr>
              <w:spacing w:before="0" w:after="0"/>
              <w:rPr>
                <w:sz w:val="10"/>
                <w:szCs w:val="10"/>
                <w:lang w:val="fr-BE"/>
              </w:rPr>
            </w:pPr>
            <w:r>
              <w:rPr>
                <w:noProof/>
                <w:sz w:val="10"/>
                <w:szCs w:val="10"/>
                <w:lang w:val="fr-BE"/>
              </w:rPr>
              <w:t xml:space="preserve">Poročanje o projektuProject </w:t>
            </w:r>
            <w:r>
              <w:rPr>
                <w:noProof/>
                <w:sz w:val="10"/>
                <w:szCs w:val="10"/>
                <w:lang w:val="fr-BE"/>
              </w:rPr>
              <w:t>reporting</w:t>
            </w: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c>
          <w:tcPr>
            <w:tcW w:w="0" w:type="auto"/>
            <w:shd w:val="clear" w:color="auto" w:fill="auto"/>
          </w:tcPr>
          <w:p w:rsidR="00115C60" w:rsidRPr="003F352C" w:rsidRDefault="00115C60" w:rsidP="00003291">
            <w:pPr>
              <w:spacing w:before="0" w:after="0"/>
              <w:jc w:val="right"/>
              <w:rPr>
                <w:sz w:val="10"/>
                <w:szCs w:val="10"/>
                <w:lang w:val="fr-BE"/>
              </w:rPr>
            </w:pPr>
          </w:p>
        </w:tc>
      </w:tr>
    </w:tbl>
    <w:p w:rsidR="00115C60" w:rsidRDefault="00115C60" w:rsidP="00115C60">
      <w:pPr>
        <w:spacing w:before="0" w:after="0"/>
        <w:rPr>
          <w:lang w:val="fr-BE"/>
        </w:rPr>
      </w:pPr>
    </w:p>
    <w:p w:rsidR="00115C60" w:rsidRDefault="00115C60" w:rsidP="00115C60">
      <w:pPr>
        <w:pStyle w:val="Naslov1"/>
        <w:numPr>
          <w:ilvl w:val="0"/>
          <w:numId w:val="0"/>
        </w:numPr>
        <w:spacing w:before="0" w:after="0"/>
        <w:rPr>
          <w:lang w:val="fr-BE"/>
        </w:rPr>
        <w:sectPr w:rsidR="00115C60" w:rsidSect="00F9131C">
          <w:headerReference w:type="default" r:id="rId14"/>
          <w:footerReference w:type="default" r:id="rId15"/>
          <w:pgSz w:w="16838" w:h="11906" w:orient="landscape"/>
          <w:pgMar w:top="0" w:right="567" w:bottom="0" w:left="851" w:header="0" w:footer="284" w:gutter="0"/>
          <w:cols w:space="708"/>
          <w:docGrid w:linePitch="360"/>
        </w:sectPr>
      </w:pPr>
    </w:p>
    <w:p w:rsidR="00115C60" w:rsidRDefault="00DC2731" w:rsidP="00115C60">
      <w:pPr>
        <w:pStyle w:val="Naslov1"/>
        <w:numPr>
          <w:ilvl w:val="0"/>
          <w:numId w:val="0"/>
        </w:numPr>
        <w:spacing w:before="0" w:after="0"/>
        <w:rPr>
          <w:lang w:val="fr-BE"/>
        </w:rPr>
      </w:pPr>
      <w:bookmarkStart w:id="5" w:name="_Toc256000006"/>
      <w:r>
        <w:rPr>
          <w:noProof/>
          <w:lang w:val="fr-BE"/>
        </w:rPr>
        <w:lastRenderedPageBreak/>
        <w:t>ODDELEK 6: OKVIR ZA PRIPRAVO IN IZVAJANJE PROGRAMA S STRANI DRŽAVE ČLANICE</w:t>
      </w:r>
      <w:bookmarkEnd w:id="5"/>
    </w:p>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bookmarkStart w:id="6" w:name="_Toc256000007"/>
      <w:r>
        <w:rPr>
          <w:noProof/>
          <w:lang w:val="fr-BE"/>
        </w:rPr>
        <w:t>6.1 Odbor za spremljanje (člen 12(4) Uredbe (EU) št. 514/2014)</w:t>
      </w:r>
      <w:bookmarkEnd w:id="6"/>
    </w:p>
    <w:p w:rsidR="00115C60" w:rsidRDefault="00115C60" w:rsidP="00115C60">
      <w:pPr>
        <w:pStyle w:val="Text1"/>
        <w:spacing w:before="0" w:after="0"/>
        <w:ind w:left="0"/>
        <w:rPr>
          <w:lang w:val="fr-BE"/>
        </w:rPr>
      </w:pPr>
    </w:p>
    <w:p w:rsidR="00115C60" w:rsidRDefault="00DC2731" w:rsidP="00115C60">
      <w:pPr>
        <w:pStyle w:val="Text1"/>
        <w:spacing w:before="0" w:after="0"/>
        <w:ind w:left="0"/>
        <w:rPr>
          <w:lang w:val="fr-BE"/>
        </w:rPr>
      </w:pPr>
      <w:r>
        <w:rPr>
          <w:noProof/>
          <w:lang w:val="fr-BE"/>
        </w:rPr>
        <w:t xml:space="preserve">Navedite glavne odločitve odbora </w:t>
      </w:r>
      <w:r>
        <w:rPr>
          <w:noProof/>
          <w:lang w:val="fr-BE"/>
        </w:rPr>
        <w:t>za spremljanje in vprašanja, ki jih ta še obravnava.</w:t>
      </w:r>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6E3F8B" w:rsidTr="00003291">
        <w:tc>
          <w:tcPr>
            <w:tcW w:w="15420" w:type="dxa"/>
            <w:shd w:val="clear" w:color="auto" w:fill="auto"/>
          </w:tcPr>
          <w:p w:rsidR="006E3F8B" w:rsidRDefault="00DC2731">
            <w:pPr>
              <w:spacing w:before="0" w:after="240"/>
              <w:jc w:val="left"/>
            </w:pPr>
            <w:r>
              <w:t>Nadzorni odbor za spremljanje skladov s področja notranje varnosti in migracij (NO) sestavljajo predstavniki Ministrstva za notranje zadeve, Ministrstva za javno upravo, Ministrstva za notranje zadeve -</w:t>
            </w:r>
            <w:r>
              <w:t xml:space="preserve"> Policija, Ministrstva za zunanje zadeve, Ministrstva za izobraževanje, znanost in šport, Ministrstva za kulturo, Ministrstva za delo, družino, socialne zadeve in enake možnosti, Službe Vlade Republike Slovenije za razvoj in evropsko kohezijsko politiko, M</w:t>
            </w:r>
            <w:r>
              <w:t xml:space="preserve">inistrstva za obrambo, Ministrstva za zdravje, Urada Vlade RS za oskrbo in integracijo migrantov. Predstavniki Ministrstva za finance (Sektor za upravljanje s sredstvi EU/PO) so v vlogi pooblaščenega organa. V vlogi opazovalcev pa predstavniki Ministrstva </w:t>
            </w:r>
            <w:r>
              <w:t>za finance (Urad RS za nadzor proračuna), Službe za notranjo revizijo Ministrstva za notranje zadeve in predstavnik Evropske komisije. Za zagotavljanje izvajanja t.i. načela partnerstva je v NO imenovan tudi predstavnik nevladnih organizacij.</w:t>
            </w:r>
          </w:p>
          <w:p w:rsidR="006E3F8B" w:rsidRDefault="00DC2731">
            <w:pPr>
              <w:spacing w:before="240" w:after="240"/>
              <w:jc w:val="left"/>
            </w:pPr>
            <w:r>
              <w:t>Ključne nalog</w:t>
            </w:r>
            <w:r>
              <w:t>e NO so opredeljene s Poslovnikom (http://www.mnz.gov.si/si/o_ministrstvu/crpanje_evropskih_sredstev/sklad_za_notranjo_varnost_in_sklad_za_azil_migracije_in_vkljucevanje_2014_2020/prirocniki_pravilniki_in_navodila/).</w:t>
            </w:r>
          </w:p>
          <w:p w:rsidR="006E3F8B" w:rsidRDefault="00DC2731">
            <w:pPr>
              <w:spacing w:before="240" w:after="240"/>
              <w:jc w:val="left"/>
            </w:pPr>
            <w:r>
              <w:t>NO je v 2019 zasedal v okviru ene redne</w:t>
            </w:r>
            <w:r>
              <w:t xml:space="preserve"> seje (9.5.2018), kjer je obravnaval: </w:t>
            </w:r>
          </w:p>
          <w:p w:rsidR="006E3F8B" w:rsidRDefault="00DC2731">
            <w:pPr>
              <w:numPr>
                <w:ilvl w:val="0"/>
                <w:numId w:val="37"/>
              </w:numPr>
              <w:spacing w:before="240" w:after="0"/>
              <w:ind w:hanging="210"/>
              <w:jc w:val="left"/>
            </w:pPr>
            <w:r>
              <w:t>Spremembe Priročnika za izvajanje Sklada za azil, migracije in vključevanje ter Sklada za notranjo varnost (Različica 1.3);</w:t>
            </w:r>
          </w:p>
          <w:p w:rsidR="006E3F8B" w:rsidRDefault="00DC2731">
            <w:pPr>
              <w:numPr>
                <w:ilvl w:val="0"/>
                <w:numId w:val="37"/>
              </w:numPr>
              <w:spacing w:before="0" w:after="0"/>
              <w:ind w:hanging="210"/>
              <w:jc w:val="left"/>
            </w:pPr>
            <w:r>
              <w:t>Informacija o pravilu Evropske komisije odveze obveznosti (t.i. decommitment rule);</w:t>
            </w:r>
          </w:p>
          <w:p w:rsidR="006E3F8B" w:rsidRDefault="00DC2731">
            <w:pPr>
              <w:numPr>
                <w:ilvl w:val="0"/>
                <w:numId w:val="37"/>
              </w:numPr>
              <w:spacing w:before="0" w:after="0"/>
              <w:ind w:hanging="210"/>
              <w:jc w:val="left"/>
            </w:pPr>
            <w:r>
              <w:t>Informaci</w:t>
            </w:r>
            <w:r>
              <w:t>ja o realizaciji skladov AMIF in ISF;</w:t>
            </w:r>
          </w:p>
          <w:p w:rsidR="006E3F8B" w:rsidRDefault="00DC2731">
            <w:pPr>
              <w:numPr>
                <w:ilvl w:val="0"/>
                <w:numId w:val="37"/>
              </w:numPr>
              <w:spacing w:before="0" w:after="0"/>
              <w:ind w:hanging="210"/>
              <w:jc w:val="left"/>
            </w:pPr>
            <w:r>
              <w:t>Spremembe Akcijskega načrta za črpanje sredstev Sklada za azil, migracije in vključevanje ter Sklada za notranjo varnost (Različica 1.5);</w:t>
            </w:r>
          </w:p>
          <w:p w:rsidR="006E3F8B" w:rsidRDefault="00DC2731">
            <w:pPr>
              <w:numPr>
                <w:ilvl w:val="0"/>
                <w:numId w:val="37"/>
              </w:numPr>
              <w:spacing w:before="0" w:after="0"/>
              <w:ind w:hanging="210"/>
              <w:jc w:val="left"/>
            </w:pPr>
            <w:r>
              <w:t>Poročilo o izvedenem monitoringu s strani EK o izvajanju projektov AMIF in ISF;</w:t>
            </w:r>
          </w:p>
          <w:p w:rsidR="006E3F8B" w:rsidRDefault="00DC2731">
            <w:pPr>
              <w:numPr>
                <w:ilvl w:val="0"/>
                <w:numId w:val="37"/>
              </w:numPr>
              <w:spacing w:before="0" w:after="0"/>
              <w:ind w:hanging="210"/>
              <w:jc w:val="left"/>
            </w:pPr>
            <w:r>
              <w:t>Informacija o oddaji letnih računov za leto 2018 in implementacijskega poročila AMIF in ISF za leto 2018;</w:t>
            </w:r>
          </w:p>
          <w:p w:rsidR="006E3F8B" w:rsidRDefault="00DC2731">
            <w:pPr>
              <w:numPr>
                <w:ilvl w:val="0"/>
                <w:numId w:val="37"/>
              </w:numPr>
              <w:spacing w:before="0" w:after="0"/>
              <w:ind w:hanging="210"/>
              <w:jc w:val="left"/>
            </w:pPr>
            <w:r>
              <w:t>Poročilo o trenutnem stanju pogajanj za sprejetje uredb za izvajanje večletnega finančnega okvira po letu 2020;</w:t>
            </w:r>
          </w:p>
          <w:p w:rsidR="006E3F8B" w:rsidRDefault="00DC2731">
            <w:pPr>
              <w:numPr>
                <w:ilvl w:val="0"/>
                <w:numId w:val="37"/>
              </w:numPr>
              <w:spacing w:before="0" w:after="0"/>
              <w:ind w:hanging="210"/>
              <w:jc w:val="left"/>
            </w:pPr>
            <w:r>
              <w:t xml:space="preserve">Predstavitev dela revizijskega organa </w:t>
            </w:r>
            <w:r>
              <w:t>za sklade AMIF in ISF;</w:t>
            </w:r>
          </w:p>
          <w:p w:rsidR="006E3F8B" w:rsidRDefault="00DC2731">
            <w:pPr>
              <w:numPr>
                <w:ilvl w:val="0"/>
                <w:numId w:val="37"/>
              </w:numPr>
              <w:spacing w:before="0" w:after="0"/>
              <w:ind w:hanging="210"/>
              <w:jc w:val="left"/>
            </w:pPr>
            <w:r>
              <w:t>Predstavitev glede možnosti dopolnjevanja skladov AMIF in ISF z drugimi evropskimi skladi ali finančnimi instrumenti;</w:t>
            </w:r>
          </w:p>
          <w:p w:rsidR="006E3F8B" w:rsidRDefault="00DC2731">
            <w:pPr>
              <w:numPr>
                <w:ilvl w:val="0"/>
                <w:numId w:val="37"/>
              </w:numPr>
              <w:spacing w:before="0" w:after="240"/>
              <w:ind w:hanging="210"/>
              <w:jc w:val="left"/>
            </w:pPr>
            <w:r>
              <w:t>Informacije o izvedeni reviziji skladov SOLID.</w:t>
            </w:r>
          </w:p>
          <w:p w:rsidR="006E3F8B" w:rsidRDefault="00DC2731">
            <w:pPr>
              <w:spacing w:before="240" w:after="240"/>
              <w:jc w:val="left"/>
            </w:pPr>
            <w:r>
              <w:t>Odgovorni organ je pripravil različice dokumentov, ki vključujejo sp</w:t>
            </w:r>
            <w:r>
              <w:t>remembe, poenostavitve in izboljšave, ki so se pokazale pri upravnem nadzoru zahtevkov za povračilo in vključujejo tudi priporočila opravljenih revizij UNP in KKS.</w:t>
            </w:r>
          </w:p>
          <w:p w:rsidR="006E3F8B" w:rsidRDefault="00DC2731">
            <w:pPr>
              <w:spacing w:before="240" w:after="240"/>
              <w:jc w:val="left"/>
            </w:pPr>
            <w:r>
              <w:t>Programa AMIF in ISF pripravlja Služba za evropska sredstva MNZ, ki načelo partnerstva udeja</w:t>
            </w:r>
            <w:r>
              <w:t>nja preko sodelovanja z državnimi resorji, službami in predstavniki civilne družbe, na način, da se obravnavajo vsi dani predlogi glede izboljšav, izvajanja in spremljanja programov preko MDS in NO. Dobra praksa sodelovanja predstavnika civilne družbe na s</w:t>
            </w:r>
            <w:r>
              <w:t>ejah NO se bo izvajala tudi v prihodnje. </w:t>
            </w:r>
          </w:p>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r>
        <w:rPr>
          <w:lang w:val="fr-BE"/>
        </w:rPr>
        <w:br w:type="page"/>
      </w:r>
      <w:bookmarkStart w:id="7" w:name="_Toc256000008"/>
      <w:r>
        <w:rPr>
          <w:noProof/>
          <w:lang w:val="fr-BE"/>
        </w:rPr>
        <w:lastRenderedPageBreak/>
        <w:t>6.2 Skupni okvir za spremljanje in vrednotenje (člen 14(2)(f) Uredbe (EU) št. 514/2014)</w:t>
      </w:r>
      <w:bookmarkEnd w:id="7"/>
    </w:p>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bookmarkStart w:id="8" w:name="_Toc256000009"/>
      <w:r>
        <w:rPr>
          <w:noProof/>
          <w:lang w:val="fr-BE"/>
        </w:rPr>
        <w:t xml:space="preserve">Ukrepi spremljanja in vrednotenja, ki jih sprejme pristojni organ, vključno z ureditvijo zbiranja podatkov, dejavnostmi </w:t>
      </w:r>
      <w:r>
        <w:rPr>
          <w:noProof/>
          <w:lang w:val="fr-BE"/>
        </w:rPr>
        <w:t>vrednotenja, ugotovljenimi težavami ter ukrepi za njihovo odpravo.</w:t>
      </w:r>
      <w:bookmarkEnd w:id="8"/>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6E3F8B" w:rsidTr="00003291">
        <w:tc>
          <w:tcPr>
            <w:tcW w:w="15420" w:type="dxa"/>
            <w:shd w:val="clear" w:color="auto" w:fill="auto"/>
          </w:tcPr>
          <w:p w:rsidR="006E3F8B" w:rsidRDefault="00DC2731">
            <w:pPr>
              <w:spacing w:before="0" w:after="240"/>
              <w:jc w:val="left"/>
            </w:pPr>
            <w:r>
              <w:t xml:space="preserve">Za spremljanje in finančno upravljanje se uporablja aplikacijo - elektronski sistem za upravljanje skladov AMIF in ISF - MIGRA II. Spremljanje programov AMIF in ISF teče v okviru MIGRA II </w:t>
            </w:r>
            <w:r>
              <w:t>na podlagi podatkov ZzP in izvedbe kontrol na kraju samem. OO v okviru upravnega nadzora pregleda finančna in vsebinska poročila končnih upravičencev o okviru posredovanih ZzP-jev (Zahtevki za povračilo) v okviru MIGRA II in v skladu s Priročnikom za izvaj</w:t>
            </w:r>
            <w:r>
              <w:t>anje AMIF in ISF ter drugimi programskimi dokumenti OO. Izvedba 100% administrativne in finančne kontrole popolnosti, pravilnosti in upravičenosti ZzP zajema:</w:t>
            </w:r>
          </w:p>
          <w:p w:rsidR="006E3F8B" w:rsidRDefault="00DC2731">
            <w:pPr>
              <w:numPr>
                <w:ilvl w:val="0"/>
                <w:numId w:val="38"/>
              </w:numPr>
              <w:spacing w:before="240" w:after="0"/>
              <w:ind w:hanging="210"/>
              <w:jc w:val="left"/>
            </w:pPr>
            <w:r>
              <w:t>preverjanje formalne pravilnosti in točnost finančnih izjav, </w:t>
            </w:r>
          </w:p>
          <w:p w:rsidR="006E3F8B" w:rsidRDefault="00DC2731">
            <w:pPr>
              <w:numPr>
                <w:ilvl w:val="0"/>
                <w:numId w:val="38"/>
              </w:numPr>
              <w:spacing w:before="0" w:after="0"/>
              <w:ind w:hanging="210"/>
              <w:jc w:val="left"/>
            </w:pPr>
            <w:r>
              <w:t>ali projekt dosega zastavljene cilj</w:t>
            </w:r>
            <w:r>
              <w:t>e oz. viden napredek,</w:t>
            </w:r>
          </w:p>
          <w:p w:rsidR="006E3F8B" w:rsidRDefault="00DC2731">
            <w:pPr>
              <w:numPr>
                <w:ilvl w:val="0"/>
                <w:numId w:val="38"/>
              </w:numPr>
              <w:spacing w:before="0" w:after="240"/>
              <w:ind w:hanging="210"/>
              <w:jc w:val="left"/>
            </w:pPr>
            <w:r>
              <w:t>analitični pregled za oceno relevantnosti prijavljenih izdatkov v finančnih izjavah in njihove skladnosti s pogodbo o financiranju programa/projekta, odločitvi o podpori oz. sklepu o financiranju tehnične pomoči, pravili upravičenosti</w:t>
            </w:r>
            <w:r>
              <w:t xml:space="preserve"> ter z drugimi veljavnimi pravili EU in nacionalnimi pravili.</w:t>
            </w:r>
          </w:p>
          <w:p w:rsidR="006E3F8B" w:rsidRDefault="00DC2731">
            <w:pPr>
              <w:spacing w:before="240" w:after="240"/>
              <w:jc w:val="left"/>
            </w:pPr>
            <w:r>
              <w:t>OO izvaja dve vrsti kontrol na kraju samem (lahko so tudi nenapovedane), in sicer:</w:t>
            </w:r>
          </w:p>
          <w:p w:rsidR="006E3F8B" w:rsidRDefault="00DC2731">
            <w:pPr>
              <w:numPr>
                <w:ilvl w:val="0"/>
                <w:numId w:val="39"/>
              </w:numPr>
              <w:spacing w:before="240" w:after="0"/>
              <w:ind w:hanging="210"/>
              <w:jc w:val="left"/>
            </w:pPr>
            <w:r>
              <w:t>finančne kontrole na kraju samem ter</w:t>
            </w:r>
          </w:p>
          <w:p w:rsidR="006E3F8B" w:rsidRDefault="00DC2731">
            <w:pPr>
              <w:numPr>
                <w:ilvl w:val="0"/>
                <w:numId w:val="39"/>
              </w:numPr>
              <w:spacing w:before="0" w:after="240"/>
              <w:ind w:hanging="210"/>
              <w:jc w:val="left"/>
            </w:pPr>
            <w:r>
              <w:t>operativne kontrole na kraju samem.</w:t>
            </w:r>
          </w:p>
          <w:p w:rsidR="006E3F8B" w:rsidRDefault="00DC2731">
            <w:pPr>
              <w:spacing w:before="240" w:after="240"/>
              <w:jc w:val="left"/>
            </w:pPr>
            <w:r>
              <w:t xml:space="preserve">Kontrole na kraju samem se izvaja na </w:t>
            </w:r>
            <w:r>
              <w:t>podlagi načrta, ki ga OO pripravi na podlagi analize tveganja v skladu z metodologijo in naključnega izbora. Slednji dopolnjuje analizo tveganja na način, da načrt upošteva tudi ustrezno razmerje vrst in velikosti projektov, transakcij, upravičencev in izv</w:t>
            </w:r>
            <w:r>
              <w:t>ajalskih teles, ki se pojavljajo pri izvajanju skladov.</w:t>
            </w:r>
          </w:p>
          <w:p w:rsidR="006E3F8B" w:rsidRDefault="00DC2731">
            <w:pPr>
              <w:spacing w:before="240" w:after="240"/>
              <w:jc w:val="left"/>
            </w:pPr>
            <w:r>
              <w:t>OO je v letu 2019 v okviru spremljanja izvajanja projektov AMIF in ISF pri kontroli na kraju samem preverjal, ali se projekti izvajajo v skladu z odločitvijo o podpori, napredek projektov, zanesljivos</w:t>
            </w:r>
            <w:r>
              <w:t>t kazalnikov in morebitne težave pri izvajanju. Poleg tega se je preverjalo:</w:t>
            </w:r>
          </w:p>
          <w:p w:rsidR="006E3F8B" w:rsidRDefault="00DC2731">
            <w:pPr>
              <w:numPr>
                <w:ilvl w:val="0"/>
                <w:numId w:val="40"/>
              </w:numPr>
              <w:spacing w:before="240" w:after="0"/>
              <w:ind w:hanging="210"/>
              <w:jc w:val="left"/>
            </w:pPr>
            <w:r>
              <w:t>ali so končni upravičenci razumeli pravila upravičenosti,</w:t>
            </w:r>
          </w:p>
          <w:p w:rsidR="006E3F8B" w:rsidRDefault="00DC2731">
            <w:pPr>
              <w:numPr>
                <w:ilvl w:val="0"/>
                <w:numId w:val="40"/>
              </w:numPr>
              <w:spacing w:before="0" w:after="0"/>
              <w:ind w:hanging="210"/>
              <w:jc w:val="left"/>
            </w:pPr>
            <w:r>
              <w:t>ali imajo vzpostavljeno ustrezno metodologijo, s katero zagotavljajo ustrezno ciljno skupino,</w:t>
            </w:r>
          </w:p>
          <w:p w:rsidR="006E3F8B" w:rsidRDefault="00DC2731">
            <w:pPr>
              <w:numPr>
                <w:ilvl w:val="0"/>
                <w:numId w:val="40"/>
              </w:numPr>
              <w:spacing w:before="0" w:after="0"/>
              <w:ind w:hanging="210"/>
              <w:jc w:val="left"/>
            </w:pPr>
            <w:r>
              <w:t>ali beležijo ustrezne kazal</w:t>
            </w:r>
            <w:r>
              <w:t>nike v pravem času,</w:t>
            </w:r>
          </w:p>
          <w:p w:rsidR="006E3F8B" w:rsidRDefault="00DC2731">
            <w:pPr>
              <w:numPr>
                <w:ilvl w:val="0"/>
                <w:numId w:val="40"/>
              </w:numPr>
              <w:spacing w:before="0" w:after="0"/>
              <w:ind w:hanging="210"/>
              <w:jc w:val="left"/>
            </w:pPr>
            <w:r>
              <w:t>ali izvajajo določbe vezane na informiranje in obveščanje ter</w:t>
            </w:r>
          </w:p>
          <w:p w:rsidR="006E3F8B" w:rsidRDefault="00DC2731">
            <w:pPr>
              <w:numPr>
                <w:ilvl w:val="0"/>
                <w:numId w:val="40"/>
              </w:numPr>
              <w:spacing w:before="0" w:after="240"/>
              <w:ind w:hanging="210"/>
              <w:jc w:val="left"/>
            </w:pPr>
            <w:r>
              <w:t>ali dejansko uporabljajo blago, ki je bilo nabavljeno glede na izkazane izdatke.</w:t>
            </w:r>
          </w:p>
          <w:p w:rsidR="006E3F8B" w:rsidRDefault="00DC2731">
            <w:pPr>
              <w:spacing w:before="240" w:after="240"/>
              <w:jc w:val="left"/>
            </w:pPr>
            <w:r>
              <w:t>OO o vsebinskih in finančnih elementih programov AMIF in ISF redno poroča MDS in NO, v obeh t</w:t>
            </w:r>
            <w:r>
              <w:t>elesih so v skladu z načelom partnerstva zastopana vsa ministrstva/resorji, ki pri črpanju sredstev iz AMIF in ISF sodelujejo kot pristojni organi MCS (»Management and Control System«) in NVO preko izbranega predstavnika. OO vse zaznane pomanjkljivosti oz.</w:t>
            </w:r>
            <w:r>
              <w:t xml:space="preserve"> novosti aplicira v strateških dokumentih, kateri so navedeni pod rubriko 6.1. in so dosegljivi preko spletne strani: http://www.mnz.gov.si/si/o_ministrstvu/crpanje_evropskih_sredstev/sklad_za_notranjo_varnost_in_sklad_za_azil_migracije_in_vkljucevanje_201</w:t>
            </w:r>
            <w:r>
              <w:t>4_2020/prirocniki_pravilniki_in_navodila/</w:t>
            </w:r>
          </w:p>
          <w:p w:rsidR="006E3F8B" w:rsidRDefault="00DC2731">
            <w:pPr>
              <w:spacing w:before="240" w:after="240"/>
              <w:jc w:val="left"/>
            </w:pPr>
            <w:r>
              <w:t>OO sodeluje tudi v postopkih izvajanja revizij s strani RO. Naloga OO, po zaključeni reviziji je, da izvede priporočila RO.</w:t>
            </w:r>
          </w:p>
          <w:p w:rsidR="006E3F8B" w:rsidRDefault="00DC2731">
            <w:pPr>
              <w:spacing w:before="240" w:after="240"/>
              <w:jc w:val="left"/>
            </w:pPr>
            <w:r>
              <w:t>Prav tako OO aktivno deluje v okviru monitoringov s strani EK ter predlagane usmeritve apl</w:t>
            </w:r>
            <w:r>
              <w:t>icira na sistemski okvir izvajanja skladov AMIF in ISF.</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r>
        <w:rPr>
          <w:lang w:val="fr-BE"/>
        </w:rPr>
        <w:br w:type="page"/>
      </w:r>
      <w:bookmarkStart w:id="9" w:name="_Toc256000010"/>
      <w:r>
        <w:rPr>
          <w:noProof/>
          <w:lang w:val="fr-BE"/>
        </w:rPr>
        <w:lastRenderedPageBreak/>
        <w:t>6.3 Partnersko sodelovanje pri izvajanju, spremljanju in vrednotenju nacionalnega programa (člen 12(3) Uredbe (EU) št. 514/2014)</w:t>
      </w:r>
      <w:bookmarkEnd w:id="9"/>
    </w:p>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bookmarkStart w:id="10" w:name="_Toc256000011"/>
      <w:r>
        <w:rPr>
          <w:noProof/>
          <w:lang w:val="fr-BE"/>
        </w:rPr>
        <w:t xml:space="preserve">Na kratko opišite glavne prispevke in mnenja partnerjev v </w:t>
      </w:r>
      <w:r>
        <w:rPr>
          <w:noProof/>
          <w:lang w:val="fr-BE"/>
        </w:rPr>
        <w:t>proračunskem letu.</w:t>
      </w:r>
      <w:bookmarkEnd w:id="10"/>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6E3F8B" w:rsidTr="00003291">
        <w:tc>
          <w:tcPr>
            <w:tcW w:w="15420" w:type="dxa"/>
            <w:shd w:val="clear" w:color="auto" w:fill="auto"/>
          </w:tcPr>
          <w:p w:rsidR="006E3F8B" w:rsidRDefault="00DC2731">
            <w:pPr>
              <w:spacing w:before="0" w:after="240"/>
              <w:jc w:val="left"/>
            </w:pPr>
            <w:r>
              <w:t>Za pripravo Nacionalnih programov skladov AMIF in ISF je zadolžena Projektna enota za sklade notranje varnosti in migracije znotraj Službe za evropska sredstva Ministrstva za notranje zadeve (MNZ SES PESNVM).</w:t>
            </w:r>
          </w:p>
          <w:p w:rsidR="006E3F8B" w:rsidRDefault="00DC2731">
            <w:pPr>
              <w:spacing w:before="240" w:after="240"/>
              <w:jc w:val="left"/>
            </w:pPr>
            <w:r>
              <w:t>- Ves čas </w:t>
            </w:r>
            <w:r>
              <w:rPr>
                <w:u w:val="single"/>
              </w:rPr>
              <w:t>priprave </w:t>
            </w:r>
            <w:r>
              <w:t>NP je MN</w:t>
            </w:r>
            <w:r>
              <w:t>Z-SES-PESNVM sledila načelu javnosti in publicitete, zato so bile dopolnjene različice programov sproti objavljene na spletnem mestu: http://www.mnz.gov.si/si/o_ministrstvu/crpanje_evropskih_sredstev/sklad_za_notranjo_varnost_in_sklad_za_azil_migracije_in_</w:t>
            </w:r>
            <w:r>
              <w:t>vkljucevanje_2014_2020/priprava_nacionalnih_programov/.</w:t>
            </w:r>
          </w:p>
          <w:p w:rsidR="006E3F8B" w:rsidRDefault="00DC2731">
            <w:pPr>
              <w:spacing w:before="240" w:after="240"/>
              <w:jc w:val="left"/>
            </w:pPr>
            <w:r>
              <w:t>- MNZ-SES-PESNVM </w:t>
            </w:r>
            <w:r>
              <w:rPr>
                <w:u w:val="single"/>
              </w:rPr>
              <w:t>implementacijo</w:t>
            </w:r>
            <w:r>
              <w:t> NP izvaja preko Akcijskega načrta, ki je temeljni in celovit programski dokument namenjen izvajanju skladov AMIF in ISF v Sloveniji. Predstavlja osnovo za prijavo in od</w:t>
            </w:r>
            <w:r>
              <w:t>obritev projektov s strani OO, na predlog končnih upravičencev, po odobritvi na NO, in je izvedbeni dokument, ki razčlenjuje NP na projekte s podatki o finančni alokaciji po letih.</w:t>
            </w:r>
          </w:p>
          <w:p w:rsidR="006E3F8B" w:rsidRDefault="00DC2731">
            <w:pPr>
              <w:spacing w:before="240" w:after="240"/>
              <w:jc w:val="left"/>
            </w:pPr>
            <w:r>
              <w:t>Prispevki partnerjev v času izvajanja NP se v glavnini nanašajo na spodaj z</w:t>
            </w:r>
            <w:r>
              <w:t>apisane vsebine, vse predloge je OO sprejel. MDS in NO sta obravnavala:</w:t>
            </w:r>
          </w:p>
          <w:p w:rsidR="006E3F8B" w:rsidRDefault="00DC2731">
            <w:pPr>
              <w:numPr>
                <w:ilvl w:val="0"/>
                <w:numId w:val="41"/>
              </w:numPr>
              <w:spacing w:before="240" w:after="0"/>
              <w:ind w:hanging="210"/>
              <w:jc w:val="left"/>
            </w:pPr>
            <w:r>
              <w:t>predlog OO in pozitiven odziv Centra za tujce za združevanje projektov - načrtovanje sprememb Akcijskega načrta in NP;</w:t>
            </w:r>
          </w:p>
          <w:p w:rsidR="006E3F8B" w:rsidRDefault="00DC2731">
            <w:pPr>
              <w:numPr>
                <w:ilvl w:val="0"/>
                <w:numId w:val="41"/>
              </w:numPr>
              <w:spacing w:before="0" w:after="0"/>
              <w:ind w:hanging="210"/>
              <w:jc w:val="left"/>
            </w:pPr>
            <w:r>
              <w:t xml:space="preserve">omejen obseg izvajanja aktivnosti določenih ukrepov s strani </w:t>
            </w:r>
            <w:r>
              <w:t>Centra za tujce zaradi upravičenosti povrnitve stroškov iz drugih virov financiranja EU - načrtovanje sprememb Akcijskega načrta in NP;</w:t>
            </w:r>
          </w:p>
          <w:p w:rsidR="006E3F8B" w:rsidRDefault="00DC2731">
            <w:pPr>
              <w:numPr>
                <w:ilvl w:val="0"/>
                <w:numId w:val="41"/>
              </w:numPr>
              <w:spacing w:before="0" w:after="240"/>
              <w:ind w:hanging="210"/>
              <w:jc w:val="left"/>
            </w:pPr>
            <w:r>
              <w:t>v fazo </w:t>
            </w:r>
            <w:r>
              <w:rPr>
                <w:u w:val="single"/>
              </w:rPr>
              <w:t>vrednotenja</w:t>
            </w:r>
            <w:r>
              <w:t> NP so vključena vsa pristojna ministrstva/organi kot tudi predstavniki NVO preko delovanja Medresorsk</w:t>
            </w:r>
            <w:r>
              <w:t>e delovne skupine za koordinacijo in operativno usklajevanje izvajanja projektov, ki se financirajo iz sredstev AMIF in ISF kot tudi preko NO. V fazi vrednotenja izvajanja napredka je pristojnost odločanja na NO, ki o tem seznani tudi Vlado Slovenije.</w:t>
            </w:r>
          </w:p>
          <w:p w:rsidR="006E3F8B" w:rsidRDefault="00DC2731">
            <w:pPr>
              <w:spacing w:before="240" w:after="240"/>
              <w:jc w:val="left"/>
            </w:pPr>
            <w:r>
              <w:t> </w:t>
            </w:r>
          </w:p>
          <w:p w:rsidR="006E3F8B" w:rsidRDefault="00DC2731">
            <w:pPr>
              <w:spacing w:before="240" w:after="240"/>
              <w:jc w:val="left"/>
            </w:pPr>
            <w:r>
              <w:t> </w:t>
            </w:r>
          </w:p>
          <w:p w:rsidR="006E3F8B" w:rsidRDefault="00DC2731">
            <w:pPr>
              <w:spacing w:before="240" w:after="240"/>
              <w:jc w:val="left"/>
            </w:pPr>
            <w:r>
              <w:t> </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r>
        <w:rPr>
          <w:lang w:val="fr-BE"/>
        </w:rPr>
        <w:br w:type="page"/>
      </w:r>
      <w:bookmarkStart w:id="11" w:name="_Toc256000012"/>
      <w:r>
        <w:rPr>
          <w:noProof/>
          <w:lang w:val="fr-BE"/>
        </w:rPr>
        <w:lastRenderedPageBreak/>
        <w:t>6.4 Obveščanje in objavljanje (člen 48 Uredbe (ES) št. 514/2014)</w:t>
      </w:r>
      <w:bookmarkEnd w:id="11"/>
    </w:p>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bookmarkStart w:id="12" w:name="_Toc256000013"/>
      <w:r>
        <w:rPr>
          <w:noProof/>
          <w:lang w:val="fr-BE"/>
        </w:rPr>
        <w:t>Navedite povezavo do spletišča programa.</w:t>
      </w:r>
      <w:bookmarkEnd w:id="12"/>
      <w:r>
        <w:rPr>
          <w:noProof/>
          <w:lang w:val="fr-BE"/>
        </w:rPr>
        <w:t xml:space="preserve"> </w:t>
      </w:r>
    </w:p>
    <w:p w:rsidR="00115C60" w:rsidRDefault="00DC2731" w:rsidP="00115C60">
      <w:pPr>
        <w:pStyle w:val="Naslov2"/>
        <w:numPr>
          <w:ilvl w:val="0"/>
          <w:numId w:val="0"/>
        </w:numPr>
        <w:spacing w:before="0" w:after="0"/>
        <w:rPr>
          <w:lang w:val="fr-BE"/>
        </w:rPr>
      </w:pPr>
      <w:bookmarkStart w:id="13" w:name="_Toc256000014"/>
      <w:r>
        <w:rPr>
          <w:noProof/>
          <w:lang w:val="fr-BE"/>
        </w:rPr>
        <w:t>Navedite glavne dejavnosti obveščanja in objavljanja, izvedene v proračunskem letu. Priložiti je treba primere gradiva.</w:t>
      </w:r>
      <w:bookmarkEnd w:id="13"/>
    </w:p>
    <w:p w:rsidR="00115C60" w:rsidRDefault="00115C60" w:rsidP="00115C60">
      <w:pPr>
        <w:pStyle w:val="Text1"/>
        <w:spacing w:before="0" w:after="0"/>
        <w:ind w:left="0"/>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0"/>
      </w:tblGrid>
      <w:tr w:rsidR="006E3F8B" w:rsidTr="00003291">
        <w:tc>
          <w:tcPr>
            <w:tcW w:w="15420" w:type="dxa"/>
            <w:shd w:val="clear" w:color="auto" w:fill="auto"/>
          </w:tcPr>
          <w:p w:rsidR="006E3F8B" w:rsidRDefault="00DC2731">
            <w:pPr>
              <w:spacing w:before="0" w:after="240"/>
              <w:jc w:val="left"/>
            </w:pPr>
            <w:r>
              <w:t xml:space="preserve">V letu 2019 so bile </w:t>
            </w:r>
            <w:r>
              <w:t>izvedene sledeče dejavnosti s ciljem obveščanja javnosti:</w:t>
            </w:r>
          </w:p>
          <w:p w:rsidR="006E3F8B" w:rsidRDefault="00DC2731">
            <w:pPr>
              <w:spacing w:before="240" w:after="240"/>
              <w:jc w:val="left"/>
            </w:pPr>
            <w:r>
              <w:t> </w:t>
            </w:r>
          </w:p>
          <w:p w:rsidR="006E3F8B" w:rsidRDefault="00DC2731">
            <w:pPr>
              <w:spacing w:before="240" w:after="240"/>
              <w:jc w:val="left"/>
            </w:pPr>
            <w:r>
              <w:t>1. Nacionalna programa AMIF in ISF ter informacije glede sofinanciranih projektov so objavljene na spletni strani: http://www.mnz.gov.si/si/o_ministrstvu/crpanje_evropskih_sredstev/</w:t>
            </w:r>
          </w:p>
          <w:p w:rsidR="006E3F8B" w:rsidRDefault="00DC2731">
            <w:pPr>
              <w:spacing w:before="240" w:after="240"/>
              <w:jc w:val="left"/>
            </w:pPr>
            <w:r>
              <w:t xml:space="preserve">2. Na spletni </w:t>
            </w:r>
            <w:r>
              <w:t>strani objavljena Nacionalna pravila o upravičenih stroških Sklada za azil, migracije in vključevanje ter Sklada za notranjo varnost za obdobje 2014-2020 (različica 1.5)</w:t>
            </w:r>
          </w:p>
          <w:p w:rsidR="006E3F8B" w:rsidRDefault="00DC2731">
            <w:pPr>
              <w:spacing w:before="240" w:after="240"/>
              <w:jc w:val="left"/>
            </w:pPr>
            <w:r>
              <w:t>http://www.mnz.gov.si/si/o_ministrstvu/crpanje_evropskih_sredstev/sklad_za_notranjo_va</w:t>
            </w:r>
            <w:r>
              <w:t>rnost_in_sklad_za_azil_migracije_in_vkljucevanje_2014_2020/prirocniki_pravilniki_in_navodila/</w:t>
            </w:r>
          </w:p>
          <w:p w:rsidR="006E3F8B" w:rsidRDefault="00DC2731">
            <w:pPr>
              <w:spacing w:before="240" w:after="240"/>
              <w:jc w:val="left"/>
            </w:pPr>
            <w:r>
              <w:t xml:space="preserve">3. Spletna objava nove verzije Priročnika za izvajanje Sklada za azil, migracije in vključevanje ter Sklada za notranjo varnost (različica 1.3) z vsemi prilogami </w:t>
            </w:r>
            <w:r>
              <w:t>(maj 2019)</w:t>
            </w:r>
          </w:p>
          <w:p w:rsidR="006E3F8B" w:rsidRDefault="00DC2731">
            <w:pPr>
              <w:spacing w:before="240" w:after="240"/>
              <w:jc w:val="left"/>
            </w:pPr>
            <w:r>
              <w:t>http://www.mnz.gov.si/si/o_ministrstvu/crpanje_evropskih_sredstev/sklad_za_notranjo_varnost_in_sklad_za_azil_migracije_in_vkljucevanje_2014_2020/prirocniki_pravilniki_in_navodila/</w:t>
            </w:r>
          </w:p>
          <w:p w:rsidR="006E3F8B" w:rsidRDefault="00DC2731">
            <w:pPr>
              <w:spacing w:before="240" w:after="240"/>
              <w:jc w:val="left"/>
            </w:pPr>
            <w:r>
              <w:t>4. Spletna objava programskih dokumentov odgovornega organa v rub</w:t>
            </w:r>
            <w:r>
              <w:t>riki "Spremljanje, vrednotenje in poročanje"</w:t>
            </w:r>
          </w:p>
          <w:p w:rsidR="006E3F8B" w:rsidRDefault="00DC2731">
            <w:pPr>
              <w:spacing w:before="240" w:after="240"/>
              <w:jc w:val="left"/>
            </w:pPr>
            <w:r>
              <w:t>http://www.mnz.gov.si/si/o_ministrstvu/crpanje_evropskih_sredstev/sklad_za_notranjo_varnost_in_sklad_za_azil_migracije_in_vkljucevanje_2014_2020/spremljanje_vrednotenje_in_porocanje/</w:t>
            </w:r>
          </w:p>
          <w:p w:rsidR="004B5B5F" w:rsidRPr="004B5B5F" w:rsidRDefault="004B5B5F" w:rsidP="00003291">
            <w:pPr>
              <w:pStyle w:val="Text1"/>
              <w:spacing w:before="0" w:after="0"/>
              <w:ind w:left="0"/>
            </w:pPr>
          </w:p>
        </w:tc>
      </w:tr>
    </w:tbl>
    <w:p w:rsidR="004B5B5F" w:rsidRDefault="004B5B5F" w:rsidP="00115C60">
      <w:pPr>
        <w:pStyle w:val="Text1"/>
        <w:spacing w:before="0" w:after="0"/>
        <w:ind w:left="0"/>
        <w:rPr>
          <w:lang w:val="fr-BE"/>
        </w:rPr>
      </w:pPr>
    </w:p>
    <w:p w:rsidR="00115C60" w:rsidRPr="00910C3F" w:rsidRDefault="00DC2731" w:rsidP="00115C60">
      <w:pPr>
        <w:pStyle w:val="Naslov2"/>
        <w:numPr>
          <w:ilvl w:val="0"/>
          <w:numId w:val="0"/>
        </w:numPr>
        <w:spacing w:before="0" w:after="0"/>
      </w:pPr>
      <w:r w:rsidRPr="00910C3F">
        <w:br w:type="page"/>
      </w:r>
      <w:bookmarkStart w:id="14" w:name="_Toc256000015"/>
      <w:r w:rsidRPr="00910C3F">
        <w:rPr>
          <w:noProof/>
        </w:rPr>
        <w:lastRenderedPageBreak/>
        <w:t xml:space="preserve">6.5 Dopolnjevanje z </w:t>
      </w:r>
      <w:r w:rsidRPr="00910C3F">
        <w:rPr>
          <w:noProof/>
        </w:rPr>
        <w:t>drugimi instrumenti Unije (člen 14(2)(e) in 14(5)(f) Uredbe (EU) št. 514/2014)</w:t>
      </w:r>
      <w:bookmarkEnd w:id="14"/>
    </w:p>
    <w:p w:rsidR="00115C60" w:rsidRPr="00910C3F" w:rsidRDefault="00115C60" w:rsidP="00115C60">
      <w:pPr>
        <w:pStyle w:val="Text1"/>
        <w:spacing w:before="0" w:after="0"/>
        <w:ind w:left="0"/>
      </w:pPr>
    </w:p>
    <w:p w:rsidR="00115C60" w:rsidRDefault="00DC2731" w:rsidP="00115C60">
      <w:pPr>
        <w:pStyle w:val="Naslov2"/>
        <w:numPr>
          <w:ilvl w:val="0"/>
          <w:numId w:val="0"/>
        </w:numPr>
        <w:spacing w:before="0" w:after="0"/>
        <w:rPr>
          <w:lang w:val="fr-BE"/>
        </w:rPr>
      </w:pPr>
      <w:bookmarkStart w:id="15" w:name="_Toc256000016"/>
      <w:r>
        <w:rPr>
          <w:noProof/>
          <w:lang w:val="fr-BE"/>
        </w:rPr>
        <w:t>Na kratko opišite glavne ukrepe in posvetovanja, opravljena za zagotovitev usklajenosti z drugimi instrumenti Unije, zlasti naslednjimi:</w:t>
      </w:r>
      <w:bookmarkEnd w:id="15"/>
    </w:p>
    <w:p w:rsidR="00115C60" w:rsidRPr="00E30D80" w:rsidRDefault="00DC2731" w:rsidP="00115C60">
      <w:pPr>
        <w:pStyle w:val="Text1"/>
        <w:numPr>
          <w:ilvl w:val="0"/>
          <w:numId w:val="36"/>
        </w:numPr>
        <w:spacing w:before="0" w:after="0"/>
        <w:jc w:val="left"/>
        <w:rPr>
          <w:lang w:val="fr-BE"/>
        </w:rPr>
      </w:pPr>
      <w:r>
        <w:rPr>
          <w:noProof/>
          <w:lang w:val="fr-BE"/>
        </w:rPr>
        <w:t xml:space="preserve">evropski strukturni in investicijski </w:t>
      </w:r>
      <w:r>
        <w:rPr>
          <w:noProof/>
          <w:lang w:val="fr-BE"/>
        </w:rPr>
        <w:t>skladi (Evropski sklad za regionalni razvoj, Evropski socialni sklad, Kohezijski sklad, Evropski kmetijski sklad za razvoj podeželja, Evropski sklad za pomorstvo in ribištvo),</w:t>
      </w:r>
    </w:p>
    <w:p w:rsidR="00115C60" w:rsidRPr="00E30D80" w:rsidRDefault="00DC2731" w:rsidP="00115C60">
      <w:pPr>
        <w:pStyle w:val="Text1"/>
        <w:numPr>
          <w:ilvl w:val="0"/>
          <w:numId w:val="36"/>
        </w:numPr>
        <w:spacing w:before="0" w:after="0"/>
        <w:jc w:val="left"/>
        <w:rPr>
          <w:lang w:val="fr-BE"/>
        </w:rPr>
      </w:pPr>
      <w:r>
        <w:rPr>
          <w:lang w:val="fr-BE"/>
        </w:rPr>
        <w:t xml:space="preserve">drugi skladi ali programi EU (npr. programi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Vseživljenjsko učenje</w:t>
      </w:r>
      <w:r>
        <w:rPr>
          <w:lang w:val="fr-BE"/>
        </w:rPr>
        <w:fldChar w:fldCharType="begin"/>
      </w:r>
      <w:r>
        <w:rPr>
          <w:lang w:val="fr-BE"/>
        </w:rPr>
        <w:instrText>QUO</w:instrText>
      </w:r>
      <w:r>
        <w:rPr>
          <w:lang w:val="fr-BE"/>
        </w:rPr>
        <w:instrText>TE 34</w:instrText>
      </w:r>
      <w:r>
        <w:rPr>
          <w:lang w:val="fr-BE"/>
        </w:rPr>
        <w:fldChar w:fldCharType="separate"/>
      </w:r>
      <w:r>
        <w:rPr>
          <w:lang w:val="fr-BE"/>
        </w:rPr>
        <w:t>"</w:t>
      </w:r>
      <w:r>
        <w:rPr>
          <w:lang w:val="fr-BE"/>
        </w:rPr>
        <w:fldChar w:fldCharType="end"/>
      </w:r>
      <w:r>
        <w:rPr>
          <w:lang w:val="fr-BE"/>
        </w:rPr>
        <w:t xml:space="preserve">,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Kultura</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 xml:space="preserve"> in </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Mladi v akciji</w:t>
      </w:r>
      <w:r>
        <w:rPr>
          <w:lang w:val="fr-BE"/>
        </w:rPr>
        <w:fldChar w:fldCharType="begin"/>
      </w:r>
      <w:r>
        <w:rPr>
          <w:lang w:val="fr-BE"/>
        </w:rPr>
        <w:instrText>QUOTE 34</w:instrText>
      </w:r>
      <w:r>
        <w:rPr>
          <w:lang w:val="fr-BE"/>
        </w:rPr>
        <w:fldChar w:fldCharType="separate"/>
      </w:r>
      <w:r>
        <w:rPr>
          <w:lang w:val="fr-BE"/>
        </w:rPr>
        <w:t>"</w:t>
      </w:r>
      <w:r>
        <w:rPr>
          <w:lang w:val="fr-BE"/>
        </w:rPr>
        <w:fldChar w:fldCharType="end"/>
      </w:r>
      <w:r>
        <w:rPr>
          <w:lang w:val="fr-BE"/>
        </w:rPr>
        <w:t>),</w:t>
      </w:r>
    </w:p>
    <w:p w:rsidR="00115C60" w:rsidRPr="00E30D80" w:rsidRDefault="00DC2731" w:rsidP="00115C60">
      <w:pPr>
        <w:pStyle w:val="Text1"/>
        <w:numPr>
          <w:ilvl w:val="0"/>
          <w:numId w:val="36"/>
        </w:numPr>
        <w:spacing w:before="0" w:after="0"/>
        <w:jc w:val="left"/>
        <w:rPr>
          <w:lang w:val="fr-BE"/>
        </w:rPr>
      </w:pPr>
      <w:r>
        <w:rPr>
          <w:noProof/>
          <w:lang w:val="fr-BE"/>
        </w:rPr>
        <w:t>instrumenti EU za zunanje odnose (npr. instrument za predpristopno pomoč, evropski instrument sosedstva in partnerstva, instrument za stabilnost), kar zadeva ukrepe v tr</w:t>
      </w:r>
      <w:r>
        <w:rPr>
          <w:noProof/>
          <w:lang w:val="fr-BE"/>
        </w:rPr>
        <w:t>etjih državah oziroma odnose z njimi.</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E3F8B" w:rsidTr="00003291">
        <w:tc>
          <w:tcPr>
            <w:tcW w:w="0" w:type="auto"/>
            <w:shd w:val="clear" w:color="auto" w:fill="auto"/>
          </w:tcPr>
          <w:p w:rsidR="006E3F8B" w:rsidRDefault="00DC2731">
            <w:pPr>
              <w:spacing w:before="0" w:after="240"/>
              <w:jc w:val="left"/>
            </w:pPr>
            <w:r>
              <w:t>OO zagotavlja komplementarnost preko različnih ravni organizacijske strukture:</w:t>
            </w:r>
          </w:p>
          <w:p w:rsidR="006E3F8B" w:rsidRDefault="00DC2731">
            <w:pPr>
              <w:numPr>
                <w:ilvl w:val="0"/>
                <w:numId w:val="42"/>
              </w:numPr>
              <w:spacing w:before="240" w:after="0"/>
              <w:ind w:hanging="210"/>
              <w:jc w:val="left"/>
            </w:pPr>
            <w:r>
              <w:t>hierarhično na najvišji ravni (Nadzorni odbor), v katerem so v skladu z načelom partnerstva zastopana vsa ministrstva/telesa, ki so vključ</w:t>
            </w:r>
            <w:r>
              <w:t>ena v izvajanje AMIF in ISF. Sestavljajo ga predstavniki državnih organov - pristojni organi MCS, drugi organi, katerih pristojnosti (delno) vsebinsko zadevajo tudi projekte, ki se financirajo iz AMIF in ISF, predstavnik nevladnih organizacij ter predstavn</w:t>
            </w:r>
            <w:r>
              <w:t>ik Službe vlade RS za razvoj in evropsko kohezijsko politiko - z namenom zagotavljanja skladnosti in dopolnjevanja z drugimi finančnimi instrumenti EU.</w:t>
            </w:r>
          </w:p>
          <w:p w:rsidR="006E3F8B" w:rsidRDefault="00DC2731">
            <w:pPr>
              <w:numPr>
                <w:ilvl w:val="0"/>
                <w:numId w:val="42"/>
              </w:numPr>
              <w:spacing w:before="0" w:after="0"/>
              <w:ind w:hanging="210"/>
              <w:jc w:val="left"/>
            </w:pPr>
            <w:r>
              <w:t xml:space="preserve">Na ravni Medresorske delovne skupine (MDS), ki deluje kot operativna delovna skupina Nadzornega odbora, </w:t>
            </w:r>
            <w:r>
              <w:t>velja enako pravilo sestave članstva kot pri Nadzornem odboru, z namenom zagotavljanja skladnosti in dopolnjevanja z drugimi finančnimi instrumenti EU tudi v MDS sodeluje predstavnik Službe vlade RS za razvoj in evropsko kohezijsko politiko.</w:t>
            </w:r>
          </w:p>
          <w:p w:rsidR="006E3F8B" w:rsidRDefault="00DC2731">
            <w:pPr>
              <w:numPr>
                <w:ilvl w:val="0"/>
                <w:numId w:val="42"/>
              </w:numPr>
              <w:spacing w:before="0" w:after="240"/>
              <w:ind w:hanging="210"/>
              <w:jc w:val="left"/>
            </w:pPr>
            <w:r>
              <w:t>Na ravni proje</w:t>
            </w:r>
            <w:r>
              <w:t>kta se komplementarnost zagotavlja že v okviru faze prijave projekta, v kateri mora končni upravičenec (oz. vodja projekta) za vsak projekt, ki je odobren s strani OO, kot upravičenec do finančnih sredstev AMIF in ISF podati informacijo o komplementarnosti</w:t>
            </w:r>
            <w:r>
              <w:t xml:space="preserve"> z drugimi projekti oz. viri financiranja, kadar je to relevantno.</w:t>
            </w:r>
          </w:p>
          <w:p w:rsidR="006E3F8B" w:rsidRDefault="00DC2731">
            <w:pPr>
              <w:spacing w:before="240" w:after="240"/>
              <w:jc w:val="left"/>
            </w:pPr>
            <w:r>
              <w:t> </w:t>
            </w:r>
          </w:p>
          <w:p w:rsidR="006E3F8B" w:rsidRDefault="00DC2731">
            <w:pPr>
              <w:spacing w:before="240" w:after="240"/>
              <w:jc w:val="left"/>
            </w:pPr>
            <w:r>
              <w:t>V letu 2019 je OO vpeljal prakso, da na rednih sejah MDS, resorji predstavijo možnosti dopolnjevanja skladov AMIF in ISF z drugimi evropskimi skladi ali finančnimi instrumenti. Informacij</w:t>
            </w:r>
            <w:r>
              <w:t xml:space="preserve">a glede dopolnjevanja z drugimi evropskimi skladi ali finančnimi instrumenti z delovnega področja posameznih resorjev je bila točka dnevnega reda 6. sestanka Medresorske delovne skupine za koordinacijo in operativno usklajevanje izvajanja projektov, ki se </w:t>
            </w:r>
            <w:r>
              <w:t xml:space="preserve">financirajo iz sredstev skladov s področja notranje varnosti in migracij, 15.4.2019. Predstavitev glede možnosti dopolnjevanja skladov AMIF in ISF z drugimi evropskimi skladi ali finančnimi instrumenti je tudi redna točka sej NO, ki se je prvič seznanil s </w:t>
            </w:r>
            <w:r>
              <w:t>tematiko na 12. seji, 9. 5. 2019.</w:t>
            </w:r>
          </w:p>
          <w:p w:rsidR="006E3F8B" w:rsidRDefault="00DC2731">
            <w:pPr>
              <w:spacing w:before="240" w:after="240"/>
              <w:jc w:val="left"/>
            </w:pPr>
            <w:r>
              <w:t> </w:t>
            </w:r>
          </w:p>
          <w:p w:rsidR="004B5B5F" w:rsidRPr="00003291" w:rsidRDefault="004B5B5F" w:rsidP="00003291">
            <w:pPr>
              <w:pStyle w:val="Text1"/>
              <w:spacing w:before="0" w:after="0"/>
              <w:ind w:left="0"/>
              <w:rPr>
                <w:lang w:val="fr-BE"/>
              </w:rPr>
            </w:pPr>
          </w:p>
        </w:tc>
      </w:tr>
    </w:tbl>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r>
        <w:rPr>
          <w:lang w:val="fr-BE"/>
        </w:rPr>
        <w:br w:type="page"/>
      </w:r>
      <w:bookmarkStart w:id="16" w:name="_Toc256000017"/>
      <w:r>
        <w:rPr>
          <w:noProof/>
          <w:lang w:val="fr-BE"/>
        </w:rPr>
        <w:lastRenderedPageBreak/>
        <w:t>6.6 Neposredna oddaja naročila</w:t>
      </w:r>
      <w:bookmarkEnd w:id="16"/>
    </w:p>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bookmarkStart w:id="17" w:name="_Toc256000018"/>
      <w:r>
        <w:rPr>
          <w:noProof/>
          <w:lang w:val="fr-BE"/>
        </w:rPr>
        <w:t>Utemeljite vsak primer neposredne dodelitve.</w:t>
      </w:r>
      <w:bookmarkEnd w:id="17"/>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E3F8B" w:rsidTr="00003291">
        <w:tc>
          <w:tcPr>
            <w:tcW w:w="0" w:type="auto"/>
            <w:shd w:val="clear" w:color="auto" w:fill="auto"/>
          </w:tcPr>
          <w:p w:rsidR="006E3F8B" w:rsidRDefault="00DC2731">
            <w:pPr>
              <w:spacing w:before="0" w:after="240"/>
              <w:jc w:val="left"/>
            </w:pPr>
            <w:r>
              <w:t xml:space="preserve">V letu 2019 je bilo preko neposredne dodelitve odobrenih 23 projektov končnih upravičencev, v vseh primerih zaradi narave projekta oz. </w:t>
            </w:r>
            <w:r>
              <w:t>legalnega monopola končnega upravičenca.</w:t>
            </w:r>
          </w:p>
          <w:p w:rsidR="006E3F8B" w:rsidRDefault="00DC2731">
            <w:pPr>
              <w:spacing w:before="240" w:after="240"/>
              <w:jc w:val="left"/>
            </w:pPr>
            <w:r>
              <w:t>Dokument "Implementacijsko poročilo 2019 – seznam projektov AMIF in utemeljitev glede načina dodelitve" je pripet v rubriki "Dokumenti" (Priloga 2).</w:t>
            </w:r>
          </w:p>
          <w:p w:rsidR="004B5B5F" w:rsidRPr="00003291" w:rsidRDefault="004B5B5F" w:rsidP="00003291">
            <w:pPr>
              <w:pStyle w:val="Text1"/>
              <w:spacing w:before="0" w:after="0"/>
              <w:ind w:left="0"/>
              <w:rPr>
                <w:lang w:val="fr-BE"/>
              </w:rPr>
            </w:pPr>
          </w:p>
        </w:tc>
      </w:tr>
    </w:tbl>
    <w:p w:rsidR="00115C60" w:rsidRPr="00E30D80" w:rsidRDefault="00115C60" w:rsidP="00115C60">
      <w:pPr>
        <w:pStyle w:val="Text1"/>
        <w:spacing w:before="0" w:after="0"/>
        <w:ind w:left="0"/>
        <w:rPr>
          <w:lang w:val="fr-BE"/>
        </w:rPr>
      </w:pPr>
    </w:p>
    <w:p w:rsidR="00115C60" w:rsidRDefault="00DC2731" w:rsidP="00115C60">
      <w:pPr>
        <w:pStyle w:val="Naslov1"/>
        <w:numPr>
          <w:ilvl w:val="0"/>
          <w:numId w:val="0"/>
        </w:numPr>
        <w:spacing w:before="0" w:after="0"/>
        <w:rPr>
          <w:lang w:val="fr-BE"/>
        </w:rPr>
      </w:pPr>
      <w:r>
        <w:rPr>
          <w:lang w:val="fr-BE"/>
        </w:rPr>
        <w:br w:type="page"/>
      </w:r>
      <w:bookmarkStart w:id="18" w:name="_Toc256000019"/>
      <w:r>
        <w:rPr>
          <w:noProof/>
          <w:lang w:val="fr-BE"/>
        </w:rPr>
        <w:lastRenderedPageBreak/>
        <w:t>ODDELEK 7: FINANČNO POROČILO (ČLEN 54(2)(A) UREDBE (EU) ŠT. 51</w:t>
      </w:r>
      <w:r>
        <w:rPr>
          <w:noProof/>
          <w:lang w:val="fr-BE"/>
        </w:rPr>
        <w:t>4/2014)</w:t>
      </w:r>
      <w:bookmarkEnd w:id="18"/>
    </w:p>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bookmarkStart w:id="19" w:name="_Toc256000020"/>
      <w:r>
        <w:rPr>
          <w:noProof/>
          <w:lang w:val="fr-BE"/>
        </w:rPr>
        <w:t>Preglednica 1. Finančni povzetek za sklad AMIF, kot je navedeno v obračunih</w:t>
      </w:r>
      <w:bookmarkEnd w:id="19"/>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572"/>
        <w:gridCol w:w="766"/>
        <w:gridCol w:w="2460"/>
        <w:gridCol w:w="766"/>
      </w:tblGrid>
      <w:tr w:rsidR="006E3F8B" w:rsidTr="004677D0">
        <w:tc>
          <w:tcPr>
            <w:tcW w:w="0" w:type="auto"/>
            <w:shd w:val="clear" w:color="auto" w:fill="auto"/>
          </w:tcPr>
          <w:p w:rsidR="004677D0" w:rsidRPr="004A389B" w:rsidRDefault="00DC2731" w:rsidP="00883A98">
            <w:pPr>
              <w:pStyle w:val="Text1"/>
              <w:spacing w:before="0" w:after="0"/>
              <w:ind w:left="0"/>
              <w:rPr>
                <w:b/>
                <w:sz w:val="20"/>
                <w:szCs w:val="20"/>
                <w:lang w:val="fr-BE"/>
              </w:rPr>
            </w:pPr>
            <w:r w:rsidRPr="004A389B">
              <w:rPr>
                <w:b/>
                <w:noProof/>
                <w:sz w:val="20"/>
                <w:szCs w:val="20"/>
                <w:lang w:val="fr-BE"/>
              </w:rPr>
              <w:t>Nacionalni cilj / specifični ukrep</w:t>
            </w:r>
          </w:p>
        </w:tc>
        <w:tc>
          <w:tcPr>
            <w:tcW w:w="0" w:type="auto"/>
          </w:tcPr>
          <w:p w:rsidR="004677D0" w:rsidRPr="004A389B" w:rsidRDefault="00DC2731" w:rsidP="00883A98">
            <w:pPr>
              <w:pStyle w:val="Text1"/>
              <w:spacing w:before="0" w:after="0"/>
              <w:ind w:left="0"/>
              <w:rPr>
                <w:b/>
                <w:sz w:val="20"/>
                <w:szCs w:val="20"/>
                <w:lang w:val="fr-BE"/>
              </w:rPr>
            </w:pPr>
            <w:r w:rsidRPr="004A389B">
              <w:rPr>
                <w:b/>
                <w:noProof/>
                <w:sz w:val="20"/>
                <w:szCs w:val="20"/>
                <w:lang w:val="fr-BE"/>
              </w:rPr>
              <w:t>Skupni prispevek Unije, plačan v letu</w:t>
            </w:r>
            <w:r w:rsidR="00A505F8">
              <w:rPr>
                <w:b/>
                <w:sz w:val="20"/>
                <w:szCs w:val="20"/>
                <w:lang w:val="fr-BE"/>
              </w:rPr>
              <w:t xml:space="preserve"> </w:t>
            </w:r>
            <w:r w:rsidR="00A505F8">
              <w:rPr>
                <w:b/>
                <w:noProof/>
                <w:sz w:val="20"/>
                <w:szCs w:val="20"/>
                <w:lang w:val="fr-BE"/>
              </w:rPr>
              <w:t>2019</w:t>
            </w:r>
          </w:p>
        </w:tc>
        <w:tc>
          <w:tcPr>
            <w:tcW w:w="0" w:type="auto"/>
          </w:tcPr>
          <w:p w:rsidR="004677D0" w:rsidRPr="004A389B" w:rsidRDefault="00883A98" w:rsidP="00883A98">
            <w:pPr>
              <w:pStyle w:val="Text1"/>
              <w:spacing w:before="0" w:after="0"/>
              <w:ind w:left="0"/>
              <w:jc w:val="center"/>
              <w:rPr>
                <w:b/>
                <w:sz w:val="20"/>
                <w:szCs w:val="20"/>
                <w:lang w:val="fr-BE"/>
              </w:rPr>
            </w:pPr>
            <w:r>
              <w:rPr>
                <w:b/>
                <w:sz w:val="20"/>
                <w:szCs w:val="20"/>
                <w:lang w:val="fr-BE"/>
              </w:rPr>
              <w:t>%</w:t>
            </w:r>
          </w:p>
        </w:tc>
        <w:tc>
          <w:tcPr>
            <w:tcW w:w="0" w:type="auto"/>
            <w:shd w:val="clear" w:color="auto" w:fill="auto"/>
          </w:tcPr>
          <w:p w:rsidR="004677D0" w:rsidRPr="004A389B" w:rsidRDefault="00DC2731" w:rsidP="00883A98">
            <w:pPr>
              <w:pStyle w:val="Text1"/>
              <w:spacing w:before="0" w:after="0"/>
              <w:ind w:left="0"/>
              <w:rPr>
                <w:b/>
                <w:sz w:val="20"/>
                <w:szCs w:val="20"/>
                <w:lang w:val="fr-BE"/>
              </w:rPr>
            </w:pPr>
            <w:r w:rsidRPr="004A389B">
              <w:rPr>
                <w:b/>
                <w:noProof/>
                <w:sz w:val="20"/>
                <w:szCs w:val="20"/>
                <w:lang w:val="fr-BE"/>
              </w:rPr>
              <w:t>Plačan skupni prispevek Unije (vsa leta)</w:t>
            </w:r>
          </w:p>
        </w:tc>
        <w:tc>
          <w:tcPr>
            <w:tcW w:w="0" w:type="auto"/>
            <w:shd w:val="clear" w:color="auto" w:fill="auto"/>
          </w:tcPr>
          <w:p w:rsidR="004677D0" w:rsidRPr="004A389B" w:rsidRDefault="00DC2731" w:rsidP="00883A98">
            <w:pPr>
              <w:pStyle w:val="Text1"/>
              <w:spacing w:before="0" w:after="0"/>
              <w:ind w:left="0"/>
              <w:jc w:val="center"/>
              <w:rPr>
                <w:b/>
                <w:sz w:val="20"/>
                <w:szCs w:val="20"/>
                <w:lang w:val="fr-BE"/>
              </w:rPr>
            </w:pPr>
            <w:r w:rsidRPr="004A389B">
              <w:rPr>
                <w:b/>
                <w:sz w:val="20"/>
                <w:szCs w:val="20"/>
                <w:lang w:val="fr-BE"/>
              </w:rPr>
              <w:t>%</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Posebni cilj1.Nacionalni cilj1 Sprejem/azil</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450.436,62</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1.619.766,99</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100,00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SKUPAJ NACIONALNI CILJI / POSEBNI CILJI1</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450.436,62</w:t>
            </w:r>
          </w:p>
        </w:tc>
        <w:tc>
          <w:tcPr>
            <w:tcW w:w="0" w:type="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1.619.766,99</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100,00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SKUPAJ Posebni cilj1</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450.436,62</w:t>
            </w:r>
          </w:p>
        </w:tc>
        <w:tc>
          <w:tcPr>
            <w:tcW w:w="0" w:type="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14,49</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1.619.766,99</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20,87</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Posebni cilj2.Nacionalni cilj2 Vključevanje</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1.647.509,86</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99,62</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2.689.822,37</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98,29</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Posebni cilj2.Nacionalni cilj3 Zmogljivost</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6.232,09</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0,38</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46.665,07</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1,71</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SKUPAJ NACIONALNI CILJI / POSEBNI CILJI2</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1.653.741,95</w:t>
            </w:r>
          </w:p>
        </w:tc>
        <w:tc>
          <w:tcPr>
            <w:tcW w:w="0" w:type="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2.736.487,44</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100,00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SKUPAJ Posebni cilj2</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1.653.741,95</w:t>
            </w:r>
          </w:p>
        </w:tc>
        <w:tc>
          <w:tcPr>
            <w:tcW w:w="0" w:type="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53,21</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2.736.487,44</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35,26</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 xml:space="preserve">Posebni cilj3.Nacionalni cilj1 </w:t>
            </w:r>
            <w:r w:rsidRPr="004A389B">
              <w:rPr>
                <w:noProof/>
                <w:sz w:val="20"/>
                <w:szCs w:val="20"/>
              </w:rPr>
              <w:t>Spremljevalni ukrepi</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791.370,24</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1.359.144,72</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100,00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SKUPAJ NACIONALNI CILJI / POSEBNI CILJI3</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791.370,24</w:t>
            </w:r>
          </w:p>
        </w:tc>
        <w:tc>
          <w:tcPr>
            <w:tcW w:w="0" w:type="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100,00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1.359.144,72</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100,00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SKUPAJ Posebni cilj3</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791.370,24</w:t>
            </w:r>
          </w:p>
        </w:tc>
        <w:tc>
          <w:tcPr>
            <w:tcW w:w="0" w:type="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25,46</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1.359.144,72</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17,51</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Obljubljena sredstva (prednostne naloge Unije)</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130.000,00</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100,00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340.000,00</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18,30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Predaje</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0,00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Premestitve</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0,00</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0,00</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1.518.000,00</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81,70</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SKUPAJ posebni primeri</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130.000,00</w:t>
            </w:r>
          </w:p>
        </w:tc>
        <w:tc>
          <w:tcPr>
            <w:tcW w:w="0" w:type="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4,18</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1.858.000,00</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b/>
                <w:noProof/>
                <w:sz w:val="20"/>
                <w:szCs w:val="20"/>
              </w:rPr>
              <w:t>23,94</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sz w:val="20"/>
                <w:szCs w:val="20"/>
              </w:rPr>
              <w:t>Tehnična pomoč</w:t>
            </w:r>
          </w:p>
        </w:tc>
        <w:tc>
          <w:tcPr>
            <w:tcW w:w="0" w:type="auto"/>
          </w:tcPr>
          <w:p w:rsidR="004677D0" w:rsidRPr="004A389B" w:rsidRDefault="00DC2731" w:rsidP="004677D0">
            <w:pPr>
              <w:pStyle w:val="Text1"/>
              <w:spacing w:before="0" w:after="0"/>
              <w:ind w:left="0"/>
              <w:jc w:val="right"/>
              <w:rPr>
                <w:sz w:val="20"/>
                <w:szCs w:val="20"/>
                <w:lang w:val="fr-BE"/>
              </w:rPr>
            </w:pPr>
            <w:r w:rsidRPr="004A389B">
              <w:rPr>
                <w:noProof/>
                <w:sz w:val="20"/>
                <w:szCs w:val="20"/>
              </w:rPr>
              <w:t>82.618,02</w:t>
            </w: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sz w:val="20"/>
                <w:szCs w:val="20"/>
              </w:rPr>
              <w:t>2,66</w:t>
            </w: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sidRPr="004A389B">
              <w:rPr>
                <w:noProof/>
                <w:sz w:val="20"/>
                <w:szCs w:val="20"/>
              </w:rPr>
              <w:t>187.134,48</w:t>
            </w: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sz w:val="20"/>
                <w:szCs w:val="20"/>
              </w:rPr>
              <w:t>2,41</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b/>
                <w:noProof/>
                <w:sz w:val="20"/>
                <w:szCs w:val="20"/>
              </w:rPr>
              <w:t>TOTAL</w:t>
            </w:r>
          </w:p>
        </w:tc>
        <w:tc>
          <w:tcPr>
            <w:tcW w:w="0" w:type="auto"/>
          </w:tcPr>
          <w:p w:rsidR="004677D0" w:rsidRPr="004A389B" w:rsidRDefault="00DC2731" w:rsidP="004677D0">
            <w:pPr>
              <w:pStyle w:val="Text1"/>
              <w:spacing w:before="0" w:after="0"/>
              <w:ind w:left="0"/>
              <w:jc w:val="right"/>
              <w:rPr>
                <w:sz w:val="20"/>
                <w:szCs w:val="20"/>
                <w:lang w:val="fr-BE"/>
              </w:rPr>
            </w:pPr>
            <w:r w:rsidRPr="004A389B">
              <w:rPr>
                <w:b/>
                <w:noProof/>
                <w:sz w:val="20"/>
                <w:szCs w:val="20"/>
              </w:rPr>
              <w:t>3.108.166,83</w:t>
            </w:r>
          </w:p>
        </w:tc>
        <w:tc>
          <w:tcPr>
            <w:tcW w:w="0" w:type="auto"/>
          </w:tcPr>
          <w:p w:rsidR="004677D0" w:rsidRPr="004A389B" w:rsidRDefault="004677D0" w:rsidP="00883A98">
            <w:pPr>
              <w:pStyle w:val="Text1"/>
              <w:spacing w:before="0" w:after="0"/>
              <w:ind w:left="0"/>
              <w:jc w:val="right"/>
              <w:rPr>
                <w:sz w:val="20"/>
                <w:szCs w:val="20"/>
                <w:lang w:val="fr-BE"/>
              </w:rPr>
            </w:pPr>
          </w:p>
        </w:tc>
        <w:tc>
          <w:tcPr>
            <w:tcW w:w="0" w:type="auto"/>
            <w:shd w:val="clear" w:color="auto" w:fill="auto"/>
          </w:tcPr>
          <w:p w:rsidR="004677D0" w:rsidRPr="004A389B" w:rsidRDefault="00DC2731" w:rsidP="004677D0">
            <w:pPr>
              <w:pStyle w:val="Text1"/>
              <w:spacing w:before="0" w:after="0"/>
              <w:ind w:left="0"/>
              <w:jc w:val="right"/>
              <w:rPr>
                <w:sz w:val="20"/>
                <w:szCs w:val="20"/>
                <w:lang w:val="fr-BE"/>
              </w:rPr>
            </w:pPr>
            <w:r>
              <w:rPr>
                <w:b/>
                <w:noProof/>
                <w:sz w:val="20"/>
                <w:szCs w:val="20"/>
              </w:rPr>
              <w:t>7.760.533,63</w:t>
            </w:r>
          </w:p>
        </w:tc>
        <w:tc>
          <w:tcPr>
            <w:tcW w:w="0" w:type="auto"/>
            <w:shd w:val="clear" w:color="auto" w:fill="auto"/>
          </w:tcPr>
          <w:p w:rsidR="004677D0" w:rsidRPr="004A389B" w:rsidRDefault="004677D0" w:rsidP="00883A98">
            <w:pPr>
              <w:pStyle w:val="Text1"/>
              <w:spacing w:before="0" w:after="0"/>
              <w:ind w:left="0"/>
              <w:jc w:val="right"/>
              <w:rPr>
                <w:sz w:val="20"/>
                <w:szCs w:val="20"/>
                <w:lang w:val="fr-BE"/>
              </w:rPr>
            </w:pP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color w:val="FF0000"/>
                <w:sz w:val="20"/>
                <w:szCs w:val="20"/>
              </w:rPr>
              <w:t xml:space="preserve">NC PC1 skupaj / </w:t>
            </w:r>
            <w:r w:rsidRPr="004A389B">
              <w:rPr>
                <w:noProof/>
                <w:color w:val="FF0000"/>
                <w:sz w:val="20"/>
                <w:szCs w:val="20"/>
              </w:rPr>
              <w:t>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color w:val="FF0000"/>
                <w:sz w:val="20"/>
                <w:szCs w:val="20"/>
              </w:rPr>
              <w:t>2,43</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color w:val="FF0000"/>
                <w:sz w:val="20"/>
                <w:szCs w:val="20"/>
              </w:rPr>
              <w:t>8,75</w:t>
            </w:r>
          </w:p>
        </w:tc>
      </w:tr>
      <w:tr w:rsidR="006E3F8B" w:rsidTr="004677D0">
        <w:tc>
          <w:tcPr>
            <w:tcW w:w="0" w:type="auto"/>
            <w:shd w:val="clear" w:color="auto" w:fill="auto"/>
          </w:tcPr>
          <w:p w:rsidR="004677D0" w:rsidRPr="004A389B" w:rsidRDefault="00DC2731" w:rsidP="004677D0">
            <w:pPr>
              <w:pStyle w:val="Text1"/>
              <w:spacing w:before="0" w:after="0"/>
              <w:ind w:left="0"/>
              <w:rPr>
                <w:sz w:val="20"/>
                <w:szCs w:val="20"/>
                <w:lang w:val="fr-BE"/>
              </w:rPr>
            </w:pPr>
            <w:r w:rsidRPr="004A389B">
              <w:rPr>
                <w:noProof/>
                <w:color w:val="FF0000"/>
                <w:sz w:val="20"/>
                <w:szCs w:val="20"/>
              </w:rPr>
              <w:t>NC PC2 skupaj / Osnovna dodelitev iz Sklada za azil, migracije in vključevanje (AMIF)</w:t>
            </w:r>
          </w:p>
        </w:tc>
        <w:tc>
          <w:tcPr>
            <w:tcW w:w="0" w:type="auto"/>
          </w:tcPr>
          <w:p w:rsidR="004677D0" w:rsidRPr="004A389B" w:rsidRDefault="004677D0" w:rsidP="004677D0">
            <w:pPr>
              <w:pStyle w:val="Text1"/>
              <w:spacing w:before="0" w:after="0"/>
              <w:ind w:left="0"/>
              <w:jc w:val="right"/>
              <w:rPr>
                <w:sz w:val="20"/>
                <w:szCs w:val="20"/>
                <w:lang w:val="fr-BE"/>
              </w:rPr>
            </w:pPr>
          </w:p>
        </w:tc>
        <w:tc>
          <w:tcPr>
            <w:tcW w:w="0" w:type="auto"/>
          </w:tcPr>
          <w:p w:rsidR="004677D0" w:rsidRPr="004A389B" w:rsidRDefault="00DC2731" w:rsidP="00883A98">
            <w:pPr>
              <w:pStyle w:val="Text1"/>
              <w:spacing w:before="0" w:after="0"/>
              <w:ind w:left="0"/>
              <w:jc w:val="right"/>
              <w:rPr>
                <w:sz w:val="20"/>
                <w:szCs w:val="20"/>
                <w:lang w:val="fr-BE"/>
              </w:rPr>
            </w:pPr>
            <w:r w:rsidRPr="004A389B">
              <w:rPr>
                <w:noProof/>
                <w:color w:val="FF0000"/>
                <w:sz w:val="20"/>
                <w:szCs w:val="20"/>
              </w:rPr>
              <w:t>8,93</w:t>
            </w:r>
          </w:p>
        </w:tc>
        <w:tc>
          <w:tcPr>
            <w:tcW w:w="0" w:type="auto"/>
            <w:shd w:val="clear" w:color="auto" w:fill="auto"/>
          </w:tcPr>
          <w:p w:rsidR="004677D0" w:rsidRPr="004A389B" w:rsidRDefault="004677D0" w:rsidP="004677D0">
            <w:pPr>
              <w:pStyle w:val="Text1"/>
              <w:spacing w:before="0" w:after="0"/>
              <w:ind w:left="0"/>
              <w:jc w:val="right"/>
              <w:rPr>
                <w:sz w:val="20"/>
                <w:szCs w:val="20"/>
                <w:lang w:val="fr-BE"/>
              </w:rPr>
            </w:pPr>
          </w:p>
        </w:tc>
        <w:tc>
          <w:tcPr>
            <w:tcW w:w="0" w:type="auto"/>
            <w:shd w:val="clear" w:color="auto" w:fill="auto"/>
          </w:tcPr>
          <w:p w:rsidR="004677D0" w:rsidRPr="004A389B" w:rsidRDefault="00DC2731" w:rsidP="00883A98">
            <w:pPr>
              <w:pStyle w:val="Text1"/>
              <w:spacing w:before="0" w:after="0"/>
              <w:ind w:left="0"/>
              <w:jc w:val="right"/>
              <w:rPr>
                <w:sz w:val="20"/>
                <w:szCs w:val="20"/>
                <w:lang w:val="fr-BE"/>
              </w:rPr>
            </w:pPr>
            <w:r w:rsidRPr="004A389B">
              <w:rPr>
                <w:noProof/>
                <w:color w:val="FF0000"/>
                <w:sz w:val="20"/>
                <w:szCs w:val="20"/>
              </w:rPr>
              <w:t>14,78</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72625A">
          <w:headerReference w:type="default" r:id="rId16"/>
          <w:footerReference w:type="default" r:id="rId17"/>
          <w:pgSz w:w="11906" w:h="16838"/>
          <w:pgMar w:top="284" w:right="851" w:bottom="284" w:left="284" w:header="567" w:footer="0" w:gutter="0"/>
          <w:cols w:space="708"/>
          <w:docGrid w:linePitch="360"/>
        </w:sectPr>
      </w:pPr>
    </w:p>
    <w:p w:rsidR="00115C60" w:rsidRDefault="00DC2731" w:rsidP="00115C60">
      <w:pPr>
        <w:pStyle w:val="Naslov2"/>
        <w:numPr>
          <w:ilvl w:val="0"/>
          <w:numId w:val="0"/>
        </w:numPr>
        <w:spacing w:before="0" w:after="0"/>
        <w:rPr>
          <w:lang w:val="fr-BE"/>
        </w:rPr>
      </w:pPr>
      <w:bookmarkStart w:id="20" w:name="_Toc256000021"/>
      <w:r>
        <w:rPr>
          <w:noProof/>
          <w:lang w:val="fr-BE"/>
        </w:rPr>
        <w:lastRenderedPageBreak/>
        <w:t xml:space="preserve">Preglednica 2. Obljubljena </w:t>
      </w:r>
      <w:r>
        <w:rPr>
          <w:noProof/>
          <w:lang w:val="fr-BE"/>
        </w:rPr>
        <w:t>sredstva za posebne primere, kot je navedeno v obračunih</w:t>
      </w:r>
      <w:bookmarkEnd w:id="20"/>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30"/>
        <w:gridCol w:w="758"/>
        <w:gridCol w:w="758"/>
        <w:gridCol w:w="758"/>
        <w:gridCol w:w="1595"/>
        <w:gridCol w:w="1402"/>
        <w:gridCol w:w="1402"/>
        <w:gridCol w:w="759"/>
        <w:gridCol w:w="759"/>
        <w:gridCol w:w="759"/>
        <w:gridCol w:w="759"/>
        <w:gridCol w:w="1595"/>
      </w:tblGrid>
      <w:tr w:rsidR="006E3F8B" w:rsidTr="00003291">
        <w:tc>
          <w:tcPr>
            <w:tcW w:w="0" w:type="auto"/>
            <w:shd w:val="clear" w:color="auto" w:fill="auto"/>
          </w:tcPr>
          <w:p w:rsidR="00115C60" w:rsidRPr="004A389B" w:rsidRDefault="00DC2731" w:rsidP="00003291">
            <w:pPr>
              <w:pStyle w:val="Text1"/>
              <w:spacing w:before="0" w:after="0"/>
              <w:ind w:left="0"/>
              <w:rPr>
                <w:b/>
                <w:sz w:val="12"/>
                <w:szCs w:val="12"/>
                <w:lang w:val="fr-BE"/>
              </w:rPr>
            </w:pPr>
            <w:r w:rsidRPr="004A389B">
              <w:rPr>
                <w:b/>
                <w:noProof/>
                <w:sz w:val="12"/>
                <w:szCs w:val="12"/>
                <w:lang w:val="fr-BE"/>
              </w:rPr>
              <w:t>Posebni primer zavez</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noProof/>
                <w:sz w:val="12"/>
                <w:szCs w:val="12"/>
                <w:lang w:val="fr-BE"/>
              </w:rPr>
              <w:t>Skupaj</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Preselitve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210.000,00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130.000,00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340.000,00</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Premestitve (2015/1523)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216.000,00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216.000,00</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Premestitve (2015/1601)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1.302.000,00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1.302.000,00</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Država članica: 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Premestitve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 xml:space="preserve">Sprejem iz </w:t>
            </w:r>
            <w:r w:rsidRPr="004A389B">
              <w:rPr>
                <w:noProof/>
                <w:sz w:val="12"/>
                <w:szCs w:val="12"/>
                <w:lang w:val="fr-BE"/>
              </w:rPr>
              <w:t>Turčije (2016/1754) skupaj</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b/>
                <w:noProof/>
                <w:sz w:val="12"/>
                <w:szCs w:val="12"/>
                <w:lang w:val="fr-BE"/>
              </w:rPr>
              <w:t>SKUPAJ</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1.302.000,00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426.000,00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130.000,00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115C60" w:rsidP="00003291">
            <w:pPr>
              <w:pStyle w:val="Text1"/>
              <w:spacing w:before="0" w:after="0"/>
              <w:ind w:left="0"/>
              <w:jc w:val="right"/>
              <w:rPr>
                <w:sz w:val="12"/>
                <w:szCs w:val="12"/>
                <w:lang w:val="fr-BE"/>
              </w:rPr>
            </w:pP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1.858.000,00</w:t>
            </w:r>
          </w:p>
        </w:tc>
      </w:tr>
    </w:tbl>
    <w:p w:rsidR="00115C60" w:rsidRDefault="00115C60" w:rsidP="00115C60">
      <w:pPr>
        <w:pStyle w:val="Text1"/>
        <w:spacing w:before="0" w:after="0"/>
        <w:ind w:left="0"/>
        <w:rPr>
          <w:lang w:val="fr-BE"/>
        </w:rPr>
      </w:pPr>
    </w:p>
    <w:p w:rsidR="00115C60" w:rsidRDefault="00DC2731" w:rsidP="00115C60">
      <w:pPr>
        <w:pStyle w:val="Naslov2"/>
        <w:numPr>
          <w:ilvl w:val="0"/>
          <w:numId w:val="0"/>
        </w:numPr>
        <w:spacing w:before="0" w:after="0"/>
        <w:rPr>
          <w:lang w:val="fr-BE"/>
        </w:rPr>
      </w:pPr>
      <w:r>
        <w:rPr>
          <w:lang w:val="fr-BE"/>
        </w:rPr>
        <w:br w:type="page"/>
      </w:r>
      <w:bookmarkStart w:id="21" w:name="_Toc256000022"/>
      <w:r>
        <w:rPr>
          <w:noProof/>
          <w:lang w:val="fr-BE"/>
        </w:rPr>
        <w:lastRenderedPageBreak/>
        <w:t xml:space="preserve">Preglednica 3. Izvajanje finančnega načrta nacionalnega programa, pri čemer je naveden skupni prispevek </w:t>
      </w:r>
      <w:r>
        <w:rPr>
          <w:noProof/>
          <w:lang w:val="fr-BE"/>
        </w:rPr>
        <w:t>EU za vsako proračunsko leto</w:t>
      </w:r>
      <w:bookmarkEnd w:id="21"/>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28"/>
        <w:gridCol w:w="1210"/>
        <w:gridCol w:w="1210"/>
        <w:gridCol w:w="1210"/>
        <w:gridCol w:w="1210"/>
        <w:gridCol w:w="1210"/>
        <w:gridCol w:w="1210"/>
        <w:gridCol w:w="1210"/>
        <w:gridCol w:w="576"/>
        <w:gridCol w:w="576"/>
        <w:gridCol w:w="576"/>
        <w:gridCol w:w="1308"/>
      </w:tblGrid>
      <w:tr w:rsidR="006E3F8B" w:rsidTr="00003291">
        <w:tc>
          <w:tcPr>
            <w:tcW w:w="0" w:type="auto"/>
            <w:shd w:val="clear" w:color="auto" w:fill="auto"/>
          </w:tcPr>
          <w:p w:rsidR="00115C60" w:rsidRPr="004A389B" w:rsidRDefault="00115C60" w:rsidP="00003291">
            <w:pPr>
              <w:pStyle w:val="Text1"/>
              <w:spacing w:before="0" w:after="0"/>
              <w:ind w:left="0"/>
              <w:rPr>
                <w:b/>
                <w:sz w:val="12"/>
                <w:szCs w:val="12"/>
                <w:lang w:val="fr-BE"/>
              </w:rPr>
            </w:pP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2014</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2015</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2016</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2017</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2018</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2019</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2020</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2021</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2022</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sz w:val="12"/>
                <w:szCs w:val="12"/>
                <w:lang w:val="fr-BE"/>
              </w:rPr>
              <w:t>2023</w:t>
            </w:r>
          </w:p>
        </w:tc>
        <w:tc>
          <w:tcPr>
            <w:tcW w:w="0" w:type="auto"/>
            <w:shd w:val="clear" w:color="auto" w:fill="auto"/>
          </w:tcPr>
          <w:p w:rsidR="00115C60" w:rsidRPr="004A389B" w:rsidRDefault="00DC2731" w:rsidP="00003291">
            <w:pPr>
              <w:pStyle w:val="Text1"/>
              <w:spacing w:before="0" w:after="0"/>
              <w:ind w:left="0"/>
              <w:jc w:val="center"/>
              <w:rPr>
                <w:b/>
                <w:sz w:val="12"/>
                <w:szCs w:val="12"/>
                <w:lang w:val="fr-BE"/>
              </w:rPr>
            </w:pPr>
            <w:r w:rsidRPr="004A389B">
              <w:rPr>
                <w:b/>
                <w:noProof/>
                <w:sz w:val="12"/>
                <w:szCs w:val="12"/>
                <w:lang w:val="fr-BE"/>
              </w:rPr>
              <w:t>Skupaj</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Načrtovano na področju vključevanja in vračanja</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1.435.734,75</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1.435.737,00</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1.545.073,00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2.827.111,40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1.865.646,40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1.336.957,40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1.673.799,42</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12.120.059,37</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Izvedeno na področju vključevanja in vračanja</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621.516,63</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296.123,22</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769.272,92</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2.511.880,35</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4.198.793,12</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Načrtovano na področju azila in solidarnosti</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478.580,25</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538.244,00</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3.963.611,00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1.134.699,60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841.765,60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723.046,60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835.872,58</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8.515.819,63</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noProof/>
                <w:sz w:val="12"/>
                <w:szCs w:val="12"/>
                <w:lang w:val="fr-BE"/>
              </w:rPr>
              <w:t>Izvedeno na področju azila in solidarnosti</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1.816.542,74</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1.148.911,30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596.286,48</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noProof/>
                <w:sz w:val="12"/>
                <w:szCs w:val="12"/>
                <w:lang w:val="fr-BE"/>
              </w:rPr>
              <w:t>3.561.740,52</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b/>
                <w:noProof/>
                <w:sz w:val="12"/>
                <w:szCs w:val="12"/>
                <w:lang w:val="fr-BE"/>
              </w:rPr>
              <w:t>Načrtovano skupaj</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1.914.315,00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1.973.981,00</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5.508.684,00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3.961.811,00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2.707.412,00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2.060.004,00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2.509.672,00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20.635.879,00</w:t>
            </w:r>
          </w:p>
        </w:tc>
      </w:tr>
      <w:tr w:rsidR="006E3F8B" w:rsidTr="00003291">
        <w:tc>
          <w:tcPr>
            <w:tcW w:w="0" w:type="auto"/>
            <w:shd w:val="clear" w:color="auto" w:fill="auto"/>
          </w:tcPr>
          <w:p w:rsidR="00115C60" w:rsidRPr="004A389B" w:rsidRDefault="00DC2731" w:rsidP="00003291">
            <w:pPr>
              <w:pStyle w:val="Text1"/>
              <w:spacing w:before="0" w:after="0"/>
              <w:ind w:left="0"/>
              <w:rPr>
                <w:sz w:val="12"/>
                <w:szCs w:val="12"/>
                <w:lang w:val="fr-BE"/>
              </w:rPr>
            </w:pPr>
            <w:r w:rsidRPr="004A389B">
              <w:rPr>
                <w:b/>
                <w:noProof/>
                <w:sz w:val="12"/>
                <w:szCs w:val="12"/>
                <w:lang w:val="fr-BE"/>
              </w:rPr>
              <w:t>Izvedeno skupaj</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r w:rsidRPr="004A389B">
              <w:rPr>
                <w:sz w:val="12"/>
                <w:szCs w:val="12"/>
                <w:lang w:val="fr-BE"/>
              </w:rPr>
              <w:t xml:space="preserve">  </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621.516,63</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2.112.665,96</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1.918.184,22</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3.108.166,83</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0,00</w:t>
            </w:r>
          </w:p>
        </w:tc>
        <w:tc>
          <w:tcPr>
            <w:tcW w:w="0" w:type="auto"/>
            <w:shd w:val="clear" w:color="auto" w:fill="auto"/>
          </w:tcPr>
          <w:p w:rsidR="00115C60" w:rsidRPr="004A389B" w:rsidRDefault="00DC2731" w:rsidP="00003291">
            <w:pPr>
              <w:pStyle w:val="Text1"/>
              <w:spacing w:before="0" w:after="0"/>
              <w:ind w:left="0"/>
              <w:jc w:val="right"/>
              <w:rPr>
                <w:sz w:val="12"/>
                <w:szCs w:val="12"/>
                <w:lang w:val="fr-BE"/>
              </w:rPr>
            </w:pPr>
            <w:r w:rsidRPr="004A389B">
              <w:rPr>
                <w:b/>
                <w:noProof/>
                <w:sz w:val="12"/>
                <w:szCs w:val="12"/>
                <w:lang w:val="fr-BE"/>
              </w:rPr>
              <w:t>7.760.533,64</w:t>
            </w:r>
          </w:p>
        </w:tc>
      </w:tr>
    </w:tbl>
    <w:p w:rsidR="00115C60" w:rsidRDefault="00115C60" w:rsidP="00115C60">
      <w:pPr>
        <w:pStyle w:val="Text1"/>
        <w:spacing w:before="0" w:after="0"/>
        <w:ind w:left="0"/>
        <w:rPr>
          <w:lang w:val="fr-BE"/>
        </w:rPr>
      </w:pPr>
    </w:p>
    <w:p w:rsidR="00115C60" w:rsidRDefault="00115C60" w:rsidP="00115C60">
      <w:pPr>
        <w:pStyle w:val="Text1"/>
        <w:spacing w:before="0" w:after="0"/>
        <w:ind w:left="0"/>
        <w:rPr>
          <w:lang w:val="fr-BE"/>
        </w:rPr>
        <w:sectPr w:rsidR="00115C60" w:rsidSect="00DB4153">
          <w:headerReference w:type="default" r:id="rId18"/>
          <w:footerReference w:type="default" r:id="rId19"/>
          <w:pgSz w:w="16838" w:h="11906" w:orient="landscape"/>
          <w:pgMar w:top="0" w:right="567" w:bottom="0" w:left="851" w:header="0" w:footer="284" w:gutter="0"/>
          <w:cols w:space="708"/>
          <w:docGrid w:linePitch="360"/>
        </w:sectPr>
      </w:pPr>
    </w:p>
    <w:p w:rsidR="00115C60" w:rsidRDefault="00DC2731" w:rsidP="00115C60">
      <w:pPr>
        <w:pStyle w:val="Naslov2"/>
        <w:numPr>
          <w:ilvl w:val="0"/>
          <w:numId w:val="0"/>
        </w:numPr>
        <w:spacing w:before="0" w:after="0"/>
        <w:rPr>
          <w:lang w:val="fr-BE"/>
        </w:rPr>
      </w:pPr>
      <w:bookmarkStart w:id="22" w:name="_Toc256000023"/>
      <w:r>
        <w:rPr>
          <w:noProof/>
          <w:lang w:val="fr-BE"/>
        </w:rPr>
        <w:lastRenderedPageBreak/>
        <w:t>Utemeljitev morebitnega odstopanja od najnižjih deležev, določenih v posebni uredbi.</w:t>
      </w:r>
      <w:bookmarkEnd w:id="22"/>
    </w:p>
    <w:p w:rsidR="00115C60" w:rsidRDefault="00115C60" w:rsidP="00115C60">
      <w:pPr>
        <w:pStyle w:val="Text1"/>
        <w:spacing w:before="0" w:after="0"/>
        <w:ind w:left="0"/>
        <w:rPr>
          <w:lang w:val="fr-BE"/>
        </w:rPr>
      </w:pPr>
    </w:p>
    <w:p w:rsidR="00115C60" w:rsidRDefault="00DC2731" w:rsidP="00115C60">
      <w:pPr>
        <w:pStyle w:val="Text1"/>
        <w:spacing w:before="0" w:after="0"/>
        <w:ind w:left="0"/>
        <w:rPr>
          <w:lang w:val="fr-BE"/>
        </w:rPr>
      </w:pPr>
      <w:r>
        <w:rPr>
          <w:noProof/>
          <w:lang w:val="fr-BE"/>
        </w:rPr>
        <w:t>(Le če stanje ni tako, kot je določeno v odobrenem nacionalnem programu, člen 14(5)(b) Uredbe (EU) št. 514/2014.)</w:t>
      </w:r>
    </w:p>
    <w:p w:rsidR="00115C60" w:rsidRDefault="00115C60" w:rsidP="00115C60">
      <w:pPr>
        <w:pStyle w:val="Text1"/>
        <w:spacing w:before="0" w:after="0"/>
        <w:ind w:left="0"/>
        <w:rPr>
          <w:lang w:val="fr-BE"/>
        </w:rPr>
      </w:pPr>
    </w:p>
    <w:p w:rsidR="00115C60" w:rsidRDefault="00DC2731" w:rsidP="00115C60">
      <w:pPr>
        <w:pStyle w:val="Text1"/>
        <w:spacing w:before="0" w:after="0"/>
        <w:ind w:left="0"/>
        <w:rPr>
          <w:lang w:val="fr-BE"/>
        </w:rPr>
      </w:pPr>
      <w:r>
        <w:rPr>
          <w:noProof/>
          <w:lang w:val="fr-BE"/>
        </w:rPr>
        <w:t>Podrobno obrazložite odstopanja od najnižjih deležev, d</w:t>
      </w:r>
      <w:r>
        <w:rPr>
          <w:noProof/>
          <w:lang w:val="fr-BE"/>
        </w:rPr>
        <w:t>oločenih v posebnih uredbah.</w:t>
      </w:r>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E3F8B" w:rsidTr="00003291">
        <w:tc>
          <w:tcPr>
            <w:tcW w:w="0" w:type="auto"/>
            <w:shd w:val="clear" w:color="auto" w:fill="auto"/>
          </w:tcPr>
          <w:p w:rsidR="004B5B5F" w:rsidRPr="00003291" w:rsidRDefault="004B5B5F" w:rsidP="00003291">
            <w:pPr>
              <w:pStyle w:val="Text1"/>
              <w:spacing w:before="0" w:after="0"/>
              <w:ind w:left="0"/>
              <w:rPr>
                <w:lang w:val="fr-BE"/>
              </w:rPr>
            </w:pPr>
          </w:p>
        </w:tc>
      </w:tr>
    </w:tbl>
    <w:p w:rsidR="004B5B5F" w:rsidRDefault="004B5B5F" w:rsidP="00115C60">
      <w:pPr>
        <w:pStyle w:val="Text1"/>
        <w:spacing w:before="0" w:after="0"/>
        <w:ind w:left="0"/>
        <w:rPr>
          <w:lang w:val="fr-BE"/>
        </w:rPr>
      </w:pPr>
    </w:p>
    <w:p w:rsidR="00115C60" w:rsidRDefault="00DC2731" w:rsidP="00115C60">
      <w:pPr>
        <w:pStyle w:val="Naslov1"/>
        <w:numPr>
          <w:ilvl w:val="0"/>
          <w:numId w:val="0"/>
        </w:numPr>
        <w:spacing w:before="0" w:after="0"/>
        <w:rPr>
          <w:lang w:val="fr-BE"/>
        </w:rPr>
      </w:pPr>
      <w:r>
        <w:rPr>
          <w:lang w:val="fr-BE"/>
        </w:rPr>
        <w:br w:type="page"/>
      </w:r>
      <w:bookmarkStart w:id="23" w:name="_Toc256000024"/>
      <w:r>
        <w:rPr>
          <w:noProof/>
          <w:lang w:val="fr-BE"/>
        </w:rPr>
        <w:lastRenderedPageBreak/>
        <w:t>ODDELEK 8: OBVEZNOSTI V OBLIKI DOGOVORA</w:t>
      </w:r>
      <w:bookmarkEnd w:id="23"/>
    </w:p>
    <w:p w:rsidR="00115C60" w:rsidRDefault="00115C60" w:rsidP="00115C60">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954"/>
        <w:gridCol w:w="2122"/>
      </w:tblGrid>
      <w:tr w:rsidR="006E3F8B" w:rsidTr="00003291">
        <w:tc>
          <w:tcPr>
            <w:tcW w:w="0" w:type="auto"/>
            <w:shd w:val="clear" w:color="auto" w:fill="auto"/>
          </w:tcPr>
          <w:p w:rsidR="00115C60" w:rsidRPr="00B81F97" w:rsidRDefault="00DC2731" w:rsidP="00003291">
            <w:pPr>
              <w:pStyle w:val="Text1"/>
              <w:spacing w:before="0" w:after="0"/>
              <w:ind w:left="0"/>
              <w:rPr>
                <w:b/>
                <w:lang w:val="fr-BE"/>
              </w:rPr>
            </w:pPr>
            <w:r w:rsidRPr="00B81F97">
              <w:rPr>
                <w:b/>
                <w:noProof/>
                <w:lang w:val="fr-BE"/>
              </w:rPr>
              <w:t>Posebni cilj</w:t>
            </w:r>
          </w:p>
        </w:tc>
        <w:tc>
          <w:tcPr>
            <w:tcW w:w="0" w:type="auto"/>
            <w:shd w:val="clear" w:color="auto" w:fill="auto"/>
          </w:tcPr>
          <w:p w:rsidR="00115C60" w:rsidRPr="00B81F97" w:rsidRDefault="00DC2731" w:rsidP="00003291">
            <w:pPr>
              <w:pStyle w:val="Text1"/>
              <w:spacing w:before="0" w:after="0"/>
              <w:ind w:left="0"/>
              <w:rPr>
                <w:b/>
                <w:lang w:val="fr-BE"/>
              </w:rPr>
            </w:pPr>
            <w:r w:rsidRPr="00B81F97">
              <w:rPr>
                <w:b/>
                <w:noProof/>
                <w:lang w:val="fr-BE"/>
              </w:rPr>
              <w:t>Skupni znesek v EUR, dodeljen (s pogodbo, kot nepovratna sredstva ali z drugim sporazumom) do datuma tega poročila</w:t>
            </w:r>
          </w:p>
        </w:tc>
        <w:tc>
          <w:tcPr>
            <w:tcW w:w="0" w:type="auto"/>
            <w:shd w:val="clear" w:color="auto" w:fill="auto"/>
          </w:tcPr>
          <w:p w:rsidR="00115C60" w:rsidRPr="00B81F97" w:rsidRDefault="00DC2731" w:rsidP="00003291">
            <w:pPr>
              <w:pStyle w:val="Text1"/>
              <w:spacing w:before="0" w:after="0"/>
              <w:ind w:left="0"/>
              <w:rPr>
                <w:b/>
                <w:lang w:val="fr-BE"/>
              </w:rPr>
            </w:pPr>
            <w:r w:rsidRPr="00B81F97">
              <w:rPr>
                <w:b/>
                <w:noProof/>
                <w:lang w:val="fr-BE"/>
              </w:rPr>
              <w:t>% skupnih povezanih dodelitev</w:t>
            </w:r>
          </w:p>
        </w:tc>
      </w:tr>
      <w:tr w:rsidR="006E3F8B" w:rsidTr="00003291">
        <w:tc>
          <w:tcPr>
            <w:tcW w:w="0" w:type="auto"/>
            <w:shd w:val="clear" w:color="auto" w:fill="auto"/>
          </w:tcPr>
          <w:p w:rsidR="00115C60" w:rsidRPr="00B81F97" w:rsidRDefault="00DC2731" w:rsidP="00003291">
            <w:pPr>
              <w:pStyle w:val="Text1"/>
              <w:spacing w:before="0" w:after="0"/>
              <w:ind w:left="0"/>
              <w:rPr>
                <w:lang w:val="fr-BE"/>
              </w:rPr>
            </w:pPr>
            <w:r>
              <w:rPr>
                <w:noProof/>
                <w:lang w:val="fr-BE"/>
              </w:rPr>
              <w:t>SO1 - Azil</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5.121.244,31</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105,04%</w:t>
            </w:r>
          </w:p>
        </w:tc>
      </w:tr>
      <w:tr w:rsidR="006E3F8B" w:rsidTr="00003291">
        <w:tc>
          <w:tcPr>
            <w:tcW w:w="0" w:type="auto"/>
            <w:shd w:val="clear" w:color="auto" w:fill="auto"/>
          </w:tcPr>
          <w:p w:rsidR="00115C60" w:rsidRPr="00B81F97" w:rsidRDefault="00DC2731" w:rsidP="00003291">
            <w:pPr>
              <w:pStyle w:val="Text1"/>
              <w:spacing w:before="0" w:after="0"/>
              <w:ind w:left="0"/>
              <w:rPr>
                <w:lang w:val="fr-BE"/>
              </w:rPr>
            </w:pPr>
            <w:r>
              <w:rPr>
                <w:noProof/>
                <w:lang w:val="fr-BE"/>
              </w:rPr>
              <w:t>SO2 - Vključevanje / zakonito priseljevanje</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8.266.976,06</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103,45%</w:t>
            </w:r>
          </w:p>
        </w:tc>
      </w:tr>
      <w:tr w:rsidR="006E3F8B" w:rsidTr="00003291">
        <w:tc>
          <w:tcPr>
            <w:tcW w:w="0" w:type="auto"/>
            <w:shd w:val="clear" w:color="auto" w:fill="auto"/>
          </w:tcPr>
          <w:p w:rsidR="00115C60" w:rsidRPr="00B81F97" w:rsidRDefault="00DC2731" w:rsidP="00003291">
            <w:pPr>
              <w:pStyle w:val="Text1"/>
              <w:spacing w:before="0" w:after="0"/>
              <w:ind w:left="0"/>
              <w:rPr>
                <w:lang w:val="fr-BE"/>
              </w:rPr>
            </w:pPr>
            <w:r>
              <w:rPr>
                <w:noProof/>
                <w:lang w:val="fr-BE"/>
              </w:rPr>
              <w:t>SO3 - Vračanje</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4.135.712,43</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88,51%</w:t>
            </w:r>
          </w:p>
        </w:tc>
      </w:tr>
      <w:tr w:rsidR="006E3F8B" w:rsidTr="00003291">
        <w:tc>
          <w:tcPr>
            <w:tcW w:w="0" w:type="auto"/>
            <w:shd w:val="clear" w:color="auto" w:fill="auto"/>
          </w:tcPr>
          <w:p w:rsidR="00115C60" w:rsidRPr="00B81F97" w:rsidRDefault="00DC2731" w:rsidP="00003291">
            <w:pPr>
              <w:pStyle w:val="Text1"/>
              <w:spacing w:before="0" w:after="0"/>
              <w:ind w:left="0"/>
              <w:rPr>
                <w:lang w:val="fr-BE"/>
              </w:rPr>
            </w:pPr>
            <w:r>
              <w:rPr>
                <w:noProof/>
                <w:lang w:val="fr-BE"/>
              </w:rPr>
              <w:t>SO4 - Solidarnost</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1.518.000,00</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402,87%</w:t>
            </w:r>
          </w:p>
        </w:tc>
      </w:tr>
      <w:tr w:rsidR="006E3F8B" w:rsidTr="00003291">
        <w:tc>
          <w:tcPr>
            <w:tcW w:w="0" w:type="auto"/>
            <w:shd w:val="clear" w:color="auto" w:fill="auto"/>
          </w:tcPr>
          <w:p w:rsidR="00115C60" w:rsidRPr="00B81F97" w:rsidRDefault="00DC2731" w:rsidP="00003291">
            <w:pPr>
              <w:pStyle w:val="Text1"/>
              <w:spacing w:before="0" w:after="0"/>
              <w:ind w:left="0"/>
              <w:rPr>
                <w:lang w:val="fr-BE"/>
              </w:rPr>
            </w:pPr>
            <w:r>
              <w:rPr>
                <w:noProof/>
                <w:lang w:val="fr-BE"/>
              </w:rPr>
              <w:t>Tehnična pomoč</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617.146,20</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102,53%</w:t>
            </w:r>
          </w:p>
        </w:tc>
      </w:tr>
      <w:tr w:rsidR="006E3F8B" w:rsidTr="00003291">
        <w:tc>
          <w:tcPr>
            <w:tcW w:w="0" w:type="auto"/>
            <w:shd w:val="clear" w:color="auto" w:fill="auto"/>
          </w:tcPr>
          <w:p w:rsidR="00115C60" w:rsidRPr="00B81F97" w:rsidRDefault="00DC2731" w:rsidP="00003291">
            <w:pPr>
              <w:pStyle w:val="Text1"/>
              <w:spacing w:before="0" w:after="0"/>
              <w:ind w:left="0"/>
              <w:rPr>
                <w:lang w:val="fr-BE"/>
              </w:rPr>
            </w:pPr>
            <w:r>
              <w:rPr>
                <w:noProof/>
                <w:lang w:val="fr-BE"/>
              </w:rPr>
              <w:t>Posebni primeri</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340.000,00</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16,05%</w:t>
            </w:r>
          </w:p>
        </w:tc>
      </w:tr>
      <w:tr w:rsidR="006E3F8B" w:rsidTr="00003291">
        <w:tc>
          <w:tcPr>
            <w:tcW w:w="0" w:type="auto"/>
            <w:shd w:val="clear" w:color="auto" w:fill="auto"/>
          </w:tcPr>
          <w:p w:rsidR="00115C60" w:rsidRPr="00B81F97" w:rsidRDefault="00DC2731" w:rsidP="00003291">
            <w:pPr>
              <w:pStyle w:val="Text1"/>
              <w:spacing w:before="0" w:after="0"/>
              <w:ind w:left="0"/>
              <w:rPr>
                <w:lang w:val="fr-BE"/>
              </w:rPr>
            </w:pPr>
            <w:r w:rsidRPr="004C286E">
              <w:rPr>
                <w:b/>
                <w:noProof/>
                <w:lang w:val="fr-BE"/>
              </w:rPr>
              <w:t xml:space="preserve">Skupaj Sklad za azil, </w:t>
            </w:r>
            <w:r w:rsidRPr="004C286E">
              <w:rPr>
                <w:b/>
                <w:noProof/>
                <w:lang w:val="fr-BE"/>
              </w:rPr>
              <w:t>migracije in vključevanje</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19.999.079,00</w:t>
            </w:r>
          </w:p>
        </w:tc>
        <w:tc>
          <w:tcPr>
            <w:tcW w:w="0" w:type="auto"/>
            <w:shd w:val="clear" w:color="auto" w:fill="auto"/>
          </w:tcPr>
          <w:p w:rsidR="00115C60" w:rsidRPr="00B81F97" w:rsidRDefault="00DC2731" w:rsidP="00003291">
            <w:pPr>
              <w:pStyle w:val="Text1"/>
              <w:spacing w:before="0" w:after="0"/>
              <w:ind w:left="0"/>
              <w:jc w:val="right"/>
              <w:rPr>
                <w:lang w:val="fr-BE"/>
              </w:rPr>
            </w:pPr>
            <w:r>
              <w:rPr>
                <w:noProof/>
                <w:lang w:val="fr-BE"/>
              </w:rPr>
              <w:t>96,91%</w:t>
            </w:r>
          </w:p>
        </w:tc>
      </w:tr>
    </w:tbl>
    <w:p w:rsidR="00115C60" w:rsidRPr="00E22750" w:rsidRDefault="00115C60" w:rsidP="00115C60">
      <w:pPr>
        <w:pStyle w:val="Text1"/>
        <w:spacing w:before="0" w:after="0"/>
        <w:ind w:left="0"/>
        <w:rPr>
          <w:lang w:val="fr-BE"/>
        </w:rPr>
      </w:pPr>
    </w:p>
    <w:p w:rsidR="00115C60" w:rsidRDefault="00115C60" w:rsidP="00115C60">
      <w:pPr>
        <w:spacing w:before="0" w:after="0"/>
      </w:pPr>
    </w:p>
    <w:p w:rsidR="00094173" w:rsidRPr="00115C60" w:rsidRDefault="00094173" w:rsidP="00115C60">
      <w:pPr>
        <w:sectPr w:rsidR="00094173" w:rsidRPr="00115C60" w:rsidSect="00DB4153">
          <w:headerReference w:type="default" r:id="rId20"/>
          <w:footerReference w:type="default" r:id="rId21"/>
          <w:headerReference w:type="first" r:id="rId22"/>
          <w:footerReference w:type="first" r:id="rId23"/>
          <w:pgSz w:w="11906" w:h="16838"/>
          <w:pgMar w:top="284" w:right="851" w:bottom="284" w:left="284" w:header="567" w:footer="0" w:gutter="0"/>
          <w:cols w:space="708"/>
          <w:docGrid w:linePitch="360"/>
        </w:sectPr>
      </w:pPr>
    </w:p>
    <w:p w:rsidR="00D5077A" w:rsidRDefault="00DC2731" w:rsidP="00BE2F0F">
      <w:pPr>
        <w:pStyle w:val="Heading10"/>
        <w:tabs>
          <w:tab w:val="clear" w:pos="850"/>
        </w:tabs>
        <w:ind w:left="0" w:right="-283" w:firstLine="0"/>
      </w:pPr>
      <w:bookmarkStart w:id="24" w:name="_Toc256000025"/>
      <w:r>
        <w:rPr>
          <w:noProof/>
        </w:rPr>
        <w:lastRenderedPageBreak/>
        <w:t>Dokumenti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6E3F8B" w:rsidTr="00A67CCA">
        <w:trPr>
          <w:trHeight w:val="283"/>
          <w:tblHeader/>
        </w:trPr>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DC2731"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24"/>
          <w:footerReference w:type="default" r:id="rId2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5" w:name="_Toc256000026"/>
      <w:r>
        <w:rPr>
          <w:noProof/>
        </w:rPr>
        <w:lastRenderedPageBreak/>
        <w:t>Zadnji rezultati validacije</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18"/>
        <w:gridCol w:w="2191"/>
        <w:gridCol w:w="10424"/>
      </w:tblGrid>
      <w:tr w:rsidR="006E3F8B" w:rsidTr="00BA1B5A">
        <w:trPr>
          <w:trHeight w:val="283"/>
          <w:tblHeader/>
        </w:trPr>
        <w:tc>
          <w:tcPr>
            <w:tcW w:w="0" w:type="auto"/>
            <w:shd w:val="clear" w:color="auto" w:fill="auto"/>
            <w:vAlign w:val="center"/>
          </w:tcPr>
          <w:p w:rsidR="00434D73" w:rsidRPr="00DD2742" w:rsidRDefault="00DC2731"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DC2731"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DC2731" w:rsidP="006477CC">
            <w:pPr>
              <w:pStyle w:val="NormalCentered"/>
              <w:spacing w:before="0" w:after="0"/>
              <w:rPr>
                <w:b/>
                <w:sz w:val="16"/>
                <w:szCs w:val="16"/>
              </w:rPr>
            </w:pPr>
            <w:r w:rsidRPr="00DD2742">
              <w:rPr>
                <w:b/>
                <w:noProof/>
                <w:sz w:val="16"/>
                <w:szCs w:val="16"/>
              </w:rPr>
              <w:t>Sporočilo</w:t>
            </w:r>
          </w:p>
        </w:tc>
      </w:tr>
      <w:tr w:rsidR="006E3F8B" w:rsidTr="00BA1B5A">
        <w:trPr>
          <w:trHeight w:val="283"/>
        </w:trPr>
        <w:tc>
          <w:tcPr>
            <w:tcW w:w="0" w:type="auto"/>
            <w:shd w:val="clear" w:color="auto" w:fill="auto"/>
          </w:tcPr>
          <w:p w:rsidR="00434D73" w:rsidRPr="00DD2742" w:rsidRDefault="00DC2731"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DC2731" w:rsidP="006477CC">
            <w:pPr>
              <w:pStyle w:val="NormalLeft"/>
              <w:spacing w:before="0" w:after="0"/>
              <w:rPr>
                <w:sz w:val="16"/>
                <w:szCs w:val="16"/>
              </w:rPr>
            </w:pPr>
            <w:r w:rsidRPr="00DD2742">
              <w:rPr>
                <w:noProof/>
                <w:sz w:val="16"/>
                <w:szCs w:val="16"/>
              </w:rPr>
              <w:t>Različica poročila o izvajanju je bila potrjena.</w:t>
            </w:r>
          </w:p>
        </w:tc>
      </w:tr>
    </w:tbl>
    <w:p w:rsidR="00673320" w:rsidRPr="001A4AC5" w:rsidRDefault="00673320" w:rsidP="00DD2742">
      <w:pPr>
        <w:pStyle w:val="Normal0"/>
      </w:pPr>
    </w:p>
    <w:sectPr w:rsidR="00673320" w:rsidRPr="001A4AC5" w:rsidSect="009B4CA5">
      <w:headerReference w:type="default" r:id="rId26"/>
      <w:footerReference w:type="default" r:id="rId2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2731">
      <w:pPr>
        <w:spacing w:before="0" w:after="0"/>
      </w:pPr>
      <w:r>
        <w:separator/>
      </w:r>
    </w:p>
  </w:endnote>
  <w:endnote w:type="continuationSeparator" w:id="0">
    <w:p w:rsidR="00000000" w:rsidRDefault="00DC27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5432E7" w:rsidRDefault="00DC2731" w:rsidP="008E794B">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DC2731">
      <w:rPr>
        <w:noProof/>
      </w:rPr>
      <w:t>30</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AB614B" w:rsidRDefault="00DC2731" w:rsidP="00AB614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Pr="00942505" w:rsidRDefault="00942505" w:rsidP="0094250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C2731">
      <w:rPr>
        <w:noProof/>
      </w:rPr>
      <w:t>15</w:t>
    </w:r>
    <w:r>
      <w:fldChar w:fldCharType="end"/>
    </w:r>
    <w:r w:rsidRPr="007C3041">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634112" w:rsidRDefault="00DC2731" w:rsidP="0072625A">
    <w:pPr>
      <w:pStyle w:val="FooterLandscape"/>
      <w:tabs>
        <w:tab w:val="clear" w:pos="7285"/>
        <w:tab w:val="clear" w:pos="10913"/>
        <w:tab w:val="clear" w:pos="15137"/>
        <w:tab w:val="center" w:pos="7371"/>
        <w:tab w:val="right" w:pos="15309"/>
      </w:tabs>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16</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E57341" w:rsidRDefault="00E57341" w:rsidP="00E57341">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C2731">
      <w:rPr>
        <w:noProof/>
      </w:rPr>
      <w:t>21</w:t>
    </w:r>
    <w:r>
      <w:fldChar w:fldCharType="end"/>
    </w:r>
    <w:r w:rsidRPr="007C3041">
      <w:tab/>
    </w:r>
    <w:r>
      <w:rPr>
        <w:rFonts w:ascii="Arial" w:hAnsi="Arial" w:cs="Arial"/>
        <w:b/>
        <w:noProof/>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60" w:rsidRPr="00091521" w:rsidRDefault="00DC2731" w:rsidP="00DB4153">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26</w:t>
    </w:r>
    <w:r>
      <w:fldChar w:fldCharType="end"/>
    </w:r>
    <w:r w:rsidRPr="008E3442">
      <w:tab/>
    </w:r>
    <w:r w:rsidRPr="005F6C78">
      <w:rPr>
        <w:rFonts w:ascii="Arial" w:hAnsi="Arial" w:cs="Arial"/>
        <w:b/>
        <w:noProof/>
        <w:sz w:val="48"/>
        <w:szCs w:val="48"/>
        <w:lang w:val="fr-BE"/>
      </w:rPr>
      <w:t>SL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C3B15" w:rsidRDefault="00CC3B15" w:rsidP="00CC3B15">
    <w:pPr>
      <w:pStyle w:val="Noga"/>
      <w:tabs>
        <w:tab w:val="clear" w:pos="4535"/>
        <w:tab w:val="clear" w:pos="9071"/>
        <w:tab w:val="clear" w:pos="9921"/>
        <w:tab w:val="center" w:pos="5387"/>
        <w:tab w:val="right" w:pos="10773"/>
      </w:tabs>
      <w:spacing w:before="0" w:after="24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rsidR="00DC2731">
      <w:rPr>
        <w:noProof/>
      </w:rPr>
      <w:t>28</w:t>
    </w:r>
    <w:r>
      <w:fldChar w:fldCharType="end"/>
    </w:r>
    <w:r w:rsidRPr="007C3041">
      <w:tab/>
    </w:r>
    <w:r>
      <w:rPr>
        <w:rFonts w:ascii="Arial" w:hAnsi="Arial" w:cs="Arial"/>
        <w:b/>
        <w:noProof/>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DC2731">
      <w:rPr>
        <w:noProof/>
      </w:rPr>
      <w:t>29</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C2731">
      <w:pPr>
        <w:spacing w:before="0" w:after="0"/>
      </w:pPr>
      <w:r>
        <w:separator/>
      </w:r>
    </w:p>
  </w:footnote>
  <w:footnote w:type="continuationSeparator" w:id="0">
    <w:p w:rsidR="00000000" w:rsidRDefault="00DC27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3" w:rsidRDefault="00C568B3" w:rsidP="008E794B">
    <w:pPr>
      <w:pStyle w:val="Glava"/>
      <w:spacing w:before="0" w:after="24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7D" w:rsidRDefault="0056117D" w:rsidP="00166DC8">
    <w:pPr>
      <w:pStyle w:val="Glava"/>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46" w:rsidRDefault="001D5846" w:rsidP="00957B74">
    <w:pPr>
      <w:pStyle w:val="Glava"/>
      <w:spacing w:before="0" w:after="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957B74">
    <w:pPr>
      <w:pStyle w:val="Glava"/>
      <w:spacing w:before="0" w:after="24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31C" w:rsidRDefault="00F9131C" w:rsidP="00E367EA">
    <w:pPr>
      <w:pStyle w:val="Glava"/>
      <w:tabs>
        <w:tab w:val="clear" w:pos="4535"/>
        <w:tab w:val="clear" w:pos="9071"/>
        <w:tab w:val="center" w:pos="7371"/>
        <w:tab w:val="right" w:pos="15309"/>
      </w:tabs>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DB4153">
    <w:pPr>
      <w:pStyle w:val="Glava"/>
      <w:spacing w:before="0" w:after="240"/>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CD3ACBB8">
      <w:start w:val="1"/>
      <w:numFmt w:val="decimal"/>
      <w:pStyle w:val="StyleHeading1Left0cm"/>
      <w:lvlText w:val="%1."/>
      <w:lvlJc w:val="left"/>
      <w:pPr>
        <w:ind w:left="360" w:hanging="360"/>
      </w:pPr>
    </w:lvl>
    <w:lvl w:ilvl="1" w:tplc="D00E1DA6" w:tentative="1">
      <w:start w:val="1"/>
      <w:numFmt w:val="lowerLetter"/>
      <w:lvlText w:val="%2."/>
      <w:lvlJc w:val="left"/>
      <w:pPr>
        <w:ind w:left="1440" w:hanging="360"/>
      </w:pPr>
    </w:lvl>
    <w:lvl w:ilvl="2" w:tplc="B43039D6" w:tentative="1">
      <w:start w:val="1"/>
      <w:numFmt w:val="lowerRoman"/>
      <w:lvlText w:val="%3."/>
      <w:lvlJc w:val="right"/>
      <w:pPr>
        <w:ind w:left="2160" w:hanging="180"/>
      </w:pPr>
    </w:lvl>
    <w:lvl w:ilvl="3" w:tplc="3528CB7C" w:tentative="1">
      <w:start w:val="1"/>
      <w:numFmt w:val="decimal"/>
      <w:lvlText w:val="%4."/>
      <w:lvlJc w:val="left"/>
      <w:pPr>
        <w:ind w:left="2880" w:hanging="360"/>
      </w:pPr>
    </w:lvl>
    <w:lvl w:ilvl="4" w:tplc="E6C25860" w:tentative="1">
      <w:start w:val="1"/>
      <w:numFmt w:val="lowerLetter"/>
      <w:lvlText w:val="%5."/>
      <w:lvlJc w:val="left"/>
      <w:pPr>
        <w:ind w:left="3600" w:hanging="360"/>
      </w:pPr>
    </w:lvl>
    <w:lvl w:ilvl="5" w:tplc="DD440314" w:tentative="1">
      <w:start w:val="1"/>
      <w:numFmt w:val="lowerRoman"/>
      <w:lvlText w:val="%6."/>
      <w:lvlJc w:val="right"/>
      <w:pPr>
        <w:ind w:left="4320" w:hanging="180"/>
      </w:pPr>
    </w:lvl>
    <w:lvl w:ilvl="6" w:tplc="6AB071F8" w:tentative="1">
      <w:start w:val="1"/>
      <w:numFmt w:val="decimal"/>
      <w:lvlText w:val="%7."/>
      <w:lvlJc w:val="left"/>
      <w:pPr>
        <w:ind w:left="5040" w:hanging="360"/>
      </w:pPr>
    </w:lvl>
    <w:lvl w:ilvl="7" w:tplc="93B4E202" w:tentative="1">
      <w:start w:val="1"/>
      <w:numFmt w:val="lowerLetter"/>
      <w:lvlText w:val="%8."/>
      <w:lvlJc w:val="left"/>
      <w:pPr>
        <w:ind w:left="5760" w:hanging="360"/>
      </w:pPr>
    </w:lvl>
    <w:lvl w:ilvl="8" w:tplc="ED0C9ED6" w:tentative="1">
      <w:start w:val="1"/>
      <w:numFmt w:val="lowerRoman"/>
      <w:lvlText w:val="%9."/>
      <w:lvlJc w:val="right"/>
      <w:pPr>
        <w:ind w:left="6480" w:hanging="180"/>
      </w:pPr>
    </w:lvl>
  </w:abstractNum>
  <w:abstractNum w:abstractNumId="5" w15:restartNumberingAfterBreak="0">
    <w:nsid w:val="11954660"/>
    <w:multiLevelType w:val="hybridMultilevel"/>
    <w:tmpl w:val="0EA2DA38"/>
    <w:lvl w:ilvl="0" w:tplc="8F0A17E0">
      <w:start w:val="1"/>
      <w:numFmt w:val="bullet"/>
      <w:lvlText w:val=""/>
      <w:lvlJc w:val="left"/>
      <w:pPr>
        <w:ind w:left="720" w:hanging="360"/>
      </w:pPr>
      <w:rPr>
        <w:rFonts w:ascii="Symbol" w:hAnsi="Symbol" w:hint="default"/>
      </w:rPr>
    </w:lvl>
    <w:lvl w:ilvl="1" w:tplc="4FF8660E" w:tentative="1">
      <w:start w:val="1"/>
      <w:numFmt w:val="bullet"/>
      <w:lvlText w:val="o"/>
      <w:lvlJc w:val="left"/>
      <w:pPr>
        <w:ind w:left="1440" w:hanging="360"/>
      </w:pPr>
      <w:rPr>
        <w:rFonts w:ascii="Courier New" w:hAnsi="Courier New" w:cs="Courier New" w:hint="default"/>
      </w:rPr>
    </w:lvl>
    <w:lvl w:ilvl="2" w:tplc="7C1CD4FE" w:tentative="1">
      <w:start w:val="1"/>
      <w:numFmt w:val="bullet"/>
      <w:lvlText w:val=""/>
      <w:lvlJc w:val="left"/>
      <w:pPr>
        <w:ind w:left="2160" w:hanging="360"/>
      </w:pPr>
      <w:rPr>
        <w:rFonts w:ascii="Wingdings" w:hAnsi="Wingdings" w:hint="default"/>
      </w:rPr>
    </w:lvl>
    <w:lvl w:ilvl="3" w:tplc="D630A3C8" w:tentative="1">
      <w:start w:val="1"/>
      <w:numFmt w:val="bullet"/>
      <w:lvlText w:val=""/>
      <w:lvlJc w:val="left"/>
      <w:pPr>
        <w:ind w:left="2880" w:hanging="360"/>
      </w:pPr>
      <w:rPr>
        <w:rFonts w:ascii="Symbol" w:hAnsi="Symbol" w:hint="default"/>
      </w:rPr>
    </w:lvl>
    <w:lvl w:ilvl="4" w:tplc="B16049FE" w:tentative="1">
      <w:start w:val="1"/>
      <w:numFmt w:val="bullet"/>
      <w:lvlText w:val="o"/>
      <w:lvlJc w:val="left"/>
      <w:pPr>
        <w:ind w:left="3600" w:hanging="360"/>
      </w:pPr>
      <w:rPr>
        <w:rFonts w:ascii="Courier New" w:hAnsi="Courier New" w:cs="Courier New" w:hint="default"/>
      </w:rPr>
    </w:lvl>
    <w:lvl w:ilvl="5" w:tplc="01682F0C" w:tentative="1">
      <w:start w:val="1"/>
      <w:numFmt w:val="bullet"/>
      <w:lvlText w:val=""/>
      <w:lvlJc w:val="left"/>
      <w:pPr>
        <w:ind w:left="4320" w:hanging="360"/>
      </w:pPr>
      <w:rPr>
        <w:rFonts w:ascii="Wingdings" w:hAnsi="Wingdings" w:hint="default"/>
      </w:rPr>
    </w:lvl>
    <w:lvl w:ilvl="6" w:tplc="3B186A62" w:tentative="1">
      <w:start w:val="1"/>
      <w:numFmt w:val="bullet"/>
      <w:lvlText w:val=""/>
      <w:lvlJc w:val="left"/>
      <w:pPr>
        <w:ind w:left="5040" w:hanging="360"/>
      </w:pPr>
      <w:rPr>
        <w:rFonts w:ascii="Symbol" w:hAnsi="Symbol" w:hint="default"/>
      </w:rPr>
    </w:lvl>
    <w:lvl w:ilvl="7" w:tplc="CA581518" w:tentative="1">
      <w:start w:val="1"/>
      <w:numFmt w:val="bullet"/>
      <w:lvlText w:val="o"/>
      <w:lvlJc w:val="left"/>
      <w:pPr>
        <w:ind w:left="5760" w:hanging="360"/>
      </w:pPr>
      <w:rPr>
        <w:rFonts w:ascii="Courier New" w:hAnsi="Courier New" w:cs="Courier New" w:hint="default"/>
      </w:rPr>
    </w:lvl>
    <w:lvl w:ilvl="8" w:tplc="BE8212CA"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1CA6495F"/>
    <w:multiLevelType w:val="hybridMultilevel"/>
    <w:tmpl w:val="F19CAA04"/>
    <w:lvl w:ilvl="0" w:tplc="BFBE56CA">
      <w:start w:val="1"/>
      <w:numFmt w:val="decimal"/>
      <w:lvlText w:val="%1."/>
      <w:lvlJc w:val="left"/>
      <w:pPr>
        <w:ind w:left="720" w:hanging="360"/>
      </w:pPr>
    </w:lvl>
    <w:lvl w:ilvl="1" w:tplc="F4CA763C" w:tentative="1">
      <w:start w:val="1"/>
      <w:numFmt w:val="lowerLetter"/>
      <w:lvlText w:val="%2."/>
      <w:lvlJc w:val="left"/>
      <w:pPr>
        <w:ind w:left="1440" w:hanging="360"/>
      </w:pPr>
    </w:lvl>
    <w:lvl w:ilvl="2" w:tplc="7BD40290" w:tentative="1">
      <w:start w:val="1"/>
      <w:numFmt w:val="lowerRoman"/>
      <w:lvlText w:val="%3."/>
      <w:lvlJc w:val="right"/>
      <w:pPr>
        <w:ind w:left="2160" w:hanging="180"/>
      </w:pPr>
    </w:lvl>
    <w:lvl w:ilvl="3" w:tplc="9F784BDC" w:tentative="1">
      <w:start w:val="1"/>
      <w:numFmt w:val="decimal"/>
      <w:lvlText w:val="%4."/>
      <w:lvlJc w:val="left"/>
      <w:pPr>
        <w:ind w:left="2880" w:hanging="360"/>
      </w:pPr>
    </w:lvl>
    <w:lvl w:ilvl="4" w:tplc="A8E02FDE" w:tentative="1">
      <w:start w:val="1"/>
      <w:numFmt w:val="lowerLetter"/>
      <w:lvlText w:val="%5."/>
      <w:lvlJc w:val="left"/>
      <w:pPr>
        <w:ind w:left="3600" w:hanging="360"/>
      </w:pPr>
    </w:lvl>
    <w:lvl w:ilvl="5" w:tplc="B1C0B9D4" w:tentative="1">
      <w:start w:val="1"/>
      <w:numFmt w:val="lowerRoman"/>
      <w:lvlText w:val="%6."/>
      <w:lvlJc w:val="right"/>
      <w:pPr>
        <w:ind w:left="4320" w:hanging="180"/>
      </w:pPr>
    </w:lvl>
    <w:lvl w:ilvl="6" w:tplc="949A7FE6" w:tentative="1">
      <w:start w:val="1"/>
      <w:numFmt w:val="decimal"/>
      <w:lvlText w:val="%7."/>
      <w:lvlJc w:val="left"/>
      <w:pPr>
        <w:ind w:left="5040" w:hanging="360"/>
      </w:pPr>
    </w:lvl>
    <w:lvl w:ilvl="7" w:tplc="04707430" w:tentative="1">
      <w:start w:val="1"/>
      <w:numFmt w:val="lowerLetter"/>
      <w:lvlText w:val="%8."/>
      <w:lvlJc w:val="left"/>
      <w:pPr>
        <w:ind w:left="5760" w:hanging="360"/>
      </w:pPr>
    </w:lvl>
    <w:lvl w:ilvl="8" w:tplc="C9A0A94A"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3"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4"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5"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6"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7"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1"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3"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4"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5"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6"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7"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15:restartNumberingAfterBreak="0">
    <w:nsid w:val="7BE95D80"/>
    <w:multiLevelType w:val="hybridMultilevel"/>
    <w:tmpl w:val="7BE95D80"/>
    <w:lvl w:ilvl="0" w:tplc="612652CC">
      <w:start w:val="1"/>
      <w:numFmt w:val="bullet"/>
      <w:lvlText w:val=""/>
      <w:lvlJc w:val="left"/>
      <w:pPr>
        <w:ind w:left="720" w:hanging="360"/>
      </w:pPr>
      <w:rPr>
        <w:rFonts w:ascii="Symbol" w:hAnsi="Symbol"/>
      </w:rPr>
    </w:lvl>
    <w:lvl w:ilvl="1" w:tplc="F2C037E8">
      <w:start w:val="1"/>
      <w:numFmt w:val="bullet"/>
      <w:lvlText w:val="o"/>
      <w:lvlJc w:val="left"/>
      <w:pPr>
        <w:tabs>
          <w:tab w:val="num" w:pos="1440"/>
        </w:tabs>
        <w:ind w:left="1440" w:hanging="360"/>
      </w:pPr>
      <w:rPr>
        <w:rFonts w:ascii="Courier New" w:hAnsi="Courier New"/>
      </w:rPr>
    </w:lvl>
    <w:lvl w:ilvl="2" w:tplc="39E0BB3E">
      <w:start w:val="1"/>
      <w:numFmt w:val="bullet"/>
      <w:lvlText w:val=""/>
      <w:lvlJc w:val="left"/>
      <w:pPr>
        <w:tabs>
          <w:tab w:val="num" w:pos="2160"/>
        </w:tabs>
        <w:ind w:left="2160" w:hanging="360"/>
      </w:pPr>
      <w:rPr>
        <w:rFonts w:ascii="Wingdings" w:hAnsi="Wingdings"/>
      </w:rPr>
    </w:lvl>
    <w:lvl w:ilvl="3" w:tplc="DB04B8BE">
      <w:start w:val="1"/>
      <w:numFmt w:val="bullet"/>
      <w:lvlText w:val=""/>
      <w:lvlJc w:val="left"/>
      <w:pPr>
        <w:tabs>
          <w:tab w:val="num" w:pos="2880"/>
        </w:tabs>
        <w:ind w:left="2880" w:hanging="360"/>
      </w:pPr>
      <w:rPr>
        <w:rFonts w:ascii="Symbol" w:hAnsi="Symbol"/>
      </w:rPr>
    </w:lvl>
    <w:lvl w:ilvl="4" w:tplc="C4ACB406">
      <w:start w:val="1"/>
      <w:numFmt w:val="bullet"/>
      <w:lvlText w:val="o"/>
      <w:lvlJc w:val="left"/>
      <w:pPr>
        <w:tabs>
          <w:tab w:val="num" w:pos="3600"/>
        </w:tabs>
        <w:ind w:left="3600" w:hanging="360"/>
      </w:pPr>
      <w:rPr>
        <w:rFonts w:ascii="Courier New" w:hAnsi="Courier New"/>
      </w:rPr>
    </w:lvl>
    <w:lvl w:ilvl="5" w:tplc="BAF60718">
      <w:start w:val="1"/>
      <w:numFmt w:val="bullet"/>
      <w:lvlText w:val=""/>
      <w:lvlJc w:val="left"/>
      <w:pPr>
        <w:tabs>
          <w:tab w:val="num" w:pos="4320"/>
        </w:tabs>
        <w:ind w:left="4320" w:hanging="360"/>
      </w:pPr>
      <w:rPr>
        <w:rFonts w:ascii="Wingdings" w:hAnsi="Wingdings"/>
      </w:rPr>
    </w:lvl>
    <w:lvl w:ilvl="6" w:tplc="90BC0F9C">
      <w:start w:val="1"/>
      <w:numFmt w:val="bullet"/>
      <w:lvlText w:val=""/>
      <w:lvlJc w:val="left"/>
      <w:pPr>
        <w:tabs>
          <w:tab w:val="num" w:pos="5040"/>
        </w:tabs>
        <w:ind w:left="5040" w:hanging="360"/>
      </w:pPr>
      <w:rPr>
        <w:rFonts w:ascii="Symbol" w:hAnsi="Symbol"/>
      </w:rPr>
    </w:lvl>
    <w:lvl w:ilvl="7" w:tplc="2FBEEB0E">
      <w:start w:val="1"/>
      <w:numFmt w:val="bullet"/>
      <w:lvlText w:val="o"/>
      <w:lvlJc w:val="left"/>
      <w:pPr>
        <w:tabs>
          <w:tab w:val="num" w:pos="5760"/>
        </w:tabs>
        <w:ind w:left="5760" w:hanging="360"/>
      </w:pPr>
      <w:rPr>
        <w:rFonts w:ascii="Courier New" w:hAnsi="Courier New"/>
      </w:rPr>
    </w:lvl>
    <w:lvl w:ilvl="8" w:tplc="02F26168">
      <w:start w:val="1"/>
      <w:numFmt w:val="bullet"/>
      <w:lvlText w:val=""/>
      <w:lvlJc w:val="left"/>
      <w:pPr>
        <w:tabs>
          <w:tab w:val="num" w:pos="6480"/>
        </w:tabs>
        <w:ind w:left="6480" w:hanging="360"/>
      </w:pPr>
      <w:rPr>
        <w:rFonts w:ascii="Wingdings" w:hAnsi="Wingdings"/>
      </w:rPr>
    </w:lvl>
  </w:abstractNum>
  <w:abstractNum w:abstractNumId="37" w15:restartNumberingAfterBreak="0">
    <w:nsid w:val="7BE95D81"/>
    <w:multiLevelType w:val="hybridMultilevel"/>
    <w:tmpl w:val="7BE95D81"/>
    <w:lvl w:ilvl="0" w:tplc="2BACDCA2">
      <w:start w:val="1"/>
      <w:numFmt w:val="bullet"/>
      <w:lvlText w:val=""/>
      <w:lvlJc w:val="left"/>
      <w:pPr>
        <w:ind w:left="720" w:hanging="360"/>
      </w:pPr>
      <w:rPr>
        <w:rFonts w:ascii="Symbol" w:hAnsi="Symbol"/>
      </w:rPr>
    </w:lvl>
    <w:lvl w:ilvl="1" w:tplc="CF20A23A">
      <w:start w:val="1"/>
      <w:numFmt w:val="bullet"/>
      <w:lvlText w:val="o"/>
      <w:lvlJc w:val="left"/>
      <w:pPr>
        <w:tabs>
          <w:tab w:val="num" w:pos="1440"/>
        </w:tabs>
        <w:ind w:left="1440" w:hanging="360"/>
      </w:pPr>
      <w:rPr>
        <w:rFonts w:ascii="Courier New" w:hAnsi="Courier New"/>
      </w:rPr>
    </w:lvl>
    <w:lvl w:ilvl="2" w:tplc="0AA6FE2E">
      <w:start w:val="1"/>
      <w:numFmt w:val="bullet"/>
      <w:lvlText w:val=""/>
      <w:lvlJc w:val="left"/>
      <w:pPr>
        <w:tabs>
          <w:tab w:val="num" w:pos="2160"/>
        </w:tabs>
        <w:ind w:left="2160" w:hanging="360"/>
      </w:pPr>
      <w:rPr>
        <w:rFonts w:ascii="Wingdings" w:hAnsi="Wingdings"/>
      </w:rPr>
    </w:lvl>
    <w:lvl w:ilvl="3" w:tplc="BB82E9D8">
      <w:start w:val="1"/>
      <w:numFmt w:val="bullet"/>
      <w:lvlText w:val=""/>
      <w:lvlJc w:val="left"/>
      <w:pPr>
        <w:tabs>
          <w:tab w:val="num" w:pos="2880"/>
        </w:tabs>
        <w:ind w:left="2880" w:hanging="360"/>
      </w:pPr>
      <w:rPr>
        <w:rFonts w:ascii="Symbol" w:hAnsi="Symbol"/>
      </w:rPr>
    </w:lvl>
    <w:lvl w:ilvl="4" w:tplc="C0283EFE">
      <w:start w:val="1"/>
      <w:numFmt w:val="bullet"/>
      <w:lvlText w:val="o"/>
      <w:lvlJc w:val="left"/>
      <w:pPr>
        <w:tabs>
          <w:tab w:val="num" w:pos="3600"/>
        </w:tabs>
        <w:ind w:left="3600" w:hanging="360"/>
      </w:pPr>
      <w:rPr>
        <w:rFonts w:ascii="Courier New" w:hAnsi="Courier New"/>
      </w:rPr>
    </w:lvl>
    <w:lvl w:ilvl="5" w:tplc="0D26D168">
      <w:start w:val="1"/>
      <w:numFmt w:val="bullet"/>
      <w:lvlText w:val=""/>
      <w:lvlJc w:val="left"/>
      <w:pPr>
        <w:tabs>
          <w:tab w:val="num" w:pos="4320"/>
        </w:tabs>
        <w:ind w:left="4320" w:hanging="360"/>
      </w:pPr>
      <w:rPr>
        <w:rFonts w:ascii="Wingdings" w:hAnsi="Wingdings"/>
      </w:rPr>
    </w:lvl>
    <w:lvl w:ilvl="6" w:tplc="25CA0DC8">
      <w:start w:val="1"/>
      <w:numFmt w:val="bullet"/>
      <w:lvlText w:val=""/>
      <w:lvlJc w:val="left"/>
      <w:pPr>
        <w:tabs>
          <w:tab w:val="num" w:pos="5040"/>
        </w:tabs>
        <w:ind w:left="5040" w:hanging="360"/>
      </w:pPr>
      <w:rPr>
        <w:rFonts w:ascii="Symbol" w:hAnsi="Symbol"/>
      </w:rPr>
    </w:lvl>
    <w:lvl w:ilvl="7" w:tplc="03B0E9D4">
      <w:start w:val="1"/>
      <w:numFmt w:val="bullet"/>
      <w:lvlText w:val="o"/>
      <w:lvlJc w:val="left"/>
      <w:pPr>
        <w:tabs>
          <w:tab w:val="num" w:pos="5760"/>
        </w:tabs>
        <w:ind w:left="5760" w:hanging="360"/>
      </w:pPr>
      <w:rPr>
        <w:rFonts w:ascii="Courier New" w:hAnsi="Courier New"/>
      </w:rPr>
    </w:lvl>
    <w:lvl w:ilvl="8" w:tplc="0E5C5B96">
      <w:start w:val="1"/>
      <w:numFmt w:val="bullet"/>
      <w:lvlText w:val=""/>
      <w:lvlJc w:val="left"/>
      <w:pPr>
        <w:tabs>
          <w:tab w:val="num" w:pos="6480"/>
        </w:tabs>
        <w:ind w:left="6480" w:hanging="360"/>
      </w:pPr>
      <w:rPr>
        <w:rFonts w:ascii="Wingdings" w:hAnsi="Wingdings"/>
      </w:rPr>
    </w:lvl>
  </w:abstractNum>
  <w:abstractNum w:abstractNumId="38" w15:restartNumberingAfterBreak="0">
    <w:nsid w:val="7BE95D82"/>
    <w:multiLevelType w:val="hybridMultilevel"/>
    <w:tmpl w:val="7BE95D82"/>
    <w:lvl w:ilvl="0" w:tplc="9DAA135A">
      <w:start w:val="1"/>
      <w:numFmt w:val="bullet"/>
      <w:lvlText w:val=""/>
      <w:lvlJc w:val="left"/>
      <w:pPr>
        <w:ind w:left="720" w:hanging="360"/>
      </w:pPr>
      <w:rPr>
        <w:rFonts w:ascii="Symbol" w:hAnsi="Symbol"/>
      </w:rPr>
    </w:lvl>
    <w:lvl w:ilvl="1" w:tplc="C9B0DAD8">
      <w:start w:val="1"/>
      <w:numFmt w:val="bullet"/>
      <w:lvlText w:val="o"/>
      <w:lvlJc w:val="left"/>
      <w:pPr>
        <w:tabs>
          <w:tab w:val="num" w:pos="1440"/>
        </w:tabs>
        <w:ind w:left="1440" w:hanging="360"/>
      </w:pPr>
      <w:rPr>
        <w:rFonts w:ascii="Courier New" w:hAnsi="Courier New"/>
      </w:rPr>
    </w:lvl>
    <w:lvl w:ilvl="2" w:tplc="0F8AA54C">
      <w:start w:val="1"/>
      <w:numFmt w:val="bullet"/>
      <w:lvlText w:val=""/>
      <w:lvlJc w:val="left"/>
      <w:pPr>
        <w:tabs>
          <w:tab w:val="num" w:pos="2160"/>
        </w:tabs>
        <w:ind w:left="2160" w:hanging="360"/>
      </w:pPr>
      <w:rPr>
        <w:rFonts w:ascii="Wingdings" w:hAnsi="Wingdings"/>
      </w:rPr>
    </w:lvl>
    <w:lvl w:ilvl="3" w:tplc="D27A09E0">
      <w:start w:val="1"/>
      <w:numFmt w:val="bullet"/>
      <w:lvlText w:val=""/>
      <w:lvlJc w:val="left"/>
      <w:pPr>
        <w:tabs>
          <w:tab w:val="num" w:pos="2880"/>
        </w:tabs>
        <w:ind w:left="2880" w:hanging="360"/>
      </w:pPr>
      <w:rPr>
        <w:rFonts w:ascii="Symbol" w:hAnsi="Symbol"/>
      </w:rPr>
    </w:lvl>
    <w:lvl w:ilvl="4" w:tplc="47BC5E92">
      <w:start w:val="1"/>
      <w:numFmt w:val="bullet"/>
      <w:lvlText w:val="o"/>
      <w:lvlJc w:val="left"/>
      <w:pPr>
        <w:tabs>
          <w:tab w:val="num" w:pos="3600"/>
        </w:tabs>
        <w:ind w:left="3600" w:hanging="360"/>
      </w:pPr>
      <w:rPr>
        <w:rFonts w:ascii="Courier New" w:hAnsi="Courier New"/>
      </w:rPr>
    </w:lvl>
    <w:lvl w:ilvl="5" w:tplc="99C0C006">
      <w:start w:val="1"/>
      <w:numFmt w:val="bullet"/>
      <w:lvlText w:val=""/>
      <w:lvlJc w:val="left"/>
      <w:pPr>
        <w:tabs>
          <w:tab w:val="num" w:pos="4320"/>
        </w:tabs>
        <w:ind w:left="4320" w:hanging="360"/>
      </w:pPr>
      <w:rPr>
        <w:rFonts w:ascii="Wingdings" w:hAnsi="Wingdings"/>
      </w:rPr>
    </w:lvl>
    <w:lvl w:ilvl="6" w:tplc="60DA26A0">
      <w:start w:val="1"/>
      <w:numFmt w:val="bullet"/>
      <w:lvlText w:val=""/>
      <w:lvlJc w:val="left"/>
      <w:pPr>
        <w:tabs>
          <w:tab w:val="num" w:pos="5040"/>
        </w:tabs>
        <w:ind w:left="5040" w:hanging="360"/>
      </w:pPr>
      <w:rPr>
        <w:rFonts w:ascii="Symbol" w:hAnsi="Symbol"/>
      </w:rPr>
    </w:lvl>
    <w:lvl w:ilvl="7" w:tplc="3B20C3DA">
      <w:start w:val="1"/>
      <w:numFmt w:val="bullet"/>
      <w:lvlText w:val="o"/>
      <w:lvlJc w:val="left"/>
      <w:pPr>
        <w:tabs>
          <w:tab w:val="num" w:pos="5760"/>
        </w:tabs>
        <w:ind w:left="5760" w:hanging="360"/>
      </w:pPr>
      <w:rPr>
        <w:rFonts w:ascii="Courier New" w:hAnsi="Courier New"/>
      </w:rPr>
    </w:lvl>
    <w:lvl w:ilvl="8" w:tplc="16FE75A8">
      <w:start w:val="1"/>
      <w:numFmt w:val="bullet"/>
      <w:lvlText w:val=""/>
      <w:lvlJc w:val="left"/>
      <w:pPr>
        <w:tabs>
          <w:tab w:val="num" w:pos="6480"/>
        </w:tabs>
        <w:ind w:left="6480" w:hanging="360"/>
      </w:pPr>
      <w:rPr>
        <w:rFonts w:ascii="Wingdings" w:hAnsi="Wingdings"/>
      </w:rPr>
    </w:lvl>
  </w:abstractNum>
  <w:abstractNum w:abstractNumId="39" w15:restartNumberingAfterBreak="0">
    <w:nsid w:val="7BE95D83"/>
    <w:multiLevelType w:val="hybridMultilevel"/>
    <w:tmpl w:val="7BE95D83"/>
    <w:lvl w:ilvl="0" w:tplc="4A96B078">
      <w:start w:val="1"/>
      <w:numFmt w:val="bullet"/>
      <w:lvlText w:val=""/>
      <w:lvlJc w:val="left"/>
      <w:pPr>
        <w:ind w:left="720" w:hanging="360"/>
      </w:pPr>
      <w:rPr>
        <w:rFonts w:ascii="Symbol" w:hAnsi="Symbol"/>
      </w:rPr>
    </w:lvl>
    <w:lvl w:ilvl="1" w:tplc="9ECA5BAA">
      <w:start w:val="1"/>
      <w:numFmt w:val="bullet"/>
      <w:lvlText w:val="o"/>
      <w:lvlJc w:val="left"/>
      <w:pPr>
        <w:tabs>
          <w:tab w:val="num" w:pos="1440"/>
        </w:tabs>
        <w:ind w:left="1440" w:hanging="360"/>
      </w:pPr>
      <w:rPr>
        <w:rFonts w:ascii="Courier New" w:hAnsi="Courier New"/>
      </w:rPr>
    </w:lvl>
    <w:lvl w:ilvl="2" w:tplc="0040D144">
      <w:start w:val="1"/>
      <w:numFmt w:val="bullet"/>
      <w:lvlText w:val=""/>
      <w:lvlJc w:val="left"/>
      <w:pPr>
        <w:tabs>
          <w:tab w:val="num" w:pos="2160"/>
        </w:tabs>
        <w:ind w:left="2160" w:hanging="360"/>
      </w:pPr>
      <w:rPr>
        <w:rFonts w:ascii="Wingdings" w:hAnsi="Wingdings"/>
      </w:rPr>
    </w:lvl>
    <w:lvl w:ilvl="3" w:tplc="B8FC270A">
      <w:start w:val="1"/>
      <w:numFmt w:val="bullet"/>
      <w:lvlText w:val=""/>
      <w:lvlJc w:val="left"/>
      <w:pPr>
        <w:tabs>
          <w:tab w:val="num" w:pos="2880"/>
        </w:tabs>
        <w:ind w:left="2880" w:hanging="360"/>
      </w:pPr>
      <w:rPr>
        <w:rFonts w:ascii="Symbol" w:hAnsi="Symbol"/>
      </w:rPr>
    </w:lvl>
    <w:lvl w:ilvl="4" w:tplc="07B062D6">
      <w:start w:val="1"/>
      <w:numFmt w:val="bullet"/>
      <w:lvlText w:val="o"/>
      <w:lvlJc w:val="left"/>
      <w:pPr>
        <w:tabs>
          <w:tab w:val="num" w:pos="3600"/>
        </w:tabs>
        <w:ind w:left="3600" w:hanging="360"/>
      </w:pPr>
      <w:rPr>
        <w:rFonts w:ascii="Courier New" w:hAnsi="Courier New"/>
      </w:rPr>
    </w:lvl>
    <w:lvl w:ilvl="5" w:tplc="3D84847E">
      <w:start w:val="1"/>
      <w:numFmt w:val="bullet"/>
      <w:lvlText w:val=""/>
      <w:lvlJc w:val="left"/>
      <w:pPr>
        <w:tabs>
          <w:tab w:val="num" w:pos="4320"/>
        </w:tabs>
        <w:ind w:left="4320" w:hanging="360"/>
      </w:pPr>
      <w:rPr>
        <w:rFonts w:ascii="Wingdings" w:hAnsi="Wingdings"/>
      </w:rPr>
    </w:lvl>
    <w:lvl w:ilvl="6" w:tplc="70200E10">
      <w:start w:val="1"/>
      <w:numFmt w:val="bullet"/>
      <w:lvlText w:val=""/>
      <w:lvlJc w:val="left"/>
      <w:pPr>
        <w:tabs>
          <w:tab w:val="num" w:pos="5040"/>
        </w:tabs>
        <w:ind w:left="5040" w:hanging="360"/>
      </w:pPr>
      <w:rPr>
        <w:rFonts w:ascii="Symbol" w:hAnsi="Symbol"/>
      </w:rPr>
    </w:lvl>
    <w:lvl w:ilvl="7" w:tplc="F9EC9EC2">
      <w:start w:val="1"/>
      <w:numFmt w:val="bullet"/>
      <w:lvlText w:val="o"/>
      <w:lvlJc w:val="left"/>
      <w:pPr>
        <w:tabs>
          <w:tab w:val="num" w:pos="5760"/>
        </w:tabs>
        <w:ind w:left="5760" w:hanging="360"/>
      </w:pPr>
      <w:rPr>
        <w:rFonts w:ascii="Courier New" w:hAnsi="Courier New"/>
      </w:rPr>
    </w:lvl>
    <w:lvl w:ilvl="8" w:tplc="F10AB72C">
      <w:start w:val="1"/>
      <w:numFmt w:val="bullet"/>
      <w:lvlText w:val=""/>
      <w:lvlJc w:val="left"/>
      <w:pPr>
        <w:tabs>
          <w:tab w:val="num" w:pos="6480"/>
        </w:tabs>
        <w:ind w:left="6480" w:hanging="360"/>
      </w:pPr>
      <w:rPr>
        <w:rFonts w:ascii="Wingdings" w:hAnsi="Wingdings"/>
      </w:rPr>
    </w:lvl>
  </w:abstractNum>
  <w:abstractNum w:abstractNumId="40" w15:restartNumberingAfterBreak="0">
    <w:nsid w:val="7BE95D84"/>
    <w:multiLevelType w:val="hybridMultilevel"/>
    <w:tmpl w:val="7BE95D84"/>
    <w:lvl w:ilvl="0" w:tplc="BE36BA20">
      <w:start w:val="1"/>
      <w:numFmt w:val="bullet"/>
      <w:lvlText w:val=""/>
      <w:lvlJc w:val="left"/>
      <w:pPr>
        <w:ind w:left="720" w:hanging="360"/>
      </w:pPr>
      <w:rPr>
        <w:rFonts w:ascii="Symbol" w:hAnsi="Symbol"/>
      </w:rPr>
    </w:lvl>
    <w:lvl w:ilvl="1" w:tplc="E7C2938A">
      <w:start w:val="1"/>
      <w:numFmt w:val="bullet"/>
      <w:lvlText w:val="o"/>
      <w:lvlJc w:val="left"/>
      <w:pPr>
        <w:tabs>
          <w:tab w:val="num" w:pos="1440"/>
        </w:tabs>
        <w:ind w:left="1440" w:hanging="360"/>
      </w:pPr>
      <w:rPr>
        <w:rFonts w:ascii="Courier New" w:hAnsi="Courier New"/>
      </w:rPr>
    </w:lvl>
    <w:lvl w:ilvl="2" w:tplc="7CFC3CCA">
      <w:start w:val="1"/>
      <w:numFmt w:val="bullet"/>
      <w:lvlText w:val=""/>
      <w:lvlJc w:val="left"/>
      <w:pPr>
        <w:tabs>
          <w:tab w:val="num" w:pos="2160"/>
        </w:tabs>
        <w:ind w:left="2160" w:hanging="360"/>
      </w:pPr>
      <w:rPr>
        <w:rFonts w:ascii="Wingdings" w:hAnsi="Wingdings"/>
      </w:rPr>
    </w:lvl>
    <w:lvl w:ilvl="3" w:tplc="7FCEA306">
      <w:start w:val="1"/>
      <w:numFmt w:val="bullet"/>
      <w:lvlText w:val=""/>
      <w:lvlJc w:val="left"/>
      <w:pPr>
        <w:tabs>
          <w:tab w:val="num" w:pos="2880"/>
        </w:tabs>
        <w:ind w:left="2880" w:hanging="360"/>
      </w:pPr>
      <w:rPr>
        <w:rFonts w:ascii="Symbol" w:hAnsi="Symbol"/>
      </w:rPr>
    </w:lvl>
    <w:lvl w:ilvl="4" w:tplc="8D185232">
      <w:start w:val="1"/>
      <w:numFmt w:val="bullet"/>
      <w:lvlText w:val="o"/>
      <w:lvlJc w:val="left"/>
      <w:pPr>
        <w:tabs>
          <w:tab w:val="num" w:pos="3600"/>
        </w:tabs>
        <w:ind w:left="3600" w:hanging="360"/>
      </w:pPr>
      <w:rPr>
        <w:rFonts w:ascii="Courier New" w:hAnsi="Courier New"/>
      </w:rPr>
    </w:lvl>
    <w:lvl w:ilvl="5" w:tplc="AA54C9C6">
      <w:start w:val="1"/>
      <w:numFmt w:val="bullet"/>
      <w:lvlText w:val=""/>
      <w:lvlJc w:val="left"/>
      <w:pPr>
        <w:tabs>
          <w:tab w:val="num" w:pos="4320"/>
        </w:tabs>
        <w:ind w:left="4320" w:hanging="360"/>
      </w:pPr>
      <w:rPr>
        <w:rFonts w:ascii="Wingdings" w:hAnsi="Wingdings"/>
      </w:rPr>
    </w:lvl>
    <w:lvl w:ilvl="6" w:tplc="53D81F92">
      <w:start w:val="1"/>
      <w:numFmt w:val="bullet"/>
      <w:lvlText w:val=""/>
      <w:lvlJc w:val="left"/>
      <w:pPr>
        <w:tabs>
          <w:tab w:val="num" w:pos="5040"/>
        </w:tabs>
        <w:ind w:left="5040" w:hanging="360"/>
      </w:pPr>
      <w:rPr>
        <w:rFonts w:ascii="Symbol" w:hAnsi="Symbol"/>
      </w:rPr>
    </w:lvl>
    <w:lvl w:ilvl="7" w:tplc="6986A1C6">
      <w:start w:val="1"/>
      <w:numFmt w:val="bullet"/>
      <w:lvlText w:val="o"/>
      <w:lvlJc w:val="left"/>
      <w:pPr>
        <w:tabs>
          <w:tab w:val="num" w:pos="5760"/>
        </w:tabs>
        <w:ind w:left="5760" w:hanging="360"/>
      </w:pPr>
      <w:rPr>
        <w:rFonts w:ascii="Courier New" w:hAnsi="Courier New"/>
      </w:rPr>
    </w:lvl>
    <w:lvl w:ilvl="8" w:tplc="BF2EFEC0">
      <w:start w:val="1"/>
      <w:numFmt w:val="bullet"/>
      <w:lvlText w:val=""/>
      <w:lvlJc w:val="left"/>
      <w:pPr>
        <w:tabs>
          <w:tab w:val="num" w:pos="6480"/>
        </w:tabs>
        <w:ind w:left="6480" w:hanging="360"/>
      </w:pPr>
      <w:rPr>
        <w:rFonts w:ascii="Wingdings" w:hAnsi="Wingdings"/>
      </w:rPr>
    </w:lvl>
  </w:abstractNum>
  <w:abstractNum w:abstractNumId="41" w15:restartNumberingAfterBreak="0">
    <w:nsid w:val="7BE95D85"/>
    <w:multiLevelType w:val="hybridMultilevel"/>
    <w:tmpl w:val="7BE95D85"/>
    <w:lvl w:ilvl="0" w:tplc="83EC70E2">
      <w:start w:val="1"/>
      <w:numFmt w:val="bullet"/>
      <w:lvlText w:val=""/>
      <w:lvlJc w:val="left"/>
      <w:pPr>
        <w:ind w:left="720" w:hanging="360"/>
      </w:pPr>
      <w:rPr>
        <w:rFonts w:ascii="Symbol" w:hAnsi="Symbol"/>
      </w:rPr>
    </w:lvl>
    <w:lvl w:ilvl="1" w:tplc="0C545F92">
      <w:start w:val="1"/>
      <w:numFmt w:val="bullet"/>
      <w:lvlText w:val="o"/>
      <w:lvlJc w:val="left"/>
      <w:pPr>
        <w:tabs>
          <w:tab w:val="num" w:pos="1440"/>
        </w:tabs>
        <w:ind w:left="1440" w:hanging="360"/>
      </w:pPr>
      <w:rPr>
        <w:rFonts w:ascii="Courier New" w:hAnsi="Courier New"/>
      </w:rPr>
    </w:lvl>
    <w:lvl w:ilvl="2" w:tplc="C9266BD0">
      <w:start w:val="1"/>
      <w:numFmt w:val="bullet"/>
      <w:lvlText w:val=""/>
      <w:lvlJc w:val="left"/>
      <w:pPr>
        <w:tabs>
          <w:tab w:val="num" w:pos="2160"/>
        </w:tabs>
        <w:ind w:left="2160" w:hanging="360"/>
      </w:pPr>
      <w:rPr>
        <w:rFonts w:ascii="Wingdings" w:hAnsi="Wingdings"/>
      </w:rPr>
    </w:lvl>
    <w:lvl w:ilvl="3" w:tplc="7F8204C0">
      <w:start w:val="1"/>
      <w:numFmt w:val="bullet"/>
      <w:lvlText w:val=""/>
      <w:lvlJc w:val="left"/>
      <w:pPr>
        <w:tabs>
          <w:tab w:val="num" w:pos="2880"/>
        </w:tabs>
        <w:ind w:left="2880" w:hanging="360"/>
      </w:pPr>
      <w:rPr>
        <w:rFonts w:ascii="Symbol" w:hAnsi="Symbol"/>
      </w:rPr>
    </w:lvl>
    <w:lvl w:ilvl="4" w:tplc="A8CAC5B0">
      <w:start w:val="1"/>
      <w:numFmt w:val="bullet"/>
      <w:lvlText w:val="o"/>
      <w:lvlJc w:val="left"/>
      <w:pPr>
        <w:tabs>
          <w:tab w:val="num" w:pos="3600"/>
        </w:tabs>
        <w:ind w:left="3600" w:hanging="360"/>
      </w:pPr>
      <w:rPr>
        <w:rFonts w:ascii="Courier New" w:hAnsi="Courier New"/>
      </w:rPr>
    </w:lvl>
    <w:lvl w:ilvl="5" w:tplc="6F825022">
      <w:start w:val="1"/>
      <w:numFmt w:val="bullet"/>
      <w:lvlText w:val=""/>
      <w:lvlJc w:val="left"/>
      <w:pPr>
        <w:tabs>
          <w:tab w:val="num" w:pos="4320"/>
        </w:tabs>
        <w:ind w:left="4320" w:hanging="360"/>
      </w:pPr>
      <w:rPr>
        <w:rFonts w:ascii="Wingdings" w:hAnsi="Wingdings"/>
      </w:rPr>
    </w:lvl>
    <w:lvl w:ilvl="6" w:tplc="9DBEF03E">
      <w:start w:val="1"/>
      <w:numFmt w:val="bullet"/>
      <w:lvlText w:val=""/>
      <w:lvlJc w:val="left"/>
      <w:pPr>
        <w:tabs>
          <w:tab w:val="num" w:pos="5040"/>
        </w:tabs>
        <w:ind w:left="5040" w:hanging="360"/>
      </w:pPr>
      <w:rPr>
        <w:rFonts w:ascii="Symbol" w:hAnsi="Symbol"/>
      </w:rPr>
    </w:lvl>
    <w:lvl w:ilvl="7" w:tplc="0220E838">
      <w:start w:val="1"/>
      <w:numFmt w:val="bullet"/>
      <w:lvlText w:val="o"/>
      <w:lvlJc w:val="left"/>
      <w:pPr>
        <w:tabs>
          <w:tab w:val="num" w:pos="5760"/>
        </w:tabs>
        <w:ind w:left="5760" w:hanging="360"/>
      </w:pPr>
      <w:rPr>
        <w:rFonts w:ascii="Courier New" w:hAnsi="Courier New"/>
      </w:rPr>
    </w:lvl>
    <w:lvl w:ilvl="8" w:tplc="6AEC75AE">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6"/>
    <w:multiLevelType w:val="hybridMultilevel"/>
    <w:tmpl w:val="7BE95D86"/>
    <w:lvl w:ilvl="0" w:tplc="155CEEB8">
      <w:start w:val="1"/>
      <w:numFmt w:val="bullet"/>
      <w:lvlText w:val=""/>
      <w:lvlJc w:val="left"/>
      <w:pPr>
        <w:ind w:left="720" w:hanging="360"/>
      </w:pPr>
      <w:rPr>
        <w:rFonts w:ascii="Symbol" w:hAnsi="Symbol"/>
      </w:rPr>
    </w:lvl>
    <w:lvl w:ilvl="1" w:tplc="C0D2DDF0">
      <w:start w:val="1"/>
      <w:numFmt w:val="bullet"/>
      <w:lvlText w:val="o"/>
      <w:lvlJc w:val="left"/>
      <w:pPr>
        <w:tabs>
          <w:tab w:val="num" w:pos="1440"/>
        </w:tabs>
        <w:ind w:left="1440" w:hanging="360"/>
      </w:pPr>
      <w:rPr>
        <w:rFonts w:ascii="Courier New" w:hAnsi="Courier New"/>
      </w:rPr>
    </w:lvl>
    <w:lvl w:ilvl="2" w:tplc="C57CAE3E">
      <w:start w:val="1"/>
      <w:numFmt w:val="bullet"/>
      <w:lvlText w:val=""/>
      <w:lvlJc w:val="left"/>
      <w:pPr>
        <w:tabs>
          <w:tab w:val="num" w:pos="2160"/>
        </w:tabs>
        <w:ind w:left="2160" w:hanging="360"/>
      </w:pPr>
      <w:rPr>
        <w:rFonts w:ascii="Wingdings" w:hAnsi="Wingdings"/>
      </w:rPr>
    </w:lvl>
    <w:lvl w:ilvl="3" w:tplc="019640D2">
      <w:start w:val="1"/>
      <w:numFmt w:val="bullet"/>
      <w:lvlText w:val=""/>
      <w:lvlJc w:val="left"/>
      <w:pPr>
        <w:tabs>
          <w:tab w:val="num" w:pos="2880"/>
        </w:tabs>
        <w:ind w:left="2880" w:hanging="360"/>
      </w:pPr>
      <w:rPr>
        <w:rFonts w:ascii="Symbol" w:hAnsi="Symbol"/>
      </w:rPr>
    </w:lvl>
    <w:lvl w:ilvl="4" w:tplc="210E68B6">
      <w:start w:val="1"/>
      <w:numFmt w:val="bullet"/>
      <w:lvlText w:val="o"/>
      <w:lvlJc w:val="left"/>
      <w:pPr>
        <w:tabs>
          <w:tab w:val="num" w:pos="3600"/>
        </w:tabs>
        <w:ind w:left="3600" w:hanging="360"/>
      </w:pPr>
      <w:rPr>
        <w:rFonts w:ascii="Courier New" w:hAnsi="Courier New"/>
      </w:rPr>
    </w:lvl>
    <w:lvl w:ilvl="5" w:tplc="8278B1F8">
      <w:start w:val="1"/>
      <w:numFmt w:val="bullet"/>
      <w:lvlText w:val=""/>
      <w:lvlJc w:val="left"/>
      <w:pPr>
        <w:tabs>
          <w:tab w:val="num" w:pos="4320"/>
        </w:tabs>
        <w:ind w:left="4320" w:hanging="360"/>
      </w:pPr>
      <w:rPr>
        <w:rFonts w:ascii="Wingdings" w:hAnsi="Wingdings"/>
      </w:rPr>
    </w:lvl>
    <w:lvl w:ilvl="6" w:tplc="F90CCF02">
      <w:start w:val="1"/>
      <w:numFmt w:val="bullet"/>
      <w:lvlText w:val=""/>
      <w:lvlJc w:val="left"/>
      <w:pPr>
        <w:tabs>
          <w:tab w:val="num" w:pos="5040"/>
        </w:tabs>
        <w:ind w:left="5040" w:hanging="360"/>
      </w:pPr>
      <w:rPr>
        <w:rFonts w:ascii="Symbol" w:hAnsi="Symbol"/>
      </w:rPr>
    </w:lvl>
    <w:lvl w:ilvl="7" w:tplc="1BDAC86C">
      <w:start w:val="1"/>
      <w:numFmt w:val="bullet"/>
      <w:lvlText w:val="o"/>
      <w:lvlJc w:val="left"/>
      <w:pPr>
        <w:tabs>
          <w:tab w:val="num" w:pos="5760"/>
        </w:tabs>
        <w:ind w:left="5760" w:hanging="360"/>
      </w:pPr>
      <w:rPr>
        <w:rFonts w:ascii="Courier New" w:hAnsi="Courier New"/>
      </w:rPr>
    </w:lvl>
    <w:lvl w:ilvl="8" w:tplc="70DAE7A4">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7"/>
    <w:multiLevelType w:val="hybridMultilevel"/>
    <w:tmpl w:val="7BE95D87"/>
    <w:lvl w:ilvl="0" w:tplc="0010CC82">
      <w:start w:val="1"/>
      <w:numFmt w:val="bullet"/>
      <w:lvlText w:val=""/>
      <w:lvlJc w:val="left"/>
      <w:pPr>
        <w:ind w:left="720" w:hanging="360"/>
      </w:pPr>
      <w:rPr>
        <w:rFonts w:ascii="Symbol" w:hAnsi="Symbol"/>
      </w:rPr>
    </w:lvl>
    <w:lvl w:ilvl="1" w:tplc="2C54F1A6">
      <w:start w:val="1"/>
      <w:numFmt w:val="bullet"/>
      <w:lvlText w:val="o"/>
      <w:lvlJc w:val="left"/>
      <w:pPr>
        <w:tabs>
          <w:tab w:val="num" w:pos="1440"/>
        </w:tabs>
        <w:ind w:left="1440" w:hanging="360"/>
      </w:pPr>
      <w:rPr>
        <w:rFonts w:ascii="Courier New" w:hAnsi="Courier New"/>
      </w:rPr>
    </w:lvl>
    <w:lvl w:ilvl="2" w:tplc="F14474FC">
      <w:start w:val="1"/>
      <w:numFmt w:val="bullet"/>
      <w:lvlText w:val=""/>
      <w:lvlJc w:val="left"/>
      <w:pPr>
        <w:tabs>
          <w:tab w:val="num" w:pos="2160"/>
        </w:tabs>
        <w:ind w:left="2160" w:hanging="360"/>
      </w:pPr>
      <w:rPr>
        <w:rFonts w:ascii="Wingdings" w:hAnsi="Wingdings"/>
      </w:rPr>
    </w:lvl>
    <w:lvl w:ilvl="3" w:tplc="5BFC25AC">
      <w:start w:val="1"/>
      <w:numFmt w:val="bullet"/>
      <w:lvlText w:val=""/>
      <w:lvlJc w:val="left"/>
      <w:pPr>
        <w:tabs>
          <w:tab w:val="num" w:pos="2880"/>
        </w:tabs>
        <w:ind w:left="2880" w:hanging="360"/>
      </w:pPr>
      <w:rPr>
        <w:rFonts w:ascii="Symbol" w:hAnsi="Symbol"/>
      </w:rPr>
    </w:lvl>
    <w:lvl w:ilvl="4" w:tplc="80408688">
      <w:start w:val="1"/>
      <w:numFmt w:val="bullet"/>
      <w:lvlText w:val="o"/>
      <w:lvlJc w:val="left"/>
      <w:pPr>
        <w:tabs>
          <w:tab w:val="num" w:pos="3600"/>
        </w:tabs>
        <w:ind w:left="3600" w:hanging="360"/>
      </w:pPr>
      <w:rPr>
        <w:rFonts w:ascii="Courier New" w:hAnsi="Courier New"/>
      </w:rPr>
    </w:lvl>
    <w:lvl w:ilvl="5" w:tplc="7930BD9E">
      <w:start w:val="1"/>
      <w:numFmt w:val="bullet"/>
      <w:lvlText w:val=""/>
      <w:lvlJc w:val="left"/>
      <w:pPr>
        <w:tabs>
          <w:tab w:val="num" w:pos="4320"/>
        </w:tabs>
        <w:ind w:left="4320" w:hanging="360"/>
      </w:pPr>
      <w:rPr>
        <w:rFonts w:ascii="Wingdings" w:hAnsi="Wingdings"/>
      </w:rPr>
    </w:lvl>
    <w:lvl w:ilvl="6" w:tplc="FD429B3C">
      <w:start w:val="1"/>
      <w:numFmt w:val="bullet"/>
      <w:lvlText w:val=""/>
      <w:lvlJc w:val="left"/>
      <w:pPr>
        <w:tabs>
          <w:tab w:val="num" w:pos="5040"/>
        </w:tabs>
        <w:ind w:left="5040" w:hanging="360"/>
      </w:pPr>
      <w:rPr>
        <w:rFonts w:ascii="Symbol" w:hAnsi="Symbol"/>
      </w:rPr>
    </w:lvl>
    <w:lvl w:ilvl="7" w:tplc="DB165F48">
      <w:start w:val="1"/>
      <w:numFmt w:val="bullet"/>
      <w:lvlText w:val="o"/>
      <w:lvlJc w:val="left"/>
      <w:pPr>
        <w:tabs>
          <w:tab w:val="num" w:pos="5760"/>
        </w:tabs>
        <w:ind w:left="5760" w:hanging="360"/>
      </w:pPr>
      <w:rPr>
        <w:rFonts w:ascii="Courier New" w:hAnsi="Courier New"/>
      </w:rPr>
    </w:lvl>
    <w:lvl w:ilvl="8" w:tplc="C212B448">
      <w:start w:val="1"/>
      <w:numFmt w:val="bullet"/>
      <w:lvlText w:val=""/>
      <w:lvlJc w:val="left"/>
      <w:pPr>
        <w:tabs>
          <w:tab w:val="num" w:pos="6480"/>
        </w:tabs>
        <w:ind w:left="6480" w:hanging="360"/>
      </w:pPr>
      <w:rPr>
        <w:rFonts w:ascii="Wingdings" w:hAnsi="Wingdings"/>
      </w:rPr>
    </w:lvl>
  </w:abstractNum>
  <w:abstractNum w:abstractNumId="44" w15:restartNumberingAfterBreak="0">
    <w:nsid w:val="7BE95D88"/>
    <w:multiLevelType w:val="hybridMultilevel"/>
    <w:tmpl w:val="7BE95D88"/>
    <w:lvl w:ilvl="0" w:tplc="DFC0578E">
      <w:start w:val="1"/>
      <w:numFmt w:val="bullet"/>
      <w:lvlText w:val=""/>
      <w:lvlJc w:val="left"/>
      <w:pPr>
        <w:ind w:left="720" w:hanging="360"/>
      </w:pPr>
      <w:rPr>
        <w:rFonts w:ascii="Symbol" w:hAnsi="Symbol"/>
      </w:rPr>
    </w:lvl>
    <w:lvl w:ilvl="1" w:tplc="7804BF3E">
      <w:start w:val="1"/>
      <w:numFmt w:val="bullet"/>
      <w:lvlText w:val="o"/>
      <w:lvlJc w:val="left"/>
      <w:pPr>
        <w:tabs>
          <w:tab w:val="num" w:pos="1440"/>
        </w:tabs>
        <w:ind w:left="1440" w:hanging="360"/>
      </w:pPr>
      <w:rPr>
        <w:rFonts w:ascii="Courier New" w:hAnsi="Courier New"/>
      </w:rPr>
    </w:lvl>
    <w:lvl w:ilvl="2" w:tplc="5A2EF320">
      <w:start w:val="1"/>
      <w:numFmt w:val="bullet"/>
      <w:lvlText w:val=""/>
      <w:lvlJc w:val="left"/>
      <w:pPr>
        <w:tabs>
          <w:tab w:val="num" w:pos="2160"/>
        </w:tabs>
        <w:ind w:left="2160" w:hanging="360"/>
      </w:pPr>
      <w:rPr>
        <w:rFonts w:ascii="Wingdings" w:hAnsi="Wingdings"/>
      </w:rPr>
    </w:lvl>
    <w:lvl w:ilvl="3" w:tplc="97204B70">
      <w:start w:val="1"/>
      <w:numFmt w:val="bullet"/>
      <w:lvlText w:val=""/>
      <w:lvlJc w:val="left"/>
      <w:pPr>
        <w:tabs>
          <w:tab w:val="num" w:pos="2880"/>
        </w:tabs>
        <w:ind w:left="2880" w:hanging="360"/>
      </w:pPr>
      <w:rPr>
        <w:rFonts w:ascii="Symbol" w:hAnsi="Symbol"/>
      </w:rPr>
    </w:lvl>
    <w:lvl w:ilvl="4" w:tplc="78106B52">
      <w:start w:val="1"/>
      <w:numFmt w:val="bullet"/>
      <w:lvlText w:val="o"/>
      <w:lvlJc w:val="left"/>
      <w:pPr>
        <w:tabs>
          <w:tab w:val="num" w:pos="3600"/>
        </w:tabs>
        <w:ind w:left="3600" w:hanging="360"/>
      </w:pPr>
      <w:rPr>
        <w:rFonts w:ascii="Courier New" w:hAnsi="Courier New"/>
      </w:rPr>
    </w:lvl>
    <w:lvl w:ilvl="5" w:tplc="C208260A">
      <w:start w:val="1"/>
      <w:numFmt w:val="bullet"/>
      <w:lvlText w:val=""/>
      <w:lvlJc w:val="left"/>
      <w:pPr>
        <w:tabs>
          <w:tab w:val="num" w:pos="4320"/>
        </w:tabs>
        <w:ind w:left="4320" w:hanging="360"/>
      </w:pPr>
      <w:rPr>
        <w:rFonts w:ascii="Wingdings" w:hAnsi="Wingdings"/>
      </w:rPr>
    </w:lvl>
    <w:lvl w:ilvl="6" w:tplc="D810947C">
      <w:start w:val="1"/>
      <w:numFmt w:val="bullet"/>
      <w:lvlText w:val=""/>
      <w:lvlJc w:val="left"/>
      <w:pPr>
        <w:tabs>
          <w:tab w:val="num" w:pos="5040"/>
        </w:tabs>
        <w:ind w:left="5040" w:hanging="360"/>
      </w:pPr>
      <w:rPr>
        <w:rFonts w:ascii="Symbol" w:hAnsi="Symbol"/>
      </w:rPr>
    </w:lvl>
    <w:lvl w:ilvl="7" w:tplc="D8302D6A">
      <w:start w:val="1"/>
      <w:numFmt w:val="bullet"/>
      <w:lvlText w:val="o"/>
      <w:lvlJc w:val="left"/>
      <w:pPr>
        <w:tabs>
          <w:tab w:val="num" w:pos="5760"/>
        </w:tabs>
        <w:ind w:left="5760" w:hanging="360"/>
      </w:pPr>
      <w:rPr>
        <w:rFonts w:ascii="Courier New" w:hAnsi="Courier New"/>
      </w:rPr>
    </w:lvl>
    <w:lvl w:ilvl="8" w:tplc="AD80AA7A">
      <w:start w:val="1"/>
      <w:numFmt w:val="bullet"/>
      <w:lvlText w:val=""/>
      <w:lvlJc w:val="left"/>
      <w:pPr>
        <w:tabs>
          <w:tab w:val="num" w:pos="6480"/>
        </w:tabs>
        <w:ind w:left="6480" w:hanging="360"/>
      </w:pPr>
      <w:rPr>
        <w:rFonts w:ascii="Wingdings" w:hAnsi="Wingdings"/>
      </w:rPr>
    </w:lvl>
  </w:abstractNum>
  <w:num w:numId="1">
    <w:abstractNumId w:val="22"/>
  </w:num>
  <w:num w:numId="2">
    <w:abstractNumId w:val="12"/>
  </w:num>
  <w:num w:numId="3">
    <w:abstractNumId w:val="25"/>
  </w:num>
  <w:num w:numId="4">
    <w:abstractNumId w:val="24"/>
  </w:num>
  <w:num w:numId="5">
    <w:abstractNumId w:val="20"/>
  </w:num>
  <w:num w:numId="6">
    <w:abstractNumId w:val="31"/>
  </w:num>
  <w:num w:numId="7">
    <w:abstractNumId w:val="34"/>
  </w:num>
  <w:num w:numId="8">
    <w:abstractNumId w:val="33"/>
  </w:num>
  <w:num w:numId="9">
    <w:abstractNumId w:val="35"/>
  </w:num>
  <w:num w:numId="10">
    <w:abstractNumId w:val="15"/>
  </w:num>
  <w:num w:numId="11">
    <w:abstractNumId w:val="14"/>
  </w:num>
  <w:num w:numId="12">
    <w:abstractNumId w:val="26"/>
  </w:num>
  <w:num w:numId="13">
    <w:abstractNumId w:val="16"/>
  </w:num>
  <w:num w:numId="14">
    <w:abstractNumId w:val="23"/>
  </w:num>
  <w:num w:numId="15">
    <w:abstractNumId w:val="27"/>
  </w:num>
  <w:num w:numId="16">
    <w:abstractNumId w:val="1"/>
  </w:num>
  <w:num w:numId="17">
    <w:abstractNumId w:val="0"/>
  </w:num>
  <w:num w:numId="18">
    <w:abstractNumId w:val="13"/>
  </w:num>
  <w:num w:numId="19">
    <w:abstractNumId w:val="7"/>
  </w:num>
  <w:num w:numId="20">
    <w:abstractNumId w:val="6"/>
  </w:num>
  <w:num w:numId="21">
    <w:abstractNumId w:val="28"/>
  </w:num>
  <w:num w:numId="22">
    <w:abstractNumId w:val="30"/>
  </w:num>
  <w:num w:numId="23">
    <w:abstractNumId w:val="29"/>
  </w:num>
  <w:num w:numId="24">
    <w:abstractNumId w:val="32"/>
  </w:num>
  <w:num w:numId="25">
    <w:abstractNumId w:val="11"/>
  </w:num>
  <w:num w:numId="26">
    <w:abstractNumId w:val="17"/>
  </w:num>
  <w:num w:numId="27">
    <w:abstractNumId w:val="19"/>
  </w:num>
  <w:num w:numId="28">
    <w:abstractNumId w:val="18"/>
  </w:num>
  <w:num w:numId="29">
    <w:abstractNumId w:val="3"/>
  </w:num>
  <w:num w:numId="30">
    <w:abstractNumId w:val="21"/>
  </w:num>
  <w:num w:numId="31">
    <w:abstractNumId w:val="4"/>
  </w:num>
  <w:num w:numId="32">
    <w:abstractNumId w:val="2"/>
  </w:num>
  <w:num w:numId="33">
    <w:abstractNumId w:val="27"/>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7"/>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9"/>
  </w:num>
  <w:num w:numId="36">
    <w:abstractNumId w:val="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291"/>
    <w:rsid w:val="00003ACF"/>
    <w:rsid w:val="00030CC3"/>
    <w:rsid w:val="00033DEC"/>
    <w:rsid w:val="00040967"/>
    <w:rsid w:val="00046E2A"/>
    <w:rsid w:val="00051C75"/>
    <w:rsid w:val="00051DD6"/>
    <w:rsid w:val="00053478"/>
    <w:rsid w:val="00064A75"/>
    <w:rsid w:val="00065B92"/>
    <w:rsid w:val="00091521"/>
    <w:rsid w:val="00094173"/>
    <w:rsid w:val="000A3B64"/>
    <w:rsid w:val="000C0709"/>
    <w:rsid w:val="000D2496"/>
    <w:rsid w:val="000E2AA1"/>
    <w:rsid w:val="0010723D"/>
    <w:rsid w:val="00111889"/>
    <w:rsid w:val="00115C60"/>
    <w:rsid w:val="00152993"/>
    <w:rsid w:val="0015397F"/>
    <w:rsid w:val="00154F4D"/>
    <w:rsid w:val="00166DC8"/>
    <w:rsid w:val="001758BE"/>
    <w:rsid w:val="0019155C"/>
    <w:rsid w:val="0019232D"/>
    <w:rsid w:val="001A4A08"/>
    <w:rsid w:val="001A4AC5"/>
    <w:rsid w:val="001C6826"/>
    <w:rsid w:val="001D5846"/>
    <w:rsid w:val="001E682E"/>
    <w:rsid w:val="00224619"/>
    <w:rsid w:val="00225E97"/>
    <w:rsid w:val="00235FB7"/>
    <w:rsid w:val="00236B79"/>
    <w:rsid w:val="00286142"/>
    <w:rsid w:val="002B6309"/>
    <w:rsid w:val="002B6F87"/>
    <w:rsid w:val="002C0C21"/>
    <w:rsid w:val="002C592F"/>
    <w:rsid w:val="002C6D47"/>
    <w:rsid w:val="002D1FBB"/>
    <w:rsid w:val="002E06F3"/>
    <w:rsid w:val="00331A05"/>
    <w:rsid w:val="003579A1"/>
    <w:rsid w:val="00384433"/>
    <w:rsid w:val="0038606E"/>
    <w:rsid w:val="003A002E"/>
    <w:rsid w:val="003D1618"/>
    <w:rsid w:val="003D38C3"/>
    <w:rsid w:val="003E41A7"/>
    <w:rsid w:val="003E7115"/>
    <w:rsid w:val="003E726F"/>
    <w:rsid w:val="003F312A"/>
    <w:rsid w:val="003F352C"/>
    <w:rsid w:val="00434D73"/>
    <w:rsid w:val="00447F0A"/>
    <w:rsid w:val="004677D0"/>
    <w:rsid w:val="00470F82"/>
    <w:rsid w:val="0047688D"/>
    <w:rsid w:val="00484F41"/>
    <w:rsid w:val="00486E01"/>
    <w:rsid w:val="004877EB"/>
    <w:rsid w:val="00497523"/>
    <w:rsid w:val="00497FD5"/>
    <w:rsid w:val="004A389B"/>
    <w:rsid w:val="004B3428"/>
    <w:rsid w:val="004B5B5F"/>
    <w:rsid w:val="004B66B6"/>
    <w:rsid w:val="004C286E"/>
    <w:rsid w:val="004E1FDD"/>
    <w:rsid w:val="004F6677"/>
    <w:rsid w:val="00501DA0"/>
    <w:rsid w:val="00506B9C"/>
    <w:rsid w:val="005113EF"/>
    <w:rsid w:val="005411DA"/>
    <w:rsid w:val="005432E7"/>
    <w:rsid w:val="00547336"/>
    <w:rsid w:val="00552086"/>
    <w:rsid w:val="00552102"/>
    <w:rsid w:val="005547CD"/>
    <w:rsid w:val="0055686A"/>
    <w:rsid w:val="00557448"/>
    <w:rsid w:val="0056117D"/>
    <w:rsid w:val="00562C60"/>
    <w:rsid w:val="005643CD"/>
    <w:rsid w:val="00597A79"/>
    <w:rsid w:val="005A1CA2"/>
    <w:rsid w:val="005A5145"/>
    <w:rsid w:val="005A5785"/>
    <w:rsid w:val="005A6EF8"/>
    <w:rsid w:val="005B18C7"/>
    <w:rsid w:val="005C48A0"/>
    <w:rsid w:val="005E3257"/>
    <w:rsid w:val="005F6C78"/>
    <w:rsid w:val="00600727"/>
    <w:rsid w:val="00634112"/>
    <w:rsid w:val="00636EE1"/>
    <w:rsid w:val="006477CC"/>
    <w:rsid w:val="00656874"/>
    <w:rsid w:val="00667188"/>
    <w:rsid w:val="00673320"/>
    <w:rsid w:val="00684380"/>
    <w:rsid w:val="00691297"/>
    <w:rsid w:val="006A0BCE"/>
    <w:rsid w:val="006C1127"/>
    <w:rsid w:val="006C3A4F"/>
    <w:rsid w:val="006D1BFF"/>
    <w:rsid w:val="006E04F8"/>
    <w:rsid w:val="006E3F8B"/>
    <w:rsid w:val="007056FA"/>
    <w:rsid w:val="00707975"/>
    <w:rsid w:val="00716640"/>
    <w:rsid w:val="00723C84"/>
    <w:rsid w:val="007241BF"/>
    <w:rsid w:val="0072625A"/>
    <w:rsid w:val="00751387"/>
    <w:rsid w:val="00754B49"/>
    <w:rsid w:val="00754FB5"/>
    <w:rsid w:val="00785519"/>
    <w:rsid w:val="007A548F"/>
    <w:rsid w:val="007B0B32"/>
    <w:rsid w:val="007C3041"/>
    <w:rsid w:val="007E1282"/>
    <w:rsid w:val="007E5180"/>
    <w:rsid w:val="008054E0"/>
    <w:rsid w:val="00813BAD"/>
    <w:rsid w:val="00823E47"/>
    <w:rsid w:val="00846353"/>
    <w:rsid w:val="0085753F"/>
    <w:rsid w:val="00860EA9"/>
    <w:rsid w:val="008624D7"/>
    <w:rsid w:val="0087734D"/>
    <w:rsid w:val="00882024"/>
    <w:rsid w:val="00883A98"/>
    <w:rsid w:val="008B5D13"/>
    <w:rsid w:val="008C5CFA"/>
    <w:rsid w:val="008D382F"/>
    <w:rsid w:val="008E3442"/>
    <w:rsid w:val="008E794B"/>
    <w:rsid w:val="008F0A0F"/>
    <w:rsid w:val="0090303F"/>
    <w:rsid w:val="00906AC0"/>
    <w:rsid w:val="00910C3F"/>
    <w:rsid w:val="00936532"/>
    <w:rsid w:val="00942505"/>
    <w:rsid w:val="00955A91"/>
    <w:rsid w:val="00957B74"/>
    <w:rsid w:val="00963FAE"/>
    <w:rsid w:val="00977763"/>
    <w:rsid w:val="00977F41"/>
    <w:rsid w:val="00990A5A"/>
    <w:rsid w:val="00991CF3"/>
    <w:rsid w:val="0099233A"/>
    <w:rsid w:val="009937DA"/>
    <w:rsid w:val="009A2413"/>
    <w:rsid w:val="009A51C8"/>
    <w:rsid w:val="009C5874"/>
    <w:rsid w:val="009C5CD5"/>
    <w:rsid w:val="009E24C0"/>
    <w:rsid w:val="009E5061"/>
    <w:rsid w:val="009F3013"/>
    <w:rsid w:val="009F56AD"/>
    <w:rsid w:val="00A03573"/>
    <w:rsid w:val="00A06C1C"/>
    <w:rsid w:val="00A11A16"/>
    <w:rsid w:val="00A2107F"/>
    <w:rsid w:val="00A25F85"/>
    <w:rsid w:val="00A35F00"/>
    <w:rsid w:val="00A45A26"/>
    <w:rsid w:val="00A505F8"/>
    <w:rsid w:val="00A82BBD"/>
    <w:rsid w:val="00A859BA"/>
    <w:rsid w:val="00A91FB2"/>
    <w:rsid w:val="00AA25C0"/>
    <w:rsid w:val="00AB2305"/>
    <w:rsid w:val="00AB614B"/>
    <w:rsid w:val="00AD1925"/>
    <w:rsid w:val="00AE443E"/>
    <w:rsid w:val="00B02E47"/>
    <w:rsid w:val="00B24927"/>
    <w:rsid w:val="00B268D3"/>
    <w:rsid w:val="00B35940"/>
    <w:rsid w:val="00B50750"/>
    <w:rsid w:val="00B5163C"/>
    <w:rsid w:val="00B52CDD"/>
    <w:rsid w:val="00B60380"/>
    <w:rsid w:val="00B77328"/>
    <w:rsid w:val="00B81F97"/>
    <w:rsid w:val="00B94675"/>
    <w:rsid w:val="00B97021"/>
    <w:rsid w:val="00BA3C81"/>
    <w:rsid w:val="00BB7115"/>
    <w:rsid w:val="00BC54BA"/>
    <w:rsid w:val="00BC7D65"/>
    <w:rsid w:val="00BE06D6"/>
    <w:rsid w:val="00BE2F0F"/>
    <w:rsid w:val="00BE5814"/>
    <w:rsid w:val="00BF021B"/>
    <w:rsid w:val="00BF036C"/>
    <w:rsid w:val="00BF0C8E"/>
    <w:rsid w:val="00BF682D"/>
    <w:rsid w:val="00C15429"/>
    <w:rsid w:val="00C1692E"/>
    <w:rsid w:val="00C2219E"/>
    <w:rsid w:val="00C35D17"/>
    <w:rsid w:val="00C36C5C"/>
    <w:rsid w:val="00C403AC"/>
    <w:rsid w:val="00C40F08"/>
    <w:rsid w:val="00C568B3"/>
    <w:rsid w:val="00C61193"/>
    <w:rsid w:val="00C63717"/>
    <w:rsid w:val="00C7475F"/>
    <w:rsid w:val="00C83EDB"/>
    <w:rsid w:val="00CB3B6C"/>
    <w:rsid w:val="00CC2601"/>
    <w:rsid w:val="00CC3B15"/>
    <w:rsid w:val="00CD24A9"/>
    <w:rsid w:val="00CE4BC7"/>
    <w:rsid w:val="00CF0C37"/>
    <w:rsid w:val="00CF2144"/>
    <w:rsid w:val="00D066A4"/>
    <w:rsid w:val="00D06E4F"/>
    <w:rsid w:val="00D10A8B"/>
    <w:rsid w:val="00D4391C"/>
    <w:rsid w:val="00D5077A"/>
    <w:rsid w:val="00D87DAA"/>
    <w:rsid w:val="00DB25B8"/>
    <w:rsid w:val="00DB4153"/>
    <w:rsid w:val="00DB6C33"/>
    <w:rsid w:val="00DC2298"/>
    <w:rsid w:val="00DC2731"/>
    <w:rsid w:val="00DD0A72"/>
    <w:rsid w:val="00DD2742"/>
    <w:rsid w:val="00DD7063"/>
    <w:rsid w:val="00DD7278"/>
    <w:rsid w:val="00DF0D6A"/>
    <w:rsid w:val="00E03250"/>
    <w:rsid w:val="00E22750"/>
    <w:rsid w:val="00E30D80"/>
    <w:rsid w:val="00E31209"/>
    <w:rsid w:val="00E352CA"/>
    <w:rsid w:val="00E367EA"/>
    <w:rsid w:val="00E505CB"/>
    <w:rsid w:val="00E50D6A"/>
    <w:rsid w:val="00E57341"/>
    <w:rsid w:val="00E61062"/>
    <w:rsid w:val="00E82DCA"/>
    <w:rsid w:val="00E94987"/>
    <w:rsid w:val="00EC7CD7"/>
    <w:rsid w:val="00ED27A3"/>
    <w:rsid w:val="00ED482A"/>
    <w:rsid w:val="00ED6293"/>
    <w:rsid w:val="00EE26D8"/>
    <w:rsid w:val="00EF5E4D"/>
    <w:rsid w:val="00EF7D0A"/>
    <w:rsid w:val="00F022AC"/>
    <w:rsid w:val="00F05543"/>
    <w:rsid w:val="00F07BE5"/>
    <w:rsid w:val="00F20807"/>
    <w:rsid w:val="00F33CAB"/>
    <w:rsid w:val="00F433EE"/>
    <w:rsid w:val="00F43F8E"/>
    <w:rsid w:val="00F65BC9"/>
    <w:rsid w:val="00F66B1A"/>
    <w:rsid w:val="00F66DE9"/>
    <w:rsid w:val="00F9131C"/>
    <w:rsid w:val="00F924F6"/>
    <w:rsid w:val="00F9367D"/>
    <w:rsid w:val="00F94992"/>
    <w:rsid w:val="00FB0D59"/>
    <w:rsid w:val="00FC25A0"/>
    <w:rsid w:val="00FC3B62"/>
    <w:rsid w:val="00FC513F"/>
    <w:rsid w:val="00FC6A8D"/>
    <w:rsid w:val="00FD7D88"/>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717AFB-4A6B-449D-80BB-85911C7A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3D38C3"/>
    <w:pPr>
      <w:spacing w:before="0" w:after="0"/>
      <w:ind w:left="240"/>
      <w:jc w:val="left"/>
    </w:pPr>
    <w:rPr>
      <w:smallCaps/>
      <w:sz w:val="20"/>
      <w:szCs w:val="20"/>
    </w:rPr>
  </w:style>
  <w:style w:type="paragraph" w:styleId="Kazalovsebine3">
    <w:name w:val="toc 3"/>
    <w:basedOn w:val="Navaden"/>
    <w:next w:val="Navaden"/>
    <w:rsid w:val="003D38C3"/>
    <w:pPr>
      <w:spacing w:before="0" w:after="0"/>
      <w:ind w:left="480"/>
      <w:jc w:val="left"/>
    </w:pPr>
    <w:rPr>
      <w:i/>
      <w:iCs/>
      <w:sz w:val="20"/>
      <w:szCs w:val="20"/>
    </w:rPr>
  </w:style>
  <w:style w:type="paragraph" w:styleId="Kazalovsebine4">
    <w:name w:val="toc 4"/>
    <w:basedOn w:val="Navaden"/>
    <w:next w:val="Navaden"/>
    <w:semiHidden/>
    <w:rsid w:val="003D38C3"/>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vaden"/>
    <w:link w:val="Style3Char"/>
    <w:qFormat/>
    <w:rsid w:val="00115C60"/>
    <w:pPr>
      <w:spacing w:before="60" w:after="60"/>
      <w:jc w:val="left"/>
    </w:pPr>
    <w:rPr>
      <w:lang w:val="fr-BE"/>
    </w:rPr>
  </w:style>
  <w:style w:type="character" w:customStyle="1" w:styleId="Style3Char">
    <w:name w:val="Style3 Char"/>
    <w:link w:val="Style3"/>
    <w:rsid w:val="00115C60"/>
    <w:rPr>
      <w:sz w:val="24"/>
      <w:szCs w:val="24"/>
      <w:lang w:val="fr-BE"/>
    </w:rPr>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707B-3AE0-41A4-8C1F-6ABF6977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9360</Words>
  <Characters>53354</Characters>
  <Application>Microsoft Office Word</Application>
  <DocSecurity>0</DocSecurity>
  <Lines>444</Lines>
  <Paragraphs>125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cp:lastPrinted>2018-07-02T12:30:00Z</cp:lastPrinted>
  <dcterms:created xsi:type="dcterms:W3CDTF">2023-05-08T13:12:00Z</dcterms:created>
  <dcterms:modified xsi:type="dcterms:W3CDTF">2023-05-08T13:12:00Z</dcterms:modified>
</cp:coreProperties>
</file>