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0" w:rsidRDefault="00BD62A1" w:rsidP="00115C60">
      <w:pPr>
        <w:pStyle w:val="ChapterTitle"/>
        <w:spacing w:before="0" w:after="0"/>
      </w:pPr>
      <w:bookmarkStart w:id="0" w:name="_GoBack"/>
      <w:bookmarkEnd w:id="0"/>
      <w:r>
        <w:rPr>
          <w:noProof/>
        </w:rPr>
        <w:t>POROČILO O IZVAJANJU ZA SKLAD AMIF</w:t>
      </w:r>
    </w:p>
    <w:p w:rsidR="00115C60" w:rsidRPr="00115C60" w:rsidRDefault="00115C60" w:rsidP="0011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797"/>
      </w:tblGrid>
      <w:tr w:rsidR="00C8670F" w:rsidTr="00003291">
        <w:trPr>
          <w:trHeight w:val="222"/>
        </w:trPr>
        <w:tc>
          <w:tcPr>
            <w:tcW w:w="0" w:type="auto"/>
            <w:shd w:val="clear" w:color="auto" w:fill="auto"/>
          </w:tcPr>
          <w:p w:rsidR="00115C60" w:rsidRPr="0019232D" w:rsidRDefault="00BD62A1" w:rsidP="00003291">
            <w:pPr>
              <w:spacing w:before="0" w:after="0"/>
            </w:pPr>
            <w:r>
              <w:rPr>
                <w:noProof/>
              </w:rPr>
              <w:t>Številka CCI</w:t>
            </w:r>
          </w:p>
        </w:tc>
        <w:tc>
          <w:tcPr>
            <w:tcW w:w="0" w:type="auto"/>
            <w:shd w:val="clear" w:color="auto" w:fill="auto"/>
          </w:tcPr>
          <w:p w:rsidR="00115C60" w:rsidRPr="0019232D" w:rsidRDefault="00BD62A1" w:rsidP="00003291">
            <w:pPr>
              <w:spacing w:before="0" w:after="0"/>
              <w:rPr>
                <w:color w:val="000000"/>
              </w:rPr>
            </w:pPr>
            <w:r>
              <w:rPr>
                <w:noProof/>
                <w:color w:val="000000"/>
              </w:rPr>
              <w:t>2014SI65AMNP001</w:t>
            </w:r>
          </w:p>
        </w:tc>
      </w:tr>
      <w:tr w:rsidR="00C8670F" w:rsidTr="00003291">
        <w:trPr>
          <w:trHeight w:val="269"/>
        </w:trPr>
        <w:tc>
          <w:tcPr>
            <w:tcW w:w="0" w:type="auto"/>
            <w:shd w:val="clear" w:color="auto" w:fill="auto"/>
          </w:tcPr>
          <w:p w:rsidR="00115C60" w:rsidRPr="00F433EE" w:rsidRDefault="00BD62A1" w:rsidP="00003291">
            <w:pPr>
              <w:spacing w:before="0" w:after="0"/>
            </w:pPr>
            <w:r>
              <w:rPr>
                <w:noProof/>
              </w:rPr>
              <w:t>Naslov</w:t>
            </w:r>
          </w:p>
        </w:tc>
        <w:tc>
          <w:tcPr>
            <w:tcW w:w="0" w:type="auto"/>
            <w:shd w:val="clear" w:color="auto" w:fill="auto"/>
          </w:tcPr>
          <w:p w:rsidR="00115C60" w:rsidRPr="0019232D" w:rsidRDefault="00BD62A1" w:rsidP="00003291">
            <w:pPr>
              <w:spacing w:before="0" w:after="0"/>
              <w:rPr>
                <w:color w:val="000000"/>
              </w:rPr>
            </w:pPr>
            <w:r>
              <w:rPr>
                <w:noProof/>
                <w:color w:val="000000"/>
              </w:rPr>
              <w:t>Slovenija National Programme AMIF</w:t>
            </w:r>
          </w:p>
        </w:tc>
      </w:tr>
      <w:tr w:rsidR="00C8670F" w:rsidTr="00003291">
        <w:trPr>
          <w:trHeight w:val="138"/>
        </w:trPr>
        <w:tc>
          <w:tcPr>
            <w:tcW w:w="0" w:type="auto"/>
            <w:shd w:val="clear" w:color="auto" w:fill="auto"/>
          </w:tcPr>
          <w:p w:rsidR="00115C60" w:rsidRPr="0019232D" w:rsidRDefault="00BD62A1" w:rsidP="00003291">
            <w:pPr>
              <w:spacing w:before="0" w:after="0"/>
            </w:pPr>
            <w:r>
              <w:rPr>
                <w:noProof/>
              </w:rPr>
              <w:t>Različica</w:t>
            </w:r>
          </w:p>
        </w:tc>
        <w:tc>
          <w:tcPr>
            <w:tcW w:w="0" w:type="auto"/>
            <w:shd w:val="clear" w:color="auto" w:fill="auto"/>
          </w:tcPr>
          <w:p w:rsidR="00115C60" w:rsidRPr="0019232D" w:rsidRDefault="00BD62A1" w:rsidP="00003291">
            <w:pPr>
              <w:spacing w:before="0" w:after="0"/>
              <w:rPr>
                <w:color w:val="000000"/>
              </w:rPr>
            </w:pPr>
            <w:r>
              <w:rPr>
                <w:noProof/>
                <w:color w:val="000000"/>
              </w:rPr>
              <w:t>2015.1</w:t>
            </w:r>
          </w:p>
        </w:tc>
      </w:tr>
    </w:tbl>
    <w:p w:rsidR="00115C60" w:rsidRDefault="00115C60" w:rsidP="00115C60">
      <w:pPr>
        <w:pStyle w:val="Text1"/>
        <w:spacing w:before="0" w:after="0"/>
        <w:ind w:left="0"/>
      </w:pPr>
    </w:p>
    <w:p w:rsidR="00906AC0" w:rsidRDefault="00115C60" w:rsidP="00115C60">
      <w:pPr>
        <w:pStyle w:val="Naslov1"/>
        <w:numPr>
          <w:ilvl w:val="0"/>
          <w:numId w:val="0"/>
        </w:numPr>
        <w:spacing w:before="0" w:after="0"/>
        <w:jc w:val="left"/>
        <w:rPr>
          <w:noProof/>
        </w:rPr>
      </w:pPr>
      <w:r>
        <w:br w:type="page"/>
      </w:r>
      <w:r w:rsidR="003D38C3">
        <w:fldChar w:fldCharType="begin"/>
      </w:r>
      <w:r w:rsidR="003D38C3">
        <w:instrText xml:space="preserve"> TOC \o "1-3" \h \z </w:instrText>
      </w:r>
      <w:r w:rsidR="003D38C3">
        <w:fldChar w:fldCharType="separate"/>
      </w:r>
    </w:p>
    <w:p w:rsidR="00C8670F" w:rsidRDefault="00BD62A1">
      <w:pPr>
        <w:pStyle w:val="Kazalovsebine1"/>
        <w:tabs>
          <w:tab w:val="right" w:leader="dot" w:pos="10761"/>
        </w:tabs>
        <w:rPr>
          <w:rFonts w:asciiTheme="minorHAnsi" w:hAnsiTheme="minorHAnsi"/>
          <w:noProof/>
          <w:sz w:val="22"/>
        </w:rPr>
      </w:pPr>
      <w:hyperlink w:anchor="_Toc256000002" w:history="1">
        <w:r>
          <w:rPr>
            <w:rStyle w:val="Hiperpovezava"/>
            <w:noProof/>
          </w:rPr>
          <w:t>ODDELEK 3: PROGRAMSKI CILJI</w:t>
        </w:r>
        <w:r>
          <w:tab/>
        </w:r>
        <w:r>
          <w:fldChar w:fldCharType="begin"/>
        </w:r>
        <w:r>
          <w:instrText xml:space="preserve"> PAGEREF _Toc256000002 \h </w:instrText>
        </w:r>
        <w:r>
          <w:fldChar w:fldCharType="separate"/>
        </w:r>
        <w:r>
          <w:t>3</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03" w:history="1">
        <w:r w:rsidRPr="00F9367D">
          <w:rPr>
            <w:rStyle w:val="Hiperpovezava"/>
            <w:noProof/>
          </w:rPr>
          <w:t>OKVIRNI ČASOVNI RAZPORED</w:t>
        </w:r>
        <w:r>
          <w:tab/>
        </w:r>
        <w:r>
          <w:fldChar w:fldCharType="begin"/>
        </w:r>
        <w:r>
          <w:instrText xml:space="preserve"> PAGEREF _Toc256000003 \h </w:instrText>
        </w:r>
        <w:r>
          <w:fldChar w:fldCharType="separate"/>
        </w:r>
        <w:r>
          <w:t>11</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04" w:history="1">
        <w:r>
          <w:rPr>
            <w:rStyle w:val="Hiperpovezava"/>
            <w:noProof/>
          </w:rPr>
          <w:t>ODDE</w:t>
        </w:r>
        <w:r>
          <w:rPr>
            <w:rStyle w:val="Hiperpovezava"/>
            <w:noProof/>
          </w:rPr>
          <w:t>LEK 4: POSEBNI PRIMERI</w:t>
        </w:r>
        <w:r>
          <w:tab/>
        </w:r>
        <w:r>
          <w:fldChar w:fldCharType="begin"/>
        </w:r>
        <w:r>
          <w:instrText xml:space="preserve"> PAGEREF _Toc256000004 \h </w:instrText>
        </w:r>
        <w:r>
          <w:fldChar w:fldCharType="separate"/>
        </w:r>
        <w:r>
          <w:t>12</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05" w:history="1">
        <w:r>
          <w:rPr>
            <w:rStyle w:val="Hiperpovezava"/>
            <w:noProof/>
            <w:lang w:val="fr-BE"/>
          </w:rPr>
          <w:t>ODDELEK 5: SKUPNI KAZALNIKI IN KAZALNIKI ZA POSAMEZNE PROGRAME</w:t>
        </w:r>
        <w:r>
          <w:tab/>
        </w:r>
        <w:r>
          <w:fldChar w:fldCharType="begin"/>
        </w:r>
        <w:r>
          <w:instrText xml:space="preserve"> PAGEREF _Toc256000005 \h </w:instrText>
        </w:r>
        <w:r>
          <w:fldChar w:fldCharType="separate"/>
        </w:r>
        <w:r>
          <w:t>13</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06" w:history="1">
        <w:r>
          <w:rPr>
            <w:rStyle w:val="Hiperpovezava"/>
            <w:noProof/>
            <w:lang w:val="fr-BE"/>
          </w:rPr>
          <w:t>ODDELEK 6: OKVIR ZA PRIPRAVO IN IZVAJANJE PROGRAMA S STRANI DRŽAVE ČLANICE</w:t>
        </w:r>
        <w:r>
          <w:tab/>
        </w:r>
        <w:r>
          <w:fldChar w:fldCharType="begin"/>
        </w:r>
        <w:r>
          <w:instrText xml:space="preserve"> PAGEREF _Toc256000006 \h </w:instrText>
        </w:r>
        <w:r>
          <w:fldChar w:fldCharType="separate"/>
        </w:r>
        <w:r>
          <w:t>16</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07" w:history="1">
        <w:r>
          <w:rPr>
            <w:rStyle w:val="Hiperpovezava"/>
            <w:noProof/>
            <w:lang w:val="fr-BE"/>
          </w:rPr>
          <w:t>6.1 Odbor za spremljanje (člen 12(4) Uredbe (EU) št. 514/2014)</w:t>
        </w:r>
        <w:r>
          <w:tab/>
        </w:r>
        <w:r>
          <w:fldChar w:fldCharType="begin"/>
        </w:r>
        <w:r>
          <w:instrText xml:space="preserve"> PAGEREF _Toc256000007 \h </w:instrText>
        </w:r>
        <w:r>
          <w:fldChar w:fldCharType="separate"/>
        </w:r>
        <w:r>
          <w:t>16</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08" w:history="1">
        <w:r>
          <w:rPr>
            <w:rStyle w:val="Hiperpovezava"/>
            <w:noProof/>
            <w:lang w:val="fr-BE"/>
          </w:rPr>
          <w:t>6.2 Skupni okvir za spremljanje in vrednotenje (člen 14(2)(f) Uredbe (EU) št. 514/2014)</w:t>
        </w:r>
        <w:r>
          <w:tab/>
        </w:r>
        <w:r>
          <w:fldChar w:fldCharType="begin"/>
        </w:r>
        <w:r>
          <w:instrText xml:space="preserve"> PAGEREF _Toc256000008 \h </w:instrText>
        </w:r>
        <w:r>
          <w:fldChar w:fldCharType="separate"/>
        </w:r>
        <w:r>
          <w:t>18</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09" w:history="1">
        <w:r>
          <w:rPr>
            <w:rStyle w:val="Hiperpovezava"/>
            <w:noProof/>
            <w:lang w:val="fr-BE"/>
          </w:rPr>
          <w:t>Ukre</w:t>
        </w:r>
        <w:r>
          <w:rPr>
            <w:rStyle w:val="Hiperpovezava"/>
            <w:noProof/>
            <w:lang w:val="fr-BE"/>
          </w:rPr>
          <w:t>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18</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0"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19</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1" w:history="1">
        <w:r>
          <w:rPr>
            <w:rStyle w:val="Hiperpovezava"/>
            <w:noProof/>
            <w:lang w:val="fr-BE"/>
          </w:rPr>
          <w:t>Na kratko opišite glavne prispevke in mnenja partnerjev v proračunskem letu.</w:t>
        </w:r>
        <w:r>
          <w:tab/>
        </w:r>
        <w:r>
          <w:fldChar w:fldCharType="begin"/>
        </w:r>
        <w:r>
          <w:instrText xml:space="preserve"> PAGEREF _Toc256000011 \h </w:instrText>
        </w:r>
        <w:r>
          <w:fldChar w:fldCharType="separate"/>
        </w:r>
        <w:r>
          <w:t>19</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2" w:history="1">
        <w:r>
          <w:rPr>
            <w:rStyle w:val="Hiperpovezava"/>
            <w:noProof/>
            <w:lang w:val="fr-BE"/>
          </w:rPr>
          <w:t>6.4 Obveščanje in objavljanje (člen 48 Uredbe (ES) št. 514/2014)</w:t>
        </w:r>
        <w:r>
          <w:tab/>
        </w:r>
        <w:r>
          <w:fldChar w:fldCharType="begin"/>
        </w:r>
        <w:r>
          <w:instrText xml:space="preserve"> PAGEREF _Toc256000012 \h </w:instrText>
        </w:r>
        <w:r>
          <w:fldChar w:fldCharType="separate"/>
        </w:r>
        <w:r>
          <w:t>20</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3" w:history="1">
        <w:r>
          <w:rPr>
            <w:rStyle w:val="Hiperpovezava"/>
            <w:noProof/>
            <w:lang w:val="fr-BE"/>
          </w:rPr>
          <w:t>Navedite povezavo do spletišča programa.</w:t>
        </w:r>
        <w:r>
          <w:tab/>
        </w:r>
        <w:r>
          <w:fldChar w:fldCharType="begin"/>
        </w:r>
        <w:r>
          <w:instrText xml:space="preserve"> PAGEREF _Toc256000013 \h </w:instrText>
        </w:r>
        <w:r>
          <w:fldChar w:fldCharType="separate"/>
        </w:r>
        <w:r>
          <w:t>20</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4" w:history="1">
        <w:r>
          <w:rPr>
            <w:rStyle w:val="Hiperpovezava"/>
            <w:noProof/>
            <w:lang w:val="fr-BE"/>
          </w:rPr>
          <w:t xml:space="preserve">Navedite glavne dejavnosti obveščanja in </w:t>
        </w:r>
        <w:r>
          <w:rPr>
            <w:rStyle w:val="Hiperpovezava"/>
            <w:noProof/>
            <w:lang w:val="fr-BE"/>
          </w:rPr>
          <w:t>objavljanja, izvedene v proračunskem letu. Priložiti je treba primere gradiva.</w:t>
        </w:r>
        <w:r>
          <w:tab/>
        </w:r>
        <w:r>
          <w:fldChar w:fldCharType="begin"/>
        </w:r>
        <w:r>
          <w:instrText xml:space="preserve"> PAGEREF _Toc256000014 \h </w:instrText>
        </w:r>
        <w:r>
          <w:fldChar w:fldCharType="separate"/>
        </w:r>
        <w:r>
          <w:t>20</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5" w:history="1">
        <w:r w:rsidRPr="00910C3F">
          <w:rPr>
            <w:rStyle w:val="Hiperpovezava"/>
            <w:noProof/>
          </w:rPr>
          <w:t>6.5 Dopolnjevanje z drugimi instrumenti Unije (č</w:t>
        </w:r>
        <w:r w:rsidRPr="00910C3F">
          <w:rPr>
            <w:rStyle w:val="Hiperpovezava"/>
            <w:noProof/>
          </w:rPr>
          <w:t>len 14(2)(e) in 14(5)(f) Uredbe (EU) št. 514/2014)</w:t>
        </w:r>
        <w:r>
          <w:tab/>
        </w:r>
        <w:r>
          <w:fldChar w:fldCharType="begin"/>
        </w:r>
        <w:r>
          <w:instrText xml:space="preserve"> PAGEREF _Toc256000015 \h </w:instrText>
        </w:r>
        <w:r>
          <w:fldChar w:fldCharType="separate"/>
        </w:r>
        <w:r>
          <w:t>21</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6" w:history="1">
        <w:r>
          <w:rPr>
            <w:rStyle w:val="Hiperpovezava"/>
            <w:noProof/>
            <w:lang w:val="fr-BE"/>
          </w:rPr>
          <w:t>Na kratko opišite glavne ukrepe in posvetovanja, opravljena za zagotovitev u</w:t>
        </w:r>
        <w:r>
          <w:rPr>
            <w:rStyle w:val="Hiperpovezava"/>
            <w:noProof/>
            <w:lang w:val="fr-BE"/>
          </w:rPr>
          <w:t>sklajenosti z drugimi instrumenti Unije, zlasti naslednjimi:</w:t>
        </w:r>
        <w:r>
          <w:tab/>
        </w:r>
        <w:r>
          <w:fldChar w:fldCharType="begin"/>
        </w:r>
        <w:r>
          <w:instrText xml:space="preserve"> PAGEREF _Toc256000016 \h </w:instrText>
        </w:r>
        <w:r>
          <w:fldChar w:fldCharType="separate"/>
        </w:r>
        <w:r>
          <w:t>21</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7" w:history="1">
        <w:r>
          <w:rPr>
            <w:rStyle w:val="Hiperpovezava"/>
            <w:noProof/>
            <w:lang w:val="fr-BE"/>
          </w:rPr>
          <w:t>6.6 Neposredna oddaja naročila</w:t>
        </w:r>
        <w:r>
          <w:tab/>
        </w:r>
        <w:r>
          <w:fldChar w:fldCharType="begin"/>
        </w:r>
        <w:r>
          <w:instrText xml:space="preserve"> PAGEREF _Toc256000017 \h </w:instrText>
        </w:r>
        <w:r>
          <w:fldChar w:fldCharType="separate"/>
        </w:r>
        <w:r>
          <w:t>22</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18" w:history="1">
        <w:r>
          <w:rPr>
            <w:rStyle w:val="Hiperpovezava"/>
            <w:noProof/>
            <w:lang w:val="fr-BE"/>
          </w:rPr>
          <w:t>Utemeljite vsak primer neposredne dodelitve.</w:t>
        </w:r>
        <w:r>
          <w:tab/>
        </w:r>
        <w:r>
          <w:fldChar w:fldCharType="begin"/>
        </w:r>
        <w:r>
          <w:instrText xml:space="preserve"> PAGEREF _Toc256000018 \h </w:instrText>
        </w:r>
        <w:r>
          <w:fldChar w:fldCharType="separate"/>
        </w:r>
        <w:r>
          <w:t>22</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19" w:history="1">
        <w:r>
          <w:rPr>
            <w:rStyle w:val="Hiperpovezava"/>
            <w:noProof/>
            <w:lang w:val="fr-BE"/>
          </w:rPr>
          <w:t>ODDELEK 7: FINANČNO POROČILO (ČLEN 54(2)(A) UREDBE (EU) ŠT. 514/2014)</w:t>
        </w:r>
        <w:r>
          <w:tab/>
        </w:r>
        <w:r>
          <w:fldChar w:fldCharType="begin"/>
        </w:r>
        <w:r>
          <w:instrText xml:space="preserve"> PAGEREF _Toc256000019 \h </w:instrText>
        </w:r>
        <w:r>
          <w:fldChar w:fldCharType="separate"/>
        </w:r>
        <w:r>
          <w:t>23</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20" w:history="1">
        <w:r>
          <w:rPr>
            <w:rStyle w:val="Hiperpovezava"/>
            <w:noProof/>
            <w:lang w:val="fr-BE"/>
          </w:rPr>
          <w:t>Preglednica 1. Finančni povzetek za sklad AM</w:t>
        </w:r>
        <w:r>
          <w:rPr>
            <w:rStyle w:val="Hiperpovezava"/>
            <w:noProof/>
            <w:lang w:val="fr-BE"/>
          </w:rPr>
          <w:t>IF, kot je navedeno v obračunih</w:t>
        </w:r>
        <w:r>
          <w:tab/>
        </w:r>
        <w:r>
          <w:fldChar w:fldCharType="begin"/>
        </w:r>
        <w:r>
          <w:instrText xml:space="preserve"> PAGEREF _Toc256000020 \h </w:instrText>
        </w:r>
        <w:r>
          <w:fldChar w:fldCharType="separate"/>
        </w:r>
        <w:r>
          <w:t>23</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21" w:history="1">
        <w:r>
          <w:rPr>
            <w:rStyle w:val="Hiperpovezava"/>
            <w:noProof/>
            <w:lang w:val="fr-BE"/>
          </w:rPr>
          <w:t>Preglednica 2. Obljubljena sredstva za posebne primere, kot je navedeno v obračunih</w:t>
        </w:r>
        <w:r>
          <w:tab/>
        </w:r>
        <w:r>
          <w:fldChar w:fldCharType="begin"/>
        </w:r>
        <w:r>
          <w:instrText xml:space="preserve"> PAGEREF _</w:instrText>
        </w:r>
        <w:r>
          <w:instrText xml:space="preserve">Toc256000021 \h </w:instrText>
        </w:r>
        <w:r>
          <w:fldChar w:fldCharType="separate"/>
        </w:r>
        <w:r>
          <w:t>24</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22"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_Toc256000022 \h</w:instrText>
        </w:r>
        <w:r>
          <w:instrText xml:space="preserve"> </w:instrText>
        </w:r>
        <w:r>
          <w:fldChar w:fldCharType="separate"/>
        </w:r>
        <w:r>
          <w:t>25</w:t>
        </w:r>
        <w:r>
          <w:fldChar w:fldCharType="end"/>
        </w:r>
      </w:hyperlink>
    </w:p>
    <w:p w:rsidR="00C8670F" w:rsidRDefault="00BD62A1">
      <w:pPr>
        <w:pStyle w:val="Kazalovsebine2"/>
        <w:tabs>
          <w:tab w:val="right" w:leader="dot" w:pos="10761"/>
        </w:tabs>
        <w:rPr>
          <w:rFonts w:asciiTheme="minorHAnsi" w:hAnsiTheme="minorHAnsi"/>
          <w:noProof/>
          <w:sz w:val="22"/>
        </w:rPr>
      </w:pPr>
      <w:hyperlink w:anchor="_Toc256000023" w:history="1">
        <w:r>
          <w:rPr>
            <w:rStyle w:val="Hiperpovezava"/>
            <w:noProof/>
            <w:lang w:val="fr-BE"/>
          </w:rPr>
          <w:t>Utemeljitev morebitnega odstopanja od najnižjih deležev, določenih v posebni uredbi.</w:t>
        </w:r>
        <w:r>
          <w:tab/>
        </w:r>
        <w:r>
          <w:fldChar w:fldCharType="begin"/>
        </w:r>
        <w:r>
          <w:instrText xml:space="preserve"> PAGEREF _Toc256000023 \h </w:instrText>
        </w:r>
        <w:r>
          <w:fldChar w:fldCharType="separate"/>
        </w:r>
        <w:r>
          <w:t>26</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24" w:history="1">
        <w:r>
          <w:rPr>
            <w:rStyle w:val="Hiperpovezava"/>
            <w:noProof/>
            <w:lang w:val="fr-BE"/>
          </w:rPr>
          <w:t>ODDELEK 8: OBVEZNOSTI V OBLIKI DOGOVORA</w:t>
        </w:r>
        <w:r>
          <w:tab/>
        </w:r>
        <w:r>
          <w:fldChar w:fldCharType="begin"/>
        </w:r>
        <w:r>
          <w:instrText xml:space="preserve"> PAGEREF _Toc256000024 \h </w:instrText>
        </w:r>
        <w:r>
          <w:fldChar w:fldCharType="separate"/>
        </w:r>
        <w:r>
          <w:t>27</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25" w:history="1">
        <w:r>
          <w:rPr>
            <w:rStyle w:val="Hiperpovezava"/>
            <w:noProof/>
          </w:rPr>
          <w:t>Dokumenti</w:t>
        </w:r>
        <w:r>
          <w:tab/>
        </w:r>
        <w:r>
          <w:fldChar w:fldCharType="begin"/>
        </w:r>
        <w:r>
          <w:instrText xml:space="preserve"> PAGEREF _Toc2</w:instrText>
        </w:r>
        <w:r>
          <w:instrText xml:space="preserve">56000025 \h </w:instrText>
        </w:r>
        <w:r>
          <w:fldChar w:fldCharType="separate"/>
        </w:r>
        <w:r>
          <w:t>28</w:t>
        </w:r>
        <w:r>
          <w:fldChar w:fldCharType="end"/>
        </w:r>
      </w:hyperlink>
    </w:p>
    <w:p w:rsidR="00C8670F" w:rsidRDefault="00BD62A1">
      <w:pPr>
        <w:pStyle w:val="Kazalovsebine1"/>
        <w:tabs>
          <w:tab w:val="right" w:leader="dot" w:pos="10761"/>
        </w:tabs>
        <w:rPr>
          <w:rFonts w:asciiTheme="minorHAnsi" w:hAnsiTheme="minorHAnsi"/>
          <w:noProof/>
          <w:sz w:val="22"/>
        </w:rPr>
      </w:pPr>
      <w:hyperlink w:anchor="_Toc256000026" w:history="1">
        <w:r w:rsidR="00F05543">
          <w:rPr>
            <w:rStyle w:val="Hiperpovezava"/>
            <w:noProof/>
          </w:rPr>
          <w:t>Zadnji rezultati validacije</w:t>
        </w:r>
        <w:r>
          <w:tab/>
        </w:r>
        <w:r>
          <w:fldChar w:fldCharType="begin"/>
        </w:r>
        <w:r>
          <w:instrText xml:space="preserve"> PAGEREF _Toc256000026 \h </w:instrText>
        </w:r>
        <w:r>
          <w:fldChar w:fldCharType="separate"/>
        </w:r>
        <w:r>
          <w:t>29</w:t>
        </w:r>
        <w:r>
          <w:fldChar w:fldCharType="end"/>
        </w:r>
      </w:hyperlink>
    </w:p>
    <w:p w:rsidR="00115C60" w:rsidRDefault="003D38C3" w:rsidP="00115C60">
      <w:pPr>
        <w:pStyle w:val="Naslov1"/>
        <w:numPr>
          <w:ilvl w:val="0"/>
          <w:numId w:val="0"/>
        </w:numPr>
        <w:spacing w:before="0" w:after="0"/>
        <w:jc w:val="left"/>
      </w:pPr>
      <w:r>
        <w:fldChar w:fldCharType="end"/>
      </w:r>
      <w:r w:rsidR="00BD62A1" w:rsidRPr="005B18C7">
        <w:br w:type="page"/>
      </w:r>
      <w:bookmarkStart w:id="1" w:name="_Toc256000002"/>
      <w:r w:rsidR="00BD62A1">
        <w:rPr>
          <w:noProof/>
        </w:rPr>
        <w:lastRenderedPageBreak/>
        <w:t xml:space="preserve">ODDELEK 3: </w:t>
      </w:r>
      <w:r w:rsidR="00BD62A1">
        <w:rPr>
          <w:noProof/>
        </w:rPr>
        <w:t>PROGRAMSKI CILJI</w:t>
      </w:r>
      <w:bookmarkEnd w:id="1"/>
    </w:p>
    <w:p w:rsidR="00115C60" w:rsidRPr="00B77328" w:rsidRDefault="00115C60" w:rsidP="00115C60">
      <w:pPr>
        <w:spacing w:before="0" w:after="0"/>
      </w:pPr>
    </w:p>
    <w:p w:rsidR="00115C60" w:rsidRDefault="00BD62A1"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4552"/>
      </w:tblGrid>
      <w:tr w:rsidR="00C8670F" w:rsidTr="00003291">
        <w:tc>
          <w:tcPr>
            <w:tcW w:w="0" w:type="auto"/>
            <w:shd w:val="clear" w:color="auto" w:fill="auto"/>
          </w:tcPr>
          <w:p w:rsidR="00115C60" w:rsidRPr="006C1127" w:rsidRDefault="00BD62A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BD62A1"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RDefault="00115C60" w:rsidP="00115C60">
      <w:pPr>
        <w:spacing w:before="0" w:after="0"/>
        <w:rPr>
          <w:lang w:val="fr-BE"/>
        </w:rPr>
      </w:pPr>
    </w:p>
    <w:p w:rsidR="00C8670F" w:rsidRDefault="00BD62A1">
      <w:pPr>
        <w:spacing w:before="0" w:after="240"/>
        <w:jc w:val="left"/>
      </w:pPr>
      <w:r>
        <w:t xml:space="preserve">Dolgoročni cilj Slovenije v sklopu posebnega cilja A.SO1 "Azil" je učinkovita izvedba Skupnega evropskega azilnega sistema (CEAS) prek </w:t>
      </w:r>
      <w:r>
        <w:t>učinkovitih in hitrih postopkov, ki zagotavljajo enake možnosti vsem ljudem, ki potrebujejo zaščito. Ukrepi, ki jih sofinancira AMIF, so osredotočeni na izboljšanje kakovosti in hitrost sprejemanja odločitev ter na kakovost spremljanja, vrednotenja in načr</w:t>
      </w:r>
      <w:r>
        <w:t>tovanja ravnanja v nepredvidljivih razmerah. Prosilcem za mednarodno zaščito je v sklopu pomoči in podpore zagotovljen dostop do informacij in storitev (pravnih, prevajalskih, tolmačenja, socialnih, zdravstvenih itd.). Ukrepi so usmerjeni k izboljšanju spr</w:t>
      </w:r>
      <w:r>
        <w:t>ejemne infrastrukture, storitev in razmer, uporabi alternativ za pridržanje ter identifikacijo in izboljšanju razmer za ranljive osebe. Izboljšanje splošnega ozaveščanja javnosti se zagotavlja prek usposabljanja, informacijskih ukrepov in dogodkov.</w:t>
      </w:r>
    </w:p>
    <w:p w:rsidR="00C8670F" w:rsidRDefault="00BD62A1">
      <w:pPr>
        <w:spacing w:before="240" w:after="240"/>
        <w:jc w:val="left"/>
      </w:pPr>
      <w:r>
        <w:t>Dne 15.</w:t>
      </w:r>
      <w:r>
        <w:t>12.2015 je bil potrjen Nacionalni program Republike Slovenije za podporo iz Sklada za azil, migracije in vključevanje za obdobje 2014–2020, Odgovorni organ je bil imenovan konec avgusta 2015, Akcijski načrt (s katerim so se sredstva znotraj sklada AMIF raz</w:t>
      </w:r>
      <w:r>
        <w:t xml:space="preserve">poredila med končne upravičence (za neposredno dodelitev) pa je bil potrjen 2.12.2015. V okviru specifičnega cilja SO1 Azil so načrtovani 3 nacionalni cilji Sprejem, Vrednotenje in Preselitev, ki je bila v nacionalni program vključena naknadno, v skladu z </w:t>
      </w:r>
      <w:r>
        <w:t>odločitvijo Vlade Republike Slovenije.</w:t>
      </w:r>
    </w:p>
    <w:p w:rsidR="00C8670F" w:rsidRDefault="00BD62A1">
      <w:pPr>
        <w:spacing w:before="240" w:after="240"/>
        <w:jc w:val="left"/>
      </w:pPr>
      <w:r>
        <w:t>Nekateri projekti so se v skladu z obdobjem upravičenosti začeli izvajati že v začetku leta 2015, kar je bilo omogočeno s strani zalaganja sredstev s strani slovenskega proračuna, večina  projektov pa se je do konca j</w:t>
      </w:r>
      <w:r>
        <w:t>unija 2015 izvajala v sklopu letnega programa 2013 SOLID.</w:t>
      </w:r>
    </w:p>
    <w:p w:rsidR="00C8670F" w:rsidRDefault="00BD62A1">
      <w:pPr>
        <w:spacing w:before="240" w:after="240"/>
        <w:jc w:val="left"/>
      </w:pPr>
      <w:r>
        <w:t>Alokacija sredstev za leto 2015 je bila končnemu upravičencu Direktoratu za upravne notranje zadeve, migracije in naturalizacijo Ministrstva za notranje zadeve (v nadaljevanju DUNZMN) načrtovana v s</w:t>
      </w:r>
      <w:r>
        <w:t xml:space="preserve">kladu s potrjenim Akcijskim načrtom. Zaradi zamude pri vzpostavitvi informacijske sistema MIGRA II za finančno in vsebinsko spremljanje skladov se je priprava zahtevkov za povračilo začela izvajati šele v drugi polovici leta 2016, tako da bodo zahtevki za </w:t>
      </w:r>
      <w:r>
        <w:t>nekatere projekte, ki so bili realizirani v proračunskih letih 2015 in 2016, uveljavljeni šele v letnih računih za finančno leto 2017.</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2976"/>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1</w:t>
            </w:r>
            <w:r w:rsidRPr="00707975">
              <w:rPr>
                <w:lang w:val="fr-BE"/>
              </w:rPr>
              <w:t xml:space="preserve"> - </w:t>
            </w:r>
            <w:r w:rsidRPr="00707975">
              <w:rPr>
                <w:noProof/>
                <w:lang w:val="fr-BE"/>
              </w:rPr>
              <w:t>Sprejem/azil</w:t>
            </w:r>
          </w:p>
        </w:tc>
      </w:tr>
    </w:tbl>
    <w:p w:rsidR="00115C60" w:rsidRPr="006C1127" w:rsidRDefault="00115C60" w:rsidP="00115C60">
      <w:pPr>
        <w:spacing w:before="0" w:after="0"/>
        <w:rPr>
          <w:lang w:val="fr-BE"/>
        </w:rPr>
      </w:pPr>
    </w:p>
    <w:p w:rsidR="00C8670F" w:rsidRDefault="00BD62A1">
      <w:pPr>
        <w:spacing w:before="0" w:after="240"/>
        <w:jc w:val="left"/>
      </w:pPr>
      <w:r>
        <w:lastRenderedPageBreak/>
        <w:t xml:space="preserve">Slovenija se je v okviru nacionalnega cilja </w:t>
      </w:r>
      <w:r>
        <w:t>"Sprejem/azil" osredotočila na pet ukrepov, ki se nanašajo na azilni postopek in sprejemanje odločitev ter sprejemne kapacitete in pogoje za sprejem.</w:t>
      </w:r>
    </w:p>
    <w:p w:rsidR="00C8670F" w:rsidRDefault="00BD62A1">
      <w:pPr>
        <w:spacing w:before="240" w:after="240"/>
        <w:jc w:val="left"/>
      </w:pPr>
      <w:r>
        <w:t>V okviru ukrepa 1 "Pomoč in podpora prosilcem za mednarodno zaščito" se je izvedlo:</w:t>
      </w:r>
    </w:p>
    <w:p w:rsidR="00C8670F" w:rsidRDefault="00BD62A1">
      <w:pPr>
        <w:spacing w:before="240" w:after="240"/>
        <w:jc w:val="left"/>
      </w:pPr>
      <w:r>
        <w:t>- informiranja in prav</w:t>
      </w:r>
      <w:r>
        <w:t>nega svetovanja tujcem na področju mednarodne zaščite: pravno svetovanje 278 prosilcem, pravna pomoč 86 prosilcem, informiranja 67, informiranih 150 prosilcev, odstopna izjava po informiranju 10 prosilcev, prošnje za mednarodno zaščito 150 prosilcev, osebn</w:t>
      </w:r>
      <w:r>
        <w:t>i razgovori 43 prosilcev, interni koordinacijski sestanki; </w:t>
      </w:r>
    </w:p>
    <w:p w:rsidR="00C8670F" w:rsidRDefault="00BD62A1">
      <w:pPr>
        <w:spacing w:before="240" w:after="240"/>
        <w:jc w:val="left"/>
      </w:pPr>
      <w:r>
        <w:t>- nudenje brezplačne pravne pomoči pred Upravnim sodiščem RS in Vrhovnim sodiščem RS: 72 izplačil svetovalcem za begunce;</w:t>
      </w:r>
    </w:p>
    <w:p w:rsidR="00C8670F" w:rsidRDefault="00BD62A1">
      <w:pPr>
        <w:spacing w:before="240" w:after="240"/>
        <w:jc w:val="left"/>
      </w:pPr>
      <w:r>
        <w:t>- prevajanje in tolmačenje: 561 prevajanj in tolmačenj; </w:t>
      </w:r>
    </w:p>
    <w:p w:rsidR="00C8670F" w:rsidRDefault="00BD62A1">
      <w:pPr>
        <w:spacing w:before="240" w:after="240"/>
        <w:jc w:val="left"/>
      </w:pPr>
      <w:r>
        <w:t>- predaje po dubl</w:t>
      </w:r>
      <w:r>
        <w:t>inski uredbi: realizirane štiri predaje,</w:t>
      </w:r>
    </w:p>
    <w:p w:rsidR="00C8670F" w:rsidRDefault="00BD62A1">
      <w:pPr>
        <w:spacing w:before="240" w:after="240"/>
        <w:jc w:val="left"/>
      </w:pPr>
      <w:r>
        <w:t>- pomoč pri nastanitvi in oskrbi prosilcev ob sprejemu: projekt se je začel izvajati 11. 11. 2015, izvajala  sta  se tako pomoč ter aktivnosti za kvalitetno preživljanje prostega časa; </w:t>
      </w:r>
    </w:p>
    <w:p w:rsidR="00C8670F" w:rsidRDefault="00BD62A1">
      <w:pPr>
        <w:spacing w:before="240" w:after="240"/>
        <w:jc w:val="left"/>
      </w:pPr>
      <w:r>
        <w:t>- zdravstveni pregledi prosil</w:t>
      </w:r>
      <w:r>
        <w:t>cev ob sprejemu;</w:t>
      </w:r>
    </w:p>
    <w:p w:rsidR="00C8670F" w:rsidRDefault="00BD62A1">
      <w:pPr>
        <w:spacing w:before="240" w:after="240"/>
        <w:jc w:val="left"/>
      </w:pPr>
      <w:r>
        <w:t>- opismenjevanje in učna pomoč za prosilce: je obsegala opismenjevanje, osnovno konverzacijo in učno pomoč ter tečaj slovenskega jezika v Ljubljani in Mariboru;</w:t>
      </w:r>
    </w:p>
    <w:p w:rsidR="00C8670F" w:rsidRDefault="00BD62A1">
      <w:pPr>
        <w:spacing w:before="240" w:after="240"/>
        <w:jc w:val="left"/>
      </w:pPr>
      <w:r>
        <w:t>- materialna oskrba prosilcev za azil (žepnine, plačilo pomoči pri vzdrževalni</w:t>
      </w:r>
      <w:r>
        <w:t>h delih, itd.).</w:t>
      </w:r>
    </w:p>
    <w:p w:rsidR="00C8670F" w:rsidRDefault="00BD62A1">
      <w:pPr>
        <w:spacing w:before="240" w:after="240"/>
        <w:jc w:val="left"/>
      </w:pPr>
      <w:r>
        <w:t> </w:t>
      </w:r>
    </w:p>
    <w:p w:rsidR="00C8670F" w:rsidRDefault="00BD62A1">
      <w:pPr>
        <w:spacing w:before="240" w:after="240"/>
        <w:jc w:val="left"/>
      </w:pPr>
      <w:r>
        <w:t>V okviru ukrepa 2 "Krepitev pristojnih služb, vključenih v obdelavo prošenj za mednarodno zaščito" se je v letu 2015, s strani Ministrstva za pravosodje, izvedel izpit za svetovalce za begunce.</w:t>
      </w:r>
    </w:p>
    <w:p w:rsidR="00C8670F" w:rsidRDefault="00BD62A1">
      <w:pPr>
        <w:spacing w:before="240" w:after="240"/>
        <w:jc w:val="left"/>
      </w:pPr>
      <w:r>
        <w:t xml:space="preserve">V okviru ukrepa 3 "Razvoj sprejemne </w:t>
      </w:r>
      <w:r>
        <w:t>infrastrukture, storitev in bivanjskih razmer z rednim vzdrževanjem" je teklo investicijsko vzdrževanje ter nakup opreme za azilni dom (betonskih košev za odpadke, termos posod), varnostnih kamer s snemalnikom. Izboljšav pogojev za izvajanje omejitve giban</w:t>
      </w:r>
      <w:r>
        <w:t>ja v azilnem domu v letu 2015 ni bilo. </w:t>
      </w:r>
    </w:p>
    <w:p w:rsidR="00C8670F" w:rsidRDefault="00BD62A1">
      <w:pPr>
        <w:spacing w:before="240" w:after="240"/>
        <w:jc w:val="left"/>
      </w:pPr>
      <w:r>
        <w:t>V okviru ukrepa 4 "Olajšanje identifikacije ranljivih oseb ter zagotavljanje ustreznih okoliščin in storitev" so se izvajale aktivnosti, ki se nanašajo na preprečevanje trgovine z ljudmi, spolnega nasilja ali nasilja</w:t>
      </w:r>
      <w:r>
        <w:t xml:space="preserve"> po spolu (od dneva podpisa pogodbe, t.j. 23.10. 2015 je bilo opravljenih 31 razgovorov). Izvedba aktivnosti podpore prosilcem, kot npr. psihiatrična podpora, izvedenci, zakoniti zastopniki za mladoletne se načrtuje v letu 2016. </w:t>
      </w:r>
    </w:p>
    <w:p w:rsidR="00C8670F" w:rsidRDefault="00BD62A1">
      <w:pPr>
        <w:spacing w:before="240" w:after="240"/>
        <w:jc w:val="left"/>
      </w:pPr>
      <w:r>
        <w:lastRenderedPageBreak/>
        <w:t>Izvajala se je finančna po</w:t>
      </w:r>
      <w:r>
        <w:t>moč v okviru ukrepa 5 "Zagotavljanje ustreznih sredstev prosilcem za mednarodno zaščito izven sprejemnih centrov".</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RDefault="00115C60" w:rsidP="00115C60">
      <w:pPr>
        <w:spacing w:before="0" w:after="0"/>
        <w:rPr>
          <w:lang w:val="fr-BE"/>
        </w:rPr>
      </w:pPr>
    </w:p>
    <w:p w:rsidR="00C8670F" w:rsidRDefault="00BD62A1">
      <w:pPr>
        <w:spacing w:before="0" w:after="240"/>
        <w:jc w:val="left"/>
      </w:pPr>
      <w:r>
        <w:t xml:space="preserve">V letu 2015 Slovenija v okviru nacionalnega cilja </w:t>
      </w:r>
      <w:r>
        <w:t>"Vrednotenje" ni imela načrtovanih aktivnosti.</w:t>
      </w:r>
    </w:p>
    <w:p w:rsidR="00C8670F" w:rsidRDefault="00BD62A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2632"/>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RDefault="00115C60" w:rsidP="00115C60">
      <w:pPr>
        <w:spacing w:before="0" w:after="0"/>
        <w:rPr>
          <w:lang w:val="fr-BE"/>
        </w:rPr>
      </w:pPr>
    </w:p>
    <w:p w:rsidR="00C8670F" w:rsidRDefault="00BD62A1">
      <w:pPr>
        <w:spacing w:before="0" w:after="240"/>
        <w:jc w:val="left"/>
      </w:pPr>
      <w:r>
        <w:t xml:space="preserve">Slovenija se je v okviru nacionalnega cilja-posebni primer "Preselitev/Resettlement" osredotočila na ukrep-posebni primer "Preselitev oseb, </w:t>
      </w:r>
      <w:r>
        <w:t>ki potrebujejo mednarodno zaščito", katerega vsebinski nosilec je DUNZMN. Projekt obsega preselitev 20 oseb, ki potrebujejo mednarodno zaščito, v okviru evropske sheme za preselitev na podlagi Sklepa Evropskega sveta z 20. julija 2015 o preselitvi 20.000 o</w:t>
      </w:r>
      <w:r>
        <w:t>seb. Republika Slovenija v finančnem letu 2015 ni izvedla preselitev, izvedba je načrtovana za leto 2016. </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lastRenderedPageBreak/>
        <w:t>Navedite morebitne spremembe v strategiji ali naci</w:t>
      </w:r>
      <w:r>
        <w:rPr>
          <w:noProof/>
          <w:lang w:val="fr-BE"/>
        </w:rPr>
        <w:t>onalnih ciljih oziroma dejavnike, ki bi lahko privedli do sprememb v prihodnosti.</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284"/>
      </w:tblGrid>
      <w:tr w:rsidR="00C8670F" w:rsidTr="00003291">
        <w:tc>
          <w:tcPr>
            <w:tcW w:w="0" w:type="auto"/>
            <w:shd w:val="clear" w:color="auto" w:fill="auto"/>
          </w:tcPr>
          <w:p w:rsidR="00115C60" w:rsidRPr="006C1127" w:rsidRDefault="00BD62A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BD62A1"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zakonito priseljevanje</w:t>
            </w:r>
          </w:p>
        </w:tc>
      </w:tr>
    </w:tbl>
    <w:p w:rsidR="00115C60" w:rsidRDefault="00115C60" w:rsidP="00115C60">
      <w:pPr>
        <w:spacing w:before="0" w:after="0"/>
        <w:rPr>
          <w:lang w:val="fr-BE"/>
        </w:rPr>
      </w:pPr>
    </w:p>
    <w:p w:rsidR="00C8670F" w:rsidRDefault="00BD62A1">
      <w:pPr>
        <w:spacing w:before="0" w:after="240"/>
        <w:jc w:val="left"/>
      </w:pPr>
      <w:r>
        <w:t xml:space="preserve">Dolgoročni cilj Slovenije v </w:t>
      </w:r>
      <w:r>
        <w:t>sklopu posebnega cilja "Vključevanje/zakonito priseljevanje" je doseči vključenost državljanov tretjih držav in oseb z mednarodno zaščito v vsa ključna področja življenja in dela. Posebna pozornost se je namenila ranljivim skupinam oseb, kot so ženske, otr</w:t>
      </w:r>
      <w:r>
        <w:t>oci in starejše osebe. Ukrepi so usmerjeni tudi k izboljšanju zavedanja splošne javnosti, organov in samih priseljencev o vprašanjih vključevanja. Pomoč osebam z mednarodno zaščito se pri vključevanju zagotavlja prek individualnega pristopa na osnovi osebn</w:t>
      </w:r>
      <w:r>
        <w:t>ega integracijskega načrta. Krepitev kapacitet je usmerjena k vzpostavitvi trajnostnega sodelovanja med pomembnimi deležniki, še posebno prek usposabljanj. Program tudi podpira izboljšanje infrastrukture, storitev in bivanjskih razmer za osebe z mednarodno</w:t>
      </w:r>
      <w:r>
        <w:t xml:space="preserve"> zaščito v integracijskih hišah. Prav tako pa se spodbuja praktično sodelovanje med državami članicami ter izdelava analiz, vrednotenj in izboljšave trenutnih mehanizmov in pristopov vključevanja.</w:t>
      </w:r>
    </w:p>
    <w:p w:rsidR="00C8670F" w:rsidRDefault="00BD62A1">
      <w:pPr>
        <w:spacing w:before="240" w:after="240"/>
        <w:jc w:val="left"/>
      </w:pPr>
      <w:r>
        <w:t xml:space="preserve">Dne 15.12.2015 je bil potrjen Nacionalni program Republike </w:t>
      </w:r>
      <w:r>
        <w:t>Slovenije za podporo iz Sklada za azil, migracije in vključevanje za obdobje 2014–2020, Odgovorni organ je bil imenovan konec avgusta 2015, Akcijski načrt (s katerim so se sredstva znotraj sklada AMIF razporedila med končne upravičence (za neposredno dodel</w:t>
      </w:r>
      <w:r>
        <w:t>itev) pa je bil potrjen 2.12.2015. Nekateri projekti so se v skladu z obdobjem upravičenosti začeli izvajati že v začetku leta 2015, kar je bilo omogočeno s strani zalaganja sredstev s strani slovenskega proračuna. V okviru posebnega cilja "Vključevanje/za</w:t>
      </w:r>
      <w:r>
        <w:t>konito priseljevanje" so načrtovani 3 nacionalni cilji "Zakonito priseljevanje", "Vključevanje" in "Zmogljivost".</w:t>
      </w:r>
    </w:p>
    <w:p w:rsidR="00C8670F" w:rsidRDefault="00BD62A1">
      <w:pPr>
        <w:spacing w:before="240" w:after="240"/>
        <w:jc w:val="left"/>
      </w:pPr>
      <w:r>
        <w:t>Alokacija sredstev za leto 2015 je bila končnemu upravičencu (DUNZMN) načrtovana v skladu s potrjenim Akcijskim načrtom. Zaradi zamude pri vzp</w:t>
      </w:r>
      <w:r>
        <w:t>ostavitvi informacijske sistema MIGRA II za finančno in vsebinsko spremljanje skladov se je priprava zahtevkov za povračilo začela izvajati šele v drugi polovici leta 2016, tako da bodo zahtevki za nekatere projekte, ki so bili realizirani v proračunskih l</w:t>
      </w:r>
      <w:r>
        <w:t>etih 2015 in 2016, uveljavljeni šele v letnih računih za finančno leto 2017.</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3994"/>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priseljevanje</w:t>
            </w:r>
          </w:p>
        </w:tc>
      </w:tr>
    </w:tbl>
    <w:p w:rsidR="00115C60" w:rsidRPr="006C1127" w:rsidRDefault="00115C60" w:rsidP="00115C60">
      <w:pPr>
        <w:spacing w:before="0" w:after="0"/>
        <w:rPr>
          <w:lang w:val="fr-BE"/>
        </w:rPr>
      </w:pPr>
    </w:p>
    <w:p w:rsidR="00C8670F" w:rsidRDefault="00BD62A1">
      <w:pPr>
        <w:spacing w:before="0" w:after="240"/>
        <w:jc w:val="left"/>
      </w:pPr>
      <w:r>
        <w:t xml:space="preserve">Slovenija se je v okviru nacionalnega cilja "Zakonito priseljevanje" osredotočila na en ukrep </w:t>
      </w:r>
      <w:r>
        <w:t>"Delovanje informacijske točke za državljane tretjih držav in osebe z mednarodno zaščito", v okviru katerega je načrtovana izvedba aktivnosti namenjenih posredovanju informacij državljanom tretjih držav o njihovih dolžnostih in pravicah (npr. socialno vars</w:t>
      </w:r>
      <w:r>
        <w:t>tvo, zdravstvo, zaposlitev, itd.) in o možnostih sodelovanja v programih integracije v jeziku, ki ga razumejo, v spletni in v tiskani obliki (z brošurami in letaki). Brošure in spletni strani www.infotujci.si ter www.infoforeigners.si, vsebujejo pomembne p</w:t>
      </w:r>
      <w:r>
        <w:t>odatke o vstopu in bivanju na področju Republike Slovenije, šolskem sistemu, zdravstvenem in socialnem varstvu, programih jezika in programih, ki podajajo vsebine iz področja slovenske zgodovine, kulture in ustavne ureditve ter organizacijah in društvih, k</w:t>
      </w:r>
      <w:r>
        <w:t>i izvajajo programe integracije ter druge koristne informacije. Podatki so dostopni v različnih jezikih. V letu 2015 je teklo mesečno vzdrževanje spletne strani infotujci.si.</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lastRenderedPageBreak/>
        <w:t> </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gridCol w:w="3058"/>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RDefault="00115C60" w:rsidP="00115C60">
      <w:pPr>
        <w:spacing w:before="0" w:after="0"/>
        <w:rPr>
          <w:lang w:val="fr-BE"/>
        </w:rPr>
      </w:pPr>
    </w:p>
    <w:p w:rsidR="00C8670F" w:rsidRDefault="00BD62A1">
      <w:pPr>
        <w:spacing w:before="0" w:after="240"/>
        <w:jc w:val="left"/>
      </w:pPr>
      <w:r>
        <w:t>Nacionalni cilj "Vključevanje" obsega 5 ukrepov, izvedene aktivnosti v letu 2015:</w:t>
      </w:r>
    </w:p>
    <w:p w:rsidR="00C8670F" w:rsidRDefault="00BD62A1">
      <w:pPr>
        <w:spacing w:before="240" w:after="240"/>
        <w:jc w:val="left"/>
      </w:pPr>
      <w:r>
        <w:t xml:space="preserve">- v okviru ukrepa 1 "Nadaljnje izvajanje programov za osnovno pomoč državljanom tretjih držav" so tekle aktivnosti tečajev slovenskega jezika v Ljubljani in Mariboru (skupaj </w:t>
      </w:r>
      <w:r>
        <w:t>vključenih upravičencev v letu 2015 je bilo 916, od tega 15 oseb za mednarodno zaščito) in izpitov slovenskega jezika za osebe z mednarodno zaščito (v letu 2015 je izpit iz slovenskega jezika opravilo 264 oseb.);</w:t>
      </w:r>
    </w:p>
    <w:p w:rsidR="00C8670F" w:rsidRDefault="00BD62A1">
      <w:pPr>
        <w:spacing w:before="240" w:after="240"/>
        <w:jc w:val="left"/>
      </w:pPr>
      <w:r>
        <w:t>- izvajanje aktivnosti v okviru ukrepa 2 "P</w:t>
      </w:r>
      <w:r>
        <w:t>osebni ukrepi namenjeni ranljivim osebam in upravičencem do mednarodne zaščite" je načrtovano v letu 2016;</w:t>
      </w:r>
    </w:p>
    <w:p w:rsidR="00C8670F" w:rsidRDefault="00BD62A1">
      <w:pPr>
        <w:spacing w:before="240" w:after="240"/>
        <w:jc w:val="left"/>
      </w:pPr>
      <w:r>
        <w:t>- v okviru ukrepa 3 "Pomoč pri vključevanju, obsegajoč pomoč za celostno vključevanje oseb z mednarodno zaščito" se je zagotavljalo izplačevanje enkr</w:t>
      </w:r>
      <w:r>
        <w:t>atne denarne pomoči ob izselitvi iz azilnega doma ter denarne pomoči za nastanitev na zasebnem naslovu vsem osebam z mednarodno zaščito, ki so izpolnjevale zakonske pogoje;</w:t>
      </w:r>
    </w:p>
    <w:p w:rsidR="00C8670F" w:rsidRDefault="00BD62A1">
      <w:pPr>
        <w:spacing w:before="240" w:after="240"/>
        <w:jc w:val="left"/>
      </w:pPr>
      <w:r>
        <w:t>- v okviru ukrepa 4 "Dejavnosti ozaveščanja in informacijski ukrepi, ki vključujejo</w:t>
      </w:r>
      <w:r>
        <w:t xml:space="preserve"> vse pomembnejše deležnike" je tekla medijska kampanja namenjena osveščanju širše javnosti o temah povezanih z migracijo in integracijo;</w:t>
      </w:r>
    </w:p>
    <w:p w:rsidR="00C8670F" w:rsidRDefault="00BD62A1">
      <w:pPr>
        <w:spacing w:before="240" w:after="240"/>
        <w:jc w:val="left"/>
      </w:pPr>
      <w:r>
        <w:t>- aktivnosti v okviru ukrepa 5 "Oblikovanje/izvedba informacijskih programov z uporabo različnih komunikacijskih sredst</w:t>
      </w:r>
      <w:r>
        <w:t>ev" se v letu 2015 niso izvajale, saj so bila sredstva tega projekta prerazporejena na druge projekte, ki so zaradi povečanja migrantskega toka in števila vloženih prošenj za mednarodno zaščito, imeli prioritetno obravnavo.</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2927"/>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w:t>
            </w:r>
            <w:r w:rsidRPr="00707975">
              <w:rPr>
                <w:noProof/>
                <w:lang w:val="fr-BE"/>
              </w:rPr>
              <w:t>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RDefault="00115C60" w:rsidP="00115C60">
      <w:pPr>
        <w:spacing w:before="0" w:after="0"/>
        <w:rPr>
          <w:lang w:val="fr-BE"/>
        </w:rPr>
      </w:pPr>
    </w:p>
    <w:p w:rsidR="00C8670F" w:rsidRDefault="00BD62A1">
      <w:pPr>
        <w:spacing w:before="0" w:after="240"/>
        <w:jc w:val="left"/>
      </w:pPr>
      <w:r>
        <w:t xml:space="preserve">V okviru nacionalnega cilja "Zmogljivost" se načrtuje 4 ukrepe z izvajanjem v letu 2016, ukrep 2 glede izboljšanja storitev in bivanja za osebe pod mednarodno zaščito v integracijskih hišah pa se v letu 2015 ni izvajal, </w:t>
      </w:r>
      <w:r>
        <w:t>saj ni bilo vzdrževalnih del in nakupa opreme, ki bi se financirali iz programa.</w:t>
      </w:r>
    </w:p>
    <w:p w:rsidR="00C8670F" w:rsidRDefault="00BD62A1">
      <w:pPr>
        <w:spacing w:before="240" w:after="240"/>
        <w:jc w:val="left"/>
      </w:pPr>
      <w:r>
        <w:t> </w:t>
      </w:r>
    </w:p>
    <w:p w:rsidR="00C8670F" w:rsidRDefault="00BD62A1">
      <w:pPr>
        <w:spacing w:before="240" w:after="240"/>
        <w:jc w:val="left"/>
      </w:pPr>
      <w:r>
        <w:t> </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lastRenderedPageBreak/>
        <w:t>Povzemite napredek pri izvajanju strategije in doseganju nacionalnih ciljev v proračunskem letu.</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Navedite morebitne spremembe v strategiji ali nacionalnih ciljih oziroma</w:t>
      </w:r>
      <w:r>
        <w:rPr>
          <w:noProof/>
          <w:lang w:val="fr-BE"/>
        </w:rPr>
        <w:t xml:space="preserve"> dejavnike, ki bi lahko privedli do sprememb v prihodnosti.</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5612"/>
      </w:tblGrid>
      <w:tr w:rsidR="00C8670F" w:rsidTr="00003291">
        <w:tc>
          <w:tcPr>
            <w:tcW w:w="0" w:type="auto"/>
            <w:shd w:val="clear" w:color="auto" w:fill="auto"/>
          </w:tcPr>
          <w:p w:rsidR="00115C60" w:rsidRPr="006C1127" w:rsidRDefault="00BD62A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BD62A1"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RDefault="00115C60" w:rsidP="00115C60">
      <w:pPr>
        <w:spacing w:before="0" w:after="0"/>
        <w:rPr>
          <w:lang w:val="fr-BE"/>
        </w:rPr>
      </w:pPr>
    </w:p>
    <w:p w:rsidR="00C8670F" w:rsidRDefault="00BD62A1">
      <w:pPr>
        <w:spacing w:before="0" w:after="240"/>
        <w:jc w:val="left"/>
      </w:pPr>
      <w:r>
        <w:t xml:space="preserve">Dolgoročni cilj Slovenije v sklopu posebnega cilja A.SO3 "Vračanje" je </w:t>
      </w:r>
      <w:r>
        <w:t>nadaljevati učinkovito politiko vračanja v tretje države tako z vidika prostovoljnega kot prisilnega vračanja ter spodbujati uporabo prostovoljnega vračanja v sodelovanju z nevladnimi organizacijami in pristojnimi mednarodnimi organizacijami kot tudi držav</w:t>
      </w:r>
      <w:r>
        <w:t>ami izvora.</w:t>
      </w:r>
    </w:p>
    <w:p w:rsidR="00C8670F" w:rsidRDefault="00BD62A1">
      <w:pPr>
        <w:spacing w:before="240" w:after="240"/>
        <w:jc w:val="left"/>
      </w:pPr>
      <w:r>
        <w:t>Dne 15.12.2015 je bil potrjen Nacionalni program Republike Slovenije za podporo iz Sklada za azil, migracije in vključevanje za obdobje 2014–2020, Odgovorni organ je bil imenovan konec avgusta 2015, Akcijski načrt (s katerim so se sredstva znot</w:t>
      </w:r>
      <w:r>
        <w:t xml:space="preserve">raj sklada AMIF razporedila med končne upravičence (za neposredno dodelitev) pa je bil potrjen 2.12.2015. Nekateri projekti so se v skladu z obdobjem upravičenosti začeli izvajati že v začetku leta 2015, kar je bilo omogočeno s strani zalaganja sredstev s </w:t>
      </w:r>
      <w:r>
        <w:t>strani slovenskega proračuna. V okviru specifičnega cilja A.SO3 "Vračanje" so načrtovani 3 nacionalni cilji "Spremljevalni ukrepi", "Ukrepi vračanja" in "Sodelovanje", v sklopu katerega ni načrtovanega izvajanja v letu 2015.</w:t>
      </w:r>
    </w:p>
    <w:p w:rsidR="00C8670F" w:rsidRDefault="00BD62A1">
      <w:pPr>
        <w:spacing w:before="240" w:after="240"/>
        <w:jc w:val="left"/>
      </w:pPr>
      <w:r>
        <w:t>Alokacija sredstev za leto 2015</w:t>
      </w:r>
      <w:r>
        <w:t xml:space="preserve"> je bila končnemu upravičencu (Policija - Center za tujce) načrtovana v skladu s potrjenim Akcijskim načrtom. Zaradi zamude pri vzpostavitvi informacijske sistema MIGRA II za finančno in vsebinsko spremljanje skladov se je priprava zahtevkov za povračilo z</w:t>
      </w:r>
      <w:r>
        <w:t>ačela izvajati šele v drugi polovici leta 2016, tako da bodo zahtevki za nekatere projekte, ki so bili realizirani v proračunskih letih 2015 in 2016, uveljavljeni šele v letnih računih za finančno leto 2017.</w:t>
      </w:r>
    </w:p>
    <w:p w:rsidR="00C8670F" w:rsidRDefault="00BD62A1">
      <w:pPr>
        <w:spacing w:before="240" w:after="240"/>
        <w:jc w:val="left"/>
      </w:pPr>
      <w:r>
        <w:t> </w:t>
      </w:r>
    </w:p>
    <w:p w:rsidR="00C8670F" w:rsidRDefault="00BD62A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866"/>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w:t>
            </w:r>
            <w:r w:rsidRPr="00707975">
              <w:rPr>
                <w:noProof/>
                <w:lang w:val="fr-BE"/>
              </w:rPr>
              <w:t>ilja</w:t>
            </w:r>
          </w:p>
        </w:tc>
        <w:tc>
          <w:tcPr>
            <w:tcW w:w="0" w:type="auto"/>
            <w:shd w:val="clear" w:color="auto" w:fill="auto"/>
          </w:tcPr>
          <w:p w:rsidR="00115C60" w:rsidRPr="00707975" w:rsidRDefault="00BD62A1"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RDefault="00115C60" w:rsidP="00115C60">
      <w:pPr>
        <w:spacing w:before="0" w:after="0"/>
        <w:rPr>
          <w:lang w:val="fr-BE"/>
        </w:rPr>
      </w:pPr>
    </w:p>
    <w:p w:rsidR="00C8670F" w:rsidRDefault="00BD62A1">
      <w:pPr>
        <w:spacing w:before="0" w:after="240"/>
        <w:jc w:val="left"/>
      </w:pPr>
      <w:r>
        <w:t>Skladno z Akcijskim načrtom je v okviru nacionalnega cilja "Spremljevalni ukrepi"  načrtovanih 6 ukrepov, v letu 2015 je Policija - Center za tujce izvajalo sledeče aktivnosti v okviru posameznih projektov:</w:t>
      </w:r>
    </w:p>
    <w:p w:rsidR="00C8670F" w:rsidRDefault="00BD62A1">
      <w:pPr>
        <w:spacing w:before="240" w:after="240"/>
        <w:jc w:val="left"/>
      </w:pPr>
      <w:r>
        <w:t>- v okviru ukrepa</w:t>
      </w:r>
      <w:r>
        <w:t xml:space="preserve"> 1 "Informacijski ukrepi za državljane tretjih držav o prostovoljem vračanju in programi" se je izvajalo pravno svetovanje tujcem v postopkih vračanja, ki obsega informiranje tujcev o postopkih in možnostih vračanja, nudenje pravnega svetovanja v postopku </w:t>
      </w:r>
      <w:r>
        <w:t>vračanja tujcev in predstavitev projekta in vloge izvajalca v postopkih vračanja;</w:t>
      </w:r>
    </w:p>
    <w:p w:rsidR="00C8670F" w:rsidRDefault="00BD62A1">
      <w:pPr>
        <w:spacing w:before="240" w:after="240"/>
        <w:jc w:val="left"/>
      </w:pPr>
      <w:r>
        <w:t>- aktivnosti v okviru ukrepa 2 "Krepitev sistema spremljanja prisilnega vračanja z vključevanjem nepristranskih entitet" so v letu 2015 tekle v okviru Letnega programa 2013 S</w:t>
      </w:r>
      <w:r>
        <w:t>klada za vračanje; </w:t>
      </w:r>
    </w:p>
    <w:p w:rsidR="00C8670F" w:rsidRDefault="00BD62A1">
      <w:pPr>
        <w:spacing w:before="240" w:after="240"/>
        <w:jc w:val="left"/>
      </w:pPr>
      <w:r>
        <w:t>- v okviru ukrepa 3 "Izboljšanje infrastrukture, razmer in tekičih stroškov objektov za zavrnjene državljane tretjih držav" so načrtovani 3 projekti, v letu 2015 se je izvajal projekt "Tekoči stroški v Centru za tujce", v sklopu tega gr</w:t>
      </w:r>
      <w:r>
        <w:t xml:space="preserve">e za obratovalne stroške s ciljem izboljšati življenjske razmere ter dvigniti kakovost vseh storitev </w:t>
      </w:r>
      <w:r>
        <w:lastRenderedPageBreak/>
        <w:t>v Centru za tujce. V okviru projekta "Izboljšanje bivalnih pogojev bivanja v Centru za tujce in nadgradnja administrativnih postopkov" so bile izvedene min</w:t>
      </w:r>
      <w:r>
        <w:t>imalne izboljšave, v okviru projekta "Mednarodni prostor za zavrnjene tujce" se je krilo financiranje stroškov, povezanih z obratovanjem mednarodnega prostora za zavrnjene tujce na Letališču Jožeta Pučnika.</w:t>
      </w:r>
    </w:p>
    <w:p w:rsidR="00C8670F" w:rsidRDefault="00BD62A1">
      <w:pPr>
        <w:spacing w:before="240" w:after="240"/>
        <w:jc w:val="left"/>
      </w:pPr>
      <w:r>
        <w:t>- v okviru ukrepa 4 "Socialna/psihološka/zdravstv</w:t>
      </w:r>
      <w:r>
        <w:t>ena pomoč za pridržane osebe, posebna pomoč za ranljive osebe" je bil načrtovan en projekt "Psihosocialna in zdravstvena oskrba tujcev", ki se je začel izvajati že v letu 2015, aktivnosti pa so bile osredotočene na zagotavljanje medicinske, socialne in psi</w:t>
      </w:r>
      <w:r>
        <w:t>hološke obravnave pridržanih oseb;</w:t>
      </w:r>
    </w:p>
    <w:p w:rsidR="00C8670F" w:rsidRDefault="00BD62A1">
      <w:pPr>
        <w:spacing w:before="240" w:after="240"/>
        <w:jc w:val="left"/>
      </w:pPr>
      <w:r>
        <w:t>- v okviru ukrepa 5 "Gradnja kapacitet in usposabljanja kadrov vključenih v postopke vračanja" se načrtuje organizirana usposabljanja za osebje Centra za tujce s ciljem doseči najvišje možne standarde v vseh vidikih obrav</w:t>
      </w:r>
      <w:r>
        <w:t>nave državljanov tretjih držav, ki so v postopkih pridržanja in vračanja. V letu 2015 ni bilo izvedenih takšnih oblik usposabljanj.;</w:t>
      </w:r>
    </w:p>
    <w:p w:rsidR="00C8670F" w:rsidRDefault="00BD62A1">
      <w:pPr>
        <w:spacing w:before="240" w:after="240"/>
        <w:jc w:val="left"/>
      </w:pPr>
      <w:r>
        <w:t>- v okviru ukrepa 6 "Razširitev mreže prevajalcev in tolmačev" se je v letu 2015 zagotavljalo prevajalske storitve za vse d</w:t>
      </w:r>
      <w:r>
        <w:t>ržavljane tretjih držav, ki so v postopkih vračanja.</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3362"/>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RDefault="00115C60" w:rsidP="00115C60">
      <w:pPr>
        <w:spacing w:before="0" w:after="0"/>
        <w:rPr>
          <w:lang w:val="fr-BE"/>
        </w:rPr>
      </w:pPr>
    </w:p>
    <w:p w:rsidR="00C8670F" w:rsidRDefault="00BD62A1">
      <w:pPr>
        <w:spacing w:before="0" w:after="240"/>
        <w:jc w:val="left"/>
      </w:pPr>
      <w:r>
        <w:t>Skladno z Akcijskim načrtom so v okviru nacionalnega cilja "Ukrepi vračanja"  načrtovani</w:t>
      </w:r>
      <w:r>
        <w:rPr>
          <w:b/>
          <w:bCs/>
        </w:rPr>
        <w:t> </w:t>
      </w:r>
      <w:r>
        <w:t xml:space="preserve">3 ukrepi, v letu 2015 je nosilec </w:t>
      </w:r>
      <w:r>
        <w:t>vsebine Policija - Center za tujce izvedel sledeče:</w:t>
      </w:r>
    </w:p>
    <w:p w:rsidR="00C8670F" w:rsidRDefault="00BD62A1">
      <w:pPr>
        <w:spacing w:before="240" w:after="240"/>
        <w:jc w:val="left"/>
      </w:pPr>
      <w:r>
        <w:t>- aktivnosti v okviru ukrepa 1 "Izvajanje projektov prostovoljnega vračanja in ponovnega vključevanja za državljane tretjih držav" so v letu 2015 tekle v okviru Letnega programa 2013 Sklada za vračanje.;</w:t>
      </w:r>
    </w:p>
    <w:p w:rsidR="00C8670F" w:rsidRDefault="00BD62A1">
      <w:pPr>
        <w:spacing w:before="240" w:after="240"/>
        <w:jc w:val="left"/>
      </w:pPr>
      <w:r>
        <w:t>- v okviru ukrepa 2 "Sodelovanje z diplomatsko-konzularnimi predstavništvi" so tekle aktivnosti s ciljem ohraniti dobro in uspešno sodelovanje s predstavniki tretjih držav, ki sodelujejo pri identifikaciji svojih državljanov z namenom, da pridobijo potne l</w:t>
      </w:r>
      <w:r>
        <w:t>iste potrebne za vračanje;</w:t>
      </w:r>
    </w:p>
    <w:p w:rsidR="00C8670F" w:rsidRDefault="00BD62A1">
      <w:pPr>
        <w:spacing w:before="240" w:after="240"/>
        <w:jc w:val="left"/>
      </w:pPr>
      <w:r>
        <w:t>- v okviru ukrepa 3  "Priprava in izvedba operacij vračanja", so bile izvedene aktivnosti v sklopu izvajanj vrnitev državljanov tretjih držav (potni stroški, nastanitev, stroški zdravljenja in stroški, povezani z uspešno in varno</w:t>
      </w:r>
      <w:r>
        <w:t xml:space="preserve"> izvedbo operacije), katerim so bile izdane odločbe o vrnitvi in so bili priprti v Centru za tujce.</w:t>
      </w:r>
    </w:p>
    <w:p w:rsidR="00C8670F" w:rsidRDefault="00BD62A1">
      <w:pPr>
        <w:spacing w:before="240" w:after="240"/>
        <w:jc w:val="left"/>
      </w:pPr>
      <w:r>
        <w:t> </w:t>
      </w:r>
    </w:p>
    <w:p w:rsidR="00C8670F" w:rsidRDefault="00BD62A1">
      <w:pPr>
        <w:spacing w:before="240" w:after="240"/>
        <w:jc w:val="left"/>
      </w:pPr>
      <w:r>
        <w:t> </w:t>
      </w:r>
    </w:p>
    <w:p w:rsidR="00C8670F" w:rsidRDefault="00BD62A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RDefault="00115C60" w:rsidP="00115C60">
      <w:pPr>
        <w:spacing w:before="0" w:after="0"/>
        <w:rPr>
          <w:lang w:val="fr-BE"/>
        </w:rPr>
      </w:pPr>
    </w:p>
    <w:p w:rsidR="00C8670F" w:rsidRDefault="00BD62A1">
      <w:pPr>
        <w:spacing w:before="0" w:after="240"/>
        <w:jc w:val="left"/>
      </w:pPr>
      <w:r>
        <w:t>V okviru nacionalnega cilja "Sodelovanje"  v okviru ukrepa "Sodelovanje s članicami</w:t>
      </w:r>
      <w:r>
        <w:t xml:space="preserve"> EU in agencijo Frontex pri izvajanju skupnih postopkov vračanja" ni bilo izvedenih aktivnosti v letu 2015.</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Navedite morebitne spremembe v strategiji ali nac</w:t>
      </w:r>
      <w:r>
        <w:rPr>
          <w:noProof/>
          <w:lang w:val="fr-BE"/>
        </w:rPr>
        <w:t>ionalnih ciljih oziroma dejavnike, ki bi lahko privedli do sprememb v prihodnosti.</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6024"/>
      </w:tblGrid>
      <w:tr w:rsidR="00C8670F" w:rsidTr="00003291">
        <w:tc>
          <w:tcPr>
            <w:tcW w:w="0" w:type="auto"/>
            <w:shd w:val="clear" w:color="auto" w:fill="auto"/>
          </w:tcPr>
          <w:p w:rsidR="00115C60" w:rsidRPr="006C1127" w:rsidRDefault="00BD62A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BD62A1"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RDefault="00115C60" w:rsidP="00115C60">
      <w:pPr>
        <w:spacing w:before="0" w:after="0"/>
        <w:rPr>
          <w:lang w:val="fr-BE"/>
        </w:rPr>
      </w:pPr>
    </w:p>
    <w:p w:rsidR="00C8670F" w:rsidRDefault="00BD62A1">
      <w:pPr>
        <w:spacing w:before="0" w:after="240"/>
        <w:jc w:val="left"/>
      </w:pPr>
      <w:r>
        <w:t xml:space="preserve">Republika Slovenija bo sodelovala v aktivnostih </w:t>
      </w:r>
      <w:r>
        <w:t>premestitve v skladu z dvema shemama EU o premestitvi 40.000 in 120.000 prosilcev za mednarodno zaščito iz Italije in Grčije v skladu s Sklepom Sveta (EU) 2015/1523 z dne 14. 9. 2015 in Sklepom Sveta (EU) 2015/1601 z dne 22. 9. 2015.</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877"/>
      </w:tblGrid>
      <w:tr w:rsidR="00C8670F" w:rsidTr="00003291">
        <w:tc>
          <w:tcPr>
            <w:tcW w:w="0" w:type="auto"/>
            <w:shd w:val="clear" w:color="auto" w:fill="auto"/>
          </w:tcPr>
          <w:p w:rsidR="00115C60" w:rsidRPr="00707975" w:rsidRDefault="00BD62A1" w:rsidP="00003291">
            <w:pPr>
              <w:spacing w:before="0" w:after="0"/>
              <w:rPr>
                <w:lang w:val="fr-BE"/>
              </w:rPr>
            </w:pPr>
            <w:r w:rsidRPr="00707975">
              <w:rPr>
                <w:noProof/>
                <w:lang w:val="fr-BE"/>
              </w:rPr>
              <w:t>Ukrepi, financirani v</w:t>
            </w:r>
            <w:r w:rsidRPr="00707975">
              <w:rPr>
                <w:noProof/>
                <w:lang w:val="fr-BE"/>
              </w:rPr>
              <w:t xml:space="preserve"> okviru nacionalnega cilja</w:t>
            </w:r>
          </w:p>
        </w:tc>
        <w:tc>
          <w:tcPr>
            <w:tcW w:w="0" w:type="auto"/>
            <w:shd w:val="clear" w:color="auto" w:fill="auto"/>
          </w:tcPr>
          <w:p w:rsidR="00115C60" w:rsidRPr="00707975" w:rsidRDefault="00BD62A1"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RDefault="00115C60" w:rsidP="00115C60">
      <w:pPr>
        <w:spacing w:before="0" w:after="0"/>
        <w:rPr>
          <w:lang w:val="fr-BE"/>
        </w:rPr>
      </w:pPr>
    </w:p>
    <w:p w:rsidR="00C8670F" w:rsidRDefault="00BD62A1">
      <w:pPr>
        <w:spacing w:before="0" w:after="240"/>
        <w:jc w:val="left"/>
      </w:pPr>
      <w:r>
        <w:t xml:space="preserve">Slovenija se je v okviru nacionalnega cilja-posebni primer "Premestitev/Relocatin" osredotočila na ukrep-posebni primer "Premestitev [Relocation] prosilcev za mednarodno zaščito", katerega vsebinski nosilec </w:t>
      </w:r>
      <w:r>
        <w:t>DUNZMN, in sicer projekt obsega premesitev 567 prosilcev za mednarodno zaščito v okviru evropskih shem za premestitev na podlagi Sklepa Sveta EU 2015/1523 s 14 septembera 2015 o premestitvi 40.000 oseb iz Italije in Grčije ter Sklepa Sveta EU 2015/1601 z 2</w:t>
      </w:r>
      <w:r>
        <w:t>2 septembra 2015 o premestitvi 120.000 oseb iz Italije in Grčije.</w:t>
      </w:r>
    </w:p>
    <w:p w:rsidR="00C8670F" w:rsidRDefault="00BD62A1">
      <w:pPr>
        <w:spacing w:before="240" w:after="240"/>
        <w:jc w:val="left"/>
      </w:pPr>
      <w:r>
        <w:t>Republika Slovenija v finančnem letu 2015 ni izvedla premestitev, izvedba je načrtovana za leto 2016. </w:t>
      </w:r>
    </w:p>
    <w:p w:rsidR="00115C60" w:rsidRDefault="00115C60" w:rsidP="00115C60">
      <w:pPr>
        <w:spacing w:before="0" w:after="0"/>
        <w:rPr>
          <w:lang w:val="fr-BE"/>
        </w:rPr>
      </w:pPr>
    </w:p>
    <w:p w:rsidR="00115C60" w:rsidRDefault="00115C60" w:rsidP="00115C60">
      <w:pPr>
        <w:spacing w:before="0" w:after="0"/>
        <w:rPr>
          <w:lang w:val="fr-BE"/>
        </w:rPr>
      </w:pPr>
    </w:p>
    <w:p w:rsidR="00115C60" w:rsidRDefault="00BD62A1" w:rsidP="00115C60">
      <w:pPr>
        <w:pStyle w:val="Naslov1"/>
        <w:numPr>
          <w:ilvl w:val="0"/>
          <w:numId w:val="0"/>
        </w:numPr>
        <w:spacing w:before="0" w:after="0"/>
      </w:pPr>
      <w:r>
        <w:rPr>
          <w:lang w:val="fr-BE"/>
        </w:rPr>
        <w:br w:type="page"/>
      </w:r>
      <w:bookmarkStart w:id="2" w:name="_Toc256000003"/>
      <w:r w:rsidRPr="00F9367D">
        <w:rPr>
          <w:noProof/>
        </w:rPr>
        <w:lastRenderedPageBreak/>
        <w:t>OKVIRNI ČASOVNI RAZPORED</w:t>
      </w:r>
      <w:bookmarkEnd w:id="2"/>
    </w:p>
    <w:p w:rsidR="00AB614B" w:rsidRPr="00AB614B" w:rsidRDefault="00AB614B" w:rsidP="00AB614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726"/>
        <w:gridCol w:w="841"/>
        <w:gridCol w:w="2716"/>
        <w:gridCol w:w="1366"/>
        <w:gridCol w:w="1171"/>
        <w:gridCol w:w="1198"/>
      </w:tblGrid>
      <w:tr w:rsidR="00C8670F" w:rsidTr="00003291">
        <w:trPr>
          <w:tblHeader/>
        </w:trPr>
        <w:tc>
          <w:tcPr>
            <w:tcW w:w="0" w:type="auto"/>
            <w:shd w:val="clear" w:color="auto" w:fill="auto"/>
          </w:tcPr>
          <w:p w:rsidR="00115C60" w:rsidRPr="00CB3B6C" w:rsidRDefault="00BD62A1" w:rsidP="00003291">
            <w:pPr>
              <w:spacing w:before="0" w:after="0"/>
              <w:rPr>
                <w:b/>
                <w:sz w:val="16"/>
                <w:szCs w:val="16"/>
              </w:rPr>
            </w:pPr>
            <w:r w:rsidRPr="00CB3B6C">
              <w:rPr>
                <w:b/>
                <w:noProof/>
                <w:sz w:val="16"/>
                <w:szCs w:val="16"/>
              </w:rPr>
              <w:t>Posebni cilj</w:t>
            </w:r>
          </w:p>
        </w:tc>
        <w:tc>
          <w:tcPr>
            <w:tcW w:w="0" w:type="auto"/>
            <w:shd w:val="clear" w:color="auto" w:fill="auto"/>
          </w:tcPr>
          <w:p w:rsidR="00115C60" w:rsidRPr="00CB3B6C" w:rsidRDefault="00BD62A1" w:rsidP="00003291">
            <w:pPr>
              <w:spacing w:before="0" w:after="0"/>
              <w:rPr>
                <w:b/>
                <w:sz w:val="16"/>
                <w:szCs w:val="16"/>
              </w:rPr>
            </w:pPr>
            <w:r w:rsidRPr="00CB3B6C">
              <w:rPr>
                <w:b/>
                <w:noProof/>
                <w:sz w:val="16"/>
                <w:szCs w:val="16"/>
              </w:rPr>
              <w:t>Nacionalni cilj / posebni ukrep</w:t>
            </w:r>
          </w:p>
        </w:tc>
        <w:tc>
          <w:tcPr>
            <w:tcW w:w="0" w:type="auto"/>
            <w:shd w:val="clear" w:color="auto" w:fill="auto"/>
          </w:tcPr>
          <w:p w:rsidR="00115C60" w:rsidRPr="00CB3B6C" w:rsidRDefault="00BD62A1" w:rsidP="00003291">
            <w:pPr>
              <w:spacing w:before="0" w:after="0"/>
              <w:jc w:val="center"/>
              <w:rPr>
                <w:b/>
                <w:sz w:val="16"/>
                <w:szCs w:val="16"/>
              </w:rPr>
            </w:pPr>
            <w:r w:rsidRPr="00CB3B6C">
              <w:rPr>
                <w:b/>
                <w:noProof/>
                <w:sz w:val="16"/>
                <w:szCs w:val="16"/>
              </w:rPr>
              <w:t>Glavni ukrep</w:t>
            </w:r>
          </w:p>
        </w:tc>
        <w:tc>
          <w:tcPr>
            <w:tcW w:w="0" w:type="auto"/>
            <w:shd w:val="clear" w:color="auto" w:fill="auto"/>
          </w:tcPr>
          <w:p w:rsidR="00115C60" w:rsidRPr="00CB3B6C" w:rsidRDefault="00BD62A1" w:rsidP="00003291">
            <w:pPr>
              <w:spacing w:before="0" w:after="0"/>
              <w:rPr>
                <w:b/>
                <w:sz w:val="16"/>
                <w:szCs w:val="16"/>
              </w:rPr>
            </w:pPr>
            <w:r w:rsidRPr="00CB3B6C">
              <w:rPr>
                <w:b/>
                <w:noProof/>
                <w:sz w:val="16"/>
                <w:szCs w:val="16"/>
              </w:rPr>
              <w:t>Ime ukrepa</w:t>
            </w:r>
          </w:p>
        </w:tc>
        <w:tc>
          <w:tcPr>
            <w:tcW w:w="0" w:type="auto"/>
            <w:shd w:val="clear" w:color="auto" w:fill="auto"/>
          </w:tcPr>
          <w:p w:rsidR="00115C60" w:rsidRPr="00CB3B6C" w:rsidRDefault="00BD62A1" w:rsidP="00003291">
            <w:pPr>
              <w:spacing w:before="0" w:after="0"/>
              <w:jc w:val="center"/>
              <w:rPr>
                <w:b/>
                <w:sz w:val="16"/>
                <w:szCs w:val="16"/>
              </w:rPr>
            </w:pPr>
            <w:r w:rsidRPr="00CB3B6C">
              <w:rPr>
                <w:b/>
                <w:noProof/>
                <w:sz w:val="16"/>
                <w:szCs w:val="16"/>
              </w:rPr>
              <w:t>Začetek faze načrtovanja</w:t>
            </w:r>
          </w:p>
        </w:tc>
        <w:tc>
          <w:tcPr>
            <w:tcW w:w="0" w:type="auto"/>
            <w:shd w:val="clear" w:color="auto" w:fill="auto"/>
          </w:tcPr>
          <w:p w:rsidR="00115C60" w:rsidRPr="00CB3B6C" w:rsidRDefault="00BD62A1" w:rsidP="00003291">
            <w:pPr>
              <w:spacing w:before="0" w:after="0"/>
              <w:jc w:val="center"/>
              <w:rPr>
                <w:b/>
                <w:sz w:val="16"/>
                <w:szCs w:val="16"/>
              </w:rPr>
            </w:pPr>
            <w:r w:rsidRPr="00CB3B6C">
              <w:rPr>
                <w:b/>
                <w:noProof/>
                <w:sz w:val="16"/>
                <w:szCs w:val="16"/>
              </w:rPr>
              <w:t>Začetek faze izvajanja</w:t>
            </w:r>
          </w:p>
        </w:tc>
        <w:tc>
          <w:tcPr>
            <w:tcW w:w="0" w:type="auto"/>
            <w:shd w:val="clear" w:color="auto" w:fill="auto"/>
          </w:tcPr>
          <w:p w:rsidR="00115C60" w:rsidRPr="00CB3B6C" w:rsidRDefault="00BD62A1" w:rsidP="00003291">
            <w:pPr>
              <w:spacing w:before="0" w:after="0"/>
              <w:jc w:val="center"/>
              <w:rPr>
                <w:b/>
                <w:sz w:val="16"/>
                <w:szCs w:val="16"/>
              </w:rPr>
            </w:pPr>
            <w:r w:rsidRPr="00CB3B6C">
              <w:rPr>
                <w:b/>
                <w:noProof/>
                <w:sz w:val="16"/>
                <w:szCs w:val="16"/>
              </w:rPr>
              <w:t>Začetek zaključne faze</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Assistance and support to asylum seekers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Strengthening of competent services involved in processing asylum applications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Development of reception infrastructure, services and conditions of stay</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2018</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National reception capacity monitoring system</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National system of evaluation of the asylum procedures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2019</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w:t>
            </w:r>
            <w:r>
              <w:rPr>
                <w:noProof/>
                <w:sz w:val="16"/>
                <w:szCs w:val="16"/>
              </w:rPr>
              <w:t xml:space="preserve"> cilj2</w:t>
            </w:r>
            <w:r>
              <w:rPr>
                <w:sz w:val="16"/>
                <w:szCs w:val="16"/>
              </w:rPr>
              <w:t xml:space="preserve"> - </w:t>
            </w:r>
            <w:r>
              <w:rPr>
                <w:noProof/>
                <w:sz w:val="16"/>
                <w:szCs w:val="16"/>
              </w:rPr>
              <w:t>Vrednotenje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Implementation of a contingency planning system</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cilj1</w:t>
            </w:r>
            <w:r>
              <w:rPr>
                <w:sz w:val="16"/>
                <w:szCs w:val="16"/>
              </w:rPr>
              <w:t xml:space="preserve"> - </w:t>
            </w:r>
            <w:r>
              <w:rPr>
                <w:noProof/>
                <w:sz w:val="16"/>
                <w:szCs w:val="16"/>
              </w:rPr>
              <w:t>Zakonito priseljevanje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Info-point for TCN</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cilj2</w:t>
            </w:r>
            <w:r>
              <w:rPr>
                <w:sz w:val="16"/>
                <w:szCs w:val="16"/>
              </w:rPr>
              <w:t xml:space="preserve"> - </w:t>
            </w:r>
            <w:r>
              <w:rPr>
                <w:noProof/>
                <w:sz w:val="16"/>
                <w:szCs w:val="16"/>
              </w:rPr>
              <w:t xml:space="preserve">Vključevanje / </w:t>
            </w:r>
            <w:r>
              <w:rPr>
                <w:noProof/>
                <w:sz w:val="16"/>
                <w:szCs w:val="16"/>
              </w:rPr>
              <w:t>zakonito priseljevanje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Implementation of programmes for basic assistance and services for TCN</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 xml:space="preserve">Specific measures </w:t>
            </w:r>
            <w:r w:rsidRPr="00557448">
              <w:rPr>
                <w:noProof/>
                <w:sz w:val="16"/>
                <w:szCs w:val="16"/>
              </w:rPr>
              <w:t>targeting vulnerable persons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Analysis and evaluation of integration measures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2019</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Sustainable cooperation</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2020</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Training of staff and policy makers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cilj2</w:t>
            </w:r>
            <w:r>
              <w:rPr>
                <w:sz w:val="16"/>
                <w:szCs w:val="16"/>
              </w:rPr>
              <w:t xml:space="preserve"> - </w:t>
            </w:r>
            <w:r>
              <w:rPr>
                <w:noProof/>
                <w:sz w:val="16"/>
                <w:szCs w:val="16"/>
              </w:rPr>
              <w:t xml:space="preserve">Vključevanje / zakonito </w:t>
            </w:r>
            <w:r>
              <w:rPr>
                <w:noProof/>
                <w:sz w:val="16"/>
                <w:szCs w:val="16"/>
              </w:rPr>
              <w:t>priseljevanje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Improvement of services and conditions of stay</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2018</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Improved infrastructure, living conditions, running costs at the Aliens centre</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2020</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Social, psychological and medical assistance for detained persons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 xml:space="preserve">Capacity building and </w:t>
            </w:r>
            <w:r w:rsidRPr="00557448">
              <w:rPr>
                <w:noProof/>
                <w:sz w:val="16"/>
                <w:szCs w:val="16"/>
              </w:rPr>
              <w:t>training of staff of the Aliens centre and other officers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Implementation of voluntary return and reintegration projects for TCN</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Cooperation with consular authorities &amp; immigration services of third countries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Preparation and enforcement of return operations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Cooperation with EU MS and Frontex</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Cooperation with international organizations, NGOs and other partners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r w:rsidR="00C8670F" w:rsidTr="00003291">
        <w:tc>
          <w:tcPr>
            <w:tcW w:w="0" w:type="auto"/>
            <w:shd w:val="clear" w:color="auto" w:fill="auto"/>
          </w:tcPr>
          <w:p w:rsidR="00115C60" w:rsidRPr="00557448" w:rsidRDefault="00BD62A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BD62A1"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BD62A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BD62A1" w:rsidP="00003291">
            <w:pPr>
              <w:spacing w:before="0" w:after="0"/>
              <w:rPr>
                <w:sz w:val="16"/>
                <w:szCs w:val="16"/>
              </w:rPr>
            </w:pPr>
            <w:r w:rsidRPr="00557448">
              <w:rPr>
                <w:noProof/>
                <w:sz w:val="16"/>
                <w:szCs w:val="16"/>
              </w:rPr>
              <w:t>Cooperation with EU MS as regards exchange of good practices</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BD62A1" w:rsidP="00003291">
            <w:pPr>
              <w:spacing w:before="0" w:after="0"/>
              <w:jc w:val="center"/>
              <w:rPr>
                <w:sz w:val="16"/>
                <w:szCs w:val="16"/>
              </w:rPr>
            </w:pPr>
            <w:r>
              <w:rPr>
                <w:noProof/>
                <w:sz w:val="16"/>
                <w:szCs w:val="16"/>
              </w:rPr>
              <w:t>2023</w:t>
            </w:r>
          </w:p>
        </w:tc>
      </w:tr>
    </w:tbl>
    <w:p w:rsidR="0056117D" w:rsidRDefault="00115C60" w:rsidP="00115C60">
      <w:pPr>
        <w:spacing w:before="0" w:after="0"/>
        <w:rPr>
          <w:lang w:val="fr-BE"/>
        </w:rPr>
        <w:sectPr w:rsidR="0056117D" w:rsidSect="00ED6293">
          <w:headerReference w:type="default" r:id="rId8"/>
          <w:footerReference w:type="default" r:id="rId9"/>
          <w:pgSz w:w="11906" w:h="16838"/>
          <w:pgMar w:top="284" w:right="851" w:bottom="284" w:left="284" w:header="567" w:footer="0" w:gutter="0"/>
          <w:cols w:space="708"/>
          <w:docGrid w:linePitch="360"/>
        </w:sectPr>
      </w:pPr>
      <w:r>
        <w:rPr>
          <w:lang w:val="fr-BE"/>
        </w:rPr>
        <w:t xml:space="preserve"> </w:t>
      </w:r>
    </w:p>
    <w:p w:rsidR="00115C60" w:rsidRDefault="00BD62A1" w:rsidP="00115C60">
      <w:pPr>
        <w:pStyle w:val="Naslov1"/>
        <w:numPr>
          <w:ilvl w:val="0"/>
          <w:numId w:val="0"/>
        </w:numPr>
        <w:spacing w:before="0" w:after="0"/>
      </w:pPr>
      <w:bookmarkStart w:id="3" w:name="_Toc256000004"/>
      <w:r>
        <w:rPr>
          <w:noProof/>
        </w:rPr>
        <w:lastRenderedPageBreak/>
        <w:t>ODDELEK 4: POSEBNI PRIMERI</w:t>
      </w:r>
      <w:bookmarkEnd w:id="3"/>
    </w:p>
    <w:p w:rsidR="00115C60" w:rsidRDefault="00115C60" w:rsidP="00115C60">
      <w:pPr>
        <w:spacing w:before="0" w:after="0"/>
        <w:rPr>
          <w:lang w:val="fr-BE"/>
        </w:rPr>
      </w:pPr>
    </w:p>
    <w:p w:rsidR="00115C60" w:rsidRDefault="00BD62A1" w:rsidP="00115C60">
      <w:pPr>
        <w:spacing w:before="0" w:after="0"/>
        <w:rPr>
          <w:lang w:val="fr-BE"/>
        </w:rPr>
      </w:pPr>
      <w:r>
        <w:rPr>
          <w:noProof/>
          <w:lang w:val="fr-BE"/>
        </w:rPr>
        <w:t>4.1 Preselitev</w:t>
      </w:r>
    </w:p>
    <w:p w:rsidR="00115C60" w:rsidRDefault="00225E97" w:rsidP="00225E97">
      <w:pPr>
        <w:tabs>
          <w:tab w:val="left" w:pos="14070"/>
        </w:tabs>
        <w:spacing w:before="0" w:after="0"/>
        <w:ind w:right="404"/>
        <w:rPr>
          <w:lang w:val="fr-BE"/>
        </w:rPr>
      </w:pPr>
      <w:r>
        <w:rPr>
          <w:lang w:val="fr-BE"/>
        </w:rPr>
        <w:tab/>
      </w:r>
    </w:p>
    <w:p w:rsidR="00115C60" w:rsidRDefault="00BD62A1" w:rsidP="00115C60">
      <w:pPr>
        <w:spacing w:before="0" w:after="0"/>
        <w:rPr>
          <w:lang w:val="fr-BE"/>
        </w:rPr>
      </w:pPr>
      <w:r>
        <w:rPr>
          <w:noProof/>
          <w:lang w:val="fr-BE"/>
        </w:rPr>
        <w:t>Število preseljenih oseb,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8"/>
        <w:gridCol w:w="968"/>
        <w:gridCol w:w="968"/>
        <w:gridCol w:w="968"/>
        <w:gridCol w:w="968"/>
        <w:gridCol w:w="968"/>
        <w:gridCol w:w="968"/>
        <w:gridCol w:w="968"/>
      </w:tblGrid>
      <w:tr w:rsidR="00C8670F" w:rsidTr="006D1BFF">
        <w:tc>
          <w:tcPr>
            <w:tcW w:w="0" w:type="auto"/>
            <w:shd w:val="clear" w:color="auto" w:fill="auto"/>
          </w:tcPr>
          <w:p w:rsidR="00B02E47" w:rsidRPr="00597A79" w:rsidRDefault="00BD62A1" w:rsidP="00003291">
            <w:pPr>
              <w:spacing w:before="0" w:after="0"/>
              <w:rPr>
                <w:b/>
                <w:sz w:val="16"/>
                <w:szCs w:val="16"/>
                <w:lang w:val="fr-BE"/>
              </w:rPr>
            </w:pPr>
            <w:r w:rsidRPr="00597A79">
              <w:rPr>
                <w:b/>
                <w:noProof/>
                <w:sz w:val="16"/>
                <w:szCs w:val="16"/>
                <w:lang w:val="fr-BE"/>
              </w:rPr>
              <w:t>Skupna prednostna naloga Unije na področju preselitve</w:t>
            </w:r>
          </w:p>
        </w:tc>
        <w:tc>
          <w:tcPr>
            <w:tcW w:w="0" w:type="auto"/>
            <w:shd w:val="clear" w:color="auto" w:fill="auto"/>
          </w:tcPr>
          <w:p w:rsidR="00B02E47" w:rsidRPr="00597A79" w:rsidRDefault="00BD62A1" w:rsidP="00D06E4F">
            <w:pPr>
              <w:spacing w:before="0" w:after="0"/>
              <w:jc w:val="center"/>
              <w:rPr>
                <w:b/>
                <w:sz w:val="16"/>
                <w:szCs w:val="16"/>
                <w:lang w:val="fr-BE"/>
              </w:rPr>
            </w:pPr>
            <w:r w:rsidRPr="00597A79">
              <w:rPr>
                <w:b/>
                <w:sz w:val="16"/>
                <w:szCs w:val="16"/>
                <w:lang w:val="fr-BE"/>
              </w:rPr>
              <w:t>2014</w:t>
            </w:r>
          </w:p>
        </w:tc>
        <w:tc>
          <w:tcPr>
            <w:tcW w:w="0" w:type="auto"/>
            <w:shd w:val="clear" w:color="auto" w:fill="auto"/>
          </w:tcPr>
          <w:p w:rsidR="00B02E47" w:rsidRPr="00597A79" w:rsidRDefault="00BD62A1" w:rsidP="00D06E4F">
            <w:pPr>
              <w:spacing w:before="0" w:after="0"/>
              <w:jc w:val="center"/>
              <w:rPr>
                <w:b/>
                <w:sz w:val="16"/>
                <w:szCs w:val="16"/>
                <w:lang w:val="fr-BE"/>
              </w:rPr>
            </w:pPr>
            <w:r w:rsidRPr="00597A79">
              <w:rPr>
                <w:b/>
                <w:sz w:val="16"/>
                <w:szCs w:val="16"/>
                <w:lang w:val="fr-BE"/>
              </w:rPr>
              <w:t>2015</w:t>
            </w:r>
          </w:p>
        </w:tc>
        <w:tc>
          <w:tcPr>
            <w:tcW w:w="0" w:type="auto"/>
            <w:shd w:val="clear" w:color="auto" w:fill="auto"/>
          </w:tcPr>
          <w:p w:rsidR="00B02E47" w:rsidRPr="00597A79" w:rsidRDefault="00BD62A1" w:rsidP="00D06E4F">
            <w:pPr>
              <w:spacing w:before="0" w:after="0"/>
              <w:jc w:val="center"/>
              <w:rPr>
                <w:b/>
                <w:sz w:val="16"/>
                <w:szCs w:val="16"/>
                <w:lang w:val="fr-BE"/>
              </w:rPr>
            </w:pPr>
            <w:r w:rsidRPr="00597A79">
              <w:rPr>
                <w:b/>
                <w:sz w:val="16"/>
                <w:szCs w:val="16"/>
                <w:lang w:val="fr-BE"/>
              </w:rPr>
              <w:t>2016</w:t>
            </w:r>
          </w:p>
        </w:tc>
        <w:tc>
          <w:tcPr>
            <w:tcW w:w="0" w:type="auto"/>
          </w:tcPr>
          <w:p w:rsidR="00B02E47" w:rsidRPr="00597A79" w:rsidRDefault="00BD62A1" w:rsidP="00D06E4F">
            <w:pPr>
              <w:spacing w:before="0" w:after="0"/>
              <w:jc w:val="center"/>
              <w:rPr>
                <w:b/>
                <w:sz w:val="16"/>
                <w:szCs w:val="16"/>
                <w:lang w:val="fr-BE"/>
              </w:rPr>
            </w:pPr>
            <w:r w:rsidRPr="00597A79">
              <w:rPr>
                <w:b/>
                <w:sz w:val="16"/>
                <w:szCs w:val="16"/>
                <w:lang w:val="fr-BE"/>
              </w:rPr>
              <w:t>2017</w:t>
            </w:r>
          </w:p>
        </w:tc>
        <w:tc>
          <w:tcPr>
            <w:tcW w:w="0" w:type="auto"/>
          </w:tcPr>
          <w:p w:rsidR="00B02E47" w:rsidRPr="00597A79" w:rsidRDefault="00BD62A1" w:rsidP="00D06E4F">
            <w:pPr>
              <w:spacing w:before="0" w:after="0"/>
              <w:jc w:val="center"/>
              <w:rPr>
                <w:b/>
                <w:sz w:val="16"/>
                <w:szCs w:val="16"/>
                <w:lang w:val="fr-BE"/>
              </w:rPr>
            </w:pPr>
            <w:r w:rsidRPr="00597A79">
              <w:rPr>
                <w:b/>
                <w:sz w:val="16"/>
                <w:szCs w:val="16"/>
                <w:lang w:val="fr-BE"/>
              </w:rPr>
              <w:t>2018</w:t>
            </w:r>
          </w:p>
        </w:tc>
        <w:tc>
          <w:tcPr>
            <w:tcW w:w="0" w:type="auto"/>
          </w:tcPr>
          <w:p w:rsidR="00B02E47" w:rsidRPr="00597A79" w:rsidRDefault="00BD62A1" w:rsidP="00D06E4F">
            <w:pPr>
              <w:spacing w:before="0" w:after="0"/>
              <w:jc w:val="center"/>
              <w:rPr>
                <w:b/>
                <w:sz w:val="16"/>
                <w:szCs w:val="16"/>
                <w:lang w:val="fr-BE"/>
              </w:rPr>
            </w:pPr>
            <w:r w:rsidRPr="00597A79">
              <w:rPr>
                <w:b/>
                <w:sz w:val="16"/>
                <w:szCs w:val="16"/>
                <w:lang w:val="fr-BE"/>
              </w:rPr>
              <w:t>2019</w:t>
            </w:r>
          </w:p>
        </w:tc>
        <w:tc>
          <w:tcPr>
            <w:tcW w:w="0" w:type="auto"/>
          </w:tcPr>
          <w:p w:rsidR="00B02E47" w:rsidRPr="00597A79" w:rsidRDefault="00BD62A1" w:rsidP="00D06E4F">
            <w:pPr>
              <w:spacing w:before="0" w:after="0"/>
              <w:jc w:val="center"/>
              <w:rPr>
                <w:b/>
                <w:sz w:val="16"/>
                <w:szCs w:val="16"/>
                <w:lang w:val="fr-BE"/>
              </w:rPr>
            </w:pPr>
            <w:r w:rsidRPr="00597A79">
              <w:rPr>
                <w:b/>
                <w:sz w:val="16"/>
                <w:szCs w:val="16"/>
                <w:lang w:val="fr-BE"/>
              </w:rPr>
              <w:t>2020</w:t>
            </w:r>
          </w:p>
        </w:tc>
      </w:tr>
      <w:tr w:rsidR="00C8670F" w:rsidTr="006D1BFF">
        <w:tc>
          <w:tcPr>
            <w:tcW w:w="0" w:type="auto"/>
            <w:shd w:val="clear" w:color="auto" w:fill="auto"/>
          </w:tcPr>
          <w:p w:rsidR="00B02E47" w:rsidRPr="00597A79" w:rsidRDefault="00BD62A1" w:rsidP="00003291">
            <w:pPr>
              <w:spacing w:before="0" w:after="0"/>
              <w:rPr>
                <w:sz w:val="16"/>
                <w:szCs w:val="16"/>
                <w:lang w:val="fr-BE"/>
              </w:rPr>
            </w:pPr>
            <w:r w:rsidRPr="00597A79">
              <w:rPr>
                <w:b/>
                <w:noProof/>
                <w:sz w:val="16"/>
                <w:szCs w:val="16"/>
                <w:lang w:val="fr-BE"/>
              </w:rPr>
              <w:t>Skupni seštevek</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r>
    </w:tbl>
    <w:p w:rsidR="00115C60" w:rsidRDefault="00115C60" w:rsidP="00115C60">
      <w:pPr>
        <w:spacing w:before="0" w:after="0"/>
        <w:rPr>
          <w:lang w:val="fr-BE"/>
        </w:rPr>
      </w:pPr>
    </w:p>
    <w:p w:rsidR="00115C60" w:rsidRDefault="00BD62A1" w:rsidP="00225E97">
      <w:pPr>
        <w:spacing w:before="0" w:after="0"/>
        <w:ind w:right="418"/>
        <w:rPr>
          <w:lang w:val="fr-BE"/>
        </w:rPr>
      </w:pPr>
      <w:r>
        <w:rPr>
          <w:noProof/>
          <w:lang w:val="fr-BE"/>
        </w:rPr>
        <w:t>4.2 Predaja in premestitev</w:t>
      </w:r>
    </w:p>
    <w:p w:rsidR="00115C60" w:rsidRDefault="00115C60" w:rsidP="000C0709">
      <w:pPr>
        <w:spacing w:before="0" w:after="0"/>
        <w:ind w:right="395"/>
        <w:rPr>
          <w:lang w:val="fr-BE"/>
        </w:rPr>
      </w:pPr>
    </w:p>
    <w:p w:rsidR="00115C60" w:rsidRDefault="00BD62A1" w:rsidP="00225E97">
      <w:pPr>
        <w:tabs>
          <w:tab w:val="right" w:pos="15309"/>
        </w:tabs>
        <w:spacing w:before="0" w:after="0"/>
        <w:rPr>
          <w:lang w:val="fr-BE"/>
        </w:rPr>
      </w:pPr>
      <w:r>
        <w:rPr>
          <w:noProof/>
          <w:lang w:val="fr-BE"/>
        </w:rPr>
        <w:t xml:space="preserve">Število </w:t>
      </w:r>
      <w:r>
        <w:rPr>
          <w:noProof/>
          <w:lang w:val="fr-BE"/>
        </w:rPr>
        <w:t>predanih in premeščenih prosilcev na obdobje zaveze, kot je navedeno v obračunih</w:t>
      </w:r>
      <w:r w:rsidR="00225E97">
        <w:rPr>
          <w:lang w:val="fr-BE"/>
        </w:rPr>
        <w:tab/>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278"/>
        <w:gridCol w:w="1204"/>
        <w:gridCol w:w="3613"/>
        <w:gridCol w:w="3613"/>
        <w:gridCol w:w="3613"/>
      </w:tblGrid>
      <w:tr w:rsidR="00C8670F" w:rsidTr="00003291">
        <w:tc>
          <w:tcPr>
            <w:tcW w:w="0" w:type="auto"/>
            <w:shd w:val="clear" w:color="auto" w:fill="auto"/>
          </w:tcPr>
          <w:p w:rsidR="00115C60" w:rsidRPr="00F65BC9" w:rsidRDefault="00BD62A1" w:rsidP="00003291">
            <w:pPr>
              <w:spacing w:before="0" w:after="0"/>
              <w:rPr>
                <w:b/>
                <w:sz w:val="20"/>
                <w:szCs w:val="20"/>
                <w:lang w:val="fr-BE"/>
              </w:rPr>
            </w:pPr>
            <w:r w:rsidRPr="00F65BC9">
              <w:rPr>
                <w:b/>
                <w:noProof/>
                <w:sz w:val="20"/>
                <w:szCs w:val="20"/>
                <w:lang w:val="fr-BE"/>
              </w:rPr>
              <w:t>Vrsta</w:t>
            </w:r>
          </w:p>
        </w:tc>
        <w:tc>
          <w:tcPr>
            <w:tcW w:w="0" w:type="auto"/>
            <w:shd w:val="clear" w:color="auto" w:fill="auto"/>
          </w:tcPr>
          <w:p w:rsidR="00115C60" w:rsidRPr="00F65BC9" w:rsidRDefault="00BD62A1" w:rsidP="00003291">
            <w:pPr>
              <w:spacing w:before="0" w:after="0"/>
              <w:rPr>
                <w:b/>
                <w:sz w:val="20"/>
                <w:szCs w:val="20"/>
                <w:lang w:val="fr-BE"/>
              </w:rPr>
            </w:pPr>
            <w:r w:rsidRPr="00F65BC9">
              <w:rPr>
                <w:b/>
                <w:noProof/>
                <w:sz w:val="20"/>
                <w:szCs w:val="20"/>
                <w:lang w:val="fr-BE"/>
              </w:rPr>
              <w:t>Iz</w:t>
            </w:r>
          </w:p>
        </w:tc>
        <w:tc>
          <w:tcPr>
            <w:tcW w:w="0" w:type="auto"/>
            <w:shd w:val="clear" w:color="auto" w:fill="auto"/>
          </w:tcPr>
          <w:p w:rsidR="00115C60" w:rsidRPr="00F65BC9" w:rsidRDefault="00BD62A1" w:rsidP="00003291">
            <w:pPr>
              <w:spacing w:before="0" w:after="0"/>
              <w:rPr>
                <w:b/>
                <w:sz w:val="20"/>
                <w:szCs w:val="20"/>
                <w:lang w:val="fr-BE"/>
              </w:rPr>
            </w:pPr>
            <w:r w:rsidRPr="00F65BC9">
              <w:rPr>
                <w:b/>
                <w:noProof/>
                <w:sz w:val="20"/>
                <w:szCs w:val="20"/>
                <w:lang w:val="fr-BE"/>
              </w:rPr>
              <w:t>V</w:t>
            </w:r>
          </w:p>
        </w:tc>
        <w:tc>
          <w:tcPr>
            <w:tcW w:w="0" w:type="auto"/>
            <w:shd w:val="clear" w:color="auto" w:fill="auto"/>
          </w:tcPr>
          <w:p w:rsidR="00115C60" w:rsidRPr="00F65BC9" w:rsidRDefault="00BD62A1"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BD62A1"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BD62A1"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115C60" w:rsidRDefault="00BD62A1" w:rsidP="00115C60">
      <w:pPr>
        <w:spacing w:before="0" w:after="0"/>
        <w:rPr>
          <w:lang w:val="fr-BE"/>
        </w:rPr>
      </w:pPr>
      <w:r>
        <w:rPr>
          <w:noProof/>
          <w:lang w:val="fr-BE"/>
        </w:rPr>
        <w:t>4.3 Sprejem iz Turčije (2016/1754)</w:t>
      </w:r>
    </w:p>
    <w:p w:rsidR="00115C60" w:rsidRDefault="00115C60" w:rsidP="00115C60">
      <w:pPr>
        <w:spacing w:before="0" w:after="0"/>
        <w:rPr>
          <w:lang w:val="fr-BE"/>
        </w:rPr>
      </w:pPr>
    </w:p>
    <w:p w:rsidR="00115C60" w:rsidRDefault="00BD62A1" w:rsidP="00115C60">
      <w:pPr>
        <w:spacing w:before="0" w:after="0"/>
        <w:rPr>
          <w:lang w:val="fr-BE"/>
        </w:rPr>
      </w:pPr>
      <w:r>
        <w:rPr>
          <w:noProof/>
          <w:lang w:val="fr-BE"/>
        </w:rPr>
        <w:t>Število sprejetih prosilcev iz Turčije na obdobje zaveze,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gridCol w:w="5212"/>
      </w:tblGrid>
      <w:tr w:rsidR="00C8670F" w:rsidTr="00003291">
        <w:tc>
          <w:tcPr>
            <w:tcW w:w="0" w:type="auto"/>
            <w:shd w:val="clear" w:color="auto" w:fill="auto"/>
          </w:tcPr>
          <w:p w:rsidR="00115C60" w:rsidRPr="00F65BC9" w:rsidRDefault="00BD62A1" w:rsidP="0056117D">
            <w:pPr>
              <w:spacing w:before="0" w:after="0"/>
              <w:jc w:val="center"/>
              <w:rPr>
                <w:b/>
                <w:sz w:val="20"/>
                <w:szCs w:val="20"/>
                <w:lang w:val="fr-BE"/>
              </w:rPr>
            </w:pPr>
            <w:r w:rsidRPr="00F65BC9">
              <w:rPr>
                <w:b/>
                <w:sz w:val="20"/>
                <w:szCs w:val="20"/>
                <w:lang w:val="fr-BE"/>
              </w:rPr>
              <w:t>2</w:t>
            </w:r>
            <w:r w:rsidRPr="00F65BC9">
              <w:rPr>
                <w:b/>
                <w:sz w:val="20"/>
                <w:szCs w:val="20"/>
                <w:lang w:val="fr-BE"/>
              </w:rPr>
              <w:t>014-2015</w:t>
            </w:r>
          </w:p>
        </w:tc>
        <w:tc>
          <w:tcPr>
            <w:tcW w:w="0" w:type="auto"/>
            <w:shd w:val="clear" w:color="auto" w:fill="auto"/>
          </w:tcPr>
          <w:p w:rsidR="00115C60" w:rsidRPr="00F65BC9" w:rsidRDefault="00BD62A1"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BD62A1"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56117D" w:rsidRDefault="0056117D" w:rsidP="00115C60">
      <w:pPr>
        <w:pStyle w:val="Naslov1"/>
        <w:numPr>
          <w:ilvl w:val="0"/>
          <w:numId w:val="0"/>
        </w:numPr>
        <w:spacing w:before="0" w:after="0"/>
        <w:rPr>
          <w:lang w:val="fr-BE"/>
        </w:rPr>
        <w:sectPr w:rsidR="0056117D" w:rsidSect="00AB614B">
          <w:headerReference w:type="default" r:id="rId10"/>
          <w:footerReference w:type="default" r:id="rId11"/>
          <w:pgSz w:w="16838" w:h="11906" w:orient="landscape"/>
          <w:pgMar w:top="0" w:right="567" w:bottom="0" w:left="851" w:header="0" w:footer="284" w:gutter="0"/>
          <w:cols w:space="708"/>
          <w:docGrid w:linePitch="360"/>
        </w:sectPr>
      </w:pPr>
    </w:p>
    <w:p w:rsidR="00115C60" w:rsidRDefault="00BD62A1" w:rsidP="00115C60">
      <w:pPr>
        <w:pStyle w:val="Naslov1"/>
        <w:numPr>
          <w:ilvl w:val="0"/>
          <w:numId w:val="0"/>
        </w:numPr>
        <w:spacing w:before="0" w:after="0"/>
        <w:rPr>
          <w:lang w:val="fr-BE"/>
        </w:rPr>
      </w:pPr>
      <w:bookmarkStart w:id="4" w:name="_Toc256000005"/>
      <w:r>
        <w:rPr>
          <w:noProof/>
          <w:lang w:val="fr-BE"/>
        </w:rPr>
        <w:lastRenderedPageBreak/>
        <w:t>ODDELEK 5: SKUPNI KAZALNIKI IN KAZALNIKI ZA POSAMEZNE PROGRAME</w:t>
      </w:r>
      <w:bookmarkEnd w:id="4"/>
    </w:p>
    <w:p w:rsidR="00115C60" w:rsidRDefault="00115C60" w:rsidP="00115C60">
      <w:pPr>
        <w:spacing w:before="0" w:after="0"/>
        <w:rPr>
          <w:lang w:val="fr-BE"/>
        </w:rPr>
      </w:pPr>
    </w:p>
    <w:p w:rsidR="00115C60" w:rsidRDefault="00BD62A1" w:rsidP="00115C60">
      <w:pPr>
        <w:spacing w:before="0" w:after="0"/>
        <w:rPr>
          <w:lang w:val="fr-BE"/>
        </w:rPr>
      </w:pPr>
      <w:r>
        <w:rPr>
          <w:noProof/>
          <w:lang w:val="fr-BE"/>
        </w:rPr>
        <w:t>Razložite morebitne dejavnike, ki bi lahko znatno vplivali na doseganje katerih koli ciljev, zlasti p</w:t>
      </w:r>
      <w:r>
        <w:rPr>
          <w:noProof/>
          <w:lang w:val="fr-BE"/>
        </w:rPr>
        <w:t>a prepočasen napredek.</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C8670F" w:rsidTr="00003291">
        <w:tc>
          <w:tcPr>
            <w:tcW w:w="0" w:type="auto"/>
            <w:shd w:val="clear" w:color="auto" w:fill="auto"/>
          </w:tcPr>
          <w:p w:rsidR="00C8670F" w:rsidRDefault="00BD62A1">
            <w:pPr>
              <w:spacing w:before="0" w:after="240"/>
              <w:jc w:val="left"/>
            </w:pPr>
            <w:r>
              <w:t xml:space="preserve">Dne 15.12.2015 je bil potrjen nacionalni program Republike Slovenije za podporo iz Sklada AMIF za obdobje 2014–2020, Odgovorni organ je bil imenovan konec avgusta 2015, akcijski načrt (s katerim so se sredstva znotraj sklada AMIF </w:t>
            </w:r>
            <w:r>
              <w:t>razporedila med končne upravičence) pa je bil potrjen 2.12.2015.</w:t>
            </w:r>
          </w:p>
          <w:p w:rsidR="00C8670F" w:rsidRDefault="00BD62A1">
            <w:pPr>
              <w:spacing w:before="240" w:after="240"/>
              <w:jc w:val="left"/>
            </w:pPr>
            <w:r>
              <w:t xml:space="preserve">Nekateri projekti so se v skladu z obdobjem upravičenosti začeli izvajati že v začetku leta 2015, kar je bilo omogočeno s strani zalaganja sredstev s strani slovenskega proračuna, večina </w:t>
            </w:r>
            <w:r>
              <w:t> projektov pa se je do konca junija 2015 izvajala v sklopu letnega programa 2013 - SOLID.</w:t>
            </w:r>
          </w:p>
          <w:p w:rsidR="00C8670F" w:rsidRDefault="00BD62A1">
            <w:pPr>
              <w:spacing w:before="240" w:after="240"/>
              <w:jc w:val="left"/>
            </w:pPr>
            <w:r>
              <w:t>Alokacija sredstev za leto 2015 je bila končnim upravičencem načrtovana v skladu s potrjenim Akcijskim načrtom preko naposredne dodelitve in javnih razpisov. Zaradi z</w:t>
            </w:r>
            <w:r>
              <w:t>amude pri vzpostavitvi informacijske sistema MIGRA II za finančno in vsebinsko spremljanje skladov se je priprava zahtevkov za povračilo začela izvajati šele v drugi polovici leta 2016, kjer končni uporabniki poročajo o natačno doseženih kazalnikih.</w:t>
            </w:r>
          </w:p>
          <w:p w:rsidR="00C8670F" w:rsidRDefault="00BD62A1">
            <w:pPr>
              <w:spacing w:before="240" w:after="240"/>
              <w:jc w:val="left"/>
            </w:pPr>
            <w:r>
              <w:t> </w:t>
            </w:r>
          </w:p>
          <w:p w:rsidR="00754FB5" w:rsidRPr="00003291" w:rsidRDefault="00754FB5" w:rsidP="00003291">
            <w:pPr>
              <w:spacing w:before="0" w:after="0"/>
              <w:rPr>
                <w:lang w:val="fr-BE"/>
              </w:rPr>
            </w:pPr>
          </w:p>
        </w:tc>
      </w:tr>
    </w:tbl>
    <w:p w:rsidR="00115C60" w:rsidRDefault="00115C60" w:rsidP="00115C60">
      <w:pPr>
        <w:spacing w:before="0" w:after="0"/>
        <w:rPr>
          <w:lang w:val="fr-BE"/>
        </w:rPr>
      </w:pPr>
    </w:p>
    <w:p w:rsidR="00115C60" w:rsidRDefault="00115C60" w:rsidP="00115C60">
      <w:pPr>
        <w:spacing w:before="0" w:after="0"/>
        <w:rPr>
          <w:lang w:val="fr-BE"/>
        </w:rPr>
        <w:sectPr w:rsidR="00115C60" w:rsidSect="0099233A">
          <w:headerReference w:type="default" r:id="rId12"/>
          <w:footerReference w:type="default" r:id="rId13"/>
          <w:pgSz w:w="11906" w:h="16838"/>
          <w:pgMar w:top="284" w:right="851" w:bottom="284" w:left="284" w:header="567" w:footer="0" w:gutter="0"/>
          <w:cols w:space="708"/>
          <w:docGrid w:linePitch="360"/>
        </w:sectPr>
      </w:pPr>
    </w:p>
    <w:p w:rsidR="00FC3B62" w:rsidRDefault="00115C60" w:rsidP="00115C60">
      <w:pPr>
        <w:spacing w:before="0" w:after="0"/>
        <w:rPr>
          <w:lang w:val="fr-BE"/>
        </w:rPr>
      </w:pPr>
      <w:r>
        <w:rPr>
          <w:noProof/>
          <w:lang w:val="fr-BE"/>
        </w:rPr>
        <w:lastRenderedPageBreak/>
        <w:t>Preglednica kazalnikov</w:t>
      </w:r>
    </w:p>
    <w:p w:rsidR="00813BAD" w:rsidRDefault="00813BAD"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629"/>
        <w:gridCol w:w="854"/>
        <w:gridCol w:w="697"/>
        <w:gridCol w:w="2388"/>
        <w:gridCol w:w="354"/>
        <w:gridCol w:w="354"/>
        <w:gridCol w:w="354"/>
        <w:gridCol w:w="354"/>
        <w:gridCol w:w="354"/>
        <w:gridCol w:w="354"/>
        <w:gridCol w:w="354"/>
        <w:gridCol w:w="354"/>
        <w:gridCol w:w="354"/>
        <w:gridCol w:w="354"/>
        <w:gridCol w:w="942"/>
      </w:tblGrid>
      <w:tr w:rsidR="00C8670F" w:rsidTr="00003291">
        <w:trPr>
          <w:cantSplit/>
          <w:tblHeader/>
        </w:trPr>
        <w:tc>
          <w:tcPr>
            <w:tcW w:w="0" w:type="auto"/>
            <w:gridSpan w:val="2"/>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BD62A1"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R="00C8670F" w:rsidTr="00003291">
        <w:trPr>
          <w:cantSplit/>
          <w:tblHeader/>
        </w:trPr>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BD62A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Kumulativno skupaj</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oseb iz </w:t>
            </w:r>
            <w:r w:rsidRPr="00F07BE5">
              <w:rPr>
                <w:noProof/>
                <w:sz w:val="12"/>
                <w:szCs w:val="12"/>
                <w:lang w:val="fr-BE"/>
              </w:rPr>
              <w:t>ciljnih skupin, ki so prejele pomoč iz projektov na področju sistemov za sprejem in azilnih sistemov, podprtih iz tega sklada</w:t>
            </w:r>
            <w:r>
              <w:rPr>
                <w:noProof/>
                <w:sz w:val="12"/>
                <w:szCs w:val="12"/>
                <w:lang w:val="fr-BE"/>
              </w:rPr>
              <w:t>734655</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2.100,00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 xml:space="preserve">Število oseb iz ciljnih skupin, ki </w:t>
            </w:r>
            <w:r w:rsidRPr="00F07BE5">
              <w:rPr>
                <w:noProof/>
                <w:sz w:val="12"/>
                <w:szCs w:val="12"/>
                <w:lang w:val="fr-BE"/>
              </w:rPr>
              <w:t>prejemajo informacije in pomoč med celotnim azilnim postopkom</w:t>
            </w:r>
            <w:r>
              <w:rPr>
                <w:noProof/>
                <w:sz w:val="12"/>
                <w:szCs w:val="12"/>
                <w:lang w:val="fr-BE"/>
              </w:rPr>
              <w:t>39844818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oseb iz ciljnih skupin, ki prejemajo pravno pomoč in zastopanje</w:t>
            </w:r>
            <w:r>
              <w:rPr>
                <w:noProof/>
                <w:sz w:val="12"/>
                <w:szCs w:val="12"/>
                <w:lang w:val="fr-BE"/>
              </w:rPr>
              <w:t>39844868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 prejemajo posebno pomoč</w:t>
            </w:r>
            <w:r>
              <w:rPr>
                <w:noProof/>
                <w:sz w:val="12"/>
                <w:szCs w:val="12"/>
                <w:lang w:val="fr-BE"/>
              </w:rPr>
              <w:t>39844918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 xml:space="preserve">Zmogljivost (tj. število mest) nove sprejemne nastanitvene infrastrukture, urejene v skladu z </w:t>
            </w:r>
            <w:r w:rsidRPr="00F07BE5">
              <w:rPr>
                <w:noProof/>
                <w:sz w:val="12"/>
                <w:szCs w:val="12"/>
                <w:lang w:val="fr-BE"/>
              </w:rPr>
              <w:t>minimalnimi zahtevami za sprejemne pogoje, določenimi v pravnem redu EU, in obstoječe sprejemne infrastrukture, izboljšane v skladu z istimi zahtevami na podlagi projektov, podprtih iz tega sklada</w:t>
            </w:r>
            <w:r>
              <w:rPr>
                <w:noProof/>
                <w:sz w:val="12"/>
                <w:szCs w:val="12"/>
                <w:lang w:val="fr-BE"/>
              </w:rPr>
              <w:t>734656</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203,00</w:t>
            </w:r>
          </w:p>
        </w:tc>
        <w:tc>
          <w:tcPr>
            <w:tcW w:w="0" w:type="auto"/>
          </w:tcPr>
          <w:p w:rsidR="00115C60" w:rsidRPr="003F352C" w:rsidRDefault="00BD62A1"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Delež glede na celotno sprejemno nastanitveno zmogljivost</w:t>
            </w:r>
            <w:r>
              <w:rPr>
                <w:noProof/>
                <w:sz w:val="12"/>
                <w:szCs w:val="12"/>
                <w:lang w:val="fr-BE"/>
              </w:rPr>
              <w:t>860653</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BD62A1" w:rsidP="00003291">
            <w:pPr>
              <w:spacing w:before="0" w:after="0"/>
              <w:rPr>
                <w:sz w:val="10"/>
                <w:szCs w:val="10"/>
                <w:lang w:val="fr-BE"/>
              </w:rPr>
            </w:pPr>
            <w:r>
              <w:rPr>
                <w:noProof/>
                <w:sz w:val="10"/>
                <w:szCs w:val="10"/>
                <w:lang w:val="fr-BE"/>
              </w:rPr>
              <w:t xml:space="preserve">Poročanje o projektuProject reporting on improvement of </w:t>
            </w:r>
            <w:r>
              <w:rPr>
                <w:noProof/>
                <w:sz w:val="10"/>
                <w:szCs w:val="10"/>
                <w:lang w:val="fr-BE"/>
              </w:rPr>
              <w:t>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oseb, usposobljenih na področju vprašanj, povezanih z azilom, ki prejemajo pomoč iz sklada</w:t>
            </w:r>
            <w:r>
              <w:rPr>
                <w:noProof/>
                <w:sz w:val="12"/>
                <w:szCs w:val="12"/>
                <w:lang w:val="fr-BE"/>
              </w:rPr>
              <w:t>734657</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140,00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To število kot delež celotnega števila osebja, usposobljenega na področju teh vprašanj</w:t>
            </w:r>
            <w:r>
              <w:rPr>
                <w:noProof/>
                <w:sz w:val="12"/>
                <w:szCs w:val="12"/>
                <w:lang w:val="fr-BE"/>
              </w:rPr>
              <w:t>734658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67,00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informativnih produktov o državi izvora in misij za ugotavljanje </w:t>
            </w:r>
            <w:r w:rsidRPr="00F07BE5">
              <w:rPr>
                <w:noProof/>
                <w:sz w:val="12"/>
                <w:szCs w:val="12"/>
                <w:lang w:val="fr-BE"/>
              </w:rPr>
              <w:t>dejstev, izvedenih s pomočjo iz sklada</w:t>
            </w:r>
            <w:r>
              <w:rPr>
                <w:noProof/>
                <w:sz w:val="12"/>
                <w:szCs w:val="12"/>
                <w:lang w:val="fr-BE"/>
              </w:rPr>
              <w:t>860869</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v okviru tega sklada, namenjenih razvoju, spremljanju in ocenjevanju azilnih politik v državah članicah</w:t>
            </w:r>
            <w:r>
              <w:rPr>
                <w:noProof/>
                <w:sz w:val="12"/>
                <w:szCs w:val="12"/>
                <w:lang w:val="fr-BE"/>
              </w:rPr>
              <w:t>734659</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3,00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r>
              <w:rPr>
                <w:noProof/>
                <w:sz w:val="12"/>
                <w:szCs w:val="12"/>
                <w:lang w:val="fr-BE"/>
              </w:rPr>
              <w:t>734660</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20,00</w:t>
            </w:r>
          </w:p>
        </w:tc>
        <w:tc>
          <w:tcPr>
            <w:tcW w:w="0" w:type="auto"/>
          </w:tcPr>
          <w:p w:rsidR="00115C60" w:rsidRPr="003F352C" w:rsidRDefault="00BD62A1" w:rsidP="00003291">
            <w:pPr>
              <w:spacing w:before="0" w:after="0"/>
              <w:rPr>
                <w:sz w:val="10"/>
                <w:szCs w:val="10"/>
                <w:lang w:val="fr-BE"/>
              </w:rPr>
            </w:pPr>
            <w:r>
              <w:rPr>
                <w:noProof/>
                <w:sz w:val="10"/>
                <w:szCs w:val="10"/>
                <w:lang w:val="fr-BE"/>
              </w:rPr>
              <w:t>Organ, odgovoren za premestitev osebAuthority in charge of transferring the persons</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506"/>
        <w:gridCol w:w="666"/>
        <w:gridCol w:w="911"/>
        <w:gridCol w:w="739"/>
        <w:gridCol w:w="1185"/>
        <w:gridCol w:w="354"/>
        <w:gridCol w:w="354"/>
        <w:gridCol w:w="354"/>
        <w:gridCol w:w="354"/>
        <w:gridCol w:w="354"/>
        <w:gridCol w:w="354"/>
        <w:gridCol w:w="354"/>
        <w:gridCol w:w="354"/>
        <w:gridCol w:w="354"/>
        <w:gridCol w:w="354"/>
        <w:gridCol w:w="987"/>
      </w:tblGrid>
      <w:tr w:rsidR="00C8670F" w:rsidTr="00003291">
        <w:trPr>
          <w:cantSplit/>
          <w:tblHeader/>
        </w:trPr>
        <w:tc>
          <w:tcPr>
            <w:tcW w:w="0" w:type="auto"/>
            <w:gridSpan w:val="2"/>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 xml:space="preserve">Posebni </w:t>
            </w:r>
            <w:r w:rsidRPr="00F07BE5">
              <w:rPr>
                <w:b/>
                <w:noProof/>
                <w:sz w:val="12"/>
                <w:szCs w:val="12"/>
                <w:lang w:val="fr-BE"/>
              </w:rPr>
              <w:t>cilj</w:t>
            </w:r>
          </w:p>
        </w:tc>
        <w:tc>
          <w:tcPr>
            <w:tcW w:w="0" w:type="auto"/>
            <w:gridSpan w:val="14"/>
            <w:shd w:val="clear" w:color="auto" w:fill="auto"/>
          </w:tcPr>
          <w:p w:rsidR="00115C60" w:rsidRPr="00F07BE5" w:rsidRDefault="00BD62A1"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R="00C8670F" w:rsidTr="00003291">
        <w:trPr>
          <w:cantSplit/>
          <w:tblHeader/>
        </w:trPr>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BD62A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Kumulativno skupaj</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oseb iz ciljnih skupin, ki so sodelovale pri ukrepih </w:t>
            </w:r>
            <w:r w:rsidRPr="00F07BE5">
              <w:rPr>
                <w:noProof/>
                <w:sz w:val="12"/>
                <w:szCs w:val="12"/>
                <w:lang w:val="fr-BE"/>
              </w:rPr>
              <w:t>pred odhodom, podprtih iz tega sklada</w:t>
            </w:r>
            <w:r>
              <w:rPr>
                <w:noProof/>
                <w:sz w:val="12"/>
                <w:szCs w:val="12"/>
                <w:lang w:val="fr-BE"/>
              </w:rPr>
              <w:t>734661</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oseb iz ciljnih skupin, ki so prejele pomoč iz tega sklada prek ukrepov za vključevanje v okviru nacionalnih, lokalnih in </w:t>
            </w:r>
            <w:r w:rsidRPr="00F07BE5">
              <w:rPr>
                <w:noProof/>
                <w:sz w:val="12"/>
                <w:szCs w:val="12"/>
                <w:lang w:val="fr-BE"/>
              </w:rPr>
              <w:t>regionalnih strategij</w:t>
            </w:r>
            <w:r>
              <w:rPr>
                <w:noProof/>
                <w:sz w:val="12"/>
                <w:szCs w:val="12"/>
                <w:lang w:val="fr-BE"/>
              </w:rPr>
              <w:t>734662</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13.000,00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 xml:space="preserve">Število oseb iz ciljnih skupin, ki so prejele pomoč prek ukrepov, namenjenih izobraževanju in usposabljanju, vključno z jezikovnim </w:t>
            </w:r>
            <w:r w:rsidRPr="00F07BE5">
              <w:rPr>
                <w:noProof/>
                <w:sz w:val="12"/>
                <w:szCs w:val="12"/>
                <w:lang w:val="fr-BE"/>
              </w:rPr>
              <w:t>usposabljanjem in pripravljalnimi ukrepi za lažji dostop do trga dela</w:t>
            </w:r>
            <w:r>
              <w:rPr>
                <w:noProof/>
                <w:sz w:val="12"/>
                <w:szCs w:val="12"/>
                <w:lang w:val="fr-BE"/>
              </w:rPr>
              <w:t>39844968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 xml:space="preserve">Število oseb iz ciljnih skupin, ki so prejele svetovanje in pomoč na področju nastanitve, sredstev za preživetje, </w:t>
            </w:r>
            <w:r w:rsidRPr="00F07BE5">
              <w:rPr>
                <w:noProof/>
                <w:sz w:val="12"/>
                <w:szCs w:val="12"/>
                <w:lang w:val="fr-BE"/>
              </w:rPr>
              <w:t>upravnih zadev in pravnega svetovanja</w:t>
            </w:r>
            <w:r>
              <w:rPr>
                <w:noProof/>
                <w:sz w:val="12"/>
                <w:szCs w:val="12"/>
                <w:lang w:val="fr-BE"/>
              </w:rPr>
              <w:t>39845018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Število oseb iz ciljnih skupin, ki so prejele zdravstveno in psihološko pomoč</w:t>
            </w:r>
            <w:r>
              <w:rPr>
                <w:noProof/>
                <w:sz w:val="12"/>
                <w:szCs w:val="12"/>
                <w:lang w:val="fr-BE"/>
              </w:rPr>
              <w:t>39845068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oseb iz ciljnih skupin, ki so prejele pomoč prek ukrepov, povezanih z demokratično udeležbo</w:t>
            </w:r>
            <w:r>
              <w:rPr>
                <w:noProof/>
                <w:sz w:val="12"/>
                <w:szCs w:val="12"/>
                <w:lang w:val="fr-BE"/>
              </w:rPr>
              <w:t>39845118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vzpostavljenih lokalnih, regionalnih in nacionalnih političnih okvirov / ukrepov / orodij za</w:t>
            </w:r>
            <w:r w:rsidRPr="00F07BE5">
              <w:rPr>
                <w:noProof/>
                <w:sz w:val="12"/>
                <w:szCs w:val="12"/>
                <w:lang w:val="fr-BE"/>
              </w:rPr>
              <w:t xml:space="preserve"> vključevanje državljanov tretjih držav, pri katerih sodelujejo civilna družba, skupnosti migrantov in drugi zadevni deležniki, kot posledica ukrepov, podprtih iz tega sklada</w:t>
            </w:r>
            <w:r>
              <w:rPr>
                <w:noProof/>
                <w:sz w:val="12"/>
                <w:szCs w:val="12"/>
                <w:lang w:val="fr-BE"/>
              </w:rPr>
              <w:t>734663</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28,00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sodelovanja z drugimi državami članicami glede vključevanja državljanov tretjih držav, podprtih iz tega sklada</w:t>
            </w:r>
            <w:r>
              <w:rPr>
                <w:noProof/>
                <w:sz w:val="12"/>
                <w:szCs w:val="12"/>
                <w:lang w:val="fr-BE"/>
              </w:rPr>
              <w:t>734664</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projektov, podprtih iz tega </w:t>
            </w:r>
            <w:r w:rsidRPr="00F07BE5">
              <w:rPr>
                <w:noProof/>
                <w:sz w:val="12"/>
                <w:szCs w:val="12"/>
                <w:lang w:val="fr-BE"/>
              </w:rPr>
              <w:t>sklada, namenjenih razvoju, spremljanju in ocenjevanju politik vključevanja v državah članicah</w:t>
            </w:r>
            <w:r>
              <w:rPr>
                <w:noProof/>
                <w:sz w:val="12"/>
                <w:szCs w:val="12"/>
                <w:lang w:val="fr-BE"/>
              </w:rPr>
              <w:t>860903</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3,00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3"/>
        <w:gridCol w:w="798"/>
        <w:gridCol w:w="1114"/>
        <w:gridCol w:w="888"/>
        <w:gridCol w:w="1564"/>
        <w:gridCol w:w="354"/>
        <w:gridCol w:w="354"/>
        <w:gridCol w:w="354"/>
        <w:gridCol w:w="354"/>
        <w:gridCol w:w="354"/>
        <w:gridCol w:w="354"/>
        <w:gridCol w:w="354"/>
        <w:gridCol w:w="354"/>
        <w:gridCol w:w="354"/>
        <w:gridCol w:w="354"/>
        <w:gridCol w:w="1147"/>
      </w:tblGrid>
      <w:tr w:rsidR="00C8670F" w:rsidTr="00003291">
        <w:trPr>
          <w:cantSplit/>
          <w:tblHeader/>
        </w:trPr>
        <w:tc>
          <w:tcPr>
            <w:tcW w:w="0" w:type="auto"/>
            <w:gridSpan w:val="2"/>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BD62A1"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R="00C8670F" w:rsidTr="00003291">
        <w:trPr>
          <w:cantSplit/>
          <w:tblHeader/>
        </w:trPr>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BD62A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Kumulativno skupaj</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r>
              <w:rPr>
                <w:noProof/>
                <w:sz w:val="12"/>
                <w:szCs w:val="12"/>
                <w:lang w:val="fr-BE"/>
              </w:rPr>
              <w:t>734665</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150,00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povratnikov, ki so prejeli pomoč za ponovno vključevanje pred ali po vrnitvi, sofinancirano iz sklada</w:t>
            </w:r>
            <w:r>
              <w:rPr>
                <w:noProof/>
                <w:sz w:val="12"/>
                <w:szCs w:val="12"/>
                <w:lang w:val="fr-BE"/>
              </w:rPr>
              <w:t>734666</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500,00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povratnikov, katerih vrnitev se je sofinancirala iz </w:t>
            </w:r>
            <w:r w:rsidRPr="00F07BE5">
              <w:rPr>
                <w:noProof/>
                <w:sz w:val="12"/>
                <w:szCs w:val="12"/>
                <w:lang w:val="fr-BE"/>
              </w:rPr>
              <w:t>sklada – osebe, ki so se vrnile prostovoljno</w:t>
            </w:r>
            <w:r>
              <w:rPr>
                <w:noProof/>
                <w:sz w:val="12"/>
                <w:szCs w:val="12"/>
                <w:lang w:val="fr-BE"/>
              </w:rPr>
              <w:t>734667</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1.000,00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povratnikov, katerih vrnitev se je sofinancirala iz sklada – osebe, ki so bile odstranjene</w:t>
            </w:r>
            <w:r>
              <w:rPr>
                <w:noProof/>
                <w:sz w:val="12"/>
                <w:szCs w:val="12"/>
                <w:lang w:val="fr-BE"/>
              </w:rPr>
              <w:t>734668</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nadzorovanih postopkov odstranitve, sofinanciranih iz sklada</w:t>
            </w:r>
            <w:r>
              <w:rPr>
                <w:noProof/>
                <w:sz w:val="12"/>
                <w:szCs w:val="12"/>
                <w:lang w:val="fr-BE"/>
              </w:rPr>
              <w:t>860906</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 xml:space="preserve">Število projektov, podprtih iz tega </w:t>
            </w:r>
            <w:r w:rsidRPr="00F07BE5">
              <w:rPr>
                <w:noProof/>
                <w:sz w:val="12"/>
                <w:szCs w:val="12"/>
                <w:lang w:val="fr-BE"/>
              </w:rPr>
              <w:t>sklada, namenjenih razvoju, spremljanju in ocenjevanju politik vračanja v državah članicah.</w:t>
            </w:r>
            <w:r>
              <w:rPr>
                <w:noProof/>
                <w:sz w:val="12"/>
                <w:szCs w:val="12"/>
                <w:lang w:val="fr-BE"/>
              </w:rPr>
              <w:t>8002511</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091"/>
        <w:gridCol w:w="733"/>
        <w:gridCol w:w="1014"/>
        <w:gridCol w:w="815"/>
        <w:gridCol w:w="2272"/>
        <w:gridCol w:w="354"/>
        <w:gridCol w:w="354"/>
        <w:gridCol w:w="354"/>
        <w:gridCol w:w="354"/>
        <w:gridCol w:w="354"/>
        <w:gridCol w:w="354"/>
        <w:gridCol w:w="354"/>
        <w:gridCol w:w="354"/>
        <w:gridCol w:w="354"/>
        <w:gridCol w:w="354"/>
        <w:gridCol w:w="1069"/>
      </w:tblGrid>
      <w:tr w:rsidR="00C8670F" w:rsidTr="00003291">
        <w:trPr>
          <w:cantSplit/>
          <w:tblHeader/>
        </w:trPr>
        <w:tc>
          <w:tcPr>
            <w:tcW w:w="0" w:type="auto"/>
            <w:gridSpan w:val="2"/>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BD62A1"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R="00C8670F" w:rsidTr="00003291">
        <w:trPr>
          <w:cantSplit/>
          <w:tblHeader/>
        </w:trPr>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 xml:space="preserve">Ciljna </w:t>
            </w:r>
            <w:r w:rsidRPr="00F07BE5">
              <w:rPr>
                <w:b/>
                <w:noProof/>
                <w:sz w:val="12"/>
                <w:szCs w:val="12"/>
                <w:lang w:val="fr-BE"/>
              </w:rPr>
              <w:t>vrednost</w:t>
            </w:r>
          </w:p>
        </w:tc>
        <w:tc>
          <w:tcPr>
            <w:tcW w:w="0" w:type="auto"/>
          </w:tcPr>
          <w:p w:rsidR="00115C60" w:rsidRPr="00F07BE5" w:rsidRDefault="00BD62A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BD62A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BD62A1" w:rsidP="00003291">
            <w:pPr>
              <w:spacing w:before="0" w:after="0"/>
              <w:rPr>
                <w:b/>
                <w:sz w:val="12"/>
                <w:szCs w:val="12"/>
                <w:lang w:val="fr-BE"/>
              </w:rPr>
            </w:pPr>
            <w:r w:rsidRPr="00F07BE5">
              <w:rPr>
                <w:b/>
                <w:noProof/>
                <w:sz w:val="12"/>
                <w:szCs w:val="12"/>
                <w:lang w:val="fr-BE"/>
              </w:rPr>
              <w:t>Kumulativno skupaj</w:t>
            </w: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prosilcev, predanih iz ene države članice v drugo s podporo iz tega sklada</w:t>
            </w:r>
            <w:r>
              <w:rPr>
                <w:noProof/>
                <w:sz w:val="12"/>
                <w:szCs w:val="12"/>
                <w:lang w:val="fr-BE"/>
              </w:rPr>
              <w:t>734669</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567,00</w:t>
            </w:r>
          </w:p>
        </w:tc>
        <w:tc>
          <w:tcPr>
            <w:tcW w:w="0" w:type="auto"/>
          </w:tcPr>
          <w:p w:rsidR="00115C60" w:rsidRPr="003F352C" w:rsidRDefault="00BD62A1" w:rsidP="00003291">
            <w:pPr>
              <w:spacing w:before="0" w:after="0"/>
              <w:rPr>
                <w:sz w:val="10"/>
                <w:szCs w:val="10"/>
                <w:lang w:val="fr-BE"/>
              </w:rPr>
            </w:pPr>
            <w:r>
              <w:rPr>
                <w:noProof/>
                <w:sz w:val="10"/>
                <w:szCs w:val="10"/>
                <w:lang w:val="fr-BE"/>
              </w:rPr>
              <w:t>Organ, odgovoren za premestitevAuthority in charge</w:t>
            </w:r>
            <w:r>
              <w:rPr>
                <w:noProof/>
                <w:sz w:val="10"/>
                <w:szCs w:val="10"/>
                <w:lang w:val="fr-BE"/>
              </w:rPr>
              <w:t xml:space="preserve"> of relocation</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C8670F" w:rsidTr="00003291">
        <w:trPr>
          <w:cantSplit/>
        </w:trPr>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sodelovanja z drugimi državami članicami za večjo solidarnost in delitev odgovornosti med državami članicami, podprtih iz tega sklada</w:t>
            </w:r>
            <w:r>
              <w:rPr>
                <w:noProof/>
                <w:sz w:val="12"/>
                <w:szCs w:val="12"/>
                <w:lang w:val="fr-BE"/>
              </w:rPr>
              <w:t>860909</w:t>
            </w:r>
          </w:p>
        </w:tc>
        <w:tc>
          <w:tcPr>
            <w:tcW w:w="0" w:type="auto"/>
            <w:shd w:val="clear" w:color="auto" w:fill="auto"/>
          </w:tcPr>
          <w:p w:rsidR="00115C60" w:rsidRPr="00F07BE5" w:rsidRDefault="00BD62A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BD62A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BD62A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p w:rsidR="00115C60" w:rsidRDefault="00115C60" w:rsidP="00115C60">
      <w:pPr>
        <w:pStyle w:val="Naslov1"/>
        <w:numPr>
          <w:ilvl w:val="0"/>
          <w:numId w:val="0"/>
        </w:numPr>
        <w:spacing w:before="0" w:after="0"/>
        <w:rPr>
          <w:lang w:val="fr-BE"/>
        </w:rPr>
        <w:sectPr w:rsidR="00115C60" w:rsidSect="00F9131C">
          <w:headerReference w:type="default" r:id="rId14"/>
          <w:footerReference w:type="default" r:id="rId15"/>
          <w:pgSz w:w="16838" w:h="11906" w:orient="landscape"/>
          <w:pgMar w:top="0" w:right="567" w:bottom="0" w:left="851" w:header="0" w:footer="284" w:gutter="0"/>
          <w:cols w:space="708"/>
          <w:docGrid w:linePitch="360"/>
        </w:sectPr>
      </w:pPr>
    </w:p>
    <w:p w:rsidR="00115C60" w:rsidRDefault="00BD62A1" w:rsidP="00115C60">
      <w:pPr>
        <w:pStyle w:val="Naslov1"/>
        <w:numPr>
          <w:ilvl w:val="0"/>
          <w:numId w:val="0"/>
        </w:numPr>
        <w:spacing w:before="0" w:after="0"/>
        <w:rPr>
          <w:lang w:val="fr-BE"/>
        </w:rPr>
      </w:pPr>
      <w:bookmarkStart w:id="5" w:name="_Toc256000006"/>
      <w:r>
        <w:rPr>
          <w:noProof/>
          <w:lang w:val="fr-BE"/>
        </w:rPr>
        <w:lastRenderedPageBreak/>
        <w:t>ODDELEK 6: OKVIR ZA PRIPRAVO IN IZVAJANJE PROGRAMA S STRANI DRŽAVE ČLANICE</w:t>
      </w:r>
      <w:bookmarkEnd w:id="5"/>
    </w:p>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bookmarkStart w:id="6" w:name="_Toc256000007"/>
      <w:r>
        <w:rPr>
          <w:noProof/>
          <w:lang w:val="fr-BE"/>
        </w:rPr>
        <w:t>6.1 Odbor za spremljanje (člen 12(4) Uredbe (EU) št. 514/2014)</w:t>
      </w:r>
      <w:bookmarkEnd w:id="6"/>
    </w:p>
    <w:p w:rsidR="00115C60" w:rsidRDefault="00115C60" w:rsidP="00115C60">
      <w:pPr>
        <w:pStyle w:val="Text1"/>
        <w:spacing w:before="0" w:after="0"/>
        <w:ind w:left="0"/>
        <w:rPr>
          <w:lang w:val="fr-BE"/>
        </w:rPr>
      </w:pPr>
    </w:p>
    <w:p w:rsidR="00115C60" w:rsidRDefault="00BD62A1" w:rsidP="00115C60">
      <w:pPr>
        <w:pStyle w:val="Text1"/>
        <w:spacing w:before="0" w:after="0"/>
        <w:ind w:left="0"/>
        <w:rPr>
          <w:lang w:val="fr-BE"/>
        </w:rPr>
      </w:pPr>
      <w:r>
        <w:rPr>
          <w:noProof/>
          <w:lang w:val="fr-BE"/>
        </w:rPr>
        <w:t xml:space="preserve">Navedite glavne odločitve odbora za spremljanje in </w:t>
      </w:r>
      <w:r>
        <w:rPr>
          <w:noProof/>
          <w:lang w:val="fr-BE"/>
        </w:rPr>
        <w:t>vprašanja, ki jih ta še obravnava.</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C8670F" w:rsidTr="00003291">
        <w:tc>
          <w:tcPr>
            <w:tcW w:w="0" w:type="auto"/>
            <w:shd w:val="clear" w:color="auto" w:fill="auto"/>
          </w:tcPr>
          <w:p w:rsidR="00C8670F" w:rsidRDefault="00BD62A1">
            <w:pPr>
              <w:spacing w:before="0" w:after="240"/>
              <w:jc w:val="left"/>
            </w:pPr>
            <w:r>
              <w:t>Nadzorni odbor za spremljanje skladov s področja notranje varnosti in migracij (v nadaljevanju NO) ustanovi Vlada Republike Slovenije. Z vladnim sklepom so v NO imenovani predstavniki Ministrstva za pravosodje, Ministrst</w:t>
            </w:r>
            <w:r>
              <w:t>va za notranje zadeve, Ministrstva za zunanje zadeve, Ministrstva za izobraževanje, znanost in šport, Ministrstva za delo, družino, socialne zadeve in enake možnosti, Ministrstva za kulturo, Ministrstva za finance, Ministrstva za obrambo, Organa upravljanj</w:t>
            </w:r>
            <w:r>
              <w:t>a za kohezijsko politiko in predstavnik nevladnih organizacij.</w:t>
            </w:r>
          </w:p>
          <w:p w:rsidR="00C8670F" w:rsidRDefault="00BD62A1">
            <w:pPr>
              <w:spacing w:before="240" w:after="240"/>
              <w:jc w:val="left"/>
            </w:pPr>
            <w:r>
              <w:t>Nadzorni odbor je krovno odgovoren za sklada AMIF in ISF, ključne naloge so opredeljene s Poslovnikom, med katerimi so za upravljanje AMIF in ISF pomembne:</w:t>
            </w:r>
          </w:p>
          <w:p w:rsidR="00C8670F" w:rsidRDefault="00BD62A1">
            <w:pPr>
              <w:numPr>
                <w:ilvl w:val="0"/>
                <w:numId w:val="37"/>
              </w:numPr>
              <w:spacing w:before="240" w:after="240"/>
              <w:ind w:hanging="210"/>
              <w:jc w:val="left"/>
            </w:pPr>
            <w:r>
              <w:t xml:space="preserve">priprava razreza sredstev med </w:t>
            </w:r>
            <w:r>
              <w:t>prioritetnimi upravičenimi projekti, ki se bodo financirali iz skladov;</w:t>
            </w:r>
          </w:p>
          <w:p w:rsidR="00C8670F" w:rsidRDefault="00BD62A1">
            <w:pPr>
              <w:numPr>
                <w:ilvl w:val="0"/>
                <w:numId w:val="37"/>
              </w:numPr>
              <w:spacing w:before="240" w:after="240"/>
              <w:ind w:hanging="210"/>
              <w:jc w:val="left"/>
            </w:pPr>
            <w:r>
              <w:t>spremljanje izvajanja ciljev projektov, financiranih iz posameznega sklada, pri čemer se uporabljajo vsebinski in finančni kazalci; pregledovanje poročil o spremljanju stanja izvajanja</w:t>
            </w:r>
            <w:r>
              <w:t xml:space="preserve"> programov;</w:t>
            </w:r>
          </w:p>
          <w:p w:rsidR="00C8670F" w:rsidRDefault="00BD62A1">
            <w:pPr>
              <w:numPr>
                <w:ilvl w:val="0"/>
                <w:numId w:val="37"/>
              </w:numPr>
              <w:spacing w:before="240" w:after="240"/>
              <w:ind w:hanging="210"/>
              <w:jc w:val="left"/>
            </w:pPr>
            <w:r>
              <w:t>potrjevanje sprememb letnih oziroma nacionalnih programov v skladu z osnovnimi odločbami oziroma uredbami skladov;</w:t>
            </w:r>
          </w:p>
          <w:p w:rsidR="00C8670F" w:rsidRDefault="00BD62A1">
            <w:pPr>
              <w:numPr>
                <w:ilvl w:val="0"/>
                <w:numId w:val="37"/>
              </w:numPr>
              <w:spacing w:before="240" w:after="240"/>
              <w:ind w:hanging="210"/>
              <w:jc w:val="left"/>
            </w:pPr>
            <w:r>
              <w:t xml:space="preserve">spremljanje neodvisnih poročil o vrednotenju, s katerimi se meri napredek izvajanja programov in izvajanje zastavljenih ciljev v </w:t>
            </w:r>
            <w:r>
              <w:t>povezavi z začetnim stanjem;</w:t>
            </w:r>
          </w:p>
          <w:p w:rsidR="00C8670F" w:rsidRDefault="00BD62A1">
            <w:pPr>
              <w:numPr>
                <w:ilvl w:val="0"/>
                <w:numId w:val="37"/>
              </w:numPr>
              <w:spacing w:before="240" w:after="240"/>
              <w:ind w:hanging="210"/>
              <w:jc w:val="left"/>
            </w:pPr>
            <w:r>
              <w:t>sprejem izboljševalnih ukrepov za boljše doseganje programskih ciljev in učinkovitejšo porabo sredstev, če aktivnosti spremljanja stanja pokažejo potrebo po takšnih ukrepih;</w:t>
            </w:r>
          </w:p>
          <w:p w:rsidR="00C8670F" w:rsidRDefault="00BD62A1">
            <w:pPr>
              <w:numPr>
                <w:ilvl w:val="0"/>
                <w:numId w:val="37"/>
              </w:numPr>
              <w:spacing w:before="240" w:after="240"/>
              <w:ind w:hanging="210"/>
              <w:jc w:val="left"/>
            </w:pPr>
            <w:r>
              <w:t>spremljanje ustreznosti in učinkovitosti delovanja si</w:t>
            </w:r>
            <w:r>
              <w:t>stema upravljanja in nadzora skladov, pripravo priporočil sistemskih izboljšav ter spremljanje izvajanja teh priporočil;</w:t>
            </w:r>
          </w:p>
          <w:p w:rsidR="00C8670F" w:rsidRDefault="00BD62A1">
            <w:pPr>
              <w:numPr>
                <w:ilvl w:val="0"/>
                <w:numId w:val="37"/>
              </w:numPr>
              <w:spacing w:before="240" w:after="240"/>
              <w:ind w:hanging="210"/>
              <w:jc w:val="left"/>
            </w:pPr>
            <w:r>
              <w:t xml:space="preserve">obveščanje pristojnih resorjev in vlade glede izvajanja ciljev programov in delovanja sistema upravljanja in nadzora, če za to obstaja </w:t>
            </w:r>
            <w:r>
              <w:t>potreba.</w:t>
            </w:r>
          </w:p>
          <w:p w:rsidR="00C8670F" w:rsidRDefault="00BD62A1">
            <w:pPr>
              <w:spacing w:before="240" w:after="240"/>
              <w:jc w:val="left"/>
            </w:pPr>
            <w:r>
              <w:t> </w:t>
            </w:r>
          </w:p>
          <w:p w:rsidR="00C8670F" w:rsidRDefault="00BD62A1">
            <w:pPr>
              <w:spacing w:before="240" w:after="240"/>
              <w:jc w:val="left"/>
            </w:pPr>
            <w:r>
              <w:t>NO je v finančnem letu 2015 zasedal v okviru dveh rednih sej in ene korespondenčne, predvsem glede: </w:t>
            </w:r>
          </w:p>
          <w:p w:rsidR="00C8670F" w:rsidRDefault="00BD62A1">
            <w:pPr>
              <w:numPr>
                <w:ilvl w:val="0"/>
                <w:numId w:val="38"/>
              </w:numPr>
              <w:spacing w:before="240" w:after="240"/>
              <w:ind w:hanging="210"/>
              <w:jc w:val="left"/>
            </w:pPr>
            <w:r>
              <w:t>poteku priprave nacionalnega programa AMIF ter ISF;</w:t>
            </w:r>
          </w:p>
          <w:p w:rsidR="00C8670F" w:rsidRDefault="00BD62A1">
            <w:pPr>
              <w:numPr>
                <w:ilvl w:val="0"/>
                <w:numId w:val="38"/>
              </w:numPr>
              <w:spacing w:before="240" w:after="240"/>
              <w:ind w:hanging="210"/>
              <w:jc w:val="left"/>
            </w:pPr>
            <w:r>
              <w:t>potrditve Akcijskega načrta za črpanje sredstev iz AMIF ter ISF ter nadaljnjih različic;</w:t>
            </w:r>
          </w:p>
          <w:p w:rsidR="00C8670F" w:rsidRDefault="00BD62A1">
            <w:pPr>
              <w:numPr>
                <w:ilvl w:val="0"/>
                <w:numId w:val="38"/>
              </w:numPr>
              <w:spacing w:before="240" w:after="240"/>
              <w:ind w:hanging="210"/>
              <w:jc w:val="left"/>
            </w:pPr>
            <w:r>
              <w:lastRenderedPageBreak/>
              <w:t>razprave o Nacionalnih pravilih o upravičenih stroških AMIF ter ISF za obdobje 2014-2020;</w:t>
            </w:r>
          </w:p>
          <w:p w:rsidR="00C8670F" w:rsidRDefault="00BD62A1">
            <w:pPr>
              <w:numPr>
                <w:ilvl w:val="0"/>
                <w:numId w:val="38"/>
              </w:numPr>
              <w:spacing w:before="240" w:after="240"/>
              <w:ind w:hanging="210"/>
              <w:jc w:val="left"/>
            </w:pPr>
            <w:r>
              <w:t>razprave o možnosti koriščenja višje, 90% sofinanciranja iz sredstev AMIF ter ISF v luči aktualnih gospodarskih kazalcev;</w:t>
            </w:r>
          </w:p>
          <w:p w:rsidR="00C8670F" w:rsidRDefault="00BD62A1">
            <w:pPr>
              <w:numPr>
                <w:ilvl w:val="0"/>
                <w:numId w:val="38"/>
              </w:numPr>
              <w:spacing w:before="240" w:after="240"/>
              <w:ind w:hanging="210"/>
              <w:jc w:val="left"/>
            </w:pPr>
            <w:r>
              <w:t>seznanitve z informacijo o pripravi opisa si</w:t>
            </w:r>
            <w:r>
              <w:t>stema upravljanja in nadzora za obdobje 2014-2020;</w:t>
            </w:r>
          </w:p>
          <w:p w:rsidR="00C8670F" w:rsidRDefault="00BD62A1">
            <w:pPr>
              <w:numPr>
                <w:ilvl w:val="0"/>
                <w:numId w:val="38"/>
              </w:numPr>
              <w:spacing w:before="240" w:after="240"/>
              <w:ind w:hanging="210"/>
              <w:jc w:val="left"/>
            </w:pPr>
            <w:r>
              <w:t>pregleda komplementarnosti AMIF z ESS in Evropskim skladom za pomoč najbolj ogroženim;</w:t>
            </w:r>
          </w:p>
          <w:p w:rsidR="00C8670F" w:rsidRDefault="00BD62A1">
            <w:pPr>
              <w:numPr>
                <w:ilvl w:val="0"/>
                <w:numId w:val="38"/>
              </w:numPr>
              <w:spacing w:before="240" w:after="240"/>
              <w:ind w:hanging="210"/>
              <w:jc w:val="left"/>
            </w:pPr>
            <w:r>
              <w:t>seznanitve z informacijo o reviziji nacionalnega programa AMIF v skladu z evropskimi shemami za preselitev oz. premest</w:t>
            </w:r>
            <w:r>
              <w:t>itev;</w:t>
            </w:r>
          </w:p>
          <w:p w:rsidR="00C8670F" w:rsidRDefault="00BD62A1">
            <w:pPr>
              <w:numPr>
                <w:ilvl w:val="0"/>
                <w:numId w:val="38"/>
              </w:numPr>
              <w:spacing w:before="240" w:after="240"/>
              <w:ind w:hanging="210"/>
              <w:jc w:val="left"/>
            </w:pPr>
            <w:r>
              <w:t>potrditve Nacionalnih pravil o upravičenih stroških AMIF ter ISF za obdobje 2014-2020;</w:t>
            </w:r>
          </w:p>
          <w:p w:rsidR="00C8670F" w:rsidRDefault="00BD62A1">
            <w:pPr>
              <w:numPr>
                <w:ilvl w:val="0"/>
                <w:numId w:val="38"/>
              </w:numPr>
              <w:spacing w:before="240" w:after="240"/>
              <w:ind w:hanging="210"/>
              <w:jc w:val="left"/>
            </w:pPr>
            <w:r>
              <w:t>obravnave Priročnika za izvajanje AMIF ter ISF.</w:t>
            </w:r>
          </w:p>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r>
        <w:rPr>
          <w:lang w:val="fr-BE"/>
        </w:rPr>
        <w:br w:type="page"/>
      </w:r>
      <w:bookmarkStart w:id="7" w:name="_Toc256000008"/>
      <w:r>
        <w:rPr>
          <w:noProof/>
          <w:lang w:val="fr-BE"/>
        </w:rPr>
        <w:lastRenderedPageBreak/>
        <w:t>6.2 Skupni okvir za spremljanje in vrednotenje (člen 14(2)(f) Uredbe (EU) št. 514/2014)</w:t>
      </w:r>
      <w:bookmarkEnd w:id="7"/>
    </w:p>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bookmarkStart w:id="8" w:name="_Toc256000009"/>
      <w:r>
        <w:rPr>
          <w:noProof/>
          <w:lang w:val="fr-BE"/>
        </w:rPr>
        <w:t xml:space="preserve">Ukrepi spremljanja in </w:t>
      </w:r>
      <w:r>
        <w:rPr>
          <w:noProof/>
          <w:lang w:val="fr-BE"/>
        </w:rPr>
        <w:t>vrednotenja, ki jih sprejme pristojni organ, vključno z ureditvijo zbiranja podatkov, dejavnostmi vrednotenja, ugotovljenimi težavami ter ukrepi za njihovo odpravo.</w:t>
      </w:r>
      <w:bookmarkEnd w:id="8"/>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C8670F" w:rsidTr="00003291">
        <w:tc>
          <w:tcPr>
            <w:tcW w:w="0" w:type="auto"/>
            <w:shd w:val="clear" w:color="auto" w:fill="auto"/>
          </w:tcPr>
          <w:p w:rsidR="00C8670F" w:rsidRDefault="00BD62A1">
            <w:pPr>
              <w:spacing w:before="0" w:after="240"/>
              <w:jc w:val="left"/>
            </w:pPr>
            <w:r>
              <w:t>OO za spremljanje in finančno upravljanje uporablja spletno aplikacijo - elektronski siste</w:t>
            </w:r>
            <w:r>
              <w:t>m za upravljanje skladov AMIF in ISF - MIGRA II. Spremljanje programa AMIF teče v okviru MIGRA II na podlagi podatkov ZzP  II in izvedbe kontrol na kraju samem. Z vidika spremljanja in nadzora nad izvajanjem projektov pa je za OO osrednja točka za pridobiv</w:t>
            </w:r>
            <w:r>
              <w:t>anje informacij in dokumentacije o projektu vodja projekta. OO finančna in vsebinska poročila končnih upravičencev o okviru posredovanih ZzP-jev (Zahtevki za Povračilo) preverja v okviru MIGRA II in v skladu s Priročnikom za izvajanje AMIF in ISF, ter v sk</w:t>
            </w:r>
            <w:r>
              <w:t>ladu z drugimi programskimi dokumenti OO. Izvedba 100% administrativne in finančne kontrolo popolnosti, pravilnosti in upravičenosti ZzP zajema preverjanje: formalne pravilnosti in točnost finančnih izjav, ali projekt dosega zastavljene cilje oz. viden nap</w:t>
            </w:r>
            <w:r>
              <w:t>redek, analitični pregled za oceno relevantnosti prijavljenih izdatkov v finančnih izjava in njihove skladnosti s pogodbo o financiranju programa/projekta, odločitvi o podpori oz. sklepu o financiranju tehnične pomoči, pravili upravičenosti ter z drugimi v</w:t>
            </w:r>
            <w:r>
              <w:t>eljavnimi pravili EU in nacionalnimi pravili.</w:t>
            </w:r>
          </w:p>
          <w:p w:rsidR="00C8670F" w:rsidRDefault="00BD62A1">
            <w:pPr>
              <w:spacing w:before="240" w:after="240"/>
              <w:jc w:val="left"/>
            </w:pPr>
            <w:r>
              <w:t>OO izvaja kontrole na kraju samem na podlagi načrta , ki ga pripravi na podlagi analize tveganja v skladu z metodologijo in naključnega izbora. Slednji dopolnjuje analizo tveganja na način, da načrt upošteva tu</w:t>
            </w:r>
            <w:r>
              <w:t>di ustrezno razmerje vrst in velikosti projektov, transakcij, upravičencev in izvajalskih teles, ki se pojavljajo pri izvajanju skladov.</w:t>
            </w:r>
          </w:p>
          <w:p w:rsidR="00C8670F" w:rsidRDefault="00BD62A1">
            <w:pPr>
              <w:spacing w:before="240" w:after="240"/>
              <w:jc w:val="left"/>
            </w:pPr>
            <w:r>
              <w:t>Ker je bil nacionalni program Republike Slovenije za podporo iz AMIF za obdobje 2014–2020  potrjen šele 15.12.2015, Odg</w:t>
            </w:r>
            <w:r>
              <w:t xml:space="preserve">ovorni organ imenovan konec avgusta 2015, akcijski načrt (s katerim so se sredstva znotraj sklada ISF razporedila med končne upravičence pa je bil potrjen 2.12.2015, v letu 2015 OO v okviru spremljanja izvajanja projektov AMIF ni izvedel kontrol projektov </w:t>
            </w:r>
            <w:r>
              <w:t>na kraju samem.</w:t>
            </w:r>
          </w:p>
          <w:p w:rsidR="00C8670F" w:rsidRDefault="00BD62A1">
            <w:pPr>
              <w:spacing w:before="240" w:after="240"/>
              <w:jc w:val="left"/>
            </w:pPr>
            <w:r>
              <w:t>OO o vsebinskih in finančnih elementih programa AMIF redno poroča MDS in NO, v obeh telesih so v skladu z načelom partnerstva zastopana vsa ministrstva/resorji, ki pri črpanju sredstev iz AMIF sodelujejo kot pristojni organi MCS (»Managemen</w:t>
            </w:r>
            <w:r>
              <w:t>t and Control System«).</w:t>
            </w:r>
          </w:p>
          <w:p w:rsidR="00C8670F" w:rsidRDefault="00BD62A1">
            <w:pPr>
              <w:spacing w:before="240" w:after="240"/>
              <w:jc w:val="left"/>
            </w:pPr>
            <w:r>
              <w:t>Priročnik za izvajanje AMIF in ISF, št. 007-489/2015/11 z dne 11.2.2016 je pripet v rubriki »Dokumenti«.</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r>
        <w:rPr>
          <w:lang w:val="fr-BE"/>
        </w:rPr>
        <w:br w:type="page"/>
      </w:r>
      <w:bookmarkStart w:id="9" w:name="_Toc256000010"/>
      <w:r>
        <w:rPr>
          <w:noProof/>
          <w:lang w:val="fr-BE"/>
        </w:rPr>
        <w:lastRenderedPageBreak/>
        <w:t>6.3 Partnersko sodelovanje pri izvajanju, spremljanju in vrednotenju nacionalnega programa (člen 12(3) Uredbe (EU) št. 514/</w:t>
      </w:r>
      <w:r>
        <w:rPr>
          <w:noProof/>
          <w:lang w:val="fr-BE"/>
        </w:rPr>
        <w:t>2014)</w:t>
      </w:r>
      <w:bookmarkEnd w:id="9"/>
    </w:p>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bookmarkStart w:id="10" w:name="_Toc256000011"/>
      <w:r>
        <w:rPr>
          <w:noProof/>
          <w:lang w:val="fr-BE"/>
        </w:rPr>
        <w:t>Na kratko opišite glavne prispevke in mnenja partnerjev v proračunskem letu.</w:t>
      </w:r>
      <w:bookmarkEnd w:id="10"/>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C8670F" w:rsidTr="00003291">
        <w:tc>
          <w:tcPr>
            <w:tcW w:w="15420" w:type="dxa"/>
            <w:shd w:val="clear" w:color="auto" w:fill="auto"/>
          </w:tcPr>
          <w:p w:rsidR="00C8670F" w:rsidRDefault="00BD62A1">
            <w:pPr>
              <w:spacing w:before="0" w:after="240"/>
              <w:jc w:val="left"/>
            </w:pPr>
            <w:r>
              <w:t xml:space="preserve">Za pripravo nacionalnega programa sklada AMIF je zadolžena Projektna enota za sklade notranje varnosti in migracije znotraj Službe za evropska sredstva Ministrstva za </w:t>
            </w:r>
            <w:r>
              <w:t>notranje zadeve (MNZ SES PESNVM).</w:t>
            </w:r>
          </w:p>
          <w:p w:rsidR="00C8670F" w:rsidRDefault="00BD62A1">
            <w:pPr>
              <w:spacing w:before="240" w:after="240"/>
              <w:jc w:val="left"/>
            </w:pPr>
            <w:r>
              <w:t xml:space="preserve">- Ves čas </w:t>
            </w:r>
            <w:r>
              <w:rPr>
                <w:u w:val="single"/>
              </w:rPr>
              <w:t xml:space="preserve">priprave </w:t>
            </w:r>
            <w:r>
              <w:t>nacionalnih programov je PESNVM SES MNZ sledila </w:t>
            </w:r>
            <w:r>
              <w:rPr>
                <w:b/>
                <w:bCs/>
              </w:rPr>
              <w:t>načelu javnosti in publicitete</w:t>
            </w:r>
            <w:r>
              <w:t xml:space="preserve">, zato so bile dopolnjene različice programov sproti objavljene na spletnem mestu: </w:t>
            </w:r>
            <w:r>
              <w:t>http://www.mnz.gov.si/si/o_ministrstvu/crpanje_evropskih_sredstev/sklad_za_notranjo_varnost_in_sklad_za_azil_migracije_in_vkljucevanje_2014_2020/priprava_nacionalnih_programov/.</w:t>
            </w:r>
          </w:p>
          <w:p w:rsidR="00C8670F" w:rsidRDefault="00BD62A1">
            <w:pPr>
              <w:spacing w:before="240" w:after="240"/>
              <w:jc w:val="left"/>
            </w:pPr>
            <w:r>
              <w:t>Z namenom čim hitrejšega in učinkovitega programiranja se je aprila 2014 izved</w:t>
            </w:r>
            <w:r>
              <w:t xml:space="preserve">lo </w:t>
            </w:r>
            <w:r>
              <w:rPr>
                <w:b/>
                <w:bCs/>
              </w:rPr>
              <w:t>bilateralne sestanke z vsemi pristojnimi resorji oz. organi</w:t>
            </w:r>
            <w:r>
              <w:t xml:space="preserve"> na ravni državnih sekretarjev oz. direktorjev. Sledila so številna usklajevanja in sestanki na ravni strokovnih sodelavcev in kontaktnih točk. Proces usklajevanja se je zaključil z </w:t>
            </w:r>
            <w:r>
              <w:rPr>
                <w:b/>
                <w:bCs/>
              </w:rPr>
              <w:t>javnim posve</w:t>
            </w:r>
            <w:r>
              <w:rPr>
                <w:b/>
                <w:bCs/>
              </w:rPr>
              <w:t xml:space="preserve">tom "Priprava večletnih nacionalnih programov skladov na področju notranjih zadev", </w:t>
            </w:r>
            <w:r>
              <w:t xml:space="preserve">ki je potekal 27. 5. 2014. Program ISF je v drugi neformalni pregled  oddan EK 28. 5. 2014, sočasno pa je potekala </w:t>
            </w:r>
            <w:r>
              <w:rPr>
                <w:b/>
                <w:bCs/>
              </w:rPr>
              <w:t xml:space="preserve">javna razprava </w:t>
            </w:r>
            <w:r>
              <w:t>(do 16.6.2014), v okviru katere je zainter</w:t>
            </w:r>
            <w:r>
              <w:t>esirana javnost podala konkretne predloge dopolnitev.</w:t>
            </w:r>
          </w:p>
          <w:p w:rsidR="00C8670F" w:rsidRDefault="00BD62A1">
            <w:pPr>
              <w:spacing w:before="240" w:after="240"/>
              <w:jc w:val="left"/>
            </w:pPr>
            <w:r>
              <w:t xml:space="preserve">- PESNVM SES MNZ </w:t>
            </w:r>
            <w:r>
              <w:rPr>
                <w:u w:val="single"/>
              </w:rPr>
              <w:t xml:space="preserve">implementacijo </w:t>
            </w:r>
            <w:r>
              <w:t>nacionalnega programa AMIF izvaja preko Akcijskega načrta, ki je temeljni in celovit programski dokument namenjen izvajanju sklada AMIF in ISF v Republiki Sloveniji. Pred</w:t>
            </w:r>
            <w:r>
              <w:t xml:space="preserve">stavlja osnovo za prijavo in odobritev projektov s strani odgovornega organa, na predlog končnih upravičencev, po odobritvi na Nadzornem odboru, in je izvedbeni dokument, ki razčlenjuje nacionalni program AMIF na projekte s podatki o finančni alokaciji po </w:t>
            </w:r>
            <w:r>
              <w:t>letih (do leta 2023).</w:t>
            </w:r>
          </w:p>
          <w:p w:rsidR="00C8670F" w:rsidRDefault="00BD62A1">
            <w:pPr>
              <w:spacing w:before="240" w:after="240"/>
              <w:jc w:val="left"/>
            </w:pPr>
            <w:r>
              <w:t xml:space="preserve">- V fazo </w:t>
            </w:r>
            <w:r>
              <w:rPr>
                <w:u w:val="single"/>
              </w:rPr>
              <w:t xml:space="preserve">vrednotenja </w:t>
            </w:r>
            <w:r>
              <w:t xml:space="preserve">nacionalnega programa AMIF bodo vključena vsa pristojna ministrstva/organi preko delovanja </w:t>
            </w:r>
            <w:r>
              <w:rPr>
                <w:b/>
                <w:bCs/>
              </w:rPr>
              <w:t xml:space="preserve">Medresorske delovne skupine za koordinacijo in operativno usklajevanje izvajanja projektov, ki se financirajo iz sredstev </w:t>
            </w:r>
            <w:r>
              <w:rPr>
                <w:b/>
                <w:bCs/>
              </w:rPr>
              <w:t xml:space="preserve">AMIF in ISF </w:t>
            </w:r>
            <w:r>
              <w:t xml:space="preserve">kot tudi preko </w:t>
            </w:r>
            <w:r>
              <w:rPr>
                <w:b/>
                <w:bCs/>
              </w:rPr>
              <w:t xml:space="preserve">Nadzornega odbora.  </w:t>
            </w:r>
            <w:r>
              <w:t>Z namenom zagotavljanja nepristranskosti in strokovnosti pri izvedbi vrednotenja mora OO zagotoviti funkcionalno neodvisno evaluacijo od pristojnih organov MCS, kar  pomeni, da se izvajalca izbere na podlagi j</w:t>
            </w:r>
            <w:r>
              <w:t>avnega naročila. </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r>
        <w:rPr>
          <w:lang w:val="fr-BE"/>
        </w:rPr>
        <w:br w:type="page"/>
      </w:r>
      <w:bookmarkStart w:id="11" w:name="_Toc256000012"/>
      <w:r>
        <w:rPr>
          <w:noProof/>
          <w:lang w:val="fr-BE"/>
        </w:rPr>
        <w:lastRenderedPageBreak/>
        <w:t>6.4 Obveščanje in objavljanje (člen 48 Uredbe (ES) št. 514/2014)</w:t>
      </w:r>
      <w:bookmarkEnd w:id="11"/>
    </w:p>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bookmarkStart w:id="12" w:name="_Toc256000013"/>
      <w:r>
        <w:rPr>
          <w:noProof/>
          <w:lang w:val="fr-BE"/>
        </w:rPr>
        <w:t>Navedite povezavo do spletišča programa.</w:t>
      </w:r>
      <w:bookmarkEnd w:id="12"/>
      <w:r>
        <w:rPr>
          <w:noProof/>
          <w:lang w:val="fr-BE"/>
        </w:rPr>
        <w:t xml:space="preserve"> </w:t>
      </w:r>
    </w:p>
    <w:p w:rsidR="00115C60" w:rsidRDefault="00BD62A1" w:rsidP="00115C60">
      <w:pPr>
        <w:pStyle w:val="Naslov2"/>
        <w:numPr>
          <w:ilvl w:val="0"/>
          <w:numId w:val="0"/>
        </w:numPr>
        <w:spacing w:before="0" w:after="0"/>
        <w:rPr>
          <w:lang w:val="fr-BE"/>
        </w:rPr>
      </w:pPr>
      <w:bookmarkStart w:id="13" w:name="_Toc256000014"/>
      <w:r>
        <w:rPr>
          <w:noProof/>
          <w:lang w:val="fr-BE"/>
        </w:rPr>
        <w:t>Navedite glavne dejavnosti obveščanja in objavljanja, izvedene v proračunskem letu. Priložiti je treba primere gradiva.</w:t>
      </w:r>
      <w:bookmarkEnd w:id="1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C8670F" w:rsidTr="00003291">
        <w:tc>
          <w:tcPr>
            <w:tcW w:w="0" w:type="auto"/>
            <w:shd w:val="clear" w:color="auto" w:fill="auto"/>
          </w:tcPr>
          <w:p w:rsidR="00C8670F" w:rsidRDefault="00BD62A1">
            <w:pPr>
              <w:spacing w:before="0" w:after="240"/>
              <w:jc w:val="left"/>
            </w:pPr>
            <w:r>
              <w:t>Nacionalni program AMIF in informacije glede sofinanciranih projektov so dostopne na spletni strani: http://www.mnz.gov.si/si/o_ministrstvu/crpanje_evropskih_sredstev/</w:t>
            </w:r>
          </w:p>
          <w:p w:rsidR="00C8670F" w:rsidRDefault="00BD62A1">
            <w:pPr>
              <w:spacing w:before="240" w:after="240"/>
              <w:jc w:val="left"/>
            </w:pPr>
            <w:r>
              <w:t>V 2015 so bile izvedene sledeče dejavnosti s ciljem informirati in obveščati javnost:</w:t>
            </w:r>
          </w:p>
          <w:p w:rsidR="00C8670F" w:rsidRDefault="00BD62A1">
            <w:pPr>
              <w:numPr>
                <w:ilvl w:val="0"/>
                <w:numId w:val="39"/>
              </w:numPr>
              <w:spacing w:before="240" w:after="240"/>
              <w:ind w:hanging="280"/>
              <w:jc w:val="left"/>
            </w:pPr>
            <w:r>
              <w:t>In</w:t>
            </w:r>
            <w:r>
              <w:t>formacijski dogodek »Skladi na področju notranjih zadev – zaključek programov SOLID in začetek izvajanja Sklada za azil, migracije in vključevanje (AMIF) ter Sklada za notranjo varnost (ISF)«, 11.12.2015, Ljubljana (2 dokazili)</w:t>
            </w:r>
          </w:p>
          <w:p w:rsidR="00C8670F" w:rsidRDefault="00BD62A1">
            <w:pPr>
              <w:numPr>
                <w:ilvl w:val="0"/>
                <w:numId w:val="39"/>
              </w:numPr>
              <w:spacing w:before="240" w:after="240"/>
              <w:ind w:hanging="280"/>
              <w:jc w:val="left"/>
            </w:pPr>
            <w:r>
              <w:t>Delavnica o prijavi projekto</w:t>
            </w:r>
            <w:r>
              <w:t>v, ki se financirajo iz AMIF ter ISF na podlagi neposredne dodelitve, 24.8.2015, Ljubljana (5 dokazil)</w:t>
            </w:r>
          </w:p>
          <w:p w:rsidR="00C8670F" w:rsidRDefault="00BD62A1">
            <w:pPr>
              <w:numPr>
                <w:ilvl w:val="0"/>
                <w:numId w:val="39"/>
              </w:numPr>
              <w:spacing w:before="240" w:after="240"/>
              <w:ind w:hanging="280"/>
              <w:jc w:val="left"/>
            </w:pPr>
            <w:r>
              <w:t>Spletni novici: Potrjen nacionalni program Sklada za azil, migracije in vključevanje, 27.3.2015 na uradni strani MNZ in v rubriki "Črpanje evropskih sred</w:t>
            </w:r>
            <w:r>
              <w:t>stev" (2 dokazili)</w:t>
            </w:r>
          </w:p>
          <w:p w:rsidR="00C8670F" w:rsidRDefault="00BD62A1">
            <w:pPr>
              <w:numPr>
                <w:ilvl w:val="0"/>
                <w:numId w:val="39"/>
              </w:numPr>
              <w:spacing w:before="240" w:after="240"/>
              <w:ind w:hanging="280"/>
              <w:jc w:val="left"/>
            </w:pPr>
            <w:r>
              <w:t>Tretja konferenca o zaščiti finančnih interesov EU, 18.6.2015, Ljubljana – predstavitev OO z naslovom »Skladi EU na področju notranjih zadev« (2 dokazili)</w:t>
            </w:r>
          </w:p>
          <w:p w:rsidR="00C8670F" w:rsidRDefault="00BD62A1">
            <w:pPr>
              <w:numPr>
                <w:ilvl w:val="0"/>
                <w:numId w:val="39"/>
              </w:numPr>
              <w:spacing w:before="240" w:after="240"/>
              <w:ind w:hanging="280"/>
              <w:jc w:val="left"/>
            </w:pPr>
            <w:r>
              <w:t>Javni posvet "Priprava večletnih nacionalnih programov skladov na področju notranj</w:t>
            </w:r>
            <w:r>
              <w:t>ih zadev", 27.5.2014, Ljubljana (3 dokazila)</w:t>
            </w:r>
          </w:p>
          <w:p w:rsidR="00C8670F" w:rsidRDefault="00BD62A1">
            <w:pPr>
              <w:numPr>
                <w:ilvl w:val="0"/>
                <w:numId w:val="39"/>
              </w:numPr>
              <w:spacing w:before="240" w:after="240"/>
              <w:ind w:hanging="280"/>
              <w:jc w:val="left"/>
            </w:pPr>
            <w:r>
              <w:t>Spletna novica: Izbor predstavnika nevladnih organizacij v Nadzorni odbor za spremljanje skladov s področja notranje varnosti in migracij, 27.3.2015 (3 dokazila)</w:t>
            </w:r>
          </w:p>
          <w:p w:rsidR="00C8670F" w:rsidRDefault="00BD62A1">
            <w:pPr>
              <w:spacing w:before="240" w:after="240"/>
              <w:ind w:left="720"/>
              <w:jc w:val="left"/>
            </w:pPr>
            <w:r>
              <w:t>Dokazila so pripeta v rubriki "Dokumenti".</w:t>
            </w:r>
          </w:p>
          <w:p w:rsidR="004B5B5F" w:rsidRPr="004B5B5F" w:rsidRDefault="004B5B5F" w:rsidP="00003291">
            <w:pPr>
              <w:pStyle w:val="Text1"/>
              <w:spacing w:before="0" w:after="0"/>
              <w:ind w:left="0"/>
            </w:pPr>
          </w:p>
        </w:tc>
      </w:tr>
    </w:tbl>
    <w:p w:rsidR="004B5B5F" w:rsidRDefault="004B5B5F" w:rsidP="00115C60">
      <w:pPr>
        <w:pStyle w:val="Text1"/>
        <w:spacing w:before="0" w:after="0"/>
        <w:ind w:left="0"/>
        <w:rPr>
          <w:lang w:val="fr-BE"/>
        </w:rPr>
      </w:pPr>
    </w:p>
    <w:p w:rsidR="00115C60" w:rsidRPr="00910C3F" w:rsidRDefault="00BD62A1" w:rsidP="00115C60">
      <w:pPr>
        <w:pStyle w:val="Naslov2"/>
        <w:numPr>
          <w:ilvl w:val="0"/>
          <w:numId w:val="0"/>
        </w:numPr>
        <w:spacing w:before="0" w:after="0"/>
      </w:pPr>
      <w:r w:rsidRPr="00910C3F">
        <w:br w:type="page"/>
      </w:r>
      <w:bookmarkStart w:id="14" w:name="_Toc256000015"/>
      <w:r w:rsidRPr="00910C3F">
        <w:rPr>
          <w:noProof/>
        </w:rPr>
        <w:lastRenderedPageBreak/>
        <w:t>6.5 Dopolnjevanje z drugimi instrumenti Unije (člen 14(2)(e) in 14(5)(f) Uredbe (EU) št. 514/2014)</w:t>
      </w:r>
      <w:bookmarkEnd w:id="14"/>
    </w:p>
    <w:p w:rsidR="00115C60" w:rsidRPr="00910C3F" w:rsidRDefault="00115C60" w:rsidP="00115C60">
      <w:pPr>
        <w:pStyle w:val="Text1"/>
        <w:spacing w:before="0" w:after="0"/>
        <w:ind w:left="0"/>
      </w:pPr>
    </w:p>
    <w:p w:rsidR="00115C60" w:rsidRDefault="00BD62A1" w:rsidP="00115C60">
      <w:pPr>
        <w:pStyle w:val="Naslov2"/>
        <w:numPr>
          <w:ilvl w:val="0"/>
          <w:numId w:val="0"/>
        </w:numPr>
        <w:spacing w:before="0" w:after="0"/>
        <w:rPr>
          <w:lang w:val="fr-BE"/>
        </w:rPr>
      </w:pPr>
      <w:bookmarkStart w:id="15" w:name="_Toc256000016"/>
      <w:r>
        <w:rPr>
          <w:noProof/>
          <w:lang w:val="fr-BE"/>
        </w:rPr>
        <w:t>Na kratko opišite glavne ukrepe in posvetovanja, opravljena za zagotovitev usklajenosti z drugimi instrumenti Unije, zlasti naslednjimi:</w:t>
      </w:r>
      <w:bookmarkEnd w:id="15"/>
    </w:p>
    <w:p w:rsidR="00115C60" w:rsidRPr="00E30D80" w:rsidRDefault="00BD62A1" w:rsidP="00115C60">
      <w:pPr>
        <w:pStyle w:val="Text1"/>
        <w:numPr>
          <w:ilvl w:val="0"/>
          <w:numId w:val="36"/>
        </w:numPr>
        <w:spacing w:before="0" w:after="0"/>
        <w:jc w:val="left"/>
        <w:rPr>
          <w:lang w:val="fr-BE"/>
        </w:rPr>
      </w:pPr>
      <w:r>
        <w:rPr>
          <w:noProof/>
          <w:lang w:val="fr-BE"/>
        </w:rPr>
        <w:t>evropski strukturni</w:t>
      </w:r>
      <w:r>
        <w:rPr>
          <w:noProof/>
          <w:lang w:val="fr-BE"/>
        </w:rPr>
        <w:t xml:space="preserve"> in investicijski skladi (Evropski sklad za regionalni razvoj, Evropski socialni sklad, Kohezijski sklad, Evropski kmetijski sklad za razvoj podeželja, Evropski sklad za pomorstvo in ribištvo),</w:t>
      </w:r>
    </w:p>
    <w:p w:rsidR="00115C60" w:rsidRPr="00E30D80" w:rsidRDefault="00BD62A1" w:rsidP="00115C60">
      <w:pPr>
        <w:pStyle w:val="Text1"/>
        <w:numPr>
          <w:ilvl w:val="0"/>
          <w:numId w:val="36"/>
        </w:numPr>
        <w:spacing w:before="0" w:after="0"/>
        <w:jc w:val="left"/>
        <w:rPr>
          <w:lang w:val="fr-BE"/>
        </w:rPr>
      </w:pPr>
      <w:r>
        <w:rPr>
          <w:lang w:val="fr-BE"/>
        </w:rPr>
        <w:t xml:space="preserve">drugi skladi ali programi EU (npr. programi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w:t>
      </w:r>
      <w:r>
        <w:rPr>
          <w:lang w:val="fr-BE"/>
        </w:rPr>
        <w:t>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Kultura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in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115C60" w:rsidRPr="00E30D80" w:rsidRDefault="00BD62A1" w:rsidP="00115C60">
      <w:pPr>
        <w:pStyle w:val="Text1"/>
        <w:numPr>
          <w:ilvl w:val="0"/>
          <w:numId w:val="36"/>
        </w:numPr>
        <w:spacing w:before="0" w:after="0"/>
        <w:jc w:val="left"/>
        <w:rPr>
          <w:lang w:val="fr-BE"/>
        </w:rPr>
      </w:pPr>
      <w:r>
        <w:rPr>
          <w:noProof/>
          <w:lang w:val="fr-BE"/>
        </w:rPr>
        <w:t xml:space="preserve">instrumenti EU za zunanje odnose (npr. instrument za predpristopno pomoč, evropski instrument sosedstva in partnerstva, instrument za stabilnost), kar </w:t>
      </w:r>
      <w:r>
        <w:rPr>
          <w:noProof/>
          <w:lang w:val="fr-BE"/>
        </w:rPr>
        <w:t>zadeva ukrepe v tretjih državah oziroma odnose z njimi.</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C8670F" w:rsidTr="00003291">
        <w:tc>
          <w:tcPr>
            <w:tcW w:w="0" w:type="auto"/>
            <w:shd w:val="clear" w:color="auto" w:fill="auto"/>
          </w:tcPr>
          <w:p w:rsidR="00C8670F" w:rsidRDefault="00BD62A1">
            <w:pPr>
              <w:spacing w:before="0" w:after="240"/>
              <w:jc w:val="left"/>
            </w:pPr>
            <w:r>
              <w:t>OO zagotavlja komplementarnost preko različnih ravni organizacijske strukture:</w:t>
            </w:r>
          </w:p>
          <w:p w:rsidR="00C8670F" w:rsidRDefault="00BD62A1">
            <w:pPr>
              <w:numPr>
                <w:ilvl w:val="0"/>
                <w:numId w:val="40"/>
              </w:numPr>
              <w:spacing w:before="240" w:after="240"/>
              <w:ind w:hanging="210"/>
              <w:jc w:val="left"/>
            </w:pPr>
            <w:r>
              <w:t>hierarhično na najvišji ravni (Nadzorni odbor), v katerem so v skladu z načelom partnerstva zastopana vsa ministrstva/te</w:t>
            </w:r>
            <w:r>
              <w:t>lesa, ki so vključena v izvajanje AMIF in ISF. Sestavljajo ga predstavniki državnih organov - pristojni organi MCS, drugi organi, katerih pristojnosti (delno) vsebinsko zadevajo tudi projekte, ki se financirajo iz AMIF in ISF, predstavnik nevladnih organiz</w:t>
            </w:r>
            <w:r>
              <w:t>acij ter predstavnik Službe vlade RS za razvoj in evropsko kohezijsko politiko - z namenom zagotavljanja skladnosti in dopolnjevanja z drugimi finančnimi instrumenti EU.</w:t>
            </w:r>
          </w:p>
          <w:p w:rsidR="00C8670F" w:rsidRDefault="00BD62A1">
            <w:pPr>
              <w:spacing w:before="240" w:after="240"/>
              <w:ind w:left="720"/>
              <w:jc w:val="left"/>
            </w:pPr>
            <w:r>
              <w:t>Nadzorni odbor je v letu 2015 temo komplementarnosti obravnaval na 6. seji dne 11. 11.</w:t>
            </w:r>
            <w:r>
              <w:t xml:space="preserve"> 2015, in sicer je tekla razprava o «Komplementarnost sklada AMIF z Evropskim socialnim skladom in Evropskim skladom za pomoč najbolj ogroženim (seznanitev z dokumentom Evropske komisije "Support to asylum seekers under the European Social Fund and the Fun</w:t>
            </w:r>
            <w:r>
              <w:t>d for European Aid to the Most Deprived")».</w:t>
            </w:r>
          </w:p>
          <w:p w:rsidR="00C8670F" w:rsidRDefault="00BD62A1">
            <w:pPr>
              <w:numPr>
                <w:ilvl w:val="0"/>
                <w:numId w:val="40"/>
              </w:numPr>
              <w:spacing w:before="240" w:after="240"/>
              <w:ind w:hanging="210"/>
              <w:jc w:val="left"/>
            </w:pPr>
            <w:r>
              <w:t>Na ravni Medresorske delovne skupine (MDS), ki deluje kot operativna delovna skupina Nadzornega odbora, velja enako pravilo sestave članstva kot pri Nadzornem odboru, z namenom zagotavljanja skladnosti in dopolnj</w:t>
            </w:r>
            <w:r>
              <w:t>evanja z drugimi finančnimi instrumenti EU tudi v MDS sodeluje predstavnik Službe vlade RS za razvoj in evropsko kohezijsko politiko. MDS je v letu 2015 vsebino komplementarnosti obravnavala na drugi seji z dne 14.10.2015.</w:t>
            </w:r>
          </w:p>
          <w:p w:rsidR="00C8670F" w:rsidRDefault="00BD62A1">
            <w:pPr>
              <w:numPr>
                <w:ilvl w:val="0"/>
                <w:numId w:val="40"/>
              </w:numPr>
              <w:spacing w:before="240" w:after="240"/>
              <w:ind w:hanging="210"/>
              <w:jc w:val="left"/>
            </w:pPr>
            <w:r>
              <w:t>Na ravni projekta se komplementar</w:t>
            </w:r>
            <w:r>
              <w:t>nost zagotavlja že v okviru faze prijave projekta, kjer mora končni upravičenec (oz. vodja projekta) za vsak projekt, ki je odobren s strani OO kot upravičen do finančnih sredstev AMIF, podati informacijo o komplementarnosti z drugimi projekti oz. viri fin</w:t>
            </w:r>
            <w:r>
              <w:t>anciranja, kadar je to relevantno.</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r>
        <w:rPr>
          <w:lang w:val="fr-BE"/>
        </w:rPr>
        <w:br w:type="page"/>
      </w:r>
      <w:bookmarkStart w:id="16" w:name="_Toc256000017"/>
      <w:r>
        <w:rPr>
          <w:noProof/>
          <w:lang w:val="fr-BE"/>
        </w:rPr>
        <w:lastRenderedPageBreak/>
        <w:t>6.6 Neposredna oddaja naročila</w:t>
      </w:r>
      <w:bookmarkEnd w:id="16"/>
    </w:p>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bookmarkStart w:id="17" w:name="_Toc256000018"/>
      <w:r>
        <w:rPr>
          <w:noProof/>
          <w:lang w:val="fr-BE"/>
        </w:rPr>
        <w:t>Utemeljite vsak primer neposredne dodelitve.</w:t>
      </w:r>
      <w:bookmarkEnd w:id="17"/>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C8670F" w:rsidTr="00003291">
        <w:tc>
          <w:tcPr>
            <w:tcW w:w="0" w:type="auto"/>
            <w:shd w:val="clear" w:color="auto" w:fill="auto"/>
          </w:tcPr>
          <w:p w:rsidR="00C8670F" w:rsidRDefault="00BD62A1">
            <w:pPr>
              <w:spacing w:before="0" w:after="240"/>
              <w:jc w:val="left"/>
            </w:pPr>
            <w:r>
              <w:t>V letu 2015 je OO izvedel kontrolo</w:t>
            </w:r>
            <w:r>
              <w:rPr>
                <w:b/>
                <w:bCs/>
              </w:rPr>
              <w:t> </w:t>
            </w:r>
            <w:r>
              <w:t xml:space="preserve">29 projektnih prijav končnih upravičencev, katerim so bila dodeljena sredstva preko neposredne </w:t>
            </w:r>
            <w:r>
              <w:t>dodelitve, v vseh primerih zaradi narave projekta oz. tehnične/upravne pristojnosti relevantnih organov.</w:t>
            </w:r>
          </w:p>
          <w:p w:rsidR="00C8670F" w:rsidRDefault="00BD62A1">
            <w:pPr>
              <w:spacing w:before="240" w:after="240"/>
              <w:jc w:val="left"/>
            </w:pPr>
            <w:r>
              <w:t>Dokument "Implementacijsko poročilo 2015 – seznam projektov AMIF in utemeljitev glede načina dodelitve" z dne 12. 10. 2016 je pripet v rubriki "Dokumen</w:t>
            </w:r>
            <w:r>
              <w:t>ti".</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BD62A1" w:rsidP="00115C60">
      <w:pPr>
        <w:pStyle w:val="Naslov1"/>
        <w:numPr>
          <w:ilvl w:val="0"/>
          <w:numId w:val="0"/>
        </w:numPr>
        <w:spacing w:before="0" w:after="0"/>
        <w:rPr>
          <w:lang w:val="fr-BE"/>
        </w:rPr>
      </w:pPr>
      <w:r>
        <w:rPr>
          <w:lang w:val="fr-BE"/>
        </w:rPr>
        <w:br w:type="page"/>
      </w:r>
      <w:bookmarkStart w:id="18" w:name="_Toc256000019"/>
      <w:r>
        <w:rPr>
          <w:noProof/>
          <w:lang w:val="fr-BE"/>
        </w:rPr>
        <w:lastRenderedPageBreak/>
        <w:t>ODDELEK 7: FINANČNO POROČILO (ČLEN 54(2)(A) UREDBE (EU) ŠT. 514/2014)</w:t>
      </w:r>
      <w:bookmarkEnd w:id="18"/>
    </w:p>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bookmarkStart w:id="19" w:name="_Toc256000020"/>
      <w:r>
        <w:rPr>
          <w:noProof/>
          <w:lang w:val="fr-BE"/>
        </w:rPr>
        <w:t>Preglednica 1. Finančni povzetek za sklad AMIF, kot je navedeno v obračunih</w:t>
      </w:r>
      <w:bookmarkEnd w:id="19"/>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51"/>
        <w:gridCol w:w="566"/>
        <w:gridCol w:w="2525"/>
        <w:gridCol w:w="566"/>
      </w:tblGrid>
      <w:tr w:rsidR="00C8670F" w:rsidTr="004677D0">
        <w:tc>
          <w:tcPr>
            <w:tcW w:w="0" w:type="auto"/>
            <w:shd w:val="clear" w:color="auto" w:fill="auto"/>
          </w:tcPr>
          <w:p w:rsidR="004677D0" w:rsidRPr="004A389B" w:rsidRDefault="00BD62A1" w:rsidP="00883A98">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4677D0" w:rsidRPr="004A389B" w:rsidRDefault="00BD62A1" w:rsidP="00883A98">
            <w:pPr>
              <w:pStyle w:val="Text1"/>
              <w:spacing w:before="0" w:after="0"/>
              <w:ind w:left="0"/>
              <w:rPr>
                <w:b/>
                <w:sz w:val="20"/>
                <w:szCs w:val="20"/>
                <w:lang w:val="fr-BE"/>
              </w:rPr>
            </w:pPr>
            <w:r w:rsidRPr="004A389B">
              <w:rPr>
                <w:b/>
                <w:noProof/>
                <w:sz w:val="20"/>
                <w:szCs w:val="20"/>
                <w:lang w:val="fr-BE"/>
              </w:rPr>
              <w:t>Skupni prispevek Unije, plačan v letu</w:t>
            </w:r>
            <w:r w:rsidR="00A505F8">
              <w:rPr>
                <w:b/>
                <w:sz w:val="20"/>
                <w:szCs w:val="20"/>
                <w:lang w:val="fr-BE"/>
              </w:rPr>
              <w:t xml:space="preserve"> </w:t>
            </w:r>
            <w:r w:rsidR="00A505F8">
              <w:rPr>
                <w:b/>
                <w:noProof/>
                <w:sz w:val="20"/>
                <w:szCs w:val="20"/>
                <w:lang w:val="fr-BE"/>
              </w:rPr>
              <w:t>2015</w:t>
            </w:r>
          </w:p>
        </w:tc>
        <w:tc>
          <w:tcPr>
            <w:tcW w:w="0" w:type="auto"/>
          </w:tcPr>
          <w:p w:rsidR="004677D0" w:rsidRPr="004A389B" w:rsidRDefault="00883A98" w:rsidP="00883A98">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4677D0" w:rsidRPr="004A389B" w:rsidRDefault="00BD62A1" w:rsidP="00883A98">
            <w:pPr>
              <w:pStyle w:val="Text1"/>
              <w:spacing w:before="0" w:after="0"/>
              <w:ind w:left="0"/>
              <w:rPr>
                <w:b/>
                <w:sz w:val="20"/>
                <w:szCs w:val="20"/>
                <w:lang w:val="fr-BE"/>
              </w:rPr>
            </w:pPr>
            <w:r w:rsidRPr="004A389B">
              <w:rPr>
                <w:b/>
                <w:noProof/>
                <w:sz w:val="20"/>
                <w:szCs w:val="20"/>
                <w:lang w:val="fr-BE"/>
              </w:rPr>
              <w:t xml:space="preserve">Plačan skupni </w:t>
            </w:r>
            <w:r w:rsidRPr="004A389B">
              <w:rPr>
                <w:b/>
                <w:noProof/>
                <w:sz w:val="20"/>
                <w:szCs w:val="20"/>
                <w:lang w:val="fr-BE"/>
              </w:rPr>
              <w:t>prispevek Unije (vsa leta)</w:t>
            </w:r>
          </w:p>
        </w:tc>
        <w:tc>
          <w:tcPr>
            <w:tcW w:w="0" w:type="auto"/>
            <w:shd w:val="clear" w:color="auto" w:fill="auto"/>
          </w:tcPr>
          <w:p w:rsidR="004677D0" w:rsidRPr="004A389B" w:rsidRDefault="00BD62A1" w:rsidP="00883A98">
            <w:pPr>
              <w:pStyle w:val="Text1"/>
              <w:spacing w:before="0" w:after="0"/>
              <w:ind w:left="0"/>
              <w:jc w:val="center"/>
              <w:rPr>
                <w:b/>
                <w:sz w:val="20"/>
                <w:szCs w:val="20"/>
                <w:lang w:val="fr-BE"/>
              </w:rPr>
            </w:pPr>
            <w:r w:rsidRPr="004A389B">
              <w:rPr>
                <w:b/>
                <w:sz w:val="20"/>
                <w:szCs w:val="20"/>
                <w:lang w:val="fr-BE"/>
              </w:rPr>
              <w:t>%</w:t>
            </w:r>
          </w:p>
        </w:tc>
      </w:tr>
      <w:tr w:rsidR="00C8670F" w:rsidTr="004677D0">
        <w:tc>
          <w:tcPr>
            <w:tcW w:w="0" w:type="auto"/>
            <w:shd w:val="clear" w:color="auto" w:fill="auto"/>
          </w:tcPr>
          <w:p w:rsidR="004677D0" w:rsidRPr="004A389B" w:rsidRDefault="00BD62A1" w:rsidP="004677D0">
            <w:pPr>
              <w:pStyle w:val="Text1"/>
              <w:spacing w:before="0" w:after="0"/>
              <w:ind w:left="0"/>
              <w:rPr>
                <w:sz w:val="20"/>
                <w:szCs w:val="20"/>
                <w:lang w:val="fr-BE"/>
              </w:rPr>
            </w:pPr>
            <w:r w:rsidRPr="004A389B">
              <w:rPr>
                <w:b/>
                <w:noProof/>
                <w:sz w:val="20"/>
                <w:szCs w:val="20"/>
              </w:rPr>
              <w:t>SKUPAJ posebni primeri</w:t>
            </w:r>
          </w:p>
        </w:tc>
        <w:tc>
          <w:tcPr>
            <w:tcW w:w="0" w:type="auto"/>
          </w:tcPr>
          <w:p w:rsidR="004677D0" w:rsidRPr="004A389B" w:rsidRDefault="00BD62A1" w:rsidP="004677D0">
            <w:pPr>
              <w:pStyle w:val="Text1"/>
              <w:spacing w:before="0" w:after="0"/>
              <w:ind w:left="0"/>
              <w:jc w:val="right"/>
              <w:rPr>
                <w:sz w:val="20"/>
                <w:szCs w:val="20"/>
                <w:lang w:val="fr-BE"/>
              </w:rPr>
            </w:pPr>
            <w:r w:rsidRPr="004A389B">
              <w:rPr>
                <w:b/>
                <w:noProof/>
                <w:sz w:val="20"/>
                <w:szCs w:val="20"/>
              </w:rPr>
              <w:t>0,00</w:t>
            </w:r>
          </w:p>
        </w:tc>
        <w:tc>
          <w:tcPr>
            <w:tcW w:w="0" w:type="auto"/>
          </w:tcPr>
          <w:p w:rsidR="004677D0" w:rsidRPr="004A389B" w:rsidRDefault="00BD62A1" w:rsidP="00883A98">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4677D0" w:rsidRPr="004A389B" w:rsidRDefault="00BD62A1" w:rsidP="004677D0">
            <w:pPr>
              <w:pStyle w:val="Text1"/>
              <w:spacing w:before="0" w:after="0"/>
              <w:ind w:left="0"/>
              <w:jc w:val="right"/>
              <w:rPr>
                <w:sz w:val="20"/>
                <w:szCs w:val="20"/>
                <w:lang w:val="fr-BE"/>
              </w:rPr>
            </w:pPr>
            <w:r>
              <w:rPr>
                <w:b/>
                <w:noProof/>
                <w:sz w:val="20"/>
                <w:szCs w:val="20"/>
              </w:rPr>
              <w:t>0,00</w:t>
            </w:r>
          </w:p>
        </w:tc>
        <w:tc>
          <w:tcPr>
            <w:tcW w:w="0" w:type="auto"/>
            <w:shd w:val="clear" w:color="auto" w:fill="auto"/>
          </w:tcPr>
          <w:p w:rsidR="004677D0" w:rsidRPr="004A389B" w:rsidRDefault="00BD62A1" w:rsidP="00883A98">
            <w:pPr>
              <w:pStyle w:val="Text1"/>
              <w:spacing w:before="0" w:after="0"/>
              <w:ind w:left="0"/>
              <w:jc w:val="right"/>
              <w:rPr>
                <w:sz w:val="20"/>
                <w:szCs w:val="20"/>
                <w:lang w:val="fr-BE"/>
              </w:rPr>
            </w:pPr>
            <w:r w:rsidRPr="004A389B">
              <w:rPr>
                <w:b/>
                <w:noProof/>
                <w:sz w:val="20"/>
                <w:szCs w:val="20"/>
              </w:rPr>
              <w:t>0,00</w:t>
            </w:r>
          </w:p>
        </w:tc>
      </w:tr>
      <w:tr w:rsidR="00C8670F" w:rsidTr="004677D0">
        <w:tc>
          <w:tcPr>
            <w:tcW w:w="0" w:type="auto"/>
            <w:shd w:val="clear" w:color="auto" w:fill="auto"/>
          </w:tcPr>
          <w:p w:rsidR="004677D0" w:rsidRPr="004A389B" w:rsidRDefault="00BD62A1" w:rsidP="004677D0">
            <w:pPr>
              <w:pStyle w:val="Text1"/>
              <w:spacing w:before="0" w:after="0"/>
              <w:ind w:left="0"/>
              <w:rPr>
                <w:sz w:val="20"/>
                <w:szCs w:val="20"/>
                <w:lang w:val="fr-BE"/>
              </w:rPr>
            </w:pPr>
            <w:r w:rsidRPr="004A389B">
              <w:rPr>
                <w:noProof/>
                <w:sz w:val="20"/>
                <w:szCs w:val="20"/>
              </w:rPr>
              <w:t>Tehnična pomoč</w:t>
            </w:r>
          </w:p>
        </w:tc>
        <w:tc>
          <w:tcPr>
            <w:tcW w:w="0" w:type="auto"/>
          </w:tcPr>
          <w:p w:rsidR="004677D0" w:rsidRPr="004A389B" w:rsidRDefault="00BD62A1"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BD62A1"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BD62A1" w:rsidP="004677D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BD62A1" w:rsidP="00883A98">
            <w:pPr>
              <w:pStyle w:val="Text1"/>
              <w:spacing w:before="0" w:after="0"/>
              <w:ind w:left="0"/>
              <w:jc w:val="right"/>
              <w:rPr>
                <w:sz w:val="20"/>
                <w:szCs w:val="20"/>
                <w:lang w:val="fr-BE"/>
              </w:rPr>
            </w:pPr>
            <w:r w:rsidRPr="004A389B">
              <w:rPr>
                <w:noProof/>
                <w:sz w:val="20"/>
                <w:szCs w:val="20"/>
              </w:rPr>
              <w:t>0,00</w:t>
            </w:r>
          </w:p>
        </w:tc>
      </w:tr>
      <w:tr w:rsidR="00C8670F" w:rsidTr="004677D0">
        <w:tc>
          <w:tcPr>
            <w:tcW w:w="0" w:type="auto"/>
            <w:shd w:val="clear" w:color="auto" w:fill="auto"/>
          </w:tcPr>
          <w:p w:rsidR="004677D0" w:rsidRPr="004A389B" w:rsidRDefault="00BD62A1" w:rsidP="004677D0">
            <w:pPr>
              <w:pStyle w:val="Text1"/>
              <w:spacing w:before="0" w:after="0"/>
              <w:ind w:left="0"/>
              <w:rPr>
                <w:sz w:val="20"/>
                <w:szCs w:val="20"/>
                <w:lang w:val="fr-BE"/>
              </w:rPr>
            </w:pPr>
            <w:r w:rsidRPr="004A389B">
              <w:rPr>
                <w:b/>
                <w:noProof/>
                <w:sz w:val="20"/>
                <w:szCs w:val="20"/>
              </w:rPr>
              <w:t>TOTAL</w:t>
            </w:r>
          </w:p>
        </w:tc>
        <w:tc>
          <w:tcPr>
            <w:tcW w:w="0" w:type="auto"/>
          </w:tcPr>
          <w:p w:rsidR="004677D0" w:rsidRPr="004A389B" w:rsidRDefault="00BD62A1" w:rsidP="004677D0">
            <w:pPr>
              <w:pStyle w:val="Text1"/>
              <w:spacing w:before="0" w:after="0"/>
              <w:ind w:left="0"/>
              <w:jc w:val="right"/>
              <w:rPr>
                <w:sz w:val="20"/>
                <w:szCs w:val="20"/>
                <w:lang w:val="fr-BE"/>
              </w:rPr>
            </w:pPr>
            <w:r w:rsidRPr="004A389B">
              <w:rPr>
                <w:b/>
                <w:noProof/>
                <w:sz w:val="20"/>
                <w:szCs w:val="20"/>
              </w:rPr>
              <w:t>0,00</w:t>
            </w:r>
          </w:p>
        </w:tc>
        <w:tc>
          <w:tcPr>
            <w:tcW w:w="0" w:type="auto"/>
          </w:tcPr>
          <w:p w:rsidR="004677D0" w:rsidRPr="004A389B" w:rsidRDefault="004677D0" w:rsidP="00883A98">
            <w:pPr>
              <w:pStyle w:val="Text1"/>
              <w:spacing w:before="0" w:after="0"/>
              <w:ind w:left="0"/>
              <w:jc w:val="right"/>
              <w:rPr>
                <w:sz w:val="20"/>
                <w:szCs w:val="20"/>
                <w:lang w:val="fr-BE"/>
              </w:rPr>
            </w:pPr>
          </w:p>
        </w:tc>
        <w:tc>
          <w:tcPr>
            <w:tcW w:w="0" w:type="auto"/>
            <w:shd w:val="clear" w:color="auto" w:fill="auto"/>
          </w:tcPr>
          <w:p w:rsidR="004677D0" w:rsidRPr="004A389B" w:rsidRDefault="00BD62A1" w:rsidP="004677D0">
            <w:pPr>
              <w:pStyle w:val="Text1"/>
              <w:spacing w:before="0" w:after="0"/>
              <w:ind w:left="0"/>
              <w:jc w:val="right"/>
              <w:rPr>
                <w:sz w:val="20"/>
                <w:szCs w:val="20"/>
                <w:lang w:val="fr-BE"/>
              </w:rPr>
            </w:pPr>
            <w:r>
              <w:rPr>
                <w:b/>
                <w:noProof/>
                <w:sz w:val="20"/>
                <w:szCs w:val="20"/>
              </w:rPr>
              <w:t>0,00</w:t>
            </w:r>
          </w:p>
        </w:tc>
        <w:tc>
          <w:tcPr>
            <w:tcW w:w="0" w:type="auto"/>
            <w:shd w:val="clear" w:color="auto" w:fill="auto"/>
          </w:tcPr>
          <w:p w:rsidR="004677D0" w:rsidRPr="004A389B" w:rsidRDefault="004677D0" w:rsidP="00883A98">
            <w:pPr>
              <w:pStyle w:val="Text1"/>
              <w:spacing w:before="0" w:after="0"/>
              <w:ind w:left="0"/>
              <w:jc w:val="right"/>
              <w:rPr>
                <w:sz w:val="20"/>
                <w:szCs w:val="20"/>
                <w:lang w:val="fr-BE"/>
              </w:rPr>
            </w:pPr>
          </w:p>
        </w:tc>
      </w:tr>
      <w:tr w:rsidR="00C8670F" w:rsidTr="004677D0">
        <w:tc>
          <w:tcPr>
            <w:tcW w:w="0" w:type="auto"/>
            <w:shd w:val="clear" w:color="auto" w:fill="auto"/>
          </w:tcPr>
          <w:p w:rsidR="004677D0" w:rsidRPr="004A389B" w:rsidRDefault="00BD62A1" w:rsidP="004677D0">
            <w:pPr>
              <w:pStyle w:val="Text1"/>
              <w:spacing w:before="0" w:after="0"/>
              <w:ind w:left="0"/>
              <w:rPr>
                <w:sz w:val="20"/>
                <w:szCs w:val="20"/>
                <w:lang w:val="fr-BE"/>
              </w:rPr>
            </w:pPr>
            <w:r w:rsidRPr="004A389B">
              <w:rPr>
                <w:noProof/>
                <w:color w:val="FF0000"/>
                <w:sz w:val="20"/>
                <w:szCs w:val="20"/>
              </w:rPr>
              <w:t>NC PC1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BD62A1" w:rsidP="00883A98">
            <w:pPr>
              <w:pStyle w:val="Text1"/>
              <w:spacing w:before="0" w:after="0"/>
              <w:ind w:left="0"/>
              <w:jc w:val="right"/>
              <w:rPr>
                <w:sz w:val="20"/>
                <w:szCs w:val="20"/>
                <w:lang w:val="fr-BE"/>
              </w:rPr>
            </w:pPr>
            <w:r w:rsidRPr="004A389B">
              <w:rPr>
                <w:noProof/>
                <w:color w:val="FF0000"/>
                <w:sz w:val="20"/>
                <w:szCs w:val="20"/>
              </w:rPr>
              <w:t>0,00</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BD62A1" w:rsidP="00883A98">
            <w:pPr>
              <w:pStyle w:val="Text1"/>
              <w:spacing w:before="0" w:after="0"/>
              <w:ind w:left="0"/>
              <w:jc w:val="right"/>
              <w:rPr>
                <w:sz w:val="20"/>
                <w:szCs w:val="20"/>
                <w:lang w:val="fr-BE"/>
              </w:rPr>
            </w:pPr>
            <w:r w:rsidRPr="004A389B">
              <w:rPr>
                <w:noProof/>
                <w:color w:val="FF0000"/>
                <w:sz w:val="20"/>
                <w:szCs w:val="20"/>
              </w:rPr>
              <w:t>0,00</w:t>
            </w:r>
          </w:p>
        </w:tc>
      </w:tr>
      <w:tr w:rsidR="00C8670F" w:rsidTr="004677D0">
        <w:tc>
          <w:tcPr>
            <w:tcW w:w="0" w:type="auto"/>
            <w:shd w:val="clear" w:color="auto" w:fill="auto"/>
          </w:tcPr>
          <w:p w:rsidR="004677D0" w:rsidRPr="004A389B" w:rsidRDefault="00BD62A1" w:rsidP="004677D0">
            <w:pPr>
              <w:pStyle w:val="Text1"/>
              <w:spacing w:before="0" w:after="0"/>
              <w:ind w:left="0"/>
              <w:rPr>
                <w:sz w:val="20"/>
                <w:szCs w:val="20"/>
                <w:lang w:val="fr-BE"/>
              </w:rPr>
            </w:pPr>
            <w:r w:rsidRPr="004A389B">
              <w:rPr>
                <w:noProof/>
                <w:color w:val="FF0000"/>
                <w:sz w:val="20"/>
                <w:szCs w:val="20"/>
              </w:rPr>
              <w:t xml:space="preserve">NC PC2 skupaj / Osnovna </w:t>
            </w:r>
            <w:r w:rsidRPr="004A389B">
              <w:rPr>
                <w:noProof/>
                <w:color w:val="FF0000"/>
                <w:sz w:val="20"/>
                <w:szCs w:val="20"/>
              </w:rPr>
              <w:t>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BD62A1" w:rsidP="00883A98">
            <w:pPr>
              <w:pStyle w:val="Text1"/>
              <w:spacing w:before="0" w:after="0"/>
              <w:ind w:left="0"/>
              <w:jc w:val="right"/>
              <w:rPr>
                <w:sz w:val="20"/>
                <w:szCs w:val="20"/>
                <w:lang w:val="fr-BE"/>
              </w:rPr>
            </w:pPr>
            <w:r w:rsidRPr="004A389B">
              <w:rPr>
                <w:noProof/>
                <w:color w:val="FF0000"/>
                <w:sz w:val="20"/>
                <w:szCs w:val="20"/>
              </w:rPr>
              <w:t>0,00</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BD62A1" w:rsidP="00883A98">
            <w:pPr>
              <w:pStyle w:val="Text1"/>
              <w:spacing w:before="0" w:after="0"/>
              <w:ind w:left="0"/>
              <w:jc w:val="right"/>
              <w:rPr>
                <w:sz w:val="20"/>
                <w:szCs w:val="20"/>
                <w:lang w:val="fr-BE"/>
              </w:rPr>
            </w:pPr>
            <w:r w:rsidRPr="004A389B">
              <w:rPr>
                <w:noProof/>
                <w:color w:val="FF0000"/>
                <w:sz w:val="20"/>
                <w:szCs w:val="20"/>
              </w:rPr>
              <w:t>0,00</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72625A">
          <w:headerReference w:type="default" r:id="rId16"/>
          <w:footerReference w:type="default" r:id="rId17"/>
          <w:pgSz w:w="11906" w:h="16838"/>
          <w:pgMar w:top="284" w:right="851" w:bottom="284" w:left="284" w:header="567" w:footer="0" w:gutter="0"/>
          <w:cols w:space="708"/>
          <w:docGrid w:linePitch="360"/>
        </w:sectPr>
      </w:pPr>
    </w:p>
    <w:p w:rsidR="00115C60" w:rsidRDefault="00BD62A1" w:rsidP="00115C60">
      <w:pPr>
        <w:pStyle w:val="Naslov2"/>
        <w:numPr>
          <w:ilvl w:val="0"/>
          <w:numId w:val="0"/>
        </w:numPr>
        <w:spacing w:before="0" w:after="0"/>
        <w:rPr>
          <w:lang w:val="fr-BE"/>
        </w:rPr>
      </w:pPr>
      <w:bookmarkStart w:id="20" w:name="_Toc256000021"/>
      <w:r>
        <w:rPr>
          <w:noProof/>
          <w:lang w:val="fr-BE"/>
        </w:rPr>
        <w:lastRenderedPageBreak/>
        <w:t>Preglednica 2. Obljubljena sredstva za posebne primere, kot je navedeno v obračunih</w:t>
      </w:r>
      <w:bookmarkEnd w:id="20"/>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16"/>
        <w:gridCol w:w="918"/>
        <w:gridCol w:w="918"/>
        <w:gridCol w:w="917"/>
        <w:gridCol w:w="917"/>
        <w:gridCol w:w="917"/>
        <w:gridCol w:w="917"/>
        <w:gridCol w:w="917"/>
        <w:gridCol w:w="917"/>
        <w:gridCol w:w="917"/>
        <w:gridCol w:w="917"/>
        <w:gridCol w:w="1246"/>
      </w:tblGrid>
      <w:tr w:rsidR="00C8670F" w:rsidTr="00003291">
        <w:tc>
          <w:tcPr>
            <w:tcW w:w="0" w:type="auto"/>
            <w:shd w:val="clear" w:color="auto" w:fill="auto"/>
          </w:tcPr>
          <w:p w:rsidR="00115C60" w:rsidRPr="004A389B" w:rsidRDefault="00BD62A1" w:rsidP="00003291">
            <w:pPr>
              <w:pStyle w:val="Text1"/>
              <w:spacing w:before="0" w:after="0"/>
              <w:ind w:left="0"/>
              <w:rPr>
                <w:b/>
                <w:sz w:val="12"/>
                <w:szCs w:val="12"/>
                <w:lang w:val="fr-BE"/>
              </w:rPr>
            </w:pPr>
            <w:r w:rsidRPr="004A389B">
              <w:rPr>
                <w:b/>
                <w:noProof/>
                <w:sz w:val="12"/>
                <w:szCs w:val="12"/>
                <w:lang w:val="fr-BE"/>
              </w:rPr>
              <w:t>Posebni primer zavez</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noProof/>
                <w:sz w:val="12"/>
                <w:szCs w:val="12"/>
                <w:lang w:val="fr-BE"/>
              </w:rPr>
              <w:t>Skupaj</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Preselitve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Premestitve (2015/1523)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Premestitve (2015/1601)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Država članica: 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Sprejem iz Turčije (2016/1754)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b/>
                <w:noProof/>
                <w:sz w:val="12"/>
                <w:szCs w:val="12"/>
                <w:lang w:val="fr-BE"/>
              </w:rPr>
              <w:t>SKUPAJ</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r>
    </w:tbl>
    <w:p w:rsidR="00115C60" w:rsidRDefault="00115C60" w:rsidP="00115C60">
      <w:pPr>
        <w:pStyle w:val="Text1"/>
        <w:spacing w:before="0" w:after="0"/>
        <w:ind w:left="0"/>
        <w:rPr>
          <w:lang w:val="fr-BE"/>
        </w:rPr>
      </w:pPr>
    </w:p>
    <w:p w:rsidR="00115C60" w:rsidRDefault="00BD62A1" w:rsidP="00115C60">
      <w:pPr>
        <w:pStyle w:val="Naslov2"/>
        <w:numPr>
          <w:ilvl w:val="0"/>
          <w:numId w:val="0"/>
        </w:numPr>
        <w:spacing w:before="0" w:after="0"/>
        <w:rPr>
          <w:lang w:val="fr-BE"/>
        </w:rPr>
      </w:pPr>
      <w:r>
        <w:rPr>
          <w:lang w:val="fr-BE"/>
        </w:rPr>
        <w:br w:type="page"/>
      </w:r>
      <w:bookmarkStart w:id="21" w:name="_Toc256000022"/>
      <w:r>
        <w:rPr>
          <w:noProof/>
          <w:lang w:val="fr-BE"/>
        </w:rPr>
        <w:lastRenderedPageBreak/>
        <w:t xml:space="preserve">Preglednica 3. Izvajanje finančnega načrta nacionalnega programa, pri čemer je naveden skupni prispevek EU za vsako proračunsko </w:t>
      </w:r>
      <w:r>
        <w:rPr>
          <w:noProof/>
          <w:lang w:val="fr-BE"/>
        </w:rPr>
        <w:t>leto</w:t>
      </w:r>
      <w:bookmarkEnd w:id="21"/>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28"/>
        <w:gridCol w:w="1210"/>
        <w:gridCol w:w="1210"/>
        <w:gridCol w:w="1210"/>
        <w:gridCol w:w="1210"/>
        <w:gridCol w:w="1210"/>
        <w:gridCol w:w="1210"/>
        <w:gridCol w:w="1210"/>
        <w:gridCol w:w="576"/>
        <w:gridCol w:w="576"/>
        <w:gridCol w:w="576"/>
        <w:gridCol w:w="1308"/>
      </w:tblGrid>
      <w:tr w:rsidR="00C8670F" w:rsidTr="00003291">
        <w:tc>
          <w:tcPr>
            <w:tcW w:w="0" w:type="auto"/>
            <w:shd w:val="clear" w:color="auto" w:fill="auto"/>
          </w:tcPr>
          <w:p w:rsidR="00115C60" w:rsidRPr="004A389B" w:rsidRDefault="00115C60" w:rsidP="00003291">
            <w:pPr>
              <w:pStyle w:val="Text1"/>
              <w:spacing w:before="0" w:after="0"/>
              <w:ind w:left="0"/>
              <w:rPr>
                <w:b/>
                <w:sz w:val="12"/>
                <w:szCs w:val="12"/>
                <w:lang w:val="fr-BE"/>
              </w:rPr>
            </w:pP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BD62A1" w:rsidP="00003291">
            <w:pPr>
              <w:pStyle w:val="Text1"/>
              <w:spacing w:before="0" w:after="0"/>
              <w:ind w:left="0"/>
              <w:jc w:val="center"/>
              <w:rPr>
                <w:b/>
                <w:sz w:val="12"/>
                <w:szCs w:val="12"/>
                <w:lang w:val="fr-BE"/>
              </w:rPr>
            </w:pPr>
            <w:r w:rsidRPr="004A389B">
              <w:rPr>
                <w:b/>
                <w:noProof/>
                <w:sz w:val="12"/>
                <w:szCs w:val="12"/>
                <w:lang w:val="fr-BE"/>
              </w:rPr>
              <w:t>Skupaj</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Načrtovano na področju vključevanja in vračanja</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1.435.734,75</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1.546.174,00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1.435.733,00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1.767.057,00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1.546.174,00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1.877.498,00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11.044.107,75</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 xml:space="preserve">Izvedeno na </w:t>
            </w:r>
            <w:r w:rsidRPr="004A389B">
              <w:rPr>
                <w:noProof/>
                <w:sz w:val="12"/>
                <w:szCs w:val="12"/>
                <w:lang w:val="fr-BE"/>
              </w:rPr>
              <w:t>področju vključevanja in vračanja</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Načrtovano na področju azila in solidarnosti</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478.580,25</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3.822.528,00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559.447,00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673.531,00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547.015,00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664.024,00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7.283.369,25</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noProof/>
                <w:sz w:val="12"/>
                <w:szCs w:val="12"/>
                <w:lang w:val="fr-BE"/>
              </w:rPr>
              <w:t>0,00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1.914.315,00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5.368.702,00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1.995.180,00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2.440.588,00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2.093.189,00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2.541.522,00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18.327.477,00</w:t>
            </w:r>
          </w:p>
        </w:tc>
      </w:tr>
      <w:tr w:rsidR="00C8670F" w:rsidTr="00003291">
        <w:tc>
          <w:tcPr>
            <w:tcW w:w="0" w:type="auto"/>
            <w:shd w:val="clear" w:color="auto" w:fill="auto"/>
          </w:tcPr>
          <w:p w:rsidR="00115C60" w:rsidRPr="004A389B" w:rsidRDefault="00BD62A1" w:rsidP="00003291">
            <w:pPr>
              <w:pStyle w:val="Text1"/>
              <w:spacing w:before="0" w:after="0"/>
              <w:ind w:left="0"/>
              <w:rPr>
                <w:sz w:val="12"/>
                <w:szCs w:val="12"/>
                <w:lang w:val="fr-BE"/>
              </w:rPr>
            </w:pPr>
            <w:r w:rsidRPr="004A389B">
              <w:rPr>
                <w:b/>
                <w:noProof/>
                <w:sz w:val="12"/>
                <w:szCs w:val="12"/>
                <w:lang w:val="fr-BE"/>
              </w:rPr>
              <w:t xml:space="preserve">Izvedeno </w:t>
            </w:r>
            <w:r w:rsidRPr="004A389B">
              <w:rPr>
                <w:b/>
                <w:noProof/>
                <w:sz w:val="12"/>
                <w:szCs w:val="12"/>
                <w:lang w:val="fr-BE"/>
              </w:rPr>
              <w:t>skupaj</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BD62A1" w:rsidP="00003291">
            <w:pPr>
              <w:pStyle w:val="Text1"/>
              <w:spacing w:before="0" w:after="0"/>
              <w:ind w:left="0"/>
              <w:jc w:val="right"/>
              <w:rPr>
                <w:sz w:val="12"/>
                <w:szCs w:val="12"/>
                <w:lang w:val="fr-BE"/>
              </w:rPr>
            </w:pPr>
            <w:r w:rsidRPr="004A389B">
              <w:rPr>
                <w:b/>
                <w:noProof/>
                <w:sz w:val="12"/>
                <w:szCs w:val="12"/>
                <w:lang w:val="fr-BE"/>
              </w:rPr>
              <w:t>0,00</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DB4153">
          <w:headerReference w:type="default" r:id="rId18"/>
          <w:footerReference w:type="default" r:id="rId19"/>
          <w:pgSz w:w="16838" w:h="11906" w:orient="landscape"/>
          <w:pgMar w:top="0" w:right="567" w:bottom="0" w:left="851" w:header="0" w:footer="284" w:gutter="0"/>
          <w:cols w:space="708"/>
          <w:docGrid w:linePitch="360"/>
        </w:sectPr>
      </w:pPr>
    </w:p>
    <w:p w:rsidR="00115C60" w:rsidRDefault="00BD62A1" w:rsidP="00115C60">
      <w:pPr>
        <w:pStyle w:val="Naslov2"/>
        <w:numPr>
          <w:ilvl w:val="0"/>
          <w:numId w:val="0"/>
        </w:numPr>
        <w:spacing w:before="0" w:after="0"/>
        <w:rPr>
          <w:lang w:val="fr-BE"/>
        </w:rPr>
      </w:pPr>
      <w:bookmarkStart w:id="22" w:name="_Toc256000023"/>
      <w:r>
        <w:rPr>
          <w:noProof/>
          <w:lang w:val="fr-BE"/>
        </w:rPr>
        <w:lastRenderedPageBreak/>
        <w:t>Utemeljitev morebitnega odstopanja od najnižjih deležev, določenih v posebni uredbi.</w:t>
      </w:r>
      <w:bookmarkEnd w:id="22"/>
    </w:p>
    <w:p w:rsidR="00115C60" w:rsidRDefault="00115C60" w:rsidP="00115C60">
      <w:pPr>
        <w:pStyle w:val="Text1"/>
        <w:spacing w:before="0" w:after="0"/>
        <w:ind w:left="0"/>
        <w:rPr>
          <w:lang w:val="fr-BE"/>
        </w:rPr>
      </w:pPr>
    </w:p>
    <w:p w:rsidR="00115C60" w:rsidRDefault="00BD62A1" w:rsidP="00115C60">
      <w:pPr>
        <w:pStyle w:val="Text1"/>
        <w:spacing w:before="0" w:after="0"/>
        <w:ind w:left="0"/>
        <w:rPr>
          <w:lang w:val="fr-BE"/>
        </w:rPr>
      </w:pPr>
      <w:r>
        <w:rPr>
          <w:noProof/>
          <w:lang w:val="fr-BE"/>
        </w:rPr>
        <w:t xml:space="preserve">(Le če stanje ni tako, kot je določeno v </w:t>
      </w:r>
      <w:r>
        <w:rPr>
          <w:noProof/>
          <w:lang w:val="fr-BE"/>
        </w:rPr>
        <w:t>odobrenem nacionalnem programu, člen 14(5)(b) Uredbe (EU) št. 514/2014.)</w:t>
      </w:r>
    </w:p>
    <w:p w:rsidR="00115C60" w:rsidRDefault="00115C60" w:rsidP="00115C60">
      <w:pPr>
        <w:pStyle w:val="Text1"/>
        <w:spacing w:before="0" w:after="0"/>
        <w:ind w:left="0"/>
        <w:rPr>
          <w:lang w:val="fr-BE"/>
        </w:rPr>
      </w:pPr>
    </w:p>
    <w:p w:rsidR="00115C60" w:rsidRDefault="00BD62A1" w:rsidP="00115C60">
      <w:pPr>
        <w:pStyle w:val="Text1"/>
        <w:spacing w:before="0" w:after="0"/>
        <w:ind w:left="0"/>
        <w:rPr>
          <w:lang w:val="fr-BE"/>
        </w:rPr>
      </w:pPr>
      <w:r>
        <w:rPr>
          <w:noProof/>
          <w:lang w:val="fr-BE"/>
        </w:rPr>
        <w:t>Podrobno obrazložite odstopanja od najnižjih deležev, določenih v posebnih uredbah.</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C8670F" w:rsidTr="00003291">
        <w:tc>
          <w:tcPr>
            <w:tcW w:w="0" w:type="auto"/>
            <w:shd w:val="clear" w:color="auto" w:fill="auto"/>
          </w:tcPr>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BD62A1" w:rsidP="00115C60">
      <w:pPr>
        <w:pStyle w:val="Naslov1"/>
        <w:numPr>
          <w:ilvl w:val="0"/>
          <w:numId w:val="0"/>
        </w:numPr>
        <w:spacing w:before="0" w:after="0"/>
        <w:rPr>
          <w:lang w:val="fr-BE"/>
        </w:rPr>
      </w:pPr>
      <w:r>
        <w:rPr>
          <w:lang w:val="fr-BE"/>
        </w:rPr>
        <w:br w:type="page"/>
      </w:r>
      <w:bookmarkStart w:id="23" w:name="_Toc256000024"/>
      <w:r>
        <w:rPr>
          <w:noProof/>
          <w:lang w:val="fr-BE"/>
        </w:rPr>
        <w:lastRenderedPageBreak/>
        <w:t>ODDELEK 8: OBVEZNOSTI V OBLIKI DOGOVORA</w:t>
      </w:r>
      <w:bookmarkEnd w:id="2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7366"/>
        <w:gridCol w:w="2404"/>
      </w:tblGrid>
      <w:tr w:rsidR="00C8670F" w:rsidTr="00003291">
        <w:tc>
          <w:tcPr>
            <w:tcW w:w="0" w:type="auto"/>
            <w:shd w:val="clear" w:color="auto" w:fill="auto"/>
          </w:tcPr>
          <w:p w:rsidR="00115C60" w:rsidRPr="00B81F97" w:rsidRDefault="00BD62A1" w:rsidP="00003291">
            <w:pPr>
              <w:pStyle w:val="Text1"/>
              <w:spacing w:before="0" w:after="0"/>
              <w:ind w:left="0"/>
              <w:rPr>
                <w:b/>
                <w:lang w:val="fr-BE"/>
              </w:rPr>
            </w:pPr>
            <w:r w:rsidRPr="00B81F97">
              <w:rPr>
                <w:b/>
                <w:noProof/>
                <w:lang w:val="fr-BE"/>
              </w:rPr>
              <w:t>Posebni cilj</w:t>
            </w:r>
          </w:p>
        </w:tc>
        <w:tc>
          <w:tcPr>
            <w:tcW w:w="0" w:type="auto"/>
            <w:shd w:val="clear" w:color="auto" w:fill="auto"/>
          </w:tcPr>
          <w:p w:rsidR="00115C60" w:rsidRPr="00B81F97" w:rsidRDefault="00BD62A1" w:rsidP="00003291">
            <w:pPr>
              <w:pStyle w:val="Text1"/>
              <w:spacing w:before="0" w:after="0"/>
              <w:ind w:left="0"/>
              <w:rPr>
                <w:b/>
                <w:lang w:val="fr-BE"/>
              </w:rPr>
            </w:pPr>
            <w:r w:rsidRPr="00B81F97">
              <w:rPr>
                <w:b/>
                <w:noProof/>
                <w:lang w:val="fr-BE"/>
              </w:rPr>
              <w:t xml:space="preserve">Skupni znesek v EUR, dodeljen (s </w:t>
            </w:r>
            <w:r w:rsidRPr="00B81F97">
              <w:rPr>
                <w:b/>
                <w:noProof/>
                <w:lang w:val="fr-BE"/>
              </w:rPr>
              <w:t>pogodbo, kot nepovratna sredstva ali z drugim sporazumom) do datuma tega poročila</w:t>
            </w:r>
          </w:p>
        </w:tc>
        <w:tc>
          <w:tcPr>
            <w:tcW w:w="0" w:type="auto"/>
            <w:shd w:val="clear" w:color="auto" w:fill="auto"/>
          </w:tcPr>
          <w:p w:rsidR="00115C60" w:rsidRPr="00B81F97" w:rsidRDefault="00BD62A1" w:rsidP="00003291">
            <w:pPr>
              <w:pStyle w:val="Text1"/>
              <w:spacing w:before="0" w:after="0"/>
              <w:ind w:left="0"/>
              <w:rPr>
                <w:b/>
                <w:lang w:val="fr-BE"/>
              </w:rPr>
            </w:pPr>
            <w:r w:rsidRPr="00B81F97">
              <w:rPr>
                <w:b/>
                <w:noProof/>
                <w:lang w:val="fr-BE"/>
              </w:rPr>
              <w:t>% skupnih povezanih dodelitev</w:t>
            </w:r>
          </w:p>
        </w:tc>
      </w:tr>
    </w:tbl>
    <w:p w:rsidR="00115C60" w:rsidRPr="00E22750" w:rsidRDefault="00115C60" w:rsidP="00115C60">
      <w:pPr>
        <w:pStyle w:val="Text1"/>
        <w:spacing w:before="0" w:after="0"/>
        <w:ind w:left="0"/>
        <w:rPr>
          <w:lang w:val="fr-BE"/>
        </w:rPr>
      </w:pPr>
    </w:p>
    <w:p w:rsidR="00115C60" w:rsidRDefault="00115C60" w:rsidP="00115C60">
      <w:pPr>
        <w:spacing w:before="0" w:after="0"/>
      </w:pPr>
    </w:p>
    <w:p w:rsidR="00094173" w:rsidRPr="00115C60" w:rsidRDefault="00094173" w:rsidP="00115C60">
      <w:pPr>
        <w:sectPr w:rsidR="00094173" w:rsidRPr="00115C60" w:rsidSect="00DB4153">
          <w:headerReference w:type="default" r:id="rId20"/>
          <w:footerReference w:type="default" r:id="rId21"/>
          <w:headerReference w:type="first" r:id="rId22"/>
          <w:footerReference w:type="first" r:id="rId23"/>
          <w:pgSz w:w="11906" w:h="16838"/>
          <w:pgMar w:top="284" w:right="851" w:bottom="284" w:left="284" w:header="567" w:footer="0" w:gutter="0"/>
          <w:cols w:space="708"/>
          <w:docGrid w:linePitch="360"/>
        </w:sectPr>
      </w:pPr>
    </w:p>
    <w:p w:rsidR="00D5077A" w:rsidRDefault="00BD62A1" w:rsidP="00BE2F0F">
      <w:pPr>
        <w:pStyle w:val="Heading10"/>
        <w:tabs>
          <w:tab w:val="clear" w:pos="850"/>
        </w:tabs>
        <w:ind w:left="0" w:right="-283" w:firstLine="0"/>
      </w:pPr>
      <w:bookmarkStart w:id="24" w:name="_Toc256000025"/>
      <w:r>
        <w:rPr>
          <w:noProof/>
        </w:rPr>
        <w:lastRenderedPageBreak/>
        <w:t>Dokumenti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436"/>
        <w:gridCol w:w="1247"/>
        <w:gridCol w:w="926"/>
        <w:gridCol w:w="1862"/>
        <w:gridCol w:w="2765"/>
        <w:gridCol w:w="1171"/>
        <w:gridCol w:w="901"/>
      </w:tblGrid>
      <w:tr w:rsidR="00C8670F" w:rsidTr="00A67CCA">
        <w:trPr>
          <w:trHeight w:val="283"/>
          <w:tblHeader/>
        </w:trPr>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 xml:space="preserve">Referenčna številka </w:t>
            </w:r>
            <w:r>
              <w:rPr>
                <w:b/>
                <w:noProof/>
                <w:sz w:val="16"/>
                <w:szCs w:val="16"/>
              </w:rPr>
              <w:t>Komisije</w:t>
            </w:r>
          </w:p>
        </w:tc>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BD62A1" w:rsidP="002E06F3">
            <w:pPr>
              <w:pStyle w:val="NormalCentered"/>
              <w:spacing w:before="0" w:after="0"/>
              <w:rPr>
                <w:b/>
                <w:sz w:val="16"/>
                <w:szCs w:val="16"/>
              </w:rPr>
            </w:pPr>
            <w:r>
              <w:rPr>
                <w:b/>
                <w:noProof/>
                <w:sz w:val="16"/>
                <w:szCs w:val="16"/>
              </w:rPr>
              <w:t>Pošiljatelj</w:t>
            </w:r>
          </w:p>
        </w:tc>
      </w:tr>
      <w:tr w:rsidR="00C8670F" w:rsidTr="00A67CCA">
        <w:trPr>
          <w:trHeight w:val="283"/>
        </w:trPr>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Informacijski dogodek »Skladi na področju notranjih zadev – zaključek programov SOLID in začetek izvajanja AMIF ter ISF«, 11.12.2015</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3.12.2015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Ares(2016)5952101</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 xml:space="preserve">Objava vabila za </w:t>
            </w:r>
            <w:r w:rsidRPr="00E86267">
              <w:rPr>
                <w:noProof/>
                <w:sz w:val="16"/>
                <w:szCs w:val="16"/>
              </w:rPr>
              <w:t>info dogodek 11.12.2015-posnetek spletnih strani</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sz w:val="16"/>
                <w:szCs w:val="16"/>
              </w:rPr>
              <w:t xml:space="preserve">Prezentacija </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Začetek izvajanja skladov AMIF in ISF</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 xml:space="preserve"> </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15.10.2016</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C8670F" w:rsidTr="00A67CCA">
        <w:trPr>
          <w:trHeight w:val="283"/>
        </w:trPr>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Spletna novica OO - Potrjen nacionalni program sklada AMIF, 27.3.2015</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27.3.2015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Ares(2016)5952101</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Objava na spletni strani-rubrika SES</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Objava na spletni strani MNZ</w:t>
            </w:r>
            <w:r w:rsidRPr="00E86267">
              <w:rPr>
                <w:sz w:val="16"/>
                <w:szCs w:val="16"/>
              </w:rPr>
              <w:t xml:space="preserve"> </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15.10.2016</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C8670F" w:rsidTr="00A67CCA">
        <w:trPr>
          <w:trHeight w:val="283"/>
        </w:trPr>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Delavnica o prijavi projektov, ki se financirajo iz AMIF ter ISF na podlagi neposredne dodelitve, 24.8.2015, Ljubljana</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24.8.2015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Ares(2016)5952101</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Seznam udeležencev</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Vabilo in dnevni red</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Prezentacija AMIF in ISF</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Foto No 1-EU emblems</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Foto No2-EU emblems</w:t>
            </w:r>
            <w:r w:rsidRPr="00E86267">
              <w:rPr>
                <w:sz w:val="16"/>
                <w:szCs w:val="16"/>
              </w:rPr>
              <w:t xml:space="preserve"> </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15.10.2016</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C8670F" w:rsidTr="00A67CCA">
        <w:trPr>
          <w:trHeight w:val="283"/>
        </w:trPr>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 xml:space="preserve">Tretja konferenca o zaščiti finančnih interesov EU, 18.6.2015, Ljubljana – predstavitev OO z </w:t>
            </w:r>
            <w:r w:rsidRPr="00E86267">
              <w:rPr>
                <w:noProof/>
                <w:sz w:val="16"/>
                <w:szCs w:val="16"/>
              </w:rPr>
              <w:t>naslovom »Skladi EU na področju notranjih zadev«</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18.6.2015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Ares(2016)5952101</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Spletna novica</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Predstavitev OO</w:t>
            </w:r>
            <w:r w:rsidRPr="00E86267">
              <w:rPr>
                <w:sz w:val="16"/>
                <w:szCs w:val="16"/>
              </w:rPr>
              <w:t xml:space="preserve"> </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15.10.2016</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C8670F" w:rsidTr="00A67CCA">
        <w:trPr>
          <w:trHeight w:val="283"/>
        </w:trPr>
        <w:tc>
          <w:tcPr>
            <w:tcW w:w="0" w:type="auto"/>
            <w:shd w:val="clear" w:color="auto" w:fill="auto"/>
          </w:tcPr>
          <w:p w:rsidR="00D5077A" w:rsidRPr="00E86267" w:rsidRDefault="00BD62A1" w:rsidP="002E06F3">
            <w:pPr>
              <w:pStyle w:val="NormalLeft"/>
              <w:spacing w:before="0" w:after="0"/>
              <w:rPr>
                <w:sz w:val="16"/>
                <w:szCs w:val="16"/>
              </w:rPr>
            </w:pPr>
            <w:r w:rsidRPr="00E86267">
              <w:rPr>
                <w:sz w:val="16"/>
                <w:szCs w:val="16"/>
              </w:rPr>
              <w:t xml:space="preserve">Javni posvet </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Priprava večletnih nacionalnih programov skladov na področju notranjih z</w:t>
            </w:r>
            <w:r w:rsidRPr="00E86267">
              <w:rPr>
                <w:sz w:val="16"/>
                <w:szCs w:val="16"/>
              </w:rPr>
              <w:t>adev</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 27.5.2014, Ljubljana</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27.5.2014</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Ares(2016)5952101</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Vabilo in dnevni red javnega posveta</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Seznam udeležencev</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Posnetek spletnih strani-MNZ, Slovenija Doma v Evropi</w:t>
            </w:r>
            <w:r w:rsidRPr="00E86267">
              <w:rPr>
                <w:sz w:val="16"/>
                <w:szCs w:val="16"/>
              </w:rPr>
              <w:t xml:space="preserve"> </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15.10.2016</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C8670F" w:rsidTr="00A67CCA">
        <w:trPr>
          <w:trHeight w:val="283"/>
        </w:trPr>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 xml:space="preserve">Spletna novica - izbor </w:t>
            </w:r>
            <w:r w:rsidRPr="00E86267">
              <w:rPr>
                <w:noProof/>
                <w:sz w:val="16"/>
                <w:szCs w:val="16"/>
              </w:rPr>
              <w:t>predstavnika NVO v NO</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21.4.2015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Ares(2016)5952101</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Spletna objava CNVOS</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Spletna objava MNZ</w:t>
            </w:r>
            <w:r w:rsidRPr="00E86267">
              <w:rPr>
                <w:sz w:val="16"/>
                <w:szCs w:val="16"/>
              </w:rPr>
              <w:t xml:space="preserve"> </w:t>
            </w:r>
          </w:p>
          <w:p w:rsidR="00D5077A" w:rsidRPr="00E86267" w:rsidRDefault="00BD62A1" w:rsidP="002E06F3">
            <w:pPr>
              <w:pStyle w:val="NormalLeft"/>
              <w:spacing w:before="0" w:after="0"/>
              <w:rPr>
                <w:sz w:val="16"/>
                <w:szCs w:val="16"/>
              </w:rPr>
            </w:pPr>
            <w:r w:rsidRPr="00E86267">
              <w:rPr>
                <w:noProof/>
                <w:sz w:val="16"/>
                <w:szCs w:val="16"/>
              </w:rPr>
              <w:t>Spletna objava CNVOS-Članstvo NVO v NO</w:t>
            </w:r>
            <w:r w:rsidRPr="00E86267">
              <w:rPr>
                <w:sz w:val="16"/>
                <w:szCs w:val="16"/>
              </w:rPr>
              <w:t xml:space="preserve"> </w:t>
            </w:r>
          </w:p>
        </w:tc>
        <w:tc>
          <w:tcPr>
            <w:tcW w:w="0" w:type="auto"/>
            <w:shd w:val="clear" w:color="auto" w:fill="auto"/>
          </w:tcPr>
          <w:p w:rsidR="00D5077A" w:rsidRPr="00E86267" w:rsidRDefault="00BD62A1" w:rsidP="002E06F3">
            <w:pPr>
              <w:pStyle w:val="NormalLeft"/>
              <w:spacing w:before="0" w:after="0"/>
              <w:jc w:val="center"/>
              <w:rPr>
                <w:sz w:val="16"/>
                <w:szCs w:val="16"/>
              </w:rPr>
            </w:pPr>
            <w:r w:rsidRPr="00E86267">
              <w:rPr>
                <w:noProof/>
                <w:sz w:val="16"/>
                <w:szCs w:val="16"/>
              </w:rPr>
              <w:t>15.10.2016</w:t>
            </w:r>
          </w:p>
        </w:tc>
        <w:tc>
          <w:tcPr>
            <w:tcW w:w="0" w:type="auto"/>
            <w:shd w:val="clear" w:color="auto" w:fill="auto"/>
          </w:tcPr>
          <w:p w:rsidR="00D5077A" w:rsidRPr="00E86267" w:rsidRDefault="00BD62A1"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bl>
    <w:p w:rsidR="00094173" w:rsidRPr="00D5077A" w:rsidRDefault="00094173" w:rsidP="00BE2F0F">
      <w:pPr>
        <w:pStyle w:val="Normal0"/>
        <w:spacing w:before="0" w:after="0"/>
        <w:sectPr w:rsidR="00094173" w:rsidRPr="00D5077A" w:rsidSect="0087734D">
          <w:headerReference w:type="default" r:id="rId24"/>
          <w:footerReference w:type="default" r:id="rId2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5" w:name="_Toc256000026"/>
      <w:r>
        <w:rPr>
          <w:noProof/>
        </w:rPr>
        <w:lastRenderedPageBreak/>
        <w:t>Zadnji rezultati validacije</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683"/>
        <w:gridCol w:w="2015"/>
        <w:gridCol w:w="10835"/>
      </w:tblGrid>
      <w:tr w:rsidR="00C8670F" w:rsidTr="00BA1B5A">
        <w:trPr>
          <w:trHeight w:val="283"/>
          <w:tblHeader/>
        </w:trPr>
        <w:tc>
          <w:tcPr>
            <w:tcW w:w="0" w:type="auto"/>
            <w:shd w:val="clear" w:color="auto" w:fill="auto"/>
            <w:vAlign w:val="center"/>
          </w:tcPr>
          <w:p w:rsidR="00434D73" w:rsidRPr="00DD2742" w:rsidRDefault="00BD62A1"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BD62A1"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BD62A1" w:rsidP="006477CC">
            <w:pPr>
              <w:pStyle w:val="NormalCentered"/>
              <w:spacing w:before="0" w:after="0"/>
              <w:rPr>
                <w:b/>
                <w:sz w:val="16"/>
                <w:szCs w:val="16"/>
              </w:rPr>
            </w:pPr>
            <w:r w:rsidRPr="00DD2742">
              <w:rPr>
                <w:b/>
                <w:noProof/>
                <w:sz w:val="16"/>
                <w:szCs w:val="16"/>
              </w:rPr>
              <w:t>Sporočilo</w:t>
            </w:r>
          </w:p>
        </w:tc>
      </w:tr>
      <w:tr w:rsidR="00C8670F" w:rsidTr="00BA1B5A">
        <w:trPr>
          <w:trHeight w:val="283"/>
        </w:trPr>
        <w:tc>
          <w:tcPr>
            <w:tcW w:w="0" w:type="auto"/>
            <w:shd w:val="clear" w:color="auto" w:fill="auto"/>
          </w:tcPr>
          <w:p w:rsidR="00434D73" w:rsidRPr="00DD2742" w:rsidRDefault="00BD62A1"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BD62A1" w:rsidP="006477CC">
            <w:pPr>
              <w:pStyle w:val="NormalLeft"/>
              <w:spacing w:before="0" w:after="0"/>
              <w:rPr>
                <w:sz w:val="16"/>
                <w:szCs w:val="16"/>
              </w:rPr>
            </w:pPr>
            <w:r w:rsidRPr="00DD2742">
              <w:rPr>
                <w:noProof/>
                <w:sz w:val="16"/>
                <w:szCs w:val="16"/>
              </w:rPr>
              <w:t>Različica poročila o izvajanju je bila potrjena.</w:t>
            </w:r>
          </w:p>
        </w:tc>
      </w:tr>
      <w:tr w:rsidR="00C8670F" w:rsidTr="00BA1B5A">
        <w:trPr>
          <w:trHeight w:val="283"/>
        </w:trPr>
        <w:tc>
          <w:tcPr>
            <w:tcW w:w="0" w:type="auto"/>
            <w:shd w:val="clear" w:color="auto" w:fill="auto"/>
          </w:tcPr>
          <w:p w:rsidR="00434D73" w:rsidRPr="00DD2742" w:rsidRDefault="00BD62A1"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BD62A1" w:rsidP="006477CC">
            <w:pPr>
              <w:pStyle w:val="NormalLeft"/>
              <w:spacing w:before="0" w:after="0"/>
              <w:rPr>
                <w:sz w:val="16"/>
                <w:szCs w:val="16"/>
              </w:rPr>
            </w:pPr>
            <w:r w:rsidRPr="00DD2742">
              <w:rPr>
                <w:noProof/>
                <w:sz w:val="16"/>
                <w:szCs w:val="16"/>
              </w:rPr>
              <w:t>2.3</w:t>
            </w:r>
          </w:p>
        </w:tc>
        <w:tc>
          <w:tcPr>
            <w:tcW w:w="0" w:type="auto"/>
            <w:shd w:val="clear" w:color="auto" w:fill="auto"/>
          </w:tcPr>
          <w:p w:rsidR="00434D73" w:rsidRPr="00DD2742" w:rsidRDefault="00BD62A1" w:rsidP="006477CC">
            <w:pPr>
              <w:pStyle w:val="NormalLeft"/>
              <w:spacing w:before="0" w:after="0"/>
              <w:rPr>
                <w:sz w:val="16"/>
                <w:szCs w:val="16"/>
              </w:rPr>
            </w:pPr>
            <w:r w:rsidRPr="00DD2742">
              <w:rPr>
                <w:noProof/>
                <w:sz w:val="16"/>
                <w:szCs w:val="16"/>
              </w:rPr>
              <w:t>Povezana različica programa ni zadnja razpoložljiva</w:t>
            </w:r>
          </w:p>
        </w:tc>
      </w:tr>
    </w:tbl>
    <w:p w:rsidR="00673320" w:rsidRPr="001A4AC5" w:rsidRDefault="00673320" w:rsidP="00DD2742">
      <w:pPr>
        <w:pStyle w:val="Normal0"/>
      </w:pPr>
    </w:p>
    <w:sectPr w:rsidR="00673320" w:rsidRPr="001A4AC5" w:rsidSect="009B4CA5">
      <w:headerReference w:type="default" r:id="rId26"/>
      <w:footerReference w:type="default" r:id="rId2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62A1">
      <w:pPr>
        <w:spacing w:before="0" w:after="0"/>
      </w:pPr>
      <w:r>
        <w:separator/>
      </w:r>
    </w:p>
  </w:endnote>
  <w:endnote w:type="continuationSeparator" w:id="0">
    <w:p w:rsidR="00000000" w:rsidRDefault="00BD62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5432E7" w:rsidRDefault="00BD62A1" w:rsidP="008E794B">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BD62A1">
      <w:rPr>
        <w:noProof/>
      </w:rPr>
      <w:t>28</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AB614B" w:rsidRDefault="00BD62A1" w:rsidP="00AB614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12</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942505" w:rsidRDefault="00942505" w:rsidP="0094250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BD62A1">
      <w:rPr>
        <w:noProof/>
      </w:rPr>
      <w:t>13</w:t>
    </w:r>
    <w:r>
      <w:fldChar w:fldCharType="end"/>
    </w:r>
    <w:r w:rsidRPr="007C3041">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634112" w:rsidRDefault="00BD62A1" w:rsidP="0072625A">
    <w:pPr>
      <w:pStyle w:val="FooterLandscape"/>
      <w:tabs>
        <w:tab w:val="clear" w:pos="7285"/>
        <w:tab w:val="clear" w:pos="10913"/>
        <w:tab w:val="clear" w:pos="15137"/>
        <w:tab w:val="center" w:pos="7371"/>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E57341" w:rsidRDefault="00E57341" w:rsidP="00E57341">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BD62A1">
      <w:rPr>
        <w:noProof/>
      </w:rPr>
      <w:t>21</w:t>
    </w:r>
    <w:r>
      <w:fldChar w:fldCharType="end"/>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091521" w:rsidRDefault="00BD62A1" w:rsidP="00DB4153">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24</w:t>
    </w:r>
    <w:r>
      <w:fldChar w:fldCharType="end"/>
    </w:r>
    <w:r w:rsidRPr="008E3442">
      <w:tab/>
    </w:r>
    <w:r w:rsidRPr="005F6C78">
      <w:rPr>
        <w:rFonts w:ascii="Arial" w:hAnsi="Arial" w:cs="Arial"/>
        <w:b/>
        <w:noProof/>
        <w:sz w:val="48"/>
        <w:szCs w:val="48"/>
        <w:lang w:val="fr-BE"/>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C3B15" w:rsidRDefault="00CC3B15" w:rsidP="00CC3B1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BD62A1">
      <w:rPr>
        <w:noProof/>
      </w:rPr>
      <w:t>26</w:t>
    </w:r>
    <w:r>
      <w:fldChar w:fldCharType="end"/>
    </w:r>
    <w:r w:rsidRPr="007C3041">
      <w:tab/>
    </w:r>
    <w:r>
      <w:rPr>
        <w:rFonts w:ascii="Arial" w:hAnsi="Arial" w:cs="Arial"/>
        <w:b/>
        <w:noProof/>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BD62A1">
      <w:rPr>
        <w:noProof/>
      </w:rPr>
      <w:t>27</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62A1">
      <w:pPr>
        <w:spacing w:before="0" w:after="0"/>
      </w:pPr>
      <w:r>
        <w:separator/>
      </w:r>
    </w:p>
  </w:footnote>
  <w:footnote w:type="continuationSeparator" w:id="0">
    <w:p w:rsidR="00000000" w:rsidRDefault="00BD62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3" w:rsidRDefault="00C568B3" w:rsidP="008E794B">
    <w:pPr>
      <w:pStyle w:val="Glava"/>
      <w:spacing w:before="0"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Default="0056117D" w:rsidP="00166DC8">
    <w:pPr>
      <w:pStyle w:val="Glav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46" w:rsidRDefault="001D5846" w:rsidP="00957B74">
    <w:pPr>
      <w:pStyle w:val="Glava"/>
      <w:spacing w:before="0"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E367EA">
    <w:pPr>
      <w:pStyle w:val="Glava"/>
      <w:tabs>
        <w:tab w:val="clear" w:pos="4535"/>
        <w:tab w:val="clear" w:pos="9071"/>
        <w:tab w:val="center" w:pos="7371"/>
        <w:tab w:val="right" w:pos="15309"/>
      </w:tabs>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DB4153">
    <w:pPr>
      <w:pStyle w:val="Glava"/>
      <w:spacing w:before="0" w:after="24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3D00814C">
      <w:start w:val="1"/>
      <w:numFmt w:val="decimal"/>
      <w:pStyle w:val="StyleHeading1Left0cm"/>
      <w:lvlText w:val="%1."/>
      <w:lvlJc w:val="left"/>
      <w:pPr>
        <w:ind w:left="360" w:hanging="360"/>
      </w:pPr>
    </w:lvl>
    <w:lvl w:ilvl="1" w:tplc="DD9EA87E" w:tentative="1">
      <w:start w:val="1"/>
      <w:numFmt w:val="lowerLetter"/>
      <w:lvlText w:val="%2."/>
      <w:lvlJc w:val="left"/>
      <w:pPr>
        <w:ind w:left="1440" w:hanging="360"/>
      </w:pPr>
    </w:lvl>
    <w:lvl w:ilvl="2" w:tplc="9D8C9AF4" w:tentative="1">
      <w:start w:val="1"/>
      <w:numFmt w:val="lowerRoman"/>
      <w:lvlText w:val="%3."/>
      <w:lvlJc w:val="right"/>
      <w:pPr>
        <w:ind w:left="2160" w:hanging="180"/>
      </w:pPr>
    </w:lvl>
    <w:lvl w:ilvl="3" w:tplc="1E064D46" w:tentative="1">
      <w:start w:val="1"/>
      <w:numFmt w:val="decimal"/>
      <w:lvlText w:val="%4."/>
      <w:lvlJc w:val="left"/>
      <w:pPr>
        <w:ind w:left="2880" w:hanging="360"/>
      </w:pPr>
    </w:lvl>
    <w:lvl w:ilvl="4" w:tplc="02A6F492" w:tentative="1">
      <w:start w:val="1"/>
      <w:numFmt w:val="lowerLetter"/>
      <w:lvlText w:val="%5."/>
      <w:lvlJc w:val="left"/>
      <w:pPr>
        <w:ind w:left="3600" w:hanging="360"/>
      </w:pPr>
    </w:lvl>
    <w:lvl w:ilvl="5" w:tplc="4D1E0038" w:tentative="1">
      <w:start w:val="1"/>
      <w:numFmt w:val="lowerRoman"/>
      <w:lvlText w:val="%6."/>
      <w:lvlJc w:val="right"/>
      <w:pPr>
        <w:ind w:left="4320" w:hanging="180"/>
      </w:pPr>
    </w:lvl>
    <w:lvl w:ilvl="6" w:tplc="A10E0C96" w:tentative="1">
      <w:start w:val="1"/>
      <w:numFmt w:val="decimal"/>
      <w:lvlText w:val="%7."/>
      <w:lvlJc w:val="left"/>
      <w:pPr>
        <w:ind w:left="5040" w:hanging="360"/>
      </w:pPr>
    </w:lvl>
    <w:lvl w:ilvl="7" w:tplc="273A20CA" w:tentative="1">
      <w:start w:val="1"/>
      <w:numFmt w:val="lowerLetter"/>
      <w:lvlText w:val="%8."/>
      <w:lvlJc w:val="left"/>
      <w:pPr>
        <w:ind w:left="5760" w:hanging="360"/>
      </w:pPr>
    </w:lvl>
    <w:lvl w:ilvl="8" w:tplc="4126B8F0"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89A63B82">
      <w:start w:val="1"/>
      <w:numFmt w:val="bullet"/>
      <w:lvlText w:val=""/>
      <w:lvlJc w:val="left"/>
      <w:pPr>
        <w:ind w:left="720" w:hanging="360"/>
      </w:pPr>
      <w:rPr>
        <w:rFonts w:ascii="Symbol" w:hAnsi="Symbol" w:hint="default"/>
      </w:rPr>
    </w:lvl>
    <w:lvl w:ilvl="1" w:tplc="5546B750" w:tentative="1">
      <w:start w:val="1"/>
      <w:numFmt w:val="bullet"/>
      <w:lvlText w:val="o"/>
      <w:lvlJc w:val="left"/>
      <w:pPr>
        <w:ind w:left="1440" w:hanging="360"/>
      </w:pPr>
      <w:rPr>
        <w:rFonts w:ascii="Courier New" w:hAnsi="Courier New" w:cs="Courier New" w:hint="default"/>
      </w:rPr>
    </w:lvl>
    <w:lvl w:ilvl="2" w:tplc="F210E24A" w:tentative="1">
      <w:start w:val="1"/>
      <w:numFmt w:val="bullet"/>
      <w:lvlText w:val=""/>
      <w:lvlJc w:val="left"/>
      <w:pPr>
        <w:ind w:left="2160" w:hanging="360"/>
      </w:pPr>
      <w:rPr>
        <w:rFonts w:ascii="Wingdings" w:hAnsi="Wingdings" w:hint="default"/>
      </w:rPr>
    </w:lvl>
    <w:lvl w:ilvl="3" w:tplc="EFE00332" w:tentative="1">
      <w:start w:val="1"/>
      <w:numFmt w:val="bullet"/>
      <w:lvlText w:val=""/>
      <w:lvlJc w:val="left"/>
      <w:pPr>
        <w:ind w:left="2880" w:hanging="360"/>
      </w:pPr>
      <w:rPr>
        <w:rFonts w:ascii="Symbol" w:hAnsi="Symbol" w:hint="default"/>
      </w:rPr>
    </w:lvl>
    <w:lvl w:ilvl="4" w:tplc="0DD05DC8" w:tentative="1">
      <w:start w:val="1"/>
      <w:numFmt w:val="bullet"/>
      <w:lvlText w:val="o"/>
      <w:lvlJc w:val="left"/>
      <w:pPr>
        <w:ind w:left="3600" w:hanging="360"/>
      </w:pPr>
      <w:rPr>
        <w:rFonts w:ascii="Courier New" w:hAnsi="Courier New" w:cs="Courier New" w:hint="default"/>
      </w:rPr>
    </w:lvl>
    <w:lvl w:ilvl="5" w:tplc="23DC1FB4" w:tentative="1">
      <w:start w:val="1"/>
      <w:numFmt w:val="bullet"/>
      <w:lvlText w:val=""/>
      <w:lvlJc w:val="left"/>
      <w:pPr>
        <w:ind w:left="4320" w:hanging="360"/>
      </w:pPr>
      <w:rPr>
        <w:rFonts w:ascii="Wingdings" w:hAnsi="Wingdings" w:hint="default"/>
      </w:rPr>
    </w:lvl>
    <w:lvl w:ilvl="6" w:tplc="A16A0C0E" w:tentative="1">
      <w:start w:val="1"/>
      <w:numFmt w:val="bullet"/>
      <w:lvlText w:val=""/>
      <w:lvlJc w:val="left"/>
      <w:pPr>
        <w:ind w:left="5040" w:hanging="360"/>
      </w:pPr>
      <w:rPr>
        <w:rFonts w:ascii="Symbol" w:hAnsi="Symbol" w:hint="default"/>
      </w:rPr>
    </w:lvl>
    <w:lvl w:ilvl="7" w:tplc="CC66FA20" w:tentative="1">
      <w:start w:val="1"/>
      <w:numFmt w:val="bullet"/>
      <w:lvlText w:val="o"/>
      <w:lvlJc w:val="left"/>
      <w:pPr>
        <w:ind w:left="5760" w:hanging="360"/>
      </w:pPr>
      <w:rPr>
        <w:rFonts w:ascii="Courier New" w:hAnsi="Courier New" w:cs="Courier New" w:hint="default"/>
      </w:rPr>
    </w:lvl>
    <w:lvl w:ilvl="8" w:tplc="6520F738"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D3167306">
      <w:start w:val="1"/>
      <w:numFmt w:val="decimal"/>
      <w:lvlText w:val="%1."/>
      <w:lvlJc w:val="left"/>
      <w:pPr>
        <w:ind w:left="720" w:hanging="360"/>
      </w:pPr>
    </w:lvl>
    <w:lvl w:ilvl="1" w:tplc="20B639EE" w:tentative="1">
      <w:start w:val="1"/>
      <w:numFmt w:val="lowerLetter"/>
      <w:lvlText w:val="%2."/>
      <w:lvlJc w:val="left"/>
      <w:pPr>
        <w:ind w:left="1440" w:hanging="360"/>
      </w:pPr>
    </w:lvl>
    <w:lvl w:ilvl="2" w:tplc="ADFADA90" w:tentative="1">
      <w:start w:val="1"/>
      <w:numFmt w:val="lowerRoman"/>
      <w:lvlText w:val="%3."/>
      <w:lvlJc w:val="right"/>
      <w:pPr>
        <w:ind w:left="2160" w:hanging="180"/>
      </w:pPr>
    </w:lvl>
    <w:lvl w:ilvl="3" w:tplc="7708FDDA" w:tentative="1">
      <w:start w:val="1"/>
      <w:numFmt w:val="decimal"/>
      <w:lvlText w:val="%4."/>
      <w:lvlJc w:val="left"/>
      <w:pPr>
        <w:ind w:left="2880" w:hanging="360"/>
      </w:pPr>
    </w:lvl>
    <w:lvl w:ilvl="4" w:tplc="3B162162" w:tentative="1">
      <w:start w:val="1"/>
      <w:numFmt w:val="lowerLetter"/>
      <w:lvlText w:val="%5."/>
      <w:lvlJc w:val="left"/>
      <w:pPr>
        <w:ind w:left="3600" w:hanging="360"/>
      </w:pPr>
    </w:lvl>
    <w:lvl w:ilvl="5" w:tplc="05D2A196" w:tentative="1">
      <w:start w:val="1"/>
      <w:numFmt w:val="lowerRoman"/>
      <w:lvlText w:val="%6."/>
      <w:lvlJc w:val="right"/>
      <w:pPr>
        <w:ind w:left="4320" w:hanging="180"/>
      </w:pPr>
    </w:lvl>
    <w:lvl w:ilvl="6" w:tplc="837C9B9E" w:tentative="1">
      <w:start w:val="1"/>
      <w:numFmt w:val="decimal"/>
      <w:lvlText w:val="%7."/>
      <w:lvlJc w:val="left"/>
      <w:pPr>
        <w:ind w:left="5040" w:hanging="360"/>
      </w:pPr>
    </w:lvl>
    <w:lvl w:ilvl="7" w:tplc="8DF8F9BE" w:tentative="1">
      <w:start w:val="1"/>
      <w:numFmt w:val="lowerLetter"/>
      <w:lvlText w:val="%8."/>
      <w:lvlJc w:val="left"/>
      <w:pPr>
        <w:ind w:left="5760" w:hanging="360"/>
      </w:pPr>
    </w:lvl>
    <w:lvl w:ilvl="8" w:tplc="A96E94CA"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7CF8A760">
      <w:start w:val="1"/>
      <w:numFmt w:val="bullet"/>
      <w:lvlText w:val=""/>
      <w:lvlJc w:val="left"/>
      <w:pPr>
        <w:ind w:left="720" w:hanging="360"/>
      </w:pPr>
      <w:rPr>
        <w:rFonts w:ascii="Symbol" w:hAnsi="Symbol"/>
      </w:rPr>
    </w:lvl>
    <w:lvl w:ilvl="1" w:tplc="870C68B6">
      <w:start w:val="1"/>
      <w:numFmt w:val="bullet"/>
      <w:lvlText w:val="o"/>
      <w:lvlJc w:val="left"/>
      <w:pPr>
        <w:tabs>
          <w:tab w:val="num" w:pos="1440"/>
        </w:tabs>
        <w:ind w:left="1440" w:hanging="360"/>
      </w:pPr>
      <w:rPr>
        <w:rFonts w:ascii="Courier New" w:hAnsi="Courier New"/>
      </w:rPr>
    </w:lvl>
    <w:lvl w:ilvl="2" w:tplc="921A9780">
      <w:start w:val="1"/>
      <w:numFmt w:val="bullet"/>
      <w:lvlText w:val=""/>
      <w:lvlJc w:val="left"/>
      <w:pPr>
        <w:tabs>
          <w:tab w:val="num" w:pos="2160"/>
        </w:tabs>
        <w:ind w:left="2160" w:hanging="360"/>
      </w:pPr>
      <w:rPr>
        <w:rFonts w:ascii="Wingdings" w:hAnsi="Wingdings"/>
      </w:rPr>
    </w:lvl>
    <w:lvl w:ilvl="3" w:tplc="B0EA6C82">
      <w:start w:val="1"/>
      <w:numFmt w:val="bullet"/>
      <w:lvlText w:val=""/>
      <w:lvlJc w:val="left"/>
      <w:pPr>
        <w:tabs>
          <w:tab w:val="num" w:pos="2880"/>
        </w:tabs>
        <w:ind w:left="2880" w:hanging="360"/>
      </w:pPr>
      <w:rPr>
        <w:rFonts w:ascii="Symbol" w:hAnsi="Symbol"/>
      </w:rPr>
    </w:lvl>
    <w:lvl w:ilvl="4" w:tplc="496C3FBA">
      <w:start w:val="1"/>
      <w:numFmt w:val="bullet"/>
      <w:lvlText w:val="o"/>
      <w:lvlJc w:val="left"/>
      <w:pPr>
        <w:tabs>
          <w:tab w:val="num" w:pos="3600"/>
        </w:tabs>
        <w:ind w:left="3600" w:hanging="360"/>
      </w:pPr>
      <w:rPr>
        <w:rFonts w:ascii="Courier New" w:hAnsi="Courier New"/>
      </w:rPr>
    </w:lvl>
    <w:lvl w:ilvl="5" w:tplc="4800BA1E">
      <w:start w:val="1"/>
      <w:numFmt w:val="bullet"/>
      <w:lvlText w:val=""/>
      <w:lvlJc w:val="left"/>
      <w:pPr>
        <w:tabs>
          <w:tab w:val="num" w:pos="4320"/>
        </w:tabs>
        <w:ind w:left="4320" w:hanging="360"/>
      </w:pPr>
      <w:rPr>
        <w:rFonts w:ascii="Wingdings" w:hAnsi="Wingdings"/>
      </w:rPr>
    </w:lvl>
    <w:lvl w:ilvl="6" w:tplc="8CEA9780">
      <w:start w:val="1"/>
      <w:numFmt w:val="bullet"/>
      <w:lvlText w:val=""/>
      <w:lvlJc w:val="left"/>
      <w:pPr>
        <w:tabs>
          <w:tab w:val="num" w:pos="5040"/>
        </w:tabs>
        <w:ind w:left="5040" w:hanging="360"/>
      </w:pPr>
      <w:rPr>
        <w:rFonts w:ascii="Symbol" w:hAnsi="Symbol"/>
      </w:rPr>
    </w:lvl>
    <w:lvl w:ilvl="7" w:tplc="87845EBC">
      <w:start w:val="1"/>
      <w:numFmt w:val="bullet"/>
      <w:lvlText w:val="o"/>
      <w:lvlJc w:val="left"/>
      <w:pPr>
        <w:tabs>
          <w:tab w:val="num" w:pos="5760"/>
        </w:tabs>
        <w:ind w:left="5760" w:hanging="360"/>
      </w:pPr>
      <w:rPr>
        <w:rFonts w:ascii="Courier New" w:hAnsi="Courier New"/>
      </w:rPr>
    </w:lvl>
    <w:lvl w:ilvl="8" w:tplc="B08EDE5C">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08DE9E90">
      <w:start w:val="1"/>
      <w:numFmt w:val="bullet"/>
      <w:lvlText w:val=""/>
      <w:lvlJc w:val="left"/>
      <w:pPr>
        <w:ind w:left="720" w:hanging="360"/>
      </w:pPr>
      <w:rPr>
        <w:rFonts w:ascii="Symbol" w:hAnsi="Symbol"/>
      </w:rPr>
    </w:lvl>
    <w:lvl w:ilvl="1" w:tplc="82849B74">
      <w:start w:val="1"/>
      <w:numFmt w:val="bullet"/>
      <w:lvlText w:val="o"/>
      <w:lvlJc w:val="left"/>
      <w:pPr>
        <w:tabs>
          <w:tab w:val="num" w:pos="1440"/>
        </w:tabs>
        <w:ind w:left="1440" w:hanging="360"/>
      </w:pPr>
      <w:rPr>
        <w:rFonts w:ascii="Courier New" w:hAnsi="Courier New"/>
      </w:rPr>
    </w:lvl>
    <w:lvl w:ilvl="2" w:tplc="48707A40">
      <w:start w:val="1"/>
      <w:numFmt w:val="bullet"/>
      <w:lvlText w:val=""/>
      <w:lvlJc w:val="left"/>
      <w:pPr>
        <w:tabs>
          <w:tab w:val="num" w:pos="2160"/>
        </w:tabs>
        <w:ind w:left="2160" w:hanging="360"/>
      </w:pPr>
      <w:rPr>
        <w:rFonts w:ascii="Wingdings" w:hAnsi="Wingdings"/>
      </w:rPr>
    </w:lvl>
    <w:lvl w:ilvl="3" w:tplc="5916111A">
      <w:start w:val="1"/>
      <w:numFmt w:val="bullet"/>
      <w:lvlText w:val=""/>
      <w:lvlJc w:val="left"/>
      <w:pPr>
        <w:tabs>
          <w:tab w:val="num" w:pos="2880"/>
        </w:tabs>
        <w:ind w:left="2880" w:hanging="360"/>
      </w:pPr>
      <w:rPr>
        <w:rFonts w:ascii="Symbol" w:hAnsi="Symbol"/>
      </w:rPr>
    </w:lvl>
    <w:lvl w:ilvl="4" w:tplc="4E7EB7D0">
      <w:start w:val="1"/>
      <w:numFmt w:val="bullet"/>
      <w:lvlText w:val="o"/>
      <w:lvlJc w:val="left"/>
      <w:pPr>
        <w:tabs>
          <w:tab w:val="num" w:pos="3600"/>
        </w:tabs>
        <w:ind w:left="3600" w:hanging="360"/>
      </w:pPr>
      <w:rPr>
        <w:rFonts w:ascii="Courier New" w:hAnsi="Courier New"/>
      </w:rPr>
    </w:lvl>
    <w:lvl w:ilvl="5" w:tplc="3072EE06">
      <w:start w:val="1"/>
      <w:numFmt w:val="bullet"/>
      <w:lvlText w:val=""/>
      <w:lvlJc w:val="left"/>
      <w:pPr>
        <w:tabs>
          <w:tab w:val="num" w:pos="4320"/>
        </w:tabs>
        <w:ind w:left="4320" w:hanging="360"/>
      </w:pPr>
      <w:rPr>
        <w:rFonts w:ascii="Wingdings" w:hAnsi="Wingdings"/>
      </w:rPr>
    </w:lvl>
    <w:lvl w:ilvl="6" w:tplc="F44EF1D8">
      <w:start w:val="1"/>
      <w:numFmt w:val="bullet"/>
      <w:lvlText w:val=""/>
      <w:lvlJc w:val="left"/>
      <w:pPr>
        <w:tabs>
          <w:tab w:val="num" w:pos="5040"/>
        </w:tabs>
        <w:ind w:left="5040" w:hanging="360"/>
      </w:pPr>
      <w:rPr>
        <w:rFonts w:ascii="Symbol" w:hAnsi="Symbol"/>
      </w:rPr>
    </w:lvl>
    <w:lvl w:ilvl="7" w:tplc="890E61C2">
      <w:start w:val="1"/>
      <w:numFmt w:val="bullet"/>
      <w:lvlText w:val="o"/>
      <w:lvlJc w:val="left"/>
      <w:pPr>
        <w:tabs>
          <w:tab w:val="num" w:pos="5760"/>
        </w:tabs>
        <w:ind w:left="5760" w:hanging="360"/>
      </w:pPr>
      <w:rPr>
        <w:rFonts w:ascii="Courier New" w:hAnsi="Courier New"/>
      </w:rPr>
    </w:lvl>
    <w:lvl w:ilvl="8" w:tplc="C590E2E2">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BE95D83"/>
    <w:multiLevelType w:val="hybridMultilevel"/>
    <w:tmpl w:val="7BE95D83"/>
    <w:lvl w:ilvl="0" w:tplc="9A762768">
      <w:start w:val="1"/>
      <w:numFmt w:val="bullet"/>
      <w:lvlText w:val=""/>
      <w:lvlJc w:val="left"/>
      <w:pPr>
        <w:ind w:left="720" w:hanging="360"/>
      </w:pPr>
      <w:rPr>
        <w:rFonts w:ascii="Symbol" w:hAnsi="Symbol"/>
      </w:rPr>
    </w:lvl>
    <w:lvl w:ilvl="1" w:tplc="4C84DA64">
      <w:start w:val="1"/>
      <w:numFmt w:val="bullet"/>
      <w:lvlText w:val="o"/>
      <w:lvlJc w:val="left"/>
      <w:pPr>
        <w:tabs>
          <w:tab w:val="num" w:pos="1440"/>
        </w:tabs>
        <w:ind w:left="1440" w:hanging="360"/>
      </w:pPr>
      <w:rPr>
        <w:rFonts w:ascii="Courier New" w:hAnsi="Courier New"/>
      </w:rPr>
    </w:lvl>
    <w:lvl w:ilvl="2" w:tplc="BD1A01AA">
      <w:start w:val="1"/>
      <w:numFmt w:val="bullet"/>
      <w:lvlText w:val=""/>
      <w:lvlJc w:val="left"/>
      <w:pPr>
        <w:tabs>
          <w:tab w:val="num" w:pos="2160"/>
        </w:tabs>
        <w:ind w:left="2160" w:hanging="360"/>
      </w:pPr>
      <w:rPr>
        <w:rFonts w:ascii="Wingdings" w:hAnsi="Wingdings"/>
      </w:rPr>
    </w:lvl>
    <w:lvl w:ilvl="3" w:tplc="384AD8B8">
      <w:start w:val="1"/>
      <w:numFmt w:val="bullet"/>
      <w:lvlText w:val=""/>
      <w:lvlJc w:val="left"/>
      <w:pPr>
        <w:tabs>
          <w:tab w:val="num" w:pos="2880"/>
        </w:tabs>
        <w:ind w:left="2880" w:hanging="360"/>
      </w:pPr>
      <w:rPr>
        <w:rFonts w:ascii="Symbol" w:hAnsi="Symbol"/>
      </w:rPr>
    </w:lvl>
    <w:lvl w:ilvl="4" w:tplc="C86C7288">
      <w:start w:val="1"/>
      <w:numFmt w:val="bullet"/>
      <w:lvlText w:val="o"/>
      <w:lvlJc w:val="left"/>
      <w:pPr>
        <w:tabs>
          <w:tab w:val="num" w:pos="3600"/>
        </w:tabs>
        <w:ind w:left="3600" w:hanging="360"/>
      </w:pPr>
      <w:rPr>
        <w:rFonts w:ascii="Courier New" w:hAnsi="Courier New"/>
      </w:rPr>
    </w:lvl>
    <w:lvl w:ilvl="5" w:tplc="513CC768">
      <w:start w:val="1"/>
      <w:numFmt w:val="bullet"/>
      <w:lvlText w:val=""/>
      <w:lvlJc w:val="left"/>
      <w:pPr>
        <w:tabs>
          <w:tab w:val="num" w:pos="4320"/>
        </w:tabs>
        <w:ind w:left="4320" w:hanging="360"/>
      </w:pPr>
      <w:rPr>
        <w:rFonts w:ascii="Wingdings" w:hAnsi="Wingdings"/>
      </w:rPr>
    </w:lvl>
    <w:lvl w:ilvl="6" w:tplc="6A744496">
      <w:start w:val="1"/>
      <w:numFmt w:val="bullet"/>
      <w:lvlText w:val=""/>
      <w:lvlJc w:val="left"/>
      <w:pPr>
        <w:tabs>
          <w:tab w:val="num" w:pos="5040"/>
        </w:tabs>
        <w:ind w:left="5040" w:hanging="360"/>
      </w:pPr>
      <w:rPr>
        <w:rFonts w:ascii="Symbol" w:hAnsi="Symbol"/>
      </w:rPr>
    </w:lvl>
    <w:lvl w:ilvl="7" w:tplc="8FD08DE4">
      <w:start w:val="1"/>
      <w:numFmt w:val="bullet"/>
      <w:lvlText w:val="o"/>
      <w:lvlJc w:val="left"/>
      <w:pPr>
        <w:tabs>
          <w:tab w:val="num" w:pos="5760"/>
        </w:tabs>
        <w:ind w:left="5760" w:hanging="360"/>
      </w:pPr>
      <w:rPr>
        <w:rFonts w:ascii="Courier New" w:hAnsi="Courier New"/>
      </w:rPr>
    </w:lvl>
    <w:lvl w:ilvl="8" w:tplc="D3086932">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3DEC"/>
    <w:rsid w:val="00040967"/>
    <w:rsid w:val="00046E2A"/>
    <w:rsid w:val="00051C75"/>
    <w:rsid w:val="00051DD6"/>
    <w:rsid w:val="00053478"/>
    <w:rsid w:val="00064A75"/>
    <w:rsid w:val="00065B92"/>
    <w:rsid w:val="00091521"/>
    <w:rsid w:val="00094173"/>
    <w:rsid w:val="000A3B64"/>
    <w:rsid w:val="000C0709"/>
    <w:rsid w:val="000D2496"/>
    <w:rsid w:val="000E2AA1"/>
    <w:rsid w:val="0010723D"/>
    <w:rsid w:val="00111889"/>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E06F3"/>
    <w:rsid w:val="00331A05"/>
    <w:rsid w:val="003579A1"/>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753F"/>
    <w:rsid w:val="00860EA9"/>
    <w:rsid w:val="008624D7"/>
    <w:rsid w:val="0087734D"/>
    <w:rsid w:val="00882024"/>
    <w:rsid w:val="00883A98"/>
    <w:rsid w:val="008B5D13"/>
    <w:rsid w:val="008C5CFA"/>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D62A1"/>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8670F"/>
    <w:rsid w:val="00CB3B6C"/>
    <w:rsid w:val="00CC2601"/>
    <w:rsid w:val="00CC3B15"/>
    <w:rsid w:val="00CD24A9"/>
    <w:rsid w:val="00CE4BC7"/>
    <w:rsid w:val="00CF0C37"/>
    <w:rsid w:val="00CF2144"/>
    <w:rsid w:val="00D066A4"/>
    <w:rsid w:val="00D06E4F"/>
    <w:rsid w:val="00D10A8B"/>
    <w:rsid w:val="00D4391C"/>
    <w:rsid w:val="00D5077A"/>
    <w:rsid w:val="00D87DAA"/>
    <w:rsid w:val="00DB25B8"/>
    <w:rsid w:val="00DB4153"/>
    <w:rsid w:val="00DB6C33"/>
    <w:rsid w:val="00DC2298"/>
    <w:rsid w:val="00DD0A72"/>
    <w:rsid w:val="00DD2742"/>
    <w:rsid w:val="00DD7063"/>
    <w:rsid w:val="00DD7278"/>
    <w:rsid w:val="00DF0D6A"/>
    <w:rsid w:val="00E03250"/>
    <w:rsid w:val="00E22750"/>
    <w:rsid w:val="00E30D80"/>
    <w:rsid w:val="00E31209"/>
    <w:rsid w:val="00E352CA"/>
    <w:rsid w:val="00E367EA"/>
    <w:rsid w:val="00E505CB"/>
    <w:rsid w:val="00E50D6A"/>
    <w:rsid w:val="00E57341"/>
    <w:rsid w:val="00E61062"/>
    <w:rsid w:val="00E82DCA"/>
    <w:rsid w:val="00E86267"/>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2FAD78-011B-4D4E-87E7-254C0D26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3D38C3"/>
    <w:pPr>
      <w:spacing w:before="0" w:after="0"/>
      <w:ind w:left="240"/>
      <w:jc w:val="left"/>
    </w:pPr>
    <w:rPr>
      <w:smallCaps/>
      <w:sz w:val="20"/>
      <w:szCs w:val="20"/>
    </w:rPr>
  </w:style>
  <w:style w:type="paragraph" w:styleId="Kazalovsebine3">
    <w:name w:val="toc 3"/>
    <w:basedOn w:val="Navaden"/>
    <w:next w:val="Navaden"/>
    <w:rsid w:val="003D38C3"/>
    <w:pPr>
      <w:spacing w:before="0" w:after="0"/>
      <w:ind w:left="480"/>
      <w:jc w:val="left"/>
    </w:pPr>
    <w:rPr>
      <w:i/>
      <w:iCs/>
      <w:sz w:val="20"/>
      <w:szCs w:val="20"/>
    </w:rPr>
  </w:style>
  <w:style w:type="paragraph" w:styleId="Kazalovsebine4">
    <w:name w:val="toc 4"/>
    <w:basedOn w:val="Navaden"/>
    <w:next w:val="Navaden"/>
    <w:semiHidden/>
    <w:rsid w:val="003D38C3"/>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2F7CB-AABA-4490-B3A7-335DADF0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7555</Words>
  <Characters>43070</Characters>
  <Application>Microsoft Office Word</Application>
  <DocSecurity>0</DocSecurity>
  <Lines>358</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cp:lastPrinted>2018-07-02T12:30:00Z</cp:lastPrinted>
  <dcterms:created xsi:type="dcterms:W3CDTF">2023-05-08T13:10:00Z</dcterms:created>
  <dcterms:modified xsi:type="dcterms:W3CDTF">2023-05-08T13:10:00Z</dcterms:modified>
</cp:coreProperties>
</file>