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077D" w14:textId="6ED8D409" w:rsidR="00590E45" w:rsidRPr="00D83239" w:rsidRDefault="00DD5C36" w:rsidP="00D83239">
      <w:pPr>
        <w:spacing w:after="0" w:line="276" w:lineRule="auto"/>
        <w:jc w:val="both"/>
        <w:rPr>
          <w:rFonts w:ascii="Arial" w:hAnsi="Arial" w:cs="Arial"/>
          <w:b/>
          <w:sz w:val="20"/>
          <w:szCs w:val="20"/>
        </w:rPr>
      </w:pPr>
      <w:r w:rsidRPr="00D83239">
        <w:rPr>
          <w:rFonts w:ascii="Arial" w:hAnsi="Arial" w:cs="Arial"/>
          <w:noProof/>
          <w:sz w:val="20"/>
          <w:szCs w:val="20"/>
          <w:lang w:eastAsia="sl-SI"/>
        </w:rPr>
        <w:drawing>
          <wp:anchor distT="0" distB="0" distL="114300" distR="114300" simplePos="0" relativeHeight="251657728" behindDoc="1" locked="0" layoutInCell="1" allowOverlap="1" wp14:anchorId="26409A64" wp14:editId="2D846DC6">
            <wp:simplePos x="0" y="0"/>
            <wp:positionH relativeFrom="page">
              <wp:posOffset>790434</wp:posOffset>
            </wp:positionH>
            <wp:positionV relativeFrom="page">
              <wp:posOffset>896620</wp:posOffset>
            </wp:positionV>
            <wp:extent cx="2814955" cy="312420"/>
            <wp:effectExtent l="0" t="0" r="4445"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pic:spPr>
                </pic:pic>
              </a:graphicData>
            </a:graphic>
            <wp14:sizeRelH relativeFrom="page">
              <wp14:pctWidth>0</wp14:pctWidth>
            </wp14:sizeRelH>
            <wp14:sizeRelV relativeFrom="page">
              <wp14:pctHeight>0</wp14:pctHeight>
            </wp14:sizeRelV>
          </wp:anchor>
        </w:drawing>
      </w:r>
    </w:p>
    <w:p w14:paraId="26532B44" w14:textId="77777777" w:rsidR="00590E45" w:rsidRPr="00D83239" w:rsidRDefault="00590E45" w:rsidP="00D83239">
      <w:pPr>
        <w:spacing w:after="0" w:line="276" w:lineRule="auto"/>
        <w:jc w:val="both"/>
        <w:rPr>
          <w:rFonts w:ascii="Arial" w:hAnsi="Arial" w:cs="Arial"/>
          <w:b/>
          <w:sz w:val="20"/>
          <w:szCs w:val="20"/>
        </w:rPr>
      </w:pPr>
    </w:p>
    <w:p w14:paraId="52870E44" w14:textId="02115AE6" w:rsidR="00590E45" w:rsidRPr="00D83239" w:rsidRDefault="00590E45" w:rsidP="00D83239">
      <w:pPr>
        <w:pStyle w:val="Glava"/>
        <w:tabs>
          <w:tab w:val="left" w:pos="5112"/>
        </w:tabs>
        <w:spacing w:line="276" w:lineRule="auto"/>
        <w:ind w:firstLine="284"/>
        <w:jc w:val="both"/>
        <w:rPr>
          <w:rFonts w:ascii="Arial" w:hAnsi="Arial" w:cs="Arial"/>
          <w:sz w:val="20"/>
          <w:szCs w:val="20"/>
        </w:rPr>
      </w:pPr>
      <w:r w:rsidRPr="00D83239">
        <w:rPr>
          <w:rFonts w:ascii="Arial" w:hAnsi="Arial" w:cs="Arial"/>
          <w:sz w:val="20"/>
          <w:szCs w:val="20"/>
        </w:rPr>
        <w:t xml:space="preserve"> </w:t>
      </w:r>
    </w:p>
    <w:p w14:paraId="223B1B60" w14:textId="77777777" w:rsidR="00590E45" w:rsidRPr="00D83239" w:rsidRDefault="00590E45" w:rsidP="00D83239">
      <w:pPr>
        <w:spacing w:after="0" w:line="276" w:lineRule="auto"/>
        <w:jc w:val="both"/>
        <w:rPr>
          <w:rFonts w:ascii="Arial" w:hAnsi="Arial" w:cs="Arial"/>
          <w:sz w:val="20"/>
          <w:szCs w:val="20"/>
        </w:rPr>
      </w:pPr>
    </w:p>
    <w:p w14:paraId="458FDD2C" w14:textId="36BF5735" w:rsidR="0003318C" w:rsidRPr="00D83239" w:rsidRDefault="0003318C" w:rsidP="00D83239">
      <w:pPr>
        <w:spacing w:after="0" w:line="276" w:lineRule="auto"/>
        <w:jc w:val="both"/>
        <w:rPr>
          <w:rFonts w:ascii="Arial" w:hAnsi="Arial" w:cs="Arial"/>
          <w:sz w:val="20"/>
          <w:szCs w:val="20"/>
        </w:rPr>
      </w:pPr>
    </w:p>
    <w:p w14:paraId="658159E1" w14:textId="77777777" w:rsidR="0003318C" w:rsidRPr="00D83239" w:rsidRDefault="0003318C" w:rsidP="00D83239">
      <w:pPr>
        <w:spacing w:after="0" w:line="276" w:lineRule="auto"/>
        <w:jc w:val="both"/>
        <w:rPr>
          <w:rFonts w:ascii="Arial" w:hAnsi="Arial" w:cs="Arial"/>
          <w:sz w:val="20"/>
          <w:szCs w:val="20"/>
        </w:rPr>
      </w:pPr>
    </w:p>
    <w:p w14:paraId="0DD62199" w14:textId="77777777" w:rsidR="00590E45" w:rsidRPr="00D83239" w:rsidRDefault="00590E45" w:rsidP="00D83239">
      <w:pPr>
        <w:spacing w:after="0" w:line="276" w:lineRule="auto"/>
        <w:jc w:val="both"/>
        <w:rPr>
          <w:rFonts w:ascii="Arial" w:hAnsi="Arial" w:cs="Arial"/>
          <w:sz w:val="20"/>
          <w:szCs w:val="20"/>
        </w:rPr>
      </w:pPr>
    </w:p>
    <w:p w14:paraId="6AD3AFBD" w14:textId="77777777" w:rsidR="00590E45" w:rsidRPr="00D83239" w:rsidRDefault="00590E45" w:rsidP="00D83239">
      <w:pPr>
        <w:spacing w:after="0" w:line="276" w:lineRule="auto"/>
        <w:jc w:val="both"/>
        <w:rPr>
          <w:rFonts w:ascii="Arial" w:hAnsi="Arial" w:cs="Arial"/>
          <w:sz w:val="20"/>
          <w:szCs w:val="20"/>
        </w:rPr>
      </w:pPr>
    </w:p>
    <w:p w14:paraId="5609D899" w14:textId="52DD4318" w:rsidR="00590E45" w:rsidRPr="00D83239" w:rsidRDefault="00590E45" w:rsidP="00D83239">
      <w:pPr>
        <w:spacing w:after="0" w:line="276" w:lineRule="auto"/>
        <w:jc w:val="both"/>
        <w:rPr>
          <w:rFonts w:ascii="Arial" w:hAnsi="Arial" w:cs="Arial"/>
          <w:sz w:val="20"/>
          <w:szCs w:val="20"/>
        </w:rPr>
      </w:pPr>
    </w:p>
    <w:p w14:paraId="5E164556" w14:textId="75480B15" w:rsidR="009C073A" w:rsidRPr="00D83239" w:rsidRDefault="009C073A" w:rsidP="00D83239">
      <w:pPr>
        <w:spacing w:after="0" w:line="276" w:lineRule="auto"/>
        <w:jc w:val="both"/>
        <w:rPr>
          <w:rFonts w:ascii="Arial" w:hAnsi="Arial" w:cs="Arial"/>
          <w:sz w:val="20"/>
          <w:szCs w:val="20"/>
        </w:rPr>
      </w:pPr>
    </w:p>
    <w:p w14:paraId="67DE2D99" w14:textId="77777777" w:rsidR="009C073A" w:rsidRPr="00D83239" w:rsidRDefault="009C073A" w:rsidP="00D83239">
      <w:pPr>
        <w:spacing w:after="0" w:line="276" w:lineRule="auto"/>
        <w:jc w:val="both"/>
        <w:rPr>
          <w:rFonts w:ascii="Arial" w:hAnsi="Arial" w:cs="Arial"/>
          <w:sz w:val="20"/>
          <w:szCs w:val="20"/>
        </w:rPr>
      </w:pPr>
    </w:p>
    <w:p w14:paraId="4CA748D5" w14:textId="24153D58" w:rsidR="00D63E60" w:rsidRPr="00D83239" w:rsidRDefault="00BD1A78" w:rsidP="00D83239">
      <w:pPr>
        <w:spacing w:after="0" w:line="276" w:lineRule="auto"/>
        <w:jc w:val="both"/>
        <w:rPr>
          <w:rFonts w:ascii="Arial" w:hAnsi="Arial" w:cs="Arial"/>
          <w:sz w:val="20"/>
          <w:szCs w:val="20"/>
        </w:rPr>
      </w:pPr>
      <w:r w:rsidRPr="00D83239">
        <w:rPr>
          <w:rFonts w:ascii="Arial" w:hAnsi="Arial" w:cs="Arial"/>
          <w:sz w:val="20"/>
          <w:szCs w:val="20"/>
        </w:rPr>
        <w:t>Številka: 0101-58/2026</w:t>
      </w:r>
      <w:r w:rsidR="006C1AA4">
        <w:rPr>
          <w:rFonts w:ascii="Arial" w:hAnsi="Arial" w:cs="Arial"/>
          <w:sz w:val="20"/>
          <w:szCs w:val="20"/>
        </w:rPr>
        <w:t>/7</w:t>
      </w:r>
    </w:p>
    <w:p w14:paraId="48A1F396" w14:textId="1C1ED646" w:rsidR="00D63E60" w:rsidRPr="00D83239" w:rsidRDefault="00456C12" w:rsidP="00D83239">
      <w:pPr>
        <w:spacing w:after="0" w:line="276" w:lineRule="auto"/>
        <w:jc w:val="both"/>
        <w:rPr>
          <w:rFonts w:ascii="Arial" w:hAnsi="Arial" w:cs="Arial"/>
          <w:sz w:val="20"/>
          <w:szCs w:val="20"/>
        </w:rPr>
      </w:pPr>
      <w:r w:rsidRPr="00D83239">
        <w:rPr>
          <w:rFonts w:ascii="Arial" w:hAnsi="Arial" w:cs="Arial"/>
          <w:sz w:val="20"/>
          <w:szCs w:val="20"/>
        </w:rPr>
        <w:t>Datum</w:t>
      </w:r>
      <w:r w:rsidR="001E01C9" w:rsidRPr="00D83239">
        <w:rPr>
          <w:rFonts w:ascii="Arial" w:hAnsi="Arial" w:cs="Arial"/>
          <w:sz w:val="20"/>
          <w:szCs w:val="20"/>
        </w:rPr>
        <w:t xml:space="preserve">: </w:t>
      </w:r>
      <w:r w:rsidR="00D65C01">
        <w:rPr>
          <w:rFonts w:ascii="Arial" w:hAnsi="Arial" w:cs="Arial"/>
          <w:sz w:val="20"/>
          <w:szCs w:val="20"/>
        </w:rPr>
        <w:t>27. 3.</w:t>
      </w:r>
      <w:r w:rsidR="00BD1A78" w:rsidRPr="00D83239">
        <w:rPr>
          <w:rFonts w:ascii="Arial" w:hAnsi="Arial" w:cs="Arial"/>
          <w:sz w:val="20"/>
          <w:szCs w:val="20"/>
        </w:rPr>
        <w:t xml:space="preserve"> 2026</w:t>
      </w:r>
    </w:p>
    <w:p w14:paraId="52C757FF" w14:textId="77777777" w:rsidR="00590E45" w:rsidRPr="00D83239" w:rsidRDefault="00590E45" w:rsidP="00D83239">
      <w:pPr>
        <w:spacing w:after="0" w:line="276" w:lineRule="auto"/>
        <w:jc w:val="both"/>
        <w:rPr>
          <w:rFonts w:ascii="Arial" w:hAnsi="Arial" w:cs="Arial"/>
          <w:sz w:val="20"/>
          <w:szCs w:val="20"/>
        </w:rPr>
      </w:pPr>
    </w:p>
    <w:p w14:paraId="4487B97D" w14:textId="77777777" w:rsidR="00590E45" w:rsidRPr="00D83239" w:rsidRDefault="00590E45" w:rsidP="00D83239">
      <w:pPr>
        <w:spacing w:after="0" w:line="276" w:lineRule="auto"/>
        <w:jc w:val="both"/>
        <w:rPr>
          <w:rFonts w:ascii="Arial" w:hAnsi="Arial" w:cs="Arial"/>
          <w:sz w:val="20"/>
          <w:szCs w:val="20"/>
        </w:rPr>
      </w:pPr>
    </w:p>
    <w:p w14:paraId="25E3C0CF" w14:textId="18D76A23" w:rsidR="00590E45" w:rsidRPr="00D83239" w:rsidRDefault="00590E45" w:rsidP="00D83239">
      <w:pPr>
        <w:spacing w:after="0" w:line="276" w:lineRule="auto"/>
        <w:jc w:val="both"/>
        <w:rPr>
          <w:rFonts w:ascii="Arial" w:hAnsi="Arial" w:cs="Arial"/>
          <w:sz w:val="20"/>
          <w:szCs w:val="20"/>
        </w:rPr>
      </w:pPr>
    </w:p>
    <w:p w14:paraId="1B0F8EDE" w14:textId="4E6F144C" w:rsidR="00116002" w:rsidRPr="00D83239" w:rsidRDefault="00116002" w:rsidP="00D83239">
      <w:pPr>
        <w:spacing w:after="0" w:line="276" w:lineRule="auto"/>
        <w:jc w:val="both"/>
        <w:rPr>
          <w:rFonts w:ascii="Arial" w:hAnsi="Arial" w:cs="Arial"/>
          <w:sz w:val="20"/>
          <w:szCs w:val="20"/>
        </w:rPr>
      </w:pPr>
    </w:p>
    <w:p w14:paraId="166A9981" w14:textId="77777777" w:rsidR="00116002" w:rsidRPr="00D83239" w:rsidRDefault="00116002" w:rsidP="00D83239">
      <w:pPr>
        <w:spacing w:after="0" w:line="276" w:lineRule="auto"/>
        <w:jc w:val="both"/>
        <w:rPr>
          <w:rFonts w:ascii="Arial" w:hAnsi="Arial" w:cs="Arial"/>
          <w:sz w:val="20"/>
          <w:szCs w:val="20"/>
        </w:rPr>
      </w:pPr>
    </w:p>
    <w:p w14:paraId="4DF80071" w14:textId="77777777" w:rsidR="00116002" w:rsidRPr="00D83239" w:rsidRDefault="00116002" w:rsidP="00D83239">
      <w:pPr>
        <w:spacing w:after="0" w:line="276" w:lineRule="auto"/>
        <w:jc w:val="both"/>
        <w:rPr>
          <w:rFonts w:ascii="Arial" w:hAnsi="Arial" w:cs="Arial"/>
          <w:sz w:val="20"/>
          <w:szCs w:val="20"/>
        </w:rPr>
      </w:pPr>
    </w:p>
    <w:p w14:paraId="2D689B38" w14:textId="77777777" w:rsidR="00590E45" w:rsidRPr="00D83239" w:rsidRDefault="00590E45" w:rsidP="00D83239">
      <w:pPr>
        <w:spacing w:after="0" w:line="276" w:lineRule="auto"/>
        <w:jc w:val="both"/>
        <w:rPr>
          <w:rFonts w:ascii="Arial" w:hAnsi="Arial" w:cs="Arial"/>
          <w:sz w:val="20"/>
          <w:szCs w:val="20"/>
        </w:rPr>
      </w:pPr>
    </w:p>
    <w:p w14:paraId="21177AE7" w14:textId="77777777" w:rsidR="00590E45" w:rsidRPr="00D83239" w:rsidRDefault="00590E45" w:rsidP="00D83239">
      <w:pPr>
        <w:spacing w:after="0" w:line="276" w:lineRule="auto"/>
        <w:jc w:val="both"/>
        <w:rPr>
          <w:rFonts w:ascii="Arial" w:hAnsi="Arial" w:cs="Arial"/>
          <w:sz w:val="20"/>
          <w:szCs w:val="20"/>
        </w:rPr>
      </w:pPr>
    </w:p>
    <w:p w14:paraId="1CD2B54E" w14:textId="77777777" w:rsidR="00590E45" w:rsidRPr="00D83239" w:rsidRDefault="00590E45" w:rsidP="00D83239">
      <w:pPr>
        <w:spacing w:after="0" w:line="276" w:lineRule="auto"/>
        <w:jc w:val="both"/>
        <w:rPr>
          <w:rFonts w:ascii="Arial" w:hAnsi="Arial" w:cs="Arial"/>
          <w:sz w:val="20"/>
          <w:szCs w:val="20"/>
        </w:rPr>
      </w:pPr>
    </w:p>
    <w:p w14:paraId="5A822C74" w14:textId="77777777" w:rsidR="00590E45" w:rsidRPr="00D83239" w:rsidRDefault="00590E45" w:rsidP="00D83239">
      <w:pPr>
        <w:spacing w:after="0" w:line="276" w:lineRule="auto"/>
        <w:jc w:val="both"/>
        <w:rPr>
          <w:rFonts w:ascii="Arial" w:hAnsi="Arial" w:cs="Arial"/>
          <w:sz w:val="20"/>
          <w:szCs w:val="20"/>
        </w:rPr>
      </w:pPr>
    </w:p>
    <w:p w14:paraId="4EF0440B" w14:textId="77777777" w:rsidR="00590E45" w:rsidRPr="00D83239" w:rsidRDefault="00590E45" w:rsidP="00D83239">
      <w:pPr>
        <w:spacing w:after="0" w:line="276" w:lineRule="auto"/>
        <w:jc w:val="both"/>
        <w:rPr>
          <w:rFonts w:ascii="Arial" w:hAnsi="Arial" w:cs="Arial"/>
          <w:sz w:val="20"/>
          <w:szCs w:val="20"/>
        </w:rPr>
      </w:pPr>
    </w:p>
    <w:p w14:paraId="726F3508" w14:textId="77777777" w:rsidR="00590E45" w:rsidRPr="00D83239" w:rsidRDefault="00590E45" w:rsidP="00D83239">
      <w:pPr>
        <w:spacing w:after="0" w:line="276" w:lineRule="auto"/>
        <w:jc w:val="both"/>
        <w:rPr>
          <w:rFonts w:ascii="Arial" w:hAnsi="Arial" w:cs="Arial"/>
          <w:sz w:val="20"/>
          <w:szCs w:val="20"/>
        </w:rPr>
      </w:pPr>
    </w:p>
    <w:p w14:paraId="2F526859" w14:textId="77777777" w:rsidR="00590E45" w:rsidRPr="00D83239" w:rsidRDefault="00590E45" w:rsidP="00D83239">
      <w:pPr>
        <w:spacing w:after="0" w:line="276" w:lineRule="auto"/>
        <w:jc w:val="both"/>
        <w:rPr>
          <w:rFonts w:ascii="Arial" w:hAnsi="Arial" w:cs="Arial"/>
          <w:sz w:val="20"/>
          <w:szCs w:val="20"/>
        </w:rPr>
      </w:pPr>
    </w:p>
    <w:p w14:paraId="0779DC4D" w14:textId="77777777" w:rsidR="00590E45" w:rsidRPr="00A409AF" w:rsidRDefault="00590E45" w:rsidP="00A409AF">
      <w:pPr>
        <w:spacing w:after="0" w:line="276" w:lineRule="auto"/>
        <w:jc w:val="center"/>
        <w:rPr>
          <w:rFonts w:ascii="Arial" w:hAnsi="Arial" w:cs="Arial"/>
          <w:b/>
          <w:sz w:val="28"/>
          <w:szCs w:val="28"/>
        </w:rPr>
      </w:pPr>
    </w:p>
    <w:p w14:paraId="690531C3" w14:textId="5B0CECEC" w:rsidR="00590E45" w:rsidRPr="00A409AF" w:rsidRDefault="00590E45" w:rsidP="00A409AF">
      <w:pPr>
        <w:spacing w:after="0" w:line="276" w:lineRule="auto"/>
        <w:jc w:val="center"/>
        <w:rPr>
          <w:rFonts w:ascii="Arial" w:hAnsi="Arial" w:cs="Arial"/>
          <w:b/>
          <w:sz w:val="32"/>
          <w:szCs w:val="32"/>
        </w:rPr>
      </w:pPr>
      <w:r w:rsidRPr="00A409AF">
        <w:rPr>
          <w:rFonts w:ascii="Arial" w:hAnsi="Arial" w:cs="Arial"/>
          <w:b/>
          <w:sz w:val="32"/>
          <w:szCs w:val="32"/>
        </w:rPr>
        <w:t>POROČILO O DELU M</w:t>
      </w:r>
      <w:r w:rsidR="006C1AA4">
        <w:rPr>
          <w:rFonts w:ascii="Arial" w:hAnsi="Arial" w:cs="Arial"/>
          <w:b/>
          <w:sz w:val="32"/>
          <w:szCs w:val="32"/>
        </w:rPr>
        <w:t>INISTRSTVA ZA NOTRANJE ZADEVE</w:t>
      </w:r>
      <w:r w:rsidR="00D65C01">
        <w:rPr>
          <w:rFonts w:ascii="Arial" w:hAnsi="Arial" w:cs="Arial"/>
          <w:b/>
          <w:sz w:val="32"/>
          <w:szCs w:val="32"/>
        </w:rPr>
        <w:t xml:space="preserve"> </w:t>
      </w:r>
      <w:r w:rsidRPr="00A409AF">
        <w:rPr>
          <w:rFonts w:ascii="Arial" w:hAnsi="Arial" w:cs="Arial"/>
          <w:b/>
          <w:sz w:val="32"/>
          <w:szCs w:val="32"/>
        </w:rPr>
        <w:t>V LETU 202</w:t>
      </w:r>
      <w:r w:rsidR="00BD1A78" w:rsidRPr="00A409AF">
        <w:rPr>
          <w:rFonts w:ascii="Arial" w:hAnsi="Arial" w:cs="Arial"/>
          <w:b/>
          <w:sz w:val="32"/>
          <w:szCs w:val="32"/>
        </w:rPr>
        <w:t>5</w:t>
      </w:r>
    </w:p>
    <w:p w14:paraId="2514CB16" w14:textId="49D89AC2" w:rsidR="00590E45" w:rsidRPr="00A409AF" w:rsidRDefault="00590E45" w:rsidP="00A409AF">
      <w:pPr>
        <w:spacing w:after="0" w:line="276" w:lineRule="auto"/>
        <w:jc w:val="center"/>
        <w:rPr>
          <w:rFonts w:ascii="Arial" w:hAnsi="Arial" w:cs="Arial"/>
          <w:b/>
          <w:i/>
          <w:sz w:val="28"/>
          <w:szCs w:val="28"/>
        </w:rPr>
      </w:pPr>
    </w:p>
    <w:p w14:paraId="29BFD5A0" w14:textId="77777777" w:rsidR="00590E45" w:rsidRPr="00D83239" w:rsidRDefault="00590E45" w:rsidP="00D83239">
      <w:pPr>
        <w:spacing w:after="0" w:line="276" w:lineRule="auto"/>
        <w:jc w:val="both"/>
        <w:rPr>
          <w:rFonts w:ascii="Arial" w:hAnsi="Arial" w:cs="Arial"/>
          <w:b/>
          <w:i/>
          <w:sz w:val="20"/>
          <w:szCs w:val="20"/>
        </w:rPr>
      </w:pPr>
    </w:p>
    <w:p w14:paraId="3F7316CE" w14:textId="77777777" w:rsidR="00590E45" w:rsidRPr="00D83239" w:rsidRDefault="00590E45" w:rsidP="00D83239">
      <w:pPr>
        <w:spacing w:after="0" w:line="276" w:lineRule="auto"/>
        <w:jc w:val="both"/>
        <w:rPr>
          <w:rFonts w:ascii="Arial" w:hAnsi="Arial" w:cs="Arial"/>
          <w:b/>
          <w:sz w:val="20"/>
          <w:szCs w:val="20"/>
        </w:rPr>
      </w:pPr>
    </w:p>
    <w:p w14:paraId="3D3EBD75" w14:textId="77777777" w:rsidR="00590E45" w:rsidRPr="00D83239" w:rsidRDefault="00590E45" w:rsidP="00D83239">
      <w:pPr>
        <w:spacing w:after="0" w:line="276" w:lineRule="auto"/>
        <w:jc w:val="both"/>
        <w:rPr>
          <w:rFonts w:ascii="Arial" w:hAnsi="Arial" w:cs="Arial"/>
          <w:b/>
          <w:sz w:val="20"/>
          <w:szCs w:val="20"/>
        </w:rPr>
      </w:pPr>
    </w:p>
    <w:p w14:paraId="2AF700C8" w14:textId="77777777" w:rsidR="00590E45" w:rsidRPr="00D83239" w:rsidRDefault="00590E45" w:rsidP="00D83239">
      <w:pPr>
        <w:spacing w:after="0" w:line="276" w:lineRule="auto"/>
        <w:jc w:val="both"/>
        <w:rPr>
          <w:rFonts w:ascii="Arial" w:hAnsi="Arial" w:cs="Arial"/>
          <w:b/>
          <w:sz w:val="20"/>
          <w:szCs w:val="20"/>
        </w:rPr>
      </w:pPr>
    </w:p>
    <w:p w14:paraId="60E5B2E0" w14:textId="77777777" w:rsidR="00590E45" w:rsidRPr="00D83239" w:rsidRDefault="00590E45" w:rsidP="00D83239">
      <w:pPr>
        <w:spacing w:after="0" w:line="276" w:lineRule="auto"/>
        <w:jc w:val="both"/>
        <w:rPr>
          <w:rFonts w:ascii="Arial" w:hAnsi="Arial" w:cs="Arial"/>
          <w:b/>
          <w:sz w:val="20"/>
          <w:szCs w:val="20"/>
        </w:rPr>
      </w:pPr>
    </w:p>
    <w:p w14:paraId="670C1A62" w14:textId="77777777" w:rsidR="00590E45" w:rsidRPr="00D83239" w:rsidRDefault="00590E45" w:rsidP="00D83239">
      <w:pPr>
        <w:spacing w:after="0" w:line="276" w:lineRule="auto"/>
        <w:jc w:val="both"/>
        <w:rPr>
          <w:rFonts w:ascii="Arial" w:hAnsi="Arial" w:cs="Arial"/>
          <w:b/>
          <w:sz w:val="20"/>
          <w:szCs w:val="20"/>
        </w:rPr>
      </w:pPr>
    </w:p>
    <w:p w14:paraId="565D07BA" w14:textId="77777777" w:rsidR="00590E45" w:rsidRPr="00D83239" w:rsidRDefault="00590E45" w:rsidP="00D83239">
      <w:pPr>
        <w:spacing w:after="0" w:line="276" w:lineRule="auto"/>
        <w:jc w:val="both"/>
        <w:rPr>
          <w:rFonts w:ascii="Arial" w:hAnsi="Arial" w:cs="Arial"/>
          <w:b/>
          <w:sz w:val="20"/>
          <w:szCs w:val="20"/>
        </w:rPr>
      </w:pPr>
    </w:p>
    <w:p w14:paraId="49FE5A83" w14:textId="77777777" w:rsidR="00590E45" w:rsidRPr="00D83239" w:rsidRDefault="00590E45" w:rsidP="00D83239">
      <w:pPr>
        <w:spacing w:after="0" w:line="276" w:lineRule="auto"/>
        <w:jc w:val="both"/>
        <w:rPr>
          <w:rFonts w:ascii="Arial" w:hAnsi="Arial" w:cs="Arial"/>
          <w:b/>
          <w:sz w:val="20"/>
          <w:szCs w:val="20"/>
        </w:rPr>
      </w:pPr>
    </w:p>
    <w:p w14:paraId="3DE33BAA" w14:textId="2B3A47AA" w:rsidR="00590E45" w:rsidRPr="00D83239" w:rsidRDefault="00590E45" w:rsidP="00D83239">
      <w:pPr>
        <w:spacing w:after="0" w:line="276" w:lineRule="auto"/>
        <w:jc w:val="both"/>
        <w:rPr>
          <w:rFonts w:ascii="Arial" w:hAnsi="Arial" w:cs="Arial"/>
          <w:b/>
          <w:sz w:val="20"/>
          <w:szCs w:val="20"/>
        </w:rPr>
      </w:pPr>
    </w:p>
    <w:p w14:paraId="75DC0F4F" w14:textId="783B3279" w:rsidR="00116002" w:rsidRPr="00D83239" w:rsidRDefault="00116002" w:rsidP="00D83239">
      <w:pPr>
        <w:spacing w:after="0" w:line="276" w:lineRule="auto"/>
        <w:jc w:val="both"/>
        <w:rPr>
          <w:rFonts w:ascii="Arial" w:hAnsi="Arial" w:cs="Arial"/>
          <w:b/>
          <w:sz w:val="20"/>
          <w:szCs w:val="20"/>
        </w:rPr>
      </w:pPr>
    </w:p>
    <w:p w14:paraId="120C39BB" w14:textId="77777777" w:rsidR="00116002" w:rsidRPr="00D83239" w:rsidRDefault="00116002" w:rsidP="00D83239">
      <w:pPr>
        <w:spacing w:after="0" w:line="276" w:lineRule="auto"/>
        <w:jc w:val="both"/>
        <w:rPr>
          <w:rFonts w:ascii="Arial" w:hAnsi="Arial" w:cs="Arial"/>
          <w:b/>
          <w:sz w:val="20"/>
          <w:szCs w:val="20"/>
        </w:rPr>
      </w:pPr>
    </w:p>
    <w:p w14:paraId="5174CE0F" w14:textId="77777777" w:rsidR="00590E45" w:rsidRPr="00D83239" w:rsidRDefault="00590E45" w:rsidP="00D83239">
      <w:pPr>
        <w:spacing w:after="0" w:line="276" w:lineRule="auto"/>
        <w:jc w:val="both"/>
        <w:rPr>
          <w:rFonts w:ascii="Arial" w:hAnsi="Arial" w:cs="Arial"/>
          <w:b/>
          <w:sz w:val="20"/>
          <w:szCs w:val="20"/>
        </w:rPr>
      </w:pPr>
    </w:p>
    <w:p w14:paraId="09120578" w14:textId="77777777" w:rsidR="00590E45" w:rsidRPr="00D83239" w:rsidRDefault="00590E45" w:rsidP="00D83239">
      <w:pPr>
        <w:spacing w:after="0" w:line="276" w:lineRule="auto"/>
        <w:jc w:val="both"/>
        <w:rPr>
          <w:rFonts w:ascii="Arial" w:hAnsi="Arial" w:cs="Arial"/>
          <w:b/>
          <w:sz w:val="20"/>
          <w:szCs w:val="20"/>
        </w:rPr>
      </w:pPr>
    </w:p>
    <w:p w14:paraId="13689547" w14:textId="77777777" w:rsidR="00590E45" w:rsidRPr="00D83239" w:rsidRDefault="00590E45" w:rsidP="00D83239">
      <w:pPr>
        <w:spacing w:after="0" w:line="276" w:lineRule="auto"/>
        <w:jc w:val="both"/>
        <w:rPr>
          <w:rFonts w:ascii="Arial" w:hAnsi="Arial" w:cs="Arial"/>
          <w:b/>
          <w:sz w:val="20"/>
          <w:szCs w:val="20"/>
        </w:rPr>
      </w:pPr>
    </w:p>
    <w:p w14:paraId="2E337F9D" w14:textId="77777777" w:rsidR="00590E45" w:rsidRPr="00D83239" w:rsidRDefault="00590E45" w:rsidP="00D83239">
      <w:pPr>
        <w:spacing w:after="0" w:line="276" w:lineRule="auto"/>
        <w:jc w:val="both"/>
        <w:rPr>
          <w:rFonts w:ascii="Arial" w:hAnsi="Arial" w:cs="Arial"/>
          <w:b/>
          <w:sz w:val="20"/>
          <w:szCs w:val="20"/>
        </w:rPr>
      </w:pPr>
    </w:p>
    <w:p w14:paraId="08B37411" w14:textId="117539A8" w:rsidR="00590E45" w:rsidRPr="00D83239" w:rsidRDefault="00116002" w:rsidP="00D83239">
      <w:pPr>
        <w:tabs>
          <w:tab w:val="left" w:pos="5670"/>
        </w:tabs>
        <w:spacing w:after="0" w:line="276" w:lineRule="auto"/>
        <w:ind w:left="5664"/>
        <w:jc w:val="both"/>
        <w:rPr>
          <w:rFonts w:ascii="Arial" w:hAnsi="Arial" w:cs="Arial"/>
          <w:sz w:val="20"/>
          <w:szCs w:val="20"/>
        </w:rPr>
      </w:pPr>
      <w:r w:rsidRPr="00D83239">
        <w:rPr>
          <w:rFonts w:ascii="Arial" w:hAnsi="Arial" w:cs="Arial"/>
          <w:sz w:val="20"/>
          <w:szCs w:val="20"/>
        </w:rPr>
        <w:tab/>
      </w:r>
    </w:p>
    <w:p w14:paraId="133A30D2" w14:textId="1042FFDD" w:rsidR="00590E45" w:rsidRPr="00D83239" w:rsidRDefault="00590E45" w:rsidP="00D83239">
      <w:pPr>
        <w:spacing w:after="0" w:line="276" w:lineRule="auto"/>
        <w:jc w:val="both"/>
        <w:rPr>
          <w:rFonts w:ascii="Arial" w:hAnsi="Arial" w:cs="Arial"/>
          <w:b/>
          <w:sz w:val="20"/>
          <w:szCs w:val="20"/>
        </w:rPr>
      </w:pPr>
    </w:p>
    <w:p w14:paraId="755E8B03" w14:textId="0E4AFA6F" w:rsidR="00040894" w:rsidRPr="00D83239" w:rsidRDefault="00040894" w:rsidP="00D83239">
      <w:pPr>
        <w:spacing w:after="0" w:line="276" w:lineRule="auto"/>
        <w:jc w:val="both"/>
        <w:rPr>
          <w:rFonts w:ascii="Arial" w:hAnsi="Arial" w:cs="Arial"/>
          <w:b/>
          <w:sz w:val="20"/>
          <w:szCs w:val="20"/>
        </w:rPr>
      </w:pPr>
    </w:p>
    <w:p w14:paraId="6D763330" w14:textId="77777777" w:rsidR="00040894" w:rsidRPr="00D83239" w:rsidRDefault="00040894" w:rsidP="00D83239">
      <w:pPr>
        <w:spacing w:after="0" w:line="276" w:lineRule="auto"/>
        <w:jc w:val="both"/>
        <w:rPr>
          <w:rFonts w:ascii="Arial" w:hAnsi="Arial" w:cs="Arial"/>
          <w:b/>
          <w:sz w:val="20"/>
          <w:szCs w:val="20"/>
        </w:rPr>
      </w:pPr>
    </w:p>
    <w:p w14:paraId="3A6FB431" w14:textId="77777777" w:rsidR="00590E45" w:rsidRPr="00D83239" w:rsidRDefault="00590E45" w:rsidP="00D83239">
      <w:pPr>
        <w:spacing w:after="0" w:line="276" w:lineRule="auto"/>
        <w:jc w:val="both"/>
        <w:rPr>
          <w:rFonts w:ascii="Arial" w:hAnsi="Arial" w:cs="Arial"/>
          <w:b/>
          <w:sz w:val="20"/>
          <w:szCs w:val="20"/>
        </w:rPr>
      </w:pPr>
    </w:p>
    <w:p w14:paraId="165C6620" w14:textId="50B2BC83" w:rsidR="00590E45" w:rsidRPr="00D83239" w:rsidRDefault="00590E45" w:rsidP="00D83239">
      <w:pPr>
        <w:spacing w:after="0" w:line="276" w:lineRule="auto"/>
        <w:jc w:val="both"/>
        <w:rPr>
          <w:rFonts w:ascii="Arial" w:hAnsi="Arial" w:cs="Arial"/>
          <w:sz w:val="20"/>
          <w:szCs w:val="20"/>
        </w:rPr>
      </w:pPr>
    </w:p>
    <w:sdt>
      <w:sdtPr>
        <w:rPr>
          <w:rFonts w:ascii="Arial" w:eastAsia="Calibri" w:hAnsi="Arial" w:cs="Times New Roman"/>
          <w:color w:val="auto"/>
          <w:sz w:val="20"/>
          <w:szCs w:val="22"/>
          <w:lang w:eastAsia="en-US"/>
        </w:rPr>
        <w:id w:val="2059507911"/>
        <w:docPartObj>
          <w:docPartGallery w:val="Table of Contents"/>
          <w:docPartUnique/>
        </w:docPartObj>
      </w:sdtPr>
      <w:sdtEndPr>
        <w:rPr>
          <w:b/>
          <w:bCs/>
        </w:rPr>
      </w:sdtEndPr>
      <w:sdtContent>
        <w:p w14:paraId="1CAB4BAE" w14:textId="234B4D73" w:rsidR="006E7EDA" w:rsidRPr="00CC6C83" w:rsidRDefault="006E7EDA" w:rsidP="00CC6C83">
          <w:pPr>
            <w:pStyle w:val="NaslovTOC"/>
            <w:spacing w:before="0" w:after="0" w:line="480" w:lineRule="auto"/>
            <w:jc w:val="both"/>
            <w:rPr>
              <w:rFonts w:ascii="Arial" w:hAnsi="Arial"/>
              <w:b/>
              <w:color w:val="auto"/>
              <w:sz w:val="20"/>
            </w:rPr>
          </w:pPr>
          <w:r w:rsidRPr="00CC6C83">
            <w:rPr>
              <w:rFonts w:ascii="Arial" w:hAnsi="Arial"/>
              <w:b/>
              <w:color w:val="auto"/>
              <w:sz w:val="20"/>
            </w:rPr>
            <w:t>Vsebina</w:t>
          </w:r>
        </w:p>
        <w:p w14:paraId="3658E87E" w14:textId="1B2F80E6" w:rsidR="00D65C01" w:rsidRPr="00CC6C83" w:rsidRDefault="006E7EDA" w:rsidP="00CC6C83">
          <w:pPr>
            <w:pStyle w:val="Kazalovsebine1"/>
            <w:rPr>
              <w:rFonts w:ascii="Arial" w:eastAsiaTheme="minorEastAsia" w:hAnsi="Arial" w:cs="Arial"/>
              <w:noProof/>
              <w:sz w:val="20"/>
              <w:szCs w:val="20"/>
              <w:lang w:eastAsia="sl-SI"/>
            </w:rPr>
          </w:pPr>
          <w:r w:rsidRPr="00CC6C83">
            <w:rPr>
              <w:rFonts w:ascii="Arial" w:hAnsi="Arial" w:cs="Arial"/>
              <w:sz w:val="20"/>
              <w:szCs w:val="20"/>
            </w:rPr>
            <w:fldChar w:fldCharType="begin"/>
          </w:r>
          <w:r w:rsidRPr="00CC6C83">
            <w:rPr>
              <w:rFonts w:ascii="Arial" w:hAnsi="Arial" w:cs="Arial"/>
              <w:sz w:val="20"/>
              <w:szCs w:val="20"/>
            </w:rPr>
            <w:instrText xml:space="preserve"> TOC \o "1-3" \h \z \u </w:instrText>
          </w:r>
          <w:r w:rsidRPr="00CC6C83">
            <w:rPr>
              <w:rFonts w:ascii="Arial" w:hAnsi="Arial" w:cs="Arial"/>
              <w:sz w:val="20"/>
              <w:szCs w:val="20"/>
            </w:rPr>
            <w:fldChar w:fldCharType="separate"/>
          </w:r>
          <w:hyperlink w:anchor="_Toc225499812" w:history="1">
            <w:r w:rsidR="00D65C01" w:rsidRPr="00CC6C83">
              <w:rPr>
                <w:rStyle w:val="Hiperpovezava"/>
                <w:rFonts w:ascii="Arial" w:hAnsi="Arial" w:cs="Arial"/>
                <w:noProof/>
                <w:sz w:val="20"/>
                <w:szCs w:val="20"/>
              </w:rPr>
              <w:t>1</w:t>
            </w:r>
            <w:r w:rsidR="00D65C01" w:rsidRPr="00CC6C83">
              <w:rPr>
                <w:rFonts w:ascii="Arial" w:eastAsiaTheme="minorEastAsia" w:hAnsi="Arial" w:cs="Arial"/>
                <w:noProof/>
                <w:sz w:val="20"/>
                <w:szCs w:val="20"/>
                <w:lang w:eastAsia="sl-SI"/>
              </w:rPr>
              <w:tab/>
            </w:r>
            <w:r w:rsidR="00D65C01" w:rsidRPr="00CC6C83">
              <w:rPr>
                <w:rStyle w:val="Hiperpovezava"/>
                <w:rFonts w:ascii="Arial" w:hAnsi="Arial" w:cs="Arial"/>
                <w:noProof/>
                <w:sz w:val="20"/>
                <w:szCs w:val="20"/>
              </w:rPr>
              <w:t>Splošno</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_Toc225499812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3</w:t>
            </w:r>
            <w:r w:rsidR="00D65C01" w:rsidRPr="00CC6C83">
              <w:rPr>
                <w:rFonts w:ascii="Arial" w:hAnsi="Arial" w:cs="Arial"/>
                <w:noProof/>
                <w:webHidden/>
                <w:sz w:val="20"/>
                <w:szCs w:val="20"/>
              </w:rPr>
              <w:fldChar w:fldCharType="end"/>
            </w:r>
          </w:hyperlink>
        </w:p>
        <w:p w14:paraId="0BDC0471" w14:textId="68F03A73" w:rsidR="00D65C01" w:rsidRPr="00CC6C83" w:rsidRDefault="00000000" w:rsidP="00CC6C83">
          <w:pPr>
            <w:pStyle w:val="Kazalovsebine1"/>
            <w:rPr>
              <w:rFonts w:ascii="Arial" w:eastAsiaTheme="minorEastAsia" w:hAnsi="Arial" w:cs="Arial"/>
              <w:noProof/>
              <w:sz w:val="20"/>
              <w:szCs w:val="20"/>
              <w:lang w:eastAsia="sl-SI"/>
            </w:rPr>
          </w:pPr>
          <w:hyperlink w:anchor="_Toc225499813" w:history="1">
            <w:r w:rsidR="00D65C01" w:rsidRPr="00CC6C83">
              <w:rPr>
                <w:rStyle w:val="Hiperpovezava"/>
                <w:rFonts w:ascii="Arial" w:hAnsi="Arial" w:cs="Arial"/>
                <w:noProof/>
                <w:sz w:val="20"/>
                <w:szCs w:val="20"/>
              </w:rPr>
              <w:t>2</w:t>
            </w:r>
            <w:r w:rsidR="00D65C01" w:rsidRPr="00CC6C83">
              <w:rPr>
                <w:rFonts w:ascii="Arial" w:eastAsiaTheme="minorEastAsia" w:hAnsi="Arial" w:cs="Arial"/>
                <w:noProof/>
                <w:sz w:val="20"/>
                <w:szCs w:val="20"/>
                <w:lang w:eastAsia="sl-SI"/>
              </w:rPr>
              <w:tab/>
            </w:r>
            <w:r w:rsidR="00D65C01" w:rsidRPr="00CC6C83">
              <w:rPr>
                <w:rStyle w:val="Hiperpovezava"/>
                <w:rFonts w:ascii="Arial" w:hAnsi="Arial" w:cs="Arial"/>
                <w:noProof/>
                <w:sz w:val="20"/>
                <w:szCs w:val="20"/>
              </w:rPr>
              <w:t>Naloge za zagotavljanje javne varnosti v državi</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_Toc225499813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4</w:t>
            </w:r>
            <w:r w:rsidR="00D65C01" w:rsidRPr="00CC6C83">
              <w:rPr>
                <w:rFonts w:ascii="Arial" w:hAnsi="Arial" w:cs="Arial"/>
                <w:noProof/>
                <w:webHidden/>
                <w:sz w:val="20"/>
                <w:szCs w:val="20"/>
              </w:rPr>
              <w:fldChar w:fldCharType="end"/>
            </w:r>
          </w:hyperlink>
        </w:p>
        <w:p w14:paraId="12A30E4A" w14:textId="7662733C" w:rsidR="00D65C01" w:rsidRPr="00CC6C83" w:rsidRDefault="00000000" w:rsidP="00CC6C83">
          <w:pPr>
            <w:pStyle w:val="Kazalovsebine1"/>
            <w:rPr>
              <w:rFonts w:ascii="Arial" w:eastAsiaTheme="minorEastAsia" w:hAnsi="Arial" w:cs="Arial"/>
              <w:noProof/>
              <w:sz w:val="20"/>
              <w:szCs w:val="20"/>
              <w:lang w:eastAsia="sl-SI"/>
            </w:rPr>
          </w:pPr>
          <w:hyperlink w:anchor="_Toc225499814" w:history="1">
            <w:r w:rsidR="00D65C01" w:rsidRPr="00CC6C83">
              <w:rPr>
                <w:rStyle w:val="Hiperpovezava"/>
                <w:rFonts w:ascii="Arial" w:hAnsi="Arial" w:cs="Arial"/>
                <w:noProof/>
                <w:sz w:val="20"/>
                <w:szCs w:val="20"/>
              </w:rPr>
              <w:t>3</w:t>
            </w:r>
            <w:r w:rsidR="00D65C01" w:rsidRPr="00CC6C83">
              <w:rPr>
                <w:rFonts w:ascii="Arial" w:eastAsiaTheme="minorEastAsia" w:hAnsi="Arial" w:cs="Arial"/>
                <w:noProof/>
                <w:sz w:val="20"/>
                <w:szCs w:val="20"/>
                <w:lang w:eastAsia="sl-SI"/>
              </w:rPr>
              <w:tab/>
            </w:r>
            <w:r w:rsidR="00D65C01" w:rsidRPr="00CC6C83">
              <w:rPr>
                <w:rStyle w:val="Hiperpovezava"/>
                <w:rFonts w:ascii="Arial" w:hAnsi="Arial" w:cs="Arial"/>
                <w:noProof/>
                <w:sz w:val="20"/>
                <w:szCs w:val="20"/>
              </w:rPr>
              <w:t>Usmerjanje policije in nadzor nad delom policije ter reševanje pritožb zoper policiste</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_Toc225499814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7</w:t>
            </w:r>
            <w:r w:rsidR="00D65C01" w:rsidRPr="00CC6C83">
              <w:rPr>
                <w:rFonts w:ascii="Arial" w:hAnsi="Arial" w:cs="Arial"/>
                <w:noProof/>
                <w:webHidden/>
                <w:sz w:val="20"/>
                <w:szCs w:val="20"/>
              </w:rPr>
              <w:fldChar w:fldCharType="end"/>
            </w:r>
          </w:hyperlink>
        </w:p>
        <w:p w14:paraId="1467D8F2" w14:textId="21BB47BC" w:rsidR="00D65C01" w:rsidRPr="00CC6C83" w:rsidRDefault="00000000" w:rsidP="00CC6C83">
          <w:pPr>
            <w:pStyle w:val="Kazalovsebine1"/>
            <w:rPr>
              <w:rFonts w:ascii="Arial" w:eastAsiaTheme="minorEastAsia" w:hAnsi="Arial" w:cs="Arial"/>
              <w:noProof/>
              <w:sz w:val="20"/>
              <w:szCs w:val="20"/>
              <w:lang w:eastAsia="sl-SI"/>
            </w:rPr>
          </w:pPr>
          <w:hyperlink w:anchor="_Toc225499815" w:history="1">
            <w:r w:rsidR="00D65C01" w:rsidRPr="00CC6C83">
              <w:rPr>
                <w:rStyle w:val="Hiperpovezava"/>
                <w:rFonts w:ascii="Arial" w:hAnsi="Arial" w:cs="Arial"/>
                <w:noProof/>
                <w:sz w:val="20"/>
                <w:szCs w:val="20"/>
              </w:rPr>
              <w:t>4</w:t>
            </w:r>
            <w:r w:rsidR="00D65C01" w:rsidRPr="00CC6C83">
              <w:rPr>
                <w:rFonts w:ascii="Arial" w:eastAsiaTheme="minorEastAsia" w:hAnsi="Arial" w:cs="Arial"/>
                <w:noProof/>
                <w:sz w:val="20"/>
                <w:szCs w:val="20"/>
                <w:lang w:eastAsia="sl-SI"/>
              </w:rPr>
              <w:tab/>
            </w:r>
            <w:r w:rsidR="00D65C01" w:rsidRPr="00CC6C83">
              <w:rPr>
                <w:rStyle w:val="Hiperpovezava"/>
                <w:rFonts w:ascii="Arial" w:hAnsi="Arial" w:cs="Arial"/>
                <w:noProof/>
                <w:sz w:val="20"/>
                <w:szCs w:val="20"/>
              </w:rPr>
              <w:t>Zakonito in učinkovito opravljanje upravnih in drugih nalog v pristojnosti Ministrstva za notranje zadeve</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_Toc225499815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10</w:t>
            </w:r>
            <w:r w:rsidR="00D65C01" w:rsidRPr="00CC6C83">
              <w:rPr>
                <w:rFonts w:ascii="Arial" w:hAnsi="Arial" w:cs="Arial"/>
                <w:noProof/>
                <w:webHidden/>
                <w:sz w:val="20"/>
                <w:szCs w:val="20"/>
              </w:rPr>
              <w:fldChar w:fldCharType="end"/>
            </w:r>
          </w:hyperlink>
        </w:p>
        <w:p w14:paraId="6EFA67E5" w14:textId="47B4E480"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20" w:history="1">
            <w:r w:rsidR="00D65C01" w:rsidRPr="00CC6C83">
              <w:rPr>
                <w:rStyle w:val="Hiperpovezava"/>
                <w:rFonts w:ascii="Arial" w:hAnsi="Arial" w:cs="Arial"/>
                <w:noProof/>
              </w:rPr>
              <w:t>4.1</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Področje zasebnega varovanja, detektivske dejavnosti, varnosti na smučiščih in občinskega redarstva</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_Toc225499820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10</w:t>
            </w:r>
            <w:r w:rsidR="00D65C01" w:rsidRPr="00CC6C83">
              <w:rPr>
                <w:rFonts w:ascii="Arial" w:hAnsi="Arial" w:cs="Arial"/>
                <w:noProof/>
                <w:webHidden/>
              </w:rPr>
              <w:fldChar w:fldCharType="end"/>
            </w:r>
          </w:hyperlink>
        </w:p>
        <w:p w14:paraId="1770ADEF" w14:textId="2BAF6E22"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21" w:history="1">
            <w:r w:rsidR="00D65C01" w:rsidRPr="00CC6C83">
              <w:rPr>
                <w:rStyle w:val="Hiperpovezava"/>
                <w:rFonts w:ascii="Arial" w:hAnsi="Arial" w:cs="Arial"/>
                <w:noProof/>
              </w:rPr>
              <w:t>4.2</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Varovanje in obravnavanje tajnih podatkov</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_Toc225499821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12</w:t>
            </w:r>
            <w:r w:rsidR="00D65C01" w:rsidRPr="00CC6C83">
              <w:rPr>
                <w:rFonts w:ascii="Arial" w:hAnsi="Arial" w:cs="Arial"/>
                <w:noProof/>
                <w:webHidden/>
              </w:rPr>
              <w:fldChar w:fldCharType="end"/>
            </w:r>
          </w:hyperlink>
        </w:p>
        <w:p w14:paraId="58CD7979" w14:textId="7BA3FD8D"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22" w:history="1">
            <w:r w:rsidR="00D65C01" w:rsidRPr="00CC6C83">
              <w:rPr>
                <w:rStyle w:val="Hiperpovezava"/>
                <w:rFonts w:ascii="Arial" w:hAnsi="Arial" w:cs="Arial"/>
                <w:noProof/>
              </w:rPr>
              <w:t>4.3</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Dvig varnostne kulture pri obravnavanju in varovanju tajnih in osebnih podatkov v Ministrstvu za notranje zadeve</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_Toc225499822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17</w:t>
            </w:r>
            <w:r w:rsidR="00D65C01" w:rsidRPr="00CC6C83">
              <w:rPr>
                <w:rFonts w:ascii="Arial" w:hAnsi="Arial" w:cs="Arial"/>
                <w:noProof/>
                <w:webHidden/>
              </w:rPr>
              <w:fldChar w:fldCharType="end"/>
            </w:r>
          </w:hyperlink>
        </w:p>
        <w:p w14:paraId="5DB9F404" w14:textId="7174F803"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23" w:history="1">
            <w:r w:rsidR="00D65C01" w:rsidRPr="00CC6C83">
              <w:rPr>
                <w:rStyle w:val="Hiperpovezava"/>
                <w:rFonts w:ascii="Arial" w:hAnsi="Arial" w:cs="Arial"/>
                <w:noProof/>
              </w:rPr>
              <w:t>4.4</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Varnostno načrtovanje in področje jedrski varnosti</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_Toc225499823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18</w:t>
            </w:r>
            <w:r w:rsidR="00D65C01" w:rsidRPr="00CC6C83">
              <w:rPr>
                <w:rFonts w:ascii="Arial" w:hAnsi="Arial" w:cs="Arial"/>
                <w:noProof/>
                <w:webHidden/>
              </w:rPr>
              <w:fldChar w:fldCharType="end"/>
            </w:r>
          </w:hyperlink>
        </w:p>
        <w:p w14:paraId="41D32E38" w14:textId="64B0FCCA"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24" w:history="1">
            <w:r w:rsidR="00D65C01" w:rsidRPr="00CC6C83">
              <w:rPr>
                <w:rStyle w:val="Hiperpovezava"/>
                <w:rFonts w:ascii="Arial" w:hAnsi="Arial" w:cs="Arial"/>
                <w:noProof/>
              </w:rPr>
              <w:t>4.5</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Upravne notranje zadeve</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_Toc225499824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22</w:t>
            </w:r>
            <w:r w:rsidR="00D65C01" w:rsidRPr="00CC6C83">
              <w:rPr>
                <w:rFonts w:ascii="Arial" w:hAnsi="Arial" w:cs="Arial"/>
                <w:noProof/>
                <w:webHidden/>
              </w:rPr>
              <w:fldChar w:fldCharType="end"/>
            </w:r>
          </w:hyperlink>
        </w:p>
        <w:p w14:paraId="5DA10258" w14:textId="1F5284C0" w:rsidR="00D65C01" w:rsidRPr="00CC6C83" w:rsidRDefault="00000000" w:rsidP="00CC6C83">
          <w:pPr>
            <w:pStyle w:val="Kazalovsebine3"/>
            <w:tabs>
              <w:tab w:val="left" w:pos="880"/>
              <w:tab w:val="right" w:pos="9060"/>
            </w:tabs>
            <w:spacing w:line="480" w:lineRule="auto"/>
            <w:rPr>
              <w:rFonts w:ascii="Arial" w:eastAsiaTheme="minorEastAsia" w:hAnsi="Arial" w:cs="Arial"/>
              <w:noProof/>
              <w:lang w:eastAsia="sl-SI"/>
            </w:rPr>
          </w:pPr>
          <w:hyperlink w:anchor="_Toc225499825" w:history="1">
            <w:r w:rsidR="00D65C01" w:rsidRPr="00CC6C83">
              <w:rPr>
                <w:rStyle w:val="Hiperpovezava"/>
                <w:rFonts w:ascii="Arial" w:hAnsi="Arial" w:cs="Arial"/>
                <w:noProof/>
              </w:rPr>
              <w:t>4.5.1</w:t>
            </w:r>
            <w:r w:rsidR="00D65C01" w:rsidRPr="00CC6C83">
              <w:rPr>
                <w:rFonts w:ascii="Arial" w:eastAsiaTheme="minorEastAsia" w:hAnsi="Arial" w:cs="Arial"/>
                <w:noProof/>
                <w:lang w:eastAsia="sl-SI"/>
              </w:rPr>
              <w:tab/>
            </w:r>
            <w:r w:rsidR="00D65C01" w:rsidRPr="00CC6C83">
              <w:rPr>
                <w:rStyle w:val="Hiperpovezava"/>
                <w:rFonts w:ascii="Arial" w:hAnsi="Arial" w:cs="Arial"/>
                <w:noProof/>
              </w:rPr>
              <w:t>Zagotavljanje podatkov iz Centralnega registra prebivalstva</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_Toc225499825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22</w:t>
            </w:r>
            <w:r w:rsidR="00D65C01" w:rsidRPr="00CC6C83">
              <w:rPr>
                <w:rFonts w:ascii="Arial" w:hAnsi="Arial" w:cs="Arial"/>
                <w:noProof/>
                <w:webHidden/>
              </w:rPr>
              <w:fldChar w:fldCharType="end"/>
            </w:r>
          </w:hyperlink>
        </w:p>
        <w:p w14:paraId="04E3C84F" w14:textId="2173CF12" w:rsidR="00D65C01" w:rsidRPr="00CC6C83" w:rsidRDefault="00000000" w:rsidP="00CC6C83">
          <w:pPr>
            <w:pStyle w:val="Kazalovsebine3"/>
            <w:tabs>
              <w:tab w:val="left" w:pos="880"/>
              <w:tab w:val="right" w:pos="9060"/>
            </w:tabs>
            <w:spacing w:line="480" w:lineRule="auto"/>
            <w:rPr>
              <w:rFonts w:ascii="Arial" w:eastAsiaTheme="minorEastAsia" w:hAnsi="Arial" w:cs="Arial"/>
              <w:noProof/>
              <w:lang w:eastAsia="sl-SI"/>
            </w:rPr>
          </w:pPr>
          <w:hyperlink w:anchor="_Toc225499826" w:history="1">
            <w:r w:rsidR="00D65C01" w:rsidRPr="00CC6C83">
              <w:rPr>
                <w:rStyle w:val="Hiperpovezava"/>
                <w:rFonts w:ascii="Arial" w:hAnsi="Arial" w:cs="Arial"/>
                <w:noProof/>
              </w:rPr>
              <w:t>4.5.2</w:t>
            </w:r>
            <w:r w:rsidR="00D65C01" w:rsidRPr="00CC6C83">
              <w:rPr>
                <w:rFonts w:ascii="Arial" w:eastAsiaTheme="minorEastAsia" w:hAnsi="Arial" w:cs="Arial"/>
                <w:noProof/>
                <w:lang w:eastAsia="sl-SI"/>
              </w:rPr>
              <w:tab/>
            </w:r>
            <w:r w:rsidR="00D65C01" w:rsidRPr="00CC6C83">
              <w:rPr>
                <w:rStyle w:val="Hiperpovezava"/>
                <w:rFonts w:ascii="Arial" w:hAnsi="Arial" w:cs="Arial"/>
                <w:noProof/>
              </w:rPr>
              <w:t>Novosti na področju identifikacijskih dokumentov</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_Toc225499826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25</w:t>
            </w:r>
            <w:r w:rsidR="00D65C01" w:rsidRPr="00CC6C83">
              <w:rPr>
                <w:rFonts w:ascii="Arial" w:hAnsi="Arial" w:cs="Arial"/>
                <w:noProof/>
                <w:webHidden/>
              </w:rPr>
              <w:fldChar w:fldCharType="end"/>
            </w:r>
          </w:hyperlink>
        </w:p>
        <w:p w14:paraId="3188261D" w14:textId="7030619A" w:rsidR="00D65C01" w:rsidRPr="00CC6C83" w:rsidRDefault="00000000" w:rsidP="00CC6C83">
          <w:pPr>
            <w:pStyle w:val="Kazalovsebine3"/>
            <w:tabs>
              <w:tab w:val="left" w:pos="880"/>
              <w:tab w:val="right" w:pos="9060"/>
            </w:tabs>
            <w:spacing w:line="480" w:lineRule="auto"/>
            <w:rPr>
              <w:rFonts w:ascii="Arial" w:eastAsiaTheme="minorEastAsia" w:hAnsi="Arial" w:cs="Arial"/>
              <w:noProof/>
              <w:lang w:eastAsia="sl-SI"/>
            </w:rPr>
          </w:pPr>
          <w:hyperlink w:anchor="_Toc225499827" w:history="1">
            <w:r w:rsidR="00D65C01" w:rsidRPr="00CC6C83">
              <w:rPr>
                <w:rStyle w:val="Hiperpovezava"/>
                <w:rFonts w:ascii="Arial" w:hAnsi="Arial" w:cs="Arial"/>
                <w:noProof/>
              </w:rPr>
              <w:t>4.5.3</w:t>
            </w:r>
            <w:r w:rsidR="00D65C01" w:rsidRPr="00CC6C83">
              <w:rPr>
                <w:rFonts w:ascii="Arial" w:eastAsiaTheme="minorEastAsia" w:hAnsi="Arial" w:cs="Arial"/>
                <w:noProof/>
                <w:lang w:eastAsia="sl-SI"/>
              </w:rPr>
              <w:tab/>
            </w:r>
            <w:r w:rsidR="00D65C01" w:rsidRPr="00CC6C83">
              <w:rPr>
                <w:rStyle w:val="Hiperpovezava"/>
                <w:rFonts w:ascii="Arial" w:hAnsi="Arial" w:cs="Arial"/>
                <w:noProof/>
              </w:rPr>
              <w:t>Širitev uporabe elektronske prijave in odjave prebivališč</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_Toc225499827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25</w:t>
            </w:r>
            <w:r w:rsidR="00D65C01" w:rsidRPr="00CC6C83">
              <w:rPr>
                <w:rFonts w:ascii="Arial" w:hAnsi="Arial" w:cs="Arial"/>
                <w:noProof/>
                <w:webHidden/>
              </w:rPr>
              <w:fldChar w:fldCharType="end"/>
            </w:r>
          </w:hyperlink>
        </w:p>
        <w:p w14:paraId="4F2AEED7" w14:textId="7CAE0858" w:rsidR="00D65C01" w:rsidRPr="00CC6C83" w:rsidRDefault="00000000" w:rsidP="00CC6C83">
          <w:pPr>
            <w:pStyle w:val="Kazalovsebine3"/>
            <w:tabs>
              <w:tab w:val="left" w:pos="880"/>
              <w:tab w:val="right" w:pos="9060"/>
            </w:tabs>
            <w:spacing w:line="480" w:lineRule="auto"/>
            <w:rPr>
              <w:rFonts w:ascii="Arial" w:eastAsiaTheme="minorEastAsia" w:hAnsi="Arial" w:cs="Arial"/>
              <w:noProof/>
              <w:lang w:eastAsia="sl-SI"/>
            </w:rPr>
          </w:pPr>
          <w:hyperlink w:anchor="_Toc225499828" w:history="1">
            <w:r w:rsidR="00D65C01" w:rsidRPr="00CC6C83">
              <w:rPr>
                <w:rStyle w:val="Hiperpovezava"/>
                <w:rFonts w:ascii="Arial" w:hAnsi="Arial" w:cs="Arial"/>
                <w:noProof/>
              </w:rPr>
              <w:t>4.5.4</w:t>
            </w:r>
            <w:r w:rsidR="00D65C01" w:rsidRPr="00CC6C83">
              <w:rPr>
                <w:rFonts w:ascii="Arial" w:eastAsiaTheme="minorEastAsia" w:hAnsi="Arial" w:cs="Arial"/>
                <w:noProof/>
                <w:lang w:eastAsia="sl-SI"/>
              </w:rPr>
              <w:tab/>
            </w:r>
            <w:r w:rsidR="00D65C01" w:rsidRPr="00CC6C83">
              <w:rPr>
                <w:rStyle w:val="Hiperpovezava"/>
                <w:rFonts w:ascii="Arial" w:hAnsi="Arial" w:cs="Arial"/>
                <w:noProof/>
              </w:rPr>
              <w:t>Drugi pomembnejši podatki s področja registracije prebivalstva in javnih listin</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_Toc225499828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26</w:t>
            </w:r>
            <w:r w:rsidR="00D65C01" w:rsidRPr="00CC6C83">
              <w:rPr>
                <w:rFonts w:ascii="Arial" w:hAnsi="Arial" w:cs="Arial"/>
                <w:noProof/>
                <w:webHidden/>
              </w:rPr>
              <w:fldChar w:fldCharType="end"/>
            </w:r>
          </w:hyperlink>
        </w:p>
        <w:p w14:paraId="3D1992CF" w14:textId="2EE44613" w:rsidR="00D65C01" w:rsidRPr="00CC6C83" w:rsidRDefault="00000000" w:rsidP="00CC6C83">
          <w:pPr>
            <w:pStyle w:val="Kazalovsebine3"/>
            <w:tabs>
              <w:tab w:val="left" w:pos="880"/>
              <w:tab w:val="right" w:pos="9060"/>
            </w:tabs>
            <w:spacing w:line="480" w:lineRule="auto"/>
            <w:rPr>
              <w:rFonts w:ascii="Arial" w:eastAsiaTheme="minorEastAsia" w:hAnsi="Arial" w:cs="Arial"/>
              <w:noProof/>
              <w:lang w:eastAsia="sl-SI"/>
            </w:rPr>
          </w:pPr>
          <w:hyperlink w:anchor="_Toc225499829" w:history="1">
            <w:r w:rsidR="00D65C01" w:rsidRPr="00CC6C83">
              <w:rPr>
                <w:rStyle w:val="Hiperpovezava"/>
                <w:rFonts w:ascii="Arial" w:hAnsi="Arial" w:cs="Arial"/>
                <w:noProof/>
              </w:rPr>
              <w:t>4.5.5</w:t>
            </w:r>
            <w:r w:rsidR="00D65C01" w:rsidRPr="00CC6C83">
              <w:rPr>
                <w:rFonts w:ascii="Arial" w:eastAsiaTheme="minorEastAsia" w:hAnsi="Arial" w:cs="Arial"/>
                <w:noProof/>
                <w:lang w:eastAsia="sl-SI"/>
              </w:rPr>
              <w:tab/>
            </w:r>
            <w:r w:rsidR="00D65C01" w:rsidRPr="00CC6C83">
              <w:rPr>
                <w:rStyle w:val="Hiperpovezava"/>
                <w:rFonts w:ascii="Arial" w:hAnsi="Arial" w:cs="Arial"/>
                <w:noProof/>
              </w:rPr>
              <w:t>Pridobitev državljanstva</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_Toc225499829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29</w:t>
            </w:r>
            <w:r w:rsidR="00D65C01" w:rsidRPr="00CC6C83">
              <w:rPr>
                <w:rFonts w:ascii="Arial" w:hAnsi="Arial" w:cs="Arial"/>
                <w:noProof/>
                <w:webHidden/>
              </w:rPr>
              <w:fldChar w:fldCharType="end"/>
            </w:r>
          </w:hyperlink>
        </w:p>
        <w:p w14:paraId="1921EDD6" w14:textId="5699918C" w:rsidR="00D65C01" w:rsidRPr="00CC6C83" w:rsidRDefault="00000000" w:rsidP="00CC6C83">
          <w:pPr>
            <w:pStyle w:val="Kazalovsebine3"/>
            <w:tabs>
              <w:tab w:val="left" w:pos="880"/>
              <w:tab w:val="right" w:pos="9060"/>
            </w:tabs>
            <w:spacing w:line="480" w:lineRule="auto"/>
            <w:rPr>
              <w:rFonts w:ascii="Arial" w:eastAsiaTheme="minorEastAsia" w:hAnsi="Arial" w:cs="Arial"/>
              <w:noProof/>
              <w:lang w:eastAsia="sl-SI"/>
            </w:rPr>
          </w:pPr>
          <w:hyperlink w:anchor="_Toc225499830" w:history="1">
            <w:r w:rsidR="00D65C01" w:rsidRPr="00CC6C83">
              <w:rPr>
                <w:rStyle w:val="Hiperpovezava"/>
                <w:rFonts w:ascii="Arial" w:hAnsi="Arial" w:cs="Arial"/>
                <w:noProof/>
              </w:rPr>
              <w:t>4.5.6</w:t>
            </w:r>
            <w:r w:rsidR="00D65C01" w:rsidRPr="00CC6C83">
              <w:rPr>
                <w:rFonts w:ascii="Arial" w:eastAsiaTheme="minorEastAsia" w:hAnsi="Arial" w:cs="Arial"/>
                <w:noProof/>
                <w:lang w:eastAsia="sl-SI"/>
              </w:rPr>
              <w:tab/>
            </w:r>
            <w:r w:rsidR="00D65C01" w:rsidRPr="00CC6C83">
              <w:rPr>
                <w:rStyle w:val="Hiperpovezava"/>
                <w:rFonts w:ascii="Arial" w:hAnsi="Arial" w:cs="Arial"/>
                <w:noProof/>
              </w:rPr>
              <w:t>Področje orožja</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_Toc225499830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30</w:t>
            </w:r>
            <w:r w:rsidR="00D65C01" w:rsidRPr="00CC6C83">
              <w:rPr>
                <w:rFonts w:ascii="Arial" w:hAnsi="Arial" w:cs="Arial"/>
                <w:noProof/>
                <w:webHidden/>
              </w:rPr>
              <w:fldChar w:fldCharType="end"/>
            </w:r>
          </w:hyperlink>
        </w:p>
        <w:p w14:paraId="45ADEE07" w14:textId="0D74B491" w:rsidR="00D65C01" w:rsidRPr="00CC6C83" w:rsidRDefault="00000000" w:rsidP="00CC6C83">
          <w:pPr>
            <w:pStyle w:val="Kazalovsebine3"/>
            <w:tabs>
              <w:tab w:val="left" w:pos="880"/>
              <w:tab w:val="right" w:pos="9060"/>
            </w:tabs>
            <w:spacing w:line="480" w:lineRule="auto"/>
            <w:rPr>
              <w:rFonts w:ascii="Arial" w:eastAsiaTheme="minorEastAsia" w:hAnsi="Arial" w:cs="Arial"/>
              <w:noProof/>
              <w:lang w:eastAsia="sl-SI"/>
            </w:rPr>
          </w:pPr>
          <w:hyperlink w:anchor="_Toc225499831" w:history="1">
            <w:r w:rsidR="00D65C01" w:rsidRPr="00CC6C83">
              <w:rPr>
                <w:rStyle w:val="Hiperpovezava"/>
                <w:rFonts w:ascii="Arial" w:hAnsi="Arial" w:cs="Arial"/>
                <w:noProof/>
                <w:lang w:eastAsia="sl-SI"/>
              </w:rPr>
              <w:t>4.5.7</w:t>
            </w:r>
            <w:r w:rsidR="00D65C01" w:rsidRPr="00CC6C83">
              <w:rPr>
                <w:rFonts w:ascii="Arial" w:eastAsiaTheme="minorEastAsia" w:hAnsi="Arial" w:cs="Arial"/>
                <w:noProof/>
                <w:lang w:eastAsia="sl-SI"/>
              </w:rPr>
              <w:tab/>
            </w:r>
            <w:r w:rsidR="00D65C01" w:rsidRPr="00CC6C83">
              <w:rPr>
                <w:rStyle w:val="Hiperpovezava"/>
                <w:rFonts w:ascii="Arial" w:hAnsi="Arial" w:cs="Arial"/>
                <w:noProof/>
                <w:lang w:eastAsia="sl-SI"/>
              </w:rPr>
              <w:t>Področje eksplozivov</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_Toc225499831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33</w:t>
            </w:r>
            <w:r w:rsidR="00D65C01" w:rsidRPr="00CC6C83">
              <w:rPr>
                <w:rFonts w:ascii="Arial" w:hAnsi="Arial" w:cs="Arial"/>
                <w:noProof/>
                <w:webHidden/>
              </w:rPr>
              <w:fldChar w:fldCharType="end"/>
            </w:r>
          </w:hyperlink>
        </w:p>
        <w:p w14:paraId="3C9160BA" w14:textId="1B4AF2DD" w:rsidR="00D65C01" w:rsidRPr="00CC6C83" w:rsidRDefault="00000000" w:rsidP="00CC6C83">
          <w:pPr>
            <w:pStyle w:val="Kazalovsebine3"/>
            <w:tabs>
              <w:tab w:val="left" w:pos="880"/>
              <w:tab w:val="right" w:pos="9060"/>
            </w:tabs>
            <w:spacing w:line="480" w:lineRule="auto"/>
            <w:rPr>
              <w:rFonts w:ascii="Arial" w:eastAsiaTheme="minorEastAsia" w:hAnsi="Arial" w:cs="Arial"/>
              <w:noProof/>
              <w:lang w:eastAsia="sl-SI"/>
            </w:rPr>
          </w:pPr>
          <w:hyperlink w:anchor="_Toc225499832" w:history="1">
            <w:r w:rsidR="00D65C01" w:rsidRPr="00CC6C83">
              <w:rPr>
                <w:rStyle w:val="Hiperpovezava"/>
                <w:rFonts w:ascii="Arial" w:hAnsi="Arial" w:cs="Arial"/>
                <w:noProof/>
              </w:rPr>
              <w:t>4.5.8</w:t>
            </w:r>
            <w:r w:rsidR="00D65C01" w:rsidRPr="00CC6C83">
              <w:rPr>
                <w:rFonts w:ascii="Arial" w:eastAsiaTheme="minorEastAsia" w:hAnsi="Arial" w:cs="Arial"/>
                <w:noProof/>
                <w:lang w:eastAsia="sl-SI"/>
              </w:rPr>
              <w:tab/>
            </w:r>
            <w:r w:rsidR="00D65C01" w:rsidRPr="00CC6C83">
              <w:rPr>
                <w:rStyle w:val="Hiperpovezava"/>
                <w:rFonts w:ascii="Arial" w:hAnsi="Arial" w:cs="Arial"/>
                <w:noProof/>
              </w:rPr>
              <w:t>Področje društev, javnih zbiranj in političnih strank</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_Toc225499832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33</w:t>
            </w:r>
            <w:r w:rsidR="00D65C01" w:rsidRPr="00CC6C83">
              <w:rPr>
                <w:rFonts w:ascii="Arial" w:hAnsi="Arial" w:cs="Arial"/>
                <w:noProof/>
                <w:webHidden/>
              </w:rPr>
              <w:fldChar w:fldCharType="end"/>
            </w:r>
          </w:hyperlink>
        </w:p>
        <w:p w14:paraId="3038A5C6" w14:textId="1BC3B212" w:rsidR="00D65C01" w:rsidRPr="00CC6C83" w:rsidRDefault="00000000" w:rsidP="00CC6C83">
          <w:pPr>
            <w:pStyle w:val="Kazalovsebine3"/>
            <w:tabs>
              <w:tab w:val="left" w:pos="880"/>
              <w:tab w:val="right" w:pos="9060"/>
            </w:tabs>
            <w:spacing w:line="480" w:lineRule="auto"/>
            <w:rPr>
              <w:rFonts w:ascii="Arial" w:eastAsiaTheme="minorEastAsia" w:hAnsi="Arial" w:cs="Arial"/>
              <w:noProof/>
              <w:lang w:eastAsia="sl-SI"/>
            </w:rPr>
          </w:pPr>
          <w:hyperlink w:anchor="_Toc225499833" w:history="1">
            <w:r w:rsidR="00D65C01" w:rsidRPr="00CC6C83">
              <w:rPr>
                <w:rStyle w:val="Hiperpovezava"/>
                <w:rFonts w:ascii="Arial" w:hAnsi="Arial" w:cs="Arial"/>
                <w:noProof/>
                <w:lang w:eastAsia="sl-SI"/>
              </w:rPr>
              <w:t>4.5.9</w:t>
            </w:r>
            <w:r w:rsidR="00D65C01" w:rsidRPr="00CC6C83">
              <w:rPr>
                <w:rFonts w:ascii="Arial" w:eastAsiaTheme="minorEastAsia" w:hAnsi="Arial" w:cs="Arial"/>
                <w:noProof/>
                <w:lang w:eastAsia="sl-SI"/>
              </w:rPr>
              <w:tab/>
            </w:r>
            <w:r w:rsidR="00D65C01" w:rsidRPr="00CC6C83">
              <w:rPr>
                <w:rStyle w:val="Hiperpovezava"/>
                <w:rFonts w:ascii="Arial" w:hAnsi="Arial" w:cs="Arial"/>
                <w:noProof/>
                <w:lang w:eastAsia="sl-SI"/>
              </w:rPr>
              <w:t>Informacijski sistem upravnih notranjih zadev (ISUNZ)</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_Toc225499833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34</w:t>
            </w:r>
            <w:r w:rsidR="00D65C01" w:rsidRPr="00CC6C83">
              <w:rPr>
                <w:rFonts w:ascii="Arial" w:hAnsi="Arial" w:cs="Arial"/>
                <w:noProof/>
                <w:webHidden/>
              </w:rPr>
              <w:fldChar w:fldCharType="end"/>
            </w:r>
          </w:hyperlink>
        </w:p>
        <w:p w14:paraId="083C6D7B" w14:textId="4F24CC40" w:rsidR="00D65C01" w:rsidRPr="00CC6C83" w:rsidRDefault="00000000" w:rsidP="00CC6C83">
          <w:pPr>
            <w:pStyle w:val="Kazalovsebine3"/>
            <w:tabs>
              <w:tab w:val="left" w:pos="1100"/>
              <w:tab w:val="right" w:pos="9060"/>
            </w:tabs>
            <w:spacing w:line="480" w:lineRule="auto"/>
            <w:rPr>
              <w:rFonts w:ascii="Arial" w:eastAsiaTheme="minorEastAsia" w:hAnsi="Arial" w:cs="Arial"/>
              <w:noProof/>
              <w:lang w:eastAsia="sl-SI"/>
            </w:rPr>
          </w:pPr>
          <w:hyperlink w:anchor="_Toc225499834" w:history="1">
            <w:r w:rsidR="00D65C01" w:rsidRPr="00CC6C83">
              <w:rPr>
                <w:rStyle w:val="Hiperpovezava"/>
                <w:rFonts w:ascii="Arial" w:eastAsiaTheme="majorEastAsia" w:hAnsi="Arial" w:cs="Arial"/>
                <w:noProof/>
              </w:rPr>
              <w:t>4.5.10</w:t>
            </w:r>
            <w:r w:rsidR="00D65C01" w:rsidRPr="00CC6C83">
              <w:rPr>
                <w:rFonts w:ascii="Arial" w:eastAsiaTheme="minorEastAsia" w:hAnsi="Arial" w:cs="Arial"/>
                <w:noProof/>
                <w:lang w:eastAsia="sl-SI"/>
              </w:rPr>
              <w:tab/>
            </w:r>
            <w:r w:rsidR="00D65C01" w:rsidRPr="00CC6C83">
              <w:rPr>
                <w:rStyle w:val="Hiperpovezava"/>
                <w:rFonts w:ascii="Arial" w:eastAsiaTheme="majorEastAsia" w:hAnsi="Arial" w:cs="Arial"/>
                <w:noProof/>
              </w:rPr>
              <w:t>Druge aktivnosti na področju upravnih notranjih zadev v letu 2025</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_Toc225499834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37</w:t>
            </w:r>
            <w:r w:rsidR="00D65C01" w:rsidRPr="00CC6C83">
              <w:rPr>
                <w:rFonts w:ascii="Arial" w:hAnsi="Arial" w:cs="Arial"/>
                <w:noProof/>
                <w:webHidden/>
              </w:rPr>
              <w:fldChar w:fldCharType="end"/>
            </w:r>
          </w:hyperlink>
        </w:p>
        <w:p w14:paraId="1140C547" w14:textId="4D23B2FF" w:rsidR="00D65C01" w:rsidRPr="00CC6C83" w:rsidRDefault="00000000" w:rsidP="00CC6C83">
          <w:pPr>
            <w:pStyle w:val="Kazalovsebine1"/>
            <w:rPr>
              <w:rFonts w:ascii="Arial" w:eastAsiaTheme="minorEastAsia" w:hAnsi="Arial" w:cs="Arial"/>
              <w:noProof/>
              <w:sz w:val="20"/>
              <w:szCs w:val="20"/>
              <w:lang w:eastAsia="sl-SI"/>
            </w:rPr>
          </w:pPr>
          <w:hyperlink w:anchor="_Toc225499835" w:history="1">
            <w:r w:rsidR="00D65C01" w:rsidRPr="00CC6C83">
              <w:rPr>
                <w:rStyle w:val="Hiperpovezava"/>
                <w:rFonts w:ascii="Arial" w:hAnsi="Arial" w:cs="Arial"/>
                <w:noProof/>
                <w:sz w:val="20"/>
                <w:szCs w:val="20"/>
              </w:rPr>
              <w:t>5</w:t>
            </w:r>
            <w:r w:rsidR="00D65C01" w:rsidRPr="00CC6C83">
              <w:rPr>
                <w:rFonts w:ascii="Arial" w:eastAsiaTheme="minorEastAsia" w:hAnsi="Arial" w:cs="Arial"/>
                <w:noProof/>
                <w:sz w:val="20"/>
                <w:szCs w:val="20"/>
                <w:lang w:eastAsia="sl-SI"/>
              </w:rPr>
              <w:tab/>
            </w:r>
            <w:r w:rsidR="00D65C01" w:rsidRPr="00CC6C83">
              <w:rPr>
                <w:rStyle w:val="Hiperpovezava"/>
                <w:rFonts w:ascii="Arial" w:hAnsi="Arial" w:cs="Arial"/>
                <w:noProof/>
                <w:sz w:val="20"/>
                <w:szCs w:val="20"/>
              </w:rPr>
              <w:t>Upravljanje migracij</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_Toc225499835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38</w:t>
            </w:r>
            <w:r w:rsidR="00D65C01" w:rsidRPr="00CC6C83">
              <w:rPr>
                <w:rFonts w:ascii="Arial" w:hAnsi="Arial" w:cs="Arial"/>
                <w:noProof/>
                <w:webHidden/>
                <w:sz w:val="20"/>
                <w:szCs w:val="20"/>
              </w:rPr>
              <w:fldChar w:fldCharType="end"/>
            </w:r>
          </w:hyperlink>
        </w:p>
        <w:p w14:paraId="7CDCF41B" w14:textId="4AECC6F3" w:rsidR="00D65C01" w:rsidRPr="00CC6C83" w:rsidRDefault="00000000" w:rsidP="00CC6C83">
          <w:pPr>
            <w:pStyle w:val="Kazalovsebine1"/>
            <w:rPr>
              <w:rFonts w:ascii="Arial" w:eastAsiaTheme="minorEastAsia" w:hAnsi="Arial" w:cs="Arial"/>
              <w:noProof/>
              <w:sz w:val="20"/>
              <w:szCs w:val="20"/>
              <w:lang w:eastAsia="sl-SI"/>
            </w:rPr>
          </w:pPr>
          <w:hyperlink w:anchor="_Toc225499836" w:history="1">
            <w:r w:rsidR="00D65C01" w:rsidRPr="00CC6C83">
              <w:rPr>
                <w:rStyle w:val="Hiperpovezava"/>
                <w:rFonts w:ascii="Arial" w:hAnsi="Arial" w:cs="Arial"/>
                <w:noProof/>
                <w:sz w:val="20"/>
                <w:szCs w:val="20"/>
              </w:rPr>
              <w:t>5.1</w:t>
            </w:r>
            <w:r w:rsidR="00D65C01" w:rsidRPr="00CC6C83">
              <w:rPr>
                <w:rFonts w:ascii="Arial" w:eastAsiaTheme="minorEastAsia" w:hAnsi="Arial" w:cs="Arial"/>
                <w:noProof/>
                <w:sz w:val="20"/>
                <w:szCs w:val="20"/>
                <w:lang w:eastAsia="sl-SI"/>
              </w:rPr>
              <w:tab/>
            </w:r>
            <w:r w:rsidR="001B1BB7">
              <w:rPr>
                <w:rStyle w:val="Hiperpovezava"/>
                <w:rFonts w:ascii="Arial" w:hAnsi="Arial" w:cs="Arial"/>
                <w:caps w:val="0"/>
                <w:noProof/>
                <w:sz w:val="20"/>
                <w:szCs w:val="20"/>
              </w:rPr>
              <w:t>M</w:t>
            </w:r>
            <w:r w:rsidR="001B1BB7" w:rsidRPr="00CC6C83">
              <w:rPr>
                <w:rStyle w:val="Hiperpovezava"/>
                <w:rFonts w:ascii="Arial" w:hAnsi="Arial" w:cs="Arial"/>
                <w:caps w:val="0"/>
                <w:noProof/>
                <w:sz w:val="20"/>
                <w:szCs w:val="20"/>
              </w:rPr>
              <w:t>ednarodna zaščita</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_Toc225499836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38</w:t>
            </w:r>
            <w:r w:rsidR="00D65C01" w:rsidRPr="00CC6C83">
              <w:rPr>
                <w:rFonts w:ascii="Arial" w:hAnsi="Arial" w:cs="Arial"/>
                <w:noProof/>
                <w:webHidden/>
                <w:sz w:val="20"/>
                <w:szCs w:val="20"/>
              </w:rPr>
              <w:fldChar w:fldCharType="end"/>
            </w:r>
          </w:hyperlink>
        </w:p>
        <w:p w14:paraId="438D9C4E" w14:textId="26FF47C3" w:rsidR="00D65C01" w:rsidRPr="00CC6C83" w:rsidRDefault="00000000" w:rsidP="00CC6C83">
          <w:pPr>
            <w:pStyle w:val="Kazalovsebine1"/>
            <w:rPr>
              <w:rFonts w:ascii="Arial" w:eastAsiaTheme="minorEastAsia" w:hAnsi="Arial" w:cs="Arial"/>
              <w:noProof/>
              <w:sz w:val="20"/>
              <w:szCs w:val="20"/>
              <w:lang w:eastAsia="sl-SI"/>
            </w:rPr>
          </w:pPr>
          <w:hyperlink w:anchor="_Toc225499837" w:history="1">
            <w:r w:rsidR="00D65C01" w:rsidRPr="00CC6C83">
              <w:rPr>
                <w:rStyle w:val="Hiperpovezava"/>
                <w:rFonts w:ascii="Arial" w:hAnsi="Arial" w:cs="Arial"/>
                <w:noProof/>
                <w:sz w:val="20"/>
                <w:szCs w:val="20"/>
              </w:rPr>
              <w:t>5.2</w:t>
            </w:r>
            <w:r w:rsidR="00D65C01" w:rsidRPr="00CC6C83">
              <w:rPr>
                <w:rFonts w:ascii="Arial" w:eastAsiaTheme="minorEastAsia" w:hAnsi="Arial" w:cs="Arial"/>
                <w:noProof/>
                <w:sz w:val="20"/>
                <w:szCs w:val="20"/>
                <w:lang w:eastAsia="sl-SI"/>
              </w:rPr>
              <w:tab/>
            </w:r>
            <w:r w:rsidR="001B1BB7">
              <w:rPr>
                <w:rStyle w:val="Hiperpovezava"/>
                <w:rFonts w:ascii="Arial" w:hAnsi="Arial" w:cs="Arial"/>
                <w:caps w:val="0"/>
                <w:noProof/>
                <w:sz w:val="20"/>
                <w:szCs w:val="20"/>
              </w:rPr>
              <w:t>E</w:t>
            </w:r>
            <w:r w:rsidR="001B1BB7" w:rsidRPr="00CC6C83">
              <w:rPr>
                <w:rStyle w:val="Hiperpovezava"/>
                <w:rFonts w:ascii="Arial" w:hAnsi="Arial" w:cs="Arial"/>
                <w:caps w:val="0"/>
                <w:noProof/>
                <w:sz w:val="20"/>
                <w:szCs w:val="20"/>
              </w:rPr>
              <w:t>vropski pakt o migracijah in azilu</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_Toc225499837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41</w:t>
            </w:r>
            <w:r w:rsidR="00D65C01" w:rsidRPr="00CC6C83">
              <w:rPr>
                <w:rFonts w:ascii="Arial" w:hAnsi="Arial" w:cs="Arial"/>
                <w:noProof/>
                <w:webHidden/>
                <w:sz w:val="20"/>
                <w:szCs w:val="20"/>
              </w:rPr>
              <w:fldChar w:fldCharType="end"/>
            </w:r>
          </w:hyperlink>
        </w:p>
        <w:p w14:paraId="2AB236C7" w14:textId="46A4B181" w:rsidR="00D65C01" w:rsidRPr="00CC6C83" w:rsidRDefault="00000000" w:rsidP="00CC6C83">
          <w:pPr>
            <w:pStyle w:val="Kazalovsebine1"/>
            <w:rPr>
              <w:rFonts w:ascii="Arial" w:eastAsiaTheme="minorEastAsia" w:hAnsi="Arial" w:cs="Arial"/>
              <w:noProof/>
              <w:sz w:val="20"/>
              <w:szCs w:val="20"/>
              <w:lang w:eastAsia="sl-SI"/>
            </w:rPr>
          </w:pPr>
          <w:hyperlink w:anchor="_Toc225499838" w:history="1">
            <w:r w:rsidR="00D65C01" w:rsidRPr="00CC6C83">
              <w:rPr>
                <w:rStyle w:val="Hiperpovezava"/>
                <w:rFonts w:ascii="Arial" w:hAnsi="Arial" w:cs="Arial"/>
                <w:noProof/>
                <w:sz w:val="20"/>
                <w:szCs w:val="20"/>
              </w:rPr>
              <w:t>5.3</w:t>
            </w:r>
            <w:r w:rsidR="00D65C01" w:rsidRPr="00CC6C83">
              <w:rPr>
                <w:rFonts w:ascii="Arial" w:eastAsiaTheme="minorEastAsia" w:hAnsi="Arial" w:cs="Arial"/>
                <w:noProof/>
                <w:sz w:val="20"/>
                <w:szCs w:val="20"/>
                <w:lang w:eastAsia="sl-SI"/>
              </w:rPr>
              <w:tab/>
            </w:r>
            <w:r w:rsidR="001B1BB7">
              <w:rPr>
                <w:rStyle w:val="Hiperpovezava"/>
                <w:rFonts w:ascii="Arial" w:hAnsi="Arial" w:cs="Arial"/>
                <w:caps w:val="0"/>
                <w:noProof/>
                <w:sz w:val="20"/>
                <w:szCs w:val="20"/>
              </w:rPr>
              <w:t>Z</w:t>
            </w:r>
            <w:r w:rsidR="001B1BB7" w:rsidRPr="00CC6C83">
              <w:rPr>
                <w:rStyle w:val="Hiperpovezava"/>
                <w:rFonts w:ascii="Arial" w:hAnsi="Arial" w:cs="Arial"/>
                <w:caps w:val="0"/>
                <w:noProof/>
                <w:sz w:val="20"/>
                <w:szCs w:val="20"/>
              </w:rPr>
              <w:t>ačasna zaščita</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_Toc225499838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41</w:t>
            </w:r>
            <w:r w:rsidR="00D65C01" w:rsidRPr="00CC6C83">
              <w:rPr>
                <w:rFonts w:ascii="Arial" w:hAnsi="Arial" w:cs="Arial"/>
                <w:noProof/>
                <w:webHidden/>
                <w:sz w:val="20"/>
                <w:szCs w:val="20"/>
              </w:rPr>
              <w:fldChar w:fldCharType="end"/>
            </w:r>
          </w:hyperlink>
        </w:p>
        <w:p w14:paraId="11EC2CFD" w14:textId="59A2BA52" w:rsidR="00D65C01" w:rsidRPr="00CC6C83" w:rsidRDefault="00000000" w:rsidP="00CC6C83">
          <w:pPr>
            <w:pStyle w:val="Kazalovsebine1"/>
            <w:rPr>
              <w:rFonts w:ascii="Arial" w:eastAsiaTheme="minorEastAsia" w:hAnsi="Arial" w:cs="Arial"/>
              <w:noProof/>
              <w:sz w:val="20"/>
              <w:szCs w:val="20"/>
              <w:lang w:eastAsia="sl-SI"/>
            </w:rPr>
          </w:pPr>
          <w:hyperlink w:anchor="_Toc225499839" w:history="1">
            <w:r w:rsidR="00D65C01" w:rsidRPr="00CC6C83">
              <w:rPr>
                <w:rStyle w:val="Hiperpovezava"/>
                <w:rFonts w:ascii="Arial" w:hAnsi="Arial" w:cs="Arial"/>
                <w:noProof/>
                <w:sz w:val="20"/>
                <w:szCs w:val="20"/>
              </w:rPr>
              <w:t>5.4</w:t>
            </w:r>
            <w:r w:rsidR="00D65C01" w:rsidRPr="00CC6C83">
              <w:rPr>
                <w:rFonts w:ascii="Arial" w:eastAsiaTheme="minorEastAsia" w:hAnsi="Arial" w:cs="Arial"/>
                <w:noProof/>
                <w:sz w:val="20"/>
                <w:szCs w:val="20"/>
                <w:lang w:eastAsia="sl-SI"/>
              </w:rPr>
              <w:tab/>
            </w:r>
            <w:r w:rsidR="001B1BB7">
              <w:rPr>
                <w:rStyle w:val="Hiperpovezava"/>
                <w:rFonts w:ascii="Arial" w:hAnsi="Arial" w:cs="Arial"/>
                <w:caps w:val="0"/>
                <w:noProof/>
                <w:sz w:val="20"/>
                <w:szCs w:val="20"/>
              </w:rPr>
              <w:t>Z</w:t>
            </w:r>
            <w:r w:rsidR="001B1BB7" w:rsidRPr="00CC6C83">
              <w:rPr>
                <w:rStyle w:val="Hiperpovezava"/>
                <w:rFonts w:ascii="Arial" w:hAnsi="Arial" w:cs="Arial"/>
                <w:caps w:val="0"/>
                <w:noProof/>
                <w:sz w:val="20"/>
                <w:szCs w:val="20"/>
              </w:rPr>
              <w:t>akonite migracije</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_Toc225499839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42</w:t>
            </w:r>
            <w:r w:rsidR="00D65C01" w:rsidRPr="00CC6C83">
              <w:rPr>
                <w:rFonts w:ascii="Arial" w:hAnsi="Arial" w:cs="Arial"/>
                <w:noProof/>
                <w:webHidden/>
                <w:sz w:val="20"/>
                <w:szCs w:val="20"/>
              </w:rPr>
              <w:fldChar w:fldCharType="end"/>
            </w:r>
          </w:hyperlink>
        </w:p>
        <w:p w14:paraId="2C869E55" w14:textId="79B9A5B5" w:rsidR="00D65C01" w:rsidRPr="00CC6C83" w:rsidRDefault="00000000" w:rsidP="00CC6C83">
          <w:pPr>
            <w:pStyle w:val="Kazalovsebine1"/>
            <w:rPr>
              <w:rFonts w:ascii="Arial" w:eastAsiaTheme="minorEastAsia" w:hAnsi="Arial" w:cs="Arial"/>
              <w:noProof/>
              <w:sz w:val="20"/>
              <w:szCs w:val="20"/>
              <w:lang w:eastAsia="sl-SI"/>
            </w:rPr>
          </w:pPr>
          <w:hyperlink w:anchor="_Toc225499840" w:history="1">
            <w:r w:rsidR="00D65C01" w:rsidRPr="00CC6C83">
              <w:rPr>
                <w:rStyle w:val="Hiperpovezava"/>
                <w:rFonts w:ascii="Arial" w:hAnsi="Arial" w:cs="Arial"/>
                <w:noProof/>
                <w:sz w:val="20"/>
                <w:szCs w:val="20"/>
              </w:rPr>
              <w:t>5.5</w:t>
            </w:r>
            <w:r w:rsidR="00D65C01" w:rsidRPr="00CC6C83">
              <w:rPr>
                <w:rFonts w:ascii="Arial" w:eastAsiaTheme="minorEastAsia" w:hAnsi="Arial" w:cs="Arial"/>
                <w:noProof/>
                <w:sz w:val="20"/>
                <w:szCs w:val="20"/>
                <w:lang w:eastAsia="sl-SI"/>
              </w:rPr>
              <w:tab/>
            </w:r>
            <w:r w:rsidR="001B1BB7">
              <w:rPr>
                <w:rStyle w:val="Hiperpovezava"/>
                <w:rFonts w:ascii="Arial" w:hAnsi="Arial" w:cs="Arial"/>
                <w:caps w:val="0"/>
                <w:noProof/>
                <w:sz w:val="20"/>
                <w:szCs w:val="20"/>
              </w:rPr>
              <w:t>Delovne skupine Sveta EU, kontaktni odbori Evropske komisije, Agencija EU</w:t>
            </w:r>
            <w:r w:rsidR="001B1BB7" w:rsidRPr="00CC6C83">
              <w:rPr>
                <w:rStyle w:val="Hiperpovezava"/>
                <w:rFonts w:ascii="Arial" w:hAnsi="Arial" w:cs="Arial"/>
                <w:caps w:val="0"/>
                <w:noProof/>
                <w:sz w:val="20"/>
                <w:szCs w:val="20"/>
              </w:rPr>
              <w:t xml:space="preserve"> za azil in drugi mednarodni forumi s področja mednarodne zaščite in zakonitih migracij</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_Toc225499840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45</w:t>
            </w:r>
            <w:r w:rsidR="00D65C01" w:rsidRPr="00CC6C83">
              <w:rPr>
                <w:rFonts w:ascii="Arial" w:hAnsi="Arial" w:cs="Arial"/>
                <w:noProof/>
                <w:webHidden/>
                <w:sz w:val="20"/>
                <w:szCs w:val="20"/>
              </w:rPr>
              <w:fldChar w:fldCharType="end"/>
            </w:r>
          </w:hyperlink>
        </w:p>
        <w:p w14:paraId="4374F41A" w14:textId="28E424E9" w:rsidR="00D65C01" w:rsidRPr="00CC6C83" w:rsidRDefault="00000000" w:rsidP="000B544A">
          <w:pPr>
            <w:pStyle w:val="Kazalovsebine1"/>
            <w:rPr>
              <w:rFonts w:ascii="Arial" w:eastAsiaTheme="minorEastAsia" w:hAnsi="Arial" w:cs="Arial"/>
              <w:noProof/>
              <w:sz w:val="20"/>
              <w:szCs w:val="20"/>
              <w:lang w:eastAsia="sl-SI"/>
            </w:rPr>
          </w:pPr>
          <w:hyperlink w:anchor="_Toc225499841" w:history="1">
            <w:r w:rsidR="00D65C01" w:rsidRPr="00CC6C83">
              <w:rPr>
                <w:rStyle w:val="Hiperpovezava"/>
                <w:rFonts w:ascii="Arial" w:hAnsi="Arial" w:cs="Arial"/>
                <w:noProof/>
                <w:sz w:val="20"/>
                <w:szCs w:val="20"/>
              </w:rPr>
              <w:t>6</w:t>
            </w:r>
            <w:r w:rsidR="00D65C01" w:rsidRPr="00CC6C83">
              <w:rPr>
                <w:rFonts w:ascii="Arial" w:eastAsiaTheme="minorEastAsia" w:hAnsi="Arial" w:cs="Arial"/>
                <w:noProof/>
                <w:sz w:val="20"/>
                <w:szCs w:val="20"/>
                <w:lang w:eastAsia="sl-SI"/>
              </w:rPr>
              <w:tab/>
            </w:r>
            <w:r w:rsidR="00D65C01" w:rsidRPr="00CC6C83">
              <w:rPr>
                <w:rStyle w:val="Hiperpovezava"/>
                <w:rFonts w:ascii="Arial" w:hAnsi="Arial" w:cs="Arial"/>
                <w:noProof/>
                <w:sz w:val="20"/>
                <w:szCs w:val="20"/>
              </w:rPr>
              <w:t>Proaktivno in kredibilno mednarodno dvo- in večstransko sodelovanje</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_Toc225499841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47</w:t>
            </w:r>
            <w:r w:rsidR="00D65C01" w:rsidRPr="00CC6C83">
              <w:rPr>
                <w:rFonts w:ascii="Arial" w:hAnsi="Arial" w:cs="Arial"/>
                <w:noProof/>
                <w:webHidden/>
                <w:sz w:val="20"/>
                <w:szCs w:val="20"/>
              </w:rPr>
              <w:fldChar w:fldCharType="end"/>
            </w:r>
          </w:hyperlink>
        </w:p>
        <w:p w14:paraId="78C55F63" w14:textId="740FEF37" w:rsidR="00D65C01" w:rsidRPr="00CC6C83" w:rsidRDefault="00000000" w:rsidP="00CC6C83">
          <w:pPr>
            <w:pStyle w:val="Kazalovsebine1"/>
            <w:rPr>
              <w:rFonts w:ascii="Arial" w:eastAsiaTheme="minorEastAsia" w:hAnsi="Arial" w:cs="Arial"/>
              <w:noProof/>
              <w:sz w:val="20"/>
              <w:szCs w:val="20"/>
              <w:lang w:eastAsia="sl-SI"/>
            </w:rPr>
          </w:pPr>
          <w:hyperlink w:anchor="_Toc225499842" w:history="1">
            <w:r w:rsidR="00D65C01" w:rsidRPr="00CC6C83">
              <w:rPr>
                <w:rStyle w:val="Hiperpovezava"/>
                <w:rFonts w:ascii="Arial" w:hAnsi="Arial" w:cs="Arial"/>
                <w:noProof/>
                <w:sz w:val="20"/>
                <w:szCs w:val="20"/>
              </w:rPr>
              <w:t>7</w:t>
            </w:r>
            <w:r w:rsidR="00D65C01" w:rsidRPr="00CC6C83">
              <w:rPr>
                <w:rFonts w:ascii="Arial" w:eastAsiaTheme="minorEastAsia" w:hAnsi="Arial" w:cs="Arial"/>
                <w:noProof/>
                <w:sz w:val="20"/>
                <w:szCs w:val="20"/>
                <w:lang w:eastAsia="sl-SI"/>
              </w:rPr>
              <w:tab/>
            </w:r>
            <w:r w:rsidR="00D65C01" w:rsidRPr="00CC6C83">
              <w:rPr>
                <w:rStyle w:val="Hiperpovezava"/>
                <w:rFonts w:ascii="Arial" w:hAnsi="Arial" w:cs="Arial"/>
                <w:noProof/>
                <w:sz w:val="20"/>
                <w:szCs w:val="20"/>
              </w:rPr>
              <w:t>Preprečevanje trgovine z ljudmi in boj proti njej</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_Toc225499842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49</w:t>
            </w:r>
            <w:r w:rsidR="00D65C01" w:rsidRPr="00CC6C83">
              <w:rPr>
                <w:rFonts w:ascii="Arial" w:hAnsi="Arial" w:cs="Arial"/>
                <w:noProof/>
                <w:webHidden/>
                <w:sz w:val="20"/>
                <w:szCs w:val="20"/>
              </w:rPr>
              <w:fldChar w:fldCharType="end"/>
            </w:r>
          </w:hyperlink>
        </w:p>
        <w:p w14:paraId="46E93FEB" w14:textId="49C4DA22" w:rsidR="00D65C01" w:rsidRPr="00CC6C83" w:rsidRDefault="00000000" w:rsidP="00CC6C83">
          <w:pPr>
            <w:pStyle w:val="Kazalovsebine1"/>
            <w:rPr>
              <w:rFonts w:ascii="Arial" w:eastAsiaTheme="minorEastAsia" w:hAnsi="Arial" w:cs="Arial"/>
              <w:noProof/>
              <w:sz w:val="20"/>
              <w:szCs w:val="20"/>
              <w:lang w:eastAsia="sl-SI"/>
            </w:rPr>
          </w:pPr>
          <w:hyperlink w:anchor="_Toc225499843" w:history="1">
            <w:r w:rsidR="00D65C01" w:rsidRPr="00CC6C83">
              <w:rPr>
                <w:rStyle w:val="Hiperpovezava"/>
                <w:rFonts w:ascii="Arial" w:hAnsi="Arial" w:cs="Arial"/>
                <w:noProof/>
                <w:sz w:val="20"/>
                <w:szCs w:val="20"/>
              </w:rPr>
              <w:t>8</w:t>
            </w:r>
            <w:r w:rsidR="00D65C01" w:rsidRPr="00CC6C83">
              <w:rPr>
                <w:rFonts w:ascii="Arial" w:eastAsiaTheme="minorEastAsia" w:hAnsi="Arial" w:cs="Arial"/>
                <w:noProof/>
                <w:sz w:val="20"/>
                <w:szCs w:val="20"/>
                <w:lang w:eastAsia="sl-SI"/>
              </w:rPr>
              <w:tab/>
            </w:r>
            <w:r w:rsidR="00D65C01" w:rsidRPr="00CC6C83">
              <w:rPr>
                <w:rStyle w:val="Hiperpovezava"/>
                <w:rFonts w:ascii="Arial" w:hAnsi="Arial" w:cs="Arial"/>
                <w:noProof/>
                <w:sz w:val="20"/>
                <w:szCs w:val="20"/>
              </w:rPr>
              <w:t>Zagotavljanje pogojev za delo Ministrstva za notranje zadeve, policije in Inšpektorata Republike Slovenije za notranje zadeve</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_Toc225499843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51</w:t>
            </w:r>
            <w:r w:rsidR="00D65C01" w:rsidRPr="00CC6C83">
              <w:rPr>
                <w:rFonts w:ascii="Arial" w:hAnsi="Arial" w:cs="Arial"/>
                <w:noProof/>
                <w:webHidden/>
                <w:sz w:val="20"/>
                <w:szCs w:val="20"/>
              </w:rPr>
              <w:fldChar w:fldCharType="end"/>
            </w:r>
          </w:hyperlink>
        </w:p>
        <w:p w14:paraId="7D45E406" w14:textId="037041AC" w:rsidR="00D65C01" w:rsidRPr="00CC6C83" w:rsidRDefault="00000000" w:rsidP="00CC6C83">
          <w:pPr>
            <w:pStyle w:val="Kazalovsebine1"/>
            <w:rPr>
              <w:rFonts w:ascii="Arial" w:eastAsiaTheme="minorEastAsia" w:hAnsi="Arial" w:cs="Arial"/>
              <w:noProof/>
              <w:sz w:val="20"/>
              <w:szCs w:val="20"/>
              <w:lang w:eastAsia="sl-SI"/>
            </w:rPr>
          </w:pPr>
          <w:hyperlink w:anchor="_Toc225499844" w:history="1">
            <w:r w:rsidR="00D65C01" w:rsidRPr="00CC6C83">
              <w:rPr>
                <w:rStyle w:val="Hiperpovezava"/>
                <w:rFonts w:ascii="Arial" w:hAnsi="Arial" w:cs="Arial"/>
                <w:noProof/>
                <w:sz w:val="20"/>
                <w:szCs w:val="20"/>
              </w:rPr>
              <w:t>9</w:t>
            </w:r>
            <w:r w:rsidR="00D65C01" w:rsidRPr="00CC6C83">
              <w:rPr>
                <w:rFonts w:ascii="Arial" w:eastAsiaTheme="minorEastAsia" w:hAnsi="Arial" w:cs="Arial"/>
                <w:noProof/>
                <w:sz w:val="20"/>
                <w:szCs w:val="20"/>
                <w:lang w:eastAsia="sl-SI"/>
              </w:rPr>
              <w:tab/>
            </w:r>
            <w:r w:rsidR="00D65C01" w:rsidRPr="00CC6C83">
              <w:rPr>
                <w:rStyle w:val="Hiperpovezava"/>
                <w:rFonts w:ascii="Arial" w:hAnsi="Arial" w:cs="Arial"/>
                <w:noProof/>
                <w:sz w:val="20"/>
                <w:szCs w:val="20"/>
              </w:rPr>
              <w:t>Podatki o proračunu Ministrstva za notranje zadeve, kadrovski podatki, pravne zadeve in druge dejavnosti</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_Toc225499844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58</w:t>
            </w:r>
            <w:r w:rsidR="00D65C01" w:rsidRPr="00CC6C83">
              <w:rPr>
                <w:rFonts w:ascii="Arial" w:hAnsi="Arial" w:cs="Arial"/>
                <w:noProof/>
                <w:webHidden/>
                <w:sz w:val="20"/>
                <w:szCs w:val="20"/>
              </w:rPr>
              <w:fldChar w:fldCharType="end"/>
            </w:r>
          </w:hyperlink>
        </w:p>
        <w:p w14:paraId="7D49A938" w14:textId="3FA39427"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50" w:history="1">
            <w:r w:rsidR="00D65C01" w:rsidRPr="00CC6C83">
              <w:rPr>
                <w:rStyle w:val="Hiperpovezava"/>
                <w:rFonts w:ascii="Arial" w:hAnsi="Arial" w:cs="Arial"/>
                <w:noProof/>
              </w:rPr>
              <w:t>9.1</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Izvrševanje proračuna za leto 2025</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_Toc225499850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58</w:t>
            </w:r>
            <w:r w:rsidR="00D65C01" w:rsidRPr="00CC6C83">
              <w:rPr>
                <w:rFonts w:ascii="Arial" w:hAnsi="Arial" w:cs="Arial"/>
                <w:noProof/>
                <w:webHidden/>
              </w:rPr>
              <w:fldChar w:fldCharType="end"/>
            </w:r>
          </w:hyperlink>
        </w:p>
        <w:p w14:paraId="0DEDD10B" w14:textId="5E5EA340"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51" w:history="1">
            <w:r w:rsidR="00D65C01" w:rsidRPr="00CC6C83">
              <w:rPr>
                <w:rStyle w:val="Hiperpovezava"/>
                <w:rFonts w:ascii="Arial" w:hAnsi="Arial" w:cs="Arial"/>
                <w:noProof/>
              </w:rPr>
              <w:t>9.2</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Črpanje evropskih sredstev</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_Toc225499851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59</w:t>
            </w:r>
            <w:r w:rsidR="00D65C01" w:rsidRPr="00CC6C83">
              <w:rPr>
                <w:rFonts w:ascii="Arial" w:hAnsi="Arial" w:cs="Arial"/>
                <w:noProof/>
                <w:webHidden/>
              </w:rPr>
              <w:fldChar w:fldCharType="end"/>
            </w:r>
          </w:hyperlink>
        </w:p>
        <w:p w14:paraId="777944AC" w14:textId="5E8D8A5B"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52" w:history="1">
            <w:r w:rsidR="00D65C01" w:rsidRPr="00CC6C83">
              <w:rPr>
                <w:rStyle w:val="Hiperpovezava"/>
                <w:rFonts w:ascii="Arial" w:hAnsi="Arial" w:cs="Arial"/>
                <w:noProof/>
              </w:rPr>
              <w:t>9.3</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Kadrovski podatki</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_Toc225499852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60</w:t>
            </w:r>
            <w:r w:rsidR="00D65C01" w:rsidRPr="00CC6C83">
              <w:rPr>
                <w:rFonts w:ascii="Arial" w:hAnsi="Arial" w:cs="Arial"/>
                <w:noProof/>
                <w:webHidden/>
              </w:rPr>
              <w:fldChar w:fldCharType="end"/>
            </w:r>
          </w:hyperlink>
        </w:p>
        <w:p w14:paraId="024C64BD" w14:textId="15E31C17"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53" w:history="1">
            <w:r w:rsidR="00D65C01" w:rsidRPr="00CC6C83">
              <w:rPr>
                <w:rStyle w:val="Hiperpovezava"/>
                <w:rFonts w:ascii="Arial" w:hAnsi="Arial" w:cs="Arial"/>
                <w:noProof/>
              </w:rPr>
              <w:t>9.4</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Varnost in zdravje pri delu</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_Toc225499853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61</w:t>
            </w:r>
            <w:r w:rsidR="00D65C01" w:rsidRPr="00CC6C83">
              <w:rPr>
                <w:rFonts w:ascii="Arial" w:hAnsi="Arial" w:cs="Arial"/>
                <w:noProof/>
                <w:webHidden/>
              </w:rPr>
              <w:fldChar w:fldCharType="end"/>
            </w:r>
          </w:hyperlink>
        </w:p>
        <w:p w14:paraId="47C149A7" w14:textId="150F23D9"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54" w:history="1">
            <w:r w:rsidR="00D65C01" w:rsidRPr="00CC6C83">
              <w:rPr>
                <w:rStyle w:val="Hiperpovezava"/>
                <w:rFonts w:ascii="Arial" w:hAnsi="Arial" w:cs="Arial"/>
                <w:noProof/>
              </w:rPr>
              <w:t>9.5</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Področje sodnih sporov in odškodninskih zahtevkov</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_Toc225499854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63</w:t>
            </w:r>
            <w:r w:rsidR="00D65C01" w:rsidRPr="00CC6C83">
              <w:rPr>
                <w:rFonts w:ascii="Arial" w:hAnsi="Arial" w:cs="Arial"/>
                <w:noProof/>
                <w:webHidden/>
              </w:rPr>
              <w:fldChar w:fldCharType="end"/>
            </w:r>
          </w:hyperlink>
        </w:p>
        <w:p w14:paraId="5D335ED7" w14:textId="0298467F"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55" w:history="1">
            <w:r w:rsidR="00D65C01" w:rsidRPr="00CC6C83">
              <w:rPr>
                <w:rStyle w:val="Hiperpovezava"/>
                <w:rFonts w:ascii="Arial" w:hAnsi="Arial" w:cs="Arial"/>
                <w:noProof/>
              </w:rPr>
              <w:t>9.6</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Prevajanje in tolmačenje</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_Toc225499855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64</w:t>
            </w:r>
            <w:r w:rsidR="00D65C01" w:rsidRPr="00CC6C83">
              <w:rPr>
                <w:rFonts w:ascii="Arial" w:hAnsi="Arial" w:cs="Arial"/>
                <w:noProof/>
                <w:webHidden/>
              </w:rPr>
              <w:fldChar w:fldCharType="end"/>
            </w:r>
          </w:hyperlink>
        </w:p>
        <w:p w14:paraId="16CA406A" w14:textId="5BF7BA34"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56" w:history="1">
            <w:r w:rsidR="00D65C01" w:rsidRPr="00CC6C83">
              <w:rPr>
                <w:rStyle w:val="Hiperpovezava"/>
                <w:rFonts w:ascii="Arial" w:hAnsi="Arial" w:cs="Arial"/>
                <w:noProof/>
              </w:rPr>
              <w:t>9.7</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Komuniciranje z javnostmi</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_Toc225499856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65</w:t>
            </w:r>
            <w:r w:rsidR="00D65C01" w:rsidRPr="00CC6C83">
              <w:rPr>
                <w:rFonts w:ascii="Arial" w:hAnsi="Arial" w:cs="Arial"/>
                <w:noProof/>
                <w:webHidden/>
              </w:rPr>
              <w:fldChar w:fldCharType="end"/>
            </w:r>
          </w:hyperlink>
        </w:p>
        <w:p w14:paraId="6815E1F8" w14:textId="639B1111" w:rsidR="00D65C01" w:rsidRPr="00CC6C83" w:rsidRDefault="00000000" w:rsidP="00CC6C83">
          <w:pPr>
            <w:pStyle w:val="Kazalovsebine1"/>
            <w:rPr>
              <w:rFonts w:ascii="Arial" w:eastAsiaTheme="minorEastAsia" w:hAnsi="Arial" w:cs="Arial"/>
              <w:noProof/>
              <w:sz w:val="20"/>
              <w:szCs w:val="20"/>
              <w:lang w:eastAsia="sl-SI"/>
            </w:rPr>
          </w:pPr>
          <w:hyperlink w:anchor="_Toc225499857" w:history="1">
            <w:r w:rsidR="00D65C01" w:rsidRPr="00CC6C83">
              <w:rPr>
                <w:rStyle w:val="Hiperpovezava"/>
                <w:rFonts w:ascii="Arial" w:hAnsi="Arial" w:cs="Arial"/>
                <w:noProof/>
                <w:sz w:val="20"/>
                <w:szCs w:val="20"/>
              </w:rPr>
              <w:t>10</w:t>
            </w:r>
            <w:r w:rsidR="00D65C01" w:rsidRPr="00CC6C83">
              <w:rPr>
                <w:rFonts w:ascii="Arial" w:eastAsiaTheme="minorEastAsia" w:hAnsi="Arial" w:cs="Arial"/>
                <w:noProof/>
                <w:sz w:val="20"/>
                <w:szCs w:val="20"/>
                <w:lang w:eastAsia="sl-SI"/>
              </w:rPr>
              <w:tab/>
            </w:r>
            <w:r w:rsidR="00D65C01" w:rsidRPr="00CC6C83">
              <w:rPr>
                <w:rStyle w:val="Hiperpovezava"/>
                <w:rFonts w:ascii="Arial" w:hAnsi="Arial" w:cs="Arial"/>
                <w:noProof/>
                <w:sz w:val="20"/>
                <w:szCs w:val="20"/>
              </w:rPr>
              <w:t>Projekti, namenjeni večji učinkovitosti dela Ministrstva za notranje zadeve</w:t>
            </w:r>
            <w:r w:rsidR="00D65C01" w:rsidRPr="00CC6C83">
              <w:rPr>
                <w:rFonts w:ascii="Arial" w:hAnsi="Arial" w:cs="Arial"/>
                <w:noProof/>
                <w:webHidden/>
                <w:sz w:val="20"/>
                <w:szCs w:val="20"/>
              </w:rPr>
              <w:tab/>
            </w:r>
            <w:r w:rsidR="00D65C01" w:rsidRPr="00CC6C83">
              <w:rPr>
                <w:rFonts w:ascii="Arial" w:hAnsi="Arial" w:cs="Arial"/>
                <w:noProof/>
                <w:webHidden/>
                <w:sz w:val="20"/>
                <w:szCs w:val="20"/>
              </w:rPr>
              <w:fldChar w:fldCharType="begin"/>
            </w:r>
            <w:r w:rsidR="00D65C01" w:rsidRPr="00CC6C83">
              <w:rPr>
                <w:rFonts w:ascii="Arial" w:hAnsi="Arial" w:cs="Arial"/>
                <w:noProof/>
                <w:webHidden/>
                <w:sz w:val="20"/>
                <w:szCs w:val="20"/>
              </w:rPr>
              <w:instrText xml:space="preserve"> PAGEREF _Toc225499857 \h </w:instrText>
            </w:r>
            <w:r w:rsidR="00D65C01" w:rsidRPr="00CC6C83">
              <w:rPr>
                <w:rFonts w:ascii="Arial" w:hAnsi="Arial" w:cs="Arial"/>
                <w:noProof/>
                <w:webHidden/>
                <w:sz w:val="20"/>
                <w:szCs w:val="20"/>
              </w:rPr>
            </w:r>
            <w:r w:rsidR="00D65C01" w:rsidRPr="00CC6C83">
              <w:rPr>
                <w:rFonts w:ascii="Arial" w:hAnsi="Arial" w:cs="Arial"/>
                <w:noProof/>
                <w:webHidden/>
                <w:sz w:val="20"/>
                <w:szCs w:val="20"/>
              </w:rPr>
              <w:fldChar w:fldCharType="separate"/>
            </w:r>
            <w:r w:rsidR="00D405E9">
              <w:rPr>
                <w:rFonts w:ascii="Arial" w:hAnsi="Arial" w:cs="Arial"/>
                <w:noProof/>
                <w:webHidden/>
                <w:sz w:val="20"/>
                <w:szCs w:val="20"/>
              </w:rPr>
              <w:t>66</w:t>
            </w:r>
            <w:r w:rsidR="00D65C01" w:rsidRPr="00CC6C83">
              <w:rPr>
                <w:rFonts w:ascii="Arial" w:hAnsi="Arial" w:cs="Arial"/>
                <w:noProof/>
                <w:webHidden/>
                <w:sz w:val="20"/>
                <w:szCs w:val="20"/>
              </w:rPr>
              <w:fldChar w:fldCharType="end"/>
            </w:r>
          </w:hyperlink>
        </w:p>
        <w:p w14:paraId="2A8AE187" w14:textId="1D18D873"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59" w:history="1">
            <w:r w:rsidR="00D65C01" w:rsidRPr="00CC6C83">
              <w:rPr>
                <w:rStyle w:val="Hiperpovezava"/>
                <w:rFonts w:ascii="Arial" w:hAnsi="Arial" w:cs="Arial"/>
                <w:noProof/>
              </w:rPr>
              <w:t>10.1</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Projekti digitalizacije in informatizacije</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_Toc225499859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66</w:t>
            </w:r>
            <w:r w:rsidR="00D65C01" w:rsidRPr="00CC6C83">
              <w:rPr>
                <w:rFonts w:ascii="Arial" w:hAnsi="Arial" w:cs="Arial"/>
                <w:noProof/>
                <w:webHidden/>
              </w:rPr>
              <w:fldChar w:fldCharType="end"/>
            </w:r>
          </w:hyperlink>
        </w:p>
        <w:p w14:paraId="2CFACA3E" w14:textId="3EDCF51D" w:rsidR="00D65C01" w:rsidRPr="00CC6C83" w:rsidRDefault="00000000" w:rsidP="00CC6C83">
          <w:pPr>
            <w:pStyle w:val="Kazalovsebine2"/>
            <w:spacing w:line="480" w:lineRule="auto"/>
            <w:rPr>
              <w:rFonts w:ascii="Arial" w:eastAsiaTheme="minorEastAsia" w:hAnsi="Arial" w:cs="Arial"/>
              <w:b w:val="0"/>
              <w:bCs w:val="0"/>
              <w:noProof/>
              <w:lang w:eastAsia="sl-SI"/>
            </w:rPr>
          </w:pPr>
          <w:hyperlink w:anchor="_Toc225499860" w:history="1">
            <w:r w:rsidR="00D65C01" w:rsidRPr="00CC6C83">
              <w:rPr>
                <w:rStyle w:val="Hiperpovezava"/>
                <w:rFonts w:ascii="Arial" w:hAnsi="Arial" w:cs="Arial"/>
                <w:noProof/>
              </w:rPr>
              <w:t>10.2</w:t>
            </w:r>
            <w:r w:rsidR="00D65C01" w:rsidRPr="00CC6C83">
              <w:rPr>
                <w:rFonts w:ascii="Arial" w:eastAsiaTheme="minorEastAsia" w:hAnsi="Arial" w:cs="Arial"/>
                <w:b w:val="0"/>
                <w:bCs w:val="0"/>
                <w:noProof/>
                <w:lang w:eastAsia="sl-SI"/>
              </w:rPr>
              <w:tab/>
            </w:r>
            <w:r w:rsidR="00D65C01" w:rsidRPr="00CC6C83">
              <w:rPr>
                <w:rStyle w:val="Hiperpovezava"/>
                <w:rFonts w:ascii="Arial" w:hAnsi="Arial" w:cs="Arial"/>
                <w:noProof/>
              </w:rPr>
              <w:t>Sodelovanje pri raziskovalni dejavnosti v okviru ciljnih raziskovalnih projektov</w:t>
            </w:r>
            <w:r w:rsidR="00D65C01" w:rsidRPr="00CC6C83">
              <w:rPr>
                <w:rFonts w:ascii="Arial" w:hAnsi="Arial" w:cs="Arial"/>
                <w:noProof/>
                <w:webHidden/>
              </w:rPr>
              <w:tab/>
            </w:r>
            <w:r w:rsidR="00D65C01" w:rsidRPr="00CC6C83">
              <w:rPr>
                <w:rFonts w:ascii="Arial" w:hAnsi="Arial" w:cs="Arial"/>
                <w:noProof/>
                <w:webHidden/>
              </w:rPr>
              <w:fldChar w:fldCharType="begin"/>
            </w:r>
            <w:r w:rsidR="00D65C01" w:rsidRPr="00CC6C83">
              <w:rPr>
                <w:rFonts w:ascii="Arial" w:hAnsi="Arial" w:cs="Arial"/>
                <w:noProof/>
                <w:webHidden/>
              </w:rPr>
              <w:instrText xml:space="preserve"> PAGEREF _Toc225499860 \h </w:instrText>
            </w:r>
            <w:r w:rsidR="00D65C01" w:rsidRPr="00CC6C83">
              <w:rPr>
                <w:rFonts w:ascii="Arial" w:hAnsi="Arial" w:cs="Arial"/>
                <w:noProof/>
                <w:webHidden/>
              </w:rPr>
            </w:r>
            <w:r w:rsidR="00D65C01" w:rsidRPr="00CC6C83">
              <w:rPr>
                <w:rFonts w:ascii="Arial" w:hAnsi="Arial" w:cs="Arial"/>
                <w:noProof/>
                <w:webHidden/>
              </w:rPr>
              <w:fldChar w:fldCharType="separate"/>
            </w:r>
            <w:r w:rsidR="00D405E9">
              <w:rPr>
                <w:rFonts w:ascii="Arial" w:hAnsi="Arial" w:cs="Arial"/>
                <w:noProof/>
                <w:webHidden/>
              </w:rPr>
              <w:t>69</w:t>
            </w:r>
            <w:r w:rsidR="00D65C01" w:rsidRPr="00CC6C83">
              <w:rPr>
                <w:rFonts w:ascii="Arial" w:hAnsi="Arial" w:cs="Arial"/>
                <w:noProof/>
                <w:webHidden/>
              </w:rPr>
              <w:fldChar w:fldCharType="end"/>
            </w:r>
          </w:hyperlink>
        </w:p>
        <w:p w14:paraId="0B00267A" w14:textId="7B267052" w:rsidR="000B1BAF" w:rsidRPr="00D83239" w:rsidRDefault="006E7EDA" w:rsidP="00CC6C83">
          <w:pPr>
            <w:spacing w:after="0" w:line="480" w:lineRule="auto"/>
            <w:jc w:val="both"/>
            <w:rPr>
              <w:rFonts w:ascii="Arial" w:hAnsi="Arial" w:cs="Arial"/>
              <w:b/>
              <w:bCs/>
              <w:caps/>
              <w:sz w:val="20"/>
              <w:szCs w:val="20"/>
            </w:rPr>
          </w:pPr>
          <w:r w:rsidRPr="00CC6C83">
            <w:rPr>
              <w:rFonts w:ascii="Arial" w:hAnsi="Arial" w:cs="Arial"/>
              <w:b/>
              <w:bCs/>
              <w:caps/>
              <w:sz w:val="20"/>
              <w:szCs w:val="20"/>
            </w:rPr>
            <w:fldChar w:fldCharType="end"/>
          </w:r>
        </w:p>
      </w:sdtContent>
    </w:sdt>
    <w:bookmarkStart w:id="0" w:name="_Toc65591451" w:displacedByCustomXml="prev"/>
    <w:bookmarkStart w:id="1" w:name="_Toc65651002" w:displacedByCustomXml="prev"/>
    <w:p w14:paraId="5050F1D6" w14:textId="6124F094" w:rsidR="000B1BAF" w:rsidRDefault="000B1BAF" w:rsidP="00D83239">
      <w:pPr>
        <w:spacing w:line="276" w:lineRule="auto"/>
        <w:jc w:val="both"/>
        <w:rPr>
          <w:rFonts w:ascii="Arial" w:hAnsi="Arial" w:cs="Arial"/>
          <w:sz w:val="20"/>
          <w:szCs w:val="20"/>
        </w:rPr>
      </w:pPr>
    </w:p>
    <w:p w14:paraId="612E3C06" w14:textId="69BE248B" w:rsidR="00CC6C83" w:rsidRDefault="00CC6C83" w:rsidP="00D83239">
      <w:pPr>
        <w:spacing w:line="276" w:lineRule="auto"/>
        <w:jc w:val="both"/>
        <w:rPr>
          <w:rFonts w:ascii="Arial" w:hAnsi="Arial" w:cs="Arial"/>
          <w:sz w:val="20"/>
          <w:szCs w:val="20"/>
        </w:rPr>
      </w:pPr>
    </w:p>
    <w:p w14:paraId="3E8CEB19" w14:textId="77777777" w:rsidR="001B1BB7" w:rsidRDefault="001B1BB7" w:rsidP="00D83239">
      <w:pPr>
        <w:spacing w:line="276" w:lineRule="auto"/>
        <w:jc w:val="both"/>
        <w:rPr>
          <w:rFonts w:ascii="Arial" w:hAnsi="Arial" w:cs="Arial"/>
          <w:sz w:val="20"/>
          <w:szCs w:val="20"/>
        </w:rPr>
      </w:pPr>
    </w:p>
    <w:p w14:paraId="303688B4" w14:textId="5810F4ED" w:rsidR="00CC6C83" w:rsidRDefault="00CC6C83" w:rsidP="00D83239">
      <w:pPr>
        <w:spacing w:line="276" w:lineRule="auto"/>
        <w:jc w:val="both"/>
        <w:rPr>
          <w:rFonts w:ascii="Arial" w:hAnsi="Arial" w:cs="Arial"/>
          <w:sz w:val="20"/>
          <w:szCs w:val="20"/>
        </w:rPr>
      </w:pPr>
    </w:p>
    <w:p w14:paraId="1D9111D3" w14:textId="01DE490B" w:rsidR="00CC6C83" w:rsidRDefault="00CC6C83" w:rsidP="00D83239">
      <w:pPr>
        <w:spacing w:line="276" w:lineRule="auto"/>
        <w:jc w:val="both"/>
        <w:rPr>
          <w:rFonts w:ascii="Arial" w:hAnsi="Arial" w:cs="Arial"/>
          <w:sz w:val="20"/>
          <w:szCs w:val="20"/>
        </w:rPr>
      </w:pPr>
    </w:p>
    <w:p w14:paraId="47A4EF55" w14:textId="0C0CFA47" w:rsidR="00CC6C83" w:rsidRDefault="00CC6C83" w:rsidP="00D83239">
      <w:pPr>
        <w:spacing w:line="276" w:lineRule="auto"/>
        <w:jc w:val="both"/>
        <w:rPr>
          <w:rFonts w:ascii="Arial" w:hAnsi="Arial" w:cs="Arial"/>
          <w:sz w:val="20"/>
          <w:szCs w:val="20"/>
        </w:rPr>
      </w:pPr>
    </w:p>
    <w:p w14:paraId="68EA3C26" w14:textId="5B7DB53D" w:rsidR="00CC6C83" w:rsidRDefault="00CC6C83" w:rsidP="00D83239">
      <w:pPr>
        <w:spacing w:line="276" w:lineRule="auto"/>
        <w:jc w:val="both"/>
        <w:rPr>
          <w:rFonts w:ascii="Arial" w:hAnsi="Arial" w:cs="Arial"/>
          <w:sz w:val="20"/>
          <w:szCs w:val="20"/>
        </w:rPr>
      </w:pPr>
    </w:p>
    <w:p w14:paraId="009ECAFE" w14:textId="7E98C22C" w:rsidR="00CC6C83" w:rsidRDefault="00CC6C83" w:rsidP="00D83239">
      <w:pPr>
        <w:spacing w:line="276" w:lineRule="auto"/>
        <w:jc w:val="both"/>
        <w:rPr>
          <w:rFonts w:ascii="Arial" w:hAnsi="Arial" w:cs="Arial"/>
          <w:sz w:val="20"/>
          <w:szCs w:val="20"/>
        </w:rPr>
      </w:pPr>
    </w:p>
    <w:p w14:paraId="3C19E253" w14:textId="01799FB8" w:rsidR="00CC6C83" w:rsidRDefault="00CC6C83" w:rsidP="00D83239">
      <w:pPr>
        <w:spacing w:line="276" w:lineRule="auto"/>
        <w:jc w:val="both"/>
        <w:rPr>
          <w:rFonts w:ascii="Arial" w:hAnsi="Arial" w:cs="Arial"/>
          <w:sz w:val="20"/>
          <w:szCs w:val="20"/>
        </w:rPr>
      </w:pPr>
    </w:p>
    <w:p w14:paraId="31F107E6" w14:textId="77777777" w:rsidR="00086963" w:rsidRDefault="00086963" w:rsidP="00D83239">
      <w:pPr>
        <w:spacing w:line="276" w:lineRule="auto"/>
        <w:jc w:val="both"/>
        <w:rPr>
          <w:rFonts w:ascii="Arial" w:hAnsi="Arial" w:cs="Arial"/>
          <w:sz w:val="20"/>
          <w:szCs w:val="20"/>
        </w:rPr>
      </w:pPr>
    </w:p>
    <w:p w14:paraId="29796FF4" w14:textId="77777777" w:rsidR="00CC6C83" w:rsidRPr="00D83239" w:rsidRDefault="00CC6C83" w:rsidP="00D83239">
      <w:pPr>
        <w:spacing w:line="276" w:lineRule="auto"/>
        <w:jc w:val="both"/>
        <w:rPr>
          <w:rFonts w:ascii="Arial" w:hAnsi="Arial" w:cs="Arial"/>
          <w:sz w:val="20"/>
          <w:szCs w:val="20"/>
        </w:rPr>
      </w:pPr>
    </w:p>
    <w:p w14:paraId="355C01B6" w14:textId="01E1A121" w:rsidR="00590E45" w:rsidRPr="00D83239" w:rsidRDefault="00141F18" w:rsidP="00D83239">
      <w:pPr>
        <w:pStyle w:val="Naslov1"/>
        <w:spacing w:after="0" w:line="276" w:lineRule="auto"/>
        <w:jc w:val="both"/>
        <w:rPr>
          <w:color w:val="auto"/>
        </w:rPr>
      </w:pPr>
      <w:bookmarkStart w:id="2" w:name="_Toc225499812"/>
      <w:r w:rsidRPr="00D83239">
        <w:rPr>
          <w:color w:val="auto"/>
        </w:rPr>
        <w:t>S</w:t>
      </w:r>
      <w:r w:rsidR="00590E45" w:rsidRPr="00D83239">
        <w:rPr>
          <w:color w:val="auto"/>
        </w:rPr>
        <w:t>plošno</w:t>
      </w:r>
      <w:bookmarkEnd w:id="1"/>
      <w:bookmarkEnd w:id="0"/>
      <w:bookmarkEnd w:id="2"/>
    </w:p>
    <w:p w14:paraId="7FE207DA" w14:textId="77777777" w:rsidR="00641FEA" w:rsidRPr="00D83239" w:rsidRDefault="00641FEA" w:rsidP="00D83239">
      <w:pPr>
        <w:spacing w:after="0" w:line="276" w:lineRule="auto"/>
        <w:jc w:val="both"/>
        <w:rPr>
          <w:rFonts w:ascii="Arial" w:hAnsi="Arial" w:cs="Arial"/>
          <w:sz w:val="20"/>
          <w:szCs w:val="20"/>
        </w:rPr>
      </w:pPr>
    </w:p>
    <w:p w14:paraId="16F01E09" w14:textId="3A72DC02" w:rsidR="009433E0" w:rsidRPr="00BB498A" w:rsidRDefault="009433E0" w:rsidP="009433E0">
      <w:pPr>
        <w:spacing w:after="0" w:line="276" w:lineRule="auto"/>
        <w:jc w:val="both"/>
        <w:rPr>
          <w:rFonts w:ascii="Arial" w:hAnsi="Arial" w:cs="Arial"/>
          <w:sz w:val="20"/>
          <w:szCs w:val="20"/>
        </w:rPr>
      </w:pPr>
      <w:r w:rsidRPr="00BB498A">
        <w:rPr>
          <w:rFonts w:ascii="Arial" w:hAnsi="Arial" w:cs="Arial"/>
          <w:sz w:val="20"/>
          <w:szCs w:val="20"/>
        </w:rPr>
        <w:t xml:space="preserve">Temeljno </w:t>
      </w:r>
      <w:r w:rsidRPr="00BB498A">
        <w:rPr>
          <w:rFonts w:ascii="Arial" w:hAnsi="Arial" w:cs="Arial"/>
          <w:b/>
          <w:sz w:val="20"/>
          <w:szCs w:val="20"/>
        </w:rPr>
        <w:t xml:space="preserve">poslanstvo </w:t>
      </w:r>
      <w:r w:rsidRPr="00BB498A">
        <w:rPr>
          <w:rFonts w:ascii="Arial" w:hAnsi="Arial" w:cs="Arial"/>
          <w:sz w:val="20"/>
          <w:szCs w:val="20"/>
        </w:rPr>
        <w:t>Ministrstva za notranje zadeve (MNZ) je zagotavljanje varnosti v državi, in sicer z delovanjem na področjih javne varnosti in policije, upravnih notranjih zadev in migracij.</w:t>
      </w:r>
    </w:p>
    <w:p w14:paraId="45534616" w14:textId="408D702B" w:rsidR="00931F5F" w:rsidRPr="00D83239" w:rsidRDefault="00931F5F" w:rsidP="00D83239">
      <w:pPr>
        <w:spacing w:after="0" w:line="276" w:lineRule="auto"/>
        <w:jc w:val="both"/>
        <w:rPr>
          <w:rFonts w:ascii="Arial" w:hAnsi="Arial" w:cs="Arial"/>
          <w:sz w:val="20"/>
          <w:szCs w:val="20"/>
          <w:highlight w:val="yellow"/>
        </w:rPr>
      </w:pPr>
    </w:p>
    <w:p w14:paraId="793C0ED6" w14:textId="1ABE8FAC" w:rsidR="00DB29C1" w:rsidRPr="00D83239" w:rsidRDefault="00DB29C1" w:rsidP="00D83239">
      <w:pPr>
        <w:spacing w:after="0" w:line="276" w:lineRule="auto"/>
        <w:jc w:val="both"/>
        <w:rPr>
          <w:rFonts w:ascii="Arial" w:hAnsi="Arial" w:cs="Arial"/>
          <w:sz w:val="20"/>
          <w:szCs w:val="20"/>
        </w:rPr>
      </w:pPr>
      <w:r w:rsidRPr="00D83239">
        <w:rPr>
          <w:rFonts w:ascii="Arial" w:hAnsi="Arial" w:cs="Arial"/>
          <w:b/>
          <w:bCs/>
          <w:sz w:val="20"/>
          <w:szCs w:val="20"/>
        </w:rPr>
        <w:t xml:space="preserve">Vrednote </w:t>
      </w:r>
      <w:r w:rsidRPr="00D83239">
        <w:rPr>
          <w:rFonts w:ascii="Arial" w:hAnsi="Arial" w:cs="Arial"/>
          <w:bCs/>
          <w:sz w:val="20"/>
          <w:szCs w:val="20"/>
        </w:rPr>
        <w:t xml:space="preserve">zaposlenih v </w:t>
      </w:r>
      <w:r w:rsidR="00086963">
        <w:rPr>
          <w:rFonts w:ascii="Arial" w:hAnsi="Arial" w:cs="Arial"/>
          <w:bCs/>
          <w:sz w:val="20"/>
          <w:szCs w:val="20"/>
        </w:rPr>
        <w:t>MNZ</w:t>
      </w:r>
      <w:r w:rsidRPr="00D83239">
        <w:rPr>
          <w:rFonts w:ascii="Arial" w:hAnsi="Arial" w:cs="Arial"/>
          <w:bCs/>
          <w:sz w:val="20"/>
          <w:szCs w:val="20"/>
        </w:rPr>
        <w:t xml:space="preserve"> so spoštovanje pravne države in človekovih pravic, sodelovanje in spoštljiv odnos do ljudi, stalno</w:t>
      </w:r>
      <w:r w:rsidRPr="00D83239">
        <w:rPr>
          <w:rFonts w:ascii="Arial" w:hAnsi="Arial" w:cs="Arial"/>
          <w:sz w:val="20"/>
          <w:szCs w:val="20"/>
        </w:rPr>
        <w:t xml:space="preserve"> izboljševanje in inovativnost ter prepričanje, da le sistemsko usmerjana in nadzorovana policija ter drugi varnostni subjekti zagotavljajo visoko stopnjo varnosti ljudi in človekovih pravic.</w:t>
      </w:r>
    </w:p>
    <w:p w14:paraId="10121C2F" w14:textId="47DF9AC9" w:rsidR="00DB29C1" w:rsidRPr="00D83239" w:rsidRDefault="001505AC" w:rsidP="00D83239">
      <w:pPr>
        <w:spacing w:after="0" w:line="276" w:lineRule="auto"/>
        <w:jc w:val="both"/>
        <w:rPr>
          <w:rFonts w:ascii="Arial" w:hAnsi="Arial" w:cs="Arial"/>
          <w:sz w:val="20"/>
          <w:szCs w:val="20"/>
        </w:rPr>
      </w:pPr>
      <w:r w:rsidRPr="00D83239">
        <w:rPr>
          <w:rFonts w:ascii="Arial" w:hAnsi="Arial" w:cs="Arial"/>
          <w:sz w:val="20"/>
          <w:szCs w:val="20"/>
        </w:rPr>
        <w:br/>
        <w:t>Strokovnjaki MNZ</w:t>
      </w:r>
      <w:r w:rsidR="00DB29C1" w:rsidRPr="00D83239">
        <w:rPr>
          <w:rFonts w:ascii="Arial" w:hAnsi="Arial" w:cs="Arial"/>
          <w:sz w:val="20"/>
          <w:szCs w:val="20"/>
        </w:rPr>
        <w:t xml:space="preserve"> </w:t>
      </w:r>
      <w:r w:rsidR="009454A7">
        <w:rPr>
          <w:rFonts w:ascii="Arial" w:hAnsi="Arial" w:cs="Arial"/>
          <w:sz w:val="20"/>
          <w:szCs w:val="20"/>
        </w:rPr>
        <w:t xml:space="preserve">so </w:t>
      </w:r>
      <w:r w:rsidR="00C8025C">
        <w:rPr>
          <w:rFonts w:ascii="Arial" w:hAnsi="Arial" w:cs="Arial"/>
          <w:sz w:val="20"/>
          <w:szCs w:val="20"/>
        </w:rPr>
        <w:t>v letu 2025 usmerjali in nadzirali ter reševali</w:t>
      </w:r>
      <w:r w:rsidR="00DB29C1" w:rsidRPr="00D83239">
        <w:rPr>
          <w:rFonts w:ascii="Arial" w:hAnsi="Arial" w:cs="Arial"/>
          <w:sz w:val="20"/>
          <w:szCs w:val="20"/>
        </w:rPr>
        <w:t xml:space="preserve"> pritožbe z</w:t>
      </w:r>
      <w:r w:rsidR="00C8025C">
        <w:rPr>
          <w:rFonts w:ascii="Arial" w:hAnsi="Arial" w:cs="Arial"/>
          <w:sz w:val="20"/>
          <w:szCs w:val="20"/>
        </w:rPr>
        <w:t>oper delo policije. Zagotavljali so</w:t>
      </w:r>
      <w:r w:rsidR="00DB29C1" w:rsidRPr="00D83239">
        <w:rPr>
          <w:rFonts w:ascii="Arial" w:hAnsi="Arial" w:cs="Arial"/>
          <w:sz w:val="20"/>
          <w:szCs w:val="20"/>
        </w:rPr>
        <w:t xml:space="preserve"> učinkovito in strokovno opravljanje nalog na področju zasebnega varovanja, detektivske dejavnosti, varnosti na smučiščih, občinskega redarstva, varstva tajnih podatkov, varnostnega načrtovanja ter sistemsk</w:t>
      </w:r>
      <w:r w:rsidR="00F215A3">
        <w:rPr>
          <w:rFonts w:ascii="Arial" w:hAnsi="Arial" w:cs="Arial"/>
          <w:sz w:val="20"/>
          <w:szCs w:val="20"/>
        </w:rPr>
        <w:t>e</w:t>
      </w:r>
      <w:r w:rsidR="00DB29C1" w:rsidRPr="00D83239">
        <w:rPr>
          <w:rFonts w:ascii="Arial" w:hAnsi="Arial" w:cs="Arial"/>
          <w:sz w:val="20"/>
          <w:szCs w:val="20"/>
        </w:rPr>
        <w:t xml:space="preserve"> normativne in analitske dejavnosti s področja dela policije in drugih varnostnih subjektov.</w:t>
      </w:r>
    </w:p>
    <w:p w14:paraId="21CFF50B" w14:textId="77777777" w:rsidR="00DB29C1" w:rsidRPr="00D83239" w:rsidRDefault="00DB29C1" w:rsidP="00D83239">
      <w:pPr>
        <w:spacing w:after="0" w:line="276" w:lineRule="auto"/>
        <w:jc w:val="both"/>
        <w:rPr>
          <w:rFonts w:ascii="Arial" w:hAnsi="Arial" w:cs="Arial"/>
          <w:sz w:val="20"/>
          <w:szCs w:val="20"/>
        </w:rPr>
      </w:pPr>
    </w:p>
    <w:p w14:paraId="41F862CA" w14:textId="201E6C4E"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Delovanje </w:t>
      </w:r>
      <w:r w:rsidR="003A3D81">
        <w:rPr>
          <w:rFonts w:ascii="Arial" w:hAnsi="Arial" w:cs="Arial"/>
          <w:sz w:val="20"/>
          <w:szCs w:val="20"/>
        </w:rPr>
        <w:t>MNZ</w:t>
      </w:r>
      <w:r w:rsidR="003A3D81" w:rsidRPr="00D83239">
        <w:rPr>
          <w:rFonts w:ascii="Arial" w:hAnsi="Arial" w:cs="Arial"/>
          <w:sz w:val="20"/>
          <w:szCs w:val="20"/>
        </w:rPr>
        <w:t xml:space="preserve"> </w:t>
      </w:r>
      <w:r w:rsidRPr="00D83239">
        <w:rPr>
          <w:rFonts w:ascii="Arial" w:hAnsi="Arial" w:cs="Arial"/>
          <w:sz w:val="20"/>
          <w:szCs w:val="20"/>
        </w:rPr>
        <w:t>na obrambno</w:t>
      </w:r>
      <w:r w:rsidR="00A21573">
        <w:rPr>
          <w:rFonts w:ascii="Arial" w:hAnsi="Arial" w:cs="Arial"/>
          <w:sz w:val="20"/>
          <w:szCs w:val="20"/>
        </w:rPr>
        <w:t>-</w:t>
      </w:r>
      <w:r w:rsidRPr="00D83239">
        <w:rPr>
          <w:rFonts w:ascii="Arial" w:hAnsi="Arial" w:cs="Arial"/>
          <w:bCs/>
          <w:sz w:val="20"/>
          <w:szCs w:val="20"/>
        </w:rPr>
        <w:t>varnostnem področju</w:t>
      </w:r>
      <w:r w:rsidRPr="00D83239">
        <w:rPr>
          <w:rFonts w:ascii="Arial" w:hAnsi="Arial" w:cs="Arial"/>
          <w:sz w:val="20"/>
          <w:szCs w:val="20"/>
        </w:rPr>
        <w:t xml:space="preserve"> so tudi v letu 2025 zaznamovale vojne v mednarodnem varnostnem okolju, zlasti v Ukrajini in na Bližnjem vzhodu. Večina nacionalnih</w:t>
      </w:r>
      <w:r w:rsidR="00F215A3">
        <w:rPr>
          <w:rFonts w:ascii="Arial" w:hAnsi="Arial" w:cs="Arial"/>
          <w:sz w:val="20"/>
          <w:szCs w:val="20"/>
        </w:rPr>
        <w:t xml:space="preserve"> ukrepov</w:t>
      </w:r>
      <w:r w:rsidRPr="00D83239">
        <w:rPr>
          <w:rFonts w:ascii="Arial" w:hAnsi="Arial" w:cs="Arial"/>
          <w:sz w:val="20"/>
          <w:szCs w:val="20"/>
        </w:rPr>
        <w:t xml:space="preserve"> in </w:t>
      </w:r>
      <w:r w:rsidR="00F215A3">
        <w:rPr>
          <w:rFonts w:ascii="Arial" w:hAnsi="Arial" w:cs="Arial"/>
          <w:sz w:val="20"/>
          <w:szCs w:val="20"/>
        </w:rPr>
        <w:t xml:space="preserve">ukrepov zveze </w:t>
      </w:r>
      <w:r w:rsidRPr="00D83239">
        <w:rPr>
          <w:rFonts w:ascii="Arial" w:hAnsi="Arial" w:cs="Arial"/>
          <w:sz w:val="20"/>
          <w:szCs w:val="20"/>
        </w:rPr>
        <w:t xml:space="preserve">NATO </w:t>
      </w:r>
      <w:r w:rsidR="00F215A3">
        <w:rPr>
          <w:rFonts w:ascii="Arial" w:hAnsi="Arial" w:cs="Arial"/>
          <w:sz w:val="20"/>
          <w:szCs w:val="20"/>
        </w:rPr>
        <w:t xml:space="preserve">za </w:t>
      </w:r>
      <w:r w:rsidRPr="00D83239">
        <w:rPr>
          <w:rFonts w:ascii="Arial" w:hAnsi="Arial" w:cs="Arial"/>
          <w:sz w:val="20"/>
          <w:szCs w:val="20"/>
        </w:rPr>
        <w:t>krizn</w:t>
      </w:r>
      <w:r w:rsidR="00F215A3">
        <w:rPr>
          <w:rFonts w:ascii="Arial" w:hAnsi="Arial" w:cs="Arial"/>
          <w:sz w:val="20"/>
          <w:szCs w:val="20"/>
        </w:rPr>
        <w:t>o</w:t>
      </w:r>
      <w:r w:rsidRPr="00D83239">
        <w:rPr>
          <w:rFonts w:ascii="Arial" w:hAnsi="Arial" w:cs="Arial"/>
          <w:sz w:val="20"/>
          <w:szCs w:val="20"/>
        </w:rPr>
        <w:t xml:space="preserve"> odzivanj</w:t>
      </w:r>
      <w:r w:rsidR="00F215A3">
        <w:rPr>
          <w:rFonts w:ascii="Arial" w:hAnsi="Arial" w:cs="Arial"/>
          <w:sz w:val="20"/>
          <w:szCs w:val="20"/>
        </w:rPr>
        <w:t>e</w:t>
      </w:r>
      <w:r w:rsidRPr="00D83239">
        <w:rPr>
          <w:rFonts w:ascii="Arial" w:hAnsi="Arial" w:cs="Arial"/>
          <w:sz w:val="20"/>
          <w:szCs w:val="20"/>
        </w:rPr>
        <w:t>, ki se zaradi vojne v Ukrajini na ravni države izvaja</w:t>
      </w:r>
      <w:r w:rsidR="00F215A3">
        <w:rPr>
          <w:rFonts w:ascii="Arial" w:hAnsi="Arial" w:cs="Arial"/>
          <w:sz w:val="20"/>
          <w:szCs w:val="20"/>
        </w:rPr>
        <w:t>jo</w:t>
      </w:r>
      <w:r w:rsidRPr="00D83239">
        <w:rPr>
          <w:rFonts w:ascii="Arial" w:hAnsi="Arial" w:cs="Arial"/>
          <w:sz w:val="20"/>
          <w:szCs w:val="20"/>
        </w:rPr>
        <w:t xml:space="preserve"> od februarja 2022, </w:t>
      </w:r>
      <w:r w:rsidR="00F215A3">
        <w:rPr>
          <w:rFonts w:ascii="Arial" w:hAnsi="Arial" w:cs="Arial"/>
          <w:sz w:val="20"/>
          <w:szCs w:val="20"/>
        </w:rPr>
        <w:t>se še naprej izvaja</w:t>
      </w:r>
      <w:r w:rsidRPr="00D83239">
        <w:rPr>
          <w:rFonts w:ascii="Arial" w:hAnsi="Arial" w:cs="Arial"/>
          <w:sz w:val="20"/>
          <w:szCs w:val="20"/>
        </w:rPr>
        <w:t xml:space="preserve">. Prek kontaktne točke v Republiki Sloveniji, vzpostavljeni </w:t>
      </w:r>
      <w:r w:rsidR="009454A7">
        <w:rPr>
          <w:rFonts w:ascii="Arial" w:hAnsi="Arial" w:cs="Arial"/>
          <w:sz w:val="20"/>
          <w:szCs w:val="20"/>
        </w:rPr>
        <w:t>na Ministrstvu za obrambo</w:t>
      </w:r>
      <w:r w:rsidRPr="00D83239">
        <w:rPr>
          <w:rFonts w:ascii="Arial" w:hAnsi="Arial" w:cs="Arial"/>
          <w:sz w:val="20"/>
          <w:szCs w:val="20"/>
        </w:rPr>
        <w:t xml:space="preserve">, je </w:t>
      </w:r>
      <w:r w:rsidR="00F215A3">
        <w:rPr>
          <w:rFonts w:ascii="Arial" w:hAnsi="Arial" w:cs="Arial"/>
          <w:sz w:val="20"/>
          <w:szCs w:val="20"/>
        </w:rPr>
        <w:t>vse</w:t>
      </w:r>
      <w:r w:rsidRPr="00D83239">
        <w:rPr>
          <w:rFonts w:ascii="Arial" w:hAnsi="Arial" w:cs="Arial"/>
          <w:sz w:val="20"/>
          <w:szCs w:val="20"/>
        </w:rPr>
        <w:t xml:space="preserve"> leto 2025 potekalo redno poročanje </w:t>
      </w:r>
      <w:r w:rsidR="00F215A3">
        <w:rPr>
          <w:rFonts w:ascii="Arial" w:hAnsi="Arial" w:cs="Arial"/>
          <w:sz w:val="20"/>
          <w:szCs w:val="20"/>
        </w:rPr>
        <w:t xml:space="preserve">zvezi </w:t>
      </w:r>
      <w:r w:rsidRPr="00D83239">
        <w:rPr>
          <w:rFonts w:ascii="Arial" w:hAnsi="Arial" w:cs="Arial"/>
          <w:sz w:val="20"/>
          <w:szCs w:val="20"/>
        </w:rPr>
        <w:t xml:space="preserve">NATO o stanju civilne pripravljenosti iz pristojnosti </w:t>
      </w:r>
      <w:r w:rsidR="003A3D81">
        <w:rPr>
          <w:rFonts w:ascii="Arial" w:hAnsi="Arial" w:cs="Arial"/>
          <w:sz w:val="20"/>
          <w:szCs w:val="20"/>
        </w:rPr>
        <w:t>MNZ</w:t>
      </w:r>
      <w:r w:rsidR="003A3D81" w:rsidRPr="00D83239">
        <w:rPr>
          <w:rFonts w:ascii="Arial" w:hAnsi="Arial" w:cs="Arial"/>
          <w:sz w:val="20"/>
          <w:szCs w:val="20"/>
        </w:rPr>
        <w:t xml:space="preserve"> </w:t>
      </w:r>
      <w:r w:rsidRPr="00D83239">
        <w:rPr>
          <w:rFonts w:ascii="Arial" w:hAnsi="Arial" w:cs="Arial"/>
          <w:sz w:val="20"/>
          <w:szCs w:val="20"/>
        </w:rPr>
        <w:t xml:space="preserve">in organov v sestavi. Predstavniki </w:t>
      </w:r>
      <w:r w:rsidR="003A3D81">
        <w:rPr>
          <w:rFonts w:ascii="Arial" w:hAnsi="Arial" w:cs="Arial"/>
          <w:sz w:val="20"/>
          <w:szCs w:val="20"/>
        </w:rPr>
        <w:t>MNZ</w:t>
      </w:r>
      <w:r w:rsidR="003A3D81" w:rsidRPr="00D83239">
        <w:rPr>
          <w:rFonts w:ascii="Arial" w:hAnsi="Arial" w:cs="Arial"/>
          <w:sz w:val="20"/>
          <w:szCs w:val="20"/>
        </w:rPr>
        <w:t xml:space="preserve"> </w:t>
      </w:r>
      <w:r w:rsidRPr="00D83239">
        <w:rPr>
          <w:rFonts w:ascii="Arial" w:hAnsi="Arial" w:cs="Arial"/>
          <w:sz w:val="20"/>
          <w:szCs w:val="20"/>
        </w:rPr>
        <w:t xml:space="preserve">so julija 2025 sodelovali pri poročanju o stanju civilne pripravljenosti in odpornosti za potrebe bilateralnega </w:t>
      </w:r>
      <w:r w:rsidR="00F215A3" w:rsidRPr="00D83239">
        <w:rPr>
          <w:rFonts w:ascii="Arial" w:hAnsi="Arial" w:cs="Arial"/>
          <w:sz w:val="20"/>
          <w:szCs w:val="20"/>
        </w:rPr>
        <w:t xml:space="preserve">srečanja </w:t>
      </w:r>
      <w:r w:rsidR="00F215A3">
        <w:rPr>
          <w:rFonts w:ascii="Arial" w:hAnsi="Arial" w:cs="Arial"/>
          <w:sz w:val="20"/>
          <w:szCs w:val="20"/>
        </w:rPr>
        <w:t xml:space="preserve">z zvezo </w:t>
      </w:r>
      <w:r w:rsidRPr="00D83239">
        <w:rPr>
          <w:rFonts w:ascii="Arial" w:hAnsi="Arial" w:cs="Arial"/>
          <w:sz w:val="20"/>
          <w:szCs w:val="20"/>
        </w:rPr>
        <w:t xml:space="preserve">NATO, na katerem visoki predstavniki zveze vsaki dve leti preverjajo uresničevanje zahtev in zavez držav članic </w:t>
      </w:r>
      <w:r w:rsidR="003A3D81">
        <w:rPr>
          <w:rFonts w:ascii="Arial" w:hAnsi="Arial" w:cs="Arial"/>
          <w:sz w:val="20"/>
          <w:szCs w:val="20"/>
        </w:rPr>
        <w:t xml:space="preserve">zveze </w:t>
      </w:r>
      <w:r w:rsidRPr="00D83239">
        <w:rPr>
          <w:rFonts w:ascii="Arial" w:hAnsi="Arial" w:cs="Arial"/>
          <w:sz w:val="20"/>
          <w:szCs w:val="20"/>
        </w:rPr>
        <w:t xml:space="preserve">NATO. </w:t>
      </w:r>
    </w:p>
    <w:p w14:paraId="70F2B745" w14:textId="77777777" w:rsidR="00DB29C1" w:rsidRPr="00D83239" w:rsidRDefault="00DB29C1" w:rsidP="00D83239">
      <w:pPr>
        <w:spacing w:after="0" w:line="276" w:lineRule="auto"/>
        <w:jc w:val="both"/>
        <w:rPr>
          <w:rFonts w:ascii="Arial" w:hAnsi="Arial" w:cs="Arial"/>
          <w:sz w:val="20"/>
          <w:szCs w:val="20"/>
        </w:rPr>
      </w:pPr>
    </w:p>
    <w:p w14:paraId="2A6DD4BE" w14:textId="77777777" w:rsidR="00DB29C1"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Na področju </w:t>
      </w:r>
      <w:r w:rsidRPr="00D83239">
        <w:rPr>
          <w:rFonts w:ascii="Arial" w:hAnsi="Arial" w:cs="Arial"/>
          <w:b/>
          <w:sz w:val="20"/>
          <w:szCs w:val="20"/>
        </w:rPr>
        <w:t>varstva pred naravnimi in drugimi nesrečami</w:t>
      </w:r>
      <w:r w:rsidRPr="00D83239">
        <w:rPr>
          <w:rFonts w:ascii="Arial" w:hAnsi="Arial" w:cs="Arial"/>
          <w:sz w:val="20"/>
          <w:szCs w:val="20"/>
        </w:rPr>
        <w:t xml:space="preserve"> so potekale številne aktivnosti, ki so se nanašale zlasti na posodobitev načrtov zaščite in reševanja ter s tem povezanih dokumentov.</w:t>
      </w:r>
    </w:p>
    <w:p w14:paraId="4C1F2CE7" w14:textId="77777777" w:rsidR="004115F1" w:rsidRDefault="004115F1" w:rsidP="004115F1">
      <w:pPr>
        <w:autoSpaceDE w:val="0"/>
        <w:autoSpaceDN w:val="0"/>
        <w:adjustRightInd w:val="0"/>
        <w:spacing w:after="0" w:line="276" w:lineRule="auto"/>
        <w:jc w:val="both"/>
        <w:rPr>
          <w:rFonts w:ascii="Arial" w:hAnsi="Arial" w:cs="Arial"/>
          <w:bCs/>
          <w:sz w:val="20"/>
          <w:szCs w:val="20"/>
        </w:rPr>
      </w:pPr>
    </w:p>
    <w:p w14:paraId="7E7B8A86" w14:textId="7D545FFA" w:rsidR="009433E0" w:rsidRDefault="009433E0" w:rsidP="009433E0">
      <w:pPr>
        <w:autoSpaceDE w:val="0"/>
        <w:autoSpaceDN w:val="0"/>
        <w:adjustRightInd w:val="0"/>
        <w:spacing w:after="0" w:line="260" w:lineRule="exact"/>
        <w:jc w:val="both"/>
        <w:rPr>
          <w:rFonts w:ascii="Arial" w:hAnsi="Arial" w:cs="Arial"/>
          <w:sz w:val="20"/>
          <w:szCs w:val="20"/>
        </w:rPr>
      </w:pPr>
      <w:r w:rsidRPr="00D83239">
        <w:rPr>
          <w:rFonts w:ascii="Arial" w:hAnsi="Arial" w:cs="Arial"/>
          <w:bCs/>
          <w:sz w:val="20"/>
          <w:szCs w:val="20"/>
        </w:rPr>
        <w:t xml:space="preserve">V letu 2025 je </w:t>
      </w:r>
      <w:r>
        <w:rPr>
          <w:rFonts w:ascii="Arial" w:hAnsi="Arial" w:cs="Arial"/>
          <w:bCs/>
          <w:sz w:val="20"/>
          <w:szCs w:val="20"/>
        </w:rPr>
        <w:t xml:space="preserve">medresorska </w:t>
      </w:r>
      <w:r w:rsidRPr="00D83239">
        <w:rPr>
          <w:rFonts w:ascii="Arial" w:hAnsi="Arial" w:cs="Arial"/>
          <w:bCs/>
          <w:sz w:val="20"/>
          <w:szCs w:val="20"/>
        </w:rPr>
        <w:t xml:space="preserve">delovna skupina za spremljanje izvajanja </w:t>
      </w:r>
      <w:r w:rsidRPr="00D83239">
        <w:rPr>
          <w:rFonts w:ascii="Arial" w:hAnsi="Arial" w:cs="Arial"/>
          <w:b/>
          <w:bCs/>
          <w:sz w:val="20"/>
          <w:szCs w:val="20"/>
        </w:rPr>
        <w:t>Resolucije o nacionalnem programu preprečevanja in zatiranja kriminalitete za obdobje 2024</w:t>
      </w:r>
      <w:r w:rsidR="00F215A3">
        <w:rPr>
          <w:rFonts w:ascii="Arial" w:hAnsi="Arial" w:cs="Arial"/>
          <w:b/>
          <w:bCs/>
          <w:sz w:val="20"/>
          <w:szCs w:val="20"/>
        </w:rPr>
        <w:t>–</w:t>
      </w:r>
      <w:r w:rsidRPr="00D83239">
        <w:rPr>
          <w:rFonts w:ascii="Arial" w:hAnsi="Arial" w:cs="Arial"/>
          <w:b/>
          <w:bCs/>
          <w:sz w:val="20"/>
          <w:szCs w:val="20"/>
        </w:rPr>
        <w:t xml:space="preserve">2028 </w:t>
      </w:r>
      <w:r w:rsidRPr="00D83239">
        <w:rPr>
          <w:rFonts w:ascii="Arial" w:hAnsi="Arial" w:cs="Arial"/>
          <w:bCs/>
          <w:sz w:val="20"/>
          <w:szCs w:val="20"/>
        </w:rPr>
        <w:t xml:space="preserve">pod okriljem </w:t>
      </w:r>
      <w:r w:rsidR="00BD5D81">
        <w:rPr>
          <w:rFonts w:ascii="Arial" w:hAnsi="Arial" w:cs="Arial"/>
          <w:bCs/>
          <w:sz w:val="20"/>
          <w:szCs w:val="20"/>
        </w:rPr>
        <w:t>MNZ</w:t>
      </w:r>
      <w:r w:rsidRPr="00D83239">
        <w:rPr>
          <w:rFonts w:ascii="Arial" w:hAnsi="Arial" w:cs="Arial"/>
          <w:bCs/>
          <w:sz w:val="20"/>
          <w:szCs w:val="20"/>
        </w:rPr>
        <w:t xml:space="preserve"> pripravila </w:t>
      </w:r>
      <w:r w:rsidRPr="00D83239">
        <w:rPr>
          <w:rFonts w:ascii="Arial" w:hAnsi="Arial" w:cs="Arial"/>
          <w:color w:val="000000"/>
          <w:sz w:val="20"/>
          <w:szCs w:val="20"/>
          <w:lang w:eastAsia="sl-SI"/>
        </w:rPr>
        <w:t xml:space="preserve">poročilo o izvajanju strategij in programov </w:t>
      </w:r>
      <w:r>
        <w:rPr>
          <w:rFonts w:ascii="Arial" w:hAnsi="Arial" w:cs="Arial"/>
          <w:color w:val="000000"/>
          <w:sz w:val="20"/>
          <w:szCs w:val="20"/>
          <w:lang w:eastAsia="sl-SI"/>
        </w:rPr>
        <w:t>v letu</w:t>
      </w:r>
      <w:r w:rsidRPr="00D83239">
        <w:rPr>
          <w:rFonts w:ascii="Arial" w:hAnsi="Arial" w:cs="Arial"/>
          <w:color w:val="000000"/>
          <w:sz w:val="20"/>
          <w:szCs w:val="20"/>
          <w:lang w:eastAsia="sl-SI"/>
        </w:rPr>
        <w:t xml:space="preserve"> 2024. </w:t>
      </w:r>
      <w:r>
        <w:rPr>
          <w:rFonts w:ascii="Arial" w:hAnsi="Arial" w:cs="Arial"/>
          <w:color w:val="000000"/>
          <w:sz w:val="20"/>
          <w:szCs w:val="20"/>
          <w:lang w:eastAsia="sl-SI"/>
        </w:rPr>
        <w:t>Iz poročila izhaja, da je bilo z</w:t>
      </w:r>
      <w:r w:rsidRPr="009E3540">
        <w:rPr>
          <w:rFonts w:ascii="Arial" w:hAnsi="Arial" w:cs="Arial"/>
          <w:color w:val="000000"/>
          <w:sz w:val="20"/>
          <w:szCs w:val="20"/>
          <w:lang w:eastAsia="sl-SI"/>
        </w:rPr>
        <w:t xml:space="preserve">a dosego zastavljenih ciljev v </w:t>
      </w:r>
      <w:r>
        <w:rPr>
          <w:rFonts w:ascii="Arial" w:hAnsi="Arial" w:cs="Arial"/>
          <w:color w:val="000000"/>
          <w:sz w:val="20"/>
          <w:szCs w:val="20"/>
          <w:lang w:eastAsia="sl-SI"/>
        </w:rPr>
        <w:t xml:space="preserve">tem </w:t>
      </w:r>
      <w:r w:rsidRPr="009E3540">
        <w:rPr>
          <w:rFonts w:ascii="Arial" w:hAnsi="Arial" w:cs="Arial"/>
          <w:color w:val="000000"/>
          <w:sz w:val="20"/>
          <w:szCs w:val="20"/>
          <w:lang w:eastAsia="sl-SI"/>
        </w:rPr>
        <w:t>letu načrtovanih 30 strategij oziroma programov</w:t>
      </w:r>
      <w:r>
        <w:rPr>
          <w:rFonts w:ascii="Arial" w:hAnsi="Arial" w:cs="Arial"/>
          <w:color w:val="000000"/>
          <w:sz w:val="20"/>
          <w:szCs w:val="20"/>
          <w:lang w:eastAsia="sl-SI"/>
        </w:rPr>
        <w:t>,</w:t>
      </w:r>
      <w:r w:rsidRPr="009E3540">
        <w:rPr>
          <w:rFonts w:ascii="Arial" w:hAnsi="Arial" w:cs="Arial"/>
          <w:color w:val="000000"/>
          <w:sz w:val="20"/>
          <w:szCs w:val="20"/>
          <w:lang w:eastAsia="sl-SI"/>
        </w:rPr>
        <w:t xml:space="preserve"> </w:t>
      </w:r>
      <w:r>
        <w:rPr>
          <w:rFonts w:ascii="Arial" w:hAnsi="Arial" w:cs="Arial"/>
          <w:color w:val="000000"/>
          <w:sz w:val="20"/>
          <w:szCs w:val="20"/>
          <w:lang w:eastAsia="sl-SI"/>
        </w:rPr>
        <w:t>pri čemer se</w:t>
      </w:r>
      <w:r w:rsidRPr="009E3540">
        <w:rPr>
          <w:rFonts w:ascii="Arial" w:hAnsi="Arial" w:cs="Arial"/>
          <w:color w:val="000000"/>
          <w:sz w:val="20"/>
          <w:szCs w:val="20"/>
          <w:lang w:eastAsia="sl-SI"/>
        </w:rPr>
        <w:t xml:space="preserve"> </w:t>
      </w:r>
      <w:r>
        <w:rPr>
          <w:rFonts w:ascii="Arial" w:hAnsi="Arial" w:cs="Arial"/>
          <w:color w:val="000000"/>
          <w:sz w:val="20"/>
          <w:szCs w:val="20"/>
          <w:lang w:eastAsia="sl-SI"/>
        </w:rPr>
        <w:t xml:space="preserve">28 </w:t>
      </w:r>
      <w:r w:rsidRPr="009E3540">
        <w:rPr>
          <w:rFonts w:ascii="Arial" w:hAnsi="Arial" w:cs="Arial"/>
          <w:color w:val="000000"/>
          <w:sz w:val="20"/>
          <w:szCs w:val="20"/>
          <w:lang w:eastAsia="sl-SI"/>
        </w:rPr>
        <w:t>strategij oziroma programov izvaja kontinuirano v celotnem obdobju</w:t>
      </w:r>
      <w:r>
        <w:rPr>
          <w:rFonts w:ascii="Arial" w:hAnsi="Arial" w:cs="Arial"/>
          <w:color w:val="000000"/>
          <w:sz w:val="20"/>
          <w:szCs w:val="20"/>
          <w:lang w:eastAsia="sl-SI"/>
        </w:rPr>
        <w:t xml:space="preserve"> </w:t>
      </w:r>
      <w:r w:rsidRPr="009E3540">
        <w:rPr>
          <w:rFonts w:ascii="Arial" w:hAnsi="Arial" w:cs="Arial"/>
          <w:color w:val="000000"/>
          <w:sz w:val="20"/>
          <w:szCs w:val="20"/>
          <w:lang w:eastAsia="sl-SI"/>
        </w:rPr>
        <w:t xml:space="preserve">veljavnosti resolucije. </w:t>
      </w:r>
      <w:r>
        <w:rPr>
          <w:rFonts w:ascii="Arial" w:hAnsi="Arial" w:cs="Arial"/>
          <w:color w:val="000000"/>
          <w:sz w:val="20"/>
          <w:szCs w:val="20"/>
          <w:lang w:eastAsia="sl-SI"/>
        </w:rPr>
        <w:t>Naloge, predvidene za leto 2024, so bile</w:t>
      </w:r>
      <w:r w:rsidRPr="009E3540">
        <w:rPr>
          <w:rFonts w:ascii="Arial" w:hAnsi="Arial" w:cs="Arial"/>
          <w:color w:val="000000"/>
          <w:sz w:val="20"/>
          <w:szCs w:val="20"/>
          <w:lang w:eastAsia="sl-SI"/>
        </w:rPr>
        <w:t xml:space="preserve"> v celoti izveden</w:t>
      </w:r>
      <w:r>
        <w:rPr>
          <w:rFonts w:ascii="Arial" w:hAnsi="Arial" w:cs="Arial"/>
          <w:color w:val="000000"/>
          <w:sz w:val="20"/>
          <w:szCs w:val="20"/>
          <w:lang w:eastAsia="sl-SI"/>
        </w:rPr>
        <w:t>e pri</w:t>
      </w:r>
      <w:r w:rsidRPr="009E3540">
        <w:rPr>
          <w:rFonts w:ascii="Arial" w:hAnsi="Arial" w:cs="Arial"/>
          <w:color w:val="000000"/>
          <w:sz w:val="20"/>
          <w:szCs w:val="20"/>
          <w:lang w:eastAsia="sl-SI"/>
        </w:rPr>
        <w:t xml:space="preserve"> 15 strategij</w:t>
      </w:r>
      <w:r>
        <w:rPr>
          <w:rFonts w:ascii="Arial" w:hAnsi="Arial" w:cs="Arial"/>
          <w:color w:val="000000"/>
          <w:sz w:val="20"/>
          <w:szCs w:val="20"/>
          <w:lang w:eastAsia="sl-SI"/>
        </w:rPr>
        <w:t>ah</w:t>
      </w:r>
      <w:r w:rsidRPr="009E3540">
        <w:rPr>
          <w:rFonts w:ascii="Arial" w:hAnsi="Arial" w:cs="Arial"/>
          <w:color w:val="000000"/>
          <w:sz w:val="20"/>
          <w:szCs w:val="20"/>
          <w:lang w:eastAsia="sl-SI"/>
        </w:rPr>
        <w:t xml:space="preserve"> oziroma program</w:t>
      </w:r>
      <w:r>
        <w:rPr>
          <w:rFonts w:ascii="Arial" w:hAnsi="Arial" w:cs="Arial"/>
          <w:color w:val="000000"/>
          <w:sz w:val="20"/>
          <w:szCs w:val="20"/>
          <w:lang w:eastAsia="sl-SI"/>
        </w:rPr>
        <w:t>ih</w:t>
      </w:r>
      <w:r w:rsidRPr="009E3540">
        <w:rPr>
          <w:rFonts w:ascii="Arial" w:hAnsi="Arial" w:cs="Arial"/>
          <w:color w:val="000000"/>
          <w:sz w:val="20"/>
          <w:szCs w:val="20"/>
          <w:lang w:eastAsia="sl-SI"/>
        </w:rPr>
        <w:t xml:space="preserve">, </w:t>
      </w:r>
      <w:r>
        <w:rPr>
          <w:rFonts w:ascii="Arial" w:hAnsi="Arial" w:cs="Arial"/>
          <w:color w:val="000000"/>
          <w:sz w:val="20"/>
          <w:szCs w:val="20"/>
          <w:lang w:eastAsia="sl-SI"/>
        </w:rPr>
        <w:t xml:space="preserve">pri </w:t>
      </w:r>
      <w:r w:rsidRPr="009E3540">
        <w:rPr>
          <w:rFonts w:ascii="Arial" w:hAnsi="Arial" w:cs="Arial"/>
          <w:color w:val="000000"/>
          <w:sz w:val="20"/>
          <w:szCs w:val="20"/>
          <w:lang w:eastAsia="sl-SI"/>
        </w:rPr>
        <w:t xml:space="preserve">14 </w:t>
      </w:r>
      <w:r>
        <w:rPr>
          <w:rFonts w:ascii="Arial" w:hAnsi="Arial" w:cs="Arial"/>
          <w:color w:val="000000"/>
          <w:sz w:val="20"/>
          <w:szCs w:val="20"/>
          <w:lang w:eastAsia="sl-SI"/>
        </w:rPr>
        <w:t xml:space="preserve">so bile </w:t>
      </w:r>
      <w:r w:rsidRPr="009E3540">
        <w:rPr>
          <w:rFonts w:ascii="Arial" w:hAnsi="Arial" w:cs="Arial"/>
          <w:color w:val="000000"/>
          <w:sz w:val="20"/>
          <w:szCs w:val="20"/>
          <w:lang w:eastAsia="sl-SI"/>
        </w:rPr>
        <w:t>delno izveden</w:t>
      </w:r>
      <w:r>
        <w:rPr>
          <w:rFonts w:ascii="Arial" w:hAnsi="Arial" w:cs="Arial"/>
          <w:color w:val="000000"/>
          <w:sz w:val="20"/>
          <w:szCs w:val="20"/>
          <w:lang w:eastAsia="sl-SI"/>
        </w:rPr>
        <w:t>e</w:t>
      </w:r>
      <w:r w:rsidRPr="009E3540">
        <w:rPr>
          <w:rFonts w:ascii="Arial" w:hAnsi="Arial" w:cs="Arial"/>
          <w:color w:val="000000"/>
          <w:sz w:val="20"/>
          <w:szCs w:val="20"/>
          <w:lang w:eastAsia="sl-SI"/>
        </w:rPr>
        <w:t xml:space="preserve">, </w:t>
      </w:r>
      <w:r>
        <w:rPr>
          <w:rFonts w:ascii="Arial" w:hAnsi="Arial" w:cs="Arial"/>
          <w:color w:val="000000"/>
          <w:sz w:val="20"/>
          <w:szCs w:val="20"/>
          <w:lang w:eastAsia="sl-SI"/>
        </w:rPr>
        <w:t xml:space="preserve">pri </w:t>
      </w:r>
      <w:r w:rsidRPr="009E3540">
        <w:rPr>
          <w:rFonts w:ascii="Arial" w:hAnsi="Arial" w:cs="Arial"/>
          <w:color w:val="000000"/>
          <w:sz w:val="20"/>
          <w:szCs w:val="20"/>
          <w:lang w:eastAsia="sl-SI"/>
        </w:rPr>
        <w:t>en</w:t>
      </w:r>
      <w:r>
        <w:rPr>
          <w:rFonts w:ascii="Arial" w:hAnsi="Arial" w:cs="Arial"/>
          <w:color w:val="000000"/>
          <w:sz w:val="20"/>
          <w:szCs w:val="20"/>
          <w:lang w:eastAsia="sl-SI"/>
        </w:rPr>
        <w:t>i</w:t>
      </w:r>
      <w:r w:rsidRPr="009E3540">
        <w:rPr>
          <w:rFonts w:ascii="Arial" w:hAnsi="Arial" w:cs="Arial"/>
          <w:color w:val="000000"/>
          <w:sz w:val="20"/>
          <w:szCs w:val="20"/>
          <w:lang w:eastAsia="sl-SI"/>
        </w:rPr>
        <w:t xml:space="preserve"> pa ni</w:t>
      </w:r>
      <w:r>
        <w:rPr>
          <w:rFonts w:ascii="Arial" w:hAnsi="Arial" w:cs="Arial"/>
          <w:color w:val="000000"/>
          <w:sz w:val="20"/>
          <w:szCs w:val="20"/>
          <w:lang w:eastAsia="sl-SI"/>
        </w:rPr>
        <w:t>so</w:t>
      </w:r>
      <w:r w:rsidRPr="009E3540">
        <w:rPr>
          <w:rFonts w:ascii="Arial" w:hAnsi="Arial" w:cs="Arial"/>
          <w:color w:val="000000"/>
          <w:sz w:val="20"/>
          <w:szCs w:val="20"/>
          <w:lang w:eastAsia="sl-SI"/>
        </w:rPr>
        <w:t xml:space="preserve"> bil</w:t>
      </w:r>
      <w:r>
        <w:rPr>
          <w:rFonts w:ascii="Arial" w:hAnsi="Arial" w:cs="Arial"/>
          <w:color w:val="000000"/>
          <w:sz w:val="20"/>
          <w:szCs w:val="20"/>
          <w:lang w:eastAsia="sl-SI"/>
        </w:rPr>
        <w:t>e</w:t>
      </w:r>
      <w:r w:rsidRPr="009E3540">
        <w:rPr>
          <w:rFonts w:ascii="Arial" w:hAnsi="Arial" w:cs="Arial"/>
          <w:color w:val="000000"/>
          <w:sz w:val="20"/>
          <w:szCs w:val="20"/>
          <w:lang w:eastAsia="sl-SI"/>
        </w:rPr>
        <w:t xml:space="preserve"> izveden</w:t>
      </w:r>
      <w:r>
        <w:rPr>
          <w:rFonts w:ascii="Arial" w:hAnsi="Arial" w:cs="Arial"/>
          <w:color w:val="000000"/>
          <w:sz w:val="20"/>
          <w:szCs w:val="20"/>
          <w:lang w:eastAsia="sl-SI"/>
        </w:rPr>
        <w:t xml:space="preserve">e. </w:t>
      </w:r>
      <w:r w:rsidRPr="00AC20A8">
        <w:rPr>
          <w:rFonts w:ascii="Arial" w:hAnsi="Arial" w:cs="Arial"/>
          <w:sz w:val="20"/>
          <w:szCs w:val="20"/>
        </w:rPr>
        <w:t xml:space="preserve">Poleg tega se je v letu 2024 </w:t>
      </w:r>
      <w:r>
        <w:rPr>
          <w:rFonts w:ascii="Arial" w:hAnsi="Arial" w:cs="Arial"/>
          <w:sz w:val="20"/>
          <w:szCs w:val="20"/>
        </w:rPr>
        <w:t xml:space="preserve">že </w:t>
      </w:r>
      <w:r w:rsidRPr="00AC20A8">
        <w:rPr>
          <w:rFonts w:ascii="Arial" w:hAnsi="Arial" w:cs="Arial"/>
          <w:sz w:val="20"/>
          <w:szCs w:val="20"/>
        </w:rPr>
        <w:t>začelo izvaja</w:t>
      </w:r>
      <w:r>
        <w:rPr>
          <w:rFonts w:ascii="Arial" w:hAnsi="Arial" w:cs="Arial"/>
          <w:sz w:val="20"/>
          <w:szCs w:val="20"/>
        </w:rPr>
        <w:t>nje</w:t>
      </w:r>
      <w:r w:rsidRPr="00AC20A8">
        <w:rPr>
          <w:rFonts w:ascii="Arial" w:hAnsi="Arial" w:cs="Arial"/>
          <w:sz w:val="20"/>
          <w:szCs w:val="20"/>
        </w:rPr>
        <w:t xml:space="preserve"> 13 strategij oziroma programov s </w:t>
      </w:r>
      <w:r w:rsidR="00E675F4">
        <w:rPr>
          <w:rFonts w:ascii="Arial" w:hAnsi="Arial" w:cs="Arial"/>
          <w:sz w:val="20"/>
          <w:szCs w:val="20"/>
        </w:rPr>
        <w:t xml:space="preserve">sicer </w:t>
      </w:r>
      <w:r w:rsidRPr="00AC20A8">
        <w:rPr>
          <w:rFonts w:ascii="Arial" w:hAnsi="Arial" w:cs="Arial"/>
          <w:sz w:val="20"/>
          <w:szCs w:val="20"/>
        </w:rPr>
        <w:t>kasnej</w:t>
      </w:r>
      <w:r>
        <w:rPr>
          <w:rFonts w:ascii="Arial" w:hAnsi="Arial" w:cs="Arial"/>
          <w:sz w:val="20"/>
          <w:szCs w:val="20"/>
        </w:rPr>
        <w:t>e načrtovano iz</w:t>
      </w:r>
      <w:r w:rsidRPr="00AC20A8">
        <w:rPr>
          <w:rFonts w:ascii="Arial" w:hAnsi="Arial" w:cs="Arial"/>
          <w:sz w:val="20"/>
          <w:szCs w:val="20"/>
        </w:rPr>
        <w:t>vedbo.</w:t>
      </w:r>
    </w:p>
    <w:p w14:paraId="647E2054" w14:textId="77777777" w:rsidR="009433E0" w:rsidRDefault="009433E0" w:rsidP="009433E0">
      <w:pPr>
        <w:autoSpaceDE w:val="0"/>
        <w:autoSpaceDN w:val="0"/>
        <w:adjustRightInd w:val="0"/>
        <w:spacing w:after="0" w:line="276" w:lineRule="auto"/>
        <w:jc w:val="both"/>
        <w:rPr>
          <w:rFonts w:ascii="Arial" w:hAnsi="Arial" w:cs="Arial"/>
          <w:sz w:val="20"/>
          <w:szCs w:val="20"/>
        </w:rPr>
      </w:pPr>
    </w:p>
    <w:p w14:paraId="55AB14D9" w14:textId="11260F4E" w:rsidR="009433E0" w:rsidRDefault="009433E0" w:rsidP="009433E0">
      <w:pPr>
        <w:autoSpaceDE w:val="0"/>
        <w:autoSpaceDN w:val="0"/>
        <w:adjustRightInd w:val="0"/>
        <w:spacing w:after="0" w:line="276" w:lineRule="auto"/>
        <w:jc w:val="both"/>
        <w:rPr>
          <w:rFonts w:ascii="Arial" w:hAnsi="Arial" w:cs="Arial"/>
          <w:color w:val="000000"/>
          <w:sz w:val="20"/>
          <w:szCs w:val="20"/>
          <w:lang w:eastAsia="sl-SI"/>
        </w:rPr>
      </w:pPr>
      <w:r>
        <w:rPr>
          <w:rFonts w:ascii="Arial" w:hAnsi="Arial" w:cs="Arial"/>
          <w:color w:val="000000"/>
          <w:sz w:val="20"/>
          <w:szCs w:val="20"/>
          <w:lang w:eastAsia="sl-SI"/>
        </w:rPr>
        <w:t xml:space="preserve">V letu 2025 je delovna skupina za oblikovanje </w:t>
      </w:r>
      <w:r w:rsidRPr="008315AA">
        <w:rPr>
          <w:rFonts w:ascii="Arial" w:hAnsi="Arial" w:cs="Arial"/>
          <w:b/>
          <w:color w:val="000000"/>
          <w:sz w:val="20"/>
          <w:szCs w:val="20"/>
          <w:lang w:eastAsia="sl-SI"/>
        </w:rPr>
        <w:t>Resolucije o dolgoročnem razvojnem programu policije v obdobju 2026</w:t>
      </w:r>
      <w:r w:rsidR="00E675F4">
        <w:rPr>
          <w:rFonts w:ascii="Arial" w:hAnsi="Arial" w:cs="Arial"/>
          <w:b/>
          <w:color w:val="000000"/>
          <w:sz w:val="20"/>
          <w:szCs w:val="20"/>
          <w:lang w:eastAsia="sl-SI"/>
        </w:rPr>
        <w:t>–</w:t>
      </w:r>
      <w:r w:rsidRPr="008315AA">
        <w:rPr>
          <w:rFonts w:ascii="Arial" w:hAnsi="Arial" w:cs="Arial"/>
          <w:b/>
          <w:color w:val="000000"/>
          <w:sz w:val="20"/>
          <w:szCs w:val="20"/>
          <w:lang w:eastAsia="sl-SI"/>
        </w:rPr>
        <w:t>2035</w:t>
      </w:r>
      <w:r>
        <w:rPr>
          <w:rFonts w:ascii="Arial" w:hAnsi="Arial" w:cs="Arial"/>
          <w:color w:val="000000"/>
          <w:sz w:val="20"/>
          <w:szCs w:val="20"/>
          <w:lang w:eastAsia="sl-SI"/>
        </w:rPr>
        <w:t xml:space="preserve">, sestavljena iz strokovnjakov notranjih organizacijskih enot </w:t>
      </w:r>
      <w:r w:rsidR="003A3D81">
        <w:rPr>
          <w:rFonts w:ascii="Arial" w:hAnsi="Arial" w:cs="Arial"/>
          <w:color w:val="000000"/>
          <w:sz w:val="20"/>
          <w:szCs w:val="20"/>
          <w:lang w:eastAsia="sl-SI"/>
        </w:rPr>
        <w:t xml:space="preserve">MNZ </w:t>
      </w:r>
      <w:r>
        <w:rPr>
          <w:rFonts w:ascii="Arial" w:hAnsi="Arial" w:cs="Arial"/>
          <w:color w:val="000000"/>
          <w:sz w:val="20"/>
          <w:szCs w:val="20"/>
          <w:lang w:eastAsia="sl-SI"/>
        </w:rPr>
        <w:t>in Generalne policijske uprave</w:t>
      </w:r>
      <w:r w:rsidR="00EF1CB0">
        <w:rPr>
          <w:rFonts w:ascii="Arial" w:hAnsi="Arial" w:cs="Arial"/>
          <w:color w:val="000000"/>
          <w:sz w:val="20"/>
          <w:szCs w:val="20"/>
          <w:lang w:eastAsia="sl-SI"/>
        </w:rPr>
        <w:t xml:space="preserve"> (GPU)</w:t>
      </w:r>
      <w:r>
        <w:rPr>
          <w:rFonts w:ascii="Arial" w:hAnsi="Arial" w:cs="Arial"/>
          <w:color w:val="000000"/>
          <w:sz w:val="20"/>
          <w:szCs w:val="20"/>
          <w:lang w:eastAsia="sl-SI"/>
        </w:rPr>
        <w:t xml:space="preserve">, zaključila delo. Resolucija, ki </w:t>
      </w:r>
      <w:r w:rsidR="00E675F4">
        <w:rPr>
          <w:rFonts w:ascii="Arial" w:hAnsi="Arial" w:cs="Arial"/>
          <w:color w:val="000000"/>
          <w:sz w:val="20"/>
          <w:szCs w:val="20"/>
          <w:lang w:eastAsia="sl-SI"/>
        </w:rPr>
        <w:t>ure</w:t>
      </w:r>
      <w:r>
        <w:rPr>
          <w:rFonts w:ascii="Arial" w:hAnsi="Arial" w:cs="Arial"/>
          <w:color w:val="000000"/>
          <w:sz w:val="20"/>
          <w:szCs w:val="20"/>
          <w:lang w:eastAsia="sl-SI"/>
        </w:rPr>
        <w:t>ja vire in pogoje za nadaljnji razvoj slovenske policije do leta 2035 ter opredeljuje njene dolgoročne cilje in razvojne pr</w:t>
      </w:r>
      <w:r w:rsidR="00E675F4">
        <w:rPr>
          <w:rFonts w:ascii="Arial" w:hAnsi="Arial" w:cs="Arial"/>
          <w:color w:val="000000"/>
          <w:sz w:val="20"/>
          <w:szCs w:val="20"/>
          <w:lang w:eastAsia="sl-SI"/>
        </w:rPr>
        <w:t>ednostne nalog</w:t>
      </w:r>
      <w:r>
        <w:rPr>
          <w:rFonts w:ascii="Arial" w:hAnsi="Arial" w:cs="Arial"/>
          <w:color w:val="000000"/>
          <w:sz w:val="20"/>
          <w:szCs w:val="20"/>
          <w:lang w:eastAsia="sl-SI"/>
        </w:rPr>
        <w:t>e v tem obdobju, je bila sprejeta v Državnem zboru R</w:t>
      </w:r>
      <w:r w:rsidR="00E675F4">
        <w:rPr>
          <w:rFonts w:ascii="Arial" w:hAnsi="Arial" w:cs="Arial"/>
          <w:color w:val="000000"/>
          <w:sz w:val="20"/>
          <w:szCs w:val="20"/>
          <w:lang w:eastAsia="sl-SI"/>
        </w:rPr>
        <w:t xml:space="preserve">epublike </w:t>
      </w:r>
      <w:r>
        <w:rPr>
          <w:rFonts w:ascii="Arial" w:hAnsi="Arial" w:cs="Arial"/>
          <w:color w:val="000000"/>
          <w:sz w:val="20"/>
          <w:szCs w:val="20"/>
          <w:lang w:eastAsia="sl-SI"/>
        </w:rPr>
        <w:t>S</w:t>
      </w:r>
      <w:r w:rsidR="00E675F4">
        <w:rPr>
          <w:rFonts w:ascii="Arial" w:hAnsi="Arial" w:cs="Arial"/>
          <w:color w:val="000000"/>
          <w:sz w:val="20"/>
          <w:szCs w:val="20"/>
          <w:lang w:eastAsia="sl-SI"/>
        </w:rPr>
        <w:t>lovenije</w:t>
      </w:r>
      <w:r>
        <w:rPr>
          <w:rFonts w:ascii="Arial" w:hAnsi="Arial" w:cs="Arial"/>
          <w:color w:val="000000"/>
          <w:sz w:val="20"/>
          <w:szCs w:val="20"/>
          <w:lang w:eastAsia="sl-SI"/>
        </w:rPr>
        <w:t>.</w:t>
      </w:r>
    </w:p>
    <w:p w14:paraId="33EA34D6" w14:textId="3CEE0F21" w:rsidR="00AF5B41" w:rsidRPr="00D83239" w:rsidRDefault="00AF5B41" w:rsidP="00D83239">
      <w:pPr>
        <w:spacing w:after="0" w:line="276" w:lineRule="auto"/>
        <w:jc w:val="both"/>
        <w:rPr>
          <w:rFonts w:ascii="Arial" w:hAnsi="Arial" w:cs="Arial"/>
          <w:sz w:val="20"/>
          <w:szCs w:val="20"/>
          <w:highlight w:val="yellow"/>
        </w:rPr>
      </w:pPr>
    </w:p>
    <w:p w14:paraId="48A44BA8" w14:textId="4F29E333" w:rsidR="00AF5B41" w:rsidRPr="00EF35DE" w:rsidRDefault="00931F5F" w:rsidP="00D83239">
      <w:pPr>
        <w:spacing w:after="0" w:line="276" w:lineRule="auto"/>
        <w:jc w:val="both"/>
        <w:rPr>
          <w:rFonts w:ascii="Arial" w:hAnsi="Arial" w:cs="Arial"/>
          <w:sz w:val="20"/>
          <w:szCs w:val="20"/>
        </w:rPr>
      </w:pPr>
      <w:r w:rsidRPr="00EF35DE">
        <w:rPr>
          <w:rFonts w:ascii="Arial" w:hAnsi="Arial" w:cs="Arial"/>
          <w:sz w:val="20"/>
          <w:szCs w:val="20"/>
        </w:rPr>
        <w:t>K zagotavljanju</w:t>
      </w:r>
      <w:r w:rsidR="00AF5B41" w:rsidRPr="00EF35DE">
        <w:rPr>
          <w:rFonts w:ascii="Arial" w:hAnsi="Arial" w:cs="Arial"/>
          <w:sz w:val="20"/>
          <w:szCs w:val="20"/>
        </w:rPr>
        <w:t xml:space="preserve"> javne varnosti, dobrososedskih odnosov in upravljanja migracij je </w:t>
      </w:r>
      <w:r w:rsidR="00342556" w:rsidRPr="00EF35DE">
        <w:rPr>
          <w:rFonts w:ascii="Arial" w:hAnsi="Arial" w:cs="Arial"/>
          <w:sz w:val="20"/>
          <w:szCs w:val="20"/>
        </w:rPr>
        <w:t xml:space="preserve">MNZ prispevalo z </w:t>
      </w:r>
      <w:r w:rsidR="00342556" w:rsidRPr="00EF35DE">
        <w:rPr>
          <w:rFonts w:ascii="Arial" w:hAnsi="Arial" w:cs="Arial"/>
          <w:b/>
          <w:sz w:val="20"/>
          <w:szCs w:val="20"/>
        </w:rPr>
        <w:t xml:space="preserve">izvajanjem številnih </w:t>
      </w:r>
      <w:r w:rsidR="004966FE" w:rsidRPr="00EF35DE">
        <w:rPr>
          <w:rFonts w:ascii="Arial" w:hAnsi="Arial" w:cs="Arial"/>
          <w:b/>
          <w:sz w:val="20"/>
          <w:szCs w:val="20"/>
        </w:rPr>
        <w:t xml:space="preserve">dejavnosti </w:t>
      </w:r>
      <w:r w:rsidR="00342556" w:rsidRPr="00EF35DE">
        <w:rPr>
          <w:rFonts w:ascii="Arial" w:hAnsi="Arial" w:cs="Arial"/>
          <w:b/>
          <w:sz w:val="20"/>
          <w:szCs w:val="20"/>
        </w:rPr>
        <w:t>na področju mednarodnega sodelovanja</w:t>
      </w:r>
      <w:r w:rsidR="00AF5B41" w:rsidRPr="00EF35DE">
        <w:rPr>
          <w:rFonts w:ascii="Arial" w:hAnsi="Arial" w:cs="Arial"/>
          <w:sz w:val="20"/>
          <w:szCs w:val="20"/>
        </w:rPr>
        <w:t xml:space="preserve"> na dvostranski, regionalni </w:t>
      </w:r>
      <w:r w:rsidR="00465FD0" w:rsidRPr="00EF35DE">
        <w:rPr>
          <w:rFonts w:ascii="Arial" w:hAnsi="Arial" w:cs="Arial"/>
          <w:sz w:val="20"/>
          <w:szCs w:val="20"/>
        </w:rPr>
        <w:t xml:space="preserve">in </w:t>
      </w:r>
      <w:r w:rsidR="00342556" w:rsidRPr="00EF35DE">
        <w:rPr>
          <w:rFonts w:ascii="Arial" w:hAnsi="Arial" w:cs="Arial"/>
          <w:sz w:val="20"/>
          <w:szCs w:val="20"/>
        </w:rPr>
        <w:t xml:space="preserve">večstranski ravni. </w:t>
      </w:r>
      <w:r w:rsidR="00141D17" w:rsidRPr="00EF35DE">
        <w:rPr>
          <w:rFonts w:ascii="Arial" w:hAnsi="Arial" w:cs="Arial"/>
          <w:sz w:val="20"/>
          <w:szCs w:val="20"/>
        </w:rPr>
        <w:t>P</w:t>
      </w:r>
      <w:r w:rsidR="00AF5B41" w:rsidRPr="00EF35DE">
        <w:rPr>
          <w:rFonts w:ascii="Arial" w:hAnsi="Arial" w:cs="Arial"/>
          <w:sz w:val="20"/>
          <w:szCs w:val="20"/>
        </w:rPr>
        <w:t>omembno je</w:t>
      </w:r>
      <w:r w:rsidR="00141D17" w:rsidRPr="00EF35DE">
        <w:rPr>
          <w:rFonts w:ascii="Arial" w:hAnsi="Arial" w:cs="Arial"/>
          <w:sz w:val="20"/>
          <w:szCs w:val="20"/>
        </w:rPr>
        <w:t xml:space="preserve"> predvsem</w:t>
      </w:r>
      <w:r w:rsidR="00AF5B41" w:rsidRPr="00EF35DE">
        <w:rPr>
          <w:rFonts w:ascii="Arial" w:hAnsi="Arial" w:cs="Arial"/>
          <w:sz w:val="20"/>
          <w:szCs w:val="20"/>
        </w:rPr>
        <w:t xml:space="preserve"> </w:t>
      </w:r>
      <w:r w:rsidR="00465FD0" w:rsidRPr="00EF35DE">
        <w:rPr>
          <w:rFonts w:ascii="Arial" w:hAnsi="Arial" w:cs="Arial"/>
          <w:sz w:val="20"/>
          <w:szCs w:val="20"/>
        </w:rPr>
        <w:t xml:space="preserve">dejavno </w:t>
      </w:r>
      <w:r w:rsidR="00AF5B41" w:rsidRPr="00EF35DE">
        <w:rPr>
          <w:rFonts w:ascii="Arial" w:hAnsi="Arial" w:cs="Arial"/>
          <w:sz w:val="20"/>
          <w:szCs w:val="20"/>
        </w:rPr>
        <w:t xml:space="preserve">delovanje v okviru Evropske unije (EU), saj </w:t>
      </w:r>
      <w:r w:rsidR="00465FD0" w:rsidRPr="00EF35DE">
        <w:rPr>
          <w:rFonts w:ascii="Arial" w:hAnsi="Arial" w:cs="Arial"/>
          <w:sz w:val="20"/>
          <w:szCs w:val="20"/>
        </w:rPr>
        <w:t xml:space="preserve">sta </w:t>
      </w:r>
      <w:r w:rsidR="00AF5B41" w:rsidRPr="00EF35DE">
        <w:rPr>
          <w:rFonts w:ascii="Arial" w:hAnsi="Arial" w:cs="Arial"/>
          <w:sz w:val="20"/>
          <w:szCs w:val="20"/>
        </w:rPr>
        <w:t>oblikovanje zakonodaje in sodelovanje na področju notranjih zadev ključn</w:t>
      </w:r>
      <w:r w:rsidR="00465FD0" w:rsidRPr="00EF35DE">
        <w:rPr>
          <w:rFonts w:ascii="Arial" w:hAnsi="Arial" w:cs="Arial"/>
          <w:sz w:val="20"/>
          <w:szCs w:val="20"/>
        </w:rPr>
        <w:t>a</w:t>
      </w:r>
      <w:r w:rsidR="00AF5B41" w:rsidRPr="00EF35DE">
        <w:rPr>
          <w:rFonts w:ascii="Arial" w:hAnsi="Arial" w:cs="Arial"/>
          <w:sz w:val="20"/>
          <w:szCs w:val="20"/>
        </w:rPr>
        <w:t xml:space="preserve"> za zagotavljanj</w:t>
      </w:r>
      <w:r w:rsidR="009703BB" w:rsidRPr="00EF35DE">
        <w:rPr>
          <w:rFonts w:ascii="Arial" w:hAnsi="Arial" w:cs="Arial"/>
          <w:sz w:val="20"/>
          <w:szCs w:val="20"/>
        </w:rPr>
        <w:t>e stabilnega in varnega okolja.</w:t>
      </w:r>
    </w:p>
    <w:p w14:paraId="1E4218FC" w14:textId="77777777" w:rsidR="001B0FB9" w:rsidRPr="00EF35DE" w:rsidRDefault="001B0FB9" w:rsidP="00D83239">
      <w:pPr>
        <w:spacing w:after="0" w:line="276" w:lineRule="auto"/>
        <w:jc w:val="both"/>
        <w:rPr>
          <w:rFonts w:ascii="Arial" w:hAnsi="Arial" w:cs="Arial"/>
          <w:sz w:val="20"/>
          <w:szCs w:val="20"/>
        </w:rPr>
      </w:pPr>
    </w:p>
    <w:p w14:paraId="15E95F28" w14:textId="7C9D3CC7" w:rsidR="003D1907" w:rsidRPr="00EF35DE" w:rsidRDefault="009429A4" w:rsidP="00D83239">
      <w:pPr>
        <w:spacing w:after="0" w:line="276" w:lineRule="auto"/>
        <w:jc w:val="both"/>
        <w:rPr>
          <w:rFonts w:ascii="Arial" w:hAnsi="Arial" w:cs="Arial"/>
          <w:sz w:val="20"/>
          <w:szCs w:val="20"/>
        </w:rPr>
      </w:pPr>
      <w:r w:rsidRPr="00EF35DE">
        <w:rPr>
          <w:rFonts w:ascii="Arial" w:hAnsi="Arial" w:cs="Arial"/>
          <w:sz w:val="20"/>
          <w:szCs w:val="20"/>
        </w:rPr>
        <w:t xml:space="preserve">MNZ je skrbelo za koordinacijo </w:t>
      </w:r>
      <w:r w:rsidR="004966FE" w:rsidRPr="00EF35DE">
        <w:rPr>
          <w:rFonts w:ascii="Arial" w:hAnsi="Arial" w:cs="Arial"/>
          <w:sz w:val="20"/>
          <w:szCs w:val="20"/>
        </w:rPr>
        <w:t xml:space="preserve">dejavnosti </w:t>
      </w:r>
      <w:r w:rsidRPr="00EF35DE">
        <w:rPr>
          <w:rFonts w:ascii="Arial" w:hAnsi="Arial" w:cs="Arial"/>
          <w:sz w:val="20"/>
          <w:szCs w:val="20"/>
        </w:rPr>
        <w:t>na področju preprečevanja trgovine z ljudmi in boja proti njej na ravni države ter zagotavljalo izvajanje programov pomoči žrtvam trgov</w:t>
      </w:r>
      <w:r w:rsidR="003A3D81">
        <w:rPr>
          <w:rFonts w:ascii="Arial" w:hAnsi="Arial" w:cs="Arial"/>
          <w:sz w:val="20"/>
          <w:szCs w:val="20"/>
        </w:rPr>
        <w:t>ine</w:t>
      </w:r>
      <w:r w:rsidRPr="00EF35DE">
        <w:rPr>
          <w:rFonts w:ascii="Arial" w:hAnsi="Arial" w:cs="Arial"/>
          <w:sz w:val="20"/>
          <w:szCs w:val="20"/>
        </w:rPr>
        <w:t>.</w:t>
      </w:r>
    </w:p>
    <w:p w14:paraId="39EC2B6B" w14:textId="33661847" w:rsidR="00DC6B16" w:rsidRPr="00EF35DE" w:rsidRDefault="00DC6B16" w:rsidP="00D83239">
      <w:pPr>
        <w:spacing w:after="0" w:line="276" w:lineRule="auto"/>
        <w:jc w:val="both"/>
        <w:rPr>
          <w:rFonts w:ascii="Arial" w:hAnsi="Arial" w:cs="Arial"/>
          <w:sz w:val="20"/>
          <w:szCs w:val="20"/>
        </w:rPr>
      </w:pPr>
    </w:p>
    <w:p w14:paraId="2202D5BD" w14:textId="620FF89C" w:rsidR="009433E0" w:rsidRPr="00891AEB" w:rsidRDefault="009433E0" w:rsidP="009433E0">
      <w:pPr>
        <w:autoSpaceDE w:val="0"/>
        <w:autoSpaceDN w:val="0"/>
        <w:adjustRightInd w:val="0"/>
        <w:spacing w:after="0" w:line="276" w:lineRule="auto"/>
        <w:jc w:val="both"/>
        <w:rPr>
          <w:rFonts w:ascii="Arial" w:hAnsi="Arial" w:cs="Arial"/>
          <w:sz w:val="20"/>
          <w:szCs w:val="20"/>
          <w:lang w:eastAsia="sl-SI"/>
        </w:rPr>
      </w:pPr>
      <w:r w:rsidRPr="00891AEB">
        <w:rPr>
          <w:rFonts w:ascii="Arial" w:hAnsi="Arial" w:cs="Arial"/>
          <w:sz w:val="20"/>
          <w:szCs w:val="20"/>
          <w:lang w:eastAsia="sl-SI"/>
        </w:rPr>
        <w:t xml:space="preserve">Pri </w:t>
      </w:r>
      <w:r w:rsidRPr="008138D1">
        <w:rPr>
          <w:rFonts w:ascii="Arial" w:hAnsi="Arial" w:cs="Arial"/>
          <w:b/>
          <w:sz w:val="20"/>
          <w:szCs w:val="20"/>
          <w:lang w:eastAsia="sl-SI"/>
        </w:rPr>
        <w:t>komuniciranju z zunanjo in notranjo javnostjo</w:t>
      </w:r>
      <w:r w:rsidR="008138D1">
        <w:rPr>
          <w:rFonts w:ascii="Arial" w:hAnsi="Arial" w:cs="Arial"/>
          <w:sz w:val="20"/>
          <w:szCs w:val="20"/>
          <w:lang w:eastAsia="sl-SI"/>
        </w:rPr>
        <w:t xml:space="preserve"> so v letu 2025</w:t>
      </w:r>
      <w:r w:rsidRPr="00891AEB">
        <w:rPr>
          <w:rFonts w:ascii="Arial" w:hAnsi="Arial" w:cs="Arial"/>
          <w:sz w:val="20"/>
          <w:szCs w:val="20"/>
          <w:lang w:eastAsia="sl-SI"/>
        </w:rPr>
        <w:t xml:space="preserve"> najbolj izstopala naslednja delovna področja MNZ: migracije, tujska zakonodaja, vzpostavitev ponovnega začasnega nadzora na notranji schengenski meji s Hrvaško in</w:t>
      </w:r>
      <w:r w:rsidR="00891AEB" w:rsidRPr="00891AEB">
        <w:rPr>
          <w:rFonts w:ascii="Arial" w:hAnsi="Arial" w:cs="Arial"/>
          <w:sz w:val="20"/>
          <w:szCs w:val="20"/>
          <w:lang w:eastAsia="sl-SI"/>
        </w:rPr>
        <w:t xml:space="preserve"> Madžarsko, romska tematika, </w:t>
      </w:r>
      <w:r w:rsidRPr="00891AEB">
        <w:rPr>
          <w:rFonts w:ascii="Arial" w:hAnsi="Arial" w:cs="Arial"/>
          <w:sz w:val="20"/>
          <w:szCs w:val="20"/>
          <w:lang w:eastAsia="sl-SI"/>
        </w:rPr>
        <w:t>nadzori nad del</w:t>
      </w:r>
      <w:r w:rsidR="00891AEB" w:rsidRPr="00891AEB">
        <w:rPr>
          <w:rFonts w:ascii="Arial" w:hAnsi="Arial" w:cs="Arial"/>
          <w:sz w:val="20"/>
          <w:szCs w:val="20"/>
          <w:lang w:eastAsia="sl-SI"/>
        </w:rPr>
        <w:t xml:space="preserve">om policije in izdane usmeritve ter </w:t>
      </w:r>
      <w:r w:rsidR="00891AEB" w:rsidRPr="00891AEB">
        <w:rPr>
          <w:rFonts w:ascii="Arial" w:hAnsi="Arial" w:cs="Arial"/>
          <w:sz w:val="20"/>
          <w:szCs w:val="20"/>
        </w:rPr>
        <w:t>abolicija orožja, ki je bila omogočena z dopolnitvijo Zakona o orožju</w:t>
      </w:r>
      <w:r w:rsidR="00891AEB" w:rsidRPr="00891AEB">
        <w:rPr>
          <w:rFonts w:ascii="Arial" w:hAnsi="Arial" w:cs="Arial"/>
          <w:sz w:val="20"/>
          <w:szCs w:val="20"/>
          <w:lang w:eastAsia="sl-SI"/>
        </w:rPr>
        <w:t xml:space="preserve">. </w:t>
      </w:r>
      <w:r w:rsidRPr="00891AEB">
        <w:rPr>
          <w:rFonts w:ascii="Arial" w:hAnsi="Arial" w:cs="Arial"/>
          <w:sz w:val="20"/>
          <w:szCs w:val="20"/>
          <w:lang w:eastAsia="sl-SI"/>
        </w:rPr>
        <w:t xml:space="preserve">Posebna pozornost je bila namenjena obravnavi vseh vrst nasilja (nasilje v družini, </w:t>
      </w:r>
      <w:proofErr w:type="spellStart"/>
      <w:r w:rsidRPr="00891AEB">
        <w:rPr>
          <w:rFonts w:ascii="Arial" w:hAnsi="Arial" w:cs="Arial"/>
          <w:sz w:val="20"/>
          <w:szCs w:val="20"/>
          <w:lang w:eastAsia="sl-SI"/>
        </w:rPr>
        <w:t>femicid</w:t>
      </w:r>
      <w:proofErr w:type="spellEnd"/>
      <w:r w:rsidRPr="00891AEB">
        <w:rPr>
          <w:rFonts w:ascii="Arial" w:hAnsi="Arial" w:cs="Arial"/>
          <w:sz w:val="20"/>
          <w:szCs w:val="20"/>
          <w:lang w:eastAsia="sl-SI"/>
        </w:rPr>
        <w:t xml:space="preserve">, spolne zlorabe žensk in otrok, </w:t>
      </w:r>
      <w:proofErr w:type="spellStart"/>
      <w:r w:rsidRPr="00891AEB">
        <w:rPr>
          <w:rFonts w:ascii="Arial" w:hAnsi="Arial" w:cs="Arial"/>
          <w:sz w:val="20"/>
          <w:szCs w:val="20"/>
          <w:lang w:eastAsia="sl-SI"/>
        </w:rPr>
        <w:t>medvrstniško</w:t>
      </w:r>
      <w:proofErr w:type="spellEnd"/>
      <w:r w:rsidRPr="00891AEB">
        <w:rPr>
          <w:rFonts w:ascii="Arial" w:hAnsi="Arial" w:cs="Arial"/>
          <w:sz w:val="20"/>
          <w:szCs w:val="20"/>
          <w:lang w:eastAsia="sl-SI"/>
        </w:rPr>
        <w:t xml:space="preserve"> nasilje). </w:t>
      </w:r>
    </w:p>
    <w:p w14:paraId="3B34C1EB" w14:textId="77777777" w:rsidR="009433E0" w:rsidRPr="00891AEB" w:rsidRDefault="009433E0" w:rsidP="009433E0">
      <w:pPr>
        <w:autoSpaceDE w:val="0"/>
        <w:autoSpaceDN w:val="0"/>
        <w:adjustRightInd w:val="0"/>
        <w:spacing w:after="0" w:line="276" w:lineRule="auto"/>
        <w:jc w:val="both"/>
        <w:rPr>
          <w:rFonts w:ascii="Arial" w:hAnsi="Arial" w:cs="Arial"/>
          <w:sz w:val="20"/>
          <w:szCs w:val="20"/>
          <w:lang w:eastAsia="sl-SI"/>
        </w:rPr>
      </w:pPr>
    </w:p>
    <w:p w14:paraId="4E760A9D" w14:textId="063962E1" w:rsidR="000D05FC" w:rsidRPr="00F36695" w:rsidRDefault="000D05FC" w:rsidP="000D05FC">
      <w:pPr>
        <w:spacing w:after="0" w:line="276" w:lineRule="auto"/>
        <w:jc w:val="both"/>
        <w:rPr>
          <w:rFonts w:ascii="Arial" w:hAnsi="Arial" w:cs="Arial"/>
          <w:sz w:val="20"/>
          <w:szCs w:val="20"/>
        </w:rPr>
      </w:pPr>
      <w:r w:rsidRPr="00F36695">
        <w:rPr>
          <w:rFonts w:ascii="Arial" w:hAnsi="Arial" w:cs="Arial"/>
          <w:sz w:val="20"/>
          <w:szCs w:val="20"/>
        </w:rPr>
        <w:t xml:space="preserve">MNZ se je v okviru </w:t>
      </w:r>
      <w:r w:rsidRPr="00F36695">
        <w:rPr>
          <w:rFonts w:ascii="Arial" w:hAnsi="Arial" w:cs="Arial"/>
          <w:b/>
          <w:sz w:val="20"/>
          <w:szCs w:val="20"/>
        </w:rPr>
        <w:t>sodelovanja z drugimi državnimi institucijam</w:t>
      </w:r>
      <w:r w:rsidRPr="00F36695">
        <w:rPr>
          <w:rFonts w:ascii="Arial" w:hAnsi="Arial" w:cs="Arial"/>
          <w:sz w:val="20"/>
          <w:szCs w:val="20"/>
        </w:rPr>
        <w:t xml:space="preserve">i udeleževalo številnih sklicanih sej delovnih teles in plenarnih zasedanj v Državnem zboru Republike Slovenije in Državnem svetu Republike Slovenije, če so bile obravnavane zadeve iz pristojnosti MNZ. Med obravnavanimi predlogi so bili tako zakoni in drugi akti, ki jih je predlagala Vlada Republike Slovenije, kot tudi zakoni, ki so jih predlagali poslanci in so se nanašali na pristojnosti MNZ. </w:t>
      </w:r>
    </w:p>
    <w:p w14:paraId="2181FCE2" w14:textId="77777777" w:rsidR="000D05FC" w:rsidRPr="00F36695" w:rsidRDefault="000D05FC" w:rsidP="000D05FC">
      <w:pPr>
        <w:autoSpaceDE w:val="0"/>
        <w:autoSpaceDN w:val="0"/>
        <w:adjustRightInd w:val="0"/>
        <w:spacing w:after="0" w:line="276" w:lineRule="auto"/>
        <w:jc w:val="both"/>
        <w:rPr>
          <w:rFonts w:ascii="Arial" w:hAnsi="Arial" w:cs="Arial"/>
          <w:sz w:val="20"/>
          <w:szCs w:val="20"/>
        </w:rPr>
      </w:pPr>
    </w:p>
    <w:p w14:paraId="12CF2765" w14:textId="2BAB4CAE" w:rsidR="000D05FC" w:rsidRPr="00F36695" w:rsidRDefault="000D05FC" w:rsidP="000D05FC">
      <w:pPr>
        <w:autoSpaceDE w:val="0"/>
        <w:autoSpaceDN w:val="0"/>
        <w:adjustRightInd w:val="0"/>
        <w:spacing w:after="0" w:line="276" w:lineRule="auto"/>
        <w:jc w:val="both"/>
        <w:rPr>
          <w:rFonts w:ascii="Arial" w:hAnsi="Arial" w:cs="Arial"/>
          <w:sz w:val="20"/>
          <w:szCs w:val="20"/>
        </w:rPr>
      </w:pPr>
      <w:r w:rsidRPr="00F36695">
        <w:rPr>
          <w:rFonts w:ascii="Arial" w:hAnsi="Arial" w:cs="Arial"/>
          <w:sz w:val="20"/>
          <w:szCs w:val="20"/>
        </w:rPr>
        <w:t>V letu 202</w:t>
      </w:r>
      <w:r>
        <w:rPr>
          <w:rFonts w:ascii="Arial" w:hAnsi="Arial" w:cs="Arial"/>
          <w:sz w:val="20"/>
          <w:szCs w:val="20"/>
        </w:rPr>
        <w:t>5</w:t>
      </w:r>
      <w:r w:rsidRPr="00F36695">
        <w:rPr>
          <w:rFonts w:ascii="Arial" w:hAnsi="Arial" w:cs="Arial"/>
          <w:sz w:val="20"/>
          <w:szCs w:val="20"/>
        </w:rPr>
        <w:t xml:space="preserve"> je MNZ </w:t>
      </w:r>
      <w:r w:rsidRPr="00F36695">
        <w:rPr>
          <w:rFonts w:ascii="Arial" w:hAnsi="Arial" w:cs="Arial"/>
          <w:b/>
          <w:sz w:val="20"/>
          <w:szCs w:val="20"/>
        </w:rPr>
        <w:t>vodilo več medresorskih in vladnih delovnih skupin</w:t>
      </w:r>
      <w:r w:rsidRPr="00F36695">
        <w:rPr>
          <w:rFonts w:ascii="Arial" w:hAnsi="Arial" w:cs="Arial"/>
          <w:sz w:val="20"/>
          <w:szCs w:val="20"/>
        </w:rPr>
        <w:t xml:space="preserve"> na področju varovanja, migracij, boja proti trgovini z ljudmi, preprečevanja in zatiranja kriminalitete, upravljanja meja, romske problematike i</w:t>
      </w:r>
      <w:r w:rsidR="00E675F4">
        <w:rPr>
          <w:rFonts w:ascii="Arial" w:hAnsi="Arial" w:cs="Arial"/>
          <w:sz w:val="20"/>
          <w:szCs w:val="20"/>
        </w:rPr>
        <w:t>n drugih</w:t>
      </w:r>
      <w:r w:rsidRPr="00F36695">
        <w:rPr>
          <w:rFonts w:ascii="Arial" w:hAnsi="Arial" w:cs="Arial"/>
          <w:sz w:val="20"/>
          <w:szCs w:val="20"/>
        </w:rPr>
        <w:t>.</w:t>
      </w:r>
    </w:p>
    <w:p w14:paraId="3027177F" w14:textId="77777777" w:rsidR="000D05FC" w:rsidRPr="00F36695" w:rsidRDefault="000D05FC" w:rsidP="000D05FC">
      <w:pPr>
        <w:spacing w:after="0" w:line="276" w:lineRule="auto"/>
        <w:jc w:val="both"/>
        <w:rPr>
          <w:rFonts w:ascii="Arial" w:hAnsi="Arial" w:cs="Arial"/>
          <w:sz w:val="20"/>
          <w:szCs w:val="20"/>
        </w:rPr>
      </w:pPr>
    </w:p>
    <w:p w14:paraId="66BD39C0" w14:textId="39ED8EF0" w:rsidR="000D05FC" w:rsidRPr="00F36695" w:rsidRDefault="00E675F4" w:rsidP="000D05FC">
      <w:pPr>
        <w:spacing w:after="0" w:line="276" w:lineRule="auto"/>
        <w:jc w:val="both"/>
        <w:rPr>
          <w:rFonts w:ascii="Arial" w:hAnsi="Arial" w:cs="Arial"/>
          <w:sz w:val="20"/>
          <w:szCs w:val="20"/>
        </w:rPr>
      </w:pPr>
      <w:r>
        <w:rPr>
          <w:rFonts w:ascii="Arial" w:hAnsi="Arial" w:cs="Arial"/>
          <w:sz w:val="20"/>
          <w:szCs w:val="20"/>
        </w:rPr>
        <w:t>Naves</w:t>
      </w:r>
      <w:r w:rsidR="000D05FC" w:rsidRPr="00F36695">
        <w:rPr>
          <w:rFonts w:ascii="Arial" w:hAnsi="Arial" w:cs="Arial"/>
          <w:sz w:val="20"/>
          <w:szCs w:val="20"/>
        </w:rPr>
        <w:t xml:space="preserve">ti je treba tudi sodelovanje MNZ na številnih sejah, na katerih so bile obravnavane teme, vezane </w:t>
      </w:r>
      <w:r w:rsidR="000D05FC">
        <w:rPr>
          <w:rFonts w:ascii="Arial" w:hAnsi="Arial" w:cs="Arial"/>
          <w:sz w:val="20"/>
          <w:szCs w:val="20"/>
        </w:rPr>
        <w:t>predvsem na</w:t>
      </w:r>
      <w:r w:rsidR="000D05FC" w:rsidRPr="00F36695">
        <w:rPr>
          <w:rFonts w:ascii="Arial" w:hAnsi="Arial" w:cs="Arial"/>
          <w:sz w:val="20"/>
          <w:szCs w:val="20"/>
        </w:rPr>
        <w:t xml:space="preserve"> </w:t>
      </w:r>
      <w:r w:rsidR="000D05FC">
        <w:rPr>
          <w:rFonts w:ascii="Arial" w:hAnsi="Arial" w:cs="Arial"/>
          <w:sz w:val="20"/>
          <w:szCs w:val="20"/>
        </w:rPr>
        <w:t>zagotavljanje varnosti v Sloveniji</w:t>
      </w:r>
      <w:r w:rsidR="000D05FC" w:rsidRPr="00F36695">
        <w:rPr>
          <w:rFonts w:ascii="Arial" w:hAnsi="Arial" w:cs="Arial"/>
          <w:sz w:val="20"/>
          <w:szCs w:val="20"/>
        </w:rPr>
        <w:t xml:space="preserve">, romsko problematiko in </w:t>
      </w:r>
      <w:r w:rsidR="000D05FC">
        <w:rPr>
          <w:rFonts w:ascii="Arial" w:hAnsi="Arial" w:cs="Arial"/>
          <w:sz w:val="20"/>
          <w:szCs w:val="20"/>
        </w:rPr>
        <w:t>problematiko nakupa helikopterjev za izvajanje nujne medicinske pomoči</w:t>
      </w:r>
      <w:r w:rsidR="000D05FC" w:rsidRPr="00F36695">
        <w:rPr>
          <w:rFonts w:ascii="Arial" w:hAnsi="Arial" w:cs="Arial"/>
          <w:sz w:val="20"/>
          <w:szCs w:val="20"/>
        </w:rPr>
        <w:t xml:space="preserve">. </w:t>
      </w:r>
    </w:p>
    <w:p w14:paraId="045D7A0F" w14:textId="77777777" w:rsidR="000D05FC" w:rsidRPr="00F36695" w:rsidRDefault="000D05FC" w:rsidP="000D05FC">
      <w:pPr>
        <w:spacing w:after="0" w:line="276" w:lineRule="auto"/>
        <w:jc w:val="both"/>
        <w:rPr>
          <w:rFonts w:ascii="Arial" w:hAnsi="Arial" w:cs="Arial"/>
          <w:sz w:val="20"/>
          <w:szCs w:val="20"/>
        </w:rPr>
      </w:pPr>
    </w:p>
    <w:p w14:paraId="112035DE" w14:textId="77777777" w:rsidR="000D05FC" w:rsidRPr="00F36695" w:rsidRDefault="000D05FC" w:rsidP="000D05FC">
      <w:pPr>
        <w:spacing w:after="0" w:line="276" w:lineRule="auto"/>
        <w:jc w:val="both"/>
        <w:rPr>
          <w:rFonts w:ascii="Arial" w:hAnsi="Arial" w:cs="Arial"/>
          <w:sz w:val="20"/>
          <w:szCs w:val="20"/>
        </w:rPr>
      </w:pPr>
      <w:r w:rsidRPr="00F36695">
        <w:rPr>
          <w:rFonts w:ascii="Arial" w:hAnsi="Arial" w:cs="Arial"/>
          <w:sz w:val="20"/>
          <w:szCs w:val="20"/>
        </w:rPr>
        <w:t xml:space="preserve">MNZ je pripravilo številne odgovore oziroma sodelovalo pri pripravi odgovorov na poslanska vprašanja, ki so bila naslovljena na Vlado Republike Slovenije in dodeljena v pripravo MNZ kot nosilcu oziroma sodelujočemu ministrstvu. </w:t>
      </w:r>
    </w:p>
    <w:p w14:paraId="1BBF43C4" w14:textId="77777777" w:rsidR="000D05FC" w:rsidRPr="00F36695" w:rsidRDefault="000D05FC" w:rsidP="000D05FC">
      <w:pPr>
        <w:spacing w:after="0" w:line="276" w:lineRule="auto"/>
        <w:jc w:val="both"/>
        <w:rPr>
          <w:rFonts w:ascii="Arial" w:hAnsi="Arial" w:cs="Arial"/>
          <w:sz w:val="20"/>
          <w:szCs w:val="20"/>
        </w:rPr>
      </w:pPr>
    </w:p>
    <w:p w14:paraId="13977FF0" w14:textId="48808A24" w:rsidR="000D05FC" w:rsidRPr="001B7B89" w:rsidRDefault="000D05FC" w:rsidP="000D05FC">
      <w:pPr>
        <w:spacing w:after="0" w:line="276" w:lineRule="auto"/>
        <w:jc w:val="both"/>
        <w:rPr>
          <w:rFonts w:ascii="Arial" w:hAnsi="Arial" w:cs="Arial"/>
          <w:sz w:val="20"/>
          <w:szCs w:val="20"/>
        </w:rPr>
      </w:pPr>
      <w:r>
        <w:rPr>
          <w:rFonts w:ascii="Arial" w:hAnsi="Arial" w:cs="Arial"/>
          <w:sz w:val="20"/>
          <w:szCs w:val="20"/>
        </w:rPr>
        <w:t>Na poslanska vprašanja</w:t>
      </w:r>
      <w:r w:rsidR="00E675F4">
        <w:rPr>
          <w:rFonts w:ascii="Arial" w:hAnsi="Arial" w:cs="Arial"/>
          <w:sz w:val="20"/>
          <w:szCs w:val="20"/>
        </w:rPr>
        <w:t>,</w:t>
      </w:r>
      <w:r>
        <w:rPr>
          <w:rFonts w:ascii="Arial" w:hAnsi="Arial" w:cs="Arial"/>
          <w:sz w:val="20"/>
          <w:szCs w:val="20"/>
        </w:rPr>
        <w:t xml:space="preserve"> naslovljena na ministra za notranje zadeve</w:t>
      </w:r>
      <w:r w:rsidR="00E675F4">
        <w:rPr>
          <w:rFonts w:ascii="Arial" w:hAnsi="Arial" w:cs="Arial"/>
          <w:sz w:val="20"/>
          <w:szCs w:val="20"/>
        </w:rPr>
        <w:t>,</w:t>
      </w:r>
      <w:r>
        <w:rPr>
          <w:rFonts w:ascii="Arial" w:hAnsi="Arial" w:cs="Arial"/>
          <w:sz w:val="20"/>
          <w:szCs w:val="20"/>
        </w:rPr>
        <w:t xml:space="preserve"> sta v letu 2025 odgovarjala dva ministra</w:t>
      </w:r>
      <w:r w:rsidR="00E675F4">
        <w:rPr>
          <w:rFonts w:ascii="Arial" w:hAnsi="Arial" w:cs="Arial"/>
          <w:sz w:val="20"/>
          <w:szCs w:val="20"/>
        </w:rPr>
        <w:t>,</w:t>
      </w:r>
      <w:r>
        <w:rPr>
          <w:rFonts w:ascii="Arial" w:hAnsi="Arial" w:cs="Arial"/>
          <w:sz w:val="20"/>
          <w:szCs w:val="20"/>
        </w:rPr>
        <w:t xml:space="preserve"> in sicer do 21. 11. 2025 Boštjan Poklukar, od tega datuma naprej pa Branko Zlobko.</w:t>
      </w:r>
    </w:p>
    <w:p w14:paraId="3613C379" w14:textId="77777777" w:rsidR="000D05FC" w:rsidRPr="001B7B89" w:rsidRDefault="000D05FC" w:rsidP="000D05FC">
      <w:pPr>
        <w:spacing w:after="0" w:line="276" w:lineRule="auto"/>
        <w:jc w:val="both"/>
        <w:rPr>
          <w:rFonts w:ascii="Arial" w:hAnsi="Arial" w:cs="Arial"/>
          <w:sz w:val="20"/>
          <w:szCs w:val="20"/>
        </w:rPr>
      </w:pPr>
    </w:p>
    <w:p w14:paraId="2F3ED605" w14:textId="77777777" w:rsidR="000D05FC" w:rsidRDefault="000D05FC" w:rsidP="000D05FC">
      <w:pPr>
        <w:spacing w:after="0" w:line="276" w:lineRule="auto"/>
        <w:jc w:val="both"/>
        <w:rPr>
          <w:rFonts w:ascii="Arial" w:hAnsi="Arial" w:cs="Arial"/>
          <w:sz w:val="20"/>
          <w:szCs w:val="20"/>
        </w:rPr>
      </w:pPr>
      <w:r w:rsidRPr="001B7B89">
        <w:rPr>
          <w:rFonts w:ascii="Arial" w:hAnsi="Arial" w:cs="Arial"/>
          <w:sz w:val="20"/>
          <w:szCs w:val="20"/>
        </w:rPr>
        <w:t>Minister za notranje zadeve Boštjan Poklukar je v letu 202</w:t>
      </w:r>
      <w:r>
        <w:rPr>
          <w:rFonts w:ascii="Arial" w:hAnsi="Arial" w:cs="Arial"/>
          <w:sz w:val="20"/>
          <w:szCs w:val="20"/>
        </w:rPr>
        <w:t>5</w:t>
      </w:r>
      <w:r w:rsidRPr="001B7B89">
        <w:rPr>
          <w:rFonts w:ascii="Arial" w:hAnsi="Arial" w:cs="Arial"/>
          <w:sz w:val="20"/>
          <w:szCs w:val="20"/>
        </w:rPr>
        <w:t xml:space="preserve"> odgovoril na 14</w:t>
      </w:r>
      <w:r>
        <w:rPr>
          <w:rFonts w:ascii="Arial" w:hAnsi="Arial" w:cs="Arial"/>
          <w:sz w:val="20"/>
          <w:szCs w:val="20"/>
        </w:rPr>
        <w:t>5</w:t>
      </w:r>
      <w:r w:rsidRPr="001B7B89">
        <w:rPr>
          <w:rFonts w:ascii="Arial" w:hAnsi="Arial" w:cs="Arial"/>
          <w:sz w:val="20"/>
          <w:szCs w:val="20"/>
        </w:rPr>
        <w:t xml:space="preserve"> pisnih poslanskih vprašanj, </w:t>
      </w:r>
      <w:r>
        <w:rPr>
          <w:rFonts w:ascii="Arial" w:hAnsi="Arial" w:cs="Arial"/>
          <w:sz w:val="20"/>
          <w:szCs w:val="20"/>
        </w:rPr>
        <w:t>3</w:t>
      </w:r>
      <w:r w:rsidRPr="001B7B89">
        <w:rPr>
          <w:rFonts w:ascii="Arial" w:hAnsi="Arial" w:cs="Arial"/>
          <w:sz w:val="20"/>
          <w:szCs w:val="20"/>
        </w:rPr>
        <w:t xml:space="preserve"> pisn</w:t>
      </w:r>
      <w:r>
        <w:rPr>
          <w:rFonts w:ascii="Arial" w:hAnsi="Arial" w:cs="Arial"/>
          <w:sz w:val="20"/>
          <w:szCs w:val="20"/>
        </w:rPr>
        <w:t>e</w:t>
      </w:r>
      <w:r w:rsidRPr="001B7B89">
        <w:rPr>
          <w:rFonts w:ascii="Arial" w:hAnsi="Arial" w:cs="Arial"/>
          <w:sz w:val="20"/>
          <w:szCs w:val="20"/>
        </w:rPr>
        <w:t xml:space="preserve"> poslansk</w:t>
      </w:r>
      <w:r>
        <w:rPr>
          <w:rFonts w:ascii="Arial" w:hAnsi="Arial" w:cs="Arial"/>
          <w:sz w:val="20"/>
          <w:szCs w:val="20"/>
        </w:rPr>
        <w:t>e</w:t>
      </w:r>
      <w:r w:rsidRPr="001B7B89">
        <w:rPr>
          <w:rFonts w:ascii="Arial" w:hAnsi="Arial" w:cs="Arial"/>
          <w:sz w:val="20"/>
          <w:szCs w:val="20"/>
        </w:rPr>
        <w:t xml:space="preserve"> pobud</w:t>
      </w:r>
      <w:r>
        <w:rPr>
          <w:rFonts w:ascii="Arial" w:hAnsi="Arial" w:cs="Arial"/>
          <w:sz w:val="20"/>
          <w:szCs w:val="20"/>
        </w:rPr>
        <w:t>e</w:t>
      </w:r>
      <w:r w:rsidRPr="001B7B89">
        <w:rPr>
          <w:rFonts w:ascii="Arial" w:hAnsi="Arial" w:cs="Arial"/>
          <w:sz w:val="20"/>
          <w:szCs w:val="20"/>
        </w:rPr>
        <w:t xml:space="preserve"> ter 1</w:t>
      </w:r>
      <w:r>
        <w:rPr>
          <w:rFonts w:ascii="Arial" w:hAnsi="Arial" w:cs="Arial"/>
          <w:sz w:val="20"/>
          <w:szCs w:val="20"/>
        </w:rPr>
        <w:t>3</w:t>
      </w:r>
      <w:r w:rsidRPr="001B7B89">
        <w:rPr>
          <w:rFonts w:ascii="Arial" w:hAnsi="Arial" w:cs="Arial"/>
          <w:sz w:val="20"/>
          <w:szCs w:val="20"/>
        </w:rPr>
        <w:t xml:space="preserve"> ustnih poslanskih vprašanj, ki so bila naslovljena osebno nanj. </w:t>
      </w:r>
    </w:p>
    <w:p w14:paraId="18A54839" w14:textId="77777777" w:rsidR="000D05FC" w:rsidRDefault="000D05FC" w:rsidP="000D05FC">
      <w:pPr>
        <w:spacing w:after="0" w:line="276" w:lineRule="auto"/>
        <w:jc w:val="both"/>
        <w:rPr>
          <w:rFonts w:ascii="Arial" w:hAnsi="Arial" w:cs="Arial"/>
          <w:sz w:val="20"/>
          <w:szCs w:val="20"/>
        </w:rPr>
      </w:pPr>
    </w:p>
    <w:p w14:paraId="17D07459" w14:textId="2E57F326" w:rsidR="000D05FC" w:rsidRPr="001B7B89" w:rsidRDefault="000D05FC" w:rsidP="000D05FC">
      <w:pPr>
        <w:spacing w:after="0" w:line="276" w:lineRule="auto"/>
        <w:jc w:val="both"/>
        <w:rPr>
          <w:rFonts w:ascii="Arial" w:hAnsi="Arial" w:cs="Arial"/>
          <w:sz w:val="20"/>
          <w:szCs w:val="20"/>
        </w:rPr>
      </w:pPr>
      <w:r w:rsidRPr="001B7B89">
        <w:rPr>
          <w:rFonts w:ascii="Arial" w:hAnsi="Arial" w:cs="Arial"/>
          <w:sz w:val="20"/>
          <w:szCs w:val="20"/>
        </w:rPr>
        <w:t>Minister za notranje zadeve B</w:t>
      </w:r>
      <w:r>
        <w:rPr>
          <w:rFonts w:ascii="Arial" w:hAnsi="Arial" w:cs="Arial"/>
          <w:sz w:val="20"/>
          <w:szCs w:val="20"/>
        </w:rPr>
        <w:t xml:space="preserve">ranko Zlobko pa </w:t>
      </w:r>
      <w:r w:rsidRPr="001B7B89">
        <w:rPr>
          <w:rFonts w:ascii="Arial" w:hAnsi="Arial" w:cs="Arial"/>
          <w:sz w:val="20"/>
          <w:szCs w:val="20"/>
        </w:rPr>
        <w:t xml:space="preserve">je </w:t>
      </w:r>
      <w:r>
        <w:rPr>
          <w:rFonts w:ascii="Arial" w:hAnsi="Arial" w:cs="Arial"/>
          <w:sz w:val="20"/>
          <w:szCs w:val="20"/>
        </w:rPr>
        <w:t>od 21. 11. 2025, ko je prevzel vodenje ministrstva</w:t>
      </w:r>
      <w:r w:rsidR="00557A39">
        <w:rPr>
          <w:rFonts w:ascii="Arial" w:hAnsi="Arial" w:cs="Arial"/>
          <w:sz w:val="20"/>
          <w:szCs w:val="20"/>
        </w:rPr>
        <w:t>,</w:t>
      </w:r>
      <w:r>
        <w:rPr>
          <w:rFonts w:ascii="Arial" w:hAnsi="Arial" w:cs="Arial"/>
          <w:sz w:val="20"/>
          <w:szCs w:val="20"/>
        </w:rPr>
        <w:t xml:space="preserve"> </w:t>
      </w:r>
      <w:r w:rsidRPr="001B7B89">
        <w:rPr>
          <w:rFonts w:ascii="Arial" w:hAnsi="Arial" w:cs="Arial"/>
          <w:sz w:val="20"/>
          <w:szCs w:val="20"/>
        </w:rPr>
        <w:t xml:space="preserve">odgovoril na </w:t>
      </w:r>
      <w:r>
        <w:rPr>
          <w:rFonts w:ascii="Arial" w:hAnsi="Arial" w:cs="Arial"/>
          <w:sz w:val="20"/>
          <w:szCs w:val="20"/>
        </w:rPr>
        <w:t>29</w:t>
      </w:r>
      <w:r w:rsidRPr="001B7B89">
        <w:rPr>
          <w:rFonts w:ascii="Arial" w:hAnsi="Arial" w:cs="Arial"/>
          <w:sz w:val="20"/>
          <w:szCs w:val="20"/>
        </w:rPr>
        <w:t xml:space="preserve"> pisnih poslanskih vprašanj</w:t>
      </w:r>
      <w:r>
        <w:rPr>
          <w:rFonts w:ascii="Arial" w:hAnsi="Arial" w:cs="Arial"/>
          <w:sz w:val="20"/>
          <w:szCs w:val="20"/>
        </w:rPr>
        <w:t xml:space="preserve"> in 4 u</w:t>
      </w:r>
      <w:r w:rsidRPr="001B7B89">
        <w:rPr>
          <w:rFonts w:ascii="Arial" w:hAnsi="Arial" w:cs="Arial"/>
          <w:sz w:val="20"/>
          <w:szCs w:val="20"/>
        </w:rPr>
        <w:t>stn</w:t>
      </w:r>
      <w:r>
        <w:rPr>
          <w:rFonts w:ascii="Arial" w:hAnsi="Arial" w:cs="Arial"/>
          <w:sz w:val="20"/>
          <w:szCs w:val="20"/>
        </w:rPr>
        <w:t>a</w:t>
      </w:r>
      <w:r w:rsidRPr="001B7B89">
        <w:rPr>
          <w:rFonts w:ascii="Arial" w:hAnsi="Arial" w:cs="Arial"/>
          <w:sz w:val="20"/>
          <w:szCs w:val="20"/>
        </w:rPr>
        <w:t xml:space="preserve"> poslansk</w:t>
      </w:r>
      <w:r>
        <w:rPr>
          <w:rFonts w:ascii="Arial" w:hAnsi="Arial" w:cs="Arial"/>
          <w:sz w:val="20"/>
          <w:szCs w:val="20"/>
        </w:rPr>
        <w:t>a</w:t>
      </w:r>
      <w:r w:rsidRPr="001B7B89">
        <w:rPr>
          <w:rFonts w:ascii="Arial" w:hAnsi="Arial" w:cs="Arial"/>
          <w:sz w:val="20"/>
          <w:szCs w:val="20"/>
        </w:rPr>
        <w:t xml:space="preserve"> vprašanj</w:t>
      </w:r>
      <w:r>
        <w:rPr>
          <w:rFonts w:ascii="Arial" w:hAnsi="Arial" w:cs="Arial"/>
          <w:sz w:val="20"/>
          <w:szCs w:val="20"/>
        </w:rPr>
        <w:t>a</w:t>
      </w:r>
      <w:r w:rsidRPr="001B7B89">
        <w:rPr>
          <w:rFonts w:ascii="Arial" w:hAnsi="Arial" w:cs="Arial"/>
          <w:sz w:val="20"/>
          <w:szCs w:val="20"/>
        </w:rPr>
        <w:t xml:space="preserve">, ki so bila naslovljena osebno nanj. </w:t>
      </w:r>
    </w:p>
    <w:p w14:paraId="330C324E" w14:textId="77777777" w:rsidR="000D05FC" w:rsidRPr="001B7B89" w:rsidRDefault="000D05FC" w:rsidP="000D05FC">
      <w:pPr>
        <w:spacing w:after="0" w:line="276" w:lineRule="auto"/>
        <w:jc w:val="both"/>
        <w:rPr>
          <w:rFonts w:ascii="Arial" w:hAnsi="Arial" w:cs="Arial"/>
          <w:sz w:val="20"/>
          <w:szCs w:val="20"/>
        </w:rPr>
      </w:pPr>
    </w:p>
    <w:p w14:paraId="75F2A81C" w14:textId="63BC19B2" w:rsidR="000D05FC" w:rsidRPr="001B7B89" w:rsidRDefault="000D05FC" w:rsidP="000D05FC">
      <w:pPr>
        <w:spacing w:after="0" w:line="276" w:lineRule="auto"/>
        <w:jc w:val="both"/>
        <w:rPr>
          <w:rFonts w:ascii="Arial" w:hAnsi="Arial" w:cs="Arial"/>
          <w:sz w:val="20"/>
          <w:szCs w:val="20"/>
        </w:rPr>
      </w:pPr>
      <w:r w:rsidRPr="001B7B89">
        <w:rPr>
          <w:rFonts w:ascii="Arial" w:hAnsi="Arial" w:cs="Arial"/>
          <w:sz w:val="20"/>
          <w:szCs w:val="20"/>
        </w:rPr>
        <w:t>Poslanska vprašanja so se najpogosteje nanašala na zagotavljanje varnosti</w:t>
      </w:r>
      <w:r>
        <w:rPr>
          <w:rFonts w:ascii="Arial" w:hAnsi="Arial" w:cs="Arial"/>
          <w:sz w:val="20"/>
          <w:szCs w:val="20"/>
        </w:rPr>
        <w:t xml:space="preserve"> v Sloveniji</w:t>
      </w:r>
      <w:r w:rsidRPr="001B7B89">
        <w:rPr>
          <w:rFonts w:ascii="Arial" w:hAnsi="Arial" w:cs="Arial"/>
          <w:sz w:val="20"/>
          <w:szCs w:val="20"/>
        </w:rPr>
        <w:t xml:space="preserve">, </w:t>
      </w:r>
      <w:r>
        <w:rPr>
          <w:rFonts w:ascii="Arial" w:hAnsi="Arial" w:cs="Arial"/>
          <w:sz w:val="20"/>
          <w:szCs w:val="20"/>
        </w:rPr>
        <w:t xml:space="preserve">romsko problematiko, izvajanje postopkov ob nezakonitih prehodih meje, izvajanje zakonov (predvsem Zakona o mednarodni zaščiti, Zakona o javnem redu in miru </w:t>
      </w:r>
      <w:r w:rsidR="00557A39">
        <w:rPr>
          <w:rFonts w:ascii="Arial" w:hAnsi="Arial" w:cs="Arial"/>
          <w:sz w:val="20"/>
          <w:szCs w:val="20"/>
        </w:rPr>
        <w:t xml:space="preserve">ter </w:t>
      </w:r>
      <w:r>
        <w:rPr>
          <w:rFonts w:ascii="Arial" w:hAnsi="Arial" w:cs="Arial"/>
          <w:sz w:val="20"/>
          <w:szCs w:val="20"/>
        </w:rPr>
        <w:t xml:space="preserve">Zakona o nujnih ukrepih za zagotavljanje javne varnosti), </w:t>
      </w:r>
      <w:r w:rsidRPr="001B7B89">
        <w:rPr>
          <w:rFonts w:ascii="Arial" w:hAnsi="Arial" w:cs="Arial"/>
          <w:sz w:val="20"/>
          <w:szCs w:val="20"/>
        </w:rPr>
        <w:t>kadrovsko problematiko v policiji,</w:t>
      </w:r>
      <w:r>
        <w:rPr>
          <w:rFonts w:ascii="Arial" w:hAnsi="Arial" w:cs="Arial"/>
          <w:sz w:val="20"/>
          <w:szCs w:val="20"/>
        </w:rPr>
        <w:t xml:space="preserve"> delovanje Centra za varovanje in zaščito </w:t>
      </w:r>
      <w:r w:rsidR="00557A39">
        <w:rPr>
          <w:rFonts w:ascii="Arial" w:hAnsi="Arial" w:cs="Arial"/>
          <w:sz w:val="20"/>
          <w:szCs w:val="20"/>
        </w:rPr>
        <w:t>ter na</w:t>
      </w:r>
      <w:r w:rsidR="00557A39" w:rsidRPr="001B7B89">
        <w:rPr>
          <w:rFonts w:ascii="Arial" w:hAnsi="Arial" w:cs="Arial"/>
          <w:sz w:val="20"/>
          <w:szCs w:val="20"/>
        </w:rPr>
        <w:t xml:space="preserve"> </w:t>
      </w:r>
      <w:r>
        <w:rPr>
          <w:rFonts w:ascii="Arial" w:hAnsi="Arial" w:cs="Arial"/>
          <w:sz w:val="20"/>
          <w:szCs w:val="20"/>
        </w:rPr>
        <w:t xml:space="preserve">nakup helikopterjev za zagotavljanje </w:t>
      </w:r>
      <w:r w:rsidRPr="001B7B89">
        <w:rPr>
          <w:rFonts w:ascii="Arial" w:hAnsi="Arial" w:cs="Arial"/>
          <w:sz w:val="20"/>
          <w:szCs w:val="20"/>
        </w:rPr>
        <w:t>helikopterske nujne medicinske pomoči.</w:t>
      </w:r>
    </w:p>
    <w:p w14:paraId="07479B24" w14:textId="59805630" w:rsidR="00DB29C1" w:rsidRPr="00D83239" w:rsidRDefault="00DB29C1" w:rsidP="00D83239">
      <w:pPr>
        <w:spacing w:after="0" w:line="276" w:lineRule="auto"/>
        <w:jc w:val="both"/>
        <w:rPr>
          <w:rFonts w:ascii="Arial" w:hAnsi="Arial" w:cs="Arial"/>
          <w:sz w:val="20"/>
          <w:szCs w:val="20"/>
          <w:highlight w:val="yellow"/>
        </w:rPr>
      </w:pPr>
    </w:p>
    <w:p w14:paraId="30F3FC4D" w14:textId="639C0F08" w:rsidR="00D740A2" w:rsidRPr="00D83239" w:rsidRDefault="00590E45" w:rsidP="00D83239">
      <w:pPr>
        <w:pStyle w:val="Naslov1"/>
        <w:spacing w:after="0" w:line="276" w:lineRule="auto"/>
        <w:jc w:val="both"/>
        <w:rPr>
          <w:color w:val="auto"/>
        </w:rPr>
      </w:pPr>
      <w:bookmarkStart w:id="3" w:name="_Toc65591455"/>
      <w:bookmarkStart w:id="4" w:name="_Toc65651006"/>
      <w:bookmarkStart w:id="5" w:name="_Toc225499813"/>
      <w:r w:rsidRPr="00D83239">
        <w:rPr>
          <w:color w:val="auto"/>
        </w:rPr>
        <w:t>Naloge za zagotavljanje javne varnosti v državi</w:t>
      </w:r>
      <w:bookmarkEnd w:id="3"/>
      <w:bookmarkEnd w:id="4"/>
      <w:bookmarkEnd w:id="5"/>
    </w:p>
    <w:p w14:paraId="76FA5F07" w14:textId="2C303836" w:rsidR="00653B9D" w:rsidRPr="00D83239" w:rsidRDefault="00653B9D" w:rsidP="00D83239">
      <w:pPr>
        <w:spacing w:after="0" w:line="276" w:lineRule="auto"/>
        <w:jc w:val="both"/>
        <w:rPr>
          <w:rFonts w:ascii="Arial" w:hAnsi="Arial" w:cs="Arial"/>
          <w:sz w:val="20"/>
          <w:szCs w:val="20"/>
          <w:highlight w:val="yellow"/>
        </w:rPr>
      </w:pPr>
    </w:p>
    <w:p w14:paraId="4D6139C6" w14:textId="53FFD1CC" w:rsidR="00DB29C1" w:rsidRPr="00D83239" w:rsidRDefault="001505AC" w:rsidP="00D83239">
      <w:pPr>
        <w:spacing w:after="0" w:line="276" w:lineRule="auto"/>
        <w:jc w:val="both"/>
        <w:rPr>
          <w:rFonts w:ascii="Arial" w:hAnsi="Arial" w:cs="Arial"/>
          <w:sz w:val="20"/>
          <w:szCs w:val="20"/>
        </w:rPr>
      </w:pPr>
      <w:r w:rsidRPr="00D83239">
        <w:rPr>
          <w:rFonts w:ascii="Arial" w:hAnsi="Arial" w:cs="Arial"/>
          <w:sz w:val="20"/>
          <w:szCs w:val="20"/>
        </w:rPr>
        <w:t>MNZ</w:t>
      </w:r>
      <w:r w:rsidR="00DB29C1" w:rsidRPr="00D83239">
        <w:rPr>
          <w:rFonts w:ascii="Arial" w:hAnsi="Arial" w:cs="Arial"/>
          <w:sz w:val="20"/>
          <w:szCs w:val="20"/>
        </w:rPr>
        <w:t xml:space="preserve"> je skrbelo za sistemsko in strateško urejanje zadev nacionalne varnosti ter uresničevanje politik za </w:t>
      </w:r>
      <w:r w:rsidR="00DB29C1" w:rsidRPr="00D83239">
        <w:rPr>
          <w:rFonts w:ascii="Arial" w:hAnsi="Arial" w:cs="Arial"/>
          <w:b/>
          <w:sz w:val="20"/>
          <w:szCs w:val="20"/>
        </w:rPr>
        <w:t>zagotavljanje notranje varnosti Republike Slovenije in EU</w:t>
      </w:r>
      <w:r w:rsidR="00DB29C1" w:rsidRPr="00D83239">
        <w:rPr>
          <w:rFonts w:ascii="Arial" w:hAnsi="Arial" w:cs="Arial"/>
          <w:sz w:val="20"/>
          <w:szCs w:val="20"/>
        </w:rPr>
        <w:t>.</w:t>
      </w:r>
      <w:r w:rsidR="00DB29C1" w:rsidRPr="00D83239">
        <w:rPr>
          <w:rFonts w:ascii="Arial" w:hAnsi="Arial" w:cs="Arial"/>
          <w:b/>
          <w:sz w:val="20"/>
          <w:szCs w:val="20"/>
        </w:rPr>
        <w:t xml:space="preserve"> </w:t>
      </w:r>
      <w:r w:rsidR="00DB29C1" w:rsidRPr="00D83239">
        <w:rPr>
          <w:rFonts w:ascii="Arial" w:hAnsi="Arial" w:cs="Arial"/>
          <w:sz w:val="20"/>
          <w:szCs w:val="20"/>
        </w:rPr>
        <w:t>Velik del aktivnosti na tem področju v letu 2025 je bil povezan z odzivanjem na aktualne razmere v mednarodnem okolju (vojn</w:t>
      </w:r>
      <w:r w:rsidR="00557A39">
        <w:rPr>
          <w:rFonts w:ascii="Arial" w:hAnsi="Arial" w:cs="Arial"/>
          <w:sz w:val="20"/>
          <w:szCs w:val="20"/>
        </w:rPr>
        <w:t>i</w:t>
      </w:r>
      <w:r w:rsidR="00DB29C1" w:rsidRPr="00D83239">
        <w:rPr>
          <w:rFonts w:ascii="Arial" w:hAnsi="Arial" w:cs="Arial"/>
          <w:sz w:val="20"/>
          <w:szCs w:val="20"/>
        </w:rPr>
        <w:t xml:space="preserve"> na Bližnjem vzhodu in Ukrajini ter priznanje Palestine) in </w:t>
      </w:r>
      <w:r w:rsidR="00557A39">
        <w:rPr>
          <w:rFonts w:ascii="Arial" w:hAnsi="Arial" w:cs="Arial"/>
          <w:sz w:val="20"/>
          <w:szCs w:val="20"/>
        </w:rPr>
        <w:t xml:space="preserve">s </w:t>
      </w:r>
      <w:r w:rsidR="00DB29C1" w:rsidRPr="00D83239">
        <w:rPr>
          <w:rFonts w:ascii="Arial" w:hAnsi="Arial" w:cs="Arial"/>
          <w:sz w:val="20"/>
          <w:szCs w:val="20"/>
        </w:rPr>
        <w:t>krepitvijo nacionalne odpornosti na grožnje sodobnega časa. MNZ je bilo v vlogi upravitelja obrambnega načrta odgovorno za koordinacijo in izvajanje aktivnosti, ki sta mu jih v zvezi s tem naložila vlada in upravitelj obrambnega načrta države, ki je ministrstvo, pristojno za obrambo. Potekala so številna medresorska usklajevanja aktivnosti, nalog in ukrepov. Pripravljali so se elementi ocen ogroženosti na različnih področjih in ocenjevali trendi hibridnih groženj. Izvedene so bile tudi strateško pomembne nacionalne</w:t>
      </w:r>
      <w:r w:rsidR="00B61E93">
        <w:rPr>
          <w:rFonts w:ascii="Arial" w:hAnsi="Arial" w:cs="Arial"/>
          <w:sz w:val="20"/>
          <w:szCs w:val="20"/>
        </w:rPr>
        <w:t xml:space="preserve"> vaje ter vaje</w:t>
      </w:r>
      <w:r w:rsidR="00DB29C1" w:rsidRPr="00D83239">
        <w:rPr>
          <w:rFonts w:ascii="Arial" w:hAnsi="Arial" w:cs="Arial"/>
          <w:sz w:val="20"/>
          <w:szCs w:val="20"/>
        </w:rPr>
        <w:t xml:space="preserve"> EU in </w:t>
      </w:r>
      <w:r w:rsidR="00B54516">
        <w:rPr>
          <w:rFonts w:ascii="Arial" w:hAnsi="Arial" w:cs="Arial"/>
          <w:sz w:val="20"/>
          <w:szCs w:val="20"/>
        </w:rPr>
        <w:t xml:space="preserve">zveze </w:t>
      </w:r>
      <w:r w:rsidR="00DB29C1" w:rsidRPr="00D83239">
        <w:rPr>
          <w:rFonts w:ascii="Arial" w:hAnsi="Arial" w:cs="Arial"/>
          <w:sz w:val="20"/>
          <w:szCs w:val="20"/>
        </w:rPr>
        <w:t xml:space="preserve">NATO s področja kriznega upravljanja ter kibernetske varnosti. </w:t>
      </w:r>
    </w:p>
    <w:p w14:paraId="61C938BC" w14:textId="7199E0A4" w:rsidR="009433E0" w:rsidRPr="00D83239" w:rsidRDefault="009433E0" w:rsidP="009433E0">
      <w:pPr>
        <w:pStyle w:val="datumtevilka"/>
        <w:spacing w:line="276" w:lineRule="auto"/>
        <w:jc w:val="both"/>
        <w:rPr>
          <w:rFonts w:cs="Arial"/>
          <w:b/>
          <w:u w:val="single"/>
        </w:rPr>
      </w:pPr>
      <w:r w:rsidRPr="00D83239">
        <w:rPr>
          <w:rFonts w:cs="Arial"/>
          <w:b/>
          <w:u w:val="single"/>
        </w:rPr>
        <w:t>Normativna in analitska dejavnost</w:t>
      </w:r>
    </w:p>
    <w:p w14:paraId="7F926420" w14:textId="77777777" w:rsidR="009433E0" w:rsidRPr="00D83239" w:rsidRDefault="009433E0" w:rsidP="009433E0">
      <w:pPr>
        <w:pStyle w:val="datumtevilka"/>
        <w:spacing w:line="276" w:lineRule="auto"/>
        <w:jc w:val="both"/>
        <w:rPr>
          <w:rFonts w:cs="Arial"/>
          <w:b/>
          <w:u w:val="single"/>
        </w:rPr>
      </w:pPr>
    </w:p>
    <w:p w14:paraId="2E182C0B" w14:textId="53224028" w:rsidR="009433E0" w:rsidRPr="00D83239" w:rsidRDefault="009433E0" w:rsidP="009433E0">
      <w:pPr>
        <w:spacing w:after="0" w:line="276" w:lineRule="auto"/>
        <w:jc w:val="both"/>
        <w:rPr>
          <w:rFonts w:ascii="Arial" w:hAnsi="Arial" w:cs="Arial"/>
          <w:sz w:val="20"/>
          <w:szCs w:val="20"/>
          <w:highlight w:val="yellow"/>
        </w:rPr>
      </w:pPr>
      <w:r w:rsidRPr="00D83239">
        <w:rPr>
          <w:rFonts w:ascii="Arial" w:hAnsi="Arial" w:cs="Arial"/>
          <w:sz w:val="20"/>
          <w:szCs w:val="20"/>
        </w:rPr>
        <w:t xml:space="preserve">S področja </w:t>
      </w:r>
      <w:r w:rsidRPr="00D83239">
        <w:rPr>
          <w:rFonts w:ascii="Arial" w:hAnsi="Arial" w:cs="Arial"/>
          <w:b/>
          <w:sz w:val="20"/>
          <w:szCs w:val="20"/>
        </w:rPr>
        <w:t>policije in drugih varnostnih nalog</w:t>
      </w:r>
      <w:r w:rsidRPr="00D83239">
        <w:rPr>
          <w:rFonts w:ascii="Arial" w:hAnsi="Arial" w:cs="Arial"/>
          <w:sz w:val="20"/>
          <w:szCs w:val="20"/>
        </w:rPr>
        <w:t xml:space="preserve"> je MNZ pripravilo predlog </w:t>
      </w:r>
      <w:r w:rsidRPr="00D83239">
        <w:rPr>
          <w:rFonts w:ascii="Arial" w:eastAsia="Times New Roman" w:hAnsi="Arial" w:cs="Arial"/>
          <w:b/>
          <w:bCs/>
          <w:iCs/>
          <w:sz w:val="20"/>
          <w:szCs w:val="20"/>
        </w:rPr>
        <w:t xml:space="preserve">Zakona o spremembah in dopolnitvah Zakona o nalogah in pooblastilih policije </w:t>
      </w:r>
      <w:r w:rsidRPr="00F85721">
        <w:rPr>
          <w:rFonts w:ascii="Arial" w:eastAsia="Times New Roman" w:hAnsi="Arial" w:cs="Arial"/>
          <w:iCs/>
          <w:sz w:val="20"/>
          <w:szCs w:val="20"/>
        </w:rPr>
        <w:t>–</w:t>
      </w:r>
      <w:r w:rsidRPr="00D83239">
        <w:rPr>
          <w:rFonts w:ascii="Arial" w:eastAsia="Times New Roman" w:hAnsi="Arial" w:cs="Arial"/>
          <w:b/>
          <w:iCs/>
          <w:sz w:val="20"/>
          <w:szCs w:val="20"/>
        </w:rPr>
        <w:t xml:space="preserve"> </w:t>
      </w:r>
      <w:proofErr w:type="spellStart"/>
      <w:r w:rsidRPr="00D83239">
        <w:rPr>
          <w:rFonts w:ascii="Arial" w:eastAsia="Times New Roman" w:hAnsi="Arial" w:cs="Arial"/>
          <w:b/>
          <w:iCs/>
          <w:sz w:val="20"/>
          <w:szCs w:val="20"/>
        </w:rPr>
        <w:t>ZNPPol</w:t>
      </w:r>
      <w:proofErr w:type="spellEnd"/>
      <w:r w:rsidRPr="00D83239">
        <w:rPr>
          <w:rFonts w:ascii="Arial" w:eastAsia="Times New Roman" w:hAnsi="Arial" w:cs="Arial"/>
          <w:b/>
          <w:iCs/>
          <w:sz w:val="20"/>
          <w:szCs w:val="20"/>
        </w:rPr>
        <w:t xml:space="preserve">-C </w:t>
      </w:r>
      <w:r w:rsidRPr="00F85721">
        <w:rPr>
          <w:rFonts w:ascii="Arial" w:eastAsia="Times New Roman" w:hAnsi="Arial" w:cs="Arial"/>
          <w:iCs/>
          <w:sz w:val="20"/>
          <w:szCs w:val="20"/>
        </w:rPr>
        <w:t>(</w:t>
      </w:r>
      <w:r w:rsidRPr="00D83239">
        <w:rPr>
          <w:rFonts w:ascii="Arial" w:eastAsia="Times New Roman" w:hAnsi="Arial" w:cs="Arial"/>
          <w:bCs/>
          <w:iCs/>
          <w:sz w:val="20"/>
          <w:szCs w:val="20"/>
        </w:rPr>
        <w:t>Uradni list RS, št. 8/2</w:t>
      </w:r>
      <w:r w:rsidRPr="00687629">
        <w:rPr>
          <w:rFonts w:ascii="Arial" w:eastAsia="Times New Roman" w:hAnsi="Arial" w:cs="Arial"/>
          <w:bCs/>
          <w:iCs/>
          <w:sz w:val="20"/>
          <w:szCs w:val="20"/>
        </w:rPr>
        <w:t>5),</w:t>
      </w:r>
      <w:r w:rsidRPr="00D83239">
        <w:rPr>
          <w:rFonts w:ascii="Arial" w:eastAsia="Times New Roman" w:hAnsi="Arial" w:cs="Arial"/>
          <w:iCs/>
          <w:sz w:val="20"/>
          <w:szCs w:val="20"/>
        </w:rPr>
        <w:t xml:space="preserve"> ki je bil sprejet 30. 1. 2025 in se uporablja od 26. 2. 2025. Novela zakona je usklajena s pravom Evropske unije, sodno prakso Sodišča EU, odločbo Ustavnega sodišča </w:t>
      </w:r>
      <w:r w:rsidR="00B61E93">
        <w:rPr>
          <w:rFonts w:ascii="Arial" w:eastAsia="Times New Roman" w:hAnsi="Arial" w:cs="Arial"/>
          <w:iCs/>
          <w:sz w:val="20"/>
          <w:szCs w:val="20"/>
        </w:rPr>
        <w:t xml:space="preserve">Republike Slovenije </w:t>
      </w:r>
      <w:r w:rsidRPr="00D83239">
        <w:rPr>
          <w:rFonts w:ascii="Arial" w:eastAsia="Times New Roman" w:hAnsi="Arial" w:cs="Arial"/>
          <w:iCs/>
          <w:sz w:val="20"/>
          <w:szCs w:val="20"/>
        </w:rPr>
        <w:t xml:space="preserve">v zadevi Up-26/19, U-I-227/19 glede ukrepa prepovedi približevanja določeni osebi, kraju ali območju in </w:t>
      </w:r>
      <w:r w:rsidR="006E4973">
        <w:rPr>
          <w:rFonts w:ascii="Arial" w:eastAsia="Times New Roman" w:hAnsi="Arial" w:cs="Arial"/>
          <w:iCs/>
          <w:sz w:val="20"/>
          <w:szCs w:val="20"/>
        </w:rPr>
        <w:t xml:space="preserve">z </w:t>
      </w:r>
      <w:r w:rsidRPr="00D83239">
        <w:rPr>
          <w:rFonts w:ascii="Arial" w:hAnsi="Arial" w:cs="Arial"/>
          <w:sz w:val="20"/>
          <w:szCs w:val="20"/>
        </w:rPr>
        <w:t xml:space="preserve">zahtevo Informacijskega pooblaščenca </w:t>
      </w:r>
      <w:r w:rsidR="00B61E93">
        <w:rPr>
          <w:rFonts w:ascii="Arial" w:hAnsi="Arial" w:cs="Arial"/>
          <w:sz w:val="20"/>
          <w:szCs w:val="20"/>
        </w:rPr>
        <w:t xml:space="preserve">Republike Slovenije </w:t>
      </w:r>
      <w:r w:rsidRPr="00D83239">
        <w:rPr>
          <w:rFonts w:ascii="Arial" w:hAnsi="Arial" w:cs="Arial"/>
          <w:sz w:val="20"/>
          <w:szCs w:val="20"/>
        </w:rPr>
        <w:t>za oceno ustavnosti, in sicer glede nesorazmernosti rokov hrambe v evidenci kaznivih dejan</w:t>
      </w:r>
      <w:r>
        <w:rPr>
          <w:rFonts w:ascii="Arial" w:hAnsi="Arial" w:cs="Arial"/>
          <w:sz w:val="20"/>
          <w:szCs w:val="20"/>
        </w:rPr>
        <w:t>j</w:t>
      </w:r>
      <w:r w:rsidRPr="00D83239">
        <w:rPr>
          <w:rFonts w:ascii="Arial" w:hAnsi="Arial" w:cs="Arial"/>
          <w:sz w:val="20"/>
          <w:szCs w:val="20"/>
        </w:rPr>
        <w:t xml:space="preserve">. Novela zakona </w:t>
      </w:r>
      <w:r w:rsidRPr="00D83239">
        <w:rPr>
          <w:rFonts w:ascii="Arial" w:eastAsia="Times New Roman" w:hAnsi="Arial" w:cs="Arial"/>
          <w:iCs/>
          <w:sz w:val="20"/>
          <w:szCs w:val="20"/>
        </w:rPr>
        <w:t>zagotavlja učinkovitejše delovanje policije pri opravljanju njenih temeljnih zakonskih obveznosti in pri zaščiti žrtev nasilja.</w:t>
      </w:r>
    </w:p>
    <w:p w14:paraId="705E64C1" w14:textId="77777777" w:rsidR="009433E0" w:rsidRPr="00D83239" w:rsidRDefault="009433E0" w:rsidP="009433E0">
      <w:pPr>
        <w:spacing w:after="0" w:line="276" w:lineRule="auto"/>
        <w:jc w:val="both"/>
        <w:rPr>
          <w:rFonts w:ascii="Arial" w:eastAsia="Times New Roman" w:hAnsi="Arial" w:cs="Arial"/>
          <w:iCs/>
          <w:sz w:val="20"/>
          <w:szCs w:val="20"/>
        </w:rPr>
      </w:pPr>
    </w:p>
    <w:p w14:paraId="704C3A3E" w14:textId="3279ED70" w:rsidR="009433E0" w:rsidRDefault="009433E0" w:rsidP="009433E0">
      <w:pPr>
        <w:spacing w:after="0" w:line="276" w:lineRule="auto"/>
        <w:jc w:val="both"/>
        <w:rPr>
          <w:rFonts w:ascii="Arial" w:eastAsia="Times New Roman" w:hAnsi="Arial" w:cs="Arial"/>
          <w:iCs/>
          <w:sz w:val="20"/>
          <w:szCs w:val="20"/>
        </w:rPr>
      </w:pPr>
      <w:r>
        <w:rPr>
          <w:rFonts w:ascii="Arial" w:eastAsia="Times New Roman" w:hAnsi="Arial" w:cs="Arial"/>
          <w:iCs/>
          <w:sz w:val="20"/>
          <w:szCs w:val="20"/>
        </w:rPr>
        <w:t>Na tem področju</w:t>
      </w:r>
      <w:r w:rsidRPr="00D83239">
        <w:rPr>
          <w:rFonts w:ascii="Arial" w:eastAsia="Times New Roman" w:hAnsi="Arial" w:cs="Arial"/>
          <w:iCs/>
          <w:sz w:val="20"/>
          <w:szCs w:val="20"/>
        </w:rPr>
        <w:t xml:space="preserve"> </w:t>
      </w:r>
      <w:r>
        <w:rPr>
          <w:rFonts w:ascii="Arial" w:eastAsia="Times New Roman" w:hAnsi="Arial" w:cs="Arial"/>
          <w:iCs/>
          <w:sz w:val="20"/>
          <w:szCs w:val="20"/>
        </w:rPr>
        <w:t xml:space="preserve">je MNZ </w:t>
      </w:r>
      <w:r w:rsidRPr="00D83239">
        <w:rPr>
          <w:rFonts w:ascii="Arial" w:eastAsia="Times New Roman" w:hAnsi="Arial" w:cs="Arial"/>
          <w:iCs/>
          <w:sz w:val="20"/>
          <w:szCs w:val="20"/>
        </w:rPr>
        <w:t xml:space="preserve">pripravilo </w:t>
      </w:r>
      <w:r>
        <w:rPr>
          <w:rFonts w:ascii="Arial" w:eastAsia="Times New Roman" w:hAnsi="Arial" w:cs="Arial"/>
          <w:iCs/>
          <w:sz w:val="20"/>
          <w:szCs w:val="20"/>
        </w:rPr>
        <w:t xml:space="preserve">tudi </w:t>
      </w:r>
      <w:r w:rsidRPr="00D83239">
        <w:rPr>
          <w:rFonts w:ascii="Arial" w:eastAsia="Times New Roman" w:hAnsi="Arial" w:cs="Arial"/>
          <w:iCs/>
          <w:sz w:val="20"/>
          <w:szCs w:val="20"/>
        </w:rPr>
        <w:t xml:space="preserve">predlog </w:t>
      </w:r>
      <w:r w:rsidRPr="00D83239">
        <w:rPr>
          <w:rFonts w:ascii="Arial" w:eastAsia="Times New Roman" w:hAnsi="Arial" w:cs="Arial"/>
          <w:b/>
          <w:bCs/>
          <w:iCs/>
          <w:sz w:val="20"/>
          <w:szCs w:val="20"/>
        </w:rPr>
        <w:t>Zakona o spremembah in dopolnitvah Zakona o organiziranosti in delu v policiji</w:t>
      </w:r>
      <w:r w:rsidRPr="00D83239">
        <w:rPr>
          <w:rFonts w:ascii="Arial" w:eastAsia="Times New Roman" w:hAnsi="Arial" w:cs="Arial"/>
          <w:iCs/>
          <w:sz w:val="20"/>
          <w:szCs w:val="20"/>
        </w:rPr>
        <w:t xml:space="preserve"> </w:t>
      </w:r>
      <w:r w:rsidRPr="00F85721">
        <w:rPr>
          <w:rFonts w:ascii="Arial" w:eastAsia="Times New Roman" w:hAnsi="Arial" w:cs="Arial"/>
          <w:bCs/>
          <w:iCs/>
          <w:sz w:val="20"/>
          <w:szCs w:val="20"/>
        </w:rPr>
        <w:t>–</w:t>
      </w:r>
      <w:r w:rsidRPr="00D83239">
        <w:rPr>
          <w:rFonts w:ascii="Arial" w:eastAsia="Times New Roman" w:hAnsi="Arial" w:cs="Arial"/>
          <w:b/>
          <w:bCs/>
          <w:iCs/>
          <w:sz w:val="20"/>
          <w:szCs w:val="20"/>
        </w:rPr>
        <w:t xml:space="preserve"> </w:t>
      </w:r>
      <w:proofErr w:type="spellStart"/>
      <w:r w:rsidRPr="00D83239">
        <w:rPr>
          <w:rFonts w:ascii="Arial" w:eastAsia="Times New Roman" w:hAnsi="Arial" w:cs="Arial"/>
          <w:b/>
          <w:bCs/>
          <w:iCs/>
          <w:sz w:val="20"/>
          <w:szCs w:val="20"/>
        </w:rPr>
        <w:t>ZODPol</w:t>
      </w:r>
      <w:proofErr w:type="spellEnd"/>
      <w:r w:rsidRPr="00D83239">
        <w:rPr>
          <w:rFonts w:ascii="Arial" w:eastAsia="Times New Roman" w:hAnsi="Arial" w:cs="Arial"/>
          <w:b/>
          <w:bCs/>
          <w:iCs/>
          <w:sz w:val="20"/>
          <w:szCs w:val="20"/>
        </w:rPr>
        <w:t>-I</w:t>
      </w:r>
      <w:r w:rsidRPr="00D83239">
        <w:rPr>
          <w:rFonts w:ascii="Arial" w:eastAsia="Times New Roman" w:hAnsi="Arial" w:cs="Arial"/>
          <w:iCs/>
          <w:sz w:val="20"/>
          <w:szCs w:val="20"/>
        </w:rPr>
        <w:t xml:space="preserve"> (Uradni list RS, št. 85/25), ki je bil sprejet 23. 10. 2025 in se uporablja od 21. 11. 2025. Bistvene novosti novele zakona so: </w:t>
      </w:r>
    </w:p>
    <w:p w14:paraId="37635FB9" w14:textId="09592BA5" w:rsidR="009433E0" w:rsidRDefault="009433E0" w:rsidP="009433E0">
      <w:pPr>
        <w:pStyle w:val="Odstavekseznama"/>
        <w:numPr>
          <w:ilvl w:val="0"/>
          <w:numId w:val="2"/>
        </w:numPr>
        <w:spacing w:after="0"/>
        <w:jc w:val="both"/>
        <w:rPr>
          <w:rFonts w:ascii="Arial" w:hAnsi="Arial" w:cs="Arial"/>
          <w:sz w:val="20"/>
          <w:szCs w:val="20"/>
        </w:rPr>
      </w:pPr>
      <w:r w:rsidRPr="00BB498A">
        <w:rPr>
          <w:rFonts w:ascii="Arial" w:hAnsi="Arial" w:cs="Arial"/>
          <w:sz w:val="20"/>
          <w:szCs w:val="20"/>
        </w:rPr>
        <w:t xml:space="preserve">vzpostavljena je nova naloga </w:t>
      </w:r>
      <w:r w:rsidR="00EF1CB0">
        <w:rPr>
          <w:rFonts w:ascii="Arial" w:hAnsi="Arial" w:cs="Arial"/>
          <w:sz w:val="20"/>
          <w:szCs w:val="20"/>
        </w:rPr>
        <w:t>GPU</w:t>
      </w:r>
      <w:r w:rsidRPr="00BB498A">
        <w:rPr>
          <w:rFonts w:ascii="Arial" w:hAnsi="Arial" w:cs="Arial"/>
          <w:sz w:val="20"/>
          <w:szCs w:val="20"/>
        </w:rPr>
        <w:t xml:space="preserve"> kot prevoznika za potrebe helikopterske nujne medicinske pomoči, </w:t>
      </w:r>
      <w:proofErr w:type="spellStart"/>
      <w:r w:rsidRPr="00BB498A">
        <w:rPr>
          <w:rFonts w:ascii="Arial" w:hAnsi="Arial" w:cs="Arial"/>
          <w:sz w:val="20"/>
          <w:szCs w:val="20"/>
        </w:rPr>
        <w:t>medbolnišnične</w:t>
      </w:r>
      <w:proofErr w:type="spellEnd"/>
      <w:r w:rsidRPr="00BB498A">
        <w:rPr>
          <w:rFonts w:ascii="Arial" w:hAnsi="Arial" w:cs="Arial"/>
          <w:sz w:val="20"/>
          <w:szCs w:val="20"/>
        </w:rPr>
        <w:t xml:space="preserve"> helikopterske prevoze in helikopterske prevoze otrok v inkubatorjih z zrakoplovi policije; </w:t>
      </w:r>
    </w:p>
    <w:p w14:paraId="7A5C1824" w14:textId="77777777" w:rsidR="009433E0" w:rsidRDefault="009433E0" w:rsidP="009433E0">
      <w:pPr>
        <w:pStyle w:val="Odstavekseznama"/>
        <w:numPr>
          <w:ilvl w:val="0"/>
          <w:numId w:val="2"/>
        </w:numPr>
        <w:spacing w:after="0"/>
        <w:jc w:val="both"/>
        <w:rPr>
          <w:rFonts w:ascii="Arial" w:hAnsi="Arial" w:cs="Arial"/>
          <w:sz w:val="20"/>
          <w:szCs w:val="20"/>
        </w:rPr>
      </w:pPr>
      <w:r w:rsidRPr="00BB498A">
        <w:rPr>
          <w:rFonts w:ascii="Arial" w:hAnsi="Arial" w:cs="Arial"/>
          <w:sz w:val="20"/>
          <w:szCs w:val="20"/>
        </w:rPr>
        <w:t xml:space="preserve">vzpostavljena je podlaga za štipendiranje kadrov za potrebe policije; </w:t>
      </w:r>
    </w:p>
    <w:p w14:paraId="3A171869" w14:textId="77777777" w:rsidR="009433E0" w:rsidRDefault="009433E0" w:rsidP="009433E0">
      <w:pPr>
        <w:pStyle w:val="Odstavekseznama"/>
        <w:numPr>
          <w:ilvl w:val="0"/>
          <w:numId w:val="2"/>
        </w:numPr>
        <w:spacing w:after="0"/>
        <w:jc w:val="both"/>
        <w:rPr>
          <w:rFonts w:ascii="Arial" w:hAnsi="Arial" w:cs="Arial"/>
          <w:sz w:val="20"/>
          <w:szCs w:val="20"/>
        </w:rPr>
      </w:pPr>
      <w:r w:rsidRPr="00BB498A">
        <w:rPr>
          <w:rFonts w:ascii="Arial" w:hAnsi="Arial" w:cs="Arial"/>
          <w:sz w:val="20"/>
          <w:szCs w:val="20"/>
        </w:rPr>
        <w:t xml:space="preserve">določajo se pravice ožjih družinskih članov v primeru smrti policista, kadar ta izgubi življenje v času napotitve v tujino na območje ali lokacijo, za katero je s sklepom o določitvi ocene stopnje nevarnosti sekretariata Sveta za nacionalno varnost določena stopnja nevarnosti; </w:t>
      </w:r>
    </w:p>
    <w:p w14:paraId="23104D63" w14:textId="77777777" w:rsidR="009433E0" w:rsidRDefault="009433E0" w:rsidP="009433E0">
      <w:pPr>
        <w:pStyle w:val="Odstavekseznama"/>
        <w:numPr>
          <w:ilvl w:val="0"/>
          <w:numId w:val="2"/>
        </w:numPr>
        <w:spacing w:after="0"/>
        <w:jc w:val="both"/>
        <w:rPr>
          <w:rFonts w:ascii="Arial" w:hAnsi="Arial" w:cs="Arial"/>
          <w:sz w:val="20"/>
          <w:szCs w:val="20"/>
        </w:rPr>
      </w:pPr>
      <w:r w:rsidRPr="00BB498A">
        <w:rPr>
          <w:rFonts w:ascii="Arial" w:hAnsi="Arial" w:cs="Arial"/>
          <w:sz w:val="20"/>
          <w:szCs w:val="20"/>
        </w:rPr>
        <w:t xml:space="preserve">dopolnjena je določba glede usmerjanja policije oziroma prepoved poseganja ministra v pristojnost, naloge in samostojni položaj državnega tožilca v predkazenskem postopku; </w:t>
      </w:r>
    </w:p>
    <w:p w14:paraId="43758F41" w14:textId="522F4C87" w:rsidR="009433E0" w:rsidRDefault="009433E0" w:rsidP="009433E0">
      <w:pPr>
        <w:pStyle w:val="Odstavekseznama"/>
        <w:numPr>
          <w:ilvl w:val="0"/>
          <w:numId w:val="2"/>
        </w:numPr>
        <w:spacing w:after="0"/>
        <w:jc w:val="both"/>
        <w:rPr>
          <w:rFonts w:ascii="Arial" w:hAnsi="Arial" w:cs="Arial"/>
          <w:sz w:val="20"/>
          <w:szCs w:val="20"/>
        </w:rPr>
      </w:pPr>
      <w:r w:rsidRPr="00BB498A">
        <w:rPr>
          <w:rFonts w:ascii="Arial" w:hAnsi="Arial" w:cs="Arial"/>
          <w:sz w:val="20"/>
          <w:szCs w:val="20"/>
        </w:rPr>
        <w:t xml:space="preserve">jasneje je določeno, za katere </w:t>
      </w:r>
      <w:r w:rsidR="00607F3F">
        <w:rPr>
          <w:rFonts w:ascii="Arial" w:hAnsi="Arial" w:cs="Arial"/>
          <w:sz w:val="20"/>
          <w:szCs w:val="20"/>
        </w:rPr>
        <w:t>skupin</w:t>
      </w:r>
      <w:r w:rsidRPr="00BB498A">
        <w:rPr>
          <w:rFonts w:ascii="Arial" w:hAnsi="Arial" w:cs="Arial"/>
          <w:sz w:val="20"/>
          <w:szCs w:val="20"/>
        </w:rPr>
        <w:t xml:space="preserve">e javnih naročil so policijske uprave samostojne </w:t>
      </w:r>
      <w:r w:rsidR="00607F3F">
        <w:rPr>
          <w:rFonts w:ascii="Arial" w:hAnsi="Arial" w:cs="Arial"/>
          <w:sz w:val="20"/>
          <w:szCs w:val="20"/>
        </w:rPr>
        <w:t>(</w:t>
      </w:r>
      <w:r w:rsidRPr="00BB498A">
        <w:rPr>
          <w:rFonts w:ascii="Arial" w:hAnsi="Arial" w:cs="Arial"/>
          <w:sz w:val="20"/>
          <w:szCs w:val="20"/>
        </w:rPr>
        <w:t xml:space="preserve">v povezavi z </w:t>
      </w:r>
      <w:r w:rsidR="00607F3F">
        <w:rPr>
          <w:rFonts w:ascii="Arial" w:hAnsi="Arial" w:cs="Arial"/>
          <w:sz w:val="20"/>
          <w:szCs w:val="20"/>
        </w:rPr>
        <w:t>Z</w:t>
      </w:r>
      <w:r w:rsidRPr="00BB498A">
        <w:rPr>
          <w:rFonts w:ascii="Arial" w:hAnsi="Arial" w:cs="Arial"/>
          <w:sz w:val="20"/>
          <w:szCs w:val="20"/>
        </w:rPr>
        <w:t>akonom o javnem naročanju</w:t>
      </w:r>
      <w:r w:rsidR="00607F3F">
        <w:rPr>
          <w:rFonts w:ascii="Arial" w:hAnsi="Arial" w:cs="Arial"/>
          <w:sz w:val="20"/>
          <w:szCs w:val="20"/>
        </w:rPr>
        <w:t>)</w:t>
      </w:r>
      <w:r w:rsidRPr="00BB498A">
        <w:rPr>
          <w:rFonts w:ascii="Arial" w:hAnsi="Arial" w:cs="Arial"/>
          <w:sz w:val="20"/>
          <w:szCs w:val="20"/>
        </w:rPr>
        <w:t xml:space="preserve">; </w:t>
      </w:r>
    </w:p>
    <w:p w14:paraId="1005849C" w14:textId="77777777" w:rsidR="009433E0" w:rsidRDefault="009433E0" w:rsidP="009433E0">
      <w:pPr>
        <w:pStyle w:val="Odstavekseznama"/>
        <w:numPr>
          <w:ilvl w:val="0"/>
          <w:numId w:val="2"/>
        </w:numPr>
        <w:spacing w:after="0"/>
        <w:jc w:val="both"/>
        <w:rPr>
          <w:rFonts w:ascii="Arial" w:hAnsi="Arial" w:cs="Arial"/>
          <w:sz w:val="20"/>
          <w:szCs w:val="20"/>
        </w:rPr>
      </w:pPr>
      <w:r w:rsidRPr="00BB498A">
        <w:rPr>
          <w:rFonts w:ascii="Arial" w:hAnsi="Arial" w:cs="Arial"/>
          <w:sz w:val="20"/>
          <w:szCs w:val="20"/>
        </w:rPr>
        <w:t xml:space="preserve">vzpostavljena je podlaga za petletno obdobno preverjanje strokovnega znanja policistov, ki imajo pravico izvajati policijska pooblastila; </w:t>
      </w:r>
    </w:p>
    <w:p w14:paraId="3EBD1FE6" w14:textId="77777777" w:rsidR="009433E0" w:rsidRDefault="009433E0" w:rsidP="009433E0">
      <w:pPr>
        <w:pStyle w:val="Odstavekseznama"/>
        <w:numPr>
          <w:ilvl w:val="0"/>
          <w:numId w:val="2"/>
        </w:numPr>
        <w:spacing w:after="0"/>
        <w:jc w:val="both"/>
        <w:rPr>
          <w:rFonts w:ascii="Arial" w:hAnsi="Arial" w:cs="Arial"/>
          <w:sz w:val="20"/>
          <w:szCs w:val="20"/>
        </w:rPr>
      </w:pPr>
      <w:r w:rsidRPr="00BB498A">
        <w:rPr>
          <w:rFonts w:ascii="Arial" w:hAnsi="Arial" w:cs="Arial"/>
          <w:sz w:val="20"/>
          <w:szCs w:val="20"/>
        </w:rPr>
        <w:t>dviguje se starostna meja za pomožne policiste (</w:t>
      </w:r>
      <w:r>
        <w:rPr>
          <w:rFonts w:ascii="Arial" w:hAnsi="Arial" w:cs="Arial"/>
          <w:sz w:val="20"/>
          <w:szCs w:val="20"/>
        </w:rPr>
        <w:t>s</w:t>
      </w:r>
      <w:r w:rsidRPr="00BB498A">
        <w:rPr>
          <w:rFonts w:ascii="Arial" w:hAnsi="Arial" w:cs="Arial"/>
          <w:sz w:val="20"/>
          <w:szCs w:val="20"/>
        </w:rPr>
        <w:t xml:space="preserve"> 60 na 63 let) in določeno</w:t>
      </w:r>
      <w:r>
        <w:rPr>
          <w:rFonts w:ascii="Arial" w:hAnsi="Arial" w:cs="Arial"/>
          <w:sz w:val="20"/>
          <w:szCs w:val="20"/>
        </w:rPr>
        <w:t xml:space="preserve"> je</w:t>
      </w:r>
      <w:r w:rsidRPr="00BB498A">
        <w:rPr>
          <w:rFonts w:ascii="Arial" w:hAnsi="Arial" w:cs="Arial"/>
          <w:sz w:val="20"/>
          <w:szCs w:val="20"/>
        </w:rPr>
        <w:t xml:space="preserve">, da pomožni policist ne more biti oseba, ki opravlja funkcijo župana, podžupana ali občinskega svetnika; </w:t>
      </w:r>
    </w:p>
    <w:p w14:paraId="787DA27A" w14:textId="77777777" w:rsidR="009433E0" w:rsidRPr="00BB498A" w:rsidRDefault="009433E0" w:rsidP="009433E0">
      <w:pPr>
        <w:pStyle w:val="Odstavekseznama"/>
        <w:numPr>
          <w:ilvl w:val="0"/>
          <w:numId w:val="2"/>
        </w:numPr>
        <w:spacing w:after="0"/>
        <w:jc w:val="both"/>
        <w:rPr>
          <w:rFonts w:ascii="Arial" w:hAnsi="Arial" w:cs="Arial"/>
          <w:sz w:val="20"/>
          <w:szCs w:val="20"/>
        </w:rPr>
      </w:pPr>
      <w:r w:rsidRPr="00BB498A">
        <w:rPr>
          <w:rFonts w:ascii="Arial" w:hAnsi="Arial" w:cs="Arial"/>
          <w:sz w:val="20"/>
          <w:szCs w:val="20"/>
        </w:rPr>
        <w:t>ponovno se uvaja izraz komandir policijske postaje namesto načelnika.</w:t>
      </w:r>
    </w:p>
    <w:p w14:paraId="06CF200E" w14:textId="77777777" w:rsidR="009433E0" w:rsidRPr="00D83239" w:rsidRDefault="009433E0" w:rsidP="009433E0">
      <w:pPr>
        <w:shd w:val="clear" w:color="auto" w:fill="FFFFFF"/>
        <w:spacing w:after="0" w:line="276" w:lineRule="auto"/>
        <w:jc w:val="both"/>
        <w:rPr>
          <w:rFonts w:ascii="Arial" w:hAnsi="Arial" w:cs="Arial"/>
          <w:sz w:val="20"/>
          <w:szCs w:val="20"/>
        </w:rPr>
      </w:pPr>
    </w:p>
    <w:p w14:paraId="530D64C5" w14:textId="78DD8FB3" w:rsidR="009433E0" w:rsidRPr="00D83239" w:rsidRDefault="009433E0" w:rsidP="009433E0">
      <w:pPr>
        <w:shd w:val="clear" w:color="auto" w:fill="FFFFFF"/>
        <w:spacing w:after="0" w:line="276" w:lineRule="auto"/>
        <w:jc w:val="both"/>
        <w:rPr>
          <w:rFonts w:ascii="Arial" w:eastAsia="Times New Roman" w:hAnsi="Arial" w:cs="Arial"/>
          <w:iCs/>
          <w:sz w:val="20"/>
          <w:szCs w:val="20"/>
        </w:rPr>
      </w:pPr>
      <w:r w:rsidRPr="00D83239">
        <w:rPr>
          <w:rFonts w:ascii="Arial" w:eastAsia="Times New Roman" w:hAnsi="Arial" w:cs="Arial"/>
          <w:iCs/>
          <w:sz w:val="20"/>
          <w:szCs w:val="20"/>
        </w:rPr>
        <w:t xml:space="preserve">MNZ je v sodelovanju z Ministrstvom za pravosodje, Ministrstvom za finance, Ministrstvom za delo, družino, socialne zadeve in enake možnosti, Ministrstvom za javno upravo </w:t>
      </w:r>
      <w:r w:rsidR="00607F3F">
        <w:rPr>
          <w:rFonts w:ascii="Arial" w:eastAsia="Times New Roman" w:hAnsi="Arial" w:cs="Arial"/>
          <w:iCs/>
          <w:sz w:val="20"/>
          <w:szCs w:val="20"/>
        </w:rPr>
        <w:t>ter</w:t>
      </w:r>
      <w:r w:rsidR="00607F3F" w:rsidRPr="00D83239">
        <w:rPr>
          <w:rFonts w:ascii="Arial" w:eastAsia="Times New Roman" w:hAnsi="Arial" w:cs="Arial"/>
          <w:iCs/>
          <w:sz w:val="20"/>
          <w:szCs w:val="20"/>
        </w:rPr>
        <w:t xml:space="preserve"> </w:t>
      </w:r>
      <w:r w:rsidRPr="00D83239">
        <w:rPr>
          <w:rFonts w:ascii="Arial" w:eastAsia="Times New Roman" w:hAnsi="Arial" w:cs="Arial"/>
          <w:iCs/>
          <w:sz w:val="20"/>
          <w:szCs w:val="20"/>
        </w:rPr>
        <w:t xml:space="preserve">Ministrstvom za vzgojo in izobraževanje pripravilo predlog </w:t>
      </w:r>
      <w:r w:rsidRPr="00D83239">
        <w:rPr>
          <w:rFonts w:ascii="Arial" w:eastAsia="Times New Roman" w:hAnsi="Arial" w:cs="Arial"/>
          <w:b/>
          <w:bCs/>
          <w:iCs/>
          <w:sz w:val="20"/>
          <w:szCs w:val="20"/>
        </w:rPr>
        <w:t>Zakona o nujnih ukrepih za zagotavljanje javne varnosti</w:t>
      </w:r>
      <w:r w:rsidRPr="00D83239">
        <w:rPr>
          <w:rFonts w:ascii="Arial" w:eastAsia="Times New Roman" w:hAnsi="Arial" w:cs="Arial"/>
          <w:iCs/>
          <w:sz w:val="20"/>
          <w:szCs w:val="20"/>
        </w:rPr>
        <w:t xml:space="preserve"> </w:t>
      </w:r>
      <w:r w:rsidRPr="00F85721">
        <w:rPr>
          <w:rFonts w:ascii="Arial" w:eastAsia="Times New Roman" w:hAnsi="Arial" w:cs="Arial"/>
          <w:bCs/>
          <w:iCs/>
          <w:sz w:val="20"/>
          <w:szCs w:val="20"/>
        </w:rPr>
        <w:t>–</w:t>
      </w:r>
      <w:r w:rsidRPr="00D83239">
        <w:rPr>
          <w:rFonts w:ascii="Arial" w:eastAsia="Times New Roman" w:hAnsi="Arial" w:cs="Arial"/>
          <w:b/>
          <w:bCs/>
          <w:iCs/>
          <w:sz w:val="20"/>
          <w:szCs w:val="20"/>
        </w:rPr>
        <w:t xml:space="preserve"> ZNUZJV</w:t>
      </w:r>
      <w:r w:rsidRPr="00D83239">
        <w:rPr>
          <w:rFonts w:ascii="Arial" w:eastAsia="Times New Roman" w:hAnsi="Arial" w:cs="Arial"/>
          <w:iCs/>
          <w:sz w:val="20"/>
          <w:szCs w:val="20"/>
        </w:rPr>
        <w:t xml:space="preserve"> (Uradni list RS, št. 93/25), ki je bil sprejet 18. 11. 2025 in se uporablja od 27. 11. 2025. ZNUZJV določa sklop ukrepov, s katerimi se dopolnjuje in spreminja veljavna zakonodaja na področjih notranjih zadev, pravosodja, financ, socialne politike, družinskih prejemkov in lokalne samouprave</w:t>
      </w:r>
      <w:r w:rsidR="00607F3F">
        <w:rPr>
          <w:rFonts w:ascii="Arial" w:eastAsia="Times New Roman" w:hAnsi="Arial" w:cs="Arial"/>
          <w:iCs/>
          <w:sz w:val="20"/>
          <w:szCs w:val="20"/>
        </w:rPr>
        <w:t>,</w:t>
      </w:r>
      <w:r w:rsidRPr="00D83239">
        <w:rPr>
          <w:rFonts w:ascii="Arial" w:eastAsia="Times New Roman" w:hAnsi="Arial" w:cs="Arial"/>
          <w:iCs/>
          <w:sz w:val="20"/>
          <w:szCs w:val="20"/>
        </w:rPr>
        <w:t xml:space="preserve"> ter tudi ukrepe</w:t>
      </w:r>
      <w:r>
        <w:rPr>
          <w:rFonts w:ascii="Arial" w:eastAsia="Times New Roman" w:hAnsi="Arial" w:cs="Arial"/>
          <w:iCs/>
          <w:sz w:val="20"/>
          <w:szCs w:val="20"/>
        </w:rPr>
        <w:t>,</w:t>
      </w:r>
      <w:r w:rsidRPr="00D83239">
        <w:rPr>
          <w:rFonts w:ascii="Arial" w:eastAsia="Times New Roman" w:hAnsi="Arial" w:cs="Arial"/>
          <w:iCs/>
          <w:sz w:val="20"/>
          <w:szCs w:val="20"/>
        </w:rPr>
        <w:t xml:space="preserve"> s katerimi se odstopa od veljavne zakonodaje. Z </w:t>
      </w:r>
      <w:r w:rsidR="00607F3F" w:rsidRPr="00607F3F">
        <w:rPr>
          <w:rFonts w:ascii="Arial" w:eastAsia="Times New Roman" w:hAnsi="Arial" w:cs="Arial"/>
          <w:iCs/>
          <w:sz w:val="20"/>
          <w:szCs w:val="20"/>
        </w:rPr>
        <w:t>ZNUZJV</w:t>
      </w:r>
      <w:r w:rsidRPr="00D83239">
        <w:rPr>
          <w:rFonts w:ascii="Arial" w:eastAsia="Times New Roman" w:hAnsi="Arial" w:cs="Arial"/>
          <w:iCs/>
          <w:sz w:val="20"/>
          <w:szCs w:val="20"/>
        </w:rPr>
        <w:t xml:space="preserve"> se vzpostavljajo dodatna pooblastila policije (vstop </w:t>
      </w:r>
      <w:r w:rsidR="002D6462">
        <w:rPr>
          <w:rFonts w:ascii="Arial" w:eastAsia="Times New Roman" w:hAnsi="Arial" w:cs="Arial"/>
          <w:iCs/>
          <w:sz w:val="20"/>
          <w:szCs w:val="20"/>
        </w:rPr>
        <w:t xml:space="preserve">v tuje stanovanje </w:t>
      </w:r>
      <w:r w:rsidRPr="00D83239">
        <w:rPr>
          <w:rFonts w:ascii="Arial" w:eastAsia="Times New Roman" w:hAnsi="Arial" w:cs="Arial"/>
          <w:iCs/>
          <w:sz w:val="20"/>
          <w:szCs w:val="20"/>
        </w:rPr>
        <w:t>in pregled tujega stanovanja, drugih prostorov ali prevoznega sredstva z namenom takojšnjega zasega orožja; uporaba tehničnih sredstev na varnostno tveganih območjih; varnostna akcija; avtomatizirano preverjanje registrskih tablic vozil; odstranitev osebe in prepoved približevanja gostinskemu obratu; začasno zaprtje gostinskega obrata in začasna omejitev gibanja oseb v njegovi neposredni okolici), zaradi katerih bo policija lahko učinkoviteje zagotavljala varnost. Namen zakona je omogočiti hitrejše, učinkovitejše in bolj usklajeno delovanje državnih organov v razmerah povečanih varnostnih tveganj ter preprečiti nadaljnje poslabšanje varnostne situacije.</w:t>
      </w:r>
    </w:p>
    <w:p w14:paraId="43DFAF6F" w14:textId="77777777" w:rsidR="009433E0" w:rsidRPr="00D83239" w:rsidRDefault="009433E0" w:rsidP="009433E0">
      <w:pPr>
        <w:shd w:val="clear" w:color="auto" w:fill="FFFFFF"/>
        <w:spacing w:after="0" w:line="276" w:lineRule="auto"/>
        <w:jc w:val="both"/>
        <w:rPr>
          <w:rFonts w:ascii="Arial" w:eastAsia="Times New Roman" w:hAnsi="Arial" w:cs="Arial"/>
          <w:iCs/>
          <w:sz w:val="20"/>
          <w:szCs w:val="20"/>
        </w:rPr>
      </w:pPr>
    </w:p>
    <w:p w14:paraId="775A154E" w14:textId="4048ADC0" w:rsidR="009433E0" w:rsidRDefault="009433E0" w:rsidP="009433E0">
      <w:pPr>
        <w:spacing w:after="0" w:line="276" w:lineRule="auto"/>
        <w:jc w:val="both"/>
        <w:rPr>
          <w:rFonts w:ascii="Arial" w:eastAsia="Times New Roman" w:hAnsi="Arial" w:cs="Arial"/>
          <w:iCs/>
          <w:sz w:val="20"/>
          <w:szCs w:val="20"/>
        </w:rPr>
      </w:pPr>
      <w:r w:rsidRPr="00D83239">
        <w:rPr>
          <w:rFonts w:ascii="Arial" w:eastAsia="Times New Roman" w:hAnsi="Arial" w:cs="Arial"/>
          <w:iCs/>
          <w:sz w:val="20"/>
          <w:szCs w:val="20"/>
        </w:rPr>
        <w:t xml:space="preserve">MNZ je s področja varovanja javnega reda in miru pripravilo predlog novega </w:t>
      </w:r>
      <w:r w:rsidRPr="00D83239">
        <w:rPr>
          <w:rFonts w:ascii="Arial" w:eastAsia="Times New Roman" w:hAnsi="Arial" w:cs="Arial"/>
          <w:b/>
          <w:bCs/>
          <w:iCs/>
          <w:sz w:val="20"/>
          <w:szCs w:val="20"/>
        </w:rPr>
        <w:t>Zakona o varstvu javnega reda in miru</w:t>
      </w:r>
      <w:r w:rsidRPr="00D83239">
        <w:rPr>
          <w:rFonts w:ascii="Arial" w:eastAsia="Times New Roman" w:hAnsi="Arial" w:cs="Arial"/>
          <w:iCs/>
          <w:sz w:val="20"/>
          <w:szCs w:val="20"/>
        </w:rPr>
        <w:t xml:space="preserve"> </w:t>
      </w:r>
      <w:r w:rsidR="00FE4E55" w:rsidRPr="00F85721">
        <w:rPr>
          <w:rFonts w:ascii="Arial" w:eastAsia="Times New Roman" w:hAnsi="Arial" w:cs="Arial"/>
          <w:bCs/>
          <w:iCs/>
          <w:sz w:val="20"/>
          <w:szCs w:val="20"/>
        </w:rPr>
        <w:t xml:space="preserve">– </w:t>
      </w:r>
      <w:r w:rsidRPr="00D83239">
        <w:rPr>
          <w:rFonts w:ascii="Arial" w:eastAsia="Times New Roman" w:hAnsi="Arial" w:cs="Arial"/>
          <w:b/>
          <w:bCs/>
          <w:iCs/>
          <w:sz w:val="20"/>
          <w:szCs w:val="20"/>
        </w:rPr>
        <w:t>ZJRM-2</w:t>
      </w:r>
      <w:r w:rsidRPr="00D83239">
        <w:rPr>
          <w:rFonts w:ascii="Arial" w:eastAsia="Times New Roman" w:hAnsi="Arial" w:cs="Arial"/>
          <w:iCs/>
          <w:sz w:val="20"/>
          <w:szCs w:val="20"/>
        </w:rPr>
        <w:t xml:space="preserve"> (Uradni list RS, št. 112/25), ki je bil sprejet 17. 12. 2025 in se uporablja od 28.</w:t>
      </w:r>
      <w:r w:rsidR="00FE4E55">
        <w:rPr>
          <w:rFonts w:ascii="Arial" w:eastAsia="Times New Roman" w:hAnsi="Arial" w:cs="Arial"/>
          <w:iCs/>
          <w:sz w:val="20"/>
          <w:szCs w:val="20"/>
        </w:rPr>
        <w:t> </w:t>
      </w:r>
      <w:r w:rsidRPr="00D83239">
        <w:rPr>
          <w:rFonts w:ascii="Arial" w:eastAsia="Times New Roman" w:hAnsi="Arial" w:cs="Arial"/>
          <w:iCs/>
          <w:sz w:val="20"/>
          <w:szCs w:val="20"/>
        </w:rPr>
        <w:t>1.</w:t>
      </w:r>
      <w:r w:rsidR="00FE4E55">
        <w:rPr>
          <w:rFonts w:ascii="Arial" w:eastAsia="Times New Roman" w:hAnsi="Arial" w:cs="Arial"/>
          <w:iCs/>
          <w:sz w:val="20"/>
          <w:szCs w:val="20"/>
        </w:rPr>
        <w:t> </w:t>
      </w:r>
      <w:r w:rsidRPr="00D83239">
        <w:rPr>
          <w:rFonts w:ascii="Arial" w:eastAsia="Times New Roman" w:hAnsi="Arial" w:cs="Arial"/>
          <w:iCs/>
          <w:sz w:val="20"/>
          <w:szCs w:val="20"/>
        </w:rPr>
        <w:t xml:space="preserve">2026. ZJRM-2 na novo: </w:t>
      </w:r>
    </w:p>
    <w:p w14:paraId="55F04553" w14:textId="7DAB7EC1" w:rsidR="009433E0" w:rsidRDefault="009433E0" w:rsidP="009433E0">
      <w:pPr>
        <w:pStyle w:val="Odstavekseznama"/>
        <w:numPr>
          <w:ilvl w:val="0"/>
          <w:numId w:val="2"/>
        </w:numPr>
        <w:spacing w:after="0"/>
        <w:jc w:val="both"/>
        <w:rPr>
          <w:rFonts w:ascii="Arial" w:hAnsi="Arial" w:cs="Arial"/>
          <w:sz w:val="20"/>
          <w:szCs w:val="20"/>
        </w:rPr>
      </w:pPr>
      <w:r>
        <w:rPr>
          <w:rFonts w:ascii="Arial" w:hAnsi="Arial" w:cs="Arial"/>
          <w:sz w:val="20"/>
          <w:szCs w:val="20"/>
        </w:rPr>
        <w:t xml:space="preserve">določa </w:t>
      </w:r>
      <w:r w:rsidRPr="00BB498A">
        <w:rPr>
          <w:rFonts w:ascii="Arial" w:hAnsi="Arial" w:cs="Arial"/>
          <w:sz w:val="20"/>
          <w:szCs w:val="20"/>
        </w:rPr>
        <w:t xml:space="preserve">globe za </w:t>
      </w:r>
      <w:r w:rsidRPr="00D83239">
        <w:rPr>
          <w:rFonts w:ascii="Arial" w:hAnsi="Arial" w:cs="Arial"/>
          <w:sz w:val="20"/>
          <w:szCs w:val="20"/>
        </w:rPr>
        <w:t xml:space="preserve">posamezne prekrške, z upoštevanjem načela prevencije in načela sorazmernosti, ki se na splošno zvišujejo; </w:t>
      </w:r>
    </w:p>
    <w:p w14:paraId="7DA061E2" w14:textId="77777777" w:rsidR="009433E0"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podrobneje ureja zbiranje prostovoljnih prispevkov in tudi določa nove sankcije pri tem prekršku, in sicer v povezavi z zbiranjem prostovoljnih prispevkov na vsiljiv ali žaljiv način</w:t>
      </w:r>
      <w:r>
        <w:rPr>
          <w:rFonts w:ascii="Arial" w:hAnsi="Arial" w:cs="Arial"/>
          <w:sz w:val="20"/>
          <w:szCs w:val="20"/>
        </w:rPr>
        <w:t>;</w:t>
      </w:r>
      <w:r w:rsidRPr="00D83239">
        <w:rPr>
          <w:rFonts w:ascii="Arial" w:hAnsi="Arial" w:cs="Arial"/>
          <w:sz w:val="20"/>
          <w:szCs w:val="20"/>
        </w:rPr>
        <w:t xml:space="preserve"> </w:t>
      </w:r>
    </w:p>
    <w:p w14:paraId="0CD8080D" w14:textId="3F3E6EB3" w:rsidR="009433E0"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določa </w:t>
      </w:r>
      <w:r w:rsidR="009B2CC6">
        <w:rPr>
          <w:rFonts w:ascii="Arial" w:hAnsi="Arial" w:cs="Arial"/>
          <w:sz w:val="20"/>
          <w:szCs w:val="20"/>
        </w:rPr>
        <w:t>razlikovanje</w:t>
      </w:r>
      <w:r w:rsidR="009B2CC6" w:rsidRPr="00D83239">
        <w:rPr>
          <w:rFonts w:ascii="Arial" w:hAnsi="Arial" w:cs="Arial"/>
          <w:sz w:val="20"/>
          <w:szCs w:val="20"/>
        </w:rPr>
        <w:t xml:space="preserve"> </w:t>
      </w:r>
      <w:r w:rsidRPr="00D83239">
        <w:rPr>
          <w:rFonts w:ascii="Arial" w:hAnsi="Arial" w:cs="Arial"/>
          <w:sz w:val="20"/>
          <w:szCs w:val="20"/>
        </w:rPr>
        <w:t xml:space="preserve">prekrškov nasilnega in drznega vedenja na splošno ter prekrškov nasilnega in drznega vedenja proti družinskim članom kršitelja; </w:t>
      </w:r>
    </w:p>
    <w:p w14:paraId="56B99265" w14:textId="25B733C9" w:rsidR="009433E0"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določa ločen</w:t>
      </w:r>
      <w:r>
        <w:rPr>
          <w:rFonts w:ascii="Arial" w:hAnsi="Arial" w:cs="Arial"/>
          <w:sz w:val="20"/>
          <w:szCs w:val="20"/>
        </w:rPr>
        <w:t>o</w:t>
      </w:r>
      <w:r w:rsidRPr="00D83239">
        <w:rPr>
          <w:rFonts w:ascii="Arial" w:hAnsi="Arial" w:cs="Arial"/>
          <w:sz w:val="20"/>
          <w:szCs w:val="20"/>
        </w:rPr>
        <w:t xml:space="preserve"> obravnav</w:t>
      </w:r>
      <w:r>
        <w:rPr>
          <w:rFonts w:ascii="Arial" w:hAnsi="Arial" w:cs="Arial"/>
          <w:sz w:val="20"/>
          <w:szCs w:val="20"/>
        </w:rPr>
        <w:t>o</w:t>
      </w:r>
      <w:r w:rsidRPr="00D83239">
        <w:rPr>
          <w:rFonts w:ascii="Arial" w:hAnsi="Arial" w:cs="Arial"/>
          <w:sz w:val="20"/>
          <w:szCs w:val="20"/>
        </w:rPr>
        <w:t xml:space="preserve"> nasilnega in drznega vedenj</w:t>
      </w:r>
      <w:r w:rsidR="00D14DE4">
        <w:rPr>
          <w:rFonts w:ascii="Arial" w:hAnsi="Arial" w:cs="Arial"/>
          <w:sz w:val="20"/>
          <w:szCs w:val="20"/>
        </w:rPr>
        <w:t>a</w:t>
      </w:r>
      <w:r w:rsidRPr="00D83239">
        <w:rPr>
          <w:rFonts w:ascii="Arial" w:hAnsi="Arial" w:cs="Arial"/>
          <w:sz w:val="20"/>
          <w:szCs w:val="20"/>
        </w:rPr>
        <w:t xml:space="preserve"> na športni prireditvi ali v zvezi s športno prireditvijo ali med potovanjem na športno prireditev ali z nje; </w:t>
      </w:r>
    </w:p>
    <w:p w14:paraId="283204F5" w14:textId="43A7FD26" w:rsidR="009433E0"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dodatno inkriminira nedostojno vedenje v obliki razkazovanja spolnih organov na javnem kraju, kjer je večj</w:t>
      </w:r>
      <w:r w:rsidR="009B2CC6">
        <w:rPr>
          <w:rFonts w:ascii="Arial" w:hAnsi="Arial" w:cs="Arial"/>
          <w:sz w:val="20"/>
          <w:szCs w:val="20"/>
        </w:rPr>
        <w:t>e število</w:t>
      </w:r>
      <w:r w:rsidRPr="00D83239">
        <w:rPr>
          <w:rFonts w:ascii="Arial" w:hAnsi="Arial" w:cs="Arial"/>
          <w:sz w:val="20"/>
          <w:szCs w:val="20"/>
        </w:rPr>
        <w:t xml:space="preserve"> ljudi ali </w:t>
      </w:r>
      <w:r w:rsidR="009B2CC6">
        <w:rPr>
          <w:rFonts w:ascii="Arial" w:hAnsi="Arial" w:cs="Arial"/>
          <w:sz w:val="20"/>
          <w:szCs w:val="20"/>
        </w:rPr>
        <w:t xml:space="preserve">kjer </w:t>
      </w:r>
      <w:r w:rsidRPr="00D83239">
        <w:rPr>
          <w:rFonts w:ascii="Arial" w:hAnsi="Arial" w:cs="Arial"/>
          <w:sz w:val="20"/>
          <w:szCs w:val="20"/>
        </w:rPr>
        <w:t xml:space="preserve">so otroci; </w:t>
      </w:r>
    </w:p>
    <w:p w14:paraId="21F503CC" w14:textId="1EA76A9B" w:rsidR="009433E0"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za beračenje doda</w:t>
      </w:r>
      <w:r>
        <w:rPr>
          <w:rFonts w:ascii="Arial" w:hAnsi="Arial" w:cs="Arial"/>
          <w:sz w:val="20"/>
          <w:szCs w:val="20"/>
        </w:rPr>
        <w:t>ja</w:t>
      </w:r>
      <w:r w:rsidRPr="00D83239">
        <w:rPr>
          <w:rFonts w:ascii="Arial" w:hAnsi="Arial" w:cs="Arial"/>
          <w:sz w:val="20"/>
          <w:szCs w:val="20"/>
        </w:rPr>
        <w:t xml:space="preserve"> kvalificirane oblike prekrška z uporabo živali, otroka ali če je prekršek </w:t>
      </w:r>
      <w:r w:rsidR="009B2CC6">
        <w:rPr>
          <w:rFonts w:ascii="Arial" w:hAnsi="Arial" w:cs="Arial"/>
          <w:sz w:val="20"/>
          <w:szCs w:val="20"/>
        </w:rPr>
        <w:t>storj</w:t>
      </w:r>
      <w:r w:rsidRPr="00D83239">
        <w:rPr>
          <w:rFonts w:ascii="Arial" w:hAnsi="Arial" w:cs="Arial"/>
          <w:sz w:val="20"/>
          <w:szCs w:val="20"/>
        </w:rPr>
        <w:t xml:space="preserve">en v hudodelski združbi; </w:t>
      </w:r>
    </w:p>
    <w:p w14:paraId="4F9F65F3" w14:textId="77777777" w:rsidR="009433E0"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pri prenočevanju izloča ureditev kampiranja, ki se prenaša na urejanje z odloki samoupravnih lokalnih skupnosti; </w:t>
      </w:r>
    </w:p>
    <w:p w14:paraId="31170800" w14:textId="77777777" w:rsidR="009433E0"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podrobneje določ</w:t>
      </w:r>
      <w:r>
        <w:rPr>
          <w:rFonts w:ascii="Arial" w:hAnsi="Arial" w:cs="Arial"/>
          <w:sz w:val="20"/>
          <w:szCs w:val="20"/>
        </w:rPr>
        <w:t>a</w:t>
      </w:r>
      <w:r w:rsidRPr="00D83239">
        <w:rPr>
          <w:rFonts w:ascii="Arial" w:hAnsi="Arial" w:cs="Arial"/>
          <w:sz w:val="20"/>
          <w:szCs w:val="20"/>
        </w:rPr>
        <w:t xml:space="preserve"> prekršk</w:t>
      </w:r>
      <w:r>
        <w:rPr>
          <w:rFonts w:ascii="Arial" w:hAnsi="Arial" w:cs="Arial"/>
          <w:sz w:val="20"/>
          <w:szCs w:val="20"/>
        </w:rPr>
        <w:t>e</w:t>
      </w:r>
      <w:r w:rsidRPr="00D83239">
        <w:rPr>
          <w:rFonts w:ascii="Arial" w:hAnsi="Arial" w:cs="Arial"/>
          <w:sz w:val="20"/>
          <w:szCs w:val="20"/>
        </w:rPr>
        <w:t xml:space="preserve">, ki so storjeni z namenom vzbujanja nestrpnosti; </w:t>
      </w:r>
    </w:p>
    <w:p w14:paraId="5B9AB0FB" w14:textId="1D6FDAA9" w:rsidR="009433E0" w:rsidRDefault="009433E0" w:rsidP="009433E0">
      <w:pPr>
        <w:pStyle w:val="Odstavekseznama"/>
        <w:numPr>
          <w:ilvl w:val="0"/>
          <w:numId w:val="2"/>
        </w:numPr>
        <w:spacing w:after="0"/>
        <w:jc w:val="both"/>
        <w:rPr>
          <w:rFonts w:ascii="Arial" w:hAnsi="Arial" w:cs="Arial"/>
          <w:sz w:val="20"/>
          <w:szCs w:val="20"/>
        </w:rPr>
      </w:pPr>
      <w:proofErr w:type="spellStart"/>
      <w:r w:rsidRPr="00D83239">
        <w:rPr>
          <w:rFonts w:ascii="Arial" w:hAnsi="Arial" w:cs="Arial"/>
          <w:sz w:val="20"/>
          <w:szCs w:val="20"/>
        </w:rPr>
        <w:t>prekrškovnim</w:t>
      </w:r>
      <w:proofErr w:type="spellEnd"/>
      <w:r w:rsidRPr="00D83239">
        <w:rPr>
          <w:rFonts w:ascii="Arial" w:hAnsi="Arial" w:cs="Arial"/>
          <w:sz w:val="20"/>
          <w:szCs w:val="20"/>
        </w:rPr>
        <w:t xml:space="preserve"> organom da</w:t>
      </w:r>
      <w:r>
        <w:rPr>
          <w:rFonts w:ascii="Arial" w:hAnsi="Arial" w:cs="Arial"/>
          <w:sz w:val="20"/>
          <w:szCs w:val="20"/>
        </w:rPr>
        <w:t>je</w:t>
      </w:r>
      <w:r w:rsidRPr="00D83239">
        <w:rPr>
          <w:rFonts w:ascii="Arial" w:hAnsi="Arial" w:cs="Arial"/>
          <w:sz w:val="20"/>
          <w:szCs w:val="20"/>
        </w:rPr>
        <w:t xml:space="preserve"> pooblastilo, da lahko za določene prekršk</w:t>
      </w:r>
      <w:r>
        <w:rPr>
          <w:rFonts w:ascii="Arial" w:hAnsi="Arial" w:cs="Arial"/>
          <w:sz w:val="20"/>
          <w:szCs w:val="20"/>
        </w:rPr>
        <w:t>e</w:t>
      </w:r>
      <w:r w:rsidRPr="00D83239">
        <w:rPr>
          <w:rFonts w:ascii="Arial" w:hAnsi="Arial" w:cs="Arial"/>
          <w:sz w:val="20"/>
          <w:szCs w:val="20"/>
        </w:rPr>
        <w:t>, če je za</w:t>
      </w:r>
      <w:r w:rsidR="009B2CC6">
        <w:rPr>
          <w:rFonts w:ascii="Arial" w:hAnsi="Arial" w:cs="Arial"/>
          <w:sz w:val="20"/>
          <w:szCs w:val="20"/>
        </w:rPr>
        <w:t>nje</w:t>
      </w:r>
      <w:r w:rsidRPr="00D83239">
        <w:rPr>
          <w:rFonts w:ascii="Arial" w:hAnsi="Arial" w:cs="Arial"/>
          <w:sz w:val="20"/>
          <w:szCs w:val="20"/>
        </w:rPr>
        <w:t xml:space="preserve"> predpisana globa v razponu, izre</w:t>
      </w:r>
      <w:r>
        <w:rPr>
          <w:rFonts w:ascii="Arial" w:hAnsi="Arial" w:cs="Arial"/>
          <w:sz w:val="20"/>
          <w:szCs w:val="20"/>
        </w:rPr>
        <w:t>če</w:t>
      </w:r>
      <w:r w:rsidRPr="00D83239">
        <w:rPr>
          <w:rFonts w:ascii="Arial" w:hAnsi="Arial" w:cs="Arial"/>
          <w:sz w:val="20"/>
          <w:szCs w:val="20"/>
        </w:rPr>
        <w:t>jo višj</w:t>
      </w:r>
      <w:r>
        <w:rPr>
          <w:rFonts w:ascii="Arial" w:hAnsi="Arial" w:cs="Arial"/>
          <w:sz w:val="20"/>
          <w:szCs w:val="20"/>
        </w:rPr>
        <w:t>o</w:t>
      </w:r>
      <w:r w:rsidRPr="00D83239">
        <w:rPr>
          <w:rFonts w:ascii="Arial" w:hAnsi="Arial" w:cs="Arial"/>
          <w:sz w:val="20"/>
          <w:szCs w:val="20"/>
        </w:rPr>
        <w:t xml:space="preserve"> </w:t>
      </w:r>
      <w:r>
        <w:rPr>
          <w:rFonts w:ascii="Arial" w:hAnsi="Arial" w:cs="Arial"/>
          <w:sz w:val="20"/>
          <w:szCs w:val="20"/>
        </w:rPr>
        <w:t xml:space="preserve">globo </w:t>
      </w:r>
      <w:r w:rsidRPr="00D83239">
        <w:rPr>
          <w:rFonts w:ascii="Arial" w:hAnsi="Arial" w:cs="Arial"/>
          <w:sz w:val="20"/>
          <w:szCs w:val="20"/>
        </w:rPr>
        <w:t>od minimalno predpisane</w:t>
      </w:r>
      <w:r>
        <w:rPr>
          <w:rFonts w:ascii="Arial" w:hAnsi="Arial" w:cs="Arial"/>
          <w:sz w:val="20"/>
          <w:szCs w:val="20"/>
        </w:rPr>
        <w:t>;</w:t>
      </w:r>
    </w:p>
    <w:p w14:paraId="588463E0" w14:textId="400EFB20"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dodelj</w:t>
      </w:r>
      <w:r>
        <w:rPr>
          <w:rFonts w:ascii="Arial" w:hAnsi="Arial" w:cs="Arial"/>
          <w:sz w:val="20"/>
          <w:szCs w:val="20"/>
        </w:rPr>
        <w:t>uje</w:t>
      </w:r>
      <w:r w:rsidRPr="00D83239">
        <w:rPr>
          <w:rFonts w:ascii="Arial" w:hAnsi="Arial" w:cs="Arial"/>
          <w:sz w:val="20"/>
          <w:szCs w:val="20"/>
        </w:rPr>
        <w:t xml:space="preserve"> pristojnost za </w:t>
      </w:r>
      <w:r w:rsidR="00BC0EFC">
        <w:rPr>
          <w:rFonts w:ascii="Arial" w:hAnsi="Arial" w:cs="Arial"/>
          <w:sz w:val="20"/>
          <w:szCs w:val="20"/>
        </w:rPr>
        <w:t xml:space="preserve">določanje glob za </w:t>
      </w:r>
      <w:r w:rsidRPr="00D83239">
        <w:rPr>
          <w:rFonts w:ascii="Arial" w:hAnsi="Arial" w:cs="Arial"/>
          <w:sz w:val="20"/>
          <w:szCs w:val="20"/>
        </w:rPr>
        <w:t xml:space="preserve">posamezne prekrške občinskim redarstvom. </w:t>
      </w:r>
    </w:p>
    <w:p w14:paraId="69F86848" w14:textId="77777777" w:rsidR="009433E0" w:rsidRPr="00D83239" w:rsidRDefault="009433E0" w:rsidP="009433E0">
      <w:pPr>
        <w:spacing w:after="0" w:line="276" w:lineRule="auto"/>
        <w:jc w:val="both"/>
        <w:rPr>
          <w:rFonts w:ascii="Arial" w:hAnsi="Arial" w:cs="Arial"/>
          <w:sz w:val="20"/>
          <w:szCs w:val="20"/>
        </w:rPr>
      </w:pPr>
    </w:p>
    <w:p w14:paraId="79C57F2C" w14:textId="7475A0BC" w:rsidR="009433E0" w:rsidRDefault="009433E0" w:rsidP="009433E0">
      <w:pPr>
        <w:spacing w:after="0" w:line="276" w:lineRule="auto"/>
        <w:jc w:val="both"/>
        <w:rPr>
          <w:rFonts w:ascii="Arial" w:hAnsi="Arial" w:cs="Arial"/>
          <w:sz w:val="20"/>
          <w:szCs w:val="20"/>
        </w:rPr>
      </w:pPr>
      <w:r w:rsidRPr="00D83239">
        <w:rPr>
          <w:rFonts w:ascii="Arial" w:hAnsi="Arial" w:cs="Arial"/>
          <w:sz w:val="20"/>
          <w:szCs w:val="20"/>
        </w:rPr>
        <w:t xml:space="preserve">MNZ je konec leta 2025 ponovno </w:t>
      </w:r>
      <w:r w:rsidR="009B2CC6">
        <w:rPr>
          <w:rFonts w:ascii="Arial" w:hAnsi="Arial" w:cs="Arial"/>
          <w:sz w:val="20"/>
          <w:szCs w:val="20"/>
        </w:rPr>
        <w:t>začelo</w:t>
      </w:r>
      <w:r w:rsidRPr="00D83239">
        <w:rPr>
          <w:rFonts w:ascii="Arial" w:hAnsi="Arial" w:cs="Arial"/>
          <w:sz w:val="20"/>
          <w:szCs w:val="20"/>
        </w:rPr>
        <w:t xml:space="preserve"> priprav</w:t>
      </w:r>
      <w:r w:rsidR="009B2CC6">
        <w:rPr>
          <w:rFonts w:ascii="Arial" w:hAnsi="Arial" w:cs="Arial"/>
          <w:sz w:val="20"/>
          <w:szCs w:val="20"/>
        </w:rPr>
        <w:t>ljat</w:t>
      </w:r>
      <w:r w:rsidRPr="00D83239">
        <w:rPr>
          <w:rFonts w:ascii="Arial" w:hAnsi="Arial" w:cs="Arial"/>
          <w:sz w:val="20"/>
          <w:szCs w:val="20"/>
        </w:rPr>
        <w:t xml:space="preserve">i predlog </w:t>
      </w:r>
      <w:r w:rsidRPr="00D83239">
        <w:rPr>
          <w:rFonts w:ascii="Arial" w:hAnsi="Arial" w:cs="Arial"/>
          <w:b/>
          <w:bCs/>
          <w:sz w:val="20"/>
          <w:szCs w:val="20"/>
        </w:rPr>
        <w:t>Zakona o spremembah in dopolnitvah Zakona o organiziranosti in delu v policiji</w:t>
      </w:r>
      <w:r w:rsidRPr="00D83239">
        <w:rPr>
          <w:rFonts w:ascii="Arial" w:hAnsi="Arial" w:cs="Arial"/>
          <w:sz w:val="20"/>
          <w:szCs w:val="20"/>
        </w:rPr>
        <w:t xml:space="preserve">. </w:t>
      </w:r>
      <w:r w:rsidR="009B2CC6">
        <w:rPr>
          <w:rFonts w:ascii="Arial" w:hAnsi="Arial" w:cs="Arial"/>
          <w:sz w:val="20"/>
          <w:szCs w:val="20"/>
        </w:rPr>
        <w:t>Predlagana n</w:t>
      </w:r>
      <w:r>
        <w:rPr>
          <w:rFonts w:ascii="Arial" w:hAnsi="Arial" w:cs="Arial"/>
          <w:sz w:val="20"/>
          <w:szCs w:val="20"/>
        </w:rPr>
        <w:t>ovela zakona:</w:t>
      </w:r>
    </w:p>
    <w:p w14:paraId="28ACC634" w14:textId="5FA44215" w:rsidR="009433E0" w:rsidRDefault="009433E0" w:rsidP="009433E0">
      <w:pPr>
        <w:pStyle w:val="Odstavekseznama"/>
        <w:numPr>
          <w:ilvl w:val="0"/>
          <w:numId w:val="2"/>
        </w:numPr>
        <w:spacing w:after="0"/>
        <w:jc w:val="both"/>
        <w:rPr>
          <w:rFonts w:ascii="Arial" w:eastAsia="Arial" w:hAnsi="Arial" w:cs="Arial"/>
          <w:color w:val="000000"/>
          <w:sz w:val="20"/>
          <w:szCs w:val="20"/>
        </w:rPr>
      </w:pPr>
      <w:r w:rsidRPr="00D83239">
        <w:rPr>
          <w:rFonts w:ascii="Arial" w:hAnsi="Arial" w:cs="Arial"/>
          <w:sz w:val="20"/>
          <w:szCs w:val="20"/>
        </w:rPr>
        <w:t xml:space="preserve">vsebuje ustreznejšo ureditev </w:t>
      </w:r>
      <w:r w:rsidRPr="00D83239">
        <w:rPr>
          <w:rFonts w:ascii="Arial" w:eastAsia="Arial" w:hAnsi="Arial" w:cs="Arial"/>
          <w:color w:val="000000"/>
          <w:sz w:val="20"/>
          <w:szCs w:val="20"/>
        </w:rPr>
        <w:t>dela preko polnega delovnega časa v izjemnih in nujnih primerih oziroma v primerih dela policistov, ki izvajajo določene naloge</w:t>
      </w:r>
      <w:r w:rsidR="004D705D">
        <w:rPr>
          <w:rFonts w:ascii="Arial" w:eastAsia="Arial" w:hAnsi="Arial" w:cs="Arial"/>
          <w:color w:val="000000"/>
          <w:sz w:val="20"/>
          <w:szCs w:val="20"/>
        </w:rPr>
        <w:t>,</w:t>
      </w:r>
      <w:r w:rsidRPr="00D83239">
        <w:rPr>
          <w:rFonts w:ascii="Arial" w:eastAsia="Arial" w:hAnsi="Arial" w:cs="Arial"/>
          <w:color w:val="000000"/>
          <w:sz w:val="20"/>
          <w:szCs w:val="20"/>
        </w:rPr>
        <w:t xml:space="preserve"> </w:t>
      </w:r>
      <w:r w:rsidR="004D705D">
        <w:rPr>
          <w:rFonts w:ascii="Arial" w:eastAsia="Arial" w:hAnsi="Arial" w:cs="Arial"/>
          <w:color w:val="000000"/>
          <w:sz w:val="20"/>
          <w:szCs w:val="20"/>
        </w:rPr>
        <w:t>ter</w:t>
      </w:r>
      <w:r w:rsidR="004D705D" w:rsidRPr="00D83239">
        <w:rPr>
          <w:rFonts w:ascii="Arial" w:eastAsia="Arial" w:hAnsi="Arial" w:cs="Arial"/>
          <w:color w:val="000000"/>
          <w:sz w:val="20"/>
          <w:szCs w:val="20"/>
        </w:rPr>
        <w:t xml:space="preserve"> </w:t>
      </w:r>
      <w:r w:rsidRPr="00D83239">
        <w:rPr>
          <w:rFonts w:ascii="Arial" w:eastAsia="Arial" w:hAnsi="Arial" w:cs="Arial"/>
          <w:color w:val="000000"/>
          <w:sz w:val="20"/>
          <w:szCs w:val="20"/>
        </w:rPr>
        <w:t xml:space="preserve">prepušča urejanje takšnega dela kolektivni pogodbi na ravni dejavnosti; </w:t>
      </w:r>
    </w:p>
    <w:p w14:paraId="073C7F41" w14:textId="67CF5FCC" w:rsidR="009433E0" w:rsidRDefault="009433E0" w:rsidP="009433E0">
      <w:pPr>
        <w:pStyle w:val="Odstavekseznama"/>
        <w:numPr>
          <w:ilvl w:val="0"/>
          <w:numId w:val="2"/>
        </w:numPr>
        <w:spacing w:after="0"/>
        <w:jc w:val="both"/>
        <w:rPr>
          <w:rFonts w:ascii="Arial" w:eastAsia="Arial" w:hAnsi="Arial" w:cs="Arial"/>
          <w:color w:val="000000"/>
          <w:sz w:val="20"/>
          <w:szCs w:val="20"/>
        </w:rPr>
      </w:pPr>
      <w:r w:rsidRPr="00D83239">
        <w:rPr>
          <w:rFonts w:ascii="Arial" w:eastAsia="Arial" w:hAnsi="Arial" w:cs="Arial"/>
          <w:color w:val="000000"/>
          <w:sz w:val="20"/>
          <w:szCs w:val="20"/>
        </w:rPr>
        <w:t>na zakonski ravni omogoča sklenitev ali podaljšanje najemne pogodbe za služben</w:t>
      </w:r>
      <w:r w:rsidR="00BC0EFC">
        <w:rPr>
          <w:rFonts w:ascii="Arial" w:eastAsia="Arial" w:hAnsi="Arial" w:cs="Arial"/>
          <w:color w:val="000000"/>
          <w:sz w:val="20"/>
          <w:szCs w:val="20"/>
        </w:rPr>
        <w:t>o</w:t>
      </w:r>
      <w:r w:rsidRPr="00D83239">
        <w:rPr>
          <w:rFonts w:ascii="Arial" w:eastAsia="Arial" w:hAnsi="Arial" w:cs="Arial"/>
          <w:color w:val="000000"/>
          <w:sz w:val="20"/>
          <w:szCs w:val="20"/>
        </w:rPr>
        <w:t xml:space="preserve"> stanovanj</w:t>
      </w:r>
      <w:r w:rsidR="00BC0EFC">
        <w:rPr>
          <w:rFonts w:ascii="Arial" w:eastAsia="Arial" w:hAnsi="Arial" w:cs="Arial"/>
          <w:color w:val="000000"/>
          <w:sz w:val="20"/>
          <w:szCs w:val="20"/>
        </w:rPr>
        <w:t>e</w:t>
      </w:r>
      <w:r w:rsidRPr="00D83239">
        <w:rPr>
          <w:rFonts w:ascii="Arial" w:eastAsia="Arial" w:hAnsi="Arial" w:cs="Arial"/>
          <w:color w:val="000000"/>
          <w:sz w:val="20"/>
          <w:szCs w:val="20"/>
        </w:rPr>
        <w:t>, samsk</w:t>
      </w:r>
      <w:r w:rsidR="00BC0EFC">
        <w:rPr>
          <w:rFonts w:ascii="Arial" w:eastAsia="Arial" w:hAnsi="Arial" w:cs="Arial"/>
          <w:color w:val="000000"/>
          <w:sz w:val="20"/>
          <w:szCs w:val="20"/>
        </w:rPr>
        <w:t>o</w:t>
      </w:r>
      <w:r w:rsidRPr="00D83239">
        <w:rPr>
          <w:rFonts w:ascii="Arial" w:eastAsia="Arial" w:hAnsi="Arial" w:cs="Arial"/>
          <w:color w:val="000000"/>
          <w:sz w:val="20"/>
          <w:szCs w:val="20"/>
        </w:rPr>
        <w:t xml:space="preserve"> sob</w:t>
      </w:r>
      <w:r w:rsidR="00BC0EFC">
        <w:rPr>
          <w:rFonts w:ascii="Arial" w:eastAsia="Arial" w:hAnsi="Arial" w:cs="Arial"/>
          <w:color w:val="000000"/>
          <w:sz w:val="20"/>
          <w:szCs w:val="20"/>
        </w:rPr>
        <w:t>o</w:t>
      </w:r>
      <w:r w:rsidRPr="00D83239">
        <w:rPr>
          <w:rFonts w:ascii="Arial" w:eastAsia="Arial" w:hAnsi="Arial" w:cs="Arial"/>
          <w:color w:val="000000"/>
          <w:sz w:val="20"/>
          <w:szCs w:val="20"/>
        </w:rPr>
        <w:t xml:space="preserve"> in ležišč</w:t>
      </w:r>
      <w:r w:rsidR="00BC0EFC">
        <w:rPr>
          <w:rFonts w:ascii="Arial" w:eastAsia="Arial" w:hAnsi="Arial" w:cs="Arial"/>
          <w:color w:val="000000"/>
          <w:sz w:val="20"/>
          <w:szCs w:val="20"/>
        </w:rPr>
        <w:t>e</w:t>
      </w:r>
      <w:r w:rsidRPr="00D83239">
        <w:rPr>
          <w:rFonts w:ascii="Arial" w:eastAsia="Arial" w:hAnsi="Arial" w:cs="Arial"/>
          <w:color w:val="000000"/>
          <w:sz w:val="20"/>
          <w:szCs w:val="20"/>
        </w:rPr>
        <w:t xml:space="preserve"> v samski sob</w:t>
      </w:r>
      <w:r w:rsidR="00BC0EFC">
        <w:rPr>
          <w:rFonts w:ascii="Arial" w:eastAsia="Arial" w:hAnsi="Arial" w:cs="Arial"/>
          <w:color w:val="000000"/>
          <w:sz w:val="20"/>
          <w:szCs w:val="20"/>
        </w:rPr>
        <w:t>i</w:t>
      </w:r>
      <w:r w:rsidRPr="00D83239">
        <w:rPr>
          <w:rFonts w:ascii="Arial" w:eastAsia="Arial" w:hAnsi="Arial" w:cs="Arial"/>
          <w:color w:val="000000"/>
          <w:sz w:val="20"/>
          <w:szCs w:val="20"/>
        </w:rPr>
        <w:t xml:space="preserve"> za upokojene uslužbence policije, ki so ob upokojitvi dopolnili najmanj 34 let delovne dobe v policiji in so imeli vsaj 20 let pred njo sklenjeno najemno pogodbo za službeno stanovanje, pod enakimi pogoji</w:t>
      </w:r>
      <w:r w:rsidR="004D705D">
        <w:rPr>
          <w:rFonts w:ascii="Arial" w:eastAsia="Arial" w:hAnsi="Arial" w:cs="Arial"/>
          <w:color w:val="000000"/>
          <w:sz w:val="20"/>
          <w:szCs w:val="20"/>
        </w:rPr>
        <w:t>,</w:t>
      </w:r>
      <w:r w:rsidRPr="00D83239">
        <w:rPr>
          <w:rFonts w:ascii="Arial" w:eastAsia="Arial" w:hAnsi="Arial" w:cs="Arial"/>
          <w:color w:val="000000"/>
          <w:sz w:val="20"/>
          <w:szCs w:val="20"/>
        </w:rPr>
        <w:t xml:space="preserve"> kot to velja za uslužbence policije; </w:t>
      </w:r>
    </w:p>
    <w:p w14:paraId="36EA833B" w14:textId="0F7A5471" w:rsidR="009433E0" w:rsidRDefault="009433E0" w:rsidP="009433E0">
      <w:pPr>
        <w:pStyle w:val="Odstavekseznama"/>
        <w:numPr>
          <w:ilvl w:val="0"/>
          <w:numId w:val="2"/>
        </w:numPr>
        <w:spacing w:after="0"/>
        <w:jc w:val="both"/>
        <w:rPr>
          <w:rFonts w:ascii="Arial" w:eastAsia="Arial" w:hAnsi="Arial" w:cs="Arial"/>
          <w:color w:val="000000"/>
          <w:sz w:val="20"/>
          <w:szCs w:val="20"/>
        </w:rPr>
      </w:pPr>
      <w:r w:rsidRPr="00D83239">
        <w:rPr>
          <w:rFonts w:ascii="Arial" w:eastAsia="Arial" w:hAnsi="Arial" w:cs="Arial"/>
          <w:color w:val="000000"/>
          <w:sz w:val="20"/>
          <w:szCs w:val="20"/>
        </w:rPr>
        <w:t xml:space="preserve">primeroma opredeljuje zdravstvena stanja, ki se upoštevajo pri določitvi </w:t>
      </w:r>
      <w:r w:rsidR="004D705D">
        <w:rPr>
          <w:rFonts w:ascii="Arial" w:eastAsia="Arial" w:hAnsi="Arial" w:cs="Arial"/>
          <w:color w:val="000000"/>
          <w:sz w:val="20"/>
          <w:szCs w:val="20"/>
        </w:rPr>
        <w:t>meril</w:t>
      </w:r>
      <w:r w:rsidR="004D705D" w:rsidRPr="00D83239">
        <w:rPr>
          <w:rFonts w:ascii="Arial" w:eastAsia="Arial" w:hAnsi="Arial" w:cs="Arial"/>
          <w:color w:val="000000"/>
          <w:sz w:val="20"/>
          <w:szCs w:val="20"/>
        </w:rPr>
        <w:t xml:space="preserve"> </w:t>
      </w:r>
      <w:r w:rsidRPr="00D83239">
        <w:rPr>
          <w:rFonts w:ascii="Arial" w:eastAsia="Arial" w:hAnsi="Arial" w:cs="Arial"/>
          <w:color w:val="000000"/>
          <w:sz w:val="20"/>
          <w:szCs w:val="20"/>
        </w:rPr>
        <w:t>za oceno psihofizične usposobljenosti policista po 97.a členu Zakona o organiziranosti in delu v policiji (</w:t>
      </w:r>
      <w:proofErr w:type="spellStart"/>
      <w:r w:rsidRPr="00D83239">
        <w:rPr>
          <w:rFonts w:ascii="Arial" w:eastAsia="Arial" w:hAnsi="Arial" w:cs="Arial"/>
          <w:color w:val="000000"/>
          <w:sz w:val="20"/>
          <w:szCs w:val="20"/>
        </w:rPr>
        <w:t>ZODPol</w:t>
      </w:r>
      <w:proofErr w:type="spellEnd"/>
      <w:r w:rsidRPr="00D83239">
        <w:rPr>
          <w:rFonts w:ascii="Arial" w:eastAsia="Arial" w:hAnsi="Arial" w:cs="Arial"/>
          <w:color w:val="000000"/>
          <w:sz w:val="20"/>
          <w:szCs w:val="20"/>
        </w:rPr>
        <w:t>)</w:t>
      </w:r>
      <w:r w:rsidR="004D705D">
        <w:rPr>
          <w:rFonts w:ascii="Arial" w:eastAsia="Arial" w:hAnsi="Arial" w:cs="Arial"/>
          <w:color w:val="000000"/>
          <w:sz w:val="20"/>
          <w:szCs w:val="20"/>
        </w:rPr>
        <w:t>,</w:t>
      </w:r>
      <w:r w:rsidRPr="00D83239">
        <w:rPr>
          <w:rFonts w:ascii="Arial" w:eastAsia="Arial" w:hAnsi="Arial" w:cs="Arial"/>
          <w:color w:val="000000"/>
          <w:sz w:val="20"/>
          <w:szCs w:val="20"/>
        </w:rPr>
        <w:t xml:space="preserve"> ter določa, da minister v pravilniku, ki ga izda na podlagi osmega odstavka 97.a člena </w:t>
      </w:r>
      <w:proofErr w:type="spellStart"/>
      <w:r w:rsidRPr="00D83239">
        <w:rPr>
          <w:rFonts w:ascii="Arial" w:eastAsia="Arial" w:hAnsi="Arial" w:cs="Arial"/>
          <w:color w:val="000000"/>
          <w:sz w:val="20"/>
          <w:szCs w:val="20"/>
        </w:rPr>
        <w:t>ZODPol</w:t>
      </w:r>
      <w:proofErr w:type="spellEnd"/>
      <w:r w:rsidRPr="00D83239">
        <w:rPr>
          <w:rFonts w:ascii="Arial" w:eastAsia="Arial" w:hAnsi="Arial" w:cs="Arial"/>
          <w:color w:val="000000"/>
          <w:sz w:val="20"/>
          <w:szCs w:val="20"/>
        </w:rPr>
        <w:t xml:space="preserve">, lahko vsebino preizkusa prilagodi tudi delovnim mestom, ki so sistemizirana v posamezni policijski enoti; </w:t>
      </w:r>
    </w:p>
    <w:p w14:paraId="5DB94520" w14:textId="2EBBDB0F" w:rsidR="009433E0" w:rsidRDefault="009433E0" w:rsidP="009433E0">
      <w:pPr>
        <w:pStyle w:val="Odstavekseznama"/>
        <w:numPr>
          <w:ilvl w:val="0"/>
          <w:numId w:val="2"/>
        </w:numPr>
        <w:spacing w:after="0"/>
        <w:jc w:val="both"/>
        <w:rPr>
          <w:rFonts w:ascii="Arial" w:eastAsia="Arial" w:hAnsi="Arial" w:cs="Arial"/>
          <w:color w:val="000000"/>
          <w:sz w:val="20"/>
          <w:szCs w:val="20"/>
        </w:rPr>
      </w:pPr>
      <w:r w:rsidRPr="00D83239">
        <w:rPr>
          <w:rFonts w:ascii="Arial" w:eastAsia="Arial" w:hAnsi="Arial" w:cs="Arial"/>
          <w:color w:val="000000"/>
          <w:sz w:val="20"/>
          <w:szCs w:val="20"/>
        </w:rPr>
        <w:t xml:space="preserve">za eno leto podaljšuje obdobje, v katerem morajo policisti, ki so bili ob sprejetju </w:t>
      </w:r>
      <w:proofErr w:type="spellStart"/>
      <w:r w:rsidRPr="00D83239">
        <w:rPr>
          <w:rFonts w:ascii="Arial" w:eastAsia="Arial" w:hAnsi="Arial" w:cs="Arial"/>
          <w:color w:val="000000"/>
          <w:sz w:val="20"/>
          <w:szCs w:val="20"/>
        </w:rPr>
        <w:t>ZODPol</w:t>
      </w:r>
      <w:proofErr w:type="spellEnd"/>
      <w:r w:rsidRPr="00D83239">
        <w:rPr>
          <w:rFonts w:ascii="Arial" w:eastAsia="Arial" w:hAnsi="Arial" w:cs="Arial"/>
          <w:color w:val="000000"/>
          <w:sz w:val="20"/>
          <w:szCs w:val="20"/>
        </w:rPr>
        <w:t xml:space="preserve"> leta 2013 premeščeni na delovn</w:t>
      </w:r>
      <w:r w:rsidR="004D705D">
        <w:rPr>
          <w:rFonts w:ascii="Arial" w:eastAsia="Arial" w:hAnsi="Arial" w:cs="Arial"/>
          <w:color w:val="000000"/>
          <w:sz w:val="20"/>
          <w:szCs w:val="20"/>
        </w:rPr>
        <w:t>o</w:t>
      </w:r>
      <w:r w:rsidRPr="00D83239">
        <w:rPr>
          <w:rFonts w:ascii="Arial" w:eastAsia="Arial" w:hAnsi="Arial" w:cs="Arial"/>
          <w:color w:val="000000"/>
          <w:sz w:val="20"/>
          <w:szCs w:val="20"/>
        </w:rPr>
        <w:t xml:space="preserve"> mest</w:t>
      </w:r>
      <w:r w:rsidR="004D705D">
        <w:rPr>
          <w:rFonts w:ascii="Arial" w:eastAsia="Arial" w:hAnsi="Arial" w:cs="Arial"/>
          <w:color w:val="000000"/>
          <w:sz w:val="20"/>
          <w:szCs w:val="20"/>
        </w:rPr>
        <w:t>o</w:t>
      </w:r>
      <w:r w:rsidRPr="00D83239">
        <w:rPr>
          <w:rFonts w:ascii="Arial" w:eastAsia="Arial" w:hAnsi="Arial" w:cs="Arial"/>
          <w:color w:val="000000"/>
          <w:sz w:val="20"/>
          <w:szCs w:val="20"/>
        </w:rPr>
        <w:t xml:space="preserve"> v višjem tarifnem razredu, pridobiti višješolsko izobrazbo in v katerem mora delodajalec tem policistom omogočiti pridobitev te izobrazbe. Razlogi za podaljšanje roka so zlasti prostorske in kadrovske omejitve Policijske akademije ter objektivne okoliščine šolajočih se policistov. </w:t>
      </w:r>
    </w:p>
    <w:p w14:paraId="279DBC89" w14:textId="465D75D0" w:rsidR="009433E0" w:rsidRPr="00BB498A" w:rsidRDefault="009433E0" w:rsidP="009433E0">
      <w:pPr>
        <w:spacing w:after="0"/>
        <w:jc w:val="both"/>
        <w:rPr>
          <w:rFonts w:ascii="Arial" w:eastAsia="Arial" w:hAnsi="Arial" w:cs="Arial"/>
          <w:color w:val="000000"/>
          <w:sz w:val="20"/>
          <w:szCs w:val="20"/>
        </w:rPr>
      </w:pPr>
      <w:r w:rsidRPr="00BB498A">
        <w:rPr>
          <w:rFonts w:ascii="Arial" w:eastAsia="Arial" w:hAnsi="Arial" w:cs="Arial"/>
          <w:color w:val="000000"/>
          <w:sz w:val="20"/>
          <w:szCs w:val="20"/>
        </w:rPr>
        <w:t>Predlog zakona je v obravnavi v Državnem zboru</w:t>
      </w:r>
      <w:r w:rsidR="004D705D">
        <w:rPr>
          <w:rFonts w:ascii="Arial" w:eastAsia="Arial" w:hAnsi="Arial" w:cs="Arial"/>
          <w:color w:val="000000"/>
          <w:sz w:val="20"/>
          <w:szCs w:val="20"/>
        </w:rPr>
        <w:t xml:space="preserve"> Republike Slovenije</w:t>
      </w:r>
      <w:r w:rsidRPr="00BB498A">
        <w:rPr>
          <w:rFonts w:ascii="Arial" w:eastAsia="Arial" w:hAnsi="Arial" w:cs="Arial"/>
          <w:color w:val="000000"/>
          <w:sz w:val="20"/>
          <w:szCs w:val="20"/>
        </w:rPr>
        <w:t xml:space="preserve">. </w:t>
      </w:r>
    </w:p>
    <w:p w14:paraId="69569A6D" w14:textId="77777777" w:rsidR="009433E0" w:rsidRPr="00D83239" w:rsidRDefault="009433E0" w:rsidP="009433E0">
      <w:pPr>
        <w:spacing w:after="0" w:line="276" w:lineRule="auto"/>
        <w:jc w:val="both"/>
        <w:rPr>
          <w:rFonts w:ascii="Arial" w:eastAsia="Times New Roman" w:hAnsi="Arial" w:cs="Arial"/>
          <w:iCs/>
          <w:sz w:val="20"/>
          <w:szCs w:val="20"/>
        </w:rPr>
      </w:pPr>
    </w:p>
    <w:p w14:paraId="3A6F2C74" w14:textId="723BD829" w:rsidR="009433E0" w:rsidRPr="00D83239" w:rsidRDefault="009433E0" w:rsidP="009433E0">
      <w:pPr>
        <w:spacing w:after="0" w:line="276" w:lineRule="auto"/>
        <w:jc w:val="both"/>
        <w:rPr>
          <w:rFonts w:ascii="Arial" w:hAnsi="Arial" w:cs="Arial"/>
          <w:sz w:val="20"/>
          <w:szCs w:val="20"/>
        </w:rPr>
      </w:pPr>
      <w:r w:rsidRPr="00D83239">
        <w:rPr>
          <w:rFonts w:ascii="Arial" w:hAnsi="Arial" w:cs="Arial"/>
          <w:sz w:val="20"/>
          <w:szCs w:val="20"/>
        </w:rPr>
        <w:t xml:space="preserve">Na ravni podzakonskih predpisov je MNZ v letu 2025 nadaljevalo oziroma </w:t>
      </w:r>
      <w:r w:rsidR="004D705D">
        <w:rPr>
          <w:rFonts w:ascii="Arial" w:hAnsi="Arial" w:cs="Arial"/>
          <w:sz w:val="20"/>
          <w:szCs w:val="20"/>
        </w:rPr>
        <w:t>začelo</w:t>
      </w:r>
      <w:r w:rsidRPr="00D83239">
        <w:rPr>
          <w:rFonts w:ascii="Arial" w:hAnsi="Arial" w:cs="Arial"/>
          <w:sz w:val="20"/>
          <w:szCs w:val="20"/>
        </w:rPr>
        <w:t xml:space="preserve"> priprav</w:t>
      </w:r>
      <w:r w:rsidR="004D705D">
        <w:rPr>
          <w:rFonts w:ascii="Arial" w:hAnsi="Arial" w:cs="Arial"/>
          <w:sz w:val="20"/>
          <w:szCs w:val="20"/>
        </w:rPr>
        <w:t>o</w:t>
      </w:r>
      <w:r w:rsidRPr="00D83239">
        <w:rPr>
          <w:rFonts w:ascii="Arial" w:hAnsi="Arial" w:cs="Arial"/>
          <w:sz w:val="20"/>
          <w:szCs w:val="20"/>
        </w:rPr>
        <w:t>:</w:t>
      </w:r>
    </w:p>
    <w:p w14:paraId="56092459" w14:textId="051CA4C2"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Pravilnika o izvajanju zakona o detektivski dejavnosti (z rokom sprejetja 18 mesecev od uveljavitve novega zakona)</w:t>
      </w:r>
      <w:r>
        <w:rPr>
          <w:rFonts w:ascii="Arial" w:hAnsi="Arial" w:cs="Arial"/>
          <w:sz w:val="20"/>
          <w:szCs w:val="20"/>
        </w:rPr>
        <w:t>;</w:t>
      </w:r>
    </w:p>
    <w:p w14:paraId="37C44BBD"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Pravilnika o spremembi Pravilnika o prepovedi približevanja določeni osebi, kraju ali območju</w:t>
      </w:r>
      <w:r>
        <w:rPr>
          <w:rFonts w:ascii="Arial" w:hAnsi="Arial" w:cs="Arial"/>
          <w:sz w:val="20"/>
          <w:szCs w:val="20"/>
        </w:rPr>
        <w:t>;</w:t>
      </w:r>
    </w:p>
    <w:p w14:paraId="009A7099"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Pravilnika o spremembi Pravilnika o policijski uniformi in nadomestilih</w:t>
      </w:r>
      <w:r>
        <w:rPr>
          <w:rFonts w:ascii="Arial" w:hAnsi="Arial" w:cs="Arial"/>
          <w:sz w:val="20"/>
          <w:szCs w:val="20"/>
        </w:rPr>
        <w:t>;</w:t>
      </w:r>
    </w:p>
    <w:p w14:paraId="3FDE5661"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Pravilnika o spremembi Pravilnika o policijskih pooblastilih</w:t>
      </w:r>
      <w:r>
        <w:rPr>
          <w:rFonts w:ascii="Arial" w:hAnsi="Arial" w:cs="Arial"/>
          <w:sz w:val="20"/>
          <w:szCs w:val="20"/>
        </w:rPr>
        <w:t>;</w:t>
      </w:r>
    </w:p>
    <w:p w14:paraId="4FA494F1"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Uredbe o varovanju ogroženih uradnih oseb</w:t>
      </w:r>
      <w:r>
        <w:rPr>
          <w:rFonts w:ascii="Arial" w:hAnsi="Arial" w:cs="Arial"/>
          <w:sz w:val="20"/>
          <w:szCs w:val="20"/>
        </w:rPr>
        <w:t>;</w:t>
      </w:r>
    </w:p>
    <w:p w14:paraId="77F2AE59"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Uredbe o spremembah in dopolnitvah Uredbe o varovanju določenih oseb, prostorov, objektov in okolišev objektov, ki jih varuje policija</w:t>
      </w:r>
      <w:r>
        <w:rPr>
          <w:rFonts w:ascii="Arial" w:hAnsi="Arial" w:cs="Arial"/>
          <w:sz w:val="20"/>
          <w:szCs w:val="20"/>
        </w:rPr>
        <w:t>;</w:t>
      </w:r>
    </w:p>
    <w:p w14:paraId="34179381"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Odloka o Strokovnem svetu Vlade Republike Slovenije za evalvacijo izvajanja Zakona o nujnih ukrepih za zagotavljanje javne varnosti</w:t>
      </w:r>
      <w:r>
        <w:rPr>
          <w:rFonts w:ascii="Arial" w:hAnsi="Arial" w:cs="Arial"/>
          <w:sz w:val="20"/>
          <w:szCs w:val="20"/>
        </w:rPr>
        <w:t xml:space="preserve"> in</w:t>
      </w:r>
      <w:r w:rsidRPr="00727982">
        <w:rPr>
          <w:rFonts w:ascii="Arial" w:hAnsi="Arial" w:cs="Arial"/>
          <w:sz w:val="20"/>
          <w:szCs w:val="20"/>
        </w:rPr>
        <w:t xml:space="preserve"> </w:t>
      </w:r>
      <w:r w:rsidRPr="00D83239">
        <w:rPr>
          <w:rFonts w:ascii="Arial" w:hAnsi="Arial" w:cs="Arial"/>
          <w:sz w:val="20"/>
          <w:szCs w:val="20"/>
        </w:rPr>
        <w:t>Odloka</w:t>
      </w:r>
      <w:r>
        <w:rPr>
          <w:rFonts w:ascii="Arial" w:hAnsi="Arial" w:cs="Arial"/>
          <w:sz w:val="20"/>
          <w:szCs w:val="20"/>
        </w:rPr>
        <w:t xml:space="preserve"> o njegovi dopolnitvi</w:t>
      </w:r>
      <w:r w:rsidRPr="00D83239">
        <w:rPr>
          <w:rFonts w:ascii="Arial" w:hAnsi="Arial" w:cs="Arial"/>
          <w:sz w:val="20"/>
          <w:szCs w:val="20"/>
        </w:rPr>
        <w:t>.</w:t>
      </w:r>
    </w:p>
    <w:p w14:paraId="0782896B" w14:textId="77777777" w:rsidR="009433E0" w:rsidRPr="00D83239" w:rsidRDefault="009433E0" w:rsidP="009433E0">
      <w:pPr>
        <w:pStyle w:val="Odstavekseznama"/>
        <w:spacing w:after="0"/>
        <w:jc w:val="both"/>
        <w:rPr>
          <w:rFonts w:ascii="Arial" w:hAnsi="Arial" w:cs="Arial"/>
          <w:sz w:val="20"/>
          <w:szCs w:val="20"/>
        </w:rPr>
      </w:pPr>
    </w:p>
    <w:p w14:paraId="35DE8146" w14:textId="77777777" w:rsidR="009433E0" w:rsidRPr="00D83239" w:rsidRDefault="009433E0" w:rsidP="009433E0">
      <w:pPr>
        <w:spacing w:after="0" w:line="276" w:lineRule="auto"/>
        <w:jc w:val="both"/>
        <w:rPr>
          <w:rFonts w:ascii="Arial" w:hAnsi="Arial" w:cs="Arial"/>
          <w:sz w:val="20"/>
          <w:szCs w:val="20"/>
        </w:rPr>
      </w:pPr>
      <w:r w:rsidRPr="00D83239">
        <w:rPr>
          <w:rFonts w:ascii="Arial" w:hAnsi="Arial" w:cs="Arial"/>
          <w:sz w:val="20"/>
          <w:szCs w:val="20"/>
        </w:rPr>
        <w:t xml:space="preserve">Na ravni podzakonskih predpisov so bili v letu 2025 sprejeti naslednji predpisi: </w:t>
      </w:r>
    </w:p>
    <w:p w14:paraId="34122522" w14:textId="074E400D" w:rsidR="009433E0" w:rsidRPr="00D83239" w:rsidRDefault="009433E0" w:rsidP="009433E0">
      <w:pPr>
        <w:pStyle w:val="Odstavekseznama"/>
        <w:numPr>
          <w:ilvl w:val="0"/>
          <w:numId w:val="2"/>
        </w:numPr>
        <w:spacing w:after="0"/>
        <w:contextualSpacing/>
        <w:jc w:val="both"/>
        <w:rPr>
          <w:rFonts w:ascii="Arial" w:hAnsi="Arial" w:cs="Arial"/>
          <w:sz w:val="20"/>
          <w:szCs w:val="20"/>
        </w:rPr>
      </w:pPr>
      <w:r w:rsidRPr="00D83239">
        <w:rPr>
          <w:rFonts w:ascii="Arial" w:hAnsi="Arial" w:cs="Arial"/>
          <w:sz w:val="20"/>
          <w:szCs w:val="20"/>
        </w:rPr>
        <w:t>Uredba o metodologiji za izračun najvišje višine finančnega nadomestila občinam zaradi začasne ponovne uvedbe nadzora na notranjih mejah (Uradni list RS, št. 11/25), ki je bila sprejeta 20.</w:t>
      </w:r>
      <w:r w:rsidR="00770F5F">
        <w:rPr>
          <w:rFonts w:ascii="Arial" w:hAnsi="Arial" w:cs="Arial"/>
          <w:sz w:val="20"/>
          <w:szCs w:val="20"/>
        </w:rPr>
        <w:t> </w:t>
      </w:r>
      <w:r w:rsidRPr="00D83239">
        <w:rPr>
          <w:rFonts w:ascii="Arial" w:hAnsi="Arial" w:cs="Arial"/>
          <w:sz w:val="20"/>
          <w:szCs w:val="20"/>
        </w:rPr>
        <w:t>2.</w:t>
      </w:r>
      <w:r w:rsidR="00770F5F">
        <w:rPr>
          <w:rFonts w:ascii="Arial" w:hAnsi="Arial" w:cs="Arial"/>
          <w:sz w:val="20"/>
          <w:szCs w:val="20"/>
        </w:rPr>
        <w:t> </w:t>
      </w:r>
      <w:r w:rsidRPr="00D83239">
        <w:rPr>
          <w:rFonts w:ascii="Arial" w:hAnsi="Arial" w:cs="Arial"/>
          <w:sz w:val="20"/>
          <w:szCs w:val="20"/>
        </w:rPr>
        <w:t>2025 in se uporablja od 22. 2. 2025</w:t>
      </w:r>
      <w:r>
        <w:rPr>
          <w:rFonts w:ascii="Arial" w:hAnsi="Arial" w:cs="Arial"/>
          <w:sz w:val="20"/>
          <w:szCs w:val="20"/>
        </w:rPr>
        <w:t>;</w:t>
      </w:r>
    </w:p>
    <w:p w14:paraId="372766DD" w14:textId="77777777" w:rsidR="009433E0" w:rsidRPr="00D83239" w:rsidRDefault="009433E0" w:rsidP="009433E0">
      <w:pPr>
        <w:pStyle w:val="Odstavekseznama"/>
        <w:numPr>
          <w:ilvl w:val="0"/>
          <w:numId w:val="2"/>
        </w:numPr>
        <w:spacing w:after="0"/>
        <w:contextualSpacing/>
        <w:jc w:val="both"/>
        <w:rPr>
          <w:rFonts w:ascii="Arial" w:hAnsi="Arial" w:cs="Arial"/>
          <w:sz w:val="20"/>
          <w:szCs w:val="20"/>
        </w:rPr>
      </w:pPr>
      <w:r w:rsidRPr="00D83239">
        <w:rPr>
          <w:rFonts w:ascii="Arial" w:hAnsi="Arial" w:cs="Arial"/>
          <w:sz w:val="20"/>
          <w:szCs w:val="20"/>
        </w:rPr>
        <w:t>Uredba o dopolnitvah Uredbe o vozilih, plovilih, oborožitvi in posebni opremi policije (Uradni list RS, št. 18/25), ki je bila sprejeta 20. 3. 2025 in se uporablja od 22. 3. 2025</w:t>
      </w:r>
      <w:r>
        <w:rPr>
          <w:rFonts w:ascii="Arial" w:hAnsi="Arial" w:cs="Arial"/>
          <w:sz w:val="20"/>
          <w:szCs w:val="20"/>
        </w:rPr>
        <w:t>;</w:t>
      </w:r>
    </w:p>
    <w:p w14:paraId="7DA1FA22" w14:textId="77777777" w:rsidR="009433E0" w:rsidRPr="00D83239" w:rsidRDefault="009433E0" w:rsidP="009433E0">
      <w:pPr>
        <w:pStyle w:val="Odstavekseznama"/>
        <w:numPr>
          <w:ilvl w:val="0"/>
          <w:numId w:val="2"/>
        </w:numPr>
        <w:spacing w:after="0"/>
        <w:contextualSpacing/>
        <w:jc w:val="both"/>
        <w:rPr>
          <w:rFonts w:ascii="Arial" w:hAnsi="Arial" w:cs="Arial"/>
          <w:sz w:val="20"/>
          <w:szCs w:val="20"/>
        </w:rPr>
      </w:pPr>
      <w:r w:rsidRPr="00D83239">
        <w:rPr>
          <w:rFonts w:ascii="Arial" w:hAnsi="Arial" w:cs="Arial"/>
          <w:sz w:val="20"/>
          <w:szCs w:val="20"/>
        </w:rPr>
        <w:t>Uredba o varovanju predsednika republike in predsednika Vlade Republike Slovenije (Uradni list RS, št. 58/25), ki je bila sprejeta 31. 7. 2025 in velja od 15. 8. 2025</w:t>
      </w:r>
      <w:r>
        <w:rPr>
          <w:rFonts w:ascii="Arial" w:hAnsi="Arial" w:cs="Arial"/>
          <w:sz w:val="20"/>
          <w:szCs w:val="20"/>
        </w:rPr>
        <w:t>;</w:t>
      </w:r>
    </w:p>
    <w:p w14:paraId="4A05DFFD" w14:textId="77777777" w:rsidR="009433E0" w:rsidRPr="00D83239" w:rsidRDefault="009433E0" w:rsidP="009433E0">
      <w:pPr>
        <w:pStyle w:val="Odstavekseznama"/>
        <w:numPr>
          <w:ilvl w:val="0"/>
          <w:numId w:val="2"/>
        </w:numPr>
        <w:spacing w:after="0"/>
        <w:contextualSpacing/>
        <w:jc w:val="both"/>
        <w:rPr>
          <w:rFonts w:ascii="Arial" w:hAnsi="Arial" w:cs="Arial"/>
          <w:sz w:val="20"/>
          <w:szCs w:val="20"/>
        </w:rPr>
      </w:pPr>
      <w:r w:rsidRPr="00D83239">
        <w:rPr>
          <w:rFonts w:ascii="Arial" w:hAnsi="Arial" w:cs="Arial"/>
          <w:sz w:val="20"/>
          <w:szCs w:val="20"/>
        </w:rPr>
        <w:t>Uredba o spremembi in dopolnitvi Uredbe o varovanju določenih oseb, prostorov, objektov in okolišev objektov, ki jih varuje policija (Uradni list RS, št. 58/25), ki je bila sprejeta 31. 7. 2025 in velja od 15. 8. 2025</w:t>
      </w:r>
      <w:r>
        <w:rPr>
          <w:rFonts w:ascii="Arial" w:hAnsi="Arial" w:cs="Arial"/>
          <w:sz w:val="20"/>
          <w:szCs w:val="20"/>
        </w:rPr>
        <w:t>;</w:t>
      </w:r>
    </w:p>
    <w:p w14:paraId="5E6ECDA4" w14:textId="77777777" w:rsidR="009433E0" w:rsidRPr="00D83239" w:rsidRDefault="009433E0" w:rsidP="009433E0">
      <w:pPr>
        <w:pStyle w:val="Odstavekseznama"/>
        <w:numPr>
          <w:ilvl w:val="0"/>
          <w:numId w:val="2"/>
        </w:numPr>
        <w:spacing w:after="0"/>
        <w:contextualSpacing/>
        <w:jc w:val="both"/>
        <w:rPr>
          <w:rFonts w:ascii="Arial" w:hAnsi="Arial" w:cs="Arial"/>
          <w:sz w:val="20"/>
          <w:szCs w:val="20"/>
        </w:rPr>
      </w:pPr>
      <w:r w:rsidRPr="00D83239">
        <w:rPr>
          <w:rFonts w:ascii="Arial" w:hAnsi="Arial" w:cs="Arial"/>
          <w:sz w:val="20"/>
          <w:szCs w:val="20"/>
        </w:rPr>
        <w:t>Odlok o Strokovnem svetu Vlade Republike Slovenije za evalvacijo izvajanja Zakona o nujnih ukrepih za zagotavljanje javne varnosti (Uradni list RS, št. 96/25), ki je bil sprejet 28. 11. 2025 in velja od 29. 11. 2025.</w:t>
      </w:r>
    </w:p>
    <w:p w14:paraId="5BD3F986" w14:textId="77777777" w:rsidR="009433E0" w:rsidRPr="00D83239" w:rsidRDefault="009433E0" w:rsidP="009433E0">
      <w:pPr>
        <w:spacing w:after="0" w:line="276" w:lineRule="auto"/>
        <w:jc w:val="both"/>
        <w:rPr>
          <w:rFonts w:ascii="Arial" w:hAnsi="Arial" w:cs="Arial"/>
          <w:color w:val="000000"/>
          <w:sz w:val="20"/>
          <w:szCs w:val="20"/>
        </w:rPr>
      </w:pPr>
      <w:r w:rsidRPr="00D83239">
        <w:rPr>
          <w:rFonts w:ascii="Arial" w:eastAsia="Times New Roman" w:hAnsi="Arial" w:cs="Arial"/>
          <w:sz w:val="20"/>
          <w:szCs w:val="20"/>
        </w:rPr>
        <w:t xml:space="preserve"> </w:t>
      </w:r>
    </w:p>
    <w:p w14:paraId="6E186790" w14:textId="77777777" w:rsidR="009433E0" w:rsidRPr="00D83239" w:rsidRDefault="009433E0" w:rsidP="009433E0">
      <w:pPr>
        <w:autoSpaceDE w:val="0"/>
        <w:autoSpaceDN w:val="0"/>
        <w:adjustRightInd w:val="0"/>
        <w:spacing w:after="0" w:line="276" w:lineRule="auto"/>
        <w:contextualSpacing/>
        <w:jc w:val="both"/>
        <w:rPr>
          <w:rFonts w:ascii="Arial" w:hAnsi="Arial" w:cs="Arial"/>
          <w:color w:val="000000"/>
          <w:sz w:val="20"/>
          <w:szCs w:val="20"/>
        </w:rPr>
      </w:pPr>
      <w:r w:rsidRPr="00D83239">
        <w:rPr>
          <w:rFonts w:ascii="Arial" w:hAnsi="Arial" w:cs="Arial"/>
          <w:color w:val="000000"/>
          <w:sz w:val="20"/>
          <w:szCs w:val="20"/>
        </w:rPr>
        <w:t xml:space="preserve">Uslužbenci MNZ so v letu 2025 sodelovali v naslednjih delovnih skupinah s področja normativne in analitske dejavnosti: </w:t>
      </w:r>
    </w:p>
    <w:p w14:paraId="3949F001" w14:textId="77777777" w:rsidR="009433E0" w:rsidRPr="00D83239" w:rsidRDefault="009433E0" w:rsidP="009433E0">
      <w:pPr>
        <w:pStyle w:val="Odstavekseznama"/>
        <w:numPr>
          <w:ilvl w:val="0"/>
          <w:numId w:val="2"/>
        </w:numPr>
        <w:autoSpaceDE w:val="0"/>
        <w:autoSpaceDN w:val="0"/>
        <w:adjustRightInd w:val="0"/>
        <w:spacing w:after="0"/>
        <w:contextualSpacing/>
        <w:jc w:val="both"/>
        <w:rPr>
          <w:rFonts w:ascii="Arial" w:hAnsi="Arial" w:cs="Arial"/>
          <w:color w:val="000000"/>
          <w:sz w:val="20"/>
          <w:szCs w:val="20"/>
        </w:rPr>
      </w:pPr>
      <w:r w:rsidRPr="00D83239">
        <w:rPr>
          <w:rFonts w:ascii="Arial" w:hAnsi="Arial" w:cs="Arial"/>
          <w:color w:val="000000"/>
          <w:sz w:val="20"/>
          <w:szCs w:val="20"/>
        </w:rPr>
        <w:t xml:space="preserve">Delovna skupina za pregled zakonodaje in pooblastil občinskih redarjev s pripravo predlogov ustreznih rešitev za učinkovitejše in kakovostnejše delo občinskih redarjev;  </w:t>
      </w:r>
    </w:p>
    <w:p w14:paraId="64893765" w14:textId="77777777" w:rsidR="009433E0" w:rsidRPr="00D83239" w:rsidRDefault="009433E0" w:rsidP="009433E0">
      <w:pPr>
        <w:pStyle w:val="Odstavekseznama"/>
        <w:numPr>
          <w:ilvl w:val="0"/>
          <w:numId w:val="2"/>
        </w:numPr>
        <w:autoSpaceDE w:val="0"/>
        <w:autoSpaceDN w:val="0"/>
        <w:adjustRightInd w:val="0"/>
        <w:spacing w:after="0"/>
        <w:contextualSpacing/>
        <w:jc w:val="both"/>
        <w:rPr>
          <w:rFonts w:ascii="Arial" w:hAnsi="Arial" w:cs="Arial"/>
          <w:color w:val="000000"/>
          <w:sz w:val="20"/>
          <w:szCs w:val="20"/>
        </w:rPr>
      </w:pPr>
      <w:r w:rsidRPr="00D83239">
        <w:rPr>
          <w:rFonts w:ascii="Arial" w:hAnsi="Arial" w:cs="Arial"/>
          <w:color w:val="000000"/>
          <w:sz w:val="20"/>
          <w:szCs w:val="20"/>
        </w:rPr>
        <w:t xml:space="preserve">Delovna skupina za prepoznavo prilagoditve modela, ki meri uspešnost, učinkovitost in kakovost policijskega dela v Sloveniji; </w:t>
      </w:r>
    </w:p>
    <w:p w14:paraId="7F1F0025" w14:textId="0A8EE4F8" w:rsidR="009433E0" w:rsidRPr="00D83239" w:rsidRDefault="009433E0" w:rsidP="009433E0">
      <w:pPr>
        <w:pStyle w:val="Odstavekseznama"/>
        <w:numPr>
          <w:ilvl w:val="0"/>
          <w:numId w:val="2"/>
        </w:numPr>
        <w:autoSpaceDE w:val="0"/>
        <w:autoSpaceDN w:val="0"/>
        <w:adjustRightInd w:val="0"/>
        <w:spacing w:after="0"/>
        <w:contextualSpacing/>
        <w:jc w:val="both"/>
        <w:rPr>
          <w:rFonts w:ascii="Arial" w:hAnsi="Arial" w:cs="Arial"/>
          <w:color w:val="000000"/>
          <w:sz w:val="20"/>
          <w:szCs w:val="20"/>
        </w:rPr>
      </w:pPr>
      <w:r w:rsidRPr="00D83239">
        <w:rPr>
          <w:rFonts w:ascii="Arial" w:hAnsi="Arial" w:cs="Arial"/>
          <w:color w:val="000000"/>
          <w:sz w:val="20"/>
          <w:szCs w:val="20"/>
        </w:rPr>
        <w:t>Medresorska delovna skupina za pripravo nacionalnega programa spodbujanja razvoja in uporabe umetne inteligence v Republiki Sloveniji do leta 2030 (</w:t>
      </w:r>
      <w:proofErr w:type="spellStart"/>
      <w:r w:rsidRPr="00D83239">
        <w:rPr>
          <w:rFonts w:ascii="Arial" w:hAnsi="Arial" w:cs="Arial"/>
          <w:color w:val="000000"/>
          <w:sz w:val="20"/>
          <w:szCs w:val="20"/>
        </w:rPr>
        <w:t>NpUI</w:t>
      </w:r>
      <w:proofErr w:type="spellEnd"/>
      <w:r w:rsidR="00673EDC">
        <w:rPr>
          <w:rFonts w:ascii="Arial" w:hAnsi="Arial" w:cs="Arial"/>
          <w:color w:val="000000"/>
          <w:sz w:val="20"/>
          <w:szCs w:val="20"/>
        </w:rPr>
        <w:t xml:space="preserve"> </w:t>
      </w:r>
      <w:r w:rsidRPr="00D83239">
        <w:rPr>
          <w:rFonts w:ascii="Arial" w:hAnsi="Arial" w:cs="Arial"/>
          <w:color w:val="000000"/>
          <w:sz w:val="20"/>
          <w:szCs w:val="20"/>
        </w:rPr>
        <w:t xml:space="preserve">2030) in drugih strateških dokumentov s področja umetne inteligence; </w:t>
      </w:r>
    </w:p>
    <w:p w14:paraId="63557F34" w14:textId="77777777" w:rsidR="009433E0" w:rsidRPr="00D83239" w:rsidRDefault="009433E0" w:rsidP="009433E0">
      <w:pPr>
        <w:pStyle w:val="Odstavekseznama"/>
        <w:numPr>
          <w:ilvl w:val="0"/>
          <w:numId w:val="2"/>
        </w:numPr>
        <w:autoSpaceDE w:val="0"/>
        <w:autoSpaceDN w:val="0"/>
        <w:adjustRightInd w:val="0"/>
        <w:spacing w:after="0"/>
        <w:contextualSpacing/>
        <w:jc w:val="both"/>
        <w:rPr>
          <w:rFonts w:ascii="Arial" w:hAnsi="Arial" w:cs="Arial"/>
          <w:color w:val="000000"/>
          <w:sz w:val="20"/>
          <w:szCs w:val="20"/>
        </w:rPr>
      </w:pPr>
      <w:r w:rsidRPr="00D83239">
        <w:rPr>
          <w:rFonts w:ascii="Arial" w:hAnsi="Arial" w:cs="Arial"/>
          <w:color w:val="000000"/>
          <w:sz w:val="20"/>
          <w:szCs w:val="20"/>
        </w:rPr>
        <w:t>Delovna skupina za spremljanje uvajanja in razvoja umetne inteligence (UI) v delo policije;</w:t>
      </w:r>
    </w:p>
    <w:p w14:paraId="61FDE028" w14:textId="77777777" w:rsidR="009433E0" w:rsidRPr="00D83239" w:rsidRDefault="009433E0" w:rsidP="009433E0">
      <w:pPr>
        <w:pStyle w:val="Odstavekseznama"/>
        <w:numPr>
          <w:ilvl w:val="0"/>
          <w:numId w:val="2"/>
        </w:numPr>
        <w:autoSpaceDE w:val="0"/>
        <w:autoSpaceDN w:val="0"/>
        <w:adjustRightInd w:val="0"/>
        <w:spacing w:after="0"/>
        <w:contextualSpacing/>
        <w:jc w:val="both"/>
        <w:rPr>
          <w:rFonts w:ascii="Arial" w:hAnsi="Arial" w:cs="Arial"/>
          <w:color w:val="000000"/>
          <w:sz w:val="20"/>
          <w:szCs w:val="20"/>
        </w:rPr>
      </w:pPr>
      <w:r w:rsidRPr="00D83239">
        <w:rPr>
          <w:rFonts w:ascii="Arial" w:hAnsi="Arial" w:cs="Arial"/>
          <w:color w:val="000000"/>
          <w:sz w:val="20"/>
          <w:szCs w:val="20"/>
        </w:rPr>
        <w:t xml:space="preserve">Stalna delovna skupina za sistemsko urejenost in kakovost statističnega poročanja; </w:t>
      </w:r>
    </w:p>
    <w:p w14:paraId="638D3871"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Medresorska delovna skupina za proučitev sprememb in dopolnitev Zakona o prekrških; </w:t>
      </w:r>
    </w:p>
    <w:p w14:paraId="3BBB460E" w14:textId="13D86FE2"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Medresorska delovna skupina za zakonske spremembe na področju odvzema premoženja nezakonitega izvora; </w:t>
      </w:r>
    </w:p>
    <w:p w14:paraId="1A7B5C5B"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Medresorska delovna skupina za varnost pravosodnih funkcionarjev;   </w:t>
      </w:r>
    </w:p>
    <w:p w14:paraId="0992DDA9"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Delovna skupina za obravnavo antisemitizma. </w:t>
      </w:r>
    </w:p>
    <w:p w14:paraId="624E64A0" w14:textId="77777777" w:rsidR="009433E0" w:rsidRPr="00D83239" w:rsidRDefault="009433E0" w:rsidP="009433E0">
      <w:pPr>
        <w:autoSpaceDE w:val="0"/>
        <w:autoSpaceDN w:val="0"/>
        <w:adjustRightInd w:val="0"/>
        <w:spacing w:after="0" w:line="276" w:lineRule="auto"/>
        <w:jc w:val="both"/>
        <w:rPr>
          <w:rFonts w:ascii="Arial" w:hAnsi="Arial" w:cs="Arial"/>
          <w:sz w:val="20"/>
          <w:szCs w:val="20"/>
          <w:highlight w:val="yellow"/>
        </w:rPr>
      </w:pPr>
    </w:p>
    <w:p w14:paraId="5F4CFA9E" w14:textId="104DDF8B" w:rsidR="00BD4B95" w:rsidRPr="009433E0" w:rsidRDefault="009433E0" w:rsidP="009433E0">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Na področju analitske dejavnosti so bile v letu 2025 posodobljene in</w:t>
      </w:r>
      <w:r>
        <w:rPr>
          <w:rFonts w:ascii="Arial" w:hAnsi="Arial" w:cs="Arial"/>
          <w:sz w:val="20"/>
          <w:szCs w:val="20"/>
        </w:rPr>
        <w:t xml:space="preserve"> </w:t>
      </w:r>
      <w:r w:rsidRPr="00D83239">
        <w:rPr>
          <w:rFonts w:ascii="Arial" w:hAnsi="Arial" w:cs="Arial"/>
          <w:sz w:val="20"/>
          <w:szCs w:val="20"/>
        </w:rPr>
        <w:t xml:space="preserve">potrjene </w:t>
      </w:r>
      <w:r w:rsidR="00E42630">
        <w:rPr>
          <w:rFonts w:ascii="Arial" w:hAnsi="Arial" w:cs="Arial"/>
          <w:sz w:val="20"/>
          <w:szCs w:val="20"/>
        </w:rPr>
        <w:t>s</w:t>
      </w:r>
      <w:r w:rsidRPr="00D83239">
        <w:rPr>
          <w:rFonts w:ascii="Arial" w:hAnsi="Arial" w:cs="Arial"/>
          <w:sz w:val="20"/>
          <w:szCs w:val="20"/>
        </w:rPr>
        <w:t>mernice in načrt dela analitike v D</w:t>
      </w:r>
      <w:r>
        <w:rPr>
          <w:rFonts w:ascii="Arial" w:hAnsi="Arial" w:cs="Arial"/>
          <w:sz w:val="20"/>
          <w:szCs w:val="20"/>
        </w:rPr>
        <w:t xml:space="preserve">irektoratu za policijo in druge varnostne naloge </w:t>
      </w:r>
      <w:r w:rsidRPr="00D83239">
        <w:rPr>
          <w:rFonts w:ascii="Arial" w:hAnsi="Arial" w:cs="Arial"/>
          <w:sz w:val="20"/>
          <w:szCs w:val="20"/>
        </w:rPr>
        <w:t>za obdobje 2025</w:t>
      </w:r>
      <w:r w:rsidR="00E42630">
        <w:rPr>
          <w:rFonts w:ascii="Arial" w:hAnsi="Arial" w:cs="Arial"/>
          <w:sz w:val="20"/>
          <w:szCs w:val="20"/>
        </w:rPr>
        <w:t>–</w:t>
      </w:r>
      <w:r w:rsidRPr="00D83239">
        <w:rPr>
          <w:rFonts w:ascii="Arial" w:hAnsi="Arial" w:cs="Arial"/>
          <w:sz w:val="20"/>
          <w:szCs w:val="20"/>
        </w:rPr>
        <w:t xml:space="preserve">2027. Smernice povzemajo razvoj analitike v direktoratu ter opredeljujejo namen in </w:t>
      </w:r>
      <w:r w:rsidR="00E42630">
        <w:rPr>
          <w:rFonts w:ascii="Arial" w:hAnsi="Arial" w:cs="Arial"/>
          <w:sz w:val="20"/>
          <w:szCs w:val="20"/>
        </w:rPr>
        <w:t>vidike</w:t>
      </w:r>
      <w:r w:rsidR="00E42630" w:rsidRPr="00D83239">
        <w:rPr>
          <w:rFonts w:ascii="Arial" w:hAnsi="Arial" w:cs="Arial"/>
          <w:sz w:val="20"/>
          <w:szCs w:val="20"/>
        </w:rPr>
        <w:t xml:space="preserve"> </w:t>
      </w:r>
      <w:r w:rsidRPr="00D83239">
        <w:rPr>
          <w:rFonts w:ascii="Arial" w:hAnsi="Arial" w:cs="Arial"/>
          <w:sz w:val="20"/>
          <w:szCs w:val="20"/>
        </w:rPr>
        <w:t xml:space="preserve">njenega nadaljnjega razvoja z implikacijami v drugih enotah MNZ in policiji. Načrt dela vključuje analitsko podporo enotam v ožjem smislu, izvajanje sistemskih nalog direktorata in </w:t>
      </w:r>
      <w:r>
        <w:rPr>
          <w:rFonts w:ascii="Arial" w:hAnsi="Arial" w:cs="Arial"/>
          <w:sz w:val="20"/>
          <w:szCs w:val="20"/>
        </w:rPr>
        <w:t>MNZ</w:t>
      </w:r>
      <w:r w:rsidRPr="00D83239">
        <w:rPr>
          <w:rFonts w:ascii="Arial" w:hAnsi="Arial" w:cs="Arial"/>
          <w:sz w:val="20"/>
          <w:szCs w:val="20"/>
        </w:rPr>
        <w:t xml:space="preserve"> ter razvojno in raziskovalno dejavnost v</w:t>
      </w:r>
      <w:r>
        <w:rPr>
          <w:rFonts w:ascii="Arial" w:hAnsi="Arial" w:cs="Arial"/>
          <w:sz w:val="20"/>
          <w:szCs w:val="20"/>
        </w:rPr>
        <w:t xml:space="preserve"> MNZ</w:t>
      </w:r>
      <w:r w:rsidRPr="00D83239">
        <w:rPr>
          <w:rFonts w:ascii="Arial" w:hAnsi="Arial" w:cs="Arial"/>
          <w:sz w:val="20"/>
          <w:szCs w:val="20"/>
        </w:rPr>
        <w:t xml:space="preserve"> in policiji. </w:t>
      </w:r>
    </w:p>
    <w:p w14:paraId="0032F576" w14:textId="680159CE" w:rsidR="008E24D4" w:rsidRPr="00D83239" w:rsidRDefault="008E24D4" w:rsidP="00D83239">
      <w:pPr>
        <w:spacing w:after="0" w:line="276" w:lineRule="auto"/>
        <w:jc w:val="both"/>
        <w:rPr>
          <w:rFonts w:ascii="Arial" w:hAnsi="Arial" w:cs="Arial"/>
          <w:sz w:val="20"/>
          <w:szCs w:val="20"/>
          <w:highlight w:val="yellow"/>
        </w:rPr>
      </w:pPr>
    </w:p>
    <w:p w14:paraId="2531D166" w14:textId="245B2B90" w:rsidR="004C7196" w:rsidRPr="00D83239" w:rsidRDefault="00590E45" w:rsidP="00D83239">
      <w:pPr>
        <w:pStyle w:val="Naslov1"/>
        <w:spacing w:after="0" w:line="276" w:lineRule="auto"/>
        <w:jc w:val="both"/>
        <w:rPr>
          <w:color w:val="auto"/>
        </w:rPr>
      </w:pPr>
      <w:bookmarkStart w:id="6" w:name="_Toc65591456"/>
      <w:bookmarkStart w:id="7" w:name="_Toc65651007"/>
      <w:bookmarkStart w:id="8" w:name="_Toc225499814"/>
      <w:r w:rsidRPr="00D83239">
        <w:rPr>
          <w:color w:val="auto"/>
        </w:rPr>
        <w:t xml:space="preserve">Usmerjanje </w:t>
      </w:r>
      <w:r w:rsidR="00E42630">
        <w:rPr>
          <w:color w:val="auto"/>
        </w:rPr>
        <w:t xml:space="preserve">policije </w:t>
      </w:r>
      <w:r w:rsidRPr="00D83239">
        <w:rPr>
          <w:color w:val="auto"/>
        </w:rPr>
        <w:t xml:space="preserve">in nadzor nad delom policije ter </w:t>
      </w:r>
      <w:r w:rsidR="007C07F4" w:rsidRPr="00D83239">
        <w:rPr>
          <w:color w:val="auto"/>
        </w:rPr>
        <w:t>reševanje pritožb zoper policiste</w:t>
      </w:r>
      <w:bookmarkEnd w:id="6"/>
      <w:bookmarkEnd w:id="7"/>
      <w:bookmarkEnd w:id="8"/>
    </w:p>
    <w:p w14:paraId="71BFBF36" w14:textId="77777777" w:rsidR="004C7196" w:rsidRPr="00D83239" w:rsidRDefault="004C7196" w:rsidP="00D83239">
      <w:pPr>
        <w:spacing w:after="0" w:line="276" w:lineRule="auto"/>
        <w:jc w:val="both"/>
        <w:rPr>
          <w:rFonts w:ascii="Arial" w:hAnsi="Arial" w:cs="Arial"/>
          <w:sz w:val="20"/>
          <w:szCs w:val="20"/>
          <w:highlight w:val="yellow"/>
        </w:rPr>
      </w:pPr>
    </w:p>
    <w:p w14:paraId="3430DDFE" w14:textId="7AB60225" w:rsidR="00DB29C1" w:rsidRPr="00D83239" w:rsidRDefault="00DB29C1" w:rsidP="00D83239">
      <w:pPr>
        <w:spacing w:after="0" w:line="276" w:lineRule="auto"/>
        <w:jc w:val="both"/>
        <w:rPr>
          <w:rFonts w:ascii="Arial" w:eastAsia="ヒラギノ角ゴ Pro W3" w:hAnsi="Arial" w:cs="Arial"/>
          <w:color w:val="000000"/>
          <w:sz w:val="20"/>
          <w:szCs w:val="20"/>
        </w:rPr>
      </w:pPr>
      <w:r w:rsidRPr="00D83239">
        <w:rPr>
          <w:rFonts w:ascii="Arial" w:hAnsi="Arial" w:cs="Arial"/>
          <w:sz w:val="20"/>
          <w:szCs w:val="20"/>
        </w:rPr>
        <w:t xml:space="preserve">Usmerjanje </w:t>
      </w:r>
      <w:r w:rsidR="00E42630">
        <w:rPr>
          <w:rFonts w:ascii="Arial" w:hAnsi="Arial" w:cs="Arial"/>
          <w:sz w:val="20"/>
          <w:szCs w:val="20"/>
        </w:rPr>
        <w:t xml:space="preserve">policije </w:t>
      </w:r>
      <w:r w:rsidRPr="00D83239">
        <w:rPr>
          <w:rFonts w:ascii="Arial" w:hAnsi="Arial" w:cs="Arial"/>
          <w:sz w:val="20"/>
          <w:szCs w:val="20"/>
        </w:rPr>
        <w:t xml:space="preserve">in nadzor </w:t>
      </w:r>
      <w:r w:rsidR="00E42630">
        <w:rPr>
          <w:rFonts w:ascii="Arial" w:hAnsi="Arial" w:cs="Arial"/>
          <w:sz w:val="20"/>
          <w:szCs w:val="20"/>
        </w:rPr>
        <w:t xml:space="preserve">nad delom </w:t>
      </w:r>
      <w:r w:rsidRPr="00D83239">
        <w:rPr>
          <w:rFonts w:ascii="Arial" w:hAnsi="Arial" w:cs="Arial"/>
          <w:sz w:val="20"/>
          <w:szCs w:val="20"/>
        </w:rPr>
        <w:t xml:space="preserve">policije </w:t>
      </w:r>
      <w:r w:rsidRPr="00D83239">
        <w:rPr>
          <w:rFonts w:ascii="Arial" w:hAnsi="Arial" w:cs="Arial"/>
          <w:color w:val="000000"/>
          <w:sz w:val="20"/>
          <w:szCs w:val="20"/>
        </w:rPr>
        <w:t xml:space="preserve">sta potekala učinkovito in objektivno. </w:t>
      </w:r>
      <w:r w:rsidRPr="00D83239">
        <w:rPr>
          <w:rFonts w:ascii="Arial" w:eastAsia="ヒラギノ角ゴ Pro W3" w:hAnsi="Arial" w:cs="Arial"/>
          <w:color w:val="000000"/>
          <w:sz w:val="20"/>
          <w:szCs w:val="20"/>
        </w:rPr>
        <w:t xml:space="preserve">Opravljene so bile vse načrtovane naloge iz programa dela </w:t>
      </w:r>
      <w:r w:rsidR="00687629">
        <w:rPr>
          <w:rFonts w:ascii="Arial" w:eastAsia="ヒラギノ角ゴ Pro W3" w:hAnsi="Arial" w:cs="Arial"/>
          <w:color w:val="000000"/>
          <w:sz w:val="20"/>
          <w:szCs w:val="20"/>
        </w:rPr>
        <w:t>MNZ</w:t>
      </w:r>
      <w:r w:rsidRPr="00D83239">
        <w:rPr>
          <w:rFonts w:ascii="Arial" w:eastAsia="ヒラギノ角ゴ Pro W3" w:hAnsi="Arial" w:cs="Arial"/>
          <w:color w:val="000000"/>
          <w:sz w:val="20"/>
          <w:szCs w:val="20"/>
        </w:rPr>
        <w:t xml:space="preserve">, načrtovani nadzori iz letnega načrta nadzorov pa so bili v pretežni meri </w:t>
      </w:r>
      <w:r w:rsidR="00E42630">
        <w:rPr>
          <w:rFonts w:ascii="Arial" w:eastAsia="ヒラギノ角ゴ Pro W3" w:hAnsi="Arial" w:cs="Arial"/>
          <w:color w:val="000000"/>
          <w:sz w:val="20"/>
          <w:szCs w:val="20"/>
        </w:rPr>
        <w:t>izvede</w:t>
      </w:r>
      <w:r w:rsidRPr="00D83239">
        <w:rPr>
          <w:rFonts w:ascii="Arial" w:eastAsia="ヒラギノ角ゴ Pro W3" w:hAnsi="Arial" w:cs="Arial"/>
          <w:color w:val="000000"/>
          <w:sz w:val="20"/>
          <w:szCs w:val="20"/>
        </w:rPr>
        <w:t>ni.</w:t>
      </w:r>
    </w:p>
    <w:p w14:paraId="51C120AE" w14:textId="77777777" w:rsidR="00DB29C1" w:rsidRPr="00D83239" w:rsidRDefault="00DB29C1" w:rsidP="00D83239">
      <w:pPr>
        <w:spacing w:after="0" w:line="276" w:lineRule="auto"/>
        <w:jc w:val="both"/>
        <w:rPr>
          <w:rFonts w:ascii="Arial" w:hAnsi="Arial" w:cs="Arial"/>
          <w:color w:val="000000"/>
          <w:sz w:val="20"/>
          <w:szCs w:val="20"/>
          <w:highlight w:val="yellow"/>
        </w:rPr>
      </w:pPr>
      <w:r w:rsidRPr="00D83239">
        <w:rPr>
          <w:rFonts w:ascii="Arial" w:eastAsia="ヒラギノ角ゴ Pro W3" w:hAnsi="Arial" w:cs="Arial"/>
          <w:color w:val="000000"/>
          <w:sz w:val="20"/>
          <w:szCs w:val="20"/>
          <w:highlight w:val="yellow"/>
        </w:rPr>
        <w:t xml:space="preserve"> </w:t>
      </w:r>
    </w:p>
    <w:p w14:paraId="790F9105" w14:textId="484AA552" w:rsidR="00DB29C1" w:rsidRPr="00D83239" w:rsidRDefault="00DB29C1" w:rsidP="00D83239">
      <w:pPr>
        <w:spacing w:after="0" w:line="276" w:lineRule="auto"/>
        <w:jc w:val="both"/>
        <w:rPr>
          <w:rFonts w:ascii="Arial" w:hAnsi="Arial" w:cs="Arial"/>
          <w:color w:val="000000"/>
          <w:sz w:val="20"/>
          <w:szCs w:val="20"/>
        </w:rPr>
      </w:pPr>
      <w:r w:rsidRPr="00D83239">
        <w:rPr>
          <w:rFonts w:ascii="Arial" w:hAnsi="Arial" w:cs="Arial"/>
          <w:b/>
          <w:color w:val="000000"/>
          <w:sz w:val="20"/>
          <w:szCs w:val="20"/>
        </w:rPr>
        <w:t>Usmerjanje policije</w:t>
      </w:r>
      <w:r w:rsidRPr="00D83239">
        <w:rPr>
          <w:rFonts w:ascii="Arial" w:hAnsi="Arial" w:cs="Arial"/>
          <w:color w:val="000000"/>
          <w:sz w:val="20"/>
          <w:szCs w:val="20"/>
        </w:rPr>
        <w:t xml:space="preserve"> pomeni sistematično in načrtno dajanje splošnih ali </w:t>
      </w:r>
      <w:r w:rsidR="00E42630">
        <w:rPr>
          <w:rFonts w:ascii="Arial" w:hAnsi="Arial" w:cs="Arial"/>
          <w:color w:val="000000"/>
          <w:sz w:val="20"/>
          <w:szCs w:val="20"/>
        </w:rPr>
        <w:t>posameznih</w:t>
      </w:r>
      <w:r w:rsidR="00E42630" w:rsidRPr="00D83239">
        <w:rPr>
          <w:rFonts w:ascii="Arial" w:hAnsi="Arial" w:cs="Arial"/>
          <w:color w:val="000000"/>
          <w:sz w:val="20"/>
          <w:szCs w:val="20"/>
        </w:rPr>
        <w:t xml:space="preserve"> </w:t>
      </w:r>
      <w:r w:rsidRPr="00D83239">
        <w:rPr>
          <w:rFonts w:ascii="Arial" w:hAnsi="Arial" w:cs="Arial"/>
          <w:color w:val="000000"/>
          <w:sz w:val="20"/>
          <w:szCs w:val="20"/>
        </w:rPr>
        <w:t>napotil za opravljanje nalog, cilj</w:t>
      </w:r>
      <w:r w:rsidR="00E42630">
        <w:rPr>
          <w:rFonts w:ascii="Arial" w:hAnsi="Arial" w:cs="Arial"/>
          <w:color w:val="000000"/>
          <w:sz w:val="20"/>
          <w:szCs w:val="20"/>
        </w:rPr>
        <w:t xml:space="preserve"> je </w:t>
      </w:r>
      <w:r w:rsidRPr="00D83239">
        <w:rPr>
          <w:rFonts w:ascii="Arial" w:hAnsi="Arial" w:cs="Arial"/>
          <w:color w:val="000000"/>
          <w:sz w:val="20"/>
          <w:szCs w:val="20"/>
        </w:rPr>
        <w:t>izpolnjevanj</w:t>
      </w:r>
      <w:r w:rsidR="00E42630">
        <w:rPr>
          <w:rFonts w:ascii="Arial" w:hAnsi="Arial" w:cs="Arial"/>
          <w:color w:val="000000"/>
          <w:sz w:val="20"/>
          <w:szCs w:val="20"/>
        </w:rPr>
        <w:t>e</w:t>
      </w:r>
      <w:r w:rsidRPr="00D83239">
        <w:rPr>
          <w:rFonts w:ascii="Arial" w:hAnsi="Arial" w:cs="Arial"/>
          <w:color w:val="000000"/>
          <w:sz w:val="20"/>
          <w:szCs w:val="20"/>
        </w:rPr>
        <w:t xml:space="preserve"> temeljnega poslanstva policije. Minister daje policiji temeljne (srednjeročne), letne in posamične usmeritve za izvajanje njenih nalog. Usmeritve vsebujejo tudi roke, do kdaj je treba opraviti določene naloge, in zahtevo, da policija o </w:t>
      </w:r>
      <w:r w:rsidR="00E42630">
        <w:rPr>
          <w:rFonts w:ascii="Arial" w:hAnsi="Arial" w:cs="Arial"/>
          <w:color w:val="000000"/>
          <w:sz w:val="20"/>
          <w:szCs w:val="20"/>
        </w:rPr>
        <w:t>izvajanju nalog</w:t>
      </w:r>
      <w:r w:rsidRPr="00D83239">
        <w:rPr>
          <w:rFonts w:ascii="Arial" w:hAnsi="Arial" w:cs="Arial"/>
          <w:color w:val="000000"/>
          <w:sz w:val="20"/>
          <w:szCs w:val="20"/>
        </w:rPr>
        <w:t xml:space="preserve"> poroča ministru. </w:t>
      </w:r>
    </w:p>
    <w:p w14:paraId="1785C8AF" w14:textId="77777777" w:rsidR="00F85721" w:rsidRDefault="00F85721" w:rsidP="00D83239">
      <w:pPr>
        <w:spacing w:after="0" w:line="276" w:lineRule="auto"/>
        <w:jc w:val="both"/>
        <w:rPr>
          <w:rFonts w:ascii="Arial" w:hAnsi="Arial" w:cs="Arial"/>
          <w:color w:val="000000"/>
          <w:sz w:val="20"/>
          <w:szCs w:val="20"/>
        </w:rPr>
      </w:pPr>
    </w:p>
    <w:p w14:paraId="653B568A" w14:textId="4A396934" w:rsidR="00DB29C1" w:rsidRPr="00D83239" w:rsidRDefault="00DB29C1" w:rsidP="00D83239">
      <w:pPr>
        <w:spacing w:after="0" w:line="276" w:lineRule="auto"/>
        <w:jc w:val="both"/>
        <w:rPr>
          <w:rFonts w:ascii="Arial" w:hAnsi="Arial" w:cs="Arial"/>
          <w:color w:val="000000"/>
          <w:sz w:val="20"/>
          <w:szCs w:val="20"/>
        </w:rPr>
      </w:pPr>
      <w:r w:rsidRPr="00D83239">
        <w:rPr>
          <w:rFonts w:ascii="Arial" w:hAnsi="Arial" w:cs="Arial"/>
          <w:color w:val="000000"/>
          <w:sz w:val="20"/>
          <w:szCs w:val="20"/>
        </w:rPr>
        <w:t>V letu 2025 so bile p</w:t>
      </w:r>
      <w:r w:rsidRPr="00D83239">
        <w:rPr>
          <w:rFonts w:ascii="Arial" w:hAnsi="Arial" w:cs="Arial"/>
          <w:sz w:val="20"/>
          <w:szCs w:val="20"/>
        </w:rPr>
        <w:t xml:space="preserve">ripravljene in izdane </w:t>
      </w:r>
      <w:r w:rsidRPr="00D83239">
        <w:rPr>
          <w:rFonts w:ascii="Arial" w:hAnsi="Arial" w:cs="Arial"/>
          <w:color w:val="000000"/>
          <w:sz w:val="20"/>
          <w:szCs w:val="20"/>
        </w:rPr>
        <w:t xml:space="preserve">usmeritve za pripravo letnega načrta dela policije v letu 2026 ter šest posamičnih usmeritev. </w:t>
      </w:r>
    </w:p>
    <w:p w14:paraId="3073D15D" w14:textId="77777777" w:rsidR="00DB29C1" w:rsidRPr="00D83239" w:rsidRDefault="00DB29C1" w:rsidP="00D83239">
      <w:pPr>
        <w:spacing w:after="0" w:line="276" w:lineRule="auto"/>
        <w:jc w:val="both"/>
        <w:rPr>
          <w:rFonts w:ascii="Arial" w:hAnsi="Arial" w:cs="Arial"/>
          <w:color w:val="000000"/>
          <w:sz w:val="20"/>
          <w:szCs w:val="20"/>
        </w:rPr>
      </w:pPr>
    </w:p>
    <w:p w14:paraId="66339F78" w14:textId="77777777" w:rsidR="00DB29C1" w:rsidRPr="00D83239" w:rsidRDefault="00DB29C1" w:rsidP="00D83239">
      <w:pPr>
        <w:spacing w:after="0" w:line="276" w:lineRule="auto"/>
        <w:jc w:val="both"/>
        <w:rPr>
          <w:rFonts w:ascii="Arial" w:hAnsi="Arial" w:cs="Arial"/>
          <w:bCs/>
          <w:sz w:val="20"/>
          <w:szCs w:val="20"/>
        </w:rPr>
      </w:pPr>
      <w:r w:rsidRPr="00D83239">
        <w:rPr>
          <w:rFonts w:ascii="Arial" w:hAnsi="Arial" w:cs="Arial"/>
          <w:bCs/>
          <w:sz w:val="20"/>
          <w:szCs w:val="20"/>
        </w:rPr>
        <w:t xml:space="preserve">Posamične usmeritve so se nanašale na: </w:t>
      </w:r>
    </w:p>
    <w:p w14:paraId="6579B1C2" w14:textId="3FF415AA" w:rsidR="00DB29C1" w:rsidRPr="00D83239" w:rsidRDefault="00DB29C1" w:rsidP="00D83239">
      <w:pPr>
        <w:pStyle w:val="Odstavekseznama"/>
        <w:numPr>
          <w:ilvl w:val="0"/>
          <w:numId w:val="2"/>
        </w:numPr>
        <w:spacing w:after="0"/>
        <w:contextualSpacing/>
        <w:jc w:val="both"/>
        <w:rPr>
          <w:rFonts w:ascii="Arial" w:hAnsi="Arial" w:cs="Arial"/>
          <w:sz w:val="20"/>
          <w:szCs w:val="20"/>
        </w:rPr>
      </w:pPr>
      <w:r w:rsidRPr="00D83239">
        <w:rPr>
          <w:rFonts w:ascii="Arial" w:hAnsi="Arial" w:cs="Arial"/>
          <w:sz w:val="20"/>
          <w:szCs w:val="20"/>
        </w:rPr>
        <w:t xml:space="preserve">učinkovito ukrepanje v primeru groženj vzgojno-izobraževalnim zavodom in </w:t>
      </w:r>
      <w:proofErr w:type="spellStart"/>
      <w:r w:rsidRPr="00D83239">
        <w:rPr>
          <w:rFonts w:ascii="Arial" w:hAnsi="Arial" w:cs="Arial"/>
          <w:sz w:val="20"/>
          <w:szCs w:val="20"/>
        </w:rPr>
        <w:t>amok</w:t>
      </w:r>
      <w:proofErr w:type="spellEnd"/>
      <w:r w:rsidRPr="00D83239">
        <w:rPr>
          <w:rFonts w:ascii="Arial" w:hAnsi="Arial" w:cs="Arial"/>
          <w:sz w:val="20"/>
          <w:szCs w:val="20"/>
        </w:rPr>
        <w:t xml:space="preserve"> situacij ter </w:t>
      </w:r>
      <w:r w:rsidR="00AA21EC">
        <w:rPr>
          <w:rFonts w:ascii="Arial" w:hAnsi="Arial" w:cs="Arial"/>
          <w:sz w:val="20"/>
          <w:szCs w:val="20"/>
        </w:rPr>
        <w:t xml:space="preserve">v </w:t>
      </w:r>
      <w:r w:rsidRPr="00D83239">
        <w:rPr>
          <w:rFonts w:ascii="Arial" w:hAnsi="Arial" w:cs="Arial"/>
          <w:sz w:val="20"/>
          <w:szCs w:val="20"/>
        </w:rPr>
        <w:t xml:space="preserve">drugih podobnih nevarnih dogodkih; </w:t>
      </w:r>
    </w:p>
    <w:p w14:paraId="08A5404A" w14:textId="77777777" w:rsidR="00DB29C1" w:rsidRPr="00D83239" w:rsidRDefault="00DB29C1" w:rsidP="00D83239">
      <w:pPr>
        <w:pStyle w:val="Odstavekseznama"/>
        <w:numPr>
          <w:ilvl w:val="0"/>
          <w:numId w:val="2"/>
        </w:numPr>
        <w:spacing w:after="0"/>
        <w:contextualSpacing/>
        <w:jc w:val="both"/>
        <w:rPr>
          <w:rFonts w:ascii="Arial" w:hAnsi="Arial" w:cs="Arial"/>
          <w:sz w:val="20"/>
          <w:szCs w:val="20"/>
        </w:rPr>
      </w:pPr>
      <w:r w:rsidRPr="00D83239">
        <w:rPr>
          <w:rFonts w:ascii="Arial" w:hAnsi="Arial" w:cs="Arial"/>
          <w:sz w:val="20"/>
          <w:szCs w:val="20"/>
        </w:rPr>
        <w:t xml:space="preserve">dosledno spoštovanje človekovih pravic in temeljnih svoboščin pri opravljanju vseh policijskih nalog; </w:t>
      </w:r>
    </w:p>
    <w:p w14:paraId="469FFE12" w14:textId="77777777" w:rsidR="00DB29C1" w:rsidRPr="00D83239" w:rsidRDefault="00DB29C1" w:rsidP="00D83239">
      <w:pPr>
        <w:pStyle w:val="Odstavekseznama"/>
        <w:numPr>
          <w:ilvl w:val="0"/>
          <w:numId w:val="2"/>
        </w:numPr>
        <w:spacing w:after="0"/>
        <w:contextualSpacing/>
        <w:jc w:val="both"/>
        <w:rPr>
          <w:rFonts w:ascii="Arial" w:hAnsi="Arial" w:cs="Arial"/>
          <w:sz w:val="20"/>
          <w:szCs w:val="20"/>
        </w:rPr>
      </w:pPr>
      <w:r w:rsidRPr="00D83239">
        <w:rPr>
          <w:rFonts w:ascii="Arial" w:hAnsi="Arial" w:cs="Arial"/>
          <w:sz w:val="20"/>
          <w:szCs w:val="20"/>
        </w:rPr>
        <w:t xml:space="preserve">zagotavljanje varnosti prebivalcev jugovzhodne Slovenije; </w:t>
      </w:r>
    </w:p>
    <w:p w14:paraId="02E2D24F" w14:textId="77777777" w:rsidR="00DB29C1" w:rsidRPr="00D83239" w:rsidRDefault="00DB29C1" w:rsidP="00D83239">
      <w:pPr>
        <w:pStyle w:val="Odstavekseznama"/>
        <w:numPr>
          <w:ilvl w:val="0"/>
          <w:numId w:val="2"/>
        </w:numPr>
        <w:spacing w:after="0"/>
        <w:contextualSpacing/>
        <w:jc w:val="both"/>
        <w:rPr>
          <w:rFonts w:ascii="Arial" w:hAnsi="Arial" w:cs="Arial"/>
          <w:sz w:val="20"/>
          <w:szCs w:val="20"/>
        </w:rPr>
      </w:pPr>
      <w:r w:rsidRPr="00D83239">
        <w:rPr>
          <w:rFonts w:ascii="Arial" w:hAnsi="Arial" w:cs="Arial"/>
          <w:sz w:val="20"/>
          <w:szCs w:val="20"/>
        </w:rPr>
        <w:t xml:space="preserve">učinkovito zagotavljanje varnosti posameznikom in skupnosti, spoštovanje človekovih pravic in temeljnih svoboščin ter krepitev pravne države; </w:t>
      </w:r>
    </w:p>
    <w:p w14:paraId="52AAC50A" w14:textId="77777777" w:rsidR="00DB29C1" w:rsidRPr="00D83239" w:rsidRDefault="00DB29C1" w:rsidP="00D83239">
      <w:pPr>
        <w:pStyle w:val="Odstavekseznama"/>
        <w:numPr>
          <w:ilvl w:val="0"/>
          <w:numId w:val="2"/>
        </w:numPr>
        <w:spacing w:after="0"/>
        <w:contextualSpacing/>
        <w:jc w:val="both"/>
        <w:rPr>
          <w:rFonts w:ascii="Arial" w:hAnsi="Arial" w:cs="Arial"/>
          <w:sz w:val="20"/>
          <w:szCs w:val="20"/>
        </w:rPr>
      </w:pPr>
      <w:r w:rsidRPr="00D83239">
        <w:rPr>
          <w:rFonts w:ascii="Arial" w:hAnsi="Arial" w:cs="Arial"/>
          <w:sz w:val="20"/>
          <w:szCs w:val="20"/>
        </w:rPr>
        <w:t xml:space="preserve">učinkovito izvajanje policijskih pooblastil, ki jih določa Zakon o nujnih ukrepih za zagotavljanje javne varnosti; </w:t>
      </w:r>
    </w:p>
    <w:p w14:paraId="7C55EE24" w14:textId="77777777" w:rsidR="00DB29C1" w:rsidRPr="00D83239" w:rsidRDefault="00DB29C1" w:rsidP="00D83239">
      <w:pPr>
        <w:pStyle w:val="Odstavekseznama"/>
        <w:numPr>
          <w:ilvl w:val="0"/>
          <w:numId w:val="2"/>
        </w:numPr>
        <w:spacing w:after="0"/>
        <w:contextualSpacing/>
        <w:jc w:val="both"/>
        <w:rPr>
          <w:rFonts w:ascii="Arial" w:hAnsi="Arial" w:cs="Arial"/>
          <w:sz w:val="20"/>
          <w:szCs w:val="20"/>
        </w:rPr>
      </w:pPr>
      <w:r w:rsidRPr="00D83239">
        <w:rPr>
          <w:rFonts w:ascii="Arial" w:hAnsi="Arial" w:cs="Arial"/>
          <w:sz w:val="20"/>
          <w:szCs w:val="20"/>
        </w:rPr>
        <w:t xml:space="preserve">učinkovito obravnavanje </w:t>
      </w:r>
      <w:proofErr w:type="spellStart"/>
      <w:r w:rsidRPr="00D83239">
        <w:rPr>
          <w:rFonts w:ascii="Arial" w:hAnsi="Arial" w:cs="Arial"/>
          <w:sz w:val="20"/>
          <w:szCs w:val="20"/>
        </w:rPr>
        <w:t>medvrstniškega</w:t>
      </w:r>
      <w:proofErr w:type="spellEnd"/>
      <w:r w:rsidRPr="00D83239">
        <w:rPr>
          <w:rFonts w:ascii="Arial" w:hAnsi="Arial" w:cs="Arial"/>
          <w:sz w:val="20"/>
          <w:szCs w:val="20"/>
        </w:rPr>
        <w:t xml:space="preserve"> nasilja.</w:t>
      </w:r>
    </w:p>
    <w:p w14:paraId="079DE64C" w14:textId="77777777" w:rsidR="00DB29C1" w:rsidRPr="00D83239" w:rsidRDefault="00DB29C1" w:rsidP="00D83239">
      <w:pPr>
        <w:tabs>
          <w:tab w:val="left" w:pos="2520"/>
        </w:tabs>
        <w:spacing w:after="0" w:line="276" w:lineRule="auto"/>
        <w:jc w:val="both"/>
        <w:rPr>
          <w:rFonts w:ascii="Arial" w:hAnsi="Arial" w:cs="Arial"/>
          <w:bCs/>
          <w:sz w:val="20"/>
          <w:szCs w:val="20"/>
          <w:highlight w:val="yellow"/>
        </w:rPr>
      </w:pPr>
    </w:p>
    <w:p w14:paraId="4F98B7F7" w14:textId="77777777" w:rsidR="00DB29C1" w:rsidRPr="00D83239" w:rsidRDefault="00DB29C1" w:rsidP="00D83239">
      <w:pPr>
        <w:spacing w:after="0" w:line="276" w:lineRule="auto"/>
        <w:jc w:val="both"/>
        <w:rPr>
          <w:rFonts w:ascii="Arial" w:hAnsi="Arial" w:cs="Arial"/>
          <w:bCs/>
          <w:strike/>
          <w:sz w:val="20"/>
          <w:szCs w:val="20"/>
        </w:rPr>
      </w:pPr>
      <w:r w:rsidRPr="00D83239">
        <w:rPr>
          <w:rFonts w:ascii="Arial" w:hAnsi="Arial" w:cs="Arial"/>
          <w:bCs/>
          <w:color w:val="000000"/>
          <w:sz w:val="20"/>
          <w:szCs w:val="20"/>
        </w:rPr>
        <w:t xml:space="preserve">Spremljanje uresničevanja letnih usmeritev je potekalo na podlagi poročil in analiz policije, letnega in polletnega poročila o delu policije, načrta dela policije, problemskih poročil ter ugotovitev iz letnih pogovorov z vodstvi organizacijskih enot na državni in regijski ravni. </w:t>
      </w:r>
    </w:p>
    <w:p w14:paraId="30D66E13" w14:textId="77777777" w:rsidR="00DB29C1" w:rsidRPr="00D83239" w:rsidRDefault="00DB29C1" w:rsidP="00D83239">
      <w:pPr>
        <w:spacing w:after="0" w:line="276" w:lineRule="auto"/>
        <w:jc w:val="both"/>
        <w:rPr>
          <w:rFonts w:ascii="Arial" w:hAnsi="Arial" w:cs="Arial"/>
          <w:color w:val="000000"/>
          <w:sz w:val="20"/>
          <w:szCs w:val="20"/>
        </w:rPr>
      </w:pPr>
    </w:p>
    <w:p w14:paraId="2D49A599" w14:textId="084D9C2B" w:rsidR="00DB29C1" w:rsidRDefault="00DB29C1" w:rsidP="00D83239">
      <w:pPr>
        <w:tabs>
          <w:tab w:val="left" w:pos="2520"/>
        </w:tabs>
        <w:spacing w:after="0" w:line="276" w:lineRule="auto"/>
        <w:jc w:val="both"/>
        <w:rPr>
          <w:rFonts w:ascii="Arial" w:hAnsi="Arial" w:cs="Arial"/>
          <w:bCs/>
          <w:color w:val="000000"/>
          <w:sz w:val="20"/>
          <w:szCs w:val="20"/>
        </w:rPr>
      </w:pPr>
      <w:r w:rsidRPr="00D83239">
        <w:rPr>
          <w:rFonts w:ascii="Arial" w:hAnsi="Arial" w:cs="Arial"/>
          <w:b/>
          <w:sz w:val="20"/>
          <w:szCs w:val="20"/>
        </w:rPr>
        <w:t>Nadzor nad delom policije</w:t>
      </w:r>
      <w:r w:rsidRPr="00D83239">
        <w:rPr>
          <w:rFonts w:ascii="Arial" w:hAnsi="Arial" w:cs="Arial"/>
          <w:sz w:val="20"/>
          <w:szCs w:val="20"/>
        </w:rPr>
        <w:t xml:space="preserve"> je potekal v obliki rednih, ponovnih in izrednih nadzorov. Z načrtom </w:t>
      </w:r>
      <w:r w:rsidRPr="00D83239">
        <w:rPr>
          <w:rFonts w:ascii="Arial" w:hAnsi="Arial" w:cs="Arial"/>
          <w:bCs/>
          <w:sz w:val="20"/>
          <w:szCs w:val="20"/>
        </w:rPr>
        <w:t>nadzorov za leto 2025 so bili načrtovani štirje redni nadzori nad delom policije.</w:t>
      </w:r>
      <w:r w:rsidRPr="00D83239">
        <w:rPr>
          <w:rFonts w:ascii="Arial" w:hAnsi="Arial" w:cs="Arial"/>
          <w:bCs/>
          <w:color w:val="000000"/>
          <w:sz w:val="20"/>
          <w:szCs w:val="20"/>
        </w:rPr>
        <w:t xml:space="preserve"> </w:t>
      </w:r>
    </w:p>
    <w:p w14:paraId="246CCF00" w14:textId="77777777" w:rsidR="0027329F" w:rsidRPr="00D83239" w:rsidRDefault="0027329F" w:rsidP="00D83239">
      <w:pPr>
        <w:tabs>
          <w:tab w:val="left" w:pos="2520"/>
        </w:tabs>
        <w:spacing w:after="0" w:line="276" w:lineRule="auto"/>
        <w:jc w:val="both"/>
        <w:rPr>
          <w:rFonts w:ascii="Arial" w:hAnsi="Arial" w:cs="Arial"/>
          <w:bCs/>
          <w:color w:val="000000"/>
          <w:sz w:val="20"/>
          <w:szCs w:val="20"/>
        </w:rPr>
      </w:pPr>
    </w:p>
    <w:tbl>
      <w:tblPr>
        <w:tblW w:w="7655" w:type="dxa"/>
        <w:tblLayout w:type="fixed"/>
        <w:tblCellMar>
          <w:left w:w="70" w:type="dxa"/>
          <w:right w:w="70" w:type="dxa"/>
        </w:tblCellMar>
        <w:tblLook w:val="0000" w:firstRow="0" w:lastRow="0" w:firstColumn="0" w:lastColumn="0" w:noHBand="0" w:noVBand="0"/>
      </w:tblPr>
      <w:tblGrid>
        <w:gridCol w:w="588"/>
        <w:gridCol w:w="7067"/>
      </w:tblGrid>
      <w:tr w:rsidR="00DB29C1" w:rsidRPr="00D83239" w14:paraId="55B9AC97" w14:textId="77777777" w:rsidTr="00E95EA8">
        <w:trPr>
          <w:trHeight w:hRule="exact" w:val="425"/>
        </w:trPr>
        <w:tc>
          <w:tcPr>
            <w:tcW w:w="588" w:type="dxa"/>
            <w:tcBorders>
              <w:bottom w:val="single" w:sz="4" w:space="0" w:color="auto"/>
            </w:tcBorders>
            <w:noWrap/>
            <w:vAlign w:val="center"/>
          </w:tcPr>
          <w:p w14:paraId="7D629820" w14:textId="77777777" w:rsidR="00DB29C1" w:rsidRPr="00D83239" w:rsidRDefault="00DB29C1" w:rsidP="00D83239">
            <w:pPr>
              <w:spacing w:after="0" w:line="276" w:lineRule="auto"/>
              <w:jc w:val="both"/>
              <w:rPr>
                <w:rFonts w:ascii="Arial" w:hAnsi="Arial" w:cs="Arial"/>
                <w:bCs/>
                <w:color w:val="000000"/>
                <w:sz w:val="20"/>
                <w:szCs w:val="20"/>
              </w:rPr>
            </w:pPr>
            <w:r w:rsidRPr="00D83239">
              <w:rPr>
                <w:rFonts w:ascii="Arial" w:hAnsi="Arial" w:cs="Arial"/>
                <w:bCs/>
                <w:color w:val="000000"/>
                <w:sz w:val="20"/>
                <w:szCs w:val="20"/>
              </w:rPr>
              <w:br w:type="page"/>
            </w:r>
          </w:p>
          <w:p w14:paraId="4A72F0A5" w14:textId="77777777" w:rsidR="00DB29C1" w:rsidRPr="00D83239" w:rsidRDefault="00DB29C1" w:rsidP="00D83239">
            <w:pPr>
              <w:spacing w:after="0" w:line="276" w:lineRule="auto"/>
              <w:jc w:val="both"/>
              <w:rPr>
                <w:rFonts w:ascii="Arial" w:hAnsi="Arial" w:cs="Arial"/>
                <w:bCs/>
                <w:color w:val="000000"/>
                <w:sz w:val="20"/>
                <w:szCs w:val="20"/>
              </w:rPr>
            </w:pPr>
          </w:p>
          <w:p w14:paraId="3686CEDF" w14:textId="77777777"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br w:type="page"/>
            </w:r>
          </w:p>
          <w:p w14:paraId="6CBB0E2F" w14:textId="77777777"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br w:type="page"/>
            </w:r>
          </w:p>
        </w:tc>
        <w:tc>
          <w:tcPr>
            <w:tcW w:w="7067" w:type="dxa"/>
            <w:tcBorders>
              <w:bottom w:val="single" w:sz="4" w:space="0" w:color="auto"/>
            </w:tcBorders>
            <w:noWrap/>
            <w:vAlign w:val="center"/>
          </w:tcPr>
          <w:p w14:paraId="5F1C24B9" w14:textId="77777777" w:rsidR="00DB29C1" w:rsidRPr="00D83239" w:rsidRDefault="00DB29C1" w:rsidP="00D83239">
            <w:pPr>
              <w:spacing w:after="0" w:line="276" w:lineRule="auto"/>
              <w:jc w:val="both"/>
              <w:rPr>
                <w:rFonts w:ascii="Arial" w:hAnsi="Arial" w:cs="Arial"/>
                <w:b/>
                <w:sz w:val="20"/>
                <w:szCs w:val="20"/>
              </w:rPr>
            </w:pPr>
            <w:r w:rsidRPr="00D83239">
              <w:rPr>
                <w:rFonts w:ascii="Arial" w:hAnsi="Arial" w:cs="Arial"/>
                <w:b/>
                <w:sz w:val="20"/>
                <w:szCs w:val="20"/>
              </w:rPr>
              <w:t>Redni nadzor</w:t>
            </w:r>
          </w:p>
        </w:tc>
      </w:tr>
      <w:tr w:rsidR="00DB29C1" w:rsidRPr="00D83239" w14:paraId="40420DD7" w14:textId="77777777" w:rsidTr="00E95EA8">
        <w:trPr>
          <w:trHeight w:hRule="exact" w:val="425"/>
        </w:trPr>
        <w:tc>
          <w:tcPr>
            <w:tcW w:w="588" w:type="dxa"/>
            <w:tcBorders>
              <w:top w:val="single" w:sz="4" w:space="0" w:color="auto"/>
              <w:left w:val="single" w:sz="4" w:space="0" w:color="auto"/>
              <w:bottom w:val="single" w:sz="4" w:space="0" w:color="auto"/>
              <w:right w:val="single" w:sz="4" w:space="0" w:color="auto"/>
            </w:tcBorders>
            <w:noWrap/>
            <w:vAlign w:val="center"/>
          </w:tcPr>
          <w:p w14:paraId="4F1EFF76" w14:textId="77777777" w:rsidR="00DB29C1" w:rsidRPr="00D83239" w:rsidRDefault="00DB29C1" w:rsidP="00773D58">
            <w:pPr>
              <w:spacing w:after="0" w:line="276" w:lineRule="auto"/>
              <w:rPr>
                <w:rFonts w:ascii="Arial" w:hAnsi="Arial" w:cs="Arial"/>
                <w:sz w:val="20"/>
                <w:szCs w:val="20"/>
              </w:rPr>
            </w:pPr>
            <w:r w:rsidRPr="00D83239">
              <w:rPr>
                <w:rFonts w:ascii="Arial" w:hAnsi="Arial" w:cs="Arial"/>
                <w:sz w:val="20"/>
                <w:szCs w:val="20"/>
              </w:rPr>
              <w:t>1.</w:t>
            </w:r>
          </w:p>
        </w:tc>
        <w:tc>
          <w:tcPr>
            <w:tcW w:w="7067" w:type="dxa"/>
            <w:tcBorders>
              <w:top w:val="single" w:sz="4" w:space="0" w:color="auto"/>
              <w:left w:val="nil"/>
              <w:bottom w:val="single" w:sz="4" w:space="0" w:color="auto"/>
              <w:right w:val="single" w:sz="4" w:space="0" w:color="auto"/>
            </w:tcBorders>
            <w:vAlign w:val="center"/>
          </w:tcPr>
          <w:p w14:paraId="733B2D34" w14:textId="0679E36A" w:rsidR="00DB29C1" w:rsidRPr="00D83239" w:rsidRDefault="00DB29C1" w:rsidP="00773D58">
            <w:pPr>
              <w:spacing w:after="0" w:line="276" w:lineRule="auto"/>
              <w:rPr>
                <w:rFonts w:ascii="Arial" w:hAnsi="Arial" w:cs="Arial"/>
                <w:iCs/>
                <w:sz w:val="20"/>
                <w:szCs w:val="20"/>
              </w:rPr>
            </w:pPr>
            <w:r w:rsidRPr="00D83239">
              <w:rPr>
                <w:rFonts w:ascii="Arial" w:hAnsi="Arial" w:cs="Arial"/>
                <w:sz w:val="20"/>
                <w:szCs w:val="20"/>
              </w:rPr>
              <w:t>Izvajanje policijskih pooblastil na vodah</w:t>
            </w:r>
          </w:p>
        </w:tc>
      </w:tr>
      <w:tr w:rsidR="00DB29C1" w:rsidRPr="00D83239" w14:paraId="2C7677A1" w14:textId="77777777" w:rsidTr="00E95EA8">
        <w:trPr>
          <w:trHeight w:hRule="exact" w:val="643"/>
        </w:trPr>
        <w:tc>
          <w:tcPr>
            <w:tcW w:w="588" w:type="dxa"/>
            <w:tcBorders>
              <w:top w:val="single" w:sz="4" w:space="0" w:color="auto"/>
              <w:left w:val="single" w:sz="4" w:space="0" w:color="auto"/>
              <w:bottom w:val="single" w:sz="4" w:space="0" w:color="auto"/>
              <w:right w:val="single" w:sz="4" w:space="0" w:color="auto"/>
            </w:tcBorders>
            <w:noWrap/>
            <w:vAlign w:val="center"/>
          </w:tcPr>
          <w:p w14:paraId="4119C4F3" w14:textId="77777777" w:rsidR="00DB29C1" w:rsidRPr="00D83239" w:rsidRDefault="00DB29C1" w:rsidP="00773D58">
            <w:pPr>
              <w:spacing w:after="0" w:line="276" w:lineRule="auto"/>
              <w:rPr>
                <w:rFonts w:ascii="Arial" w:hAnsi="Arial" w:cs="Arial"/>
                <w:sz w:val="20"/>
                <w:szCs w:val="20"/>
              </w:rPr>
            </w:pPr>
            <w:r w:rsidRPr="00D83239">
              <w:rPr>
                <w:rFonts w:ascii="Arial" w:hAnsi="Arial" w:cs="Arial"/>
                <w:sz w:val="20"/>
                <w:szCs w:val="20"/>
              </w:rPr>
              <w:t>2.</w:t>
            </w:r>
          </w:p>
        </w:tc>
        <w:tc>
          <w:tcPr>
            <w:tcW w:w="7067" w:type="dxa"/>
            <w:tcBorders>
              <w:top w:val="single" w:sz="4" w:space="0" w:color="auto"/>
              <w:left w:val="nil"/>
              <w:bottom w:val="single" w:sz="4" w:space="0" w:color="auto"/>
              <w:right w:val="single" w:sz="4" w:space="0" w:color="auto"/>
            </w:tcBorders>
            <w:vAlign w:val="center"/>
          </w:tcPr>
          <w:p w14:paraId="14A581EF" w14:textId="0D1615C1" w:rsidR="00DB29C1" w:rsidRPr="00D83239" w:rsidRDefault="00DB29C1" w:rsidP="00773D58">
            <w:pPr>
              <w:spacing w:after="0" w:line="276" w:lineRule="auto"/>
              <w:rPr>
                <w:rFonts w:ascii="Arial" w:hAnsi="Arial" w:cs="Arial"/>
                <w:iCs/>
                <w:sz w:val="20"/>
                <w:szCs w:val="20"/>
              </w:rPr>
            </w:pPr>
            <w:r w:rsidRPr="00D83239">
              <w:rPr>
                <w:rFonts w:ascii="Arial" w:hAnsi="Arial" w:cs="Arial"/>
                <w:sz w:val="20"/>
                <w:szCs w:val="20"/>
              </w:rPr>
              <w:t>Izvajanje nalog policije v zvezi z zaščitenimi pričami</w:t>
            </w:r>
          </w:p>
        </w:tc>
      </w:tr>
      <w:tr w:rsidR="00DB29C1" w:rsidRPr="00D83239" w14:paraId="55CDA687" w14:textId="77777777" w:rsidTr="00E95EA8">
        <w:trPr>
          <w:trHeight w:hRule="exact" w:val="643"/>
        </w:trPr>
        <w:tc>
          <w:tcPr>
            <w:tcW w:w="588" w:type="dxa"/>
            <w:tcBorders>
              <w:top w:val="single" w:sz="4" w:space="0" w:color="auto"/>
              <w:left w:val="single" w:sz="4" w:space="0" w:color="auto"/>
              <w:bottom w:val="single" w:sz="4" w:space="0" w:color="auto"/>
              <w:right w:val="single" w:sz="4" w:space="0" w:color="auto"/>
            </w:tcBorders>
            <w:noWrap/>
            <w:vAlign w:val="center"/>
          </w:tcPr>
          <w:p w14:paraId="57D8321B" w14:textId="77777777" w:rsidR="00DB29C1" w:rsidRPr="00D83239" w:rsidRDefault="00DB29C1" w:rsidP="00773D58">
            <w:pPr>
              <w:spacing w:after="0" w:line="276" w:lineRule="auto"/>
              <w:rPr>
                <w:rFonts w:ascii="Arial" w:hAnsi="Arial" w:cs="Arial"/>
                <w:sz w:val="20"/>
                <w:szCs w:val="20"/>
              </w:rPr>
            </w:pPr>
            <w:r w:rsidRPr="00D83239">
              <w:rPr>
                <w:rFonts w:ascii="Arial" w:hAnsi="Arial" w:cs="Arial"/>
                <w:sz w:val="20"/>
                <w:szCs w:val="20"/>
              </w:rPr>
              <w:t>3.</w:t>
            </w:r>
          </w:p>
        </w:tc>
        <w:tc>
          <w:tcPr>
            <w:tcW w:w="7067" w:type="dxa"/>
            <w:tcBorders>
              <w:top w:val="single" w:sz="4" w:space="0" w:color="auto"/>
              <w:left w:val="nil"/>
              <w:bottom w:val="single" w:sz="4" w:space="0" w:color="auto"/>
              <w:right w:val="single" w:sz="4" w:space="0" w:color="auto"/>
            </w:tcBorders>
            <w:vAlign w:val="center"/>
          </w:tcPr>
          <w:p w14:paraId="1C070EC0" w14:textId="77777777" w:rsidR="00DB29C1" w:rsidRPr="00D83239" w:rsidRDefault="00DB29C1" w:rsidP="00773D58">
            <w:pPr>
              <w:spacing w:after="0" w:line="276" w:lineRule="auto"/>
              <w:rPr>
                <w:rFonts w:ascii="Arial" w:hAnsi="Arial" w:cs="Arial"/>
                <w:sz w:val="20"/>
                <w:szCs w:val="20"/>
              </w:rPr>
            </w:pPr>
            <w:r w:rsidRPr="00D83239">
              <w:rPr>
                <w:rFonts w:ascii="Arial" w:hAnsi="Arial" w:cs="Arial"/>
                <w:bCs/>
                <w:color w:val="000000"/>
                <w:sz w:val="20"/>
                <w:szCs w:val="20"/>
                <w:shd w:val="clear" w:color="auto" w:fill="FFFFFF"/>
              </w:rPr>
              <w:t>Preverjanje zakonitosti in strokovnosti uporabe prisilnih sredstev, kadar ni imenovana komisija</w:t>
            </w:r>
          </w:p>
        </w:tc>
      </w:tr>
      <w:tr w:rsidR="00DB29C1" w:rsidRPr="00D83239" w14:paraId="6199C6CB" w14:textId="77777777" w:rsidTr="00E95EA8">
        <w:trPr>
          <w:trHeight w:hRule="exact" w:val="643"/>
        </w:trPr>
        <w:tc>
          <w:tcPr>
            <w:tcW w:w="588" w:type="dxa"/>
            <w:tcBorders>
              <w:top w:val="single" w:sz="4" w:space="0" w:color="auto"/>
              <w:left w:val="single" w:sz="4" w:space="0" w:color="auto"/>
              <w:bottom w:val="single" w:sz="4" w:space="0" w:color="auto"/>
              <w:right w:val="single" w:sz="4" w:space="0" w:color="auto"/>
            </w:tcBorders>
            <w:noWrap/>
            <w:vAlign w:val="center"/>
          </w:tcPr>
          <w:p w14:paraId="4D7A6D85" w14:textId="77777777" w:rsidR="00DB29C1" w:rsidRPr="00D83239" w:rsidRDefault="00DB29C1" w:rsidP="00773D58">
            <w:pPr>
              <w:spacing w:after="0" w:line="276" w:lineRule="auto"/>
              <w:rPr>
                <w:rFonts w:ascii="Arial" w:hAnsi="Arial" w:cs="Arial"/>
                <w:sz w:val="20"/>
                <w:szCs w:val="20"/>
              </w:rPr>
            </w:pPr>
            <w:r w:rsidRPr="00D83239">
              <w:rPr>
                <w:rFonts w:ascii="Arial" w:hAnsi="Arial" w:cs="Arial"/>
                <w:sz w:val="20"/>
                <w:szCs w:val="20"/>
              </w:rPr>
              <w:t>4.</w:t>
            </w:r>
          </w:p>
        </w:tc>
        <w:tc>
          <w:tcPr>
            <w:tcW w:w="7067" w:type="dxa"/>
            <w:tcBorders>
              <w:top w:val="single" w:sz="4" w:space="0" w:color="auto"/>
              <w:left w:val="nil"/>
              <w:bottom w:val="single" w:sz="4" w:space="0" w:color="auto"/>
              <w:right w:val="single" w:sz="4" w:space="0" w:color="auto"/>
            </w:tcBorders>
            <w:vAlign w:val="center"/>
          </w:tcPr>
          <w:p w14:paraId="6CC87768" w14:textId="0E5C0808" w:rsidR="00DB29C1" w:rsidRPr="00D83239" w:rsidRDefault="00DB29C1" w:rsidP="00773D58">
            <w:pPr>
              <w:spacing w:after="0" w:line="276" w:lineRule="auto"/>
              <w:rPr>
                <w:rFonts w:ascii="Arial" w:hAnsi="Arial" w:cs="Arial"/>
                <w:sz w:val="20"/>
                <w:szCs w:val="20"/>
              </w:rPr>
            </w:pPr>
            <w:r w:rsidRPr="00D83239">
              <w:rPr>
                <w:rFonts w:ascii="Arial" w:hAnsi="Arial" w:cs="Arial"/>
                <w:sz w:val="20"/>
                <w:szCs w:val="20"/>
              </w:rPr>
              <w:t xml:space="preserve">Izvajanje policijskih nalog in pooblastil v Specialni enoti </w:t>
            </w:r>
            <w:r w:rsidR="00EF1CB0">
              <w:rPr>
                <w:rFonts w:ascii="Arial" w:hAnsi="Arial" w:cs="Arial"/>
                <w:sz w:val="20"/>
                <w:szCs w:val="20"/>
              </w:rPr>
              <w:t>GPU</w:t>
            </w:r>
          </w:p>
        </w:tc>
      </w:tr>
    </w:tbl>
    <w:p w14:paraId="6AFFA21D" w14:textId="77777777" w:rsidR="00BD4B95" w:rsidRDefault="00BD4B95" w:rsidP="00D83239">
      <w:pPr>
        <w:spacing w:after="0" w:line="276" w:lineRule="auto"/>
        <w:jc w:val="both"/>
        <w:rPr>
          <w:rFonts w:ascii="Arial" w:hAnsi="Arial" w:cs="Arial"/>
          <w:b/>
          <w:sz w:val="20"/>
          <w:szCs w:val="20"/>
        </w:rPr>
      </w:pPr>
    </w:p>
    <w:p w14:paraId="636C36E1" w14:textId="2E5416E9" w:rsidR="00DB29C1" w:rsidRPr="00D83239" w:rsidRDefault="00DB29C1" w:rsidP="00D83239">
      <w:pPr>
        <w:spacing w:after="0" w:line="276" w:lineRule="auto"/>
        <w:jc w:val="both"/>
        <w:rPr>
          <w:rFonts w:ascii="Arial" w:hAnsi="Arial" w:cs="Arial"/>
          <w:sz w:val="20"/>
          <w:szCs w:val="20"/>
        </w:rPr>
      </w:pPr>
      <w:r w:rsidRPr="00D83239">
        <w:rPr>
          <w:rFonts w:ascii="Arial" w:hAnsi="Arial" w:cs="Arial"/>
          <w:b/>
          <w:sz w:val="20"/>
          <w:szCs w:val="20"/>
        </w:rPr>
        <w:t>Preglednica</w:t>
      </w:r>
      <w:r w:rsidRPr="00D83239">
        <w:rPr>
          <w:rFonts w:ascii="Arial" w:hAnsi="Arial" w:cs="Arial"/>
          <w:sz w:val="20"/>
          <w:szCs w:val="20"/>
        </w:rPr>
        <w:t>: Število in vsebina opravljenih nadzorov nad delom policije v letu 2025</w:t>
      </w:r>
    </w:p>
    <w:p w14:paraId="49824D79" w14:textId="77777777" w:rsidR="00DB29C1" w:rsidRPr="00D83239" w:rsidRDefault="00DB29C1" w:rsidP="00D83239">
      <w:pPr>
        <w:spacing w:after="0" w:line="276" w:lineRule="auto"/>
        <w:jc w:val="both"/>
        <w:rPr>
          <w:rFonts w:ascii="Arial" w:hAnsi="Arial" w:cs="Arial"/>
          <w:sz w:val="20"/>
          <w:szCs w:val="20"/>
        </w:rPr>
      </w:pPr>
    </w:p>
    <w:p w14:paraId="26E2FED7" w14:textId="27BB76A6" w:rsidR="00DB29C1" w:rsidRPr="00D83239" w:rsidRDefault="00DB29C1" w:rsidP="00D83239">
      <w:pPr>
        <w:tabs>
          <w:tab w:val="left" w:pos="2520"/>
          <w:tab w:val="left" w:pos="9070"/>
        </w:tabs>
        <w:spacing w:after="0" w:line="276" w:lineRule="auto"/>
        <w:jc w:val="both"/>
        <w:rPr>
          <w:rFonts w:ascii="Arial" w:hAnsi="Arial" w:cs="Arial"/>
          <w:bCs/>
          <w:sz w:val="20"/>
          <w:szCs w:val="20"/>
        </w:rPr>
      </w:pPr>
      <w:r w:rsidRPr="00D83239">
        <w:rPr>
          <w:rFonts w:ascii="Arial" w:hAnsi="Arial" w:cs="Arial"/>
          <w:bCs/>
          <w:color w:val="000000"/>
          <w:sz w:val="20"/>
          <w:szCs w:val="20"/>
        </w:rPr>
        <w:t xml:space="preserve">Poleg tega je enota </w:t>
      </w:r>
      <w:r w:rsidR="00687629">
        <w:rPr>
          <w:rFonts w:ascii="Arial" w:hAnsi="Arial" w:cs="Arial"/>
          <w:bCs/>
          <w:color w:val="000000"/>
          <w:sz w:val="20"/>
          <w:szCs w:val="20"/>
        </w:rPr>
        <w:t>MNZ</w:t>
      </w:r>
      <w:r w:rsidRPr="00D83239">
        <w:rPr>
          <w:rFonts w:ascii="Arial" w:hAnsi="Arial" w:cs="Arial"/>
          <w:bCs/>
          <w:color w:val="000000"/>
          <w:sz w:val="20"/>
          <w:szCs w:val="20"/>
        </w:rPr>
        <w:t xml:space="preserve">, pristojna za usmerjanje </w:t>
      </w:r>
      <w:r w:rsidR="00AA21EC">
        <w:rPr>
          <w:rFonts w:ascii="Arial" w:hAnsi="Arial" w:cs="Arial"/>
          <w:bCs/>
          <w:color w:val="000000"/>
          <w:sz w:val="20"/>
          <w:szCs w:val="20"/>
        </w:rPr>
        <w:t xml:space="preserve">policije </w:t>
      </w:r>
      <w:r w:rsidRPr="00D83239">
        <w:rPr>
          <w:rFonts w:ascii="Arial" w:hAnsi="Arial" w:cs="Arial"/>
          <w:bCs/>
          <w:color w:val="000000"/>
          <w:sz w:val="20"/>
          <w:szCs w:val="20"/>
        </w:rPr>
        <w:t xml:space="preserve">in nadzor </w:t>
      </w:r>
      <w:r w:rsidR="00AA21EC">
        <w:rPr>
          <w:rFonts w:ascii="Arial" w:hAnsi="Arial" w:cs="Arial"/>
          <w:bCs/>
          <w:color w:val="000000"/>
          <w:sz w:val="20"/>
          <w:szCs w:val="20"/>
        </w:rPr>
        <w:t xml:space="preserve">nad </w:t>
      </w:r>
      <w:r w:rsidR="00813E5D">
        <w:rPr>
          <w:rFonts w:ascii="Arial" w:hAnsi="Arial" w:cs="Arial"/>
          <w:bCs/>
          <w:color w:val="000000"/>
          <w:sz w:val="20"/>
          <w:szCs w:val="20"/>
        </w:rPr>
        <w:t xml:space="preserve">njenim </w:t>
      </w:r>
      <w:r w:rsidR="00AA21EC">
        <w:rPr>
          <w:rFonts w:ascii="Arial" w:hAnsi="Arial" w:cs="Arial"/>
          <w:bCs/>
          <w:color w:val="000000"/>
          <w:sz w:val="20"/>
          <w:szCs w:val="20"/>
        </w:rPr>
        <w:t>delom</w:t>
      </w:r>
      <w:r w:rsidRPr="00D83239">
        <w:rPr>
          <w:rFonts w:ascii="Arial" w:hAnsi="Arial" w:cs="Arial"/>
          <w:bCs/>
          <w:color w:val="000000"/>
          <w:sz w:val="20"/>
          <w:szCs w:val="20"/>
        </w:rPr>
        <w:t>, od policije zahtevala pojasnila v primerih, ko je ukrepanje policije odmev</w:t>
      </w:r>
      <w:r w:rsidR="00813E5D">
        <w:rPr>
          <w:rFonts w:ascii="Arial" w:hAnsi="Arial" w:cs="Arial"/>
          <w:bCs/>
          <w:color w:val="000000"/>
          <w:sz w:val="20"/>
          <w:szCs w:val="20"/>
        </w:rPr>
        <w:t>al</w:t>
      </w:r>
      <w:r w:rsidRPr="00D83239">
        <w:rPr>
          <w:rFonts w:ascii="Arial" w:hAnsi="Arial" w:cs="Arial"/>
          <w:bCs/>
          <w:color w:val="000000"/>
          <w:sz w:val="20"/>
          <w:szCs w:val="20"/>
        </w:rPr>
        <w:t xml:space="preserve">o v javnosti ali so prve ugotovitve kazale na nepravilnosti. </w:t>
      </w:r>
      <w:r w:rsidRPr="00D83239">
        <w:rPr>
          <w:rFonts w:ascii="Arial" w:hAnsi="Arial" w:cs="Arial"/>
          <w:bCs/>
          <w:sz w:val="20"/>
          <w:szCs w:val="20"/>
        </w:rPr>
        <w:t xml:space="preserve">V letu 2025 je bilo policiji v skladu z določbami Pravilnika o usmerjanju in nadzoru policije poslanih </w:t>
      </w:r>
      <w:r w:rsidRPr="00D83239">
        <w:rPr>
          <w:rFonts w:ascii="Arial" w:hAnsi="Arial" w:cs="Arial"/>
          <w:b/>
          <w:bCs/>
          <w:sz w:val="20"/>
          <w:szCs w:val="20"/>
        </w:rPr>
        <w:t>10 zahtev za poročanje</w:t>
      </w:r>
      <w:r w:rsidRPr="00D83239">
        <w:rPr>
          <w:rFonts w:ascii="Arial" w:hAnsi="Arial" w:cs="Arial"/>
          <w:bCs/>
          <w:sz w:val="20"/>
          <w:szCs w:val="20"/>
        </w:rPr>
        <w:t xml:space="preserve">, ki pomenijo posredno obliko nadzora nad policijo. Po prejetih poročilih je bila opravljena presoja zakonitosti in strokovnosti izvajanja </w:t>
      </w:r>
      <w:r w:rsidR="00813E5D">
        <w:rPr>
          <w:rFonts w:ascii="Arial" w:hAnsi="Arial" w:cs="Arial"/>
          <w:bCs/>
          <w:sz w:val="20"/>
          <w:szCs w:val="20"/>
        </w:rPr>
        <w:t>posamezne</w:t>
      </w:r>
      <w:r w:rsidR="00813E5D" w:rsidRPr="00D83239">
        <w:rPr>
          <w:rFonts w:ascii="Arial" w:hAnsi="Arial" w:cs="Arial"/>
          <w:bCs/>
          <w:sz w:val="20"/>
          <w:szCs w:val="20"/>
        </w:rPr>
        <w:t xml:space="preserve"> </w:t>
      </w:r>
      <w:r w:rsidRPr="00D83239">
        <w:rPr>
          <w:rFonts w:ascii="Arial" w:hAnsi="Arial" w:cs="Arial"/>
          <w:bCs/>
          <w:sz w:val="20"/>
          <w:szCs w:val="20"/>
        </w:rPr>
        <w:t xml:space="preserve">naloge ali uporabe pooblastil policista. V sedmih zadevah so bila pripravljena strokovna mnenja, medtem ko bodo </w:t>
      </w:r>
      <w:r w:rsidR="00813E5D">
        <w:rPr>
          <w:rFonts w:ascii="Arial" w:hAnsi="Arial" w:cs="Arial"/>
          <w:bCs/>
          <w:sz w:val="20"/>
          <w:szCs w:val="20"/>
        </w:rPr>
        <w:t>pre</w:t>
      </w:r>
      <w:r w:rsidRPr="00D83239">
        <w:rPr>
          <w:rFonts w:ascii="Arial" w:hAnsi="Arial" w:cs="Arial"/>
          <w:bCs/>
          <w:sz w:val="20"/>
          <w:szCs w:val="20"/>
        </w:rPr>
        <w:t xml:space="preserve">ostale zadeve zaključene v letu 2026. Poleg tega je bilo z </w:t>
      </w:r>
      <w:r w:rsidR="00813E5D">
        <w:rPr>
          <w:rFonts w:ascii="Arial" w:hAnsi="Arial" w:cs="Arial"/>
          <w:bCs/>
          <w:sz w:val="20"/>
          <w:szCs w:val="20"/>
        </w:rPr>
        <w:t xml:space="preserve">izdanim </w:t>
      </w:r>
      <w:r w:rsidRPr="00D83239">
        <w:rPr>
          <w:rFonts w:ascii="Arial" w:hAnsi="Arial" w:cs="Arial"/>
          <w:bCs/>
          <w:sz w:val="20"/>
          <w:szCs w:val="20"/>
        </w:rPr>
        <w:t>mnenj</w:t>
      </w:r>
      <w:r w:rsidR="00813E5D">
        <w:rPr>
          <w:rFonts w:ascii="Arial" w:hAnsi="Arial" w:cs="Arial"/>
          <w:bCs/>
          <w:sz w:val="20"/>
          <w:szCs w:val="20"/>
        </w:rPr>
        <w:t>em</w:t>
      </w:r>
      <w:r w:rsidRPr="00D83239">
        <w:rPr>
          <w:rFonts w:ascii="Arial" w:hAnsi="Arial" w:cs="Arial"/>
          <w:bCs/>
          <w:sz w:val="20"/>
          <w:szCs w:val="20"/>
        </w:rPr>
        <w:t xml:space="preserve"> zaključenih še</w:t>
      </w:r>
      <w:r w:rsidRPr="00D83239">
        <w:rPr>
          <w:rFonts w:ascii="Arial" w:hAnsi="Arial" w:cs="Arial"/>
          <w:b/>
          <w:bCs/>
          <w:sz w:val="20"/>
          <w:szCs w:val="20"/>
        </w:rPr>
        <w:t xml:space="preserve"> </w:t>
      </w:r>
      <w:r w:rsidRPr="00D83239">
        <w:rPr>
          <w:rFonts w:ascii="Arial" w:hAnsi="Arial" w:cs="Arial"/>
          <w:sz w:val="20"/>
          <w:szCs w:val="20"/>
        </w:rPr>
        <w:t>devet</w:t>
      </w:r>
      <w:r w:rsidRPr="00D83239">
        <w:rPr>
          <w:rFonts w:ascii="Arial" w:hAnsi="Arial" w:cs="Arial"/>
          <w:bCs/>
          <w:sz w:val="20"/>
          <w:szCs w:val="20"/>
        </w:rPr>
        <w:t xml:space="preserve"> zadev, za katere so bile zahteve za poročanje policiji poslane v letu 2024. Enota </w:t>
      </w:r>
      <w:r w:rsidR="00D26B0D">
        <w:rPr>
          <w:rFonts w:ascii="Arial" w:hAnsi="Arial" w:cs="Arial"/>
          <w:bCs/>
          <w:sz w:val="20"/>
          <w:szCs w:val="20"/>
        </w:rPr>
        <w:t>MNZ</w:t>
      </w:r>
      <w:r w:rsidRPr="00D83239">
        <w:rPr>
          <w:rFonts w:ascii="Arial" w:hAnsi="Arial" w:cs="Arial"/>
          <w:bCs/>
          <w:sz w:val="20"/>
          <w:szCs w:val="20"/>
        </w:rPr>
        <w:t xml:space="preserve">, pristojna za usmerjanje </w:t>
      </w:r>
      <w:r w:rsidR="00813E5D">
        <w:rPr>
          <w:rFonts w:ascii="Arial" w:hAnsi="Arial" w:cs="Arial"/>
          <w:bCs/>
          <w:sz w:val="20"/>
          <w:szCs w:val="20"/>
        </w:rPr>
        <w:t xml:space="preserve">policije </w:t>
      </w:r>
      <w:r w:rsidRPr="00D83239">
        <w:rPr>
          <w:rFonts w:ascii="Arial" w:hAnsi="Arial" w:cs="Arial"/>
          <w:bCs/>
          <w:sz w:val="20"/>
          <w:szCs w:val="20"/>
        </w:rPr>
        <w:t xml:space="preserve">in nadzor </w:t>
      </w:r>
      <w:r w:rsidR="00813E5D">
        <w:rPr>
          <w:rFonts w:ascii="Arial" w:hAnsi="Arial" w:cs="Arial"/>
          <w:bCs/>
          <w:sz w:val="20"/>
          <w:szCs w:val="20"/>
        </w:rPr>
        <w:t>nad njenim delom</w:t>
      </w:r>
      <w:r w:rsidRPr="00D83239">
        <w:rPr>
          <w:rFonts w:ascii="Arial" w:hAnsi="Arial" w:cs="Arial"/>
          <w:bCs/>
          <w:sz w:val="20"/>
          <w:szCs w:val="20"/>
        </w:rPr>
        <w:t xml:space="preserve">, je v okviru svojih pristojnosti ocenila tudi </w:t>
      </w:r>
      <w:r w:rsidRPr="00D83239">
        <w:rPr>
          <w:rFonts w:ascii="Arial" w:hAnsi="Arial" w:cs="Arial"/>
          <w:b/>
          <w:bCs/>
          <w:sz w:val="20"/>
          <w:szCs w:val="20"/>
        </w:rPr>
        <w:t>12 poročil policijskih komisij</w:t>
      </w:r>
      <w:r w:rsidRPr="00D83239">
        <w:rPr>
          <w:rFonts w:ascii="Arial" w:hAnsi="Arial" w:cs="Arial"/>
          <w:bCs/>
          <w:sz w:val="20"/>
          <w:szCs w:val="20"/>
        </w:rPr>
        <w:t xml:space="preserve"> </w:t>
      </w:r>
      <w:r w:rsidRPr="00D83239">
        <w:rPr>
          <w:rFonts w:ascii="Arial" w:hAnsi="Arial" w:cs="Arial"/>
          <w:b/>
          <w:bCs/>
          <w:sz w:val="20"/>
          <w:szCs w:val="20"/>
        </w:rPr>
        <w:t>za oceno zakonitosti postopkov pri uporabi prisilnih sredstev</w:t>
      </w:r>
      <w:r w:rsidRPr="00D83239">
        <w:rPr>
          <w:rFonts w:ascii="Arial" w:hAnsi="Arial" w:cs="Arial"/>
          <w:bCs/>
          <w:sz w:val="20"/>
          <w:szCs w:val="20"/>
        </w:rPr>
        <w:t>.</w:t>
      </w:r>
    </w:p>
    <w:p w14:paraId="6D573673" w14:textId="77777777" w:rsidR="00DB29C1" w:rsidRPr="00D83239" w:rsidRDefault="00DB29C1" w:rsidP="00D83239">
      <w:pPr>
        <w:tabs>
          <w:tab w:val="left" w:pos="2520"/>
          <w:tab w:val="left" w:pos="9070"/>
        </w:tabs>
        <w:spacing w:after="0" w:line="276" w:lineRule="auto"/>
        <w:jc w:val="both"/>
        <w:rPr>
          <w:rFonts w:ascii="Arial" w:hAnsi="Arial" w:cs="Arial"/>
          <w:bCs/>
          <w:sz w:val="20"/>
          <w:szCs w:val="20"/>
        </w:rPr>
      </w:pPr>
    </w:p>
    <w:p w14:paraId="45D0CA65" w14:textId="71612A54" w:rsidR="00DB29C1" w:rsidRPr="00D83239" w:rsidRDefault="00DB29C1" w:rsidP="00D83239">
      <w:pPr>
        <w:tabs>
          <w:tab w:val="left" w:pos="9070"/>
        </w:tabs>
        <w:spacing w:after="0" w:line="276" w:lineRule="auto"/>
        <w:jc w:val="both"/>
        <w:rPr>
          <w:rFonts w:ascii="Arial" w:hAnsi="Arial" w:cs="Arial"/>
          <w:sz w:val="20"/>
          <w:szCs w:val="20"/>
        </w:rPr>
      </w:pPr>
      <w:r w:rsidRPr="00D83239">
        <w:rPr>
          <w:rFonts w:ascii="Arial" w:hAnsi="Arial" w:cs="Arial"/>
          <w:sz w:val="20"/>
          <w:szCs w:val="20"/>
        </w:rPr>
        <w:t xml:space="preserve">MNZ po uradni dolžnosti pred iztekom trimesečne </w:t>
      </w:r>
      <w:r w:rsidRPr="00D83239">
        <w:rPr>
          <w:rFonts w:ascii="Arial" w:hAnsi="Arial" w:cs="Arial"/>
          <w:b/>
          <w:sz w:val="20"/>
          <w:szCs w:val="20"/>
        </w:rPr>
        <w:t>omejitve gibanja tujcu</w:t>
      </w:r>
      <w:r w:rsidRPr="00D83239">
        <w:rPr>
          <w:rFonts w:ascii="Arial" w:hAnsi="Arial" w:cs="Arial"/>
          <w:sz w:val="20"/>
          <w:szCs w:val="20"/>
        </w:rPr>
        <w:t xml:space="preserve"> v </w:t>
      </w:r>
      <w:r w:rsidR="00673EDC">
        <w:rPr>
          <w:rFonts w:ascii="Arial" w:hAnsi="Arial" w:cs="Arial"/>
          <w:sz w:val="20"/>
          <w:szCs w:val="20"/>
        </w:rPr>
        <w:t>c</w:t>
      </w:r>
      <w:r w:rsidRPr="00D83239">
        <w:rPr>
          <w:rFonts w:ascii="Arial" w:hAnsi="Arial" w:cs="Arial"/>
          <w:sz w:val="20"/>
          <w:szCs w:val="20"/>
        </w:rPr>
        <w:t>entru za tujce po 79.a členu Zakona o tujcih preverja utemeljenost omejitve gibanja. Na tej pravni podlagi je e</w:t>
      </w:r>
      <w:r w:rsidRPr="00D83239">
        <w:rPr>
          <w:rFonts w:ascii="Arial" w:hAnsi="Arial" w:cs="Arial"/>
          <w:bCs/>
          <w:sz w:val="20"/>
          <w:szCs w:val="20"/>
        </w:rPr>
        <w:t xml:space="preserve">nota </w:t>
      </w:r>
      <w:r w:rsidR="00D26B0D">
        <w:rPr>
          <w:rFonts w:ascii="Arial" w:hAnsi="Arial" w:cs="Arial"/>
          <w:bCs/>
          <w:sz w:val="20"/>
          <w:szCs w:val="20"/>
        </w:rPr>
        <w:t>MNZ</w:t>
      </w:r>
      <w:r w:rsidRPr="00D83239">
        <w:rPr>
          <w:rFonts w:ascii="Arial" w:hAnsi="Arial" w:cs="Arial"/>
          <w:bCs/>
          <w:sz w:val="20"/>
          <w:szCs w:val="20"/>
        </w:rPr>
        <w:t>, pristojna za usmerjanje policije</w:t>
      </w:r>
      <w:r w:rsidR="00813E5D" w:rsidRPr="00813E5D">
        <w:rPr>
          <w:rFonts w:ascii="Arial" w:hAnsi="Arial" w:cs="Arial"/>
          <w:bCs/>
          <w:sz w:val="20"/>
          <w:szCs w:val="20"/>
        </w:rPr>
        <w:t xml:space="preserve"> </w:t>
      </w:r>
      <w:r w:rsidR="00813E5D" w:rsidRPr="00D83239">
        <w:rPr>
          <w:rFonts w:ascii="Arial" w:hAnsi="Arial" w:cs="Arial"/>
          <w:bCs/>
          <w:sz w:val="20"/>
          <w:szCs w:val="20"/>
        </w:rPr>
        <w:t>in nadzor</w:t>
      </w:r>
      <w:r w:rsidR="00813E5D">
        <w:rPr>
          <w:rFonts w:ascii="Arial" w:hAnsi="Arial" w:cs="Arial"/>
          <w:bCs/>
          <w:sz w:val="20"/>
          <w:szCs w:val="20"/>
        </w:rPr>
        <w:t xml:space="preserve"> nad njenim delom</w:t>
      </w:r>
      <w:r w:rsidRPr="00D83239">
        <w:rPr>
          <w:rFonts w:ascii="Arial" w:hAnsi="Arial" w:cs="Arial"/>
          <w:bCs/>
          <w:sz w:val="20"/>
          <w:szCs w:val="20"/>
        </w:rPr>
        <w:t>,</w:t>
      </w:r>
      <w:r w:rsidRPr="00D83239">
        <w:rPr>
          <w:rFonts w:ascii="Arial" w:hAnsi="Arial" w:cs="Arial"/>
          <w:sz w:val="20"/>
          <w:szCs w:val="20"/>
        </w:rPr>
        <w:t xml:space="preserve"> v letu 2025 preverjala štiri tovrstne postopke in izdala ustrezne upravne akte.</w:t>
      </w:r>
    </w:p>
    <w:p w14:paraId="75F15ED4" w14:textId="77777777" w:rsidR="00DB29C1" w:rsidRPr="00D83239" w:rsidRDefault="00DB29C1" w:rsidP="00D83239">
      <w:pPr>
        <w:tabs>
          <w:tab w:val="left" w:pos="2520"/>
          <w:tab w:val="left" w:pos="9070"/>
        </w:tabs>
        <w:spacing w:after="0" w:line="276" w:lineRule="auto"/>
        <w:jc w:val="both"/>
        <w:rPr>
          <w:rFonts w:ascii="Arial" w:hAnsi="Arial" w:cs="Arial"/>
          <w:sz w:val="20"/>
          <w:szCs w:val="20"/>
        </w:rPr>
      </w:pPr>
    </w:p>
    <w:p w14:paraId="47CFD890" w14:textId="77777777" w:rsidR="00DB29C1" w:rsidRPr="00D83239" w:rsidRDefault="00DB29C1"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Oblika nadzora nad policijo je tudi sistem</w:t>
      </w:r>
      <w:r w:rsidRPr="00D83239">
        <w:rPr>
          <w:rFonts w:ascii="Arial" w:hAnsi="Arial" w:cs="Arial"/>
          <w:b/>
          <w:sz w:val="20"/>
          <w:szCs w:val="20"/>
        </w:rPr>
        <w:t xml:space="preserve"> reševanja pritožb posameznikov zoper delo policistov</w:t>
      </w:r>
      <w:r w:rsidRPr="00D83239">
        <w:rPr>
          <w:rFonts w:ascii="Arial" w:hAnsi="Arial" w:cs="Arial"/>
          <w:sz w:val="20"/>
          <w:szCs w:val="20"/>
        </w:rPr>
        <w:t xml:space="preserve">. V pritožbenem postopku se zagotavlja neodvisno, nepristransko, strokovno in kakovostno reševanje pritožb zoper delo policistov. </w:t>
      </w:r>
    </w:p>
    <w:p w14:paraId="0BB3D55F" w14:textId="77777777" w:rsidR="00DB29C1" w:rsidRPr="00D83239" w:rsidRDefault="00DB29C1" w:rsidP="00D83239">
      <w:pPr>
        <w:autoSpaceDE w:val="0"/>
        <w:autoSpaceDN w:val="0"/>
        <w:adjustRightInd w:val="0"/>
        <w:spacing w:after="0" w:line="276" w:lineRule="auto"/>
        <w:jc w:val="both"/>
        <w:rPr>
          <w:rFonts w:ascii="Arial" w:hAnsi="Arial" w:cs="Arial"/>
          <w:sz w:val="20"/>
          <w:szCs w:val="20"/>
        </w:rPr>
      </w:pPr>
    </w:p>
    <w:p w14:paraId="0D0D54D0" w14:textId="03F8203E" w:rsidR="00DB29C1" w:rsidRPr="00D83239" w:rsidRDefault="00DB29C1" w:rsidP="00D83239">
      <w:pPr>
        <w:tabs>
          <w:tab w:val="left" w:pos="2520"/>
        </w:tabs>
        <w:spacing w:after="0" w:line="276" w:lineRule="auto"/>
        <w:jc w:val="both"/>
        <w:rPr>
          <w:rFonts w:ascii="Arial" w:hAnsi="Arial" w:cs="Arial"/>
          <w:sz w:val="20"/>
          <w:szCs w:val="20"/>
        </w:rPr>
      </w:pPr>
      <w:r w:rsidRPr="00D83239">
        <w:rPr>
          <w:rFonts w:ascii="Arial" w:hAnsi="Arial" w:cs="Arial"/>
          <w:sz w:val="20"/>
          <w:szCs w:val="20"/>
        </w:rPr>
        <w:t>Pritožbeni postopek se izvaja na dveh ravneh, in sicer v pomiritvenem postopku (I. stopnja) ali na senatu (II. stopnja). Pomiritveni postopek je razgovor vodje policijske enote, kamor je razporejen policist, zoper katerega je vložena pritožba, s pritožnikom. Na II. stopnji se utemeljenost pritožbe presoja na senatu, ki ga sestavljajo pooblaščenec ministra kot vodja senata in dva predstavnika javnosti kot člana senata. Z vključitvijo dveh predstavnikov javnosti v pritožbeni postopek je zagotovljen učinkovit neposredn</w:t>
      </w:r>
      <w:r w:rsidR="0068271E">
        <w:rPr>
          <w:rFonts w:ascii="Arial" w:hAnsi="Arial" w:cs="Arial"/>
          <w:sz w:val="20"/>
          <w:szCs w:val="20"/>
        </w:rPr>
        <w:t>i</w:t>
      </w:r>
      <w:r w:rsidRPr="00D83239">
        <w:rPr>
          <w:rFonts w:ascii="Arial" w:hAnsi="Arial" w:cs="Arial"/>
          <w:sz w:val="20"/>
          <w:szCs w:val="20"/>
        </w:rPr>
        <w:t xml:space="preserve"> državljanski nadzor nad delom policije.</w:t>
      </w:r>
    </w:p>
    <w:p w14:paraId="537B64FC" w14:textId="4FDE4CC3" w:rsidR="00DB29C1" w:rsidRPr="00D83239" w:rsidRDefault="0078067A" w:rsidP="00D83239">
      <w:pPr>
        <w:tabs>
          <w:tab w:val="left" w:pos="2520"/>
        </w:tabs>
        <w:spacing w:after="0" w:line="276" w:lineRule="auto"/>
        <w:jc w:val="both"/>
        <w:rPr>
          <w:rFonts w:ascii="Arial" w:hAnsi="Arial" w:cs="Arial"/>
          <w:bCs/>
          <w:color w:val="000000"/>
          <w:sz w:val="20"/>
          <w:szCs w:val="20"/>
          <w:highlight w:val="yellow"/>
        </w:rPr>
      </w:pPr>
      <w:r w:rsidRPr="00D83239">
        <w:rPr>
          <w:rFonts w:ascii="Arial" w:hAnsi="Arial" w:cs="Arial"/>
          <w:noProof/>
          <w:sz w:val="20"/>
          <w:szCs w:val="20"/>
          <w:highlight w:val="yellow"/>
          <w:lang w:eastAsia="sl-SI"/>
        </w:rPr>
        <w:drawing>
          <wp:anchor distT="0" distB="0" distL="114300" distR="114300" simplePos="0" relativeHeight="251737600" behindDoc="0" locked="0" layoutInCell="1" allowOverlap="1" wp14:anchorId="4B28C265" wp14:editId="0F28729E">
            <wp:simplePos x="0" y="0"/>
            <wp:positionH relativeFrom="margin">
              <wp:posOffset>-4445</wp:posOffset>
            </wp:positionH>
            <wp:positionV relativeFrom="paragraph">
              <wp:posOffset>176530</wp:posOffset>
            </wp:positionV>
            <wp:extent cx="5838825" cy="3324225"/>
            <wp:effectExtent l="0" t="0" r="9525" b="9525"/>
            <wp:wrapTopAndBottom/>
            <wp:docPr id="1" name="Grafiko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4472F1D" w14:textId="77777777" w:rsidR="00BD4B95" w:rsidRDefault="00BD4B95" w:rsidP="00D83239">
      <w:pPr>
        <w:spacing w:after="0" w:line="276" w:lineRule="auto"/>
        <w:jc w:val="both"/>
        <w:rPr>
          <w:rFonts w:ascii="Arial" w:hAnsi="Arial" w:cs="Arial"/>
          <w:b/>
          <w:color w:val="000000"/>
          <w:sz w:val="20"/>
          <w:szCs w:val="20"/>
        </w:rPr>
      </w:pPr>
    </w:p>
    <w:p w14:paraId="3FDE04F1" w14:textId="1725E545" w:rsidR="00DB29C1" w:rsidRPr="00D83239" w:rsidRDefault="00DB29C1" w:rsidP="00D83239">
      <w:pPr>
        <w:spacing w:after="0" w:line="276" w:lineRule="auto"/>
        <w:jc w:val="both"/>
        <w:rPr>
          <w:rFonts w:ascii="Arial" w:hAnsi="Arial" w:cs="Arial"/>
          <w:bCs/>
          <w:iCs/>
          <w:sz w:val="20"/>
          <w:szCs w:val="20"/>
        </w:rPr>
      </w:pPr>
      <w:r w:rsidRPr="00D83239">
        <w:rPr>
          <w:rFonts w:ascii="Arial" w:hAnsi="Arial" w:cs="Arial"/>
          <w:b/>
          <w:color w:val="000000"/>
          <w:sz w:val="20"/>
          <w:szCs w:val="20"/>
        </w:rPr>
        <w:t>Graf</w:t>
      </w:r>
      <w:r w:rsidR="00112392">
        <w:rPr>
          <w:rFonts w:ascii="Arial" w:hAnsi="Arial" w:cs="Arial"/>
          <w:b/>
          <w:color w:val="000000"/>
          <w:sz w:val="20"/>
          <w:szCs w:val="20"/>
        </w:rPr>
        <w:t>ikon</w:t>
      </w:r>
      <w:r w:rsidRPr="00D83239">
        <w:rPr>
          <w:rFonts w:ascii="Arial" w:hAnsi="Arial" w:cs="Arial"/>
          <w:bCs/>
          <w:iCs/>
          <w:sz w:val="20"/>
          <w:szCs w:val="20"/>
        </w:rPr>
        <w:t>: Pritožbeni postopki v obdobju 2020–2025</w:t>
      </w:r>
    </w:p>
    <w:p w14:paraId="437072E2" w14:textId="77777777" w:rsidR="00DB29C1" w:rsidRPr="00D83239" w:rsidRDefault="00DB29C1" w:rsidP="00D83239">
      <w:pPr>
        <w:spacing w:after="0" w:line="276" w:lineRule="auto"/>
        <w:jc w:val="both"/>
        <w:rPr>
          <w:rFonts w:ascii="Arial" w:hAnsi="Arial" w:cs="Arial"/>
          <w:bCs/>
          <w:iCs/>
          <w:sz w:val="20"/>
          <w:szCs w:val="20"/>
        </w:rPr>
      </w:pPr>
    </w:p>
    <w:p w14:paraId="595AA623" w14:textId="753891AF" w:rsidR="009433E0" w:rsidRPr="00D83239" w:rsidRDefault="009433E0" w:rsidP="009433E0">
      <w:pPr>
        <w:pStyle w:val="datumtevilka"/>
        <w:spacing w:line="276" w:lineRule="auto"/>
        <w:jc w:val="both"/>
        <w:rPr>
          <w:rFonts w:cs="Arial"/>
        </w:rPr>
      </w:pPr>
      <w:r w:rsidRPr="00D83239">
        <w:rPr>
          <w:rFonts w:cs="Arial"/>
        </w:rPr>
        <w:t xml:space="preserve">V novembru 2025 je bil s </w:t>
      </w:r>
      <w:r w:rsidR="00093941">
        <w:rPr>
          <w:rFonts w:cs="Arial"/>
        </w:rPr>
        <w:t>p</w:t>
      </w:r>
      <w:r w:rsidRPr="00D83239">
        <w:rPr>
          <w:rFonts w:cs="Arial"/>
        </w:rPr>
        <w:t xml:space="preserve">olicijo izveden strokovni posvet na področju reševanja pritožb zoper delo policistov na </w:t>
      </w:r>
      <w:r w:rsidR="00093941">
        <w:rPr>
          <w:rFonts w:cs="Arial"/>
        </w:rPr>
        <w:t>ravni</w:t>
      </w:r>
      <w:r w:rsidR="00093941" w:rsidRPr="00D83239">
        <w:rPr>
          <w:rFonts w:cs="Arial"/>
        </w:rPr>
        <w:t xml:space="preserve"> </w:t>
      </w:r>
      <w:r w:rsidRPr="00D83239">
        <w:rPr>
          <w:rFonts w:cs="Arial"/>
        </w:rPr>
        <w:t xml:space="preserve">vodstva </w:t>
      </w:r>
      <w:r>
        <w:rPr>
          <w:rFonts w:cs="Arial"/>
        </w:rPr>
        <w:t>policijskih uprav</w:t>
      </w:r>
      <w:r w:rsidRPr="00D83239">
        <w:rPr>
          <w:rFonts w:cs="Arial"/>
        </w:rPr>
        <w:t xml:space="preserve"> in </w:t>
      </w:r>
      <w:r>
        <w:rPr>
          <w:rFonts w:cs="Arial"/>
        </w:rPr>
        <w:t>notranjih organizacijskih enot</w:t>
      </w:r>
      <w:r w:rsidRPr="00D83239">
        <w:rPr>
          <w:rFonts w:cs="Arial"/>
        </w:rPr>
        <w:t>. Prisotnim so bili predstavljeni statistični podatki in izzivi pri delu, predstavljen</w:t>
      </w:r>
      <w:r>
        <w:rPr>
          <w:rFonts w:cs="Arial"/>
        </w:rPr>
        <w:t>e</w:t>
      </w:r>
      <w:r w:rsidRPr="00D83239">
        <w:rPr>
          <w:rFonts w:cs="Arial"/>
        </w:rPr>
        <w:t xml:space="preserve"> so bile tudi tekoče ugotovitve </w:t>
      </w:r>
      <w:r>
        <w:rPr>
          <w:rFonts w:cs="Arial"/>
        </w:rPr>
        <w:t xml:space="preserve">o </w:t>
      </w:r>
      <w:r w:rsidRPr="00D83239">
        <w:rPr>
          <w:rFonts w:cs="Arial"/>
        </w:rPr>
        <w:t>utemeljenih pritožb</w:t>
      </w:r>
      <w:r>
        <w:rPr>
          <w:rFonts w:cs="Arial"/>
        </w:rPr>
        <w:t>ah</w:t>
      </w:r>
      <w:r w:rsidRPr="00D83239">
        <w:rPr>
          <w:rFonts w:cs="Arial"/>
        </w:rPr>
        <w:t xml:space="preserve"> v letu 2025. </w:t>
      </w:r>
      <w:r w:rsidR="000B115B">
        <w:rPr>
          <w:rFonts w:cs="Arial"/>
        </w:rPr>
        <w:t>Opozorjeno je bilo na</w:t>
      </w:r>
      <w:r w:rsidRPr="00D83239">
        <w:rPr>
          <w:rFonts w:cs="Arial"/>
        </w:rPr>
        <w:t xml:space="preserve"> zaznane pomanjkljivosti, ki se nanašajo predvsem na upoštevanje </w:t>
      </w:r>
      <w:proofErr w:type="spellStart"/>
      <w:r w:rsidRPr="00D83239">
        <w:rPr>
          <w:rFonts w:cs="Arial"/>
        </w:rPr>
        <w:t>instrukcijskih</w:t>
      </w:r>
      <w:proofErr w:type="spellEnd"/>
      <w:r w:rsidRPr="00D83239">
        <w:rPr>
          <w:rFonts w:cs="Arial"/>
        </w:rPr>
        <w:t xml:space="preserve"> rokov za izvedbo pomiritvenih postopkov in drugih opravil, kot </w:t>
      </w:r>
      <w:r>
        <w:rPr>
          <w:rFonts w:cs="Arial"/>
        </w:rPr>
        <w:t>je</w:t>
      </w:r>
      <w:r w:rsidRPr="00D83239">
        <w:rPr>
          <w:rFonts w:cs="Arial"/>
        </w:rPr>
        <w:t xml:space="preserve"> priprava poročil</w:t>
      </w:r>
      <w:r w:rsidR="000B115B">
        <w:rPr>
          <w:rFonts w:cs="Arial"/>
        </w:rPr>
        <w:t>a</w:t>
      </w:r>
      <w:r w:rsidRPr="00D83239">
        <w:rPr>
          <w:rFonts w:cs="Arial"/>
        </w:rPr>
        <w:t xml:space="preserve"> o ugotovitvah v zvezi s pritožbo. Policiji so bili p</w:t>
      </w:r>
      <w:r w:rsidR="00093941">
        <w:rPr>
          <w:rFonts w:cs="Arial"/>
        </w:rPr>
        <w:t>redstavlje</w:t>
      </w:r>
      <w:r w:rsidRPr="00D83239">
        <w:rPr>
          <w:rFonts w:cs="Arial"/>
        </w:rPr>
        <w:t xml:space="preserve">ni predlogi za večjo učinkovitost izvajanja opravil v zvezi </w:t>
      </w:r>
      <w:r w:rsidR="00093941">
        <w:rPr>
          <w:rFonts w:cs="Arial"/>
        </w:rPr>
        <w:t xml:space="preserve">z </w:t>
      </w:r>
      <w:r w:rsidRPr="00D83239">
        <w:rPr>
          <w:rFonts w:cs="Arial"/>
        </w:rPr>
        <w:t>reševanj</w:t>
      </w:r>
      <w:r w:rsidR="00093941">
        <w:rPr>
          <w:rFonts w:cs="Arial"/>
        </w:rPr>
        <w:t>em</w:t>
      </w:r>
      <w:r w:rsidRPr="00D83239">
        <w:rPr>
          <w:rFonts w:cs="Arial"/>
        </w:rPr>
        <w:t xml:space="preserve"> pritožbenih postopko</w:t>
      </w:r>
      <w:r>
        <w:rPr>
          <w:rFonts w:cs="Arial"/>
        </w:rPr>
        <w:t>v</w:t>
      </w:r>
      <w:r w:rsidRPr="00D83239">
        <w:rPr>
          <w:rFonts w:cs="Arial"/>
        </w:rPr>
        <w:t xml:space="preserve">. </w:t>
      </w:r>
    </w:p>
    <w:p w14:paraId="05A48534" w14:textId="77777777" w:rsidR="009433E0" w:rsidRPr="00D83239" w:rsidRDefault="009433E0" w:rsidP="009433E0">
      <w:pPr>
        <w:pStyle w:val="datumtevilka"/>
        <w:spacing w:line="276" w:lineRule="auto"/>
        <w:jc w:val="both"/>
        <w:rPr>
          <w:rFonts w:cs="Arial"/>
        </w:rPr>
      </w:pPr>
    </w:p>
    <w:p w14:paraId="770EA976" w14:textId="020559ED" w:rsidR="009433E0" w:rsidRDefault="009433E0" w:rsidP="00D83239">
      <w:pPr>
        <w:pStyle w:val="datumtevilka"/>
        <w:spacing w:line="276" w:lineRule="auto"/>
        <w:jc w:val="both"/>
        <w:rPr>
          <w:rFonts w:cs="Arial"/>
        </w:rPr>
      </w:pPr>
      <w:r w:rsidRPr="00D83239">
        <w:rPr>
          <w:rFonts w:cs="Arial"/>
        </w:rPr>
        <w:t>M</w:t>
      </w:r>
      <w:r>
        <w:rPr>
          <w:rFonts w:cs="Arial"/>
        </w:rPr>
        <w:t>NZ</w:t>
      </w:r>
      <w:r w:rsidRPr="00D83239">
        <w:rPr>
          <w:rFonts w:cs="Arial"/>
        </w:rPr>
        <w:t>, kot je ustaljena praksa, tudi v prihodnje (v letu 2026) načrtuje izvedbo obdobnega usposabljanja oziroma izpopolnjevanja policistov, namenjen</w:t>
      </w:r>
      <w:r>
        <w:rPr>
          <w:rFonts w:cs="Arial"/>
        </w:rPr>
        <w:t>ega</w:t>
      </w:r>
      <w:r w:rsidRPr="00D83239">
        <w:rPr>
          <w:rFonts w:cs="Arial"/>
        </w:rPr>
        <w:t xml:space="preserve"> pridobitvi oziroma poglabljanju znanj</w:t>
      </w:r>
      <w:r w:rsidR="00093941">
        <w:rPr>
          <w:rFonts w:cs="Arial"/>
        </w:rPr>
        <w:t>a</w:t>
      </w:r>
      <w:r w:rsidRPr="00D83239">
        <w:rPr>
          <w:rFonts w:cs="Arial"/>
        </w:rPr>
        <w:t xml:space="preserve"> s področja reševanja pritožb, s poudarkom na pomiritvenih postopkih, pridobitvi teoretičn</w:t>
      </w:r>
      <w:r w:rsidR="00093941">
        <w:rPr>
          <w:rFonts w:cs="Arial"/>
        </w:rPr>
        <w:t>ega</w:t>
      </w:r>
      <w:r w:rsidRPr="00D83239">
        <w:rPr>
          <w:rFonts w:cs="Arial"/>
        </w:rPr>
        <w:t xml:space="preserve"> znanj</w:t>
      </w:r>
      <w:r w:rsidR="00093941">
        <w:rPr>
          <w:rFonts w:cs="Arial"/>
        </w:rPr>
        <w:t>a</w:t>
      </w:r>
      <w:r w:rsidRPr="00D83239">
        <w:rPr>
          <w:rFonts w:cs="Arial"/>
        </w:rPr>
        <w:t xml:space="preserve"> o reševanju konfliktov ter pridobitvi praktičnih izkušenj za izvajanje pritožbenega postopka s predstavitvijo študije, analize in rešitve posameznega primera. </w:t>
      </w:r>
    </w:p>
    <w:p w14:paraId="225795F1" w14:textId="73EBA166" w:rsidR="00F01A1E" w:rsidRDefault="00F01A1E" w:rsidP="00D83239">
      <w:pPr>
        <w:pStyle w:val="datumtevilka"/>
        <w:spacing w:line="276" w:lineRule="auto"/>
        <w:jc w:val="both"/>
        <w:rPr>
          <w:rFonts w:cs="Arial"/>
        </w:rPr>
      </w:pPr>
    </w:p>
    <w:p w14:paraId="319BAF68" w14:textId="3AEF544A" w:rsidR="00F01A1E" w:rsidRDefault="00F01A1E" w:rsidP="00D83239">
      <w:pPr>
        <w:pStyle w:val="datumtevilka"/>
        <w:spacing w:line="276" w:lineRule="auto"/>
        <w:jc w:val="both"/>
        <w:rPr>
          <w:rFonts w:cs="Arial"/>
        </w:rPr>
      </w:pPr>
    </w:p>
    <w:p w14:paraId="0A817DF1" w14:textId="69705283" w:rsidR="00F01A1E" w:rsidRDefault="00F01A1E" w:rsidP="00D83239">
      <w:pPr>
        <w:pStyle w:val="datumtevilka"/>
        <w:spacing w:line="276" w:lineRule="auto"/>
        <w:jc w:val="both"/>
        <w:rPr>
          <w:rFonts w:cs="Arial"/>
        </w:rPr>
      </w:pPr>
    </w:p>
    <w:p w14:paraId="151A6DD1" w14:textId="670F1DD2" w:rsidR="00F01A1E" w:rsidRDefault="00F01A1E" w:rsidP="00D83239">
      <w:pPr>
        <w:pStyle w:val="datumtevilka"/>
        <w:spacing w:line="276" w:lineRule="auto"/>
        <w:jc w:val="both"/>
        <w:rPr>
          <w:rFonts w:cs="Arial"/>
        </w:rPr>
      </w:pPr>
    </w:p>
    <w:p w14:paraId="49F7FF05" w14:textId="71C5159A" w:rsidR="00F01A1E" w:rsidRDefault="00F01A1E" w:rsidP="00D83239">
      <w:pPr>
        <w:pStyle w:val="datumtevilka"/>
        <w:spacing w:line="276" w:lineRule="auto"/>
        <w:jc w:val="both"/>
        <w:rPr>
          <w:rFonts w:cs="Arial"/>
        </w:rPr>
      </w:pPr>
    </w:p>
    <w:p w14:paraId="30DAB1C7" w14:textId="5C9841B6" w:rsidR="00F01A1E" w:rsidRDefault="00F01A1E" w:rsidP="00D83239">
      <w:pPr>
        <w:pStyle w:val="datumtevilka"/>
        <w:spacing w:line="276" w:lineRule="auto"/>
        <w:jc w:val="both"/>
        <w:rPr>
          <w:rFonts w:cs="Arial"/>
        </w:rPr>
      </w:pPr>
    </w:p>
    <w:p w14:paraId="581DB95C" w14:textId="28649C6C" w:rsidR="00F01A1E" w:rsidRDefault="00F01A1E" w:rsidP="00D83239">
      <w:pPr>
        <w:pStyle w:val="datumtevilka"/>
        <w:spacing w:line="276" w:lineRule="auto"/>
        <w:jc w:val="both"/>
        <w:rPr>
          <w:rFonts w:cs="Arial"/>
        </w:rPr>
      </w:pPr>
    </w:p>
    <w:p w14:paraId="36D193F5" w14:textId="039251DE" w:rsidR="00F01A1E" w:rsidRDefault="00F01A1E" w:rsidP="00D83239">
      <w:pPr>
        <w:pStyle w:val="datumtevilka"/>
        <w:spacing w:line="276" w:lineRule="auto"/>
        <w:jc w:val="both"/>
        <w:rPr>
          <w:rFonts w:cs="Arial"/>
        </w:rPr>
      </w:pPr>
    </w:p>
    <w:p w14:paraId="1F5B6DAB" w14:textId="1772ECE5" w:rsidR="00F01A1E" w:rsidRDefault="00F01A1E" w:rsidP="00D83239">
      <w:pPr>
        <w:pStyle w:val="datumtevilka"/>
        <w:spacing w:line="276" w:lineRule="auto"/>
        <w:jc w:val="both"/>
        <w:rPr>
          <w:rFonts w:cs="Arial"/>
        </w:rPr>
      </w:pPr>
    </w:p>
    <w:p w14:paraId="7FA5583C" w14:textId="7EF5A894" w:rsidR="00DB29C1" w:rsidRPr="00D83239" w:rsidRDefault="00DB29C1" w:rsidP="00D83239">
      <w:pPr>
        <w:tabs>
          <w:tab w:val="left" w:pos="2520"/>
        </w:tabs>
        <w:spacing w:after="0" w:line="276" w:lineRule="auto"/>
        <w:jc w:val="both"/>
        <w:rPr>
          <w:rFonts w:ascii="Arial" w:hAnsi="Arial" w:cs="Arial"/>
          <w:sz w:val="20"/>
          <w:szCs w:val="20"/>
        </w:rPr>
      </w:pPr>
    </w:p>
    <w:tbl>
      <w:tblPr>
        <w:tblStyle w:val="Tabelamrea"/>
        <w:tblW w:w="9062" w:type="dxa"/>
        <w:tblLook w:val="01E0" w:firstRow="1" w:lastRow="1" w:firstColumn="1" w:lastColumn="1" w:noHBand="0" w:noVBand="0"/>
      </w:tblPr>
      <w:tblGrid>
        <w:gridCol w:w="684"/>
        <w:gridCol w:w="3175"/>
        <w:gridCol w:w="884"/>
        <w:gridCol w:w="869"/>
        <w:gridCol w:w="870"/>
        <w:gridCol w:w="870"/>
        <w:gridCol w:w="870"/>
        <w:gridCol w:w="840"/>
      </w:tblGrid>
      <w:tr w:rsidR="00DB29C1" w:rsidRPr="00FB0CFD" w14:paraId="2A3CCA55" w14:textId="77777777" w:rsidTr="008F6AEC">
        <w:trPr>
          <w:trHeight w:val="306"/>
        </w:trPr>
        <w:tc>
          <w:tcPr>
            <w:tcW w:w="3859" w:type="dxa"/>
            <w:gridSpan w:val="2"/>
            <w:shd w:val="clear" w:color="auto" w:fill="D9D9D9" w:themeFill="background1" w:themeFillShade="D9"/>
            <w:vAlign w:val="center"/>
          </w:tcPr>
          <w:p w14:paraId="0536F34E" w14:textId="77777777" w:rsidR="00DB29C1" w:rsidRPr="00FB0CFD" w:rsidRDefault="00DB29C1" w:rsidP="008F6AEC">
            <w:pPr>
              <w:spacing w:after="0" w:line="276" w:lineRule="auto"/>
              <w:jc w:val="center"/>
              <w:rPr>
                <w:rFonts w:ascii="Arial" w:hAnsi="Arial" w:cs="Arial"/>
                <w:b/>
                <w:bCs/>
                <w:sz w:val="20"/>
                <w:szCs w:val="20"/>
              </w:rPr>
            </w:pPr>
            <w:r w:rsidRPr="00FB0CFD">
              <w:rPr>
                <w:rFonts w:ascii="Arial" w:hAnsi="Arial" w:cs="Arial"/>
                <w:b/>
                <w:bCs/>
                <w:sz w:val="20"/>
                <w:szCs w:val="20"/>
              </w:rPr>
              <w:t>Vrsta postopka</w:t>
            </w:r>
          </w:p>
        </w:tc>
        <w:tc>
          <w:tcPr>
            <w:tcW w:w="884" w:type="dxa"/>
            <w:shd w:val="clear" w:color="auto" w:fill="D9D9D9" w:themeFill="background1" w:themeFillShade="D9"/>
            <w:vAlign w:val="center"/>
          </w:tcPr>
          <w:p w14:paraId="2820B467" w14:textId="77777777" w:rsidR="00DB29C1" w:rsidRPr="00FB0CFD" w:rsidRDefault="00DB29C1" w:rsidP="008F6AEC">
            <w:pPr>
              <w:spacing w:after="0" w:line="276" w:lineRule="auto"/>
              <w:jc w:val="center"/>
              <w:rPr>
                <w:rFonts w:ascii="Arial" w:hAnsi="Arial" w:cs="Arial"/>
                <w:b/>
                <w:bCs/>
                <w:sz w:val="20"/>
                <w:szCs w:val="20"/>
              </w:rPr>
            </w:pPr>
            <w:r w:rsidRPr="00FB0CFD">
              <w:rPr>
                <w:rFonts w:ascii="Arial" w:hAnsi="Arial" w:cs="Arial"/>
                <w:b/>
                <w:bCs/>
                <w:sz w:val="20"/>
                <w:szCs w:val="20"/>
              </w:rPr>
              <w:t>2020</w:t>
            </w:r>
          </w:p>
        </w:tc>
        <w:tc>
          <w:tcPr>
            <w:tcW w:w="869" w:type="dxa"/>
            <w:shd w:val="clear" w:color="auto" w:fill="D9D9D9" w:themeFill="background1" w:themeFillShade="D9"/>
            <w:vAlign w:val="center"/>
          </w:tcPr>
          <w:p w14:paraId="09B5AEAF" w14:textId="77777777" w:rsidR="00DB29C1" w:rsidRPr="00FB0CFD" w:rsidRDefault="00DB29C1" w:rsidP="008F6AEC">
            <w:pPr>
              <w:spacing w:after="0" w:line="276" w:lineRule="auto"/>
              <w:jc w:val="center"/>
              <w:rPr>
                <w:rFonts w:ascii="Arial" w:hAnsi="Arial" w:cs="Arial"/>
                <w:b/>
                <w:bCs/>
                <w:sz w:val="20"/>
                <w:szCs w:val="20"/>
              </w:rPr>
            </w:pPr>
            <w:r w:rsidRPr="00FB0CFD">
              <w:rPr>
                <w:rFonts w:ascii="Arial" w:hAnsi="Arial" w:cs="Arial"/>
                <w:b/>
                <w:bCs/>
                <w:sz w:val="20"/>
                <w:szCs w:val="20"/>
              </w:rPr>
              <w:t>2021</w:t>
            </w:r>
          </w:p>
        </w:tc>
        <w:tc>
          <w:tcPr>
            <w:tcW w:w="870" w:type="dxa"/>
            <w:shd w:val="clear" w:color="auto" w:fill="D9D9D9" w:themeFill="background1" w:themeFillShade="D9"/>
            <w:vAlign w:val="center"/>
          </w:tcPr>
          <w:p w14:paraId="19FB2C32" w14:textId="77777777" w:rsidR="00DB29C1" w:rsidRPr="00FB0CFD" w:rsidRDefault="00DB29C1" w:rsidP="008F6AEC">
            <w:pPr>
              <w:spacing w:after="0" w:line="276" w:lineRule="auto"/>
              <w:jc w:val="center"/>
              <w:rPr>
                <w:rFonts w:ascii="Arial" w:hAnsi="Arial" w:cs="Arial"/>
                <w:b/>
                <w:bCs/>
                <w:sz w:val="20"/>
                <w:szCs w:val="20"/>
              </w:rPr>
            </w:pPr>
            <w:r w:rsidRPr="00FB0CFD">
              <w:rPr>
                <w:rFonts w:ascii="Arial" w:hAnsi="Arial" w:cs="Arial"/>
                <w:b/>
                <w:bCs/>
                <w:sz w:val="20"/>
                <w:szCs w:val="20"/>
              </w:rPr>
              <w:t>2022</w:t>
            </w:r>
          </w:p>
        </w:tc>
        <w:tc>
          <w:tcPr>
            <w:tcW w:w="870" w:type="dxa"/>
            <w:shd w:val="clear" w:color="auto" w:fill="D9D9D9" w:themeFill="background1" w:themeFillShade="D9"/>
            <w:vAlign w:val="center"/>
          </w:tcPr>
          <w:p w14:paraId="53DB2B9E" w14:textId="77777777" w:rsidR="00DB29C1" w:rsidRPr="00FB0CFD" w:rsidRDefault="00DB29C1" w:rsidP="008F6AEC">
            <w:pPr>
              <w:spacing w:after="0" w:line="276" w:lineRule="auto"/>
              <w:jc w:val="center"/>
              <w:rPr>
                <w:rFonts w:ascii="Arial" w:hAnsi="Arial" w:cs="Arial"/>
                <w:b/>
                <w:bCs/>
                <w:sz w:val="20"/>
                <w:szCs w:val="20"/>
              </w:rPr>
            </w:pPr>
            <w:r w:rsidRPr="00FB0CFD">
              <w:rPr>
                <w:rFonts w:ascii="Arial" w:hAnsi="Arial" w:cs="Arial"/>
                <w:b/>
                <w:bCs/>
                <w:sz w:val="20"/>
                <w:szCs w:val="20"/>
              </w:rPr>
              <w:t>2023</w:t>
            </w:r>
          </w:p>
        </w:tc>
        <w:tc>
          <w:tcPr>
            <w:tcW w:w="870" w:type="dxa"/>
            <w:shd w:val="clear" w:color="auto" w:fill="D9D9D9" w:themeFill="background1" w:themeFillShade="D9"/>
            <w:vAlign w:val="center"/>
          </w:tcPr>
          <w:p w14:paraId="1A2521BF" w14:textId="77777777" w:rsidR="00DB29C1" w:rsidRPr="00FB0CFD" w:rsidRDefault="00DB29C1" w:rsidP="008F6AEC">
            <w:pPr>
              <w:spacing w:after="0" w:line="276" w:lineRule="auto"/>
              <w:jc w:val="center"/>
              <w:rPr>
                <w:rFonts w:ascii="Arial" w:hAnsi="Arial" w:cs="Arial"/>
                <w:b/>
                <w:bCs/>
                <w:sz w:val="20"/>
                <w:szCs w:val="20"/>
              </w:rPr>
            </w:pPr>
            <w:r w:rsidRPr="00FB0CFD">
              <w:rPr>
                <w:rFonts w:ascii="Arial" w:hAnsi="Arial" w:cs="Arial"/>
                <w:b/>
                <w:bCs/>
                <w:sz w:val="20"/>
                <w:szCs w:val="20"/>
              </w:rPr>
              <w:t>2024</w:t>
            </w:r>
          </w:p>
        </w:tc>
        <w:tc>
          <w:tcPr>
            <w:tcW w:w="840" w:type="dxa"/>
            <w:shd w:val="clear" w:color="auto" w:fill="D9D9D9" w:themeFill="background1" w:themeFillShade="D9"/>
            <w:vAlign w:val="center"/>
          </w:tcPr>
          <w:p w14:paraId="1D8C4B98" w14:textId="77777777" w:rsidR="00DB29C1" w:rsidRPr="00FB0CFD" w:rsidRDefault="00DB29C1" w:rsidP="008F6AEC">
            <w:pPr>
              <w:spacing w:after="0" w:line="276" w:lineRule="auto"/>
              <w:jc w:val="center"/>
              <w:rPr>
                <w:rFonts w:ascii="Arial" w:hAnsi="Arial" w:cs="Arial"/>
                <w:b/>
                <w:bCs/>
                <w:sz w:val="20"/>
                <w:szCs w:val="20"/>
              </w:rPr>
            </w:pPr>
            <w:r w:rsidRPr="00FB0CFD">
              <w:rPr>
                <w:rFonts w:ascii="Arial" w:hAnsi="Arial" w:cs="Arial"/>
                <w:b/>
                <w:bCs/>
                <w:sz w:val="20"/>
                <w:szCs w:val="20"/>
              </w:rPr>
              <w:t>2025</w:t>
            </w:r>
          </w:p>
        </w:tc>
      </w:tr>
      <w:tr w:rsidR="00DB29C1" w:rsidRPr="00D83239" w14:paraId="1A430532" w14:textId="77777777" w:rsidTr="008F6AEC">
        <w:trPr>
          <w:trHeight w:val="306"/>
        </w:trPr>
        <w:tc>
          <w:tcPr>
            <w:tcW w:w="684" w:type="dxa"/>
            <w:vAlign w:val="center"/>
          </w:tcPr>
          <w:p w14:paraId="792AD69F" w14:textId="77777777" w:rsidR="00DB29C1" w:rsidRPr="00D83239" w:rsidRDefault="00DB29C1" w:rsidP="008F6AEC">
            <w:pPr>
              <w:spacing w:after="0" w:line="276" w:lineRule="auto"/>
              <w:jc w:val="center"/>
              <w:rPr>
                <w:rFonts w:ascii="Arial" w:hAnsi="Arial" w:cs="Arial"/>
                <w:sz w:val="20"/>
                <w:szCs w:val="20"/>
              </w:rPr>
            </w:pPr>
            <w:r w:rsidRPr="00D83239">
              <w:rPr>
                <w:rFonts w:ascii="Arial" w:hAnsi="Arial" w:cs="Arial"/>
                <w:sz w:val="20"/>
                <w:szCs w:val="20"/>
              </w:rPr>
              <w:t>A</w:t>
            </w:r>
          </w:p>
        </w:tc>
        <w:tc>
          <w:tcPr>
            <w:tcW w:w="3175" w:type="dxa"/>
            <w:vAlign w:val="center"/>
          </w:tcPr>
          <w:p w14:paraId="7B78975B" w14:textId="77777777" w:rsidR="00DB29C1" w:rsidRPr="00D83239" w:rsidRDefault="00DB29C1" w:rsidP="008F6AEC">
            <w:pPr>
              <w:spacing w:after="0" w:line="276" w:lineRule="auto"/>
              <w:rPr>
                <w:rFonts w:ascii="Arial" w:hAnsi="Arial" w:cs="Arial"/>
                <w:sz w:val="20"/>
                <w:szCs w:val="20"/>
              </w:rPr>
            </w:pPr>
            <w:r w:rsidRPr="00D83239">
              <w:rPr>
                <w:rFonts w:ascii="Arial" w:hAnsi="Arial" w:cs="Arial"/>
                <w:sz w:val="20"/>
                <w:szCs w:val="20"/>
              </w:rPr>
              <w:t>Pomiritveni postopki</w:t>
            </w:r>
          </w:p>
        </w:tc>
        <w:tc>
          <w:tcPr>
            <w:tcW w:w="884" w:type="dxa"/>
            <w:vAlign w:val="center"/>
          </w:tcPr>
          <w:p w14:paraId="5C53792A"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118</w:t>
            </w:r>
          </w:p>
        </w:tc>
        <w:tc>
          <w:tcPr>
            <w:tcW w:w="869" w:type="dxa"/>
            <w:vAlign w:val="center"/>
          </w:tcPr>
          <w:p w14:paraId="095C2AE2"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139</w:t>
            </w:r>
          </w:p>
        </w:tc>
        <w:tc>
          <w:tcPr>
            <w:tcW w:w="870" w:type="dxa"/>
            <w:vAlign w:val="center"/>
          </w:tcPr>
          <w:p w14:paraId="2FE5E5C9"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110</w:t>
            </w:r>
          </w:p>
        </w:tc>
        <w:tc>
          <w:tcPr>
            <w:tcW w:w="870" w:type="dxa"/>
            <w:vAlign w:val="center"/>
          </w:tcPr>
          <w:p w14:paraId="21AD2703" w14:textId="77777777" w:rsidR="00DB29C1" w:rsidRPr="00D83239" w:rsidRDefault="00DB29C1" w:rsidP="008F6AEC">
            <w:pPr>
              <w:spacing w:after="0" w:line="276" w:lineRule="auto"/>
              <w:jc w:val="right"/>
              <w:rPr>
                <w:rFonts w:ascii="Arial" w:hAnsi="Arial" w:cs="Arial"/>
                <w:b/>
                <w:sz w:val="20"/>
                <w:szCs w:val="20"/>
              </w:rPr>
            </w:pPr>
            <w:r w:rsidRPr="00D83239">
              <w:rPr>
                <w:rFonts w:ascii="Arial" w:hAnsi="Arial" w:cs="Arial"/>
                <w:sz w:val="20"/>
                <w:szCs w:val="20"/>
              </w:rPr>
              <w:t>102</w:t>
            </w:r>
          </w:p>
        </w:tc>
        <w:tc>
          <w:tcPr>
            <w:tcW w:w="870" w:type="dxa"/>
            <w:vAlign w:val="center"/>
          </w:tcPr>
          <w:p w14:paraId="0ABE7383"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86</w:t>
            </w:r>
          </w:p>
        </w:tc>
        <w:tc>
          <w:tcPr>
            <w:tcW w:w="840" w:type="dxa"/>
            <w:vAlign w:val="center"/>
          </w:tcPr>
          <w:p w14:paraId="47621EC3" w14:textId="77777777" w:rsidR="00DB29C1" w:rsidRPr="00D83239" w:rsidRDefault="00DB29C1" w:rsidP="008F6AEC">
            <w:pPr>
              <w:spacing w:after="0" w:line="276" w:lineRule="auto"/>
              <w:jc w:val="right"/>
              <w:rPr>
                <w:rFonts w:ascii="Arial" w:hAnsi="Arial" w:cs="Arial"/>
                <w:b/>
                <w:bCs/>
                <w:sz w:val="20"/>
                <w:szCs w:val="20"/>
              </w:rPr>
            </w:pPr>
            <w:r w:rsidRPr="00D83239">
              <w:rPr>
                <w:rFonts w:ascii="Arial" w:hAnsi="Arial" w:cs="Arial"/>
                <w:sz w:val="20"/>
                <w:szCs w:val="20"/>
              </w:rPr>
              <w:t>84</w:t>
            </w:r>
          </w:p>
        </w:tc>
      </w:tr>
      <w:tr w:rsidR="00DB29C1" w:rsidRPr="00D83239" w14:paraId="261723C5" w14:textId="77777777" w:rsidTr="008F6AEC">
        <w:trPr>
          <w:trHeight w:val="306"/>
        </w:trPr>
        <w:tc>
          <w:tcPr>
            <w:tcW w:w="684" w:type="dxa"/>
            <w:vAlign w:val="center"/>
          </w:tcPr>
          <w:p w14:paraId="182B074A" w14:textId="77777777" w:rsidR="00DB29C1" w:rsidRPr="00D83239" w:rsidRDefault="00DB29C1" w:rsidP="008F6AEC">
            <w:pPr>
              <w:spacing w:after="0" w:line="276" w:lineRule="auto"/>
              <w:jc w:val="center"/>
              <w:rPr>
                <w:rFonts w:ascii="Arial" w:hAnsi="Arial" w:cs="Arial"/>
                <w:sz w:val="20"/>
                <w:szCs w:val="20"/>
              </w:rPr>
            </w:pPr>
            <w:r w:rsidRPr="00D83239">
              <w:rPr>
                <w:rFonts w:ascii="Arial" w:hAnsi="Arial" w:cs="Arial"/>
                <w:sz w:val="20"/>
                <w:szCs w:val="20"/>
              </w:rPr>
              <w:t>A1</w:t>
            </w:r>
          </w:p>
        </w:tc>
        <w:tc>
          <w:tcPr>
            <w:tcW w:w="3175" w:type="dxa"/>
            <w:vAlign w:val="center"/>
          </w:tcPr>
          <w:p w14:paraId="45C3573B" w14:textId="530A03E9" w:rsidR="00DB29C1" w:rsidRPr="00D83239" w:rsidRDefault="00093941" w:rsidP="008F6AEC">
            <w:pPr>
              <w:spacing w:after="0" w:line="276" w:lineRule="auto"/>
              <w:rPr>
                <w:rFonts w:ascii="Arial" w:hAnsi="Arial" w:cs="Arial"/>
                <w:sz w:val="20"/>
                <w:szCs w:val="20"/>
              </w:rPr>
            </w:pPr>
            <w:r>
              <w:rPr>
                <w:rFonts w:ascii="Arial" w:hAnsi="Arial" w:cs="Arial"/>
                <w:sz w:val="20"/>
                <w:szCs w:val="20"/>
              </w:rPr>
              <w:t>–</w:t>
            </w:r>
            <w:r w:rsidRPr="00D83239">
              <w:rPr>
                <w:rFonts w:ascii="Arial" w:hAnsi="Arial" w:cs="Arial"/>
                <w:sz w:val="20"/>
                <w:szCs w:val="20"/>
              </w:rPr>
              <w:t xml:space="preserve"> </w:t>
            </w:r>
            <w:r w:rsidR="00DB29C1" w:rsidRPr="00D83239">
              <w:rPr>
                <w:rFonts w:ascii="Arial" w:hAnsi="Arial" w:cs="Arial"/>
                <w:sz w:val="20"/>
                <w:szCs w:val="20"/>
              </w:rPr>
              <w:t xml:space="preserve">uspešno zaključeni (150/5 </w:t>
            </w:r>
            <w:proofErr w:type="spellStart"/>
            <w:r w:rsidR="00DB29C1" w:rsidRPr="00D83239">
              <w:rPr>
                <w:rFonts w:ascii="Arial" w:hAnsi="Arial" w:cs="Arial"/>
                <w:sz w:val="20"/>
                <w:szCs w:val="20"/>
              </w:rPr>
              <w:t>ZNPPol</w:t>
            </w:r>
            <w:proofErr w:type="spellEnd"/>
            <w:r w:rsidR="00DB29C1" w:rsidRPr="00D83239">
              <w:rPr>
                <w:rFonts w:ascii="Arial" w:hAnsi="Arial" w:cs="Arial"/>
                <w:sz w:val="20"/>
                <w:szCs w:val="20"/>
              </w:rPr>
              <w:t>)</w:t>
            </w:r>
          </w:p>
        </w:tc>
        <w:tc>
          <w:tcPr>
            <w:tcW w:w="884" w:type="dxa"/>
            <w:vAlign w:val="center"/>
          </w:tcPr>
          <w:p w14:paraId="71F658DC"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74</w:t>
            </w:r>
          </w:p>
        </w:tc>
        <w:tc>
          <w:tcPr>
            <w:tcW w:w="869" w:type="dxa"/>
            <w:vAlign w:val="center"/>
          </w:tcPr>
          <w:p w14:paraId="12BBD561"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76</w:t>
            </w:r>
          </w:p>
        </w:tc>
        <w:tc>
          <w:tcPr>
            <w:tcW w:w="870" w:type="dxa"/>
            <w:vAlign w:val="center"/>
          </w:tcPr>
          <w:p w14:paraId="4AF59B9E"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63</w:t>
            </w:r>
          </w:p>
        </w:tc>
        <w:tc>
          <w:tcPr>
            <w:tcW w:w="870" w:type="dxa"/>
            <w:vAlign w:val="center"/>
          </w:tcPr>
          <w:p w14:paraId="4B5FCAC6" w14:textId="77777777" w:rsidR="00DB29C1" w:rsidRPr="00D83239" w:rsidRDefault="00DB29C1" w:rsidP="008F6AEC">
            <w:pPr>
              <w:spacing w:after="0" w:line="276" w:lineRule="auto"/>
              <w:jc w:val="right"/>
              <w:rPr>
                <w:rFonts w:ascii="Arial" w:hAnsi="Arial" w:cs="Arial"/>
                <w:b/>
                <w:sz w:val="20"/>
                <w:szCs w:val="20"/>
              </w:rPr>
            </w:pPr>
            <w:r w:rsidRPr="00D83239">
              <w:rPr>
                <w:rFonts w:ascii="Arial" w:hAnsi="Arial" w:cs="Arial"/>
                <w:sz w:val="20"/>
                <w:szCs w:val="20"/>
              </w:rPr>
              <w:t>57</w:t>
            </w:r>
          </w:p>
        </w:tc>
        <w:tc>
          <w:tcPr>
            <w:tcW w:w="870" w:type="dxa"/>
            <w:vAlign w:val="center"/>
          </w:tcPr>
          <w:p w14:paraId="34F2E79F"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67</w:t>
            </w:r>
          </w:p>
        </w:tc>
        <w:tc>
          <w:tcPr>
            <w:tcW w:w="840" w:type="dxa"/>
            <w:vAlign w:val="center"/>
          </w:tcPr>
          <w:p w14:paraId="65AC827F" w14:textId="77777777" w:rsidR="00DB29C1" w:rsidRPr="00D83239" w:rsidRDefault="00DB29C1" w:rsidP="008F6AEC">
            <w:pPr>
              <w:spacing w:after="0" w:line="276" w:lineRule="auto"/>
              <w:jc w:val="right"/>
              <w:rPr>
                <w:rFonts w:ascii="Arial" w:hAnsi="Arial" w:cs="Arial"/>
                <w:b/>
                <w:bCs/>
                <w:sz w:val="20"/>
                <w:szCs w:val="20"/>
              </w:rPr>
            </w:pPr>
            <w:r w:rsidRPr="00D83239">
              <w:rPr>
                <w:rFonts w:ascii="Arial" w:hAnsi="Arial" w:cs="Arial"/>
                <w:sz w:val="20"/>
                <w:szCs w:val="20"/>
              </w:rPr>
              <w:t>59</w:t>
            </w:r>
          </w:p>
        </w:tc>
      </w:tr>
      <w:tr w:rsidR="00DB29C1" w:rsidRPr="00D83239" w14:paraId="6C472B45" w14:textId="77777777" w:rsidTr="008F6AEC">
        <w:trPr>
          <w:trHeight w:val="306"/>
        </w:trPr>
        <w:tc>
          <w:tcPr>
            <w:tcW w:w="684" w:type="dxa"/>
            <w:vAlign w:val="center"/>
          </w:tcPr>
          <w:p w14:paraId="60C40A0A" w14:textId="77777777" w:rsidR="00DB29C1" w:rsidRPr="00D83239" w:rsidRDefault="00DB29C1" w:rsidP="008F6AEC">
            <w:pPr>
              <w:spacing w:after="0" w:line="276" w:lineRule="auto"/>
              <w:jc w:val="center"/>
              <w:rPr>
                <w:rFonts w:ascii="Arial" w:hAnsi="Arial" w:cs="Arial"/>
                <w:sz w:val="20"/>
                <w:szCs w:val="20"/>
              </w:rPr>
            </w:pPr>
            <w:r w:rsidRPr="00D83239">
              <w:rPr>
                <w:rFonts w:ascii="Arial" w:hAnsi="Arial" w:cs="Arial"/>
                <w:sz w:val="20"/>
                <w:szCs w:val="20"/>
              </w:rPr>
              <w:t>A2</w:t>
            </w:r>
          </w:p>
        </w:tc>
        <w:tc>
          <w:tcPr>
            <w:tcW w:w="3175" w:type="dxa"/>
            <w:vAlign w:val="center"/>
          </w:tcPr>
          <w:p w14:paraId="5BC21ACA" w14:textId="77777777" w:rsidR="00DB29C1" w:rsidRPr="00D83239" w:rsidRDefault="00DB29C1" w:rsidP="008F6AEC">
            <w:pPr>
              <w:spacing w:after="0" w:line="276" w:lineRule="auto"/>
              <w:rPr>
                <w:rFonts w:ascii="Arial" w:hAnsi="Arial" w:cs="Arial"/>
                <w:sz w:val="20"/>
                <w:szCs w:val="20"/>
              </w:rPr>
            </w:pPr>
            <w:r w:rsidRPr="00D83239">
              <w:rPr>
                <w:rFonts w:ascii="Arial" w:hAnsi="Arial" w:cs="Arial"/>
                <w:sz w:val="20"/>
                <w:szCs w:val="20"/>
              </w:rPr>
              <w:t>... ravnanje policistov, neskladno s predpisi</w:t>
            </w:r>
          </w:p>
        </w:tc>
        <w:tc>
          <w:tcPr>
            <w:tcW w:w="884" w:type="dxa"/>
            <w:vAlign w:val="center"/>
          </w:tcPr>
          <w:p w14:paraId="408AAC92"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11</w:t>
            </w:r>
          </w:p>
        </w:tc>
        <w:tc>
          <w:tcPr>
            <w:tcW w:w="869" w:type="dxa"/>
            <w:vAlign w:val="center"/>
          </w:tcPr>
          <w:p w14:paraId="230B3A2D"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14</w:t>
            </w:r>
          </w:p>
        </w:tc>
        <w:tc>
          <w:tcPr>
            <w:tcW w:w="870" w:type="dxa"/>
            <w:vAlign w:val="center"/>
          </w:tcPr>
          <w:p w14:paraId="00C3A1B9"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9</w:t>
            </w:r>
          </w:p>
        </w:tc>
        <w:tc>
          <w:tcPr>
            <w:tcW w:w="870" w:type="dxa"/>
            <w:vAlign w:val="center"/>
          </w:tcPr>
          <w:p w14:paraId="6C1FF3B9" w14:textId="77777777" w:rsidR="00DB29C1" w:rsidRPr="00D83239" w:rsidRDefault="00DB29C1" w:rsidP="008F6AEC">
            <w:pPr>
              <w:spacing w:after="0" w:line="276" w:lineRule="auto"/>
              <w:jc w:val="right"/>
              <w:rPr>
                <w:rFonts w:ascii="Arial" w:hAnsi="Arial" w:cs="Arial"/>
                <w:b/>
                <w:sz w:val="20"/>
                <w:szCs w:val="20"/>
              </w:rPr>
            </w:pPr>
            <w:r w:rsidRPr="00D83239">
              <w:rPr>
                <w:rFonts w:ascii="Arial" w:hAnsi="Arial" w:cs="Arial"/>
                <w:sz w:val="20"/>
                <w:szCs w:val="20"/>
              </w:rPr>
              <w:t>12</w:t>
            </w:r>
          </w:p>
        </w:tc>
        <w:tc>
          <w:tcPr>
            <w:tcW w:w="870" w:type="dxa"/>
            <w:vAlign w:val="center"/>
          </w:tcPr>
          <w:p w14:paraId="20D5DEEB"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18</w:t>
            </w:r>
          </w:p>
        </w:tc>
        <w:tc>
          <w:tcPr>
            <w:tcW w:w="840" w:type="dxa"/>
            <w:vAlign w:val="center"/>
          </w:tcPr>
          <w:p w14:paraId="47D5B32A" w14:textId="77777777" w:rsidR="00DB29C1" w:rsidRPr="00D83239" w:rsidRDefault="00DB29C1" w:rsidP="008F6AEC">
            <w:pPr>
              <w:spacing w:after="0" w:line="276" w:lineRule="auto"/>
              <w:jc w:val="right"/>
              <w:rPr>
                <w:rFonts w:ascii="Arial" w:hAnsi="Arial" w:cs="Arial"/>
                <w:b/>
                <w:bCs/>
                <w:sz w:val="20"/>
                <w:szCs w:val="20"/>
              </w:rPr>
            </w:pPr>
            <w:r w:rsidRPr="00D83239">
              <w:rPr>
                <w:rFonts w:ascii="Arial" w:hAnsi="Arial" w:cs="Arial"/>
                <w:sz w:val="20"/>
                <w:szCs w:val="20"/>
              </w:rPr>
              <w:t>9</w:t>
            </w:r>
          </w:p>
        </w:tc>
      </w:tr>
      <w:tr w:rsidR="00DB29C1" w:rsidRPr="00D83239" w14:paraId="0BC0F9C6" w14:textId="77777777" w:rsidTr="008F6AEC">
        <w:trPr>
          <w:trHeight w:val="306"/>
        </w:trPr>
        <w:tc>
          <w:tcPr>
            <w:tcW w:w="684" w:type="dxa"/>
            <w:vAlign w:val="center"/>
          </w:tcPr>
          <w:p w14:paraId="0153EE2E" w14:textId="77777777" w:rsidR="00DB29C1" w:rsidRPr="00D83239" w:rsidRDefault="00DB29C1" w:rsidP="008F6AEC">
            <w:pPr>
              <w:spacing w:after="0" w:line="276" w:lineRule="auto"/>
              <w:jc w:val="center"/>
              <w:rPr>
                <w:rFonts w:ascii="Arial" w:hAnsi="Arial" w:cs="Arial"/>
                <w:sz w:val="20"/>
                <w:szCs w:val="20"/>
              </w:rPr>
            </w:pPr>
            <w:r w:rsidRPr="00D83239">
              <w:rPr>
                <w:rFonts w:ascii="Arial" w:hAnsi="Arial" w:cs="Arial"/>
                <w:sz w:val="20"/>
                <w:szCs w:val="20"/>
              </w:rPr>
              <w:t>B</w:t>
            </w:r>
          </w:p>
        </w:tc>
        <w:tc>
          <w:tcPr>
            <w:tcW w:w="3175" w:type="dxa"/>
            <w:vAlign w:val="center"/>
          </w:tcPr>
          <w:p w14:paraId="0BE514C9" w14:textId="77777777" w:rsidR="00DB29C1" w:rsidRPr="00D83239" w:rsidRDefault="00DB29C1" w:rsidP="008F6AEC">
            <w:pPr>
              <w:spacing w:after="0" w:line="276" w:lineRule="auto"/>
              <w:rPr>
                <w:rFonts w:ascii="Arial" w:hAnsi="Arial" w:cs="Arial"/>
                <w:sz w:val="20"/>
                <w:szCs w:val="20"/>
              </w:rPr>
            </w:pPr>
            <w:r w:rsidRPr="00D83239">
              <w:rPr>
                <w:rFonts w:ascii="Arial" w:hAnsi="Arial" w:cs="Arial"/>
                <w:sz w:val="20"/>
                <w:szCs w:val="20"/>
              </w:rPr>
              <w:t>Senati</w:t>
            </w:r>
          </w:p>
        </w:tc>
        <w:tc>
          <w:tcPr>
            <w:tcW w:w="884" w:type="dxa"/>
            <w:vAlign w:val="center"/>
          </w:tcPr>
          <w:p w14:paraId="6E5B0DBA"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28</w:t>
            </w:r>
          </w:p>
        </w:tc>
        <w:tc>
          <w:tcPr>
            <w:tcW w:w="869" w:type="dxa"/>
            <w:vAlign w:val="center"/>
          </w:tcPr>
          <w:p w14:paraId="362A9271"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68</w:t>
            </w:r>
          </w:p>
        </w:tc>
        <w:tc>
          <w:tcPr>
            <w:tcW w:w="870" w:type="dxa"/>
            <w:vAlign w:val="center"/>
          </w:tcPr>
          <w:p w14:paraId="1A40D0A5"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56</w:t>
            </w:r>
          </w:p>
        </w:tc>
        <w:tc>
          <w:tcPr>
            <w:tcW w:w="870" w:type="dxa"/>
            <w:vAlign w:val="center"/>
          </w:tcPr>
          <w:p w14:paraId="43910A61" w14:textId="77777777" w:rsidR="00DB29C1" w:rsidRPr="00D83239" w:rsidRDefault="00DB29C1" w:rsidP="008F6AEC">
            <w:pPr>
              <w:spacing w:after="0" w:line="276" w:lineRule="auto"/>
              <w:jc w:val="right"/>
              <w:rPr>
                <w:rFonts w:ascii="Arial" w:hAnsi="Arial" w:cs="Arial"/>
                <w:b/>
                <w:sz w:val="20"/>
                <w:szCs w:val="20"/>
              </w:rPr>
            </w:pPr>
            <w:r w:rsidRPr="00D83239">
              <w:rPr>
                <w:rFonts w:ascii="Arial" w:hAnsi="Arial" w:cs="Arial"/>
                <w:sz w:val="20"/>
                <w:szCs w:val="20"/>
              </w:rPr>
              <w:t>60</w:t>
            </w:r>
          </w:p>
        </w:tc>
        <w:tc>
          <w:tcPr>
            <w:tcW w:w="870" w:type="dxa"/>
            <w:vAlign w:val="center"/>
          </w:tcPr>
          <w:p w14:paraId="2E480D2C"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56</w:t>
            </w:r>
          </w:p>
        </w:tc>
        <w:tc>
          <w:tcPr>
            <w:tcW w:w="840" w:type="dxa"/>
            <w:vAlign w:val="center"/>
          </w:tcPr>
          <w:p w14:paraId="1D2E13F9" w14:textId="77777777" w:rsidR="00DB29C1" w:rsidRPr="00D83239" w:rsidRDefault="00DB29C1" w:rsidP="008F6AEC">
            <w:pPr>
              <w:spacing w:after="0" w:line="276" w:lineRule="auto"/>
              <w:jc w:val="right"/>
              <w:rPr>
                <w:rFonts w:ascii="Arial" w:hAnsi="Arial" w:cs="Arial"/>
                <w:b/>
                <w:bCs/>
                <w:sz w:val="20"/>
                <w:szCs w:val="20"/>
              </w:rPr>
            </w:pPr>
            <w:r w:rsidRPr="00D83239">
              <w:rPr>
                <w:rFonts w:ascii="Arial" w:hAnsi="Arial" w:cs="Arial"/>
                <w:sz w:val="20"/>
                <w:szCs w:val="20"/>
              </w:rPr>
              <w:t>40</w:t>
            </w:r>
          </w:p>
        </w:tc>
      </w:tr>
      <w:tr w:rsidR="00DB29C1" w:rsidRPr="00D83239" w14:paraId="35541982" w14:textId="77777777" w:rsidTr="008F6AEC">
        <w:trPr>
          <w:trHeight w:val="306"/>
        </w:trPr>
        <w:tc>
          <w:tcPr>
            <w:tcW w:w="684" w:type="dxa"/>
            <w:vAlign w:val="center"/>
          </w:tcPr>
          <w:p w14:paraId="053ACAE5" w14:textId="77777777" w:rsidR="00DB29C1" w:rsidRPr="00D83239" w:rsidRDefault="00DB29C1" w:rsidP="008F6AEC">
            <w:pPr>
              <w:spacing w:after="0" w:line="276" w:lineRule="auto"/>
              <w:jc w:val="center"/>
              <w:rPr>
                <w:rFonts w:ascii="Arial" w:hAnsi="Arial" w:cs="Arial"/>
                <w:sz w:val="20"/>
                <w:szCs w:val="20"/>
              </w:rPr>
            </w:pPr>
            <w:r w:rsidRPr="00D83239">
              <w:rPr>
                <w:rFonts w:ascii="Arial" w:hAnsi="Arial" w:cs="Arial"/>
                <w:sz w:val="20"/>
                <w:szCs w:val="20"/>
              </w:rPr>
              <w:t>B1</w:t>
            </w:r>
          </w:p>
        </w:tc>
        <w:tc>
          <w:tcPr>
            <w:tcW w:w="3175" w:type="dxa"/>
            <w:vAlign w:val="center"/>
          </w:tcPr>
          <w:p w14:paraId="3B865BE1" w14:textId="4244D736" w:rsidR="00DB29C1" w:rsidRPr="00D83239" w:rsidRDefault="00093941" w:rsidP="008F6AEC">
            <w:pPr>
              <w:spacing w:after="0" w:line="276" w:lineRule="auto"/>
              <w:rPr>
                <w:rFonts w:ascii="Arial" w:hAnsi="Arial" w:cs="Arial"/>
                <w:sz w:val="20"/>
                <w:szCs w:val="20"/>
              </w:rPr>
            </w:pPr>
            <w:r>
              <w:rPr>
                <w:rFonts w:ascii="Arial" w:hAnsi="Arial" w:cs="Arial"/>
                <w:sz w:val="20"/>
                <w:szCs w:val="20"/>
              </w:rPr>
              <w:t>–</w:t>
            </w:r>
            <w:r w:rsidRPr="00D83239">
              <w:rPr>
                <w:rFonts w:ascii="Arial" w:hAnsi="Arial" w:cs="Arial"/>
                <w:sz w:val="20"/>
                <w:szCs w:val="20"/>
              </w:rPr>
              <w:t xml:space="preserve"> </w:t>
            </w:r>
            <w:r w:rsidR="00DB29C1" w:rsidRPr="00D83239">
              <w:rPr>
                <w:rFonts w:ascii="Arial" w:hAnsi="Arial" w:cs="Arial"/>
                <w:sz w:val="20"/>
                <w:szCs w:val="20"/>
              </w:rPr>
              <w:t xml:space="preserve">neuspešno zaključeni pomiritveni postopki (148/3 </w:t>
            </w:r>
            <w:proofErr w:type="spellStart"/>
            <w:r w:rsidR="00DB29C1" w:rsidRPr="00D83239">
              <w:rPr>
                <w:rFonts w:ascii="Arial" w:hAnsi="Arial" w:cs="Arial"/>
                <w:sz w:val="20"/>
                <w:szCs w:val="20"/>
              </w:rPr>
              <w:t>ZNPPol</w:t>
            </w:r>
            <w:proofErr w:type="spellEnd"/>
            <w:r w:rsidR="00DB29C1" w:rsidRPr="00D83239">
              <w:rPr>
                <w:rFonts w:ascii="Arial" w:hAnsi="Arial" w:cs="Arial"/>
                <w:sz w:val="20"/>
                <w:szCs w:val="20"/>
              </w:rPr>
              <w:t>)</w:t>
            </w:r>
          </w:p>
        </w:tc>
        <w:tc>
          <w:tcPr>
            <w:tcW w:w="884" w:type="dxa"/>
            <w:vAlign w:val="center"/>
          </w:tcPr>
          <w:p w14:paraId="2C7F926B"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11</w:t>
            </w:r>
          </w:p>
        </w:tc>
        <w:tc>
          <w:tcPr>
            <w:tcW w:w="869" w:type="dxa"/>
            <w:vAlign w:val="center"/>
          </w:tcPr>
          <w:p w14:paraId="3520D7E2"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30</w:t>
            </w:r>
          </w:p>
        </w:tc>
        <w:tc>
          <w:tcPr>
            <w:tcW w:w="870" w:type="dxa"/>
            <w:vAlign w:val="center"/>
          </w:tcPr>
          <w:p w14:paraId="4806B7BE"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26</w:t>
            </w:r>
          </w:p>
        </w:tc>
        <w:tc>
          <w:tcPr>
            <w:tcW w:w="870" w:type="dxa"/>
            <w:vAlign w:val="center"/>
          </w:tcPr>
          <w:p w14:paraId="44C3C82B" w14:textId="77777777" w:rsidR="00DB29C1" w:rsidRPr="00D83239" w:rsidRDefault="00DB29C1" w:rsidP="008F6AEC">
            <w:pPr>
              <w:spacing w:after="0" w:line="276" w:lineRule="auto"/>
              <w:jc w:val="right"/>
              <w:rPr>
                <w:rFonts w:ascii="Arial" w:hAnsi="Arial" w:cs="Arial"/>
                <w:b/>
                <w:sz w:val="20"/>
                <w:szCs w:val="20"/>
              </w:rPr>
            </w:pPr>
            <w:r w:rsidRPr="00D83239">
              <w:rPr>
                <w:rFonts w:ascii="Arial" w:hAnsi="Arial" w:cs="Arial"/>
                <w:sz w:val="20"/>
                <w:szCs w:val="20"/>
              </w:rPr>
              <w:t>32</w:t>
            </w:r>
          </w:p>
        </w:tc>
        <w:tc>
          <w:tcPr>
            <w:tcW w:w="870" w:type="dxa"/>
            <w:vAlign w:val="center"/>
          </w:tcPr>
          <w:p w14:paraId="25E2F2CA"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24</w:t>
            </w:r>
          </w:p>
        </w:tc>
        <w:tc>
          <w:tcPr>
            <w:tcW w:w="840" w:type="dxa"/>
            <w:vAlign w:val="center"/>
          </w:tcPr>
          <w:p w14:paraId="0E88E8B5" w14:textId="77777777" w:rsidR="00DB29C1" w:rsidRPr="00D83239" w:rsidRDefault="00DB29C1" w:rsidP="008F6AEC">
            <w:pPr>
              <w:spacing w:after="0" w:line="276" w:lineRule="auto"/>
              <w:jc w:val="right"/>
              <w:rPr>
                <w:rFonts w:ascii="Arial" w:hAnsi="Arial" w:cs="Arial"/>
                <w:b/>
                <w:bCs/>
                <w:sz w:val="20"/>
                <w:szCs w:val="20"/>
              </w:rPr>
            </w:pPr>
            <w:r w:rsidRPr="00D83239">
              <w:rPr>
                <w:rFonts w:ascii="Arial" w:hAnsi="Arial" w:cs="Arial"/>
                <w:sz w:val="20"/>
                <w:szCs w:val="20"/>
              </w:rPr>
              <w:t>19</w:t>
            </w:r>
          </w:p>
        </w:tc>
      </w:tr>
      <w:tr w:rsidR="00DB29C1" w:rsidRPr="00D83239" w14:paraId="311BC8CD" w14:textId="77777777" w:rsidTr="008F6AEC">
        <w:trPr>
          <w:trHeight w:val="306"/>
        </w:trPr>
        <w:tc>
          <w:tcPr>
            <w:tcW w:w="684" w:type="dxa"/>
            <w:vAlign w:val="center"/>
          </w:tcPr>
          <w:p w14:paraId="76635B14" w14:textId="77777777" w:rsidR="00DB29C1" w:rsidRPr="00D83239" w:rsidRDefault="00DB29C1" w:rsidP="008F6AEC">
            <w:pPr>
              <w:spacing w:after="0" w:line="276" w:lineRule="auto"/>
              <w:jc w:val="center"/>
              <w:rPr>
                <w:rFonts w:ascii="Arial" w:hAnsi="Arial" w:cs="Arial"/>
                <w:sz w:val="20"/>
                <w:szCs w:val="20"/>
              </w:rPr>
            </w:pPr>
            <w:r w:rsidRPr="00D83239">
              <w:rPr>
                <w:rFonts w:ascii="Arial" w:hAnsi="Arial" w:cs="Arial"/>
                <w:sz w:val="20"/>
                <w:szCs w:val="20"/>
              </w:rPr>
              <w:t>B2</w:t>
            </w:r>
          </w:p>
        </w:tc>
        <w:tc>
          <w:tcPr>
            <w:tcW w:w="3175" w:type="dxa"/>
            <w:vAlign w:val="center"/>
          </w:tcPr>
          <w:p w14:paraId="5CA9F9B6" w14:textId="66011D17" w:rsidR="00DB29C1" w:rsidRPr="00D83239" w:rsidRDefault="00093941" w:rsidP="008F6AEC">
            <w:pPr>
              <w:spacing w:after="0" w:line="276" w:lineRule="auto"/>
              <w:rPr>
                <w:rFonts w:ascii="Arial" w:hAnsi="Arial" w:cs="Arial"/>
                <w:sz w:val="20"/>
                <w:szCs w:val="20"/>
              </w:rPr>
            </w:pPr>
            <w:r>
              <w:rPr>
                <w:rFonts w:ascii="Arial" w:hAnsi="Arial" w:cs="Arial"/>
                <w:sz w:val="20"/>
                <w:szCs w:val="20"/>
              </w:rPr>
              <w:t>–</w:t>
            </w:r>
            <w:r w:rsidRPr="00D83239">
              <w:rPr>
                <w:rFonts w:ascii="Arial" w:hAnsi="Arial" w:cs="Arial"/>
                <w:sz w:val="20"/>
                <w:szCs w:val="20"/>
              </w:rPr>
              <w:t xml:space="preserve"> </w:t>
            </w:r>
            <w:r w:rsidR="00DB29C1" w:rsidRPr="00D83239">
              <w:rPr>
                <w:rFonts w:ascii="Arial" w:hAnsi="Arial" w:cs="Arial"/>
                <w:sz w:val="20"/>
                <w:szCs w:val="20"/>
              </w:rPr>
              <w:t xml:space="preserve">neposredna obravnava pred senatom (148/4 </w:t>
            </w:r>
            <w:proofErr w:type="spellStart"/>
            <w:r w:rsidR="00DB29C1" w:rsidRPr="00D83239">
              <w:rPr>
                <w:rFonts w:ascii="Arial" w:hAnsi="Arial" w:cs="Arial"/>
                <w:sz w:val="20"/>
                <w:szCs w:val="20"/>
              </w:rPr>
              <w:t>ZNPPol</w:t>
            </w:r>
            <w:proofErr w:type="spellEnd"/>
            <w:r w:rsidR="00DB29C1" w:rsidRPr="00D83239">
              <w:rPr>
                <w:rFonts w:ascii="Arial" w:hAnsi="Arial" w:cs="Arial"/>
                <w:sz w:val="20"/>
                <w:szCs w:val="20"/>
              </w:rPr>
              <w:t>)</w:t>
            </w:r>
          </w:p>
        </w:tc>
        <w:tc>
          <w:tcPr>
            <w:tcW w:w="884" w:type="dxa"/>
            <w:vAlign w:val="center"/>
          </w:tcPr>
          <w:p w14:paraId="7FDDA73C"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17</w:t>
            </w:r>
          </w:p>
        </w:tc>
        <w:tc>
          <w:tcPr>
            <w:tcW w:w="869" w:type="dxa"/>
            <w:vAlign w:val="center"/>
          </w:tcPr>
          <w:p w14:paraId="7565AD1E"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38</w:t>
            </w:r>
          </w:p>
        </w:tc>
        <w:tc>
          <w:tcPr>
            <w:tcW w:w="870" w:type="dxa"/>
            <w:vAlign w:val="center"/>
          </w:tcPr>
          <w:p w14:paraId="58AF4FB5"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30</w:t>
            </w:r>
          </w:p>
        </w:tc>
        <w:tc>
          <w:tcPr>
            <w:tcW w:w="870" w:type="dxa"/>
            <w:vAlign w:val="center"/>
          </w:tcPr>
          <w:p w14:paraId="5891BDAD" w14:textId="77777777" w:rsidR="00DB29C1" w:rsidRPr="00D83239" w:rsidRDefault="00DB29C1" w:rsidP="008F6AEC">
            <w:pPr>
              <w:spacing w:after="0" w:line="276" w:lineRule="auto"/>
              <w:jc w:val="right"/>
              <w:rPr>
                <w:rFonts w:ascii="Arial" w:hAnsi="Arial" w:cs="Arial"/>
                <w:b/>
                <w:sz w:val="20"/>
                <w:szCs w:val="20"/>
              </w:rPr>
            </w:pPr>
            <w:r w:rsidRPr="00D83239">
              <w:rPr>
                <w:rFonts w:ascii="Arial" w:hAnsi="Arial" w:cs="Arial"/>
                <w:sz w:val="20"/>
                <w:szCs w:val="20"/>
              </w:rPr>
              <w:t>28</w:t>
            </w:r>
          </w:p>
        </w:tc>
        <w:tc>
          <w:tcPr>
            <w:tcW w:w="870" w:type="dxa"/>
            <w:vAlign w:val="center"/>
          </w:tcPr>
          <w:p w14:paraId="6A267767"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32</w:t>
            </w:r>
          </w:p>
        </w:tc>
        <w:tc>
          <w:tcPr>
            <w:tcW w:w="840" w:type="dxa"/>
            <w:vAlign w:val="center"/>
          </w:tcPr>
          <w:p w14:paraId="60BF9749" w14:textId="77777777" w:rsidR="00DB29C1" w:rsidRPr="00D83239" w:rsidRDefault="00DB29C1" w:rsidP="008F6AEC">
            <w:pPr>
              <w:spacing w:after="0" w:line="276" w:lineRule="auto"/>
              <w:jc w:val="right"/>
              <w:rPr>
                <w:rFonts w:ascii="Arial" w:hAnsi="Arial" w:cs="Arial"/>
                <w:b/>
                <w:bCs/>
                <w:sz w:val="20"/>
                <w:szCs w:val="20"/>
              </w:rPr>
            </w:pPr>
            <w:r w:rsidRPr="00D83239">
              <w:rPr>
                <w:rFonts w:ascii="Arial" w:hAnsi="Arial" w:cs="Arial"/>
                <w:sz w:val="20"/>
                <w:szCs w:val="20"/>
              </w:rPr>
              <w:t>41</w:t>
            </w:r>
          </w:p>
        </w:tc>
      </w:tr>
      <w:tr w:rsidR="00DB29C1" w:rsidRPr="00D83239" w14:paraId="6FDD7F77" w14:textId="77777777" w:rsidTr="008F6AEC">
        <w:trPr>
          <w:trHeight w:val="306"/>
        </w:trPr>
        <w:tc>
          <w:tcPr>
            <w:tcW w:w="684" w:type="dxa"/>
            <w:vAlign w:val="center"/>
          </w:tcPr>
          <w:p w14:paraId="11F32EED" w14:textId="77777777" w:rsidR="00DB29C1" w:rsidRPr="00D83239" w:rsidRDefault="00DB29C1" w:rsidP="008F6AEC">
            <w:pPr>
              <w:spacing w:after="0" w:line="276" w:lineRule="auto"/>
              <w:jc w:val="center"/>
              <w:rPr>
                <w:rFonts w:ascii="Arial" w:hAnsi="Arial" w:cs="Arial"/>
                <w:sz w:val="20"/>
                <w:szCs w:val="20"/>
              </w:rPr>
            </w:pPr>
            <w:r w:rsidRPr="00D83239">
              <w:rPr>
                <w:rFonts w:ascii="Arial" w:hAnsi="Arial" w:cs="Arial"/>
                <w:sz w:val="20"/>
                <w:szCs w:val="20"/>
              </w:rPr>
              <w:t>B3</w:t>
            </w:r>
          </w:p>
        </w:tc>
        <w:tc>
          <w:tcPr>
            <w:tcW w:w="3175" w:type="dxa"/>
            <w:vAlign w:val="center"/>
          </w:tcPr>
          <w:p w14:paraId="395BF465" w14:textId="77777777" w:rsidR="00DB29C1" w:rsidRPr="00D83239" w:rsidRDefault="00DB29C1" w:rsidP="008F6AEC">
            <w:pPr>
              <w:spacing w:after="0" w:line="276" w:lineRule="auto"/>
              <w:rPr>
                <w:rFonts w:ascii="Arial" w:hAnsi="Arial" w:cs="Arial"/>
                <w:sz w:val="20"/>
                <w:szCs w:val="20"/>
              </w:rPr>
            </w:pPr>
            <w:r w:rsidRPr="00D83239">
              <w:rPr>
                <w:rFonts w:ascii="Arial" w:hAnsi="Arial" w:cs="Arial"/>
                <w:sz w:val="20"/>
                <w:szCs w:val="20"/>
              </w:rPr>
              <w:t>... utemeljene pritožbe, obravnavane pred senatom</w:t>
            </w:r>
          </w:p>
        </w:tc>
        <w:tc>
          <w:tcPr>
            <w:tcW w:w="884" w:type="dxa"/>
            <w:vAlign w:val="center"/>
          </w:tcPr>
          <w:p w14:paraId="17BB864F"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4</w:t>
            </w:r>
          </w:p>
        </w:tc>
        <w:tc>
          <w:tcPr>
            <w:tcW w:w="869" w:type="dxa"/>
            <w:vAlign w:val="center"/>
          </w:tcPr>
          <w:p w14:paraId="101C4058"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13</w:t>
            </w:r>
          </w:p>
        </w:tc>
        <w:tc>
          <w:tcPr>
            <w:tcW w:w="870" w:type="dxa"/>
            <w:vAlign w:val="center"/>
          </w:tcPr>
          <w:p w14:paraId="26DD39ED"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19</w:t>
            </w:r>
          </w:p>
        </w:tc>
        <w:tc>
          <w:tcPr>
            <w:tcW w:w="870" w:type="dxa"/>
            <w:vAlign w:val="center"/>
          </w:tcPr>
          <w:p w14:paraId="1003F74B" w14:textId="77777777" w:rsidR="00DB29C1" w:rsidRPr="00D83239" w:rsidRDefault="00DB29C1" w:rsidP="008F6AEC">
            <w:pPr>
              <w:spacing w:after="0" w:line="276" w:lineRule="auto"/>
              <w:jc w:val="right"/>
              <w:rPr>
                <w:rFonts w:ascii="Arial" w:hAnsi="Arial" w:cs="Arial"/>
                <w:b/>
                <w:sz w:val="20"/>
                <w:szCs w:val="20"/>
              </w:rPr>
            </w:pPr>
            <w:r w:rsidRPr="00D83239">
              <w:rPr>
                <w:rFonts w:ascii="Arial" w:hAnsi="Arial" w:cs="Arial"/>
                <w:sz w:val="20"/>
                <w:szCs w:val="20"/>
              </w:rPr>
              <w:t>12</w:t>
            </w:r>
          </w:p>
        </w:tc>
        <w:tc>
          <w:tcPr>
            <w:tcW w:w="870" w:type="dxa"/>
            <w:vAlign w:val="center"/>
          </w:tcPr>
          <w:p w14:paraId="0332A296"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16</w:t>
            </w:r>
          </w:p>
        </w:tc>
        <w:tc>
          <w:tcPr>
            <w:tcW w:w="840" w:type="dxa"/>
            <w:vAlign w:val="center"/>
          </w:tcPr>
          <w:p w14:paraId="4893F9A8" w14:textId="77777777" w:rsidR="00DB29C1" w:rsidRPr="00D83239" w:rsidRDefault="00DB29C1" w:rsidP="008F6AEC">
            <w:pPr>
              <w:spacing w:after="0" w:line="276" w:lineRule="auto"/>
              <w:jc w:val="right"/>
              <w:rPr>
                <w:rFonts w:ascii="Arial" w:hAnsi="Arial" w:cs="Arial"/>
                <w:b/>
                <w:bCs/>
                <w:sz w:val="20"/>
                <w:szCs w:val="20"/>
              </w:rPr>
            </w:pPr>
            <w:r w:rsidRPr="00D83239">
              <w:rPr>
                <w:rFonts w:ascii="Arial" w:hAnsi="Arial" w:cs="Arial"/>
                <w:sz w:val="20"/>
                <w:szCs w:val="20"/>
              </w:rPr>
              <w:t>14</w:t>
            </w:r>
          </w:p>
        </w:tc>
      </w:tr>
      <w:tr w:rsidR="00DB29C1" w:rsidRPr="00D83239" w14:paraId="4E807B63" w14:textId="77777777" w:rsidTr="008F6AEC">
        <w:trPr>
          <w:trHeight w:val="306"/>
        </w:trPr>
        <w:tc>
          <w:tcPr>
            <w:tcW w:w="684" w:type="dxa"/>
            <w:vAlign w:val="center"/>
          </w:tcPr>
          <w:p w14:paraId="1F6FFC7B" w14:textId="77777777" w:rsidR="00DB29C1" w:rsidRPr="00D83239" w:rsidRDefault="00DB29C1" w:rsidP="008F6AEC">
            <w:pPr>
              <w:spacing w:after="0" w:line="276" w:lineRule="auto"/>
              <w:jc w:val="center"/>
              <w:rPr>
                <w:rFonts w:ascii="Arial" w:hAnsi="Arial" w:cs="Arial"/>
                <w:sz w:val="20"/>
                <w:szCs w:val="20"/>
              </w:rPr>
            </w:pPr>
            <w:r w:rsidRPr="00D83239">
              <w:rPr>
                <w:rFonts w:ascii="Arial" w:hAnsi="Arial" w:cs="Arial"/>
                <w:sz w:val="20"/>
                <w:szCs w:val="20"/>
              </w:rPr>
              <w:t>C</w:t>
            </w:r>
          </w:p>
        </w:tc>
        <w:tc>
          <w:tcPr>
            <w:tcW w:w="3175" w:type="dxa"/>
            <w:vAlign w:val="center"/>
          </w:tcPr>
          <w:p w14:paraId="2635C517" w14:textId="77777777" w:rsidR="00DB29C1" w:rsidRPr="00D83239" w:rsidRDefault="00DB29C1" w:rsidP="008F6AEC">
            <w:pPr>
              <w:spacing w:after="0" w:line="276" w:lineRule="auto"/>
              <w:rPr>
                <w:rFonts w:ascii="Arial" w:hAnsi="Arial" w:cs="Arial"/>
                <w:sz w:val="20"/>
                <w:szCs w:val="20"/>
              </w:rPr>
            </w:pPr>
            <w:r w:rsidRPr="00D83239">
              <w:rPr>
                <w:rFonts w:ascii="Arial" w:hAnsi="Arial" w:cs="Arial"/>
                <w:sz w:val="20"/>
                <w:szCs w:val="20"/>
              </w:rPr>
              <w:t>Zaključek brez obravnave</w:t>
            </w:r>
          </w:p>
        </w:tc>
        <w:tc>
          <w:tcPr>
            <w:tcW w:w="884" w:type="dxa"/>
            <w:vAlign w:val="center"/>
          </w:tcPr>
          <w:p w14:paraId="77D6C4FD"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212</w:t>
            </w:r>
          </w:p>
        </w:tc>
        <w:tc>
          <w:tcPr>
            <w:tcW w:w="869" w:type="dxa"/>
            <w:vAlign w:val="center"/>
          </w:tcPr>
          <w:p w14:paraId="0550229D"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2249</w:t>
            </w:r>
          </w:p>
        </w:tc>
        <w:tc>
          <w:tcPr>
            <w:tcW w:w="870" w:type="dxa"/>
            <w:vAlign w:val="center"/>
          </w:tcPr>
          <w:p w14:paraId="6E4C8885"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349</w:t>
            </w:r>
          </w:p>
        </w:tc>
        <w:tc>
          <w:tcPr>
            <w:tcW w:w="870" w:type="dxa"/>
            <w:vAlign w:val="center"/>
          </w:tcPr>
          <w:p w14:paraId="091E4BF5" w14:textId="77777777" w:rsidR="00DB29C1" w:rsidRPr="00D83239" w:rsidRDefault="00DB29C1" w:rsidP="008F6AEC">
            <w:pPr>
              <w:spacing w:after="0" w:line="276" w:lineRule="auto"/>
              <w:jc w:val="right"/>
              <w:rPr>
                <w:rFonts w:ascii="Arial" w:hAnsi="Arial" w:cs="Arial"/>
                <w:b/>
                <w:sz w:val="20"/>
                <w:szCs w:val="20"/>
              </w:rPr>
            </w:pPr>
            <w:r w:rsidRPr="00D83239">
              <w:rPr>
                <w:rFonts w:ascii="Arial" w:hAnsi="Arial" w:cs="Arial"/>
                <w:sz w:val="20"/>
                <w:szCs w:val="20"/>
              </w:rPr>
              <w:t>303</w:t>
            </w:r>
          </w:p>
        </w:tc>
        <w:tc>
          <w:tcPr>
            <w:tcW w:w="870" w:type="dxa"/>
            <w:vAlign w:val="center"/>
          </w:tcPr>
          <w:p w14:paraId="6A54B05F"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359</w:t>
            </w:r>
          </w:p>
        </w:tc>
        <w:tc>
          <w:tcPr>
            <w:tcW w:w="840" w:type="dxa"/>
            <w:vAlign w:val="center"/>
          </w:tcPr>
          <w:p w14:paraId="4DFF1975" w14:textId="77777777" w:rsidR="00DB29C1" w:rsidRPr="00D83239" w:rsidRDefault="00DB29C1" w:rsidP="008F6AEC">
            <w:pPr>
              <w:spacing w:after="0" w:line="276" w:lineRule="auto"/>
              <w:jc w:val="right"/>
              <w:rPr>
                <w:rFonts w:ascii="Arial" w:hAnsi="Arial" w:cs="Arial"/>
                <w:b/>
                <w:bCs/>
                <w:sz w:val="20"/>
                <w:szCs w:val="20"/>
              </w:rPr>
            </w:pPr>
            <w:r w:rsidRPr="00D83239">
              <w:rPr>
                <w:rFonts w:ascii="Arial" w:hAnsi="Arial" w:cs="Arial"/>
                <w:sz w:val="20"/>
                <w:szCs w:val="20"/>
              </w:rPr>
              <w:t>333</w:t>
            </w:r>
          </w:p>
        </w:tc>
      </w:tr>
      <w:tr w:rsidR="00DB29C1" w:rsidRPr="00D83239" w14:paraId="1B7AD3D7" w14:textId="77777777" w:rsidTr="008F6AEC">
        <w:trPr>
          <w:trHeight w:val="306"/>
        </w:trPr>
        <w:tc>
          <w:tcPr>
            <w:tcW w:w="684" w:type="dxa"/>
            <w:vAlign w:val="center"/>
          </w:tcPr>
          <w:p w14:paraId="320A75A8" w14:textId="77777777" w:rsidR="00DB29C1" w:rsidRPr="00D83239" w:rsidRDefault="00DB29C1" w:rsidP="008F6AEC">
            <w:pPr>
              <w:spacing w:after="0" w:line="276" w:lineRule="auto"/>
              <w:jc w:val="center"/>
              <w:rPr>
                <w:rFonts w:ascii="Arial" w:hAnsi="Arial" w:cs="Arial"/>
                <w:sz w:val="20"/>
                <w:szCs w:val="20"/>
              </w:rPr>
            </w:pPr>
            <w:r w:rsidRPr="00D83239">
              <w:rPr>
                <w:rFonts w:ascii="Arial" w:hAnsi="Arial" w:cs="Arial"/>
                <w:sz w:val="20"/>
                <w:szCs w:val="20"/>
              </w:rPr>
              <w:t>D</w:t>
            </w:r>
          </w:p>
        </w:tc>
        <w:tc>
          <w:tcPr>
            <w:tcW w:w="3175" w:type="dxa"/>
            <w:vAlign w:val="center"/>
          </w:tcPr>
          <w:p w14:paraId="56508F10" w14:textId="77777777" w:rsidR="00DB29C1" w:rsidRPr="00D83239" w:rsidRDefault="00DB29C1" w:rsidP="008F6AEC">
            <w:pPr>
              <w:spacing w:after="0" w:line="276" w:lineRule="auto"/>
              <w:rPr>
                <w:rFonts w:ascii="Arial" w:hAnsi="Arial" w:cs="Arial"/>
                <w:sz w:val="20"/>
                <w:szCs w:val="20"/>
              </w:rPr>
            </w:pPr>
            <w:r w:rsidRPr="00D83239">
              <w:rPr>
                <w:rFonts w:ascii="Arial" w:hAnsi="Arial" w:cs="Arial"/>
                <w:sz w:val="20"/>
                <w:szCs w:val="20"/>
              </w:rPr>
              <w:t>SKUPAJ rešenih pritožb (D = A + B2 + C)</w:t>
            </w:r>
          </w:p>
        </w:tc>
        <w:tc>
          <w:tcPr>
            <w:tcW w:w="884" w:type="dxa"/>
            <w:vAlign w:val="center"/>
          </w:tcPr>
          <w:p w14:paraId="6B8D3B44"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358</w:t>
            </w:r>
          </w:p>
        </w:tc>
        <w:tc>
          <w:tcPr>
            <w:tcW w:w="869" w:type="dxa"/>
            <w:vAlign w:val="center"/>
          </w:tcPr>
          <w:p w14:paraId="24279378"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456</w:t>
            </w:r>
          </w:p>
        </w:tc>
        <w:tc>
          <w:tcPr>
            <w:tcW w:w="870" w:type="dxa"/>
            <w:vAlign w:val="center"/>
          </w:tcPr>
          <w:p w14:paraId="1D512E80"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515</w:t>
            </w:r>
          </w:p>
        </w:tc>
        <w:tc>
          <w:tcPr>
            <w:tcW w:w="870" w:type="dxa"/>
            <w:vAlign w:val="center"/>
          </w:tcPr>
          <w:p w14:paraId="4E71980D"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465</w:t>
            </w:r>
          </w:p>
        </w:tc>
        <w:tc>
          <w:tcPr>
            <w:tcW w:w="870" w:type="dxa"/>
            <w:vAlign w:val="center"/>
          </w:tcPr>
          <w:p w14:paraId="76E3035C"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501</w:t>
            </w:r>
          </w:p>
        </w:tc>
        <w:tc>
          <w:tcPr>
            <w:tcW w:w="840" w:type="dxa"/>
            <w:vAlign w:val="center"/>
          </w:tcPr>
          <w:p w14:paraId="7E04DC0D" w14:textId="77777777" w:rsidR="00DB29C1" w:rsidRPr="00D83239" w:rsidRDefault="00DB29C1" w:rsidP="008F6AEC">
            <w:pPr>
              <w:spacing w:after="0" w:line="276" w:lineRule="auto"/>
              <w:jc w:val="right"/>
              <w:rPr>
                <w:rFonts w:ascii="Arial" w:hAnsi="Arial" w:cs="Arial"/>
                <w:sz w:val="20"/>
                <w:szCs w:val="20"/>
              </w:rPr>
            </w:pPr>
            <w:r w:rsidRPr="00D83239">
              <w:rPr>
                <w:rFonts w:ascii="Arial" w:hAnsi="Arial" w:cs="Arial"/>
                <w:sz w:val="20"/>
                <w:szCs w:val="20"/>
              </w:rPr>
              <w:t>457</w:t>
            </w:r>
          </w:p>
        </w:tc>
      </w:tr>
    </w:tbl>
    <w:p w14:paraId="2BACE4D1" w14:textId="77777777" w:rsidR="00BD4B95" w:rsidRDefault="00BD4B95" w:rsidP="00D83239">
      <w:pPr>
        <w:spacing w:after="0" w:line="276" w:lineRule="auto"/>
        <w:jc w:val="both"/>
        <w:rPr>
          <w:rFonts w:ascii="Arial" w:hAnsi="Arial" w:cs="Arial"/>
          <w:b/>
          <w:sz w:val="20"/>
          <w:szCs w:val="20"/>
        </w:rPr>
      </w:pPr>
    </w:p>
    <w:p w14:paraId="521D8EFC" w14:textId="6D994304" w:rsidR="00DB29C1" w:rsidRPr="00D83239" w:rsidRDefault="00DB29C1" w:rsidP="00D83239">
      <w:pPr>
        <w:spacing w:after="0" w:line="276" w:lineRule="auto"/>
        <w:jc w:val="both"/>
        <w:rPr>
          <w:rFonts w:ascii="Arial" w:hAnsi="Arial" w:cs="Arial"/>
          <w:b/>
          <w:sz w:val="20"/>
          <w:szCs w:val="20"/>
        </w:rPr>
      </w:pPr>
      <w:r w:rsidRPr="00D83239">
        <w:rPr>
          <w:rFonts w:ascii="Arial" w:hAnsi="Arial" w:cs="Arial"/>
          <w:b/>
          <w:sz w:val="20"/>
          <w:szCs w:val="20"/>
        </w:rPr>
        <w:t>Preglednica</w:t>
      </w:r>
      <w:r w:rsidRPr="00D83239">
        <w:rPr>
          <w:rFonts w:ascii="Arial" w:hAnsi="Arial" w:cs="Arial"/>
          <w:sz w:val="20"/>
          <w:szCs w:val="20"/>
        </w:rPr>
        <w:t>: Rešene pritožbe zoper policiste glede na način reševanja</w:t>
      </w:r>
    </w:p>
    <w:p w14:paraId="53033602" w14:textId="77777777" w:rsidR="00DB29C1" w:rsidRPr="00D83239" w:rsidRDefault="00DB29C1" w:rsidP="00D83239">
      <w:pPr>
        <w:tabs>
          <w:tab w:val="left" w:pos="2520"/>
        </w:tabs>
        <w:spacing w:after="0" w:line="276" w:lineRule="auto"/>
        <w:jc w:val="both"/>
        <w:rPr>
          <w:rFonts w:ascii="Arial" w:hAnsi="Arial" w:cs="Arial"/>
          <w:sz w:val="20"/>
          <w:szCs w:val="20"/>
          <w:highlight w:val="yellow"/>
        </w:rPr>
      </w:pPr>
    </w:p>
    <w:p w14:paraId="13345E42" w14:textId="1E282A70" w:rsidR="009433E0" w:rsidRPr="00D83239" w:rsidRDefault="009433E0" w:rsidP="009433E0">
      <w:pPr>
        <w:tabs>
          <w:tab w:val="left" w:pos="2520"/>
        </w:tabs>
        <w:spacing w:after="0" w:line="276" w:lineRule="auto"/>
        <w:jc w:val="both"/>
        <w:rPr>
          <w:rFonts w:ascii="Arial" w:hAnsi="Arial" w:cs="Arial"/>
          <w:sz w:val="20"/>
          <w:szCs w:val="20"/>
        </w:rPr>
      </w:pPr>
      <w:r w:rsidRPr="00D83239">
        <w:rPr>
          <w:rFonts w:ascii="Arial" w:hAnsi="Arial" w:cs="Arial"/>
          <w:sz w:val="20"/>
          <w:szCs w:val="20"/>
        </w:rPr>
        <w:t xml:space="preserve">Delo na področju reševanja pritožb zoper policiste je torej tudi v letu 2025 potekalo v znamenju prizadevanj za izboljšanje kakovosti vseh faz pritožbenega postopka ter </w:t>
      </w:r>
      <w:r>
        <w:rPr>
          <w:rFonts w:ascii="Arial" w:hAnsi="Arial" w:cs="Arial"/>
          <w:sz w:val="20"/>
          <w:szCs w:val="20"/>
        </w:rPr>
        <w:t xml:space="preserve">za </w:t>
      </w:r>
      <w:r w:rsidRPr="00D83239">
        <w:rPr>
          <w:rFonts w:ascii="Arial" w:hAnsi="Arial" w:cs="Arial"/>
          <w:sz w:val="20"/>
          <w:szCs w:val="20"/>
        </w:rPr>
        <w:t>čim bolj neodvisno, strokovno in objektivno reševanje pritožb. V letu 2025 je bilo vloženih manj pritožb (475) kot leto pred tem (521). Bilo je tudi manj senatov (40) kot leto prej (56). Število pomiritvenih postopkov je ostalo na enaki ravni (84</w:t>
      </w:r>
      <w:r>
        <w:rPr>
          <w:rFonts w:ascii="Arial" w:hAnsi="Arial" w:cs="Arial"/>
          <w:sz w:val="20"/>
          <w:szCs w:val="20"/>
        </w:rPr>
        <w:t xml:space="preserve">) </w:t>
      </w:r>
      <w:r w:rsidRPr="00D83239">
        <w:rPr>
          <w:rFonts w:ascii="Arial" w:hAnsi="Arial" w:cs="Arial"/>
          <w:sz w:val="20"/>
          <w:szCs w:val="20"/>
        </w:rPr>
        <w:t xml:space="preserve">kot leto prej </w:t>
      </w:r>
      <w:r>
        <w:rPr>
          <w:rFonts w:ascii="Arial" w:hAnsi="Arial" w:cs="Arial"/>
          <w:sz w:val="20"/>
          <w:szCs w:val="20"/>
        </w:rPr>
        <w:t>(</w:t>
      </w:r>
      <w:r w:rsidRPr="00D83239">
        <w:rPr>
          <w:rFonts w:ascii="Arial" w:hAnsi="Arial" w:cs="Arial"/>
          <w:sz w:val="20"/>
          <w:szCs w:val="20"/>
        </w:rPr>
        <w:t xml:space="preserve">86), </w:t>
      </w:r>
      <w:r>
        <w:rPr>
          <w:rFonts w:ascii="Arial" w:hAnsi="Arial" w:cs="Arial"/>
          <w:sz w:val="20"/>
          <w:szCs w:val="20"/>
        </w:rPr>
        <w:t xml:space="preserve">tudi </w:t>
      </w:r>
      <w:r w:rsidRPr="00D83239">
        <w:rPr>
          <w:rFonts w:ascii="Arial" w:hAnsi="Arial" w:cs="Arial"/>
          <w:sz w:val="20"/>
          <w:szCs w:val="20"/>
        </w:rPr>
        <w:t>število odstopov od pritožb je ostalo na podobni ravni (333</w:t>
      </w:r>
      <w:r>
        <w:rPr>
          <w:rFonts w:ascii="Arial" w:hAnsi="Arial" w:cs="Arial"/>
          <w:sz w:val="20"/>
          <w:szCs w:val="20"/>
        </w:rPr>
        <w:t>) kot leto prej (</w:t>
      </w:r>
      <w:r w:rsidRPr="00D83239">
        <w:rPr>
          <w:rFonts w:ascii="Arial" w:hAnsi="Arial" w:cs="Arial"/>
          <w:sz w:val="20"/>
          <w:szCs w:val="20"/>
        </w:rPr>
        <w:t>359). Delež uspešno rešenih pomiritvenih postopkov je prav tako ostal na</w:t>
      </w:r>
      <w:r>
        <w:rPr>
          <w:rFonts w:ascii="Arial" w:hAnsi="Arial" w:cs="Arial"/>
          <w:sz w:val="20"/>
          <w:szCs w:val="20"/>
        </w:rPr>
        <w:t>d</w:t>
      </w:r>
      <w:r w:rsidRPr="00D83239">
        <w:rPr>
          <w:rFonts w:ascii="Arial" w:hAnsi="Arial" w:cs="Arial"/>
          <w:sz w:val="20"/>
          <w:szCs w:val="20"/>
        </w:rPr>
        <w:t xml:space="preserve"> 70</w:t>
      </w:r>
      <w:r w:rsidR="00BA7525">
        <w:rPr>
          <w:rFonts w:ascii="Arial" w:hAnsi="Arial" w:cs="Arial"/>
          <w:sz w:val="20"/>
          <w:szCs w:val="20"/>
        </w:rPr>
        <w:t> </w:t>
      </w:r>
      <w:r w:rsidRPr="00D83239">
        <w:rPr>
          <w:rFonts w:ascii="Arial" w:hAnsi="Arial" w:cs="Arial"/>
          <w:sz w:val="20"/>
          <w:szCs w:val="20"/>
        </w:rPr>
        <w:t>%, kar je</w:t>
      </w:r>
      <w:r w:rsidR="00BA7525">
        <w:rPr>
          <w:rFonts w:ascii="Arial" w:hAnsi="Arial" w:cs="Arial"/>
          <w:sz w:val="20"/>
          <w:szCs w:val="20"/>
        </w:rPr>
        <w:t>,</w:t>
      </w:r>
      <w:r w:rsidRPr="00D83239">
        <w:rPr>
          <w:rFonts w:ascii="Arial" w:hAnsi="Arial" w:cs="Arial"/>
          <w:sz w:val="20"/>
          <w:szCs w:val="20"/>
        </w:rPr>
        <w:t xml:space="preserve"> med drugim</w:t>
      </w:r>
      <w:r w:rsidR="00BA7525">
        <w:rPr>
          <w:rFonts w:ascii="Arial" w:hAnsi="Arial" w:cs="Arial"/>
          <w:sz w:val="20"/>
          <w:szCs w:val="20"/>
        </w:rPr>
        <w:t>,</w:t>
      </w:r>
      <w:r w:rsidRPr="00D83239">
        <w:rPr>
          <w:rFonts w:ascii="Arial" w:hAnsi="Arial" w:cs="Arial"/>
          <w:sz w:val="20"/>
          <w:szCs w:val="20"/>
        </w:rPr>
        <w:t xml:space="preserve"> rezultat usposabljanja in izpopolnjevanja vodij pomiritvenih postopkov ter opravljenih monitoringov pomiritvenih postopkov s strani pooblaščencev ministra. </w:t>
      </w:r>
    </w:p>
    <w:p w14:paraId="5B10C312" w14:textId="77777777" w:rsidR="009433E0" w:rsidRPr="00D83239" w:rsidRDefault="009433E0" w:rsidP="009433E0">
      <w:pPr>
        <w:tabs>
          <w:tab w:val="left" w:pos="2520"/>
        </w:tabs>
        <w:spacing w:after="0" w:line="276" w:lineRule="auto"/>
        <w:jc w:val="both"/>
        <w:rPr>
          <w:rFonts w:ascii="Arial" w:hAnsi="Arial" w:cs="Arial"/>
          <w:sz w:val="20"/>
          <w:szCs w:val="20"/>
        </w:rPr>
      </w:pPr>
    </w:p>
    <w:p w14:paraId="2D18731D" w14:textId="2DD9176F" w:rsidR="009433E0" w:rsidRPr="00D83239" w:rsidRDefault="009433E0" w:rsidP="009433E0">
      <w:pPr>
        <w:tabs>
          <w:tab w:val="left" w:pos="2520"/>
        </w:tabs>
        <w:spacing w:after="0" w:line="276" w:lineRule="auto"/>
        <w:jc w:val="both"/>
        <w:rPr>
          <w:rFonts w:ascii="Arial" w:hAnsi="Arial" w:cs="Arial"/>
          <w:sz w:val="20"/>
          <w:szCs w:val="20"/>
        </w:rPr>
      </w:pPr>
      <w:r w:rsidRPr="00D83239">
        <w:rPr>
          <w:rFonts w:ascii="Arial" w:hAnsi="Arial" w:cs="Arial"/>
          <w:sz w:val="20"/>
          <w:szCs w:val="20"/>
        </w:rPr>
        <w:t>Pooblaščenci ministra so bili v letu 2025</w:t>
      </w:r>
      <w:r>
        <w:rPr>
          <w:rFonts w:ascii="Arial" w:hAnsi="Arial" w:cs="Arial"/>
          <w:sz w:val="20"/>
          <w:szCs w:val="20"/>
        </w:rPr>
        <w:t>,</w:t>
      </w:r>
      <w:r w:rsidRPr="00D83239">
        <w:rPr>
          <w:rFonts w:ascii="Arial" w:hAnsi="Arial" w:cs="Arial"/>
          <w:sz w:val="20"/>
          <w:szCs w:val="20"/>
        </w:rPr>
        <w:t xml:space="preserve"> kljub kadrovskim omejitvam zaradi nepredvidenih odsotnosti in nepopolne zasedenosti sistematiziranih delovnih mest, v največjem možnem obsegu prisotni na pomiritvenih postopkih. Delež primerov na sejah senata, ko so naloge poročevalca opravljali pooblaščenci ministra</w:t>
      </w:r>
      <w:r>
        <w:rPr>
          <w:rFonts w:ascii="Arial" w:hAnsi="Arial" w:cs="Arial"/>
          <w:sz w:val="20"/>
          <w:szCs w:val="20"/>
        </w:rPr>
        <w:t>,</w:t>
      </w:r>
      <w:r w:rsidRPr="00D83239">
        <w:rPr>
          <w:rFonts w:ascii="Arial" w:hAnsi="Arial" w:cs="Arial"/>
          <w:sz w:val="20"/>
          <w:szCs w:val="20"/>
        </w:rPr>
        <w:t xml:space="preserve"> se je v primerjavi s predhodnim letom predvsem zaradi kadrovske fluktuacije in dalj časa trajajočih odsotnosti zmanjšal. Povečanje tega deleža je predvideno v letu</w:t>
      </w:r>
      <w:r>
        <w:rPr>
          <w:rFonts w:ascii="Arial" w:hAnsi="Arial" w:cs="Arial"/>
          <w:sz w:val="20"/>
          <w:szCs w:val="20"/>
        </w:rPr>
        <w:t xml:space="preserve"> 2026</w:t>
      </w:r>
      <w:r w:rsidRPr="00D83239">
        <w:rPr>
          <w:rFonts w:ascii="Arial" w:hAnsi="Arial" w:cs="Arial"/>
          <w:sz w:val="20"/>
          <w:szCs w:val="20"/>
        </w:rPr>
        <w:t xml:space="preserve">, </w:t>
      </w:r>
      <w:r w:rsidR="00BA7525">
        <w:rPr>
          <w:rFonts w:ascii="Arial" w:hAnsi="Arial" w:cs="Arial"/>
          <w:sz w:val="20"/>
          <w:szCs w:val="20"/>
        </w:rPr>
        <w:t>če</w:t>
      </w:r>
      <w:r w:rsidRPr="00D83239">
        <w:rPr>
          <w:rFonts w:ascii="Arial" w:hAnsi="Arial" w:cs="Arial"/>
          <w:sz w:val="20"/>
          <w:szCs w:val="20"/>
        </w:rPr>
        <w:t xml:space="preserve"> bo izkazan pozitivn</w:t>
      </w:r>
      <w:r w:rsidR="00B0706E">
        <w:rPr>
          <w:rFonts w:ascii="Arial" w:hAnsi="Arial" w:cs="Arial"/>
          <w:sz w:val="20"/>
          <w:szCs w:val="20"/>
        </w:rPr>
        <w:t>i</w:t>
      </w:r>
      <w:r w:rsidRPr="00D83239">
        <w:rPr>
          <w:rFonts w:ascii="Arial" w:hAnsi="Arial" w:cs="Arial"/>
          <w:sz w:val="20"/>
          <w:szCs w:val="20"/>
        </w:rPr>
        <w:t xml:space="preserve"> </w:t>
      </w:r>
      <w:r>
        <w:rPr>
          <w:rFonts w:ascii="Arial" w:hAnsi="Arial" w:cs="Arial"/>
          <w:sz w:val="20"/>
          <w:szCs w:val="20"/>
        </w:rPr>
        <w:t xml:space="preserve">kadrovski </w:t>
      </w:r>
      <w:r w:rsidRPr="00D83239">
        <w:rPr>
          <w:rFonts w:ascii="Arial" w:hAnsi="Arial" w:cs="Arial"/>
          <w:sz w:val="20"/>
          <w:szCs w:val="20"/>
        </w:rPr>
        <w:t xml:space="preserve">trend. </w:t>
      </w:r>
    </w:p>
    <w:p w14:paraId="7D7B896F" w14:textId="462CEFF2" w:rsidR="00DB29C1" w:rsidRPr="00D83239" w:rsidRDefault="00DB29C1" w:rsidP="00D83239">
      <w:pPr>
        <w:tabs>
          <w:tab w:val="left" w:pos="2520"/>
        </w:tabs>
        <w:spacing w:after="0" w:line="276" w:lineRule="auto"/>
        <w:jc w:val="both"/>
        <w:rPr>
          <w:rFonts w:ascii="Arial" w:hAnsi="Arial" w:cs="Arial"/>
          <w:sz w:val="20"/>
          <w:szCs w:val="20"/>
        </w:rPr>
      </w:pPr>
    </w:p>
    <w:p w14:paraId="612B660F" w14:textId="258CA6F4" w:rsidR="00DB29C1" w:rsidRPr="00D83239" w:rsidRDefault="00DB29C1" w:rsidP="00D83239">
      <w:pPr>
        <w:tabs>
          <w:tab w:val="left" w:pos="2520"/>
        </w:tabs>
        <w:spacing w:after="0" w:line="276" w:lineRule="auto"/>
        <w:jc w:val="both"/>
        <w:rPr>
          <w:rFonts w:ascii="Arial" w:hAnsi="Arial" w:cs="Arial"/>
          <w:sz w:val="20"/>
          <w:szCs w:val="20"/>
        </w:rPr>
      </w:pPr>
      <w:r w:rsidRPr="00F766C8">
        <w:rPr>
          <w:rFonts w:ascii="Arial" w:hAnsi="Arial" w:cs="Arial"/>
          <w:sz w:val="20"/>
          <w:szCs w:val="20"/>
        </w:rPr>
        <w:t xml:space="preserve">Strokovnjaki </w:t>
      </w:r>
      <w:r w:rsidR="00F766C8" w:rsidRPr="00F766C8">
        <w:rPr>
          <w:rFonts w:ascii="Arial" w:hAnsi="Arial" w:cs="Arial"/>
          <w:sz w:val="20"/>
          <w:szCs w:val="20"/>
        </w:rPr>
        <w:t>MNZ</w:t>
      </w:r>
      <w:r w:rsidRPr="00F766C8">
        <w:rPr>
          <w:rFonts w:ascii="Arial" w:hAnsi="Arial" w:cs="Arial"/>
          <w:sz w:val="20"/>
          <w:szCs w:val="20"/>
        </w:rPr>
        <w:t xml:space="preserve"> redno spremljajo in analizirajo utemeljene pritožbe, obravnavane na sejah senatov. Število utemeljenih pritožb zoper delo policistov se je v letu 2025 zmanjšalo s 16 na 14. Opravljena je bila tudi analiza utemeljenih pritožb, namenjena odpravi sistemskih nepravilnosti pri opravljanju policijskih nalog.</w:t>
      </w:r>
      <w:r w:rsidRPr="00D83239">
        <w:rPr>
          <w:rFonts w:ascii="Arial" w:hAnsi="Arial" w:cs="Arial"/>
          <w:sz w:val="20"/>
          <w:szCs w:val="20"/>
        </w:rPr>
        <w:t xml:space="preserve"> </w:t>
      </w:r>
    </w:p>
    <w:p w14:paraId="71D31557" w14:textId="77777777" w:rsidR="00641FEA" w:rsidRPr="00D83239" w:rsidRDefault="00641FEA" w:rsidP="00D83239">
      <w:pPr>
        <w:tabs>
          <w:tab w:val="left" w:pos="2520"/>
        </w:tabs>
        <w:spacing w:after="0" w:line="276" w:lineRule="auto"/>
        <w:jc w:val="both"/>
        <w:rPr>
          <w:rFonts w:ascii="Arial" w:hAnsi="Arial" w:cs="Arial"/>
          <w:sz w:val="20"/>
          <w:szCs w:val="20"/>
          <w:highlight w:val="yellow"/>
        </w:rPr>
      </w:pPr>
    </w:p>
    <w:p w14:paraId="75A08B29" w14:textId="7ED8B5ED" w:rsidR="00286577" w:rsidRPr="00D83239" w:rsidRDefault="00590E45" w:rsidP="00D83239">
      <w:pPr>
        <w:pStyle w:val="Naslov1"/>
        <w:spacing w:after="0" w:line="276" w:lineRule="auto"/>
        <w:jc w:val="both"/>
        <w:rPr>
          <w:color w:val="auto"/>
        </w:rPr>
      </w:pPr>
      <w:bookmarkStart w:id="9" w:name="_Toc65591459"/>
      <w:bookmarkStart w:id="10" w:name="_Toc65651010"/>
      <w:bookmarkStart w:id="11" w:name="_Toc225499815"/>
      <w:r w:rsidRPr="00D83239">
        <w:rPr>
          <w:color w:val="auto"/>
        </w:rPr>
        <w:t xml:space="preserve">Zakonito in učinkovito opravljanje upravnih </w:t>
      </w:r>
      <w:r w:rsidR="00341FFA" w:rsidRPr="00D83239">
        <w:rPr>
          <w:color w:val="auto"/>
        </w:rPr>
        <w:t xml:space="preserve">in drugih </w:t>
      </w:r>
      <w:r w:rsidR="00921F8E" w:rsidRPr="00D83239">
        <w:rPr>
          <w:color w:val="auto"/>
        </w:rPr>
        <w:t>nalog v</w:t>
      </w:r>
      <w:r w:rsidRPr="00D83239">
        <w:rPr>
          <w:color w:val="auto"/>
        </w:rPr>
        <w:t xml:space="preserve"> pristojnosti M</w:t>
      </w:r>
      <w:bookmarkStart w:id="12" w:name="_Toc65591460"/>
      <w:bookmarkStart w:id="13" w:name="_Toc65651011"/>
      <w:bookmarkEnd w:id="9"/>
      <w:bookmarkEnd w:id="10"/>
      <w:r w:rsidR="00A17960" w:rsidRPr="00D83239">
        <w:rPr>
          <w:color w:val="auto"/>
        </w:rPr>
        <w:t>inistrstva za notranje zadeve</w:t>
      </w:r>
      <w:bookmarkEnd w:id="11"/>
    </w:p>
    <w:p w14:paraId="7D7FE18E" w14:textId="720FA2D6" w:rsidR="00286577" w:rsidRPr="00D83239" w:rsidRDefault="00286577" w:rsidP="00D83239">
      <w:pPr>
        <w:pStyle w:val="Odstavekseznama"/>
        <w:keepNext/>
        <w:tabs>
          <w:tab w:val="left" w:pos="567"/>
        </w:tabs>
        <w:spacing w:after="160"/>
        <w:ind w:left="576"/>
        <w:contextualSpacing/>
        <w:jc w:val="both"/>
        <w:outlineLvl w:val="1"/>
        <w:rPr>
          <w:rFonts w:ascii="Arial" w:hAnsi="Arial" w:cs="Arial"/>
          <w:b/>
          <w:bCs/>
          <w:iCs/>
          <w:sz w:val="20"/>
          <w:szCs w:val="20"/>
        </w:rPr>
      </w:pPr>
      <w:bookmarkStart w:id="14" w:name="_Toc126821496"/>
      <w:bookmarkStart w:id="15" w:name="_Toc160704606"/>
      <w:bookmarkStart w:id="16" w:name="_Toc161053786"/>
      <w:bookmarkStart w:id="17" w:name="_Toc161053830"/>
      <w:bookmarkStart w:id="18" w:name="_Toc163819671"/>
      <w:bookmarkStart w:id="19" w:name="_Toc164169655"/>
      <w:bookmarkStart w:id="20" w:name="_Toc164169711"/>
      <w:bookmarkStart w:id="21" w:name="_Toc164169755"/>
      <w:bookmarkStart w:id="22" w:name="_Toc164169945"/>
      <w:bookmarkStart w:id="23" w:name="_Toc164171610"/>
      <w:bookmarkStart w:id="24" w:name="_Toc164171722"/>
      <w:bookmarkStart w:id="25" w:name="_Toc193199756"/>
      <w:bookmarkStart w:id="26" w:name="_Toc195707049"/>
      <w:bookmarkStart w:id="27" w:name="_Toc203552453"/>
      <w:bookmarkStart w:id="28" w:name="_Toc12682149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48FEFE9" w14:textId="77777777" w:rsidR="00ED51C3" w:rsidRPr="00D83239" w:rsidRDefault="00ED51C3" w:rsidP="00D83239">
      <w:pPr>
        <w:pStyle w:val="Odstavekseznama"/>
        <w:keepNext/>
        <w:numPr>
          <w:ilvl w:val="0"/>
          <w:numId w:val="1"/>
        </w:numPr>
        <w:tabs>
          <w:tab w:val="left" w:pos="567"/>
        </w:tabs>
        <w:spacing w:after="0"/>
        <w:contextualSpacing/>
        <w:jc w:val="both"/>
        <w:outlineLvl w:val="1"/>
        <w:rPr>
          <w:rFonts w:ascii="Arial" w:eastAsia="Times New Roman" w:hAnsi="Arial" w:cs="Arial"/>
          <w:b/>
          <w:bCs/>
          <w:iCs/>
          <w:vanish/>
          <w:sz w:val="20"/>
          <w:szCs w:val="20"/>
          <w:lang w:eastAsia="sl-SI"/>
        </w:rPr>
      </w:pPr>
      <w:bookmarkStart w:id="29" w:name="_Toc126821498"/>
      <w:bookmarkStart w:id="30" w:name="_Toc160704608"/>
      <w:bookmarkStart w:id="31" w:name="_Toc161053788"/>
      <w:bookmarkStart w:id="32" w:name="_Toc161053832"/>
      <w:bookmarkStart w:id="33" w:name="_Toc163819673"/>
      <w:bookmarkStart w:id="34" w:name="_Toc164169657"/>
      <w:bookmarkStart w:id="35" w:name="_Toc164169713"/>
      <w:bookmarkStart w:id="36" w:name="_Toc164169757"/>
      <w:bookmarkStart w:id="37" w:name="_Toc164169947"/>
      <w:bookmarkStart w:id="38" w:name="_Toc164171612"/>
      <w:bookmarkStart w:id="39" w:name="_Toc164171724"/>
      <w:bookmarkStart w:id="40" w:name="_Toc193199758"/>
      <w:bookmarkStart w:id="41" w:name="_Toc195707051"/>
      <w:bookmarkStart w:id="42" w:name="_Toc203552455"/>
      <w:bookmarkStart w:id="43" w:name="_Toc203552651"/>
      <w:bookmarkStart w:id="44" w:name="_Toc203552788"/>
      <w:bookmarkStart w:id="45" w:name="_Toc203552972"/>
      <w:bookmarkStart w:id="46" w:name="_Toc222735939"/>
      <w:bookmarkStart w:id="47" w:name="_Toc222735990"/>
      <w:bookmarkStart w:id="48" w:name="_Toc222742086"/>
      <w:bookmarkStart w:id="49" w:name="_Toc224897130"/>
      <w:bookmarkStart w:id="50" w:name="_Toc22549981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DE46C41" w14:textId="77777777" w:rsidR="00ED51C3" w:rsidRPr="00D83239" w:rsidRDefault="00ED51C3" w:rsidP="00D83239">
      <w:pPr>
        <w:pStyle w:val="Odstavekseznama"/>
        <w:keepNext/>
        <w:numPr>
          <w:ilvl w:val="0"/>
          <w:numId w:val="1"/>
        </w:numPr>
        <w:tabs>
          <w:tab w:val="left" w:pos="567"/>
        </w:tabs>
        <w:spacing w:after="0"/>
        <w:contextualSpacing/>
        <w:jc w:val="both"/>
        <w:outlineLvl w:val="1"/>
        <w:rPr>
          <w:rFonts w:ascii="Arial" w:eastAsia="Times New Roman" w:hAnsi="Arial" w:cs="Arial"/>
          <w:b/>
          <w:bCs/>
          <w:iCs/>
          <w:vanish/>
          <w:sz w:val="20"/>
          <w:szCs w:val="20"/>
          <w:lang w:eastAsia="sl-SI"/>
        </w:rPr>
      </w:pPr>
      <w:bookmarkStart w:id="51" w:name="_Toc203552652"/>
      <w:bookmarkStart w:id="52" w:name="_Toc203552789"/>
      <w:bookmarkStart w:id="53" w:name="_Toc203552973"/>
      <w:bookmarkStart w:id="54" w:name="_Toc222735940"/>
      <w:bookmarkStart w:id="55" w:name="_Toc222735991"/>
      <w:bookmarkStart w:id="56" w:name="_Toc222742087"/>
      <w:bookmarkStart w:id="57" w:name="_Toc224897131"/>
      <w:bookmarkStart w:id="58" w:name="_Toc225499817"/>
      <w:bookmarkEnd w:id="51"/>
      <w:bookmarkEnd w:id="52"/>
      <w:bookmarkEnd w:id="53"/>
      <w:bookmarkEnd w:id="54"/>
      <w:bookmarkEnd w:id="55"/>
      <w:bookmarkEnd w:id="56"/>
      <w:bookmarkEnd w:id="57"/>
      <w:bookmarkEnd w:id="58"/>
    </w:p>
    <w:p w14:paraId="77F81E2E" w14:textId="77777777" w:rsidR="00ED51C3" w:rsidRPr="00D83239" w:rsidRDefault="00ED51C3" w:rsidP="00D83239">
      <w:pPr>
        <w:pStyle w:val="Odstavekseznama"/>
        <w:keepNext/>
        <w:numPr>
          <w:ilvl w:val="0"/>
          <w:numId w:val="1"/>
        </w:numPr>
        <w:tabs>
          <w:tab w:val="left" w:pos="567"/>
        </w:tabs>
        <w:spacing w:after="0"/>
        <w:contextualSpacing/>
        <w:jc w:val="both"/>
        <w:outlineLvl w:val="1"/>
        <w:rPr>
          <w:rFonts w:ascii="Arial" w:eastAsia="Times New Roman" w:hAnsi="Arial" w:cs="Arial"/>
          <w:b/>
          <w:bCs/>
          <w:iCs/>
          <w:vanish/>
          <w:sz w:val="20"/>
          <w:szCs w:val="20"/>
          <w:lang w:eastAsia="sl-SI"/>
        </w:rPr>
      </w:pPr>
      <w:bookmarkStart w:id="59" w:name="_Toc203552653"/>
      <w:bookmarkStart w:id="60" w:name="_Toc203552790"/>
      <w:bookmarkStart w:id="61" w:name="_Toc203552974"/>
      <w:bookmarkStart w:id="62" w:name="_Toc222735941"/>
      <w:bookmarkStart w:id="63" w:name="_Toc222735992"/>
      <w:bookmarkStart w:id="64" w:name="_Toc222742088"/>
      <w:bookmarkStart w:id="65" w:name="_Toc224897132"/>
      <w:bookmarkStart w:id="66" w:name="_Toc225499818"/>
      <w:bookmarkEnd w:id="59"/>
      <w:bookmarkEnd w:id="60"/>
      <w:bookmarkEnd w:id="61"/>
      <w:bookmarkEnd w:id="62"/>
      <w:bookmarkEnd w:id="63"/>
      <w:bookmarkEnd w:id="64"/>
      <w:bookmarkEnd w:id="65"/>
      <w:bookmarkEnd w:id="66"/>
    </w:p>
    <w:p w14:paraId="25ECB38E" w14:textId="77777777" w:rsidR="00ED51C3" w:rsidRPr="00D83239" w:rsidRDefault="00ED51C3" w:rsidP="00D83239">
      <w:pPr>
        <w:pStyle w:val="Odstavekseznama"/>
        <w:keepNext/>
        <w:numPr>
          <w:ilvl w:val="0"/>
          <w:numId w:val="1"/>
        </w:numPr>
        <w:tabs>
          <w:tab w:val="left" w:pos="567"/>
        </w:tabs>
        <w:spacing w:after="0"/>
        <w:contextualSpacing/>
        <w:jc w:val="both"/>
        <w:outlineLvl w:val="1"/>
        <w:rPr>
          <w:rFonts w:ascii="Arial" w:eastAsia="Times New Roman" w:hAnsi="Arial" w:cs="Arial"/>
          <w:b/>
          <w:bCs/>
          <w:iCs/>
          <w:vanish/>
          <w:sz w:val="20"/>
          <w:szCs w:val="20"/>
          <w:lang w:eastAsia="sl-SI"/>
        </w:rPr>
      </w:pPr>
      <w:bookmarkStart w:id="67" w:name="_Toc203552654"/>
      <w:bookmarkStart w:id="68" w:name="_Toc203552791"/>
      <w:bookmarkStart w:id="69" w:name="_Toc203552975"/>
      <w:bookmarkStart w:id="70" w:name="_Toc222735942"/>
      <w:bookmarkStart w:id="71" w:name="_Toc222735993"/>
      <w:bookmarkStart w:id="72" w:name="_Toc222742089"/>
      <w:bookmarkStart w:id="73" w:name="_Toc224897133"/>
      <w:bookmarkStart w:id="74" w:name="_Toc225499819"/>
      <w:bookmarkEnd w:id="67"/>
      <w:bookmarkEnd w:id="68"/>
      <w:bookmarkEnd w:id="69"/>
      <w:bookmarkEnd w:id="70"/>
      <w:bookmarkEnd w:id="71"/>
      <w:bookmarkEnd w:id="72"/>
      <w:bookmarkEnd w:id="73"/>
      <w:bookmarkEnd w:id="74"/>
    </w:p>
    <w:p w14:paraId="22415B7C" w14:textId="04AAC24D" w:rsidR="00590E45" w:rsidRPr="00D83239" w:rsidRDefault="00590E45" w:rsidP="00D83239">
      <w:pPr>
        <w:pStyle w:val="Naslov2"/>
        <w:spacing w:after="0" w:line="276" w:lineRule="auto"/>
        <w:jc w:val="both"/>
      </w:pPr>
      <w:bookmarkStart w:id="75" w:name="_Toc225499820"/>
      <w:r w:rsidRPr="00D83239">
        <w:t>Področje zasebnega varovanja, detektivske dejavnosti, varnosti na smučiščih in občinskega redarstva</w:t>
      </w:r>
      <w:bookmarkEnd w:id="12"/>
      <w:bookmarkEnd w:id="13"/>
      <w:bookmarkEnd w:id="75"/>
    </w:p>
    <w:p w14:paraId="176CF8E7" w14:textId="10AA3A67" w:rsidR="00653B9D" w:rsidRPr="00D83239" w:rsidRDefault="00653B9D" w:rsidP="00D83239">
      <w:pPr>
        <w:spacing w:after="0" w:line="276" w:lineRule="auto"/>
        <w:jc w:val="both"/>
        <w:rPr>
          <w:rFonts w:ascii="Arial" w:hAnsi="Arial" w:cs="Arial"/>
          <w:sz w:val="20"/>
          <w:szCs w:val="20"/>
          <w:highlight w:val="yellow"/>
        </w:rPr>
      </w:pPr>
    </w:p>
    <w:p w14:paraId="4B09527F" w14:textId="2A018751" w:rsidR="009433E0" w:rsidRPr="00D83239" w:rsidRDefault="009433E0" w:rsidP="009433E0">
      <w:pPr>
        <w:tabs>
          <w:tab w:val="left" w:pos="2520"/>
        </w:tabs>
        <w:spacing w:after="0" w:line="276" w:lineRule="auto"/>
        <w:jc w:val="both"/>
        <w:rPr>
          <w:rFonts w:ascii="Arial" w:hAnsi="Arial" w:cs="Arial"/>
          <w:sz w:val="20"/>
          <w:szCs w:val="20"/>
        </w:rPr>
      </w:pPr>
      <w:r w:rsidRPr="00D83239">
        <w:rPr>
          <w:rFonts w:ascii="Arial" w:hAnsi="Arial" w:cs="Arial"/>
          <w:sz w:val="20"/>
          <w:szCs w:val="20"/>
        </w:rPr>
        <w:t xml:space="preserve">Delo </w:t>
      </w:r>
      <w:r>
        <w:rPr>
          <w:rFonts w:ascii="Arial" w:hAnsi="Arial" w:cs="Arial"/>
          <w:sz w:val="20"/>
          <w:szCs w:val="20"/>
        </w:rPr>
        <w:t>MNZ</w:t>
      </w:r>
      <w:r w:rsidRPr="00D83239">
        <w:rPr>
          <w:rFonts w:ascii="Arial" w:hAnsi="Arial" w:cs="Arial"/>
          <w:sz w:val="20"/>
          <w:szCs w:val="20"/>
        </w:rPr>
        <w:t xml:space="preserve"> na področju zasebnega varovanja, detektivske dejavnosti, varnosti na smučiščih in občinskega redarstva je bilo osredotočeno na krepitev zakonodajnega okvira, sodelovanje z deležniki, obravnavo sistemskih vprašanj ter </w:t>
      </w:r>
      <w:r w:rsidR="00E76AFC">
        <w:rPr>
          <w:rFonts w:ascii="Arial" w:hAnsi="Arial" w:cs="Arial"/>
          <w:sz w:val="20"/>
          <w:szCs w:val="20"/>
        </w:rPr>
        <w:t>na</w:t>
      </w:r>
      <w:r w:rsidR="00E76AFC" w:rsidRPr="00D83239">
        <w:rPr>
          <w:rFonts w:ascii="Arial" w:hAnsi="Arial" w:cs="Arial"/>
          <w:sz w:val="20"/>
          <w:szCs w:val="20"/>
        </w:rPr>
        <w:t xml:space="preserve"> </w:t>
      </w:r>
      <w:r w:rsidRPr="00D83239">
        <w:rPr>
          <w:rFonts w:ascii="Arial" w:hAnsi="Arial" w:cs="Arial"/>
          <w:sz w:val="20"/>
          <w:szCs w:val="20"/>
        </w:rPr>
        <w:t>večj</w:t>
      </w:r>
      <w:r w:rsidR="00E76AFC">
        <w:rPr>
          <w:rFonts w:ascii="Arial" w:hAnsi="Arial" w:cs="Arial"/>
          <w:sz w:val="20"/>
          <w:szCs w:val="20"/>
        </w:rPr>
        <w:t>o</w:t>
      </w:r>
      <w:r w:rsidRPr="00D83239">
        <w:rPr>
          <w:rFonts w:ascii="Arial" w:hAnsi="Arial" w:cs="Arial"/>
          <w:sz w:val="20"/>
          <w:szCs w:val="20"/>
        </w:rPr>
        <w:t xml:space="preserve"> učinkovitost in kakovost izvajanja varnostnih nalog v praksi. Pomemben del </w:t>
      </w:r>
      <w:r>
        <w:rPr>
          <w:rFonts w:ascii="Arial" w:hAnsi="Arial" w:cs="Arial"/>
          <w:sz w:val="20"/>
          <w:szCs w:val="20"/>
        </w:rPr>
        <w:t>nalog</w:t>
      </w:r>
      <w:r w:rsidRPr="00D83239">
        <w:rPr>
          <w:rFonts w:ascii="Arial" w:hAnsi="Arial" w:cs="Arial"/>
          <w:sz w:val="20"/>
          <w:szCs w:val="20"/>
        </w:rPr>
        <w:t xml:space="preserve"> je obsegal sodelovanje na strokovnih predstavitvah in posvetih, namenjenih seznanjanju strokovne javnosti in nadzornih organov z novimi ali spremenjenimi zakonskimi rešitvami ter z izzivi njihovega izvajanja v praksi.</w:t>
      </w:r>
    </w:p>
    <w:p w14:paraId="1438B515" w14:textId="5BC27A9C" w:rsidR="00DB29C1" w:rsidRPr="00D83239" w:rsidRDefault="00DB29C1" w:rsidP="00D83239">
      <w:pPr>
        <w:tabs>
          <w:tab w:val="left" w:pos="2520"/>
        </w:tabs>
        <w:spacing w:after="0" w:line="276" w:lineRule="auto"/>
        <w:jc w:val="both"/>
        <w:rPr>
          <w:rFonts w:ascii="Arial" w:hAnsi="Arial" w:cs="Arial"/>
          <w:sz w:val="20"/>
          <w:szCs w:val="20"/>
        </w:rPr>
      </w:pPr>
    </w:p>
    <w:p w14:paraId="5E87B4C7" w14:textId="1F99F131" w:rsidR="00DB29C1" w:rsidRPr="00D83239" w:rsidRDefault="00DB29C1" w:rsidP="00D83239">
      <w:pPr>
        <w:tabs>
          <w:tab w:val="left" w:pos="2520"/>
        </w:tabs>
        <w:spacing w:after="0" w:line="276" w:lineRule="auto"/>
        <w:jc w:val="both"/>
        <w:rPr>
          <w:rFonts w:ascii="Arial" w:hAnsi="Arial" w:cs="Arial"/>
          <w:sz w:val="20"/>
          <w:szCs w:val="20"/>
        </w:rPr>
      </w:pPr>
      <w:r w:rsidRPr="00D83239">
        <w:rPr>
          <w:rFonts w:ascii="Arial" w:hAnsi="Arial" w:cs="Arial"/>
          <w:sz w:val="20"/>
          <w:szCs w:val="20"/>
        </w:rPr>
        <w:t xml:space="preserve">Na področju </w:t>
      </w:r>
      <w:r w:rsidRPr="00D83239">
        <w:rPr>
          <w:rFonts w:ascii="Arial" w:hAnsi="Arial" w:cs="Arial"/>
          <w:b/>
          <w:sz w:val="20"/>
          <w:szCs w:val="20"/>
        </w:rPr>
        <w:t>zasebnega varovanja</w:t>
      </w:r>
      <w:r w:rsidRPr="00D83239">
        <w:rPr>
          <w:rFonts w:ascii="Arial" w:hAnsi="Arial" w:cs="Arial"/>
          <w:sz w:val="20"/>
          <w:szCs w:val="20"/>
        </w:rPr>
        <w:t xml:space="preserve"> je </w:t>
      </w:r>
      <w:r w:rsidR="00A80A82">
        <w:rPr>
          <w:rFonts w:ascii="Arial" w:hAnsi="Arial" w:cs="Arial"/>
          <w:sz w:val="20"/>
          <w:szCs w:val="20"/>
        </w:rPr>
        <w:t>MNZ</w:t>
      </w:r>
      <w:r w:rsidRPr="00D83239">
        <w:rPr>
          <w:rFonts w:ascii="Arial" w:hAnsi="Arial" w:cs="Arial"/>
          <w:sz w:val="20"/>
          <w:szCs w:val="20"/>
        </w:rPr>
        <w:t xml:space="preserve"> nadaljevalo racionalizacijo postopkov izdajanja službenih izkaznic varnostnemu osebju. Skupaj z Ministrstvom za javno upravo se je nadaljeval tudi razvoj aplikacije za elektronsko oddajanje vlog za izdajo izkaznic varnostnega osebja. V fazi razvoja je bila aplikacija, ki bo poenostavila plačilo pristojbin za izdajo izkaznic, pri čemer je </w:t>
      </w:r>
      <w:r w:rsidR="00A80A82">
        <w:rPr>
          <w:rFonts w:ascii="Arial" w:hAnsi="Arial" w:cs="Arial"/>
          <w:sz w:val="20"/>
          <w:szCs w:val="20"/>
        </w:rPr>
        <w:t>MNZ</w:t>
      </w:r>
      <w:r w:rsidRPr="00D83239">
        <w:rPr>
          <w:rFonts w:ascii="Arial" w:hAnsi="Arial" w:cs="Arial"/>
          <w:sz w:val="20"/>
          <w:szCs w:val="20"/>
        </w:rPr>
        <w:t xml:space="preserve"> vključeno v pilotni projekt Ministrstva za digitalno preobrazbo. Nadaljevala se je tudi optimizacija informacijskega sistema za vodenje evidenc ter upravnih in </w:t>
      </w:r>
      <w:proofErr w:type="spellStart"/>
      <w:r w:rsidRPr="00D83239">
        <w:rPr>
          <w:rFonts w:ascii="Arial" w:hAnsi="Arial" w:cs="Arial"/>
          <w:sz w:val="20"/>
          <w:szCs w:val="20"/>
        </w:rPr>
        <w:t>prekrškovnih</w:t>
      </w:r>
      <w:proofErr w:type="spellEnd"/>
      <w:r w:rsidRPr="00D83239">
        <w:rPr>
          <w:rFonts w:ascii="Arial" w:hAnsi="Arial" w:cs="Arial"/>
          <w:sz w:val="20"/>
          <w:szCs w:val="20"/>
        </w:rPr>
        <w:t xml:space="preserve"> postopkov</w:t>
      </w:r>
      <w:r w:rsidR="00641CF3">
        <w:rPr>
          <w:rFonts w:ascii="Arial" w:hAnsi="Arial" w:cs="Arial"/>
          <w:sz w:val="20"/>
          <w:szCs w:val="20"/>
        </w:rPr>
        <w:t xml:space="preserve"> (EUPP)</w:t>
      </w:r>
      <w:r w:rsidRPr="00D83239">
        <w:rPr>
          <w:rFonts w:ascii="Arial" w:hAnsi="Arial" w:cs="Arial"/>
          <w:sz w:val="20"/>
          <w:szCs w:val="20"/>
        </w:rPr>
        <w:t xml:space="preserve"> </w:t>
      </w:r>
      <w:r w:rsidR="00E76AFC">
        <w:rPr>
          <w:rFonts w:ascii="Arial" w:hAnsi="Arial" w:cs="Arial"/>
          <w:sz w:val="20"/>
          <w:szCs w:val="20"/>
        </w:rPr>
        <w:t>na</w:t>
      </w:r>
      <w:r w:rsidR="00E76AFC" w:rsidRPr="00D83239">
        <w:rPr>
          <w:rFonts w:ascii="Arial" w:hAnsi="Arial" w:cs="Arial"/>
          <w:sz w:val="20"/>
          <w:szCs w:val="20"/>
        </w:rPr>
        <w:t xml:space="preserve"> </w:t>
      </w:r>
      <w:r w:rsidRPr="00D83239">
        <w:rPr>
          <w:rFonts w:ascii="Arial" w:hAnsi="Arial" w:cs="Arial"/>
          <w:sz w:val="20"/>
          <w:szCs w:val="20"/>
        </w:rPr>
        <w:t>MNZ in I</w:t>
      </w:r>
      <w:r w:rsidR="00A80A82">
        <w:rPr>
          <w:rFonts w:ascii="Arial" w:hAnsi="Arial" w:cs="Arial"/>
          <w:sz w:val="20"/>
          <w:szCs w:val="20"/>
        </w:rPr>
        <w:t>nšpektoratu R</w:t>
      </w:r>
      <w:r w:rsidR="00E76AFC">
        <w:rPr>
          <w:rFonts w:ascii="Arial" w:hAnsi="Arial" w:cs="Arial"/>
          <w:sz w:val="20"/>
          <w:szCs w:val="20"/>
        </w:rPr>
        <w:t xml:space="preserve">epublike </w:t>
      </w:r>
      <w:r w:rsidR="00A80A82">
        <w:rPr>
          <w:rFonts w:ascii="Arial" w:hAnsi="Arial" w:cs="Arial"/>
          <w:sz w:val="20"/>
          <w:szCs w:val="20"/>
        </w:rPr>
        <w:t>S</w:t>
      </w:r>
      <w:r w:rsidR="00E76AFC">
        <w:rPr>
          <w:rFonts w:ascii="Arial" w:hAnsi="Arial" w:cs="Arial"/>
          <w:sz w:val="20"/>
          <w:szCs w:val="20"/>
        </w:rPr>
        <w:t>lovenije</w:t>
      </w:r>
      <w:r w:rsidR="00A80A82">
        <w:rPr>
          <w:rFonts w:ascii="Arial" w:hAnsi="Arial" w:cs="Arial"/>
          <w:sz w:val="20"/>
          <w:szCs w:val="20"/>
        </w:rPr>
        <w:t xml:space="preserve"> za notranje zadeve</w:t>
      </w:r>
      <w:r w:rsidR="00455C3E">
        <w:rPr>
          <w:rFonts w:ascii="Arial" w:hAnsi="Arial" w:cs="Arial"/>
          <w:sz w:val="20"/>
          <w:szCs w:val="20"/>
        </w:rPr>
        <w:t xml:space="preserve"> (IRSNZ)</w:t>
      </w:r>
      <w:r w:rsidRPr="00D83239">
        <w:rPr>
          <w:rFonts w:ascii="Arial" w:hAnsi="Arial" w:cs="Arial"/>
          <w:sz w:val="20"/>
          <w:szCs w:val="20"/>
        </w:rPr>
        <w:t>, s č</w:t>
      </w:r>
      <w:r w:rsidR="00A80A82">
        <w:rPr>
          <w:rFonts w:ascii="Arial" w:hAnsi="Arial" w:cs="Arial"/>
          <w:sz w:val="20"/>
          <w:szCs w:val="20"/>
        </w:rPr>
        <w:t>i</w:t>
      </w:r>
      <w:r w:rsidRPr="00D83239">
        <w:rPr>
          <w:rFonts w:ascii="Arial" w:hAnsi="Arial" w:cs="Arial"/>
          <w:sz w:val="20"/>
          <w:szCs w:val="20"/>
        </w:rPr>
        <w:t>mer bo dodatno zmanjšano tveganje napak pri vodenju upravnih postopkov.</w:t>
      </w:r>
    </w:p>
    <w:p w14:paraId="172F2171" w14:textId="77777777" w:rsidR="00DB29C1" w:rsidRPr="00D83239" w:rsidRDefault="00DB29C1" w:rsidP="00D83239">
      <w:pPr>
        <w:tabs>
          <w:tab w:val="left" w:pos="2520"/>
        </w:tabs>
        <w:spacing w:after="0" w:line="276" w:lineRule="auto"/>
        <w:jc w:val="both"/>
        <w:rPr>
          <w:rFonts w:ascii="Arial" w:hAnsi="Arial" w:cs="Arial"/>
          <w:sz w:val="20"/>
          <w:szCs w:val="20"/>
          <w:highlight w:val="yellow"/>
        </w:rPr>
      </w:pPr>
    </w:p>
    <w:p w14:paraId="0622BC27" w14:textId="2D620C07" w:rsidR="00DB29C1" w:rsidRPr="00D83239" w:rsidRDefault="00DB29C1" w:rsidP="00D83239">
      <w:pPr>
        <w:tabs>
          <w:tab w:val="left" w:pos="2520"/>
        </w:tabs>
        <w:spacing w:after="0" w:line="276" w:lineRule="auto"/>
        <w:jc w:val="both"/>
        <w:rPr>
          <w:rFonts w:ascii="Arial" w:hAnsi="Arial" w:cs="Arial"/>
          <w:sz w:val="20"/>
          <w:szCs w:val="20"/>
          <w:highlight w:val="yellow"/>
        </w:rPr>
      </w:pPr>
      <w:r w:rsidRPr="00D83239">
        <w:rPr>
          <w:rFonts w:ascii="Arial" w:hAnsi="Arial" w:cs="Arial"/>
          <w:sz w:val="20"/>
          <w:szCs w:val="20"/>
        </w:rPr>
        <w:t xml:space="preserve">Pomemben mejnik obdobja </w:t>
      </w:r>
      <w:r w:rsidR="00E76AFC">
        <w:rPr>
          <w:rFonts w:ascii="Arial" w:hAnsi="Arial" w:cs="Arial"/>
          <w:sz w:val="20"/>
          <w:szCs w:val="20"/>
        </w:rPr>
        <w:t>je</w:t>
      </w:r>
      <w:r w:rsidR="00E76AFC" w:rsidRPr="00D83239">
        <w:rPr>
          <w:rFonts w:ascii="Arial" w:hAnsi="Arial" w:cs="Arial"/>
          <w:sz w:val="20"/>
          <w:szCs w:val="20"/>
        </w:rPr>
        <w:t xml:space="preserve"> </w:t>
      </w:r>
      <w:r w:rsidRPr="00D83239">
        <w:rPr>
          <w:rFonts w:ascii="Arial" w:hAnsi="Arial" w:cs="Arial"/>
          <w:sz w:val="20"/>
          <w:szCs w:val="20"/>
        </w:rPr>
        <w:t>tudi spreje</w:t>
      </w:r>
      <w:r w:rsidR="00E76AFC">
        <w:rPr>
          <w:rFonts w:ascii="Arial" w:hAnsi="Arial" w:cs="Arial"/>
          <w:sz w:val="20"/>
          <w:szCs w:val="20"/>
        </w:rPr>
        <w:t>tje</w:t>
      </w:r>
      <w:r w:rsidRPr="00D83239">
        <w:rPr>
          <w:rFonts w:ascii="Arial" w:hAnsi="Arial" w:cs="Arial"/>
          <w:sz w:val="20"/>
          <w:szCs w:val="20"/>
        </w:rPr>
        <w:t xml:space="preserve"> </w:t>
      </w:r>
      <w:r w:rsidR="00E76AFC">
        <w:rPr>
          <w:rFonts w:ascii="Arial" w:hAnsi="Arial" w:cs="Arial"/>
          <w:sz w:val="20"/>
          <w:szCs w:val="20"/>
        </w:rPr>
        <w:t>s</w:t>
      </w:r>
      <w:r w:rsidRPr="00D83239">
        <w:rPr>
          <w:rFonts w:ascii="Arial" w:hAnsi="Arial" w:cs="Arial"/>
          <w:sz w:val="20"/>
          <w:szCs w:val="20"/>
        </w:rPr>
        <w:t xml:space="preserve">trategije zasebnega varovanja »Kakovostno zasebno varovanje za varno Slovenijo«, ki določa dolgoročne cilje in razvojne usmeritve na področju zasebnega varovanja ter </w:t>
      </w:r>
      <w:r w:rsidR="00E76AFC">
        <w:rPr>
          <w:rFonts w:ascii="Arial" w:hAnsi="Arial" w:cs="Arial"/>
          <w:sz w:val="20"/>
          <w:szCs w:val="20"/>
        </w:rPr>
        <w:t>je</w:t>
      </w:r>
      <w:r w:rsidR="00E76AFC" w:rsidRPr="00D83239">
        <w:rPr>
          <w:rFonts w:ascii="Arial" w:hAnsi="Arial" w:cs="Arial"/>
          <w:sz w:val="20"/>
          <w:szCs w:val="20"/>
        </w:rPr>
        <w:t xml:space="preserve"> </w:t>
      </w:r>
      <w:r w:rsidRPr="00D83239">
        <w:rPr>
          <w:rFonts w:ascii="Arial" w:hAnsi="Arial" w:cs="Arial"/>
          <w:sz w:val="20"/>
          <w:szCs w:val="20"/>
        </w:rPr>
        <w:t>podlag</w:t>
      </w:r>
      <w:r w:rsidR="00E76AFC">
        <w:rPr>
          <w:rFonts w:ascii="Arial" w:hAnsi="Arial" w:cs="Arial"/>
          <w:sz w:val="20"/>
          <w:szCs w:val="20"/>
        </w:rPr>
        <w:t>a</w:t>
      </w:r>
      <w:r w:rsidRPr="00D83239">
        <w:rPr>
          <w:rFonts w:ascii="Arial" w:hAnsi="Arial" w:cs="Arial"/>
          <w:sz w:val="20"/>
          <w:szCs w:val="20"/>
        </w:rPr>
        <w:t xml:space="preserve"> za nadaljnji sistemski razvoj dejavnosti.</w:t>
      </w:r>
    </w:p>
    <w:p w14:paraId="7D98DE4F" w14:textId="77777777" w:rsidR="00DB29C1" w:rsidRPr="00D83239" w:rsidRDefault="00DB29C1" w:rsidP="00D83239">
      <w:pPr>
        <w:tabs>
          <w:tab w:val="left" w:pos="2520"/>
        </w:tabs>
        <w:spacing w:after="0" w:line="276" w:lineRule="auto"/>
        <w:jc w:val="both"/>
        <w:rPr>
          <w:rFonts w:ascii="Arial" w:hAnsi="Arial" w:cs="Arial"/>
          <w:sz w:val="20"/>
          <w:szCs w:val="20"/>
          <w:highlight w:val="yellow"/>
        </w:rPr>
      </w:pPr>
    </w:p>
    <w:p w14:paraId="65D8562E" w14:textId="3CA0F262" w:rsidR="009433E0" w:rsidRPr="00D83239" w:rsidRDefault="009433E0" w:rsidP="009433E0">
      <w:pPr>
        <w:tabs>
          <w:tab w:val="left" w:pos="2520"/>
        </w:tabs>
        <w:spacing w:after="0" w:line="276" w:lineRule="auto"/>
        <w:jc w:val="both"/>
        <w:rPr>
          <w:rFonts w:ascii="Arial" w:hAnsi="Arial" w:cs="Arial"/>
          <w:sz w:val="20"/>
          <w:szCs w:val="20"/>
          <w:highlight w:val="yellow"/>
        </w:rPr>
      </w:pPr>
      <w:r w:rsidRPr="00D83239">
        <w:rPr>
          <w:rFonts w:ascii="Arial" w:hAnsi="Arial" w:cs="Arial"/>
          <w:sz w:val="20"/>
          <w:szCs w:val="20"/>
        </w:rPr>
        <w:t>M</w:t>
      </w:r>
      <w:r>
        <w:rPr>
          <w:rFonts w:ascii="Arial" w:hAnsi="Arial" w:cs="Arial"/>
          <w:sz w:val="20"/>
          <w:szCs w:val="20"/>
        </w:rPr>
        <w:t>NZ</w:t>
      </w:r>
      <w:r w:rsidRPr="00D83239">
        <w:rPr>
          <w:rFonts w:ascii="Arial" w:hAnsi="Arial" w:cs="Arial"/>
          <w:sz w:val="20"/>
          <w:szCs w:val="20"/>
        </w:rPr>
        <w:t xml:space="preserve"> je sodelovalo </w:t>
      </w:r>
      <w:r>
        <w:rPr>
          <w:rFonts w:ascii="Arial" w:hAnsi="Arial" w:cs="Arial"/>
          <w:sz w:val="20"/>
          <w:szCs w:val="20"/>
        </w:rPr>
        <w:t>na</w:t>
      </w:r>
      <w:r w:rsidRPr="00D83239">
        <w:rPr>
          <w:rFonts w:ascii="Arial" w:hAnsi="Arial" w:cs="Arial"/>
          <w:sz w:val="20"/>
          <w:szCs w:val="20"/>
        </w:rPr>
        <w:t xml:space="preserve"> strokovnem posvetu, povezan</w:t>
      </w:r>
      <w:r w:rsidR="00D14DE4">
        <w:rPr>
          <w:rFonts w:ascii="Arial" w:hAnsi="Arial" w:cs="Arial"/>
          <w:sz w:val="20"/>
          <w:szCs w:val="20"/>
        </w:rPr>
        <w:t>e</w:t>
      </w:r>
      <w:r w:rsidRPr="00D83239">
        <w:rPr>
          <w:rFonts w:ascii="Arial" w:hAnsi="Arial" w:cs="Arial"/>
          <w:sz w:val="20"/>
          <w:szCs w:val="20"/>
        </w:rPr>
        <w:t xml:space="preserve">m z zagotavljanjem reda in varnosti, zlasti </w:t>
      </w:r>
      <w:r w:rsidR="00E76AFC">
        <w:rPr>
          <w:rFonts w:ascii="Arial" w:hAnsi="Arial" w:cs="Arial"/>
          <w:sz w:val="20"/>
          <w:szCs w:val="20"/>
        </w:rPr>
        <w:t>z vidika</w:t>
      </w:r>
      <w:r w:rsidRPr="00D83239">
        <w:rPr>
          <w:rFonts w:ascii="Arial" w:hAnsi="Arial" w:cs="Arial"/>
          <w:sz w:val="20"/>
          <w:szCs w:val="20"/>
        </w:rPr>
        <w:t xml:space="preserve"> javnih prireditev. </w:t>
      </w:r>
      <w:r w:rsidR="00E76AFC">
        <w:rPr>
          <w:rFonts w:ascii="Arial" w:hAnsi="Arial" w:cs="Arial"/>
          <w:sz w:val="20"/>
          <w:szCs w:val="20"/>
        </w:rPr>
        <w:t>S</w:t>
      </w:r>
      <w:r w:rsidRPr="00D83239">
        <w:rPr>
          <w:rFonts w:ascii="Arial" w:hAnsi="Arial" w:cs="Arial"/>
          <w:sz w:val="20"/>
          <w:szCs w:val="20"/>
        </w:rPr>
        <w:t xml:space="preserve">odelovalo </w:t>
      </w:r>
      <w:r w:rsidR="00E76AFC">
        <w:rPr>
          <w:rFonts w:ascii="Arial" w:hAnsi="Arial" w:cs="Arial"/>
          <w:sz w:val="20"/>
          <w:szCs w:val="20"/>
        </w:rPr>
        <w:t xml:space="preserve">je tudi </w:t>
      </w:r>
      <w:r w:rsidRPr="00D83239">
        <w:rPr>
          <w:rFonts w:ascii="Arial" w:hAnsi="Arial" w:cs="Arial"/>
          <w:sz w:val="20"/>
          <w:szCs w:val="20"/>
        </w:rPr>
        <w:t xml:space="preserve">na okrogli mizi »Izvajanje požarnega varovanja«, kjer je </w:t>
      </w:r>
      <w:r>
        <w:rPr>
          <w:rFonts w:ascii="Arial" w:hAnsi="Arial" w:cs="Arial"/>
          <w:sz w:val="20"/>
          <w:szCs w:val="20"/>
        </w:rPr>
        <w:t xml:space="preserve">bilo </w:t>
      </w:r>
      <w:r w:rsidRPr="00D83239">
        <w:rPr>
          <w:rFonts w:ascii="Arial" w:hAnsi="Arial" w:cs="Arial"/>
          <w:sz w:val="20"/>
          <w:szCs w:val="20"/>
        </w:rPr>
        <w:t>obravnava</w:t>
      </w:r>
      <w:r>
        <w:rPr>
          <w:rFonts w:ascii="Arial" w:hAnsi="Arial" w:cs="Arial"/>
          <w:sz w:val="20"/>
          <w:szCs w:val="20"/>
        </w:rPr>
        <w:t>n</w:t>
      </w:r>
      <w:r w:rsidRPr="00D83239">
        <w:rPr>
          <w:rFonts w:ascii="Arial" w:hAnsi="Arial" w:cs="Arial"/>
          <w:sz w:val="20"/>
          <w:szCs w:val="20"/>
        </w:rPr>
        <w:t>o vprašanje organizacije</w:t>
      </w:r>
      <w:r w:rsidR="00E76AFC" w:rsidRPr="00E76AFC">
        <w:rPr>
          <w:rFonts w:ascii="Arial" w:hAnsi="Arial" w:cs="Arial"/>
          <w:sz w:val="20"/>
          <w:szCs w:val="20"/>
        </w:rPr>
        <w:t xml:space="preserve"> </w:t>
      </w:r>
      <w:r w:rsidR="00E76AFC" w:rsidRPr="00D83239">
        <w:rPr>
          <w:rFonts w:ascii="Arial" w:hAnsi="Arial" w:cs="Arial"/>
          <w:sz w:val="20"/>
          <w:szCs w:val="20"/>
        </w:rPr>
        <w:t>požarnega varovanja</w:t>
      </w:r>
      <w:r w:rsidRPr="00D83239">
        <w:rPr>
          <w:rFonts w:ascii="Arial" w:hAnsi="Arial" w:cs="Arial"/>
          <w:sz w:val="20"/>
          <w:szCs w:val="20"/>
        </w:rPr>
        <w:t>, pristojnosti</w:t>
      </w:r>
      <w:r w:rsidR="007A47BF">
        <w:rPr>
          <w:rFonts w:ascii="Arial" w:hAnsi="Arial" w:cs="Arial"/>
          <w:sz w:val="20"/>
          <w:szCs w:val="20"/>
        </w:rPr>
        <w:t xml:space="preserve"> na tem področju</w:t>
      </w:r>
      <w:r w:rsidRPr="00D83239">
        <w:rPr>
          <w:rFonts w:ascii="Arial" w:hAnsi="Arial" w:cs="Arial"/>
          <w:sz w:val="20"/>
          <w:szCs w:val="20"/>
        </w:rPr>
        <w:t xml:space="preserve"> in nadzora nad izvajanjem požarnega varovanja</w:t>
      </w:r>
      <w:r w:rsidR="007A47BF">
        <w:rPr>
          <w:rFonts w:ascii="Arial" w:hAnsi="Arial" w:cs="Arial"/>
          <w:sz w:val="20"/>
          <w:szCs w:val="20"/>
        </w:rPr>
        <w:t>,</w:t>
      </w:r>
      <w:r w:rsidRPr="00D83239">
        <w:rPr>
          <w:rFonts w:ascii="Arial" w:hAnsi="Arial" w:cs="Arial"/>
          <w:sz w:val="20"/>
          <w:szCs w:val="20"/>
        </w:rPr>
        <w:t xml:space="preserve"> ter pri tem prispe</w:t>
      </w:r>
      <w:r>
        <w:rPr>
          <w:rFonts w:ascii="Arial" w:hAnsi="Arial" w:cs="Arial"/>
          <w:sz w:val="20"/>
          <w:szCs w:val="20"/>
        </w:rPr>
        <w:t>va</w:t>
      </w:r>
      <w:r w:rsidRPr="00D83239">
        <w:rPr>
          <w:rFonts w:ascii="Arial" w:hAnsi="Arial" w:cs="Arial"/>
          <w:sz w:val="20"/>
          <w:szCs w:val="20"/>
        </w:rPr>
        <w:t>lo strokovna izhodišča za nadaljnje izboljšave normativnega in izvedbenega okvira zasebnega varovanja.</w:t>
      </w:r>
    </w:p>
    <w:p w14:paraId="3DEBAD98" w14:textId="77777777" w:rsidR="009433E0" w:rsidRDefault="009433E0" w:rsidP="00D83239">
      <w:pPr>
        <w:tabs>
          <w:tab w:val="left" w:pos="2520"/>
        </w:tabs>
        <w:spacing w:after="0" w:line="276" w:lineRule="auto"/>
        <w:jc w:val="both"/>
        <w:rPr>
          <w:rFonts w:ascii="Arial" w:hAnsi="Arial" w:cs="Arial"/>
          <w:sz w:val="20"/>
          <w:szCs w:val="20"/>
        </w:rPr>
      </w:pPr>
    </w:p>
    <w:p w14:paraId="512C1BD0" w14:textId="2A9FFB87" w:rsidR="00DB29C1" w:rsidRPr="00D83239" w:rsidRDefault="00DB29C1" w:rsidP="00D83239">
      <w:pPr>
        <w:tabs>
          <w:tab w:val="left" w:pos="2520"/>
        </w:tabs>
        <w:spacing w:after="0" w:line="276" w:lineRule="auto"/>
        <w:jc w:val="both"/>
        <w:rPr>
          <w:rFonts w:ascii="Arial" w:hAnsi="Arial" w:cs="Arial"/>
          <w:sz w:val="20"/>
          <w:szCs w:val="20"/>
        </w:rPr>
      </w:pPr>
      <w:r w:rsidRPr="00D83239">
        <w:rPr>
          <w:rFonts w:ascii="Arial" w:hAnsi="Arial" w:cs="Arial"/>
          <w:sz w:val="20"/>
          <w:szCs w:val="20"/>
        </w:rPr>
        <w:t>V letu 2025 se je nadaljevalo izvajanje nalog ter nudenje strokovne pomoči drugim organom in organizacijam pri izvajanju Uredbe o obveznem organiziranju varovanja. Organ je spremljal uvajanje in izvajanje varnostne dokumentacije pri zavezancih ter s strokovnimi usmeritvami prispeval k enotnejšemu razumevanju obveznosti, večji pravni varnosti in izboljšanju kakovosti izvajanja varovanja v praksi.</w:t>
      </w:r>
    </w:p>
    <w:p w14:paraId="2433E902" w14:textId="77777777" w:rsidR="00DB29C1" w:rsidRPr="00D83239" w:rsidRDefault="00DB29C1" w:rsidP="00D83239">
      <w:pPr>
        <w:tabs>
          <w:tab w:val="left" w:pos="2520"/>
        </w:tabs>
        <w:spacing w:after="0" w:line="276" w:lineRule="auto"/>
        <w:jc w:val="both"/>
        <w:rPr>
          <w:rFonts w:ascii="Arial" w:hAnsi="Arial" w:cs="Arial"/>
          <w:sz w:val="20"/>
          <w:szCs w:val="20"/>
          <w:highlight w:val="yellow"/>
        </w:rPr>
      </w:pPr>
    </w:p>
    <w:tbl>
      <w:tblPr>
        <w:tblW w:w="8923" w:type="dxa"/>
        <w:jc w:val="center"/>
        <w:tblLayout w:type="fixed"/>
        <w:tblCellMar>
          <w:left w:w="70" w:type="dxa"/>
          <w:right w:w="70" w:type="dxa"/>
        </w:tblCellMar>
        <w:tblLook w:val="00A0" w:firstRow="1" w:lastRow="0" w:firstColumn="1" w:lastColumn="0" w:noHBand="0" w:noVBand="0"/>
      </w:tblPr>
      <w:tblGrid>
        <w:gridCol w:w="5030"/>
        <w:gridCol w:w="648"/>
        <w:gridCol w:w="648"/>
        <w:gridCol w:w="648"/>
        <w:gridCol w:w="648"/>
        <w:gridCol w:w="648"/>
        <w:gridCol w:w="653"/>
      </w:tblGrid>
      <w:tr w:rsidR="00DB29C1" w:rsidRPr="00D83239" w14:paraId="7461432C" w14:textId="77777777" w:rsidTr="00946991">
        <w:trPr>
          <w:trHeight w:val="253"/>
          <w:jc w:val="center"/>
        </w:trPr>
        <w:tc>
          <w:tcPr>
            <w:tcW w:w="50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67EC186" w14:textId="6F292E61" w:rsidR="00DB29C1" w:rsidRPr="00D83239" w:rsidRDefault="00DB29C1" w:rsidP="00E745B2">
            <w:pPr>
              <w:autoSpaceDE w:val="0"/>
              <w:autoSpaceDN w:val="0"/>
              <w:adjustRightInd w:val="0"/>
              <w:spacing w:after="0" w:line="276" w:lineRule="auto"/>
              <w:rPr>
                <w:rFonts w:ascii="Arial" w:hAnsi="Arial" w:cs="Arial"/>
                <w:b/>
                <w:bCs/>
                <w:color w:val="000000"/>
                <w:sz w:val="20"/>
                <w:szCs w:val="20"/>
                <w:lang w:eastAsia="sl-SI"/>
              </w:rPr>
            </w:pPr>
            <w:r w:rsidRPr="00D83239">
              <w:rPr>
                <w:rFonts w:ascii="Arial" w:hAnsi="Arial" w:cs="Arial"/>
                <w:b/>
                <w:bCs/>
                <w:color w:val="000000"/>
                <w:sz w:val="20"/>
                <w:szCs w:val="20"/>
                <w:lang w:eastAsia="sl-SI"/>
              </w:rPr>
              <w:t>Vrsta licenc/dovoljenj</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D31CAD"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2020</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900015F"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2021</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0418257"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2022</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C31FB94"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2023</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48D2A8A"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2024</w:t>
            </w:r>
          </w:p>
        </w:tc>
        <w:tc>
          <w:tcPr>
            <w:tcW w:w="65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6A5DECE"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2025</w:t>
            </w:r>
          </w:p>
        </w:tc>
      </w:tr>
      <w:tr w:rsidR="00DB29C1" w:rsidRPr="00D83239" w14:paraId="32359794" w14:textId="77777777" w:rsidTr="008F6AEC">
        <w:trPr>
          <w:trHeight w:val="253"/>
          <w:jc w:val="center"/>
        </w:trPr>
        <w:tc>
          <w:tcPr>
            <w:tcW w:w="5030" w:type="dxa"/>
            <w:tcBorders>
              <w:top w:val="single" w:sz="6" w:space="0" w:color="000000"/>
              <w:left w:val="single" w:sz="6" w:space="0" w:color="000000"/>
              <w:bottom w:val="single" w:sz="6" w:space="0" w:color="000000"/>
              <w:right w:val="single" w:sz="6" w:space="0" w:color="000000"/>
            </w:tcBorders>
            <w:vAlign w:val="center"/>
          </w:tcPr>
          <w:p w14:paraId="525AF3FB" w14:textId="77777777" w:rsidR="00DB29C1" w:rsidRPr="00D83239" w:rsidRDefault="00DB29C1" w:rsidP="008F6AEC">
            <w:pPr>
              <w:autoSpaceDE w:val="0"/>
              <w:autoSpaceDN w:val="0"/>
              <w:adjustRightInd w:val="0"/>
              <w:spacing w:after="0" w:line="276" w:lineRule="auto"/>
              <w:rPr>
                <w:rFonts w:ascii="Arial" w:hAnsi="Arial" w:cs="Arial"/>
                <w:color w:val="000000"/>
                <w:sz w:val="20"/>
                <w:szCs w:val="20"/>
                <w:lang w:eastAsia="sl-SI"/>
              </w:rPr>
            </w:pPr>
            <w:r w:rsidRPr="00D83239">
              <w:rPr>
                <w:rFonts w:ascii="Arial" w:hAnsi="Arial" w:cs="Arial"/>
                <w:color w:val="000000"/>
                <w:sz w:val="20"/>
                <w:szCs w:val="20"/>
                <w:lang w:eastAsia="sl-SI"/>
              </w:rPr>
              <w:t>Število izdanih licenc podjetjem</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4ECDE9"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21</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3E2270"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13</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BBDE68"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29</w:t>
            </w:r>
          </w:p>
        </w:tc>
        <w:tc>
          <w:tcPr>
            <w:tcW w:w="648" w:type="dxa"/>
            <w:tcBorders>
              <w:top w:val="single" w:sz="6" w:space="0" w:color="000000"/>
              <w:left w:val="single" w:sz="6" w:space="0" w:color="000000"/>
              <w:bottom w:val="single" w:sz="6" w:space="0" w:color="000000"/>
              <w:right w:val="single" w:sz="6" w:space="0" w:color="000000"/>
            </w:tcBorders>
            <w:vAlign w:val="center"/>
          </w:tcPr>
          <w:p w14:paraId="1C500CB5"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sz w:val="20"/>
                <w:szCs w:val="20"/>
                <w:lang w:eastAsia="sl-SI"/>
              </w:rPr>
              <w:t>22</w:t>
            </w:r>
          </w:p>
        </w:tc>
        <w:tc>
          <w:tcPr>
            <w:tcW w:w="648" w:type="dxa"/>
            <w:tcBorders>
              <w:top w:val="single" w:sz="6" w:space="0" w:color="000000"/>
              <w:left w:val="single" w:sz="6" w:space="0" w:color="000000"/>
              <w:bottom w:val="single" w:sz="6" w:space="0" w:color="000000"/>
              <w:right w:val="single" w:sz="6" w:space="0" w:color="000000"/>
            </w:tcBorders>
            <w:vAlign w:val="center"/>
          </w:tcPr>
          <w:p w14:paraId="460435D3"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35</w:t>
            </w:r>
          </w:p>
        </w:tc>
        <w:tc>
          <w:tcPr>
            <w:tcW w:w="653" w:type="dxa"/>
            <w:tcBorders>
              <w:top w:val="single" w:sz="6" w:space="0" w:color="000000"/>
              <w:left w:val="single" w:sz="6" w:space="0" w:color="000000"/>
              <w:bottom w:val="single" w:sz="6" w:space="0" w:color="000000"/>
              <w:right w:val="single" w:sz="6" w:space="0" w:color="000000"/>
            </w:tcBorders>
            <w:vAlign w:val="center"/>
          </w:tcPr>
          <w:p w14:paraId="2A91B0BA"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22</w:t>
            </w:r>
          </w:p>
        </w:tc>
      </w:tr>
      <w:tr w:rsidR="00DB29C1" w:rsidRPr="00D83239" w14:paraId="3EDE43BA" w14:textId="77777777" w:rsidTr="008F6AEC">
        <w:trPr>
          <w:trHeight w:val="253"/>
          <w:jc w:val="center"/>
        </w:trPr>
        <w:tc>
          <w:tcPr>
            <w:tcW w:w="5030" w:type="dxa"/>
            <w:tcBorders>
              <w:top w:val="single" w:sz="6" w:space="0" w:color="000000"/>
              <w:left w:val="single" w:sz="6" w:space="0" w:color="000000"/>
              <w:bottom w:val="single" w:sz="6" w:space="0" w:color="000000"/>
              <w:right w:val="single" w:sz="6" w:space="0" w:color="000000"/>
            </w:tcBorders>
            <w:vAlign w:val="center"/>
          </w:tcPr>
          <w:p w14:paraId="4D04D198" w14:textId="77777777" w:rsidR="00DB29C1" w:rsidRPr="00D83239" w:rsidRDefault="00DB29C1" w:rsidP="008F6AEC">
            <w:pPr>
              <w:autoSpaceDE w:val="0"/>
              <w:autoSpaceDN w:val="0"/>
              <w:adjustRightInd w:val="0"/>
              <w:spacing w:after="0" w:line="276" w:lineRule="auto"/>
              <w:rPr>
                <w:rFonts w:ascii="Arial" w:hAnsi="Arial" w:cs="Arial"/>
                <w:color w:val="000000"/>
                <w:sz w:val="20"/>
                <w:szCs w:val="20"/>
                <w:lang w:eastAsia="sl-SI"/>
              </w:rPr>
            </w:pPr>
            <w:r w:rsidRPr="00D83239">
              <w:rPr>
                <w:rFonts w:ascii="Arial" w:hAnsi="Arial" w:cs="Arial"/>
                <w:color w:val="000000"/>
                <w:sz w:val="20"/>
                <w:szCs w:val="20"/>
                <w:lang w:eastAsia="sl-SI"/>
              </w:rPr>
              <w:t>Število izdanih izkaznic varnostnikom</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E9A356"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860</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C0265"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785</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64A299"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811</w:t>
            </w:r>
          </w:p>
        </w:tc>
        <w:tc>
          <w:tcPr>
            <w:tcW w:w="648" w:type="dxa"/>
            <w:tcBorders>
              <w:top w:val="single" w:sz="6" w:space="0" w:color="000000"/>
              <w:left w:val="single" w:sz="6" w:space="0" w:color="000000"/>
              <w:bottom w:val="single" w:sz="6" w:space="0" w:color="000000"/>
              <w:right w:val="single" w:sz="6" w:space="0" w:color="000000"/>
            </w:tcBorders>
            <w:vAlign w:val="center"/>
          </w:tcPr>
          <w:p w14:paraId="40BEB37B"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sz w:val="20"/>
                <w:szCs w:val="20"/>
                <w:lang w:eastAsia="sl-SI"/>
              </w:rPr>
              <w:t>849</w:t>
            </w:r>
          </w:p>
        </w:tc>
        <w:tc>
          <w:tcPr>
            <w:tcW w:w="648" w:type="dxa"/>
            <w:tcBorders>
              <w:top w:val="single" w:sz="6" w:space="0" w:color="000000"/>
              <w:left w:val="single" w:sz="6" w:space="0" w:color="000000"/>
              <w:bottom w:val="single" w:sz="6" w:space="0" w:color="000000"/>
              <w:right w:val="single" w:sz="6" w:space="0" w:color="000000"/>
            </w:tcBorders>
            <w:vAlign w:val="center"/>
          </w:tcPr>
          <w:p w14:paraId="6EF83EBC"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941</w:t>
            </w:r>
          </w:p>
        </w:tc>
        <w:tc>
          <w:tcPr>
            <w:tcW w:w="653" w:type="dxa"/>
            <w:tcBorders>
              <w:top w:val="single" w:sz="6" w:space="0" w:color="000000"/>
              <w:left w:val="single" w:sz="6" w:space="0" w:color="000000"/>
              <w:bottom w:val="single" w:sz="6" w:space="0" w:color="000000"/>
              <w:right w:val="single" w:sz="6" w:space="0" w:color="000000"/>
            </w:tcBorders>
            <w:vAlign w:val="center"/>
          </w:tcPr>
          <w:p w14:paraId="448BB652"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946</w:t>
            </w:r>
          </w:p>
        </w:tc>
      </w:tr>
      <w:tr w:rsidR="00DB29C1" w:rsidRPr="00D83239" w14:paraId="485B1F4B" w14:textId="77777777" w:rsidTr="008F6AEC">
        <w:trPr>
          <w:trHeight w:val="253"/>
          <w:jc w:val="center"/>
        </w:trPr>
        <w:tc>
          <w:tcPr>
            <w:tcW w:w="5030" w:type="dxa"/>
            <w:tcBorders>
              <w:top w:val="single" w:sz="6" w:space="0" w:color="000000"/>
              <w:left w:val="single" w:sz="6" w:space="0" w:color="000000"/>
              <w:bottom w:val="single" w:sz="6" w:space="0" w:color="000000"/>
              <w:right w:val="single" w:sz="6" w:space="0" w:color="000000"/>
            </w:tcBorders>
            <w:vAlign w:val="center"/>
          </w:tcPr>
          <w:p w14:paraId="6FD90B89" w14:textId="77777777" w:rsidR="00DB29C1" w:rsidRPr="00D83239" w:rsidRDefault="00DB29C1" w:rsidP="008F6AEC">
            <w:pPr>
              <w:autoSpaceDE w:val="0"/>
              <w:autoSpaceDN w:val="0"/>
              <w:adjustRightInd w:val="0"/>
              <w:spacing w:after="0" w:line="276" w:lineRule="auto"/>
              <w:rPr>
                <w:rFonts w:ascii="Arial" w:hAnsi="Arial" w:cs="Arial"/>
                <w:color w:val="000000"/>
                <w:sz w:val="20"/>
                <w:szCs w:val="20"/>
                <w:lang w:eastAsia="sl-SI"/>
              </w:rPr>
            </w:pPr>
            <w:r w:rsidRPr="00D83239">
              <w:rPr>
                <w:rFonts w:ascii="Arial" w:hAnsi="Arial" w:cs="Arial"/>
                <w:color w:val="000000"/>
                <w:sz w:val="20"/>
                <w:szCs w:val="20"/>
                <w:lang w:eastAsia="sl-SI"/>
              </w:rPr>
              <w:t>Število potrdil o vpisu v evidenco internega varovanja</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9C8638"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D61180"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6A186B"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vAlign w:val="center"/>
          </w:tcPr>
          <w:p w14:paraId="1F378E33"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vAlign w:val="center"/>
          </w:tcPr>
          <w:p w14:paraId="3156FF63"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0</w:t>
            </w:r>
          </w:p>
        </w:tc>
        <w:tc>
          <w:tcPr>
            <w:tcW w:w="653" w:type="dxa"/>
            <w:tcBorders>
              <w:top w:val="single" w:sz="6" w:space="0" w:color="000000"/>
              <w:left w:val="single" w:sz="6" w:space="0" w:color="000000"/>
              <w:bottom w:val="single" w:sz="6" w:space="0" w:color="000000"/>
              <w:right w:val="single" w:sz="6" w:space="0" w:color="000000"/>
            </w:tcBorders>
            <w:vAlign w:val="center"/>
          </w:tcPr>
          <w:p w14:paraId="71905007"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0</w:t>
            </w:r>
          </w:p>
        </w:tc>
      </w:tr>
      <w:tr w:rsidR="00DB29C1" w:rsidRPr="00D83239" w14:paraId="7D0492BD" w14:textId="77777777" w:rsidTr="008F6AEC">
        <w:trPr>
          <w:trHeight w:val="253"/>
          <w:jc w:val="center"/>
        </w:trPr>
        <w:tc>
          <w:tcPr>
            <w:tcW w:w="5030" w:type="dxa"/>
            <w:tcBorders>
              <w:top w:val="single" w:sz="6" w:space="0" w:color="000000"/>
              <w:left w:val="single" w:sz="6" w:space="0" w:color="000000"/>
              <w:bottom w:val="single" w:sz="6" w:space="0" w:color="000000"/>
              <w:right w:val="single" w:sz="6" w:space="0" w:color="000000"/>
            </w:tcBorders>
            <w:vAlign w:val="center"/>
          </w:tcPr>
          <w:p w14:paraId="6ACC58BC" w14:textId="1C8B89EF" w:rsidR="00DB29C1" w:rsidRPr="00D83239" w:rsidRDefault="00DB29C1" w:rsidP="00E745B2">
            <w:pPr>
              <w:keepNext/>
              <w:keepLines/>
              <w:autoSpaceDE w:val="0"/>
              <w:autoSpaceDN w:val="0"/>
              <w:adjustRightInd w:val="0"/>
              <w:spacing w:after="0" w:line="276" w:lineRule="auto"/>
              <w:rPr>
                <w:rFonts w:ascii="Arial" w:hAnsi="Arial" w:cs="Arial"/>
                <w:color w:val="000000"/>
                <w:sz w:val="20"/>
                <w:szCs w:val="20"/>
                <w:lang w:eastAsia="sl-SI"/>
              </w:rPr>
            </w:pPr>
            <w:r w:rsidRPr="00D83239">
              <w:rPr>
                <w:rFonts w:ascii="Arial" w:hAnsi="Arial" w:cs="Arial"/>
                <w:color w:val="000000"/>
                <w:sz w:val="20"/>
                <w:szCs w:val="20"/>
                <w:lang w:eastAsia="sl-SI"/>
              </w:rPr>
              <w:t>Število dovoljenj za opravljanje čezmejnega profesionalnega prevoza evr</w:t>
            </w:r>
            <w:r w:rsidR="00E745B2">
              <w:rPr>
                <w:rFonts w:ascii="Arial" w:hAnsi="Arial" w:cs="Arial"/>
                <w:color w:val="000000"/>
                <w:sz w:val="20"/>
                <w:szCs w:val="20"/>
                <w:lang w:eastAsia="sl-SI"/>
              </w:rPr>
              <w:t>ske</w:t>
            </w:r>
            <w:r w:rsidRPr="00D83239">
              <w:rPr>
                <w:rFonts w:ascii="Arial" w:hAnsi="Arial" w:cs="Arial"/>
                <w:color w:val="000000"/>
                <w:sz w:val="20"/>
                <w:szCs w:val="20"/>
                <w:lang w:eastAsia="sl-SI"/>
              </w:rPr>
              <w:t xml:space="preserve"> gotovine po cesti med državami članicami evr</w:t>
            </w:r>
            <w:r w:rsidR="00E745B2">
              <w:rPr>
                <w:rFonts w:ascii="Arial" w:hAnsi="Arial" w:cs="Arial"/>
                <w:color w:val="000000"/>
                <w:sz w:val="20"/>
                <w:szCs w:val="20"/>
                <w:lang w:eastAsia="sl-SI"/>
              </w:rPr>
              <w:t>skega</w:t>
            </w:r>
            <w:r w:rsidRPr="00D83239">
              <w:rPr>
                <w:rFonts w:ascii="Arial" w:hAnsi="Arial" w:cs="Arial"/>
                <w:color w:val="000000"/>
                <w:sz w:val="20"/>
                <w:szCs w:val="20"/>
                <w:lang w:eastAsia="sl-SI"/>
              </w:rPr>
              <w:t xml:space="preserve"> območja</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7511FE"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40141D"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508A62"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vAlign w:val="center"/>
          </w:tcPr>
          <w:p w14:paraId="6FD9902A"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vAlign w:val="center"/>
          </w:tcPr>
          <w:p w14:paraId="087C8ECD"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1</w:t>
            </w:r>
          </w:p>
        </w:tc>
        <w:tc>
          <w:tcPr>
            <w:tcW w:w="653" w:type="dxa"/>
            <w:tcBorders>
              <w:top w:val="single" w:sz="6" w:space="0" w:color="000000"/>
              <w:left w:val="single" w:sz="6" w:space="0" w:color="000000"/>
              <w:bottom w:val="single" w:sz="6" w:space="0" w:color="000000"/>
              <w:right w:val="single" w:sz="6" w:space="0" w:color="000000"/>
            </w:tcBorders>
            <w:vAlign w:val="center"/>
          </w:tcPr>
          <w:p w14:paraId="2D7F058C"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0</w:t>
            </w:r>
          </w:p>
        </w:tc>
      </w:tr>
    </w:tbl>
    <w:p w14:paraId="0E918971" w14:textId="77777777" w:rsidR="008F6AEC" w:rsidRDefault="008F6AEC" w:rsidP="00D83239">
      <w:pPr>
        <w:spacing w:after="0" w:line="276" w:lineRule="auto"/>
        <w:jc w:val="both"/>
        <w:rPr>
          <w:rFonts w:ascii="Arial" w:hAnsi="Arial" w:cs="Arial"/>
          <w:b/>
          <w:color w:val="000000"/>
          <w:sz w:val="20"/>
          <w:szCs w:val="20"/>
        </w:rPr>
      </w:pPr>
    </w:p>
    <w:p w14:paraId="337E566B" w14:textId="3FCE0FCC" w:rsidR="00DB29C1" w:rsidRPr="00D83239" w:rsidRDefault="00DB29C1" w:rsidP="00D83239">
      <w:pPr>
        <w:spacing w:after="0" w:line="276" w:lineRule="auto"/>
        <w:jc w:val="both"/>
        <w:rPr>
          <w:rFonts w:ascii="Arial" w:hAnsi="Arial" w:cs="Arial"/>
          <w:sz w:val="20"/>
          <w:szCs w:val="20"/>
        </w:rPr>
      </w:pPr>
      <w:r w:rsidRPr="00D83239">
        <w:rPr>
          <w:rFonts w:ascii="Arial" w:hAnsi="Arial" w:cs="Arial"/>
          <w:b/>
          <w:color w:val="000000"/>
          <w:sz w:val="20"/>
          <w:szCs w:val="20"/>
        </w:rPr>
        <w:t>Preglednica</w:t>
      </w:r>
      <w:r w:rsidRPr="00455C3E">
        <w:rPr>
          <w:rFonts w:ascii="Arial" w:hAnsi="Arial" w:cs="Arial"/>
          <w:color w:val="000000"/>
          <w:sz w:val="20"/>
          <w:szCs w:val="20"/>
        </w:rPr>
        <w:t>:</w:t>
      </w:r>
      <w:r w:rsidRPr="00D83239">
        <w:rPr>
          <w:rFonts w:ascii="Arial" w:hAnsi="Arial" w:cs="Arial"/>
          <w:sz w:val="20"/>
          <w:szCs w:val="20"/>
        </w:rPr>
        <w:t xml:space="preserve"> Izdane licence, službene izkaznice, potrdila in dovoljenja za o</w:t>
      </w:r>
      <w:r w:rsidR="00773D58">
        <w:rPr>
          <w:rFonts w:ascii="Arial" w:hAnsi="Arial" w:cs="Arial"/>
          <w:sz w:val="20"/>
          <w:szCs w:val="20"/>
        </w:rPr>
        <w:t>pravljanje zasebnega varovanja</w:t>
      </w:r>
    </w:p>
    <w:p w14:paraId="10C62728" w14:textId="77777777" w:rsidR="00DB29C1" w:rsidRPr="00D83239" w:rsidRDefault="00DB29C1" w:rsidP="00D83239">
      <w:pPr>
        <w:tabs>
          <w:tab w:val="left" w:pos="2520"/>
        </w:tabs>
        <w:spacing w:after="0" w:line="276" w:lineRule="auto"/>
        <w:jc w:val="both"/>
        <w:rPr>
          <w:rFonts w:ascii="Arial" w:hAnsi="Arial" w:cs="Arial"/>
          <w:sz w:val="20"/>
          <w:szCs w:val="20"/>
        </w:rPr>
      </w:pPr>
    </w:p>
    <w:p w14:paraId="5B39DE64" w14:textId="3025B109" w:rsidR="00CC63C8" w:rsidRDefault="009433E0" w:rsidP="009433E0">
      <w:pPr>
        <w:tabs>
          <w:tab w:val="left" w:pos="2520"/>
        </w:tabs>
        <w:spacing w:after="0" w:line="276" w:lineRule="auto"/>
        <w:jc w:val="both"/>
        <w:rPr>
          <w:rFonts w:ascii="Arial" w:hAnsi="Arial" w:cs="Arial"/>
          <w:sz w:val="20"/>
          <w:szCs w:val="20"/>
        </w:rPr>
      </w:pPr>
      <w:r w:rsidRPr="00D83239">
        <w:rPr>
          <w:rFonts w:ascii="Arial" w:hAnsi="Arial" w:cs="Arial"/>
          <w:sz w:val="20"/>
          <w:szCs w:val="20"/>
        </w:rPr>
        <w:t>M</w:t>
      </w:r>
      <w:r>
        <w:rPr>
          <w:rFonts w:ascii="Arial" w:hAnsi="Arial" w:cs="Arial"/>
          <w:sz w:val="20"/>
          <w:szCs w:val="20"/>
        </w:rPr>
        <w:t>NZ</w:t>
      </w:r>
      <w:r w:rsidRPr="00D83239">
        <w:rPr>
          <w:rFonts w:ascii="Arial" w:hAnsi="Arial" w:cs="Arial"/>
          <w:sz w:val="20"/>
          <w:szCs w:val="20"/>
        </w:rPr>
        <w:t xml:space="preserve"> je v okviru zakonskih pristojnosti na področju </w:t>
      </w:r>
      <w:r w:rsidRPr="00D83239">
        <w:rPr>
          <w:rFonts w:ascii="Arial" w:hAnsi="Arial" w:cs="Arial"/>
          <w:b/>
          <w:bCs/>
          <w:sz w:val="20"/>
          <w:szCs w:val="20"/>
        </w:rPr>
        <w:t>detektivske dejavnosti</w:t>
      </w:r>
      <w:r w:rsidRPr="00D83239">
        <w:rPr>
          <w:rFonts w:ascii="Arial" w:hAnsi="Arial" w:cs="Arial"/>
          <w:sz w:val="20"/>
          <w:szCs w:val="20"/>
        </w:rPr>
        <w:t xml:space="preserve"> spremljalo delovanje Detektivske zbornice Republike Slovenije </w:t>
      </w:r>
      <w:r w:rsidR="00E745B2">
        <w:rPr>
          <w:rFonts w:ascii="Arial" w:hAnsi="Arial" w:cs="Arial"/>
          <w:sz w:val="20"/>
          <w:szCs w:val="20"/>
        </w:rPr>
        <w:t>in</w:t>
      </w:r>
      <w:r w:rsidR="00E745B2" w:rsidRPr="00D83239">
        <w:rPr>
          <w:rFonts w:ascii="Arial" w:hAnsi="Arial" w:cs="Arial"/>
          <w:sz w:val="20"/>
          <w:szCs w:val="20"/>
        </w:rPr>
        <w:t xml:space="preserve"> </w:t>
      </w:r>
      <w:r w:rsidRPr="00D83239">
        <w:rPr>
          <w:rFonts w:ascii="Arial" w:hAnsi="Arial" w:cs="Arial"/>
          <w:sz w:val="20"/>
          <w:szCs w:val="20"/>
        </w:rPr>
        <w:t>izvajalo varnostno preverjanje kandidatov za detektive. M</w:t>
      </w:r>
      <w:r>
        <w:rPr>
          <w:rFonts w:ascii="Arial" w:hAnsi="Arial" w:cs="Arial"/>
          <w:sz w:val="20"/>
          <w:szCs w:val="20"/>
        </w:rPr>
        <w:t>NZ</w:t>
      </w:r>
      <w:r w:rsidRPr="00D83239">
        <w:rPr>
          <w:rFonts w:ascii="Arial" w:hAnsi="Arial" w:cs="Arial"/>
          <w:sz w:val="20"/>
          <w:szCs w:val="20"/>
        </w:rPr>
        <w:t xml:space="preserve"> je na podlagi zaznanih vprašanj in potreb iz prakse p</w:t>
      </w:r>
      <w:r w:rsidR="00E745B2">
        <w:rPr>
          <w:rFonts w:ascii="Arial" w:hAnsi="Arial" w:cs="Arial"/>
          <w:sz w:val="20"/>
          <w:szCs w:val="20"/>
        </w:rPr>
        <w:t>redloži</w:t>
      </w:r>
      <w:r w:rsidRPr="00D83239">
        <w:rPr>
          <w:rFonts w:ascii="Arial" w:hAnsi="Arial" w:cs="Arial"/>
          <w:sz w:val="20"/>
          <w:szCs w:val="20"/>
        </w:rPr>
        <w:t>lo tudi strokovn</w:t>
      </w:r>
      <w:r w:rsidR="00E745B2">
        <w:rPr>
          <w:rFonts w:ascii="Arial" w:hAnsi="Arial" w:cs="Arial"/>
          <w:sz w:val="20"/>
          <w:szCs w:val="20"/>
        </w:rPr>
        <w:t>o</w:t>
      </w:r>
      <w:r w:rsidRPr="00D83239">
        <w:rPr>
          <w:rFonts w:ascii="Arial" w:hAnsi="Arial" w:cs="Arial"/>
          <w:sz w:val="20"/>
          <w:szCs w:val="20"/>
        </w:rPr>
        <w:t xml:space="preserve"> tolmačenj</w:t>
      </w:r>
      <w:r w:rsidR="00E745B2">
        <w:rPr>
          <w:rFonts w:ascii="Arial" w:hAnsi="Arial" w:cs="Arial"/>
          <w:sz w:val="20"/>
          <w:szCs w:val="20"/>
        </w:rPr>
        <w:t>e</w:t>
      </w:r>
      <w:r w:rsidRPr="00D83239">
        <w:rPr>
          <w:rFonts w:ascii="Arial" w:hAnsi="Arial" w:cs="Arial"/>
          <w:sz w:val="20"/>
          <w:szCs w:val="20"/>
        </w:rPr>
        <w:t xml:space="preserve"> 33. in 37.</w:t>
      </w:r>
      <w:r w:rsidR="00E745B2">
        <w:rPr>
          <w:rFonts w:ascii="Arial" w:hAnsi="Arial" w:cs="Arial"/>
          <w:sz w:val="20"/>
          <w:szCs w:val="20"/>
        </w:rPr>
        <w:t> </w:t>
      </w:r>
      <w:r w:rsidRPr="00D83239">
        <w:rPr>
          <w:rFonts w:ascii="Arial" w:hAnsi="Arial" w:cs="Arial"/>
          <w:sz w:val="20"/>
          <w:szCs w:val="20"/>
        </w:rPr>
        <w:t xml:space="preserve">člena </w:t>
      </w:r>
      <w:r>
        <w:rPr>
          <w:rFonts w:ascii="Arial" w:hAnsi="Arial" w:cs="Arial"/>
          <w:sz w:val="20"/>
          <w:szCs w:val="20"/>
        </w:rPr>
        <w:t>Zakona o detektivski dejavnosti (</w:t>
      </w:r>
      <w:r w:rsidRPr="00D83239">
        <w:rPr>
          <w:rFonts w:ascii="Arial" w:hAnsi="Arial" w:cs="Arial"/>
          <w:sz w:val="20"/>
          <w:szCs w:val="20"/>
        </w:rPr>
        <w:t>ZDD-2</w:t>
      </w:r>
      <w:r>
        <w:rPr>
          <w:rFonts w:ascii="Arial" w:hAnsi="Arial" w:cs="Arial"/>
          <w:sz w:val="20"/>
          <w:szCs w:val="20"/>
        </w:rPr>
        <w:t>)</w:t>
      </w:r>
      <w:r w:rsidRPr="00D83239">
        <w:rPr>
          <w:rFonts w:ascii="Arial" w:hAnsi="Arial" w:cs="Arial"/>
          <w:sz w:val="20"/>
          <w:szCs w:val="20"/>
        </w:rPr>
        <w:t xml:space="preserve">, zlasti v povezavi z izvajanjem upravnih postopkov. Hkrati je </w:t>
      </w:r>
      <w:r>
        <w:rPr>
          <w:rFonts w:ascii="Arial" w:hAnsi="Arial" w:cs="Arial"/>
          <w:sz w:val="20"/>
          <w:szCs w:val="20"/>
        </w:rPr>
        <w:t>MNZ</w:t>
      </w:r>
      <w:r w:rsidRPr="00D83239">
        <w:rPr>
          <w:rFonts w:ascii="Arial" w:hAnsi="Arial" w:cs="Arial"/>
          <w:sz w:val="20"/>
          <w:szCs w:val="20"/>
        </w:rPr>
        <w:t xml:space="preserve"> </w:t>
      </w:r>
      <w:r w:rsidR="00E745B2">
        <w:rPr>
          <w:rFonts w:ascii="Arial" w:hAnsi="Arial" w:cs="Arial"/>
          <w:sz w:val="20"/>
          <w:szCs w:val="20"/>
        </w:rPr>
        <w:t>za</w:t>
      </w:r>
      <w:r w:rsidRPr="00D83239">
        <w:rPr>
          <w:rFonts w:ascii="Arial" w:hAnsi="Arial" w:cs="Arial"/>
          <w:sz w:val="20"/>
          <w:szCs w:val="20"/>
        </w:rPr>
        <w:t>čelo priprav</w:t>
      </w:r>
      <w:r w:rsidR="00E745B2">
        <w:rPr>
          <w:rFonts w:ascii="Arial" w:hAnsi="Arial" w:cs="Arial"/>
          <w:sz w:val="20"/>
          <w:szCs w:val="20"/>
        </w:rPr>
        <w:t>ljati</w:t>
      </w:r>
      <w:r w:rsidRPr="00D83239">
        <w:rPr>
          <w:rFonts w:ascii="Arial" w:hAnsi="Arial" w:cs="Arial"/>
          <w:sz w:val="20"/>
          <w:szCs w:val="20"/>
        </w:rPr>
        <w:t xml:space="preserve"> podzakonsk</w:t>
      </w:r>
      <w:r w:rsidR="00E745B2">
        <w:rPr>
          <w:rFonts w:ascii="Arial" w:hAnsi="Arial" w:cs="Arial"/>
          <w:sz w:val="20"/>
          <w:szCs w:val="20"/>
        </w:rPr>
        <w:t>i</w:t>
      </w:r>
      <w:r w:rsidRPr="00D83239">
        <w:rPr>
          <w:rFonts w:ascii="Arial" w:hAnsi="Arial" w:cs="Arial"/>
          <w:sz w:val="20"/>
          <w:szCs w:val="20"/>
        </w:rPr>
        <w:t xml:space="preserve"> predpis za izvajanje ZDD-2, katerega cilj je podrobnejša ureditev posameznih zakonskih določb ter zagotavljanje večje pravne jasnosti in predvidljivosti za vse deležnike. Ob uveljavitvi novega ZDD-2 je </w:t>
      </w:r>
      <w:r>
        <w:rPr>
          <w:rFonts w:ascii="Arial" w:hAnsi="Arial" w:cs="Arial"/>
          <w:sz w:val="20"/>
          <w:szCs w:val="20"/>
        </w:rPr>
        <w:t>MNZ</w:t>
      </w:r>
      <w:r w:rsidRPr="00D83239">
        <w:rPr>
          <w:rFonts w:ascii="Arial" w:hAnsi="Arial" w:cs="Arial"/>
          <w:sz w:val="20"/>
          <w:szCs w:val="20"/>
        </w:rPr>
        <w:t xml:space="preserve"> za detektive in inšpektorje</w:t>
      </w:r>
      <w:r>
        <w:rPr>
          <w:rFonts w:ascii="Arial" w:hAnsi="Arial" w:cs="Arial"/>
          <w:sz w:val="20"/>
          <w:szCs w:val="20"/>
        </w:rPr>
        <w:t xml:space="preserve"> IRSNZ </w:t>
      </w:r>
      <w:r w:rsidRPr="00D83239">
        <w:rPr>
          <w:rFonts w:ascii="Arial" w:hAnsi="Arial" w:cs="Arial"/>
          <w:sz w:val="20"/>
          <w:szCs w:val="20"/>
        </w:rPr>
        <w:t>pripravilo tudi predstavitev zakonskih novosti in njihovega izvajanja v praksi.</w:t>
      </w:r>
    </w:p>
    <w:p w14:paraId="31056356" w14:textId="523F3ED3" w:rsidR="00F01A1E" w:rsidRDefault="00F01A1E" w:rsidP="009433E0">
      <w:pPr>
        <w:tabs>
          <w:tab w:val="left" w:pos="2520"/>
        </w:tabs>
        <w:spacing w:after="0" w:line="276" w:lineRule="auto"/>
        <w:jc w:val="both"/>
        <w:rPr>
          <w:rFonts w:ascii="Arial" w:hAnsi="Arial" w:cs="Arial"/>
          <w:sz w:val="20"/>
          <w:szCs w:val="20"/>
        </w:rPr>
      </w:pPr>
    </w:p>
    <w:p w14:paraId="5F5A18B7" w14:textId="17169782" w:rsidR="00F01A1E" w:rsidRDefault="00F01A1E" w:rsidP="009433E0">
      <w:pPr>
        <w:tabs>
          <w:tab w:val="left" w:pos="2520"/>
        </w:tabs>
        <w:spacing w:after="0" w:line="276" w:lineRule="auto"/>
        <w:jc w:val="both"/>
        <w:rPr>
          <w:rFonts w:ascii="Arial" w:hAnsi="Arial" w:cs="Arial"/>
          <w:sz w:val="20"/>
          <w:szCs w:val="20"/>
        </w:rPr>
      </w:pPr>
    </w:p>
    <w:p w14:paraId="58BF0608" w14:textId="25D4F8F5" w:rsidR="00F01A1E" w:rsidRDefault="00F01A1E" w:rsidP="009433E0">
      <w:pPr>
        <w:tabs>
          <w:tab w:val="left" w:pos="2520"/>
        </w:tabs>
        <w:spacing w:after="0" w:line="276" w:lineRule="auto"/>
        <w:jc w:val="both"/>
        <w:rPr>
          <w:rFonts w:ascii="Arial" w:hAnsi="Arial" w:cs="Arial"/>
          <w:sz w:val="20"/>
          <w:szCs w:val="20"/>
        </w:rPr>
      </w:pPr>
    </w:p>
    <w:p w14:paraId="765F8FAA" w14:textId="77777777" w:rsidR="00F01A1E" w:rsidRPr="00D83239" w:rsidRDefault="00F01A1E" w:rsidP="009433E0">
      <w:pPr>
        <w:tabs>
          <w:tab w:val="left" w:pos="2520"/>
        </w:tabs>
        <w:spacing w:after="0" w:line="276" w:lineRule="auto"/>
        <w:jc w:val="both"/>
        <w:rPr>
          <w:rFonts w:ascii="Arial" w:hAnsi="Arial" w:cs="Arial"/>
          <w:sz w:val="20"/>
          <w:szCs w:val="20"/>
        </w:rPr>
      </w:pPr>
    </w:p>
    <w:p w14:paraId="48FC2C5E" w14:textId="4A944C17" w:rsidR="00DB29C1" w:rsidRPr="00D83239" w:rsidRDefault="00DB29C1" w:rsidP="00D83239">
      <w:pPr>
        <w:tabs>
          <w:tab w:val="left" w:pos="2520"/>
        </w:tabs>
        <w:spacing w:after="0" w:line="276" w:lineRule="auto"/>
        <w:jc w:val="both"/>
        <w:rPr>
          <w:rFonts w:ascii="Arial" w:hAnsi="Arial" w:cs="Arial"/>
          <w:sz w:val="20"/>
          <w:szCs w:val="20"/>
          <w:highlight w:val="yellow"/>
        </w:rPr>
      </w:pPr>
      <w:r w:rsidRPr="00D83239">
        <w:rPr>
          <w:rFonts w:ascii="Arial" w:hAnsi="Arial" w:cs="Arial"/>
          <w:sz w:val="20"/>
          <w:szCs w:val="20"/>
          <w:highlight w:val="yellow"/>
        </w:rPr>
        <w:t xml:space="preserve">    </w:t>
      </w:r>
    </w:p>
    <w:tbl>
      <w:tblPr>
        <w:tblW w:w="9066" w:type="dxa"/>
        <w:jc w:val="center"/>
        <w:tblLayout w:type="fixed"/>
        <w:tblCellMar>
          <w:left w:w="70" w:type="dxa"/>
          <w:right w:w="70" w:type="dxa"/>
        </w:tblCellMar>
        <w:tblLook w:val="00A0" w:firstRow="1" w:lastRow="0" w:firstColumn="1" w:lastColumn="0" w:noHBand="0" w:noVBand="0"/>
      </w:tblPr>
      <w:tblGrid>
        <w:gridCol w:w="5100"/>
        <w:gridCol w:w="661"/>
        <w:gridCol w:w="661"/>
        <w:gridCol w:w="661"/>
        <w:gridCol w:w="661"/>
        <w:gridCol w:w="661"/>
        <w:gridCol w:w="661"/>
      </w:tblGrid>
      <w:tr w:rsidR="00DB29C1" w:rsidRPr="00D83239" w14:paraId="00435E04" w14:textId="77777777" w:rsidTr="00946991">
        <w:trPr>
          <w:trHeight w:val="254"/>
          <w:jc w:val="center"/>
        </w:trPr>
        <w:tc>
          <w:tcPr>
            <w:tcW w:w="51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D3F0099" w14:textId="57F3D09F" w:rsidR="00DB29C1" w:rsidRPr="00D83239" w:rsidRDefault="00DB29C1" w:rsidP="00E745B2">
            <w:pPr>
              <w:autoSpaceDE w:val="0"/>
              <w:autoSpaceDN w:val="0"/>
              <w:adjustRightInd w:val="0"/>
              <w:spacing w:after="0" w:line="276" w:lineRule="auto"/>
              <w:rPr>
                <w:rFonts w:ascii="Arial" w:hAnsi="Arial" w:cs="Arial"/>
                <w:b/>
                <w:bCs/>
                <w:color w:val="000000"/>
                <w:sz w:val="20"/>
                <w:szCs w:val="20"/>
                <w:lang w:eastAsia="sl-SI"/>
              </w:rPr>
            </w:pPr>
            <w:r w:rsidRPr="00D83239">
              <w:rPr>
                <w:rFonts w:ascii="Arial" w:hAnsi="Arial" w:cs="Arial"/>
                <w:b/>
                <w:bCs/>
                <w:color w:val="000000"/>
                <w:sz w:val="20"/>
                <w:szCs w:val="20"/>
                <w:lang w:eastAsia="sl-SI"/>
              </w:rPr>
              <w:t>Vrsta/izid postopka</w:t>
            </w:r>
          </w:p>
        </w:tc>
        <w:tc>
          <w:tcPr>
            <w:tcW w:w="6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069704"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2020</w:t>
            </w:r>
          </w:p>
        </w:tc>
        <w:tc>
          <w:tcPr>
            <w:tcW w:w="6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8DC5F74"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2021</w:t>
            </w:r>
          </w:p>
        </w:tc>
        <w:tc>
          <w:tcPr>
            <w:tcW w:w="6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946A74E"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2022</w:t>
            </w:r>
          </w:p>
        </w:tc>
        <w:tc>
          <w:tcPr>
            <w:tcW w:w="6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68D1DBA"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2023</w:t>
            </w:r>
          </w:p>
        </w:tc>
        <w:tc>
          <w:tcPr>
            <w:tcW w:w="6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EBA1980"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2024</w:t>
            </w:r>
          </w:p>
        </w:tc>
        <w:tc>
          <w:tcPr>
            <w:tcW w:w="6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4710E6F" w14:textId="77777777" w:rsidR="00DB29C1" w:rsidRPr="00D83239" w:rsidRDefault="00DB29C1" w:rsidP="008F6AEC">
            <w:pPr>
              <w:autoSpaceDE w:val="0"/>
              <w:autoSpaceDN w:val="0"/>
              <w:adjustRightInd w:val="0"/>
              <w:spacing w:after="0" w:line="276" w:lineRule="auto"/>
              <w:jc w:val="center"/>
              <w:rPr>
                <w:rFonts w:ascii="Arial" w:hAnsi="Arial" w:cs="Arial"/>
                <w:b/>
                <w:bCs/>
                <w:color w:val="000000"/>
                <w:sz w:val="20"/>
                <w:szCs w:val="20"/>
                <w:lang w:eastAsia="sl-SI"/>
              </w:rPr>
            </w:pPr>
            <w:r w:rsidRPr="00D83239">
              <w:rPr>
                <w:rFonts w:ascii="Arial" w:hAnsi="Arial" w:cs="Arial"/>
                <w:b/>
                <w:bCs/>
                <w:color w:val="000000"/>
                <w:sz w:val="20"/>
                <w:szCs w:val="20"/>
                <w:lang w:eastAsia="sl-SI"/>
              </w:rPr>
              <w:t>2025</w:t>
            </w:r>
          </w:p>
        </w:tc>
      </w:tr>
      <w:tr w:rsidR="00DB29C1" w:rsidRPr="00D83239" w14:paraId="12988B97" w14:textId="77777777" w:rsidTr="008F6AEC">
        <w:trPr>
          <w:trHeight w:val="254"/>
          <w:jc w:val="center"/>
        </w:trPr>
        <w:tc>
          <w:tcPr>
            <w:tcW w:w="5100" w:type="dxa"/>
            <w:tcBorders>
              <w:top w:val="single" w:sz="6" w:space="0" w:color="000000"/>
              <w:left w:val="single" w:sz="6" w:space="0" w:color="000000"/>
              <w:bottom w:val="single" w:sz="6" w:space="0" w:color="000000"/>
              <w:right w:val="single" w:sz="6" w:space="0" w:color="000000"/>
            </w:tcBorders>
            <w:vAlign w:val="center"/>
          </w:tcPr>
          <w:p w14:paraId="337A80F1" w14:textId="77777777" w:rsidR="00DB29C1" w:rsidRPr="00D83239" w:rsidRDefault="00DB29C1" w:rsidP="008F6AEC">
            <w:pPr>
              <w:autoSpaceDE w:val="0"/>
              <w:autoSpaceDN w:val="0"/>
              <w:adjustRightInd w:val="0"/>
              <w:spacing w:after="0" w:line="276" w:lineRule="auto"/>
              <w:rPr>
                <w:rFonts w:ascii="Arial" w:hAnsi="Arial" w:cs="Arial"/>
                <w:color w:val="000000"/>
                <w:sz w:val="20"/>
                <w:szCs w:val="20"/>
                <w:lang w:eastAsia="sl-SI"/>
              </w:rPr>
            </w:pPr>
            <w:r w:rsidRPr="00D83239">
              <w:rPr>
                <w:rFonts w:ascii="Arial" w:hAnsi="Arial" w:cs="Arial"/>
                <w:color w:val="000000"/>
                <w:sz w:val="20"/>
                <w:szCs w:val="20"/>
                <w:lang w:eastAsia="sl-SI"/>
              </w:rPr>
              <w:t>Varnostno preverjanje kandidatov za detektive</w:t>
            </w:r>
          </w:p>
        </w:tc>
        <w:tc>
          <w:tcPr>
            <w:tcW w:w="661" w:type="dxa"/>
            <w:tcBorders>
              <w:top w:val="single" w:sz="6" w:space="0" w:color="000000"/>
              <w:left w:val="single" w:sz="6" w:space="0" w:color="000000"/>
              <w:bottom w:val="single" w:sz="6" w:space="0" w:color="000000"/>
              <w:right w:val="single" w:sz="6" w:space="0" w:color="000000"/>
            </w:tcBorders>
            <w:vAlign w:val="center"/>
          </w:tcPr>
          <w:p w14:paraId="7DB16DF2"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9</w:t>
            </w:r>
          </w:p>
        </w:tc>
        <w:tc>
          <w:tcPr>
            <w:tcW w:w="661" w:type="dxa"/>
            <w:tcBorders>
              <w:top w:val="single" w:sz="6" w:space="0" w:color="000000"/>
              <w:left w:val="single" w:sz="6" w:space="0" w:color="000000"/>
              <w:bottom w:val="single" w:sz="6" w:space="0" w:color="000000"/>
              <w:right w:val="single" w:sz="6" w:space="0" w:color="000000"/>
            </w:tcBorders>
            <w:vAlign w:val="center"/>
          </w:tcPr>
          <w:p w14:paraId="1AD3E7AF"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10</w:t>
            </w:r>
          </w:p>
        </w:tc>
        <w:tc>
          <w:tcPr>
            <w:tcW w:w="661" w:type="dxa"/>
            <w:tcBorders>
              <w:top w:val="single" w:sz="6" w:space="0" w:color="000000"/>
              <w:left w:val="single" w:sz="6" w:space="0" w:color="000000"/>
              <w:bottom w:val="single" w:sz="6" w:space="0" w:color="000000"/>
              <w:right w:val="single" w:sz="6" w:space="0" w:color="000000"/>
            </w:tcBorders>
            <w:vAlign w:val="center"/>
          </w:tcPr>
          <w:p w14:paraId="4E6BE756"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7</w:t>
            </w:r>
          </w:p>
        </w:tc>
        <w:tc>
          <w:tcPr>
            <w:tcW w:w="661" w:type="dxa"/>
            <w:tcBorders>
              <w:top w:val="single" w:sz="6" w:space="0" w:color="000000"/>
              <w:left w:val="single" w:sz="6" w:space="0" w:color="000000"/>
              <w:bottom w:val="single" w:sz="6" w:space="0" w:color="000000"/>
              <w:right w:val="single" w:sz="6" w:space="0" w:color="000000"/>
            </w:tcBorders>
            <w:vAlign w:val="center"/>
          </w:tcPr>
          <w:p w14:paraId="1C96A204"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sz w:val="20"/>
                <w:szCs w:val="20"/>
                <w:lang w:eastAsia="sl-SI"/>
              </w:rPr>
              <w:t>8</w:t>
            </w:r>
          </w:p>
        </w:tc>
        <w:tc>
          <w:tcPr>
            <w:tcW w:w="661" w:type="dxa"/>
            <w:tcBorders>
              <w:top w:val="single" w:sz="6" w:space="0" w:color="000000"/>
              <w:left w:val="single" w:sz="6" w:space="0" w:color="000000"/>
              <w:bottom w:val="single" w:sz="6" w:space="0" w:color="000000"/>
              <w:right w:val="single" w:sz="6" w:space="0" w:color="000000"/>
            </w:tcBorders>
            <w:vAlign w:val="center"/>
          </w:tcPr>
          <w:p w14:paraId="59D229C6"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5</w:t>
            </w:r>
          </w:p>
        </w:tc>
        <w:tc>
          <w:tcPr>
            <w:tcW w:w="661" w:type="dxa"/>
            <w:tcBorders>
              <w:top w:val="single" w:sz="6" w:space="0" w:color="000000"/>
              <w:left w:val="single" w:sz="6" w:space="0" w:color="000000"/>
              <w:bottom w:val="single" w:sz="6" w:space="0" w:color="000000"/>
              <w:right w:val="single" w:sz="6" w:space="0" w:color="000000"/>
            </w:tcBorders>
            <w:vAlign w:val="center"/>
          </w:tcPr>
          <w:p w14:paraId="6E998537"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8</w:t>
            </w:r>
          </w:p>
        </w:tc>
      </w:tr>
      <w:tr w:rsidR="00DB29C1" w:rsidRPr="00D83239" w14:paraId="42930AA6" w14:textId="77777777" w:rsidTr="008F6AEC">
        <w:trPr>
          <w:trHeight w:val="254"/>
          <w:jc w:val="center"/>
        </w:trPr>
        <w:tc>
          <w:tcPr>
            <w:tcW w:w="5100" w:type="dxa"/>
            <w:tcBorders>
              <w:top w:val="single" w:sz="6" w:space="0" w:color="000000"/>
              <w:left w:val="single" w:sz="6" w:space="0" w:color="000000"/>
              <w:bottom w:val="single" w:sz="6" w:space="0" w:color="000000"/>
              <w:right w:val="single" w:sz="6" w:space="0" w:color="000000"/>
            </w:tcBorders>
            <w:vAlign w:val="center"/>
          </w:tcPr>
          <w:p w14:paraId="012FD608" w14:textId="77777777" w:rsidR="00DB29C1" w:rsidRPr="00D83239" w:rsidRDefault="00DB29C1" w:rsidP="008F6AEC">
            <w:pPr>
              <w:autoSpaceDE w:val="0"/>
              <w:autoSpaceDN w:val="0"/>
              <w:adjustRightInd w:val="0"/>
              <w:spacing w:after="0" w:line="276" w:lineRule="auto"/>
              <w:rPr>
                <w:rFonts w:ascii="Arial" w:hAnsi="Arial" w:cs="Arial"/>
                <w:color w:val="000000"/>
                <w:sz w:val="20"/>
                <w:szCs w:val="20"/>
                <w:lang w:eastAsia="sl-SI"/>
              </w:rPr>
            </w:pPr>
            <w:r w:rsidRPr="00D83239">
              <w:rPr>
                <w:rFonts w:ascii="Arial" w:hAnsi="Arial" w:cs="Arial"/>
                <w:color w:val="000000"/>
                <w:sz w:val="20"/>
                <w:szCs w:val="20"/>
                <w:lang w:eastAsia="sl-SI"/>
              </w:rPr>
              <w:t xml:space="preserve">Ogledi prostorov – dodatna registracija nosilcev javnega pooblastila </w:t>
            </w:r>
          </w:p>
        </w:tc>
        <w:tc>
          <w:tcPr>
            <w:tcW w:w="661" w:type="dxa"/>
            <w:tcBorders>
              <w:top w:val="single" w:sz="6" w:space="0" w:color="000000"/>
              <w:left w:val="single" w:sz="6" w:space="0" w:color="000000"/>
              <w:bottom w:val="single" w:sz="6" w:space="0" w:color="000000"/>
              <w:right w:val="single" w:sz="6" w:space="0" w:color="000000"/>
            </w:tcBorders>
            <w:vAlign w:val="center"/>
          </w:tcPr>
          <w:p w14:paraId="2332B0E6"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w:t>
            </w:r>
          </w:p>
        </w:tc>
        <w:tc>
          <w:tcPr>
            <w:tcW w:w="661" w:type="dxa"/>
            <w:tcBorders>
              <w:top w:val="single" w:sz="6" w:space="0" w:color="000000"/>
              <w:left w:val="single" w:sz="6" w:space="0" w:color="000000"/>
              <w:bottom w:val="single" w:sz="6" w:space="0" w:color="000000"/>
              <w:right w:val="single" w:sz="6" w:space="0" w:color="000000"/>
            </w:tcBorders>
            <w:vAlign w:val="center"/>
          </w:tcPr>
          <w:p w14:paraId="6AB91FAD"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w:t>
            </w:r>
          </w:p>
        </w:tc>
        <w:tc>
          <w:tcPr>
            <w:tcW w:w="661" w:type="dxa"/>
            <w:tcBorders>
              <w:top w:val="single" w:sz="6" w:space="0" w:color="000000"/>
              <w:left w:val="single" w:sz="6" w:space="0" w:color="000000"/>
              <w:bottom w:val="single" w:sz="6" w:space="0" w:color="000000"/>
              <w:right w:val="single" w:sz="6" w:space="0" w:color="000000"/>
            </w:tcBorders>
            <w:vAlign w:val="center"/>
          </w:tcPr>
          <w:p w14:paraId="5B01170F"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3</w:t>
            </w:r>
          </w:p>
        </w:tc>
        <w:tc>
          <w:tcPr>
            <w:tcW w:w="661" w:type="dxa"/>
            <w:tcBorders>
              <w:top w:val="single" w:sz="6" w:space="0" w:color="000000"/>
              <w:left w:val="single" w:sz="6" w:space="0" w:color="000000"/>
              <w:bottom w:val="single" w:sz="6" w:space="0" w:color="000000"/>
              <w:right w:val="single" w:sz="6" w:space="0" w:color="000000"/>
            </w:tcBorders>
            <w:vAlign w:val="center"/>
          </w:tcPr>
          <w:p w14:paraId="53DE8F7C"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sz w:val="20"/>
                <w:szCs w:val="20"/>
                <w:lang w:eastAsia="sl-SI"/>
              </w:rPr>
              <w:t>4</w:t>
            </w:r>
          </w:p>
        </w:tc>
        <w:tc>
          <w:tcPr>
            <w:tcW w:w="661" w:type="dxa"/>
            <w:tcBorders>
              <w:top w:val="single" w:sz="6" w:space="0" w:color="000000"/>
              <w:left w:val="single" w:sz="6" w:space="0" w:color="000000"/>
              <w:bottom w:val="single" w:sz="6" w:space="0" w:color="000000"/>
              <w:right w:val="single" w:sz="6" w:space="0" w:color="000000"/>
            </w:tcBorders>
            <w:vAlign w:val="center"/>
          </w:tcPr>
          <w:p w14:paraId="1C337D9D"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4</w:t>
            </w:r>
          </w:p>
        </w:tc>
        <w:tc>
          <w:tcPr>
            <w:tcW w:w="661" w:type="dxa"/>
            <w:tcBorders>
              <w:top w:val="single" w:sz="6" w:space="0" w:color="000000"/>
              <w:left w:val="single" w:sz="6" w:space="0" w:color="000000"/>
              <w:bottom w:val="single" w:sz="6" w:space="0" w:color="000000"/>
              <w:right w:val="single" w:sz="6" w:space="0" w:color="000000"/>
            </w:tcBorders>
            <w:vAlign w:val="center"/>
          </w:tcPr>
          <w:p w14:paraId="7E66A348"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1</w:t>
            </w:r>
          </w:p>
        </w:tc>
      </w:tr>
      <w:tr w:rsidR="00DB29C1" w:rsidRPr="00D83239" w14:paraId="0AAF3B24" w14:textId="77777777" w:rsidTr="008F6AEC">
        <w:trPr>
          <w:trHeight w:val="254"/>
          <w:jc w:val="center"/>
        </w:trPr>
        <w:tc>
          <w:tcPr>
            <w:tcW w:w="5100" w:type="dxa"/>
            <w:tcBorders>
              <w:top w:val="single" w:sz="6" w:space="0" w:color="000000"/>
              <w:left w:val="single" w:sz="6" w:space="0" w:color="000000"/>
              <w:bottom w:val="single" w:sz="6" w:space="0" w:color="000000"/>
              <w:right w:val="single" w:sz="6" w:space="0" w:color="000000"/>
            </w:tcBorders>
            <w:vAlign w:val="center"/>
          </w:tcPr>
          <w:p w14:paraId="1E0C6822" w14:textId="77777777" w:rsidR="00DB29C1" w:rsidRPr="00D83239" w:rsidRDefault="00DB29C1" w:rsidP="008F6AEC">
            <w:pPr>
              <w:autoSpaceDE w:val="0"/>
              <w:autoSpaceDN w:val="0"/>
              <w:adjustRightInd w:val="0"/>
              <w:spacing w:after="0" w:line="276" w:lineRule="auto"/>
              <w:rPr>
                <w:rFonts w:ascii="Arial" w:hAnsi="Arial" w:cs="Arial"/>
                <w:color w:val="000000"/>
                <w:sz w:val="20"/>
                <w:szCs w:val="20"/>
                <w:lang w:eastAsia="sl-SI"/>
              </w:rPr>
            </w:pPr>
            <w:r w:rsidRPr="00D83239">
              <w:rPr>
                <w:rFonts w:ascii="Arial" w:hAnsi="Arial" w:cs="Arial"/>
                <w:color w:val="000000"/>
                <w:sz w:val="20"/>
                <w:szCs w:val="20"/>
                <w:lang w:eastAsia="sl-SI"/>
              </w:rPr>
              <w:t>Soglasje za sklep vlade po Uredbi o obveznem organiziranju varovanja</w:t>
            </w:r>
          </w:p>
        </w:tc>
        <w:tc>
          <w:tcPr>
            <w:tcW w:w="661" w:type="dxa"/>
            <w:tcBorders>
              <w:top w:val="single" w:sz="6" w:space="0" w:color="000000"/>
              <w:left w:val="single" w:sz="6" w:space="0" w:color="000000"/>
              <w:bottom w:val="single" w:sz="6" w:space="0" w:color="000000"/>
              <w:right w:val="single" w:sz="6" w:space="0" w:color="000000"/>
            </w:tcBorders>
            <w:vAlign w:val="center"/>
          </w:tcPr>
          <w:p w14:paraId="5D03B46B"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2</w:t>
            </w:r>
          </w:p>
        </w:tc>
        <w:tc>
          <w:tcPr>
            <w:tcW w:w="661" w:type="dxa"/>
            <w:tcBorders>
              <w:top w:val="single" w:sz="6" w:space="0" w:color="000000"/>
              <w:left w:val="single" w:sz="6" w:space="0" w:color="000000"/>
              <w:bottom w:val="single" w:sz="6" w:space="0" w:color="000000"/>
              <w:right w:val="single" w:sz="6" w:space="0" w:color="000000"/>
            </w:tcBorders>
            <w:vAlign w:val="center"/>
          </w:tcPr>
          <w:p w14:paraId="722D656E"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33</w:t>
            </w:r>
          </w:p>
        </w:tc>
        <w:tc>
          <w:tcPr>
            <w:tcW w:w="661" w:type="dxa"/>
            <w:tcBorders>
              <w:top w:val="single" w:sz="6" w:space="0" w:color="000000"/>
              <w:left w:val="single" w:sz="6" w:space="0" w:color="000000"/>
              <w:bottom w:val="single" w:sz="6" w:space="0" w:color="000000"/>
              <w:right w:val="single" w:sz="6" w:space="0" w:color="000000"/>
            </w:tcBorders>
            <w:vAlign w:val="center"/>
          </w:tcPr>
          <w:p w14:paraId="529910C4"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0</w:t>
            </w:r>
          </w:p>
        </w:tc>
        <w:tc>
          <w:tcPr>
            <w:tcW w:w="661" w:type="dxa"/>
            <w:tcBorders>
              <w:top w:val="single" w:sz="6" w:space="0" w:color="000000"/>
              <w:left w:val="single" w:sz="6" w:space="0" w:color="000000"/>
              <w:bottom w:val="single" w:sz="6" w:space="0" w:color="000000"/>
              <w:right w:val="single" w:sz="6" w:space="0" w:color="000000"/>
            </w:tcBorders>
            <w:vAlign w:val="center"/>
          </w:tcPr>
          <w:p w14:paraId="552506F1"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sz w:val="20"/>
                <w:szCs w:val="20"/>
                <w:lang w:eastAsia="sl-SI"/>
              </w:rPr>
              <w:t>0</w:t>
            </w:r>
          </w:p>
        </w:tc>
        <w:tc>
          <w:tcPr>
            <w:tcW w:w="661" w:type="dxa"/>
            <w:tcBorders>
              <w:top w:val="single" w:sz="6" w:space="0" w:color="000000"/>
              <w:left w:val="single" w:sz="6" w:space="0" w:color="000000"/>
              <w:bottom w:val="single" w:sz="6" w:space="0" w:color="000000"/>
              <w:right w:val="single" w:sz="6" w:space="0" w:color="000000"/>
            </w:tcBorders>
            <w:vAlign w:val="center"/>
          </w:tcPr>
          <w:p w14:paraId="0888404B"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2</w:t>
            </w:r>
          </w:p>
        </w:tc>
        <w:tc>
          <w:tcPr>
            <w:tcW w:w="661" w:type="dxa"/>
            <w:tcBorders>
              <w:top w:val="single" w:sz="6" w:space="0" w:color="000000"/>
              <w:left w:val="single" w:sz="6" w:space="0" w:color="000000"/>
              <w:bottom w:val="single" w:sz="6" w:space="0" w:color="000000"/>
              <w:right w:val="single" w:sz="6" w:space="0" w:color="000000"/>
            </w:tcBorders>
            <w:vAlign w:val="center"/>
          </w:tcPr>
          <w:p w14:paraId="6E173092"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28</w:t>
            </w:r>
          </w:p>
        </w:tc>
      </w:tr>
      <w:tr w:rsidR="00DB29C1" w:rsidRPr="00D83239" w14:paraId="5126E3F2" w14:textId="77777777" w:rsidTr="008F6AEC">
        <w:trPr>
          <w:trHeight w:val="254"/>
          <w:jc w:val="center"/>
        </w:trPr>
        <w:tc>
          <w:tcPr>
            <w:tcW w:w="5100" w:type="dxa"/>
            <w:tcBorders>
              <w:top w:val="single" w:sz="6" w:space="0" w:color="000000"/>
              <w:left w:val="single" w:sz="6" w:space="0" w:color="000000"/>
              <w:bottom w:val="single" w:sz="6" w:space="0" w:color="000000"/>
              <w:right w:val="single" w:sz="6" w:space="0" w:color="000000"/>
            </w:tcBorders>
            <w:vAlign w:val="center"/>
          </w:tcPr>
          <w:p w14:paraId="7F7C8F58" w14:textId="77777777" w:rsidR="00DB29C1" w:rsidRPr="00D83239" w:rsidRDefault="00DB29C1" w:rsidP="008F6AEC">
            <w:pPr>
              <w:autoSpaceDE w:val="0"/>
              <w:autoSpaceDN w:val="0"/>
              <w:adjustRightInd w:val="0"/>
              <w:spacing w:after="0" w:line="276" w:lineRule="auto"/>
              <w:rPr>
                <w:rFonts w:ascii="Arial" w:hAnsi="Arial" w:cs="Arial"/>
                <w:color w:val="000000"/>
                <w:sz w:val="20"/>
                <w:szCs w:val="20"/>
                <w:lang w:eastAsia="sl-SI"/>
              </w:rPr>
            </w:pPr>
            <w:r w:rsidRPr="00D83239">
              <w:rPr>
                <w:rFonts w:ascii="Arial" w:hAnsi="Arial" w:cs="Arial"/>
                <w:color w:val="000000"/>
                <w:sz w:val="20"/>
                <w:szCs w:val="20"/>
                <w:lang w:eastAsia="sl-SI"/>
              </w:rPr>
              <w:t>Število pozivov za deponiranje službenih izkaznic</w:t>
            </w:r>
          </w:p>
        </w:tc>
        <w:tc>
          <w:tcPr>
            <w:tcW w:w="661" w:type="dxa"/>
            <w:tcBorders>
              <w:top w:val="single" w:sz="6" w:space="0" w:color="000000"/>
              <w:left w:val="single" w:sz="6" w:space="0" w:color="000000"/>
              <w:bottom w:val="single" w:sz="6" w:space="0" w:color="000000"/>
              <w:right w:val="single" w:sz="6" w:space="0" w:color="000000"/>
            </w:tcBorders>
            <w:vAlign w:val="center"/>
          </w:tcPr>
          <w:p w14:paraId="689416CE"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429</w:t>
            </w:r>
          </w:p>
        </w:tc>
        <w:tc>
          <w:tcPr>
            <w:tcW w:w="661" w:type="dxa"/>
            <w:tcBorders>
              <w:top w:val="single" w:sz="6" w:space="0" w:color="000000"/>
              <w:left w:val="single" w:sz="6" w:space="0" w:color="000000"/>
              <w:bottom w:val="single" w:sz="6" w:space="0" w:color="000000"/>
              <w:right w:val="single" w:sz="6" w:space="0" w:color="000000"/>
            </w:tcBorders>
            <w:vAlign w:val="center"/>
          </w:tcPr>
          <w:p w14:paraId="143BD626"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381</w:t>
            </w:r>
          </w:p>
        </w:tc>
        <w:tc>
          <w:tcPr>
            <w:tcW w:w="661" w:type="dxa"/>
            <w:tcBorders>
              <w:top w:val="single" w:sz="6" w:space="0" w:color="000000"/>
              <w:left w:val="single" w:sz="6" w:space="0" w:color="000000"/>
              <w:bottom w:val="single" w:sz="6" w:space="0" w:color="000000"/>
              <w:right w:val="single" w:sz="6" w:space="0" w:color="000000"/>
            </w:tcBorders>
            <w:vAlign w:val="center"/>
          </w:tcPr>
          <w:p w14:paraId="56932634"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379</w:t>
            </w:r>
          </w:p>
        </w:tc>
        <w:tc>
          <w:tcPr>
            <w:tcW w:w="661" w:type="dxa"/>
            <w:tcBorders>
              <w:top w:val="single" w:sz="6" w:space="0" w:color="000000"/>
              <w:left w:val="single" w:sz="6" w:space="0" w:color="000000"/>
              <w:bottom w:val="single" w:sz="6" w:space="0" w:color="000000"/>
              <w:right w:val="single" w:sz="6" w:space="0" w:color="000000"/>
            </w:tcBorders>
            <w:vAlign w:val="center"/>
          </w:tcPr>
          <w:p w14:paraId="662D6DC8" w14:textId="77777777" w:rsidR="00DB29C1" w:rsidRPr="00D83239" w:rsidRDefault="00DB29C1" w:rsidP="008F6AEC">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sz w:val="20"/>
                <w:szCs w:val="20"/>
                <w:lang w:eastAsia="sl-SI"/>
              </w:rPr>
              <w:t>257</w:t>
            </w:r>
          </w:p>
        </w:tc>
        <w:tc>
          <w:tcPr>
            <w:tcW w:w="661" w:type="dxa"/>
            <w:tcBorders>
              <w:top w:val="single" w:sz="6" w:space="0" w:color="000000"/>
              <w:left w:val="single" w:sz="6" w:space="0" w:color="000000"/>
              <w:bottom w:val="single" w:sz="6" w:space="0" w:color="000000"/>
              <w:right w:val="single" w:sz="6" w:space="0" w:color="000000"/>
            </w:tcBorders>
            <w:vAlign w:val="center"/>
          </w:tcPr>
          <w:p w14:paraId="77D98A23"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37</w:t>
            </w:r>
          </w:p>
        </w:tc>
        <w:tc>
          <w:tcPr>
            <w:tcW w:w="661" w:type="dxa"/>
            <w:tcBorders>
              <w:top w:val="single" w:sz="6" w:space="0" w:color="000000"/>
              <w:left w:val="single" w:sz="6" w:space="0" w:color="000000"/>
              <w:bottom w:val="single" w:sz="6" w:space="0" w:color="000000"/>
              <w:right w:val="single" w:sz="6" w:space="0" w:color="000000"/>
            </w:tcBorders>
            <w:vAlign w:val="center"/>
          </w:tcPr>
          <w:p w14:paraId="6F9563E9" w14:textId="77777777" w:rsidR="00DB29C1" w:rsidRPr="00D83239" w:rsidRDefault="00DB29C1" w:rsidP="008F6AEC">
            <w:pPr>
              <w:autoSpaceDE w:val="0"/>
              <w:autoSpaceDN w:val="0"/>
              <w:adjustRightInd w:val="0"/>
              <w:spacing w:after="0" w:line="276" w:lineRule="auto"/>
              <w:jc w:val="right"/>
              <w:rPr>
                <w:rFonts w:ascii="Arial" w:hAnsi="Arial" w:cs="Arial"/>
                <w:sz w:val="20"/>
                <w:szCs w:val="20"/>
                <w:lang w:eastAsia="sl-SI"/>
              </w:rPr>
            </w:pPr>
            <w:r w:rsidRPr="00D83239">
              <w:rPr>
                <w:rFonts w:ascii="Arial" w:hAnsi="Arial" w:cs="Arial"/>
                <w:sz w:val="20"/>
                <w:szCs w:val="20"/>
                <w:lang w:eastAsia="sl-SI"/>
              </w:rPr>
              <w:t>72</w:t>
            </w:r>
          </w:p>
        </w:tc>
      </w:tr>
    </w:tbl>
    <w:p w14:paraId="70E39AC5" w14:textId="77777777" w:rsidR="00773D58" w:rsidRDefault="00773D58" w:rsidP="00D83239">
      <w:pPr>
        <w:spacing w:after="0" w:line="276" w:lineRule="auto"/>
        <w:jc w:val="both"/>
        <w:rPr>
          <w:rFonts w:ascii="Arial" w:hAnsi="Arial" w:cs="Arial"/>
          <w:b/>
          <w:sz w:val="20"/>
          <w:szCs w:val="20"/>
        </w:rPr>
      </w:pPr>
    </w:p>
    <w:p w14:paraId="5C038FF5" w14:textId="432B5ABF" w:rsidR="00DB29C1" w:rsidRPr="00D83239" w:rsidRDefault="00DB29C1" w:rsidP="00D83239">
      <w:pPr>
        <w:spacing w:after="0" w:line="276" w:lineRule="auto"/>
        <w:jc w:val="both"/>
        <w:rPr>
          <w:rFonts w:ascii="Arial" w:hAnsi="Arial" w:cs="Arial"/>
          <w:sz w:val="20"/>
          <w:szCs w:val="20"/>
          <w:highlight w:val="yellow"/>
        </w:rPr>
      </w:pPr>
      <w:r w:rsidRPr="00D83239">
        <w:rPr>
          <w:rFonts w:ascii="Arial" w:hAnsi="Arial" w:cs="Arial"/>
          <w:b/>
          <w:sz w:val="20"/>
          <w:szCs w:val="20"/>
        </w:rPr>
        <w:t>Preglednica</w:t>
      </w:r>
      <w:r w:rsidRPr="00D83239">
        <w:rPr>
          <w:rFonts w:ascii="Arial" w:hAnsi="Arial" w:cs="Arial"/>
          <w:sz w:val="20"/>
          <w:szCs w:val="20"/>
        </w:rPr>
        <w:t>: Število upravnih postopkov s področja zasebnega varovanja, nadzornikov na smuč</w:t>
      </w:r>
      <w:r w:rsidR="00773D58">
        <w:rPr>
          <w:rFonts w:ascii="Arial" w:hAnsi="Arial" w:cs="Arial"/>
          <w:sz w:val="20"/>
          <w:szCs w:val="20"/>
        </w:rPr>
        <w:t>išču in detektivske dejavnosti</w:t>
      </w:r>
    </w:p>
    <w:p w14:paraId="0FB68A11" w14:textId="77777777" w:rsidR="00DB29C1" w:rsidRPr="00D83239" w:rsidRDefault="00DB29C1" w:rsidP="00D83239">
      <w:pPr>
        <w:tabs>
          <w:tab w:val="left" w:pos="2520"/>
        </w:tabs>
        <w:spacing w:after="0" w:line="276" w:lineRule="auto"/>
        <w:jc w:val="both"/>
        <w:rPr>
          <w:rFonts w:ascii="Arial" w:hAnsi="Arial" w:cs="Arial"/>
          <w:sz w:val="20"/>
          <w:szCs w:val="20"/>
        </w:rPr>
      </w:pPr>
    </w:p>
    <w:p w14:paraId="68DB5C68" w14:textId="14372205" w:rsidR="00DB29C1" w:rsidRPr="00D83239" w:rsidRDefault="00DB29C1" w:rsidP="00D83239">
      <w:pPr>
        <w:tabs>
          <w:tab w:val="left" w:pos="2520"/>
        </w:tabs>
        <w:spacing w:after="0" w:line="276" w:lineRule="auto"/>
        <w:jc w:val="both"/>
        <w:rPr>
          <w:rFonts w:ascii="Arial" w:hAnsi="Arial" w:cs="Arial"/>
          <w:sz w:val="20"/>
          <w:szCs w:val="20"/>
        </w:rPr>
      </w:pPr>
      <w:r w:rsidRPr="00D83239">
        <w:rPr>
          <w:rFonts w:ascii="Arial" w:hAnsi="Arial" w:cs="Arial"/>
          <w:sz w:val="20"/>
          <w:szCs w:val="20"/>
        </w:rPr>
        <w:t xml:space="preserve">Na področju </w:t>
      </w:r>
      <w:r w:rsidRPr="00D83239">
        <w:rPr>
          <w:rFonts w:ascii="Arial" w:hAnsi="Arial" w:cs="Arial"/>
          <w:b/>
          <w:sz w:val="20"/>
          <w:szCs w:val="20"/>
        </w:rPr>
        <w:t>zagotavljanja varnosti na smučiščih</w:t>
      </w:r>
      <w:r w:rsidRPr="00D83239">
        <w:rPr>
          <w:rFonts w:ascii="Arial" w:hAnsi="Arial" w:cs="Arial"/>
          <w:sz w:val="20"/>
          <w:szCs w:val="20"/>
        </w:rPr>
        <w:t xml:space="preserve"> so uslužbenci </w:t>
      </w:r>
      <w:r w:rsidR="001E652B">
        <w:rPr>
          <w:rFonts w:ascii="Arial" w:hAnsi="Arial" w:cs="Arial"/>
          <w:sz w:val="20"/>
          <w:szCs w:val="20"/>
        </w:rPr>
        <w:t>MNZ</w:t>
      </w:r>
      <w:r w:rsidRPr="00D83239">
        <w:rPr>
          <w:rFonts w:ascii="Arial" w:hAnsi="Arial" w:cs="Arial"/>
          <w:sz w:val="20"/>
          <w:szCs w:val="20"/>
        </w:rPr>
        <w:t xml:space="preserve"> nudili strokovno pomoč pri usposabljanju nadzornikov na smučišču na Policijski akademiji in sodelovali v komisijah za preizkus znanja nadzornikov. </w:t>
      </w:r>
    </w:p>
    <w:p w14:paraId="4542E155" w14:textId="3E8D80B9" w:rsidR="00086963" w:rsidRDefault="00086963" w:rsidP="00D83239">
      <w:pPr>
        <w:spacing w:after="0" w:line="276" w:lineRule="auto"/>
        <w:jc w:val="both"/>
        <w:rPr>
          <w:rFonts w:ascii="Arial" w:hAnsi="Arial" w:cs="Arial"/>
          <w:b/>
          <w:sz w:val="20"/>
          <w:szCs w:val="20"/>
        </w:rPr>
      </w:pPr>
      <w:r w:rsidRPr="008F6AEC">
        <w:rPr>
          <w:rFonts w:ascii="Arial" w:hAnsi="Arial" w:cs="Arial"/>
          <w:noProof/>
          <w:sz w:val="20"/>
          <w:szCs w:val="20"/>
          <w:lang w:eastAsia="sl-SI"/>
        </w:rPr>
        <w:drawing>
          <wp:anchor distT="0" distB="0" distL="114300" distR="114300" simplePos="0" relativeHeight="251739648" behindDoc="0" locked="0" layoutInCell="1" allowOverlap="1" wp14:anchorId="06B7B52A" wp14:editId="1DC1D1C5">
            <wp:simplePos x="0" y="0"/>
            <wp:positionH relativeFrom="margin">
              <wp:align>left</wp:align>
            </wp:positionH>
            <wp:positionV relativeFrom="paragraph">
              <wp:posOffset>65174</wp:posOffset>
            </wp:positionV>
            <wp:extent cx="5772150" cy="2228850"/>
            <wp:effectExtent l="0" t="0" r="0" b="0"/>
            <wp:wrapTopAndBottom/>
            <wp:docPr id="4" name="Grafikon 4">
              <a:extLst xmlns:a="http://schemas.openxmlformats.org/drawingml/2006/main">
                <a:ext uri="{FF2B5EF4-FFF2-40B4-BE49-F238E27FC236}">
                  <a16:creationId xmlns:a16="http://schemas.microsoft.com/office/drawing/2014/main" id="{16E59968-B586-E082-5761-D7CDD827417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274DE65" w14:textId="56D85BB4" w:rsidR="00DB29C1" w:rsidRPr="00D83239" w:rsidRDefault="00DB29C1" w:rsidP="00D83239">
      <w:pPr>
        <w:spacing w:after="0" w:line="276" w:lineRule="auto"/>
        <w:jc w:val="both"/>
        <w:rPr>
          <w:rFonts w:ascii="Arial" w:hAnsi="Arial" w:cs="Arial"/>
          <w:bCs/>
          <w:sz w:val="20"/>
          <w:szCs w:val="20"/>
        </w:rPr>
      </w:pPr>
      <w:r w:rsidRPr="00D83239">
        <w:rPr>
          <w:rFonts w:ascii="Arial" w:hAnsi="Arial" w:cs="Arial"/>
          <w:b/>
          <w:sz w:val="20"/>
          <w:szCs w:val="20"/>
        </w:rPr>
        <w:t>Graf</w:t>
      </w:r>
      <w:r w:rsidR="00E745B2">
        <w:rPr>
          <w:rFonts w:ascii="Arial" w:hAnsi="Arial" w:cs="Arial"/>
          <w:b/>
          <w:sz w:val="20"/>
          <w:szCs w:val="20"/>
        </w:rPr>
        <w:t>ikon</w:t>
      </w:r>
      <w:r w:rsidRPr="00455C3E">
        <w:rPr>
          <w:rFonts w:ascii="Arial" w:hAnsi="Arial" w:cs="Arial"/>
          <w:sz w:val="20"/>
          <w:szCs w:val="20"/>
        </w:rPr>
        <w:t>:</w:t>
      </w:r>
      <w:r w:rsidRPr="00D83239">
        <w:rPr>
          <w:rFonts w:ascii="Arial" w:hAnsi="Arial" w:cs="Arial"/>
          <w:b/>
          <w:sz w:val="20"/>
          <w:szCs w:val="20"/>
        </w:rPr>
        <w:t xml:space="preserve"> </w:t>
      </w:r>
      <w:r w:rsidRPr="00D83239">
        <w:rPr>
          <w:rFonts w:ascii="Arial" w:hAnsi="Arial" w:cs="Arial"/>
          <w:bCs/>
          <w:sz w:val="20"/>
          <w:szCs w:val="20"/>
        </w:rPr>
        <w:t>Izdane službene izk</w:t>
      </w:r>
      <w:r w:rsidR="00773D58">
        <w:rPr>
          <w:rFonts w:ascii="Arial" w:hAnsi="Arial" w:cs="Arial"/>
          <w:bCs/>
          <w:sz w:val="20"/>
          <w:szCs w:val="20"/>
        </w:rPr>
        <w:t>aznice nadzornikom na smučišču</w:t>
      </w:r>
    </w:p>
    <w:p w14:paraId="18848FA7" w14:textId="77777777" w:rsidR="00DB29C1" w:rsidRPr="00D83239" w:rsidRDefault="00DB29C1" w:rsidP="00D83239">
      <w:pPr>
        <w:spacing w:after="0" w:line="276" w:lineRule="auto"/>
        <w:jc w:val="both"/>
        <w:rPr>
          <w:rFonts w:ascii="Arial" w:hAnsi="Arial" w:cs="Arial"/>
          <w:sz w:val="20"/>
          <w:szCs w:val="20"/>
          <w:lang w:eastAsia="sl-SI"/>
        </w:rPr>
      </w:pPr>
    </w:p>
    <w:p w14:paraId="3F2C1729" w14:textId="50EA7DDB" w:rsidR="00CA2F0A" w:rsidRPr="00D83239" w:rsidRDefault="00DB29C1" w:rsidP="00D83239">
      <w:pPr>
        <w:spacing w:after="0" w:line="276" w:lineRule="auto"/>
        <w:jc w:val="both"/>
        <w:rPr>
          <w:rFonts w:ascii="Arial" w:hAnsi="Arial" w:cs="Arial"/>
          <w:sz w:val="20"/>
          <w:szCs w:val="20"/>
          <w:lang w:eastAsia="sl-SI"/>
        </w:rPr>
      </w:pPr>
      <w:r w:rsidRPr="00D83239">
        <w:rPr>
          <w:rFonts w:ascii="Arial" w:hAnsi="Arial" w:cs="Arial"/>
          <w:sz w:val="20"/>
          <w:szCs w:val="20"/>
          <w:lang w:eastAsia="sl-SI"/>
        </w:rPr>
        <w:t xml:space="preserve">Na področju </w:t>
      </w:r>
      <w:r w:rsidRPr="00D83239">
        <w:rPr>
          <w:rFonts w:ascii="Arial" w:hAnsi="Arial" w:cs="Arial"/>
          <w:b/>
          <w:bCs/>
          <w:sz w:val="20"/>
          <w:szCs w:val="20"/>
          <w:lang w:eastAsia="sl-SI"/>
        </w:rPr>
        <w:t>občinskega redarstva</w:t>
      </w:r>
      <w:r w:rsidR="009433E0">
        <w:rPr>
          <w:rFonts w:ascii="Arial" w:hAnsi="Arial" w:cs="Arial"/>
          <w:sz w:val="20"/>
          <w:szCs w:val="20"/>
          <w:lang w:eastAsia="sl-SI"/>
        </w:rPr>
        <w:t xml:space="preserve"> je potekalo</w:t>
      </w:r>
      <w:r w:rsidRPr="00D83239">
        <w:rPr>
          <w:rFonts w:ascii="Arial" w:hAnsi="Arial" w:cs="Arial"/>
          <w:sz w:val="20"/>
          <w:szCs w:val="20"/>
          <w:lang w:eastAsia="sl-SI"/>
        </w:rPr>
        <w:t xml:space="preserve"> sodelovanje v medinstitucionalnih usklajevanjih z drugimi pristojnimi organi in reprezentativnimi združenji. Na podlagi doseženega soglasja vseh vključenih deležnikov je bil sprejet sklep o ustanovitvi delovne skupine, katere naloga je opraviti celovit</w:t>
      </w:r>
      <w:r w:rsidR="00E745B2">
        <w:rPr>
          <w:rFonts w:ascii="Arial" w:hAnsi="Arial" w:cs="Arial"/>
          <w:sz w:val="20"/>
          <w:szCs w:val="20"/>
          <w:lang w:eastAsia="sl-SI"/>
        </w:rPr>
        <w:t>i</w:t>
      </w:r>
      <w:r w:rsidRPr="00D83239">
        <w:rPr>
          <w:rFonts w:ascii="Arial" w:hAnsi="Arial" w:cs="Arial"/>
          <w:sz w:val="20"/>
          <w:szCs w:val="20"/>
          <w:lang w:eastAsia="sl-SI"/>
        </w:rPr>
        <w:t xml:space="preserve"> pregled obstoječega stanja ter pripraviti predloge ukrepov za izboljšanje učinkovitosti in kakovosti dela občinskih redarjev. V nadaljevanju je bila imenovana tudi medresorska delovna skupina za pregled zakonodaje in pooblastil občinskih redarjev s pripravo predlogov ustreznih rešitev za učinkovitejše in kakovostnejše delo občinskih redarjev. V delovno skupino so bili imenovani tudi predstavniki občinskih združenj </w:t>
      </w:r>
      <w:r w:rsidR="00716F34" w:rsidRPr="00D83239">
        <w:rPr>
          <w:rFonts w:ascii="Arial" w:hAnsi="Arial" w:cs="Arial"/>
          <w:sz w:val="20"/>
          <w:szCs w:val="20"/>
          <w:lang w:eastAsia="sl-SI"/>
        </w:rPr>
        <w:t>in reprezentativnega sindikata.</w:t>
      </w:r>
    </w:p>
    <w:p w14:paraId="0EB8E520" w14:textId="1507B43A" w:rsidR="00AC4BD9" w:rsidRPr="008D108C" w:rsidRDefault="00AC4BD9" w:rsidP="00D83239">
      <w:pPr>
        <w:tabs>
          <w:tab w:val="left" w:pos="2520"/>
        </w:tabs>
        <w:spacing w:after="0" w:line="276" w:lineRule="auto"/>
        <w:jc w:val="both"/>
        <w:rPr>
          <w:rFonts w:ascii="Arial" w:hAnsi="Arial" w:cs="Arial"/>
          <w:sz w:val="20"/>
          <w:szCs w:val="20"/>
        </w:rPr>
      </w:pPr>
    </w:p>
    <w:p w14:paraId="7485CB4E" w14:textId="74AF91CD" w:rsidR="00020834" w:rsidRPr="008D108C" w:rsidRDefault="00341FFA" w:rsidP="00D83239">
      <w:pPr>
        <w:pStyle w:val="Naslov2"/>
        <w:spacing w:after="0" w:line="276" w:lineRule="auto"/>
        <w:jc w:val="both"/>
      </w:pPr>
      <w:bookmarkStart w:id="76" w:name="_Toc225499821"/>
      <w:r w:rsidRPr="008D108C">
        <w:t>Varovanje in obravnavanje tajnih podatkov</w:t>
      </w:r>
      <w:bookmarkEnd w:id="76"/>
      <w:r w:rsidRPr="008D108C">
        <w:t xml:space="preserve"> </w:t>
      </w:r>
    </w:p>
    <w:p w14:paraId="465D1585" w14:textId="73DA594F" w:rsidR="00020834" w:rsidRPr="00D83239" w:rsidRDefault="00020834" w:rsidP="00D83239">
      <w:pPr>
        <w:pStyle w:val="Desno"/>
        <w:spacing w:before="0" w:after="0" w:line="276" w:lineRule="auto"/>
        <w:rPr>
          <w:rFonts w:eastAsia="Calibri"/>
          <w:sz w:val="20"/>
          <w:szCs w:val="20"/>
          <w:highlight w:val="yellow"/>
        </w:rPr>
      </w:pPr>
    </w:p>
    <w:p w14:paraId="487D8F08" w14:textId="41D885C8" w:rsidR="00DB29C1" w:rsidRPr="009A0D6A" w:rsidRDefault="00DB29C1" w:rsidP="00D83239">
      <w:pPr>
        <w:pStyle w:val="Desno"/>
        <w:spacing w:before="0" w:after="0" w:line="276" w:lineRule="auto"/>
        <w:rPr>
          <w:b/>
          <w:sz w:val="20"/>
          <w:szCs w:val="20"/>
        </w:rPr>
      </w:pPr>
      <w:r w:rsidRPr="009A0D6A">
        <w:rPr>
          <w:b/>
          <w:sz w:val="20"/>
          <w:szCs w:val="20"/>
        </w:rPr>
        <w:t>Izdajanje dovoljenj za dostop do tajnih podatkov (osebna in industrijska varnost)</w:t>
      </w:r>
    </w:p>
    <w:p w14:paraId="13E50EE2" w14:textId="174564C0" w:rsidR="00DB29C1" w:rsidRPr="00D83239" w:rsidRDefault="00DB29C1" w:rsidP="00D83239">
      <w:pPr>
        <w:spacing w:after="0" w:line="276" w:lineRule="auto"/>
        <w:jc w:val="both"/>
        <w:rPr>
          <w:rFonts w:ascii="Arial" w:hAnsi="Arial" w:cs="Arial"/>
          <w:sz w:val="20"/>
          <w:szCs w:val="20"/>
          <w:lang w:eastAsia="sl-SI"/>
        </w:rPr>
      </w:pPr>
      <w:r w:rsidRPr="009A0D6A">
        <w:rPr>
          <w:rFonts w:ascii="Arial" w:hAnsi="Arial" w:cs="Arial"/>
          <w:sz w:val="20"/>
          <w:szCs w:val="20"/>
          <w:lang w:eastAsia="sl-SI"/>
        </w:rPr>
        <w:t>Na področju obravnav</w:t>
      </w:r>
      <w:r w:rsidR="0052366F" w:rsidRPr="009A0D6A">
        <w:rPr>
          <w:rFonts w:ascii="Arial" w:hAnsi="Arial" w:cs="Arial"/>
          <w:sz w:val="20"/>
          <w:szCs w:val="20"/>
          <w:lang w:eastAsia="sl-SI"/>
        </w:rPr>
        <w:t>e</w:t>
      </w:r>
      <w:r w:rsidRPr="009A0D6A">
        <w:rPr>
          <w:rFonts w:ascii="Arial" w:hAnsi="Arial" w:cs="Arial"/>
          <w:sz w:val="20"/>
          <w:szCs w:val="20"/>
          <w:lang w:eastAsia="sl-SI"/>
        </w:rPr>
        <w:t xml:space="preserve"> novih vlog za izdajo nacionaln</w:t>
      </w:r>
      <w:r w:rsidR="0052366F" w:rsidRPr="009A0D6A">
        <w:rPr>
          <w:rFonts w:ascii="Arial" w:hAnsi="Arial" w:cs="Arial"/>
          <w:sz w:val="20"/>
          <w:szCs w:val="20"/>
          <w:lang w:eastAsia="sl-SI"/>
        </w:rPr>
        <w:t>ega</w:t>
      </w:r>
      <w:r w:rsidRPr="009A0D6A">
        <w:rPr>
          <w:rFonts w:ascii="Arial" w:hAnsi="Arial" w:cs="Arial"/>
          <w:sz w:val="20"/>
          <w:szCs w:val="20"/>
          <w:lang w:eastAsia="sl-SI"/>
        </w:rPr>
        <w:t xml:space="preserve"> dovoljenj</w:t>
      </w:r>
      <w:r w:rsidR="0052366F" w:rsidRPr="009A0D6A">
        <w:rPr>
          <w:rFonts w:ascii="Arial" w:hAnsi="Arial" w:cs="Arial"/>
          <w:sz w:val="20"/>
          <w:szCs w:val="20"/>
          <w:lang w:eastAsia="sl-SI"/>
        </w:rPr>
        <w:t>a</w:t>
      </w:r>
      <w:r w:rsidRPr="009A0D6A">
        <w:rPr>
          <w:rFonts w:ascii="Arial" w:hAnsi="Arial" w:cs="Arial"/>
          <w:sz w:val="20"/>
          <w:szCs w:val="20"/>
          <w:lang w:eastAsia="sl-SI"/>
        </w:rPr>
        <w:t xml:space="preserve"> za dostop do tajnih podatkov, vlog za spremembo osebnega imena, vlog za potrditev veljavnosti, vlog za enkratn</w:t>
      </w:r>
      <w:r w:rsidR="00E745B2" w:rsidRPr="009A0D6A">
        <w:rPr>
          <w:rFonts w:ascii="Arial" w:hAnsi="Arial" w:cs="Arial"/>
          <w:sz w:val="20"/>
          <w:szCs w:val="20"/>
          <w:lang w:eastAsia="sl-SI"/>
        </w:rPr>
        <w:t>i</w:t>
      </w:r>
      <w:r w:rsidRPr="009A0D6A">
        <w:rPr>
          <w:rFonts w:ascii="Arial" w:hAnsi="Arial" w:cs="Arial"/>
          <w:sz w:val="20"/>
          <w:szCs w:val="20"/>
          <w:lang w:eastAsia="sl-SI"/>
        </w:rPr>
        <w:t xml:space="preserve"> dostop, soglasij in vlog za vmesna varnostna preverjanja je bilo v letu 2025 uvedenih 2.757 (4.532)</w:t>
      </w:r>
      <w:r w:rsidRPr="009A0D6A">
        <w:rPr>
          <w:rStyle w:val="Sprotnaopomba-sklic"/>
          <w:rFonts w:ascii="Arial" w:hAnsi="Arial" w:cs="Arial"/>
          <w:sz w:val="20"/>
          <w:szCs w:val="20"/>
          <w:lang w:eastAsia="sl-SI"/>
        </w:rPr>
        <w:footnoteReference w:id="1"/>
      </w:r>
      <w:r w:rsidRPr="009A0D6A">
        <w:rPr>
          <w:rFonts w:ascii="Arial" w:hAnsi="Arial" w:cs="Arial"/>
          <w:sz w:val="20"/>
          <w:szCs w:val="20"/>
          <w:lang w:eastAsia="sl-SI"/>
        </w:rPr>
        <w:t xml:space="preserve"> postopkov varnostnih preverjanj </w:t>
      </w:r>
      <w:r w:rsidRPr="009A0D6A">
        <w:rPr>
          <w:rFonts w:ascii="Arial" w:hAnsi="Arial" w:cs="Arial"/>
          <w:sz w:val="20"/>
          <w:szCs w:val="20"/>
          <w:u w:val="single"/>
          <w:lang w:eastAsia="sl-SI"/>
        </w:rPr>
        <w:t>za fizične osebe</w:t>
      </w:r>
      <w:r w:rsidRPr="009A0D6A">
        <w:rPr>
          <w:rFonts w:ascii="Arial" w:hAnsi="Arial" w:cs="Arial"/>
          <w:sz w:val="20"/>
          <w:szCs w:val="20"/>
          <w:lang w:eastAsia="sl-SI"/>
        </w:rPr>
        <w:t>. Razlog za še vedno visoko število je obdobno izdajanje novih dovoljenj za dostop do tajnih podatkov osebam, k</w:t>
      </w:r>
      <w:r w:rsidR="0052366F" w:rsidRPr="009A0D6A">
        <w:rPr>
          <w:rFonts w:ascii="Arial" w:hAnsi="Arial" w:cs="Arial"/>
          <w:sz w:val="20"/>
          <w:szCs w:val="20"/>
          <w:lang w:eastAsia="sl-SI"/>
        </w:rPr>
        <w:t>aterih</w:t>
      </w:r>
      <w:r w:rsidRPr="009A0D6A">
        <w:rPr>
          <w:rFonts w:ascii="Arial" w:hAnsi="Arial" w:cs="Arial"/>
          <w:sz w:val="20"/>
          <w:szCs w:val="20"/>
          <w:lang w:eastAsia="sl-SI"/>
        </w:rPr>
        <w:t xml:space="preserve"> stara</w:t>
      </w:r>
      <w:r w:rsidR="009433E0" w:rsidRPr="009A0D6A">
        <w:rPr>
          <w:rFonts w:ascii="Arial" w:hAnsi="Arial" w:cs="Arial"/>
          <w:sz w:val="20"/>
          <w:szCs w:val="20"/>
          <w:lang w:eastAsia="sl-SI"/>
        </w:rPr>
        <w:t xml:space="preserve"> dovoljenja </w:t>
      </w:r>
      <w:r w:rsidR="0052366F" w:rsidRPr="009A0D6A">
        <w:rPr>
          <w:rFonts w:ascii="Arial" w:hAnsi="Arial" w:cs="Arial"/>
          <w:sz w:val="20"/>
          <w:szCs w:val="20"/>
          <w:lang w:eastAsia="sl-SI"/>
        </w:rPr>
        <w:t xml:space="preserve">so </w:t>
      </w:r>
      <w:r w:rsidR="009433E0" w:rsidRPr="009A0D6A">
        <w:rPr>
          <w:rFonts w:ascii="Arial" w:hAnsi="Arial" w:cs="Arial"/>
          <w:sz w:val="20"/>
          <w:szCs w:val="20"/>
          <w:lang w:eastAsia="sl-SI"/>
        </w:rPr>
        <w:t>potekla, s čimer se je MNZ s</w:t>
      </w:r>
      <w:r w:rsidR="0052366F" w:rsidRPr="009A0D6A">
        <w:rPr>
          <w:rFonts w:ascii="Arial" w:hAnsi="Arial" w:cs="Arial"/>
          <w:sz w:val="20"/>
          <w:szCs w:val="20"/>
          <w:lang w:eastAsia="sl-SI"/>
        </w:rPr>
        <w:t>poprijem</w:t>
      </w:r>
      <w:r w:rsidR="009433E0" w:rsidRPr="009A0D6A">
        <w:rPr>
          <w:rFonts w:ascii="Arial" w:hAnsi="Arial" w:cs="Arial"/>
          <w:sz w:val="20"/>
          <w:szCs w:val="20"/>
          <w:lang w:eastAsia="sl-SI"/>
        </w:rPr>
        <w:t xml:space="preserve">alo že </w:t>
      </w:r>
      <w:r w:rsidRPr="009A0D6A">
        <w:rPr>
          <w:rFonts w:ascii="Arial" w:hAnsi="Arial" w:cs="Arial"/>
          <w:sz w:val="20"/>
          <w:szCs w:val="20"/>
          <w:lang w:eastAsia="sl-SI"/>
        </w:rPr>
        <w:t>v letu 2024. Postopki so se nanašali na:</w:t>
      </w:r>
    </w:p>
    <w:p w14:paraId="5578B9EF" w14:textId="77777777" w:rsidR="00DB29C1" w:rsidRPr="00D83239" w:rsidRDefault="00DB29C1" w:rsidP="00D83239">
      <w:pPr>
        <w:spacing w:after="0" w:line="276" w:lineRule="auto"/>
        <w:jc w:val="both"/>
        <w:rPr>
          <w:rFonts w:ascii="Arial" w:hAnsi="Arial" w:cs="Arial"/>
          <w:sz w:val="20"/>
          <w:szCs w:val="20"/>
          <w:lang w:eastAsia="sl-SI"/>
        </w:rPr>
      </w:pPr>
    </w:p>
    <w:p w14:paraId="1381EAC1" w14:textId="77777777" w:rsidR="00DB29C1" w:rsidRPr="00D83239" w:rsidRDefault="00DB29C1" w:rsidP="00FE543C">
      <w:pPr>
        <w:pStyle w:val="Odstavekseznama"/>
        <w:numPr>
          <w:ilvl w:val="0"/>
          <w:numId w:val="21"/>
        </w:numPr>
        <w:spacing w:after="0"/>
        <w:jc w:val="both"/>
        <w:rPr>
          <w:rFonts w:ascii="Arial" w:hAnsi="Arial" w:cs="Arial"/>
          <w:sz w:val="20"/>
          <w:szCs w:val="20"/>
        </w:rPr>
      </w:pPr>
      <w:r w:rsidRPr="00D83239">
        <w:rPr>
          <w:rFonts w:ascii="Arial" w:hAnsi="Arial" w:cs="Arial"/>
          <w:sz w:val="20"/>
          <w:szCs w:val="20"/>
        </w:rPr>
        <w:t>54 (114) novih dovoljenj stopnje STROGO TAJNO,</w:t>
      </w:r>
    </w:p>
    <w:p w14:paraId="7A17BB49" w14:textId="77777777" w:rsidR="00DB29C1" w:rsidRPr="00D83239" w:rsidRDefault="00DB29C1" w:rsidP="00FE543C">
      <w:pPr>
        <w:pStyle w:val="Odstavekseznama"/>
        <w:numPr>
          <w:ilvl w:val="0"/>
          <w:numId w:val="21"/>
        </w:numPr>
        <w:spacing w:after="0"/>
        <w:jc w:val="both"/>
        <w:rPr>
          <w:rFonts w:ascii="Arial" w:hAnsi="Arial" w:cs="Arial"/>
          <w:sz w:val="20"/>
          <w:szCs w:val="20"/>
        </w:rPr>
      </w:pPr>
      <w:r w:rsidRPr="00D83239">
        <w:rPr>
          <w:rFonts w:ascii="Arial" w:hAnsi="Arial" w:cs="Arial"/>
          <w:sz w:val="20"/>
          <w:szCs w:val="20"/>
        </w:rPr>
        <w:t>887 (1.051) novih dovoljenj stopnje TAJNO,</w:t>
      </w:r>
    </w:p>
    <w:p w14:paraId="7B78E32A" w14:textId="77777777" w:rsidR="00DB29C1" w:rsidRPr="00D83239" w:rsidRDefault="00DB29C1" w:rsidP="00FE543C">
      <w:pPr>
        <w:pStyle w:val="Odstavekseznama"/>
        <w:numPr>
          <w:ilvl w:val="0"/>
          <w:numId w:val="21"/>
        </w:numPr>
        <w:spacing w:after="0"/>
        <w:jc w:val="both"/>
        <w:rPr>
          <w:rFonts w:ascii="Arial" w:hAnsi="Arial" w:cs="Arial"/>
          <w:sz w:val="20"/>
          <w:szCs w:val="20"/>
        </w:rPr>
      </w:pPr>
      <w:r w:rsidRPr="00D83239">
        <w:rPr>
          <w:rFonts w:ascii="Arial" w:hAnsi="Arial" w:cs="Arial"/>
          <w:sz w:val="20"/>
          <w:szCs w:val="20"/>
        </w:rPr>
        <w:t>1.713 (3.263) novih dovoljenj stopnje ZAUPNO,</w:t>
      </w:r>
    </w:p>
    <w:p w14:paraId="67AFC801" w14:textId="77777777" w:rsidR="00DB29C1" w:rsidRPr="00D83239" w:rsidRDefault="00DB29C1" w:rsidP="00FE543C">
      <w:pPr>
        <w:pStyle w:val="Odstavekseznama"/>
        <w:numPr>
          <w:ilvl w:val="0"/>
          <w:numId w:val="21"/>
        </w:numPr>
        <w:spacing w:after="0"/>
        <w:jc w:val="both"/>
        <w:rPr>
          <w:rFonts w:ascii="Arial" w:hAnsi="Arial" w:cs="Arial"/>
          <w:sz w:val="20"/>
          <w:szCs w:val="20"/>
        </w:rPr>
      </w:pPr>
      <w:r w:rsidRPr="00D83239">
        <w:rPr>
          <w:rFonts w:ascii="Arial" w:hAnsi="Arial" w:cs="Arial"/>
          <w:sz w:val="20"/>
          <w:szCs w:val="20"/>
        </w:rPr>
        <w:t>24 (26) postopkov za spremembo osebnega imena,</w:t>
      </w:r>
    </w:p>
    <w:p w14:paraId="5D98B10B" w14:textId="77777777" w:rsidR="00DB29C1" w:rsidRPr="00D83239" w:rsidRDefault="00DB29C1" w:rsidP="00FE543C">
      <w:pPr>
        <w:pStyle w:val="Odstavekseznama"/>
        <w:numPr>
          <w:ilvl w:val="0"/>
          <w:numId w:val="21"/>
        </w:numPr>
        <w:spacing w:after="0"/>
        <w:jc w:val="both"/>
        <w:rPr>
          <w:rFonts w:ascii="Arial" w:hAnsi="Arial" w:cs="Arial"/>
          <w:sz w:val="20"/>
          <w:szCs w:val="20"/>
        </w:rPr>
      </w:pPr>
      <w:r w:rsidRPr="00D83239">
        <w:rPr>
          <w:rFonts w:ascii="Arial" w:hAnsi="Arial" w:cs="Arial"/>
          <w:sz w:val="20"/>
          <w:szCs w:val="20"/>
        </w:rPr>
        <w:t>32 (11) postopkov potrditve veljavnosti dovoljenja,</w:t>
      </w:r>
    </w:p>
    <w:p w14:paraId="45CCD54D" w14:textId="2893BC81" w:rsidR="00DB29C1" w:rsidRPr="00D83239" w:rsidRDefault="00DB29C1" w:rsidP="00FE543C">
      <w:pPr>
        <w:pStyle w:val="Odstavekseznama"/>
        <w:numPr>
          <w:ilvl w:val="0"/>
          <w:numId w:val="21"/>
        </w:numPr>
        <w:spacing w:after="0"/>
        <w:jc w:val="both"/>
        <w:rPr>
          <w:rFonts w:ascii="Arial" w:hAnsi="Arial" w:cs="Arial"/>
          <w:sz w:val="20"/>
          <w:szCs w:val="20"/>
        </w:rPr>
      </w:pPr>
      <w:r w:rsidRPr="00D83239">
        <w:rPr>
          <w:rFonts w:ascii="Arial" w:hAnsi="Arial" w:cs="Arial"/>
          <w:sz w:val="20"/>
          <w:szCs w:val="20"/>
        </w:rPr>
        <w:t>2 (67) postopkov za enkratn</w:t>
      </w:r>
      <w:r w:rsidR="0052366F">
        <w:rPr>
          <w:rFonts w:ascii="Arial" w:hAnsi="Arial" w:cs="Arial"/>
          <w:sz w:val="20"/>
          <w:szCs w:val="20"/>
        </w:rPr>
        <w:t>i</w:t>
      </w:r>
      <w:r w:rsidRPr="00D83239">
        <w:rPr>
          <w:rFonts w:ascii="Arial" w:hAnsi="Arial" w:cs="Arial"/>
          <w:sz w:val="20"/>
          <w:szCs w:val="20"/>
        </w:rPr>
        <w:t xml:space="preserve"> dostop,</w:t>
      </w:r>
    </w:p>
    <w:p w14:paraId="5E1FD0CC" w14:textId="77777777" w:rsidR="00DB29C1" w:rsidRPr="00D83239" w:rsidRDefault="00DB29C1" w:rsidP="00FE543C">
      <w:pPr>
        <w:pStyle w:val="Odstavekseznama"/>
        <w:numPr>
          <w:ilvl w:val="0"/>
          <w:numId w:val="21"/>
        </w:numPr>
        <w:spacing w:after="0"/>
        <w:jc w:val="both"/>
        <w:rPr>
          <w:rFonts w:ascii="Arial" w:hAnsi="Arial" w:cs="Arial"/>
          <w:sz w:val="20"/>
          <w:szCs w:val="20"/>
        </w:rPr>
      </w:pPr>
      <w:r w:rsidRPr="00D83239">
        <w:rPr>
          <w:rFonts w:ascii="Arial" w:hAnsi="Arial" w:cs="Arial"/>
          <w:sz w:val="20"/>
          <w:szCs w:val="20"/>
        </w:rPr>
        <w:t xml:space="preserve">5 (0) postopkov vmesnega varnostnega preverjanja, </w:t>
      </w:r>
    </w:p>
    <w:p w14:paraId="059A1C8C" w14:textId="77777777" w:rsidR="00DB29C1" w:rsidRPr="00D83239" w:rsidRDefault="00DB29C1" w:rsidP="00FE543C">
      <w:pPr>
        <w:pStyle w:val="Odstavekseznama"/>
        <w:numPr>
          <w:ilvl w:val="0"/>
          <w:numId w:val="21"/>
        </w:numPr>
        <w:spacing w:after="0"/>
        <w:jc w:val="both"/>
        <w:rPr>
          <w:rFonts w:ascii="Arial" w:hAnsi="Arial" w:cs="Arial"/>
          <w:sz w:val="20"/>
          <w:szCs w:val="20"/>
        </w:rPr>
      </w:pPr>
      <w:r w:rsidRPr="00D83239">
        <w:rPr>
          <w:rFonts w:ascii="Arial" w:hAnsi="Arial" w:cs="Arial"/>
          <w:sz w:val="20"/>
          <w:szCs w:val="20"/>
        </w:rPr>
        <w:t xml:space="preserve">40 izdanih soglasij pred izdajo dovoljenj. </w:t>
      </w:r>
    </w:p>
    <w:p w14:paraId="0445D2B2" w14:textId="77777777" w:rsidR="00DB29C1" w:rsidRPr="00D83239" w:rsidRDefault="00DB29C1" w:rsidP="00D83239">
      <w:pPr>
        <w:spacing w:after="0" w:line="276" w:lineRule="auto"/>
        <w:jc w:val="both"/>
        <w:rPr>
          <w:rFonts w:ascii="Arial" w:hAnsi="Arial" w:cs="Arial"/>
          <w:sz w:val="20"/>
          <w:szCs w:val="20"/>
          <w:lang w:eastAsia="sl-SI"/>
        </w:rPr>
      </w:pPr>
    </w:p>
    <w:p w14:paraId="05B0B41C" w14:textId="1AA1CA4F" w:rsidR="00DB29C1" w:rsidRPr="00D83239" w:rsidRDefault="00DB29C1" w:rsidP="00D83239">
      <w:pPr>
        <w:spacing w:after="0" w:line="276" w:lineRule="auto"/>
        <w:jc w:val="both"/>
        <w:rPr>
          <w:rFonts w:ascii="Arial" w:hAnsi="Arial" w:cs="Arial"/>
          <w:sz w:val="20"/>
          <w:szCs w:val="20"/>
          <w:lang w:eastAsia="sl-SI"/>
        </w:rPr>
      </w:pPr>
      <w:r w:rsidRPr="00D83239">
        <w:rPr>
          <w:rFonts w:ascii="Arial" w:hAnsi="Arial" w:cs="Arial"/>
          <w:sz w:val="20"/>
          <w:szCs w:val="20"/>
          <w:lang w:eastAsia="sl-SI"/>
        </w:rPr>
        <w:t>Od 2.757 (4.532) uvedenih postopkov je bilo fizičnim osebam izdanih 2.609 (4.012) novih dovoljenj, odločb in sklepov</w:t>
      </w:r>
      <w:r w:rsidR="00E40FE6">
        <w:rPr>
          <w:rFonts w:ascii="Arial" w:hAnsi="Arial" w:cs="Arial"/>
          <w:sz w:val="20"/>
          <w:szCs w:val="20"/>
          <w:lang w:eastAsia="sl-SI"/>
        </w:rPr>
        <w:t>,</w:t>
      </w:r>
      <w:r w:rsidRPr="00D83239">
        <w:rPr>
          <w:rFonts w:ascii="Arial" w:hAnsi="Arial" w:cs="Arial"/>
          <w:sz w:val="20"/>
          <w:szCs w:val="20"/>
          <w:lang w:eastAsia="sl-SI"/>
        </w:rPr>
        <w:t xml:space="preserve"> dodatno je bilo predhodno pred izdajo novih dovoljenj izdanih še 40 soglasij v skladu </w:t>
      </w:r>
      <w:r w:rsidR="00D14DE4">
        <w:rPr>
          <w:rFonts w:ascii="Arial" w:hAnsi="Arial" w:cs="Arial"/>
          <w:sz w:val="20"/>
          <w:szCs w:val="20"/>
          <w:lang w:eastAsia="sl-SI"/>
        </w:rPr>
        <w:t>s</w:t>
      </w:r>
      <w:r w:rsidR="00D14DE4" w:rsidRPr="00D83239">
        <w:rPr>
          <w:rFonts w:ascii="Arial" w:hAnsi="Arial" w:cs="Arial"/>
          <w:sz w:val="20"/>
          <w:szCs w:val="20"/>
          <w:lang w:eastAsia="sl-SI"/>
        </w:rPr>
        <w:t xml:space="preserve"> </w:t>
      </w:r>
      <w:r w:rsidRPr="00D83239">
        <w:rPr>
          <w:rFonts w:ascii="Arial" w:hAnsi="Arial" w:cs="Arial"/>
          <w:sz w:val="20"/>
          <w:szCs w:val="20"/>
          <w:lang w:eastAsia="sl-SI"/>
        </w:rPr>
        <w:t xml:space="preserve">30. členom Zakona o tajnih podatkih. </w:t>
      </w:r>
      <w:r w:rsidR="004B45F0">
        <w:rPr>
          <w:rFonts w:ascii="Arial" w:hAnsi="Arial" w:cs="Arial"/>
          <w:sz w:val="20"/>
          <w:szCs w:val="20"/>
          <w:lang w:eastAsia="sl-SI"/>
        </w:rPr>
        <w:t>Od</w:t>
      </w:r>
      <w:r w:rsidRPr="00D83239">
        <w:rPr>
          <w:rFonts w:ascii="Arial" w:hAnsi="Arial" w:cs="Arial"/>
          <w:sz w:val="20"/>
          <w:szCs w:val="20"/>
          <w:lang w:eastAsia="sl-SI"/>
        </w:rPr>
        <w:t xml:space="preserve"> tega je bilo 11 (70) postopkov ustavljenih, 10 (1) postopkov je bilo zavrženih</w:t>
      </w:r>
      <w:r w:rsidR="00F914F2">
        <w:rPr>
          <w:rFonts w:ascii="Arial" w:hAnsi="Arial" w:cs="Arial"/>
          <w:sz w:val="20"/>
          <w:szCs w:val="20"/>
          <w:lang w:eastAsia="sl-SI"/>
        </w:rPr>
        <w:t xml:space="preserve">, </w:t>
      </w:r>
      <w:r w:rsidRPr="00D83239">
        <w:rPr>
          <w:rFonts w:ascii="Arial" w:hAnsi="Arial" w:cs="Arial"/>
          <w:sz w:val="20"/>
          <w:szCs w:val="20"/>
          <w:lang w:eastAsia="sl-SI"/>
        </w:rPr>
        <w:t xml:space="preserve">2 (0) postopka </w:t>
      </w:r>
      <w:r w:rsidR="00F914F2">
        <w:rPr>
          <w:rFonts w:ascii="Arial" w:hAnsi="Arial" w:cs="Arial"/>
          <w:sz w:val="20"/>
          <w:szCs w:val="20"/>
          <w:lang w:eastAsia="sl-SI"/>
        </w:rPr>
        <w:t xml:space="preserve">pa </w:t>
      </w:r>
      <w:r w:rsidRPr="00D83239">
        <w:rPr>
          <w:rFonts w:ascii="Arial" w:hAnsi="Arial" w:cs="Arial"/>
          <w:sz w:val="20"/>
          <w:szCs w:val="20"/>
          <w:lang w:eastAsia="sl-SI"/>
        </w:rPr>
        <w:t xml:space="preserve">sta bila zavrnjena. Poleg navedenega je organ izvedel še 39 postopkov pri </w:t>
      </w:r>
      <w:r w:rsidR="00F914F2">
        <w:rPr>
          <w:rFonts w:ascii="Arial" w:hAnsi="Arial" w:cs="Arial"/>
          <w:sz w:val="20"/>
          <w:szCs w:val="20"/>
          <w:lang w:eastAsia="sl-SI"/>
        </w:rPr>
        <w:t xml:space="preserve">Uradu </w:t>
      </w:r>
      <w:r w:rsidR="00E40FE6">
        <w:rPr>
          <w:rFonts w:ascii="Arial" w:hAnsi="Arial" w:cs="Arial"/>
          <w:sz w:val="20"/>
          <w:szCs w:val="20"/>
          <w:lang w:eastAsia="sl-SI"/>
        </w:rPr>
        <w:t>V</w:t>
      </w:r>
      <w:r w:rsidR="00F914F2">
        <w:rPr>
          <w:rFonts w:ascii="Arial" w:hAnsi="Arial" w:cs="Arial"/>
          <w:sz w:val="20"/>
          <w:szCs w:val="20"/>
          <w:lang w:eastAsia="sl-SI"/>
        </w:rPr>
        <w:t xml:space="preserve">lade </w:t>
      </w:r>
      <w:r w:rsidR="00E40FE6">
        <w:rPr>
          <w:rFonts w:ascii="Arial" w:hAnsi="Arial" w:cs="Arial"/>
          <w:sz w:val="20"/>
          <w:szCs w:val="20"/>
          <w:lang w:eastAsia="sl-SI"/>
        </w:rPr>
        <w:t xml:space="preserve">Republike Slovenije </w:t>
      </w:r>
      <w:r w:rsidR="00F914F2">
        <w:rPr>
          <w:rFonts w:ascii="Arial" w:hAnsi="Arial" w:cs="Arial"/>
          <w:sz w:val="20"/>
          <w:szCs w:val="20"/>
          <w:lang w:eastAsia="sl-SI"/>
        </w:rPr>
        <w:t>za varovanje tajnih podatkov</w:t>
      </w:r>
      <w:r w:rsidRPr="00D83239">
        <w:rPr>
          <w:rFonts w:ascii="Arial" w:hAnsi="Arial" w:cs="Arial"/>
          <w:sz w:val="20"/>
          <w:szCs w:val="20"/>
          <w:lang w:eastAsia="sl-SI"/>
        </w:rPr>
        <w:t xml:space="preserve"> </w:t>
      </w:r>
      <w:r w:rsidR="00573FD4">
        <w:rPr>
          <w:rFonts w:ascii="Arial" w:hAnsi="Arial" w:cs="Arial"/>
          <w:sz w:val="20"/>
          <w:szCs w:val="20"/>
          <w:lang w:eastAsia="sl-SI"/>
        </w:rPr>
        <w:t>(</w:t>
      </w:r>
      <w:r w:rsidR="00573FD4" w:rsidRPr="00D83239">
        <w:rPr>
          <w:rFonts w:ascii="Arial" w:eastAsia="Times New Roman" w:hAnsi="Arial" w:cs="Arial"/>
          <w:sz w:val="20"/>
          <w:szCs w:val="20"/>
          <w:lang w:eastAsia="sl-SI"/>
        </w:rPr>
        <w:t>UVTP</w:t>
      </w:r>
      <w:r w:rsidR="00573FD4">
        <w:rPr>
          <w:rFonts w:ascii="Arial" w:eastAsia="Times New Roman" w:hAnsi="Arial" w:cs="Arial"/>
          <w:sz w:val="20"/>
          <w:szCs w:val="20"/>
          <w:lang w:eastAsia="sl-SI"/>
        </w:rPr>
        <w:t xml:space="preserve">) </w:t>
      </w:r>
      <w:r w:rsidRPr="00D83239">
        <w:rPr>
          <w:rFonts w:ascii="Arial" w:hAnsi="Arial" w:cs="Arial"/>
          <w:sz w:val="20"/>
          <w:szCs w:val="20"/>
          <w:lang w:eastAsia="sl-SI"/>
        </w:rPr>
        <w:t>za pridobitev dovoljen</w:t>
      </w:r>
      <w:r w:rsidR="00E40FE6">
        <w:rPr>
          <w:rFonts w:ascii="Arial" w:hAnsi="Arial" w:cs="Arial"/>
          <w:sz w:val="20"/>
          <w:szCs w:val="20"/>
          <w:lang w:eastAsia="sl-SI"/>
        </w:rPr>
        <w:t>ja</w:t>
      </w:r>
      <w:r w:rsidRPr="00D83239">
        <w:rPr>
          <w:rFonts w:ascii="Arial" w:hAnsi="Arial" w:cs="Arial"/>
          <w:sz w:val="20"/>
          <w:szCs w:val="20"/>
          <w:lang w:eastAsia="sl-SI"/>
        </w:rPr>
        <w:t xml:space="preserve"> za dostop do tujih tajnih podatkov (EU in </w:t>
      </w:r>
      <w:r w:rsidR="00B54516">
        <w:rPr>
          <w:rFonts w:ascii="Arial" w:hAnsi="Arial" w:cs="Arial"/>
          <w:sz w:val="20"/>
          <w:szCs w:val="20"/>
          <w:lang w:eastAsia="sl-SI"/>
        </w:rPr>
        <w:t xml:space="preserve">zveze </w:t>
      </w:r>
      <w:r w:rsidRPr="00D83239">
        <w:rPr>
          <w:rFonts w:ascii="Arial" w:hAnsi="Arial" w:cs="Arial"/>
          <w:sz w:val="20"/>
          <w:szCs w:val="20"/>
          <w:lang w:eastAsia="sl-SI"/>
        </w:rPr>
        <w:t>NATO) in 16 postopkov za preklic dovoljenj</w:t>
      </w:r>
      <w:r w:rsidR="00E40FE6">
        <w:rPr>
          <w:rFonts w:ascii="Arial" w:hAnsi="Arial" w:cs="Arial"/>
          <w:sz w:val="20"/>
          <w:szCs w:val="20"/>
          <w:lang w:eastAsia="sl-SI"/>
        </w:rPr>
        <w:t>a</w:t>
      </w:r>
      <w:r w:rsidRPr="00D83239">
        <w:rPr>
          <w:rFonts w:ascii="Arial" w:hAnsi="Arial" w:cs="Arial"/>
          <w:sz w:val="20"/>
          <w:szCs w:val="20"/>
          <w:lang w:eastAsia="sl-SI"/>
        </w:rPr>
        <w:t xml:space="preserve"> za dostop do tujih tajnih podatkov (EU in </w:t>
      </w:r>
      <w:r w:rsidR="00B54516">
        <w:rPr>
          <w:rFonts w:ascii="Arial" w:hAnsi="Arial" w:cs="Arial"/>
          <w:sz w:val="20"/>
          <w:szCs w:val="20"/>
          <w:lang w:eastAsia="sl-SI"/>
        </w:rPr>
        <w:t xml:space="preserve">zveze </w:t>
      </w:r>
      <w:r w:rsidRPr="00D83239">
        <w:rPr>
          <w:rFonts w:ascii="Arial" w:hAnsi="Arial" w:cs="Arial"/>
          <w:sz w:val="20"/>
          <w:szCs w:val="20"/>
          <w:lang w:eastAsia="sl-SI"/>
        </w:rPr>
        <w:t xml:space="preserve">NATO) za zaposlene v </w:t>
      </w:r>
      <w:r w:rsidRPr="008714B1">
        <w:rPr>
          <w:rFonts w:ascii="Arial" w:hAnsi="Arial" w:cs="Arial"/>
          <w:sz w:val="20"/>
          <w:szCs w:val="20"/>
          <w:lang w:eastAsia="sl-SI"/>
        </w:rPr>
        <w:t>MNZ in IRSNZ.</w:t>
      </w:r>
      <w:r w:rsidRPr="00D83239">
        <w:rPr>
          <w:rFonts w:ascii="Arial" w:hAnsi="Arial" w:cs="Arial"/>
          <w:sz w:val="20"/>
          <w:szCs w:val="20"/>
          <w:lang w:eastAsia="sl-SI"/>
        </w:rPr>
        <w:t xml:space="preserve"> Vsi postopki (55)</w:t>
      </w:r>
      <w:r w:rsidR="00F914F2">
        <w:rPr>
          <w:rFonts w:ascii="Arial" w:hAnsi="Arial" w:cs="Arial"/>
          <w:sz w:val="20"/>
          <w:szCs w:val="20"/>
          <w:lang w:eastAsia="sl-SI"/>
        </w:rPr>
        <w:t>,</w:t>
      </w:r>
      <w:r w:rsidRPr="00D83239">
        <w:rPr>
          <w:rFonts w:ascii="Arial" w:hAnsi="Arial" w:cs="Arial"/>
          <w:sz w:val="20"/>
          <w:szCs w:val="20"/>
          <w:lang w:eastAsia="sl-SI"/>
        </w:rPr>
        <w:t xml:space="preserve"> tako za pridobitev dovoljenj</w:t>
      </w:r>
      <w:r w:rsidR="00E40FE6">
        <w:rPr>
          <w:rFonts w:ascii="Arial" w:hAnsi="Arial" w:cs="Arial"/>
          <w:sz w:val="20"/>
          <w:szCs w:val="20"/>
          <w:lang w:eastAsia="sl-SI"/>
        </w:rPr>
        <w:t>a</w:t>
      </w:r>
      <w:r w:rsidRPr="00D83239">
        <w:rPr>
          <w:rFonts w:ascii="Arial" w:hAnsi="Arial" w:cs="Arial"/>
          <w:sz w:val="20"/>
          <w:szCs w:val="20"/>
          <w:lang w:eastAsia="sl-SI"/>
        </w:rPr>
        <w:t xml:space="preserve"> kot za preklic dovoljenj</w:t>
      </w:r>
      <w:r w:rsidR="00E40FE6">
        <w:rPr>
          <w:rFonts w:ascii="Arial" w:hAnsi="Arial" w:cs="Arial"/>
          <w:sz w:val="20"/>
          <w:szCs w:val="20"/>
          <w:lang w:eastAsia="sl-SI"/>
        </w:rPr>
        <w:t>a</w:t>
      </w:r>
      <w:r w:rsidRPr="00D83239">
        <w:rPr>
          <w:rFonts w:ascii="Arial" w:hAnsi="Arial" w:cs="Arial"/>
          <w:sz w:val="20"/>
          <w:szCs w:val="20"/>
          <w:lang w:eastAsia="sl-SI"/>
        </w:rPr>
        <w:t xml:space="preserve"> za dostop do tujih tajnih podatkov (EU in </w:t>
      </w:r>
      <w:r w:rsidR="00B54516">
        <w:rPr>
          <w:rFonts w:ascii="Arial" w:hAnsi="Arial" w:cs="Arial"/>
          <w:sz w:val="20"/>
          <w:szCs w:val="20"/>
          <w:lang w:eastAsia="sl-SI"/>
        </w:rPr>
        <w:t xml:space="preserve">zveze </w:t>
      </w:r>
      <w:r w:rsidRPr="00D83239">
        <w:rPr>
          <w:rFonts w:ascii="Arial" w:hAnsi="Arial" w:cs="Arial"/>
          <w:sz w:val="20"/>
          <w:szCs w:val="20"/>
          <w:lang w:eastAsia="sl-SI"/>
        </w:rPr>
        <w:t>NATO)</w:t>
      </w:r>
      <w:r w:rsidR="00F914F2">
        <w:rPr>
          <w:rFonts w:ascii="Arial" w:hAnsi="Arial" w:cs="Arial"/>
          <w:sz w:val="20"/>
          <w:szCs w:val="20"/>
          <w:lang w:eastAsia="sl-SI"/>
        </w:rPr>
        <w:t>,</w:t>
      </w:r>
      <w:r w:rsidRPr="00D83239">
        <w:rPr>
          <w:rFonts w:ascii="Arial" w:hAnsi="Arial" w:cs="Arial"/>
          <w:sz w:val="20"/>
          <w:szCs w:val="20"/>
          <w:lang w:eastAsia="sl-SI"/>
        </w:rPr>
        <w:t xml:space="preserve"> so bili uspešno </w:t>
      </w:r>
      <w:r w:rsidR="00E40FE6">
        <w:rPr>
          <w:rFonts w:ascii="Arial" w:hAnsi="Arial" w:cs="Arial"/>
          <w:sz w:val="20"/>
          <w:szCs w:val="20"/>
          <w:lang w:eastAsia="sl-SI"/>
        </w:rPr>
        <w:t>izvede</w:t>
      </w:r>
      <w:r w:rsidRPr="00D83239">
        <w:rPr>
          <w:rFonts w:ascii="Arial" w:hAnsi="Arial" w:cs="Arial"/>
          <w:sz w:val="20"/>
          <w:szCs w:val="20"/>
          <w:lang w:eastAsia="sl-SI"/>
        </w:rPr>
        <w:t>ni v letu 2025. 108 postopkov na področju osebne varnosti</w:t>
      </w:r>
      <w:r w:rsidR="00F914F2">
        <w:rPr>
          <w:rFonts w:ascii="Arial" w:hAnsi="Arial" w:cs="Arial"/>
          <w:sz w:val="20"/>
          <w:szCs w:val="20"/>
          <w:lang w:eastAsia="sl-SI"/>
        </w:rPr>
        <w:t>,</w:t>
      </w:r>
      <w:r w:rsidRPr="00D83239">
        <w:rPr>
          <w:rFonts w:ascii="Arial" w:hAnsi="Arial" w:cs="Arial"/>
          <w:sz w:val="20"/>
          <w:szCs w:val="20"/>
          <w:lang w:eastAsia="sl-SI"/>
        </w:rPr>
        <w:t xml:space="preserve"> vezanih na varnostna preverjanja za izdajo dovoljenj osebam za dostop do nacionalnih tajnih podatkov, pa je bilo konec leta 2025 še v reševanju.</w:t>
      </w:r>
    </w:p>
    <w:p w14:paraId="66FA478C" w14:textId="77777777" w:rsidR="00DB29C1" w:rsidRPr="00D83239" w:rsidRDefault="00DB29C1" w:rsidP="00D83239">
      <w:pPr>
        <w:tabs>
          <w:tab w:val="left" w:pos="2520"/>
        </w:tabs>
        <w:spacing w:after="0" w:line="276" w:lineRule="auto"/>
        <w:jc w:val="both"/>
        <w:rPr>
          <w:rFonts w:ascii="Arial" w:hAnsi="Arial" w:cs="Arial"/>
          <w:sz w:val="20"/>
          <w:szCs w:val="20"/>
          <w:highlight w:val="yellow"/>
        </w:rPr>
      </w:pP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9"/>
        <w:gridCol w:w="641"/>
        <w:gridCol w:w="641"/>
        <w:gridCol w:w="643"/>
        <w:gridCol w:w="641"/>
        <w:gridCol w:w="661"/>
        <w:gridCol w:w="641"/>
        <w:gridCol w:w="645"/>
      </w:tblGrid>
      <w:tr w:rsidR="00DB29C1" w:rsidRPr="00D83239" w14:paraId="772AABAA" w14:textId="77777777" w:rsidTr="00773D58">
        <w:trPr>
          <w:trHeight w:val="420"/>
          <w:jc w:val="center"/>
        </w:trPr>
        <w:tc>
          <w:tcPr>
            <w:tcW w:w="4519" w:type="dxa"/>
            <w:shd w:val="clear" w:color="auto" w:fill="E6E6E6"/>
            <w:noWrap/>
            <w:vAlign w:val="center"/>
          </w:tcPr>
          <w:p w14:paraId="2A97BA99" w14:textId="77777777" w:rsidR="00DB29C1" w:rsidRPr="00D83239" w:rsidRDefault="00DB29C1" w:rsidP="00D83239">
            <w:pPr>
              <w:spacing w:before="80" w:after="80" w:line="276" w:lineRule="auto"/>
              <w:jc w:val="both"/>
              <w:rPr>
                <w:rFonts w:ascii="Arial" w:hAnsi="Arial" w:cs="Arial"/>
                <w:b/>
                <w:sz w:val="20"/>
                <w:szCs w:val="20"/>
              </w:rPr>
            </w:pPr>
            <w:r w:rsidRPr="00D83239">
              <w:rPr>
                <w:rFonts w:ascii="Arial" w:hAnsi="Arial" w:cs="Arial"/>
                <w:b/>
                <w:sz w:val="20"/>
                <w:szCs w:val="20"/>
              </w:rPr>
              <w:t>Leto</w:t>
            </w:r>
          </w:p>
        </w:tc>
        <w:tc>
          <w:tcPr>
            <w:tcW w:w="641" w:type="dxa"/>
            <w:shd w:val="clear" w:color="auto" w:fill="E6E6E6"/>
            <w:vAlign w:val="center"/>
          </w:tcPr>
          <w:p w14:paraId="19DE5946"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2019</w:t>
            </w:r>
          </w:p>
        </w:tc>
        <w:tc>
          <w:tcPr>
            <w:tcW w:w="641" w:type="dxa"/>
            <w:shd w:val="clear" w:color="auto" w:fill="E6E6E6"/>
            <w:vAlign w:val="center"/>
          </w:tcPr>
          <w:p w14:paraId="0213962B"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2020</w:t>
            </w:r>
          </w:p>
        </w:tc>
        <w:tc>
          <w:tcPr>
            <w:tcW w:w="643" w:type="dxa"/>
            <w:shd w:val="clear" w:color="auto" w:fill="E6E6E6"/>
            <w:vAlign w:val="center"/>
          </w:tcPr>
          <w:p w14:paraId="4474AAE4"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2021</w:t>
            </w:r>
          </w:p>
        </w:tc>
        <w:tc>
          <w:tcPr>
            <w:tcW w:w="641" w:type="dxa"/>
            <w:shd w:val="clear" w:color="auto" w:fill="E6E6E6"/>
            <w:vAlign w:val="center"/>
          </w:tcPr>
          <w:p w14:paraId="4ACCBA4E"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2022</w:t>
            </w:r>
          </w:p>
        </w:tc>
        <w:tc>
          <w:tcPr>
            <w:tcW w:w="661" w:type="dxa"/>
            <w:shd w:val="clear" w:color="auto" w:fill="E6E6E6"/>
            <w:vAlign w:val="center"/>
          </w:tcPr>
          <w:p w14:paraId="2B142C23"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2023</w:t>
            </w:r>
          </w:p>
        </w:tc>
        <w:tc>
          <w:tcPr>
            <w:tcW w:w="641" w:type="dxa"/>
            <w:shd w:val="clear" w:color="auto" w:fill="E6E6E6"/>
            <w:vAlign w:val="center"/>
          </w:tcPr>
          <w:p w14:paraId="3FEE0079"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2024</w:t>
            </w:r>
          </w:p>
        </w:tc>
        <w:tc>
          <w:tcPr>
            <w:tcW w:w="645" w:type="dxa"/>
            <w:shd w:val="clear" w:color="auto" w:fill="E6E6E6"/>
            <w:vAlign w:val="center"/>
          </w:tcPr>
          <w:p w14:paraId="2894FFEB"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2025</w:t>
            </w:r>
          </w:p>
        </w:tc>
      </w:tr>
      <w:tr w:rsidR="00DB29C1" w:rsidRPr="00D83239" w14:paraId="2FA12110" w14:textId="77777777" w:rsidTr="00773D58">
        <w:trPr>
          <w:trHeight w:val="420"/>
          <w:jc w:val="center"/>
        </w:trPr>
        <w:tc>
          <w:tcPr>
            <w:tcW w:w="4519" w:type="dxa"/>
            <w:noWrap/>
            <w:vAlign w:val="center"/>
          </w:tcPr>
          <w:p w14:paraId="3B089C08" w14:textId="77777777"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Predlogi za izdajo dovoljenja</w:t>
            </w:r>
          </w:p>
        </w:tc>
        <w:tc>
          <w:tcPr>
            <w:tcW w:w="641" w:type="dxa"/>
            <w:vAlign w:val="center"/>
          </w:tcPr>
          <w:p w14:paraId="5456C1B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2.019</w:t>
            </w:r>
          </w:p>
        </w:tc>
        <w:tc>
          <w:tcPr>
            <w:tcW w:w="641" w:type="dxa"/>
            <w:vAlign w:val="center"/>
          </w:tcPr>
          <w:p w14:paraId="1F53398B"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1.608</w:t>
            </w:r>
          </w:p>
        </w:tc>
        <w:tc>
          <w:tcPr>
            <w:tcW w:w="643" w:type="dxa"/>
            <w:vAlign w:val="center"/>
          </w:tcPr>
          <w:p w14:paraId="56D340B8"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1.671</w:t>
            </w:r>
          </w:p>
        </w:tc>
        <w:tc>
          <w:tcPr>
            <w:tcW w:w="641" w:type="dxa"/>
            <w:vAlign w:val="center"/>
          </w:tcPr>
          <w:p w14:paraId="0166A7AB"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1.414</w:t>
            </w:r>
          </w:p>
        </w:tc>
        <w:tc>
          <w:tcPr>
            <w:tcW w:w="661" w:type="dxa"/>
            <w:vAlign w:val="center"/>
          </w:tcPr>
          <w:p w14:paraId="5A3AEFE9"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1.816</w:t>
            </w:r>
          </w:p>
        </w:tc>
        <w:tc>
          <w:tcPr>
            <w:tcW w:w="641" w:type="dxa"/>
            <w:vAlign w:val="center"/>
          </w:tcPr>
          <w:p w14:paraId="22129E9B" w14:textId="77777777" w:rsidR="00DB29C1" w:rsidRPr="00D83239" w:rsidDel="00622477"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4.532</w:t>
            </w:r>
          </w:p>
        </w:tc>
        <w:tc>
          <w:tcPr>
            <w:tcW w:w="645" w:type="dxa"/>
            <w:vAlign w:val="center"/>
          </w:tcPr>
          <w:p w14:paraId="3F5B60E6"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2.757</w:t>
            </w:r>
          </w:p>
        </w:tc>
      </w:tr>
      <w:tr w:rsidR="00DB29C1" w:rsidRPr="00D83239" w14:paraId="44124B6E" w14:textId="77777777" w:rsidTr="00773D58">
        <w:trPr>
          <w:trHeight w:val="420"/>
          <w:jc w:val="center"/>
        </w:trPr>
        <w:tc>
          <w:tcPr>
            <w:tcW w:w="4519" w:type="dxa"/>
            <w:shd w:val="clear" w:color="auto" w:fill="E6E6E6"/>
            <w:vAlign w:val="center"/>
          </w:tcPr>
          <w:p w14:paraId="537E1D8E" w14:textId="77777777" w:rsidR="00DB29C1" w:rsidRPr="00D83239" w:rsidRDefault="00DB29C1" w:rsidP="00773D58">
            <w:pPr>
              <w:spacing w:before="80" w:after="80" w:line="276" w:lineRule="auto"/>
              <w:rPr>
                <w:rFonts w:ascii="Arial" w:hAnsi="Arial" w:cs="Arial"/>
                <w:bCs/>
                <w:sz w:val="20"/>
                <w:szCs w:val="20"/>
              </w:rPr>
            </w:pPr>
            <w:r w:rsidRPr="00D83239">
              <w:rPr>
                <w:rFonts w:ascii="Arial" w:hAnsi="Arial" w:cs="Arial"/>
                <w:bCs/>
                <w:sz w:val="20"/>
                <w:szCs w:val="20"/>
              </w:rPr>
              <w:t>Izdana dovoljenja – skupaj</w:t>
            </w:r>
          </w:p>
        </w:tc>
        <w:tc>
          <w:tcPr>
            <w:tcW w:w="641" w:type="dxa"/>
            <w:shd w:val="clear" w:color="auto" w:fill="E6E6E6"/>
            <w:vAlign w:val="center"/>
          </w:tcPr>
          <w:p w14:paraId="2840BA03"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2.010</w:t>
            </w:r>
          </w:p>
        </w:tc>
        <w:tc>
          <w:tcPr>
            <w:tcW w:w="641" w:type="dxa"/>
            <w:shd w:val="clear" w:color="auto" w:fill="E6E6E6"/>
            <w:vAlign w:val="center"/>
          </w:tcPr>
          <w:p w14:paraId="562CCE5E"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1.561</w:t>
            </w:r>
          </w:p>
        </w:tc>
        <w:tc>
          <w:tcPr>
            <w:tcW w:w="643" w:type="dxa"/>
            <w:shd w:val="clear" w:color="auto" w:fill="E6E6E6"/>
            <w:vAlign w:val="center"/>
          </w:tcPr>
          <w:p w14:paraId="0FF5DEB8"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1.368</w:t>
            </w:r>
          </w:p>
        </w:tc>
        <w:tc>
          <w:tcPr>
            <w:tcW w:w="641" w:type="dxa"/>
            <w:shd w:val="clear" w:color="auto" w:fill="E6E6E6"/>
            <w:vAlign w:val="center"/>
          </w:tcPr>
          <w:p w14:paraId="666DE1E7"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1.252</w:t>
            </w:r>
          </w:p>
        </w:tc>
        <w:tc>
          <w:tcPr>
            <w:tcW w:w="661" w:type="dxa"/>
            <w:shd w:val="clear" w:color="auto" w:fill="E6E6E6"/>
            <w:vAlign w:val="center"/>
          </w:tcPr>
          <w:p w14:paraId="20804970"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1.580</w:t>
            </w:r>
          </w:p>
        </w:tc>
        <w:tc>
          <w:tcPr>
            <w:tcW w:w="641" w:type="dxa"/>
            <w:shd w:val="clear" w:color="auto" w:fill="E6E6E6"/>
            <w:vAlign w:val="center"/>
          </w:tcPr>
          <w:p w14:paraId="748E2474" w14:textId="77777777" w:rsidR="00DB29C1" w:rsidRPr="00D83239" w:rsidDel="00622477"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4.012</w:t>
            </w:r>
          </w:p>
        </w:tc>
        <w:tc>
          <w:tcPr>
            <w:tcW w:w="645" w:type="dxa"/>
            <w:shd w:val="clear" w:color="auto" w:fill="E6E6E6"/>
            <w:vAlign w:val="center"/>
          </w:tcPr>
          <w:p w14:paraId="0C195D05"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2.609</w:t>
            </w:r>
          </w:p>
        </w:tc>
      </w:tr>
      <w:tr w:rsidR="00DB29C1" w:rsidRPr="00D83239" w14:paraId="7B010F5E" w14:textId="77777777" w:rsidTr="00773D58">
        <w:trPr>
          <w:trHeight w:val="420"/>
          <w:jc w:val="center"/>
        </w:trPr>
        <w:tc>
          <w:tcPr>
            <w:tcW w:w="4519" w:type="dxa"/>
            <w:shd w:val="clear" w:color="auto" w:fill="FFFFFF"/>
            <w:vAlign w:val="center"/>
          </w:tcPr>
          <w:p w14:paraId="0CE480CC" w14:textId="77777777"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Strogo tajno</w:t>
            </w:r>
          </w:p>
        </w:tc>
        <w:tc>
          <w:tcPr>
            <w:tcW w:w="641" w:type="dxa"/>
            <w:shd w:val="clear" w:color="auto" w:fill="FFFFFF"/>
            <w:vAlign w:val="center"/>
          </w:tcPr>
          <w:p w14:paraId="352DD0A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93</w:t>
            </w:r>
          </w:p>
        </w:tc>
        <w:tc>
          <w:tcPr>
            <w:tcW w:w="641" w:type="dxa"/>
            <w:shd w:val="clear" w:color="auto" w:fill="FFFFFF"/>
            <w:vAlign w:val="center"/>
          </w:tcPr>
          <w:p w14:paraId="39AB4A0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79</w:t>
            </w:r>
          </w:p>
        </w:tc>
        <w:tc>
          <w:tcPr>
            <w:tcW w:w="643" w:type="dxa"/>
            <w:shd w:val="clear" w:color="auto" w:fill="FFFFFF"/>
            <w:vAlign w:val="center"/>
          </w:tcPr>
          <w:p w14:paraId="7B43A57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100</w:t>
            </w:r>
          </w:p>
        </w:tc>
        <w:tc>
          <w:tcPr>
            <w:tcW w:w="641" w:type="dxa"/>
            <w:shd w:val="clear" w:color="auto" w:fill="FFFFFF"/>
            <w:vAlign w:val="center"/>
          </w:tcPr>
          <w:p w14:paraId="6D2FA58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76</w:t>
            </w:r>
          </w:p>
        </w:tc>
        <w:tc>
          <w:tcPr>
            <w:tcW w:w="661" w:type="dxa"/>
            <w:shd w:val="clear" w:color="auto" w:fill="FFFFFF"/>
            <w:vAlign w:val="center"/>
          </w:tcPr>
          <w:p w14:paraId="57EE7AC5"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92</w:t>
            </w:r>
          </w:p>
        </w:tc>
        <w:tc>
          <w:tcPr>
            <w:tcW w:w="641" w:type="dxa"/>
            <w:shd w:val="clear" w:color="auto" w:fill="FFFFFF"/>
            <w:vAlign w:val="center"/>
          </w:tcPr>
          <w:p w14:paraId="72E8B71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114</w:t>
            </w:r>
          </w:p>
        </w:tc>
        <w:tc>
          <w:tcPr>
            <w:tcW w:w="645" w:type="dxa"/>
            <w:shd w:val="clear" w:color="auto" w:fill="FFFFFF"/>
            <w:vAlign w:val="center"/>
          </w:tcPr>
          <w:p w14:paraId="64C52A9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54</w:t>
            </w:r>
          </w:p>
        </w:tc>
      </w:tr>
      <w:tr w:rsidR="00DB29C1" w:rsidRPr="00D83239" w14:paraId="0D7FD6A7" w14:textId="77777777" w:rsidTr="00773D58">
        <w:trPr>
          <w:trHeight w:val="420"/>
          <w:jc w:val="center"/>
        </w:trPr>
        <w:tc>
          <w:tcPr>
            <w:tcW w:w="4519" w:type="dxa"/>
            <w:shd w:val="clear" w:color="auto" w:fill="FFFFFF"/>
            <w:vAlign w:val="center"/>
          </w:tcPr>
          <w:p w14:paraId="72B781C8" w14:textId="77777777"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Tajno</w:t>
            </w:r>
          </w:p>
        </w:tc>
        <w:tc>
          <w:tcPr>
            <w:tcW w:w="641" w:type="dxa"/>
            <w:shd w:val="clear" w:color="auto" w:fill="FFFFFF"/>
            <w:vAlign w:val="center"/>
          </w:tcPr>
          <w:p w14:paraId="04FAC095"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881</w:t>
            </w:r>
          </w:p>
        </w:tc>
        <w:tc>
          <w:tcPr>
            <w:tcW w:w="641" w:type="dxa"/>
            <w:shd w:val="clear" w:color="auto" w:fill="FFFFFF"/>
            <w:vAlign w:val="center"/>
          </w:tcPr>
          <w:p w14:paraId="22BACF6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708</w:t>
            </w:r>
          </w:p>
        </w:tc>
        <w:tc>
          <w:tcPr>
            <w:tcW w:w="643" w:type="dxa"/>
            <w:shd w:val="clear" w:color="auto" w:fill="FFFFFF"/>
            <w:vAlign w:val="center"/>
          </w:tcPr>
          <w:p w14:paraId="73B34987"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754</w:t>
            </w:r>
          </w:p>
        </w:tc>
        <w:tc>
          <w:tcPr>
            <w:tcW w:w="641" w:type="dxa"/>
            <w:shd w:val="clear" w:color="auto" w:fill="FFFFFF"/>
            <w:vAlign w:val="center"/>
          </w:tcPr>
          <w:p w14:paraId="4018B934"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769</w:t>
            </w:r>
          </w:p>
        </w:tc>
        <w:tc>
          <w:tcPr>
            <w:tcW w:w="661" w:type="dxa"/>
            <w:shd w:val="clear" w:color="auto" w:fill="FFFFFF"/>
            <w:vAlign w:val="center"/>
          </w:tcPr>
          <w:p w14:paraId="0F85CECB"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782</w:t>
            </w:r>
          </w:p>
        </w:tc>
        <w:tc>
          <w:tcPr>
            <w:tcW w:w="641" w:type="dxa"/>
            <w:shd w:val="clear" w:color="auto" w:fill="FFFFFF"/>
            <w:vAlign w:val="center"/>
          </w:tcPr>
          <w:p w14:paraId="1B5AFF7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1.051</w:t>
            </w:r>
          </w:p>
        </w:tc>
        <w:tc>
          <w:tcPr>
            <w:tcW w:w="645" w:type="dxa"/>
            <w:shd w:val="clear" w:color="auto" w:fill="FFFFFF"/>
            <w:vAlign w:val="center"/>
          </w:tcPr>
          <w:p w14:paraId="0D082BA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887</w:t>
            </w:r>
          </w:p>
        </w:tc>
      </w:tr>
      <w:tr w:rsidR="00DB29C1" w:rsidRPr="00D83239" w14:paraId="72010441" w14:textId="77777777" w:rsidTr="00773D58">
        <w:trPr>
          <w:trHeight w:val="420"/>
          <w:jc w:val="center"/>
        </w:trPr>
        <w:tc>
          <w:tcPr>
            <w:tcW w:w="4519" w:type="dxa"/>
            <w:shd w:val="clear" w:color="auto" w:fill="FFFFFF"/>
            <w:vAlign w:val="center"/>
          </w:tcPr>
          <w:p w14:paraId="7C5A797D" w14:textId="77777777"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Zaupno</w:t>
            </w:r>
          </w:p>
        </w:tc>
        <w:tc>
          <w:tcPr>
            <w:tcW w:w="641" w:type="dxa"/>
            <w:shd w:val="clear" w:color="auto" w:fill="FFFFFF"/>
            <w:vAlign w:val="center"/>
          </w:tcPr>
          <w:p w14:paraId="35F3B2C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949</w:t>
            </w:r>
          </w:p>
        </w:tc>
        <w:tc>
          <w:tcPr>
            <w:tcW w:w="641" w:type="dxa"/>
            <w:shd w:val="clear" w:color="auto" w:fill="FFFFFF"/>
            <w:vAlign w:val="center"/>
          </w:tcPr>
          <w:p w14:paraId="611EA4F4"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774</w:t>
            </w:r>
          </w:p>
        </w:tc>
        <w:tc>
          <w:tcPr>
            <w:tcW w:w="643" w:type="dxa"/>
            <w:shd w:val="clear" w:color="auto" w:fill="FFFFFF"/>
            <w:vAlign w:val="center"/>
          </w:tcPr>
          <w:p w14:paraId="6FAB1FF8"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700</w:t>
            </w:r>
          </w:p>
        </w:tc>
        <w:tc>
          <w:tcPr>
            <w:tcW w:w="641" w:type="dxa"/>
            <w:shd w:val="clear" w:color="auto" w:fill="FFFFFF"/>
            <w:vAlign w:val="center"/>
          </w:tcPr>
          <w:p w14:paraId="12F66C8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491</w:t>
            </w:r>
          </w:p>
        </w:tc>
        <w:tc>
          <w:tcPr>
            <w:tcW w:w="661" w:type="dxa"/>
            <w:shd w:val="clear" w:color="auto" w:fill="FFFFFF"/>
            <w:vAlign w:val="center"/>
          </w:tcPr>
          <w:p w14:paraId="12AF0FA7"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851</w:t>
            </w:r>
          </w:p>
        </w:tc>
        <w:tc>
          <w:tcPr>
            <w:tcW w:w="641" w:type="dxa"/>
            <w:shd w:val="clear" w:color="auto" w:fill="FFFFFF"/>
            <w:vAlign w:val="center"/>
          </w:tcPr>
          <w:p w14:paraId="60F83682"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3.263</w:t>
            </w:r>
          </w:p>
        </w:tc>
        <w:tc>
          <w:tcPr>
            <w:tcW w:w="645" w:type="dxa"/>
            <w:shd w:val="clear" w:color="auto" w:fill="FFFFFF"/>
            <w:vAlign w:val="center"/>
          </w:tcPr>
          <w:p w14:paraId="2D5005F3"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1.713</w:t>
            </w:r>
          </w:p>
        </w:tc>
      </w:tr>
      <w:tr w:rsidR="00DB29C1" w:rsidRPr="00D83239" w14:paraId="30DA6A48" w14:textId="77777777" w:rsidTr="00773D58">
        <w:trPr>
          <w:trHeight w:val="420"/>
          <w:jc w:val="center"/>
        </w:trPr>
        <w:tc>
          <w:tcPr>
            <w:tcW w:w="4519" w:type="dxa"/>
            <w:shd w:val="clear" w:color="auto" w:fill="FFFFFF"/>
            <w:vAlign w:val="center"/>
          </w:tcPr>
          <w:p w14:paraId="2C0D2EAC" w14:textId="77777777"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Zavrnitev izdaje dovoljenja</w:t>
            </w:r>
          </w:p>
        </w:tc>
        <w:tc>
          <w:tcPr>
            <w:tcW w:w="641" w:type="dxa"/>
            <w:shd w:val="clear" w:color="auto" w:fill="FFFFFF"/>
            <w:vAlign w:val="center"/>
          </w:tcPr>
          <w:p w14:paraId="10C4361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1" w:type="dxa"/>
            <w:shd w:val="clear" w:color="auto" w:fill="FFFFFF"/>
            <w:vAlign w:val="center"/>
          </w:tcPr>
          <w:p w14:paraId="525C776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w:t>
            </w:r>
          </w:p>
        </w:tc>
        <w:tc>
          <w:tcPr>
            <w:tcW w:w="643" w:type="dxa"/>
            <w:shd w:val="clear" w:color="auto" w:fill="FFFFFF"/>
            <w:vAlign w:val="center"/>
          </w:tcPr>
          <w:p w14:paraId="405EBE0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w:t>
            </w:r>
          </w:p>
        </w:tc>
        <w:tc>
          <w:tcPr>
            <w:tcW w:w="641" w:type="dxa"/>
            <w:shd w:val="clear" w:color="auto" w:fill="FFFFFF"/>
            <w:vAlign w:val="center"/>
          </w:tcPr>
          <w:p w14:paraId="0DAE0C0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w:t>
            </w:r>
          </w:p>
        </w:tc>
        <w:tc>
          <w:tcPr>
            <w:tcW w:w="661" w:type="dxa"/>
            <w:shd w:val="clear" w:color="auto" w:fill="FFFFFF"/>
            <w:vAlign w:val="center"/>
          </w:tcPr>
          <w:p w14:paraId="69106CC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1" w:type="dxa"/>
            <w:shd w:val="clear" w:color="auto" w:fill="FFFFFF"/>
            <w:vAlign w:val="center"/>
          </w:tcPr>
          <w:p w14:paraId="362A7213"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5" w:type="dxa"/>
            <w:shd w:val="clear" w:color="auto" w:fill="FFFFFF"/>
            <w:vAlign w:val="center"/>
          </w:tcPr>
          <w:p w14:paraId="156723F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w:t>
            </w:r>
          </w:p>
        </w:tc>
      </w:tr>
      <w:tr w:rsidR="00DB29C1" w:rsidRPr="00D83239" w14:paraId="1A47CF5C" w14:textId="77777777" w:rsidTr="00773D58">
        <w:trPr>
          <w:trHeight w:val="420"/>
          <w:jc w:val="center"/>
        </w:trPr>
        <w:tc>
          <w:tcPr>
            <w:tcW w:w="4519" w:type="dxa"/>
            <w:shd w:val="clear" w:color="auto" w:fill="FFFFFF"/>
            <w:vAlign w:val="center"/>
          </w:tcPr>
          <w:p w14:paraId="462C198F" w14:textId="77777777"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Zavrženi predlogi</w:t>
            </w:r>
          </w:p>
        </w:tc>
        <w:tc>
          <w:tcPr>
            <w:tcW w:w="641" w:type="dxa"/>
            <w:shd w:val="clear" w:color="auto" w:fill="FFFFFF"/>
            <w:vAlign w:val="center"/>
          </w:tcPr>
          <w:p w14:paraId="24DD4EC7"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17</w:t>
            </w:r>
          </w:p>
        </w:tc>
        <w:tc>
          <w:tcPr>
            <w:tcW w:w="641" w:type="dxa"/>
            <w:shd w:val="clear" w:color="auto" w:fill="FFFFFF"/>
            <w:vAlign w:val="center"/>
          </w:tcPr>
          <w:p w14:paraId="5923FB3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w:t>
            </w:r>
          </w:p>
        </w:tc>
        <w:tc>
          <w:tcPr>
            <w:tcW w:w="643" w:type="dxa"/>
            <w:shd w:val="clear" w:color="auto" w:fill="FFFFFF"/>
            <w:vAlign w:val="center"/>
          </w:tcPr>
          <w:p w14:paraId="546A2FE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3</w:t>
            </w:r>
          </w:p>
        </w:tc>
        <w:tc>
          <w:tcPr>
            <w:tcW w:w="641" w:type="dxa"/>
            <w:shd w:val="clear" w:color="auto" w:fill="FFFFFF"/>
            <w:vAlign w:val="center"/>
          </w:tcPr>
          <w:p w14:paraId="08BD45A2"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6</w:t>
            </w:r>
          </w:p>
        </w:tc>
        <w:tc>
          <w:tcPr>
            <w:tcW w:w="661" w:type="dxa"/>
            <w:shd w:val="clear" w:color="auto" w:fill="FFFFFF"/>
            <w:vAlign w:val="center"/>
          </w:tcPr>
          <w:p w14:paraId="6025039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12</w:t>
            </w:r>
          </w:p>
        </w:tc>
        <w:tc>
          <w:tcPr>
            <w:tcW w:w="641" w:type="dxa"/>
            <w:shd w:val="clear" w:color="auto" w:fill="FFFFFF"/>
            <w:vAlign w:val="center"/>
          </w:tcPr>
          <w:p w14:paraId="07085483"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11</w:t>
            </w:r>
          </w:p>
        </w:tc>
        <w:tc>
          <w:tcPr>
            <w:tcW w:w="645" w:type="dxa"/>
            <w:shd w:val="clear" w:color="auto" w:fill="FFFFFF"/>
            <w:vAlign w:val="center"/>
          </w:tcPr>
          <w:p w14:paraId="659EDB1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10</w:t>
            </w:r>
          </w:p>
        </w:tc>
      </w:tr>
      <w:tr w:rsidR="00DB29C1" w:rsidRPr="00D83239" w14:paraId="725209EF" w14:textId="77777777" w:rsidTr="00773D58">
        <w:trPr>
          <w:trHeight w:val="420"/>
          <w:jc w:val="center"/>
        </w:trPr>
        <w:tc>
          <w:tcPr>
            <w:tcW w:w="4519" w:type="dxa"/>
            <w:shd w:val="clear" w:color="auto" w:fill="FFFFFF"/>
            <w:vAlign w:val="center"/>
          </w:tcPr>
          <w:p w14:paraId="4FEAB345" w14:textId="77777777"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Tožba na zavrnilno odločbo</w:t>
            </w:r>
          </w:p>
        </w:tc>
        <w:tc>
          <w:tcPr>
            <w:tcW w:w="641" w:type="dxa"/>
            <w:shd w:val="clear" w:color="auto" w:fill="FFFFFF"/>
            <w:vAlign w:val="center"/>
          </w:tcPr>
          <w:p w14:paraId="79EC3667"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1" w:type="dxa"/>
            <w:shd w:val="clear" w:color="auto" w:fill="FFFFFF"/>
            <w:vAlign w:val="center"/>
          </w:tcPr>
          <w:p w14:paraId="75F0138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3" w:type="dxa"/>
            <w:shd w:val="clear" w:color="auto" w:fill="FFFFFF"/>
            <w:vAlign w:val="center"/>
          </w:tcPr>
          <w:p w14:paraId="162A745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w:t>
            </w:r>
          </w:p>
        </w:tc>
        <w:tc>
          <w:tcPr>
            <w:tcW w:w="641" w:type="dxa"/>
            <w:shd w:val="clear" w:color="auto" w:fill="FFFFFF"/>
            <w:vAlign w:val="center"/>
          </w:tcPr>
          <w:p w14:paraId="75BF0EE4"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61" w:type="dxa"/>
            <w:shd w:val="clear" w:color="auto" w:fill="FFFFFF"/>
            <w:vAlign w:val="center"/>
          </w:tcPr>
          <w:p w14:paraId="3DAB2B6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1" w:type="dxa"/>
            <w:shd w:val="clear" w:color="auto" w:fill="FFFFFF"/>
            <w:vAlign w:val="center"/>
          </w:tcPr>
          <w:p w14:paraId="6AABE71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5" w:type="dxa"/>
            <w:shd w:val="clear" w:color="auto" w:fill="FFFFFF"/>
            <w:vAlign w:val="center"/>
          </w:tcPr>
          <w:p w14:paraId="5FCDB97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r>
      <w:tr w:rsidR="00DB29C1" w:rsidRPr="00D83239" w14:paraId="40B10206" w14:textId="77777777" w:rsidTr="00773D58">
        <w:trPr>
          <w:trHeight w:val="420"/>
          <w:jc w:val="center"/>
        </w:trPr>
        <w:tc>
          <w:tcPr>
            <w:tcW w:w="4519" w:type="dxa"/>
            <w:shd w:val="clear" w:color="auto" w:fill="FFFFFF"/>
            <w:vAlign w:val="center"/>
          </w:tcPr>
          <w:p w14:paraId="50541CFF" w14:textId="77777777"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Ustavljen postopek</w:t>
            </w:r>
          </w:p>
        </w:tc>
        <w:tc>
          <w:tcPr>
            <w:tcW w:w="641" w:type="dxa"/>
            <w:shd w:val="clear" w:color="auto" w:fill="FFFFFF"/>
            <w:vAlign w:val="center"/>
          </w:tcPr>
          <w:p w14:paraId="45E9303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w:t>
            </w:r>
          </w:p>
        </w:tc>
        <w:tc>
          <w:tcPr>
            <w:tcW w:w="641" w:type="dxa"/>
            <w:shd w:val="clear" w:color="auto" w:fill="FFFFFF"/>
            <w:vAlign w:val="center"/>
          </w:tcPr>
          <w:p w14:paraId="1DEA7B34"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11</w:t>
            </w:r>
          </w:p>
        </w:tc>
        <w:tc>
          <w:tcPr>
            <w:tcW w:w="643" w:type="dxa"/>
            <w:shd w:val="clear" w:color="auto" w:fill="FFFFFF"/>
            <w:vAlign w:val="center"/>
          </w:tcPr>
          <w:p w14:paraId="47854498"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19</w:t>
            </w:r>
          </w:p>
        </w:tc>
        <w:tc>
          <w:tcPr>
            <w:tcW w:w="641" w:type="dxa"/>
            <w:shd w:val="clear" w:color="auto" w:fill="FFFFFF"/>
            <w:vAlign w:val="center"/>
          </w:tcPr>
          <w:p w14:paraId="5EA558B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22</w:t>
            </w:r>
          </w:p>
        </w:tc>
        <w:tc>
          <w:tcPr>
            <w:tcW w:w="661" w:type="dxa"/>
            <w:shd w:val="clear" w:color="auto" w:fill="FFFFFF"/>
            <w:vAlign w:val="center"/>
          </w:tcPr>
          <w:p w14:paraId="0849CBC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28</w:t>
            </w:r>
          </w:p>
        </w:tc>
        <w:tc>
          <w:tcPr>
            <w:tcW w:w="641" w:type="dxa"/>
            <w:shd w:val="clear" w:color="auto" w:fill="FFFFFF"/>
            <w:vAlign w:val="center"/>
          </w:tcPr>
          <w:p w14:paraId="121BAD4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70</w:t>
            </w:r>
          </w:p>
        </w:tc>
        <w:tc>
          <w:tcPr>
            <w:tcW w:w="645" w:type="dxa"/>
            <w:shd w:val="clear" w:color="auto" w:fill="FFFFFF"/>
            <w:vAlign w:val="center"/>
          </w:tcPr>
          <w:p w14:paraId="4AD3F6D4"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11</w:t>
            </w:r>
          </w:p>
        </w:tc>
      </w:tr>
      <w:tr w:rsidR="00DB29C1" w:rsidRPr="00D83239" w14:paraId="00AF540A" w14:textId="77777777" w:rsidTr="00773D58">
        <w:trPr>
          <w:trHeight w:val="420"/>
          <w:jc w:val="center"/>
        </w:trPr>
        <w:tc>
          <w:tcPr>
            <w:tcW w:w="4519" w:type="dxa"/>
            <w:shd w:val="clear" w:color="auto" w:fill="FFFFFF"/>
            <w:vAlign w:val="center"/>
          </w:tcPr>
          <w:p w14:paraId="61A7864E" w14:textId="77777777"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Vmesno varnostno preverjanje</w:t>
            </w:r>
          </w:p>
        </w:tc>
        <w:tc>
          <w:tcPr>
            <w:tcW w:w="641" w:type="dxa"/>
            <w:shd w:val="clear" w:color="auto" w:fill="FFFFFF"/>
            <w:vAlign w:val="center"/>
          </w:tcPr>
          <w:p w14:paraId="72D84E47"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5</w:t>
            </w:r>
          </w:p>
        </w:tc>
        <w:tc>
          <w:tcPr>
            <w:tcW w:w="641" w:type="dxa"/>
            <w:shd w:val="clear" w:color="auto" w:fill="FFFFFF"/>
            <w:vAlign w:val="center"/>
          </w:tcPr>
          <w:p w14:paraId="6F3FE1D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6</w:t>
            </w:r>
          </w:p>
        </w:tc>
        <w:tc>
          <w:tcPr>
            <w:tcW w:w="643" w:type="dxa"/>
            <w:shd w:val="clear" w:color="auto" w:fill="FFFFFF"/>
            <w:vAlign w:val="center"/>
          </w:tcPr>
          <w:p w14:paraId="00C8E708"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5</w:t>
            </w:r>
          </w:p>
        </w:tc>
        <w:tc>
          <w:tcPr>
            <w:tcW w:w="641" w:type="dxa"/>
            <w:shd w:val="clear" w:color="auto" w:fill="FFFFFF"/>
            <w:vAlign w:val="center"/>
          </w:tcPr>
          <w:p w14:paraId="3653C83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6</w:t>
            </w:r>
          </w:p>
        </w:tc>
        <w:tc>
          <w:tcPr>
            <w:tcW w:w="661" w:type="dxa"/>
            <w:shd w:val="clear" w:color="auto" w:fill="FFFFFF"/>
            <w:vAlign w:val="center"/>
          </w:tcPr>
          <w:p w14:paraId="4735BE0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6</w:t>
            </w:r>
          </w:p>
        </w:tc>
        <w:tc>
          <w:tcPr>
            <w:tcW w:w="641" w:type="dxa"/>
            <w:shd w:val="clear" w:color="auto" w:fill="FFFFFF"/>
            <w:vAlign w:val="center"/>
          </w:tcPr>
          <w:p w14:paraId="73C8E19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5" w:type="dxa"/>
            <w:shd w:val="clear" w:color="auto" w:fill="FFFFFF"/>
            <w:vAlign w:val="center"/>
          </w:tcPr>
          <w:p w14:paraId="7C8475F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5</w:t>
            </w:r>
          </w:p>
        </w:tc>
      </w:tr>
      <w:tr w:rsidR="00DB29C1" w:rsidRPr="00D83239" w14:paraId="0F97D412" w14:textId="77777777" w:rsidTr="00773D58">
        <w:trPr>
          <w:trHeight w:val="420"/>
          <w:jc w:val="center"/>
        </w:trPr>
        <w:tc>
          <w:tcPr>
            <w:tcW w:w="4519" w:type="dxa"/>
            <w:shd w:val="clear" w:color="auto" w:fill="FFFFFF"/>
            <w:vAlign w:val="center"/>
          </w:tcPr>
          <w:p w14:paraId="6137B11D" w14:textId="04370C12"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Potrditev veljavnosti dovolj</w:t>
            </w:r>
            <w:r w:rsidR="00B54516">
              <w:rPr>
                <w:rFonts w:ascii="Arial" w:hAnsi="Arial" w:cs="Arial"/>
                <w:sz w:val="20"/>
                <w:szCs w:val="20"/>
              </w:rPr>
              <w:t>enj</w:t>
            </w:r>
          </w:p>
        </w:tc>
        <w:tc>
          <w:tcPr>
            <w:tcW w:w="641" w:type="dxa"/>
            <w:shd w:val="clear" w:color="auto" w:fill="FFFFFF"/>
            <w:vAlign w:val="center"/>
          </w:tcPr>
          <w:p w14:paraId="30928931"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31</w:t>
            </w:r>
          </w:p>
        </w:tc>
        <w:tc>
          <w:tcPr>
            <w:tcW w:w="641" w:type="dxa"/>
            <w:shd w:val="clear" w:color="auto" w:fill="FFFFFF"/>
            <w:vAlign w:val="center"/>
          </w:tcPr>
          <w:p w14:paraId="00A5F213"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37</w:t>
            </w:r>
          </w:p>
        </w:tc>
        <w:tc>
          <w:tcPr>
            <w:tcW w:w="643" w:type="dxa"/>
            <w:shd w:val="clear" w:color="auto" w:fill="FFFFFF"/>
            <w:vAlign w:val="center"/>
          </w:tcPr>
          <w:p w14:paraId="79446B23"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50</w:t>
            </w:r>
          </w:p>
        </w:tc>
        <w:tc>
          <w:tcPr>
            <w:tcW w:w="641" w:type="dxa"/>
            <w:shd w:val="clear" w:color="auto" w:fill="FFFFFF"/>
            <w:vAlign w:val="center"/>
          </w:tcPr>
          <w:p w14:paraId="50CF0C4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41</w:t>
            </w:r>
          </w:p>
        </w:tc>
        <w:tc>
          <w:tcPr>
            <w:tcW w:w="661" w:type="dxa"/>
            <w:shd w:val="clear" w:color="auto" w:fill="FFFFFF"/>
            <w:vAlign w:val="center"/>
          </w:tcPr>
          <w:p w14:paraId="32181BF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35</w:t>
            </w:r>
          </w:p>
        </w:tc>
        <w:tc>
          <w:tcPr>
            <w:tcW w:w="641" w:type="dxa"/>
            <w:shd w:val="clear" w:color="auto" w:fill="FFFFFF"/>
            <w:vAlign w:val="center"/>
          </w:tcPr>
          <w:p w14:paraId="61F6012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11</w:t>
            </w:r>
          </w:p>
        </w:tc>
        <w:tc>
          <w:tcPr>
            <w:tcW w:w="645" w:type="dxa"/>
            <w:shd w:val="clear" w:color="auto" w:fill="FFFFFF"/>
            <w:vAlign w:val="center"/>
          </w:tcPr>
          <w:p w14:paraId="35977CB4"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32</w:t>
            </w:r>
          </w:p>
        </w:tc>
      </w:tr>
      <w:tr w:rsidR="00DB29C1" w:rsidRPr="00D83239" w14:paraId="3FAF3985" w14:textId="77777777" w:rsidTr="00773D58">
        <w:trPr>
          <w:trHeight w:val="420"/>
          <w:jc w:val="center"/>
        </w:trPr>
        <w:tc>
          <w:tcPr>
            <w:tcW w:w="4519" w:type="dxa"/>
            <w:shd w:val="clear" w:color="auto" w:fill="FFFFFF"/>
            <w:vAlign w:val="center"/>
          </w:tcPr>
          <w:p w14:paraId="4EAF5F60" w14:textId="77777777"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Odločba o spremembi priimka</w:t>
            </w:r>
          </w:p>
        </w:tc>
        <w:tc>
          <w:tcPr>
            <w:tcW w:w="641" w:type="dxa"/>
            <w:shd w:val="clear" w:color="auto" w:fill="FFFFFF"/>
            <w:vAlign w:val="center"/>
          </w:tcPr>
          <w:p w14:paraId="38EABF7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13</w:t>
            </w:r>
          </w:p>
        </w:tc>
        <w:tc>
          <w:tcPr>
            <w:tcW w:w="641" w:type="dxa"/>
            <w:shd w:val="clear" w:color="auto" w:fill="FFFFFF"/>
            <w:vAlign w:val="center"/>
          </w:tcPr>
          <w:p w14:paraId="20C1018B"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26</w:t>
            </w:r>
          </w:p>
        </w:tc>
        <w:tc>
          <w:tcPr>
            <w:tcW w:w="643" w:type="dxa"/>
            <w:shd w:val="clear" w:color="auto" w:fill="FFFFFF"/>
            <w:vAlign w:val="center"/>
          </w:tcPr>
          <w:p w14:paraId="2764F0E3"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24</w:t>
            </w:r>
          </w:p>
        </w:tc>
        <w:tc>
          <w:tcPr>
            <w:tcW w:w="641" w:type="dxa"/>
            <w:shd w:val="clear" w:color="auto" w:fill="FFFFFF"/>
            <w:vAlign w:val="center"/>
          </w:tcPr>
          <w:p w14:paraId="667A019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29</w:t>
            </w:r>
          </w:p>
        </w:tc>
        <w:tc>
          <w:tcPr>
            <w:tcW w:w="661" w:type="dxa"/>
            <w:shd w:val="clear" w:color="auto" w:fill="FFFFFF"/>
            <w:vAlign w:val="center"/>
          </w:tcPr>
          <w:p w14:paraId="719AEDF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20</w:t>
            </w:r>
          </w:p>
        </w:tc>
        <w:tc>
          <w:tcPr>
            <w:tcW w:w="641" w:type="dxa"/>
            <w:shd w:val="clear" w:color="auto" w:fill="FFFFFF"/>
            <w:vAlign w:val="center"/>
          </w:tcPr>
          <w:p w14:paraId="5FA90CB4"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26</w:t>
            </w:r>
          </w:p>
        </w:tc>
        <w:tc>
          <w:tcPr>
            <w:tcW w:w="645" w:type="dxa"/>
            <w:shd w:val="clear" w:color="auto" w:fill="FFFFFF"/>
            <w:vAlign w:val="center"/>
          </w:tcPr>
          <w:p w14:paraId="735930B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24</w:t>
            </w:r>
          </w:p>
        </w:tc>
      </w:tr>
      <w:tr w:rsidR="00DB29C1" w:rsidRPr="00D83239" w14:paraId="4CD16AC1" w14:textId="77777777" w:rsidTr="00773D58">
        <w:trPr>
          <w:trHeight w:val="420"/>
          <w:jc w:val="center"/>
        </w:trPr>
        <w:tc>
          <w:tcPr>
            <w:tcW w:w="4519" w:type="dxa"/>
            <w:shd w:val="clear" w:color="auto" w:fill="FFFFFF"/>
            <w:vAlign w:val="center"/>
          </w:tcPr>
          <w:p w14:paraId="403E7729" w14:textId="57B8E3C2" w:rsidR="00DB29C1" w:rsidRPr="00D83239" w:rsidRDefault="00DB29C1" w:rsidP="00E40FE6">
            <w:pPr>
              <w:spacing w:before="80" w:after="80" w:line="276" w:lineRule="auto"/>
              <w:rPr>
                <w:rFonts w:ascii="Arial" w:hAnsi="Arial" w:cs="Arial"/>
                <w:sz w:val="20"/>
                <w:szCs w:val="20"/>
              </w:rPr>
            </w:pPr>
            <w:r w:rsidRPr="00D83239">
              <w:rPr>
                <w:rFonts w:ascii="Arial" w:hAnsi="Arial" w:cs="Arial"/>
                <w:sz w:val="20"/>
                <w:szCs w:val="20"/>
              </w:rPr>
              <w:t>Enkratn</w:t>
            </w:r>
            <w:r w:rsidR="00E40FE6">
              <w:rPr>
                <w:rFonts w:ascii="Arial" w:hAnsi="Arial" w:cs="Arial"/>
                <w:sz w:val="20"/>
                <w:szCs w:val="20"/>
              </w:rPr>
              <w:t>i</w:t>
            </w:r>
            <w:r w:rsidRPr="00D83239">
              <w:rPr>
                <w:rFonts w:ascii="Arial" w:hAnsi="Arial" w:cs="Arial"/>
                <w:sz w:val="20"/>
                <w:szCs w:val="20"/>
              </w:rPr>
              <w:t xml:space="preserve"> dostop</w:t>
            </w:r>
          </w:p>
        </w:tc>
        <w:tc>
          <w:tcPr>
            <w:tcW w:w="641" w:type="dxa"/>
            <w:shd w:val="clear" w:color="auto" w:fill="FFFFFF"/>
            <w:vAlign w:val="center"/>
          </w:tcPr>
          <w:p w14:paraId="376E438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1" w:type="dxa"/>
            <w:shd w:val="clear" w:color="auto" w:fill="FFFFFF"/>
            <w:vAlign w:val="center"/>
          </w:tcPr>
          <w:p w14:paraId="1C224208"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3" w:type="dxa"/>
            <w:shd w:val="clear" w:color="auto" w:fill="FFFFFF"/>
            <w:vAlign w:val="center"/>
          </w:tcPr>
          <w:p w14:paraId="694BDD28"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1" w:type="dxa"/>
            <w:shd w:val="clear" w:color="auto" w:fill="FFFFFF"/>
            <w:vAlign w:val="center"/>
          </w:tcPr>
          <w:p w14:paraId="1E7046D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w:t>
            </w:r>
          </w:p>
        </w:tc>
        <w:tc>
          <w:tcPr>
            <w:tcW w:w="661" w:type="dxa"/>
            <w:shd w:val="clear" w:color="auto" w:fill="FFFFFF"/>
            <w:vAlign w:val="center"/>
          </w:tcPr>
          <w:p w14:paraId="545A4A85"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1" w:type="dxa"/>
            <w:shd w:val="clear" w:color="auto" w:fill="FFFFFF"/>
            <w:vAlign w:val="center"/>
          </w:tcPr>
          <w:p w14:paraId="26E9B4C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67</w:t>
            </w:r>
          </w:p>
        </w:tc>
        <w:tc>
          <w:tcPr>
            <w:tcW w:w="645" w:type="dxa"/>
            <w:shd w:val="clear" w:color="auto" w:fill="FFFFFF"/>
            <w:vAlign w:val="center"/>
          </w:tcPr>
          <w:p w14:paraId="6EC9BFD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w:t>
            </w:r>
          </w:p>
        </w:tc>
      </w:tr>
      <w:tr w:rsidR="00DB29C1" w:rsidRPr="00D83239" w14:paraId="375263FC" w14:textId="77777777" w:rsidTr="00773D58">
        <w:trPr>
          <w:trHeight w:val="420"/>
          <w:jc w:val="center"/>
        </w:trPr>
        <w:tc>
          <w:tcPr>
            <w:tcW w:w="4519" w:type="dxa"/>
            <w:shd w:val="clear" w:color="auto" w:fill="FFFFFF"/>
            <w:vAlign w:val="center"/>
          </w:tcPr>
          <w:p w14:paraId="18F94B40" w14:textId="2661AA8D" w:rsidR="00DB29C1" w:rsidRPr="00D83239" w:rsidRDefault="00DB29C1" w:rsidP="00773D58">
            <w:pPr>
              <w:spacing w:before="80" w:after="80" w:line="276" w:lineRule="auto"/>
              <w:rPr>
                <w:rFonts w:ascii="Arial" w:hAnsi="Arial" w:cs="Arial"/>
                <w:sz w:val="20"/>
                <w:szCs w:val="20"/>
              </w:rPr>
            </w:pPr>
            <w:r w:rsidRPr="00D83239">
              <w:rPr>
                <w:rFonts w:ascii="Arial" w:hAnsi="Arial" w:cs="Arial"/>
                <w:sz w:val="20"/>
                <w:szCs w:val="20"/>
              </w:rPr>
              <w:t>Soglasje po 30.</w:t>
            </w:r>
            <w:r w:rsidR="00E40FE6">
              <w:rPr>
                <w:rFonts w:ascii="Arial" w:hAnsi="Arial" w:cs="Arial"/>
                <w:sz w:val="20"/>
                <w:szCs w:val="20"/>
              </w:rPr>
              <w:t xml:space="preserve"> </w:t>
            </w:r>
            <w:r w:rsidRPr="00D83239">
              <w:rPr>
                <w:rFonts w:ascii="Arial" w:hAnsi="Arial" w:cs="Arial"/>
                <w:sz w:val="20"/>
                <w:szCs w:val="20"/>
              </w:rPr>
              <w:t>členu ZTP</w:t>
            </w:r>
          </w:p>
        </w:tc>
        <w:tc>
          <w:tcPr>
            <w:tcW w:w="641" w:type="dxa"/>
            <w:shd w:val="clear" w:color="auto" w:fill="FFFFFF"/>
            <w:vAlign w:val="center"/>
          </w:tcPr>
          <w:p w14:paraId="2EC8A7A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1" w:type="dxa"/>
            <w:shd w:val="clear" w:color="auto" w:fill="FFFFFF"/>
            <w:vAlign w:val="center"/>
          </w:tcPr>
          <w:p w14:paraId="62D362A4"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3" w:type="dxa"/>
            <w:shd w:val="clear" w:color="auto" w:fill="FFFFFF"/>
            <w:vAlign w:val="center"/>
          </w:tcPr>
          <w:p w14:paraId="627C0C4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1" w:type="dxa"/>
            <w:shd w:val="clear" w:color="auto" w:fill="FFFFFF"/>
            <w:vAlign w:val="center"/>
          </w:tcPr>
          <w:p w14:paraId="4BF03D23"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61" w:type="dxa"/>
            <w:shd w:val="clear" w:color="auto" w:fill="FFFFFF"/>
            <w:vAlign w:val="center"/>
          </w:tcPr>
          <w:p w14:paraId="5A6641C7"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1" w:type="dxa"/>
            <w:shd w:val="clear" w:color="auto" w:fill="FFFFFF"/>
            <w:vAlign w:val="center"/>
          </w:tcPr>
          <w:p w14:paraId="1FF655D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45" w:type="dxa"/>
            <w:shd w:val="clear" w:color="auto" w:fill="FFFFFF"/>
            <w:vAlign w:val="center"/>
          </w:tcPr>
          <w:p w14:paraId="4849190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40</w:t>
            </w:r>
          </w:p>
        </w:tc>
      </w:tr>
    </w:tbl>
    <w:p w14:paraId="6FB100CA" w14:textId="77777777" w:rsidR="00773D58" w:rsidRDefault="00773D58" w:rsidP="00D83239">
      <w:pPr>
        <w:spacing w:after="0" w:line="276" w:lineRule="auto"/>
        <w:jc w:val="both"/>
        <w:rPr>
          <w:rFonts w:ascii="Arial" w:hAnsi="Arial" w:cs="Arial"/>
          <w:b/>
          <w:sz w:val="20"/>
          <w:szCs w:val="20"/>
        </w:rPr>
      </w:pPr>
    </w:p>
    <w:p w14:paraId="6ED27BBB" w14:textId="54D53F72" w:rsidR="00DB29C1" w:rsidRPr="00D83239" w:rsidRDefault="00DB29C1" w:rsidP="00D83239">
      <w:pPr>
        <w:spacing w:after="0" w:line="276" w:lineRule="auto"/>
        <w:jc w:val="both"/>
        <w:rPr>
          <w:rFonts w:ascii="Arial" w:hAnsi="Arial" w:cs="Arial"/>
          <w:bCs/>
          <w:sz w:val="20"/>
          <w:szCs w:val="20"/>
        </w:rPr>
      </w:pPr>
      <w:r w:rsidRPr="00D83239">
        <w:rPr>
          <w:rFonts w:ascii="Arial" w:hAnsi="Arial" w:cs="Arial"/>
          <w:b/>
          <w:sz w:val="20"/>
          <w:szCs w:val="20"/>
        </w:rPr>
        <w:t>Preglednica</w:t>
      </w:r>
      <w:r w:rsidRPr="00B460AE">
        <w:rPr>
          <w:rFonts w:ascii="Arial" w:hAnsi="Arial" w:cs="Arial"/>
          <w:sz w:val="20"/>
          <w:szCs w:val="20"/>
        </w:rPr>
        <w:t>:</w:t>
      </w:r>
      <w:r w:rsidRPr="00D83239">
        <w:rPr>
          <w:rFonts w:ascii="Arial" w:hAnsi="Arial" w:cs="Arial"/>
          <w:b/>
          <w:sz w:val="20"/>
          <w:szCs w:val="20"/>
        </w:rPr>
        <w:t xml:space="preserve"> </w:t>
      </w:r>
      <w:r w:rsidRPr="00D83239">
        <w:rPr>
          <w:rFonts w:ascii="Arial" w:hAnsi="Arial" w:cs="Arial"/>
          <w:bCs/>
          <w:sz w:val="20"/>
          <w:szCs w:val="20"/>
        </w:rPr>
        <w:t>Dovoljenja za dostop do</w:t>
      </w:r>
      <w:r w:rsidR="00773D58">
        <w:rPr>
          <w:rFonts w:ascii="Arial" w:hAnsi="Arial" w:cs="Arial"/>
          <w:bCs/>
          <w:sz w:val="20"/>
          <w:szCs w:val="20"/>
        </w:rPr>
        <w:t xml:space="preserve"> tajnih podatkov v obdobju 2019</w:t>
      </w:r>
      <w:r w:rsidR="00E40FE6">
        <w:rPr>
          <w:rFonts w:ascii="Arial" w:hAnsi="Arial" w:cs="Arial"/>
          <w:bCs/>
          <w:sz w:val="20"/>
          <w:szCs w:val="20"/>
        </w:rPr>
        <w:t>–</w:t>
      </w:r>
      <w:r w:rsidR="00773D58">
        <w:rPr>
          <w:rFonts w:ascii="Arial" w:hAnsi="Arial" w:cs="Arial"/>
          <w:bCs/>
          <w:sz w:val="20"/>
          <w:szCs w:val="20"/>
        </w:rPr>
        <w:t>2025</w:t>
      </w:r>
    </w:p>
    <w:p w14:paraId="1BE1B630" w14:textId="77777777" w:rsidR="00DB29C1" w:rsidRPr="00D83239" w:rsidRDefault="00DB29C1" w:rsidP="00D83239">
      <w:pPr>
        <w:spacing w:after="0" w:line="276" w:lineRule="auto"/>
        <w:jc w:val="both"/>
        <w:rPr>
          <w:rFonts w:ascii="Arial" w:hAnsi="Arial" w:cs="Arial"/>
          <w:bCs/>
          <w:sz w:val="20"/>
          <w:szCs w:val="20"/>
        </w:rPr>
      </w:pPr>
    </w:p>
    <w:p w14:paraId="3D170FA7" w14:textId="701419C6" w:rsidR="00DB29C1" w:rsidRPr="00D83239" w:rsidRDefault="00DB29C1"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V povprečju so bili postopki rešeni v 90</w:t>
      </w:r>
      <w:r w:rsidR="00E40FE6">
        <w:rPr>
          <w:rFonts w:ascii="Arial" w:hAnsi="Arial" w:cs="Arial"/>
          <w:sz w:val="20"/>
          <w:szCs w:val="20"/>
        </w:rPr>
        <w:t>-</w:t>
      </w:r>
      <w:r w:rsidRPr="00D83239">
        <w:rPr>
          <w:rFonts w:ascii="Arial" w:hAnsi="Arial" w:cs="Arial"/>
          <w:sz w:val="20"/>
          <w:szCs w:val="20"/>
        </w:rPr>
        <w:t>dnevne</w:t>
      </w:r>
      <w:r w:rsidR="00E40FE6">
        <w:rPr>
          <w:rFonts w:ascii="Arial" w:hAnsi="Arial" w:cs="Arial"/>
          <w:sz w:val="20"/>
          <w:szCs w:val="20"/>
        </w:rPr>
        <w:t>m</w:t>
      </w:r>
      <w:r w:rsidRPr="00D83239">
        <w:rPr>
          <w:rFonts w:ascii="Arial" w:hAnsi="Arial" w:cs="Arial"/>
          <w:sz w:val="20"/>
          <w:szCs w:val="20"/>
        </w:rPr>
        <w:t xml:space="preserve"> zakonske</w:t>
      </w:r>
      <w:r w:rsidR="00E40FE6">
        <w:rPr>
          <w:rFonts w:ascii="Arial" w:hAnsi="Arial" w:cs="Arial"/>
          <w:sz w:val="20"/>
          <w:szCs w:val="20"/>
        </w:rPr>
        <w:t>m</w:t>
      </w:r>
      <w:r w:rsidRPr="00D83239">
        <w:rPr>
          <w:rFonts w:ascii="Arial" w:hAnsi="Arial" w:cs="Arial"/>
          <w:sz w:val="20"/>
          <w:szCs w:val="20"/>
        </w:rPr>
        <w:t xml:space="preserve"> rok</w:t>
      </w:r>
      <w:r w:rsidR="00E40FE6">
        <w:rPr>
          <w:rFonts w:ascii="Arial" w:hAnsi="Arial" w:cs="Arial"/>
          <w:sz w:val="20"/>
          <w:szCs w:val="20"/>
        </w:rPr>
        <w:t>u</w:t>
      </w:r>
      <w:r w:rsidRPr="00D83239">
        <w:rPr>
          <w:rFonts w:ascii="Arial" w:hAnsi="Arial" w:cs="Arial"/>
          <w:sz w:val="20"/>
          <w:szCs w:val="20"/>
        </w:rPr>
        <w:t xml:space="preserve">. </w:t>
      </w:r>
    </w:p>
    <w:p w14:paraId="38C046B2" w14:textId="77777777" w:rsidR="00DB29C1" w:rsidRPr="00D83239" w:rsidRDefault="00DB29C1" w:rsidP="00D83239">
      <w:pPr>
        <w:spacing w:after="0" w:line="276" w:lineRule="auto"/>
        <w:jc w:val="both"/>
        <w:rPr>
          <w:rFonts w:ascii="Arial" w:hAnsi="Arial" w:cs="Arial"/>
          <w:sz w:val="20"/>
          <w:szCs w:val="20"/>
          <w:lang w:eastAsia="sl-SI"/>
        </w:rPr>
      </w:pPr>
    </w:p>
    <w:p w14:paraId="02AFAF61" w14:textId="77777777" w:rsidR="009433E0" w:rsidRPr="00D83239" w:rsidRDefault="009433E0" w:rsidP="009433E0">
      <w:pPr>
        <w:spacing w:after="0" w:line="276" w:lineRule="auto"/>
        <w:jc w:val="both"/>
        <w:rPr>
          <w:rFonts w:ascii="Arial" w:hAnsi="Arial" w:cs="Arial"/>
          <w:sz w:val="20"/>
          <w:szCs w:val="20"/>
          <w:lang w:eastAsia="sl-SI"/>
        </w:rPr>
      </w:pPr>
      <w:r w:rsidRPr="00D83239">
        <w:rPr>
          <w:rFonts w:ascii="Arial" w:hAnsi="Arial" w:cs="Arial"/>
          <w:sz w:val="20"/>
          <w:szCs w:val="20"/>
          <w:lang w:eastAsia="sl-SI"/>
        </w:rPr>
        <w:t>Na področju industrijske varnosti je bilo v letu 2025 prejetih 45 (34) vlog za izdajo varnostnih dovoljenj organizacijam. Organizacijam s</w:t>
      </w:r>
      <w:r>
        <w:rPr>
          <w:rFonts w:ascii="Arial" w:hAnsi="Arial" w:cs="Arial"/>
          <w:sz w:val="20"/>
          <w:szCs w:val="20"/>
          <w:lang w:eastAsia="sl-SI"/>
        </w:rPr>
        <w:t>o bila</w:t>
      </w:r>
      <w:r w:rsidRPr="00D83239">
        <w:rPr>
          <w:rFonts w:ascii="Arial" w:hAnsi="Arial" w:cs="Arial"/>
          <w:sz w:val="20"/>
          <w:szCs w:val="20"/>
          <w:lang w:eastAsia="sl-SI"/>
        </w:rPr>
        <w:t xml:space="preserve"> izda</w:t>
      </w:r>
      <w:r>
        <w:rPr>
          <w:rFonts w:ascii="Arial" w:hAnsi="Arial" w:cs="Arial"/>
          <w:sz w:val="20"/>
          <w:szCs w:val="20"/>
          <w:lang w:eastAsia="sl-SI"/>
        </w:rPr>
        <w:t>na</w:t>
      </w:r>
      <w:r w:rsidRPr="00D83239">
        <w:rPr>
          <w:rFonts w:ascii="Arial" w:hAnsi="Arial" w:cs="Arial"/>
          <w:sz w:val="20"/>
          <w:szCs w:val="20"/>
          <w:lang w:eastAsia="sl-SI"/>
        </w:rPr>
        <w:t xml:space="preserve"> </w:t>
      </w:r>
      <w:r>
        <w:rPr>
          <w:rFonts w:ascii="Arial" w:hAnsi="Arial" w:cs="Arial"/>
          <w:sz w:val="20"/>
          <w:szCs w:val="20"/>
          <w:lang w:eastAsia="sl-SI"/>
        </w:rPr>
        <w:t xml:space="preserve">naslednja </w:t>
      </w:r>
      <w:r w:rsidRPr="00D83239">
        <w:rPr>
          <w:rFonts w:ascii="Arial" w:hAnsi="Arial" w:cs="Arial"/>
          <w:sz w:val="20"/>
          <w:szCs w:val="20"/>
          <w:lang w:eastAsia="sl-SI"/>
        </w:rPr>
        <w:t>varnostna dovoljenja:</w:t>
      </w:r>
    </w:p>
    <w:p w14:paraId="28E7D868"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18 (13) za varnostno območje pri naročniku,</w:t>
      </w:r>
    </w:p>
    <w:p w14:paraId="6165E227"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4 (2) za varnostno območje pri organizaciji,</w:t>
      </w:r>
    </w:p>
    <w:p w14:paraId="1CA1D0E1"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6 (0) za upravno območje pri naročniku,</w:t>
      </w:r>
    </w:p>
    <w:p w14:paraId="06D711FF"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9 (6) za upravno območje pri organizaciji.</w:t>
      </w:r>
    </w:p>
    <w:p w14:paraId="03DA1757" w14:textId="77777777" w:rsidR="009433E0" w:rsidRPr="00D83239" w:rsidRDefault="009433E0" w:rsidP="009433E0">
      <w:pPr>
        <w:spacing w:after="0" w:line="276" w:lineRule="auto"/>
        <w:jc w:val="both"/>
        <w:rPr>
          <w:rFonts w:ascii="Arial" w:hAnsi="Arial" w:cs="Arial"/>
          <w:sz w:val="20"/>
          <w:szCs w:val="20"/>
          <w:lang w:eastAsia="sl-SI"/>
        </w:rPr>
      </w:pPr>
    </w:p>
    <w:p w14:paraId="60BE24D1" w14:textId="4D5BCBBD" w:rsidR="009433E0" w:rsidRDefault="009433E0" w:rsidP="009433E0">
      <w:pPr>
        <w:spacing w:after="0" w:line="276" w:lineRule="auto"/>
        <w:jc w:val="both"/>
        <w:rPr>
          <w:rFonts w:ascii="Arial" w:hAnsi="Arial" w:cs="Arial"/>
          <w:sz w:val="20"/>
          <w:szCs w:val="20"/>
          <w:lang w:eastAsia="sl-SI"/>
        </w:rPr>
      </w:pPr>
      <w:r w:rsidRPr="00D83239">
        <w:rPr>
          <w:rFonts w:ascii="Arial" w:hAnsi="Arial" w:cs="Arial"/>
          <w:sz w:val="20"/>
          <w:szCs w:val="20"/>
          <w:lang w:eastAsia="sl-SI"/>
        </w:rPr>
        <w:t>V okviru postopkov varnostnih preverja</w:t>
      </w:r>
      <w:r w:rsidR="00E40FE6">
        <w:rPr>
          <w:rFonts w:ascii="Arial" w:hAnsi="Arial" w:cs="Arial"/>
          <w:sz w:val="20"/>
          <w:szCs w:val="20"/>
          <w:lang w:eastAsia="sl-SI"/>
        </w:rPr>
        <w:t>n</w:t>
      </w:r>
      <w:r w:rsidRPr="00D83239">
        <w:rPr>
          <w:rFonts w:ascii="Arial" w:hAnsi="Arial" w:cs="Arial"/>
          <w:sz w:val="20"/>
          <w:szCs w:val="20"/>
          <w:lang w:eastAsia="sl-SI"/>
        </w:rPr>
        <w:t>j organizacij je bilo v letu 2025 izdanih 30 (24) novih dovoljenj, en postopek za izdajo varnostnega dovoljenja organizaciji pa je bil ustavljen. 14 postopkov na področju industrijske varnosti je bilo konec leta 2025 še v reševanju.</w:t>
      </w:r>
    </w:p>
    <w:p w14:paraId="659979C0" w14:textId="54E44A23" w:rsidR="00DB29C1" w:rsidRPr="00D83239" w:rsidRDefault="00DB29C1" w:rsidP="00D83239">
      <w:pPr>
        <w:tabs>
          <w:tab w:val="left" w:pos="2520"/>
        </w:tabs>
        <w:spacing w:after="0" w:line="276" w:lineRule="auto"/>
        <w:jc w:val="both"/>
        <w:rPr>
          <w:rFonts w:ascii="Arial" w:hAnsi="Arial" w:cs="Arial"/>
          <w:sz w:val="20"/>
          <w:szCs w:val="20"/>
          <w:highlight w:val="yellow"/>
          <w:lang w:eastAsia="sl-SI"/>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7"/>
        <w:gridCol w:w="721"/>
        <w:gridCol w:w="721"/>
        <w:gridCol w:w="721"/>
        <w:gridCol w:w="721"/>
        <w:gridCol w:w="721"/>
        <w:gridCol w:w="721"/>
        <w:gridCol w:w="659"/>
      </w:tblGrid>
      <w:tr w:rsidR="00DB29C1" w:rsidRPr="00D83239" w14:paraId="32D4E147" w14:textId="77777777" w:rsidTr="00773D58">
        <w:trPr>
          <w:trHeight w:val="340"/>
          <w:jc w:val="center"/>
        </w:trPr>
        <w:tc>
          <w:tcPr>
            <w:tcW w:w="4077" w:type="dxa"/>
            <w:shd w:val="clear" w:color="auto" w:fill="E6E6E6"/>
            <w:noWrap/>
            <w:vAlign w:val="center"/>
          </w:tcPr>
          <w:p w14:paraId="4BE0B5DB" w14:textId="77777777" w:rsidR="00DB29C1" w:rsidRPr="00D83239" w:rsidRDefault="00DB29C1" w:rsidP="00D83239">
            <w:pPr>
              <w:spacing w:before="80" w:after="80" w:line="276" w:lineRule="auto"/>
              <w:jc w:val="both"/>
              <w:rPr>
                <w:rFonts w:ascii="Arial" w:hAnsi="Arial" w:cs="Arial"/>
                <w:b/>
                <w:sz w:val="20"/>
                <w:szCs w:val="20"/>
              </w:rPr>
            </w:pPr>
            <w:r w:rsidRPr="00D83239">
              <w:rPr>
                <w:rFonts w:ascii="Arial" w:hAnsi="Arial" w:cs="Arial"/>
                <w:b/>
                <w:sz w:val="20"/>
                <w:szCs w:val="20"/>
                <w:shd w:val="clear" w:color="auto" w:fill="E6E6E6"/>
              </w:rPr>
              <w:t>Leto</w:t>
            </w:r>
          </w:p>
        </w:tc>
        <w:tc>
          <w:tcPr>
            <w:tcW w:w="721" w:type="dxa"/>
            <w:shd w:val="clear" w:color="auto" w:fill="E6E6E6"/>
            <w:vAlign w:val="center"/>
          </w:tcPr>
          <w:p w14:paraId="06AD7D1C"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2019</w:t>
            </w:r>
          </w:p>
        </w:tc>
        <w:tc>
          <w:tcPr>
            <w:tcW w:w="721" w:type="dxa"/>
            <w:shd w:val="clear" w:color="auto" w:fill="E6E6E6"/>
            <w:vAlign w:val="center"/>
          </w:tcPr>
          <w:p w14:paraId="48A559E3"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2020</w:t>
            </w:r>
          </w:p>
        </w:tc>
        <w:tc>
          <w:tcPr>
            <w:tcW w:w="721" w:type="dxa"/>
            <w:shd w:val="clear" w:color="auto" w:fill="E6E6E6"/>
            <w:vAlign w:val="center"/>
          </w:tcPr>
          <w:p w14:paraId="0A763495"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2021</w:t>
            </w:r>
          </w:p>
        </w:tc>
        <w:tc>
          <w:tcPr>
            <w:tcW w:w="721" w:type="dxa"/>
            <w:shd w:val="clear" w:color="auto" w:fill="E6E6E6"/>
            <w:vAlign w:val="center"/>
          </w:tcPr>
          <w:p w14:paraId="73CBE6CE"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2022</w:t>
            </w:r>
          </w:p>
        </w:tc>
        <w:tc>
          <w:tcPr>
            <w:tcW w:w="721" w:type="dxa"/>
            <w:shd w:val="clear" w:color="auto" w:fill="E6E6E6"/>
            <w:vAlign w:val="center"/>
          </w:tcPr>
          <w:p w14:paraId="70627341"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2023</w:t>
            </w:r>
          </w:p>
        </w:tc>
        <w:tc>
          <w:tcPr>
            <w:tcW w:w="721" w:type="dxa"/>
            <w:shd w:val="clear" w:color="auto" w:fill="E6E6E6"/>
            <w:vAlign w:val="center"/>
          </w:tcPr>
          <w:p w14:paraId="0BEC7FB9"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2024</w:t>
            </w:r>
          </w:p>
        </w:tc>
        <w:tc>
          <w:tcPr>
            <w:tcW w:w="659" w:type="dxa"/>
            <w:shd w:val="clear" w:color="auto" w:fill="E6E6E6"/>
            <w:vAlign w:val="center"/>
          </w:tcPr>
          <w:p w14:paraId="0AECA078" w14:textId="77777777" w:rsidR="00DB29C1" w:rsidRPr="00D83239" w:rsidRDefault="00DB29C1" w:rsidP="00773D58">
            <w:pPr>
              <w:spacing w:before="80" w:after="80" w:line="276" w:lineRule="auto"/>
              <w:jc w:val="center"/>
              <w:rPr>
                <w:rFonts w:ascii="Arial" w:hAnsi="Arial" w:cs="Arial"/>
                <w:b/>
                <w:bCs/>
                <w:sz w:val="20"/>
                <w:szCs w:val="20"/>
              </w:rPr>
            </w:pPr>
            <w:r w:rsidRPr="00D83239">
              <w:rPr>
                <w:rFonts w:ascii="Arial" w:hAnsi="Arial" w:cs="Arial"/>
                <w:b/>
                <w:bCs/>
                <w:sz w:val="20"/>
                <w:szCs w:val="20"/>
              </w:rPr>
              <w:t>2025</w:t>
            </w:r>
          </w:p>
        </w:tc>
      </w:tr>
      <w:tr w:rsidR="00DB29C1" w:rsidRPr="00D83239" w14:paraId="19E337FE" w14:textId="77777777" w:rsidTr="00773D58">
        <w:trPr>
          <w:trHeight w:val="340"/>
          <w:jc w:val="center"/>
        </w:trPr>
        <w:tc>
          <w:tcPr>
            <w:tcW w:w="4077" w:type="dxa"/>
            <w:noWrap/>
            <w:vAlign w:val="center"/>
          </w:tcPr>
          <w:p w14:paraId="2BD337C9" w14:textId="77777777" w:rsidR="00DB29C1" w:rsidRPr="00D83239" w:rsidRDefault="00DB29C1" w:rsidP="00D83239">
            <w:pPr>
              <w:spacing w:before="80" w:after="80" w:line="276" w:lineRule="auto"/>
              <w:jc w:val="both"/>
              <w:rPr>
                <w:rFonts w:ascii="Arial" w:hAnsi="Arial" w:cs="Arial"/>
                <w:sz w:val="20"/>
                <w:szCs w:val="20"/>
              </w:rPr>
            </w:pPr>
            <w:r w:rsidRPr="00D83239">
              <w:rPr>
                <w:rFonts w:ascii="Arial" w:hAnsi="Arial" w:cs="Arial"/>
                <w:sz w:val="20"/>
                <w:szCs w:val="20"/>
              </w:rPr>
              <w:t>Predlogi za izdajo dovoljenja</w:t>
            </w:r>
          </w:p>
        </w:tc>
        <w:tc>
          <w:tcPr>
            <w:tcW w:w="721" w:type="dxa"/>
            <w:vAlign w:val="center"/>
          </w:tcPr>
          <w:p w14:paraId="610FEF7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28</w:t>
            </w:r>
          </w:p>
        </w:tc>
        <w:tc>
          <w:tcPr>
            <w:tcW w:w="721" w:type="dxa"/>
            <w:vAlign w:val="center"/>
          </w:tcPr>
          <w:p w14:paraId="3B61783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28</w:t>
            </w:r>
          </w:p>
        </w:tc>
        <w:tc>
          <w:tcPr>
            <w:tcW w:w="721" w:type="dxa"/>
            <w:vAlign w:val="center"/>
          </w:tcPr>
          <w:p w14:paraId="254E091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27</w:t>
            </w:r>
          </w:p>
        </w:tc>
        <w:tc>
          <w:tcPr>
            <w:tcW w:w="721" w:type="dxa"/>
            <w:vAlign w:val="center"/>
          </w:tcPr>
          <w:p w14:paraId="3DBE62E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29</w:t>
            </w:r>
          </w:p>
        </w:tc>
        <w:tc>
          <w:tcPr>
            <w:tcW w:w="721" w:type="dxa"/>
            <w:vAlign w:val="center"/>
          </w:tcPr>
          <w:p w14:paraId="4BE6468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26</w:t>
            </w:r>
          </w:p>
        </w:tc>
        <w:tc>
          <w:tcPr>
            <w:tcW w:w="721" w:type="dxa"/>
            <w:vAlign w:val="center"/>
          </w:tcPr>
          <w:p w14:paraId="5C2CDC32"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34</w:t>
            </w:r>
          </w:p>
        </w:tc>
        <w:tc>
          <w:tcPr>
            <w:tcW w:w="659" w:type="dxa"/>
            <w:vAlign w:val="center"/>
          </w:tcPr>
          <w:p w14:paraId="40084F9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45</w:t>
            </w:r>
          </w:p>
        </w:tc>
      </w:tr>
      <w:tr w:rsidR="00DB29C1" w:rsidRPr="00D83239" w14:paraId="4C430633" w14:textId="77777777" w:rsidTr="00773D58">
        <w:trPr>
          <w:trHeight w:val="340"/>
          <w:jc w:val="center"/>
        </w:trPr>
        <w:tc>
          <w:tcPr>
            <w:tcW w:w="4077" w:type="dxa"/>
            <w:shd w:val="clear" w:color="auto" w:fill="E6E6E6"/>
            <w:vAlign w:val="center"/>
          </w:tcPr>
          <w:p w14:paraId="3CE7CBB6" w14:textId="77777777" w:rsidR="00DB29C1" w:rsidRPr="00D83239" w:rsidRDefault="00DB29C1" w:rsidP="00D83239">
            <w:pPr>
              <w:spacing w:before="80" w:after="80" w:line="276" w:lineRule="auto"/>
              <w:jc w:val="both"/>
              <w:rPr>
                <w:rFonts w:ascii="Arial" w:hAnsi="Arial" w:cs="Arial"/>
                <w:bCs/>
                <w:sz w:val="20"/>
                <w:szCs w:val="20"/>
              </w:rPr>
            </w:pPr>
            <w:r w:rsidRPr="00D83239">
              <w:rPr>
                <w:rFonts w:ascii="Arial" w:hAnsi="Arial" w:cs="Arial"/>
                <w:bCs/>
                <w:sz w:val="20"/>
                <w:szCs w:val="20"/>
              </w:rPr>
              <w:t>Izdana dovoljenja – skupaj</w:t>
            </w:r>
          </w:p>
        </w:tc>
        <w:tc>
          <w:tcPr>
            <w:tcW w:w="721" w:type="dxa"/>
            <w:shd w:val="clear" w:color="auto" w:fill="E6E6E6"/>
            <w:vAlign w:val="center"/>
          </w:tcPr>
          <w:p w14:paraId="237EE70D"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28</w:t>
            </w:r>
          </w:p>
        </w:tc>
        <w:tc>
          <w:tcPr>
            <w:tcW w:w="721" w:type="dxa"/>
            <w:shd w:val="clear" w:color="auto" w:fill="E6E6E6"/>
            <w:vAlign w:val="center"/>
          </w:tcPr>
          <w:p w14:paraId="5672A0B5"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22</w:t>
            </w:r>
          </w:p>
        </w:tc>
        <w:tc>
          <w:tcPr>
            <w:tcW w:w="721" w:type="dxa"/>
            <w:shd w:val="clear" w:color="auto" w:fill="E6E6E6"/>
            <w:vAlign w:val="center"/>
          </w:tcPr>
          <w:p w14:paraId="068C286F"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27</w:t>
            </w:r>
          </w:p>
        </w:tc>
        <w:tc>
          <w:tcPr>
            <w:tcW w:w="721" w:type="dxa"/>
            <w:shd w:val="clear" w:color="auto" w:fill="E6E6E6"/>
            <w:vAlign w:val="center"/>
          </w:tcPr>
          <w:p w14:paraId="49F7D449"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25</w:t>
            </w:r>
          </w:p>
        </w:tc>
        <w:tc>
          <w:tcPr>
            <w:tcW w:w="721" w:type="dxa"/>
            <w:shd w:val="clear" w:color="auto" w:fill="E6E6E6"/>
            <w:vAlign w:val="center"/>
          </w:tcPr>
          <w:p w14:paraId="4397C392"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23</w:t>
            </w:r>
          </w:p>
        </w:tc>
        <w:tc>
          <w:tcPr>
            <w:tcW w:w="721" w:type="dxa"/>
            <w:shd w:val="clear" w:color="auto" w:fill="E6E6E6"/>
            <w:vAlign w:val="center"/>
          </w:tcPr>
          <w:p w14:paraId="303683B8"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24</w:t>
            </w:r>
          </w:p>
        </w:tc>
        <w:tc>
          <w:tcPr>
            <w:tcW w:w="659" w:type="dxa"/>
            <w:shd w:val="clear" w:color="auto" w:fill="E6E6E6"/>
            <w:vAlign w:val="center"/>
          </w:tcPr>
          <w:p w14:paraId="3667EEDB" w14:textId="77777777" w:rsidR="00DB29C1" w:rsidRPr="00D83239" w:rsidRDefault="00DB29C1" w:rsidP="00773D58">
            <w:pPr>
              <w:spacing w:before="80" w:after="80" w:line="276" w:lineRule="auto"/>
              <w:jc w:val="right"/>
              <w:rPr>
                <w:rFonts w:ascii="Arial" w:hAnsi="Arial" w:cs="Arial"/>
                <w:bCs/>
                <w:sz w:val="20"/>
                <w:szCs w:val="20"/>
              </w:rPr>
            </w:pPr>
            <w:r w:rsidRPr="00D83239">
              <w:rPr>
                <w:rFonts w:ascii="Arial" w:hAnsi="Arial" w:cs="Arial"/>
                <w:bCs/>
                <w:sz w:val="20"/>
                <w:szCs w:val="20"/>
              </w:rPr>
              <w:t>30</w:t>
            </w:r>
          </w:p>
        </w:tc>
      </w:tr>
      <w:tr w:rsidR="00DB29C1" w:rsidRPr="00D83239" w14:paraId="233D9330" w14:textId="77777777" w:rsidTr="00773D58">
        <w:trPr>
          <w:trHeight w:val="340"/>
          <w:jc w:val="center"/>
        </w:trPr>
        <w:tc>
          <w:tcPr>
            <w:tcW w:w="4077" w:type="dxa"/>
            <w:shd w:val="clear" w:color="auto" w:fill="FFFFFF"/>
            <w:vAlign w:val="center"/>
          </w:tcPr>
          <w:p w14:paraId="4251A6AC" w14:textId="77777777" w:rsidR="00DB29C1" w:rsidRPr="00D83239" w:rsidRDefault="00DB29C1" w:rsidP="00D83239">
            <w:pPr>
              <w:spacing w:before="80" w:after="80" w:line="276" w:lineRule="auto"/>
              <w:jc w:val="both"/>
              <w:rPr>
                <w:rFonts w:ascii="Arial" w:hAnsi="Arial" w:cs="Arial"/>
                <w:sz w:val="20"/>
                <w:szCs w:val="20"/>
              </w:rPr>
            </w:pPr>
            <w:r w:rsidRPr="00D83239">
              <w:rPr>
                <w:rFonts w:ascii="Arial" w:hAnsi="Arial" w:cs="Arial"/>
                <w:sz w:val="20"/>
                <w:szCs w:val="20"/>
              </w:rPr>
              <w:t>Varnostno območje</w:t>
            </w:r>
          </w:p>
        </w:tc>
        <w:tc>
          <w:tcPr>
            <w:tcW w:w="721" w:type="dxa"/>
            <w:shd w:val="clear" w:color="auto" w:fill="FFFFFF"/>
            <w:vAlign w:val="center"/>
          </w:tcPr>
          <w:p w14:paraId="5173EDA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5</w:t>
            </w:r>
          </w:p>
        </w:tc>
        <w:tc>
          <w:tcPr>
            <w:tcW w:w="721" w:type="dxa"/>
            <w:shd w:val="clear" w:color="auto" w:fill="FFFFFF"/>
            <w:vAlign w:val="center"/>
          </w:tcPr>
          <w:p w14:paraId="6770D8F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6</w:t>
            </w:r>
          </w:p>
        </w:tc>
        <w:tc>
          <w:tcPr>
            <w:tcW w:w="721" w:type="dxa"/>
            <w:shd w:val="clear" w:color="auto" w:fill="FFFFFF"/>
            <w:vAlign w:val="center"/>
          </w:tcPr>
          <w:p w14:paraId="6F413A0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5</w:t>
            </w:r>
          </w:p>
        </w:tc>
        <w:tc>
          <w:tcPr>
            <w:tcW w:w="721" w:type="dxa"/>
            <w:shd w:val="clear" w:color="auto" w:fill="FFFFFF"/>
            <w:vAlign w:val="center"/>
          </w:tcPr>
          <w:p w14:paraId="345BE96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w:t>
            </w:r>
          </w:p>
        </w:tc>
        <w:tc>
          <w:tcPr>
            <w:tcW w:w="721" w:type="dxa"/>
            <w:shd w:val="clear" w:color="auto" w:fill="FFFFFF"/>
            <w:vAlign w:val="center"/>
          </w:tcPr>
          <w:p w14:paraId="4515B337"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w:t>
            </w:r>
          </w:p>
        </w:tc>
        <w:tc>
          <w:tcPr>
            <w:tcW w:w="721" w:type="dxa"/>
            <w:shd w:val="clear" w:color="auto" w:fill="FFFFFF"/>
            <w:vAlign w:val="center"/>
          </w:tcPr>
          <w:p w14:paraId="6C89118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w:t>
            </w:r>
          </w:p>
        </w:tc>
        <w:tc>
          <w:tcPr>
            <w:tcW w:w="659" w:type="dxa"/>
            <w:shd w:val="clear" w:color="auto" w:fill="FFFFFF"/>
            <w:vAlign w:val="center"/>
          </w:tcPr>
          <w:p w14:paraId="617366D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22</w:t>
            </w:r>
          </w:p>
        </w:tc>
      </w:tr>
      <w:tr w:rsidR="00DB29C1" w:rsidRPr="00D83239" w14:paraId="419D7AE9" w14:textId="77777777" w:rsidTr="00773D58">
        <w:trPr>
          <w:trHeight w:val="340"/>
          <w:jc w:val="center"/>
        </w:trPr>
        <w:tc>
          <w:tcPr>
            <w:tcW w:w="4077" w:type="dxa"/>
            <w:shd w:val="clear" w:color="auto" w:fill="FFFFFF"/>
            <w:vAlign w:val="center"/>
          </w:tcPr>
          <w:p w14:paraId="0C4451B0" w14:textId="77777777" w:rsidR="00DB29C1" w:rsidRPr="00D83239" w:rsidRDefault="00DB29C1" w:rsidP="00D83239">
            <w:pPr>
              <w:spacing w:before="80" w:after="80" w:line="276" w:lineRule="auto"/>
              <w:jc w:val="both"/>
              <w:rPr>
                <w:rFonts w:ascii="Arial" w:hAnsi="Arial" w:cs="Arial"/>
                <w:sz w:val="20"/>
                <w:szCs w:val="20"/>
              </w:rPr>
            </w:pPr>
            <w:r w:rsidRPr="00D83239">
              <w:rPr>
                <w:rFonts w:ascii="Arial" w:hAnsi="Arial" w:cs="Arial"/>
                <w:sz w:val="20"/>
                <w:szCs w:val="20"/>
              </w:rPr>
              <w:t>Upravno območje</w:t>
            </w:r>
          </w:p>
        </w:tc>
        <w:tc>
          <w:tcPr>
            <w:tcW w:w="721" w:type="dxa"/>
            <w:shd w:val="clear" w:color="auto" w:fill="FFFFFF"/>
            <w:vAlign w:val="center"/>
          </w:tcPr>
          <w:p w14:paraId="33FE77B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3</w:t>
            </w:r>
          </w:p>
        </w:tc>
        <w:tc>
          <w:tcPr>
            <w:tcW w:w="721" w:type="dxa"/>
            <w:shd w:val="clear" w:color="auto" w:fill="FFFFFF"/>
            <w:vAlign w:val="center"/>
          </w:tcPr>
          <w:p w14:paraId="4443C32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8</w:t>
            </w:r>
          </w:p>
        </w:tc>
        <w:tc>
          <w:tcPr>
            <w:tcW w:w="721" w:type="dxa"/>
            <w:shd w:val="clear" w:color="auto" w:fill="FFFFFF"/>
            <w:vAlign w:val="center"/>
          </w:tcPr>
          <w:p w14:paraId="76A3A6C8"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13</w:t>
            </w:r>
          </w:p>
        </w:tc>
        <w:tc>
          <w:tcPr>
            <w:tcW w:w="721" w:type="dxa"/>
            <w:shd w:val="clear" w:color="auto" w:fill="FFFFFF"/>
            <w:vAlign w:val="center"/>
          </w:tcPr>
          <w:p w14:paraId="7F423625"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10</w:t>
            </w:r>
          </w:p>
        </w:tc>
        <w:tc>
          <w:tcPr>
            <w:tcW w:w="721" w:type="dxa"/>
            <w:shd w:val="clear" w:color="auto" w:fill="FFFFFF"/>
            <w:vAlign w:val="center"/>
          </w:tcPr>
          <w:p w14:paraId="2A24346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6</w:t>
            </w:r>
          </w:p>
        </w:tc>
        <w:tc>
          <w:tcPr>
            <w:tcW w:w="721" w:type="dxa"/>
            <w:shd w:val="clear" w:color="auto" w:fill="FFFFFF"/>
            <w:vAlign w:val="center"/>
          </w:tcPr>
          <w:p w14:paraId="49FC5E11"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6</w:t>
            </w:r>
          </w:p>
        </w:tc>
        <w:tc>
          <w:tcPr>
            <w:tcW w:w="659" w:type="dxa"/>
            <w:shd w:val="clear" w:color="auto" w:fill="FFFFFF"/>
            <w:vAlign w:val="center"/>
          </w:tcPr>
          <w:p w14:paraId="71B1808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15</w:t>
            </w:r>
          </w:p>
        </w:tc>
      </w:tr>
      <w:tr w:rsidR="00DB29C1" w:rsidRPr="00D83239" w14:paraId="20FCF26E" w14:textId="77777777" w:rsidTr="00773D58">
        <w:trPr>
          <w:trHeight w:val="340"/>
          <w:jc w:val="center"/>
        </w:trPr>
        <w:tc>
          <w:tcPr>
            <w:tcW w:w="4077" w:type="dxa"/>
            <w:shd w:val="clear" w:color="auto" w:fill="FFFFFF"/>
            <w:vAlign w:val="center"/>
          </w:tcPr>
          <w:p w14:paraId="518126D1" w14:textId="77777777" w:rsidR="00DB29C1" w:rsidRPr="00D83239" w:rsidRDefault="00DB29C1" w:rsidP="00D83239">
            <w:pPr>
              <w:spacing w:before="80" w:after="80" w:line="276" w:lineRule="auto"/>
              <w:jc w:val="both"/>
              <w:rPr>
                <w:rFonts w:ascii="Arial" w:hAnsi="Arial" w:cs="Arial"/>
                <w:sz w:val="20"/>
                <w:szCs w:val="20"/>
              </w:rPr>
            </w:pPr>
            <w:r w:rsidRPr="00D83239">
              <w:rPr>
                <w:rFonts w:ascii="Arial" w:hAnsi="Arial" w:cs="Arial"/>
                <w:sz w:val="20"/>
                <w:szCs w:val="20"/>
              </w:rPr>
              <w:t>Pri naročniku</w:t>
            </w:r>
          </w:p>
        </w:tc>
        <w:tc>
          <w:tcPr>
            <w:tcW w:w="721" w:type="dxa"/>
            <w:shd w:val="clear" w:color="auto" w:fill="FFFFFF"/>
            <w:vAlign w:val="center"/>
          </w:tcPr>
          <w:p w14:paraId="62BB088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w:t>
            </w:r>
          </w:p>
        </w:tc>
        <w:tc>
          <w:tcPr>
            <w:tcW w:w="721" w:type="dxa"/>
            <w:shd w:val="clear" w:color="auto" w:fill="FFFFFF"/>
            <w:vAlign w:val="center"/>
          </w:tcPr>
          <w:p w14:paraId="3C42EC6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w:t>
            </w:r>
          </w:p>
        </w:tc>
        <w:tc>
          <w:tcPr>
            <w:tcW w:w="721" w:type="dxa"/>
            <w:shd w:val="clear" w:color="auto" w:fill="FFFFFF"/>
            <w:vAlign w:val="center"/>
          </w:tcPr>
          <w:p w14:paraId="6E73D83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23</w:t>
            </w:r>
          </w:p>
        </w:tc>
        <w:tc>
          <w:tcPr>
            <w:tcW w:w="721" w:type="dxa"/>
            <w:shd w:val="clear" w:color="auto" w:fill="FFFFFF"/>
            <w:vAlign w:val="center"/>
          </w:tcPr>
          <w:p w14:paraId="6D3AF45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17</w:t>
            </w:r>
          </w:p>
        </w:tc>
        <w:tc>
          <w:tcPr>
            <w:tcW w:w="721" w:type="dxa"/>
            <w:shd w:val="clear" w:color="auto" w:fill="FFFFFF"/>
            <w:vAlign w:val="center"/>
          </w:tcPr>
          <w:p w14:paraId="09BDCF7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18</w:t>
            </w:r>
          </w:p>
        </w:tc>
        <w:tc>
          <w:tcPr>
            <w:tcW w:w="721" w:type="dxa"/>
            <w:shd w:val="clear" w:color="auto" w:fill="FFFFFF"/>
            <w:vAlign w:val="center"/>
          </w:tcPr>
          <w:p w14:paraId="51CD7BF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13</w:t>
            </w:r>
          </w:p>
        </w:tc>
        <w:tc>
          <w:tcPr>
            <w:tcW w:w="659" w:type="dxa"/>
            <w:shd w:val="clear" w:color="auto" w:fill="FFFFFF"/>
            <w:vAlign w:val="center"/>
          </w:tcPr>
          <w:p w14:paraId="5319D493"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24</w:t>
            </w:r>
          </w:p>
        </w:tc>
      </w:tr>
      <w:tr w:rsidR="00DB29C1" w:rsidRPr="00D83239" w14:paraId="585E3CA0" w14:textId="77777777" w:rsidTr="00773D58">
        <w:trPr>
          <w:trHeight w:val="340"/>
          <w:jc w:val="center"/>
        </w:trPr>
        <w:tc>
          <w:tcPr>
            <w:tcW w:w="4077" w:type="dxa"/>
            <w:shd w:val="clear" w:color="auto" w:fill="FFFFFF"/>
            <w:vAlign w:val="center"/>
          </w:tcPr>
          <w:p w14:paraId="22ED3670" w14:textId="77777777" w:rsidR="00DB29C1" w:rsidRPr="00D83239" w:rsidRDefault="00DB29C1" w:rsidP="00D83239">
            <w:pPr>
              <w:spacing w:before="80" w:after="80" w:line="276" w:lineRule="auto"/>
              <w:jc w:val="both"/>
              <w:rPr>
                <w:rFonts w:ascii="Arial" w:hAnsi="Arial" w:cs="Arial"/>
                <w:sz w:val="20"/>
                <w:szCs w:val="20"/>
              </w:rPr>
            </w:pPr>
            <w:r w:rsidRPr="00D83239">
              <w:rPr>
                <w:rFonts w:ascii="Arial" w:hAnsi="Arial" w:cs="Arial"/>
                <w:sz w:val="20"/>
                <w:szCs w:val="20"/>
              </w:rPr>
              <w:t>V organizaciji</w:t>
            </w:r>
          </w:p>
        </w:tc>
        <w:tc>
          <w:tcPr>
            <w:tcW w:w="721" w:type="dxa"/>
            <w:shd w:val="clear" w:color="auto" w:fill="FFFFFF"/>
            <w:vAlign w:val="center"/>
          </w:tcPr>
          <w:p w14:paraId="014E1D5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w:t>
            </w:r>
          </w:p>
        </w:tc>
        <w:tc>
          <w:tcPr>
            <w:tcW w:w="721" w:type="dxa"/>
            <w:shd w:val="clear" w:color="auto" w:fill="FFFFFF"/>
            <w:vAlign w:val="center"/>
          </w:tcPr>
          <w:p w14:paraId="2CC7498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w:t>
            </w:r>
          </w:p>
        </w:tc>
        <w:tc>
          <w:tcPr>
            <w:tcW w:w="721" w:type="dxa"/>
            <w:shd w:val="clear" w:color="auto" w:fill="FFFFFF"/>
            <w:vAlign w:val="center"/>
          </w:tcPr>
          <w:p w14:paraId="745B7942"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w:t>
            </w:r>
          </w:p>
        </w:tc>
        <w:tc>
          <w:tcPr>
            <w:tcW w:w="721" w:type="dxa"/>
            <w:shd w:val="clear" w:color="auto" w:fill="FFFFFF"/>
            <w:vAlign w:val="center"/>
          </w:tcPr>
          <w:p w14:paraId="7447C26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w:t>
            </w:r>
          </w:p>
        </w:tc>
        <w:tc>
          <w:tcPr>
            <w:tcW w:w="721" w:type="dxa"/>
            <w:shd w:val="clear" w:color="auto" w:fill="FFFFFF"/>
            <w:vAlign w:val="center"/>
          </w:tcPr>
          <w:p w14:paraId="7FFB22AB"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w:t>
            </w:r>
          </w:p>
        </w:tc>
        <w:tc>
          <w:tcPr>
            <w:tcW w:w="721" w:type="dxa"/>
            <w:shd w:val="clear" w:color="auto" w:fill="FFFFFF"/>
            <w:vAlign w:val="center"/>
          </w:tcPr>
          <w:p w14:paraId="606DEE2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w:t>
            </w:r>
          </w:p>
        </w:tc>
        <w:tc>
          <w:tcPr>
            <w:tcW w:w="659" w:type="dxa"/>
            <w:shd w:val="clear" w:color="auto" w:fill="FFFFFF"/>
            <w:vAlign w:val="center"/>
          </w:tcPr>
          <w:p w14:paraId="745768D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13</w:t>
            </w:r>
          </w:p>
        </w:tc>
      </w:tr>
      <w:tr w:rsidR="00DB29C1" w:rsidRPr="00D83239" w14:paraId="3C025DF5" w14:textId="77777777" w:rsidTr="00773D58">
        <w:trPr>
          <w:trHeight w:val="340"/>
          <w:jc w:val="center"/>
        </w:trPr>
        <w:tc>
          <w:tcPr>
            <w:tcW w:w="4077" w:type="dxa"/>
            <w:shd w:val="clear" w:color="auto" w:fill="FFFFFF"/>
            <w:vAlign w:val="center"/>
          </w:tcPr>
          <w:p w14:paraId="3248A044" w14:textId="77777777" w:rsidR="00DB29C1" w:rsidRPr="00D83239" w:rsidRDefault="00DB29C1" w:rsidP="00D83239">
            <w:pPr>
              <w:spacing w:before="80" w:after="80" w:line="276" w:lineRule="auto"/>
              <w:jc w:val="both"/>
              <w:rPr>
                <w:rFonts w:ascii="Arial" w:hAnsi="Arial" w:cs="Arial"/>
                <w:sz w:val="20"/>
                <w:szCs w:val="20"/>
              </w:rPr>
            </w:pPr>
            <w:r w:rsidRPr="00D83239">
              <w:rPr>
                <w:rFonts w:ascii="Arial" w:hAnsi="Arial" w:cs="Arial"/>
                <w:sz w:val="20"/>
                <w:szCs w:val="20"/>
              </w:rPr>
              <w:t>Zavrnitev izdaje dovoljenja</w:t>
            </w:r>
          </w:p>
        </w:tc>
        <w:tc>
          <w:tcPr>
            <w:tcW w:w="721" w:type="dxa"/>
            <w:shd w:val="clear" w:color="auto" w:fill="FFFFFF"/>
            <w:vAlign w:val="center"/>
          </w:tcPr>
          <w:p w14:paraId="273917E3"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5456285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0857943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22DEA5D4"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528C7C4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728957FB"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59" w:type="dxa"/>
            <w:shd w:val="clear" w:color="auto" w:fill="FFFFFF"/>
            <w:vAlign w:val="center"/>
          </w:tcPr>
          <w:p w14:paraId="1A01395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r>
      <w:tr w:rsidR="00DB29C1" w:rsidRPr="00D83239" w14:paraId="73A589ED" w14:textId="77777777" w:rsidTr="00773D58">
        <w:trPr>
          <w:trHeight w:val="340"/>
          <w:jc w:val="center"/>
        </w:trPr>
        <w:tc>
          <w:tcPr>
            <w:tcW w:w="4077" w:type="dxa"/>
            <w:shd w:val="clear" w:color="auto" w:fill="FFFFFF"/>
            <w:vAlign w:val="center"/>
          </w:tcPr>
          <w:p w14:paraId="41DB4A2F" w14:textId="77777777" w:rsidR="00DB29C1" w:rsidRPr="00D83239" w:rsidRDefault="00DB29C1" w:rsidP="00D83239">
            <w:pPr>
              <w:spacing w:before="80" w:after="80" w:line="276" w:lineRule="auto"/>
              <w:jc w:val="both"/>
              <w:rPr>
                <w:rFonts w:ascii="Arial" w:hAnsi="Arial" w:cs="Arial"/>
                <w:sz w:val="20"/>
                <w:szCs w:val="20"/>
              </w:rPr>
            </w:pPr>
            <w:r w:rsidRPr="00D83239">
              <w:rPr>
                <w:rFonts w:ascii="Arial" w:hAnsi="Arial" w:cs="Arial"/>
                <w:sz w:val="20"/>
                <w:szCs w:val="20"/>
              </w:rPr>
              <w:t>Zavrženi predlogi</w:t>
            </w:r>
          </w:p>
        </w:tc>
        <w:tc>
          <w:tcPr>
            <w:tcW w:w="721" w:type="dxa"/>
            <w:shd w:val="clear" w:color="auto" w:fill="FFFFFF"/>
            <w:vAlign w:val="center"/>
          </w:tcPr>
          <w:p w14:paraId="14B9C02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w:t>
            </w:r>
          </w:p>
        </w:tc>
        <w:tc>
          <w:tcPr>
            <w:tcW w:w="721" w:type="dxa"/>
            <w:shd w:val="clear" w:color="auto" w:fill="FFFFFF"/>
            <w:vAlign w:val="center"/>
          </w:tcPr>
          <w:p w14:paraId="350E1C52"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w:t>
            </w:r>
          </w:p>
        </w:tc>
        <w:tc>
          <w:tcPr>
            <w:tcW w:w="721" w:type="dxa"/>
            <w:shd w:val="clear" w:color="auto" w:fill="FFFFFF"/>
            <w:vAlign w:val="center"/>
          </w:tcPr>
          <w:p w14:paraId="7961427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w:t>
            </w:r>
          </w:p>
        </w:tc>
        <w:tc>
          <w:tcPr>
            <w:tcW w:w="721" w:type="dxa"/>
            <w:shd w:val="clear" w:color="auto" w:fill="FFFFFF"/>
            <w:vAlign w:val="center"/>
          </w:tcPr>
          <w:p w14:paraId="233EBBE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w:t>
            </w:r>
          </w:p>
        </w:tc>
        <w:tc>
          <w:tcPr>
            <w:tcW w:w="721" w:type="dxa"/>
            <w:shd w:val="clear" w:color="auto" w:fill="FFFFFF"/>
            <w:vAlign w:val="center"/>
          </w:tcPr>
          <w:p w14:paraId="38BC22A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248B2DC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59" w:type="dxa"/>
            <w:shd w:val="clear" w:color="auto" w:fill="FFFFFF"/>
            <w:vAlign w:val="center"/>
          </w:tcPr>
          <w:p w14:paraId="0A68DAFB"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r>
      <w:tr w:rsidR="00DB29C1" w:rsidRPr="00D83239" w14:paraId="09DEA03D" w14:textId="77777777" w:rsidTr="00773D58">
        <w:trPr>
          <w:trHeight w:val="340"/>
          <w:jc w:val="center"/>
        </w:trPr>
        <w:tc>
          <w:tcPr>
            <w:tcW w:w="4077" w:type="dxa"/>
            <w:shd w:val="clear" w:color="auto" w:fill="FFFFFF"/>
            <w:vAlign w:val="center"/>
          </w:tcPr>
          <w:p w14:paraId="30A93286" w14:textId="77777777" w:rsidR="00DB29C1" w:rsidRPr="00D83239" w:rsidRDefault="00DB29C1" w:rsidP="00D83239">
            <w:pPr>
              <w:spacing w:before="80" w:after="80" w:line="276" w:lineRule="auto"/>
              <w:jc w:val="both"/>
              <w:rPr>
                <w:rFonts w:ascii="Arial" w:hAnsi="Arial" w:cs="Arial"/>
                <w:sz w:val="20"/>
                <w:szCs w:val="20"/>
              </w:rPr>
            </w:pPr>
            <w:r w:rsidRPr="00D83239">
              <w:rPr>
                <w:rFonts w:ascii="Arial" w:hAnsi="Arial" w:cs="Arial"/>
                <w:sz w:val="20"/>
                <w:szCs w:val="20"/>
              </w:rPr>
              <w:t>Tožba na zavrnilno odločbo</w:t>
            </w:r>
          </w:p>
        </w:tc>
        <w:tc>
          <w:tcPr>
            <w:tcW w:w="721" w:type="dxa"/>
            <w:shd w:val="clear" w:color="auto" w:fill="FFFFFF"/>
            <w:vAlign w:val="center"/>
          </w:tcPr>
          <w:p w14:paraId="66040808"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43B51471"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14DDFE5B"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2373B197"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2870C11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08ACD4B8"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59" w:type="dxa"/>
            <w:shd w:val="clear" w:color="auto" w:fill="FFFFFF"/>
            <w:vAlign w:val="center"/>
          </w:tcPr>
          <w:p w14:paraId="69695B4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r>
      <w:tr w:rsidR="00DB29C1" w:rsidRPr="00D83239" w14:paraId="64632FDB" w14:textId="77777777" w:rsidTr="00773D58">
        <w:trPr>
          <w:trHeight w:val="340"/>
          <w:jc w:val="center"/>
        </w:trPr>
        <w:tc>
          <w:tcPr>
            <w:tcW w:w="4077" w:type="dxa"/>
            <w:shd w:val="clear" w:color="auto" w:fill="FFFFFF"/>
            <w:vAlign w:val="center"/>
          </w:tcPr>
          <w:p w14:paraId="3CB5EC8C" w14:textId="77777777" w:rsidR="00DB29C1" w:rsidRPr="00D83239" w:rsidRDefault="00DB29C1" w:rsidP="00D83239">
            <w:pPr>
              <w:spacing w:before="80" w:after="80" w:line="276" w:lineRule="auto"/>
              <w:jc w:val="both"/>
              <w:rPr>
                <w:rFonts w:ascii="Arial" w:hAnsi="Arial" w:cs="Arial"/>
                <w:sz w:val="20"/>
                <w:szCs w:val="20"/>
              </w:rPr>
            </w:pPr>
            <w:r w:rsidRPr="00D83239">
              <w:rPr>
                <w:rFonts w:ascii="Arial" w:hAnsi="Arial" w:cs="Arial"/>
                <w:sz w:val="20"/>
                <w:szCs w:val="20"/>
              </w:rPr>
              <w:t>Ustavljen postopek</w:t>
            </w:r>
          </w:p>
        </w:tc>
        <w:tc>
          <w:tcPr>
            <w:tcW w:w="721" w:type="dxa"/>
            <w:shd w:val="clear" w:color="auto" w:fill="FFFFFF"/>
            <w:vAlign w:val="center"/>
          </w:tcPr>
          <w:p w14:paraId="2A408D07"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w:t>
            </w:r>
          </w:p>
        </w:tc>
        <w:tc>
          <w:tcPr>
            <w:tcW w:w="721" w:type="dxa"/>
            <w:shd w:val="clear" w:color="auto" w:fill="FFFFFF"/>
            <w:vAlign w:val="center"/>
          </w:tcPr>
          <w:p w14:paraId="096F1B0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3</w:t>
            </w:r>
          </w:p>
        </w:tc>
        <w:tc>
          <w:tcPr>
            <w:tcW w:w="721" w:type="dxa"/>
            <w:shd w:val="clear" w:color="auto" w:fill="FFFFFF"/>
            <w:vAlign w:val="center"/>
          </w:tcPr>
          <w:p w14:paraId="066D0BC7"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3</w:t>
            </w:r>
          </w:p>
        </w:tc>
        <w:tc>
          <w:tcPr>
            <w:tcW w:w="721" w:type="dxa"/>
            <w:shd w:val="clear" w:color="auto" w:fill="FFFFFF"/>
            <w:vAlign w:val="center"/>
          </w:tcPr>
          <w:p w14:paraId="20698D2A"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0C593CC2"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567C904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659" w:type="dxa"/>
            <w:shd w:val="clear" w:color="auto" w:fill="FFFFFF"/>
            <w:vAlign w:val="center"/>
          </w:tcPr>
          <w:p w14:paraId="03B8D229"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w:t>
            </w:r>
          </w:p>
        </w:tc>
      </w:tr>
      <w:tr w:rsidR="00DB29C1" w:rsidRPr="00D83239" w14:paraId="1C15B488" w14:textId="77777777" w:rsidTr="00773D58">
        <w:trPr>
          <w:trHeight w:val="340"/>
          <w:jc w:val="center"/>
        </w:trPr>
        <w:tc>
          <w:tcPr>
            <w:tcW w:w="4077" w:type="dxa"/>
            <w:shd w:val="clear" w:color="auto" w:fill="FFFFFF"/>
            <w:vAlign w:val="center"/>
          </w:tcPr>
          <w:p w14:paraId="4C2FD0E8" w14:textId="77777777" w:rsidR="00DB29C1" w:rsidRPr="00D83239" w:rsidRDefault="00DB29C1" w:rsidP="00D83239">
            <w:pPr>
              <w:spacing w:before="80" w:after="80" w:line="276" w:lineRule="auto"/>
              <w:jc w:val="both"/>
              <w:rPr>
                <w:rFonts w:ascii="Arial" w:hAnsi="Arial" w:cs="Arial"/>
                <w:sz w:val="20"/>
                <w:szCs w:val="20"/>
              </w:rPr>
            </w:pPr>
            <w:r w:rsidRPr="00D83239">
              <w:rPr>
                <w:rFonts w:ascii="Arial" w:hAnsi="Arial" w:cs="Arial"/>
                <w:sz w:val="20"/>
                <w:szCs w:val="20"/>
              </w:rPr>
              <w:t>Preklic dovoljenja</w:t>
            </w:r>
          </w:p>
        </w:tc>
        <w:tc>
          <w:tcPr>
            <w:tcW w:w="721" w:type="dxa"/>
            <w:shd w:val="clear" w:color="auto" w:fill="FFFFFF"/>
            <w:vAlign w:val="center"/>
          </w:tcPr>
          <w:p w14:paraId="616E20C8"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w:t>
            </w:r>
          </w:p>
        </w:tc>
        <w:tc>
          <w:tcPr>
            <w:tcW w:w="721" w:type="dxa"/>
            <w:shd w:val="clear" w:color="auto" w:fill="FFFFFF"/>
            <w:vAlign w:val="center"/>
          </w:tcPr>
          <w:p w14:paraId="58EC83F4"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w:t>
            </w:r>
          </w:p>
        </w:tc>
        <w:tc>
          <w:tcPr>
            <w:tcW w:w="721" w:type="dxa"/>
            <w:shd w:val="clear" w:color="auto" w:fill="FFFFFF"/>
            <w:vAlign w:val="center"/>
          </w:tcPr>
          <w:p w14:paraId="048F05A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w:t>
            </w:r>
          </w:p>
        </w:tc>
        <w:tc>
          <w:tcPr>
            <w:tcW w:w="721" w:type="dxa"/>
            <w:shd w:val="clear" w:color="auto" w:fill="FFFFFF"/>
            <w:vAlign w:val="center"/>
          </w:tcPr>
          <w:p w14:paraId="7DD9961C"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1F60AF54"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w:t>
            </w:r>
          </w:p>
        </w:tc>
        <w:tc>
          <w:tcPr>
            <w:tcW w:w="721" w:type="dxa"/>
            <w:shd w:val="clear" w:color="auto" w:fill="FFFFFF"/>
            <w:vAlign w:val="center"/>
          </w:tcPr>
          <w:p w14:paraId="5B32E66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1</w:t>
            </w:r>
          </w:p>
        </w:tc>
        <w:tc>
          <w:tcPr>
            <w:tcW w:w="659" w:type="dxa"/>
            <w:shd w:val="clear" w:color="auto" w:fill="FFFFFF"/>
            <w:vAlign w:val="center"/>
          </w:tcPr>
          <w:p w14:paraId="4ABEFDA6"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r>
      <w:tr w:rsidR="00DB29C1" w:rsidRPr="00D83239" w14:paraId="5EB61B68" w14:textId="77777777" w:rsidTr="00773D58">
        <w:trPr>
          <w:trHeight w:val="340"/>
          <w:jc w:val="center"/>
        </w:trPr>
        <w:tc>
          <w:tcPr>
            <w:tcW w:w="4077" w:type="dxa"/>
            <w:shd w:val="clear" w:color="auto" w:fill="FFFFFF"/>
            <w:vAlign w:val="center"/>
          </w:tcPr>
          <w:p w14:paraId="07BB761D" w14:textId="77777777" w:rsidR="00DB29C1" w:rsidRPr="00D83239" w:rsidRDefault="00DB29C1" w:rsidP="00D83239">
            <w:pPr>
              <w:spacing w:before="80" w:after="80" w:line="276" w:lineRule="auto"/>
              <w:jc w:val="both"/>
              <w:rPr>
                <w:rFonts w:ascii="Arial" w:hAnsi="Arial" w:cs="Arial"/>
                <w:sz w:val="20"/>
                <w:szCs w:val="20"/>
              </w:rPr>
            </w:pPr>
            <w:r w:rsidRPr="00D83239">
              <w:rPr>
                <w:rFonts w:ascii="Arial" w:hAnsi="Arial" w:cs="Arial"/>
                <w:sz w:val="20"/>
                <w:szCs w:val="20"/>
              </w:rPr>
              <w:t>Vmesno varnostno preverjanje</w:t>
            </w:r>
          </w:p>
        </w:tc>
        <w:tc>
          <w:tcPr>
            <w:tcW w:w="721" w:type="dxa"/>
            <w:shd w:val="clear" w:color="auto" w:fill="FFFFFF"/>
            <w:vAlign w:val="center"/>
          </w:tcPr>
          <w:p w14:paraId="3DAEEC8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7AB6025D"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33859083"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2605CCA1"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47880A90"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0</w:t>
            </w:r>
          </w:p>
        </w:tc>
        <w:tc>
          <w:tcPr>
            <w:tcW w:w="721" w:type="dxa"/>
            <w:shd w:val="clear" w:color="auto" w:fill="FFFFFF"/>
            <w:vAlign w:val="center"/>
          </w:tcPr>
          <w:p w14:paraId="490A1A7E"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2</w:t>
            </w:r>
          </w:p>
        </w:tc>
        <w:tc>
          <w:tcPr>
            <w:tcW w:w="659" w:type="dxa"/>
            <w:shd w:val="clear" w:color="auto" w:fill="FFFFFF"/>
            <w:vAlign w:val="center"/>
          </w:tcPr>
          <w:p w14:paraId="23A727FF" w14:textId="77777777" w:rsidR="00DB29C1" w:rsidRPr="00D83239" w:rsidRDefault="00DB29C1" w:rsidP="00773D58">
            <w:pPr>
              <w:spacing w:before="80" w:after="80" w:line="276" w:lineRule="auto"/>
              <w:jc w:val="right"/>
              <w:rPr>
                <w:rFonts w:ascii="Arial" w:hAnsi="Arial" w:cs="Arial"/>
                <w:sz w:val="20"/>
                <w:szCs w:val="20"/>
              </w:rPr>
            </w:pPr>
            <w:r w:rsidRPr="00D83239">
              <w:rPr>
                <w:rFonts w:ascii="Arial" w:hAnsi="Arial" w:cs="Arial"/>
                <w:sz w:val="20"/>
                <w:szCs w:val="20"/>
              </w:rPr>
              <w:t>3</w:t>
            </w:r>
          </w:p>
        </w:tc>
      </w:tr>
    </w:tbl>
    <w:p w14:paraId="054603D0" w14:textId="77777777" w:rsidR="00773D58" w:rsidRDefault="00773D58" w:rsidP="00D83239">
      <w:pPr>
        <w:tabs>
          <w:tab w:val="left" w:pos="851"/>
        </w:tabs>
        <w:spacing w:after="0" w:line="276" w:lineRule="auto"/>
        <w:jc w:val="both"/>
        <w:rPr>
          <w:rFonts w:ascii="Arial" w:hAnsi="Arial" w:cs="Arial"/>
          <w:b/>
          <w:color w:val="000000"/>
          <w:sz w:val="20"/>
          <w:szCs w:val="20"/>
        </w:rPr>
      </w:pPr>
    </w:p>
    <w:p w14:paraId="0B464059" w14:textId="6CB56A2F" w:rsidR="00DB29C1" w:rsidRPr="00D83239" w:rsidRDefault="00DB29C1" w:rsidP="00D83239">
      <w:pPr>
        <w:tabs>
          <w:tab w:val="left" w:pos="851"/>
        </w:tabs>
        <w:spacing w:after="0" w:line="276" w:lineRule="auto"/>
        <w:jc w:val="both"/>
        <w:rPr>
          <w:rFonts w:ascii="Arial" w:hAnsi="Arial" w:cs="Arial"/>
          <w:color w:val="000000"/>
          <w:sz w:val="20"/>
          <w:szCs w:val="20"/>
        </w:rPr>
      </w:pPr>
      <w:r w:rsidRPr="00D83239">
        <w:rPr>
          <w:rFonts w:ascii="Arial" w:hAnsi="Arial" w:cs="Arial"/>
          <w:b/>
          <w:color w:val="000000"/>
          <w:sz w:val="20"/>
          <w:szCs w:val="20"/>
        </w:rPr>
        <w:t>Preglednica</w:t>
      </w:r>
      <w:r w:rsidRPr="00D83239">
        <w:rPr>
          <w:rFonts w:ascii="Arial" w:hAnsi="Arial" w:cs="Arial"/>
          <w:sz w:val="20"/>
          <w:szCs w:val="20"/>
        </w:rPr>
        <w:t xml:space="preserve">: </w:t>
      </w:r>
      <w:r w:rsidRPr="00D83239">
        <w:rPr>
          <w:rFonts w:ascii="Arial" w:hAnsi="Arial" w:cs="Arial"/>
          <w:color w:val="000000"/>
          <w:sz w:val="20"/>
          <w:szCs w:val="20"/>
        </w:rPr>
        <w:t>Varnostna dovoljenja</w:t>
      </w:r>
      <w:r w:rsidR="00773D58">
        <w:rPr>
          <w:rFonts w:ascii="Arial" w:hAnsi="Arial" w:cs="Arial"/>
          <w:color w:val="000000"/>
          <w:sz w:val="20"/>
          <w:szCs w:val="20"/>
        </w:rPr>
        <w:t xml:space="preserve"> za organizacije v obdobju 2019</w:t>
      </w:r>
      <w:r w:rsidR="00E40FE6">
        <w:rPr>
          <w:rFonts w:ascii="Arial" w:hAnsi="Arial" w:cs="Arial"/>
          <w:color w:val="000000"/>
          <w:sz w:val="20"/>
          <w:szCs w:val="20"/>
        </w:rPr>
        <w:t>–</w:t>
      </w:r>
      <w:r w:rsidRPr="00D83239">
        <w:rPr>
          <w:rFonts w:ascii="Arial" w:hAnsi="Arial" w:cs="Arial"/>
          <w:color w:val="000000"/>
          <w:sz w:val="20"/>
          <w:szCs w:val="20"/>
        </w:rPr>
        <w:t>2025</w:t>
      </w:r>
    </w:p>
    <w:p w14:paraId="211F4876" w14:textId="77777777" w:rsidR="00DB29C1" w:rsidRPr="00D83239" w:rsidRDefault="00DB29C1" w:rsidP="00D83239">
      <w:pPr>
        <w:tabs>
          <w:tab w:val="left" w:pos="2520"/>
        </w:tabs>
        <w:spacing w:after="0" w:line="276" w:lineRule="auto"/>
        <w:jc w:val="both"/>
        <w:rPr>
          <w:rFonts w:ascii="Arial" w:hAnsi="Arial" w:cs="Arial"/>
          <w:sz w:val="20"/>
          <w:szCs w:val="20"/>
          <w:highlight w:val="yellow"/>
        </w:rPr>
      </w:pPr>
    </w:p>
    <w:p w14:paraId="5E5ABEE7" w14:textId="49C386E1" w:rsidR="009433E0" w:rsidRPr="00D83239" w:rsidRDefault="009433E0" w:rsidP="009433E0">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Od skup</w:t>
      </w:r>
      <w:r w:rsidR="00E40FE6">
        <w:rPr>
          <w:rFonts w:ascii="Arial" w:eastAsia="Times New Roman" w:hAnsi="Arial" w:cs="Arial"/>
          <w:sz w:val="20"/>
          <w:szCs w:val="20"/>
          <w:lang w:eastAsia="sl-SI"/>
        </w:rPr>
        <w:t>no</w:t>
      </w:r>
      <w:r w:rsidRPr="00D83239">
        <w:rPr>
          <w:rFonts w:ascii="Arial" w:eastAsia="Times New Roman" w:hAnsi="Arial" w:cs="Arial"/>
          <w:sz w:val="20"/>
          <w:szCs w:val="20"/>
          <w:lang w:eastAsia="sl-SI"/>
        </w:rPr>
        <w:t xml:space="preserve"> 2.802 (4.566) v letu 2025 uvedenih postopkov izdaje dovoljenj</w:t>
      </w:r>
      <w:r w:rsidR="00E40FE6">
        <w:rPr>
          <w:rFonts w:ascii="Arial" w:eastAsia="Times New Roman" w:hAnsi="Arial" w:cs="Arial"/>
          <w:sz w:val="20"/>
          <w:szCs w:val="20"/>
          <w:lang w:eastAsia="sl-SI"/>
        </w:rPr>
        <w:t>a</w:t>
      </w:r>
      <w:r w:rsidRPr="00D83239">
        <w:rPr>
          <w:rFonts w:ascii="Arial" w:eastAsia="Times New Roman" w:hAnsi="Arial" w:cs="Arial"/>
          <w:sz w:val="20"/>
          <w:szCs w:val="20"/>
          <w:lang w:eastAsia="sl-SI"/>
        </w:rPr>
        <w:t xml:space="preserve"> za dostop do tajnih podatkov fizičnim osebam in organizacijam je bilo v letu 2025 rešenih </w:t>
      </w:r>
      <w:r w:rsidR="000B29FC" w:rsidRPr="00D83239">
        <w:rPr>
          <w:rFonts w:ascii="Arial" w:eastAsia="Times New Roman" w:hAnsi="Arial" w:cs="Arial"/>
          <w:sz w:val="20"/>
          <w:szCs w:val="20"/>
          <w:lang w:eastAsia="sl-SI"/>
        </w:rPr>
        <w:t xml:space="preserve">skupno </w:t>
      </w:r>
      <w:r w:rsidRPr="00D83239">
        <w:rPr>
          <w:rFonts w:ascii="Arial" w:eastAsia="Times New Roman" w:hAnsi="Arial" w:cs="Arial"/>
          <w:sz w:val="20"/>
          <w:szCs w:val="20"/>
          <w:lang w:eastAsia="sl-SI"/>
        </w:rPr>
        <w:t>2.680 (4.117) postopkov, v reševanju pa jih je ostalo še 122 (449). V reševanju so ostali postopki, ki so bili začeti konec leta 2025</w:t>
      </w:r>
      <w:r w:rsidR="00E40FE6">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in tisti, pri katerih organ čaka na dopolnit</w:t>
      </w:r>
      <w:r w:rsidR="00E40FE6">
        <w:rPr>
          <w:rFonts w:ascii="Arial" w:eastAsia="Times New Roman" w:hAnsi="Arial" w:cs="Arial"/>
          <w:sz w:val="20"/>
          <w:szCs w:val="20"/>
          <w:lang w:eastAsia="sl-SI"/>
        </w:rPr>
        <w:t>e</w:t>
      </w:r>
      <w:r w:rsidRPr="00D83239">
        <w:rPr>
          <w:rFonts w:ascii="Arial" w:eastAsia="Times New Roman" w:hAnsi="Arial" w:cs="Arial"/>
          <w:sz w:val="20"/>
          <w:szCs w:val="20"/>
          <w:lang w:eastAsia="sl-SI"/>
        </w:rPr>
        <w:t xml:space="preserve">v vlog s strani vlagateljev in </w:t>
      </w:r>
      <w:r w:rsidR="00E40FE6">
        <w:rPr>
          <w:rFonts w:ascii="Arial" w:eastAsia="Times New Roman" w:hAnsi="Arial" w:cs="Arial"/>
          <w:sz w:val="20"/>
          <w:szCs w:val="20"/>
          <w:lang w:eastAsia="sl-SI"/>
        </w:rPr>
        <w:t xml:space="preserve">na </w:t>
      </w:r>
      <w:r w:rsidRPr="00D83239">
        <w:rPr>
          <w:rFonts w:ascii="Arial" w:eastAsia="Times New Roman" w:hAnsi="Arial" w:cs="Arial"/>
          <w:sz w:val="20"/>
          <w:szCs w:val="20"/>
          <w:lang w:eastAsia="sl-SI"/>
        </w:rPr>
        <w:t>odgovore drugih pristojnih organov v R</w:t>
      </w:r>
      <w:r>
        <w:rPr>
          <w:rFonts w:ascii="Arial" w:eastAsia="Times New Roman" w:hAnsi="Arial" w:cs="Arial"/>
          <w:sz w:val="20"/>
          <w:szCs w:val="20"/>
          <w:lang w:eastAsia="sl-SI"/>
        </w:rPr>
        <w:t>epubliki</w:t>
      </w:r>
      <w:r w:rsidRPr="00D83239">
        <w:rPr>
          <w:rFonts w:ascii="Arial" w:eastAsia="Times New Roman" w:hAnsi="Arial" w:cs="Arial"/>
          <w:sz w:val="20"/>
          <w:szCs w:val="20"/>
          <w:lang w:eastAsia="sl-SI"/>
        </w:rPr>
        <w:t xml:space="preserve"> Sloveniji v postopkih varnostnih preverjanj. Podatki kažejo na zelo učinkovito delo organa, saj </w:t>
      </w:r>
      <w:r w:rsidR="00E40FE6">
        <w:rPr>
          <w:rFonts w:ascii="Arial" w:eastAsia="Times New Roman" w:hAnsi="Arial" w:cs="Arial"/>
          <w:sz w:val="20"/>
          <w:szCs w:val="20"/>
          <w:lang w:eastAsia="sl-SI"/>
        </w:rPr>
        <w:t xml:space="preserve">mu </w:t>
      </w:r>
      <w:r w:rsidRPr="00D83239">
        <w:rPr>
          <w:rFonts w:ascii="Arial" w:eastAsia="Times New Roman" w:hAnsi="Arial" w:cs="Arial"/>
          <w:sz w:val="20"/>
          <w:szCs w:val="20"/>
          <w:lang w:eastAsia="sl-SI"/>
        </w:rPr>
        <w:t>je kljub občutnemu povečanju pripada vlog v letu 2025, reševanju še nerešenih vlog iz leta 2024 (450) in pomanjkanju kadra na področju reševanja vlog za izdajo dovoljenj osebam in organizacijam uspel</w:t>
      </w:r>
      <w:r w:rsidR="00E40FE6">
        <w:rPr>
          <w:rFonts w:ascii="Arial" w:eastAsia="Times New Roman" w:hAnsi="Arial" w:cs="Arial"/>
          <w:sz w:val="20"/>
          <w:szCs w:val="20"/>
          <w:lang w:eastAsia="sl-SI"/>
        </w:rPr>
        <w:t>o</w:t>
      </w:r>
      <w:r w:rsidRPr="00D83239">
        <w:rPr>
          <w:rFonts w:ascii="Arial" w:eastAsia="Times New Roman" w:hAnsi="Arial" w:cs="Arial"/>
          <w:sz w:val="20"/>
          <w:szCs w:val="20"/>
          <w:lang w:eastAsia="sl-SI"/>
        </w:rPr>
        <w:t xml:space="preserve"> rešiti večino vlog</w:t>
      </w:r>
      <w:r>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vloženih v letu 2025</w:t>
      </w:r>
      <w:r w:rsidR="00E40FE6">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in še vse preostale nerešene vloge iz leta 2024. </w:t>
      </w:r>
      <w:r>
        <w:rPr>
          <w:rFonts w:ascii="Arial" w:eastAsia="Times New Roman" w:hAnsi="Arial" w:cs="Arial"/>
          <w:sz w:val="20"/>
          <w:szCs w:val="20"/>
          <w:lang w:eastAsia="sl-SI"/>
        </w:rPr>
        <w:t>V</w:t>
      </w:r>
      <w:r w:rsidRPr="00D83239">
        <w:rPr>
          <w:rFonts w:ascii="Arial" w:eastAsia="Times New Roman" w:hAnsi="Arial" w:cs="Arial"/>
          <w:sz w:val="20"/>
          <w:szCs w:val="20"/>
          <w:lang w:eastAsia="sl-SI"/>
        </w:rPr>
        <w:t xml:space="preserve"> letu 2024 je </w:t>
      </w:r>
      <w:r>
        <w:rPr>
          <w:rFonts w:ascii="Arial" w:eastAsia="Times New Roman" w:hAnsi="Arial" w:cs="Arial"/>
          <w:sz w:val="20"/>
          <w:szCs w:val="20"/>
          <w:lang w:eastAsia="sl-SI"/>
        </w:rPr>
        <w:t xml:space="preserve">namreč </w:t>
      </w:r>
      <w:r w:rsidRPr="00D83239">
        <w:rPr>
          <w:rFonts w:ascii="Arial" w:eastAsia="Times New Roman" w:hAnsi="Arial" w:cs="Arial"/>
          <w:sz w:val="20"/>
          <w:szCs w:val="20"/>
          <w:lang w:eastAsia="sl-SI"/>
        </w:rPr>
        <w:t xml:space="preserve">organ </w:t>
      </w:r>
      <w:r w:rsidR="00E40FE6">
        <w:rPr>
          <w:rFonts w:ascii="Arial" w:eastAsia="Times New Roman" w:hAnsi="Arial" w:cs="Arial"/>
          <w:sz w:val="20"/>
          <w:szCs w:val="20"/>
          <w:lang w:eastAsia="sl-SI"/>
        </w:rPr>
        <w:t>evidentira</w:t>
      </w:r>
      <w:r>
        <w:rPr>
          <w:rFonts w:ascii="Arial" w:eastAsia="Times New Roman" w:hAnsi="Arial" w:cs="Arial"/>
          <w:sz w:val="20"/>
          <w:szCs w:val="20"/>
          <w:lang w:eastAsia="sl-SI"/>
        </w:rPr>
        <w:t>l</w:t>
      </w:r>
      <w:r w:rsidRPr="00D83239">
        <w:rPr>
          <w:rFonts w:ascii="Arial" w:eastAsia="Times New Roman" w:hAnsi="Arial" w:cs="Arial"/>
          <w:sz w:val="20"/>
          <w:szCs w:val="20"/>
          <w:lang w:eastAsia="sl-SI"/>
        </w:rPr>
        <w:t xml:space="preserve"> izjemno povečanje </w:t>
      </w:r>
      <w:r w:rsidR="000B29FC">
        <w:rPr>
          <w:rFonts w:ascii="Arial" w:eastAsia="Times New Roman" w:hAnsi="Arial" w:cs="Arial"/>
          <w:sz w:val="20"/>
          <w:szCs w:val="20"/>
          <w:lang w:eastAsia="sl-SI"/>
        </w:rPr>
        <w:t xml:space="preserve">števila </w:t>
      </w:r>
      <w:r w:rsidRPr="00D83239">
        <w:rPr>
          <w:rFonts w:ascii="Arial" w:eastAsia="Times New Roman" w:hAnsi="Arial" w:cs="Arial"/>
          <w:sz w:val="20"/>
          <w:szCs w:val="20"/>
          <w:lang w:eastAsia="sl-SI"/>
        </w:rPr>
        <w:t xml:space="preserve">vlog tako na področju osebne kot industrijske varnosti, kar je razvidno tudi iz podatkov. Ob </w:t>
      </w:r>
      <w:r w:rsidR="00E40FE6">
        <w:rPr>
          <w:rFonts w:ascii="Arial" w:eastAsia="Times New Roman" w:hAnsi="Arial" w:cs="Arial"/>
          <w:sz w:val="20"/>
          <w:szCs w:val="20"/>
          <w:lang w:eastAsia="sl-SI"/>
        </w:rPr>
        <w:t>konc</w:t>
      </w:r>
      <w:r w:rsidRPr="00D83239">
        <w:rPr>
          <w:rFonts w:ascii="Arial" w:eastAsia="Times New Roman" w:hAnsi="Arial" w:cs="Arial"/>
          <w:sz w:val="20"/>
          <w:szCs w:val="20"/>
          <w:lang w:eastAsia="sl-SI"/>
        </w:rPr>
        <w:t xml:space="preserve">u leta 2024 je posledično ostalo še 439 nerešenih vlog na področju osebne varnosti in 11 vlog na področju industrijske varnosti, ki </w:t>
      </w:r>
      <w:r>
        <w:rPr>
          <w:rFonts w:ascii="Arial" w:eastAsia="Times New Roman" w:hAnsi="Arial" w:cs="Arial"/>
          <w:sz w:val="20"/>
          <w:szCs w:val="20"/>
          <w:lang w:eastAsia="sl-SI"/>
        </w:rPr>
        <w:t xml:space="preserve">so bile </w:t>
      </w:r>
      <w:r w:rsidR="00E40FE6">
        <w:rPr>
          <w:rFonts w:ascii="Arial" w:eastAsia="Times New Roman" w:hAnsi="Arial" w:cs="Arial"/>
          <w:sz w:val="20"/>
          <w:szCs w:val="20"/>
          <w:lang w:eastAsia="sl-SI"/>
        </w:rPr>
        <w:t xml:space="preserve">nato </w:t>
      </w:r>
      <w:r w:rsidRPr="00D83239">
        <w:rPr>
          <w:rFonts w:ascii="Arial" w:eastAsia="Times New Roman" w:hAnsi="Arial" w:cs="Arial"/>
          <w:sz w:val="20"/>
          <w:szCs w:val="20"/>
          <w:lang w:eastAsia="sl-SI"/>
        </w:rPr>
        <w:t>uspešno reš</w:t>
      </w:r>
      <w:r>
        <w:rPr>
          <w:rFonts w:ascii="Arial" w:eastAsia="Times New Roman" w:hAnsi="Arial" w:cs="Arial"/>
          <w:sz w:val="20"/>
          <w:szCs w:val="20"/>
          <w:lang w:eastAsia="sl-SI"/>
        </w:rPr>
        <w:t>ene</w:t>
      </w:r>
      <w:r w:rsidRPr="00D83239">
        <w:rPr>
          <w:rFonts w:ascii="Arial" w:eastAsia="Times New Roman" w:hAnsi="Arial" w:cs="Arial"/>
          <w:sz w:val="20"/>
          <w:szCs w:val="20"/>
          <w:lang w:eastAsia="sl-SI"/>
        </w:rPr>
        <w:t xml:space="preserve"> v letu 2025. </w:t>
      </w:r>
    </w:p>
    <w:p w14:paraId="5A5A92BC" w14:textId="77777777" w:rsidR="009433E0" w:rsidRPr="00D83239" w:rsidRDefault="009433E0" w:rsidP="009433E0">
      <w:pPr>
        <w:spacing w:after="0" w:line="276" w:lineRule="auto"/>
        <w:jc w:val="both"/>
        <w:rPr>
          <w:rFonts w:ascii="Arial" w:eastAsia="Times New Roman" w:hAnsi="Arial" w:cs="Arial"/>
          <w:sz w:val="20"/>
          <w:szCs w:val="20"/>
          <w:highlight w:val="yellow"/>
          <w:lang w:eastAsia="sl-SI"/>
        </w:rPr>
      </w:pPr>
    </w:p>
    <w:p w14:paraId="5FBC28F0" w14:textId="77777777" w:rsidR="009433E0" w:rsidRPr="00D83239" w:rsidRDefault="009433E0" w:rsidP="009433E0">
      <w:pPr>
        <w:pStyle w:val="Desno"/>
        <w:spacing w:before="0" w:after="0" w:line="276" w:lineRule="auto"/>
        <w:rPr>
          <w:b/>
          <w:sz w:val="20"/>
          <w:szCs w:val="20"/>
        </w:rPr>
      </w:pPr>
      <w:r w:rsidRPr="00D83239">
        <w:rPr>
          <w:b/>
          <w:sz w:val="20"/>
          <w:szCs w:val="20"/>
        </w:rPr>
        <w:t xml:space="preserve">Sodelovanje pri normativni dejavnosti na področju tajnih podatkov </w:t>
      </w:r>
    </w:p>
    <w:p w14:paraId="507B5594" w14:textId="78198E6A" w:rsidR="009433E0" w:rsidRPr="00D83239" w:rsidRDefault="009433E0" w:rsidP="009433E0">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Uslužbenci </w:t>
      </w:r>
      <w:r w:rsidR="00B460AE">
        <w:rPr>
          <w:rFonts w:ascii="Arial" w:eastAsia="Times New Roman" w:hAnsi="Arial" w:cs="Arial"/>
          <w:sz w:val="20"/>
          <w:szCs w:val="20"/>
          <w:lang w:eastAsia="sl-SI"/>
        </w:rPr>
        <w:t>MNZ</w:t>
      </w:r>
      <w:r w:rsidRPr="00D83239">
        <w:rPr>
          <w:rFonts w:ascii="Arial" w:eastAsia="Times New Roman" w:hAnsi="Arial" w:cs="Arial"/>
          <w:sz w:val="20"/>
          <w:szCs w:val="20"/>
          <w:lang w:eastAsia="sl-SI"/>
        </w:rPr>
        <w:t xml:space="preserve"> na področju tajnih podatkov sodelujejo v petih medresorskih delovnih skupinah (MDS), ki jih vodi nacionalni organ na področju tajnih podatkov</w:t>
      </w:r>
      <w:r>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UVTP, in sicer v:</w:t>
      </w:r>
    </w:p>
    <w:p w14:paraId="268EF92A"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MDS za osebno varnost, </w:t>
      </w:r>
    </w:p>
    <w:p w14:paraId="55F99766"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MDS za dokumentacijsko varnost, </w:t>
      </w:r>
    </w:p>
    <w:p w14:paraId="63320768" w14:textId="4127FE71"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MDS za varovanje TP v komunikacijsko</w:t>
      </w:r>
      <w:r w:rsidR="004C5D3B">
        <w:rPr>
          <w:rFonts w:ascii="Arial" w:hAnsi="Arial" w:cs="Arial"/>
          <w:sz w:val="20"/>
          <w:szCs w:val="20"/>
        </w:rPr>
        <w:t>-</w:t>
      </w:r>
      <w:r w:rsidRPr="00D83239">
        <w:rPr>
          <w:rFonts w:ascii="Arial" w:hAnsi="Arial" w:cs="Arial"/>
          <w:sz w:val="20"/>
          <w:szCs w:val="20"/>
        </w:rPr>
        <w:t xml:space="preserve">informacijskih sistemih, </w:t>
      </w:r>
    </w:p>
    <w:p w14:paraId="11531B71"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MDS za industrijsko varnost in  </w:t>
      </w:r>
    </w:p>
    <w:p w14:paraId="3C507ECA" w14:textId="77777777" w:rsidR="009433E0" w:rsidRPr="00D83239" w:rsidRDefault="009433E0" w:rsidP="009433E0">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MDS za kriptografske rešitve. </w:t>
      </w:r>
    </w:p>
    <w:p w14:paraId="771CE2D2" w14:textId="77777777" w:rsidR="009433E0" w:rsidRPr="00D83239" w:rsidRDefault="009433E0" w:rsidP="009433E0">
      <w:pPr>
        <w:spacing w:after="0" w:line="276" w:lineRule="auto"/>
        <w:jc w:val="both"/>
        <w:rPr>
          <w:rFonts w:ascii="Arial" w:hAnsi="Arial" w:cs="Arial"/>
          <w:sz w:val="20"/>
          <w:szCs w:val="20"/>
        </w:rPr>
      </w:pPr>
    </w:p>
    <w:p w14:paraId="0E1B986A" w14:textId="74646E2C" w:rsidR="009433E0" w:rsidRPr="00F01A1E" w:rsidRDefault="009433E0" w:rsidP="009433E0">
      <w:pPr>
        <w:spacing w:after="0" w:line="276" w:lineRule="auto"/>
        <w:jc w:val="both"/>
        <w:rPr>
          <w:rFonts w:ascii="Arial" w:hAnsi="Arial" w:cs="Arial"/>
          <w:sz w:val="20"/>
          <w:szCs w:val="20"/>
        </w:rPr>
      </w:pPr>
      <w:r w:rsidRPr="00D83239">
        <w:rPr>
          <w:rFonts w:ascii="Arial" w:hAnsi="Arial" w:cs="Arial"/>
          <w:sz w:val="20"/>
          <w:szCs w:val="20"/>
        </w:rPr>
        <w:t>V MDS se sproti rešujejo odprta vprašanja, v zadnjem času zlasti počasni odzivi tujih nacionalnih varnostnih organov, ki trajajo nekaj mesecev, v posameznih primerih pa tudi nekaj let. P</w:t>
      </w:r>
      <w:r w:rsidR="00A13309">
        <w:rPr>
          <w:rFonts w:ascii="Arial" w:hAnsi="Arial" w:cs="Arial"/>
          <w:sz w:val="20"/>
          <w:szCs w:val="20"/>
        </w:rPr>
        <w:t>oleg tega</w:t>
      </w:r>
      <w:r w:rsidRPr="00D83239">
        <w:rPr>
          <w:rFonts w:ascii="Arial" w:hAnsi="Arial" w:cs="Arial"/>
          <w:sz w:val="20"/>
          <w:szCs w:val="20"/>
        </w:rPr>
        <w:t xml:space="preserve"> se rešujejo številna vprašanja, ki se pojavljajo ob praktični izvedbi varnostnih in vmesnih varnostih preverjanj tako s področja osebne kot industrijske varnosti. Uspešno se usklajuje tudi sodelovanje z drugimi državnimi organi, ki so poleg MNZ primarni nosilci nalog s področja tajnih podatkov (UVTP, S</w:t>
      </w:r>
      <w:r>
        <w:rPr>
          <w:rFonts w:ascii="Arial" w:hAnsi="Arial" w:cs="Arial"/>
          <w:sz w:val="20"/>
          <w:szCs w:val="20"/>
        </w:rPr>
        <w:t>OVA</w:t>
      </w:r>
      <w:r w:rsidRPr="00D83239">
        <w:rPr>
          <w:rFonts w:ascii="Arial" w:hAnsi="Arial" w:cs="Arial"/>
          <w:sz w:val="20"/>
          <w:szCs w:val="20"/>
        </w:rPr>
        <w:t>, M</w:t>
      </w:r>
      <w:r>
        <w:rPr>
          <w:rFonts w:ascii="Arial" w:hAnsi="Arial" w:cs="Arial"/>
          <w:sz w:val="20"/>
          <w:szCs w:val="20"/>
        </w:rPr>
        <w:t>inistrstvo za obrambo</w:t>
      </w:r>
      <w:r w:rsidRPr="00D83239">
        <w:rPr>
          <w:rFonts w:ascii="Arial" w:hAnsi="Arial" w:cs="Arial"/>
          <w:sz w:val="20"/>
          <w:szCs w:val="20"/>
        </w:rPr>
        <w:t xml:space="preserve">). </w:t>
      </w:r>
    </w:p>
    <w:p w14:paraId="47CBB09F" w14:textId="77777777" w:rsidR="00C03455" w:rsidRDefault="00C03455" w:rsidP="00D83239">
      <w:pPr>
        <w:spacing w:after="0" w:line="276" w:lineRule="auto"/>
        <w:jc w:val="both"/>
        <w:rPr>
          <w:rFonts w:ascii="Arial" w:eastAsia="Times New Roman" w:hAnsi="Arial" w:cs="Arial"/>
          <w:sz w:val="20"/>
          <w:szCs w:val="20"/>
          <w:lang w:eastAsia="sl-SI"/>
        </w:rPr>
      </w:pPr>
    </w:p>
    <w:p w14:paraId="18F44DF6" w14:textId="7EA98120"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MNZ sodeluje tudi pri usklajevanju sporazumov o medsebojnem varovanju in obravnavanju tajnih podatkov, ki jih UVTP sklepa z drugimi nacionalnimi varnostnimi organi. Uslužbenci MNZ so v letu 2025 sodelovali z UVTP pri usposabljanju s</w:t>
      </w:r>
      <w:r w:rsidR="002B4A50">
        <w:rPr>
          <w:rFonts w:ascii="Arial" w:eastAsia="Times New Roman" w:hAnsi="Arial" w:cs="Arial"/>
          <w:sz w:val="20"/>
          <w:szCs w:val="20"/>
          <w:lang w:eastAsia="sl-SI"/>
        </w:rPr>
        <w:t xml:space="preserve"> področja industrijske varnosti</w:t>
      </w:r>
      <w:r w:rsidRPr="00D83239">
        <w:rPr>
          <w:rFonts w:ascii="Arial" w:eastAsia="Times New Roman" w:hAnsi="Arial" w:cs="Arial"/>
          <w:sz w:val="20"/>
          <w:szCs w:val="20"/>
          <w:lang w:eastAsia="sl-SI"/>
        </w:rPr>
        <w:t xml:space="preserve"> za vse organizacije in organe v R</w:t>
      </w:r>
      <w:r w:rsidR="009F0CF8">
        <w:rPr>
          <w:rFonts w:ascii="Arial" w:eastAsia="Times New Roman" w:hAnsi="Arial" w:cs="Arial"/>
          <w:sz w:val="20"/>
          <w:szCs w:val="20"/>
          <w:lang w:eastAsia="sl-SI"/>
        </w:rPr>
        <w:t>epubliki</w:t>
      </w:r>
      <w:r w:rsidRPr="00D83239">
        <w:rPr>
          <w:rFonts w:ascii="Arial" w:eastAsia="Times New Roman" w:hAnsi="Arial" w:cs="Arial"/>
          <w:sz w:val="20"/>
          <w:szCs w:val="20"/>
          <w:lang w:eastAsia="sl-SI"/>
        </w:rPr>
        <w:t xml:space="preserve"> Sloveniji. </w:t>
      </w:r>
    </w:p>
    <w:p w14:paraId="6F5F978D" w14:textId="77777777" w:rsidR="00DB29C1" w:rsidRPr="00D83239" w:rsidRDefault="00DB29C1" w:rsidP="00D83239">
      <w:pPr>
        <w:spacing w:after="0" w:line="276" w:lineRule="auto"/>
        <w:jc w:val="both"/>
        <w:rPr>
          <w:rFonts w:ascii="Arial" w:eastAsia="Times New Roman" w:hAnsi="Arial" w:cs="Arial"/>
          <w:sz w:val="20"/>
          <w:szCs w:val="20"/>
          <w:lang w:eastAsia="sl-SI"/>
        </w:rPr>
      </w:pPr>
    </w:p>
    <w:p w14:paraId="4145FD79" w14:textId="76263BB8" w:rsidR="00DB29C1" w:rsidRPr="00D83239" w:rsidRDefault="00765525" w:rsidP="00D83239">
      <w:pPr>
        <w:spacing w:after="0" w:line="276" w:lineRule="auto"/>
        <w:jc w:val="both"/>
        <w:rPr>
          <w:rFonts w:ascii="Arial" w:hAnsi="Arial" w:cs="Arial"/>
          <w:sz w:val="20"/>
          <w:szCs w:val="20"/>
        </w:rPr>
      </w:pPr>
      <w:r>
        <w:rPr>
          <w:rFonts w:ascii="Arial" w:eastAsia="Times New Roman" w:hAnsi="Arial" w:cs="Arial"/>
          <w:sz w:val="20"/>
          <w:szCs w:val="20"/>
          <w:lang w:eastAsia="sl-SI"/>
        </w:rPr>
        <w:t>V</w:t>
      </w:r>
      <w:r w:rsidR="00DB29C1" w:rsidRPr="00D83239">
        <w:rPr>
          <w:rFonts w:ascii="Arial" w:eastAsia="Times New Roman" w:hAnsi="Arial" w:cs="Arial"/>
          <w:sz w:val="20"/>
          <w:szCs w:val="20"/>
          <w:lang w:eastAsia="sl-SI"/>
        </w:rPr>
        <w:t xml:space="preserve"> aprilu 2025 </w:t>
      </w:r>
      <w:r>
        <w:rPr>
          <w:rFonts w:ascii="Arial" w:eastAsia="Times New Roman" w:hAnsi="Arial" w:cs="Arial"/>
          <w:sz w:val="20"/>
          <w:szCs w:val="20"/>
          <w:lang w:eastAsia="sl-SI"/>
        </w:rPr>
        <w:t xml:space="preserve">so bila </w:t>
      </w:r>
      <w:r w:rsidR="00DB29C1" w:rsidRPr="00D83239">
        <w:rPr>
          <w:rFonts w:ascii="Arial" w:eastAsia="Times New Roman" w:hAnsi="Arial" w:cs="Arial"/>
          <w:sz w:val="20"/>
          <w:szCs w:val="20"/>
          <w:lang w:eastAsia="sl-SI"/>
        </w:rPr>
        <w:t>izvede</w:t>
      </w:r>
      <w:r>
        <w:rPr>
          <w:rFonts w:ascii="Arial" w:eastAsia="Times New Roman" w:hAnsi="Arial" w:cs="Arial"/>
          <w:sz w:val="20"/>
          <w:szCs w:val="20"/>
          <w:lang w:eastAsia="sl-SI"/>
        </w:rPr>
        <w:t>na</w:t>
      </w:r>
      <w:r w:rsidR="00DB29C1" w:rsidRPr="00D83239">
        <w:rPr>
          <w:rFonts w:ascii="Arial" w:eastAsia="Times New Roman" w:hAnsi="Arial" w:cs="Arial"/>
          <w:sz w:val="20"/>
          <w:szCs w:val="20"/>
          <w:lang w:eastAsia="sl-SI"/>
        </w:rPr>
        <w:t xml:space="preserve"> tudi zahtevna usklajevanja in številn</w:t>
      </w:r>
      <w:r>
        <w:rPr>
          <w:rFonts w:ascii="Arial" w:eastAsia="Times New Roman" w:hAnsi="Arial" w:cs="Arial"/>
          <w:sz w:val="20"/>
          <w:szCs w:val="20"/>
          <w:lang w:eastAsia="sl-SI"/>
        </w:rPr>
        <w:t>i</w:t>
      </w:r>
      <w:r w:rsidR="00DB29C1" w:rsidRPr="00D83239">
        <w:rPr>
          <w:rFonts w:ascii="Arial" w:eastAsia="Times New Roman" w:hAnsi="Arial" w:cs="Arial"/>
          <w:sz w:val="20"/>
          <w:szCs w:val="20"/>
          <w:lang w:eastAsia="sl-SI"/>
        </w:rPr>
        <w:t xml:space="preserve"> postopk</w:t>
      </w:r>
      <w:r>
        <w:rPr>
          <w:rFonts w:ascii="Arial" w:eastAsia="Times New Roman" w:hAnsi="Arial" w:cs="Arial"/>
          <w:sz w:val="20"/>
          <w:szCs w:val="20"/>
          <w:lang w:eastAsia="sl-SI"/>
        </w:rPr>
        <w:t>i</w:t>
      </w:r>
      <w:r w:rsidR="00DB29C1" w:rsidRPr="00D83239">
        <w:rPr>
          <w:rFonts w:ascii="Arial" w:eastAsia="Times New Roman" w:hAnsi="Arial" w:cs="Arial"/>
          <w:sz w:val="20"/>
          <w:szCs w:val="20"/>
          <w:lang w:eastAsia="sl-SI"/>
        </w:rPr>
        <w:t xml:space="preserve"> za vse </w:t>
      </w:r>
      <w:r w:rsidR="009F0CF8">
        <w:rPr>
          <w:rFonts w:ascii="Arial" w:eastAsia="Times New Roman" w:hAnsi="Arial" w:cs="Arial"/>
          <w:sz w:val="20"/>
          <w:szCs w:val="20"/>
          <w:lang w:eastAsia="sl-SI"/>
        </w:rPr>
        <w:t>notranje organizacijske enote</w:t>
      </w:r>
      <w:r w:rsidR="00DB29C1" w:rsidRPr="00D83239">
        <w:rPr>
          <w:rFonts w:ascii="Arial" w:eastAsia="Times New Roman" w:hAnsi="Arial" w:cs="Arial"/>
          <w:sz w:val="20"/>
          <w:szCs w:val="20"/>
          <w:lang w:eastAsia="sl-SI"/>
        </w:rPr>
        <w:t xml:space="preserve"> MNZ</w:t>
      </w:r>
      <w:r w:rsidR="009F0CF8">
        <w:rPr>
          <w:rFonts w:ascii="Arial" w:eastAsia="Times New Roman" w:hAnsi="Arial" w:cs="Arial"/>
          <w:sz w:val="20"/>
          <w:szCs w:val="20"/>
          <w:lang w:eastAsia="sl-SI"/>
        </w:rPr>
        <w:t>,</w:t>
      </w:r>
      <w:r w:rsidR="00DB29C1" w:rsidRPr="00D83239">
        <w:rPr>
          <w:rFonts w:ascii="Arial" w:eastAsia="Times New Roman" w:hAnsi="Arial" w:cs="Arial"/>
          <w:sz w:val="20"/>
          <w:szCs w:val="20"/>
          <w:lang w:eastAsia="sl-SI"/>
        </w:rPr>
        <w:t xml:space="preserve"> vezan</w:t>
      </w:r>
      <w:r>
        <w:rPr>
          <w:rFonts w:ascii="Arial" w:eastAsia="Times New Roman" w:hAnsi="Arial" w:cs="Arial"/>
          <w:sz w:val="20"/>
          <w:szCs w:val="20"/>
          <w:lang w:eastAsia="sl-SI"/>
        </w:rPr>
        <w:t>i</w:t>
      </w:r>
      <w:r w:rsidR="00DB29C1" w:rsidRPr="00D83239">
        <w:rPr>
          <w:rFonts w:ascii="Arial" w:eastAsia="Times New Roman" w:hAnsi="Arial" w:cs="Arial"/>
          <w:sz w:val="20"/>
          <w:szCs w:val="20"/>
          <w:lang w:eastAsia="sl-SI"/>
        </w:rPr>
        <w:t xml:space="preserve"> na ureditev </w:t>
      </w:r>
      <w:r w:rsidR="00DB29C1" w:rsidRPr="00D83239">
        <w:rPr>
          <w:rFonts w:ascii="Arial" w:hAnsi="Arial" w:cs="Arial"/>
          <w:sz w:val="20"/>
          <w:szCs w:val="20"/>
        </w:rPr>
        <w:t>medsebojnih razmerij z Ministrstvom za pravosodje, pri po</w:t>
      </w:r>
      <w:r w:rsidR="00E133D1">
        <w:rPr>
          <w:rFonts w:ascii="Arial" w:hAnsi="Arial" w:cs="Arial"/>
          <w:sz w:val="20"/>
          <w:szCs w:val="20"/>
        </w:rPr>
        <w:t>šilj</w:t>
      </w:r>
      <w:r w:rsidR="00DB29C1" w:rsidRPr="00D83239">
        <w:rPr>
          <w:rFonts w:ascii="Arial" w:hAnsi="Arial" w:cs="Arial"/>
          <w:sz w:val="20"/>
          <w:szCs w:val="20"/>
        </w:rPr>
        <w:t>anju in uporabi podatkov iz skupne evidence kazenskih točk in evidence pravnomočnih sodb o</w:t>
      </w:r>
      <w:r w:rsidR="00C03455">
        <w:rPr>
          <w:rFonts w:ascii="Arial" w:hAnsi="Arial" w:cs="Arial"/>
          <w:sz w:val="20"/>
          <w:szCs w:val="20"/>
        </w:rPr>
        <w:t>ziroma sklepov o prekrških. Z Ministrstvom za pravosodje</w:t>
      </w:r>
      <w:r w:rsidR="00DB29C1" w:rsidRPr="00D83239">
        <w:rPr>
          <w:rFonts w:ascii="Arial" w:hAnsi="Arial" w:cs="Arial"/>
          <w:sz w:val="20"/>
          <w:szCs w:val="20"/>
        </w:rPr>
        <w:t xml:space="preserve"> je bil sklenjen sporazum in s tem narejen velik korak k digitalizaciji MNZ na področju izmenjave </w:t>
      </w:r>
      <w:r w:rsidR="00E133D1" w:rsidRPr="00D83239">
        <w:rPr>
          <w:rFonts w:ascii="Arial" w:hAnsi="Arial" w:cs="Arial"/>
          <w:sz w:val="20"/>
          <w:szCs w:val="20"/>
        </w:rPr>
        <w:t xml:space="preserve">podatkov </w:t>
      </w:r>
      <w:r w:rsidR="00E133D1">
        <w:rPr>
          <w:rFonts w:ascii="Arial" w:hAnsi="Arial" w:cs="Arial"/>
          <w:sz w:val="20"/>
          <w:szCs w:val="20"/>
        </w:rPr>
        <w:t xml:space="preserve">z </w:t>
      </w:r>
      <w:r w:rsidR="00C03455">
        <w:rPr>
          <w:rFonts w:ascii="Arial" w:hAnsi="Arial" w:cs="Arial"/>
          <w:sz w:val="20"/>
          <w:szCs w:val="20"/>
        </w:rPr>
        <w:t>Ministrstvom za pravosodje</w:t>
      </w:r>
      <w:r w:rsidR="00E133D1" w:rsidRPr="00D83239">
        <w:rPr>
          <w:rFonts w:ascii="Arial" w:hAnsi="Arial" w:cs="Arial"/>
          <w:sz w:val="20"/>
          <w:szCs w:val="20"/>
        </w:rPr>
        <w:t xml:space="preserve"> </w:t>
      </w:r>
      <w:r w:rsidR="00DB29C1" w:rsidRPr="00D83239">
        <w:rPr>
          <w:rFonts w:ascii="Arial" w:hAnsi="Arial" w:cs="Arial"/>
          <w:sz w:val="20"/>
          <w:szCs w:val="20"/>
        </w:rPr>
        <w:t xml:space="preserve">in </w:t>
      </w:r>
      <w:r w:rsidR="00E133D1">
        <w:rPr>
          <w:rFonts w:ascii="Arial" w:hAnsi="Arial" w:cs="Arial"/>
          <w:sz w:val="20"/>
          <w:szCs w:val="20"/>
        </w:rPr>
        <w:t xml:space="preserve">njihovega </w:t>
      </w:r>
      <w:r w:rsidR="00C03455">
        <w:rPr>
          <w:rFonts w:ascii="Arial" w:hAnsi="Arial" w:cs="Arial"/>
          <w:sz w:val="20"/>
          <w:szCs w:val="20"/>
        </w:rPr>
        <w:t>pridobivanja od Ministrstva za pravosodje</w:t>
      </w:r>
      <w:r w:rsidR="00DB29C1" w:rsidRPr="00D83239">
        <w:rPr>
          <w:rFonts w:ascii="Arial" w:hAnsi="Arial" w:cs="Arial"/>
          <w:sz w:val="20"/>
          <w:szCs w:val="20"/>
        </w:rPr>
        <w:t xml:space="preserve">. </w:t>
      </w:r>
    </w:p>
    <w:p w14:paraId="3519F189"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hAnsi="Arial" w:cs="Arial"/>
          <w:sz w:val="20"/>
          <w:szCs w:val="20"/>
        </w:rPr>
        <w:t xml:space="preserve"> </w:t>
      </w:r>
    </w:p>
    <w:p w14:paraId="3F53E1CC" w14:textId="78043050" w:rsidR="00DB29C1" w:rsidRPr="00D83239" w:rsidRDefault="00765525" w:rsidP="00D83239">
      <w:pPr>
        <w:spacing w:after="0" w:line="276" w:lineRule="auto"/>
        <w:jc w:val="both"/>
        <w:rPr>
          <w:rFonts w:ascii="Arial" w:hAnsi="Arial" w:cs="Arial"/>
          <w:sz w:val="20"/>
          <w:szCs w:val="20"/>
        </w:rPr>
      </w:pPr>
      <w:r>
        <w:rPr>
          <w:rFonts w:ascii="Arial" w:eastAsia="Times New Roman" w:hAnsi="Arial" w:cs="Arial"/>
          <w:sz w:val="20"/>
          <w:szCs w:val="20"/>
          <w:lang w:eastAsia="sl-SI"/>
        </w:rPr>
        <w:t>MNZ</w:t>
      </w:r>
      <w:r w:rsidR="00DB29C1" w:rsidRPr="00D83239">
        <w:rPr>
          <w:rFonts w:ascii="Arial" w:eastAsia="Times New Roman" w:hAnsi="Arial" w:cs="Arial"/>
          <w:sz w:val="20"/>
          <w:szCs w:val="20"/>
          <w:lang w:eastAsia="sl-SI"/>
        </w:rPr>
        <w:t xml:space="preserve"> </w:t>
      </w:r>
      <w:r w:rsidR="00E133D1">
        <w:rPr>
          <w:rFonts w:ascii="Arial" w:eastAsia="Times New Roman" w:hAnsi="Arial" w:cs="Arial"/>
          <w:sz w:val="20"/>
          <w:szCs w:val="20"/>
          <w:lang w:eastAsia="sl-SI"/>
        </w:rPr>
        <w:t xml:space="preserve">je </w:t>
      </w:r>
      <w:r w:rsidR="00DB29C1" w:rsidRPr="00D83239">
        <w:rPr>
          <w:rFonts w:ascii="Arial" w:eastAsia="Times New Roman" w:hAnsi="Arial" w:cs="Arial"/>
          <w:sz w:val="20"/>
          <w:szCs w:val="20"/>
          <w:lang w:eastAsia="sl-SI"/>
        </w:rPr>
        <w:t xml:space="preserve">z UVTP </w:t>
      </w:r>
      <w:r w:rsidR="00E133D1">
        <w:rPr>
          <w:rFonts w:ascii="Arial" w:eastAsia="Times New Roman" w:hAnsi="Arial" w:cs="Arial"/>
          <w:sz w:val="20"/>
          <w:szCs w:val="20"/>
          <w:lang w:eastAsia="sl-SI"/>
        </w:rPr>
        <w:t xml:space="preserve">tudi </w:t>
      </w:r>
      <w:r w:rsidR="00DB29C1" w:rsidRPr="00D83239">
        <w:rPr>
          <w:rFonts w:ascii="Arial" w:eastAsia="Times New Roman" w:hAnsi="Arial" w:cs="Arial"/>
          <w:sz w:val="20"/>
          <w:szCs w:val="20"/>
          <w:lang w:eastAsia="sl-SI"/>
        </w:rPr>
        <w:t>aktivno sodeloval</w:t>
      </w:r>
      <w:r>
        <w:rPr>
          <w:rFonts w:ascii="Arial" w:eastAsia="Times New Roman" w:hAnsi="Arial" w:cs="Arial"/>
          <w:sz w:val="20"/>
          <w:szCs w:val="20"/>
          <w:lang w:eastAsia="sl-SI"/>
        </w:rPr>
        <w:t>o</w:t>
      </w:r>
      <w:r w:rsidR="00DB29C1" w:rsidRPr="00D83239">
        <w:rPr>
          <w:rFonts w:ascii="Arial" w:eastAsia="Times New Roman" w:hAnsi="Arial" w:cs="Arial"/>
          <w:sz w:val="20"/>
          <w:szCs w:val="20"/>
          <w:lang w:eastAsia="sl-SI"/>
        </w:rPr>
        <w:t xml:space="preserve"> pri spremembah in dopolnitvah uredb s področja tajnih podatkov</w:t>
      </w:r>
      <w:r w:rsidR="009F0CF8">
        <w:rPr>
          <w:rFonts w:ascii="Arial" w:eastAsia="Times New Roman" w:hAnsi="Arial" w:cs="Arial"/>
          <w:sz w:val="20"/>
          <w:szCs w:val="20"/>
          <w:lang w:eastAsia="sl-SI"/>
        </w:rPr>
        <w:t>,</w:t>
      </w:r>
      <w:r w:rsidR="00DB29C1" w:rsidRPr="00D83239">
        <w:rPr>
          <w:rFonts w:ascii="Arial" w:eastAsia="Times New Roman" w:hAnsi="Arial" w:cs="Arial"/>
          <w:sz w:val="20"/>
          <w:szCs w:val="20"/>
          <w:lang w:eastAsia="sl-SI"/>
        </w:rPr>
        <w:t xml:space="preserve"> in sicer </w:t>
      </w:r>
      <w:r w:rsidR="00DB29C1" w:rsidRPr="00D83239">
        <w:rPr>
          <w:rFonts w:ascii="Arial" w:hAnsi="Arial" w:cs="Arial"/>
          <w:sz w:val="20"/>
          <w:szCs w:val="20"/>
        </w:rPr>
        <w:t>Uredbe o varnostnem preverjanju in izdaji varnost</w:t>
      </w:r>
      <w:r w:rsidR="00D14DE4">
        <w:rPr>
          <w:rFonts w:ascii="Arial" w:hAnsi="Arial" w:cs="Arial"/>
          <w:sz w:val="20"/>
          <w:szCs w:val="20"/>
        </w:rPr>
        <w:t>nega</w:t>
      </w:r>
      <w:r w:rsidR="00DB29C1" w:rsidRPr="00D83239">
        <w:rPr>
          <w:rFonts w:ascii="Arial" w:hAnsi="Arial" w:cs="Arial"/>
          <w:sz w:val="20"/>
          <w:szCs w:val="20"/>
        </w:rPr>
        <w:t xml:space="preserve"> dovoljenj</w:t>
      </w:r>
      <w:r w:rsidR="00D14DE4">
        <w:rPr>
          <w:rFonts w:ascii="Arial" w:hAnsi="Arial" w:cs="Arial"/>
          <w:sz w:val="20"/>
          <w:szCs w:val="20"/>
        </w:rPr>
        <w:t>a</w:t>
      </w:r>
      <w:r w:rsidR="00DB29C1" w:rsidRPr="00D83239">
        <w:rPr>
          <w:rFonts w:ascii="Arial" w:hAnsi="Arial" w:cs="Arial"/>
          <w:sz w:val="20"/>
          <w:szCs w:val="20"/>
        </w:rPr>
        <w:t xml:space="preserve"> organizacij</w:t>
      </w:r>
      <w:r w:rsidR="00D14DE4">
        <w:rPr>
          <w:rFonts w:ascii="Arial" w:hAnsi="Arial" w:cs="Arial"/>
          <w:sz w:val="20"/>
          <w:szCs w:val="20"/>
        </w:rPr>
        <w:t>i</w:t>
      </w:r>
      <w:r w:rsidR="00DB29C1" w:rsidRPr="00D83239">
        <w:rPr>
          <w:rFonts w:ascii="Arial" w:hAnsi="Arial" w:cs="Arial"/>
          <w:sz w:val="20"/>
          <w:szCs w:val="20"/>
        </w:rPr>
        <w:t xml:space="preserve"> ter Uredbe o varnostnem preverjanju in izdaji dovoljenj za dostop do tajnih podatkov. </w:t>
      </w:r>
    </w:p>
    <w:p w14:paraId="100A1E76" w14:textId="77777777" w:rsidR="00DB29C1" w:rsidRPr="00D83239" w:rsidRDefault="00DB29C1" w:rsidP="00D83239">
      <w:pPr>
        <w:spacing w:after="0" w:line="276" w:lineRule="auto"/>
        <w:jc w:val="both"/>
        <w:rPr>
          <w:rFonts w:ascii="Arial" w:eastAsia="Times New Roman" w:hAnsi="Arial" w:cs="Arial"/>
          <w:sz w:val="20"/>
          <w:szCs w:val="20"/>
          <w:highlight w:val="yellow"/>
          <w:lang w:eastAsia="sl-SI"/>
        </w:rPr>
      </w:pPr>
    </w:p>
    <w:p w14:paraId="6BD531F9" w14:textId="0557AF92" w:rsidR="00DB29C1" w:rsidRPr="00D83239" w:rsidRDefault="00DB29C1" w:rsidP="00D83239">
      <w:pPr>
        <w:pStyle w:val="Desno"/>
        <w:spacing w:before="0" w:after="0" w:line="276" w:lineRule="auto"/>
        <w:rPr>
          <w:b/>
          <w:sz w:val="20"/>
          <w:szCs w:val="20"/>
        </w:rPr>
      </w:pPr>
      <w:r w:rsidRPr="00D83239">
        <w:rPr>
          <w:b/>
          <w:sz w:val="20"/>
          <w:szCs w:val="20"/>
        </w:rPr>
        <w:t>Poslovanje z dokumentarnim gradivom s tajnimi podatki</w:t>
      </w:r>
    </w:p>
    <w:p w14:paraId="6CEB0408" w14:textId="3B12B718" w:rsidR="00DB29C1" w:rsidRPr="00D83239" w:rsidRDefault="00CD455D" w:rsidP="00D83239">
      <w:pPr>
        <w:spacing w:line="276" w:lineRule="auto"/>
        <w:jc w:val="both"/>
        <w:rPr>
          <w:rFonts w:ascii="Arial" w:hAnsi="Arial" w:cs="Arial"/>
          <w:color w:val="000000"/>
          <w:sz w:val="20"/>
          <w:szCs w:val="20"/>
        </w:rPr>
      </w:pPr>
      <w:r>
        <w:rPr>
          <w:rFonts w:ascii="Arial" w:hAnsi="Arial" w:cs="Arial"/>
          <w:color w:val="000000"/>
          <w:sz w:val="20"/>
          <w:szCs w:val="20"/>
        </w:rPr>
        <w:t xml:space="preserve">V letu 2025 je bilo poskrbljeno </w:t>
      </w:r>
      <w:r w:rsidR="00DB29C1" w:rsidRPr="00D83239">
        <w:rPr>
          <w:rFonts w:ascii="Arial" w:hAnsi="Arial" w:cs="Arial"/>
          <w:color w:val="000000"/>
          <w:sz w:val="20"/>
          <w:szCs w:val="20"/>
        </w:rPr>
        <w:t>za nemoteno delovanje varnostnega območja MNZ (VO MNZ), ki je varnostno območje II. stopnje. V njem se obravnavajo (spreje</w:t>
      </w:r>
      <w:r w:rsidR="00880D36">
        <w:rPr>
          <w:rFonts w:ascii="Arial" w:hAnsi="Arial" w:cs="Arial"/>
          <w:color w:val="000000"/>
          <w:sz w:val="20"/>
          <w:szCs w:val="20"/>
        </w:rPr>
        <w:t>tje</w:t>
      </w:r>
      <w:r w:rsidR="00DB29C1" w:rsidRPr="00D83239">
        <w:rPr>
          <w:rFonts w:ascii="Arial" w:hAnsi="Arial" w:cs="Arial"/>
          <w:color w:val="000000"/>
          <w:sz w:val="20"/>
          <w:szCs w:val="20"/>
        </w:rPr>
        <w:t>, knjiženje, vpogled oz</w:t>
      </w:r>
      <w:r w:rsidR="00A4385A">
        <w:rPr>
          <w:rFonts w:ascii="Arial" w:hAnsi="Arial" w:cs="Arial"/>
          <w:color w:val="000000"/>
          <w:sz w:val="20"/>
          <w:szCs w:val="20"/>
        </w:rPr>
        <w:t>iroma</w:t>
      </w:r>
      <w:r w:rsidR="00DB29C1" w:rsidRPr="00D83239">
        <w:rPr>
          <w:rFonts w:ascii="Arial" w:hAnsi="Arial" w:cs="Arial"/>
          <w:color w:val="000000"/>
          <w:sz w:val="20"/>
          <w:szCs w:val="20"/>
        </w:rPr>
        <w:t xml:space="preserve"> seznanitev s tajnim podatkom, distribucija, odprema</w:t>
      </w:r>
      <w:r w:rsidR="00880D36">
        <w:rPr>
          <w:rFonts w:ascii="Arial" w:hAnsi="Arial" w:cs="Arial"/>
          <w:color w:val="000000"/>
          <w:sz w:val="20"/>
          <w:szCs w:val="20"/>
        </w:rPr>
        <w:t xml:space="preserve"> in drugo</w:t>
      </w:r>
      <w:r w:rsidR="00DB29C1" w:rsidRPr="00D83239">
        <w:rPr>
          <w:rFonts w:ascii="Arial" w:hAnsi="Arial" w:cs="Arial"/>
          <w:color w:val="000000"/>
          <w:sz w:val="20"/>
          <w:szCs w:val="20"/>
        </w:rPr>
        <w:t xml:space="preserve">) in hranijo tajni podatki stopnje tajnosti ZAUPNO ali višje. V VO MNZ </w:t>
      </w:r>
      <w:r w:rsidR="00A4385A">
        <w:rPr>
          <w:rFonts w:ascii="Arial" w:hAnsi="Arial" w:cs="Arial"/>
          <w:color w:val="000000"/>
          <w:sz w:val="20"/>
          <w:szCs w:val="20"/>
        </w:rPr>
        <w:t>je</w:t>
      </w:r>
      <w:r w:rsidR="00DB29C1" w:rsidRPr="00D83239">
        <w:rPr>
          <w:rFonts w:ascii="Arial" w:hAnsi="Arial" w:cs="Arial"/>
          <w:color w:val="000000"/>
          <w:sz w:val="20"/>
          <w:szCs w:val="20"/>
        </w:rPr>
        <w:t xml:space="preserve"> </w:t>
      </w:r>
      <w:r w:rsidR="0017172F">
        <w:rPr>
          <w:rFonts w:ascii="Arial" w:hAnsi="Arial" w:cs="Arial"/>
          <w:sz w:val="20"/>
          <w:szCs w:val="20"/>
        </w:rPr>
        <w:t>devet</w:t>
      </w:r>
      <w:r w:rsidR="00DB29C1" w:rsidRPr="00D83239">
        <w:rPr>
          <w:rFonts w:ascii="Arial" w:hAnsi="Arial" w:cs="Arial"/>
          <w:color w:val="000000"/>
          <w:sz w:val="20"/>
          <w:szCs w:val="20"/>
        </w:rPr>
        <w:t xml:space="preserve"> komunikacijsko</w:t>
      </w:r>
      <w:r w:rsidR="00880D36">
        <w:rPr>
          <w:rFonts w:ascii="Arial" w:hAnsi="Arial" w:cs="Arial"/>
          <w:color w:val="000000"/>
          <w:sz w:val="20"/>
          <w:szCs w:val="20"/>
        </w:rPr>
        <w:t>-</w:t>
      </w:r>
      <w:r w:rsidR="00DB29C1" w:rsidRPr="00D83239">
        <w:rPr>
          <w:rFonts w:ascii="Arial" w:hAnsi="Arial" w:cs="Arial"/>
          <w:color w:val="000000"/>
          <w:sz w:val="20"/>
          <w:szCs w:val="20"/>
        </w:rPr>
        <w:t xml:space="preserve">informacijskih sistemov, ki so namenjeni obravnavi in varovanju tajnih podatkov v elektronski obliki. </w:t>
      </w:r>
    </w:p>
    <w:p w14:paraId="0F069A60" w14:textId="1B5CE1F2" w:rsidR="00DB29C1" w:rsidRPr="00D83239" w:rsidRDefault="00DB29C1" w:rsidP="00D83239">
      <w:pPr>
        <w:spacing w:line="276" w:lineRule="auto"/>
        <w:jc w:val="both"/>
        <w:rPr>
          <w:rFonts w:ascii="Arial" w:hAnsi="Arial" w:cs="Arial"/>
          <w:color w:val="000000"/>
          <w:sz w:val="20"/>
          <w:szCs w:val="20"/>
        </w:rPr>
      </w:pPr>
      <w:r w:rsidRPr="00D83239">
        <w:rPr>
          <w:rFonts w:ascii="Arial" w:hAnsi="Arial" w:cs="Arial"/>
          <w:color w:val="000000"/>
          <w:sz w:val="20"/>
          <w:szCs w:val="20"/>
        </w:rPr>
        <w:t xml:space="preserve">V letu 2025 je bil v VO MNZ skladno z veljavno zakonodajo izveden </w:t>
      </w:r>
      <w:proofErr w:type="spellStart"/>
      <w:r w:rsidRPr="00D83239">
        <w:rPr>
          <w:rFonts w:ascii="Arial" w:hAnsi="Arial" w:cs="Arial"/>
          <w:color w:val="000000"/>
          <w:sz w:val="20"/>
          <w:szCs w:val="20"/>
        </w:rPr>
        <w:t>protiprisluškovalni</w:t>
      </w:r>
      <w:proofErr w:type="spellEnd"/>
      <w:r w:rsidRPr="00D83239">
        <w:rPr>
          <w:rFonts w:ascii="Arial" w:hAnsi="Arial" w:cs="Arial"/>
          <w:color w:val="000000"/>
          <w:sz w:val="20"/>
          <w:szCs w:val="20"/>
        </w:rPr>
        <w:t xml:space="preserve"> pregled. V VO</w:t>
      </w:r>
      <w:r w:rsidR="00880D36">
        <w:rPr>
          <w:rFonts w:ascii="Arial" w:hAnsi="Arial" w:cs="Arial"/>
          <w:color w:val="000000"/>
          <w:sz w:val="20"/>
          <w:szCs w:val="20"/>
        </w:rPr>
        <w:t> </w:t>
      </w:r>
      <w:r w:rsidRPr="00D83239">
        <w:rPr>
          <w:rFonts w:ascii="Arial" w:hAnsi="Arial" w:cs="Arial"/>
          <w:color w:val="000000"/>
          <w:sz w:val="20"/>
          <w:szCs w:val="20"/>
        </w:rPr>
        <w:t xml:space="preserve">MNZ so bili </w:t>
      </w:r>
      <w:r w:rsidR="00880D36">
        <w:rPr>
          <w:rFonts w:ascii="Arial" w:hAnsi="Arial" w:cs="Arial"/>
          <w:color w:val="000000"/>
          <w:sz w:val="20"/>
          <w:szCs w:val="20"/>
        </w:rPr>
        <w:t>izvede</w:t>
      </w:r>
      <w:r w:rsidRPr="00D83239">
        <w:rPr>
          <w:rFonts w:ascii="Arial" w:hAnsi="Arial" w:cs="Arial"/>
          <w:color w:val="000000"/>
          <w:sz w:val="20"/>
          <w:szCs w:val="20"/>
        </w:rPr>
        <w:t xml:space="preserve">ni trije postopki akreditacij varnostnih sistemov z izdelavo dokumentacije (načrti varovanja, ocene varnostnih tveganj in varnostna navodila za delo v sistemih) in ogledom ter izdanimi odločbami UVTP. </w:t>
      </w:r>
    </w:p>
    <w:p w14:paraId="0B5D04E8" w14:textId="77777777" w:rsidR="00DB29C1" w:rsidRPr="00D83239" w:rsidRDefault="00DB29C1" w:rsidP="00D83239">
      <w:pPr>
        <w:spacing w:line="276" w:lineRule="auto"/>
        <w:jc w:val="both"/>
        <w:rPr>
          <w:rFonts w:ascii="Arial" w:hAnsi="Arial" w:cs="Arial"/>
          <w:color w:val="000000"/>
          <w:sz w:val="20"/>
          <w:szCs w:val="20"/>
        </w:rPr>
      </w:pPr>
      <w:r w:rsidRPr="00D83239">
        <w:rPr>
          <w:rFonts w:ascii="Arial" w:hAnsi="Arial" w:cs="Arial"/>
          <w:color w:val="000000"/>
          <w:sz w:val="20"/>
          <w:szCs w:val="20"/>
        </w:rPr>
        <w:t xml:space="preserve">Za VO MNZ je bil skladno z veljavno zakonodajo v letu 2025 posodobljen Načrt varovanja tajnih podatkov v MNZ. </w:t>
      </w:r>
    </w:p>
    <w:p w14:paraId="0A91FC52" w14:textId="2C214DE4"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V VO MNZ so </w:t>
      </w:r>
      <w:r w:rsidR="00CD455D">
        <w:rPr>
          <w:rFonts w:ascii="Arial" w:eastAsia="Times New Roman" w:hAnsi="Arial" w:cs="Arial"/>
          <w:sz w:val="20"/>
          <w:szCs w:val="20"/>
          <w:lang w:eastAsia="sl-SI"/>
        </w:rPr>
        <w:t>javni uslužbenci</w:t>
      </w:r>
      <w:r w:rsidRPr="00D83239">
        <w:rPr>
          <w:rFonts w:ascii="Arial" w:eastAsia="Times New Roman" w:hAnsi="Arial" w:cs="Arial"/>
          <w:sz w:val="20"/>
          <w:szCs w:val="20"/>
          <w:lang w:eastAsia="sl-SI"/>
        </w:rPr>
        <w:t xml:space="preserve"> </w:t>
      </w:r>
      <w:r w:rsidR="00CD455D">
        <w:rPr>
          <w:rFonts w:ascii="Arial" w:eastAsia="Times New Roman" w:hAnsi="Arial" w:cs="Arial"/>
          <w:sz w:val="20"/>
          <w:szCs w:val="20"/>
          <w:lang w:eastAsia="sl-SI"/>
        </w:rPr>
        <w:t xml:space="preserve">MNZ </w:t>
      </w:r>
      <w:r w:rsidRPr="00D83239">
        <w:rPr>
          <w:rFonts w:ascii="Arial" w:eastAsia="Times New Roman" w:hAnsi="Arial" w:cs="Arial"/>
          <w:sz w:val="20"/>
          <w:szCs w:val="20"/>
          <w:lang w:eastAsia="sl-SI"/>
        </w:rPr>
        <w:t xml:space="preserve">in Policije v letu 2025 izvedli dva obsežna postopka komisijskega izločanja in uničenja dokumentarnega gradiva različnih stopenj tajnosti. </w:t>
      </w:r>
    </w:p>
    <w:p w14:paraId="1D898692" w14:textId="77777777" w:rsidR="00DB29C1" w:rsidRPr="00D83239" w:rsidRDefault="00DB29C1" w:rsidP="00D83239">
      <w:pPr>
        <w:spacing w:after="0" w:line="276" w:lineRule="auto"/>
        <w:jc w:val="both"/>
        <w:rPr>
          <w:rFonts w:ascii="Arial" w:eastAsia="Times New Roman" w:hAnsi="Arial" w:cs="Arial"/>
          <w:sz w:val="20"/>
          <w:szCs w:val="20"/>
          <w:lang w:eastAsia="sl-SI"/>
        </w:rPr>
      </w:pPr>
    </w:p>
    <w:p w14:paraId="3FFC4C08" w14:textId="51582FE0" w:rsidR="00DB29C1" w:rsidRPr="00D83239" w:rsidRDefault="00DB29C1" w:rsidP="00CD455D">
      <w:pPr>
        <w:spacing w:after="0" w:line="276" w:lineRule="auto"/>
        <w:jc w:val="both"/>
        <w:rPr>
          <w:rFonts w:ascii="Arial" w:hAnsi="Arial" w:cs="Arial"/>
          <w:sz w:val="20"/>
          <w:szCs w:val="20"/>
        </w:rPr>
      </w:pPr>
      <w:r w:rsidRPr="00D83239">
        <w:rPr>
          <w:rFonts w:ascii="Arial" w:hAnsi="Arial" w:cs="Arial"/>
          <w:color w:val="000000"/>
          <w:sz w:val="20"/>
          <w:szCs w:val="20"/>
        </w:rPr>
        <w:t>V VO MNZ se je v letu 2025 nadaljevalo popisovanje dokumentov in zadev različnih stopenj tajnosti, ki se tam hranijo</w:t>
      </w:r>
      <w:r w:rsidR="00880D36" w:rsidRPr="00880D36">
        <w:rPr>
          <w:rFonts w:ascii="Arial" w:hAnsi="Arial" w:cs="Arial"/>
          <w:color w:val="000000"/>
          <w:sz w:val="20"/>
          <w:szCs w:val="20"/>
        </w:rPr>
        <w:t xml:space="preserve"> </w:t>
      </w:r>
      <w:r w:rsidR="00CD455D">
        <w:rPr>
          <w:rFonts w:ascii="Arial" w:hAnsi="Arial" w:cs="Arial"/>
          <w:color w:val="000000"/>
          <w:sz w:val="20"/>
          <w:szCs w:val="20"/>
        </w:rPr>
        <w:t xml:space="preserve">od </w:t>
      </w:r>
      <w:r w:rsidR="00880D36" w:rsidRPr="00D83239">
        <w:rPr>
          <w:rFonts w:ascii="Arial" w:hAnsi="Arial" w:cs="Arial"/>
          <w:color w:val="000000"/>
          <w:sz w:val="20"/>
          <w:szCs w:val="20"/>
        </w:rPr>
        <w:t>leta 1991</w:t>
      </w:r>
      <w:r w:rsidRPr="00D83239">
        <w:rPr>
          <w:rFonts w:ascii="Arial" w:hAnsi="Arial" w:cs="Arial"/>
          <w:color w:val="000000"/>
          <w:sz w:val="20"/>
          <w:szCs w:val="20"/>
        </w:rPr>
        <w:t xml:space="preserve">. Popisanih je </w:t>
      </w:r>
      <w:r w:rsidRPr="00D83239">
        <w:rPr>
          <w:rFonts w:ascii="Arial" w:hAnsi="Arial" w:cs="Arial"/>
          <w:sz w:val="20"/>
          <w:szCs w:val="20"/>
        </w:rPr>
        <w:t xml:space="preserve">bilo 3.704 dokumentov in zadev. </w:t>
      </w:r>
      <w:r w:rsidR="00880D36">
        <w:rPr>
          <w:rFonts w:ascii="Arial" w:hAnsi="Arial" w:cs="Arial"/>
          <w:sz w:val="20"/>
          <w:szCs w:val="20"/>
        </w:rPr>
        <w:t>P</w:t>
      </w:r>
      <w:r w:rsidRPr="00D83239">
        <w:rPr>
          <w:rFonts w:ascii="Arial" w:hAnsi="Arial" w:cs="Arial"/>
          <w:sz w:val="20"/>
          <w:szCs w:val="20"/>
        </w:rPr>
        <w:t>opis se nadaljuje tudi v letu 2026, p</w:t>
      </w:r>
      <w:r w:rsidR="00880D36">
        <w:rPr>
          <w:rFonts w:ascii="Arial" w:hAnsi="Arial" w:cs="Arial"/>
          <w:sz w:val="20"/>
          <w:szCs w:val="20"/>
        </w:rPr>
        <w:t>oleg tega</w:t>
      </w:r>
      <w:r w:rsidRPr="00D83239">
        <w:rPr>
          <w:rFonts w:ascii="Arial" w:hAnsi="Arial" w:cs="Arial"/>
          <w:sz w:val="20"/>
          <w:szCs w:val="20"/>
        </w:rPr>
        <w:t xml:space="preserve"> </w:t>
      </w:r>
      <w:r w:rsidR="00880D36">
        <w:rPr>
          <w:rFonts w:ascii="Arial" w:hAnsi="Arial" w:cs="Arial"/>
          <w:sz w:val="20"/>
          <w:szCs w:val="20"/>
        </w:rPr>
        <w:t>se nadaljujejo</w:t>
      </w:r>
      <w:r w:rsidR="00880D36" w:rsidRPr="00D83239">
        <w:rPr>
          <w:rFonts w:ascii="Arial" w:hAnsi="Arial" w:cs="Arial"/>
          <w:sz w:val="20"/>
          <w:szCs w:val="20"/>
        </w:rPr>
        <w:t xml:space="preserve"> </w:t>
      </w:r>
      <w:r w:rsidRPr="00D83239">
        <w:rPr>
          <w:rFonts w:ascii="Arial" w:hAnsi="Arial" w:cs="Arial"/>
          <w:sz w:val="20"/>
          <w:szCs w:val="20"/>
        </w:rPr>
        <w:t>postopki sklicevanja komisij, izločanja in uničenja dokumentov in zadev različnih stopenj tajnosti, ki se bodo izvajal</w:t>
      </w:r>
      <w:r w:rsidR="00880D36">
        <w:rPr>
          <w:rFonts w:ascii="Arial" w:hAnsi="Arial" w:cs="Arial"/>
          <w:sz w:val="20"/>
          <w:szCs w:val="20"/>
        </w:rPr>
        <w:t>i</w:t>
      </w:r>
      <w:r w:rsidRPr="00D83239">
        <w:rPr>
          <w:rFonts w:ascii="Arial" w:hAnsi="Arial" w:cs="Arial"/>
          <w:sz w:val="20"/>
          <w:szCs w:val="20"/>
        </w:rPr>
        <w:t xml:space="preserve"> ob rednem delu v VO MNZ. </w:t>
      </w:r>
    </w:p>
    <w:p w14:paraId="4F1CEE35" w14:textId="77777777" w:rsidR="00CD455D" w:rsidRDefault="00CD455D" w:rsidP="002B4A50">
      <w:pPr>
        <w:spacing w:after="0" w:line="276" w:lineRule="auto"/>
        <w:jc w:val="both"/>
        <w:rPr>
          <w:rFonts w:ascii="Arial" w:eastAsia="Times New Roman" w:hAnsi="Arial" w:cs="Arial"/>
          <w:sz w:val="20"/>
          <w:szCs w:val="20"/>
          <w:lang w:eastAsia="sl-SI"/>
        </w:rPr>
      </w:pPr>
    </w:p>
    <w:p w14:paraId="142B4862" w14:textId="681E915D" w:rsidR="002B4A50" w:rsidRPr="00BB498A" w:rsidRDefault="002B4A50" w:rsidP="002B4A50">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Zaposleni v</w:t>
      </w:r>
      <w:r w:rsidRPr="00BB498A">
        <w:rPr>
          <w:rFonts w:ascii="Arial" w:eastAsia="Times New Roman" w:hAnsi="Arial" w:cs="Arial"/>
          <w:sz w:val="20"/>
          <w:szCs w:val="20"/>
          <w:lang w:eastAsia="sl-SI"/>
        </w:rPr>
        <w:t xml:space="preserve"> VO MNZ redno skrbijo za obravnavo in distribucijo tajnih podatkov MNZ tako v fizični obliki kot znotraj </w:t>
      </w:r>
      <w:r w:rsidR="00CD455D">
        <w:rPr>
          <w:rFonts w:ascii="Arial" w:hAnsi="Arial" w:cs="Arial"/>
          <w:sz w:val="20"/>
          <w:szCs w:val="20"/>
        </w:rPr>
        <w:t>devetih</w:t>
      </w:r>
      <w:r w:rsidR="00CD455D" w:rsidRPr="00D83239">
        <w:rPr>
          <w:rFonts w:ascii="Arial" w:hAnsi="Arial" w:cs="Arial"/>
          <w:color w:val="000000"/>
          <w:sz w:val="20"/>
          <w:szCs w:val="20"/>
        </w:rPr>
        <w:t xml:space="preserve"> komunikacijsko</w:t>
      </w:r>
      <w:r w:rsidR="00CD455D">
        <w:rPr>
          <w:rFonts w:ascii="Arial" w:hAnsi="Arial" w:cs="Arial"/>
          <w:color w:val="000000"/>
          <w:sz w:val="20"/>
          <w:szCs w:val="20"/>
        </w:rPr>
        <w:t>-</w:t>
      </w:r>
      <w:r w:rsidR="00CD455D" w:rsidRPr="00D83239">
        <w:rPr>
          <w:rFonts w:ascii="Arial" w:hAnsi="Arial" w:cs="Arial"/>
          <w:color w:val="000000"/>
          <w:sz w:val="20"/>
          <w:szCs w:val="20"/>
        </w:rPr>
        <w:t>informacijskih sistemov</w:t>
      </w:r>
      <w:r>
        <w:rPr>
          <w:rFonts w:ascii="Arial" w:eastAsia="Times New Roman" w:hAnsi="Arial" w:cs="Arial"/>
          <w:sz w:val="20"/>
          <w:szCs w:val="20"/>
          <w:lang w:eastAsia="sl-SI"/>
        </w:rPr>
        <w:t>. V</w:t>
      </w:r>
      <w:r w:rsidRPr="00BB498A">
        <w:rPr>
          <w:rFonts w:ascii="Arial" w:eastAsia="Times New Roman" w:hAnsi="Arial" w:cs="Arial"/>
          <w:sz w:val="20"/>
          <w:szCs w:val="20"/>
          <w:lang w:eastAsia="sl-SI"/>
        </w:rPr>
        <w:t xml:space="preserve"> letu 2025 </w:t>
      </w:r>
      <w:r>
        <w:rPr>
          <w:rFonts w:ascii="Arial" w:eastAsia="Times New Roman" w:hAnsi="Arial" w:cs="Arial"/>
          <w:sz w:val="20"/>
          <w:szCs w:val="20"/>
          <w:lang w:eastAsia="sl-SI"/>
        </w:rPr>
        <w:t xml:space="preserve">so </w:t>
      </w:r>
      <w:r w:rsidRPr="00BB498A">
        <w:rPr>
          <w:rFonts w:ascii="Arial" w:eastAsia="Times New Roman" w:hAnsi="Arial" w:cs="Arial"/>
          <w:sz w:val="20"/>
          <w:szCs w:val="20"/>
          <w:lang w:eastAsia="sl-SI"/>
        </w:rPr>
        <w:t xml:space="preserve">obravnavali: </w:t>
      </w:r>
    </w:p>
    <w:p w14:paraId="5B84957E" w14:textId="77777777" w:rsidR="002B4A50" w:rsidRPr="00D83239" w:rsidRDefault="002B4A50" w:rsidP="002B4A50">
      <w:pPr>
        <w:pStyle w:val="Odstavekseznama"/>
        <w:numPr>
          <w:ilvl w:val="0"/>
          <w:numId w:val="2"/>
        </w:numPr>
        <w:spacing w:after="0"/>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450 </w:t>
      </w:r>
      <w:r w:rsidRPr="00D83239">
        <w:rPr>
          <w:rFonts w:ascii="Arial" w:eastAsia="Times New Roman" w:hAnsi="Arial" w:cs="Arial"/>
          <w:sz w:val="20"/>
          <w:szCs w:val="20"/>
          <w:lang w:eastAsia="sl-SI"/>
        </w:rPr>
        <w:t xml:space="preserve">podatkov z različnimi stopnjami tajnosti EU, </w:t>
      </w:r>
    </w:p>
    <w:p w14:paraId="0867DDF7" w14:textId="77777777" w:rsidR="002B4A50" w:rsidRPr="00D83239" w:rsidRDefault="002B4A50" w:rsidP="002B4A50">
      <w:pPr>
        <w:pStyle w:val="Odstavekseznama"/>
        <w:numPr>
          <w:ilvl w:val="0"/>
          <w:numId w:val="2"/>
        </w:numPr>
        <w:spacing w:after="0"/>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152 </w:t>
      </w:r>
      <w:r w:rsidRPr="00D83239">
        <w:rPr>
          <w:rFonts w:ascii="Arial" w:eastAsia="Times New Roman" w:hAnsi="Arial" w:cs="Arial"/>
          <w:sz w:val="20"/>
          <w:szCs w:val="20"/>
          <w:lang w:eastAsia="sl-SI"/>
        </w:rPr>
        <w:t xml:space="preserve">podatkov z različnimi stopnjami tajnosti NATO, </w:t>
      </w:r>
    </w:p>
    <w:p w14:paraId="13BB0262" w14:textId="6FAAC73E" w:rsidR="002B4A50" w:rsidRPr="00D83239" w:rsidRDefault="002B4A50" w:rsidP="002B4A50">
      <w:pPr>
        <w:pStyle w:val="Odstavekseznama"/>
        <w:numPr>
          <w:ilvl w:val="0"/>
          <w:numId w:val="2"/>
        </w:numPr>
        <w:spacing w:after="0"/>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165 </w:t>
      </w:r>
      <w:r w:rsidRPr="00D83239">
        <w:rPr>
          <w:rFonts w:ascii="Arial" w:eastAsia="Times New Roman" w:hAnsi="Arial" w:cs="Arial"/>
          <w:sz w:val="20"/>
          <w:szCs w:val="20"/>
          <w:lang w:eastAsia="sl-SI"/>
        </w:rPr>
        <w:t xml:space="preserve">podatkov z različnimi stopnjami tajnosti SOVA, </w:t>
      </w:r>
    </w:p>
    <w:p w14:paraId="08571F2E" w14:textId="77777777" w:rsidR="002B4A50" w:rsidRPr="00D83239" w:rsidRDefault="002B4A50" w:rsidP="002B4A50">
      <w:pPr>
        <w:pStyle w:val="Odstavekseznama"/>
        <w:numPr>
          <w:ilvl w:val="0"/>
          <w:numId w:val="2"/>
        </w:numPr>
        <w:spacing w:after="0"/>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75 </w:t>
      </w:r>
      <w:r w:rsidRPr="00D83239">
        <w:rPr>
          <w:rFonts w:ascii="Arial" w:eastAsia="Times New Roman" w:hAnsi="Arial" w:cs="Arial"/>
          <w:sz w:val="20"/>
          <w:szCs w:val="20"/>
          <w:lang w:eastAsia="sl-SI"/>
        </w:rPr>
        <w:t xml:space="preserve">podatkov z različnimi stopnjami tajnosti SSNAV. </w:t>
      </w:r>
    </w:p>
    <w:p w14:paraId="5851BA84" w14:textId="797F9CED" w:rsidR="002B4A50" w:rsidRPr="00D83239" w:rsidRDefault="002B4A50" w:rsidP="002B4A50">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V letu 2025 </w:t>
      </w:r>
      <w:r w:rsidR="009F66BB">
        <w:rPr>
          <w:rFonts w:ascii="Arial" w:eastAsia="Times New Roman" w:hAnsi="Arial" w:cs="Arial"/>
          <w:sz w:val="20"/>
          <w:szCs w:val="20"/>
          <w:lang w:eastAsia="sl-SI"/>
        </w:rPr>
        <w:t>je MNZ</w:t>
      </w:r>
      <w:r w:rsidRPr="00D83239">
        <w:rPr>
          <w:rFonts w:ascii="Arial" w:eastAsia="Times New Roman" w:hAnsi="Arial" w:cs="Arial"/>
          <w:sz w:val="20"/>
          <w:szCs w:val="20"/>
          <w:lang w:eastAsia="sl-SI"/>
        </w:rPr>
        <w:t xml:space="preserve"> skupaj s Policijo </w:t>
      </w:r>
      <w:r>
        <w:rPr>
          <w:rFonts w:ascii="Arial" w:eastAsia="Times New Roman" w:hAnsi="Arial" w:cs="Arial"/>
          <w:sz w:val="20"/>
          <w:szCs w:val="20"/>
          <w:lang w:eastAsia="sl-SI"/>
        </w:rPr>
        <w:t xml:space="preserve">in </w:t>
      </w:r>
      <w:r w:rsidRPr="00D83239">
        <w:rPr>
          <w:rFonts w:ascii="Arial" w:eastAsia="Times New Roman" w:hAnsi="Arial" w:cs="Arial"/>
          <w:sz w:val="20"/>
          <w:szCs w:val="20"/>
          <w:lang w:eastAsia="sl-SI"/>
        </w:rPr>
        <w:t xml:space="preserve">glede na </w:t>
      </w:r>
      <w:r>
        <w:rPr>
          <w:rFonts w:ascii="Arial" w:eastAsia="Times New Roman" w:hAnsi="Arial" w:cs="Arial"/>
          <w:sz w:val="20"/>
          <w:szCs w:val="20"/>
          <w:lang w:eastAsia="sl-SI"/>
        </w:rPr>
        <w:t xml:space="preserve">razpoložljiva </w:t>
      </w:r>
      <w:r w:rsidRPr="00D83239">
        <w:rPr>
          <w:rFonts w:ascii="Arial" w:eastAsia="Times New Roman" w:hAnsi="Arial" w:cs="Arial"/>
          <w:sz w:val="20"/>
          <w:szCs w:val="20"/>
          <w:lang w:eastAsia="sl-SI"/>
        </w:rPr>
        <w:t>finančna sredstva izved</w:t>
      </w:r>
      <w:r w:rsidR="00CC31AB">
        <w:rPr>
          <w:rFonts w:ascii="Arial" w:eastAsia="Times New Roman" w:hAnsi="Arial" w:cs="Arial"/>
          <w:sz w:val="20"/>
          <w:szCs w:val="20"/>
          <w:lang w:eastAsia="sl-SI"/>
        </w:rPr>
        <w:t>lo</w:t>
      </w:r>
      <w:r w:rsidRPr="00D83239">
        <w:rPr>
          <w:rFonts w:ascii="Arial" w:eastAsia="Times New Roman" w:hAnsi="Arial" w:cs="Arial"/>
          <w:sz w:val="20"/>
          <w:szCs w:val="20"/>
          <w:lang w:eastAsia="sl-SI"/>
        </w:rPr>
        <w:t xml:space="preserve"> dva javna razpisa za nabavo informacijske opreme za šifriranje in obravnavo tajnih podatkov do stopnje tajnosti TAJNO</w:t>
      </w:r>
      <w:r>
        <w:rPr>
          <w:rFonts w:ascii="Arial" w:eastAsia="Times New Roman" w:hAnsi="Arial" w:cs="Arial"/>
          <w:sz w:val="20"/>
          <w:szCs w:val="20"/>
          <w:lang w:eastAsia="sl-SI"/>
        </w:rPr>
        <w:t xml:space="preserve"> ter</w:t>
      </w:r>
      <w:r w:rsidRPr="00D83239">
        <w:rPr>
          <w:rFonts w:ascii="Arial" w:eastAsia="Times New Roman" w:hAnsi="Arial" w:cs="Arial"/>
          <w:sz w:val="20"/>
          <w:szCs w:val="20"/>
          <w:lang w:eastAsia="sl-SI"/>
        </w:rPr>
        <w:t xml:space="preserve"> za vzpostavitev informacijskega sistema za obravnavo tajnih podatkov </w:t>
      </w:r>
      <w:r>
        <w:rPr>
          <w:rFonts w:ascii="Arial" w:eastAsia="Times New Roman" w:hAnsi="Arial" w:cs="Arial"/>
          <w:sz w:val="20"/>
          <w:szCs w:val="20"/>
          <w:lang w:eastAsia="sl-SI"/>
        </w:rPr>
        <w:t>v</w:t>
      </w:r>
      <w:r w:rsidRPr="00D83239">
        <w:rPr>
          <w:rFonts w:ascii="Arial" w:eastAsia="Times New Roman" w:hAnsi="Arial" w:cs="Arial"/>
          <w:sz w:val="20"/>
          <w:szCs w:val="20"/>
          <w:lang w:eastAsia="sl-SI"/>
        </w:rPr>
        <w:t xml:space="preserve"> MNZ, Policij</w:t>
      </w:r>
      <w:r>
        <w:rPr>
          <w:rFonts w:ascii="Arial" w:eastAsia="Times New Roman" w:hAnsi="Arial" w:cs="Arial"/>
          <w:sz w:val="20"/>
          <w:szCs w:val="20"/>
          <w:lang w:eastAsia="sl-SI"/>
        </w:rPr>
        <w:t>i</w:t>
      </w:r>
      <w:r w:rsidRPr="00D83239">
        <w:rPr>
          <w:rFonts w:ascii="Arial" w:eastAsia="Times New Roman" w:hAnsi="Arial" w:cs="Arial"/>
          <w:sz w:val="20"/>
          <w:szCs w:val="20"/>
          <w:lang w:eastAsia="sl-SI"/>
        </w:rPr>
        <w:t xml:space="preserve"> in IRSNZ. Projekt se bo nadaljeval v letu 2026. </w:t>
      </w:r>
    </w:p>
    <w:p w14:paraId="35C9F9C4" w14:textId="46D4EEAF" w:rsidR="00DB29C1" w:rsidRPr="00D83239" w:rsidRDefault="00DB29C1" w:rsidP="00D83239">
      <w:pPr>
        <w:spacing w:after="0" w:line="276" w:lineRule="auto"/>
        <w:jc w:val="both"/>
        <w:rPr>
          <w:rFonts w:ascii="Arial" w:eastAsia="Times New Roman" w:hAnsi="Arial" w:cs="Arial"/>
          <w:sz w:val="20"/>
          <w:szCs w:val="20"/>
          <w:lang w:eastAsia="sl-SI"/>
        </w:rPr>
      </w:pPr>
    </w:p>
    <w:p w14:paraId="5B1706C1" w14:textId="7264A65A" w:rsidR="00DB29C1" w:rsidRPr="00D83239" w:rsidRDefault="00DB29C1" w:rsidP="00D83239">
      <w:pPr>
        <w:pStyle w:val="Desno"/>
        <w:spacing w:before="0" w:after="0" w:line="276" w:lineRule="auto"/>
        <w:rPr>
          <w:b/>
          <w:sz w:val="20"/>
          <w:szCs w:val="20"/>
        </w:rPr>
      </w:pPr>
      <w:r w:rsidRPr="00D83239">
        <w:rPr>
          <w:b/>
          <w:sz w:val="20"/>
          <w:szCs w:val="20"/>
        </w:rPr>
        <w:t>Nadzorna dejavno</w:t>
      </w:r>
      <w:r w:rsidR="00D83239" w:rsidRPr="00D83239">
        <w:rPr>
          <w:b/>
          <w:sz w:val="20"/>
          <w:szCs w:val="20"/>
        </w:rPr>
        <w:t xml:space="preserve">st na področju tajnih podatkov </w:t>
      </w:r>
    </w:p>
    <w:p w14:paraId="1D6B13B9" w14:textId="77777777" w:rsidR="00DB29C1" w:rsidRPr="00D83239" w:rsidRDefault="00DB29C1" w:rsidP="00D83239">
      <w:pPr>
        <w:tabs>
          <w:tab w:val="num" w:pos="1431"/>
        </w:tabs>
        <w:spacing w:after="0" w:line="276" w:lineRule="auto"/>
        <w:jc w:val="both"/>
        <w:rPr>
          <w:rFonts w:ascii="Arial" w:hAnsi="Arial" w:cs="Arial"/>
          <w:sz w:val="20"/>
          <w:szCs w:val="20"/>
        </w:rPr>
      </w:pPr>
      <w:r w:rsidRPr="00DF164B">
        <w:rPr>
          <w:rFonts w:ascii="Arial" w:hAnsi="Arial" w:cs="Arial"/>
          <w:sz w:val="20"/>
          <w:szCs w:val="20"/>
        </w:rPr>
        <w:t>V skladu z Načrtom notranjih</w:t>
      </w:r>
      <w:r w:rsidRPr="00D83239">
        <w:rPr>
          <w:rFonts w:ascii="Arial" w:hAnsi="Arial" w:cs="Arial"/>
          <w:sz w:val="20"/>
          <w:szCs w:val="20"/>
        </w:rPr>
        <w:t xml:space="preserve"> nadzorov na področju obravnavanja in varovanja tajnih podatkov v Ministrstvu za notranje zadeve v letu 2025 ter na podlagi odredbe ministra je bil septembra 2025 opravljen tematski notranji nadzor nad izvajanjem predpisov s področja tajnih podatkov v Direktoratu za migracije MNZ. </w:t>
      </w:r>
    </w:p>
    <w:p w14:paraId="2FE0727B" w14:textId="77777777" w:rsidR="00DB29C1" w:rsidRPr="00D83239" w:rsidRDefault="00DB29C1" w:rsidP="00D83239">
      <w:pPr>
        <w:tabs>
          <w:tab w:val="num" w:pos="1431"/>
        </w:tabs>
        <w:spacing w:after="0" w:line="276" w:lineRule="auto"/>
        <w:jc w:val="both"/>
        <w:rPr>
          <w:rFonts w:ascii="Arial" w:hAnsi="Arial" w:cs="Arial"/>
          <w:sz w:val="20"/>
          <w:szCs w:val="20"/>
        </w:rPr>
      </w:pPr>
    </w:p>
    <w:p w14:paraId="50949D18" w14:textId="0F88DB10" w:rsidR="00DB29C1" w:rsidRPr="00D83239" w:rsidRDefault="00DB29C1" w:rsidP="00D83239">
      <w:pPr>
        <w:spacing w:after="0" w:line="276" w:lineRule="auto"/>
        <w:jc w:val="both"/>
        <w:rPr>
          <w:rFonts w:ascii="Arial" w:hAnsi="Arial" w:cs="Arial"/>
          <w:color w:val="000000"/>
          <w:sz w:val="20"/>
          <w:szCs w:val="20"/>
        </w:rPr>
      </w:pPr>
      <w:r w:rsidRPr="0055536E">
        <w:rPr>
          <w:rFonts w:ascii="Arial" w:hAnsi="Arial" w:cs="Arial"/>
          <w:sz w:val="20"/>
          <w:szCs w:val="20"/>
        </w:rPr>
        <w:t xml:space="preserve">Nadzor je bil namenjen ugotavljanju izpolnjevanja pogojev za obravnavanje in varovanje tajnih podatkov in preverjanju dejavnosti, ki se nanašajo na izvajanje določb Zakona o tajnih podatkih ter posameznih predpisov in aktov, sprejetih na podlagi tega zakona. V času izvedbe nadzora je bilo izrečenih skupno </w:t>
      </w:r>
      <w:r w:rsidR="00DC13E9" w:rsidRPr="0055536E">
        <w:rPr>
          <w:rFonts w:ascii="Arial" w:hAnsi="Arial" w:cs="Arial"/>
          <w:sz w:val="20"/>
          <w:szCs w:val="20"/>
        </w:rPr>
        <w:t xml:space="preserve">devet </w:t>
      </w:r>
      <w:r w:rsidRPr="0055536E">
        <w:rPr>
          <w:rFonts w:ascii="Arial" w:hAnsi="Arial" w:cs="Arial"/>
          <w:sz w:val="20"/>
          <w:szCs w:val="20"/>
        </w:rPr>
        <w:t>ukrepov za izboljšanje stanja oziroma odpravo pomanjkljivosti. Direktorat za migracije je po končanem nadzoru p</w:t>
      </w:r>
      <w:r w:rsidR="009F66BB" w:rsidRPr="0055536E">
        <w:rPr>
          <w:rFonts w:ascii="Arial" w:hAnsi="Arial" w:cs="Arial"/>
          <w:sz w:val="20"/>
          <w:szCs w:val="20"/>
        </w:rPr>
        <w:t>redloži</w:t>
      </w:r>
      <w:r w:rsidRPr="0055536E">
        <w:rPr>
          <w:rFonts w:ascii="Arial" w:hAnsi="Arial" w:cs="Arial"/>
          <w:sz w:val="20"/>
          <w:szCs w:val="20"/>
        </w:rPr>
        <w:t>l odzivno poročilo</w:t>
      </w:r>
      <w:r w:rsidR="00D609C0" w:rsidRPr="0055536E">
        <w:rPr>
          <w:rFonts w:ascii="Arial" w:hAnsi="Arial" w:cs="Arial"/>
          <w:sz w:val="20"/>
          <w:szCs w:val="20"/>
        </w:rPr>
        <w:t>,</w:t>
      </w:r>
      <w:r w:rsidRPr="0055536E">
        <w:rPr>
          <w:rFonts w:ascii="Arial" w:hAnsi="Arial" w:cs="Arial"/>
          <w:sz w:val="20"/>
          <w:szCs w:val="20"/>
        </w:rPr>
        <w:t xml:space="preserve"> iz katerega izhaja, da so z izjemo dveh izrečenih ukrepov za odpravo ugotovljenih pomanjkljivosti</w:t>
      </w:r>
      <w:r w:rsidR="009F66BB" w:rsidRPr="0055536E">
        <w:rPr>
          <w:rFonts w:ascii="Arial" w:hAnsi="Arial" w:cs="Arial"/>
          <w:sz w:val="20"/>
          <w:szCs w:val="20"/>
        </w:rPr>
        <w:t xml:space="preserve"> izved</w:t>
      </w:r>
      <w:r w:rsidRPr="0055536E">
        <w:rPr>
          <w:rFonts w:ascii="Arial" w:hAnsi="Arial" w:cs="Arial"/>
          <w:sz w:val="20"/>
          <w:szCs w:val="20"/>
        </w:rPr>
        <w:t>li vse preostale ukrepe. Ne</w:t>
      </w:r>
      <w:r w:rsidR="009F66BB" w:rsidRPr="0055536E">
        <w:rPr>
          <w:rFonts w:ascii="Arial" w:hAnsi="Arial" w:cs="Arial"/>
          <w:sz w:val="20"/>
          <w:szCs w:val="20"/>
        </w:rPr>
        <w:t>izvede</w:t>
      </w:r>
      <w:r w:rsidRPr="0055536E">
        <w:rPr>
          <w:rFonts w:ascii="Arial" w:hAnsi="Arial" w:cs="Arial"/>
          <w:sz w:val="20"/>
          <w:szCs w:val="20"/>
        </w:rPr>
        <w:t xml:space="preserve">na ukrepa bosta </w:t>
      </w:r>
      <w:r w:rsidR="009F66BB" w:rsidRPr="0055536E">
        <w:rPr>
          <w:rFonts w:ascii="Arial" w:hAnsi="Arial" w:cs="Arial"/>
          <w:sz w:val="20"/>
          <w:szCs w:val="20"/>
        </w:rPr>
        <w:t>izvede</w:t>
      </w:r>
      <w:r w:rsidRPr="0055536E">
        <w:rPr>
          <w:rFonts w:ascii="Arial" w:hAnsi="Arial" w:cs="Arial"/>
          <w:sz w:val="20"/>
          <w:szCs w:val="20"/>
        </w:rPr>
        <w:t>na takoj</w:t>
      </w:r>
      <w:r w:rsidR="0055536E" w:rsidRPr="0055536E">
        <w:rPr>
          <w:rFonts w:ascii="Arial" w:hAnsi="Arial" w:cs="Arial"/>
          <w:sz w:val="20"/>
          <w:szCs w:val="20"/>
        </w:rPr>
        <w:t>, ko bo to mogoče.</w:t>
      </w:r>
      <w:r w:rsidRPr="0055536E">
        <w:rPr>
          <w:rFonts w:ascii="Arial" w:hAnsi="Arial" w:cs="Arial"/>
          <w:sz w:val="20"/>
          <w:szCs w:val="20"/>
        </w:rPr>
        <w:t xml:space="preserve"> </w:t>
      </w:r>
    </w:p>
    <w:p w14:paraId="705B7556" w14:textId="77777777" w:rsidR="00DB29C1" w:rsidRPr="00D83239" w:rsidRDefault="00DB29C1" w:rsidP="00D83239">
      <w:pPr>
        <w:spacing w:after="0" w:line="276" w:lineRule="auto"/>
        <w:jc w:val="both"/>
        <w:rPr>
          <w:rFonts w:ascii="Arial" w:hAnsi="Arial" w:cs="Arial"/>
          <w:color w:val="000000"/>
          <w:sz w:val="20"/>
          <w:szCs w:val="20"/>
        </w:rPr>
      </w:pPr>
    </w:p>
    <w:p w14:paraId="1BC5E2E7" w14:textId="77777777" w:rsidR="002B4A50" w:rsidRPr="004A7026" w:rsidRDefault="002B4A50" w:rsidP="002B4A50">
      <w:pPr>
        <w:pStyle w:val="Desno"/>
        <w:spacing w:before="0" w:after="0" w:line="276" w:lineRule="auto"/>
        <w:rPr>
          <w:b/>
          <w:sz w:val="20"/>
          <w:szCs w:val="20"/>
        </w:rPr>
      </w:pPr>
      <w:r w:rsidRPr="004A7026">
        <w:rPr>
          <w:b/>
          <w:sz w:val="20"/>
          <w:szCs w:val="20"/>
        </w:rPr>
        <w:t>Informacijska varnost</w:t>
      </w:r>
    </w:p>
    <w:p w14:paraId="119E6939" w14:textId="36C4FD90" w:rsidR="002B4A50" w:rsidRPr="00D83239" w:rsidRDefault="002B4A50" w:rsidP="002B4A50">
      <w:pPr>
        <w:spacing w:after="0" w:line="276" w:lineRule="auto"/>
        <w:jc w:val="both"/>
        <w:rPr>
          <w:rFonts w:ascii="Arial" w:eastAsia="Times New Roman" w:hAnsi="Arial" w:cs="Arial"/>
          <w:sz w:val="20"/>
          <w:szCs w:val="20"/>
          <w:lang w:eastAsia="sl-SI"/>
        </w:rPr>
      </w:pPr>
      <w:r w:rsidRPr="004A7026">
        <w:rPr>
          <w:rFonts w:ascii="Arial" w:eastAsia="Times New Roman" w:hAnsi="Arial" w:cs="Arial"/>
          <w:sz w:val="20"/>
          <w:szCs w:val="20"/>
          <w:lang w:eastAsia="sl-SI"/>
        </w:rPr>
        <w:t xml:space="preserve">Policija in MNZ sta leta 2022 na področju obravnavanja tajnih podatkov načrtovala javno naročilo za izgradnjo lastnega sistema za izmenjavo tajnih podatkov do stopnje tajnosti TAJNO, ki naj bi temeljil na dokumentnem sistemu KRPAN z lahkimi odjemalci (terminalski dostop) in šifrirnimi napravami v varnostnih območjih, vendar je bil projekt zaradi </w:t>
      </w:r>
      <w:proofErr w:type="spellStart"/>
      <w:r w:rsidRPr="004A7026">
        <w:rPr>
          <w:rFonts w:ascii="Arial" w:eastAsia="Times New Roman" w:hAnsi="Arial" w:cs="Arial"/>
          <w:sz w:val="20"/>
          <w:szCs w:val="20"/>
          <w:lang w:eastAsia="sl-SI"/>
        </w:rPr>
        <w:t>nezagotovitve</w:t>
      </w:r>
      <w:proofErr w:type="spellEnd"/>
      <w:r w:rsidRPr="004A7026">
        <w:rPr>
          <w:rFonts w:ascii="Arial" w:eastAsia="Times New Roman" w:hAnsi="Arial" w:cs="Arial"/>
          <w:sz w:val="20"/>
          <w:szCs w:val="20"/>
          <w:lang w:eastAsia="sl-SI"/>
        </w:rPr>
        <w:t xml:space="preserve"> finančnih sredstev in kadrovske problematike zamaknjen v </w:t>
      </w:r>
      <w:r w:rsidR="009F66BB">
        <w:rPr>
          <w:rFonts w:ascii="Arial" w:eastAsia="Times New Roman" w:hAnsi="Arial" w:cs="Arial"/>
          <w:sz w:val="20"/>
          <w:szCs w:val="20"/>
          <w:lang w:eastAsia="sl-SI"/>
        </w:rPr>
        <w:t>obdobje</w:t>
      </w:r>
      <w:r w:rsidR="009F66BB" w:rsidRPr="004A7026">
        <w:rPr>
          <w:rFonts w:ascii="Arial" w:eastAsia="Times New Roman" w:hAnsi="Arial" w:cs="Arial"/>
          <w:sz w:val="20"/>
          <w:szCs w:val="20"/>
          <w:lang w:eastAsia="sl-SI"/>
        </w:rPr>
        <w:t xml:space="preserve"> </w:t>
      </w:r>
      <w:r w:rsidRPr="004A7026">
        <w:rPr>
          <w:rFonts w:ascii="Arial" w:eastAsia="Times New Roman" w:hAnsi="Arial" w:cs="Arial"/>
          <w:sz w:val="20"/>
          <w:szCs w:val="20"/>
          <w:lang w:eastAsia="sl-SI"/>
        </w:rPr>
        <w:t>2023</w:t>
      </w:r>
      <w:r w:rsidR="009F66BB">
        <w:rPr>
          <w:rFonts w:ascii="Arial" w:eastAsia="Times New Roman" w:hAnsi="Arial" w:cs="Arial"/>
          <w:sz w:val="20"/>
          <w:szCs w:val="20"/>
          <w:lang w:eastAsia="sl-SI"/>
        </w:rPr>
        <w:t>–</w:t>
      </w:r>
      <w:r w:rsidRPr="004A7026">
        <w:rPr>
          <w:rFonts w:ascii="Arial" w:eastAsia="Times New Roman" w:hAnsi="Arial" w:cs="Arial"/>
          <w:sz w:val="20"/>
          <w:szCs w:val="20"/>
          <w:lang w:eastAsia="sl-SI"/>
        </w:rPr>
        <w:t>2025, nadaljeval pa se bo tudi v letu 2026. V letu 2023 je bilo predvideno, da MNZ pri projektu sodeluje s približno 215.000 evr</w:t>
      </w:r>
      <w:r w:rsidR="009F66BB">
        <w:rPr>
          <w:rFonts w:ascii="Arial" w:eastAsia="Times New Roman" w:hAnsi="Arial" w:cs="Arial"/>
          <w:sz w:val="20"/>
          <w:szCs w:val="20"/>
          <w:lang w:eastAsia="sl-SI"/>
        </w:rPr>
        <w:t>ov</w:t>
      </w:r>
      <w:r w:rsidRPr="004A7026">
        <w:rPr>
          <w:rFonts w:ascii="Arial" w:eastAsia="Times New Roman" w:hAnsi="Arial" w:cs="Arial"/>
          <w:sz w:val="20"/>
          <w:szCs w:val="20"/>
          <w:lang w:eastAsia="sl-SI"/>
        </w:rPr>
        <w:t xml:space="preserve"> finančnih sredstev za 20 odjemalcev, 20 optičnih pretvornikov in prenosnik z zaščitenim priklopom USB-ključka, vendar finančna sredstva za to niso bila zagotovljena in naročilo ni bilo izvedeno. V letu 2025 je MNZ skupaj s </w:t>
      </w:r>
      <w:r w:rsidR="009F66BB">
        <w:rPr>
          <w:rFonts w:ascii="Arial" w:eastAsia="Times New Roman" w:hAnsi="Arial" w:cs="Arial"/>
          <w:sz w:val="20"/>
          <w:szCs w:val="20"/>
          <w:lang w:eastAsia="sl-SI"/>
        </w:rPr>
        <w:t>P</w:t>
      </w:r>
      <w:r w:rsidRPr="004A7026">
        <w:rPr>
          <w:rFonts w:ascii="Arial" w:eastAsia="Times New Roman" w:hAnsi="Arial" w:cs="Arial"/>
          <w:sz w:val="20"/>
          <w:szCs w:val="20"/>
          <w:lang w:eastAsia="sl-SI"/>
        </w:rPr>
        <w:t xml:space="preserve">olicijo glede na </w:t>
      </w:r>
      <w:r>
        <w:rPr>
          <w:rFonts w:ascii="Arial" w:eastAsia="Times New Roman" w:hAnsi="Arial" w:cs="Arial"/>
          <w:sz w:val="20"/>
          <w:szCs w:val="20"/>
          <w:lang w:eastAsia="sl-SI"/>
        </w:rPr>
        <w:t>razpoložljiva</w:t>
      </w:r>
      <w:r w:rsidRPr="004A7026">
        <w:rPr>
          <w:rFonts w:ascii="Arial" w:eastAsia="Times New Roman" w:hAnsi="Arial" w:cs="Arial"/>
          <w:sz w:val="20"/>
          <w:szCs w:val="20"/>
          <w:lang w:eastAsia="sl-SI"/>
        </w:rPr>
        <w:t xml:space="preserve"> finančna sredstva izvedlo dva javna razpisa za nabavo informacijske opreme za šifriranje in obravnavo tajnih podatkov do stopnje tajnosti TAJNO </w:t>
      </w:r>
      <w:r>
        <w:rPr>
          <w:rFonts w:ascii="Arial" w:eastAsia="Times New Roman" w:hAnsi="Arial" w:cs="Arial"/>
          <w:sz w:val="20"/>
          <w:szCs w:val="20"/>
          <w:lang w:eastAsia="sl-SI"/>
        </w:rPr>
        <w:t>v okviru</w:t>
      </w:r>
      <w:r w:rsidRPr="004A7026">
        <w:rPr>
          <w:rFonts w:ascii="Arial" w:eastAsia="Times New Roman" w:hAnsi="Arial" w:cs="Arial"/>
          <w:sz w:val="20"/>
          <w:szCs w:val="20"/>
          <w:lang w:eastAsia="sl-SI"/>
        </w:rPr>
        <w:t xml:space="preserve"> vzpostavitv</w:t>
      </w:r>
      <w:r>
        <w:rPr>
          <w:rFonts w:ascii="Arial" w:eastAsia="Times New Roman" w:hAnsi="Arial" w:cs="Arial"/>
          <w:sz w:val="20"/>
          <w:szCs w:val="20"/>
          <w:lang w:eastAsia="sl-SI"/>
        </w:rPr>
        <w:t>e</w:t>
      </w:r>
      <w:r w:rsidRPr="004A7026">
        <w:rPr>
          <w:rFonts w:ascii="Arial" w:eastAsia="Times New Roman" w:hAnsi="Arial" w:cs="Arial"/>
          <w:sz w:val="20"/>
          <w:szCs w:val="20"/>
          <w:lang w:eastAsia="sl-SI"/>
        </w:rPr>
        <w:t xml:space="preserve"> informacijskega sistema za obravnavo tajnih podatkov MNZ in </w:t>
      </w:r>
      <w:r w:rsidR="009F66BB">
        <w:rPr>
          <w:rFonts w:ascii="Arial" w:eastAsia="Times New Roman" w:hAnsi="Arial" w:cs="Arial"/>
          <w:sz w:val="20"/>
          <w:szCs w:val="20"/>
          <w:lang w:eastAsia="sl-SI"/>
        </w:rPr>
        <w:t>P</w:t>
      </w:r>
      <w:r w:rsidRPr="004A7026">
        <w:rPr>
          <w:rFonts w:ascii="Arial" w:eastAsia="Times New Roman" w:hAnsi="Arial" w:cs="Arial"/>
          <w:sz w:val="20"/>
          <w:szCs w:val="20"/>
          <w:lang w:eastAsia="sl-SI"/>
        </w:rPr>
        <w:t xml:space="preserve">olicije. Projekt se bo nadaljeval v letih 2026 in 2027. Po končani izgradnji bosta </w:t>
      </w:r>
      <w:r w:rsidR="009F66BB">
        <w:rPr>
          <w:rFonts w:ascii="Arial" w:eastAsia="Times New Roman" w:hAnsi="Arial" w:cs="Arial"/>
          <w:sz w:val="20"/>
          <w:szCs w:val="20"/>
          <w:lang w:eastAsia="sl-SI"/>
        </w:rPr>
        <w:t>P</w:t>
      </w:r>
      <w:r w:rsidRPr="004A7026">
        <w:rPr>
          <w:rFonts w:ascii="Arial" w:eastAsia="Times New Roman" w:hAnsi="Arial" w:cs="Arial"/>
          <w:sz w:val="20"/>
          <w:szCs w:val="20"/>
          <w:lang w:eastAsia="sl-SI"/>
        </w:rPr>
        <w:t>olicija in MNZ razpolagala z enotnim informacijskim sistemom za prenos tajnih podatkov do stopnje TAJNO znotraj organa.</w:t>
      </w:r>
    </w:p>
    <w:p w14:paraId="0537771E" w14:textId="77777777" w:rsidR="002B4A50" w:rsidRPr="00D83239" w:rsidRDefault="002B4A50" w:rsidP="002B4A50">
      <w:pPr>
        <w:spacing w:after="0" w:line="276" w:lineRule="auto"/>
        <w:jc w:val="both"/>
        <w:rPr>
          <w:rFonts w:ascii="Arial" w:eastAsia="Times New Roman" w:hAnsi="Arial" w:cs="Arial"/>
          <w:sz w:val="20"/>
          <w:szCs w:val="20"/>
          <w:lang w:eastAsia="sl-SI"/>
        </w:rPr>
      </w:pPr>
    </w:p>
    <w:p w14:paraId="3BE17159" w14:textId="03EB3A92" w:rsidR="002B4A50" w:rsidRPr="00D83239" w:rsidRDefault="002B4A50" w:rsidP="002B4A50">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MNZ</w:t>
      </w:r>
      <w:r w:rsidRPr="00D83239">
        <w:rPr>
          <w:rFonts w:ascii="Arial" w:eastAsia="Times New Roman" w:hAnsi="Arial" w:cs="Arial"/>
          <w:sz w:val="20"/>
          <w:szCs w:val="20"/>
          <w:lang w:eastAsia="sl-SI"/>
        </w:rPr>
        <w:t xml:space="preserve"> ima za svoje poslovanje vzpostavljen interni informacijski sistem notranjih zadev</w:t>
      </w:r>
      <w:r>
        <w:rPr>
          <w:rFonts w:ascii="Arial" w:eastAsia="Times New Roman" w:hAnsi="Arial" w:cs="Arial"/>
          <w:sz w:val="20"/>
          <w:szCs w:val="20"/>
          <w:lang w:eastAsia="sl-SI"/>
        </w:rPr>
        <w:t xml:space="preserve"> </w:t>
      </w:r>
      <w:r w:rsidR="00D263DD">
        <w:rPr>
          <w:rFonts w:ascii="Arial" w:eastAsia="Times New Roman" w:hAnsi="Arial" w:cs="Arial"/>
          <w:sz w:val="20"/>
          <w:szCs w:val="20"/>
          <w:lang w:eastAsia="sl-SI"/>
        </w:rPr>
        <w:t>(</w:t>
      </w:r>
      <w:r w:rsidRPr="00D83239">
        <w:rPr>
          <w:rFonts w:ascii="Arial" w:eastAsia="Times New Roman" w:hAnsi="Arial" w:cs="Arial"/>
          <w:sz w:val="20"/>
          <w:szCs w:val="20"/>
          <w:lang w:eastAsia="sl-SI"/>
        </w:rPr>
        <w:t>IISNZ</w:t>
      </w:r>
      <w:r w:rsidR="00D263DD">
        <w:rPr>
          <w:rFonts w:ascii="Arial" w:eastAsia="Times New Roman" w:hAnsi="Arial" w:cs="Arial"/>
          <w:sz w:val="20"/>
          <w:szCs w:val="20"/>
          <w:lang w:eastAsia="sl-SI"/>
        </w:rPr>
        <w:t>)</w:t>
      </w:r>
      <w:r w:rsidRPr="00D83239">
        <w:rPr>
          <w:rFonts w:ascii="Arial" w:eastAsia="Times New Roman" w:hAnsi="Arial" w:cs="Arial"/>
          <w:sz w:val="20"/>
          <w:szCs w:val="20"/>
          <w:lang w:eastAsia="sl-SI"/>
        </w:rPr>
        <w:t>. Za zagotavljanje varnosti IISNZ je bil vzpostavljen sistem upravljanja varovanja informacij</w:t>
      </w:r>
      <w:r>
        <w:rPr>
          <w:rFonts w:ascii="Arial" w:eastAsia="Times New Roman" w:hAnsi="Arial" w:cs="Arial"/>
          <w:sz w:val="20"/>
          <w:szCs w:val="20"/>
          <w:lang w:eastAsia="sl-SI"/>
        </w:rPr>
        <w:t xml:space="preserve"> </w:t>
      </w:r>
      <w:r w:rsidR="00D263DD">
        <w:rPr>
          <w:rFonts w:ascii="Arial" w:eastAsia="Times New Roman" w:hAnsi="Arial" w:cs="Arial"/>
          <w:sz w:val="20"/>
          <w:szCs w:val="20"/>
          <w:lang w:eastAsia="sl-SI"/>
        </w:rPr>
        <w:t>(</w:t>
      </w:r>
      <w:r w:rsidRPr="00D83239">
        <w:rPr>
          <w:rFonts w:ascii="Arial" w:eastAsia="Times New Roman" w:hAnsi="Arial" w:cs="Arial"/>
          <w:sz w:val="20"/>
          <w:szCs w:val="20"/>
          <w:lang w:eastAsia="sl-SI"/>
        </w:rPr>
        <w:t>SUVI</w:t>
      </w:r>
      <w:r w:rsidR="00D263DD">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in sistem upravljanja neprekinjenega poslovanja</w:t>
      </w:r>
      <w:r>
        <w:rPr>
          <w:rFonts w:ascii="Arial" w:eastAsia="Times New Roman" w:hAnsi="Arial" w:cs="Arial"/>
          <w:sz w:val="20"/>
          <w:szCs w:val="20"/>
          <w:lang w:eastAsia="sl-SI"/>
        </w:rPr>
        <w:t xml:space="preserve"> </w:t>
      </w:r>
      <w:r w:rsidR="00D263DD">
        <w:rPr>
          <w:rFonts w:ascii="Arial" w:eastAsia="Times New Roman" w:hAnsi="Arial" w:cs="Arial"/>
          <w:sz w:val="20"/>
          <w:szCs w:val="20"/>
          <w:lang w:eastAsia="sl-SI"/>
        </w:rPr>
        <w:t>(</w:t>
      </w:r>
      <w:r w:rsidRPr="00D83239">
        <w:rPr>
          <w:rFonts w:ascii="Arial" w:eastAsia="Times New Roman" w:hAnsi="Arial" w:cs="Arial"/>
          <w:sz w:val="20"/>
          <w:szCs w:val="20"/>
          <w:lang w:eastAsia="sl-SI"/>
        </w:rPr>
        <w:t>SUNP</w:t>
      </w:r>
      <w:r w:rsidR="00D263DD">
        <w:rPr>
          <w:rFonts w:ascii="Arial" w:eastAsia="Times New Roman" w:hAnsi="Arial" w:cs="Arial"/>
          <w:sz w:val="20"/>
          <w:szCs w:val="20"/>
          <w:lang w:eastAsia="sl-SI"/>
        </w:rPr>
        <w:t>)</w:t>
      </w:r>
      <w:r w:rsidRPr="00D83239">
        <w:rPr>
          <w:rFonts w:ascii="Arial" w:eastAsia="Times New Roman" w:hAnsi="Arial" w:cs="Arial"/>
          <w:sz w:val="20"/>
          <w:szCs w:val="20"/>
          <w:lang w:eastAsia="sl-SI"/>
        </w:rPr>
        <w:t>.</w:t>
      </w:r>
      <w:r w:rsidRPr="00D83239">
        <w:rPr>
          <w:rFonts w:ascii="Arial" w:hAnsi="Arial" w:cs="Arial"/>
          <w:sz w:val="20"/>
          <w:szCs w:val="20"/>
        </w:rPr>
        <w:t xml:space="preserve"> </w:t>
      </w:r>
      <w:r w:rsidR="00D263DD">
        <w:rPr>
          <w:rFonts w:ascii="Arial" w:hAnsi="Arial" w:cs="Arial"/>
          <w:sz w:val="20"/>
          <w:szCs w:val="20"/>
        </w:rPr>
        <w:t>MNZ</w:t>
      </w:r>
      <w:r>
        <w:rPr>
          <w:rFonts w:ascii="Arial" w:hAnsi="Arial" w:cs="Arial"/>
          <w:sz w:val="20"/>
          <w:szCs w:val="20"/>
        </w:rPr>
        <w:t xml:space="preserve"> </w:t>
      </w:r>
      <w:r w:rsidRPr="00D83239">
        <w:rPr>
          <w:rFonts w:ascii="Arial" w:hAnsi="Arial" w:cs="Arial"/>
          <w:sz w:val="20"/>
          <w:szCs w:val="20"/>
        </w:rPr>
        <w:t xml:space="preserve">skrbi za izvedbo nalog </w:t>
      </w:r>
      <w:r w:rsidRPr="00D83239">
        <w:rPr>
          <w:rFonts w:ascii="Arial" w:eastAsia="Times New Roman" w:hAnsi="Arial" w:cs="Arial"/>
          <w:sz w:val="20"/>
          <w:szCs w:val="20"/>
          <w:lang w:eastAsia="sl-SI"/>
        </w:rPr>
        <w:t xml:space="preserve">zagotavljanja varnosti lastnega informacijskega sistema, </w:t>
      </w:r>
      <w:r w:rsidR="009A084C">
        <w:rPr>
          <w:rFonts w:ascii="Arial" w:eastAsia="Times New Roman" w:hAnsi="Arial" w:cs="Arial"/>
          <w:sz w:val="20"/>
          <w:szCs w:val="20"/>
          <w:lang w:eastAsia="sl-SI"/>
        </w:rPr>
        <w:t xml:space="preserve">za </w:t>
      </w:r>
      <w:r w:rsidRPr="00D83239">
        <w:rPr>
          <w:rFonts w:ascii="Arial" w:eastAsia="Times New Roman" w:hAnsi="Arial" w:cs="Arial"/>
          <w:sz w:val="20"/>
          <w:szCs w:val="20"/>
          <w:lang w:eastAsia="sl-SI"/>
        </w:rPr>
        <w:t>obvladovanje zaznanih varnostnih incidentov in redno poročanje U</w:t>
      </w:r>
      <w:r>
        <w:rPr>
          <w:rFonts w:ascii="Arial" w:eastAsia="Times New Roman" w:hAnsi="Arial" w:cs="Arial"/>
          <w:sz w:val="20"/>
          <w:szCs w:val="20"/>
          <w:lang w:eastAsia="sl-SI"/>
        </w:rPr>
        <w:t>rad</w:t>
      </w:r>
      <w:r w:rsidR="009A084C">
        <w:rPr>
          <w:rFonts w:ascii="Arial" w:eastAsia="Times New Roman" w:hAnsi="Arial" w:cs="Arial"/>
          <w:sz w:val="20"/>
          <w:szCs w:val="20"/>
          <w:lang w:eastAsia="sl-SI"/>
        </w:rPr>
        <w:t>u</w:t>
      </w:r>
      <w:r>
        <w:rPr>
          <w:rFonts w:ascii="Arial" w:eastAsia="Times New Roman" w:hAnsi="Arial" w:cs="Arial"/>
          <w:sz w:val="20"/>
          <w:szCs w:val="20"/>
          <w:lang w:eastAsia="sl-SI"/>
        </w:rPr>
        <w:t xml:space="preserve"> </w:t>
      </w:r>
      <w:r w:rsidR="009A084C">
        <w:rPr>
          <w:rFonts w:ascii="Arial" w:eastAsia="Times New Roman" w:hAnsi="Arial" w:cs="Arial"/>
          <w:sz w:val="20"/>
          <w:szCs w:val="20"/>
          <w:lang w:eastAsia="sl-SI"/>
        </w:rPr>
        <w:t xml:space="preserve">Vlade </w:t>
      </w:r>
      <w:r w:rsidRPr="00D83239">
        <w:rPr>
          <w:rFonts w:ascii="Arial" w:eastAsia="Times New Roman" w:hAnsi="Arial" w:cs="Arial"/>
          <w:sz w:val="20"/>
          <w:szCs w:val="20"/>
          <w:lang w:eastAsia="sl-SI"/>
        </w:rPr>
        <w:t>R</w:t>
      </w:r>
      <w:r w:rsidR="009A084C">
        <w:rPr>
          <w:rFonts w:ascii="Arial" w:eastAsia="Times New Roman" w:hAnsi="Arial" w:cs="Arial"/>
          <w:sz w:val="20"/>
          <w:szCs w:val="20"/>
          <w:lang w:eastAsia="sl-SI"/>
        </w:rPr>
        <w:t xml:space="preserve">epublike </w:t>
      </w:r>
      <w:r w:rsidRPr="00D83239">
        <w:rPr>
          <w:rFonts w:ascii="Arial" w:eastAsia="Times New Roman" w:hAnsi="Arial" w:cs="Arial"/>
          <w:sz w:val="20"/>
          <w:szCs w:val="20"/>
          <w:lang w:eastAsia="sl-SI"/>
        </w:rPr>
        <w:t>S</w:t>
      </w:r>
      <w:r w:rsidR="009A084C">
        <w:rPr>
          <w:rFonts w:ascii="Arial" w:eastAsia="Times New Roman" w:hAnsi="Arial" w:cs="Arial"/>
          <w:sz w:val="20"/>
          <w:szCs w:val="20"/>
          <w:lang w:eastAsia="sl-SI"/>
        </w:rPr>
        <w:t>lovenije</w:t>
      </w:r>
      <w:r>
        <w:rPr>
          <w:rFonts w:ascii="Arial" w:eastAsia="Times New Roman" w:hAnsi="Arial" w:cs="Arial"/>
          <w:sz w:val="20"/>
          <w:szCs w:val="20"/>
          <w:lang w:eastAsia="sl-SI"/>
        </w:rPr>
        <w:t xml:space="preserve"> za info</w:t>
      </w:r>
      <w:r w:rsidR="009A084C">
        <w:rPr>
          <w:rFonts w:ascii="Arial" w:eastAsia="Times New Roman" w:hAnsi="Arial" w:cs="Arial"/>
          <w:sz w:val="20"/>
          <w:szCs w:val="20"/>
          <w:lang w:eastAsia="sl-SI"/>
        </w:rPr>
        <w:t>r</w:t>
      </w:r>
      <w:r>
        <w:rPr>
          <w:rFonts w:ascii="Arial" w:eastAsia="Times New Roman" w:hAnsi="Arial" w:cs="Arial"/>
          <w:sz w:val="20"/>
          <w:szCs w:val="20"/>
          <w:lang w:eastAsia="sl-SI"/>
        </w:rPr>
        <w:t>macijsko varnost</w:t>
      </w:r>
      <w:r w:rsidRPr="00D83239">
        <w:rPr>
          <w:rFonts w:ascii="Arial" w:eastAsia="Times New Roman" w:hAnsi="Arial" w:cs="Arial"/>
          <w:sz w:val="20"/>
          <w:szCs w:val="20"/>
          <w:lang w:eastAsia="sl-SI"/>
        </w:rPr>
        <w:t>.</w:t>
      </w:r>
    </w:p>
    <w:p w14:paraId="52C626B1" w14:textId="77777777" w:rsidR="002B4A50" w:rsidRPr="00D83239" w:rsidRDefault="002B4A50" w:rsidP="002B4A50">
      <w:pPr>
        <w:spacing w:after="0" w:line="276" w:lineRule="auto"/>
        <w:jc w:val="both"/>
        <w:rPr>
          <w:rFonts w:ascii="Arial" w:eastAsia="Times New Roman" w:hAnsi="Arial" w:cs="Arial"/>
          <w:sz w:val="20"/>
          <w:szCs w:val="20"/>
          <w:lang w:eastAsia="sl-SI"/>
        </w:rPr>
      </w:pPr>
    </w:p>
    <w:p w14:paraId="16C73975" w14:textId="5FFA1D12" w:rsidR="002B4A50" w:rsidRPr="00D83239" w:rsidRDefault="002B4A50" w:rsidP="002B4A50">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Zakon o informacijski varnosti </w:t>
      </w:r>
      <w:r w:rsidR="009A084C">
        <w:rPr>
          <w:rFonts w:ascii="Arial" w:eastAsia="Times New Roman" w:hAnsi="Arial" w:cs="Arial"/>
          <w:sz w:val="20"/>
          <w:szCs w:val="20"/>
          <w:lang w:eastAsia="sl-SI"/>
        </w:rPr>
        <w:t>–</w:t>
      </w:r>
      <w:r w:rsidR="009A084C"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ZInf</w:t>
      </w:r>
      <w:r w:rsidR="008B31CC">
        <w:rPr>
          <w:rFonts w:ascii="Arial" w:eastAsia="Times New Roman" w:hAnsi="Arial" w:cs="Arial"/>
          <w:sz w:val="20"/>
          <w:szCs w:val="20"/>
          <w:lang w:eastAsia="sl-SI"/>
        </w:rPr>
        <w:t xml:space="preserve">V-1 </w:t>
      </w:r>
      <w:r w:rsidRPr="00D83239">
        <w:rPr>
          <w:rFonts w:ascii="Arial" w:eastAsia="Times New Roman" w:hAnsi="Arial" w:cs="Arial"/>
          <w:sz w:val="20"/>
          <w:szCs w:val="20"/>
          <w:lang w:eastAsia="sl-SI"/>
        </w:rPr>
        <w:t xml:space="preserve">določa </w:t>
      </w:r>
      <w:r>
        <w:rPr>
          <w:rFonts w:ascii="Arial" w:eastAsia="Times New Roman" w:hAnsi="Arial" w:cs="Arial"/>
          <w:sz w:val="20"/>
          <w:szCs w:val="20"/>
          <w:lang w:eastAsia="sl-SI"/>
        </w:rPr>
        <w:t>MNZ</w:t>
      </w:r>
      <w:r w:rsidRPr="00D83239">
        <w:rPr>
          <w:rFonts w:ascii="Arial" w:eastAsia="Times New Roman" w:hAnsi="Arial" w:cs="Arial"/>
          <w:sz w:val="20"/>
          <w:szCs w:val="20"/>
          <w:lang w:eastAsia="sl-SI"/>
        </w:rPr>
        <w:t xml:space="preserve"> za zavezanca, s čimer ga zavezuje k upoštevanju in izv</w:t>
      </w:r>
      <w:r w:rsidR="009A084C">
        <w:rPr>
          <w:rFonts w:ascii="Arial" w:eastAsia="Times New Roman" w:hAnsi="Arial" w:cs="Arial"/>
          <w:sz w:val="20"/>
          <w:szCs w:val="20"/>
          <w:lang w:eastAsia="sl-SI"/>
        </w:rPr>
        <w:t>aj</w:t>
      </w:r>
      <w:r w:rsidRPr="00D83239">
        <w:rPr>
          <w:rFonts w:ascii="Arial" w:eastAsia="Times New Roman" w:hAnsi="Arial" w:cs="Arial"/>
          <w:sz w:val="20"/>
          <w:szCs w:val="20"/>
          <w:lang w:eastAsia="sl-SI"/>
        </w:rPr>
        <w:t>anju ukrepov s področja zagotavljanja informacijske varnosti</w:t>
      </w:r>
      <w:r w:rsidR="009A084C">
        <w:rPr>
          <w:rFonts w:ascii="Arial" w:eastAsia="Times New Roman" w:hAnsi="Arial" w:cs="Arial"/>
          <w:sz w:val="20"/>
          <w:szCs w:val="20"/>
          <w:lang w:eastAsia="sl-SI"/>
        </w:rPr>
        <w:t xml:space="preserve"> in</w:t>
      </w:r>
      <w:r w:rsidRPr="00D83239">
        <w:rPr>
          <w:rFonts w:ascii="Arial" w:eastAsia="Times New Roman" w:hAnsi="Arial" w:cs="Arial"/>
          <w:sz w:val="20"/>
          <w:szCs w:val="20"/>
          <w:lang w:eastAsia="sl-SI"/>
        </w:rPr>
        <w:t xml:space="preserve"> obvladovanj</w:t>
      </w:r>
      <w:r w:rsidR="009A084C">
        <w:rPr>
          <w:rFonts w:ascii="Arial" w:eastAsia="Times New Roman" w:hAnsi="Arial" w:cs="Arial"/>
          <w:sz w:val="20"/>
          <w:szCs w:val="20"/>
          <w:lang w:eastAsia="sl-SI"/>
        </w:rPr>
        <w:t>a</w:t>
      </w:r>
      <w:r w:rsidRPr="00D83239">
        <w:rPr>
          <w:rFonts w:ascii="Arial" w:eastAsia="Times New Roman" w:hAnsi="Arial" w:cs="Arial"/>
          <w:sz w:val="20"/>
          <w:szCs w:val="20"/>
          <w:lang w:eastAsia="sl-SI"/>
        </w:rPr>
        <w:t xml:space="preserve"> tveganj</w:t>
      </w:r>
      <w:r w:rsidR="009A084C">
        <w:rPr>
          <w:rFonts w:ascii="Arial" w:eastAsia="Times New Roman" w:hAnsi="Arial" w:cs="Arial"/>
          <w:sz w:val="20"/>
          <w:szCs w:val="20"/>
          <w:lang w:eastAsia="sl-SI"/>
        </w:rPr>
        <w:t xml:space="preserve"> ter</w:t>
      </w:r>
      <w:r w:rsidRPr="00D83239">
        <w:rPr>
          <w:rFonts w:ascii="Arial" w:eastAsia="Times New Roman" w:hAnsi="Arial" w:cs="Arial"/>
          <w:sz w:val="20"/>
          <w:szCs w:val="20"/>
          <w:lang w:eastAsia="sl-SI"/>
        </w:rPr>
        <w:t xml:space="preserve"> </w:t>
      </w:r>
      <w:r w:rsidR="009A084C">
        <w:rPr>
          <w:rFonts w:ascii="Arial" w:eastAsia="Times New Roman" w:hAnsi="Arial" w:cs="Arial"/>
          <w:sz w:val="20"/>
          <w:szCs w:val="20"/>
          <w:lang w:eastAsia="sl-SI"/>
        </w:rPr>
        <w:t xml:space="preserve">k </w:t>
      </w:r>
      <w:r w:rsidRPr="00D83239">
        <w:rPr>
          <w:rFonts w:ascii="Arial" w:eastAsia="Times New Roman" w:hAnsi="Arial" w:cs="Arial"/>
          <w:sz w:val="20"/>
          <w:szCs w:val="20"/>
          <w:lang w:eastAsia="sl-SI"/>
        </w:rPr>
        <w:t>sprejetju potrebnih ukrepov za preprečitev in zmanjšanje vpliva incidentov, ki vplivajo na varnost omrežij in nacionalne varnosti. Za zagotavljanje varovanja informacij in podatkov ter neprekinjeno poslovanje je nujno stalno zagotavljanje kibernetske varnosti informacijskega sistema. M</w:t>
      </w:r>
      <w:r>
        <w:rPr>
          <w:rFonts w:ascii="Arial" w:eastAsia="Times New Roman" w:hAnsi="Arial" w:cs="Arial"/>
          <w:sz w:val="20"/>
          <w:szCs w:val="20"/>
          <w:lang w:eastAsia="sl-SI"/>
        </w:rPr>
        <w:t>NZ</w:t>
      </w:r>
      <w:r w:rsidRPr="00D83239">
        <w:rPr>
          <w:rFonts w:ascii="Arial" w:eastAsia="Times New Roman" w:hAnsi="Arial" w:cs="Arial"/>
          <w:sz w:val="20"/>
          <w:szCs w:val="20"/>
          <w:lang w:eastAsia="sl-SI"/>
        </w:rPr>
        <w:t xml:space="preserve"> k temu, poleg trenutnih </w:t>
      </w:r>
      <w:r w:rsidR="00422572">
        <w:rPr>
          <w:rFonts w:ascii="Arial" w:eastAsia="Times New Roman" w:hAnsi="Arial" w:cs="Arial"/>
          <w:sz w:val="20"/>
          <w:szCs w:val="20"/>
          <w:lang w:eastAsia="sl-SI"/>
        </w:rPr>
        <w:t>svetov</w:t>
      </w:r>
      <w:r w:rsidRPr="00D83239">
        <w:rPr>
          <w:rFonts w:ascii="Arial" w:eastAsia="Times New Roman" w:hAnsi="Arial" w:cs="Arial"/>
          <w:sz w:val="20"/>
          <w:szCs w:val="20"/>
          <w:lang w:eastAsia="sl-SI"/>
        </w:rPr>
        <w:t>nih varnostnih razmer na področju kibernetske varnosti, zavezuje tudi ZInfV-1, ki med ključne dele nacionalnega varnostnega sistema vključuje tudi sistem notranje varnosti. V ta namen so bile vzpostavljene interne varnostne politike, navodila in druga varnostna dokumentacija. Med to s</w:t>
      </w:r>
      <w:r w:rsidR="00422572">
        <w:rPr>
          <w:rFonts w:ascii="Arial" w:eastAsia="Times New Roman" w:hAnsi="Arial" w:cs="Arial"/>
          <w:sz w:val="20"/>
          <w:szCs w:val="20"/>
          <w:lang w:eastAsia="sl-SI"/>
        </w:rPr>
        <w:t>pada</w:t>
      </w:r>
      <w:r w:rsidRPr="00D83239">
        <w:rPr>
          <w:rFonts w:ascii="Arial" w:eastAsia="Times New Roman" w:hAnsi="Arial" w:cs="Arial"/>
          <w:sz w:val="20"/>
          <w:szCs w:val="20"/>
          <w:lang w:eastAsia="sl-SI"/>
        </w:rPr>
        <w:t>jo izvedbe ocen vpliva na poslovanje (analiza</w:t>
      </w:r>
      <w:r w:rsidR="00D14DE4" w:rsidRPr="00D14DE4">
        <w:rPr>
          <w:rFonts w:ascii="Arial" w:eastAsia="Times New Roman" w:hAnsi="Arial" w:cs="Arial"/>
          <w:sz w:val="20"/>
          <w:szCs w:val="20"/>
          <w:lang w:eastAsia="sl-SI"/>
        </w:rPr>
        <w:t xml:space="preserve"> </w:t>
      </w:r>
      <w:r w:rsidR="00D14DE4" w:rsidRPr="00D83239">
        <w:rPr>
          <w:rFonts w:ascii="Arial" w:eastAsia="Times New Roman" w:hAnsi="Arial" w:cs="Arial"/>
          <w:sz w:val="20"/>
          <w:szCs w:val="20"/>
          <w:lang w:eastAsia="sl-SI"/>
        </w:rPr>
        <w:t>BIA</w:t>
      </w:r>
      <w:r w:rsidRPr="00D83239">
        <w:rPr>
          <w:rFonts w:ascii="Arial" w:eastAsia="Times New Roman" w:hAnsi="Arial" w:cs="Arial"/>
          <w:sz w:val="20"/>
          <w:szCs w:val="20"/>
          <w:lang w:eastAsia="sl-SI"/>
        </w:rPr>
        <w:t xml:space="preserve">), načrti okrevanj, postopki neprekinjenega poslovanja, popisi informacijskih sredstev in opreme, posodobitve ocen tveganj, registra tveganj, akcijskega načrta in pogodbena določila za zunanje izvajalce. Gre za procese, ki jih je </w:t>
      </w:r>
      <w:r>
        <w:rPr>
          <w:rFonts w:ascii="Arial" w:eastAsia="Times New Roman" w:hAnsi="Arial" w:cs="Arial"/>
          <w:sz w:val="20"/>
          <w:szCs w:val="20"/>
          <w:lang w:eastAsia="sl-SI"/>
        </w:rPr>
        <w:t>treba</w:t>
      </w:r>
      <w:r w:rsidRPr="00D83239">
        <w:rPr>
          <w:rFonts w:ascii="Arial" w:eastAsia="Times New Roman" w:hAnsi="Arial" w:cs="Arial"/>
          <w:sz w:val="20"/>
          <w:szCs w:val="20"/>
          <w:lang w:eastAsia="sl-SI"/>
        </w:rPr>
        <w:t xml:space="preserve"> stalno obnavljati</w:t>
      </w:r>
      <w:r>
        <w:rPr>
          <w:rFonts w:ascii="Arial" w:eastAsia="Times New Roman" w:hAnsi="Arial" w:cs="Arial"/>
          <w:sz w:val="20"/>
          <w:szCs w:val="20"/>
          <w:lang w:eastAsia="sl-SI"/>
        </w:rPr>
        <w:t xml:space="preserve"> in so</w:t>
      </w:r>
      <w:r w:rsidRPr="00D83239">
        <w:rPr>
          <w:rFonts w:ascii="Arial" w:eastAsia="Times New Roman" w:hAnsi="Arial" w:cs="Arial"/>
          <w:sz w:val="20"/>
          <w:szCs w:val="20"/>
          <w:lang w:eastAsia="sl-SI"/>
        </w:rPr>
        <w:t xml:space="preserve"> </w:t>
      </w:r>
      <w:r>
        <w:rPr>
          <w:rFonts w:ascii="Arial" w:eastAsia="Times New Roman" w:hAnsi="Arial" w:cs="Arial"/>
          <w:sz w:val="20"/>
          <w:szCs w:val="20"/>
          <w:lang w:eastAsia="sl-SI"/>
        </w:rPr>
        <w:t>se v MNZ</w:t>
      </w:r>
      <w:r w:rsidRPr="00D83239">
        <w:rPr>
          <w:rFonts w:ascii="Arial" w:eastAsia="Times New Roman" w:hAnsi="Arial" w:cs="Arial"/>
          <w:sz w:val="20"/>
          <w:szCs w:val="20"/>
          <w:lang w:eastAsia="sl-SI"/>
        </w:rPr>
        <w:t xml:space="preserve"> izvajal</w:t>
      </w:r>
      <w:r>
        <w:rPr>
          <w:rFonts w:ascii="Arial" w:eastAsia="Times New Roman" w:hAnsi="Arial" w:cs="Arial"/>
          <w:sz w:val="20"/>
          <w:szCs w:val="20"/>
          <w:lang w:eastAsia="sl-SI"/>
        </w:rPr>
        <w:t>i</w:t>
      </w:r>
      <w:r w:rsidRPr="00D83239">
        <w:rPr>
          <w:rFonts w:ascii="Arial" w:eastAsia="Times New Roman" w:hAnsi="Arial" w:cs="Arial"/>
          <w:sz w:val="20"/>
          <w:szCs w:val="20"/>
          <w:lang w:eastAsia="sl-SI"/>
        </w:rPr>
        <w:t xml:space="preserve"> tudi v </w:t>
      </w:r>
      <w:r>
        <w:rPr>
          <w:rFonts w:ascii="Arial" w:eastAsia="Times New Roman" w:hAnsi="Arial" w:cs="Arial"/>
          <w:sz w:val="20"/>
          <w:szCs w:val="20"/>
          <w:lang w:eastAsia="sl-SI"/>
        </w:rPr>
        <w:t xml:space="preserve">letu </w:t>
      </w:r>
      <w:r w:rsidRPr="00D83239">
        <w:rPr>
          <w:rFonts w:ascii="Arial" w:eastAsia="Times New Roman" w:hAnsi="Arial" w:cs="Arial"/>
          <w:sz w:val="20"/>
          <w:szCs w:val="20"/>
          <w:lang w:eastAsia="sl-SI"/>
        </w:rPr>
        <w:t xml:space="preserve">2025. </w:t>
      </w:r>
    </w:p>
    <w:p w14:paraId="73F3F938" w14:textId="77777777" w:rsidR="002B4A50" w:rsidRPr="00D83239" w:rsidRDefault="002B4A50" w:rsidP="002B4A50">
      <w:pPr>
        <w:spacing w:after="0" w:line="276" w:lineRule="auto"/>
        <w:jc w:val="both"/>
        <w:rPr>
          <w:rFonts w:ascii="Arial" w:eastAsia="Times New Roman" w:hAnsi="Arial" w:cs="Arial"/>
          <w:sz w:val="20"/>
          <w:szCs w:val="20"/>
          <w:lang w:eastAsia="sl-SI"/>
        </w:rPr>
      </w:pPr>
    </w:p>
    <w:p w14:paraId="71ACD0A0" w14:textId="23142FDE" w:rsidR="002B4A50" w:rsidRPr="00D83239" w:rsidRDefault="002B4A50" w:rsidP="002B4A50">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Poleg navedenih ukrepov so bil</w:t>
      </w:r>
      <w:r>
        <w:rPr>
          <w:rFonts w:ascii="Arial" w:eastAsia="Times New Roman" w:hAnsi="Arial" w:cs="Arial"/>
          <w:sz w:val="20"/>
          <w:szCs w:val="20"/>
          <w:lang w:eastAsia="sl-SI"/>
        </w:rPr>
        <w:t>e</w:t>
      </w:r>
      <w:r w:rsidRPr="00D83239">
        <w:rPr>
          <w:rFonts w:ascii="Arial" w:eastAsia="Times New Roman" w:hAnsi="Arial" w:cs="Arial"/>
          <w:sz w:val="20"/>
          <w:szCs w:val="20"/>
          <w:lang w:eastAsia="sl-SI"/>
        </w:rPr>
        <w:t xml:space="preserve"> v skladu z internimi akti izveden</w:t>
      </w:r>
      <w:r>
        <w:rPr>
          <w:rFonts w:ascii="Arial" w:eastAsia="Times New Roman" w:hAnsi="Arial" w:cs="Arial"/>
          <w:sz w:val="20"/>
          <w:szCs w:val="20"/>
          <w:lang w:eastAsia="sl-SI"/>
        </w:rPr>
        <w:t>e</w:t>
      </w:r>
      <w:r w:rsidRPr="00D83239">
        <w:rPr>
          <w:rFonts w:ascii="Arial" w:eastAsia="Times New Roman" w:hAnsi="Arial" w:cs="Arial"/>
          <w:sz w:val="20"/>
          <w:szCs w:val="20"/>
          <w:lang w:eastAsia="sl-SI"/>
        </w:rPr>
        <w:t xml:space="preserve"> tudi notranje presoje in varnostni forumi. Poleg tega je bilo v </w:t>
      </w:r>
      <w:r w:rsidR="00D14DE4">
        <w:rPr>
          <w:rFonts w:ascii="Arial" w:eastAsia="Times New Roman" w:hAnsi="Arial" w:cs="Arial"/>
          <w:sz w:val="20"/>
          <w:szCs w:val="20"/>
          <w:lang w:eastAsia="sl-SI"/>
        </w:rPr>
        <w:t xml:space="preserve">letu </w:t>
      </w:r>
      <w:r w:rsidRPr="00D83239">
        <w:rPr>
          <w:rFonts w:ascii="Arial" w:eastAsia="Times New Roman" w:hAnsi="Arial" w:cs="Arial"/>
          <w:sz w:val="20"/>
          <w:szCs w:val="20"/>
          <w:lang w:eastAsia="sl-SI"/>
        </w:rPr>
        <w:t>2025 izvedeno varnostno testiranje IISNZ ter organizirano izobraževanje za zaposlene. Za zaposlene je bil izdelan bilten</w:t>
      </w:r>
      <w:r w:rsidR="001D0715">
        <w:rPr>
          <w:rFonts w:ascii="Arial" w:eastAsia="Times New Roman" w:hAnsi="Arial" w:cs="Arial"/>
          <w:sz w:val="20"/>
          <w:szCs w:val="20"/>
          <w:lang w:eastAsia="sl-SI"/>
        </w:rPr>
        <w:t xml:space="preserve"> s</w:t>
      </w:r>
      <w:r w:rsidRPr="00D83239">
        <w:rPr>
          <w:rFonts w:ascii="Arial" w:eastAsia="Times New Roman" w:hAnsi="Arial" w:cs="Arial"/>
          <w:sz w:val="20"/>
          <w:szCs w:val="20"/>
          <w:lang w:eastAsia="sl-SI"/>
        </w:rPr>
        <w:t xml:space="preserve"> splošn</w:t>
      </w:r>
      <w:r w:rsidR="001D0715">
        <w:rPr>
          <w:rFonts w:ascii="Arial" w:eastAsia="Times New Roman" w:hAnsi="Arial" w:cs="Arial"/>
          <w:sz w:val="20"/>
          <w:szCs w:val="20"/>
          <w:lang w:eastAsia="sl-SI"/>
        </w:rPr>
        <w:t>imi</w:t>
      </w:r>
      <w:r w:rsidRPr="00D83239">
        <w:rPr>
          <w:rFonts w:ascii="Arial" w:eastAsia="Times New Roman" w:hAnsi="Arial" w:cs="Arial"/>
          <w:sz w:val="20"/>
          <w:szCs w:val="20"/>
          <w:lang w:eastAsia="sl-SI"/>
        </w:rPr>
        <w:t xml:space="preserve"> navodil</w:t>
      </w:r>
      <w:r w:rsidR="001D0715">
        <w:rPr>
          <w:rFonts w:ascii="Arial" w:eastAsia="Times New Roman" w:hAnsi="Arial" w:cs="Arial"/>
          <w:sz w:val="20"/>
          <w:szCs w:val="20"/>
          <w:lang w:eastAsia="sl-SI"/>
        </w:rPr>
        <w:t>i</w:t>
      </w:r>
      <w:r w:rsidRPr="00D83239">
        <w:rPr>
          <w:rFonts w:ascii="Arial" w:eastAsia="Times New Roman" w:hAnsi="Arial" w:cs="Arial"/>
          <w:sz w:val="20"/>
          <w:szCs w:val="20"/>
          <w:lang w:eastAsia="sl-SI"/>
        </w:rPr>
        <w:t xml:space="preserve"> glede varne uporabe informacijskih orodij, ob posameznih varnostnih dogodkih pa so jim bila pos</w:t>
      </w:r>
      <w:r w:rsidR="001D0715">
        <w:rPr>
          <w:rFonts w:ascii="Arial" w:eastAsia="Times New Roman" w:hAnsi="Arial" w:cs="Arial"/>
          <w:sz w:val="20"/>
          <w:szCs w:val="20"/>
          <w:lang w:eastAsia="sl-SI"/>
        </w:rPr>
        <w:t>l</w:t>
      </w:r>
      <w:r w:rsidRPr="00D83239">
        <w:rPr>
          <w:rFonts w:ascii="Arial" w:eastAsia="Times New Roman" w:hAnsi="Arial" w:cs="Arial"/>
          <w:sz w:val="20"/>
          <w:szCs w:val="20"/>
          <w:lang w:eastAsia="sl-SI"/>
        </w:rPr>
        <w:t xml:space="preserve">ana podrobna navodila in usmeritve (glede uporabe USB medijev, poverilnic, e-pošte idr.). </w:t>
      </w:r>
    </w:p>
    <w:p w14:paraId="0DCC90ED" w14:textId="77777777" w:rsidR="002B4A50" w:rsidRPr="00D83239" w:rsidRDefault="002B4A50" w:rsidP="002B4A50">
      <w:pPr>
        <w:spacing w:after="0" w:line="276" w:lineRule="auto"/>
        <w:jc w:val="both"/>
        <w:rPr>
          <w:rFonts w:ascii="Arial" w:eastAsia="Times New Roman" w:hAnsi="Arial" w:cs="Arial"/>
          <w:sz w:val="20"/>
          <w:szCs w:val="20"/>
          <w:lang w:eastAsia="sl-SI"/>
        </w:rPr>
      </w:pPr>
    </w:p>
    <w:p w14:paraId="7BE07EE1" w14:textId="35FAF524" w:rsidR="002B4A50" w:rsidRPr="00D83239" w:rsidRDefault="00D263DD" w:rsidP="002B4A50">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MNZ</w:t>
      </w:r>
      <w:r w:rsidR="002B4A50" w:rsidRPr="00D83239">
        <w:rPr>
          <w:rFonts w:ascii="Arial" w:eastAsia="Times New Roman" w:hAnsi="Arial" w:cs="Arial"/>
          <w:sz w:val="20"/>
          <w:szCs w:val="20"/>
          <w:lang w:eastAsia="sl-SI"/>
        </w:rPr>
        <w:t xml:space="preserve"> se neprekinjeno odziva na vse zaznane varnostne dogodke in incidente s področja informacijske varnosti. Za čim hitrejši odziv na zaznane varnostne dogodke in incidente je v </w:t>
      </w:r>
      <w:r w:rsidR="002B4A50">
        <w:rPr>
          <w:rFonts w:ascii="Arial" w:eastAsia="Times New Roman" w:hAnsi="Arial" w:cs="Arial"/>
          <w:sz w:val="20"/>
          <w:szCs w:val="20"/>
          <w:lang w:eastAsia="sl-SI"/>
        </w:rPr>
        <w:t xml:space="preserve">MNZ </w:t>
      </w:r>
      <w:r w:rsidR="002B4A50" w:rsidRPr="00D83239">
        <w:rPr>
          <w:rFonts w:ascii="Arial" w:eastAsia="Times New Roman" w:hAnsi="Arial" w:cs="Arial"/>
          <w:sz w:val="20"/>
          <w:szCs w:val="20"/>
          <w:lang w:eastAsia="sl-SI"/>
        </w:rPr>
        <w:t xml:space="preserve">vzpostavljena dežurna služba, v kateri sodelujejo zaposleni </w:t>
      </w:r>
      <w:r>
        <w:rPr>
          <w:rFonts w:ascii="Arial" w:eastAsia="Times New Roman" w:hAnsi="Arial" w:cs="Arial"/>
          <w:sz w:val="20"/>
          <w:szCs w:val="20"/>
          <w:lang w:eastAsia="sl-SI"/>
        </w:rPr>
        <w:t>iz različnih notranjih organizacijskih enot MNZ</w:t>
      </w:r>
      <w:r w:rsidR="00FF5A91">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002B4A50" w:rsidRPr="00D83239">
        <w:rPr>
          <w:rFonts w:ascii="Arial" w:eastAsia="Times New Roman" w:hAnsi="Arial" w:cs="Arial"/>
          <w:sz w:val="20"/>
          <w:szCs w:val="20"/>
          <w:lang w:eastAsia="sl-SI"/>
        </w:rPr>
        <w:t xml:space="preserve">Na področju informacijske varnosti </w:t>
      </w:r>
      <w:r w:rsidR="002B4A50">
        <w:rPr>
          <w:rFonts w:ascii="Arial" w:eastAsia="Times New Roman" w:hAnsi="Arial" w:cs="Arial"/>
          <w:sz w:val="20"/>
          <w:szCs w:val="20"/>
          <w:lang w:eastAsia="sl-SI"/>
        </w:rPr>
        <w:t xml:space="preserve">poteka </w:t>
      </w:r>
      <w:r w:rsidR="002B4A50" w:rsidRPr="00D83239">
        <w:rPr>
          <w:rFonts w:ascii="Arial" w:eastAsia="Times New Roman" w:hAnsi="Arial" w:cs="Arial"/>
          <w:sz w:val="20"/>
          <w:szCs w:val="20"/>
          <w:lang w:eastAsia="sl-SI"/>
        </w:rPr>
        <w:t>redno sodel</w:t>
      </w:r>
      <w:r w:rsidR="002B4A50">
        <w:rPr>
          <w:rFonts w:ascii="Arial" w:eastAsia="Times New Roman" w:hAnsi="Arial" w:cs="Arial"/>
          <w:sz w:val="20"/>
          <w:szCs w:val="20"/>
          <w:lang w:eastAsia="sl-SI"/>
        </w:rPr>
        <w:t>ovanje</w:t>
      </w:r>
      <w:r w:rsidR="002B4A50" w:rsidRPr="00D83239">
        <w:rPr>
          <w:rFonts w:ascii="Arial" w:eastAsia="Times New Roman" w:hAnsi="Arial" w:cs="Arial"/>
          <w:sz w:val="20"/>
          <w:szCs w:val="20"/>
          <w:lang w:eastAsia="sl-SI"/>
        </w:rPr>
        <w:t xml:space="preserve"> tudi z Uradom za informatiko in telekomunikacije Policije, Uradom </w:t>
      </w:r>
      <w:r w:rsidR="009A084C">
        <w:rPr>
          <w:rFonts w:ascii="Arial" w:eastAsia="Times New Roman" w:hAnsi="Arial" w:cs="Arial"/>
          <w:sz w:val="20"/>
          <w:szCs w:val="20"/>
          <w:lang w:eastAsia="sl-SI"/>
        </w:rPr>
        <w:t>V</w:t>
      </w:r>
      <w:r w:rsidR="002B4A50" w:rsidRPr="00D83239">
        <w:rPr>
          <w:rFonts w:ascii="Arial" w:eastAsia="Times New Roman" w:hAnsi="Arial" w:cs="Arial"/>
          <w:sz w:val="20"/>
          <w:szCs w:val="20"/>
          <w:lang w:eastAsia="sl-SI"/>
        </w:rPr>
        <w:t>lade R</w:t>
      </w:r>
      <w:r w:rsidR="009A084C">
        <w:rPr>
          <w:rFonts w:ascii="Arial" w:eastAsia="Times New Roman" w:hAnsi="Arial" w:cs="Arial"/>
          <w:sz w:val="20"/>
          <w:szCs w:val="20"/>
          <w:lang w:eastAsia="sl-SI"/>
        </w:rPr>
        <w:t xml:space="preserve">epublike </w:t>
      </w:r>
      <w:r w:rsidR="002B4A50" w:rsidRPr="00D83239">
        <w:rPr>
          <w:rFonts w:ascii="Arial" w:eastAsia="Times New Roman" w:hAnsi="Arial" w:cs="Arial"/>
          <w:sz w:val="20"/>
          <w:szCs w:val="20"/>
          <w:lang w:eastAsia="sl-SI"/>
        </w:rPr>
        <w:t>S</w:t>
      </w:r>
      <w:r w:rsidR="009A084C">
        <w:rPr>
          <w:rFonts w:ascii="Arial" w:eastAsia="Times New Roman" w:hAnsi="Arial" w:cs="Arial"/>
          <w:sz w:val="20"/>
          <w:szCs w:val="20"/>
          <w:lang w:eastAsia="sl-SI"/>
        </w:rPr>
        <w:t>lovenije</w:t>
      </w:r>
      <w:r w:rsidR="002B4A50" w:rsidRPr="00D83239">
        <w:rPr>
          <w:rFonts w:ascii="Arial" w:eastAsia="Times New Roman" w:hAnsi="Arial" w:cs="Arial"/>
          <w:sz w:val="20"/>
          <w:szCs w:val="20"/>
          <w:lang w:eastAsia="sl-SI"/>
        </w:rPr>
        <w:t xml:space="preserve"> za informacijsko varnost in Ministrstvom za digitalno preobrazbo. </w:t>
      </w:r>
      <w:r>
        <w:rPr>
          <w:rFonts w:ascii="Arial" w:eastAsia="Times New Roman" w:hAnsi="Arial" w:cs="Arial"/>
          <w:sz w:val="20"/>
          <w:szCs w:val="20"/>
          <w:lang w:eastAsia="sl-SI"/>
        </w:rPr>
        <w:t>MNZ</w:t>
      </w:r>
      <w:r w:rsidR="002B4A50" w:rsidRPr="00D83239">
        <w:rPr>
          <w:rFonts w:ascii="Arial" w:eastAsia="Times New Roman" w:hAnsi="Arial" w:cs="Arial"/>
          <w:sz w:val="20"/>
          <w:szCs w:val="20"/>
          <w:lang w:eastAsia="sl-SI"/>
        </w:rPr>
        <w:t xml:space="preserve"> skrbi tudi za sprotno obveščanje Nacionalnega odzivnega centra za kibernetsko varnost </w:t>
      </w:r>
      <w:r>
        <w:rPr>
          <w:rFonts w:ascii="Arial" w:eastAsia="Times New Roman" w:hAnsi="Arial" w:cs="Arial"/>
          <w:sz w:val="20"/>
          <w:szCs w:val="20"/>
          <w:lang w:eastAsia="sl-SI"/>
        </w:rPr>
        <w:t>(</w:t>
      </w:r>
      <w:r w:rsidR="002B4A50" w:rsidRPr="00D83239">
        <w:rPr>
          <w:rFonts w:ascii="Arial" w:eastAsia="Times New Roman" w:hAnsi="Arial" w:cs="Arial"/>
          <w:sz w:val="20"/>
          <w:szCs w:val="20"/>
          <w:lang w:eastAsia="sl-SI"/>
        </w:rPr>
        <w:t>CSIRT</w:t>
      </w:r>
      <w:r>
        <w:rPr>
          <w:rFonts w:ascii="Arial" w:eastAsia="Times New Roman" w:hAnsi="Arial" w:cs="Arial"/>
          <w:sz w:val="20"/>
          <w:szCs w:val="20"/>
          <w:lang w:eastAsia="sl-SI"/>
        </w:rPr>
        <w:t>)</w:t>
      </w:r>
      <w:r w:rsidR="002B4A50" w:rsidRPr="00D83239">
        <w:rPr>
          <w:rFonts w:ascii="Arial" w:eastAsia="Times New Roman" w:hAnsi="Arial" w:cs="Arial"/>
          <w:sz w:val="20"/>
          <w:szCs w:val="20"/>
          <w:lang w:eastAsia="sl-SI"/>
        </w:rPr>
        <w:t>.</w:t>
      </w:r>
    </w:p>
    <w:p w14:paraId="6E707313" w14:textId="77777777" w:rsidR="002B4A50" w:rsidRPr="00D83239" w:rsidRDefault="002B4A50" w:rsidP="002B4A50">
      <w:pPr>
        <w:spacing w:after="0" w:line="276" w:lineRule="auto"/>
        <w:jc w:val="both"/>
        <w:rPr>
          <w:rFonts w:ascii="Arial" w:eastAsia="Times New Roman" w:hAnsi="Arial" w:cs="Arial"/>
          <w:sz w:val="20"/>
          <w:szCs w:val="20"/>
          <w:lang w:eastAsia="sl-SI"/>
        </w:rPr>
      </w:pPr>
    </w:p>
    <w:p w14:paraId="6AFB8B1F" w14:textId="75E20234" w:rsidR="002B4A50" w:rsidRPr="00D83239" w:rsidRDefault="002B4A50" w:rsidP="002B4A50">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Za zagotavljanje večje informacijske varnosti </w:t>
      </w:r>
      <w:r>
        <w:rPr>
          <w:rFonts w:ascii="Arial" w:eastAsia="Times New Roman" w:hAnsi="Arial" w:cs="Arial"/>
          <w:sz w:val="20"/>
          <w:szCs w:val="20"/>
          <w:lang w:eastAsia="sl-SI"/>
        </w:rPr>
        <w:t>MNZ</w:t>
      </w:r>
      <w:r w:rsidRPr="00D83239">
        <w:rPr>
          <w:rFonts w:ascii="Arial" w:eastAsia="Times New Roman" w:hAnsi="Arial" w:cs="Arial"/>
          <w:sz w:val="20"/>
          <w:szCs w:val="20"/>
          <w:lang w:eastAsia="sl-SI"/>
        </w:rPr>
        <w:t xml:space="preserve"> </w:t>
      </w:r>
      <w:r w:rsidR="001D0715">
        <w:rPr>
          <w:rFonts w:ascii="Arial" w:eastAsia="Times New Roman" w:hAnsi="Arial" w:cs="Arial"/>
          <w:sz w:val="20"/>
          <w:szCs w:val="20"/>
          <w:lang w:eastAsia="sl-SI"/>
        </w:rPr>
        <w:t>in</w:t>
      </w:r>
      <w:r w:rsidR="001D0715"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skladnosti z ZInfV-1</w:t>
      </w:r>
      <w:r>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 xml:space="preserve">so bila </w:t>
      </w:r>
      <w:r w:rsidR="001D0715">
        <w:rPr>
          <w:rFonts w:ascii="Arial" w:eastAsia="Times New Roman" w:hAnsi="Arial" w:cs="Arial"/>
          <w:sz w:val="20"/>
          <w:szCs w:val="20"/>
          <w:lang w:eastAsia="sl-SI"/>
        </w:rPr>
        <w:t>uvedena</w:t>
      </w:r>
      <w:r w:rsidR="001D0715"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 xml:space="preserve">nova orodja in zagotovljena </w:t>
      </w:r>
      <w:r w:rsidR="001D0715">
        <w:rPr>
          <w:rFonts w:ascii="Arial" w:eastAsia="Times New Roman" w:hAnsi="Arial" w:cs="Arial"/>
          <w:sz w:val="20"/>
          <w:szCs w:val="20"/>
          <w:lang w:eastAsia="sl-SI"/>
        </w:rPr>
        <w:t xml:space="preserve">je bila </w:t>
      </w:r>
      <w:r w:rsidRPr="00D83239">
        <w:rPr>
          <w:rFonts w:ascii="Arial" w:eastAsia="Times New Roman" w:hAnsi="Arial" w:cs="Arial"/>
          <w:sz w:val="20"/>
          <w:szCs w:val="20"/>
          <w:lang w:eastAsia="sl-SI"/>
        </w:rPr>
        <w:t>strokovna podpora.</w:t>
      </w:r>
    </w:p>
    <w:p w14:paraId="4F1521C4" w14:textId="77777777" w:rsidR="002B4A50" w:rsidRPr="00D83239" w:rsidRDefault="002B4A50" w:rsidP="002B4A50">
      <w:pPr>
        <w:spacing w:after="0" w:line="276" w:lineRule="auto"/>
        <w:jc w:val="both"/>
        <w:rPr>
          <w:rFonts w:ascii="Arial" w:eastAsia="Times New Roman" w:hAnsi="Arial" w:cs="Arial"/>
          <w:sz w:val="20"/>
          <w:szCs w:val="20"/>
          <w:lang w:eastAsia="sl-SI"/>
        </w:rPr>
      </w:pPr>
    </w:p>
    <w:p w14:paraId="78BD3FA1" w14:textId="7C907F68" w:rsidR="002B4A50" w:rsidRPr="00D83239" w:rsidRDefault="002B4A50" w:rsidP="002B4A50">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Poleg tega </w:t>
      </w:r>
      <w:r>
        <w:rPr>
          <w:rFonts w:ascii="Arial" w:eastAsia="Times New Roman" w:hAnsi="Arial" w:cs="Arial"/>
          <w:sz w:val="20"/>
          <w:szCs w:val="20"/>
          <w:lang w:eastAsia="sl-SI"/>
        </w:rPr>
        <w:t xml:space="preserve">so </w:t>
      </w:r>
      <w:r w:rsidRPr="00D83239">
        <w:rPr>
          <w:rFonts w:ascii="Arial" w:eastAsia="Times New Roman" w:hAnsi="Arial" w:cs="Arial"/>
          <w:sz w:val="20"/>
          <w:szCs w:val="20"/>
          <w:lang w:eastAsia="sl-SI"/>
        </w:rPr>
        <w:t>predstavniki MNZ sodel</w:t>
      </w:r>
      <w:r>
        <w:rPr>
          <w:rFonts w:ascii="Arial" w:eastAsia="Times New Roman" w:hAnsi="Arial" w:cs="Arial"/>
          <w:sz w:val="20"/>
          <w:szCs w:val="20"/>
          <w:lang w:eastAsia="sl-SI"/>
        </w:rPr>
        <w:t>ovali</w:t>
      </w:r>
      <w:r w:rsidRPr="00D83239">
        <w:rPr>
          <w:rFonts w:ascii="Arial" w:eastAsia="Times New Roman" w:hAnsi="Arial" w:cs="Arial"/>
          <w:sz w:val="20"/>
          <w:szCs w:val="20"/>
          <w:lang w:eastAsia="sl-SI"/>
        </w:rPr>
        <w:t xml:space="preserve"> v </w:t>
      </w:r>
      <w:r w:rsidR="005D2EB5">
        <w:rPr>
          <w:rFonts w:ascii="Arial" w:eastAsia="Times New Roman" w:hAnsi="Arial" w:cs="Arial"/>
          <w:sz w:val="20"/>
          <w:szCs w:val="20"/>
          <w:lang w:eastAsia="sl-SI"/>
        </w:rPr>
        <w:t>k</w:t>
      </w:r>
      <w:r w:rsidRPr="00D83239">
        <w:rPr>
          <w:rFonts w:ascii="Arial" w:eastAsia="Times New Roman" w:hAnsi="Arial" w:cs="Arial"/>
          <w:sz w:val="20"/>
          <w:szCs w:val="20"/>
          <w:lang w:eastAsia="sl-SI"/>
        </w:rPr>
        <w:t xml:space="preserve">oordinacijski delovni skupini za kibernetsko varnost in </w:t>
      </w:r>
      <w:r w:rsidR="005D2EB5">
        <w:rPr>
          <w:rFonts w:ascii="Arial" w:eastAsia="Times New Roman" w:hAnsi="Arial" w:cs="Arial"/>
          <w:sz w:val="20"/>
          <w:szCs w:val="20"/>
          <w:lang w:eastAsia="sl-SI"/>
        </w:rPr>
        <w:t>k</w:t>
      </w:r>
      <w:r w:rsidRPr="00D83239">
        <w:rPr>
          <w:rFonts w:ascii="Arial" w:eastAsia="Times New Roman" w:hAnsi="Arial" w:cs="Arial"/>
          <w:sz w:val="20"/>
          <w:szCs w:val="20"/>
          <w:lang w:eastAsia="sl-SI"/>
        </w:rPr>
        <w:t>oordinacijski delovni skupini za kibernetsko varnost za strateški nivo oblikovanja politik</w:t>
      </w:r>
      <w:r>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s poudarkom na mednarodni dimenziji, </w:t>
      </w:r>
      <w:r w:rsidRPr="00D83239">
        <w:rPr>
          <w:rFonts w:ascii="Arial" w:hAnsi="Arial" w:cs="Arial"/>
          <w:sz w:val="20"/>
          <w:szCs w:val="20"/>
        </w:rPr>
        <w:t xml:space="preserve">ki ju vodi Urad </w:t>
      </w:r>
      <w:r w:rsidR="009A084C">
        <w:rPr>
          <w:rFonts w:ascii="Arial" w:hAnsi="Arial" w:cs="Arial"/>
          <w:sz w:val="20"/>
          <w:szCs w:val="20"/>
        </w:rPr>
        <w:t>V</w:t>
      </w:r>
      <w:r w:rsidRPr="00D83239">
        <w:rPr>
          <w:rFonts w:ascii="Arial" w:hAnsi="Arial" w:cs="Arial"/>
          <w:sz w:val="20"/>
          <w:szCs w:val="20"/>
        </w:rPr>
        <w:t>lade R</w:t>
      </w:r>
      <w:r w:rsidR="009A084C">
        <w:rPr>
          <w:rFonts w:ascii="Arial" w:hAnsi="Arial" w:cs="Arial"/>
          <w:sz w:val="20"/>
          <w:szCs w:val="20"/>
        </w:rPr>
        <w:t xml:space="preserve">epublike </w:t>
      </w:r>
      <w:r w:rsidRPr="00D83239">
        <w:rPr>
          <w:rFonts w:ascii="Arial" w:hAnsi="Arial" w:cs="Arial"/>
          <w:sz w:val="20"/>
          <w:szCs w:val="20"/>
        </w:rPr>
        <w:t>S</w:t>
      </w:r>
      <w:r w:rsidR="009A084C">
        <w:rPr>
          <w:rFonts w:ascii="Arial" w:hAnsi="Arial" w:cs="Arial"/>
          <w:sz w:val="20"/>
          <w:szCs w:val="20"/>
        </w:rPr>
        <w:t>lovenije</w:t>
      </w:r>
      <w:r w:rsidRPr="00D83239">
        <w:rPr>
          <w:rFonts w:ascii="Arial" w:hAnsi="Arial" w:cs="Arial"/>
          <w:sz w:val="20"/>
          <w:szCs w:val="20"/>
        </w:rPr>
        <w:t xml:space="preserve"> za informacijsko varnost</w:t>
      </w:r>
      <w:r w:rsidR="001D0715">
        <w:rPr>
          <w:rFonts w:ascii="Arial" w:hAnsi="Arial" w:cs="Arial"/>
          <w:sz w:val="20"/>
          <w:szCs w:val="20"/>
        </w:rPr>
        <w:t>,</w:t>
      </w:r>
      <w:r w:rsidRPr="00D83239">
        <w:rPr>
          <w:rFonts w:ascii="Arial" w:hAnsi="Arial" w:cs="Arial"/>
          <w:sz w:val="20"/>
          <w:szCs w:val="20"/>
        </w:rPr>
        <w:t xml:space="preserve"> ter </w:t>
      </w:r>
      <w:r w:rsidRPr="00D83239">
        <w:rPr>
          <w:rFonts w:ascii="Arial" w:eastAsia="Times New Roman" w:hAnsi="Arial" w:cs="Arial"/>
          <w:sz w:val="20"/>
          <w:szCs w:val="20"/>
          <w:lang w:eastAsia="sl-SI"/>
        </w:rPr>
        <w:t xml:space="preserve">v </w:t>
      </w:r>
      <w:r w:rsidR="005D2EB5">
        <w:rPr>
          <w:rFonts w:ascii="Arial" w:eastAsia="Times New Roman" w:hAnsi="Arial" w:cs="Arial"/>
          <w:sz w:val="20"/>
          <w:szCs w:val="20"/>
          <w:lang w:eastAsia="sl-SI"/>
        </w:rPr>
        <w:t>m</w:t>
      </w:r>
      <w:r w:rsidRPr="00D83239">
        <w:rPr>
          <w:rFonts w:ascii="Arial" w:eastAsia="Times New Roman" w:hAnsi="Arial" w:cs="Arial"/>
          <w:sz w:val="20"/>
          <w:szCs w:val="20"/>
          <w:lang w:eastAsia="sl-SI"/>
        </w:rPr>
        <w:t>edresorski skupini za vesolje</w:t>
      </w:r>
      <w:r>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ki jo vodi Ministrstvo za gospodarstvo, turizem in šport. </w:t>
      </w:r>
    </w:p>
    <w:p w14:paraId="0F3F051E" w14:textId="77777777" w:rsidR="002B4A50" w:rsidRPr="00D83239" w:rsidRDefault="002B4A50" w:rsidP="002B4A50">
      <w:pPr>
        <w:spacing w:after="0" w:line="276" w:lineRule="auto"/>
        <w:jc w:val="both"/>
        <w:rPr>
          <w:rFonts w:ascii="Arial" w:eastAsia="Times New Roman" w:hAnsi="Arial" w:cs="Arial"/>
          <w:sz w:val="20"/>
          <w:szCs w:val="20"/>
          <w:lang w:eastAsia="sl-SI"/>
        </w:rPr>
      </w:pPr>
    </w:p>
    <w:p w14:paraId="7FB40CA9" w14:textId="77777777" w:rsidR="002B4A50" w:rsidRPr="00D83239" w:rsidRDefault="002B4A50" w:rsidP="002B4A50">
      <w:pPr>
        <w:spacing w:after="0" w:line="276" w:lineRule="auto"/>
        <w:jc w:val="both"/>
        <w:rPr>
          <w:rFonts w:ascii="Arial" w:hAnsi="Arial" w:cs="Arial"/>
          <w:sz w:val="20"/>
          <w:szCs w:val="20"/>
        </w:rPr>
      </w:pPr>
      <w:r w:rsidRPr="00D83239">
        <w:rPr>
          <w:rFonts w:ascii="Arial" w:eastAsia="Times New Roman" w:hAnsi="Arial" w:cs="Arial"/>
          <w:sz w:val="20"/>
          <w:szCs w:val="20"/>
          <w:lang w:eastAsia="sl-SI"/>
        </w:rPr>
        <w:t>Sodelovali so tudi na dveh mednarodnih vajah</w:t>
      </w:r>
      <w:r>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w:t>
      </w:r>
      <w:proofErr w:type="spellStart"/>
      <w:r w:rsidRPr="00D83239">
        <w:rPr>
          <w:rFonts w:ascii="Arial" w:eastAsia="Times New Roman" w:hAnsi="Arial" w:cs="Arial"/>
          <w:sz w:val="20"/>
          <w:szCs w:val="20"/>
          <w:lang w:eastAsia="sl-SI"/>
        </w:rPr>
        <w:t>Locked</w:t>
      </w:r>
      <w:proofErr w:type="spellEnd"/>
      <w:r w:rsidRPr="00D83239">
        <w:rPr>
          <w:rFonts w:ascii="Arial" w:eastAsia="Times New Roman" w:hAnsi="Arial" w:cs="Arial"/>
          <w:sz w:val="20"/>
          <w:szCs w:val="20"/>
          <w:lang w:eastAsia="sl-SI"/>
        </w:rPr>
        <w:t xml:space="preserve"> </w:t>
      </w:r>
      <w:proofErr w:type="spellStart"/>
      <w:r w:rsidRPr="00D83239">
        <w:rPr>
          <w:rFonts w:ascii="Arial" w:eastAsia="Times New Roman" w:hAnsi="Arial" w:cs="Arial"/>
          <w:sz w:val="20"/>
          <w:szCs w:val="20"/>
          <w:lang w:eastAsia="sl-SI"/>
        </w:rPr>
        <w:t>Shileds</w:t>
      </w:r>
      <w:proofErr w:type="spellEnd"/>
      <w:r w:rsidRPr="00D83239">
        <w:rPr>
          <w:rFonts w:ascii="Arial" w:eastAsia="Times New Roman" w:hAnsi="Arial" w:cs="Arial"/>
          <w:sz w:val="20"/>
          <w:szCs w:val="20"/>
          <w:lang w:eastAsia="sl-SI"/>
        </w:rPr>
        <w:t xml:space="preserve"> 2025 in </w:t>
      </w:r>
      <w:proofErr w:type="spellStart"/>
      <w:r w:rsidRPr="00D83239">
        <w:rPr>
          <w:rFonts w:ascii="Arial" w:eastAsia="Times New Roman" w:hAnsi="Arial" w:cs="Arial"/>
          <w:sz w:val="20"/>
          <w:szCs w:val="20"/>
          <w:lang w:eastAsia="sl-SI"/>
        </w:rPr>
        <w:t>Cyber</w:t>
      </w:r>
      <w:proofErr w:type="spellEnd"/>
      <w:r w:rsidRPr="00D83239">
        <w:rPr>
          <w:rFonts w:ascii="Arial" w:eastAsia="Times New Roman" w:hAnsi="Arial" w:cs="Arial"/>
          <w:sz w:val="20"/>
          <w:szCs w:val="20"/>
          <w:lang w:eastAsia="sl-SI"/>
        </w:rPr>
        <w:t xml:space="preserve"> </w:t>
      </w:r>
      <w:proofErr w:type="spellStart"/>
      <w:r w:rsidRPr="00D83239">
        <w:rPr>
          <w:rFonts w:ascii="Arial" w:eastAsia="Times New Roman" w:hAnsi="Arial" w:cs="Arial"/>
          <w:sz w:val="20"/>
          <w:szCs w:val="20"/>
          <w:lang w:eastAsia="sl-SI"/>
        </w:rPr>
        <w:t>Coalition</w:t>
      </w:r>
      <w:proofErr w:type="spellEnd"/>
      <w:r w:rsidRPr="00D83239">
        <w:rPr>
          <w:rFonts w:ascii="Arial" w:eastAsia="Times New Roman" w:hAnsi="Arial" w:cs="Arial"/>
          <w:sz w:val="20"/>
          <w:szCs w:val="20"/>
          <w:lang w:eastAsia="sl-SI"/>
        </w:rPr>
        <w:t xml:space="preserve"> 2025 – Legat ter na prvi nacionalni vaji</w:t>
      </w:r>
      <w:r>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Kibernetska trdnjava 2025.</w:t>
      </w:r>
    </w:p>
    <w:p w14:paraId="3956BB83" w14:textId="77777777" w:rsidR="002B4A50" w:rsidRPr="00D83239" w:rsidRDefault="002B4A50" w:rsidP="002B4A50">
      <w:pPr>
        <w:spacing w:after="0" w:line="276" w:lineRule="auto"/>
        <w:jc w:val="both"/>
        <w:rPr>
          <w:rFonts w:ascii="Arial" w:eastAsia="Times New Roman" w:hAnsi="Arial" w:cs="Arial"/>
          <w:sz w:val="20"/>
          <w:szCs w:val="20"/>
          <w:lang w:eastAsia="sl-SI"/>
        </w:rPr>
      </w:pPr>
    </w:p>
    <w:p w14:paraId="4F645DD7" w14:textId="10ED19B9" w:rsidR="002B4A50" w:rsidRPr="00D83239" w:rsidRDefault="002B4A50" w:rsidP="002B4A50">
      <w:pPr>
        <w:spacing w:after="0" w:line="276" w:lineRule="auto"/>
        <w:jc w:val="both"/>
        <w:rPr>
          <w:rFonts w:ascii="Arial" w:eastAsia="Times New Roman" w:hAnsi="Arial" w:cs="Arial"/>
          <w:sz w:val="20"/>
          <w:szCs w:val="20"/>
          <w:lang w:eastAsia="sl-SI"/>
        </w:rPr>
      </w:pPr>
      <w:r w:rsidRPr="00D65C01">
        <w:rPr>
          <w:rFonts w:ascii="Arial" w:hAnsi="Arial" w:cs="Arial"/>
          <w:sz w:val="20"/>
          <w:szCs w:val="20"/>
        </w:rPr>
        <w:t xml:space="preserve">Na področju informacijske </w:t>
      </w:r>
      <w:r w:rsidRPr="001545E9">
        <w:rPr>
          <w:rFonts w:ascii="Arial" w:hAnsi="Arial" w:cs="Arial"/>
          <w:sz w:val="20"/>
          <w:szCs w:val="20"/>
        </w:rPr>
        <w:t xml:space="preserve">varnosti </w:t>
      </w:r>
      <w:r w:rsidR="00D4717A">
        <w:rPr>
          <w:rFonts w:ascii="Arial" w:hAnsi="Arial" w:cs="Arial"/>
          <w:sz w:val="20"/>
          <w:szCs w:val="20"/>
        </w:rPr>
        <w:t>informacijsko-komunikacijskih</w:t>
      </w:r>
      <w:r w:rsidR="00D4717A" w:rsidRPr="00D4717A">
        <w:rPr>
          <w:rFonts w:ascii="Arial" w:hAnsi="Arial" w:cs="Arial"/>
          <w:sz w:val="20"/>
          <w:szCs w:val="20"/>
        </w:rPr>
        <w:t xml:space="preserve"> sistem</w:t>
      </w:r>
      <w:r w:rsidR="00D4717A">
        <w:rPr>
          <w:rFonts w:ascii="Arial" w:hAnsi="Arial" w:cs="Arial"/>
          <w:sz w:val="20"/>
          <w:szCs w:val="20"/>
        </w:rPr>
        <w:t>ov</w:t>
      </w:r>
      <w:r w:rsidR="00D4717A" w:rsidRPr="00D4717A">
        <w:rPr>
          <w:rFonts w:ascii="Arial" w:hAnsi="Arial" w:cs="Arial"/>
          <w:sz w:val="20"/>
          <w:szCs w:val="20"/>
        </w:rPr>
        <w:t xml:space="preserve"> za obravnavanje in hrambo tajnih poda</w:t>
      </w:r>
      <w:r w:rsidR="00D4717A">
        <w:rPr>
          <w:rFonts w:ascii="Arial" w:hAnsi="Arial" w:cs="Arial"/>
          <w:sz w:val="20"/>
          <w:szCs w:val="20"/>
        </w:rPr>
        <w:t>tkov</w:t>
      </w:r>
      <w:r w:rsidR="00D4717A" w:rsidRPr="00D4717A">
        <w:rPr>
          <w:rFonts w:ascii="Arial" w:hAnsi="Arial" w:cs="Arial"/>
          <w:sz w:val="20"/>
          <w:szCs w:val="20"/>
        </w:rPr>
        <w:t xml:space="preserve"> v MNZ</w:t>
      </w:r>
      <w:r w:rsidR="00D4717A">
        <w:rPr>
          <w:rFonts w:ascii="Arial" w:hAnsi="Arial" w:cs="Arial"/>
          <w:sz w:val="20"/>
          <w:szCs w:val="20"/>
        </w:rPr>
        <w:t xml:space="preserve"> (ISTPMNZ)</w:t>
      </w:r>
      <w:r w:rsidRPr="001545E9">
        <w:rPr>
          <w:rFonts w:ascii="Arial" w:hAnsi="Arial" w:cs="Arial"/>
          <w:sz w:val="20"/>
          <w:szCs w:val="20"/>
        </w:rPr>
        <w:t xml:space="preserve"> j</w:t>
      </w:r>
      <w:r w:rsidRPr="00D65C01">
        <w:rPr>
          <w:rFonts w:ascii="Arial" w:hAnsi="Arial" w:cs="Arial"/>
          <w:sz w:val="20"/>
          <w:szCs w:val="20"/>
        </w:rPr>
        <w:t>e potekalo</w:t>
      </w:r>
      <w:r w:rsidRPr="001545E9">
        <w:rPr>
          <w:rFonts w:ascii="Arial" w:hAnsi="Arial" w:cs="Arial"/>
          <w:sz w:val="20"/>
          <w:szCs w:val="20"/>
        </w:rPr>
        <w:t xml:space="preserve"> preventivno usmerjeno delovanje v obliki načrtovanja ukrepov in postopkov varovanja tajnih podatkov v teh sistemih; s sodelovanjem pri pripravi določenih vsebin za letno dodatno usposabljanje za obravnavo in varovanje tajnih podatkov ter s sodelovanjem s skrbniki/upravljavci sistemov ISTPMNZ pri ažuriranju varnostne dokumentacije.</w:t>
      </w:r>
    </w:p>
    <w:p w14:paraId="5870E55C" w14:textId="77777777" w:rsidR="002B4A50" w:rsidRPr="00D83239" w:rsidRDefault="002B4A50" w:rsidP="002B4A50">
      <w:pPr>
        <w:spacing w:after="0" w:line="276" w:lineRule="auto"/>
        <w:jc w:val="both"/>
        <w:rPr>
          <w:rFonts w:ascii="Arial" w:hAnsi="Arial" w:cs="Arial"/>
          <w:sz w:val="20"/>
          <w:szCs w:val="20"/>
        </w:rPr>
      </w:pPr>
    </w:p>
    <w:p w14:paraId="7E1BD59B" w14:textId="7193AD6A" w:rsidR="002B4A50" w:rsidRPr="00A04ABC" w:rsidRDefault="002B4A50" w:rsidP="002B4A50">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Ker </w:t>
      </w:r>
      <w:r w:rsidR="001D0715">
        <w:rPr>
          <w:rFonts w:ascii="Arial" w:eastAsia="Times New Roman" w:hAnsi="Arial" w:cs="Arial"/>
          <w:sz w:val="20"/>
          <w:szCs w:val="20"/>
          <w:lang w:eastAsia="sl-SI"/>
        </w:rPr>
        <w:t>so med</w:t>
      </w:r>
      <w:r w:rsidRPr="00D83239">
        <w:rPr>
          <w:rFonts w:ascii="Arial" w:eastAsia="Times New Roman" w:hAnsi="Arial" w:cs="Arial"/>
          <w:sz w:val="20"/>
          <w:szCs w:val="20"/>
          <w:lang w:eastAsia="sl-SI"/>
        </w:rPr>
        <w:t xml:space="preserve"> ključni</w:t>
      </w:r>
      <w:r w:rsidR="001D0715">
        <w:rPr>
          <w:rFonts w:ascii="Arial" w:eastAsia="Times New Roman" w:hAnsi="Arial" w:cs="Arial"/>
          <w:sz w:val="20"/>
          <w:szCs w:val="20"/>
          <w:lang w:eastAsia="sl-SI"/>
        </w:rPr>
        <w:t>mi</w:t>
      </w:r>
      <w:r w:rsidRPr="00D83239">
        <w:rPr>
          <w:rFonts w:ascii="Arial" w:eastAsia="Times New Roman" w:hAnsi="Arial" w:cs="Arial"/>
          <w:sz w:val="20"/>
          <w:szCs w:val="20"/>
          <w:lang w:eastAsia="sl-SI"/>
        </w:rPr>
        <w:t xml:space="preserve"> podlag</w:t>
      </w:r>
      <w:r w:rsidR="001D0715">
        <w:rPr>
          <w:rFonts w:ascii="Arial" w:eastAsia="Times New Roman" w:hAnsi="Arial" w:cs="Arial"/>
          <w:sz w:val="20"/>
          <w:szCs w:val="20"/>
          <w:lang w:eastAsia="sl-SI"/>
        </w:rPr>
        <w:t>ami</w:t>
      </w:r>
      <w:r w:rsidRPr="00D83239">
        <w:rPr>
          <w:rFonts w:ascii="Arial" w:eastAsia="Times New Roman" w:hAnsi="Arial" w:cs="Arial"/>
          <w:sz w:val="20"/>
          <w:szCs w:val="20"/>
          <w:lang w:eastAsia="sl-SI"/>
        </w:rPr>
        <w:t xml:space="preserve"> informacijske varnosti človeški viri, je bilo v letu 2025 veliko pozornosti namenjene pridobivanju novih kadrov za to področje dela. V letu 2025 </w:t>
      </w:r>
      <w:r>
        <w:rPr>
          <w:rFonts w:ascii="Arial" w:eastAsia="Times New Roman" w:hAnsi="Arial" w:cs="Arial"/>
          <w:sz w:val="20"/>
          <w:szCs w:val="20"/>
          <w:lang w:eastAsia="sl-SI"/>
        </w:rPr>
        <w:t>je</w:t>
      </w:r>
      <w:r w:rsidRPr="00D83239">
        <w:rPr>
          <w:rFonts w:ascii="Arial" w:eastAsia="Times New Roman" w:hAnsi="Arial" w:cs="Arial"/>
          <w:sz w:val="20"/>
          <w:szCs w:val="20"/>
          <w:lang w:eastAsia="sl-SI"/>
        </w:rPr>
        <w:t xml:space="preserve"> </w:t>
      </w:r>
      <w:r w:rsidR="001D0715">
        <w:rPr>
          <w:rFonts w:ascii="Arial" w:eastAsia="Times New Roman" w:hAnsi="Arial" w:cs="Arial"/>
          <w:sz w:val="20"/>
          <w:szCs w:val="20"/>
          <w:lang w:eastAsia="sl-SI"/>
        </w:rPr>
        <w:t xml:space="preserve">bila </w:t>
      </w:r>
      <w:r w:rsidRPr="00D83239">
        <w:rPr>
          <w:rFonts w:ascii="Arial" w:eastAsia="Times New Roman" w:hAnsi="Arial" w:cs="Arial"/>
          <w:sz w:val="20"/>
          <w:szCs w:val="20"/>
          <w:lang w:eastAsia="sl-SI"/>
        </w:rPr>
        <w:t>izziv</w:t>
      </w:r>
      <w:r>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pridobit</w:t>
      </w:r>
      <w:r>
        <w:rPr>
          <w:rFonts w:ascii="Arial" w:eastAsia="Times New Roman" w:hAnsi="Arial" w:cs="Arial"/>
          <w:sz w:val="20"/>
          <w:szCs w:val="20"/>
          <w:lang w:eastAsia="sl-SI"/>
        </w:rPr>
        <w:t>e</w:t>
      </w:r>
      <w:r w:rsidRPr="00D83239">
        <w:rPr>
          <w:rFonts w:ascii="Arial" w:eastAsia="Times New Roman" w:hAnsi="Arial" w:cs="Arial"/>
          <w:sz w:val="20"/>
          <w:szCs w:val="20"/>
          <w:lang w:eastAsia="sl-SI"/>
        </w:rPr>
        <w:t>v zadostnih kvot</w:t>
      </w:r>
      <w:r>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na podlagi katerih bi </w:t>
      </w:r>
      <w:r>
        <w:rPr>
          <w:rFonts w:ascii="Arial" w:eastAsia="Times New Roman" w:hAnsi="Arial" w:cs="Arial"/>
          <w:sz w:val="20"/>
          <w:szCs w:val="20"/>
          <w:lang w:eastAsia="sl-SI"/>
        </w:rPr>
        <w:t xml:space="preserve">se </w:t>
      </w:r>
      <w:r w:rsidRPr="00D83239">
        <w:rPr>
          <w:rFonts w:ascii="Arial" w:eastAsia="Times New Roman" w:hAnsi="Arial" w:cs="Arial"/>
          <w:sz w:val="20"/>
          <w:szCs w:val="20"/>
          <w:lang w:eastAsia="sl-SI"/>
        </w:rPr>
        <w:t>lahko zapolnil</w:t>
      </w:r>
      <w:r>
        <w:rPr>
          <w:rFonts w:ascii="Arial" w:eastAsia="Times New Roman" w:hAnsi="Arial" w:cs="Arial"/>
          <w:sz w:val="20"/>
          <w:szCs w:val="20"/>
          <w:lang w:eastAsia="sl-SI"/>
        </w:rPr>
        <w:t>a</w:t>
      </w:r>
      <w:r w:rsidRPr="00D83239">
        <w:rPr>
          <w:rFonts w:ascii="Arial" w:eastAsia="Times New Roman" w:hAnsi="Arial" w:cs="Arial"/>
          <w:sz w:val="20"/>
          <w:szCs w:val="20"/>
          <w:lang w:eastAsia="sl-SI"/>
        </w:rPr>
        <w:t xml:space="preserve"> sistemizirana</w:t>
      </w:r>
      <w:r>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 xml:space="preserve">a nezasedena delovna mesta na področju informacijske varnosti </w:t>
      </w:r>
      <w:r>
        <w:rPr>
          <w:rFonts w:ascii="Arial" w:eastAsia="Times New Roman" w:hAnsi="Arial" w:cs="Arial"/>
          <w:sz w:val="20"/>
          <w:szCs w:val="20"/>
          <w:lang w:eastAsia="sl-SI"/>
        </w:rPr>
        <w:t xml:space="preserve">in </w:t>
      </w:r>
      <w:r w:rsidRPr="00D83239">
        <w:rPr>
          <w:rFonts w:ascii="Arial" w:eastAsia="Times New Roman" w:hAnsi="Arial" w:cs="Arial"/>
          <w:sz w:val="20"/>
          <w:szCs w:val="20"/>
          <w:lang w:eastAsia="sl-SI"/>
        </w:rPr>
        <w:t>tajnih podatkov. Na področju informacijske varnosti bi tako lahko prek javnih razpisov poskušali pridobi</w:t>
      </w:r>
      <w:r w:rsidR="00D14DE4">
        <w:rPr>
          <w:rFonts w:ascii="Arial" w:eastAsia="Times New Roman" w:hAnsi="Arial" w:cs="Arial"/>
          <w:sz w:val="20"/>
          <w:szCs w:val="20"/>
          <w:lang w:eastAsia="sl-SI"/>
        </w:rPr>
        <w:t>t</w:t>
      </w:r>
      <w:r w:rsidRPr="00D83239">
        <w:rPr>
          <w:rFonts w:ascii="Arial" w:eastAsia="Times New Roman" w:hAnsi="Arial" w:cs="Arial"/>
          <w:sz w:val="20"/>
          <w:szCs w:val="20"/>
          <w:lang w:eastAsia="sl-SI"/>
        </w:rPr>
        <w:t xml:space="preserve">i tudi zunanje strokovnjake, vendar </w:t>
      </w:r>
      <w:r>
        <w:rPr>
          <w:rFonts w:ascii="Arial" w:eastAsia="Times New Roman" w:hAnsi="Arial" w:cs="Arial"/>
          <w:sz w:val="20"/>
          <w:szCs w:val="20"/>
          <w:lang w:eastAsia="sl-SI"/>
        </w:rPr>
        <w:t>je zaradi</w:t>
      </w:r>
      <w:r w:rsidRPr="00D83239">
        <w:rPr>
          <w:rFonts w:ascii="Arial" w:eastAsia="Times New Roman" w:hAnsi="Arial" w:cs="Arial"/>
          <w:sz w:val="20"/>
          <w:szCs w:val="20"/>
          <w:lang w:eastAsia="sl-SI"/>
        </w:rPr>
        <w:t xml:space="preserve"> </w:t>
      </w:r>
      <w:r>
        <w:rPr>
          <w:rFonts w:ascii="Arial" w:eastAsia="Times New Roman" w:hAnsi="Arial" w:cs="Arial"/>
          <w:sz w:val="20"/>
          <w:szCs w:val="20"/>
          <w:lang w:eastAsia="sl-SI"/>
        </w:rPr>
        <w:t>nezadostnih kvot</w:t>
      </w:r>
      <w:r w:rsidRPr="00D83239">
        <w:rPr>
          <w:rFonts w:ascii="Arial" w:eastAsia="Times New Roman" w:hAnsi="Arial" w:cs="Arial"/>
          <w:sz w:val="20"/>
          <w:szCs w:val="20"/>
          <w:lang w:eastAsia="sl-SI"/>
        </w:rPr>
        <w:t xml:space="preserve"> to </w:t>
      </w:r>
      <w:r>
        <w:rPr>
          <w:rFonts w:ascii="Arial" w:eastAsia="Times New Roman" w:hAnsi="Arial" w:cs="Arial"/>
          <w:sz w:val="20"/>
          <w:szCs w:val="20"/>
          <w:lang w:eastAsia="sl-SI"/>
        </w:rPr>
        <w:t xml:space="preserve">ostalo </w:t>
      </w:r>
      <w:r w:rsidRPr="00D83239">
        <w:rPr>
          <w:rFonts w:ascii="Arial" w:eastAsia="Times New Roman" w:hAnsi="Arial" w:cs="Arial"/>
          <w:sz w:val="20"/>
          <w:szCs w:val="20"/>
          <w:lang w:eastAsia="sl-SI"/>
        </w:rPr>
        <w:t>ne</w:t>
      </w:r>
      <w:r w:rsidR="001D0715">
        <w:rPr>
          <w:rFonts w:ascii="Arial" w:eastAsia="Times New Roman" w:hAnsi="Arial" w:cs="Arial"/>
          <w:sz w:val="20"/>
          <w:szCs w:val="20"/>
          <w:lang w:eastAsia="sl-SI"/>
        </w:rPr>
        <w:t>uresniče</w:t>
      </w:r>
      <w:r w:rsidRPr="00D83239">
        <w:rPr>
          <w:rFonts w:ascii="Arial" w:eastAsia="Times New Roman" w:hAnsi="Arial" w:cs="Arial"/>
          <w:sz w:val="20"/>
          <w:szCs w:val="20"/>
          <w:lang w:eastAsia="sl-SI"/>
        </w:rPr>
        <w:t xml:space="preserve">no. </w:t>
      </w:r>
      <w:r>
        <w:rPr>
          <w:rFonts w:ascii="Arial" w:eastAsia="Times New Roman" w:hAnsi="Arial" w:cs="Arial"/>
          <w:sz w:val="20"/>
          <w:szCs w:val="20"/>
          <w:lang w:eastAsia="sl-SI"/>
        </w:rPr>
        <w:t>S</w:t>
      </w:r>
      <w:r w:rsidRPr="00D83239">
        <w:rPr>
          <w:rFonts w:ascii="Arial" w:eastAsia="Times New Roman" w:hAnsi="Arial" w:cs="Arial"/>
          <w:sz w:val="20"/>
          <w:szCs w:val="20"/>
          <w:lang w:eastAsia="sl-SI"/>
        </w:rPr>
        <w:t xml:space="preserve"> premestitv</w:t>
      </w:r>
      <w:r>
        <w:rPr>
          <w:rFonts w:ascii="Arial" w:eastAsia="Times New Roman" w:hAnsi="Arial" w:cs="Arial"/>
          <w:sz w:val="20"/>
          <w:szCs w:val="20"/>
          <w:lang w:eastAsia="sl-SI"/>
        </w:rPr>
        <w:t>ijo</w:t>
      </w:r>
      <w:r w:rsidRPr="00D83239">
        <w:rPr>
          <w:rFonts w:ascii="Arial" w:eastAsia="Times New Roman" w:hAnsi="Arial" w:cs="Arial"/>
          <w:sz w:val="20"/>
          <w:szCs w:val="20"/>
          <w:lang w:eastAsia="sl-SI"/>
        </w:rPr>
        <w:t xml:space="preserve"> iz druge </w:t>
      </w:r>
      <w:r>
        <w:rPr>
          <w:rFonts w:ascii="Arial" w:eastAsia="Times New Roman" w:hAnsi="Arial" w:cs="Arial"/>
          <w:sz w:val="20"/>
          <w:szCs w:val="20"/>
          <w:lang w:eastAsia="sl-SI"/>
        </w:rPr>
        <w:t>notranje organizacijske enote</w:t>
      </w:r>
      <w:r w:rsidRPr="00D83239">
        <w:rPr>
          <w:rFonts w:ascii="Arial" w:eastAsia="Times New Roman" w:hAnsi="Arial" w:cs="Arial"/>
          <w:sz w:val="20"/>
          <w:szCs w:val="20"/>
          <w:lang w:eastAsia="sl-SI"/>
        </w:rPr>
        <w:t xml:space="preserve"> MNZ </w:t>
      </w:r>
      <w:r>
        <w:rPr>
          <w:rFonts w:ascii="Arial" w:eastAsia="Times New Roman" w:hAnsi="Arial" w:cs="Arial"/>
          <w:sz w:val="20"/>
          <w:szCs w:val="20"/>
          <w:lang w:eastAsia="sl-SI"/>
        </w:rPr>
        <w:t>je</w:t>
      </w:r>
      <w:r w:rsidRPr="00D83239">
        <w:rPr>
          <w:rFonts w:ascii="Arial" w:eastAsia="Times New Roman" w:hAnsi="Arial" w:cs="Arial"/>
          <w:sz w:val="20"/>
          <w:szCs w:val="20"/>
          <w:lang w:eastAsia="sl-SI"/>
        </w:rPr>
        <w:t xml:space="preserve"> na področju informacijske varnosti v začetku leta 2025 </w:t>
      </w:r>
      <w:r>
        <w:rPr>
          <w:rFonts w:ascii="Arial" w:eastAsia="Times New Roman" w:hAnsi="Arial" w:cs="Arial"/>
          <w:sz w:val="20"/>
          <w:szCs w:val="20"/>
          <w:lang w:eastAsia="sl-SI"/>
        </w:rPr>
        <w:t>začel del</w:t>
      </w:r>
      <w:r w:rsidR="001D0715">
        <w:rPr>
          <w:rFonts w:ascii="Arial" w:eastAsia="Times New Roman" w:hAnsi="Arial" w:cs="Arial"/>
          <w:sz w:val="20"/>
          <w:szCs w:val="20"/>
          <w:lang w:eastAsia="sl-SI"/>
        </w:rPr>
        <w:t>ati</w:t>
      </w:r>
      <w:r w:rsidRPr="00D83239">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nov </w:t>
      </w:r>
      <w:r w:rsidRPr="00D83239">
        <w:rPr>
          <w:rFonts w:ascii="Arial" w:eastAsia="Times New Roman" w:hAnsi="Arial" w:cs="Arial"/>
          <w:sz w:val="20"/>
          <w:szCs w:val="20"/>
          <w:lang w:eastAsia="sl-SI"/>
        </w:rPr>
        <w:t>uslužben</w:t>
      </w:r>
      <w:r>
        <w:rPr>
          <w:rFonts w:ascii="Arial" w:eastAsia="Times New Roman" w:hAnsi="Arial" w:cs="Arial"/>
          <w:sz w:val="20"/>
          <w:szCs w:val="20"/>
          <w:lang w:eastAsia="sl-SI"/>
        </w:rPr>
        <w:t>e</w:t>
      </w:r>
      <w:r w:rsidRPr="00D83239">
        <w:rPr>
          <w:rFonts w:ascii="Arial" w:eastAsia="Times New Roman" w:hAnsi="Arial" w:cs="Arial"/>
          <w:sz w:val="20"/>
          <w:szCs w:val="20"/>
          <w:lang w:eastAsia="sl-SI"/>
        </w:rPr>
        <w:t>c. Na področju tajnih podatkov so bili uspešni tr</w:t>
      </w:r>
      <w:r>
        <w:rPr>
          <w:rFonts w:ascii="Arial" w:eastAsia="Times New Roman" w:hAnsi="Arial" w:cs="Arial"/>
          <w:sz w:val="20"/>
          <w:szCs w:val="20"/>
          <w:lang w:eastAsia="sl-SI"/>
        </w:rPr>
        <w:t>ije</w:t>
      </w:r>
      <w:r w:rsidRPr="00D83239">
        <w:rPr>
          <w:rFonts w:ascii="Arial" w:eastAsia="Times New Roman" w:hAnsi="Arial" w:cs="Arial"/>
          <w:sz w:val="20"/>
          <w:szCs w:val="20"/>
          <w:lang w:eastAsia="sl-SI"/>
        </w:rPr>
        <w:t xml:space="preserve"> javni razpis</w:t>
      </w:r>
      <w:r>
        <w:rPr>
          <w:rFonts w:ascii="Arial" w:eastAsia="Times New Roman" w:hAnsi="Arial" w:cs="Arial"/>
          <w:sz w:val="20"/>
          <w:szCs w:val="20"/>
          <w:lang w:eastAsia="sl-SI"/>
        </w:rPr>
        <w:t>i</w:t>
      </w:r>
      <w:r w:rsidRPr="00D83239">
        <w:rPr>
          <w:rFonts w:ascii="Arial" w:eastAsia="Times New Roman" w:hAnsi="Arial" w:cs="Arial"/>
          <w:sz w:val="20"/>
          <w:szCs w:val="20"/>
          <w:lang w:eastAsia="sl-SI"/>
        </w:rPr>
        <w:t xml:space="preserve"> za dv</w:t>
      </w:r>
      <w:r>
        <w:rPr>
          <w:rFonts w:ascii="Arial" w:eastAsia="Times New Roman" w:hAnsi="Arial" w:cs="Arial"/>
          <w:sz w:val="20"/>
          <w:szCs w:val="20"/>
          <w:lang w:eastAsia="sl-SI"/>
        </w:rPr>
        <w:t>e</w:t>
      </w:r>
      <w:r w:rsidRPr="00D83239">
        <w:rPr>
          <w:rFonts w:ascii="Arial" w:eastAsia="Times New Roman" w:hAnsi="Arial" w:cs="Arial"/>
          <w:sz w:val="20"/>
          <w:szCs w:val="20"/>
          <w:lang w:eastAsia="sl-SI"/>
        </w:rPr>
        <w:t xml:space="preserve"> uradnišk</w:t>
      </w:r>
      <w:r>
        <w:rPr>
          <w:rFonts w:ascii="Arial" w:eastAsia="Times New Roman" w:hAnsi="Arial" w:cs="Arial"/>
          <w:sz w:val="20"/>
          <w:szCs w:val="20"/>
          <w:lang w:eastAsia="sl-SI"/>
        </w:rPr>
        <w:t>i</w:t>
      </w:r>
      <w:r w:rsidRPr="00D83239">
        <w:rPr>
          <w:rFonts w:ascii="Arial" w:eastAsia="Times New Roman" w:hAnsi="Arial" w:cs="Arial"/>
          <w:sz w:val="20"/>
          <w:szCs w:val="20"/>
          <w:lang w:eastAsia="sl-SI"/>
        </w:rPr>
        <w:t xml:space="preserve"> in en</w:t>
      </w:r>
      <w:r>
        <w:rPr>
          <w:rFonts w:ascii="Arial" w:eastAsia="Times New Roman" w:hAnsi="Arial" w:cs="Arial"/>
          <w:sz w:val="20"/>
          <w:szCs w:val="20"/>
          <w:lang w:eastAsia="sl-SI"/>
        </w:rPr>
        <w:t>o</w:t>
      </w:r>
      <w:r w:rsidRPr="00D83239">
        <w:rPr>
          <w:rFonts w:ascii="Arial" w:eastAsia="Times New Roman" w:hAnsi="Arial" w:cs="Arial"/>
          <w:sz w:val="20"/>
          <w:szCs w:val="20"/>
          <w:lang w:eastAsia="sl-SI"/>
        </w:rPr>
        <w:t xml:space="preserve"> strokovno</w:t>
      </w:r>
      <w:r w:rsidR="001D0715">
        <w:rPr>
          <w:rFonts w:ascii="Arial" w:eastAsia="Times New Roman" w:hAnsi="Arial" w:cs="Arial"/>
          <w:sz w:val="20"/>
          <w:szCs w:val="20"/>
          <w:lang w:eastAsia="sl-SI"/>
        </w:rPr>
        <w:t>-</w:t>
      </w:r>
      <w:r w:rsidRPr="00D83239">
        <w:rPr>
          <w:rFonts w:ascii="Arial" w:eastAsia="Times New Roman" w:hAnsi="Arial" w:cs="Arial"/>
          <w:sz w:val="20"/>
          <w:szCs w:val="20"/>
          <w:lang w:eastAsia="sl-SI"/>
        </w:rPr>
        <w:t>tehničn</w:t>
      </w:r>
      <w:r>
        <w:rPr>
          <w:rFonts w:ascii="Arial" w:eastAsia="Times New Roman" w:hAnsi="Arial" w:cs="Arial"/>
          <w:sz w:val="20"/>
          <w:szCs w:val="20"/>
          <w:lang w:eastAsia="sl-SI"/>
        </w:rPr>
        <w:t>o</w:t>
      </w:r>
      <w:r w:rsidRPr="00112FF6">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delovn</w:t>
      </w:r>
      <w:r>
        <w:rPr>
          <w:rFonts w:ascii="Arial" w:eastAsia="Times New Roman" w:hAnsi="Arial" w:cs="Arial"/>
          <w:sz w:val="20"/>
          <w:szCs w:val="20"/>
          <w:lang w:eastAsia="sl-SI"/>
        </w:rPr>
        <w:t>o</w:t>
      </w:r>
      <w:r w:rsidRPr="00D83239">
        <w:rPr>
          <w:rFonts w:ascii="Arial" w:eastAsia="Times New Roman" w:hAnsi="Arial" w:cs="Arial"/>
          <w:sz w:val="20"/>
          <w:szCs w:val="20"/>
          <w:lang w:eastAsia="sl-SI"/>
        </w:rPr>
        <w:t xml:space="preserve"> mest</w:t>
      </w:r>
      <w:r>
        <w:rPr>
          <w:rFonts w:ascii="Arial" w:eastAsia="Times New Roman" w:hAnsi="Arial" w:cs="Arial"/>
          <w:sz w:val="20"/>
          <w:szCs w:val="20"/>
          <w:lang w:eastAsia="sl-SI"/>
        </w:rPr>
        <w:t>o</w:t>
      </w:r>
      <w:r w:rsidRPr="00D83239">
        <w:rPr>
          <w:rFonts w:ascii="Arial" w:eastAsia="Times New Roman" w:hAnsi="Arial" w:cs="Arial"/>
          <w:sz w:val="20"/>
          <w:szCs w:val="20"/>
          <w:lang w:eastAsia="sl-SI"/>
        </w:rPr>
        <w:t xml:space="preserve">. </w:t>
      </w:r>
    </w:p>
    <w:p w14:paraId="135FA8F5" w14:textId="2627B2C3" w:rsidR="004C7196" w:rsidRPr="002B4A50" w:rsidRDefault="004C7196" w:rsidP="002B4A50">
      <w:pPr>
        <w:spacing w:after="0"/>
        <w:jc w:val="both"/>
        <w:rPr>
          <w:rFonts w:ascii="Arial" w:eastAsia="Times New Roman" w:hAnsi="Arial" w:cs="Arial"/>
          <w:sz w:val="20"/>
          <w:szCs w:val="20"/>
          <w:lang w:eastAsia="sl-SI"/>
        </w:rPr>
      </w:pPr>
      <w:bookmarkStart w:id="77" w:name="_Toc65591462"/>
      <w:bookmarkStart w:id="78" w:name="_Toc65651013"/>
    </w:p>
    <w:p w14:paraId="30D1D714" w14:textId="2CA273F1" w:rsidR="005318D4" w:rsidRPr="00D83239" w:rsidRDefault="00590E45" w:rsidP="00D83239">
      <w:pPr>
        <w:pStyle w:val="Naslov2"/>
        <w:spacing w:after="0" w:line="276" w:lineRule="auto"/>
        <w:jc w:val="both"/>
      </w:pPr>
      <w:bookmarkStart w:id="79" w:name="_Toc225499822"/>
      <w:r w:rsidRPr="00D83239">
        <w:t>Dvig varnostne kulture pri obravnavanju in varovanju tajnih in osebnih podatkov v M</w:t>
      </w:r>
      <w:bookmarkEnd w:id="77"/>
      <w:bookmarkEnd w:id="78"/>
      <w:r w:rsidR="00A17960" w:rsidRPr="00D83239">
        <w:t>inistrstvu za notranje zadeve</w:t>
      </w:r>
      <w:bookmarkEnd w:id="79"/>
    </w:p>
    <w:p w14:paraId="726C73E3" w14:textId="1F78D6D0" w:rsidR="00653B9D" w:rsidRPr="00D83239" w:rsidRDefault="00653B9D" w:rsidP="00D83239">
      <w:pPr>
        <w:tabs>
          <w:tab w:val="num" w:pos="1431"/>
        </w:tabs>
        <w:spacing w:after="0" w:line="276" w:lineRule="auto"/>
        <w:jc w:val="both"/>
        <w:rPr>
          <w:rFonts w:ascii="Arial" w:hAnsi="Arial" w:cs="Arial"/>
          <w:sz w:val="20"/>
          <w:szCs w:val="20"/>
          <w:highlight w:val="yellow"/>
        </w:rPr>
      </w:pPr>
    </w:p>
    <w:p w14:paraId="0E071774" w14:textId="690E1251" w:rsidR="00FB58E1" w:rsidRPr="00D83239" w:rsidRDefault="00FB58E1" w:rsidP="00FB58E1">
      <w:pPr>
        <w:tabs>
          <w:tab w:val="num" w:pos="1431"/>
        </w:tabs>
        <w:spacing w:after="0" w:line="276" w:lineRule="auto"/>
        <w:jc w:val="both"/>
        <w:rPr>
          <w:rFonts w:ascii="Arial" w:hAnsi="Arial" w:cs="Arial"/>
          <w:sz w:val="20"/>
          <w:szCs w:val="20"/>
        </w:rPr>
      </w:pPr>
      <w:r w:rsidRPr="008A605E">
        <w:rPr>
          <w:rFonts w:ascii="Arial" w:hAnsi="Arial" w:cs="Arial"/>
          <w:sz w:val="20"/>
          <w:szCs w:val="20"/>
        </w:rPr>
        <w:t>V septembru 2025 sta</w:t>
      </w:r>
      <w:r>
        <w:rPr>
          <w:rFonts w:ascii="Arial" w:hAnsi="Arial" w:cs="Arial"/>
          <w:sz w:val="20"/>
          <w:szCs w:val="20"/>
        </w:rPr>
        <w:t xml:space="preserve"> bili</w:t>
      </w:r>
      <w:r w:rsidRPr="00D83239">
        <w:rPr>
          <w:rFonts w:ascii="Arial" w:hAnsi="Arial" w:cs="Arial"/>
          <w:sz w:val="20"/>
          <w:szCs w:val="20"/>
        </w:rPr>
        <w:t xml:space="preserve"> izved</w:t>
      </w:r>
      <w:r>
        <w:rPr>
          <w:rFonts w:ascii="Arial" w:hAnsi="Arial" w:cs="Arial"/>
          <w:sz w:val="20"/>
          <w:szCs w:val="20"/>
        </w:rPr>
        <w:t>eni</w:t>
      </w:r>
      <w:r w:rsidRPr="00D83239">
        <w:rPr>
          <w:rFonts w:ascii="Arial" w:hAnsi="Arial" w:cs="Arial"/>
          <w:sz w:val="20"/>
          <w:szCs w:val="20"/>
        </w:rPr>
        <w:t xml:space="preserve"> dv</w:t>
      </w:r>
      <w:r>
        <w:rPr>
          <w:rFonts w:ascii="Arial" w:hAnsi="Arial" w:cs="Arial"/>
          <w:sz w:val="20"/>
          <w:szCs w:val="20"/>
        </w:rPr>
        <w:t>e</w:t>
      </w:r>
      <w:r w:rsidRPr="00D83239">
        <w:rPr>
          <w:rFonts w:ascii="Arial" w:hAnsi="Arial" w:cs="Arial"/>
          <w:sz w:val="20"/>
          <w:szCs w:val="20"/>
        </w:rPr>
        <w:t xml:space="preserve"> osnovn</w:t>
      </w:r>
      <w:r>
        <w:rPr>
          <w:rFonts w:ascii="Arial" w:hAnsi="Arial" w:cs="Arial"/>
          <w:sz w:val="20"/>
          <w:szCs w:val="20"/>
        </w:rPr>
        <w:t>i</w:t>
      </w:r>
      <w:r w:rsidRPr="00D83239">
        <w:rPr>
          <w:rFonts w:ascii="Arial" w:hAnsi="Arial" w:cs="Arial"/>
          <w:sz w:val="20"/>
          <w:szCs w:val="20"/>
        </w:rPr>
        <w:t xml:space="preserve"> usposabljanj</w:t>
      </w:r>
      <w:r>
        <w:rPr>
          <w:rFonts w:ascii="Arial" w:hAnsi="Arial" w:cs="Arial"/>
          <w:sz w:val="20"/>
          <w:szCs w:val="20"/>
        </w:rPr>
        <w:t>i</w:t>
      </w:r>
      <w:r w:rsidRPr="00D83239">
        <w:rPr>
          <w:rFonts w:ascii="Arial" w:hAnsi="Arial" w:cs="Arial"/>
          <w:sz w:val="20"/>
          <w:szCs w:val="20"/>
        </w:rPr>
        <w:t xml:space="preserve"> za obravnavanje in varovanje tajnih podatkov</w:t>
      </w:r>
      <w:r>
        <w:rPr>
          <w:rFonts w:ascii="Arial" w:hAnsi="Arial" w:cs="Arial"/>
          <w:sz w:val="20"/>
          <w:szCs w:val="20"/>
        </w:rPr>
        <w:t xml:space="preserve"> </w:t>
      </w:r>
      <w:r w:rsidRPr="00D83239">
        <w:rPr>
          <w:rFonts w:ascii="Arial" w:hAnsi="Arial" w:cs="Arial"/>
          <w:sz w:val="20"/>
          <w:szCs w:val="20"/>
        </w:rPr>
        <w:t xml:space="preserve">na Policijski akademiji v Tacnu za vse nove kandidate, ki so bili sprejeti v Višjo policijsko šolo. Za </w:t>
      </w:r>
      <w:r w:rsidR="001D0715">
        <w:rPr>
          <w:rFonts w:ascii="Arial" w:hAnsi="Arial" w:cs="Arial"/>
          <w:sz w:val="20"/>
          <w:szCs w:val="20"/>
        </w:rPr>
        <w:t>drug</w:t>
      </w:r>
      <w:r w:rsidRPr="00D83239">
        <w:rPr>
          <w:rFonts w:ascii="Arial" w:hAnsi="Arial" w:cs="Arial"/>
          <w:sz w:val="20"/>
          <w:szCs w:val="20"/>
        </w:rPr>
        <w:t xml:space="preserve">e </w:t>
      </w:r>
      <w:proofErr w:type="spellStart"/>
      <w:r w:rsidRPr="00D83239">
        <w:rPr>
          <w:rFonts w:ascii="Arial" w:hAnsi="Arial" w:cs="Arial"/>
          <w:sz w:val="20"/>
          <w:szCs w:val="20"/>
        </w:rPr>
        <w:t>novozaposlene</w:t>
      </w:r>
      <w:proofErr w:type="spellEnd"/>
      <w:r w:rsidRPr="00D83239">
        <w:rPr>
          <w:rFonts w:ascii="Arial" w:hAnsi="Arial" w:cs="Arial"/>
          <w:sz w:val="20"/>
          <w:szCs w:val="20"/>
        </w:rPr>
        <w:t xml:space="preserve"> uslužbence v Policiji, MNZ in IRSNZ so osnovna usposabljanja za obravnavanje in varovanje tajnih podatkov v letu 2025 potekala prek elektronske učilnice UVTP</w:t>
      </w:r>
      <w:r>
        <w:rPr>
          <w:rFonts w:ascii="Arial" w:hAnsi="Arial" w:cs="Arial"/>
          <w:sz w:val="20"/>
          <w:szCs w:val="20"/>
        </w:rPr>
        <w:t>, kar se je izkazalo kot</w:t>
      </w:r>
      <w:r w:rsidRPr="00D83239">
        <w:rPr>
          <w:rFonts w:ascii="Arial" w:hAnsi="Arial" w:cs="Arial"/>
          <w:sz w:val="20"/>
          <w:szCs w:val="20"/>
        </w:rPr>
        <w:t xml:space="preserve"> dobra praksa</w:t>
      </w:r>
      <w:r>
        <w:rPr>
          <w:rFonts w:ascii="Arial" w:hAnsi="Arial" w:cs="Arial"/>
          <w:sz w:val="20"/>
          <w:szCs w:val="20"/>
        </w:rPr>
        <w:t>, ki</w:t>
      </w:r>
      <w:r w:rsidRPr="00D83239">
        <w:rPr>
          <w:rFonts w:ascii="Arial" w:hAnsi="Arial" w:cs="Arial"/>
          <w:sz w:val="20"/>
          <w:szCs w:val="20"/>
        </w:rPr>
        <w:t xml:space="preserve"> se bo nadaljevala tudi v prihodnjih letih.</w:t>
      </w:r>
    </w:p>
    <w:p w14:paraId="411B7124" w14:textId="77777777" w:rsidR="00FB58E1" w:rsidRPr="00D83239" w:rsidRDefault="00FB58E1" w:rsidP="00FB58E1">
      <w:pPr>
        <w:tabs>
          <w:tab w:val="num" w:pos="1431"/>
        </w:tabs>
        <w:spacing w:after="0" w:line="276" w:lineRule="auto"/>
        <w:jc w:val="both"/>
        <w:rPr>
          <w:rFonts w:ascii="Arial" w:hAnsi="Arial" w:cs="Arial"/>
          <w:sz w:val="20"/>
          <w:szCs w:val="20"/>
        </w:rPr>
      </w:pPr>
    </w:p>
    <w:p w14:paraId="54D04E2A" w14:textId="0917600D" w:rsidR="00FB58E1" w:rsidRPr="00D83239" w:rsidRDefault="00FB58E1" w:rsidP="00FB58E1">
      <w:pPr>
        <w:spacing w:line="276" w:lineRule="auto"/>
        <w:jc w:val="both"/>
        <w:rPr>
          <w:rFonts w:ascii="Arial" w:hAnsi="Arial" w:cs="Arial"/>
          <w:sz w:val="20"/>
          <w:szCs w:val="20"/>
        </w:rPr>
      </w:pPr>
      <w:r w:rsidRPr="00D83239">
        <w:rPr>
          <w:rFonts w:ascii="Arial" w:hAnsi="Arial" w:cs="Arial"/>
          <w:sz w:val="20"/>
          <w:szCs w:val="20"/>
        </w:rPr>
        <w:t xml:space="preserve">Dodatno usposabljanje za obravnavanje in varovanje tajnih podatkov v letu 2025 za uslužbence MNZ, Policije in IRSNZ je potekalo v elektronski učilnici EIDAZ. Na dodatno usposabljanje uslužbencev MNZ za obravnavanje in varovanje tajnih podatkov, ki se je </w:t>
      </w:r>
      <w:r w:rsidR="00F0095F" w:rsidRPr="00D83239">
        <w:rPr>
          <w:rFonts w:ascii="Arial" w:hAnsi="Arial" w:cs="Arial"/>
          <w:sz w:val="20"/>
          <w:szCs w:val="20"/>
        </w:rPr>
        <w:t xml:space="preserve">med 16. 12. 2024 </w:t>
      </w:r>
      <w:r w:rsidR="00F0095F">
        <w:rPr>
          <w:rFonts w:ascii="Arial" w:hAnsi="Arial" w:cs="Arial"/>
          <w:sz w:val="20"/>
          <w:szCs w:val="20"/>
        </w:rPr>
        <w:t>in</w:t>
      </w:r>
      <w:r w:rsidR="00F0095F" w:rsidRPr="00D83239">
        <w:rPr>
          <w:rFonts w:ascii="Arial" w:hAnsi="Arial" w:cs="Arial"/>
          <w:sz w:val="20"/>
          <w:szCs w:val="20"/>
        </w:rPr>
        <w:t xml:space="preserve"> 17. 3. 2025</w:t>
      </w:r>
      <w:r w:rsidR="00F0095F">
        <w:rPr>
          <w:rFonts w:ascii="Arial" w:hAnsi="Arial" w:cs="Arial"/>
          <w:sz w:val="20"/>
          <w:szCs w:val="20"/>
        </w:rPr>
        <w:t xml:space="preserve"> </w:t>
      </w:r>
      <w:r w:rsidRPr="00D83239">
        <w:rPr>
          <w:rFonts w:ascii="Arial" w:hAnsi="Arial" w:cs="Arial"/>
          <w:sz w:val="20"/>
          <w:szCs w:val="20"/>
        </w:rPr>
        <w:t>izvajalo na daljavo z uporabo elektronske učilnice, je bilo napotenih 346 javnih uslužbencev, ki so imetniki veljavnih dovoljenj za dostop do tajnih podatkov stopnje tajnosti ZAUPNO, TAJNO ali STROGO TAJNO. Na podlagi analize je bilo ugotovljeno, da se je dodatnega usposabljanja udeležilo 318 javnih uslužbencev oziroma 96,88 % vseh napotenih. Dodatno usposabljanje je vključevalo 25 vprašanj, na koncu katerih je bil preizkus znanja. Najvišjo možno ocen</w:t>
      </w:r>
      <w:r>
        <w:rPr>
          <w:rFonts w:ascii="Arial" w:hAnsi="Arial" w:cs="Arial"/>
          <w:sz w:val="20"/>
          <w:szCs w:val="20"/>
        </w:rPr>
        <w:t>o</w:t>
      </w:r>
      <w:r w:rsidRPr="00D83239">
        <w:rPr>
          <w:rFonts w:ascii="Arial" w:hAnsi="Arial" w:cs="Arial"/>
          <w:sz w:val="20"/>
          <w:szCs w:val="20"/>
        </w:rPr>
        <w:t xml:space="preserve"> 10 je doseglo 62 % udeležencev, oceno 9 je doseglo 26</w:t>
      </w:r>
      <w:r w:rsidR="00F0095F">
        <w:rPr>
          <w:rFonts w:ascii="Arial" w:hAnsi="Arial" w:cs="Arial"/>
          <w:sz w:val="20"/>
          <w:szCs w:val="20"/>
        </w:rPr>
        <w:t> </w:t>
      </w:r>
      <w:r w:rsidRPr="00D83239">
        <w:rPr>
          <w:rFonts w:ascii="Arial" w:hAnsi="Arial" w:cs="Arial"/>
          <w:sz w:val="20"/>
          <w:szCs w:val="20"/>
        </w:rPr>
        <w:t>%, oceno 8 je doseglo 10 %</w:t>
      </w:r>
      <w:r>
        <w:rPr>
          <w:rFonts w:ascii="Arial" w:hAnsi="Arial" w:cs="Arial"/>
          <w:sz w:val="20"/>
          <w:szCs w:val="20"/>
        </w:rPr>
        <w:t xml:space="preserve">, </w:t>
      </w:r>
      <w:r w:rsidRPr="00D83239">
        <w:rPr>
          <w:rFonts w:ascii="Arial" w:hAnsi="Arial" w:cs="Arial"/>
          <w:sz w:val="20"/>
          <w:szCs w:val="20"/>
        </w:rPr>
        <w:t xml:space="preserve">oceno 7 </w:t>
      </w:r>
      <w:r>
        <w:rPr>
          <w:rFonts w:ascii="Arial" w:hAnsi="Arial" w:cs="Arial"/>
          <w:sz w:val="20"/>
          <w:szCs w:val="20"/>
        </w:rPr>
        <w:t xml:space="preserve">pa </w:t>
      </w:r>
      <w:r w:rsidRPr="00D83239">
        <w:rPr>
          <w:rFonts w:ascii="Arial" w:hAnsi="Arial" w:cs="Arial"/>
          <w:sz w:val="20"/>
          <w:szCs w:val="20"/>
        </w:rPr>
        <w:t>sta dosegla 2 %</w:t>
      </w:r>
      <w:r>
        <w:rPr>
          <w:rFonts w:ascii="Arial" w:hAnsi="Arial" w:cs="Arial"/>
          <w:sz w:val="20"/>
          <w:szCs w:val="20"/>
        </w:rPr>
        <w:t xml:space="preserve"> udeležencev</w:t>
      </w:r>
      <w:r w:rsidRPr="00D83239">
        <w:rPr>
          <w:rFonts w:ascii="Arial" w:hAnsi="Arial" w:cs="Arial"/>
          <w:sz w:val="20"/>
          <w:szCs w:val="20"/>
        </w:rPr>
        <w:t>. Zgolj en udeleženec je dosegel oceno 5.</w:t>
      </w:r>
    </w:p>
    <w:p w14:paraId="5653842A" w14:textId="7A6107CE" w:rsidR="00FB58E1" w:rsidRPr="00D83239" w:rsidRDefault="00FB58E1" w:rsidP="00FB58E1">
      <w:pPr>
        <w:spacing w:line="276" w:lineRule="auto"/>
        <w:jc w:val="both"/>
        <w:rPr>
          <w:rFonts w:ascii="Arial" w:hAnsi="Arial" w:cs="Arial"/>
          <w:sz w:val="20"/>
          <w:szCs w:val="20"/>
        </w:rPr>
      </w:pPr>
      <w:r>
        <w:rPr>
          <w:rFonts w:ascii="Arial" w:hAnsi="Arial" w:cs="Arial"/>
          <w:sz w:val="20"/>
          <w:szCs w:val="20"/>
        </w:rPr>
        <w:t>R</w:t>
      </w:r>
      <w:r w:rsidRPr="00D83239">
        <w:rPr>
          <w:rFonts w:ascii="Arial" w:hAnsi="Arial" w:cs="Arial"/>
          <w:sz w:val="20"/>
          <w:szCs w:val="20"/>
        </w:rPr>
        <w:t>azlog</w:t>
      </w:r>
      <w:r w:rsidR="00F0095F">
        <w:rPr>
          <w:rFonts w:ascii="Arial" w:hAnsi="Arial" w:cs="Arial"/>
          <w:sz w:val="20"/>
          <w:szCs w:val="20"/>
        </w:rPr>
        <w:t>i</w:t>
      </w:r>
      <w:r w:rsidRPr="00D83239">
        <w:rPr>
          <w:rFonts w:ascii="Arial" w:hAnsi="Arial" w:cs="Arial"/>
          <w:sz w:val="20"/>
          <w:szCs w:val="20"/>
        </w:rPr>
        <w:t xml:space="preserve"> za neudeležbo javnih uslužbencev na dodatnem usposabljanju </w:t>
      </w:r>
      <w:r>
        <w:rPr>
          <w:rFonts w:ascii="Arial" w:hAnsi="Arial" w:cs="Arial"/>
          <w:sz w:val="20"/>
          <w:szCs w:val="20"/>
        </w:rPr>
        <w:t>so bil</w:t>
      </w:r>
      <w:r w:rsidR="00F0095F">
        <w:rPr>
          <w:rFonts w:ascii="Arial" w:hAnsi="Arial" w:cs="Arial"/>
          <w:sz w:val="20"/>
          <w:szCs w:val="20"/>
        </w:rPr>
        <w:t>i</w:t>
      </w:r>
      <w:r>
        <w:rPr>
          <w:rFonts w:ascii="Arial" w:hAnsi="Arial" w:cs="Arial"/>
          <w:sz w:val="20"/>
          <w:szCs w:val="20"/>
        </w:rPr>
        <w:t xml:space="preserve"> </w:t>
      </w:r>
      <w:r w:rsidRPr="00D83239">
        <w:rPr>
          <w:rFonts w:ascii="Arial" w:hAnsi="Arial" w:cs="Arial"/>
          <w:sz w:val="20"/>
          <w:szCs w:val="20"/>
        </w:rPr>
        <w:t>predvsem upokojit</w:t>
      </w:r>
      <w:r w:rsidR="00F0095F">
        <w:rPr>
          <w:rFonts w:ascii="Arial" w:hAnsi="Arial" w:cs="Arial"/>
          <w:sz w:val="20"/>
          <w:szCs w:val="20"/>
        </w:rPr>
        <w:t>e</w:t>
      </w:r>
      <w:r w:rsidRPr="00D83239">
        <w:rPr>
          <w:rFonts w:ascii="Arial" w:hAnsi="Arial" w:cs="Arial"/>
          <w:sz w:val="20"/>
          <w:szCs w:val="20"/>
        </w:rPr>
        <w:t>v, prenehanj</w:t>
      </w:r>
      <w:r w:rsidR="00F0095F">
        <w:rPr>
          <w:rFonts w:ascii="Arial" w:hAnsi="Arial" w:cs="Arial"/>
          <w:sz w:val="20"/>
          <w:szCs w:val="20"/>
        </w:rPr>
        <w:t>e</w:t>
      </w:r>
      <w:r w:rsidRPr="00D83239">
        <w:rPr>
          <w:rFonts w:ascii="Arial" w:hAnsi="Arial" w:cs="Arial"/>
          <w:sz w:val="20"/>
          <w:szCs w:val="20"/>
        </w:rPr>
        <w:t xml:space="preserve"> delovnega razmerja, premestit</w:t>
      </w:r>
      <w:r w:rsidR="00F0095F">
        <w:rPr>
          <w:rFonts w:ascii="Arial" w:hAnsi="Arial" w:cs="Arial"/>
          <w:sz w:val="20"/>
          <w:szCs w:val="20"/>
        </w:rPr>
        <w:t>e</w:t>
      </w:r>
      <w:r w:rsidRPr="00D83239">
        <w:rPr>
          <w:rFonts w:ascii="Arial" w:hAnsi="Arial" w:cs="Arial"/>
          <w:sz w:val="20"/>
          <w:szCs w:val="20"/>
        </w:rPr>
        <w:t>v</w:t>
      </w:r>
      <w:r>
        <w:rPr>
          <w:rFonts w:ascii="Arial" w:hAnsi="Arial" w:cs="Arial"/>
          <w:sz w:val="20"/>
          <w:szCs w:val="20"/>
        </w:rPr>
        <w:t xml:space="preserve"> </w:t>
      </w:r>
      <w:r w:rsidRPr="00D83239">
        <w:rPr>
          <w:rFonts w:ascii="Arial" w:hAnsi="Arial" w:cs="Arial"/>
          <w:sz w:val="20"/>
          <w:szCs w:val="20"/>
        </w:rPr>
        <w:t>na drugo delovno mesto oziroma v drug organ, daljš</w:t>
      </w:r>
      <w:r w:rsidR="00F0095F">
        <w:rPr>
          <w:rFonts w:ascii="Arial" w:hAnsi="Arial" w:cs="Arial"/>
          <w:sz w:val="20"/>
          <w:szCs w:val="20"/>
        </w:rPr>
        <w:t>a</w:t>
      </w:r>
      <w:r w:rsidRPr="00D83239">
        <w:rPr>
          <w:rFonts w:ascii="Arial" w:hAnsi="Arial" w:cs="Arial"/>
          <w:sz w:val="20"/>
          <w:szCs w:val="20"/>
        </w:rPr>
        <w:t xml:space="preserve"> bolnišk</w:t>
      </w:r>
      <w:r w:rsidR="00F0095F">
        <w:rPr>
          <w:rFonts w:ascii="Arial" w:hAnsi="Arial" w:cs="Arial"/>
          <w:sz w:val="20"/>
          <w:szCs w:val="20"/>
        </w:rPr>
        <w:t>a</w:t>
      </w:r>
      <w:r w:rsidRPr="00D83239">
        <w:rPr>
          <w:rFonts w:ascii="Arial" w:hAnsi="Arial" w:cs="Arial"/>
          <w:sz w:val="20"/>
          <w:szCs w:val="20"/>
        </w:rPr>
        <w:t xml:space="preserve"> odsotnost oziroma porodnišk</w:t>
      </w:r>
      <w:r>
        <w:rPr>
          <w:rFonts w:ascii="Arial" w:hAnsi="Arial" w:cs="Arial"/>
          <w:sz w:val="20"/>
          <w:szCs w:val="20"/>
        </w:rPr>
        <w:t>i</w:t>
      </w:r>
      <w:r w:rsidRPr="00D83239">
        <w:rPr>
          <w:rFonts w:ascii="Arial" w:hAnsi="Arial" w:cs="Arial"/>
          <w:sz w:val="20"/>
          <w:szCs w:val="20"/>
        </w:rPr>
        <w:t xml:space="preserve"> dopust. </w:t>
      </w:r>
      <w:r>
        <w:rPr>
          <w:rFonts w:ascii="Arial" w:hAnsi="Arial" w:cs="Arial"/>
          <w:sz w:val="20"/>
          <w:szCs w:val="20"/>
        </w:rPr>
        <w:t>Analiza kaže, da se</w:t>
      </w:r>
      <w:r w:rsidRPr="00D83239">
        <w:rPr>
          <w:rFonts w:ascii="Arial" w:hAnsi="Arial" w:cs="Arial"/>
          <w:sz w:val="20"/>
          <w:szCs w:val="20"/>
        </w:rPr>
        <w:t xml:space="preserve"> dodatnega usposabljanja ni udeležilo 28 javnih uslužbencev, kar </w:t>
      </w:r>
      <w:r w:rsidR="00F0095F">
        <w:rPr>
          <w:rFonts w:ascii="Arial" w:hAnsi="Arial" w:cs="Arial"/>
          <w:sz w:val="20"/>
          <w:szCs w:val="20"/>
        </w:rPr>
        <w:t>je</w:t>
      </w:r>
      <w:r w:rsidR="00F0095F" w:rsidRPr="00D83239">
        <w:rPr>
          <w:rFonts w:ascii="Arial" w:hAnsi="Arial" w:cs="Arial"/>
          <w:sz w:val="20"/>
          <w:szCs w:val="20"/>
        </w:rPr>
        <w:t xml:space="preserve"> </w:t>
      </w:r>
      <w:r w:rsidRPr="00D83239">
        <w:rPr>
          <w:rFonts w:ascii="Arial" w:hAnsi="Arial" w:cs="Arial"/>
          <w:sz w:val="20"/>
          <w:szCs w:val="20"/>
        </w:rPr>
        <w:t xml:space="preserve">3,12 %. </w:t>
      </w:r>
    </w:p>
    <w:p w14:paraId="5D02101B" w14:textId="3E10FC8B" w:rsidR="00FB58E1" w:rsidRPr="00D83239" w:rsidRDefault="00FB58E1" w:rsidP="00FB58E1">
      <w:pPr>
        <w:spacing w:line="276" w:lineRule="auto"/>
        <w:jc w:val="both"/>
        <w:rPr>
          <w:rFonts w:ascii="Arial" w:hAnsi="Arial" w:cs="Arial"/>
          <w:sz w:val="20"/>
          <w:szCs w:val="20"/>
        </w:rPr>
      </w:pPr>
      <w:r>
        <w:rPr>
          <w:rFonts w:ascii="Arial" w:hAnsi="Arial" w:cs="Arial"/>
          <w:sz w:val="20"/>
          <w:szCs w:val="20"/>
        </w:rPr>
        <w:t>O</w:t>
      </w:r>
      <w:r w:rsidRPr="00D83239">
        <w:rPr>
          <w:rFonts w:ascii="Arial" w:hAnsi="Arial" w:cs="Arial"/>
          <w:sz w:val="20"/>
          <w:szCs w:val="20"/>
        </w:rPr>
        <w:t>dziv udeležencev</w:t>
      </w:r>
      <w:r>
        <w:rPr>
          <w:rFonts w:ascii="Arial" w:hAnsi="Arial" w:cs="Arial"/>
          <w:sz w:val="20"/>
          <w:szCs w:val="20"/>
        </w:rPr>
        <w:t xml:space="preserve"> kaže</w:t>
      </w:r>
      <w:r w:rsidRPr="00D83239">
        <w:rPr>
          <w:rFonts w:ascii="Arial" w:hAnsi="Arial" w:cs="Arial"/>
          <w:sz w:val="20"/>
          <w:szCs w:val="20"/>
        </w:rPr>
        <w:t xml:space="preserve">, </w:t>
      </w:r>
      <w:r>
        <w:rPr>
          <w:rFonts w:ascii="Arial" w:hAnsi="Arial" w:cs="Arial"/>
          <w:sz w:val="20"/>
          <w:szCs w:val="20"/>
        </w:rPr>
        <w:t xml:space="preserve">da je </w:t>
      </w:r>
      <w:r w:rsidRPr="00D83239">
        <w:rPr>
          <w:rFonts w:ascii="Arial" w:hAnsi="Arial" w:cs="Arial"/>
          <w:sz w:val="20"/>
          <w:szCs w:val="20"/>
        </w:rPr>
        <w:t>oblika izobraževanja na daljavo z uporabo informacijske tehnologije racionalna</w:t>
      </w:r>
      <w:r w:rsidR="00F0095F">
        <w:rPr>
          <w:rFonts w:ascii="Arial" w:hAnsi="Arial" w:cs="Arial"/>
          <w:sz w:val="20"/>
          <w:szCs w:val="20"/>
        </w:rPr>
        <w:t>:</w:t>
      </w:r>
      <w:r w:rsidRPr="00D83239">
        <w:rPr>
          <w:rFonts w:ascii="Arial" w:hAnsi="Arial" w:cs="Arial"/>
          <w:sz w:val="20"/>
          <w:szCs w:val="20"/>
        </w:rPr>
        <w:t xml:space="preserve"> stroškov usposabljanja</w:t>
      </w:r>
      <w:r w:rsidR="00F0095F">
        <w:rPr>
          <w:rFonts w:ascii="Arial" w:hAnsi="Arial" w:cs="Arial"/>
          <w:sz w:val="20"/>
          <w:szCs w:val="20"/>
        </w:rPr>
        <w:t xml:space="preserve"> ni bilo</w:t>
      </w:r>
      <w:r w:rsidRPr="00D83239">
        <w:rPr>
          <w:rFonts w:ascii="Arial" w:hAnsi="Arial" w:cs="Arial"/>
          <w:sz w:val="20"/>
          <w:szCs w:val="20"/>
        </w:rPr>
        <w:t xml:space="preserve">, </w:t>
      </w:r>
      <w:r>
        <w:rPr>
          <w:rFonts w:ascii="Arial" w:hAnsi="Arial" w:cs="Arial"/>
          <w:sz w:val="20"/>
          <w:szCs w:val="20"/>
        </w:rPr>
        <w:t>s</w:t>
      </w:r>
      <w:r w:rsidR="00F0095F">
        <w:rPr>
          <w:rFonts w:ascii="Arial" w:hAnsi="Arial" w:cs="Arial"/>
          <w:sz w:val="20"/>
          <w:szCs w:val="20"/>
        </w:rPr>
        <w:t>á</w:t>
      </w:r>
      <w:r>
        <w:rPr>
          <w:rFonts w:ascii="Arial" w:hAnsi="Arial" w:cs="Arial"/>
          <w:sz w:val="20"/>
          <w:szCs w:val="20"/>
        </w:rPr>
        <w:t xml:space="preserve">mo usposabljanje pa </w:t>
      </w:r>
      <w:r w:rsidRPr="00D83239">
        <w:rPr>
          <w:rFonts w:ascii="Arial" w:hAnsi="Arial" w:cs="Arial"/>
          <w:sz w:val="20"/>
          <w:szCs w:val="20"/>
        </w:rPr>
        <w:t>s</w:t>
      </w:r>
      <w:r w:rsidR="00F0095F">
        <w:rPr>
          <w:rFonts w:ascii="Arial" w:hAnsi="Arial" w:cs="Arial"/>
          <w:sz w:val="20"/>
          <w:szCs w:val="20"/>
        </w:rPr>
        <w:t>pada</w:t>
      </w:r>
      <w:r w:rsidRPr="00D83239">
        <w:rPr>
          <w:rFonts w:ascii="Arial" w:hAnsi="Arial" w:cs="Arial"/>
          <w:sz w:val="20"/>
          <w:szCs w:val="20"/>
        </w:rPr>
        <w:t xml:space="preserve"> v redno delovno obveznost</w:t>
      </w:r>
      <w:r w:rsidR="00F0095F">
        <w:rPr>
          <w:rFonts w:ascii="Arial" w:hAnsi="Arial" w:cs="Arial"/>
          <w:sz w:val="20"/>
          <w:szCs w:val="20"/>
        </w:rPr>
        <w:t>, s čimer se</w:t>
      </w:r>
      <w:r w:rsidRPr="00D83239">
        <w:rPr>
          <w:rFonts w:ascii="Arial" w:hAnsi="Arial" w:cs="Arial"/>
          <w:sz w:val="20"/>
          <w:szCs w:val="20"/>
        </w:rPr>
        <w:t xml:space="preserve"> udeležencem omogoč</w:t>
      </w:r>
      <w:r w:rsidR="00F0095F">
        <w:rPr>
          <w:rFonts w:ascii="Arial" w:hAnsi="Arial" w:cs="Arial"/>
          <w:sz w:val="20"/>
          <w:szCs w:val="20"/>
        </w:rPr>
        <w:t>i</w:t>
      </w:r>
      <w:r w:rsidRPr="00D83239">
        <w:rPr>
          <w:rFonts w:ascii="Arial" w:hAnsi="Arial" w:cs="Arial"/>
          <w:sz w:val="20"/>
          <w:szCs w:val="20"/>
        </w:rPr>
        <w:t xml:space="preserve"> </w:t>
      </w:r>
      <w:r w:rsidR="00CF7810">
        <w:rPr>
          <w:rFonts w:ascii="Arial" w:hAnsi="Arial" w:cs="Arial"/>
          <w:sz w:val="20"/>
          <w:szCs w:val="20"/>
        </w:rPr>
        <w:t xml:space="preserve">udeležba </w:t>
      </w:r>
      <w:r w:rsidRPr="00D83239">
        <w:rPr>
          <w:rFonts w:ascii="Arial" w:hAnsi="Arial" w:cs="Arial"/>
          <w:sz w:val="20"/>
          <w:szCs w:val="20"/>
        </w:rPr>
        <w:t>v razpisanem roku kljub nalogam, ki jih opravljajo na svojih delovnih mestih</w:t>
      </w:r>
      <w:r>
        <w:rPr>
          <w:rFonts w:ascii="Arial" w:hAnsi="Arial" w:cs="Arial"/>
          <w:sz w:val="20"/>
          <w:szCs w:val="20"/>
        </w:rPr>
        <w:t>, ob</w:t>
      </w:r>
      <w:r w:rsidR="00F0095F">
        <w:rPr>
          <w:rFonts w:ascii="Arial" w:hAnsi="Arial" w:cs="Arial"/>
          <w:sz w:val="20"/>
          <w:szCs w:val="20"/>
        </w:rPr>
        <w:t>e</w:t>
      </w:r>
      <w:r>
        <w:rPr>
          <w:rFonts w:ascii="Arial" w:hAnsi="Arial" w:cs="Arial"/>
          <w:sz w:val="20"/>
          <w:szCs w:val="20"/>
        </w:rPr>
        <w:t>nem pa to ne</w:t>
      </w:r>
      <w:r w:rsidRPr="00D83239">
        <w:rPr>
          <w:rFonts w:ascii="Arial" w:hAnsi="Arial" w:cs="Arial"/>
          <w:sz w:val="20"/>
          <w:szCs w:val="20"/>
        </w:rPr>
        <w:t xml:space="preserve"> ovira delovn</w:t>
      </w:r>
      <w:r w:rsidR="00F0095F">
        <w:rPr>
          <w:rFonts w:ascii="Arial" w:hAnsi="Arial" w:cs="Arial"/>
          <w:sz w:val="20"/>
          <w:szCs w:val="20"/>
        </w:rPr>
        <w:t>ega</w:t>
      </w:r>
      <w:r w:rsidRPr="00D83239">
        <w:rPr>
          <w:rFonts w:ascii="Arial" w:hAnsi="Arial" w:cs="Arial"/>
          <w:sz w:val="20"/>
          <w:szCs w:val="20"/>
        </w:rPr>
        <w:t xml:space="preserve"> proces</w:t>
      </w:r>
      <w:r w:rsidR="00F0095F">
        <w:rPr>
          <w:rFonts w:ascii="Arial" w:hAnsi="Arial" w:cs="Arial"/>
          <w:sz w:val="20"/>
          <w:szCs w:val="20"/>
        </w:rPr>
        <w:t>a</w:t>
      </w:r>
      <w:r w:rsidRPr="00D83239">
        <w:rPr>
          <w:rFonts w:ascii="Arial" w:hAnsi="Arial" w:cs="Arial"/>
          <w:sz w:val="20"/>
          <w:szCs w:val="20"/>
        </w:rPr>
        <w:t xml:space="preserve">. </w:t>
      </w:r>
    </w:p>
    <w:p w14:paraId="3330B546" w14:textId="01A6F2E0" w:rsidR="00FB58E1" w:rsidRPr="00D83239" w:rsidRDefault="00FB58E1" w:rsidP="00FB58E1">
      <w:pPr>
        <w:spacing w:after="0" w:line="276" w:lineRule="auto"/>
        <w:jc w:val="both"/>
        <w:rPr>
          <w:rFonts w:ascii="Arial" w:hAnsi="Arial" w:cs="Arial"/>
          <w:sz w:val="20"/>
          <w:szCs w:val="20"/>
        </w:rPr>
      </w:pPr>
      <w:r w:rsidRPr="00D83239">
        <w:rPr>
          <w:rFonts w:ascii="Arial" w:hAnsi="Arial" w:cs="Arial"/>
          <w:sz w:val="20"/>
          <w:szCs w:val="20"/>
        </w:rPr>
        <w:t xml:space="preserve">Na področju varstva osebnih podatkov je potekalo obveščanje </w:t>
      </w:r>
      <w:r w:rsidRPr="00D83239">
        <w:rPr>
          <w:rFonts w:ascii="Arial" w:hAnsi="Arial" w:cs="Arial"/>
          <w:sz w:val="20"/>
          <w:szCs w:val="20"/>
          <w:shd w:val="clear" w:color="auto" w:fill="FFFFFF"/>
        </w:rPr>
        <w:t xml:space="preserve">upravljavca in svetovanje zaposlenim v MNZ in IRSNZ, ki obdelujejo osebne podatke, o njihovih obveznostih na podlagi </w:t>
      </w:r>
      <w:r w:rsidRPr="00D83239">
        <w:rPr>
          <w:rFonts w:ascii="Arial" w:hAnsi="Arial" w:cs="Arial"/>
          <w:sz w:val="20"/>
          <w:szCs w:val="20"/>
        </w:rPr>
        <w:t xml:space="preserve">Splošne uredbe o varstvu podatkov </w:t>
      </w:r>
      <w:r w:rsidR="00F0095F">
        <w:rPr>
          <w:rFonts w:ascii="Arial" w:hAnsi="Arial" w:cs="Arial"/>
          <w:sz w:val="20"/>
          <w:szCs w:val="20"/>
        </w:rPr>
        <w:t xml:space="preserve">(GDRP, EU) </w:t>
      </w:r>
      <w:r w:rsidRPr="00D83239">
        <w:rPr>
          <w:rFonts w:ascii="Arial" w:hAnsi="Arial" w:cs="Arial"/>
          <w:sz w:val="20"/>
          <w:szCs w:val="20"/>
        </w:rPr>
        <w:t>in Zakona o varstvu osebnih podatkov (ZVOP-2). Preverjala se je skladnost štiriindvajsetih pravnih podlag o pogodbeni obdelavi osebnih podatkov pri postopkih javnih naročil in enainštiridesetih dogovorov z upravljavci, k</w:t>
      </w:r>
      <w:r w:rsidR="00F0095F">
        <w:rPr>
          <w:rFonts w:ascii="Arial" w:hAnsi="Arial" w:cs="Arial"/>
          <w:sz w:val="20"/>
          <w:szCs w:val="20"/>
        </w:rPr>
        <w:t>i se j</w:t>
      </w:r>
      <w:r w:rsidRPr="00D83239">
        <w:rPr>
          <w:rFonts w:ascii="Arial" w:hAnsi="Arial" w:cs="Arial"/>
          <w:sz w:val="20"/>
          <w:szCs w:val="20"/>
        </w:rPr>
        <w:t>im na podlagi zakona za izvajanje njihovih pristojnosti ali nalog lahko po</w:t>
      </w:r>
      <w:r w:rsidR="00F0095F">
        <w:rPr>
          <w:rFonts w:ascii="Arial" w:hAnsi="Arial" w:cs="Arial"/>
          <w:sz w:val="20"/>
          <w:szCs w:val="20"/>
        </w:rPr>
        <w:t>šl</w:t>
      </w:r>
      <w:r w:rsidRPr="00D83239">
        <w:rPr>
          <w:rFonts w:ascii="Arial" w:hAnsi="Arial" w:cs="Arial"/>
          <w:sz w:val="20"/>
          <w:szCs w:val="20"/>
        </w:rPr>
        <w:t xml:space="preserve">jejo osebni podatki iz registrov ali evidenc s področja upravnih notranjih zadev. Notranjim organizacijskim enotam </w:t>
      </w:r>
      <w:r>
        <w:rPr>
          <w:rFonts w:ascii="Arial" w:hAnsi="Arial" w:cs="Arial"/>
          <w:sz w:val="20"/>
          <w:szCs w:val="20"/>
        </w:rPr>
        <w:t xml:space="preserve">MNZ </w:t>
      </w:r>
      <w:r w:rsidRPr="00D83239">
        <w:rPr>
          <w:rFonts w:ascii="Arial" w:hAnsi="Arial" w:cs="Arial"/>
          <w:sz w:val="20"/>
          <w:szCs w:val="20"/>
        </w:rPr>
        <w:t>je bila nudena pomoč pri obravnavi zahtevkov posameznikov</w:t>
      </w:r>
      <w:r>
        <w:rPr>
          <w:rFonts w:ascii="Arial" w:hAnsi="Arial" w:cs="Arial"/>
          <w:sz w:val="20"/>
          <w:szCs w:val="20"/>
        </w:rPr>
        <w:t>,</w:t>
      </w:r>
      <w:r w:rsidRPr="00D83239">
        <w:rPr>
          <w:rFonts w:ascii="Arial" w:hAnsi="Arial" w:cs="Arial"/>
          <w:sz w:val="20"/>
          <w:szCs w:val="20"/>
        </w:rPr>
        <w:t xml:space="preserve"> na katere se nanašajo osebni podatki</w:t>
      </w:r>
      <w:r w:rsidR="00F0095F">
        <w:rPr>
          <w:rFonts w:ascii="Arial" w:hAnsi="Arial" w:cs="Arial"/>
          <w:sz w:val="20"/>
          <w:szCs w:val="20"/>
        </w:rPr>
        <w:t>,</w:t>
      </w:r>
      <w:r w:rsidRPr="00D83239">
        <w:rPr>
          <w:rFonts w:ascii="Arial" w:hAnsi="Arial" w:cs="Arial"/>
          <w:sz w:val="20"/>
          <w:szCs w:val="20"/>
        </w:rPr>
        <w:t xml:space="preserve"> pri uveljavljanju njihovih pravic po 15. členu Splošne uredbe o varstvu podatkov. Na zahtevo posameznih notranjih organizacijskih enot</w:t>
      </w:r>
      <w:r>
        <w:rPr>
          <w:rFonts w:ascii="Arial" w:hAnsi="Arial" w:cs="Arial"/>
          <w:sz w:val="20"/>
          <w:szCs w:val="20"/>
        </w:rPr>
        <w:t xml:space="preserve"> MNZ</w:t>
      </w:r>
      <w:r w:rsidRPr="00D83239">
        <w:rPr>
          <w:rFonts w:ascii="Arial" w:hAnsi="Arial" w:cs="Arial"/>
          <w:sz w:val="20"/>
          <w:szCs w:val="20"/>
        </w:rPr>
        <w:t xml:space="preserve"> je bilo nudeno svetovanje pri izdelavi ocene učinka na varstvo osebnih podatkov pri prenovi </w:t>
      </w:r>
      <w:r w:rsidR="00F0095F">
        <w:rPr>
          <w:rFonts w:ascii="Arial" w:hAnsi="Arial" w:cs="Arial"/>
          <w:sz w:val="20"/>
          <w:szCs w:val="20"/>
        </w:rPr>
        <w:t>p</w:t>
      </w:r>
      <w:r w:rsidRPr="00D83239">
        <w:rPr>
          <w:rFonts w:ascii="Arial" w:hAnsi="Arial" w:cs="Arial"/>
          <w:sz w:val="20"/>
          <w:szCs w:val="20"/>
        </w:rPr>
        <w:t xml:space="preserve">ortala e-Občine in </w:t>
      </w:r>
      <w:r w:rsidR="00F0095F">
        <w:rPr>
          <w:rFonts w:ascii="Arial" w:hAnsi="Arial" w:cs="Arial"/>
          <w:sz w:val="20"/>
          <w:szCs w:val="20"/>
        </w:rPr>
        <w:t xml:space="preserve">pri izdelavi </w:t>
      </w:r>
      <w:r w:rsidRPr="00D83239">
        <w:rPr>
          <w:rFonts w:ascii="Arial" w:hAnsi="Arial" w:cs="Arial"/>
          <w:sz w:val="20"/>
          <w:szCs w:val="20"/>
        </w:rPr>
        <w:t>predlog</w:t>
      </w:r>
      <w:r w:rsidR="00F0095F">
        <w:rPr>
          <w:rFonts w:ascii="Arial" w:hAnsi="Arial" w:cs="Arial"/>
          <w:sz w:val="20"/>
          <w:szCs w:val="20"/>
        </w:rPr>
        <w:t>a</w:t>
      </w:r>
      <w:r w:rsidRPr="00D83239">
        <w:rPr>
          <w:rFonts w:ascii="Arial" w:hAnsi="Arial" w:cs="Arial"/>
          <w:sz w:val="20"/>
          <w:szCs w:val="20"/>
        </w:rPr>
        <w:t xml:space="preserve"> Zakona o prenosu in izvajanju nekaterih pravnih aktov EU s področja migracij in mednarodne zaščite.</w:t>
      </w:r>
    </w:p>
    <w:p w14:paraId="6EA7139F" w14:textId="77777777" w:rsidR="00FB58E1" w:rsidRPr="00D83239" w:rsidRDefault="00FB58E1" w:rsidP="00FB58E1">
      <w:pPr>
        <w:spacing w:after="0" w:line="276" w:lineRule="auto"/>
        <w:jc w:val="both"/>
        <w:rPr>
          <w:rFonts w:ascii="Arial" w:hAnsi="Arial" w:cs="Arial"/>
          <w:sz w:val="20"/>
          <w:szCs w:val="20"/>
        </w:rPr>
      </w:pPr>
    </w:p>
    <w:p w14:paraId="1AA8A8C2" w14:textId="77777777" w:rsidR="00FB58E1" w:rsidRPr="00D83239" w:rsidRDefault="00FB58E1" w:rsidP="00FB58E1">
      <w:pPr>
        <w:spacing w:after="0" w:line="276" w:lineRule="auto"/>
        <w:jc w:val="both"/>
        <w:rPr>
          <w:rFonts w:ascii="Arial" w:hAnsi="Arial" w:cs="Arial"/>
          <w:sz w:val="20"/>
          <w:szCs w:val="20"/>
        </w:rPr>
      </w:pPr>
      <w:r w:rsidRPr="00D83239">
        <w:rPr>
          <w:rFonts w:ascii="Arial" w:hAnsi="Arial" w:cs="Arial"/>
          <w:sz w:val="20"/>
          <w:szCs w:val="20"/>
        </w:rPr>
        <w:t xml:space="preserve">Različnih vrst usposabljanj </w:t>
      </w:r>
      <w:r>
        <w:rPr>
          <w:rFonts w:ascii="Arial" w:hAnsi="Arial" w:cs="Arial"/>
          <w:sz w:val="20"/>
          <w:szCs w:val="20"/>
        </w:rPr>
        <w:t xml:space="preserve">s </w:t>
      </w:r>
      <w:r w:rsidRPr="00D83239">
        <w:rPr>
          <w:rFonts w:ascii="Arial" w:hAnsi="Arial" w:cs="Arial"/>
          <w:sz w:val="20"/>
          <w:szCs w:val="20"/>
        </w:rPr>
        <w:t xml:space="preserve">področja varstva osebnih podatkov pri zunanjih izvajalcih se je udeležilo 28 </w:t>
      </w:r>
      <w:r>
        <w:rPr>
          <w:rFonts w:ascii="Arial" w:hAnsi="Arial" w:cs="Arial"/>
          <w:sz w:val="20"/>
          <w:szCs w:val="20"/>
        </w:rPr>
        <w:t>javnih uslužbencev</w:t>
      </w:r>
      <w:r w:rsidRPr="00D83239">
        <w:rPr>
          <w:rFonts w:ascii="Arial" w:hAnsi="Arial" w:cs="Arial"/>
          <w:sz w:val="20"/>
          <w:szCs w:val="20"/>
        </w:rPr>
        <w:t xml:space="preserve"> MNZ, od tega 4 </w:t>
      </w:r>
      <w:r>
        <w:rPr>
          <w:rFonts w:ascii="Arial" w:hAnsi="Arial" w:cs="Arial"/>
          <w:sz w:val="20"/>
          <w:szCs w:val="20"/>
        </w:rPr>
        <w:t>javni uslužbenci</w:t>
      </w:r>
      <w:r w:rsidRPr="00D83239">
        <w:rPr>
          <w:rFonts w:ascii="Arial" w:hAnsi="Arial" w:cs="Arial"/>
          <w:sz w:val="20"/>
          <w:szCs w:val="20"/>
        </w:rPr>
        <w:t xml:space="preserve"> na delovnem mestu vodje in 15 </w:t>
      </w:r>
      <w:r>
        <w:rPr>
          <w:rFonts w:ascii="Arial" w:hAnsi="Arial" w:cs="Arial"/>
          <w:sz w:val="20"/>
          <w:szCs w:val="20"/>
        </w:rPr>
        <w:t>javnih uslužbencev</w:t>
      </w:r>
      <w:r w:rsidRPr="00D83239">
        <w:rPr>
          <w:rFonts w:ascii="Arial" w:hAnsi="Arial" w:cs="Arial"/>
          <w:sz w:val="20"/>
          <w:szCs w:val="20"/>
        </w:rPr>
        <w:t xml:space="preserve"> IRSNZ, od tega 2 </w:t>
      </w:r>
      <w:r>
        <w:rPr>
          <w:rFonts w:ascii="Arial" w:hAnsi="Arial" w:cs="Arial"/>
          <w:sz w:val="20"/>
          <w:szCs w:val="20"/>
        </w:rPr>
        <w:t>javna uslužbenca</w:t>
      </w:r>
      <w:r w:rsidRPr="00D83239">
        <w:rPr>
          <w:rFonts w:ascii="Arial" w:hAnsi="Arial" w:cs="Arial"/>
          <w:sz w:val="20"/>
          <w:szCs w:val="20"/>
        </w:rPr>
        <w:t xml:space="preserve"> na delovnem mestu vodje.</w:t>
      </w:r>
    </w:p>
    <w:p w14:paraId="535EE6D4" w14:textId="77777777" w:rsidR="00FB58E1" w:rsidRPr="00D83239" w:rsidRDefault="00FB58E1" w:rsidP="00FB58E1">
      <w:pPr>
        <w:spacing w:after="0" w:line="276" w:lineRule="auto"/>
        <w:jc w:val="both"/>
        <w:rPr>
          <w:rFonts w:ascii="Arial" w:hAnsi="Arial" w:cs="Arial"/>
          <w:color w:val="7030A0"/>
          <w:sz w:val="20"/>
          <w:szCs w:val="20"/>
        </w:rPr>
      </w:pPr>
    </w:p>
    <w:p w14:paraId="7ACA305F" w14:textId="47D3BE6D" w:rsidR="00FB58E1" w:rsidRPr="00D83239" w:rsidRDefault="00FB58E1" w:rsidP="00FB58E1">
      <w:pPr>
        <w:spacing w:after="0" w:line="276" w:lineRule="auto"/>
        <w:jc w:val="both"/>
        <w:rPr>
          <w:rFonts w:ascii="Arial" w:hAnsi="Arial" w:cs="Arial"/>
          <w:sz w:val="20"/>
          <w:szCs w:val="20"/>
        </w:rPr>
      </w:pPr>
      <w:r w:rsidRPr="00D83239">
        <w:rPr>
          <w:rFonts w:ascii="Arial" w:hAnsi="Arial" w:cs="Arial"/>
          <w:sz w:val="20"/>
          <w:szCs w:val="20"/>
        </w:rPr>
        <w:t xml:space="preserve">Mesečno se je posodabljala </w:t>
      </w:r>
      <w:r w:rsidR="00F0095F">
        <w:rPr>
          <w:rFonts w:ascii="Arial" w:hAnsi="Arial" w:cs="Arial"/>
          <w:sz w:val="20"/>
          <w:szCs w:val="20"/>
        </w:rPr>
        <w:t>s</w:t>
      </w:r>
      <w:r w:rsidRPr="00D83239">
        <w:rPr>
          <w:rFonts w:ascii="Arial" w:hAnsi="Arial" w:cs="Arial"/>
          <w:sz w:val="20"/>
          <w:szCs w:val="20"/>
        </w:rPr>
        <w:t xml:space="preserve">kupna evidenca dejavnosti obdelave osebnih podatkov v MNZ in IRSNZ, uslužbenci MNZ pa so bili sproti seznanjeni z obvestili Informacijskega pooblaščenca </w:t>
      </w:r>
      <w:r w:rsidR="00B61E93" w:rsidRPr="00B61E93">
        <w:rPr>
          <w:rFonts w:ascii="Arial" w:hAnsi="Arial" w:cs="Arial"/>
          <w:sz w:val="20"/>
          <w:szCs w:val="20"/>
        </w:rPr>
        <w:t xml:space="preserve">Republike Slovenije </w:t>
      </w:r>
      <w:r w:rsidRPr="00D83239">
        <w:rPr>
          <w:rFonts w:ascii="Arial" w:hAnsi="Arial" w:cs="Arial"/>
          <w:sz w:val="20"/>
          <w:szCs w:val="20"/>
        </w:rPr>
        <w:t xml:space="preserve">in novostmi na področju varstva osebnih podatkov. </w:t>
      </w:r>
    </w:p>
    <w:p w14:paraId="3303E716" w14:textId="1668D892" w:rsidR="00FB58E1" w:rsidRDefault="00FB58E1" w:rsidP="00D83239">
      <w:pPr>
        <w:tabs>
          <w:tab w:val="num" w:pos="1431"/>
        </w:tabs>
        <w:spacing w:after="0" w:line="276" w:lineRule="auto"/>
        <w:jc w:val="both"/>
        <w:rPr>
          <w:rFonts w:ascii="Arial" w:hAnsi="Arial" w:cs="Arial"/>
          <w:sz w:val="20"/>
          <w:szCs w:val="20"/>
        </w:rPr>
      </w:pPr>
    </w:p>
    <w:p w14:paraId="36FA4DCF" w14:textId="535B3EBF" w:rsidR="00D740A2" w:rsidRPr="00D83239" w:rsidRDefault="00590E45" w:rsidP="00D83239">
      <w:pPr>
        <w:pStyle w:val="Naslov2"/>
        <w:spacing w:after="0" w:line="276" w:lineRule="auto"/>
        <w:jc w:val="both"/>
      </w:pPr>
      <w:bookmarkStart w:id="80" w:name="_Toc65591463"/>
      <w:bookmarkStart w:id="81" w:name="_Toc65651014"/>
      <w:bookmarkStart w:id="82" w:name="_Toc225499823"/>
      <w:r w:rsidRPr="00D83239">
        <w:t xml:space="preserve">Varnostno načrtovanje in </w:t>
      </w:r>
      <w:r w:rsidR="00DB29C1" w:rsidRPr="00D83239">
        <w:t xml:space="preserve">področje </w:t>
      </w:r>
      <w:r w:rsidRPr="00D83239">
        <w:t>jedrski varnosti</w:t>
      </w:r>
      <w:bookmarkEnd w:id="80"/>
      <w:bookmarkEnd w:id="81"/>
      <w:bookmarkEnd w:id="82"/>
    </w:p>
    <w:p w14:paraId="347700AA" w14:textId="648B4FFD" w:rsidR="00653B9D" w:rsidRPr="00D83239" w:rsidRDefault="00653B9D" w:rsidP="00D83239">
      <w:pPr>
        <w:spacing w:after="0" w:line="276" w:lineRule="auto"/>
        <w:jc w:val="both"/>
        <w:rPr>
          <w:rFonts w:ascii="Arial" w:hAnsi="Arial" w:cs="Arial"/>
          <w:sz w:val="20"/>
          <w:szCs w:val="20"/>
          <w:highlight w:val="yellow"/>
        </w:rPr>
      </w:pPr>
    </w:p>
    <w:p w14:paraId="00694C5D" w14:textId="73B28EE8" w:rsidR="00DB29C1" w:rsidRPr="00326969" w:rsidRDefault="00DB29C1" w:rsidP="00D83239">
      <w:pPr>
        <w:spacing w:after="0" w:line="276" w:lineRule="auto"/>
        <w:jc w:val="both"/>
        <w:rPr>
          <w:rFonts w:ascii="Arial" w:hAnsi="Arial" w:cs="Arial"/>
          <w:sz w:val="20"/>
          <w:szCs w:val="20"/>
        </w:rPr>
      </w:pPr>
      <w:r w:rsidRPr="00D83239">
        <w:rPr>
          <w:rFonts w:ascii="Arial" w:hAnsi="Arial" w:cs="Arial"/>
          <w:sz w:val="20"/>
          <w:szCs w:val="20"/>
        </w:rPr>
        <w:t>V okviru</w:t>
      </w:r>
      <w:r w:rsidRPr="00D83239">
        <w:rPr>
          <w:rFonts w:ascii="Arial" w:hAnsi="Arial" w:cs="Arial"/>
          <w:bCs/>
          <w:sz w:val="20"/>
          <w:szCs w:val="20"/>
        </w:rPr>
        <w:t xml:space="preserve"> izvajanja nalog iz </w:t>
      </w:r>
      <w:r w:rsidRPr="00D83239">
        <w:rPr>
          <w:rFonts w:ascii="Arial" w:hAnsi="Arial" w:cs="Arial"/>
          <w:b/>
          <w:sz w:val="20"/>
          <w:szCs w:val="20"/>
        </w:rPr>
        <w:t>Nacionalnega programa</w:t>
      </w:r>
      <w:r w:rsidRPr="00D83239">
        <w:rPr>
          <w:rFonts w:ascii="Arial" w:hAnsi="Arial" w:cs="Arial"/>
          <w:sz w:val="20"/>
          <w:szCs w:val="20"/>
        </w:rPr>
        <w:t xml:space="preserve"> </w:t>
      </w:r>
      <w:r w:rsidRPr="00D83239">
        <w:rPr>
          <w:rFonts w:ascii="Arial" w:hAnsi="Arial" w:cs="Arial"/>
          <w:b/>
          <w:sz w:val="20"/>
          <w:szCs w:val="20"/>
        </w:rPr>
        <w:t xml:space="preserve">varstva pred naravnimi in drugimi nesrečami </w:t>
      </w:r>
      <w:r w:rsidRPr="00D83239">
        <w:rPr>
          <w:rFonts w:ascii="Arial" w:hAnsi="Arial" w:cs="Arial"/>
          <w:sz w:val="20"/>
          <w:szCs w:val="20"/>
        </w:rPr>
        <w:t xml:space="preserve">ter </w:t>
      </w:r>
      <w:r w:rsidRPr="00D83239">
        <w:rPr>
          <w:rFonts w:ascii="Arial" w:hAnsi="Arial" w:cs="Arial"/>
          <w:b/>
          <w:bCs/>
          <w:sz w:val="20"/>
          <w:szCs w:val="20"/>
        </w:rPr>
        <w:t xml:space="preserve">načrtovanja in izvajanja ukrepov MNZ v izjemnih okoliščinah </w:t>
      </w:r>
      <w:r w:rsidRPr="00326969">
        <w:rPr>
          <w:rFonts w:ascii="Arial" w:hAnsi="Arial" w:cs="Arial"/>
          <w:sz w:val="20"/>
          <w:szCs w:val="20"/>
        </w:rPr>
        <w:t>je MNZ soorganiziral</w:t>
      </w:r>
      <w:r w:rsidR="00660704">
        <w:rPr>
          <w:rFonts w:ascii="Arial" w:hAnsi="Arial" w:cs="Arial"/>
          <w:sz w:val="20"/>
          <w:szCs w:val="20"/>
        </w:rPr>
        <w:t>o</w:t>
      </w:r>
      <w:r w:rsidRPr="00326969">
        <w:rPr>
          <w:rFonts w:ascii="Arial" w:hAnsi="Arial" w:cs="Arial"/>
          <w:sz w:val="20"/>
          <w:szCs w:val="20"/>
        </w:rPr>
        <w:t xml:space="preserve"> vajo državnega pomena </w:t>
      </w:r>
      <w:r w:rsidR="00F0095F">
        <w:rPr>
          <w:rFonts w:ascii="Arial" w:hAnsi="Arial" w:cs="Arial"/>
          <w:sz w:val="20"/>
          <w:szCs w:val="20"/>
        </w:rPr>
        <w:t>»</w:t>
      </w:r>
      <w:r w:rsidRPr="00326969">
        <w:rPr>
          <w:rFonts w:ascii="Arial" w:hAnsi="Arial" w:cs="Arial"/>
          <w:sz w:val="20"/>
          <w:szCs w:val="20"/>
        </w:rPr>
        <w:t>Odziv na nesrečo z veliko poškodovanimi 2025</w:t>
      </w:r>
      <w:r w:rsidR="00F0095F">
        <w:rPr>
          <w:rFonts w:ascii="Arial" w:hAnsi="Arial" w:cs="Arial"/>
          <w:sz w:val="20"/>
          <w:szCs w:val="20"/>
        </w:rPr>
        <w:t>«</w:t>
      </w:r>
      <w:r w:rsidR="00660704">
        <w:rPr>
          <w:rFonts w:ascii="Arial" w:hAnsi="Arial" w:cs="Arial"/>
          <w:sz w:val="20"/>
          <w:szCs w:val="20"/>
        </w:rPr>
        <w:t>, v katero so bila</w:t>
      </w:r>
      <w:r w:rsidRPr="00326969">
        <w:rPr>
          <w:rFonts w:ascii="Arial" w:hAnsi="Arial" w:cs="Arial"/>
          <w:sz w:val="20"/>
          <w:szCs w:val="20"/>
        </w:rPr>
        <w:t xml:space="preserve"> vključena vsa ministrstva ter nekateri drugi ključni deležniki </w:t>
      </w:r>
      <w:r w:rsidR="00326969" w:rsidRPr="00326969">
        <w:rPr>
          <w:rFonts w:ascii="Arial" w:hAnsi="Arial" w:cs="Arial"/>
          <w:sz w:val="20"/>
          <w:szCs w:val="20"/>
        </w:rPr>
        <w:t>(</w:t>
      </w:r>
      <w:r w:rsidRPr="00326969">
        <w:rPr>
          <w:rFonts w:ascii="Arial" w:hAnsi="Arial" w:cs="Arial"/>
          <w:sz w:val="20"/>
          <w:szCs w:val="20"/>
        </w:rPr>
        <w:t>npr. U</w:t>
      </w:r>
      <w:r w:rsidR="00326969" w:rsidRPr="00326969">
        <w:rPr>
          <w:rFonts w:ascii="Arial" w:hAnsi="Arial" w:cs="Arial"/>
          <w:sz w:val="20"/>
          <w:szCs w:val="20"/>
        </w:rPr>
        <w:t>niverzitetni klinični center Ljubljana)</w:t>
      </w:r>
      <w:r w:rsidRPr="00326969">
        <w:rPr>
          <w:rFonts w:ascii="Arial" w:hAnsi="Arial" w:cs="Arial"/>
          <w:sz w:val="20"/>
          <w:szCs w:val="20"/>
        </w:rPr>
        <w:t>.</w:t>
      </w:r>
      <w:r w:rsidRPr="00326969" w:rsidDel="00E80772">
        <w:rPr>
          <w:rFonts w:ascii="Arial" w:hAnsi="Arial" w:cs="Arial"/>
          <w:sz w:val="20"/>
          <w:szCs w:val="20"/>
        </w:rPr>
        <w:t xml:space="preserve"> </w:t>
      </w:r>
      <w:r w:rsidRPr="00326969">
        <w:rPr>
          <w:rFonts w:ascii="Arial" w:hAnsi="Arial" w:cs="Arial"/>
          <w:sz w:val="20"/>
          <w:szCs w:val="20"/>
        </w:rPr>
        <w:t>Potekala je redna udeležba na sejah Štaba Civilne zaščite Republike Slovenije.</w:t>
      </w:r>
    </w:p>
    <w:p w14:paraId="62A32DDE" w14:textId="77777777" w:rsidR="00DB29C1" w:rsidRPr="00D83239" w:rsidRDefault="00DB29C1" w:rsidP="00D83239">
      <w:pPr>
        <w:spacing w:after="0" w:line="276" w:lineRule="auto"/>
        <w:jc w:val="both"/>
        <w:rPr>
          <w:rFonts w:ascii="Arial" w:hAnsi="Arial" w:cs="Arial"/>
          <w:sz w:val="20"/>
          <w:szCs w:val="20"/>
        </w:rPr>
      </w:pPr>
    </w:p>
    <w:p w14:paraId="29238109" w14:textId="6273FCBC"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Na področju </w:t>
      </w:r>
      <w:r w:rsidRPr="00D83239">
        <w:rPr>
          <w:rFonts w:ascii="Arial" w:hAnsi="Arial" w:cs="Arial"/>
          <w:b/>
          <w:sz w:val="20"/>
          <w:szCs w:val="20"/>
        </w:rPr>
        <w:t>varnostnega načrtovanja</w:t>
      </w:r>
      <w:r w:rsidRPr="00D83239">
        <w:rPr>
          <w:rFonts w:ascii="Arial" w:hAnsi="Arial" w:cs="Arial"/>
          <w:sz w:val="20"/>
          <w:szCs w:val="20"/>
        </w:rPr>
        <w:t xml:space="preserve"> je potekalo redno posodabljanje načrtov dejavnosti MNZ ob različnih nesrečah. </w:t>
      </w:r>
      <w:r w:rsidR="00F0095F">
        <w:rPr>
          <w:rFonts w:ascii="Arial" w:hAnsi="Arial" w:cs="Arial"/>
          <w:sz w:val="20"/>
          <w:szCs w:val="20"/>
        </w:rPr>
        <w:t>I</w:t>
      </w:r>
      <w:r w:rsidRPr="00D83239">
        <w:rPr>
          <w:rFonts w:ascii="Arial" w:hAnsi="Arial" w:cs="Arial"/>
          <w:sz w:val="20"/>
          <w:szCs w:val="20"/>
        </w:rPr>
        <w:t xml:space="preserve">zvedene </w:t>
      </w:r>
      <w:r w:rsidR="00F0095F">
        <w:rPr>
          <w:rFonts w:ascii="Arial" w:hAnsi="Arial" w:cs="Arial"/>
          <w:sz w:val="20"/>
          <w:szCs w:val="20"/>
        </w:rPr>
        <w:t xml:space="preserve">so bile </w:t>
      </w:r>
      <w:r w:rsidRPr="00D83239">
        <w:rPr>
          <w:rFonts w:ascii="Arial" w:hAnsi="Arial" w:cs="Arial"/>
          <w:sz w:val="20"/>
          <w:szCs w:val="20"/>
        </w:rPr>
        <w:t xml:space="preserve">aktivnosti za prenovo </w:t>
      </w:r>
      <w:r w:rsidR="00F0095F">
        <w:rPr>
          <w:rFonts w:ascii="Arial" w:hAnsi="Arial" w:cs="Arial"/>
          <w:sz w:val="20"/>
          <w:szCs w:val="20"/>
        </w:rPr>
        <w:t>o</w:t>
      </w:r>
      <w:r w:rsidRPr="00D83239">
        <w:rPr>
          <w:rFonts w:ascii="Arial" w:hAnsi="Arial" w:cs="Arial"/>
          <w:sz w:val="20"/>
          <w:szCs w:val="20"/>
        </w:rPr>
        <w:t>cene tveganja terorizm</w:t>
      </w:r>
      <w:r w:rsidR="00F0095F">
        <w:rPr>
          <w:rFonts w:ascii="Arial" w:hAnsi="Arial" w:cs="Arial"/>
          <w:sz w:val="20"/>
          <w:szCs w:val="20"/>
        </w:rPr>
        <w:t>a</w:t>
      </w:r>
      <w:r w:rsidRPr="00D83239">
        <w:rPr>
          <w:rFonts w:ascii="Arial" w:hAnsi="Arial" w:cs="Arial"/>
          <w:sz w:val="20"/>
          <w:szCs w:val="20"/>
        </w:rPr>
        <w:t xml:space="preserve"> ter </w:t>
      </w:r>
      <w:r w:rsidR="00F0095F">
        <w:rPr>
          <w:rFonts w:ascii="Arial" w:hAnsi="Arial" w:cs="Arial"/>
          <w:sz w:val="20"/>
          <w:szCs w:val="20"/>
        </w:rPr>
        <w:t>o</w:t>
      </w:r>
      <w:r w:rsidRPr="00D83239">
        <w:rPr>
          <w:rFonts w:ascii="Arial" w:hAnsi="Arial" w:cs="Arial"/>
          <w:sz w:val="20"/>
          <w:szCs w:val="20"/>
        </w:rPr>
        <w:t>cene zmožnosti obvladovanja tveganja terorizm</w:t>
      </w:r>
      <w:r w:rsidR="00026A89">
        <w:rPr>
          <w:rFonts w:ascii="Arial" w:hAnsi="Arial" w:cs="Arial"/>
          <w:sz w:val="20"/>
          <w:szCs w:val="20"/>
        </w:rPr>
        <w:t>a</w:t>
      </w:r>
      <w:r w:rsidRPr="00D83239">
        <w:rPr>
          <w:rFonts w:ascii="Arial" w:hAnsi="Arial" w:cs="Arial"/>
          <w:sz w:val="20"/>
          <w:szCs w:val="20"/>
        </w:rPr>
        <w:t xml:space="preserve">. </w:t>
      </w:r>
    </w:p>
    <w:p w14:paraId="5219FA01" w14:textId="77777777" w:rsidR="00DB29C1" w:rsidRPr="00D83239" w:rsidRDefault="00DB29C1" w:rsidP="00D83239">
      <w:pPr>
        <w:spacing w:after="0" w:line="276" w:lineRule="auto"/>
        <w:jc w:val="both"/>
        <w:rPr>
          <w:rFonts w:ascii="Arial" w:hAnsi="Arial" w:cs="Arial"/>
          <w:sz w:val="20"/>
          <w:szCs w:val="20"/>
        </w:rPr>
      </w:pPr>
    </w:p>
    <w:p w14:paraId="07EFD91E" w14:textId="71164301" w:rsidR="00DB29C1" w:rsidRPr="00F01A1E"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Na podlagi sklepov kolegija ministra je bila izvedena nadgradnja </w:t>
      </w:r>
      <w:r w:rsidR="00026A89">
        <w:rPr>
          <w:rFonts w:ascii="Arial" w:hAnsi="Arial" w:cs="Arial"/>
          <w:sz w:val="20"/>
          <w:szCs w:val="20"/>
        </w:rPr>
        <w:t>p</w:t>
      </w:r>
      <w:r w:rsidRPr="00D83239">
        <w:rPr>
          <w:rFonts w:ascii="Arial" w:hAnsi="Arial" w:cs="Arial"/>
          <w:sz w:val="20"/>
          <w:szCs w:val="20"/>
        </w:rPr>
        <w:t>rotokola obveščanja v primeru grožnje vzgojno-izobraževalnim</w:t>
      </w:r>
      <w:r w:rsidR="00326969">
        <w:rPr>
          <w:rFonts w:ascii="Arial" w:hAnsi="Arial" w:cs="Arial"/>
          <w:sz w:val="20"/>
          <w:szCs w:val="20"/>
        </w:rPr>
        <w:t xml:space="preserve"> </w:t>
      </w:r>
      <w:r w:rsidRPr="00D83239">
        <w:rPr>
          <w:rFonts w:ascii="Arial" w:hAnsi="Arial" w:cs="Arial"/>
          <w:sz w:val="20"/>
          <w:szCs w:val="20"/>
        </w:rPr>
        <w:t xml:space="preserve">zavodom ter </w:t>
      </w:r>
      <w:r w:rsidR="00026A89">
        <w:rPr>
          <w:rFonts w:ascii="Arial" w:hAnsi="Arial" w:cs="Arial"/>
          <w:sz w:val="20"/>
          <w:szCs w:val="20"/>
        </w:rPr>
        <w:t>p</w:t>
      </w:r>
      <w:r w:rsidRPr="00D83239">
        <w:rPr>
          <w:rFonts w:ascii="Arial" w:hAnsi="Arial" w:cs="Arial"/>
          <w:sz w:val="20"/>
          <w:szCs w:val="20"/>
        </w:rPr>
        <w:t>rotokola obveščanj</w:t>
      </w:r>
      <w:r w:rsidR="00026A89">
        <w:rPr>
          <w:rFonts w:ascii="Arial" w:hAnsi="Arial" w:cs="Arial"/>
          <w:sz w:val="20"/>
          <w:szCs w:val="20"/>
        </w:rPr>
        <w:t>a</w:t>
      </w:r>
      <w:r w:rsidRPr="00D83239">
        <w:rPr>
          <w:rFonts w:ascii="Arial" w:hAnsi="Arial" w:cs="Arial"/>
          <w:sz w:val="20"/>
          <w:szCs w:val="20"/>
        </w:rPr>
        <w:t xml:space="preserve"> v primeru grožnje fakultetam in visokošolskim zavodom. Pri tem je bila izvedena strokovna pomoč Ministrstvu za vzgojo in izobraževanje ter Ministrstvu za visoko šolstvo, znanost in inovacije pri pripravi internih protokolov ter sodelovanje pri organizaciji posveta za večjo varnost v vzgojno</w:t>
      </w:r>
      <w:r w:rsidR="00026A89">
        <w:rPr>
          <w:rFonts w:ascii="Arial" w:hAnsi="Arial" w:cs="Arial"/>
          <w:sz w:val="20"/>
          <w:szCs w:val="20"/>
        </w:rPr>
        <w:t>-</w:t>
      </w:r>
      <w:r w:rsidRPr="00D83239">
        <w:rPr>
          <w:rFonts w:ascii="Arial" w:hAnsi="Arial" w:cs="Arial"/>
          <w:sz w:val="20"/>
          <w:szCs w:val="20"/>
        </w:rPr>
        <w:t>izobraževalnih ustanovah.</w:t>
      </w:r>
    </w:p>
    <w:p w14:paraId="0B38F3F4" w14:textId="77777777" w:rsidR="00660704" w:rsidRDefault="00660704" w:rsidP="00D83239">
      <w:pPr>
        <w:pStyle w:val="Odstavekseznama2"/>
        <w:autoSpaceDE w:val="0"/>
        <w:autoSpaceDN w:val="0"/>
        <w:adjustRightInd w:val="0"/>
        <w:spacing w:after="0" w:line="276" w:lineRule="auto"/>
        <w:ind w:left="0"/>
        <w:jc w:val="both"/>
        <w:rPr>
          <w:rFonts w:ascii="Arial" w:hAnsi="Arial" w:cs="Arial"/>
          <w:sz w:val="20"/>
          <w:szCs w:val="20"/>
        </w:rPr>
      </w:pPr>
    </w:p>
    <w:p w14:paraId="17690055" w14:textId="18F507CD" w:rsidR="00DB29C1" w:rsidRPr="00D83239" w:rsidRDefault="00DB29C1" w:rsidP="00D83239">
      <w:pPr>
        <w:pStyle w:val="Odstavekseznama2"/>
        <w:autoSpaceDE w:val="0"/>
        <w:autoSpaceDN w:val="0"/>
        <w:adjustRightInd w:val="0"/>
        <w:spacing w:after="0" w:line="276" w:lineRule="auto"/>
        <w:ind w:left="0"/>
        <w:jc w:val="both"/>
        <w:rPr>
          <w:rFonts w:ascii="Arial" w:hAnsi="Arial" w:cs="Arial"/>
          <w:sz w:val="20"/>
          <w:szCs w:val="20"/>
        </w:rPr>
      </w:pPr>
      <w:r w:rsidRPr="00D83239">
        <w:rPr>
          <w:rFonts w:ascii="Arial" w:hAnsi="Arial" w:cs="Arial"/>
          <w:sz w:val="20"/>
          <w:szCs w:val="20"/>
        </w:rPr>
        <w:t xml:space="preserve">V letu 2025 so bile izvedene naslednje </w:t>
      </w:r>
      <w:r w:rsidRPr="00D83239">
        <w:rPr>
          <w:rFonts w:ascii="Arial" w:hAnsi="Arial" w:cs="Arial"/>
          <w:b/>
          <w:sz w:val="20"/>
          <w:szCs w:val="20"/>
        </w:rPr>
        <w:t xml:space="preserve">vaje s področja obrambnega načrtovanja, pri katerih je sodelovalo </w:t>
      </w:r>
      <w:r w:rsidR="00326969">
        <w:rPr>
          <w:rFonts w:ascii="Arial" w:hAnsi="Arial" w:cs="Arial"/>
          <w:b/>
          <w:sz w:val="20"/>
          <w:szCs w:val="20"/>
        </w:rPr>
        <w:t>MNZ</w:t>
      </w:r>
      <w:r w:rsidRPr="00D83239">
        <w:rPr>
          <w:rFonts w:ascii="Arial" w:hAnsi="Arial" w:cs="Arial"/>
          <w:sz w:val="20"/>
          <w:szCs w:val="20"/>
        </w:rPr>
        <w:t xml:space="preserve">: </w:t>
      </w:r>
    </w:p>
    <w:p w14:paraId="323E8BB4" w14:textId="77777777" w:rsidR="00DB29C1" w:rsidRPr="00D83239" w:rsidRDefault="00DB29C1" w:rsidP="00D83239">
      <w:pPr>
        <w:pStyle w:val="Odstavekseznama2"/>
        <w:autoSpaceDE w:val="0"/>
        <w:autoSpaceDN w:val="0"/>
        <w:adjustRightInd w:val="0"/>
        <w:spacing w:after="0" w:line="276" w:lineRule="auto"/>
        <w:ind w:left="0"/>
        <w:jc w:val="both"/>
        <w:rPr>
          <w:rFonts w:ascii="Arial" w:hAnsi="Arial" w:cs="Arial"/>
          <w:sz w:val="20"/>
          <w:szCs w:val="20"/>
        </w:rPr>
      </w:pPr>
    </w:p>
    <w:p w14:paraId="24825587" w14:textId="4909136D" w:rsidR="00DB29C1" w:rsidRPr="00D83239" w:rsidRDefault="00DB29C1" w:rsidP="00D83239">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dve vaji </w:t>
      </w:r>
      <w:r w:rsidR="00026A89">
        <w:rPr>
          <w:rFonts w:ascii="Arial" w:hAnsi="Arial" w:cs="Arial"/>
          <w:sz w:val="20"/>
          <w:szCs w:val="20"/>
        </w:rPr>
        <w:t xml:space="preserve">zveze </w:t>
      </w:r>
      <w:r w:rsidR="00026A89" w:rsidRPr="00D83239">
        <w:rPr>
          <w:rFonts w:ascii="Arial" w:hAnsi="Arial" w:cs="Arial"/>
          <w:sz w:val="20"/>
          <w:szCs w:val="20"/>
        </w:rPr>
        <w:t xml:space="preserve">NATO </w:t>
      </w:r>
      <w:r w:rsidRPr="00D83239">
        <w:rPr>
          <w:rFonts w:ascii="Arial" w:hAnsi="Arial" w:cs="Arial"/>
          <w:sz w:val="20"/>
          <w:szCs w:val="20"/>
        </w:rPr>
        <w:t xml:space="preserve">s področja </w:t>
      </w:r>
      <w:r w:rsidRPr="00D83239">
        <w:rPr>
          <w:rFonts w:ascii="Arial" w:hAnsi="Arial" w:cs="Arial"/>
          <w:sz w:val="20"/>
          <w:szCs w:val="20"/>
          <w:u w:val="single"/>
        </w:rPr>
        <w:t>kibernetske obrambe</w:t>
      </w:r>
      <w:r w:rsidRPr="00D83239">
        <w:rPr>
          <w:rFonts w:ascii="Arial" w:hAnsi="Arial" w:cs="Arial"/>
          <w:sz w:val="20"/>
          <w:szCs w:val="20"/>
        </w:rPr>
        <w:t xml:space="preserve"> (</w:t>
      </w:r>
      <w:proofErr w:type="spellStart"/>
      <w:r w:rsidRPr="00D83239">
        <w:rPr>
          <w:rFonts w:ascii="Arial" w:hAnsi="Arial" w:cs="Arial"/>
          <w:sz w:val="20"/>
          <w:szCs w:val="20"/>
        </w:rPr>
        <w:t>Locked</w:t>
      </w:r>
      <w:proofErr w:type="spellEnd"/>
      <w:r w:rsidRPr="00D83239">
        <w:rPr>
          <w:rFonts w:ascii="Arial" w:hAnsi="Arial" w:cs="Arial"/>
          <w:sz w:val="20"/>
          <w:szCs w:val="20"/>
        </w:rPr>
        <w:t xml:space="preserve"> </w:t>
      </w:r>
      <w:proofErr w:type="spellStart"/>
      <w:r w:rsidRPr="00D83239">
        <w:rPr>
          <w:rFonts w:ascii="Arial" w:hAnsi="Arial" w:cs="Arial"/>
          <w:sz w:val="20"/>
          <w:szCs w:val="20"/>
        </w:rPr>
        <w:t>Shields</w:t>
      </w:r>
      <w:proofErr w:type="spellEnd"/>
      <w:r w:rsidRPr="00D83239">
        <w:rPr>
          <w:rFonts w:ascii="Arial" w:hAnsi="Arial" w:cs="Arial"/>
          <w:sz w:val="20"/>
          <w:szCs w:val="20"/>
        </w:rPr>
        <w:t xml:space="preserve"> v maju 2025 in </w:t>
      </w:r>
      <w:proofErr w:type="spellStart"/>
      <w:r w:rsidRPr="00D83239">
        <w:rPr>
          <w:rFonts w:ascii="Arial" w:hAnsi="Arial" w:cs="Arial"/>
          <w:sz w:val="20"/>
          <w:szCs w:val="20"/>
        </w:rPr>
        <w:t>Cyber</w:t>
      </w:r>
      <w:proofErr w:type="spellEnd"/>
      <w:r w:rsidRPr="00D83239">
        <w:rPr>
          <w:rFonts w:ascii="Arial" w:hAnsi="Arial" w:cs="Arial"/>
          <w:sz w:val="20"/>
          <w:szCs w:val="20"/>
        </w:rPr>
        <w:t xml:space="preserve"> </w:t>
      </w:r>
      <w:proofErr w:type="spellStart"/>
      <w:r w:rsidRPr="00D83239">
        <w:rPr>
          <w:rFonts w:ascii="Arial" w:hAnsi="Arial" w:cs="Arial"/>
          <w:sz w:val="20"/>
          <w:szCs w:val="20"/>
        </w:rPr>
        <w:t>Coalition</w:t>
      </w:r>
      <w:proofErr w:type="spellEnd"/>
      <w:r w:rsidRPr="00D83239">
        <w:rPr>
          <w:rFonts w:ascii="Arial" w:hAnsi="Arial" w:cs="Arial"/>
          <w:sz w:val="20"/>
          <w:szCs w:val="20"/>
        </w:rPr>
        <w:t xml:space="preserve"> 2025)</w:t>
      </w:r>
      <w:r w:rsidR="00135E33">
        <w:rPr>
          <w:rFonts w:ascii="Arial" w:hAnsi="Arial" w:cs="Arial"/>
          <w:sz w:val="20"/>
          <w:szCs w:val="20"/>
        </w:rPr>
        <w:t>,</w:t>
      </w:r>
    </w:p>
    <w:p w14:paraId="3717ED6A" w14:textId="7C3B1E73" w:rsidR="00DB29C1" w:rsidRPr="00D83239" w:rsidRDefault="00DB29C1" w:rsidP="00D83239">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vaja </w:t>
      </w:r>
      <w:r w:rsidR="00026A89">
        <w:rPr>
          <w:rFonts w:ascii="Arial" w:hAnsi="Arial" w:cs="Arial"/>
          <w:sz w:val="20"/>
          <w:szCs w:val="20"/>
        </w:rPr>
        <w:t xml:space="preserve">zveze </w:t>
      </w:r>
      <w:r w:rsidR="00026A89" w:rsidRPr="00D83239">
        <w:rPr>
          <w:rFonts w:ascii="Arial" w:hAnsi="Arial" w:cs="Arial"/>
          <w:sz w:val="20"/>
          <w:szCs w:val="20"/>
        </w:rPr>
        <w:t xml:space="preserve">NATO </w:t>
      </w:r>
      <w:r w:rsidRPr="00D83239">
        <w:rPr>
          <w:rFonts w:ascii="Arial" w:hAnsi="Arial" w:cs="Arial"/>
          <w:sz w:val="20"/>
          <w:szCs w:val="20"/>
        </w:rPr>
        <w:t>s področja kriznega odzivanja (CMX25)</w:t>
      </w:r>
      <w:r w:rsidR="00135E33">
        <w:rPr>
          <w:rFonts w:ascii="Arial" w:hAnsi="Arial" w:cs="Arial"/>
          <w:sz w:val="20"/>
          <w:szCs w:val="20"/>
        </w:rPr>
        <w:t>,</w:t>
      </w:r>
    </w:p>
    <w:p w14:paraId="78B5B7AC" w14:textId="030C2A87" w:rsidR="00DB29C1" w:rsidRPr="00135E33" w:rsidRDefault="00135E33" w:rsidP="00135E33">
      <w:pPr>
        <w:pStyle w:val="Odstavekseznama"/>
        <w:numPr>
          <w:ilvl w:val="0"/>
          <w:numId w:val="2"/>
        </w:numPr>
        <w:spacing w:after="0"/>
        <w:jc w:val="both"/>
        <w:rPr>
          <w:rFonts w:ascii="Arial" w:hAnsi="Arial" w:cs="Arial"/>
          <w:sz w:val="20"/>
          <w:szCs w:val="20"/>
        </w:rPr>
      </w:pPr>
      <w:r>
        <w:rPr>
          <w:rFonts w:ascii="Arial" w:hAnsi="Arial" w:cs="Arial"/>
          <w:sz w:val="20"/>
          <w:szCs w:val="20"/>
        </w:rPr>
        <w:t>n</w:t>
      </w:r>
      <w:r w:rsidR="00DB29C1" w:rsidRPr="00D83239">
        <w:rPr>
          <w:rFonts w:ascii="Arial" w:hAnsi="Arial" w:cs="Arial"/>
          <w:sz w:val="20"/>
          <w:szCs w:val="20"/>
        </w:rPr>
        <w:t>acionalna vaja Protiudarec 2025 v dveh sklopih</w:t>
      </w:r>
      <w:r w:rsidR="00026A89">
        <w:rPr>
          <w:rFonts w:ascii="Arial" w:hAnsi="Arial" w:cs="Arial"/>
          <w:sz w:val="20"/>
          <w:szCs w:val="20"/>
        </w:rPr>
        <w:t>,</w:t>
      </w:r>
      <w:r w:rsidR="00DB29C1" w:rsidRPr="00D83239">
        <w:rPr>
          <w:rFonts w:ascii="Arial" w:hAnsi="Arial" w:cs="Arial"/>
          <w:sz w:val="20"/>
          <w:szCs w:val="20"/>
        </w:rPr>
        <w:t xml:space="preserve"> in sicer SKOK1 </w:t>
      </w:r>
      <w:r w:rsidR="00026A89">
        <w:rPr>
          <w:rFonts w:ascii="Arial" w:hAnsi="Arial" w:cs="Arial"/>
          <w:sz w:val="20"/>
          <w:szCs w:val="20"/>
        </w:rPr>
        <w:t>in</w:t>
      </w:r>
      <w:r w:rsidR="00026A89" w:rsidRPr="00D83239">
        <w:rPr>
          <w:rFonts w:ascii="Arial" w:hAnsi="Arial" w:cs="Arial"/>
          <w:sz w:val="20"/>
          <w:szCs w:val="20"/>
        </w:rPr>
        <w:t xml:space="preserve"> </w:t>
      </w:r>
      <w:r w:rsidR="00DB29C1" w:rsidRPr="00D83239">
        <w:rPr>
          <w:rFonts w:ascii="Arial" w:hAnsi="Arial" w:cs="Arial"/>
          <w:sz w:val="20"/>
          <w:szCs w:val="20"/>
        </w:rPr>
        <w:t>SKOK3 (izvedeno na lokalni, regijski in državni ravni)</w:t>
      </w:r>
      <w:r>
        <w:rPr>
          <w:rFonts w:ascii="Arial" w:hAnsi="Arial" w:cs="Arial"/>
          <w:sz w:val="20"/>
          <w:szCs w:val="20"/>
        </w:rPr>
        <w:t>,</w:t>
      </w:r>
    </w:p>
    <w:p w14:paraId="6E543219" w14:textId="146A62EF" w:rsidR="00DB29C1" w:rsidRPr="00D83239" w:rsidRDefault="00DB29C1" w:rsidP="00D83239">
      <w:pPr>
        <w:pStyle w:val="Odstavekseznama"/>
        <w:numPr>
          <w:ilvl w:val="0"/>
          <w:numId w:val="2"/>
        </w:numPr>
        <w:spacing w:after="0"/>
        <w:jc w:val="both"/>
        <w:rPr>
          <w:rFonts w:ascii="Arial" w:hAnsi="Arial" w:cs="Arial"/>
          <w:sz w:val="20"/>
          <w:szCs w:val="20"/>
        </w:rPr>
      </w:pPr>
      <w:r w:rsidRPr="00D83239">
        <w:rPr>
          <w:rFonts w:ascii="Arial" w:hAnsi="Arial" w:cs="Arial"/>
          <w:sz w:val="20"/>
          <w:szCs w:val="20"/>
        </w:rPr>
        <w:t xml:space="preserve">nacionalna vaja Kibernetska trdnjava 2025 (v septembru 2025), na podlagi katere je bila pripravljena notranja analiza s predlogi ukrepov z vidika MNZ (poudarek na povezovanju delovanja </w:t>
      </w:r>
      <w:r w:rsidR="00135E33">
        <w:rPr>
          <w:rFonts w:ascii="Arial" w:hAnsi="Arial" w:cs="Arial"/>
          <w:sz w:val="20"/>
          <w:szCs w:val="20"/>
        </w:rPr>
        <w:t>notranjih organizacijskih enot</w:t>
      </w:r>
      <w:r w:rsidRPr="00D83239">
        <w:rPr>
          <w:rFonts w:ascii="Arial" w:hAnsi="Arial" w:cs="Arial"/>
          <w:sz w:val="20"/>
          <w:szCs w:val="20"/>
        </w:rPr>
        <w:t xml:space="preserve"> MNZ, ki </w:t>
      </w:r>
      <w:r w:rsidR="00135E33">
        <w:rPr>
          <w:rFonts w:ascii="Arial" w:hAnsi="Arial" w:cs="Arial"/>
          <w:sz w:val="20"/>
          <w:szCs w:val="20"/>
        </w:rPr>
        <w:t>v skladu z</w:t>
      </w:r>
      <w:r w:rsidRPr="00D83239">
        <w:rPr>
          <w:rFonts w:ascii="Arial" w:hAnsi="Arial" w:cs="Arial"/>
          <w:sz w:val="20"/>
          <w:szCs w:val="20"/>
        </w:rPr>
        <w:t xml:space="preserve"> interni</w:t>
      </w:r>
      <w:r w:rsidR="00135E33">
        <w:rPr>
          <w:rFonts w:ascii="Arial" w:hAnsi="Arial" w:cs="Arial"/>
          <w:sz w:val="20"/>
          <w:szCs w:val="20"/>
        </w:rPr>
        <w:t>mi</w:t>
      </w:r>
      <w:r w:rsidRPr="00D83239">
        <w:rPr>
          <w:rFonts w:ascii="Arial" w:hAnsi="Arial" w:cs="Arial"/>
          <w:sz w:val="20"/>
          <w:szCs w:val="20"/>
        </w:rPr>
        <w:t xml:space="preserve"> akti s področja informacijske varnosti izvajajo posamezne naloge v procesih upravljanja informacijske/kibernetske varnosti v organu)</w:t>
      </w:r>
      <w:r w:rsidR="00135E33">
        <w:rPr>
          <w:rFonts w:ascii="Arial" w:hAnsi="Arial" w:cs="Arial"/>
          <w:sz w:val="20"/>
          <w:szCs w:val="20"/>
        </w:rPr>
        <w:t>.</w:t>
      </w:r>
    </w:p>
    <w:p w14:paraId="2F12E996" w14:textId="77777777" w:rsidR="00DB29C1" w:rsidRPr="00D83239" w:rsidRDefault="00DB29C1" w:rsidP="00D83239">
      <w:pPr>
        <w:pStyle w:val="Odstavekseznama2"/>
        <w:autoSpaceDE w:val="0"/>
        <w:autoSpaceDN w:val="0"/>
        <w:adjustRightInd w:val="0"/>
        <w:spacing w:after="0" w:line="276" w:lineRule="auto"/>
        <w:ind w:left="0"/>
        <w:jc w:val="both"/>
        <w:rPr>
          <w:rFonts w:ascii="Arial" w:hAnsi="Arial" w:cs="Arial"/>
          <w:sz w:val="20"/>
          <w:szCs w:val="20"/>
        </w:rPr>
      </w:pPr>
    </w:p>
    <w:p w14:paraId="0397E6C1" w14:textId="5B8FE15C"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Pri navedenih vajah je </w:t>
      </w:r>
      <w:r w:rsidR="00135E33">
        <w:rPr>
          <w:rFonts w:ascii="Arial" w:hAnsi="Arial" w:cs="Arial"/>
          <w:sz w:val="20"/>
          <w:szCs w:val="20"/>
        </w:rPr>
        <w:t xml:space="preserve">MNZ </w:t>
      </w:r>
      <w:r w:rsidRPr="00D83239">
        <w:rPr>
          <w:rFonts w:ascii="Arial" w:hAnsi="Arial" w:cs="Arial"/>
          <w:sz w:val="20"/>
          <w:szCs w:val="20"/>
        </w:rPr>
        <w:t>sodelovalo pri pripravi in izvedbi vaj ter pripravljalo poročila o poteku vaj s predlogi za izboljšavo.</w:t>
      </w:r>
    </w:p>
    <w:p w14:paraId="757C239F" w14:textId="77777777" w:rsidR="00DB29C1" w:rsidRPr="00D83239" w:rsidRDefault="00DB29C1" w:rsidP="00D83239">
      <w:pPr>
        <w:pStyle w:val="Odstavekseznama2"/>
        <w:autoSpaceDE w:val="0"/>
        <w:autoSpaceDN w:val="0"/>
        <w:adjustRightInd w:val="0"/>
        <w:spacing w:after="0" w:line="276" w:lineRule="auto"/>
        <w:ind w:left="0"/>
        <w:jc w:val="both"/>
        <w:rPr>
          <w:rFonts w:ascii="Arial" w:hAnsi="Arial" w:cs="Arial"/>
          <w:sz w:val="20"/>
          <w:szCs w:val="20"/>
        </w:rPr>
      </w:pPr>
    </w:p>
    <w:p w14:paraId="1BA705E5" w14:textId="61B07869" w:rsidR="00FB58E1" w:rsidRPr="00D83239" w:rsidRDefault="00FB58E1" w:rsidP="00FB58E1">
      <w:pPr>
        <w:pStyle w:val="Odstavekseznama2"/>
        <w:autoSpaceDE w:val="0"/>
        <w:autoSpaceDN w:val="0"/>
        <w:adjustRightInd w:val="0"/>
        <w:spacing w:after="0" w:line="276" w:lineRule="auto"/>
        <w:ind w:left="0"/>
        <w:jc w:val="both"/>
        <w:rPr>
          <w:rFonts w:ascii="Arial" w:hAnsi="Arial" w:cs="Arial"/>
          <w:sz w:val="20"/>
          <w:szCs w:val="20"/>
        </w:rPr>
      </w:pPr>
      <w:r w:rsidRPr="00D83239">
        <w:rPr>
          <w:rFonts w:ascii="Arial" w:hAnsi="Arial" w:cs="Arial"/>
          <w:sz w:val="20"/>
          <w:szCs w:val="20"/>
        </w:rPr>
        <w:t>Na področju</w:t>
      </w:r>
      <w:r w:rsidRPr="00D83239">
        <w:rPr>
          <w:rFonts w:ascii="Arial" w:hAnsi="Arial" w:cs="Arial"/>
          <w:bCs/>
          <w:sz w:val="20"/>
          <w:szCs w:val="20"/>
        </w:rPr>
        <w:t xml:space="preserve"> </w:t>
      </w:r>
      <w:r w:rsidRPr="00D83239">
        <w:rPr>
          <w:rFonts w:ascii="Arial" w:hAnsi="Arial" w:cs="Arial"/>
          <w:b/>
          <w:sz w:val="20"/>
          <w:szCs w:val="20"/>
        </w:rPr>
        <w:t>obrambnega načrtovanja</w:t>
      </w:r>
      <w:r w:rsidRPr="00D83239">
        <w:rPr>
          <w:rFonts w:ascii="Arial" w:hAnsi="Arial" w:cs="Arial"/>
          <w:sz w:val="20"/>
          <w:szCs w:val="20"/>
        </w:rPr>
        <w:t xml:space="preserve"> je bil prenovljen Obrambni načrt </w:t>
      </w:r>
      <w:r w:rsidR="00910F13">
        <w:rPr>
          <w:rFonts w:ascii="Arial" w:hAnsi="Arial" w:cs="Arial"/>
          <w:sz w:val="20"/>
          <w:szCs w:val="20"/>
        </w:rPr>
        <w:t>MNZ</w:t>
      </w:r>
      <w:r w:rsidRPr="00D83239">
        <w:rPr>
          <w:rFonts w:ascii="Arial" w:hAnsi="Arial" w:cs="Arial"/>
          <w:sz w:val="20"/>
          <w:szCs w:val="20"/>
        </w:rPr>
        <w:t xml:space="preserve">. Izvedena je bila priprava vrste dokumentov tako na ravni </w:t>
      </w:r>
      <w:r>
        <w:rPr>
          <w:rFonts w:ascii="Arial" w:hAnsi="Arial" w:cs="Arial"/>
          <w:sz w:val="20"/>
          <w:szCs w:val="20"/>
        </w:rPr>
        <w:t>MNZ</w:t>
      </w:r>
      <w:r w:rsidRPr="00D83239">
        <w:rPr>
          <w:rFonts w:ascii="Arial" w:hAnsi="Arial" w:cs="Arial"/>
          <w:sz w:val="20"/>
          <w:szCs w:val="20"/>
        </w:rPr>
        <w:t xml:space="preserve"> (</w:t>
      </w:r>
      <w:r w:rsidR="00026A89">
        <w:rPr>
          <w:rFonts w:ascii="Arial" w:hAnsi="Arial" w:cs="Arial"/>
          <w:sz w:val="20"/>
          <w:szCs w:val="20"/>
        </w:rPr>
        <w:t>a</w:t>
      </w:r>
      <w:r w:rsidRPr="00D83239">
        <w:rPr>
          <w:rFonts w:ascii="Arial" w:hAnsi="Arial" w:cs="Arial"/>
          <w:sz w:val="20"/>
          <w:szCs w:val="20"/>
        </w:rPr>
        <w:t xml:space="preserve">kcijski načrt MNZ po </w:t>
      </w:r>
      <w:r w:rsidRPr="00773D58">
        <w:rPr>
          <w:rFonts w:ascii="Arial" w:hAnsi="Arial" w:cs="Arial"/>
          <w:sz w:val="20"/>
          <w:szCs w:val="20"/>
        </w:rPr>
        <w:t>vaji Odpornost</w:t>
      </w:r>
      <w:r w:rsidR="00026A89">
        <w:rPr>
          <w:rFonts w:ascii="Arial" w:hAnsi="Arial" w:cs="Arial"/>
          <w:sz w:val="20"/>
          <w:szCs w:val="20"/>
        </w:rPr>
        <w:t> 20</w:t>
      </w:r>
      <w:r w:rsidRPr="00773D58">
        <w:rPr>
          <w:rFonts w:ascii="Arial" w:hAnsi="Arial" w:cs="Arial"/>
          <w:sz w:val="20"/>
          <w:szCs w:val="20"/>
        </w:rPr>
        <w:t xml:space="preserve">24 </w:t>
      </w:r>
      <w:r w:rsidR="00026A89">
        <w:rPr>
          <w:rFonts w:ascii="Arial" w:hAnsi="Arial" w:cs="Arial"/>
          <w:sz w:val="20"/>
          <w:szCs w:val="20"/>
        </w:rPr>
        <w:t>in</w:t>
      </w:r>
      <w:r w:rsidR="00026A89" w:rsidRPr="00773D58">
        <w:rPr>
          <w:rFonts w:ascii="Arial" w:hAnsi="Arial" w:cs="Arial"/>
          <w:sz w:val="20"/>
          <w:szCs w:val="20"/>
        </w:rPr>
        <w:t xml:space="preserve"> </w:t>
      </w:r>
      <w:r w:rsidRPr="00773D58">
        <w:rPr>
          <w:rFonts w:ascii="Arial" w:hAnsi="Arial" w:cs="Arial"/>
          <w:sz w:val="20"/>
          <w:szCs w:val="20"/>
        </w:rPr>
        <w:t xml:space="preserve">poročanje o </w:t>
      </w:r>
      <w:r w:rsidR="00026A89">
        <w:rPr>
          <w:rFonts w:ascii="Arial" w:hAnsi="Arial" w:cs="Arial"/>
          <w:sz w:val="20"/>
          <w:szCs w:val="20"/>
        </w:rPr>
        <w:t>izvedb</w:t>
      </w:r>
      <w:r w:rsidRPr="00773D58">
        <w:rPr>
          <w:rFonts w:ascii="Arial" w:hAnsi="Arial" w:cs="Arial"/>
          <w:sz w:val="20"/>
          <w:szCs w:val="20"/>
        </w:rPr>
        <w:t xml:space="preserve">i) kot </w:t>
      </w:r>
      <w:r w:rsidR="00026A89">
        <w:rPr>
          <w:rFonts w:ascii="Arial" w:hAnsi="Arial" w:cs="Arial"/>
          <w:sz w:val="20"/>
          <w:szCs w:val="20"/>
        </w:rPr>
        <w:t>na držav</w:t>
      </w:r>
      <w:r w:rsidRPr="00773D58">
        <w:rPr>
          <w:rFonts w:ascii="Arial" w:hAnsi="Arial" w:cs="Arial"/>
          <w:sz w:val="20"/>
          <w:szCs w:val="20"/>
        </w:rPr>
        <w:t>ni ravni. MNZ je sodelovalo pri pripravi izračuna in poročanju</w:t>
      </w:r>
      <w:r w:rsidR="00432D2E">
        <w:rPr>
          <w:rFonts w:ascii="Arial" w:hAnsi="Arial" w:cs="Arial"/>
          <w:sz w:val="20"/>
          <w:szCs w:val="20"/>
        </w:rPr>
        <w:t xml:space="preserve"> o</w:t>
      </w:r>
      <w:r w:rsidRPr="00773D58">
        <w:rPr>
          <w:rFonts w:ascii="Arial" w:hAnsi="Arial" w:cs="Arial"/>
          <w:sz w:val="20"/>
          <w:szCs w:val="20"/>
        </w:rPr>
        <w:t xml:space="preserve"> izdatk</w:t>
      </w:r>
      <w:r w:rsidR="00432D2E">
        <w:rPr>
          <w:rFonts w:ascii="Arial" w:hAnsi="Arial" w:cs="Arial"/>
          <w:sz w:val="20"/>
          <w:szCs w:val="20"/>
        </w:rPr>
        <w:t>ih</w:t>
      </w:r>
      <w:r w:rsidRPr="00773D58">
        <w:rPr>
          <w:rFonts w:ascii="Arial" w:hAnsi="Arial" w:cs="Arial"/>
          <w:sz w:val="20"/>
          <w:szCs w:val="20"/>
        </w:rPr>
        <w:t xml:space="preserve"> za obrambo (za potrebe poročanja zvezi N</w:t>
      </w:r>
      <w:r w:rsidR="00026A89">
        <w:rPr>
          <w:rFonts w:ascii="Arial" w:hAnsi="Arial" w:cs="Arial"/>
          <w:sz w:val="20"/>
          <w:szCs w:val="20"/>
        </w:rPr>
        <w:t>ATO</w:t>
      </w:r>
      <w:r w:rsidRPr="00773D58">
        <w:rPr>
          <w:rFonts w:ascii="Arial" w:hAnsi="Arial" w:cs="Arial"/>
          <w:sz w:val="20"/>
          <w:szCs w:val="20"/>
        </w:rPr>
        <w:t xml:space="preserve">), </w:t>
      </w:r>
      <w:r w:rsidR="00026A89">
        <w:rPr>
          <w:rFonts w:ascii="Arial" w:hAnsi="Arial" w:cs="Arial"/>
          <w:sz w:val="20"/>
          <w:szCs w:val="20"/>
        </w:rPr>
        <w:t>pri izvajanju</w:t>
      </w:r>
      <w:r w:rsidRPr="00773D58">
        <w:rPr>
          <w:rFonts w:ascii="Arial" w:hAnsi="Arial" w:cs="Arial"/>
          <w:sz w:val="20"/>
          <w:szCs w:val="20"/>
        </w:rPr>
        <w:t xml:space="preserve"> ukrepov iz Akcijskega</w:t>
      </w:r>
      <w:r w:rsidRPr="00D83239">
        <w:rPr>
          <w:rFonts w:ascii="Arial" w:hAnsi="Arial" w:cs="Arial"/>
          <w:sz w:val="20"/>
          <w:szCs w:val="20"/>
        </w:rPr>
        <w:t xml:space="preserve"> načrta za krepitev odpornosti države in družbe, </w:t>
      </w:r>
      <w:r w:rsidR="00026A89">
        <w:rPr>
          <w:rFonts w:ascii="Arial" w:hAnsi="Arial" w:cs="Arial"/>
          <w:sz w:val="20"/>
          <w:szCs w:val="20"/>
        </w:rPr>
        <w:t xml:space="preserve">pri </w:t>
      </w:r>
      <w:r w:rsidRPr="00D83239">
        <w:rPr>
          <w:rFonts w:ascii="Arial" w:hAnsi="Arial" w:cs="Arial"/>
          <w:sz w:val="20"/>
          <w:szCs w:val="20"/>
        </w:rPr>
        <w:t xml:space="preserve">usklajevanju ukrepov s področja nacionalne odpornosti, pripravi novih nacionalnih ukrepov kriznega odzivanja ter poročalo o stanju na področju civilne pripravljenosti za potrebe bilateralnega srečanja z </w:t>
      </w:r>
      <w:r w:rsidR="00026A89">
        <w:rPr>
          <w:rFonts w:ascii="Arial" w:hAnsi="Arial" w:cs="Arial"/>
          <w:sz w:val="20"/>
          <w:szCs w:val="20"/>
        </w:rPr>
        <w:t xml:space="preserve">zvezo </w:t>
      </w:r>
      <w:r w:rsidRPr="00D83239">
        <w:rPr>
          <w:rFonts w:ascii="Arial" w:hAnsi="Arial" w:cs="Arial"/>
          <w:sz w:val="20"/>
          <w:szCs w:val="20"/>
        </w:rPr>
        <w:t>N</w:t>
      </w:r>
      <w:r w:rsidR="00026A89">
        <w:rPr>
          <w:rFonts w:ascii="Arial" w:hAnsi="Arial" w:cs="Arial"/>
          <w:sz w:val="20"/>
          <w:szCs w:val="20"/>
        </w:rPr>
        <w:t>ATO</w:t>
      </w:r>
      <w:r w:rsidRPr="00D83239">
        <w:rPr>
          <w:rFonts w:ascii="Arial" w:hAnsi="Arial" w:cs="Arial"/>
          <w:sz w:val="20"/>
          <w:szCs w:val="20"/>
        </w:rPr>
        <w:t>.</w:t>
      </w:r>
    </w:p>
    <w:p w14:paraId="6E10D00C" w14:textId="45B8B28F" w:rsidR="00DB29C1" w:rsidRPr="00D83239" w:rsidRDefault="00DB29C1" w:rsidP="00D83239">
      <w:pPr>
        <w:pStyle w:val="Odstavekseznama2"/>
        <w:autoSpaceDE w:val="0"/>
        <w:autoSpaceDN w:val="0"/>
        <w:adjustRightInd w:val="0"/>
        <w:spacing w:after="0" w:line="276" w:lineRule="auto"/>
        <w:ind w:left="0"/>
        <w:jc w:val="both"/>
        <w:rPr>
          <w:rFonts w:ascii="Arial" w:hAnsi="Arial" w:cs="Arial"/>
          <w:sz w:val="20"/>
          <w:szCs w:val="20"/>
        </w:rPr>
      </w:pPr>
    </w:p>
    <w:p w14:paraId="160A4C74" w14:textId="4DDF1DDF"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t>M</w:t>
      </w:r>
      <w:r w:rsidR="00813DA7">
        <w:rPr>
          <w:rFonts w:ascii="Arial" w:hAnsi="Arial" w:cs="Arial"/>
          <w:sz w:val="20"/>
          <w:szCs w:val="20"/>
        </w:rPr>
        <w:t xml:space="preserve">NZ </w:t>
      </w:r>
      <w:r w:rsidR="00026A89">
        <w:rPr>
          <w:rFonts w:ascii="Arial" w:hAnsi="Arial" w:cs="Arial"/>
          <w:sz w:val="20"/>
          <w:szCs w:val="20"/>
        </w:rPr>
        <w:t xml:space="preserve">se </w:t>
      </w:r>
      <w:r w:rsidRPr="00D83239">
        <w:rPr>
          <w:rFonts w:ascii="Arial" w:hAnsi="Arial" w:cs="Arial"/>
          <w:sz w:val="20"/>
          <w:szCs w:val="20"/>
        </w:rPr>
        <w:t xml:space="preserve">je </w:t>
      </w:r>
      <w:r w:rsidR="00026A89">
        <w:rPr>
          <w:rFonts w:ascii="Arial" w:hAnsi="Arial" w:cs="Arial"/>
          <w:sz w:val="20"/>
          <w:szCs w:val="20"/>
        </w:rPr>
        <w:t xml:space="preserve">tudi </w:t>
      </w:r>
      <w:r w:rsidRPr="00D83239">
        <w:rPr>
          <w:rFonts w:ascii="Arial" w:hAnsi="Arial" w:cs="Arial"/>
          <w:sz w:val="20"/>
          <w:szCs w:val="20"/>
        </w:rPr>
        <w:t>leta 2025 udelež</w:t>
      </w:r>
      <w:r w:rsidR="00026A89">
        <w:rPr>
          <w:rFonts w:ascii="Arial" w:hAnsi="Arial" w:cs="Arial"/>
          <w:sz w:val="20"/>
          <w:szCs w:val="20"/>
        </w:rPr>
        <w:t>eval</w:t>
      </w:r>
      <w:r w:rsidRPr="00D83239">
        <w:rPr>
          <w:rFonts w:ascii="Arial" w:hAnsi="Arial" w:cs="Arial"/>
          <w:sz w:val="20"/>
          <w:szCs w:val="20"/>
        </w:rPr>
        <w:t xml:space="preserve">o sej </w:t>
      </w:r>
      <w:r w:rsidR="005D2EB5">
        <w:rPr>
          <w:rFonts w:ascii="Arial" w:hAnsi="Arial" w:cs="Arial"/>
          <w:sz w:val="20"/>
          <w:szCs w:val="20"/>
        </w:rPr>
        <w:t>s</w:t>
      </w:r>
      <w:r w:rsidRPr="00D83239">
        <w:rPr>
          <w:rFonts w:ascii="Arial" w:hAnsi="Arial" w:cs="Arial"/>
          <w:sz w:val="20"/>
          <w:szCs w:val="20"/>
        </w:rPr>
        <w:t xml:space="preserve">talne medresorske koordinacijske skupine za spremljanje in usmerjanje </w:t>
      </w:r>
      <w:r w:rsidR="00432D2E">
        <w:rPr>
          <w:rFonts w:ascii="Arial" w:hAnsi="Arial" w:cs="Arial"/>
          <w:sz w:val="20"/>
          <w:szCs w:val="20"/>
        </w:rPr>
        <w:t>izvajanja</w:t>
      </w:r>
      <w:r w:rsidR="00432D2E" w:rsidRPr="00D83239">
        <w:rPr>
          <w:rFonts w:ascii="Arial" w:hAnsi="Arial" w:cs="Arial"/>
          <w:sz w:val="20"/>
          <w:szCs w:val="20"/>
        </w:rPr>
        <w:t xml:space="preserve"> </w:t>
      </w:r>
      <w:r w:rsidRPr="00D83239">
        <w:rPr>
          <w:rFonts w:ascii="Arial" w:hAnsi="Arial" w:cs="Arial"/>
          <w:sz w:val="20"/>
          <w:szCs w:val="20"/>
        </w:rPr>
        <w:t xml:space="preserve">ukrepov na področju </w:t>
      </w:r>
      <w:r w:rsidRPr="00D83239">
        <w:rPr>
          <w:rFonts w:ascii="Arial" w:hAnsi="Arial" w:cs="Arial"/>
          <w:b/>
          <w:sz w:val="20"/>
          <w:szCs w:val="20"/>
        </w:rPr>
        <w:t>vojaške mobilnosti</w:t>
      </w:r>
      <w:r w:rsidRPr="00D83239">
        <w:rPr>
          <w:rFonts w:ascii="Arial" w:hAnsi="Arial" w:cs="Arial"/>
          <w:sz w:val="20"/>
          <w:szCs w:val="20"/>
        </w:rPr>
        <w:t xml:space="preserve"> in </w:t>
      </w:r>
      <w:r w:rsidR="00026A89">
        <w:rPr>
          <w:rFonts w:ascii="Arial" w:hAnsi="Arial" w:cs="Arial"/>
          <w:sz w:val="20"/>
          <w:szCs w:val="20"/>
        </w:rPr>
        <w:t>sodeloval</w:t>
      </w:r>
      <w:r w:rsidR="00432D2E">
        <w:rPr>
          <w:rFonts w:ascii="Arial" w:hAnsi="Arial" w:cs="Arial"/>
          <w:sz w:val="20"/>
          <w:szCs w:val="20"/>
        </w:rPr>
        <w:t>o</w:t>
      </w:r>
      <w:r w:rsidR="00026A89">
        <w:rPr>
          <w:rFonts w:ascii="Arial" w:hAnsi="Arial" w:cs="Arial"/>
          <w:sz w:val="20"/>
          <w:szCs w:val="20"/>
        </w:rPr>
        <w:t xml:space="preserve"> </w:t>
      </w:r>
      <w:r w:rsidRPr="00D83239">
        <w:rPr>
          <w:rFonts w:ascii="Arial" w:hAnsi="Arial" w:cs="Arial"/>
          <w:sz w:val="20"/>
          <w:szCs w:val="20"/>
        </w:rPr>
        <w:t xml:space="preserve">pri pripravi </w:t>
      </w:r>
      <w:r w:rsidR="00026A89">
        <w:rPr>
          <w:rFonts w:ascii="Arial" w:hAnsi="Arial" w:cs="Arial"/>
          <w:sz w:val="20"/>
          <w:szCs w:val="20"/>
        </w:rPr>
        <w:t>na izvajanj</w:t>
      </w:r>
      <w:r w:rsidR="00026A89" w:rsidRPr="00D83239">
        <w:rPr>
          <w:rFonts w:ascii="Arial" w:hAnsi="Arial" w:cs="Arial"/>
          <w:sz w:val="20"/>
          <w:szCs w:val="20"/>
        </w:rPr>
        <w:t xml:space="preserve">e </w:t>
      </w:r>
      <w:r w:rsidR="00432D2E">
        <w:rPr>
          <w:rFonts w:ascii="Arial" w:hAnsi="Arial" w:cs="Arial"/>
          <w:sz w:val="20"/>
          <w:szCs w:val="20"/>
        </w:rPr>
        <w:t>n</w:t>
      </w:r>
      <w:r w:rsidRPr="00D83239">
        <w:rPr>
          <w:rFonts w:ascii="Arial" w:hAnsi="Arial" w:cs="Arial"/>
          <w:sz w:val="20"/>
          <w:szCs w:val="20"/>
        </w:rPr>
        <w:t xml:space="preserve">ačrta vojaške mobilnosti v Republiki Sloveniji za </w:t>
      </w:r>
      <w:r w:rsidR="00432D2E">
        <w:rPr>
          <w:rFonts w:ascii="Arial" w:hAnsi="Arial" w:cs="Arial"/>
          <w:sz w:val="20"/>
          <w:szCs w:val="20"/>
        </w:rPr>
        <w:t xml:space="preserve">obdobje </w:t>
      </w:r>
      <w:r w:rsidRPr="00D83239">
        <w:rPr>
          <w:rFonts w:ascii="Arial" w:hAnsi="Arial" w:cs="Arial"/>
          <w:sz w:val="20"/>
          <w:szCs w:val="20"/>
        </w:rPr>
        <w:t>2021–2025. Poleg navedenega je potekalo aktivno sodelovanje pri oblikovanju rešitev za spremembo zakonskih in podzakonskih aktov ter oblikovanju strategij s področja obrambe in civilne zaščite (Srednjeročni obrambni p</w:t>
      </w:r>
      <w:r w:rsidR="00FB58E1">
        <w:rPr>
          <w:rFonts w:ascii="Arial" w:hAnsi="Arial" w:cs="Arial"/>
          <w:sz w:val="20"/>
          <w:szCs w:val="20"/>
        </w:rPr>
        <w:t>rogram Republike Slovenije 2026</w:t>
      </w:r>
      <w:r w:rsidR="00E91DA5">
        <w:rPr>
          <w:rFonts w:ascii="Arial" w:hAnsi="Arial" w:cs="Arial"/>
          <w:sz w:val="20"/>
          <w:szCs w:val="20"/>
        </w:rPr>
        <w:t>–</w:t>
      </w:r>
      <w:r w:rsidRPr="00D83239">
        <w:rPr>
          <w:rFonts w:ascii="Arial" w:hAnsi="Arial" w:cs="Arial"/>
          <w:sz w:val="20"/>
          <w:szCs w:val="20"/>
        </w:rPr>
        <w:t xml:space="preserve">2031, Strategija odpornosti Republike Slovenije, Strategija odpornosti kritičnih subjektov, Uredba o spremembah in dopolnitvah Uredbe o graditvi in vzdrževanju zaklonišč, Uredba o spremembah in dopolnitvah Uredbe o kriterijih za razporejanje državljanov, </w:t>
      </w:r>
      <w:r w:rsidR="00E91DA5">
        <w:rPr>
          <w:rFonts w:ascii="Arial" w:hAnsi="Arial" w:cs="Arial"/>
          <w:sz w:val="20"/>
          <w:szCs w:val="20"/>
        </w:rPr>
        <w:t>p</w:t>
      </w:r>
      <w:r w:rsidRPr="00D83239">
        <w:rPr>
          <w:rFonts w:ascii="Arial" w:hAnsi="Arial" w:cs="Arial"/>
          <w:sz w:val="20"/>
          <w:szCs w:val="20"/>
        </w:rPr>
        <w:t>redlog Uredbe o mehanizmu Unije na področju civilne zaščite in podpori Unije za pripravljenost in odziv na izredne zdravstvene razmere idr.)</w:t>
      </w:r>
      <w:r w:rsidR="00E91DA5">
        <w:rPr>
          <w:rFonts w:ascii="Arial" w:hAnsi="Arial" w:cs="Arial"/>
          <w:sz w:val="20"/>
          <w:szCs w:val="20"/>
        </w:rPr>
        <w:t>.</w:t>
      </w:r>
      <w:r w:rsidRPr="00D83239">
        <w:rPr>
          <w:rFonts w:ascii="Arial" w:hAnsi="Arial" w:cs="Arial"/>
          <w:sz w:val="20"/>
          <w:szCs w:val="20"/>
        </w:rPr>
        <w:t xml:space="preserve"> M</w:t>
      </w:r>
      <w:r w:rsidR="00813DA7">
        <w:rPr>
          <w:rFonts w:ascii="Arial" w:hAnsi="Arial" w:cs="Arial"/>
          <w:sz w:val="20"/>
          <w:szCs w:val="20"/>
        </w:rPr>
        <w:t>NZ</w:t>
      </w:r>
      <w:r w:rsidRPr="00D83239">
        <w:rPr>
          <w:rFonts w:ascii="Arial" w:hAnsi="Arial" w:cs="Arial"/>
          <w:sz w:val="20"/>
          <w:szCs w:val="20"/>
        </w:rPr>
        <w:t xml:space="preserve"> je aktivno sodelovalo pri delu </w:t>
      </w:r>
      <w:r w:rsidR="005D2EB5">
        <w:rPr>
          <w:rFonts w:ascii="Arial" w:hAnsi="Arial" w:cs="Arial"/>
          <w:sz w:val="20"/>
          <w:szCs w:val="20"/>
        </w:rPr>
        <w:t>d</w:t>
      </w:r>
      <w:r w:rsidR="00813DA7">
        <w:rPr>
          <w:rFonts w:ascii="Arial" w:hAnsi="Arial" w:cs="Arial"/>
          <w:sz w:val="20"/>
          <w:szCs w:val="20"/>
        </w:rPr>
        <w:t>elovne skupine</w:t>
      </w:r>
      <w:r w:rsidRPr="00D83239">
        <w:rPr>
          <w:rFonts w:ascii="Arial" w:hAnsi="Arial" w:cs="Arial"/>
          <w:sz w:val="20"/>
          <w:szCs w:val="20"/>
        </w:rPr>
        <w:t xml:space="preserve"> za vesolje ter </w:t>
      </w:r>
      <w:r w:rsidR="00E91DA5">
        <w:rPr>
          <w:rFonts w:ascii="Arial" w:hAnsi="Arial" w:cs="Arial"/>
          <w:sz w:val="20"/>
          <w:szCs w:val="20"/>
        </w:rPr>
        <w:t>n</w:t>
      </w:r>
      <w:r w:rsidRPr="00D83239">
        <w:rPr>
          <w:rFonts w:ascii="Arial" w:hAnsi="Arial" w:cs="Arial"/>
          <w:sz w:val="20"/>
          <w:szCs w:val="20"/>
        </w:rPr>
        <w:t>a področj</w:t>
      </w:r>
      <w:r w:rsidR="00432D2E">
        <w:rPr>
          <w:rFonts w:ascii="Arial" w:hAnsi="Arial" w:cs="Arial"/>
          <w:sz w:val="20"/>
          <w:szCs w:val="20"/>
        </w:rPr>
        <w:t>u</w:t>
      </w:r>
      <w:r w:rsidRPr="00D83239">
        <w:rPr>
          <w:rFonts w:ascii="Arial" w:hAnsi="Arial" w:cs="Arial"/>
          <w:sz w:val="20"/>
          <w:szCs w:val="20"/>
        </w:rPr>
        <w:t xml:space="preserve"> </w:t>
      </w:r>
      <w:proofErr w:type="spellStart"/>
      <w:r w:rsidRPr="00D83239">
        <w:rPr>
          <w:rFonts w:ascii="Arial" w:hAnsi="Arial" w:cs="Arial"/>
          <w:sz w:val="20"/>
          <w:szCs w:val="20"/>
        </w:rPr>
        <w:t>dronske</w:t>
      </w:r>
      <w:proofErr w:type="spellEnd"/>
      <w:r w:rsidRPr="00D83239">
        <w:rPr>
          <w:rFonts w:ascii="Arial" w:hAnsi="Arial" w:cs="Arial"/>
          <w:sz w:val="20"/>
          <w:szCs w:val="20"/>
        </w:rPr>
        <w:t xml:space="preserve"> problematike. Predstavnica </w:t>
      </w:r>
      <w:r w:rsidR="00813DA7">
        <w:rPr>
          <w:rFonts w:ascii="Arial" w:hAnsi="Arial" w:cs="Arial"/>
          <w:sz w:val="20"/>
          <w:szCs w:val="20"/>
        </w:rPr>
        <w:t>MNZ</w:t>
      </w:r>
      <w:r w:rsidRPr="00D83239">
        <w:rPr>
          <w:rFonts w:ascii="Arial" w:hAnsi="Arial" w:cs="Arial"/>
          <w:sz w:val="20"/>
          <w:szCs w:val="20"/>
        </w:rPr>
        <w:t xml:space="preserve"> je </w:t>
      </w:r>
      <w:r w:rsidR="00813DA7">
        <w:rPr>
          <w:rFonts w:ascii="Arial" w:hAnsi="Arial" w:cs="Arial"/>
          <w:sz w:val="20"/>
          <w:szCs w:val="20"/>
        </w:rPr>
        <w:t>b</w:t>
      </w:r>
      <w:r w:rsidRPr="00D83239">
        <w:rPr>
          <w:rFonts w:ascii="Arial" w:hAnsi="Arial" w:cs="Arial"/>
          <w:sz w:val="20"/>
          <w:szCs w:val="20"/>
        </w:rPr>
        <w:t>ila vključena v delo in odločanje dveh strokovnih skupin za pregled neposredne tuje naložbe v ciljno družbo skladno z 31.č členom Zakona o spodbujanju investicij (</w:t>
      </w:r>
      <w:proofErr w:type="spellStart"/>
      <w:r w:rsidRPr="00D83239">
        <w:rPr>
          <w:rFonts w:ascii="Arial" w:hAnsi="Arial" w:cs="Arial"/>
          <w:sz w:val="20"/>
          <w:szCs w:val="20"/>
        </w:rPr>
        <w:t>ZSinv</w:t>
      </w:r>
      <w:proofErr w:type="spellEnd"/>
      <w:r w:rsidRPr="00D83239">
        <w:rPr>
          <w:rFonts w:ascii="Arial" w:hAnsi="Arial" w:cs="Arial"/>
          <w:sz w:val="20"/>
          <w:szCs w:val="20"/>
        </w:rPr>
        <w:t>).</w:t>
      </w:r>
    </w:p>
    <w:p w14:paraId="2423CDCB" w14:textId="77777777" w:rsidR="00DB29C1" w:rsidRPr="00D83239" w:rsidRDefault="00DB29C1" w:rsidP="00D83239">
      <w:pPr>
        <w:spacing w:after="0" w:line="276" w:lineRule="auto"/>
        <w:jc w:val="both"/>
        <w:rPr>
          <w:rFonts w:ascii="Arial" w:hAnsi="Arial" w:cs="Arial"/>
          <w:sz w:val="20"/>
          <w:szCs w:val="20"/>
        </w:rPr>
      </w:pPr>
    </w:p>
    <w:p w14:paraId="0C9A9B72" w14:textId="0F714133"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Na področju </w:t>
      </w:r>
      <w:r w:rsidRPr="00D83239">
        <w:rPr>
          <w:rFonts w:ascii="Arial" w:hAnsi="Arial" w:cs="Arial"/>
          <w:b/>
          <w:sz w:val="20"/>
          <w:szCs w:val="20"/>
        </w:rPr>
        <w:t>razporejanja na obrambne in druge dolžnosti</w:t>
      </w:r>
      <w:r w:rsidRPr="00D83239">
        <w:rPr>
          <w:rFonts w:ascii="Arial" w:hAnsi="Arial" w:cs="Arial"/>
          <w:sz w:val="20"/>
          <w:szCs w:val="20"/>
        </w:rPr>
        <w:t xml:space="preserve"> ter obveščanja o razporejenosti posameznikov so bile opravljene vse načrtovane naloge ter izvedeni ukrepi za kompromisno rešitev nekaterih </w:t>
      </w:r>
      <w:r w:rsidR="00E91DA5">
        <w:rPr>
          <w:rFonts w:ascii="Arial" w:hAnsi="Arial" w:cs="Arial"/>
          <w:sz w:val="20"/>
          <w:szCs w:val="20"/>
        </w:rPr>
        <w:t>teža</w:t>
      </w:r>
      <w:r w:rsidRPr="00D83239">
        <w:rPr>
          <w:rFonts w:ascii="Arial" w:hAnsi="Arial" w:cs="Arial"/>
          <w:sz w:val="20"/>
          <w:szCs w:val="20"/>
        </w:rPr>
        <w:t xml:space="preserve">v, predvsem glede razporejanja zaposlenih v MNZ v pogodbeno rezervo Slovenske vojske. Ob koncu leta 2025 je bilo skladno z zakonodajo na delovno dolžnost razporejenih 7.876 (leta 2024 8.069, leta 2023 8.217 in leta 2022 8.484) uslužbencev MNZ, Policije in IRSNZ, kar </w:t>
      </w:r>
      <w:r w:rsidR="00E91DA5">
        <w:rPr>
          <w:rFonts w:ascii="Arial" w:hAnsi="Arial" w:cs="Arial"/>
          <w:sz w:val="20"/>
          <w:szCs w:val="20"/>
        </w:rPr>
        <w:t xml:space="preserve">je </w:t>
      </w:r>
      <w:r w:rsidRPr="00D83239">
        <w:rPr>
          <w:rFonts w:ascii="Arial" w:hAnsi="Arial" w:cs="Arial"/>
          <w:sz w:val="20"/>
          <w:szCs w:val="20"/>
        </w:rPr>
        <w:t>91,89</w:t>
      </w:r>
      <w:r w:rsidR="00E91DA5">
        <w:rPr>
          <w:rFonts w:ascii="Arial" w:hAnsi="Arial" w:cs="Arial"/>
          <w:sz w:val="20"/>
          <w:szCs w:val="20"/>
        </w:rPr>
        <w:t> </w:t>
      </w:r>
      <w:r w:rsidRPr="00D83239">
        <w:rPr>
          <w:rFonts w:ascii="Arial" w:hAnsi="Arial" w:cs="Arial"/>
          <w:sz w:val="20"/>
          <w:szCs w:val="20"/>
        </w:rPr>
        <w:t>% (leta 2024 92,97</w:t>
      </w:r>
      <w:r w:rsidR="00813DA7">
        <w:rPr>
          <w:rFonts w:ascii="Arial" w:hAnsi="Arial" w:cs="Arial"/>
          <w:sz w:val="20"/>
          <w:szCs w:val="20"/>
        </w:rPr>
        <w:t xml:space="preserve"> </w:t>
      </w:r>
      <w:r w:rsidRPr="00D83239">
        <w:rPr>
          <w:rFonts w:ascii="Arial" w:hAnsi="Arial" w:cs="Arial"/>
          <w:sz w:val="20"/>
          <w:szCs w:val="20"/>
        </w:rPr>
        <w:t>%, leta 2023 92,89</w:t>
      </w:r>
      <w:r w:rsidR="00813DA7">
        <w:rPr>
          <w:rFonts w:ascii="Arial" w:hAnsi="Arial" w:cs="Arial"/>
          <w:sz w:val="20"/>
          <w:szCs w:val="20"/>
        </w:rPr>
        <w:t xml:space="preserve"> </w:t>
      </w:r>
      <w:r w:rsidRPr="00D83239">
        <w:rPr>
          <w:rFonts w:ascii="Arial" w:hAnsi="Arial" w:cs="Arial"/>
          <w:sz w:val="20"/>
          <w:szCs w:val="20"/>
        </w:rPr>
        <w:t>% in 2022 93,46</w:t>
      </w:r>
      <w:r w:rsidR="00813DA7">
        <w:rPr>
          <w:rFonts w:ascii="Arial" w:hAnsi="Arial" w:cs="Arial"/>
          <w:sz w:val="20"/>
          <w:szCs w:val="20"/>
        </w:rPr>
        <w:t xml:space="preserve"> </w:t>
      </w:r>
      <w:r w:rsidRPr="00D83239">
        <w:rPr>
          <w:rFonts w:ascii="Arial" w:hAnsi="Arial" w:cs="Arial"/>
          <w:sz w:val="20"/>
          <w:szCs w:val="20"/>
        </w:rPr>
        <w:t xml:space="preserve">%) vseh zaposlenih v </w:t>
      </w:r>
      <w:r w:rsidR="00813DA7">
        <w:rPr>
          <w:rFonts w:ascii="Arial" w:hAnsi="Arial" w:cs="Arial"/>
          <w:sz w:val="20"/>
          <w:szCs w:val="20"/>
        </w:rPr>
        <w:t>MNZ</w:t>
      </w:r>
      <w:r w:rsidRPr="00D83239">
        <w:rPr>
          <w:rFonts w:ascii="Arial" w:hAnsi="Arial" w:cs="Arial"/>
          <w:sz w:val="20"/>
          <w:szCs w:val="20"/>
        </w:rPr>
        <w:t xml:space="preserve"> in obeh organih v sestavi. Na delovno dolžnost se skladno z zakonodajo s področja obrambe razporejajo uslužbenci </w:t>
      </w:r>
      <w:r w:rsidR="00813DA7">
        <w:rPr>
          <w:rFonts w:ascii="Arial" w:hAnsi="Arial" w:cs="Arial"/>
          <w:sz w:val="20"/>
          <w:szCs w:val="20"/>
        </w:rPr>
        <w:t>MNZ</w:t>
      </w:r>
      <w:r w:rsidRPr="00D83239">
        <w:rPr>
          <w:rFonts w:ascii="Arial" w:hAnsi="Arial" w:cs="Arial"/>
          <w:sz w:val="20"/>
          <w:szCs w:val="20"/>
        </w:rPr>
        <w:t xml:space="preserve">, ki so stari od 18 do 63 let (moški) oziroma do 55 let (ženske) in so zdravstveno sposobni za delo. V MNZ je bilo leta 2025 zaposlenih 157 uslužbencev (kar </w:t>
      </w:r>
      <w:r w:rsidR="00E91DA5">
        <w:rPr>
          <w:rFonts w:ascii="Arial" w:hAnsi="Arial" w:cs="Arial"/>
          <w:sz w:val="20"/>
          <w:szCs w:val="20"/>
        </w:rPr>
        <w:t>je</w:t>
      </w:r>
      <w:r w:rsidR="00E91DA5" w:rsidRPr="00D83239">
        <w:rPr>
          <w:rFonts w:ascii="Arial" w:hAnsi="Arial" w:cs="Arial"/>
          <w:sz w:val="20"/>
          <w:szCs w:val="20"/>
        </w:rPr>
        <w:t xml:space="preserve"> </w:t>
      </w:r>
      <w:r w:rsidRPr="00D83239">
        <w:rPr>
          <w:rFonts w:ascii="Arial" w:hAnsi="Arial" w:cs="Arial"/>
          <w:sz w:val="20"/>
          <w:szCs w:val="20"/>
        </w:rPr>
        <w:t>25</w:t>
      </w:r>
      <w:r w:rsidR="00813DA7">
        <w:rPr>
          <w:rFonts w:ascii="Arial" w:hAnsi="Arial" w:cs="Arial"/>
          <w:sz w:val="20"/>
          <w:szCs w:val="20"/>
        </w:rPr>
        <w:t xml:space="preserve"> </w:t>
      </w:r>
      <w:r w:rsidRPr="00D83239">
        <w:rPr>
          <w:rFonts w:ascii="Arial" w:hAnsi="Arial" w:cs="Arial"/>
          <w:sz w:val="20"/>
          <w:szCs w:val="20"/>
        </w:rPr>
        <w:t>%</w:t>
      </w:r>
      <w:r w:rsidR="00E91DA5">
        <w:rPr>
          <w:rFonts w:ascii="Arial" w:hAnsi="Arial" w:cs="Arial"/>
          <w:sz w:val="20"/>
          <w:szCs w:val="20"/>
        </w:rPr>
        <w:t>;</w:t>
      </w:r>
      <w:r w:rsidRPr="00D83239">
        <w:rPr>
          <w:rFonts w:ascii="Arial" w:hAnsi="Arial" w:cs="Arial"/>
          <w:sz w:val="20"/>
          <w:szCs w:val="20"/>
        </w:rPr>
        <w:t xml:space="preserve"> leta 2024 20,13</w:t>
      </w:r>
      <w:r w:rsidR="00813DA7">
        <w:rPr>
          <w:rFonts w:ascii="Arial" w:hAnsi="Arial" w:cs="Arial"/>
          <w:sz w:val="20"/>
          <w:szCs w:val="20"/>
        </w:rPr>
        <w:t xml:space="preserve"> </w:t>
      </w:r>
      <w:r w:rsidRPr="00D83239">
        <w:rPr>
          <w:rFonts w:ascii="Arial" w:hAnsi="Arial" w:cs="Arial"/>
          <w:sz w:val="20"/>
          <w:szCs w:val="20"/>
        </w:rPr>
        <w:t xml:space="preserve">%), v Policiji 470 uslužbencev (kar </w:t>
      </w:r>
      <w:r w:rsidR="00E91DA5">
        <w:rPr>
          <w:rFonts w:ascii="Arial" w:hAnsi="Arial" w:cs="Arial"/>
          <w:sz w:val="20"/>
          <w:szCs w:val="20"/>
        </w:rPr>
        <w:t>je</w:t>
      </w:r>
      <w:r w:rsidR="00E91DA5" w:rsidRPr="00D83239">
        <w:rPr>
          <w:rFonts w:ascii="Arial" w:hAnsi="Arial" w:cs="Arial"/>
          <w:sz w:val="20"/>
          <w:szCs w:val="20"/>
        </w:rPr>
        <w:t xml:space="preserve"> </w:t>
      </w:r>
      <w:r w:rsidRPr="00D83239">
        <w:rPr>
          <w:rFonts w:ascii="Arial" w:hAnsi="Arial" w:cs="Arial"/>
          <w:sz w:val="20"/>
          <w:szCs w:val="20"/>
        </w:rPr>
        <w:t>5,93</w:t>
      </w:r>
      <w:r w:rsidR="00813DA7">
        <w:rPr>
          <w:rFonts w:ascii="Arial" w:hAnsi="Arial" w:cs="Arial"/>
          <w:sz w:val="20"/>
          <w:szCs w:val="20"/>
        </w:rPr>
        <w:t xml:space="preserve"> </w:t>
      </w:r>
      <w:r w:rsidRPr="00D83239">
        <w:rPr>
          <w:rFonts w:ascii="Arial" w:hAnsi="Arial" w:cs="Arial"/>
          <w:sz w:val="20"/>
          <w:szCs w:val="20"/>
        </w:rPr>
        <w:t>%</w:t>
      </w:r>
      <w:r w:rsidR="00E91DA5">
        <w:rPr>
          <w:rFonts w:ascii="Arial" w:hAnsi="Arial" w:cs="Arial"/>
          <w:sz w:val="20"/>
          <w:szCs w:val="20"/>
        </w:rPr>
        <w:t>;</w:t>
      </w:r>
      <w:r w:rsidRPr="00D83239">
        <w:rPr>
          <w:rFonts w:ascii="Arial" w:hAnsi="Arial" w:cs="Arial"/>
          <w:sz w:val="20"/>
          <w:szCs w:val="20"/>
        </w:rPr>
        <w:t xml:space="preserve"> leta 2024 4,51</w:t>
      </w:r>
      <w:r w:rsidR="00813DA7">
        <w:rPr>
          <w:rFonts w:ascii="Arial" w:hAnsi="Arial" w:cs="Arial"/>
          <w:sz w:val="20"/>
          <w:szCs w:val="20"/>
        </w:rPr>
        <w:t xml:space="preserve"> </w:t>
      </w:r>
      <w:r w:rsidRPr="00D83239">
        <w:rPr>
          <w:rFonts w:ascii="Arial" w:hAnsi="Arial" w:cs="Arial"/>
          <w:sz w:val="20"/>
          <w:szCs w:val="20"/>
        </w:rPr>
        <w:t>%) in v IRSNZ 3 uslužbenci (15</w:t>
      </w:r>
      <w:r w:rsidR="00813DA7">
        <w:rPr>
          <w:rFonts w:ascii="Arial" w:hAnsi="Arial" w:cs="Arial"/>
          <w:sz w:val="20"/>
          <w:szCs w:val="20"/>
        </w:rPr>
        <w:t xml:space="preserve"> </w:t>
      </w:r>
      <w:r w:rsidRPr="00D83239">
        <w:rPr>
          <w:rFonts w:ascii="Arial" w:hAnsi="Arial" w:cs="Arial"/>
          <w:sz w:val="20"/>
          <w:szCs w:val="20"/>
        </w:rPr>
        <w:t xml:space="preserve">%), ki zaradi starostnih </w:t>
      </w:r>
      <w:r w:rsidR="00E91DA5">
        <w:rPr>
          <w:rFonts w:ascii="Arial" w:hAnsi="Arial" w:cs="Arial"/>
          <w:sz w:val="20"/>
          <w:szCs w:val="20"/>
        </w:rPr>
        <w:t>meril</w:t>
      </w:r>
      <w:r w:rsidR="00E91DA5" w:rsidRPr="00D83239">
        <w:rPr>
          <w:rFonts w:ascii="Arial" w:hAnsi="Arial" w:cs="Arial"/>
          <w:sz w:val="20"/>
          <w:szCs w:val="20"/>
        </w:rPr>
        <w:t xml:space="preserve"> </w:t>
      </w:r>
      <w:r w:rsidRPr="00D83239">
        <w:rPr>
          <w:rFonts w:ascii="Arial" w:hAnsi="Arial" w:cs="Arial"/>
          <w:sz w:val="20"/>
          <w:szCs w:val="20"/>
        </w:rPr>
        <w:t>niso bili več razporejeni na delovno dolžnost.</w:t>
      </w:r>
    </w:p>
    <w:p w14:paraId="12F2EFEE" w14:textId="34CAD248"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Nadaljevalo se je delo na </w:t>
      </w:r>
      <w:r w:rsidRPr="00D83239">
        <w:rPr>
          <w:rFonts w:ascii="Arial" w:hAnsi="Arial" w:cs="Arial"/>
          <w:b/>
          <w:sz w:val="20"/>
          <w:szCs w:val="20"/>
        </w:rPr>
        <w:t>področju vojnih veteranov</w:t>
      </w:r>
      <w:r w:rsidRPr="00D83239">
        <w:rPr>
          <w:rFonts w:ascii="Arial" w:hAnsi="Arial" w:cs="Arial"/>
          <w:sz w:val="20"/>
          <w:szCs w:val="20"/>
        </w:rPr>
        <w:t xml:space="preserve"> – obravnavani so bili zahtevki za izdajo potrdil in mnenj o opravljanju dolžnosti pri obrambi Republike Slovenije v letih 1990 in 1991. Zahtevkov in mnenj je bilo nekoliko manj kot v preteklih letih.</w:t>
      </w:r>
    </w:p>
    <w:p w14:paraId="0CEB3570" w14:textId="77777777" w:rsidR="00DB29C1" w:rsidRPr="00D83239" w:rsidRDefault="00DB29C1" w:rsidP="00D83239">
      <w:pPr>
        <w:spacing w:after="0" w:line="276" w:lineRule="auto"/>
        <w:jc w:val="both"/>
        <w:rPr>
          <w:rFonts w:ascii="Arial" w:hAnsi="Arial" w:cs="Arial"/>
          <w:sz w:val="20"/>
          <w:szCs w:val="20"/>
        </w:rPr>
      </w:pPr>
    </w:p>
    <w:p w14:paraId="366DB11A" w14:textId="46310257"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V letu 2025 je neprekinjeno potekalo tudi delo v </w:t>
      </w:r>
      <w:r w:rsidRPr="00D83239">
        <w:rPr>
          <w:rFonts w:ascii="Arial" w:hAnsi="Arial" w:cs="Arial"/>
          <w:b/>
          <w:sz w:val="20"/>
          <w:szCs w:val="20"/>
        </w:rPr>
        <w:t>Komisiji za nadzor izvoza blaga za dvojno rabo</w:t>
      </w:r>
      <w:r w:rsidRPr="00D83239">
        <w:rPr>
          <w:rFonts w:ascii="Arial" w:hAnsi="Arial" w:cs="Arial"/>
          <w:sz w:val="20"/>
          <w:szCs w:val="20"/>
        </w:rPr>
        <w:t>, kjer je bilo število zahtevkov manjše kot preteklo leto (leta 2025 183; leta 2024 184; leta 2023 232</w:t>
      </w:r>
      <w:r w:rsidR="00E91DA5">
        <w:rPr>
          <w:rFonts w:ascii="Arial" w:hAnsi="Arial" w:cs="Arial"/>
          <w:sz w:val="20"/>
          <w:szCs w:val="20"/>
        </w:rPr>
        <w:t xml:space="preserve"> in</w:t>
      </w:r>
      <w:r w:rsidRPr="00D83239">
        <w:rPr>
          <w:rFonts w:ascii="Arial" w:hAnsi="Arial" w:cs="Arial"/>
          <w:sz w:val="20"/>
          <w:szCs w:val="20"/>
        </w:rPr>
        <w:t xml:space="preserve"> leta 2022 229), kar lahko pripi</w:t>
      </w:r>
      <w:r w:rsidR="00E91DA5">
        <w:rPr>
          <w:rFonts w:ascii="Arial" w:hAnsi="Arial" w:cs="Arial"/>
          <w:sz w:val="20"/>
          <w:szCs w:val="20"/>
        </w:rPr>
        <w:t>š</w:t>
      </w:r>
      <w:r w:rsidRPr="00D83239">
        <w:rPr>
          <w:rFonts w:ascii="Arial" w:hAnsi="Arial" w:cs="Arial"/>
          <w:sz w:val="20"/>
          <w:szCs w:val="20"/>
        </w:rPr>
        <w:t>emo razširitvi mednarodnih sankcij in zaostrovanju različnih mednarodnih omejevalnih ukrepov.</w:t>
      </w:r>
    </w:p>
    <w:p w14:paraId="292FFAC1" w14:textId="77777777" w:rsidR="00DB29C1" w:rsidRPr="00D83239" w:rsidRDefault="00DB29C1" w:rsidP="00D83239">
      <w:pPr>
        <w:tabs>
          <w:tab w:val="left" w:pos="2520"/>
        </w:tabs>
        <w:spacing w:after="0" w:line="276" w:lineRule="auto"/>
        <w:jc w:val="both"/>
        <w:rPr>
          <w:rFonts w:ascii="Arial" w:hAnsi="Arial" w:cs="Arial"/>
          <w:sz w:val="20"/>
          <w:szCs w:val="20"/>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
        <w:gridCol w:w="3497"/>
        <w:gridCol w:w="766"/>
        <w:gridCol w:w="766"/>
        <w:gridCol w:w="766"/>
        <w:gridCol w:w="766"/>
        <w:gridCol w:w="779"/>
        <w:gridCol w:w="728"/>
        <w:gridCol w:w="658"/>
      </w:tblGrid>
      <w:tr w:rsidR="00DB29C1" w:rsidRPr="00D83239" w14:paraId="08ECB4C8" w14:textId="77777777" w:rsidTr="00DB29C1">
        <w:trPr>
          <w:trHeight w:val="391"/>
          <w:jc w:val="center"/>
        </w:trPr>
        <w:tc>
          <w:tcPr>
            <w:tcW w:w="3833" w:type="dxa"/>
            <w:gridSpan w:val="2"/>
            <w:shd w:val="clear" w:color="000000" w:fill="E6E6E6"/>
            <w:vAlign w:val="center"/>
            <w:hideMark/>
          </w:tcPr>
          <w:p w14:paraId="30B37C74" w14:textId="77777777" w:rsidR="00DB29C1" w:rsidRPr="00D83239" w:rsidRDefault="00DB29C1" w:rsidP="00D83239">
            <w:pPr>
              <w:spacing w:after="0" w:line="276" w:lineRule="auto"/>
              <w:jc w:val="both"/>
              <w:rPr>
                <w:rFonts w:ascii="Arial" w:eastAsia="Times New Roman" w:hAnsi="Arial" w:cs="Arial"/>
                <w:b/>
                <w:sz w:val="20"/>
                <w:szCs w:val="20"/>
                <w:lang w:eastAsia="sl-SI"/>
              </w:rPr>
            </w:pPr>
            <w:r w:rsidRPr="00D83239">
              <w:rPr>
                <w:rFonts w:ascii="Arial" w:eastAsia="Times New Roman" w:hAnsi="Arial" w:cs="Arial"/>
                <w:b/>
                <w:sz w:val="20"/>
                <w:szCs w:val="20"/>
                <w:lang w:eastAsia="sl-SI"/>
              </w:rPr>
              <w:t xml:space="preserve">Vrsta postopka  </w:t>
            </w:r>
          </w:p>
        </w:tc>
        <w:tc>
          <w:tcPr>
            <w:tcW w:w="766" w:type="dxa"/>
            <w:shd w:val="clear" w:color="000000" w:fill="E6E6E6"/>
            <w:vAlign w:val="center"/>
            <w:hideMark/>
          </w:tcPr>
          <w:p w14:paraId="70BA4CC6"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2019</w:t>
            </w:r>
          </w:p>
        </w:tc>
        <w:tc>
          <w:tcPr>
            <w:tcW w:w="766" w:type="dxa"/>
            <w:shd w:val="clear" w:color="000000" w:fill="E6E6E6"/>
            <w:vAlign w:val="center"/>
            <w:hideMark/>
          </w:tcPr>
          <w:p w14:paraId="36203194"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2020</w:t>
            </w:r>
          </w:p>
        </w:tc>
        <w:tc>
          <w:tcPr>
            <w:tcW w:w="766" w:type="dxa"/>
            <w:shd w:val="clear" w:color="000000" w:fill="E6E6E6"/>
            <w:vAlign w:val="center"/>
            <w:hideMark/>
          </w:tcPr>
          <w:p w14:paraId="0C1AD91B"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2021</w:t>
            </w:r>
          </w:p>
        </w:tc>
        <w:tc>
          <w:tcPr>
            <w:tcW w:w="766" w:type="dxa"/>
            <w:shd w:val="clear" w:color="000000" w:fill="E6E6E6"/>
            <w:vAlign w:val="center"/>
          </w:tcPr>
          <w:p w14:paraId="7D078838"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2022</w:t>
            </w:r>
          </w:p>
        </w:tc>
        <w:tc>
          <w:tcPr>
            <w:tcW w:w="779" w:type="dxa"/>
            <w:shd w:val="clear" w:color="000000" w:fill="E6E6E6"/>
            <w:vAlign w:val="center"/>
          </w:tcPr>
          <w:p w14:paraId="2501BB04"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2023</w:t>
            </w:r>
          </w:p>
        </w:tc>
        <w:tc>
          <w:tcPr>
            <w:tcW w:w="728" w:type="dxa"/>
            <w:shd w:val="clear" w:color="000000" w:fill="E6E6E6"/>
            <w:vAlign w:val="center"/>
          </w:tcPr>
          <w:p w14:paraId="4E7046DE"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2024</w:t>
            </w:r>
          </w:p>
        </w:tc>
        <w:tc>
          <w:tcPr>
            <w:tcW w:w="658" w:type="dxa"/>
            <w:shd w:val="clear" w:color="000000" w:fill="E6E6E6"/>
            <w:vAlign w:val="center"/>
          </w:tcPr>
          <w:p w14:paraId="445B9840"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2025</w:t>
            </w:r>
          </w:p>
        </w:tc>
      </w:tr>
      <w:tr w:rsidR="00DB29C1" w:rsidRPr="00D83239" w14:paraId="23BB928D" w14:textId="77777777" w:rsidTr="00773D58">
        <w:trPr>
          <w:trHeight w:val="257"/>
          <w:jc w:val="center"/>
        </w:trPr>
        <w:tc>
          <w:tcPr>
            <w:tcW w:w="336" w:type="dxa"/>
            <w:vMerge w:val="restart"/>
            <w:shd w:val="clear" w:color="auto" w:fill="auto"/>
            <w:hideMark/>
          </w:tcPr>
          <w:p w14:paraId="7BE014D9"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1.</w:t>
            </w:r>
          </w:p>
        </w:tc>
        <w:tc>
          <w:tcPr>
            <w:tcW w:w="3497" w:type="dxa"/>
            <w:shd w:val="clear" w:color="auto" w:fill="auto"/>
            <w:vAlign w:val="center"/>
            <w:hideMark/>
          </w:tcPr>
          <w:p w14:paraId="5E8CD1E0" w14:textId="77777777" w:rsidR="00DB29C1" w:rsidRPr="00D83239" w:rsidRDefault="00DB29C1" w:rsidP="00773D58">
            <w:pPr>
              <w:spacing w:after="0" w:line="276" w:lineRule="auto"/>
              <w:rPr>
                <w:rFonts w:ascii="Arial" w:eastAsia="Times New Roman" w:hAnsi="Arial" w:cs="Arial"/>
                <w:bCs/>
                <w:sz w:val="20"/>
                <w:szCs w:val="20"/>
                <w:lang w:eastAsia="sl-SI"/>
              </w:rPr>
            </w:pPr>
            <w:r w:rsidRPr="00D83239">
              <w:rPr>
                <w:rFonts w:ascii="Arial" w:eastAsia="Times New Roman" w:hAnsi="Arial" w:cs="Arial"/>
                <w:bCs/>
                <w:sz w:val="20"/>
                <w:szCs w:val="20"/>
                <w:lang w:eastAsia="sl-SI"/>
              </w:rPr>
              <w:t>Razporejanje na delovno dolžnost</w:t>
            </w:r>
          </w:p>
        </w:tc>
        <w:tc>
          <w:tcPr>
            <w:tcW w:w="766" w:type="dxa"/>
            <w:shd w:val="clear" w:color="000000" w:fill="E7E6E6"/>
            <w:vAlign w:val="center"/>
            <w:hideMark/>
          </w:tcPr>
          <w:p w14:paraId="5B5C60C1"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718</w:t>
            </w:r>
          </w:p>
        </w:tc>
        <w:tc>
          <w:tcPr>
            <w:tcW w:w="766" w:type="dxa"/>
            <w:shd w:val="clear" w:color="000000" w:fill="E7E6E6"/>
            <w:vAlign w:val="center"/>
            <w:hideMark/>
          </w:tcPr>
          <w:p w14:paraId="01F8B8EA"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757</w:t>
            </w:r>
          </w:p>
        </w:tc>
        <w:tc>
          <w:tcPr>
            <w:tcW w:w="766" w:type="dxa"/>
            <w:shd w:val="clear" w:color="000000" w:fill="E7E6E6"/>
            <w:vAlign w:val="center"/>
          </w:tcPr>
          <w:p w14:paraId="3DDA9298"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863</w:t>
            </w:r>
          </w:p>
        </w:tc>
        <w:tc>
          <w:tcPr>
            <w:tcW w:w="766" w:type="dxa"/>
            <w:shd w:val="clear" w:color="000000" w:fill="E7E6E6"/>
            <w:vAlign w:val="center"/>
          </w:tcPr>
          <w:p w14:paraId="0536A3CC"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864</w:t>
            </w:r>
          </w:p>
        </w:tc>
        <w:tc>
          <w:tcPr>
            <w:tcW w:w="779" w:type="dxa"/>
            <w:shd w:val="clear" w:color="000000" w:fill="E7E6E6"/>
            <w:vAlign w:val="center"/>
          </w:tcPr>
          <w:p w14:paraId="1C3673AC"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1.085</w:t>
            </w:r>
          </w:p>
        </w:tc>
        <w:tc>
          <w:tcPr>
            <w:tcW w:w="728" w:type="dxa"/>
            <w:shd w:val="clear" w:color="000000" w:fill="E7E6E6"/>
            <w:vAlign w:val="center"/>
          </w:tcPr>
          <w:p w14:paraId="7000478D"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1.072</w:t>
            </w:r>
          </w:p>
        </w:tc>
        <w:tc>
          <w:tcPr>
            <w:tcW w:w="658" w:type="dxa"/>
            <w:shd w:val="clear" w:color="000000" w:fill="E7E6E6"/>
            <w:vAlign w:val="center"/>
          </w:tcPr>
          <w:p w14:paraId="55C5E3A8"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953</w:t>
            </w:r>
          </w:p>
        </w:tc>
      </w:tr>
      <w:tr w:rsidR="00DB29C1" w:rsidRPr="00D83239" w14:paraId="2BECFB13" w14:textId="77777777" w:rsidTr="00773D58">
        <w:trPr>
          <w:trHeight w:val="257"/>
          <w:jc w:val="center"/>
        </w:trPr>
        <w:tc>
          <w:tcPr>
            <w:tcW w:w="336" w:type="dxa"/>
            <w:vMerge/>
            <w:shd w:val="clear" w:color="auto" w:fill="auto"/>
            <w:hideMark/>
          </w:tcPr>
          <w:p w14:paraId="6DF201FD" w14:textId="77777777" w:rsidR="00DB29C1" w:rsidRPr="00D83239" w:rsidRDefault="00DB29C1" w:rsidP="00D83239">
            <w:pPr>
              <w:spacing w:after="0" w:line="276" w:lineRule="auto"/>
              <w:jc w:val="both"/>
              <w:rPr>
                <w:rFonts w:ascii="Arial" w:eastAsia="Times New Roman" w:hAnsi="Arial" w:cs="Arial"/>
                <w:sz w:val="20"/>
                <w:szCs w:val="20"/>
                <w:lang w:eastAsia="sl-SI"/>
              </w:rPr>
            </w:pPr>
          </w:p>
        </w:tc>
        <w:tc>
          <w:tcPr>
            <w:tcW w:w="3497" w:type="dxa"/>
            <w:shd w:val="clear" w:color="auto" w:fill="auto"/>
            <w:vAlign w:val="center"/>
            <w:hideMark/>
          </w:tcPr>
          <w:p w14:paraId="78432DC9" w14:textId="15F69458" w:rsidR="00DB29C1" w:rsidRPr="00D83239" w:rsidRDefault="00E91DA5" w:rsidP="00773D58">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w:t>
            </w:r>
            <w:r w:rsidR="00DB29C1" w:rsidRPr="00D83239">
              <w:rPr>
                <w:rFonts w:ascii="Arial" w:eastAsia="Times New Roman" w:hAnsi="Arial" w:cs="Arial"/>
                <w:sz w:val="20"/>
                <w:szCs w:val="20"/>
                <w:lang w:eastAsia="sl-SI"/>
              </w:rPr>
              <w:t xml:space="preserve">podani predlogi za razporeditev </w:t>
            </w:r>
            <w:r w:rsidR="00AF524B">
              <w:rPr>
                <w:rFonts w:ascii="Arial" w:eastAsia="Times New Roman" w:hAnsi="Arial" w:cs="Arial"/>
                <w:sz w:val="20"/>
                <w:szCs w:val="20"/>
                <w:lang w:eastAsia="sl-SI"/>
              </w:rPr>
              <w:t>javnih uslužbencev</w:t>
            </w:r>
          </w:p>
        </w:tc>
        <w:tc>
          <w:tcPr>
            <w:tcW w:w="766" w:type="dxa"/>
            <w:shd w:val="clear" w:color="auto" w:fill="auto"/>
            <w:vAlign w:val="center"/>
            <w:hideMark/>
          </w:tcPr>
          <w:p w14:paraId="444060FE"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353</w:t>
            </w:r>
          </w:p>
        </w:tc>
        <w:tc>
          <w:tcPr>
            <w:tcW w:w="766" w:type="dxa"/>
            <w:shd w:val="clear" w:color="auto" w:fill="auto"/>
            <w:vAlign w:val="center"/>
            <w:hideMark/>
          </w:tcPr>
          <w:p w14:paraId="74D5DC8B"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346</w:t>
            </w:r>
          </w:p>
        </w:tc>
        <w:tc>
          <w:tcPr>
            <w:tcW w:w="766" w:type="dxa"/>
            <w:vAlign w:val="center"/>
          </w:tcPr>
          <w:p w14:paraId="4B7AAC64"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446</w:t>
            </w:r>
          </w:p>
        </w:tc>
        <w:tc>
          <w:tcPr>
            <w:tcW w:w="766" w:type="dxa"/>
            <w:shd w:val="clear" w:color="auto" w:fill="auto"/>
            <w:vAlign w:val="center"/>
          </w:tcPr>
          <w:p w14:paraId="3C3467BF"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358</w:t>
            </w:r>
          </w:p>
        </w:tc>
        <w:tc>
          <w:tcPr>
            <w:tcW w:w="779" w:type="dxa"/>
            <w:vAlign w:val="center"/>
          </w:tcPr>
          <w:p w14:paraId="417CE80C"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374</w:t>
            </w:r>
          </w:p>
        </w:tc>
        <w:tc>
          <w:tcPr>
            <w:tcW w:w="728" w:type="dxa"/>
            <w:vAlign w:val="center"/>
          </w:tcPr>
          <w:p w14:paraId="6FDEF025"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395</w:t>
            </w:r>
          </w:p>
        </w:tc>
        <w:tc>
          <w:tcPr>
            <w:tcW w:w="658" w:type="dxa"/>
            <w:vAlign w:val="center"/>
          </w:tcPr>
          <w:p w14:paraId="56AFA8D6"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402</w:t>
            </w:r>
          </w:p>
        </w:tc>
      </w:tr>
      <w:tr w:rsidR="00DB29C1" w:rsidRPr="00D83239" w14:paraId="3F906690" w14:textId="77777777" w:rsidTr="00773D58">
        <w:trPr>
          <w:trHeight w:val="257"/>
          <w:jc w:val="center"/>
        </w:trPr>
        <w:tc>
          <w:tcPr>
            <w:tcW w:w="336" w:type="dxa"/>
            <w:vMerge/>
            <w:shd w:val="clear" w:color="auto" w:fill="auto"/>
            <w:hideMark/>
          </w:tcPr>
          <w:p w14:paraId="3D68DFDE" w14:textId="77777777" w:rsidR="00DB29C1" w:rsidRPr="00D83239" w:rsidRDefault="00DB29C1" w:rsidP="00D83239">
            <w:pPr>
              <w:spacing w:after="0" w:line="276" w:lineRule="auto"/>
              <w:jc w:val="both"/>
              <w:rPr>
                <w:rFonts w:ascii="Arial" w:eastAsia="Times New Roman" w:hAnsi="Arial" w:cs="Arial"/>
                <w:sz w:val="20"/>
                <w:szCs w:val="20"/>
                <w:lang w:eastAsia="sl-SI"/>
              </w:rPr>
            </w:pPr>
          </w:p>
        </w:tc>
        <w:tc>
          <w:tcPr>
            <w:tcW w:w="3497" w:type="dxa"/>
            <w:shd w:val="clear" w:color="auto" w:fill="auto"/>
            <w:vAlign w:val="center"/>
            <w:hideMark/>
          </w:tcPr>
          <w:p w14:paraId="7B612AED" w14:textId="2E43994F" w:rsidR="00DB29C1" w:rsidRPr="00D83239" w:rsidRDefault="00E91DA5" w:rsidP="00773D58">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w:t>
            </w:r>
            <w:r w:rsidR="00DB29C1" w:rsidRPr="00D83239">
              <w:rPr>
                <w:rFonts w:ascii="Arial" w:eastAsia="Times New Roman" w:hAnsi="Arial" w:cs="Arial"/>
                <w:sz w:val="20"/>
                <w:szCs w:val="20"/>
                <w:lang w:eastAsia="sl-SI"/>
              </w:rPr>
              <w:t xml:space="preserve">podani predlogi za ukinitev razporeditve </w:t>
            </w:r>
            <w:r w:rsidR="00AF524B">
              <w:rPr>
                <w:rFonts w:ascii="Arial" w:eastAsia="Times New Roman" w:hAnsi="Arial" w:cs="Arial"/>
                <w:sz w:val="20"/>
                <w:szCs w:val="20"/>
                <w:lang w:eastAsia="sl-SI"/>
              </w:rPr>
              <w:t>javnih uslužbencev</w:t>
            </w:r>
          </w:p>
        </w:tc>
        <w:tc>
          <w:tcPr>
            <w:tcW w:w="766" w:type="dxa"/>
            <w:shd w:val="clear" w:color="auto" w:fill="auto"/>
            <w:vAlign w:val="center"/>
            <w:hideMark/>
          </w:tcPr>
          <w:p w14:paraId="59B8B9C9"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365</w:t>
            </w:r>
          </w:p>
        </w:tc>
        <w:tc>
          <w:tcPr>
            <w:tcW w:w="766" w:type="dxa"/>
            <w:shd w:val="clear" w:color="auto" w:fill="auto"/>
            <w:vAlign w:val="center"/>
            <w:hideMark/>
          </w:tcPr>
          <w:p w14:paraId="1EBC3F3F"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411</w:t>
            </w:r>
          </w:p>
        </w:tc>
        <w:tc>
          <w:tcPr>
            <w:tcW w:w="766" w:type="dxa"/>
            <w:vAlign w:val="center"/>
          </w:tcPr>
          <w:p w14:paraId="36D30497"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417</w:t>
            </w:r>
          </w:p>
        </w:tc>
        <w:tc>
          <w:tcPr>
            <w:tcW w:w="766" w:type="dxa"/>
            <w:shd w:val="clear" w:color="auto" w:fill="auto"/>
            <w:vAlign w:val="center"/>
          </w:tcPr>
          <w:p w14:paraId="5863F13E"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506</w:t>
            </w:r>
          </w:p>
        </w:tc>
        <w:tc>
          <w:tcPr>
            <w:tcW w:w="779" w:type="dxa"/>
            <w:vAlign w:val="center"/>
          </w:tcPr>
          <w:p w14:paraId="0D2AAFF1"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711</w:t>
            </w:r>
          </w:p>
        </w:tc>
        <w:tc>
          <w:tcPr>
            <w:tcW w:w="728" w:type="dxa"/>
            <w:vAlign w:val="center"/>
          </w:tcPr>
          <w:p w14:paraId="39AC70EA"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677</w:t>
            </w:r>
          </w:p>
        </w:tc>
        <w:tc>
          <w:tcPr>
            <w:tcW w:w="658" w:type="dxa"/>
            <w:vAlign w:val="center"/>
          </w:tcPr>
          <w:p w14:paraId="27749BF9"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551</w:t>
            </w:r>
          </w:p>
        </w:tc>
      </w:tr>
      <w:tr w:rsidR="00DB29C1" w:rsidRPr="00D83239" w14:paraId="2303437A" w14:textId="77777777" w:rsidTr="00773D58">
        <w:trPr>
          <w:trHeight w:val="257"/>
          <w:jc w:val="center"/>
        </w:trPr>
        <w:tc>
          <w:tcPr>
            <w:tcW w:w="336" w:type="dxa"/>
            <w:vMerge/>
            <w:shd w:val="clear" w:color="auto" w:fill="auto"/>
          </w:tcPr>
          <w:p w14:paraId="21BB8A9D" w14:textId="77777777" w:rsidR="00DB29C1" w:rsidRPr="00D83239" w:rsidRDefault="00DB29C1" w:rsidP="00D83239">
            <w:pPr>
              <w:spacing w:after="0" w:line="276" w:lineRule="auto"/>
              <w:jc w:val="both"/>
              <w:rPr>
                <w:rFonts w:ascii="Arial" w:eastAsia="Times New Roman" w:hAnsi="Arial" w:cs="Arial"/>
                <w:sz w:val="20"/>
                <w:szCs w:val="20"/>
                <w:lang w:eastAsia="sl-SI"/>
              </w:rPr>
            </w:pPr>
          </w:p>
        </w:tc>
        <w:tc>
          <w:tcPr>
            <w:tcW w:w="3497" w:type="dxa"/>
            <w:shd w:val="clear" w:color="auto" w:fill="auto"/>
            <w:vAlign w:val="center"/>
          </w:tcPr>
          <w:p w14:paraId="32C17CE2" w14:textId="1EECD9C3" w:rsidR="00DB29C1" w:rsidRPr="00D83239" w:rsidRDefault="00E91DA5" w:rsidP="00773D58">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w:t>
            </w:r>
            <w:r w:rsidR="00DB29C1" w:rsidRPr="00D83239">
              <w:rPr>
                <w:rFonts w:ascii="Arial" w:eastAsia="Times New Roman" w:hAnsi="Arial" w:cs="Arial"/>
                <w:sz w:val="20"/>
                <w:szCs w:val="20"/>
                <w:lang w:eastAsia="sl-SI"/>
              </w:rPr>
              <w:t>izdana obvestila o razporeditvi na delovno dolžnost</w:t>
            </w:r>
          </w:p>
        </w:tc>
        <w:tc>
          <w:tcPr>
            <w:tcW w:w="766" w:type="dxa"/>
            <w:shd w:val="clear" w:color="auto" w:fill="auto"/>
            <w:vAlign w:val="center"/>
          </w:tcPr>
          <w:p w14:paraId="43E0A765" w14:textId="77777777" w:rsidR="00DB29C1" w:rsidRPr="00D83239" w:rsidRDefault="00DB29C1" w:rsidP="00773D58">
            <w:pPr>
              <w:spacing w:after="0" w:line="276" w:lineRule="auto"/>
              <w:jc w:val="right"/>
              <w:rPr>
                <w:rFonts w:ascii="Arial" w:eastAsia="Times New Roman" w:hAnsi="Arial" w:cs="Arial"/>
                <w:sz w:val="20"/>
                <w:szCs w:val="20"/>
                <w:lang w:eastAsia="sl-SI"/>
              </w:rPr>
            </w:pPr>
          </w:p>
        </w:tc>
        <w:tc>
          <w:tcPr>
            <w:tcW w:w="766" w:type="dxa"/>
            <w:shd w:val="clear" w:color="auto" w:fill="auto"/>
            <w:vAlign w:val="center"/>
          </w:tcPr>
          <w:p w14:paraId="1C829780" w14:textId="77777777" w:rsidR="00DB29C1" w:rsidRPr="00D83239" w:rsidRDefault="00DB29C1" w:rsidP="00773D58">
            <w:pPr>
              <w:spacing w:after="0" w:line="276" w:lineRule="auto"/>
              <w:jc w:val="right"/>
              <w:rPr>
                <w:rFonts w:ascii="Arial" w:eastAsia="Times New Roman" w:hAnsi="Arial" w:cs="Arial"/>
                <w:sz w:val="20"/>
                <w:szCs w:val="20"/>
                <w:lang w:eastAsia="sl-SI"/>
              </w:rPr>
            </w:pPr>
          </w:p>
        </w:tc>
        <w:tc>
          <w:tcPr>
            <w:tcW w:w="766" w:type="dxa"/>
            <w:vAlign w:val="center"/>
          </w:tcPr>
          <w:p w14:paraId="58FAB9C1" w14:textId="77777777" w:rsidR="00DB29C1" w:rsidRPr="00D83239" w:rsidRDefault="00DB29C1" w:rsidP="00773D58">
            <w:pPr>
              <w:spacing w:after="0" w:line="276" w:lineRule="auto"/>
              <w:jc w:val="right"/>
              <w:rPr>
                <w:rFonts w:ascii="Arial" w:eastAsia="Times New Roman" w:hAnsi="Arial" w:cs="Arial"/>
                <w:sz w:val="20"/>
                <w:szCs w:val="20"/>
                <w:lang w:eastAsia="sl-SI"/>
              </w:rPr>
            </w:pPr>
          </w:p>
        </w:tc>
        <w:tc>
          <w:tcPr>
            <w:tcW w:w="766" w:type="dxa"/>
            <w:shd w:val="clear" w:color="auto" w:fill="auto"/>
            <w:vAlign w:val="center"/>
          </w:tcPr>
          <w:p w14:paraId="25B4FA0E" w14:textId="77777777" w:rsidR="00DB29C1" w:rsidRPr="00D83239" w:rsidRDefault="00DB29C1" w:rsidP="00773D58">
            <w:pPr>
              <w:spacing w:after="0" w:line="276" w:lineRule="auto"/>
              <w:jc w:val="right"/>
              <w:rPr>
                <w:rFonts w:ascii="Arial" w:eastAsia="Times New Roman" w:hAnsi="Arial" w:cs="Arial"/>
                <w:sz w:val="20"/>
                <w:szCs w:val="20"/>
                <w:lang w:eastAsia="sl-SI"/>
              </w:rPr>
            </w:pPr>
          </w:p>
        </w:tc>
        <w:tc>
          <w:tcPr>
            <w:tcW w:w="779" w:type="dxa"/>
            <w:vAlign w:val="center"/>
          </w:tcPr>
          <w:p w14:paraId="2AE9B5DE"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537</w:t>
            </w:r>
          </w:p>
        </w:tc>
        <w:tc>
          <w:tcPr>
            <w:tcW w:w="728" w:type="dxa"/>
            <w:vAlign w:val="center"/>
          </w:tcPr>
          <w:p w14:paraId="62F2C3C3"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861</w:t>
            </w:r>
          </w:p>
        </w:tc>
        <w:tc>
          <w:tcPr>
            <w:tcW w:w="658" w:type="dxa"/>
            <w:vAlign w:val="center"/>
          </w:tcPr>
          <w:p w14:paraId="164CFFEF"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337</w:t>
            </w:r>
          </w:p>
        </w:tc>
      </w:tr>
      <w:tr w:rsidR="00DB29C1" w:rsidRPr="00D83239" w14:paraId="38A3C956" w14:textId="77777777" w:rsidTr="00773D58">
        <w:trPr>
          <w:trHeight w:val="515"/>
          <w:jc w:val="center"/>
        </w:trPr>
        <w:tc>
          <w:tcPr>
            <w:tcW w:w="336" w:type="dxa"/>
            <w:shd w:val="clear" w:color="auto" w:fill="auto"/>
            <w:hideMark/>
          </w:tcPr>
          <w:p w14:paraId="4F405604"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2.</w:t>
            </w:r>
          </w:p>
        </w:tc>
        <w:tc>
          <w:tcPr>
            <w:tcW w:w="3497" w:type="dxa"/>
            <w:shd w:val="clear" w:color="auto" w:fill="auto"/>
            <w:vAlign w:val="center"/>
            <w:hideMark/>
          </w:tcPr>
          <w:p w14:paraId="7230C838" w14:textId="77777777" w:rsidR="00DB29C1" w:rsidRPr="00D83239" w:rsidRDefault="00DB29C1" w:rsidP="00773D58">
            <w:pPr>
              <w:spacing w:after="0" w:line="276" w:lineRule="auto"/>
              <w:rPr>
                <w:rFonts w:ascii="Arial" w:eastAsia="Times New Roman" w:hAnsi="Arial" w:cs="Arial"/>
                <w:bCs/>
                <w:sz w:val="20"/>
                <w:szCs w:val="20"/>
                <w:lang w:eastAsia="sl-SI"/>
              </w:rPr>
            </w:pPr>
            <w:r w:rsidRPr="00D83239">
              <w:rPr>
                <w:rFonts w:ascii="Arial" w:eastAsia="Times New Roman" w:hAnsi="Arial" w:cs="Arial"/>
                <w:bCs/>
                <w:sz w:val="20"/>
                <w:szCs w:val="20"/>
                <w:lang w:eastAsia="sl-SI"/>
              </w:rPr>
              <w:t>Obravnava zahtevkov za izdajo potrdil in mnenj o opravljanju dolžnosti pri obrambi RS leta 1990/91</w:t>
            </w:r>
          </w:p>
        </w:tc>
        <w:tc>
          <w:tcPr>
            <w:tcW w:w="766" w:type="dxa"/>
            <w:shd w:val="clear" w:color="000000" w:fill="E7E6E6"/>
            <w:vAlign w:val="center"/>
            <w:hideMark/>
          </w:tcPr>
          <w:p w14:paraId="547DF458"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37</w:t>
            </w:r>
          </w:p>
        </w:tc>
        <w:tc>
          <w:tcPr>
            <w:tcW w:w="766" w:type="dxa"/>
            <w:shd w:val="clear" w:color="000000" w:fill="E7E6E6"/>
            <w:vAlign w:val="center"/>
            <w:hideMark/>
          </w:tcPr>
          <w:p w14:paraId="7F13B24D"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67</w:t>
            </w:r>
          </w:p>
        </w:tc>
        <w:tc>
          <w:tcPr>
            <w:tcW w:w="766" w:type="dxa"/>
            <w:shd w:val="clear" w:color="000000" w:fill="E7E6E6"/>
            <w:vAlign w:val="center"/>
          </w:tcPr>
          <w:p w14:paraId="31AC281D"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170</w:t>
            </w:r>
          </w:p>
        </w:tc>
        <w:tc>
          <w:tcPr>
            <w:tcW w:w="766" w:type="dxa"/>
            <w:shd w:val="clear" w:color="000000" w:fill="E7E6E6"/>
            <w:vAlign w:val="center"/>
          </w:tcPr>
          <w:p w14:paraId="348BA8FE"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55</w:t>
            </w:r>
          </w:p>
        </w:tc>
        <w:tc>
          <w:tcPr>
            <w:tcW w:w="779" w:type="dxa"/>
            <w:shd w:val="clear" w:color="000000" w:fill="E7E6E6"/>
            <w:vAlign w:val="center"/>
          </w:tcPr>
          <w:p w14:paraId="6CDEE48C"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38</w:t>
            </w:r>
          </w:p>
        </w:tc>
        <w:tc>
          <w:tcPr>
            <w:tcW w:w="728" w:type="dxa"/>
            <w:shd w:val="clear" w:color="000000" w:fill="E7E6E6"/>
            <w:vAlign w:val="center"/>
          </w:tcPr>
          <w:p w14:paraId="3DF2CB9E"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33</w:t>
            </w:r>
          </w:p>
        </w:tc>
        <w:tc>
          <w:tcPr>
            <w:tcW w:w="658" w:type="dxa"/>
            <w:shd w:val="clear" w:color="000000" w:fill="E7E6E6"/>
            <w:vAlign w:val="center"/>
          </w:tcPr>
          <w:p w14:paraId="267A3083"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17</w:t>
            </w:r>
          </w:p>
        </w:tc>
      </w:tr>
      <w:tr w:rsidR="00DB29C1" w:rsidRPr="00D83239" w14:paraId="0C254461" w14:textId="77777777" w:rsidTr="00773D58">
        <w:trPr>
          <w:trHeight w:val="698"/>
          <w:jc w:val="center"/>
        </w:trPr>
        <w:tc>
          <w:tcPr>
            <w:tcW w:w="336" w:type="dxa"/>
            <w:shd w:val="clear" w:color="auto" w:fill="auto"/>
            <w:hideMark/>
          </w:tcPr>
          <w:p w14:paraId="7E6FC779"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3.</w:t>
            </w:r>
          </w:p>
        </w:tc>
        <w:tc>
          <w:tcPr>
            <w:tcW w:w="3497" w:type="dxa"/>
            <w:shd w:val="clear" w:color="auto" w:fill="auto"/>
            <w:vAlign w:val="center"/>
            <w:hideMark/>
          </w:tcPr>
          <w:p w14:paraId="214467FE" w14:textId="77777777" w:rsidR="00DB29C1" w:rsidRPr="00D83239" w:rsidRDefault="00DB29C1" w:rsidP="00773D58">
            <w:pPr>
              <w:spacing w:after="0" w:line="276" w:lineRule="auto"/>
              <w:rPr>
                <w:rFonts w:ascii="Arial" w:eastAsia="Times New Roman" w:hAnsi="Arial" w:cs="Arial"/>
                <w:bCs/>
                <w:sz w:val="20"/>
                <w:szCs w:val="20"/>
                <w:lang w:eastAsia="sl-SI"/>
              </w:rPr>
            </w:pPr>
            <w:r w:rsidRPr="00D83239">
              <w:rPr>
                <w:rFonts w:ascii="Arial" w:eastAsia="Times New Roman" w:hAnsi="Arial" w:cs="Arial"/>
                <w:bCs/>
                <w:sz w:val="20"/>
                <w:szCs w:val="20"/>
                <w:lang w:eastAsia="sl-SI"/>
              </w:rPr>
              <w:t>Obravnava zahtevkov podjetij za izvoz blaga za dvojno rabo v okviru Komisije za nadzor izvoza blaga z dvojno rabo – podaja mnenj organa</w:t>
            </w:r>
          </w:p>
        </w:tc>
        <w:tc>
          <w:tcPr>
            <w:tcW w:w="766" w:type="dxa"/>
            <w:shd w:val="clear" w:color="000000" w:fill="E7E6E6"/>
            <w:vAlign w:val="center"/>
            <w:hideMark/>
          </w:tcPr>
          <w:p w14:paraId="585638A3"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199</w:t>
            </w:r>
          </w:p>
        </w:tc>
        <w:tc>
          <w:tcPr>
            <w:tcW w:w="766" w:type="dxa"/>
            <w:shd w:val="clear" w:color="000000" w:fill="E7E6E6"/>
            <w:vAlign w:val="center"/>
            <w:hideMark/>
          </w:tcPr>
          <w:p w14:paraId="7EC7BC59"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197</w:t>
            </w:r>
          </w:p>
        </w:tc>
        <w:tc>
          <w:tcPr>
            <w:tcW w:w="766" w:type="dxa"/>
            <w:shd w:val="clear" w:color="000000" w:fill="E7E6E6"/>
            <w:vAlign w:val="center"/>
          </w:tcPr>
          <w:p w14:paraId="4F919B31"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190</w:t>
            </w:r>
          </w:p>
        </w:tc>
        <w:tc>
          <w:tcPr>
            <w:tcW w:w="766" w:type="dxa"/>
            <w:shd w:val="clear" w:color="000000" w:fill="E7E6E6"/>
            <w:vAlign w:val="center"/>
          </w:tcPr>
          <w:p w14:paraId="1FFB8031"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229</w:t>
            </w:r>
          </w:p>
        </w:tc>
        <w:tc>
          <w:tcPr>
            <w:tcW w:w="779" w:type="dxa"/>
            <w:shd w:val="clear" w:color="000000" w:fill="E7E6E6"/>
            <w:vAlign w:val="center"/>
          </w:tcPr>
          <w:p w14:paraId="0E71A607"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232</w:t>
            </w:r>
          </w:p>
        </w:tc>
        <w:tc>
          <w:tcPr>
            <w:tcW w:w="728" w:type="dxa"/>
            <w:shd w:val="clear" w:color="000000" w:fill="E7E6E6"/>
            <w:vAlign w:val="center"/>
          </w:tcPr>
          <w:p w14:paraId="38FB264C"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184</w:t>
            </w:r>
          </w:p>
        </w:tc>
        <w:tc>
          <w:tcPr>
            <w:tcW w:w="658" w:type="dxa"/>
            <w:shd w:val="clear" w:color="000000" w:fill="E7E6E6"/>
            <w:vAlign w:val="center"/>
          </w:tcPr>
          <w:p w14:paraId="15F8FD97"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183</w:t>
            </w:r>
          </w:p>
        </w:tc>
      </w:tr>
    </w:tbl>
    <w:p w14:paraId="53881667" w14:textId="77777777" w:rsidR="00773D58" w:rsidRDefault="00773D58" w:rsidP="00D83239">
      <w:pPr>
        <w:autoSpaceDE w:val="0"/>
        <w:autoSpaceDN w:val="0"/>
        <w:adjustRightInd w:val="0"/>
        <w:spacing w:after="0" w:line="276" w:lineRule="auto"/>
        <w:jc w:val="both"/>
        <w:rPr>
          <w:rFonts w:ascii="Arial" w:hAnsi="Arial" w:cs="Arial"/>
          <w:b/>
          <w:color w:val="000000"/>
          <w:sz w:val="20"/>
          <w:szCs w:val="20"/>
        </w:rPr>
      </w:pPr>
    </w:p>
    <w:p w14:paraId="0CBCEB66" w14:textId="3863F91B" w:rsidR="00DB29C1" w:rsidRPr="00D83239" w:rsidRDefault="00DB29C1" w:rsidP="00D83239">
      <w:pPr>
        <w:autoSpaceDE w:val="0"/>
        <w:autoSpaceDN w:val="0"/>
        <w:adjustRightInd w:val="0"/>
        <w:spacing w:after="0" w:line="276" w:lineRule="auto"/>
        <w:jc w:val="both"/>
        <w:rPr>
          <w:rFonts w:ascii="Arial" w:hAnsi="Arial" w:cs="Arial"/>
          <w:color w:val="000000"/>
          <w:sz w:val="20"/>
          <w:szCs w:val="20"/>
        </w:rPr>
      </w:pPr>
      <w:r w:rsidRPr="00D83239">
        <w:rPr>
          <w:rFonts w:ascii="Arial" w:hAnsi="Arial" w:cs="Arial"/>
          <w:b/>
          <w:color w:val="000000"/>
          <w:sz w:val="20"/>
          <w:szCs w:val="20"/>
        </w:rPr>
        <w:t>Preglednica</w:t>
      </w:r>
      <w:r w:rsidRPr="00D83239">
        <w:rPr>
          <w:rFonts w:ascii="Arial" w:hAnsi="Arial" w:cs="Arial"/>
          <w:color w:val="000000"/>
          <w:sz w:val="20"/>
          <w:szCs w:val="20"/>
        </w:rPr>
        <w:t>:</w:t>
      </w:r>
      <w:r w:rsidRPr="00D83239">
        <w:rPr>
          <w:rFonts w:ascii="Arial" w:hAnsi="Arial" w:cs="Arial"/>
          <w:b/>
          <w:color w:val="000000"/>
          <w:sz w:val="20"/>
          <w:szCs w:val="20"/>
        </w:rPr>
        <w:t xml:space="preserve"> </w:t>
      </w:r>
      <w:r w:rsidRPr="00D83239">
        <w:rPr>
          <w:rFonts w:ascii="Arial" w:hAnsi="Arial" w:cs="Arial"/>
          <w:color w:val="000000"/>
          <w:sz w:val="20"/>
          <w:szCs w:val="20"/>
        </w:rPr>
        <w:t>Število upravnih in drugih postopkov s po</w:t>
      </w:r>
      <w:r w:rsidR="00773D58">
        <w:rPr>
          <w:rFonts w:ascii="Arial" w:hAnsi="Arial" w:cs="Arial"/>
          <w:color w:val="000000"/>
          <w:sz w:val="20"/>
          <w:szCs w:val="20"/>
        </w:rPr>
        <w:t>dročja varnostnega načrtovanja</w:t>
      </w:r>
    </w:p>
    <w:p w14:paraId="469F5756" w14:textId="77777777" w:rsidR="00DB29C1" w:rsidRPr="00D83239" w:rsidRDefault="00DB29C1" w:rsidP="00D83239">
      <w:pPr>
        <w:spacing w:after="0" w:line="276" w:lineRule="auto"/>
        <w:jc w:val="both"/>
        <w:rPr>
          <w:rFonts w:ascii="Arial" w:hAnsi="Arial" w:cs="Arial"/>
          <w:sz w:val="20"/>
          <w:szCs w:val="20"/>
        </w:rPr>
      </w:pPr>
    </w:p>
    <w:p w14:paraId="69E64951" w14:textId="77C2A0D8"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Na področju </w:t>
      </w:r>
      <w:r w:rsidRPr="00D83239">
        <w:rPr>
          <w:rFonts w:ascii="Arial" w:hAnsi="Arial" w:cs="Arial"/>
          <w:b/>
          <w:sz w:val="20"/>
          <w:szCs w:val="20"/>
        </w:rPr>
        <w:t>fizičnega varovanja jedrskih objektov in snovi ter prevozov jedrskih snovi</w:t>
      </w:r>
      <w:r w:rsidRPr="00D83239">
        <w:rPr>
          <w:rFonts w:ascii="Arial" w:hAnsi="Arial" w:cs="Arial"/>
          <w:sz w:val="20"/>
          <w:szCs w:val="20"/>
        </w:rPr>
        <w:t xml:space="preserve"> je </w:t>
      </w:r>
      <w:r w:rsidR="00AA76FF">
        <w:rPr>
          <w:rFonts w:ascii="Arial" w:hAnsi="Arial" w:cs="Arial"/>
          <w:sz w:val="20"/>
          <w:szCs w:val="20"/>
        </w:rPr>
        <w:t>MNZ</w:t>
      </w:r>
      <w:r w:rsidRPr="00D83239">
        <w:rPr>
          <w:rFonts w:ascii="Arial" w:hAnsi="Arial" w:cs="Arial"/>
          <w:sz w:val="20"/>
          <w:szCs w:val="20"/>
        </w:rPr>
        <w:t xml:space="preserve"> izvajalo pristojnosti v skladu z določili Zakona o varstvu pred ionizirajočimi sevanji in jedrski varnosti. V letu 2025 je bilo izvedenih 625 novih postopkov </w:t>
      </w:r>
      <w:r w:rsidR="00453136">
        <w:rPr>
          <w:rFonts w:ascii="Arial" w:hAnsi="Arial" w:cs="Arial"/>
          <w:sz w:val="20"/>
          <w:szCs w:val="20"/>
        </w:rPr>
        <w:t>in</w:t>
      </w:r>
      <w:r w:rsidR="00453136" w:rsidRPr="00D83239">
        <w:rPr>
          <w:rFonts w:ascii="Arial" w:hAnsi="Arial" w:cs="Arial"/>
          <w:sz w:val="20"/>
          <w:szCs w:val="20"/>
        </w:rPr>
        <w:t xml:space="preserve"> </w:t>
      </w:r>
      <w:r w:rsidRPr="00D83239">
        <w:rPr>
          <w:rFonts w:ascii="Arial" w:hAnsi="Arial" w:cs="Arial"/>
          <w:sz w:val="20"/>
          <w:szCs w:val="20"/>
        </w:rPr>
        <w:t>29 postopkov</w:t>
      </w:r>
      <w:r w:rsidR="00453136">
        <w:rPr>
          <w:rFonts w:ascii="Arial" w:hAnsi="Arial" w:cs="Arial"/>
          <w:sz w:val="20"/>
          <w:szCs w:val="20"/>
        </w:rPr>
        <w:t>,</w:t>
      </w:r>
      <w:r w:rsidRPr="00D83239">
        <w:rPr>
          <w:rFonts w:ascii="Arial" w:hAnsi="Arial" w:cs="Arial"/>
          <w:sz w:val="20"/>
          <w:szCs w:val="20"/>
        </w:rPr>
        <w:t xml:space="preserve"> prene</w:t>
      </w:r>
      <w:r w:rsidR="00D14DE4">
        <w:rPr>
          <w:rFonts w:ascii="Arial" w:hAnsi="Arial" w:cs="Arial"/>
          <w:sz w:val="20"/>
          <w:szCs w:val="20"/>
        </w:rPr>
        <w:t>s</w:t>
      </w:r>
      <w:r w:rsidRPr="00D83239">
        <w:rPr>
          <w:rFonts w:ascii="Arial" w:hAnsi="Arial" w:cs="Arial"/>
          <w:sz w:val="20"/>
          <w:szCs w:val="20"/>
        </w:rPr>
        <w:t>enih iz leta 2024</w:t>
      </w:r>
      <w:r w:rsidR="00453136">
        <w:rPr>
          <w:rFonts w:ascii="Arial" w:hAnsi="Arial" w:cs="Arial"/>
          <w:sz w:val="20"/>
          <w:szCs w:val="20"/>
        </w:rPr>
        <w:t>,</w:t>
      </w:r>
      <w:r w:rsidRPr="00D83239">
        <w:rPr>
          <w:rFonts w:ascii="Arial" w:hAnsi="Arial" w:cs="Arial"/>
          <w:sz w:val="20"/>
          <w:szCs w:val="20"/>
        </w:rPr>
        <w:t xml:space="preserve"> varnostnega preverjanja tujih državljanov (leta 2024 608, leta 2023 174, leta 2022 765, leta 2021 641 in leta 2020 307).</w:t>
      </w:r>
      <w:r w:rsidRPr="00D83239">
        <w:rPr>
          <w:rFonts w:ascii="Arial" w:hAnsi="Arial" w:cs="Arial"/>
          <w:sz w:val="20"/>
          <w:szCs w:val="20"/>
          <w:vertAlign w:val="superscript"/>
        </w:rPr>
        <w:footnoteReference w:id="2"/>
      </w:r>
      <w:r w:rsidRPr="00D83239">
        <w:rPr>
          <w:rFonts w:ascii="Arial" w:hAnsi="Arial" w:cs="Arial"/>
          <w:sz w:val="20"/>
          <w:szCs w:val="20"/>
        </w:rPr>
        <w:t xml:space="preserve"> O rezultatih varnostnega preverjanja je bilo obveščenih 264 pravnih oseb (leta 237, leta 2023 95, leta 2022 244, leta 2021 196 in leta 2020 87), ki so zaposlovale tuje državljane. Programska oprema za izvajanje postopkov preverjanja tujih državljanov se je tudi v letu 2025 redno nadgrajevala, vpeljane so bile izboljšave procesa varnostnega preverjanja.</w:t>
      </w:r>
    </w:p>
    <w:p w14:paraId="4297A8C7" w14:textId="77777777" w:rsidR="00DB29C1" w:rsidRPr="00D83239" w:rsidRDefault="00DB29C1" w:rsidP="00D83239">
      <w:pPr>
        <w:spacing w:after="0" w:line="276" w:lineRule="auto"/>
        <w:jc w:val="both"/>
        <w:rPr>
          <w:rFonts w:ascii="Arial" w:hAnsi="Arial" w:cs="Arial"/>
          <w:sz w:val="20"/>
          <w:szCs w:val="20"/>
        </w:rPr>
      </w:pPr>
    </w:p>
    <w:p w14:paraId="4F32B9E7" w14:textId="3FD91C27" w:rsidR="00DB29C1"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Upravljavci jedrskih objektov in prevozniki jedrskih snovi so fizično varovanje objektov in prevozov opravljali v skladu z načrti, ki jih je potrdilo </w:t>
      </w:r>
      <w:r w:rsidR="00453136">
        <w:rPr>
          <w:rFonts w:ascii="Arial" w:hAnsi="Arial" w:cs="Arial"/>
          <w:sz w:val="20"/>
          <w:szCs w:val="20"/>
        </w:rPr>
        <w:t>MNZ</w:t>
      </w:r>
      <w:r w:rsidRPr="00D83239">
        <w:rPr>
          <w:rFonts w:ascii="Arial" w:hAnsi="Arial" w:cs="Arial"/>
          <w:sz w:val="20"/>
          <w:szCs w:val="20"/>
        </w:rPr>
        <w:t xml:space="preserve">. </w:t>
      </w:r>
      <w:r w:rsidRPr="00D83239">
        <w:rPr>
          <w:rFonts w:ascii="Arial" w:hAnsi="Arial" w:cs="Arial"/>
          <w:bCs/>
          <w:sz w:val="20"/>
          <w:szCs w:val="20"/>
        </w:rPr>
        <w:t>V letu 2025 sta bili izdan</w:t>
      </w:r>
      <w:r w:rsidR="00453136">
        <w:rPr>
          <w:rFonts w:ascii="Arial" w:hAnsi="Arial" w:cs="Arial"/>
          <w:bCs/>
          <w:sz w:val="20"/>
          <w:szCs w:val="20"/>
        </w:rPr>
        <w:t>i</w:t>
      </w:r>
      <w:r w:rsidRPr="00D83239">
        <w:rPr>
          <w:rFonts w:ascii="Arial" w:hAnsi="Arial" w:cs="Arial"/>
          <w:bCs/>
          <w:sz w:val="20"/>
          <w:szCs w:val="20"/>
        </w:rPr>
        <w:t xml:space="preserve"> dve odločbi o potrditvi načrta fizičnega varovanja jedrskega objekta in ena odločba o potrditvi načrta fizičnega varovanja prevoza jedrskih snovi. </w:t>
      </w:r>
      <w:r w:rsidRPr="00D83239">
        <w:rPr>
          <w:rFonts w:ascii="Arial" w:hAnsi="Arial" w:cs="Arial"/>
          <w:sz w:val="20"/>
          <w:szCs w:val="20"/>
        </w:rPr>
        <w:t>Pripravljen je bil tudi prispevek MNZ v letnem poročilu Uprave R</w:t>
      </w:r>
      <w:r w:rsidR="00453136">
        <w:rPr>
          <w:rFonts w:ascii="Arial" w:hAnsi="Arial" w:cs="Arial"/>
          <w:sz w:val="20"/>
          <w:szCs w:val="20"/>
        </w:rPr>
        <w:t xml:space="preserve">epublike </w:t>
      </w:r>
      <w:r w:rsidRPr="00D83239">
        <w:rPr>
          <w:rFonts w:ascii="Arial" w:hAnsi="Arial" w:cs="Arial"/>
          <w:sz w:val="20"/>
          <w:szCs w:val="20"/>
        </w:rPr>
        <w:t>S</w:t>
      </w:r>
      <w:r w:rsidR="00453136">
        <w:rPr>
          <w:rFonts w:ascii="Arial" w:hAnsi="Arial" w:cs="Arial"/>
          <w:sz w:val="20"/>
          <w:szCs w:val="20"/>
        </w:rPr>
        <w:t>lovenije</w:t>
      </w:r>
      <w:r w:rsidRPr="00D83239">
        <w:rPr>
          <w:rFonts w:ascii="Arial" w:hAnsi="Arial" w:cs="Arial"/>
          <w:sz w:val="20"/>
          <w:szCs w:val="20"/>
        </w:rPr>
        <w:t xml:space="preserve"> za jedrsko varnost s področja fizičnega varovanja jedrskih objektov v Republiki Sloveniji. Komisija za fizično varovanje jedrskih objektov ter jedrskih in radioaktivnih snovi je bila sklicana dvakrat. </w:t>
      </w:r>
    </w:p>
    <w:p w14:paraId="0719EA00" w14:textId="6886B7B7" w:rsidR="00F01A1E" w:rsidRDefault="00F01A1E" w:rsidP="00D83239">
      <w:pPr>
        <w:spacing w:after="0" w:line="276" w:lineRule="auto"/>
        <w:jc w:val="both"/>
        <w:rPr>
          <w:rFonts w:ascii="Arial" w:hAnsi="Arial" w:cs="Arial"/>
          <w:sz w:val="20"/>
          <w:szCs w:val="20"/>
        </w:rPr>
      </w:pPr>
    </w:p>
    <w:p w14:paraId="1342E0A4" w14:textId="2FEC36F3" w:rsidR="00F01A1E" w:rsidRDefault="00F01A1E" w:rsidP="00D83239">
      <w:pPr>
        <w:spacing w:after="0" w:line="276" w:lineRule="auto"/>
        <w:jc w:val="both"/>
        <w:rPr>
          <w:rFonts w:ascii="Arial" w:hAnsi="Arial" w:cs="Arial"/>
          <w:sz w:val="20"/>
          <w:szCs w:val="20"/>
        </w:rPr>
      </w:pPr>
    </w:p>
    <w:p w14:paraId="1404C8F2" w14:textId="4CB3E4D3" w:rsidR="00F01A1E" w:rsidRDefault="00F01A1E" w:rsidP="00D83239">
      <w:pPr>
        <w:spacing w:after="0" w:line="276" w:lineRule="auto"/>
        <w:jc w:val="both"/>
        <w:rPr>
          <w:rFonts w:ascii="Arial" w:hAnsi="Arial" w:cs="Arial"/>
          <w:sz w:val="20"/>
          <w:szCs w:val="20"/>
        </w:rPr>
      </w:pPr>
    </w:p>
    <w:p w14:paraId="2C5E5DE0" w14:textId="4822D1F7" w:rsidR="00F01A1E" w:rsidRDefault="00F01A1E" w:rsidP="00D83239">
      <w:pPr>
        <w:spacing w:after="0" w:line="276" w:lineRule="auto"/>
        <w:jc w:val="both"/>
        <w:rPr>
          <w:rFonts w:ascii="Arial" w:hAnsi="Arial" w:cs="Arial"/>
          <w:sz w:val="20"/>
          <w:szCs w:val="20"/>
        </w:rPr>
      </w:pPr>
    </w:p>
    <w:p w14:paraId="7ADDDBA6" w14:textId="77777777" w:rsidR="00F01A1E" w:rsidRDefault="00F01A1E" w:rsidP="00D83239">
      <w:pPr>
        <w:spacing w:after="0" w:line="276" w:lineRule="auto"/>
        <w:jc w:val="both"/>
        <w:rPr>
          <w:rFonts w:ascii="Arial" w:hAnsi="Arial" w:cs="Arial"/>
          <w:sz w:val="20"/>
          <w:szCs w:val="20"/>
        </w:rPr>
      </w:pPr>
    </w:p>
    <w:p w14:paraId="6812A410" w14:textId="2ED90EFF" w:rsidR="00DB29C1" w:rsidRPr="00D83239" w:rsidRDefault="00DB29C1" w:rsidP="00D83239">
      <w:pPr>
        <w:tabs>
          <w:tab w:val="left" w:pos="2520"/>
        </w:tabs>
        <w:spacing w:after="0" w:line="276" w:lineRule="auto"/>
        <w:jc w:val="both"/>
        <w:rPr>
          <w:rFonts w:ascii="Arial" w:hAnsi="Arial" w:cs="Arial"/>
          <w:sz w:val="20"/>
          <w:szCs w:val="20"/>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
        <w:gridCol w:w="3454"/>
        <w:gridCol w:w="772"/>
        <w:gridCol w:w="772"/>
        <w:gridCol w:w="772"/>
        <w:gridCol w:w="772"/>
        <w:gridCol w:w="769"/>
        <w:gridCol w:w="772"/>
        <w:gridCol w:w="769"/>
      </w:tblGrid>
      <w:tr w:rsidR="00DB29C1" w:rsidRPr="00D83239" w14:paraId="0CAE0FA1" w14:textId="77777777" w:rsidTr="00DB29C1">
        <w:trPr>
          <w:trHeight w:val="396"/>
          <w:jc w:val="center"/>
        </w:trPr>
        <w:tc>
          <w:tcPr>
            <w:tcW w:w="3796" w:type="dxa"/>
            <w:gridSpan w:val="2"/>
            <w:shd w:val="clear" w:color="auto" w:fill="D9D9D9" w:themeFill="background1" w:themeFillShade="D9"/>
            <w:vAlign w:val="center"/>
            <w:hideMark/>
          </w:tcPr>
          <w:p w14:paraId="2E2CEF27" w14:textId="77777777" w:rsidR="00DB29C1" w:rsidRPr="00D83239" w:rsidRDefault="00DB29C1" w:rsidP="00D83239">
            <w:pPr>
              <w:spacing w:after="0" w:line="276" w:lineRule="auto"/>
              <w:jc w:val="both"/>
              <w:rPr>
                <w:rFonts w:ascii="Arial" w:eastAsia="Times New Roman" w:hAnsi="Arial" w:cs="Arial"/>
                <w:b/>
                <w:sz w:val="20"/>
                <w:szCs w:val="20"/>
                <w:lang w:eastAsia="sl-SI"/>
              </w:rPr>
            </w:pPr>
            <w:r w:rsidRPr="00D83239">
              <w:rPr>
                <w:rFonts w:ascii="Arial" w:eastAsia="Times New Roman" w:hAnsi="Arial" w:cs="Arial"/>
                <w:b/>
                <w:sz w:val="20"/>
                <w:szCs w:val="20"/>
                <w:lang w:eastAsia="sl-SI"/>
              </w:rPr>
              <w:t xml:space="preserve">Vrsta postopka  </w:t>
            </w:r>
          </w:p>
        </w:tc>
        <w:tc>
          <w:tcPr>
            <w:tcW w:w="772" w:type="dxa"/>
            <w:shd w:val="clear" w:color="auto" w:fill="D9D9D9" w:themeFill="background1" w:themeFillShade="D9"/>
            <w:vAlign w:val="center"/>
            <w:hideMark/>
          </w:tcPr>
          <w:p w14:paraId="0CDF6FE1"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2019</w:t>
            </w:r>
          </w:p>
        </w:tc>
        <w:tc>
          <w:tcPr>
            <w:tcW w:w="772" w:type="dxa"/>
            <w:shd w:val="clear" w:color="auto" w:fill="D9D9D9" w:themeFill="background1" w:themeFillShade="D9"/>
            <w:vAlign w:val="center"/>
            <w:hideMark/>
          </w:tcPr>
          <w:p w14:paraId="72D3D3DE"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2020</w:t>
            </w:r>
          </w:p>
        </w:tc>
        <w:tc>
          <w:tcPr>
            <w:tcW w:w="772" w:type="dxa"/>
            <w:shd w:val="clear" w:color="auto" w:fill="D9D9D9" w:themeFill="background1" w:themeFillShade="D9"/>
            <w:vAlign w:val="center"/>
            <w:hideMark/>
          </w:tcPr>
          <w:p w14:paraId="4373D047"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2021</w:t>
            </w:r>
          </w:p>
        </w:tc>
        <w:tc>
          <w:tcPr>
            <w:tcW w:w="772" w:type="dxa"/>
            <w:shd w:val="clear" w:color="auto" w:fill="D9D9D9" w:themeFill="background1" w:themeFillShade="D9"/>
            <w:vAlign w:val="center"/>
          </w:tcPr>
          <w:p w14:paraId="4D0A0B89"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2022</w:t>
            </w:r>
          </w:p>
        </w:tc>
        <w:tc>
          <w:tcPr>
            <w:tcW w:w="769" w:type="dxa"/>
            <w:tcBorders>
              <w:bottom w:val="single" w:sz="4" w:space="0" w:color="auto"/>
            </w:tcBorders>
            <w:shd w:val="clear" w:color="auto" w:fill="D9D9D9" w:themeFill="background1" w:themeFillShade="D9"/>
            <w:vAlign w:val="center"/>
          </w:tcPr>
          <w:p w14:paraId="15695526"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2023</w:t>
            </w:r>
          </w:p>
        </w:tc>
        <w:tc>
          <w:tcPr>
            <w:tcW w:w="772" w:type="dxa"/>
            <w:shd w:val="clear" w:color="auto" w:fill="D9D9D9" w:themeFill="background1" w:themeFillShade="D9"/>
            <w:vAlign w:val="center"/>
          </w:tcPr>
          <w:p w14:paraId="04F44622"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2024</w:t>
            </w:r>
          </w:p>
        </w:tc>
        <w:tc>
          <w:tcPr>
            <w:tcW w:w="769" w:type="dxa"/>
            <w:tcBorders>
              <w:bottom w:val="single" w:sz="4" w:space="0" w:color="auto"/>
            </w:tcBorders>
            <w:shd w:val="clear" w:color="auto" w:fill="D9D9D9" w:themeFill="background1" w:themeFillShade="D9"/>
            <w:vAlign w:val="center"/>
          </w:tcPr>
          <w:p w14:paraId="2A334A17" w14:textId="77777777" w:rsidR="00DB29C1" w:rsidRPr="00D83239" w:rsidRDefault="00DB29C1" w:rsidP="00773D58">
            <w:pPr>
              <w:spacing w:after="0"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2025</w:t>
            </w:r>
          </w:p>
        </w:tc>
      </w:tr>
      <w:tr w:rsidR="00DB29C1" w:rsidRPr="00D83239" w14:paraId="075E8296" w14:textId="77777777" w:rsidTr="004D0FCE">
        <w:trPr>
          <w:trHeight w:val="776"/>
          <w:jc w:val="center"/>
        </w:trPr>
        <w:tc>
          <w:tcPr>
            <w:tcW w:w="342" w:type="dxa"/>
            <w:vMerge w:val="restart"/>
            <w:hideMark/>
          </w:tcPr>
          <w:p w14:paraId="0C9A3A9B" w14:textId="77777777" w:rsidR="00DB29C1" w:rsidRPr="00D83239" w:rsidRDefault="00DB29C1" w:rsidP="00D83239">
            <w:pPr>
              <w:spacing w:after="0" w:line="276" w:lineRule="auto"/>
              <w:jc w:val="both"/>
              <w:rPr>
                <w:rFonts w:ascii="Arial" w:eastAsia="Times New Roman" w:hAnsi="Arial" w:cs="Arial"/>
                <w:sz w:val="20"/>
                <w:szCs w:val="20"/>
                <w:lang w:eastAsia="sl-SI"/>
              </w:rPr>
            </w:pPr>
          </w:p>
          <w:p w14:paraId="13C6F8BE"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1.</w:t>
            </w:r>
          </w:p>
        </w:tc>
        <w:tc>
          <w:tcPr>
            <w:tcW w:w="3454" w:type="dxa"/>
            <w:vAlign w:val="center"/>
            <w:hideMark/>
          </w:tcPr>
          <w:p w14:paraId="53415FD9" w14:textId="77777777" w:rsidR="00DB29C1" w:rsidRPr="00D83239" w:rsidRDefault="00DB29C1" w:rsidP="00773D58">
            <w:pPr>
              <w:spacing w:after="0" w:line="276" w:lineRule="auto"/>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Varovanje jedrskih objektov, snovi in prevozov jedrskih snovi</w:t>
            </w:r>
          </w:p>
        </w:tc>
        <w:tc>
          <w:tcPr>
            <w:tcW w:w="772" w:type="dxa"/>
            <w:vMerge w:val="restart"/>
            <w:shd w:val="clear" w:color="auto" w:fill="D9D9D9" w:themeFill="background1" w:themeFillShade="D9"/>
            <w:vAlign w:val="center"/>
            <w:hideMark/>
          </w:tcPr>
          <w:p w14:paraId="0E06E4F9"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398ACF77"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1D45EC1D"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1E7FCCE2"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r w:rsidRPr="00D83239">
              <w:rPr>
                <w:rFonts w:ascii="Arial" w:eastAsia="Times New Roman" w:hAnsi="Arial" w:cs="Arial"/>
                <w:sz w:val="20"/>
                <w:szCs w:val="20"/>
                <w:highlight w:val="lightGray"/>
                <w:lang w:eastAsia="sl-SI"/>
              </w:rPr>
              <w:t>2</w:t>
            </w:r>
          </w:p>
        </w:tc>
        <w:tc>
          <w:tcPr>
            <w:tcW w:w="772" w:type="dxa"/>
            <w:vMerge w:val="restart"/>
            <w:shd w:val="clear" w:color="auto" w:fill="D9D9D9" w:themeFill="background1" w:themeFillShade="D9"/>
            <w:vAlign w:val="center"/>
            <w:hideMark/>
          </w:tcPr>
          <w:p w14:paraId="27E3C45B"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67F0B11F"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17C7D8D7"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68D67D21"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r w:rsidRPr="00D83239">
              <w:rPr>
                <w:rFonts w:ascii="Arial" w:eastAsia="Times New Roman" w:hAnsi="Arial" w:cs="Arial"/>
                <w:sz w:val="20"/>
                <w:szCs w:val="20"/>
                <w:highlight w:val="lightGray"/>
                <w:lang w:eastAsia="sl-SI"/>
              </w:rPr>
              <w:t>3</w:t>
            </w:r>
          </w:p>
        </w:tc>
        <w:tc>
          <w:tcPr>
            <w:tcW w:w="772" w:type="dxa"/>
            <w:vMerge w:val="restart"/>
            <w:shd w:val="clear" w:color="auto" w:fill="D9D9D9" w:themeFill="background1" w:themeFillShade="D9"/>
            <w:vAlign w:val="center"/>
            <w:hideMark/>
          </w:tcPr>
          <w:p w14:paraId="078B50B4"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06A3CA95"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549F6AA7"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02CB6F2D"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r w:rsidRPr="00D83239">
              <w:rPr>
                <w:rFonts w:ascii="Arial" w:eastAsia="Times New Roman" w:hAnsi="Arial" w:cs="Arial"/>
                <w:sz w:val="20"/>
                <w:szCs w:val="20"/>
                <w:highlight w:val="lightGray"/>
                <w:lang w:eastAsia="sl-SI"/>
              </w:rPr>
              <w:t>1</w:t>
            </w:r>
          </w:p>
        </w:tc>
        <w:tc>
          <w:tcPr>
            <w:tcW w:w="772" w:type="dxa"/>
            <w:vMerge w:val="restart"/>
            <w:tcBorders>
              <w:right w:val="single" w:sz="4" w:space="0" w:color="auto"/>
            </w:tcBorders>
            <w:shd w:val="clear" w:color="auto" w:fill="D9D9D9" w:themeFill="background1" w:themeFillShade="D9"/>
            <w:vAlign w:val="center"/>
          </w:tcPr>
          <w:p w14:paraId="5174B10B"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04B8C679"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3FA2C169"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61E2AE7C"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r w:rsidRPr="00D83239">
              <w:rPr>
                <w:rFonts w:ascii="Arial" w:eastAsia="Times New Roman" w:hAnsi="Arial" w:cs="Arial"/>
                <w:sz w:val="20"/>
                <w:szCs w:val="20"/>
                <w:highlight w:val="lightGray"/>
                <w:lang w:eastAsia="sl-SI"/>
              </w:rPr>
              <w:t>3</w:t>
            </w:r>
          </w:p>
        </w:tc>
        <w:tc>
          <w:tcPr>
            <w:tcW w:w="769"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04CC6FA"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tc>
        <w:tc>
          <w:tcPr>
            <w:tcW w:w="772" w:type="dxa"/>
            <w:vMerge w:val="restart"/>
            <w:tcBorders>
              <w:left w:val="single" w:sz="4" w:space="0" w:color="auto"/>
              <w:right w:val="single" w:sz="4" w:space="0" w:color="auto"/>
            </w:tcBorders>
            <w:shd w:val="clear" w:color="auto" w:fill="D9D9D9" w:themeFill="background1" w:themeFillShade="D9"/>
            <w:vAlign w:val="center"/>
          </w:tcPr>
          <w:p w14:paraId="2C7A4F4C"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6B40CE5B"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3039584B"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22FD09FE"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r w:rsidRPr="00D83239">
              <w:rPr>
                <w:rFonts w:ascii="Arial" w:eastAsia="Times New Roman" w:hAnsi="Arial" w:cs="Arial"/>
                <w:sz w:val="20"/>
                <w:szCs w:val="20"/>
                <w:highlight w:val="lightGray"/>
                <w:lang w:eastAsia="sl-SI"/>
              </w:rPr>
              <w:t>1</w:t>
            </w:r>
          </w:p>
        </w:tc>
        <w:tc>
          <w:tcPr>
            <w:tcW w:w="769"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0751975"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tc>
      </w:tr>
      <w:tr w:rsidR="00DB29C1" w:rsidRPr="00D83239" w14:paraId="4D4D3D0E" w14:textId="77777777" w:rsidTr="004D0FCE">
        <w:trPr>
          <w:trHeight w:val="402"/>
          <w:jc w:val="center"/>
        </w:trPr>
        <w:tc>
          <w:tcPr>
            <w:tcW w:w="342" w:type="dxa"/>
            <w:vMerge/>
            <w:vAlign w:val="center"/>
            <w:hideMark/>
          </w:tcPr>
          <w:p w14:paraId="4FC4693E" w14:textId="77777777" w:rsidR="00DB29C1" w:rsidRPr="00D83239" w:rsidRDefault="00DB29C1" w:rsidP="00D83239">
            <w:pPr>
              <w:spacing w:after="0" w:line="276" w:lineRule="auto"/>
              <w:jc w:val="both"/>
              <w:rPr>
                <w:rFonts w:ascii="Arial" w:eastAsia="Times New Roman" w:hAnsi="Arial" w:cs="Arial"/>
                <w:sz w:val="20"/>
                <w:szCs w:val="20"/>
                <w:lang w:eastAsia="sl-SI"/>
              </w:rPr>
            </w:pPr>
          </w:p>
        </w:tc>
        <w:tc>
          <w:tcPr>
            <w:tcW w:w="3454" w:type="dxa"/>
            <w:vAlign w:val="center"/>
            <w:hideMark/>
          </w:tcPr>
          <w:p w14:paraId="3D064491" w14:textId="773FBF4E" w:rsidR="00DB29C1" w:rsidRPr="00D83239" w:rsidRDefault="00453136" w:rsidP="00773D58">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w:t>
            </w:r>
            <w:r w:rsidR="00DB29C1" w:rsidRPr="00D83239">
              <w:rPr>
                <w:rFonts w:ascii="Arial" w:eastAsia="Times New Roman" w:hAnsi="Arial" w:cs="Arial"/>
                <w:sz w:val="20"/>
                <w:szCs w:val="20"/>
                <w:lang w:eastAsia="sl-SI"/>
              </w:rPr>
              <w:t>izdaja odločb o potrditvi načrtov</w:t>
            </w:r>
          </w:p>
        </w:tc>
        <w:tc>
          <w:tcPr>
            <w:tcW w:w="772" w:type="dxa"/>
            <w:vMerge/>
            <w:shd w:val="clear" w:color="auto" w:fill="D9D9D9" w:themeFill="background1" w:themeFillShade="D9"/>
            <w:vAlign w:val="center"/>
            <w:hideMark/>
          </w:tcPr>
          <w:p w14:paraId="34814EBC"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tc>
        <w:tc>
          <w:tcPr>
            <w:tcW w:w="772" w:type="dxa"/>
            <w:vMerge/>
            <w:shd w:val="clear" w:color="auto" w:fill="D9D9D9" w:themeFill="background1" w:themeFillShade="D9"/>
            <w:vAlign w:val="center"/>
            <w:hideMark/>
          </w:tcPr>
          <w:p w14:paraId="5FB656E4"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tc>
        <w:tc>
          <w:tcPr>
            <w:tcW w:w="772" w:type="dxa"/>
            <w:vMerge/>
            <w:shd w:val="clear" w:color="auto" w:fill="D9D9D9" w:themeFill="background1" w:themeFillShade="D9"/>
            <w:vAlign w:val="center"/>
            <w:hideMark/>
          </w:tcPr>
          <w:p w14:paraId="71304570"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tc>
        <w:tc>
          <w:tcPr>
            <w:tcW w:w="772" w:type="dxa"/>
            <w:vMerge/>
            <w:tcBorders>
              <w:right w:val="single" w:sz="4" w:space="0" w:color="auto"/>
            </w:tcBorders>
            <w:shd w:val="clear" w:color="auto" w:fill="D9D9D9" w:themeFill="background1" w:themeFillShade="D9"/>
            <w:vAlign w:val="center"/>
          </w:tcPr>
          <w:p w14:paraId="63E4C702"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tc>
        <w:tc>
          <w:tcPr>
            <w:tcW w:w="76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B3722A" w14:textId="77777777" w:rsidR="00DB29C1" w:rsidRPr="00D83239" w:rsidRDefault="00DB29C1" w:rsidP="004D0FCE">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2</w:t>
            </w:r>
          </w:p>
        </w:tc>
        <w:tc>
          <w:tcPr>
            <w:tcW w:w="772" w:type="dxa"/>
            <w:vMerge/>
            <w:tcBorders>
              <w:left w:val="single" w:sz="4" w:space="0" w:color="auto"/>
              <w:right w:val="single" w:sz="4" w:space="0" w:color="auto"/>
            </w:tcBorders>
            <w:shd w:val="clear" w:color="auto" w:fill="D9D9D9" w:themeFill="background1" w:themeFillShade="D9"/>
            <w:vAlign w:val="center"/>
          </w:tcPr>
          <w:p w14:paraId="312F9850"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tc>
        <w:tc>
          <w:tcPr>
            <w:tcW w:w="76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F313DA"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r w:rsidRPr="00D83239">
              <w:rPr>
                <w:rFonts w:ascii="Arial" w:eastAsia="Times New Roman" w:hAnsi="Arial" w:cs="Arial"/>
                <w:sz w:val="20"/>
                <w:szCs w:val="20"/>
                <w:highlight w:val="lightGray"/>
                <w:lang w:eastAsia="sl-SI"/>
              </w:rPr>
              <w:t>3</w:t>
            </w:r>
          </w:p>
        </w:tc>
      </w:tr>
      <w:tr w:rsidR="00DB29C1" w:rsidRPr="00D83239" w14:paraId="53689196" w14:textId="77777777" w:rsidTr="004D0FCE">
        <w:trPr>
          <w:trHeight w:val="430"/>
          <w:jc w:val="center"/>
        </w:trPr>
        <w:tc>
          <w:tcPr>
            <w:tcW w:w="342" w:type="dxa"/>
            <w:vAlign w:val="center"/>
            <w:hideMark/>
          </w:tcPr>
          <w:p w14:paraId="272C1808"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2.</w:t>
            </w:r>
          </w:p>
        </w:tc>
        <w:tc>
          <w:tcPr>
            <w:tcW w:w="3454" w:type="dxa"/>
            <w:vAlign w:val="center"/>
            <w:hideMark/>
          </w:tcPr>
          <w:p w14:paraId="61A2AB7E" w14:textId="77777777" w:rsidR="00DB29C1" w:rsidRPr="00D83239" w:rsidRDefault="00DB29C1" w:rsidP="00773D58">
            <w:pPr>
              <w:spacing w:after="0" w:line="276" w:lineRule="auto"/>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Varnostno preverjanje po ZVISJV-1</w:t>
            </w:r>
          </w:p>
        </w:tc>
        <w:tc>
          <w:tcPr>
            <w:tcW w:w="772" w:type="dxa"/>
            <w:vMerge w:val="restart"/>
            <w:shd w:val="clear" w:color="auto" w:fill="D9D9D9" w:themeFill="background1" w:themeFillShade="D9"/>
            <w:vAlign w:val="center"/>
            <w:hideMark/>
          </w:tcPr>
          <w:p w14:paraId="3899F0A4"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04B1A4B0"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r w:rsidRPr="00D83239">
              <w:rPr>
                <w:rFonts w:ascii="Arial" w:eastAsia="Times New Roman" w:hAnsi="Arial" w:cs="Arial"/>
                <w:sz w:val="20"/>
                <w:szCs w:val="20"/>
                <w:highlight w:val="lightGray"/>
                <w:lang w:eastAsia="sl-SI"/>
              </w:rPr>
              <w:t>453</w:t>
            </w:r>
          </w:p>
        </w:tc>
        <w:tc>
          <w:tcPr>
            <w:tcW w:w="772" w:type="dxa"/>
            <w:vMerge w:val="restart"/>
            <w:shd w:val="clear" w:color="auto" w:fill="D9D9D9" w:themeFill="background1" w:themeFillShade="D9"/>
            <w:vAlign w:val="center"/>
            <w:hideMark/>
          </w:tcPr>
          <w:p w14:paraId="2E07B700"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79044447"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r w:rsidRPr="00D83239">
              <w:rPr>
                <w:rFonts w:ascii="Arial" w:eastAsia="Times New Roman" w:hAnsi="Arial" w:cs="Arial"/>
                <w:sz w:val="20"/>
                <w:szCs w:val="20"/>
                <w:highlight w:val="lightGray"/>
                <w:lang w:eastAsia="sl-SI"/>
              </w:rPr>
              <w:t>307</w:t>
            </w:r>
          </w:p>
        </w:tc>
        <w:tc>
          <w:tcPr>
            <w:tcW w:w="772" w:type="dxa"/>
            <w:vMerge w:val="restart"/>
            <w:shd w:val="clear" w:color="auto" w:fill="D9D9D9" w:themeFill="background1" w:themeFillShade="D9"/>
            <w:vAlign w:val="center"/>
            <w:hideMark/>
          </w:tcPr>
          <w:p w14:paraId="33BC4A5C"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597D7AEB"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r w:rsidRPr="00D83239">
              <w:rPr>
                <w:rFonts w:ascii="Arial" w:eastAsia="Times New Roman" w:hAnsi="Arial" w:cs="Arial"/>
                <w:sz w:val="20"/>
                <w:szCs w:val="20"/>
                <w:highlight w:val="lightGray"/>
                <w:lang w:eastAsia="sl-SI"/>
              </w:rPr>
              <w:t>641</w:t>
            </w:r>
          </w:p>
        </w:tc>
        <w:tc>
          <w:tcPr>
            <w:tcW w:w="772" w:type="dxa"/>
            <w:vMerge w:val="restart"/>
            <w:tcBorders>
              <w:right w:val="single" w:sz="4" w:space="0" w:color="auto"/>
            </w:tcBorders>
            <w:shd w:val="clear" w:color="auto" w:fill="D9D9D9" w:themeFill="background1" w:themeFillShade="D9"/>
            <w:vAlign w:val="center"/>
          </w:tcPr>
          <w:p w14:paraId="3DE17EDC"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0ECC9092"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r w:rsidRPr="00D83239">
              <w:rPr>
                <w:rFonts w:ascii="Arial" w:eastAsia="Times New Roman" w:hAnsi="Arial" w:cs="Arial"/>
                <w:sz w:val="20"/>
                <w:szCs w:val="20"/>
                <w:highlight w:val="lightGray"/>
                <w:lang w:eastAsia="sl-SI"/>
              </w:rPr>
              <w:t>765</w:t>
            </w:r>
          </w:p>
        </w:tc>
        <w:tc>
          <w:tcPr>
            <w:tcW w:w="769"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8D2F1ED"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tc>
        <w:tc>
          <w:tcPr>
            <w:tcW w:w="772" w:type="dxa"/>
            <w:vMerge w:val="restart"/>
            <w:tcBorders>
              <w:left w:val="single" w:sz="4" w:space="0" w:color="auto"/>
              <w:right w:val="single" w:sz="4" w:space="0" w:color="auto"/>
            </w:tcBorders>
            <w:shd w:val="clear" w:color="auto" w:fill="D9D9D9" w:themeFill="background1" w:themeFillShade="D9"/>
            <w:vAlign w:val="center"/>
          </w:tcPr>
          <w:p w14:paraId="2F97F67A"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p w14:paraId="73D776F1"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r w:rsidRPr="00D83239">
              <w:rPr>
                <w:rFonts w:ascii="Arial" w:eastAsia="Times New Roman" w:hAnsi="Arial" w:cs="Arial"/>
                <w:sz w:val="20"/>
                <w:szCs w:val="20"/>
                <w:highlight w:val="lightGray"/>
                <w:lang w:eastAsia="sl-SI"/>
              </w:rPr>
              <w:t>608</w:t>
            </w:r>
          </w:p>
        </w:tc>
        <w:tc>
          <w:tcPr>
            <w:tcW w:w="769"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BFAE67A"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tc>
      </w:tr>
      <w:tr w:rsidR="00DB29C1" w:rsidRPr="00D83239" w14:paraId="18A2B2F7" w14:textId="77777777" w:rsidTr="004D0FCE">
        <w:trPr>
          <w:trHeight w:val="430"/>
          <w:jc w:val="center"/>
        </w:trPr>
        <w:tc>
          <w:tcPr>
            <w:tcW w:w="342" w:type="dxa"/>
            <w:vAlign w:val="center"/>
            <w:hideMark/>
          </w:tcPr>
          <w:p w14:paraId="6DA61B54"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w:t>
            </w:r>
          </w:p>
        </w:tc>
        <w:tc>
          <w:tcPr>
            <w:tcW w:w="3454" w:type="dxa"/>
            <w:vAlign w:val="center"/>
            <w:hideMark/>
          </w:tcPr>
          <w:p w14:paraId="18735EAD" w14:textId="1D8FC976" w:rsidR="00DB29C1" w:rsidRPr="00D83239" w:rsidRDefault="00453136" w:rsidP="00773D58">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00DB29C1" w:rsidRPr="00D83239">
              <w:rPr>
                <w:rFonts w:ascii="Arial" w:eastAsia="Times New Roman" w:hAnsi="Arial" w:cs="Arial"/>
                <w:sz w:val="20"/>
                <w:szCs w:val="20"/>
                <w:lang w:eastAsia="sl-SI"/>
              </w:rPr>
              <w:t xml:space="preserve"> število vseh zahtevkov v tekočem letu</w:t>
            </w:r>
          </w:p>
        </w:tc>
        <w:tc>
          <w:tcPr>
            <w:tcW w:w="772" w:type="dxa"/>
            <w:vMerge/>
            <w:vAlign w:val="center"/>
            <w:hideMark/>
          </w:tcPr>
          <w:p w14:paraId="1D03E1C0" w14:textId="77777777" w:rsidR="00DB29C1" w:rsidRPr="00D83239" w:rsidRDefault="00DB29C1" w:rsidP="004D0FCE">
            <w:pPr>
              <w:spacing w:after="0" w:line="276" w:lineRule="auto"/>
              <w:jc w:val="right"/>
              <w:rPr>
                <w:rFonts w:ascii="Arial" w:eastAsia="Times New Roman" w:hAnsi="Arial" w:cs="Arial"/>
                <w:sz w:val="20"/>
                <w:szCs w:val="20"/>
                <w:lang w:eastAsia="sl-SI"/>
              </w:rPr>
            </w:pPr>
          </w:p>
        </w:tc>
        <w:tc>
          <w:tcPr>
            <w:tcW w:w="772" w:type="dxa"/>
            <w:vMerge/>
            <w:vAlign w:val="center"/>
            <w:hideMark/>
          </w:tcPr>
          <w:p w14:paraId="38F8407E" w14:textId="77777777" w:rsidR="00DB29C1" w:rsidRPr="00D83239" w:rsidRDefault="00DB29C1" w:rsidP="004D0FCE">
            <w:pPr>
              <w:spacing w:after="0" w:line="276" w:lineRule="auto"/>
              <w:jc w:val="right"/>
              <w:rPr>
                <w:rFonts w:ascii="Arial" w:eastAsia="Times New Roman" w:hAnsi="Arial" w:cs="Arial"/>
                <w:sz w:val="20"/>
                <w:szCs w:val="20"/>
                <w:lang w:eastAsia="sl-SI"/>
              </w:rPr>
            </w:pPr>
          </w:p>
        </w:tc>
        <w:tc>
          <w:tcPr>
            <w:tcW w:w="772" w:type="dxa"/>
            <w:vMerge/>
            <w:vAlign w:val="center"/>
            <w:hideMark/>
          </w:tcPr>
          <w:p w14:paraId="26CEEF07" w14:textId="77777777" w:rsidR="00DB29C1" w:rsidRPr="00D83239" w:rsidRDefault="00DB29C1" w:rsidP="004D0FCE">
            <w:pPr>
              <w:spacing w:after="0" w:line="276" w:lineRule="auto"/>
              <w:jc w:val="right"/>
              <w:rPr>
                <w:rFonts w:ascii="Arial" w:eastAsia="Times New Roman" w:hAnsi="Arial" w:cs="Arial"/>
                <w:sz w:val="20"/>
                <w:szCs w:val="20"/>
                <w:lang w:eastAsia="sl-SI"/>
              </w:rPr>
            </w:pPr>
          </w:p>
        </w:tc>
        <w:tc>
          <w:tcPr>
            <w:tcW w:w="772" w:type="dxa"/>
            <w:vMerge/>
            <w:tcBorders>
              <w:right w:val="single" w:sz="4" w:space="0" w:color="auto"/>
            </w:tcBorders>
            <w:vAlign w:val="center"/>
          </w:tcPr>
          <w:p w14:paraId="6BB49D6E" w14:textId="77777777" w:rsidR="00DB29C1" w:rsidRPr="00D83239" w:rsidRDefault="00DB29C1" w:rsidP="004D0FCE">
            <w:pPr>
              <w:spacing w:after="0" w:line="276" w:lineRule="auto"/>
              <w:jc w:val="right"/>
              <w:rPr>
                <w:rFonts w:ascii="Arial" w:eastAsia="Times New Roman" w:hAnsi="Arial" w:cs="Arial"/>
                <w:sz w:val="20"/>
                <w:szCs w:val="20"/>
                <w:highlight w:val="lightGray"/>
                <w:lang w:eastAsia="sl-SI"/>
              </w:rPr>
            </w:pPr>
          </w:p>
        </w:tc>
        <w:tc>
          <w:tcPr>
            <w:tcW w:w="769" w:type="dxa"/>
            <w:tcBorders>
              <w:top w:val="nil"/>
              <w:left w:val="single" w:sz="4" w:space="0" w:color="auto"/>
              <w:bottom w:val="single" w:sz="4" w:space="0" w:color="auto"/>
              <w:right w:val="single" w:sz="4" w:space="0" w:color="auto"/>
            </w:tcBorders>
            <w:shd w:val="clear" w:color="auto" w:fill="D9D9D9" w:themeFill="background1" w:themeFillShade="D9"/>
          </w:tcPr>
          <w:p w14:paraId="0B088684" w14:textId="77777777" w:rsidR="00DB29C1" w:rsidRPr="00D83239" w:rsidRDefault="00DB29C1" w:rsidP="004D0FCE">
            <w:pPr>
              <w:spacing w:after="0" w:line="276" w:lineRule="auto"/>
              <w:jc w:val="center"/>
              <w:rPr>
                <w:rFonts w:ascii="Arial" w:eastAsia="Times New Roman" w:hAnsi="Arial" w:cs="Arial"/>
                <w:sz w:val="20"/>
                <w:szCs w:val="20"/>
                <w:lang w:eastAsia="sl-SI"/>
              </w:rPr>
            </w:pPr>
            <w:r w:rsidRPr="00D83239">
              <w:rPr>
                <w:rFonts w:ascii="Arial" w:eastAsia="Times New Roman" w:hAnsi="Arial" w:cs="Arial"/>
                <w:sz w:val="20"/>
                <w:szCs w:val="20"/>
                <w:lang w:eastAsia="sl-SI"/>
              </w:rPr>
              <w:t>181</w:t>
            </w:r>
          </w:p>
        </w:tc>
        <w:tc>
          <w:tcPr>
            <w:tcW w:w="772" w:type="dxa"/>
            <w:vMerge/>
            <w:tcBorders>
              <w:left w:val="single" w:sz="4" w:space="0" w:color="auto"/>
              <w:right w:val="single" w:sz="4" w:space="0" w:color="auto"/>
            </w:tcBorders>
          </w:tcPr>
          <w:p w14:paraId="611D2BAD" w14:textId="77777777" w:rsidR="00DB29C1" w:rsidRPr="00D83239" w:rsidRDefault="00DB29C1" w:rsidP="004D0FCE">
            <w:pPr>
              <w:spacing w:after="0" w:line="276" w:lineRule="auto"/>
              <w:jc w:val="center"/>
              <w:rPr>
                <w:rFonts w:ascii="Arial" w:eastAsia="Times New Roman" w:hAnsi="Arial" w:cs="Arial"/>
                <w:sz w:val="20"/>
                <w:szCs w:val="20"/>
                <w:lang w:eastAsia="sl-SI"/>
              </w:rPr>
            </w:pPr>
          </w:p>
        </w:tc>
        <w:tc>
          <w:tcPr>
            <w:tcW w:w="769" w:type="dxa"/>
            <w:tcBorders>
              <w:top w:val="nil"/>
              <w:left w:val="single" w:sz="4" w:space="0" w:color="auto"/>
              <w:bottom w:val="single" w:sz="4" w:space="0" w:color="auto"/>
              <w:right w:val="single" w:sz="4" w:space="0" w:color="auto"/>
            </w:tcBorders>
            <w:shd w:val="clear" w:color="auto" w:fill="D9D9D9" w:themeFill="background1" w:themeFillShade="D9"/>
          </w:tcPr>
          <w:p w14:paraId="37216EC1" w14:textId="77777777" w:rsidR="00DB29C1" w:rsidRPr="00D83239" w:rsidRDefault="00DB29C1" w:rsidP="004D0FCE">
            <w:pPr>
              <w:spacing w:after="0" w:line="276" w:lineRule="auto"/>
              <w:jc w:val="center"/>
              <w:rPr>
                <w:rFonts w:ascii="Arial" w:eastAsia="Times New Roman" w:hAnsi="Arial" w:cs="Arial"/>
                <w:sz w:val="20"/>
                <w:szCs w:val="20"/>
                <w:lang w:eastAsia="sl-SI"/>
              </w:rPr>
            </w:pPr>
            <w:r w:rsidRPr="00D83239">
              <w:rPr>
                <w:rFonts w:ascii="Arial" w:eastAsia="Times New Roman" w:hAnsi="Arial" w:cs="Arial"/>
                <w:sz w:val="20"/>
                <w:szCs w:val="20"/>
                <w:highlight w:val="lightGray"/>
                <w:lang w:eastAsia="sl-SI"/>
              </w:rPr>
              <w:t>6</w:t>
            </w:r>
            <w:r w:rsidRPr="00D83239">
              <w:rPr>
                <w:rFonts w:ascii="Arial" w:eastAsia="Times New Roman" w:hAnsi="Arial" w:cs="Arial"/>
                <w:sz w:val="20"/>
                <w:szCs w:val="20"/>
                <w:lang w:eastAsia="sl-SI"/>
              </w:rPr>
              <w:t>25</w:t>
            </w:r>
          </w:p>
        </w:tc>
      </w:tr>
      <w:tr w:rsidR="00DB29C1" w:rsidRPr="00D83239" w14:paraId="252D03DD" w14:textId="77777777" w:rsidTr="00DB29C1">
        <w:trPr>
          <w:trHeight w:val="430"/>
          <w:jc w:val="center"/>
        </w:trPr>
        <w:tc>
          <w:tcPr>
            <w:tcW w:w="342" w:type="dxa"/>
            <w:vAlign w:val="center"/>
            <w:hideMark/>
          </w:tcPr>
          <w:p w14:paraId="34B860D5"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w:t>
            </w:r>
          </w:p>
        </w:tc>
        <w:tc>
          <w:tcPr>
            <w:tcW w:w="3454" w:type="dxa"/>
            <w:vAlign w:val="center"/>
            <w:hideMark/>
          </w:tcPr>
          <w:p w14:paraId="2067A093" w14:textId="358BE2D9" w:rsidR="00DB29C1" w:rsidRPr="00D83239" w:rsidRDefault="00453136" w:rsidP="00773D58">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00DB29C1" w:rsidRPr="00D83239">
              <w:rPr>
                <w:rFonts w:ascii="Arial" w:eastAsia="Times New Roman" w:hAnsi="Arial" w:cs="Arial"/>
                <w:sz w:val="20"/>
                <w:szCs w:val="20"/>
                <w:lang w:eastAsia="sl-SI"/>
              </w:rPr>
              <w:t xml:space="preserve"> zavrženi</w:t>
            </w:r>
          </w:p>
        </w:tc>
        <w:tc>
          <w:tcPr>
            <w:tcW w:w="772" w:type="dxa"/>
            <w:vAlign w:val="center"/>
            <w:hideMark/>
          </w:tcPr>
          <w:p w14:paraId="4287EF09"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6</w:t>
            </w:r>
          </w:p>
        </w:tc>
        <w:tc>
          <w:tcPr>
            <w:tcW w:w="772" w:type="dxa"/>
            <w:vAlign w:val="center"/>
            <w:hideMark/>
          </w:tcPr>
          <w:p w14:paraId="73E9F89E"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0</w:t>
            </w:r>
          </w:p>
        </w:tc>
        <w:tc>
          <w:tcPr>
            <w:tcW w:w="772" w:type="dxa"/>
            <w:vAlign w:val="center"/>
            <w:hideMark/>
          </w:tcPr>
          <w:p w14:paraId="71F3C91F"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7</w:t>
            </w:r>
          </w:p>
        </w:tc>
        <w:tc>
          <w:tcPr>
            <w:tcW w:w="772" w:type="dxa"/>
            <w:vAlign w:val="center"/>
          </w:tcPr>
          <w:p w14:paraId="307790B1"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w:t>
            </w:r>
          </w:p>
        </w:tc>
        <w:tc>
          <w:tcPr>
            <w:tcW w:w="769" w:type="dxa"/>
            <w:tcBorders>
              <w:top w:val="single" w:sz="4" w:space="0" w:color="auto"/>
            </w:tcBorders>
            <w:vAlign w:val="center"/>
          </w:tcPr>
          <w:p w14:paraId="75F69576"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0</w:t>
            </w:r>
          </w:p>
        </w:tc>
        <w:tc>
          <w:tcPr>
            <w:tcW w:w="772" w:type="dxa"/>
            <w:vAlign w:val="center"/>
          </w:tcPr>
          <w:p w14:paraId="0FD0D4CB"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0</w:t>
            </w:r>
          </w:p>
        </w:tc>
        <w:tc>
          <w:tcPr>
            <w:tcW w:w="769" w:type="dxa"/>
            <w:tcBorders>
              <w:top w:val="single" w:sz="4" w:space="0" w:color="auto"/>
            </w:tcBorders>
            <w:vAlign w:val="center"/>
          </w:tcPr>
          <w:p w14:paraId="59802C36"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0</w:t>
            </w:r>
          </w:p>
        </w:tc>
      </w:tr>
      <w:tr w:rsidR="00DB29C1" w:rsidRPr="00D83239" w14:paraId="2948C418" w14:textId="77777777" w:rsidTr="00DB29C1">
        <w:trPr>
          <w:trHeight w:val="430"/>
          <w:jc w:val="center"/>
        </w:trPr>
        <w:tc>
          <w:tcPr>
            <w:tcW w:w="342" w:type="dxa"/>
            <w:vAlign w:val="center"/>
            <w:hideMark/>
          </w:tcPr>
          <w:p w14:paraId="4AF9EC82"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w:t>
            </w:r>
          </w:p>
        </w:tc>
        <w:tc>
          <w:tcPr>
            <w:tcW w:w="3454" w:type="dxa"/>
            <w:vAlign w:val="center"/>
            <w:hideMark/>
          </w:tcPr>
          <w:p w14:paraId="70F30C0B" w14:textId="1BBC7265" w:rsidR="00DB29C1" w:rsidRPr="00D83239" w:rsidRDefault="00453136" w:rsidP="00773D58">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00DB29C1" w:rsidRPr="00D83239">
              <w:rPr>
                <w:rFonts w:ascii="Arial" w:eastAsia="Times New Roman" w:hAnsi="Arial" w:cs="Arial"/>
                <w:sz w:val="20"/>
                <w:szCs w:val="20"/>
                <w:lang w:eastAsia="sl-SI"/>
              </w:rPr>
              <w:t xml:space="preserve"> ustavljeni</w:t>
            </w:r>
          </w:p>
        </w:tc>
        <w:tc>
          <w:tcPr>
            <w:tcW w:w="772" w:type="dxa"/>
            <w:vAlign w:val="center"/>
            <w:hideMark/>
          </w:tcPr>
          <w:p w14:paraId="3721F383"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2</w:t>
            </w:r>
          </w:p>
        </w:tc>
        <w:tc>
          <w:tcPr>
            <w:tcW w:w="772" w:type="dxa"/>
            <w:vAlign w:val="center"/>
            <w:hideMark/>
          </w:tcPr>
          <w:p w14:paraId="2C87C9A0"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w:t>
            </w:r>
          </w:p>
        </w:tc>
        <w:tc>
          <w:tcPr>
            <w:tcW w:w="772" w:type="dxa"/>
            <w:vAlign w:val="center"/>
            <w:hideMark/>
          </w:tcPr>
          <w:p w14:paraId="704EBB37"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8</w:t>
            </w:r>
          </w:p>
        </w:tc>
        <w:tc>
          <w:tcPr>
            <w:tcW w:w="772" w:type="dxa"/>
            <w:vAlign w:val="center"/>
          </w:tcPr>
          <w:p w14:paraId="177120BF"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7</w:t>
            </w:r>
          </w:p>
        </w:tc>
        <w:tc>
          <w:tcPr>
            <w:tcW w:w="769" w:type="dxa"/>
            <w:vAlign w:val="center"/>
          </w:tcPr>
          <w:p w14:paraId="6A020B49"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0</w:t>
            </w:r>
          </w:p>
        </w:tc>
        <w:tc>
          <w:tcPr>
            <w:tcW w:w="772" w:type="dxa"/>
            <w:vAlign w:val="center"/>
          </w:tcPr>
          <w:p w14:paraId="6B77EFCB"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w:t>
            </w:r>
          </w:p>
        </w:tc>
        <w:tc>
          <w:tcPr>
            <w:tcW w:w="769" w:type="dxa"/>
            <w:vAlign w:val="center"/>
          </w:tcPr>
          <w:p w14:paraId="73373DBF"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18</w:t>
            </w:r>
          </w:p>
        </w:tc>
      </w:tr>
      <w:tr w:rsidR="00DB29C1" w:rsidRPr="00D83239" w14:paraId="605FD5E0" w14:textId="77777777" w:rsidTr="00DB29C1">
        <w:trPr>
          <w:trHeight w:val="430"/>
          <w:jc w:val="center"/>
        </w:trPr>
        <w:tc>
          <w:tcPr>
            <w:tcW w:w="342" w:type="dxa"/>
            <w:vAlign w:val="center"/>
            <w:hideMark/>
          </w:tcPr>
          <w:p w14:paraId="6797A25C"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w:t>
            </w:r>
          </w:p>
        </w:tc>
        <w:tc>
          <w:tcPr>
            <w:tcW w:w="3454" w:type="dxa"/>
            <w:vAlign w:val="center"/>
            <w:hideMark/>
          </w:tcPr>
          <w:p w14:paraId="3F3C94DD" w14:textId="654323B5" w:rsidR="00DB29C1" w:rsidRPr="00D83239" w:rsidRDefault="00453136" w:rsidP="00773D58">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00DB29C1" w:rsidRPr="00D83239">
              <w:rPr>
                <w:rFonts w:ascii="Arial" w:eastAsia="Times New Roman" w:hAnsi="Arial" w:cs="Arial"/>
                <w:sz w:val="20"/>
                <w:szCs w:val="20"/>
                <w:lang w:eastAsia="sl-SI"/>
              </w:rPr>
              <w:t xml:space="preserve"> zavrnjeni</w:t>
            </w:r>
          </w:p>
        </w:tc>
        <w:tc>
          <w:tcPr>
            <w:tcW w:w="772" w:type="dxa"/>
            <w:vAlign w:val="center"/>
            <w:hideMark/>
          </w:tcPr>
          <w:p w14:paraId="1227BC47"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2</w:t>
            </w:r>
          </w:p>
        </w:tc>
        <w:tc>
          <w:tcPr>
            <w:tcW w:w="772" w:type="dxa"/>
            <w:vAlign w:val="center"/>
            <w:hideMark/>
          </w:tcPr>
          <w:p w14:paraId="196EA90A"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0</w:t>
            </w:r>
          </w:p>
        </w:tc>
        <w:tc>
          <w:tcPr>
            <w:tcW w:w="772" w:type="dxa"/>
            <w:vAlign w:val="center"/>
            <w:hideMark/>
          </w:tcPr>
          <w:p w14:paraId="4557B5C8"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w:t>
            </w:r>
          </w:p>
        </w:tc>
        <w:tc>
          <w:tcPr>
            <w:tcW w:w="772" w:type="dxa"/>
            <w:vAlign w:val="center"/>
          </w:tcPr>
          <w:p w14:paraId="50E588A1"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w:t>
            </w:r>
          </w:p>
        </w:tc>
        <w:tc>
          <w:tcPr>
            <w:tcW w:w="769" w:type="dxa"/>
            <w:vAlign w:val="center"/>
          </w:tcPr>
          <w:p w14:paraId="10B77390"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0</w:t>
            </w:r>
          </w:p>
        </w:tc>
        <w:tc>
          <w:tcPr>
            <w:tcW w:w="772" w:type="dxa"/>
            <w:vAlign w:val="center"/>
          </w:tcPr>
          <w:p w14:paraId="68D92471"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12</w:t>
            </w:r>
          </w:p>
        </w:tc>
        <w:tc>
          <w:tcPr>
            <w:tcW w:w="769" w:type="dxa"/>
            <w:vAlign w:val="center"/>
          </w:tcPr>
          <w:p w14:paraId="6D57E7AD"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2</w:t>
            </w:r>
          </w:p>
        </w:tc>
      </w:tr>
      <w:tr w:rsidR="00DB29C1" w:rsidRPr="00D83239" w14:paraId="4E3E636C" w14:textId="77777777" w:rsidTr="00DB29C1">
        <w:trPr>
          <w:trHeight w:val="430"/>
          <w:jc w:val="center"/>
        </w:trPr>
        <w:tc>
          <w:tcPr>
            <w:tcW w:w="342" w:type="dxa"/>
            <w:vAlign w:val="center"/>
            <w:hideMark/>
          </w:tcPr>
          <w:p w14:paraId="579CE04B"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w:t>
            </w:r>
          </w:p>
        </w:tc>
        <w:tc>
          <w:tcPr>
            <w:tcW w:w="3454" w:type="dxa"/>
            <w:vAlign w:val="center"/>
            <w:hideMark/>
          </w:tcPr>
          <w:p w14:paraId="385588FE" w14:textId="10278193" w:rsidR="00DB29C1" w:rsidRPr="00D83239" w:rsidRDefault="00453136" w:rsidP="00773D58">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00DB29C1" w:rsidRPr="00D83239">
              <w:rPr>
                <w:rFonts w:ascii="Arial" w:eastAsia="Times New Roman" w:hAnsi="Arial" w:cs="Arial"/>
                <w:sz w:val="20"/>
                <w:szCs w:val="20"/>
                <w:lang w:eastAsia="sl-SI"/>
              </w:rPr>
              <w:t xml:space="preserve"> pozitivno rešeni</w:t>
            </w:r>
          </w:p>
        </w:tc>
        <w:tc>
          <w:tcPr>
            <w:tcW w:w="772" w:type="dxa"/>
            <w:vAlign w:val="center"/>
            <w:hideMark/>
          </w:tcPr>
          <w:p w14:paraId="447559C1"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431</w:t>
            </w:r>
          </w:p>
        </w:tc>
        <w:tc>
          <w:tcPr>
            <w:tcW w:w="772" w:type="dxa"/>
            <w:vAlign w:val="center"/>
            <w:hideMark/>
          </w:tcPr>
          <w:p w14:paraId="65012704"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295</w:t>
            </w:r>
          </w:p>
        </w:tc>
        <w:tc>
          <w:tcPr>
            <w:tcW w:w="772" w:type="dxa"/>
            <w:vAlign w:val="center"/>
            <w:hideMark/>
          </w:tcPr>
          <w:p w14:paraId="78429F7D"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609</w:t>
            </w:r>
          </w:p>
        </w:tc>
        <w:tc>
          <w:tcPr>
            <w:tcW w:w="772" w:type="dxa"/>
            <w:vAlign w:val="center"/>
          </w:tcPr>
          <w:p w14:paraId="2EED72DA"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753</w:t>
            </w:r>
          </w:p>
        </w:tc>
        <w:tc>
          <w:tcPr>
            <w:tcW w:w="769" w:type="dxa"/>
            <w:vAlign w:val="center"/>
          </w:tcPr>
          <w:p w14:paraId="665BD329"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144</w:t>
            </w:r>
          </w:p>
        </w:tc>
        <w:tc>
          <w:tcPr>
            <w:tcW w:w="772" w:type="dxa"/>
            <w:vAlign w:val="center"/>
          </w:tcPr>
          <w:p w14:paraId="6BC0AE0C"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584</w:t>
            </w:r>
          </w:p>
        </w:tc>
        <w:tc>
          <w:tcPr>
            <w:tcW w:w="769" w:type="dxa"/>
            <w:vAlign w:val="center"/>
          </w:tcPr>
          <w:p w14:paraId="59E2009D"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635</w:t>
            </w:r>
          </w:p>
        </w:tc>
      </w:tr>
      <w:tr w:rsidR="00DB29C1" w:rsidRPr="00D83239" w14:paraId="074BC920" w14:textId="77777777" w:rsidTr="00DB29C1">
        <w:trPr>
          <w:trHeight w:val="430"/>
          <w:jc w:val="center"/>
        </w:trPr>
        <w:tc>
          <w:tcPr>
            <w:tcW w:w="342" w:type="dxa"/>
            <w:vAlign w:val="center"/>
            <w:hideMark/>
          </w:tcPr>
          <w:p w14:paraId="4A78FEA6" w14:textId="77777777" w:rsidR="00DB29C1" w:rsidRPr="00D83239" w:rsidRDefault="00DB29C1"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w:t>
            </w:r>
          </w:p>
        </w:tc>
        <w:tc>
          <w:tcPr>
            <w:tcW w:w="3454" w:type="dxa"/>
            <w:vAlign w:val="center"/>
            <w:hideMark/>
          </w:tcPr>
          <w:p w14:paraId="1ECE0D09" w14:textId="7A7607AB" w:rsidR="00DB29C1" w:rsidRPr="00D83239" w:rsidRDefault="00453136" w:rsidP="00773D58">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00DB29C1" w:rsidRPr="00D83239">
              <w:rPr>
                <w:rFonts w:ascii="Arial" w:eastAsia="Times New Roman" w:hAnsi="Arial" w:cs="Arial"/>
                <w:sz w:val="20"/>
                <w:szCs w:val="20"/>
                <w:lang w:eastAsia="sl-SI"/>
              </w:rPr>
              <w:t xml:space="preserve"> prenos v naslednje leto</w:t>
            </w:r>
          </w:p>
        </w:tc>
        <w:tc>
          <w:tcPr>
            <w:tcW w:w="772" w:type="dxa"/>
            <w:vAlign w:val="center"/>
            <w:hideMark/>
          </w:tcPr>
          <w:p w14:paraId="61D6C6DE"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12</w:t>
            </w:r>
          </w:p>
        </w:tc>
        <w:tc>
          <w:tcPr>
            <w:tcW w:w="772" w:type="dxa"/>
            <w:vAlign w:val="center"/>
            <w:hideMark/>
          </w:tcPr>
          <w:p w14:paraId="0798201F"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9</w:t>
            </w:r>
          </w:p>
        </w:tc>
        <w:tc>
          <w:tcPr>
            <w:tcW w:w="772" w:type="dxa"/>
            <w:vAlign w:val="center"/>
            <w:hideMark/>
          </w:tcPr>
          <w:p w14:paraId="72150732"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16</w:t>
            </w:r>
          </w:p>
        </w:tc>
        <w:tc>
          <w:tcPr>
            <w:tcW w:w="772" w:type="dxa"/>
            <w:vAlign w:val="center"/>
          </w:tcPr>
          <w:p w14:paraId="2BC20360"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w:t>
            </w:r>
          </w:p>
        </w:tc>
        <w:tc>
          <w:tcPr>
            <w:tcW w:w="769" w:type="dxa"/>
            <w:vAlign w:val="center"/>
          </w:tcPr>
          <w:p w14:paraId="4D08373E"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37</w:t>
            </w:r>
          </w:p>
        </w:tc>
        <w:tc>
          <w:tcPr>
            <w:tcW w:w="772" w:type="dxa"/>
            <w:vAlign w:val="center"/>
          </w:tcPr>
          <w:p w14:paraId="4F3C164C"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49</w:t>
            </w:r>
          </w:p>
        </w:tc>
        <w:tc>
          <w:tcPr>
            <w:tcW w:w="769" w:type="dxa"/>
            <w:vAlign w:val="center"/>
          </w:tcPr>
          <w:p w14:paraId="4F30341B" w14:textId="77777777" w:rsidR="00DB29C1" w:rsidRPr="00D83239" w:rsidRDefault="00DB29C1" w:rsidP="00773D58">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19</w:t>
            </w:r>
          </w:p>
        </w:tc>
      </w:tr>
    </w:tbl>
    <w:p w14:paraId="69A73545" w14:textId="77777777" w:rsidR="00773D58" w:rsidRDefault="00773D58" w:rsidP="00D83239">
      <w:pPr>
        <w:spacing w:after="0" w:line="276" w:lineRule="auto"/>
        <w:jc w:val="both"/>
        <w:rPr>
          <w:rFonts w:ascii="Arial" w:hAnsi="Arial" w:cs="Arial"/>
          <w:b/>
          <w:sz w:val="20"/>
          <w:szCs w:val="20"/>
        </w:rPr>
      </w:pPr>
    </w:p>
    <w:p w14:paraId="016F97E3" w14:textId="2F8D4A86" w:rsidR="00DB29C1" w:rsidRPr="00D83239" w:rsidRDefault="00DB29C1" w:rsidP="00D83239">
      <w:pPr>
        <w:spacing w:after="0" w:line="276" w:lineRule="auto"/>
        <w:jc w:val="both"/>
        <w:rPr>
          <w:rFonts w:ascii="Arial" w:hAnsi="Arial" w:cs="Arial"/>
          <w:sz w:val="20"/>
          <w:szCs w:val="20"/>
        </w:rPr>
      </w:pPr>
      <w:r w:rsidRPr="00D83239">
        <w:rPr>
          <w:rFonts w:ascii="Arial" w:hAnsi="Arial" w:cs="Arial"/>
          <w:b/>
          <w:sz w:val="20"/>
          <w:szCs w:val="20"/>
        </w:rPr>
        <w:t>Preglednica</w:t>
      </w:r>
      <w:r w:rsidRPr="00AF524B">
        <w:rPr>
          <w:rFonts w:ascii="Arial" w:hAnsi="Arial" w:cs="Arial"/>
          <w:sz w:val="20"/>
          <w:szCs w:val="20"/>
        </w:rPr>
        <w:t>:</w:t>
      </w:r>
      <w:r w:rsidRPr="00D83239">
        <w:rPr>
          <w:rFonts w:ascii="Arial" w:hAnsi="Arial" w:cs="Arial"/>
          <w:sz w:val="20"/>
          <w:szCs w:val="20"/>
        </w:rPr>
        <w:t xml:space="preserve"> Število postopkov na področju fizičnega varovanja jedrskih objektov, snovi in prevozov jedrskih snovi v obdobju 2019</w:t>
      </w:r>
      <w:r w:rsidR="00453136">
        <w:rPr>
          <w:rFonts w:ascii="Arial" w:hAnsi="Arial" w:cs="Arial"/>
          <w:sz w:val="20"/>
          <w:szCs w:val="20"/>
        </w:rPr>
        <w:t>–</w:t>
      </w:r>
      <w:r w:rsidRPr="00D83239">
        <w:rPr>
          <w:rFonts w:ascii="Arial" w:hAnsi="Arial" w:cs="Arial"/>
          <w:sz w:val="20"/>
          <w:szCs w:val="20"/>
        </w:rPr>
        <w:t>2025</w:t>
      </w:r>
    </w:p>
    <w:p w14:paraId="312288FA" w14:textId="77777777" w:rsidR="00DB29C1" w:rsidRPr="00D83239" w:rsidRDefault="00DB29C1" w:rsidP="00D83239">
      <w:pPr>
        <w:spacing w:after="0" w:line="276" w:lineRule="auto"/>
        <w:jc w:val="both"/>
        <w:rPr>
          <w:rFonts w:ascii="Arial" w:hAnsi="Arial" w:cs="Arial"/>
          <w:sz w:val="20"/>
          <w:szCs w:val="20"/>
        </w:rPr>
      </w:pPr>
    </w:p>
    <w:p w14:paraId="14EDAA6D" w14:textId="07A256B9" w:rsidR="00DB29C1" w:rsidRPr="00D83239" w:rsidRDefault="00DB29C1" w:rsidP="00D83239">
      <w:pPr>
        <w:spacing w:after="0" w:line="276" w:lineRule="auto"/>
        <w:jc w:val="both"/>
        <w:rPr>
          <w:rFonts w:ascii="Arial" w:hAnsi="Arial" w:cs="Arial"/>
          <w:sz w:val="20"/>
          <w:szCs w:val="20"/>
          <w:highlight w:val="yellow"/>
        </w:rPr>
      </w:pPr>
      <w:r w:rsidRPr="00D83239">
        <w:rPr>
          <w:rFonts w:ascii="Arial" w:hAnsi="Arial" w:cs="Arial"/>
          <w:sz w:val="20"/>
          <w:szCs w:val="20"/>
        </w:rPr>
        <w:t xml:space="preserve">Uslužbenec </w:t>
      </w:r>
      <w:r w:rsidR="00AA76FF">
        <w:rPr>
          <w:rFonts w:ascii="Arial" w:hAnsi="Arial" w:cs="Arial"/>
          <w:sz w:val="20"/>
          <w:szCs w:val="20"/>
        </w:rPr>
        <w:t>MNZ</w:t>
      </w:r>
      <w:r w:rsidRPr="00D83239">
        <w:rPr>
          <w:rFonts w:ascii="Arial" w:hAnsi="Arial" w:cs="Arial"/>
          <w:sz w:val="20"/>
          <w:szCs w:val="20"/>
        </w:rPr>
        <w:t xml:space="preserve"> se je udeležil dveh srečanj Mednarodne agencije za </w:t>
      </w:r>
      <w:r w:rsidR="00D14DE4">
        <w:rPr>
          <w:rFonts w:ascii="Arial" w:hAnsi="Arial" w:cs="Arial"/>
          <w:sz w:val="20"/>
          <w:szCs w:val="20"/>
        </w:rPr>
        <w:t>jedr</w:t>
      </w:r>
      <w:r w:rsidRPr="00D83239">
        <w:rPr>
          <w:rFonts w:ascii="Arial" w:hAnsi="Arial" w:cs="Arial"/>
          <w:sz w:val="20"/>
          <w:szCs w:val="20"/>
        </w:rPr>
        <w:t>sko energijo na Dunaju</w:t>
      </w:r>
      <w:r w:rsidR="00453136">
        <w:rPr>
          <w:rFonts w:ascii="Arial" w:hAnsi="Arial" w:cs="Arial"/>
          <w:sz w:val="20"/>
          <w:szCs w:val="20"/>
        </w:rPr>
        <w:t>,</w:t>
      </w:r>
      <w:r w:rsidRPr="00D83239">
        <w:rPr>
          <w:rFonts w:ascii="Arial" w:hAnsi="Arial" w:cs="Arial"/>
          <w:sz w:val="20"/>
          <w:szCs w:val="20"/>
        </w:rPr>
        <w:t xml:space="preserve"> in sicer 11</w:t>
      </w:r>
      <w:r w:rsidRPr="00D83239">
        <w:rPr>
          <w:rFonts w:ascii="Arial" w:hAnsi="Arial" w:cs="Arial"/>
          <w:bCs/>
          <w:color w:val="000000"/>
          <w:sz w:val="20"/>
          <w:szCs w:val="20"/>
        </w:rPr>
        <w:t xml:space="preserve">. tehničnega srečanja predstavnikov članic podpisnic konvencije o fizičnem varovanju jedrskih snovi </w:t>
      </w:r>
      <w:r w:rsidRPr="00D83239">
        <w:rPr>
          <w:rFonts w:ascii="Arial" w:hAnsi="Arial" w:cs="Arial"/>
          <w:sz w:val="20"/>
          <w:szCs w:val="20"/>
        </w:rPr>
        <w:t xml:space="preserve">(11th </w:t>
      </w:r>
      <w:proofErr w:type="spellStart"/>
      <w:r w:rsidRPr="00D83239">
        <w:rPr>
          <w:rFonts w:ascii="Arial" w:hAnsi="Arial" w:cs="Arial"/>
          <w:bCs/>
          <w:color w:val="000000"/>
          <w:sz w:val="20"/>
          <w:szCs w:val="20"/>
        </w:rPr>
        <w:t>Technical</w:t>
      </w:r>
      <w:proofErr w:type="spellEnd"/>
      <w:r w:rsidRPr="00D83239">
        <w:rPr>
          <w:rFonts w:ascii="Arial" w:hAnsi="Arial" w:cs="Arial"/>
          <w:bCs/>
          <w:color w:val="000000"/>
          <w:sz w:val="20"/>
          <w:szCs w:val="20"/>
        </w:rPr>
        <w:t xml:space="preserve"> Meeting </w:t>
      </w:r>
      <w:proofErr w:type="spellStart"/>
      <w:r w:rsidRPr="00D83239">
        <w:rPr>
          <w:rFonts w:ascii="Arial" w:hAnsi="Arial" w:cs="Arial"/>
          <w:bCs/>
          <w:color w:val="000000"/>
          <w:sz w:val="20"/>
          <w:szCs w:val="20"/>
        </w:rPr>
        <w:t>of</w:t>
      </w:r>
      <w:proofErr w:type="spellEnd"/>
      <w:r w:rsidRPr="00D83239">
        <w:rPr>
          <w:rFonts w:ascii="Arial" w:hAnsi="Arial" w:cs="Arial"/>
          <w:bCs/>
          <w:color w:val="000000"/>
          <w:sz w:val="20"/>
          <w:szCs w:val="20"/>
        </w:rPr>
        <w:t xml:space="preserve"> </w:t>
      </w:r>
      <w:proofErr w:type="spellStart"/>
      <w:r w:rsidRPr="00D83239">
        <w:rPr>
          <w:rFonts w:ascii="Arial" w:hAnsi="Arial" w:cs="Arial"/>
          <w:bCs/>
          <w:color w:val="000000"/>
          <w:sz w:val="20"/>
          <w:szCs w:val="20"/>
        </w:rPr>
        <w:t>the</w:t>
      </w:r>
      <w:proofErr w:type="spellEnd"/>
      <w:r w:rsidRPr="00D83239">
        <w:rPr>
          <w:rFonts w:ascii="Arial" w:hAnsi="Arial" w:cs="Arial"/>
          <w:bCs/>
          <w:color w:val="000000"/>
          <w:sz w:val="20"/>
          <w:szCs w:val="20"/>
        </w:rPr>
        <w:t xml:space="preserve"> </w:t>
      </w:r>
      <w:proofErr w:type="spellStart"/>
      <w:r w:rsidRPr="00D83239">
        <w:rPr>
          <w:rFonts w:ascii="Arial" w:hAnsi="Arial" w:cs="Arial"/>
          <w:bCs/>
          <w:color w:val="000000"/>
          <w:sz w:val="20"/>
          <w:szCs w:val="20"/>
        </w:rPr>
        <w:t>Representatives</w:t>
      </w:r>
      <w:proofErr w:type="spellEnd"/>
      <w:r w:rsidRPr="00D83239">
        <w:rPr>
          <w:rFonts w:ascii="Arial" w:hAnsi="Arial" w:cs="Arial"/>
          <w:bCs/>
          <w:color w:val="000000"/>
          <w:sz w:val="20"/>
          <w:szCs w:val="20"/>
        </w:rPr>
        <w:t xml:space="preserve"> </w:t>
      </w:r>
      <w:proofErr w:type="spellStart"/>
      <w:r w:rsidRPr="00D83239">
        <w:rPr>
          <w:rFonts w:ascii="Arial" w:hAnsi="Arial" w:cs="Arial"/>
          <w:bCs/>
          <w:color w:val="000000"/>
          <w:sz w:val="20"/>
          <w:szCs w:val="20"/>
        </w:rPr>
        <w:t>of</w:t>
      </w:r>
      <w:proofErr w:type="spellEnd"/>
      <w:r w:rsidRPr="00D83239">
        <w:rPr>
          <w:rFonts w:ascii="Arial" w:hAnsi="Arial" w:cs="Arial"/>
          <w:bCs/>
          <w:color w:val="000000"/>
          <w:sz w:val="20"/>
          <w:szCs w:val="20"/>
        </w:rPr>
        <w:t xml:space="preserve"> </w:t>
      </w:r>
      <w:proofErr w:type="spellStart"/>
      <w:r w:rsidRPr="00D83239">
        <w:rPr>
          <w:rFonts w:ascii="Arial" w:hAnsi="Arial" w:cs="Arial"/>
          <w:bCs/>
          <w:color w:val="000000"/>
          <w:sz w:val="20"/>
          <w:szCs w:val="20"/>
        </w:rPr>
        <w:t>Parties</w:t>
      </w:r>
      <w:proofErr w:type="spellEnd"/>
      <w:r w:rsidRPr="00D83239">
        <w:rPr>
          <w:rFonts w:ascii="Arial" w:hAnsi="Arial" w:cs="Arial"/>
          <w:bCs/>
          <w:color w:val="000000"/>
          <w:sz w:val="20"/>
          <w:szCs w:val="20"/>
        </w:rPr>
        <w:t xml:space="preserve"> to </w:t>
      </w:r>
      <w:proofErr w:type="spellStart"/>
      <w:r w:rsidRPr="00D83239">
        <w:rPr>
          <w:rFonts w:ascii="Arial" w:hAnsi="Arial" w:cs="Arial"/>
          <w:bCs/>
          <w:color w:val="000000"/>
          <w:sz w:val="20"/>
          <w:szCs w:val="20"/>
        </w:rPr>
        <w:t>the</w:t>
      </w:r>
      <w:proofErr w:type="spellEnd"/>
      <w:r w:rsidRPr="00D83239">
        <w:rPr>
          <w:rFonts w:ascii="Arial" w:hAnsi="Arial" w:cs="Arial"/>
          <w:bCs/>
          <w:color w:val="000000"/>
          <w:sz w:val="20"/>
          <w:szCs w:val="20"/>
        </w:rPr>
        <w:t xml:space="preserve"> </w:t>
      </w:r>
      <w:proofErr w:type="spellStart"/>
      <w:r w:rsidRPr="00D83239">
        <w:rPr>
          <w:rFonts w:ascii="Arial" w:hAnsi="Arial" w:cs="Arial"/>
          <w:bCs/>
          <w:color w:val="000000"/>
          <w:sz w:val="20"/>
          <w:szCs w:val="20"/>
        </w:rPr>
        <w:t>Convention</w:t>
      </w:r>
      <w:proofErr w:type="spellEnd"/>
      <w:r w:rsidRPr="00D83239">
        <w:rPr>
          <w:rFonts w:ascii="Arial" w:hAnsi="Arial" w:cs="Arial"/>
          <w:bCs/>
          <w:color w:val="000000"/>
          <w:sz w:val="20"/>
          <w:szCs w:val="20"/>
        </w:rPr>
        <w:t xml:space="preserve"> on </w:t>
      </w:r>
      <w:proofErr w:type="spellStart"/>
      <w:r w:rsidRPr="00D83239">
        <w:rPr>
          <w:rFonts w:ascii="Arial" w:hAnsi="Arial" w:cs="Arial"/>
          <w:bCs/>
          <w:color w:val="000000"/>
          <w:sz w:val="20"/>
          <w:szCs w:val="20"/>
        </w:rPr>
        <w:t>the</w:t>
      </w:r>
      <w:proofErr w:type="spellEnd"/>
      <w:r w:rsidRPr="00D83239">
        <w:rPr>
          <w:rFonts w:ascii="Arial" w:hAnsi="Arial" w:cs="Arial"/>
          <w:bCs/>
          <w:color w:val="000000"/>
          <w:sz w:val="20"/>
          <w:szCs w:val="20"/>
        </w:rPr>
        <w:t xml:space="preserve"> </w:t>
      </w:r>
      <w:proofErr w:type="spellStart"/>
      <w:r w:rsidRPr="00D83239">
        <w:rPr>
          <w:rFonts w:ascii="Arial" w:hAnsi="Arial" w:cs="Arial"/>
          <w:bCs/>
          <w:color w:val="000000"/>
          <w:sz w:val="20"/>
          <w:szCs w:val="20"/>
        </w:rPr>
        <w:t>Physical</w:t>
      </w:r>
      <w:proofErr w:type="spellEnd"/>
      <w:r w:rsidRPr="00D83239">
        <w:rPr>
          <w:rFonts w:ascii="Arial" w:hAnsi="Arial" w:cs="Arial"/>
          <w:bCs/>
          <w:color w:val="000000"/>
          <w:sz w:val="20"/>
          <w:szCs w:val="20"/>
        </w:rPr>
        <w:t xml:space="preserve"> </w:t>
      </w:r>
      <w:proofErr w:type="spellStart"/>
      <w:r w:rsidRPr="00D83239">
        <w:rPr>
          <w:rFonts w:ascii="Arial" w:hAnsi="Arial" w:cs="Arial"/>
          <w:bCs/>
          <w:color w:val="000000"/>
          <w:sz w:val="20"/>
          <w:szCs w:val="20"/>
        </w:rPr>
        <w:t>Protection</w:t>
      </w:r>
      <w:proofErr w:type="spellEnd"/>
      <w:r w:rsidRPr="00D83239">
        <w:rPr>
          <w:rFonts w:ascii="Arial" w:hAnsi="Arial" w:cs="Arial"/>
          <w:bCs/>
          <w:color w:val="000000"/>
          <w:sz w:val="20"/>
          <w:szCs w:val="20"/>
        </w:rPr>
        <w:t xml:space="preserve"> </w:t>
      </w:r>
      <w:proofErr w:type="spellStart"/>
      <w:r w:rsidRPr="00D83239">
        <w:rPr>
          <w:rFonts w:ascii="Arial" w:hAnsi="Arial" w:cs="Arial"/>
          <w:bCs/>
          <w:color w:val="000000"/>
          <w:sz w:val="20"/>
          <w:szCs w:val="20"/>
        </w:rPr>
        <w:t>of</w:t>
      </w:r>
      <w:proofErr w:type="spellEnd"/>
      <w:r w:rsidRPr="00D83239">
        <w:rPr>
          <w:rFonts w:ascii="Arial" w:hAnsi="Arial" w:cs="Arial"/>
          <w:bCs/>
          <w:color w:val="000000"/>
          <w:sz w:val="20"/>
          <w:szCs w:val="20"/>
        </w:rPr>
        <w:t xml:space="preserve"> </w:t>
      </w:r>
      <w:proofErr w:type="spellStart"/>
      <w:r w:rsidRPr="00D83239">
        <w:rPr>
          <w:rFonts w:ascii="Arial" w:hAnsi="Arial" w:cs="Arial"/>
          <w:bCs/>
          <w:color w:val="000000"/>
          <w:sz w:val="20"/>
          <w:szCs w:val="20"/>
        </w:rPr>
        <w:t>Nuclear</w:t>
      </w:r>
      <w:proofErr w:type="spellEnd"/>
      <w:r w:rsidRPr="00D83239">
        <w:rPr>
          <w:rFonts w:ascii="Arial" w:hAnsi="Arial" w:cs="Arial"/>
          <w:bCs/>
          <w:color w:val="000000"/>
          <w:sz w:val="20"/>
          <w:szCs w:val="20"/>
        </w:rPr>
        <w:t xml:space="preserve"> Material (CPPNM) </w:t>
      </w:r>
      <w:proofErr w:type="spellStart"/>
      <w:r w:rsidRPr="00D83239">
        <w:rPr>
          <w:rFonts w:ascii="Arial" w:hAnsi="Arial" w:cs="Arial"/>
          <w:bCs/>
          <w:color w:val="000000"/>
          <w:sz w:val="20"/>
          <w:szCs w:val="20"/>
        </w:rPr>
        <w:t>and</w:t>
      </w:r>
      <w:proofErr w:type="spellEnd"/>
      <w:r w:rsidRPr="00D83239">
        <w:rPr>
          <w:rFonts w:ascii="Arial" w:hAnsi="Arial" w:cs="Arial"/>
          <w:bCs/>
          <w:color w:val="000000"/>
          <w:sz w:val="20"/>
          <w:szCs w:val="20"/>
        </w:rPr>
        <w:t xml:space="preserve"> </w:t>
      </w:r>
      <w:proofErr w:type="spellStart"/>
      <w:r w:rsidRPr="00D83239">
        <w:rPr>
          <w:rFonts w:ascii="Arial" w:hAnsi="Arial" w:cs="Arial"/>
          <w:bCs/>
          <w:color w:val="000000"/>
          <w:sz w:val="20"/>
          <w:szCs w:val="20"/>
        </w:rPr>
        <w:t>the</w:t>
      </w:r>
      <w:proofErr w:type="spellEnd"/>
      <w:r w:rsidRPr="00D83239">
        <w:rPr>
          <w:rFonts w:ascii="Arial" w:hAnsi="Arial" w:cs="Arial"/>
          <w:bCs/>
          <w:color w:val="000000"/>
          <w:sz w:val="20"/>
          <w:szCs w:val="20"/>
        </w:rPr>
        <w:t xml:space="preserve"> CPPNM </w:t>
      </w:r>
      <w:proofErr w:type="spellStart"/>
      <w:r w:rsidRPr="00D83239">
        <w:rPr>
          <w:rFonts w:ascii="Arial" w:hAnsi="Arial" w:cs="Arial"/>
          <w:bCs/>
          <w:color w:val="000000"/>
          <w:sz w:val="20"/>
          <w:szCs w:val="20"/>
        </w:rPr>
        <w:t>Amendment</w:t>
      </w:r>
      <w:proofErr w:type="spellEnd"/>
      <w:r w:rsidRPr="00D83239">
        <w:rPr>
          <w:rFonts w:ascii="Arial" w:hAnsi="Arial" w:cs="Arial"/>
          <w:bCs/>
          <w:color w:val="000000"/>
          <w:sz w:val="20"/>
          <w:szCs w:val="20"/>
        </w:rPr>
        <w:t>), ki je potekalo 18. in 19.</w:t>
      </w:r>
      <w:r w:rsidR="00453136">
        <w:rPr>
          <w:rFonts w:ascii="Arial" w:hAnsi="Arial" w:cs="Arial"/>
          <w:bCs/>
          <w:color w:val="000000"/>
          <w:sz w:val="20"/>
          <w:szCs w:val="20"/>
        </w:rPr>
        <w:t> </w:t>
      </w:r>
      <w:r w:rsidRPr="00D83239">
        <w:rPr>
          <w:rFonts w:ascii="Arial" w:hAnsi="Arial" w:cs="Arial"/>
          <w:bCs/>
          <w:color w:val="000000"/>
          <w:sz w:val="20"/>
          <w:szCs w:val="20"/>
        </w:rPr>
        <w:t>11.</w:t>
      </w:r>
      <w:r w:rsidR="00453136">
        <w:rPr>
          <w:rFonts w:ascii="Arial" w:hAnsi="Arial" w:cs="Arial"/>
          <w:bCs/>
          <w:color w:val="000000"/>
          <w:sz w:val="20"/>
          <w:szCs w:val="20"/>
        </w:rPr>
        <w:t> </w:t>
      </w:r>
      <w:r w:rsidRPr="00D83239">
        <w:rPr>
          <w:rFonts w:ascii="Arial" w:hAnsi="Arial" w:cs="Arial"/>
          <w:bCs/>
          <w:color w:val="000000"/>
          <w:sz w:val="20"/>
          <w:szCs w:val="20"/>
        </w:rPr>
        <w:t>2025, in t</w:t>
      </w:r>
      <w:r w:rsidRPr="00D83239">
        <w:rPr>
          <w:rFonts w:ascii="Arial" w:hAnsi="Arial" w:cs="Arial"/>
          <w:color w:val="000000"/>
          <w:sz w:val="20"/>
          <w:szCs w:val="20"/>
        </w:rPr>
        <w:t xml:space="preserve">ehničnega srečanja za spodbujanje </w:t>
      </w:r>
      <w:proofErr w:type="spellStart"/>
      <w:r w:rsidRPr="00D83239">
        <w:rPr>
          <w:rFonts w:ascii="Arial" w:hAnsi="Arial" w:cs="Arial"/>
          <w:color w:val="000000"/>
          <w:sz w:val="20"/>
          <w:szCs w:val="20"/>
        </w:rPr>
        <w:t>univerzalizacije</w:t>
      </w:r>
      <w:proofErr w:type="spellEnd"/>
      <w:r w:rsidRPr="00D83239">
        <w:rPr>
          <w:rFonts w:ascii="Arial" w:hAnsi="Arial" w:cs="Arial"/>
          <w:color w:val="000000"/>
          <w:sz w:val="20"/>
          <w:szCs w:val="20"/>
        </w:rPr>
        <w:t xml:space="preserve"> konvencije in amandmaja, ki je potekalo 20. in 21. 11. 2025</w:t>
      </w:r>
      <w:r w:rsidRPr="00D83239">
        <w:rPr>
          <w:rFonts w:ascii="Arial" w:hAnsi="Arial" w:cs="Arial"/>
          <w:bCs/>
          <w:color w:val="000000"/>
          <w:sz w:val="20"/>
          <w:szCs w:val="20"/>
        </w:rPr>
        <w:t xml:space="preserve">. Predstavniki MNZ so se udeležili letnega posveta </w:t>
      </w:r>
      <w:r w:rsidR="005D2EB5">
        <w:rPr>
          <w:rFonts w:ascii="Arial" w:hAnsi="Arial" w:cs="Arial"/>
          <w:bCs/>
          <w:color w:val="000000"/>
          <w:sz w:val="20"/>
          <w:szCs w:val="20"/>
        </w:rPr>
        <w:t>s</w:t>
      </w:r>
      <w:r w:rsidRPr="00D83239">
        <w:rPr>
          <w:rFonts w:ascii="Arial" w:hAnsi="Arial" w:cs="Arial"/>
          <w:bCs/>
          <w:color w:val="000000"/>
          <w:sz w:val="20"/>
          <w:szCs w:val="20"/>
        </w:rPr>
        <w:t xml:space="preserve">kupine za računalniško varnost v jedrskih objektih. </w:t>
      </w:r>
    </w:p>
    <w:p w14:paraId="7CAFE123" w14:textId="77777777" w:rsidR="00DB29C1" w:rsidRPr="00D83239" w:rsidRDefault="00DB29C1" w:rsidP="00D83239">
      <w:pPr>
        <w:spacing w:after="0" w:line="276" w:lineRule="auto"/>
        <w:jc w:val="both"/>
        <w:rPr>
          <w:rFonts w:ascii="Arial" w:hAnsi="Arial" w:cs="Arial"/>
          <w:sz w:val="20"/>
          <w:szCs w:val="20"/>
          <w:highlight w:val="yellow"/>
        </w:rPr>
      </w:pPr>
    </w:p>
    <w:p w14:paraId="025CF37E" w14:textId="1AD047D2"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Na področju </w:t>
      </w:r>
      <w:r w:rsidRPr="00D83239">
        <w:rPr>
          <w:rFonts w:ascii="Arial" w:hAnsi="Arial" w:cs="Arial"/>
          <w:b/>
          <w:sz w:val="20"/>
          <w:szCs w:val="20"/>
        </w:rPr>
        <w:t>hibridnih groženj</w:t>
      </w:r>
      <w:r w:rsidRPr="00D83239">
        <w:rPr>
          <w:rFonts w:ascii="Arial" w:hAnsi="Arial" w:cs="Arial"/>
          <w:sz w:val="20"/>
          <w:szCs w:val="20"/>
        </w:rPr>
        <w:t xml:space="preserve"> je</w:t>
      </w:r>
      <w:r w:rsidR="00AA76FF">
        <w:rPr>
          <w:rFonts w:ascii="Arial" w:hAnsi="Arial" w:cs="Arial"/>
          <w:sz w:val="20"/>
          <w:szCs w:val="20"/>
        </w:rPr>
        <w:t xml:space="preserve"> MNZ </w:t>
      </w:r>
      <w:r w:rsidRPr="00D83239">
        <w:rPr>
          <w:rFonts w:ascii="Arial" w:hAnsi="Arial" w:cs="Arial"/>
          <w:sz w:val="20"/>
          <w:szCs w:val="20"/>
        </w:rPr>
        <w:t xml:space="preserve">pripravljalo odgovore s področja notranje varnosti in skrbelo za redno poročanje o zaznavanju hibridnih groženj v okviru t. i. analize </w:t>
      </w:r>
      <w:r w:rsidR="00D14DE4" w:rsidRPr="00D83239">
        <w:rPr>
          <w:rFonts w:ascii="Arial" w:hAnsi="Arial" w:cs="Arial"/>
          <w:sz w:val="20"/>
          <w:szCs w:val="20"/>
        </w:rPr>
        <w:t xml:space="preserve">HTA </w:t>
      </w:r>
      <w:r w:rsidRPr="00D83239">
        <w:rPr>
          <w:rFonts w:ascii="Arial" w:hAnsi="Arial" w:cs="Arial"/>
          <w:sz w:val="20"/>
          <w:szCs w:val="20"/>
        </w:rPr>
        <w:t>(</w:t>
      </w:r>
      <w:proofErr w:type="spellStart"/>
      <w:r w:rsidRPr="00D83239">
        <w:rPr>
          <w:rFonts w:ascii="Arial" w:hAnsi="Arial" w:cs="Arial"/>
          <w:sz w:val="20"/>
          <w:szCs w:val="20"/>
        </w:rPr>
        <w:t>Hybrid</w:t>
      </w:r>
      <w:proofErr w:type="spellEnd"/>
      <w:r w:rsidRPr="00D83239">
        <w:rPr>
          <w:rFonts w:ascii="Arial" w:hAnsi="Arial" w:cs="Arial"/>
          <w:sz w:val="20"/>
          <w:szCs w:val="20"/>
        </w:rPr>
        <w:t xml:space="preserve"> Trend </w:t>
      </w:r>
      <w:proofErr w:type="spellStart"/>
      <w:r w:rsidRPr="00D83239">
        <w:rPr>
          <w:rFonts w:ascii="Arial" w:hAnsi="Arial" w:cs="Arial"/>
          <w:sz w:val="20"/>
          <w:szCs w:val="20"/>
        </w:rPr>
        <w:t>Analyis</w:t>
      </w:r>
      <w:proofErr w:type="spellEnd"/>
      <w:r w:rsidRPr="00D83239">
        <w:rPr>
          <w:rFonts w:ascii="Arial" w:hAnsi="Arial" w:cs="Arial"/>
          <w:sz w:val="20"/>
          <w:szCs w:val="20"/>
        </w:rPr>
        <w:t>).</w:t>
      </w:r>
    </w:p>
    <w:p w14:paraId="42F5D6B4" w14:textId="77777777" w:rsidR="00DB29C1" w:rsidRPr="00D83239" w:rsidRDefault="00DB29C1" w:rsidP="00D83239">
      <w:pPr>
        <w:spacing w:after="0" w:line="276" w:lineRule="auto"/>
        <w:jc w:val="both"/>
        <w:rPr>
          <w:rFonts w:ascii="Arial" w:hAnsi="Arial" w:cs="Arial"/>
          <w:sz w:val="20"/>
          <w:szCs w:val="20"/>
        </w:rPr>
      </w:pPr>
    </w:p>
    <w:p w14:paraId="6C3A9E7E" w14:textId="30DAAE28"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t xml:space="preserve">V okviru medresorske delovne skupine za </w:t>
      </w:r>
      <w:proofErr w:type="spellStart"/>
      <w:r w:rsidRPr="00D83239">
        <w:rPr>
          <w:rFonts w:ascii="Arial" w:hAnsi="Arial" w:cs="Arial"/>
          <w:b/>
          <w:sz w:val="20"/>
          <w:szCs w:val="20"/>
        </w:rPr>
        <w:t>protiterorizem</w:t>
      </w:r>
      <w:proofErr w:type="spellEnd"/>
      <w:r w:rsidRPr="00D83239">
        <w:rPr>
          <w:rFonts w:ascii="Arial" w:hAnsi="Arial" w:cs="Arial"/>
          <w:sz w:val="20"/>
          <w:szCs w:val="20"/>
        </w:rPr>
        <w:t xml:space="preserve"> je bilo pripravljeno poročilo o izvajanju Akcijskega načrta za preprečevanje terorizma in nasilnega ekstremizma za obdobje 2022–2024, ki izhaja iz </w:t>
      </w:r>
      <w:r w:rsidRPr="00D83239">
        <w:rPr>
          <w:rFonts w:ascii="Arial" w:eastAsia="Times New Roman" w:hAnsi="Arial" w:cs="Arial"/>
          <w:sz w:val="20"/>
          <w:szCs w:val="20"/>
          <w:u w:color="000000"/>
        </w:rPr>
        <w:t xml:space="preserve">leta 2019 sprejete Nacionalne strategije </w:t>
      </w:r>
      <w:r w:rsidRPr="00D83239">
        <w:rPr>
          <w:rFonts w:ascii="Arial" w:eastAsia="Times New Roman" w:hAnsi="Arial" w:cs="Arial"/>
          <w:sz w:val="20"/>
          <w:szCs w:val="20"/>
        </w:rPr>
        <w:t>za preprečevanje terorizma in nasilnega ekstremizma</w:t>
      </w:r>
      <w:r w:rsidRPr="00D83239">
        <w:rPr>
          <w:rFonts w:ascii="Arial" w:hAnsi="Arial" w:cs="Arial"/>
          <w:sz w:val="20"/>
          <w:szCs w:val="20"/>
        </w:rPr>
        <w:t>. Potekalo je sodelovanje v delovni skupini EU TWP (</w:t>
      </w:r>
      <w:proofErr w:type="spellStart"/>
      <w:r w:rsidRPr="00D83239">
        <w:rPr>
          <w:rFonts w:ascii="Arial" w:hAnsi="Arial" w:cs="Arial"/>
          <w:sz w:val="20"/>
          <w:szCs w:val="20"/>
        </w:rPr>
        <w:t>Terorrism</w:t>
      </w:r>
      <w:proofErr w:type="spellEnd"/>
      <w:r w:rsidRPr="00D83239">
        <w:rPr>
          <w:rFonts w:ascii="Arial" w:hAnsi="Arial" w:cs="Arial"/>
          <w:sz w:val="20"/>
          <w:szCs w:val="20"/>
        </w:rPr>
        <w:t xml:space="preserve"> </w:t>
      </w:r>
      <w:proofErr w:type="spellStart"/>
      <w:r w:rsidRPr="00D83239">
        <w:rPr>
          <w:rFonts w:ascii="Arial" w:hAnsi="Arial" w:cs="Arial"/>
          <w:sz w:val="20"/>
          <w:szCs w:val="20"/>
        </w:rPr>
        <w:t>Working</w:t>
      </w:r>
      <w:proofErr w:type="spellEnd"/>
      <w:r w:rsidRPr="00D83239">
        <w:rPr>
          <w:rFonts w:ascii="Arial" w:hAnsi="Arial" w:cs="Arial"/>
          <w:sz w:val="20"/>
          <w:szCs w:val="20"/>
        </w:rPr>
        <w:t xml:space="preserve"> </w:t>
      </w:r>
      <w:proofErr w:type="spellStart"/>
      <w:r w:rsidRPr="00D83239">
        <w:rPr>
          <w:rFonts w:ascii="Arial" w:hAnsi="Arial" w:cs="Arial"/>
          <w:sz w:val="20"/>
          <w:szCs w:val="20"/>
        </w:rPr>
        <w:t>Party</w:t>
      </w:r>
      <w:proofErr w:type="spellEnd"/>
      <w:r w:rsidRPr="00D83239">
        <w:rPr>
          <w:rFonts w:ascii="Arial" w:hAnsi="Arial" w:cs="Arial"/>
          <w:sz w:val="20"/>
          <w:szCs w:val="20"/>
        </w:rPr>
        <w:t>)</w:t>
      </w:r>
      <w:r w:rsidR="00453136">
        <w:rPr>
          <w:rFonts w:ascii="Arial" w:hAnsi="Arial" w:cs="Arial"/>
          <w:sz w:val="20"/>
          <w:szCs w:val="20"/>
        </w:rPr>
        <w:t>,</w:t>
      </w:r>
      <w:r w:rsidRPr="00D83239">
        <w:rPr>
          <w:rFonts w:ascii="Arial" w:hAnsi="Arial" w:cs="Arial"/>
          <w:sz w:val="20"/>
          <w:szCs w:val="20"/>
        </w:rPr>
        <w:t xml:space="preserve"> zlasti s področja zaščite javnih mest, dvakratno sodelovanje na </w:t>
      </w:r>
      <w:r w:rsidR="003A5747">
        <w:rPr>
          <w:rFonts w:ascii="Arial" w:hAnsi="Arial" w:cs="Arial"/>
          <w:sz w:val="20"/>
          <w:szCs w:val="20"/>
        </w:rPr>
        <w:t>f</w:t>
      </w:r>
      <w:r w:rsidRPr="00D83239">
        <w:rPr>
          <w:rFonts w:ascii="Arial" w:hAnsi="Arial" w:cs="Arial"/>
          <w:sz w:val="20"/>
          <w:szCs w:val="20"/>
        </w:rPr>
        <w:t xml:space="preserve">orumu </w:t>
      </w:r>
      <w:r w:rsidR="003A5747" w:rsidRPr="00D83239">
        <w:rPr>
          <w:rFonts w:ascii="Arial" w:hAnsi="Arial" w:cs="Arial"/>
          <w:sz w:val="20"/>
          <w:szCs w:val="20"/>
        </w:rPr>
        <w:t xml:space="preserve">EU </w:t>
      </w:r>
      <w:r w:rsidRPr="00D83239">
        <w:rPr>
          <w:rFonts w:ascii="Arial" w:hAnsi="Arial" w:cs="Arial"/>
          <w:sz w:val="20"/>
          <w:szCs w:val="20"/>
        </w:rPr>
        <w:t xml:space="preserve">za zaščito javnih mest (obakrat v Bruslju) ter aktivno sodelovanje v okviru medresorskih delovnih skupin za </w:t>
      </w:r>
      <w:proofErr w:type="spellStart"/>
      <w:r w:rsidRPr="00D83239">
        <w:rPr>
          <w:rFonts w:ascii="Arial" w:hAnsi="Arial" w:cs="Arial"/>
          <w:sz w:val="20"/>
          <w:szCs w:val="20"/>
        </w:rPr>
        <w:t>protiterorizem</w:t>
      </w:r>
      <w:proofErr w:type="spellEnd"/>
      <w:r w:rsidRPr="00D83239">
        <w:rPr>
          <w:rFonts w:ascii="Arial" w:hAnsi="Arial" w:cs="Arial"/>
          <w:sz w:val="20"/>
          <w:szCs w:val="20"/>
        </w:rPr>
        <w:t xml:space="preserve"> in preprečevanje radikalizacije. Potekalo je tudi sodelovanje z Ministrstvom za zdravje, Nacionalnim inštitutom za javno zdravje ter drugimi deležniki na področju priprav za mednarodni pregled PHEPA (</w:t>
      </w:r>
      <w:proofErr w:type="spellStart"/>
      <w:r w:rsidRPr="00D83239">
        <w:rPr>
          <w:rFonts w:ascii="Arial" w:hAnsi="Arial" w:cs="Arial"/>
          <w:sz w:val="20"/>
          <w:szCs w:val="20"/>
        </w:rPr>
        <w:t>Public</w:t>
      </w:r>
      <w:proofErr w:type="spellEnd"/>
      <w:r w:rsidRPr="00D83239">
        <w:rPr>
          <w:rFonts w:ascii="Arial" w:hAnsi="Arial" w:cs="Arial"/>
          <w:sz w:val="20"/>
          <w:szCs w:val="20"/>
        </w:rPr>
        <w:t xml:space="preserve"> </w:t>
      </w:r>
      <w:proofErr w:type="spellStart"/>
      <w:r w:rsidRPr="00D83239">
        <w:rPr>
          <w:rFonts w:ascii="Arial" w:hAnsi="Arial" w:cs="Arial"/>
          <w:sz w:val="20"/>
          <w:szCs w:val="20"/>
        </w:rPr>
        <w:t>Health</w:t>
      </w:r>
      <w:proofErr w:type="spellEnd"/>
      <w:r w:rsidRPr="00D83239">
        <w:rPr>
          <w:rFonts w:ascii="Arial" w:hAnsi="Arial" w:cs="Arial"/>
          <w:sz w:val="20"/>
          <w:szCs w:val="20"/>
        </w:rPr>
        <w:t xml:space="preserve"> </w:t>
      </w:r>
      <w:proofErr w:type="spellStart"/>
      <w:r w:rsidRPr="00D83239">
        <w:rPr>
          <w:rFonts w:ascii="Arial" w:hAnsi="Arial" w:cs="Arial"/>
          <w:sz w:val="20"/>
          <w:szCs w:val="20"/>
        </w:rPr>
        <w:t>Emergency</w:t>
      </w:r>
      <w:proofErr w:type="spellEnd"/>
      <w:r w:rsidRPr="00D83239">
        <w:rPr>
          <w:rFonts w:ascii="Arial" w:hAnsi="Arial" w:cs="Arial"/>
          <w:sz w:val="20"/>
          <w:szCs w:val="20"/>
        </w:rPr>
        <w:t xml:space="preserve"> </w:t>
      </w:r>
      <w:proofErr w:type="spellStart"/>
      <w:r w:rsidRPr="00D83239">
        <w:rPr>
          <w:rFonts w:ascii="Arial" w:hAnsi="Arial" w:cs="Arial"/>
          <w:sz w:val="20"/>
          <w:szCs w:val="20"/>
        </w:rPr>
        <w:t>Preparedness</w:t>
      </w:r>
      <w:proofErr w:type="spellEnd"/>
      <w:r w:rsidRPr="00D83239">
        <w:rPr>
          <w:rFonts w:ascii="Arial" w:hAnsi="Arial" w:cs="Arial"/>
          <w:sz w:val="20"/>
          <w:szCs w:val="20"/>
        </w:rPr>
        <w:t xml:space="preserve"> </w:t>
      </w:r>
      <w:proofErr w:type="spellStart"/>
      <w:r w:rsidRPr="00D83239">
        <w:rPr>
          <w:rFonts w:ascii="Arial" w:hAnsi="Arial" w:cs="Arial"/>
          <w:sz w:val="20"/>
          <w:szCs w:val="20"/>
        </w:rPr>
        <w:t>Assessement</w:t>
      </w:r>
      <w:proofErr w:type="spellEnd"/>
      <w:r w:rsidRPr="00D83239">
        <w:rPr>
          <w:rFonts w:ascii="Arial" w:hAnsi="Arial" w:cs="Arial"/>
          <w:sz w:val="20"/>
          <w:szCs w:val="20"/>
        </w:rPr>
        <w:t>), ki se izvaja v okviru ECDC (</w:t>
      </w:r>
      <w:proofErr w:type="spellStart"/>
      <w:r w:rsidRPr="00D83239">
        <w:rPr>
          <w:rFonts w:ascii="Arial" w:hAnsi="Arial" w:cs="Arial"/>
          <w:sz w:val="20"/>
          <w:szCs w:val="20"/>
        </w:rPr>
        <w:t>European</w:t>
      </w:r>
      <w:proofErr w:type="spellEnd"/>
      <w:r w:rsidRPr="00D83239">
        <w:rPr>
          <w:rFonts w:ascii="Arial" w:hAnsi="Arial" w:cs="Arial"/>
          <w:sz w:val="20"/>
          <w:szCs w:val="20"/>
        </w:rPr>
        <w:t xml:space="preserve"> Centre </w:t>
      </w:r>
      <w:proofErr w:type="spellStart"/>
      <w:r w:rsidRPr="00D83239">
        <w:rPr>
          <w:rFonts w:ascii="Arial" w:hAnsi="Arial" w:cs="Arial"/>
          <w:sz w:val="20"/>
          <w:szCs w:val="20"/>
        </w:rPr>
        <w:t>for</w:t>
      </w:r>
      <w:proofErr w:type="spellEnd"/>
      <w:r w:rsidRPr="00D83239">
        <w:rPr>
          <w:rFonts w:ascii="Arial" w:hAnsi="Arial" w:cs="Arial"/>
          <w:sz w:val="20"/>
          <w:szCs w:val="20"/>
        </w:rPr>
        <w:t xml:space="preserve"> </w:t>
      </w:r>
      <w:proofErr w:type="spellStart"/>
      <w:r w:rsidRPr="00D83239">
        <w:rPr>
          <w:rFonts w:ascii="Arial" w:hAnsi="Arial" w:cs="Arial"/>
          <w:sz w:val="20"/>
          <w:szCs w:val="20"/>
        </w:rPr>
        <w:t>Diesease</w:t>
      </w:r>
      <w:proofErr w:type="spellEnd"/>
      <w:r w:rsidRPr="00D83239">
        <w:rPr>
          <w:rFonts w:ascii="Arial" w:hAnsi="Arial" w:cs="Arial"/>
          <w:sz w:val="20"/>
          <w:szCs w:val="20"/>
        </w:rPr>
        <w:t xml:space="preserve"> </w:t>
      </w:r>
      <w:proofErr w:type="spellStart"/>
      <w:r w:rsidRPr="00D83239">
        <w:rPr>
          <w:rFonts w:ascii="Arial" w:hAnsi="Arial" w:cs="Arial"/>
          <w:sz w:val="20"/>
          <w:szCs w:val="20"/>
        </w:rPr>
        <w:t>Prevention</w:t>
      </w:r>
      <w:proofErr w:type="spellEnd"/>
      <w:r w:rsidRPr="00D83239">
        <w:rPr>
          <w:rFonts w:ascii="Arial" w:hAnsi="Arial" w:cs="Arial"/>
          <w:sz w:val="20"/>
          <w:szCs w:val="20"/>
        </w:rPr>
        <w:t xml:space="preserve"> </w:t>
      </w:r>
      <w:proofErr w:type="spellStart"/>
      <w:r w:rsidRPr="00D83239">
        <w:rPr>
          <w:rFonts w:ascii="Arial" w:hAnsi="Arial" w:cs="Arial"/>
          <w:sz w:val="20"/>
          <w:szCs w:val="20"/>
        </w:rPr>
        <w:t>and</w:t>
      </w:r>
      <w:proofErr w:type="spellEnd"/>
      <w:r w:rsidRPr="00D83239">
        <w:rPr>
          <w:rFonts w:ascii="Arial" w:hAnsi="Arial" w:cs="Arial"/>
          <w:sz w:val="20"/>
          <w:szCs w:val="20"/>
        </w:rPr>
        <w:t xml:space="preserve"> </w:t>
      </w:r>
      <w:proofErr w:type="spellStart"/>
      <w:r w:rsidRPr="00D83239">
        <w:rPr>
          <w:rFonts w:ascii="Arial" w:hAnsi="Arial" w:cs="Arial"/>
          <w:sz w:val="20"/>
          <w:szCs w:val="20"/>
        </w:rPr>
        <w:t>Control</w:t>
      </w:r>
      <w:proofErr w:type="spellEnd"/>
      <w:r w:rsidRPr="00D83239">
        <w:rPr>
          <w:rFonts w:ascii="Arial" w:hAnsi="Arial" w:cs="Arial"/>
          <w:sz w:val="20"/>
          <w:szCs w:val="20"/>
        </w:rPr>
        <w:t>). Predstavnica MNZ je bila vključena v pomoč pri politično</w:t>
      </w:r>
      <w:r w:rsidR="003A5747">
        <w:rPr>
          <w:rFonts w:ascii="Arial" w:hAnsi="Arial" w:cs="Arial"/>
          <w:sz w:val="20"/>
          <w:szCs w:val="20"/>
        </w:rPr>
        <w:t>-</w:t>
      </w:r>
      <w:r w:rsidRPr="00D83239">
        <w:rPr>
          <w:rFonts w:ascii="Arial" w:hAnsi="Arial" w:cs="Arial"/>
          <w:sz w:val="20"/>
          <w:szCs w:val="20"/>
        </w:rPr>
        <w:t>vojaških konzultacij</w:t>
      </w:r>
      <w:r w:rsidR="003A5747">
        <w:rPr>
          <w:rFonts w:ascii="Arial" w:hAnsi="Arial" w:cs="Arial"/>
          <w:sz w:val="20"/>
          <w:szCs w:val="20"/>
        </w:rPr>
        <w:t>ah</w:t>
      </w:r>
      <w:r w:rsidRPr="00D83239">
        <w:rPr>
          <w:rFonts w:ascii="Arial" w:hAnsi="Arial" w:cs="Arial"/>
          <w:sz w:val="20"/>
          <w:szCs w:val="20"/>
        </w:rPr>
        <w:t xml:space="preserve"> Globalne koalicije zoper </w:t>
      </w:r>
      <w:proofErr w:type="spellStart"/>
      <w:r w:rsidRPr="00D83239">
        <w:rPr>
          <w:rFonts w:ascii="Arial" w:hAnsi="Arial" w:cs="Arial"/>
          <w:sz w:val="20"/>
          <w:szCs w:val="20"/>
        </w:rPr>
        <w:t>Daesh</w:t>
      </w:r>
      <w:proofErr w:type="spellEnd"/>
      <w:r w:rsidRPr="00D83239">
        <w:rPr>
          <w:rFonts w:ascii="Arial" w:hAnsi="Arial" w:cs="Arial"/>
          <w:sz w:val="20"/>
          <w:szCs w:val="20"/>
        </w:rPr>
        <w:t xml:space="preserve"> (Islamske države) za potrebe dogodka na visoki ravni </w:t>
      </w:r>
      <w:r w:rsidR="00D14DE4">
        <w:rPr>
          <w:rFonts w:ascii="Arial" w:hAnsi="Arial" w:cs="Arial"/>
          <w:sz w:val="20"/>
          <w:szCs w:val="20"/>
        </w:rPr>
        <w:t xml:space="preserve">glede </w:t>
      </w:r>
      <w:r w:rsidRPr="00D83239">
        <w:rPr>
          <w:rFonts w:ascii="Arial" w:hAnsi="Arial" w:cs="Arial"/>
          <w:sz w:val="20"/>
          <w:szCs w:val="20"/>
        </w:rPr>
        <w:t>boja proti mednarodnem</w:t>
      </w:r>
      <w:r w:rsidR="00D14DE4">
        <w:rPr>
          <w:rFonts w:ascii="Arial" w:hAnsi="Arial" w:cs="Arial"/>
          <w:sz w:val="20"/>
          <w:szCs w:val="20"/>
        </w:rPr>
        <w:t>u</w:t>
      </w:r>
      <w:r w:rsidRPr="00D83239">
        <w:rPr>
          <w:rFonts w:ascii="Arial" w:hAnsi="Arial" w:cs="Arial"/>
          <w:sz w:val="20"/>
          <w:szCs w:val="20"/>
        </w:rPr>
        <w:t xml:space="preserve"> terorizmu.</w:t>
      </w:r>
    </w:p>
    <w:p w14:paraId="1FDF3638" w14:textId="77777777" w:rsidR="00DB29C1" w:rsidRPr="00D83239" w:rsidRDefault="00DB29C1" w:rsidP="00D83239">
      <w:pPr>
        <w:spacing w:after="0" w:line="276" w:lineRule="auto"/>
        <w:jc w:val="both"/>
        <w:rPr>
          <w:rFonts w:ascii="Arial" w:hAnsi="Arial" w:cs="Arial"/>
          <w:sz w:val="20"/>
          <w:szCs w:val="20"/>
        </w:rPr>
      </w:pPr>
    </w:p>
    <w:p w14:paraId="512FD24B" w14:textId="57CD5B60" w:rsidR="00DB29C1" w:rsidRPr="00D83239" w:rsidRDefault="00DB29C1" w:rsidP="00D83239">
      <w:pPr>
        <w:spacing w:after="0" w:line="276" w:lineRule="auto"/>
        <w:jc w:val="both"/>
        <w:rPr>
          <w:rFonts w:ascii="Arial" w:hAnsi="Arial" w:cs="Arial"/>
          <w:sz w:val="20"/>
          <w:szCs w:val="20"/>
        </w:rPr>
      </w:pPr>
      <w:r w:rsidRPr="00D83239">
        <w:rPr>
          <w:rFonts w:ascii="Arial" w:hAnsi="Arial" w:cs="Arial"/>
          <w:sz w:val="20"/>
          <w:szCs w:val="20"/>
        </w:rPr>
        <w:t>V okviru izvajanja nalog s področja varnostnega načrtovanja je v letu 2025 potekalo tudi več aktivnosti na področju usposabljanja za delo v spremenjenih varnostnih razmerah (predavanje članom štabov Civilne zaščite R</w:t>
      </w:r>
      <w:r w:rsidR="003A5747">
        <w:rPr>
          <w:rFonts w:ascii="Arial" w:hAnsi="Arial" w:cs="Arial"/>
          <w:sz w:val="20"/>
          <w:szCs w:val="20"/>
        </w:rPr>
        <w:t xml:space="preserve">epublike </w:t>
      </w:r>
      <w:r w:rsidRPr="00D83239">
        <w:rPr>
          <w:rFonts w:ascii="Arial" w:hAnsi="Arial" w:cs="Arial"/>
          <w:sz w:val="20"/>
          <w:szCs w:val="20"/>
        </w:rPr>
        <w:t>S</w:t>
      </w:r>
      <w:r w:rsidR="003A5747">
        <w:rPr>
          <w:rFonts w:ascii="Arial" w:hAnsi="Arial" w:cs="Arial"/>
          <w:sz w:val="20"/>
          <w:szCs w:val="20"/>
        </w:rPr>
        <w:t>lovenije</w:t>
      </w:r>
      <w:r w:rsidRPr="00D83239">
        <w:rPr>
          <w:rFonts w:ascii="Arial" w:hAnsi="Arial" w:cs="Arial"/>
          <w:sz w:val="20"/>
          <w:szCs w:val="20"/>
        </w:rPr>
        <w:t xml:space="preserve">, študentom medicine – seminar </w:t>
      </w:r>
      <w:proofErr w:type="spellStart"/>
      <w:r w:rsidRPr="00D83239">
        <w:rPr>
          <w:rFonts w:ascii="Arial" w:hAnsi="Arial" w:cs="Arial"/>
          <w:sz w:val="20"/>
          <w:szCs w:val="20"/>
        </w:rPr>
        <w:t>katastrofna</w:t>
      </w:r>
      <w:proofErr w:type="spellEnd"/>
      <w:r w:rsidRPr="00D83239">
        <w:rPr>
          <w:rFonts w:ascii="Arial" w:hAnsi="Arial" w:cs="Arial"/>
          <w:sz w:val="20"/>
          <w:szCs w:val="20"/>
        </w:rPr>
        <w:t xml:space="preserve"> medicina, predavanje </w:t>
      </w:r>
      <w:r w:rsidR="003A5747">
        <w:rPr>
          <w:rFonts w:ascii="Arial" w:hAnsi="Arial" w:cs="Arial"/>
          <w:sz w:val="20"/>
          <w:szCs w:val="20"/>
        </w:rPr>
        <w:t xml:space="preserve">s </w:t>
      </w:r>
      <w:r w:rsidRPr="00D83239">
        <w:rPr>
          <w:rFonts w:ascii="Arial" w:hAnsi="Arial" w:cs="Arial"/>
          <w:sz w:val="20"/>
          <w:szCs w:val="20"/>
        </w:rPr>
        <w:t>področja kriznega odzivanja in hibridnih groženj predstavnikom UKP). Predstavnica sektorja je sodelovala pri izvedbi in analizi usposabljanja vodstva Policije na področju kriznega komuniciranja.</w:t>
      </w:r>
    </w:p>
    <w:p w14:paraId="32A359D1" w14:textId="77777777" w:rsidR="00DB29C1" w:rsidRPr="00D83239" w:rsidRDefault="00DB29C1" w:rsidP="00D83239">
      <w:pPr>
        <w:spacing w:after="0" w:line="276" w:lineRule="auto"/>
        <w:jc w:val="both"/>
        <w:rPr>
          <w:rFonts w:ascii="Arial" w:hAnsi="Arial" w:cs="Arial"/>
          <w:sz w:val="20"/>
          <w:szCs w:val="20"/>
        </w:rPr>
      </w:pPr>
    </w:p>
    <w:p w14:paraId="3FB98735" w14:textId="362B2E08" w:rsidR="00DB29C1" w:rsidRPr="00D83239" w:rsidRDefault="00DB29C1" w:rsidP="00D83239">
      <w:pPr>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 xml:space="preserve">V sodelovanju s pristojnimi organizacijskimi enotami </w:t>
      </w:r>
      <w:r w:rsidR="00EF1CB0">
        <w:rPr>
          <w:rFonts w:ascii="Arial" w:hAnsi="Arial" w:cs="Arial"/>
          <w:color w:val="000000"/>
          <w:sz w:val="20"/>
          <w:szCs w:val="20"/>
          <w:lang w:eastAsia="sl-SI"/>
        </w:rPr>
        <w:t>GPU</w:t>
      </w:r>
      <w:r w:rsidRPr="00D83239">
        <w:rPr>
          <w:rFonts w:ascii="Arial" w:hAnsi="Arial" w:cs="Arial"/>
          <w:color w:val="000000"/>
          <w:sz w:val="20"/>
          <w:szCs w:val="20"/>
          <w:lang w:eastAsia="sl-SI"/>
        </w:rPr>
        <w:t xml:space="preserve"> so potekale aktivnosti zagotavljanja regulat</w:t>
      </w:r>
      <w:r w:rsidR="007B3D1F">
        <w:rPr>
          <w:rFonts w:ascii="Arial" w:hAnsi="Arial" w:cs="Arial"/>
          <w:color w:val="000000"/>
          <w:sz w:val="20"/>
          <w:szCs w:val="20"/>
          <w:lang w:eastAsia="sl-SI"/>
        </w:rPr>
        <w:t>iv</w:t>
      </w:r>
      <w:r w:rsidRPr="00D83239">
        <w:rPr>
          <w:rFonts w:ascii="Arial" w:hAnsi="Arial" w:cs="Arial"/>
          <w:color w:val="000000"/>
          <w:sz w:val="20"/>
          <w:szCs w:val="20"/>
          <w:lang w:eastAsia="sl-SI"/>
        </w:rPr>
        <w:t xml:space="preserve">nih zahtev iz tretjega odstavka 115. člena Zakona o elektronskih komunikacijah (ZEKom-2) v zvezi z zagotavljanjem komunikacije v sili za številko policije 113 in enotno evropsko telefonsko številko za prijavo pogrešanih otrok 116 000. Za </w:t>
      </w:r>
      <w:r w:rsidR="007B3D1F">
        <w:rPr>
          <w:rFonts w:ascii="Arial" w:hAnsi="Arial" w:cs="Arial"/>
          <w:color w:val="000000"/>
          <w:sz w:val="20"/>
          <w:szCs w:val="20"/>
          <w:lang w:eastAsia="sl-SI"/>
        </w:rPr>
        <w:t>uresničitev</w:t>
      </w:r>
      <w:r w:rsidR="007B3D1F" w:rsidRPr="00D83239">
        <w:rPr>
          <w:rFonts w:ascii="Arial" w:hAnsi="Arial" w:cs="Arial"/>
          <w:color w:val="000000"/>
          <w:sz w:val="20"/>
          <w:szCs w:val="20"/>
          <w:lang w:eastAsia="sl-SI"/>
        </w:rPr>
        <w:t xml:space="preserve"> </w:t>
      </w:r>
      <w:r w:rsidR="006D4072">
        <w:rPr>
          <w:rFonts w:ascii="Arial" w:hAnsi="Arial" w:cs="Arial"/>
          <w:color w:val="000000"/>
          <w:sz w:val="20"/>
          <w:szCs w:val="20"/>
          <w:lang w:eastAsia="sl-SI"/>
        </w:rPr>
        <w:t>l</w:t>
      </w:r>
      <w:r w:rsidRPr="00D83239">
        <w:rPr>
          <w:rFonts w:ascii="Arial" w:hAnsi="Arial" w:cs="Arial"/>
          <w:color w:val="000000"/>
          <w:sz w:val="20"/>
          <w:szCs w:val="20"/>
          <w:lang w:eastAsia="sl-SI"/>
        </w:rPr>
        <w:t xml:space="preserve">etne usmeritve MNZ (št. 6.8) </w:t>
      </w:r>
      <w:r w:rsidR="007B3D1F">
        <w:rPr>
          <w:rFonts w:ascii="Arial" w:hAnsi="Arial" w:cs="Arial"/>
          <w:color w:val="000000"/>
          <w:sz w:val="20"/>
          <w:szCs w:val="20"/>
          <w:lang w:eastAsia="sl-SI"/>
        </w:rPr>
        <w:t xml:space="preserve">se </w:t>
      </w:r>
      <w:r w:rsidRPr="00D83239">
        <w:rPr>
          <w:rFonts w:ascii="Arial" w:hAnsi="Arial" w:cs="Arial"/>
          <w:color w:val="000000"/>
          <w:sz w:val="20"/>
          <w:szCs w:val="20"/>
          <w:lang w:eastAsia="sl-SI"/>
        </w:rPr>
        <w:t xml:space="preserve">je </w:t>
      </w:r>
      <w:r w:rsidR="007B3D1F">
        <w:rPr>
          <w:rFonts w:ascii="Arial" w:hAnsi="Arial" w:cs="Arial"/>
          <w:color w:val="000000"/>
          <w:sz w:val="20"/>
          <w:szCs w:val="20"/>
          <w:lang w:eastAsia="sl-SI"/>
        </w:rPr>
        <w:t xml:space="preserve">nadaljevalo </w:t>
      </w:r>
      <w:r w:rsidRPr="00D83239">
        <w:rPr>
          <w:rFonts w:ascii="Arial" w:hAnsi="Arial" w:cs="Arial"/>
          <w:color w:val="000000"/>
          <w:sz w:val="20"/>
          <w:szCs w:val="20"/>
          <w:lang w:eastAsia="sl-SI"/>
        </w:rPr>
        <w:t xml:space="preserve">sodelovanje pri izvajanju nalog v </w:t>
      </w:r>
      <w:r w:rsidR="005D2EB5">
        <w:rPr>
          <w:rFonts w:ascii="Arial" w:hAnsi="Arial" w:cs="Arial"/>
          <w:color w:val="000000"/>
          <w:sz w:val="20"/>
          <w:szCs w:val="20"/>
          <w:lang w:eastAsia="sl-SI"/>
        </w:rPr>
        <w:t>d</w:t>
      </w:r>
      <w:r w:rsidRPr="00D83239">
        <w:rPr>
          <w:rFonts w:ascii="Arial" w:hAnsi="Arial" w:cs="Arial"/>
          <w:color w:val="000000"/>
          <w:sz w:val="20"/>
          <w:szCs w:val="20"/>
          <w:lang w:eastAsia="sl-SI"/>
        </w:rPr>
        <w:t>elovni skupini Policije za ugotavljanje pogojev za pridobitev lokacije kličočega iz mobilne telefonije (AML) v primerih klica na 113 ali 116 000.</w:t>
      </w:r>
    </w:p>
    <w:p w14:paraId="4B84E5C1" w14:textId="77777777" w:rsidR="00DB29C1" w:rsidRPr="00D83239" w:rsidRDefault="00DB29C1" w:rsidP="00D83239">
      <w:pPr>
        <w:spacing w:after="0" w:line="276" w:lineRule="auto"/>
        <w:jc w:val="both"/>
        <w:rPr>
          <w:rFonts w:ascii="Arial" w:hAnsi="Arial" w:cs="Arial"/>
          <w:color w:val="000000"/>
          <w:sz w:val="20"/>
          <w:szCs w:val="20"/>
          <w:lang w:eastAsia="sl-SI"/>
        </w:rPr>
      </w:pPr>
    </w:p>
    <w:p w14:paraId="62BE49BE" w14:textId="10C6E7D6" w:rsidR="00FB58E1" w:rsidRDefault="00FB58E1" w:rsidP="00FB58E1">
      <w:pPr>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Na tedenski ravni so bila pripravljena poročila o migracijah. Na mesečni ravni so se za M</w:t>
      </w:r>
      <w:r w:rsidR="00AF524B">
        <w:rPr>
          <w:rFonts w:ascii="Arial" w:hAnsi="Arial" w:cs="Arial"/>
          <w:color w:val="000000"/>
          <w:sz w:val="20"/>
          <w:szCs w:val="20"/>
          <w:lang w:eastAsia="sl-SI"/>
        </w:rPr>
        <w:t>inistrstvo za obrambo</w:t>
      </w:r>
      <w:r w:rsidRPr="00D83239">
        <w:rPr>
          <w:rFonts w:ascii="Arial" w:hAnsi="Arial" w:cs="Arial"/>
          <w:color w:val="000000"/>
          <w:sz w:val="20"/>
          <w:szCs w:val="20"/>
          <w:lang w:eastAsia="sl-SI"/>
        </w:rPr>
        <w:t xml:space="preserve"> pripravljala poročila za Si </w:t>
      </w:r>
      <w:proofErr w:type="spellStart"/>
      <w:r w:rsidRPr="00D83239">
        <w:rPr>
          <w:rFonts w:ascii="Arial" w:hAnsi="Arial" w:cs="Arial"/>
          <w:color w:val="000000"/>
          <w:sz w:val="20"/>
          <w:szCs w:val="20"/>
          <w:lang w:eastAsia="sl-SI"/>
        </w:rPr>
        <w:t>CIVReport</w:t>
      </w:r>
      <w:proofErr w:type="spellEnd"/>
      <w:r>
        <w:rPr>
          <w:rFonts w:ascii="Arial" w:hAnsi="Arial" w:cs="Arial"/>
          <w:color w:val="000000"/>
          <w:sz w:val="20"/>
          <w:szCs w:val="20"/>
          <w:lang w:eastAsia="sl-SI"/>
        </w:rPr>
        <w:t xml:space="preserve"> (</w:t>
      </w:r>
      <w:r w:rsidRPr="00C07CC0">
        <w:rPr>
          <w:rFonts w:ascii="Arial" w:hAnsi="Arial" w:cs="Arial"/>
          <w:color w:val="000000"/>
          <w:sz w:val="20"/>
          <w:szCs w:val="20"/>
          <w:lang w:eastAsia="sl-SI"/>
        </w:rPr>
        <w:t xml:space="preserve">Civil </w:t>
      </w:r>
      <w:proofErr w:type="spellStart"/>
      <w:r w:rsidRPr="00C07CC0">
        <w:rPr>
          <w:rFonts w:ascii="Arial" w:hAnsi="Arial" w:cs="Arial"/>
          <w:color w:val="000000"/>
          <w:sz w:val="20"/>
          <w:szCs w:val="20"/>
          <w:lang w:eastAsia="sl-SI"/>
        </w:rPr>
        <w:t>Society</w:t>
      </w:r>
      <w:proofErr w:type="spellEnd"/>
      <w:r w:rsidRPr="00C07CC0">
        <w:rPr>
          <w:rFonts w:ascii="Arial" w:hAnsi="Arial" w:cs="Arial"/>
          <w:color w:val="000000"/>
          <w:sz w:val="20"/>
          <w:szCs w:val="20"/>
          <w:lang w:eastAsia="sl-SI"/>
        </w:rPr>
        <w:t xml:space="preserve"> </w:t>
      </w:r>
      <w:proofErr w:type="spellStart"/>
      <w:r w:rsidRPr="00C07CC0">
        <w:rPr>
          <w:rFonts w:ascii="Arial" w:hAnsi="Arial" w:cs="Arial"/>
          <w:color w:val="000000"/>
          <w:sz w:val="20"/>
          <w:szCs w:val="20"/>
          <w:lang w:eastAsia="sl-SI"/>
        </w:rPr>
        <w:t>Index</w:t>
      </w:r>
      <w:proofErr w:type="spellEnd"/>
      <w:r>
        <w:rPr>
          <w:rFonts w:ascii="Arial" w:hAnsi="Arial" w:cs="Arial"/>
          <w:color w:val="000000"/>
          <w:sz w:val="20"/>
          <w:szCs w:val="20"/>
          <w:lang w:eastAsia="sl-SI"/>
        </w:rPr>
        <w:t xml:space="preserve"> za Slovenijo)</w:t>
      </w:r>
      <w:r w:rsidRPr="00D83239">
        <w:rPr>
          <w:rFonts w:ascii="Arial" w:hAnsi="Arial" w:cs="Arial"/>
          <w:color w:val="000000"/>
          <w:sz w:val="20"/>
          <w:szCs w:val="20"/>
          <w:lang w:eastAsia="sl-SI"/>
        </w:rPr>
        <w:t>.</w:t>
      </w:r>
    </w:p>
    <w:p w14:paraId="2562A52D" w14:textId="77777777" w:rsidR="00AA76FF" w:rsidRPr="00AA76FF" w:rsidRDefault="00AA76FF" w:rsidP="00D83239">
      <w:pPr>
        <w:spacing w:after="0" w:line="276" w:lineRule="auto"/>
        <w:jc w:val="both"/>
        <w:rPr>
          <w:rFonts w:ascii="Arial" w:hAnsi="Arial" w:cs="Arial"/>
          <w:color w:val="000000"/>
          <w:sz w:val="20"/>
          <w:szCs w:val="20"/>
          <w:lang w:eastAsia="sl-SI"/>
        </w:rPr>
      </w:pPr>
    </w:p>
    <w:p w14:paraId="34A99FD9" w14:textId="186EE83D" w:rsidR="0031492F" w:rsidRDefault="00590E45" w:rsidP="0031492F">
      <w:pPr>
        <w:pStyle w:val="Naslov2"/>
        <w:spacing w:after="0" w:line="276" w:lineRule="auto"/>
        <w:jc w:val="both"/>
      </w:pPr>
      <w:bookmarkStart w:id="83" w:name="_Toc65591464"/>
      <w:bookmarkStart w:id="84" w:name="_Toc65651015"/>
      <w:bookmarkStart w:id="85" w:name="_Toc225499824"/>
      <w:r w:rsidRPr="00D83239">
        <w:t>Upravne notranje zadeve</w:t>
      </w:r>
      <w:bookmarkEnd w:id="83"/>
      <w:bookmarkEnd w:id="84"/>
      <w:bookmarkEnd w:id="85"/>
    </w:p>
    <w:p w14:paraId="71D02DB8" w14:textId="77777777" w:rsidR="0031492F" w:rsidRPr="0031492F" w:rsidRDefault="0031492F" w:rsidP="0031492F">
      <w:pPr>
        <w:spacing w:after="0"/>
        <w:rPr>
          <w:rFonts w:ascii="Arial" w:hAnsi="Arial" w:cs="Arial"/>
          <w:sz w:val="20"/>
          <w:szCs w:val="20"/>
          <w:lang w:eastAsia="sl-SI"/>
        </w:rPr>
      </w:pPr>
    </w:p>
    <w:p w14:paraId="61DE2916" w14:textId="32D792FC" w:rsidR="00486E53" w:rsidRPr="00D83239" w:rsidRDefault="00486E53" w:rsidP="00D83239">
      <w:pPr>
        <w:pStyle w:val="Naslov3"/>
        <w:spacing w:line="276" w:lineRule="auto"/>
        <w:jc w:val="both"/>
        <w:rPr>
          <w:rFonts w:cs="Arial"/>
          <w:sz w:val="20"/>
          <w:szCs w:val="20"/>
        </w:rPr>
      </w:pPr>
      <w:bookmarkStart w:id="86" w:name="_Toc225499825"/>
      <w:r w:rsidRPr="00D83239">
        <w:rPr>
          <w:rFonts w:cs="Arial"/>
          <w:sz w:val="20"/>
          <w:szCs w:val="20"/>
        </w:rPr>
        <w:t xml:space="preserve">Zagotavljanje podatkov iz </w:t>
      </w:r>
      <w:r w:rsidR="0030280B">
        <w:rPr>
          <w:rFonts w:cs="Arial"/>
          <w:sz w:val="20"/>
          <w:szCs w:val="20"/>
        </w:rPr>
        <w:t>C</w:t>
      </w:r>
      <w:r w:rsidR="001D2776" w:rsidRPr="00D83239">
        <w:rPr>
          <w:rFonts w:cs="Arial"/>
          <w:sz w:val="20"/>
          <w:szCs w:val="20"/>
        </w:rPr>
        <w:t xml:space="preserve">entralnega </w:t>
      </w:r>
      <w:r w:rsidRPr="00D83239">
        <w:rPr>
          <w:rFonts w:cs="Arial"/>
          <w:sz w:val="20"/>
          <w:szCs w:val="20"/>
        </w:rPr>
        <w:t>registra prebivalstva</w:t>
      </w:r>
      <w:bookmarkEnd w:id="86"/>
    </w:p>
    <w:p w14:paraId="6946EDD1" w14:textId="6859C2C9" w:rsidR="00653B9D" w:rsidRPr="00D83239" w:rsidRDefault="00653B9D" w:rsidP="00D83239">
      <w:pPr>
        <w:pStyle w:val="alineazaodstavkom1"/>
        <w:spacing w:line="276" w:lineRule="auto"/>
        <w:ind w:left="0" w:firstLine="0"/>
        <w:rPr>
          <w:sz w:val="20"/>
          <w:szCs w:val="20"/>
          <w:highlight w:val="yellow"/>
        </w:rPr>
      </w:pPr>
    </w:p>
    <w:p w14:paraId="1AA8F737" w14:textId="7F765871" w:rsidR="00F04D87" w:rsidRPr="00D83239" w:rsidRDefault="00F04D87" w:rsidP="00D83239">
      <w:pPr>
        <w:pStyle w:val="alineazaodstavkom1"/>
        <w:spacing w:line="276" w:lineRule="auto"/>
        <w:ind w:left="0" w:firstLine="0"/>
        <w:rPr>
          <w:sz w:val="20"/>
          <w:szCs w:val="20"/>
        </w:rPr>
      </w:pPr>
      <w:r w:rsidRPr="00D83239">
        <w:rPr>
          <w:sz w:val="20"/>
          <w:szCs w:val="20"/>
        </w:rPr>
        <w:t xml:space="preserve">Centralni register prebivalstva (CRP) je osrednja zbirka podatkov o državljanih, tujcih, ki imajo v Republiki Sloveniji urejen status, ter tujcih, ki v Republiki Sloveniji nimajo dovoljenja za stalno ali začasno prebivanje, imajo pa </w:t>
      </w:r>
      <w:r w:rsidR="000F4335">
        <w:rPr>
          <w:sz w:val="20"/>
          <w:szCs w:val="20"/>
        </w:rPr>
        <w:t>nekater</w:t>
      </w:r>
      <w:r w:rsidRPr="00D83239">
        <w:rPr>
          <w:sz w:val="20"/>
          <w:szCs w:val="20"/>
        </w:rPr>
        <w:t>e pravice ali obveznosti na področju pokojninskega in invalidskega zavarovanja, davkov, iz humanitarnih razlogov ali na drugem področju, če je tako določeno z zakonom. V CRP se podatki o prebivalstvu centralno zbirajo, obdelujejo, hranijo in uporabljajo z namenom spremljati stanje in gibanje prebivalstva za potrebe državnih organov in drugih uporabnikov, ki jih potrebujejo za opravljanje predpisanih nalog oziroma za vodenje zbirk podatkov o posameznikih ter za name</w:t>
      </w:r>
      <w:r w:rsidR="0031492F">
        <w:rPr>
          <w:sz w:val="20"/>
          <w:szCs w:val="20"/>
        </w:rPr>
        <w:t>ne izvajanja statističnih, soci</w:t>
      </w:r>
      <w:r w:rsidR="007B3D1F">
        <w:rPr>
          <w:sz w:val="20"/>
          <w:szCs w:val="20"/>
        </w:rPr>
        <w:t>alno</w:t>
      </w:r>
      <w:r w:rsidRPr="00D83239">
        <w:rPr>
          <w:sz w:val="20"/>
          <w:szCs w:val="20"/>
        </w:rPr>
        <w:t xml:space="preserve">ekonomskih in drugih raziskovanj, za katere imajo zakonsko podlago. S tem ima CRP glavno vlogo distribucijske </w:t>
      </w:r>
      <w:r w:rsidR="007B3D1F">
        <w:rPr>
          <w:sz w:val="20"/>
          <w:szCs w:val="20"/>
        </w:rPr>
        <w:t>zbirke</w:t>
      </w:r>
      <w:r w:rsidR="007B3D1F" w:rsidRPr="00D83239">
        <w:rPr>
          <w:sz w:val="20"/>
          <w:szCs w:val="20"/>
        </w:rPr>
        <w:t xml:space="preserve"> </w:t>
      </w:r>
      <w:r w:rsidRPr="00D83239">
        <w:rPr>
          <w:sz w:val="20"/>
          <w:szCs w:val="20"/>
        </w:rPr>
        <w:t xml:space="preserve">osnovnih osebnih podatkov, ki se vodijo v </w:t>
      </w:r>
      <w:r w:rsidR="0030280B">
        <w:rPr>
          <w:sz w:val="20"/>
          <w:szCs w:val="20"/>
        </w:rPr>
        <w:t>M</w:t>
      </w:r>
      <w:r w:rsidRPr="00D83239">
        <w:rPr>
          <w:sz w:val="20"/>
          <w:szCs w:val="20"/>
        </w:rPr>
        <w:t xml:space="preserve">atičnem registru, </w:t>
      </w:r>
      <w:r w:rsidR="0030280B">
        <w:rPr>
          <w:sz w:val="20"/>
          <w:szCs w:val="20"/>
        </w:rPr>
        <w:t>R</w:t>
      </w:r>
      <w:r w:rsidRPr="00D83239">
        <w:rPr>
          <w:sz w:val="20"/>
          <w:szCs w:val="20"/>
        </w:rPr>
        <w:t>egistru stalnega prebivalstva in v evidencah tujcev</w:t>
      </w:r>
      <w:r w:rsidR="007B3D1F">
        <w:rPr>
          <w:sz w:val="20"/>
          <w:szCs w:val="20"/>
        </w:rPr>
        <w:t>,</w:t>
      </w:r>
      <w:r w:rsidRPr="00D83239">
        <w:rPr>
          <w:sz w:val="20"/>
          <w:szCs w:val="20"/>
        </w:rPr>
        <w:t xml:space="preserve"> številnim zunanjim uporabnikom.</w:t>
      </w:r>
    </w:p>
    <w:p w14:paraId="5F20C0AF" w14:textId="77777777" w:rsidR="00F04D87" w:rsidRPr="00D83239" w:rsidRDefault="00F04D87" w:rsidP="00D83239">
      <w:pPr>
        <w:pStyle w:val="alineazaodstavkom1"/>
        <w:spacing w:line="276" w:lineRule="auto"/>
        <w:ind w:left="0" w:firstLine="0"/>
        <w:rPr>
          <w:sz w:val="20"/>
          <w:szCs w:val="20"/>
        </w:rPr>
      </w:pPr>
    </w:p>
    <w:p w14:paraId="068CF343" w14:textId="77777777" w:rsidR="00F04D87" w:rsidRPr="00D83239" w:rsidRDefault="00F04D87" w:rsidP="00D83239">
      <w:pPr>
        <w:spacing w:after="0" w:line="276" w:lineRule="auto"/>
        <w:jc w:val="both"/>
        <w:rPr>
          <w:rFonts w:ascii="Arial" w:hAnsi="Arial" w:cs="Arial"/>
          <w:sz w:val="20"/>
          <w:szCs w:val="20"/>
        </w:rPr>
      </w:pPr>
      <w:r w:rsidRPr="00D83239">
        <w:rPr>
          <w:rFonts w:ascii="Arial" w:hAnsi="Arial" w:cs="Arial"/>
          <w:sz w:val="20"/>
          <w:szCs w:val="20"/>
        </w:rPr>
        <w:t xml:space="preserve">V letu 2025 je bilo </w:t>
      </w:r>
      <w:r w:rsidRPr="00D83239">
        <w:rPr>
          <w:rFonts w:ascii="Arial" w:hAnsi="Arial" w:cs="Arial"/>
          <w:b/>
          <w:sz w:val="20"/>
          <w:szCs w:val="20"/>
        </w:rPr>
        <w:t>ročno rešenih</w:t>
      </w:r>
      <w:r w:rsidRPr="00D83239">
        <w:rPr>
          <w:rFonts w:ascii="Arial" w:hAnsi="Arial" w:cs="Arial"/>
          <w:sz w:val="20"/>
          <w:szCs w:val="20"/>
        </w:rPr>
        <w:t xml:space="preserve"> 7.571 vlog in iz CRP predloženih </w:t>
      </w:r>
      <w:r w:rsidRPr="00D83239">
        <w:rPr>
          <w:rFonts w:ascii="Arial" w:hAnsi="Arial" w:cs="Arial"/>
          <w:b/>
          <w:sz w:val="20"/>
          <w:szCs w:val="20"/>
        </w:rPr>
        <w:t>podatkov o 18.446 osebah</w:t>
      </w:r>
      <w:r w:rsidRPr="00D83239">
        <w:rPr>
          <w:rFonts w:ascii="Arial" w:hAnsi="Arial" w:cs="Arial"/>
          <w:sz w:val="20"/>
          <w:szCs w:val="20"/>
        </w:rPr>
        <w:t>. V povprečju je mesečno na MNZ prispelo 630 vlog in bilo sporočenih podatkov o 1.537 osebah. V primerjavi z letom 2024 je bilo v letu 2025 število vlog višje za 4,7 %, število oseb pa nižje za 0,4 %.</w:t>
      </w:r>
    </w:p>
    <w:p w14:paraId="2E2752D9" w14:textId="5BE4B932" w:rsidR="00F04D87" w:rsidRPr="00D83239" w:rsidRDefault="00F04D87" w:rsidP="00D83239">
      <w:pPr>
        <w:spacing w:after="0" w:line="276" w:lineRule="auto"/>
        <w:jc w:val="both"/>
        <w:rPr>
          <w:rFonts w:ascii="Arial" w:hAnsi="Arial" w:cs="Arial"/>
          <w:bCs/>
          <w:iCs/>
          <w:sz w:val="20"/>
          <w:szCs w:val="20"/>
          <w:lang w:eastAsia="sl-SI"/>
        </w:rPr>
      </w:pPr>
      <w:r w:rsidRPr="00D83239">
        <w:rPr>
          <w:rFonts w:ascii="Arial" w:hAnsi="Arial" w:cs="Arial"/>
          <w:noProof/>
          <w:sz w:val="20"/>
          <w:szCs w:val="20"/>
          <w:lang w:eastAsia="sl-SI"/>
          <w14:ligatures w14:val="standardContextual"/>
        </w:rPr>
        <w:drawing>
          <wp:anchor distT="0" distB="0" distL="114300" distR="114300" simplePos="0" relativeHeight="251741696" behindDoc="0" locked="0" layoutInCell="1" allowOverlap="1" wp14:anchorId="39C8D2F2" wp14:editId="4C74157A">
            <wp:simplePos x="0" y="0"/>
            <wp:positionH relativeFrom="margin">
              <wp:posOffset>-130810</wp:posOffset>
            </wp:positionH>
            <wp:positionV relativeFrom="paragraph">
              <wp:posOffset>173990</wp:posOffset>
            </wp:positionV>
            <wp:extent cx="6063615" cy="2854960"/>
            <wp:effectExtent l="0" t="0" r="13335" b="2540"/>
            <wp:wrapSquare wrapText="bothSides"/>
            <wp:docPr id="13" name="Grafikon 13">
              <a:extLst xmlns:a="http://schemas.openxmlformats.org/drawingml/2006/main">
                <a:ext uri="{FF2B5EF4-FFF2-40B4-BE49-F238E27FC236}">
                  <a16:creationId xmlns:a16="http://schemas.microsoft.com/office/drawing/2014/main" id="{075B7CA3-F90A-9DE5-2E89-FC5ED68C643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5A21A10" w14:textId="77777777" w:rsidR="00F04D87" w:rsidRPr="00D83239" w:rsidRDefault="00F04D87" w:rsidP="00D83239">
      <w:pPr>
        <w:spacing w:after="0" w:line="276" w:lineRule="auto"/>
        <w:jc w:val="both"/>
        <w:rPr>
          <w:rFonts w:ascii="Arial" w:hAnsi="Arial" w:cs="Arial"/>
          <w:sz w:val="20"/>
          <w:szCs w:val="20"/>
        </w:rPr>
      </w:pPr>
    </w:p>
    <w:p w14:paraId="567D9EF7" w14:textId="1BF9F96F" w:rsidR="00D83239" w:rsidRPr="00D83239" w:rsidRDefault="00D83239" w:rsidP="00D83239">
      <w:pPr>
        <w:spacing w:after="0" w:line="276" w:lineRule="auto"/>
        <w:jc w:val="both"/>
        <w:rPr>
          <w:rFonts w:ascii="Arial" w:hAnsi="Arial" w:cs="Arial"/>
          <w:bCs/>
          <w:iCs/>
          <w:sz w:val="20"/>
          <w:szCs w:val="20"/>
          <w:lang w:eastAsia="sl-SI"/>
        </w:rPr>
      </w:pPr>
      <w:r w:rsidRPr="00D83239">
        <w:rPr>
          <w:rFonts w:ascii="Arial" w:hAnsi="Arial" w:cs="Arial"/>
          <w:b/>
          <w:bCs/>
          <w:iCs/>
          <w:sz w:val="20"/>
          <w:szCs w:val="20"/>
          <w:lang w:eastAsia="sl-SI"/>
        </w:rPr>
        <w:t>Graf</w:t>
      </w:r>
      <w:r w:rsidR="007B3D1F">
        <w:rPr>
          <w:rFonts w:ascii="Arial" w:hAnsi="Arial" w:cs="Arial"/>
          <w:b/>
          <w:bCs/>
          <w:iCs/>
          <w:sz w:val="20"/>
          <w:szCs w:val="20"/>
          <w:lang w:eastAsia="sl-SI"/>
        </w:rPr>
        <w:t>ikon</w:t>
      </w:r>
      <w:r w:rsidRPr="00AF524B">
        <w:rPr>
          <w:rFonts w:ascii="Arial" w:hAnsi="Arial" w:cs="Arial"/>
          <w:bCs/>
          <w:iCs/>
          <w:sz w:val="20"/>
          <w:szCs w:val="20"/>
          <w:lang w:eastAsia="sl-SI"/>
        </w:rPr>
        <w:t>:</w:t>
      </w:r>
      <w:r w:rsidRPr="00D83239">
        <w:rPr>
          <w:rFonts w:ascii="Arial" w:hAnsi="Arial" w:cs="Arial"/>
          <w:b/>
          <w:bCs/>
          <w:iCs/>
          <w:sz w:val="20"/>
          <w:szCs w:val="20"/>
          <w:lang w:eastAsia="sl-SI"/>
        </w:rPr>
        <w:t xml:space="preserve"> </w:t>
      </w:r>
      <w:r w:rsidRPr="00D83239">
        <w:rPr>
          <w:rFonts w:ascii="Arial" w:hAnsi="Arial" w:cs="Arial"/>
          <w:bCs/>
          <w:iCs/>
          <w:sz w:val="20"/>
          <w:szCs w:val="20"/>
          <w:lang w:eastAsia="sl-SI"/>
        </w:rPr>
        <w:t>Ročne poizvedbe iz CRP v letu 2025 in število predloženih podatkov</w:t>
      </w:r>
    </w:p>
    <w:p w14:paraId="32664A39" w14:textId="77777777" w:rsidR="00D83239" w:rsidRPr="00D83239" w:rsidRDefault="00D83239" w:rsidP="00D83239">
      <w:pPr>
        <w:spacing w:after="0" w:line="276" w:lineRule="auto"/>
        <w:jc w:val="both"/>
        <w:rPr>
          <w:rFonts w:ascii="Arial" w:hAnsi="Arial" w:cs="Arial"/>
          <w:sz w:val="20"/>
          <w:szCs w:val="20"/>
        </w:rPr>
      </w:pPr>
    </w:p>
    <w:p w14:paraId="5EDECF3D" w14:textId="75ABD5F5" w:rsidR="00F04D87" w:rsidRPr="0027329F" w:rsidRDefault="00F04D87" w:rsidP="00D83239">
      <w:pPr>
        <w:spacing w:after="0" w:line="276" w:lineRule="auto"/>
        <w:jc w:val="both"/>
        <w:rPr>
          <w:rFonts w:ascii="Arial" w:hAnsi="Arial" w:cs="Arial"/>
          <w:b/>
          <w:bCs/>
          <w:iCs/>
          <w:sz w:val="20"/>
          <w:szCs w:val="20"/>
          <w:lang w:eastAsia="sl-SI"/>
        </w:rPr>
      </w:pPr>
      <w:r w:rsidRPr="009A0D6A">
        <w:rPr>
          <w:rFonts w:ascii="Arial" w:hAnsi="Arial" w:cs="Arial"/>
          <w:sz w:val="20"/>
          <w:szCs w:val="20"/>
        </w:rPr>
        <w:t xml:space="preserve">Dodatno je bilo v letu 2025 rešenih 584 vlog za tako imenovane </w:t>
      </w:r>
      <w:r w:rsidRPr="009A0D6A">
        <w:rPr>
          <w:rFonts w:ascii="Arial" w:hAnsi="Arial" w:cs="Arial"/>
          <w:b/>
          <w:sz w:val="20"/>
          <w:szCs w:val="20"/>
        </w:rPr>
        <w:t>masovne ročne poizvedbe</w:t>
      </w:r>
      <w:r w:rsidRPr="009A0D6A">
        <w:rPr>
          <w:rFonts w:ascii="Arial" w:hAnsi="Arial" w:cs="Arial"/>
          <w:sz w:val="20"/>
          <w:szCs w:val="20"/>
        </w:rPr>
        <w:t>, pri katerih se izvajajo obdelave podatkov, kar je 31,7</w:t>
      </w:r>
      <w:r w:rsidR="0044744E" w:rsidRPr="009A0D6A">
        <w:rPr>
          <w:rFonts w:ascii="Arial" w:hAnsi="Arial" w:cs="Arial"/>
          <w:sz w:val="20"/>
          <w:szCs w:val="20"/>
        </w:rPr>
        <w:t xml:space="preserve"> </w:t>
      </w:r>
      <w:r w:rsidRPr="009A0D6A">
        <w:rPr>
          <w:rFonts w:ascii="Arial" w:hAnsi="Arial" w:cs="Arial"/>
          <w:sz w:val="20"/>
          <w:szCs w:val="20"/>
        </w:rPr>
        <w:t xml:space="preserve">% več kot v letu 2024. Na podlagi obdelav so bili upravičenim uporabnikom sporočeni </w:t>
      </w:r>
      <w:r w:rsidRPr="009A0D6A">
        <w:rPr>
          <w:rFonts w:ascii="Arial" w:hAnsi="Arial" w:cs="Arial"/>
          <w:b/>
          <w:sz w:val="20"/>
          <w:szCs w:val="20"/>
        </w:rPr>
        <w:t>podatki o 36.387.326 </w:t>
      </w:r>
      <w:r w:rsidRPr="009A0D6A">
        <w:rPr>
          <w:rFonts w:ascii="Arial" w:hAnsi="Arial" w:cs="Arial"/>
          <w:sz w:val="20"/>
          <w:szCs w:val="20"/>
        </w:rPr>
        <w:t>osebah.</w:t>
      </w:r>
      <w:r w:rsidRPr="00D83239">
        <w:rPr>
          <w:rFonts w:ascii="Arial" w:hAnsi="Arial" w:cs="Arial"/>
          <w:b/>
          <w:sz w:val="20"/>
          <w:szCs w:val="20"/>
        </w:rPr>
        <w:t xml:space="preserve"> </w:t>
      </w:r>
    </w:p>
    <w:p w14:paraId="6D2819FC" w14:textId="77777777" w:rsidR="0031492F" w:rsidRDefault="0031492F" w:rsidP="00D83239">
      <w:pPr>
        <w:spacing w:after="0" w:line="276" w:lineRule="auto"/>
        <w:jc w:val="both"/>
        <w:rPr>
          <w:rFonts w:ascii="Arial" w:hAnsi="Arial" w:cs="Arial"/>
          <w:sz w:val="20"/>
          <w:szCs w:val="20"/>
        </w:rPr>
      </w:pPr>
    </w:p>
    <w:p w14:paraId="24C14F6C" w14:textId="1CDD3432" w:rsidR="00F04D87" w:rsidRPr="00D83239" w:rsidRDefault="00F04D87" w:rsidP="00D83239">
      <w:pPr>
        <w:spacing w:after="0" w:line="276" w:lineRule="auto"/>
        <w:jc w:val="both"/>
        <w:rPr>
          <w:rFonts w:ascii="Arial" w:hAnsi="Arial" w:cs="Arial"/>
          <w:sz w:val="20"/>
          <w:szCs w:val="20"/>
        </w:rPr>
      </w:pPr>
      <w:r w:rsidRPr="00D83239">
        <w:rPr>
          <w:rFonts w:ascii="Arial" w:hAnsi="Arial" w:cs="Arial"/>
          <w:sz w:val="20"/>
          <w:szCs w:val="20"/>
        </w:rPr>
        <w:t xml:space="preserve">Večji zunanji uporabniki podatke pridobivajo </w:t>
      </w:r>
      <w:r w:rsidRPr="00D83239">
        <w:rPr>
          <w:rFonts w:ascii="Arial" w:hAnsi="Arial" w:cs="Arial"/>
          <w:b/>
          <w:sz w:val="20"/>
          <w:szCs w:val="20"/>
        </w:rPr>
        <w:t>p</w:t>
      </w:r>
      <w:r w:rsidR="007B3D1F">
        <w:rPr>
          <w:rFonts w:ascii="Arial" w:hAnsi="Arial" w:cs="Arial"/>
          <w:b/>
          <w:sz w:val="20"/>
          <w:szCs w:val="20"/>
        </w:rPr>
        <w:t>o</w:t>
      </w:r>
      <w:r w:rsidRPr="00D83239">
        <w:rPr>
          <w:rFonts w:ascii="Arial" w:hAnsi="Arial" w:cs="Arial"/>
          <w:b/>
          <w:sz w:val="20"/>
          <w:szCs w:val="20"/>
        </w:rPr>
        <w:t xml:space="preserve"> splet</w:t>
      </w:r>
      <w:r w:rsidR="007B3D1F">
        <w:rPr>
          <w:rFonts w:ascii="Arial" w:hAnsi="Arial" w:cs="Arial"/>
          <w:b/>
          <w:sz w:val="20"/>
          <w:szCs w:val="20"/>
        </w:rPr>
        <w:t>u</w:t>
      </w:r>
      <w:r w:rsidRPr="00D83239">
        <w:rPr>
          <w:rFonts w:ascii="Arial" w:hAnsi="Arial" w:cs="Arial"/>
          <w:b/>
          <w:sz w:val="20"/>
          <w:szCs w:val="20"/>
        </w:rPr>
        <w:t xml:space="preserve"> iz distribucijske </w:t>
      </w:r>
      <w:r w:rsidR="007B3D1F">
        <w:rPr>
          <w:rFonts w:ascii="Arial" w:hAnsi="Arial" w:cs="Arial"/>
          <w:b/>
          <w:sz w:val="20"/>
          <w:szCs w:val="20"/>
        </w:rPr>
        <w:t>zbirk</w:t>
      </w:r>
      <w:r w:rsidRPr="00D83239">
        <w:rPr>
          <w:rFonts w:ascii="Arial" w:hAnsi="Arial" w:cs="Arial"/>
          <w:b/>
          <w:sz w:val="20"/>
          <w:szCs w:val="20"/>
        </w:rPr>
        <w:t>e e-CRP</w:t>
      </w:r>
      <w:r w:rsidRPr="00D83239">
        <w:rPr>
          <w:rFonts w:ascii="Arial" w:hAnsi="Arial" w:cs="Arial"/>
          <w:sz w:val="20"/>
          <w:szCs w:val="20"/>
        </w:rPr>
        <w:t xml:space="preserve">, prek baznih in spletnih servisov, ki omogočajo bodisi vpogled bodisi sporočanje sprememb pri posameznikih v matičnih </w:t>
      </w:r>
      <w:r w:rsidR="00F15600">
        <w:rPr>
          <w:rFonts w:ascii="Arial" w:hAnsi="Arial" w:cs="Arial"/>
          <w:sz w:val="20"/>
          <w:szCs w:val="20"/>
        </w:rPr>
        <w:t>zbirk</w:t>
      </w:r>
      <w:r w:rsidRPr="00D83239">
        <w:rPr>
          <w:rFonts w:ascii="Arial" w:hAnsi="Arial" w:cs="Arial"/>
          <w:sz w:val="20"/>
          <w:szCs w:val="20"/>
        </w:rPr>
        <w:t xml:space="preserve">ah uporabnikov (kot je informacija o spremembi osebnega imena, naslova, smrti itd.). V okviru spletnega sporočanja podatkov je bilo iz CRP v letu 2025 poslanih </w:t>
      </w:r>
      <w:r w:rsidRPr="00D83239">
        <w:rPr>
          <w:rFonts w:ascii="Arial" w:hAnsi="Arial" w:cs="Arial"/>
          <w:b/>
          <w:sz w:val="20"/>
          <w:szCs w:val="20"/>
        </w:rPr>
        <w:t>162.574.422 podatkov</w:t>
      </w:r>
      <w:r w:rsidRPr="00D83239">
        <w:rPr>
          <w:rFonts w:ascii="Arial" w:hAnsi="Arial" w:cs="Arial"/>
          <w:sz w:val="20"/>
          <w:szCs w:val="20"/>
        </w:rPr>
        <w:t xml:space="preserve"> oziroma več kot 19 milijonov podatkov več kot v preteklem letu. </w:t>
      </w:r>
    </w:p>
    <w:p w14:paraId="2710AA2B" w14:textId="77777777" w:rsidR="00F04D87" w:rsidRPr="00D83239" w:rsidRDefault="00F04D87" w:rsidP="00D83239">
      <w:pPr>
        <w:spacing w:after="0" w:line="276" w:lineRule="auto"/>
        <w:jc w:val="both"/>
        <w:rPr>
          <w:rFonts w:ascii="Arial" w:hAnsi="Arial" w:cs="Arial"/>
          <w:sz w:val="20"/>
          <w:szCs w:val="20"/>
        </w:rPr>
      </w:pPr>
    </w:p>
    <w:p w14:paraId="455CF57C" w14:textId="08924B2B" w:rsidR="00F04D87" w:rsidRDefault="00F04D87" w:rsidP="00D83239">
      <w:pPr>
        <w:spacing w:line="276" w:lineRule="auto"/>
        <w:jc w:val="both"/>
        <w:rPr>
          <w:rFonts w:ascii="Arial" w:hAnsi="Arial" w:cs="Arial"/>
          <w:sz w:val="20"/>
          <w:szCs w:val="20"/>
        </w:rPr>
      </w:pPr>
      <w:r w:rsidRPr="00D83239">
        <w:rPr>
          <w:rFonts w:ascii="Arial" w:hAnsi="Arial" w:cs="Arial"/>
          <w:sz w:val="20"/>
          <w:szCs w:val="20"/>
        </w:rPr>
        <w:t xml:space="preserve">Distribucijski kanal do zunanjih uporabnikov je tudi </w:t>
      </w:r>
      <w:r w:rsidRPr="00D83239">
        <w:rPr>
          <w:rFonts w:ascii="Arial" w:hAnsi="Arial" w:cs="Arial"/>
          <w:b/>
          <w:sz w:val="20"/>
          <w:szCs w:val="20"/>
        </w:rPr>
        <w:t>IO-CRP</w:t>
      </w:r>
      <w:r w:rsidRPr="00D83239">
        <w:rPr>
          <w:rFonts w:ascii="Arial" w:hAnsi="Arial" w:cs="Arial"/>
          <w:sz w:val="20"/>
          <w:szCs w:val="20"/>
        </w:rPr>
        <w:t>, ki je del Pladnja podatkov M</w:t>
      </w:r>
      <w:r w:rsidR="00A135C4">
        <w:rPr>
          <w:rFonts w:ascii="Arial" w:hAnsi="Arial" w:cs="Arial"/>
          <w:sz w:val="20"/>
          <w:szCs w:val="20"/>
        </w:rPr>
        <w:t>inistrstva za digitalno preobrazbo</w:t>
      </w:r>
      <w:r w:rsidRPr="00D83239">
        <w:rPr>
          <w:rFonts w:ascii="Arial" w:hAnsi="Arial" w:cs="Arial"/>
          <w:sz w:val="20"/>
          <w:szCs w:val="20"/>
        </w:rPr>
        <w:t xml:space="preserve">. V letu 2025 je bilo prek IO-CRP zunanjim uporabnikom poslanih dodatnih </w:t>
      </w:r>
      <w:r w:rsidRPr="00D83239">
        <w:rPr>
          <w:rFonts w:ascii="Arial" w:hAnsi="Arial" w:cs="Arial"/>
          <w:b/>
          <w:sz w:val="20"/>
          <w:szCs w:val="20"/>
        </w:rPr>
        <w:t>24.750.552 podatkov</w:t>
      </w:r>
      <w:r w:rsidRPr="00D83239">
        <w:rPr>
          <w:rFonts w:ascii="Arial" w:hAnsi="Arial" w:cs="Arial"/>
          <w:sz w:val="20"/>
          <w:szCs w:val="20"/>
        </w:rPr>
        <w:t>, kar je 4 milijone več kot v preteklem letu.</w:t>
      </w:r>
    </w:p>
    <w:p w14:paraId="6F5A7853" w14:textId="77777777" w:rsidR="0027329F" w:rsidRPr="00D83239" w:rsidRDefault="0027329F" w:rsidP="00D83239">
      <w:pPr>
        <w:spacing w:line="276" w:lineRule="auto"/>
        <w:jc w:val="both"/>
        <w:rPr>
          <w:rFonts w:ascii="Arial" w:hAnsi="Arial" w:cs="Arial"/>
          <w:sz w:val="20"/>
          <w:szCs w:val="20"/>
        </w:rPr>
      </w:pPr>
    </w:p>
    <w:tbl>
      <w:tblPr>
        <w:tblpPr w:leftFromText="141" w:rightFromText="141" w:vertAnchor="text" w:horzAnchor="margin" w:tblpY="-3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1418"/>
        <w:gridCol w:w="1276"/>
        <w:gridCol w:w="1417"/>
        <w:gridCol w:w="1276"/>
      </w:tblGrid>
      <w:tr w:rsidR="00F04D87" w:rsidRPr="00D83239" w14:paraId="0F218AB2" w14:textId="77777777" w:rsidTr="00946991">
        <w:trPr>
          <w:trHeight w:val="411"/>
        </w:trPr>
        <w:tc>
          <w:tcPr>
            <w:tcW w:w="3397" w:type="dxa"/>
            <w:shd w:val="clear" w:color="auto" w:fill="D9D9D9" w:themeFill="background1" w:themeFillShade="D9"/>
            <w:noWrap/>
            <w:vAlign w:val="bottom"/>
            <w:hideMark/>
          </w:tcPr>
          <w:p w14:paraId="1A4262ED" w14:textId="77777777" w:rsidR="00F04D87" w:rsidRPr="00D83239" w:rsidRDefault="00F04D87" w:rsidP="00D83239">
            <w:pPr>
              <w:spacing w:line="276" w:lineRule="auto"/>
              <w:jc w:val="both"/>
              <w:rPr>
                <w:rFonts w:ascii="Arial" w:eastAsia="Times New Roman" w:hAnsi="Arial" w:cs="Arial"/>
                <w:b/>
                <w:bCs/>
                <w:sz w:val="20"/>
                <w:szCs w:val="20"/>
              </w:rPr>
            </w:pPr>
            <w:bookmarkStart w:id="87" w:name="_Hlk219711451"/>
          </w:p>
        </w:tc>
        <w:tc>
          <w:tcPr>
            <w:tcW w:w="1418" w:type="dxa"/>
            <w:shd w:val="clear" w:color="auto" w:fill="D9D9D9" w:themeFill="background1" w:themeFillShade="D9"/>
            <w:vAlign w:val="bottom"/>
          </w:tcPr>
          <w:p w14:paraId="7FD9DF82" w14:textId="77777777" w:rsidR="00F04D87" w:rsidRPr="00D83239" w:rsidRDefault="00F04D87" w:rsidP="00A54C1A">
            <w:pPr>
              <w:spacing w:line="276" w:lineRule="auto"/>
              <w:jc w:val="center"/>
              <w:rPr>
                <w:rFonts w:ascii="Arial" w:eastAsia="Times New Roman" w:hAnsi="Arial" w:cs="Arial"/>
                <w:b/>
                <w:bCs/>
                <w:sz w:val="20"/>
                <w:szCs w:val="20"/>
              </w:rPr>
            </w:pPr>
            <w:r w:rsidRPr="00D83239">
              <w:rPr>
                <w:rFonts w:ascii="Arial" w:eastAsia="Times New Roman" w:hAnsi="Arial" w:cs="Arial"/>
                <w:b/>
                <w:bCs/>
                <w:sz w:val="20"/>
                <w:szCs w:val="20"/>
              </w:rPr>
              <w:t>2022</w:t>
            </w:r>
          </w:p>
        </w:tc>
        <w:tc>
          <w:tcPr>
            <w:tcW w:w="1276" w:type="dxa"/>
            <w:shd w:val="clear" w:color="auto" w:fill="D9D9D9" w:themeFill="background1" w:themeFillShade="D9"/>
            <w:vAlign w:val="bottom"/>
          </w:tcPr>
          <w:p w14:paraId="64606E05" w14:textId="77777777" w:rsidR="00F04D87" w:rsidRPr="00D83239" w:rsidRDefault="00F04D87" w:rsidP="00A54C1A">
            <w:pPr>
              <w:spacing w:line="276" w:lineRule="auto"/>
              <w:jc w:val="center"/>
              <w:rPr>
                <w:rFonts w:ascii="Arial" w:eastAsia="Times New Roman" w:hAnsi="Arial" w:cs="Arial"/>
                <w:b/>
                <w:bCs/>
                <w:sz w:val="20"/>
                <w:szCs w:val="20"/>
              </w:rPr>
            </w:pPr>
          </w:p>
          <w:p w14:paraId="62698FF4" w14:textId="77777777" w:rsidR="00F04D87" w:rsidRPr="00D83239" w:rsidRDefault="00F04D87" w:rsidP="00A54C1A">
            <w:pPr>
              <w:spacing w:line="276" w:lineRule="auto"/>
              <w:jc w:val="center"/>
              <w:rPr>
                <w:rFonts w:ascii="Arial" w:eastAsia="Times New Roman" w:hAnsi="Arial" w:cs="Arial"/>
                <w:b/>
                <w:bCs/>
                <w:sz w:val="20"/>
                <w:szCs w:val="20"/>
              </w:rPr>
            </w:pPr>
            <w:r w:rsidRPr="00D83239">
              <w:rPr>
                <w:rFonts w:ascii="Arial" w:eastAsia="Times New Roman" w:hAnsi="Arial" w:cs="Arial"/>
                <w:b/>
                <w:bCs/>
                <w:sz w:val="20"/>
                <w:szCs w:val="20"/>
              </w:rPr>
              <w:t>2023</w:t>
            </w:r>
          </w:p>
        </w:tc>
        <w:tc>
          <w:tcPr>
            <w:tcW w:w="1417" w:type="dxa"/>
            <w:shd w:val="clear" w:color="auto" w:fill="D9D9D9" w:themeFill="background1" w:themeFillShade="D9"/>
            <w:noWrap/>
            <w:vAlign w:val="bottom"/>
            <w:hideMark/>
          </w:tcPr>
          <w:p w14:paraId="06C47131" w14:textId="77777777" w:rsidR="00F04D87" w:rsidRPr="00D83239" w:rsidRDefault="00F04D87" w:rsidP="00A54C1A">
            <w:pPr>
              <w:spacing w:line="276" w:lineRule="auto"/>
              <w:jc w:val="center"/>
              <w:rPr>
                <w:rFonts w:ascii="Arial" w:eastAsia="Times New Roman" w:hAnsi="Arial" w:cs="Arial"/>
                <w:b/>
                <w:bCs/>
                <w:sz w:val="20"/>
                <w:szCs w:val="20"/>
              </w:rPr>
            </w:pPr>
            <w:r w:rsidRPr="00D83239">
              <w:rPr>
                <w:rFonts w:ascii="Arial" w:eastAsia="Times New Roman" w:hAnsi="Arial" w:cs="Arial"/>
                <w:b/>
                <w:bCs/>
                <w:sz w:val="20"/>
                <w:szCs w:val="20"/>
              </w:rPr>
              <w:t>2024</w:t>
            </w:r>
          </w:p>
        </w:tc>
        <w:tc>
          <w:tcPr>
            <w:tcW w:w="1276" w:type="dxa"/>
            <w:shd w:val="clear" w:color="auto" w:fill="D9D9D9" w:themeFill="background1" w:themeFillShade="D9"/>
            <w:vAlign w:val="bottom"/>
          </w:tcPr>
          <w:p w14:paraId="39370758" w14:textId="77777777" w:rsidR="00F04D87" w:rsidRPr="00D83239" w:rsidRDefault="00F04D87" w:rsidP="00A54C1A">
            <w:pPr>
              <w:spacing w:line="276" w:lineRule="auto"/>
              <w:jc w:val="center"/>
              <w:rPr>
                <w:rFonts w:ascii="Arial" w:eastAsia="Times New Roman" w:hAnsi="Arial" w:cs="Arial"/>
                <w:b/>
                <w:bCs/>
                <w:sz w:val="20"/>
                <w:szCs w:val="20"/>
              </w:rPr>
            </w:pPr>
            <w:r w:rsidRPr="00D83239">
              <w:rPr>
                <w:rFonts w:ascii="Arial" w:eastAsia="Times New Roman" w:hAnsi="Arial" w:cs="Arial"/>
                <w:b/>
                <w:bCs/>
                <w:sz w:val="20"/>
                <w:szCs w:val="20"/>
              </w:rPr>
              <w:t>2025</w:t>
            </w:r>
          </w:p>
        </w:tc>
      </w:tr>
      <w:tr w:rsidR="00F04D87" w:rsidRPr="00D83239" w14:paraId="38E5B55F" w14:textId="77777777" w:rsidTr="00A54C1A">
        <w:trPr>
          <w:trHeight w:val="283"/>
        </w:trPr>
        <w:tc>
          <w:tcPr>
            <w:tcW w:w="3397" w:type="dxa"/>
            <w:shd w:val="clear" w:color="auto" w:fill="auto"/>
            <w:noWrap/>
            <w:vAlign w:val="bottom"/>
            <w:hideMark/>
          </w:tcPr>
          <w:p w14:paraId="14D28C55" w14:textId="3B5A84C8" w:rsidR="00F04D87" w:rsidRPr="00A135C4" w:rsidRDefault="009A0D6A" w:rsidP="0031492F">
            <w:pPr>
              <w:spacing w:line="276" w:lineRule="auto"/>
              <w:rPr>
                <w:rFonts w:ascii="Arial" w:eastAsia="Times New Roman" w:hAnsi="Arial" w:cs="Arial"/>
                <w:b/>
                <w:sz w:val="20"/>
                <w:szCs w:val="20"/>
                <w:highlight w:val="yellow"/>
              </w:rPr>
            </w:pPr>
            <w:r w:rsidRPr="00A335CB">
              <w:rPr>
                <w:rFonts w:ascii="Arial" w:eastAsia="Times New Roman" w:hAnsi="Arial" w:cs="Arial"/>
                <w:sz w:val="20"/>
                <w:szCs w:val="20"/>
              </w:rPr>
              <w:t>Ministrstvo za delo, družino, socialne zadeve in enake možnosti</w:t>
            </w:r>
            <w:r w:rsidRPr="009A0D6A" w:rsidDel="009A0D6A">
              <w:rPr>
                <w:rFonts w:ascii="Arial" w:eastAsia="Times New Roman" w:hAnsi="Arial" w:cs="Arial"/>
                <w:b/>
                <w:sz w:val="20"/>
                <w:szCs w:val="20"/>
                <w:highlight w:val="yellow"/>
              </w:rPr>
              <w:t xml:space="preserve"> </w:t>
            </w:r>
          </w:p>
        </w:tc>
        <w:tc>
          <w:tcPr>
            <w:tcW w:w="1418" w:type="dxa"/>
            <w:shd w:val="clear" w:color="auto" w:fill="auto"/>
            <w:vAlign w:val="center"/>
          </w:tcPr>
          <w:p w14:paraId="6C5E5F29"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7.668.216</w:t>
            </w:r>
          </w:p>
        </w:tc>
        <w:tc>
          <w:tcPr>
            <w:tcW w:w="1276" w:type="dxa"/>
            <w:shd w:val="clear" w:color="auto" w:fill="auto"/>
            <w:vAlign w:val="center"/>
          </w:tcPr>
          <w:p w14:paraId="7B75904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7.928.082</w:t>
            </w:r>
          </w:p>
        </w:tc>
        <w:tc>
          <w:tcPr>
            <w:tcW w:w="1417" w:type="dxa"/>
            <w:shd w:val="clear" w:color="auto" w:fill="auto"/>
            <w:noWrap/>
            <w:vAlign w:val="center"/>
            <w:hideMark/>
          </w:tcPr>
          <w:p w14:paraId="682C81F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7.377.501</w:t>
            </w:r>
          </w:p>
        </w:tc>
        <w:tc>
          <w:tcPr>
            <w:tcW w:w="1276" w:type="dxa"/>
            <w:shd w:val="clear" w:color="auto" w:fill="auto"/>
            <w:vAlign w:val="center"/>
          </w:tcPr>
          <w:p w14:paraId="0E825439"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7.315.081</w:t>
            </w:r>
          </w:p>
        </w:tc>
      </w:tr>
      <w:tr w:rsidR="00F04D87" w:rsidRPr="00D83239" w14:paraId="0797D46D" w14:textId="77777777" w:rsidTr="00A54C1A">
        <w:trPr>
          <w:trHeight w:val="283"/>
        </w:trPr>
        <w:tc>
          <w:tcPr>
            <w:tcW w:w="3397" w:type="dxa"/>
            <w:shd w:val="clear" w:color="auto" w:fill="auto"/>
            <w:noWrap/>
            <w:vAlign w:val="bottom"/>
            <w:hideMark/>
          </w:tcPr>
          <w:p w14:paraId="5F6BCCDC" w14:textId="0BB5066A" w:rsidR="00F04D87" w:rsidRPr="00A135C4" w:rsidRDefault="009A0D6A" w:rsidP="0031492F">
            <w:pPr>
              <w:spacing w:line="276" w:lineRule="auto"/>
              <w:rPr>
                <w:rFonts w:ascii="Arial" w:eastAsia="Times New Roman" w:hAnsi="Arial" w:cs="Arial"/>
                <w:b/>
                <w:sz w:val="20"/>
                <w:szCs w:val="20"/>
                <w:highlight w:val="yellow"/>
              </w:rPr>
            </w:pPr>
            <w:r w:rsidRPr="00A335CB">
              <w:rPr>
                <w:rFonts w:ascii="Arial" w:eastAsia="Times New Roman" w:hAnsi="Arial" w:cs="Arial"/>
                <w:sz w:val="20"/>
                <w:szCs w:val="20"/>
              </w:rPr>
              <w:t>M</w:t>
            </w:r>
            <w:r>
              <w:rPr>
                <w:rFonts w:ascii="Arial" w:eastAsia="Times New Roman" w:hAnsi="Arial" w:cs="Arial"/>
                <w:sz w:val="20"/>
                <w:szCs w:val="20"/>
              </w:rPr>
              <w:t>inistrstvo za javno upravo (</w:t>
            </w:r>
            <w:r w:rsidR="00A135C4">
              <w:rPr>
                <w:rFonts w:ascii="Arial" w:eastAsia="Times New Roman" w:hAnsi="Arial" w:cs="Arial"/>
                <w:sz w:val="20"/>
                <w:szCs w:val="20"/>
              </w:rPr>
              <w:t xml:space="preserve">od leta </w:t>
            </w:r>
            <w:r>
              <w:rPr>
                <w:rFonts w:ascii="Arial" w:eastAsia="Times New Roman" w:hAnsi="Arial" w:cs="Arial"/>
                <w:sz w:val="20"/>
                <w:szCs w:val="20"/>
              </w:rPr>
              <w:t>2023 Ministrstvo za digitalno preobrazbo</w:t>
            </w:r>
            <w:r w:rsidRPr="00A335CB">
              <w:rPr>
                <w:rFonts w:ascii="Arial" w:eastAsia="Times New Roman" w:hAnsi="Arial" w:cs="Arial"/>
                <w:sz w:val="20"/>
                <w:szCs w:val="20"/>
              </w:rPr>
              <w:t>)</w:t>
            </w:r>
          </w:p>
        </w:tc>
        <w:tc>
          <w:tcPr>
            <w:tcW w:w="1418" w:type="dxa"/>
            <w:shd w:val="clear" w:color="auto" w:fill="auto"/>
            <w:vAlign w:val="center"/>
          </w:tcPr>
          <w:p w14:paraId="459EFB79"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8.725.363</w:t>
            </w:r>
          </w:p>
        </w:tc>
        <w:tc>
          <w:tcPr>
            <w:tcW w:w="1276" w:type="dxa"/>
            <w:shd w:val="clear" w:color="auto" w:fill="auto"/>
            <w:vAlign w:val="center"/>
          </w:tcPr>
          <w:p w14:paraId="7F222BD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7.961.691</w:t>
            </w:r>
          </w:p>
        </w:tc>
        <w:tc>
          <w:tcPr>
            <w:tcW w:w="1417" w:type="dxa"/>
            <w:shd w:val="clear" w:color="auto" w:fill="auto"/>
            <w:noWrap/>
            <w:vAlign w:val="center"/>
            <w:hideMark/>
          </w:tcPr>
          <w:p w14:paraId="5CF8E3F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10.389.727</w:t>
            </w:r>
          </w:p>
        </w:tc>
        <w:tc>
          <w:tcPr>
            <w:tcW w:w="1276" w:type="dxa"/>
            <w:shd w:val="clear" w:color="auto" w:fill="auto"/>
            <w:vAlign w:val="center"/>
          </w:tcPr>
          <w:p w14:paraId="534E8D8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14.217.617</w:t>
            </w:r>
          </w:p>
        </w:tc>
      </w:tr>
      <w:tr w:rsidR="00A135C4" w:rsidRPr="00D83239" w14:paraId="4B45F2FB" w14:textId="77777777" w:rsidTr="00A54C1A">
        <w:trPr>
          <w:trHeight w:val="283"/>
        </w:trPr>
        <w:tc>
          <w:tcPr>
            <w:tcW w:w="3397" w:type="dxa"/>
            <w:shd w:val="clear" w:color="auto" w:fill="auto"/>
            <w:noWrap/>
            <w:vAlign w:val="bottom"/>
            <w:hideMark/>
          </w:tcPr>
          <w:p w14:paraId="66BD1A69" w14:textId="3AC3D2D2" w:rsidR="00A135C4" w:rsidRPr="00A135C4" w:rsidRDefault="00A135C4" w:rsidP="0031492F">
            <w:pPr>
              <w:spacing w:line="276" w:lineRule="auto"/>
              <w:rPr>
                <w:rFonts w:ascii="Arial" w:eastAsia="Times New Roman" w:hAnsi="Arial" w:cs="Arial"/>
                <w:b/>
                <w:sz w:val="20"/>
                <w:szCs w:val="20"/>
                <w:highlight w:val="yellow"/>
              </w:rPr>
            </w:pPr>
            <w:r w:rsidRPr="00A335CB">
              <w:rPr>
                <w:rFonts w:ascii="Arial" w:eastAsia="Times New Roman" w:hAnsi="Arial" w:cs="Arial"/>
                <w:sz w:val="20"/>
                <w:szCs w:val="20"/>
              </w:rPr>
              <w:t>Sodišča, tožilstvo, zapori</w:t>
            </w:r>
          </w:p>
        </w:tc>
        <w:tc>
          <w:tcPr>
            <w:tcW w:w="1418" w:type="dxa"/>
            <w:shd w:val="clear" w:color="auto" w:fill="auto"/>
            <w:vAlign w:val="center"/>
          </w:tcPr>
          <w:p w14:paraId="7FAB0C8D"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164.268</w:t>
            </w:r>
          </w:p>
        </w:tc>
        <w:tc>
          <w:tcPr>
            <w:tcW w:w="1276" w:type="dxa"/>
            <w:shd w:val="clear" w:color="auto" w:fill="auto"/>
            <w:vAlign w:val="center"/>
          </w:tcPr>
          <w:p w14:paraId="600D7854"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173.544</w:t>
            </w:r>
          </w:p>
        </w:tc>
        <w:tc>
          <w:tcPr>
            <w:tcW w:w="1417" w:type="dxa"/>
            <w:shd w:val="clear" w:color="auto" w:fill="auto"/>
            <w:noWrap/>
            <w:vAlign w:val="center"/>
            <w:hideMark/>
          </w:tcPr>
          <w:p w14:paraId="7FCE1923"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163.600</w:t>
            </w:r>
          </w:p>
        </w:tc>
        <w:tc>
          <w:tcPr>
            <w:tcW w:w="1276" w:type="dxa"/>
            <w:shd w:val="clear" w:color="auto" w:fill="auto"/>
            <w:vAlign w:val="center"/>
          </w:tcPr>
          <w:p w14:paraId="20A73FC4"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174.378</w:t>
            </w:r>
          </w:p>
        </w:tc>
      </w:tr>
      <w:tr w:rsidR="00A135C4" w:rsidRPr="00D83239" w14:paraId="59C060AD" w14:textId="77777777" w:rsidTr="00A54C1A">
        <w:trPr>
          <w:trHeight w:val="283"/>
        </w:trPr>
        <w:tc>
          <w:tcPr>
            <w:tcW w:w="3397" w:type="dxa"/>
            <w:shd w:val="clear" w:color="auto" w:fill="auto"/>
            <w:noWrap/>
            <w:vAlign w:val="bottom"/>
            <w:hideMark/>
          </w:tcPr>
          <w:p w14:paraId="55876A8A" w14:textId="38EAF485" w:rsidR="00A135C4" w:rsidRPr="00A135C4" w:rsidRDefault="00A135C4" w:rsidP="0031492F">
            <w:pPr>
              <w:spacing w:line="276" w:lineRule="auto"/>
              <w:rPr>
                <w:rFonts w:ascii="Arial" w:eastAsia="Times New Roman" w:hAnsi="Arial" w:cs="Arial"/>
                <w:b/>
                <w:sz w:val="20"/>
                <w:szCs w:val="20"/>
                <w:highlight w:val="yellow"/>
              </w:rPr>
            </w:pPr>
            <w:r w:rsidRPr="008E26A9">
              <w:rPr>
                <w:rFonts w:ascii="Arial" w:hAnsi="Arial" w:cs="Arial"/>
                <w:sz w:val="20"/>
                <w:szCs w:val="20"/>
              </w:rPr>
              <w:t>Institucije vzgoje, izobraževanja in študija</w:t>
            </w:r>
          </w:p>
        </w:tc>
        <w:tc>
          <w:tcPr>
            <w:tcW w:w="1418" w:type="dxa"/>
            <w:shd w:val="clear" w:color="auto" w:fill="auto"/>
            <w:vAlign w:val="center"/>
          </w:tcPr>
          <w:p w14:paraId="470F046D"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248.511</w:t>
            </w:r>
          </w:p>
        </w:tc>
        <w:tc>
          <w:tcPr>
            <w:tcW w:w="1276" w:type="dxa"/>
            <w:shd w:val="clear" w:color="auto" w:fill="auto"/>
            <w:vAlign w:val="center"/>
          </w:tcPr>
          <w:p w14:paraId="2629B0B3"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274.527</w:t>
            </w:r>
          </w:p>
        </w:tc>
        <w:tc>
          <w:tcPr>
            <w:tcW w:w="1417" w:type="dxa"/>
            <w:shd w:val="clear" w:color="auto" w:fill="auto"/>
            <w:noWrap/>
            <w:vAlign w:val="center"/>
            <w:hideMark/>
          </w:tcPr>
          <w:p w14:paraId="286C9A78"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590.512</w:t>
            </w:r>
          </w:p>
        </w:tc>
        <w:tc>
          <w:tcPr>
            <w:tcW w:w="1276" w:type="dxa"/>
            <w:shd w:val="clear" w:color="auto" w:fill="auto"/>
            <w:vAlign w:val="center"/>
          </w:tcPr>
          <w:p w14:paraId="696EC675"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598.456</w:t>
            </w:r>
          </w:p>
        </w:tc>
      </w:tr>
      <w:tr w:rsidR="00A135C4" w:rsidRPr="00D83239" w14:paraId="5E48E261" w14:textId="77777777" w:rsidTr="00A54C1A">
        <w:trPr>
          <w:trHeight w:val="283"/>
        </w:trPr>
        <w:tc>
          <w:tcPr>
            <w:tcW w:w="3397" w:type="dxa"/>
            <w:shd w:val="clear" w:color="auto" w:fill="auto"/>
            <w:noWrap/>
            <w:vAlign w:val="bottom"/>
            <w:hideMark/>
          </w:tcPr>
          <w:p w14:paraId="4449B573" w14:textId="28B35E38" w:rsidR="00A135C4" w:rsidRPr="00A135C4" w:rsidRDefault="00A135C4" w:rsidP="0031492F">
            <w:pPr>
              <w:spacing w:line="276" w:lineRule="auto"/>
              <w:rPr>
                <w:rFonts w:ascii="Arial" w:eastAsia="Times New Roman" w:hAnsi="Arial" w:cs="Arial"/>
                <w:b/>
                <w:sz w:val="20"/>
                <w:szCs w:val="20"/>
                <w:highlight w:val="yellow"/>
              </w:rPr>
            </w:pPr>
            <w:r w:rsidRPr="00A335CB">
              <w:rPr>
                <w:rFonts w:ascii="Arial" w:eastAsia="Times New Roman" w:hAnsi="Arial" w:cs="Arial"/>
                <w:sz w:val="20"/>
                <w:szCs w:val="20"/>
              </w:rPr>
              <w:t>Inšpektorati</w:t>
            </w:r>
          </w:p>
        </w:tc>
        <w:tc>
          <w:tcPr>
            <w:tcW w:w="1418" w:type="dxa"/>
            <w:shd w:val="clear" w:color="auto" w:fill="auto"/>
            <w:vAlign w:val="center"/>
          </w:tcPr>
          <w:p w14:paraId="5AC2C621"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5.709</w:t>
            </w:r>
          </w:p>
        </w:tc>
        <w:tc>
          <w:tcPr>
            <w:tcW w:w="1276" w:type="dxa"/>
            <w:shd w:val="clear" w:color="auto" w:fill="auto"/>
            <w:vAlign w:val="center"/>
          </w:tcPr>
          <w:p w14:paraId="7D37D985"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4.816</w:t>
            </w:r>
          </w:p>
        </w:tc>
        <w:tc>
          <w:tcPr>
            <w:tcW w:w="1417" w:type="dxa"/>
            <w:shd w:val="clear" w:color="auto" w:fill="auto"/>
            <w:noWrap/>
            <w:vAlign w:val="center"/>
            <w:hideMark/>
          </w:tcPr>
          <w:p w14:paraId="62A0B4FB"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3.147</w:t>
            </w:r>
          </w:p>
        </w:tc>
        <w:tc>
          <w:tcPr>
            <w:tcW w:w="1276" w:type="dxa"/>
            <w:shd w:val="clear" w:color="auto" w:fill="auto"/>
            <w:vAlign w:val="center"/>
          </w:tcPr>
          <w:p w14:paraId="4A4BF027"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3.079</w:t>
            </w:r>
          </w:p>
        </w:tc>
      </w:tr>
      <w:tr w:rsidR="00A135C4" w:rsidRPr="00D83239" w14:paraId="714AE51A" w14:textId="77777777" w:rsidTr="00A54C1A">
        <w:trPr>
          <w:trHeight w:val="283"/>
        </w:trPr>
        <w:tc>
          <w:tcPr>
            <w:tcW w:w="3397" w:type="dxa"/>
            <w:shd w:val="clear" w:color="auto" w:fill="auto"/>
            <w:noWrap/>
            <w:vAlign w:val="bottom"/>
            <w:hideMark/>
          </w:tcPr>
          <w:p w14:paraId="2D2197C1" w14:textId="04326443" w:rsidR="00A135C4" w:rsidRPr="00A135C4" w:rsidRDefault="00A135C4" w:rsidP="0031492F">
            <w:pPr>
              <w:spacing w:line="276" w:lineRule="auto"/>
              <w:rPr>
                <w:rFonts w:ascii="Arial" w:eastAsia="Times New Roman" w:hAnsi="Arial" w:cs="Arial"/>
                <w:b/>
                <w:sz w:val="20"/>
                <w:szCs w:val="20"/>
                <w:highlight w:val="yellow"/>
              </w:rPr>
            </w:pPr>
            <w:r w:rsidRPr="00A335CB">
              <w:rPr>
                <w:rFonts w:ascii="Arial" w:eastAsia="Times New Roman" w:hAnsi="Arial" w:cs="Arial"/>
                <w:sz w:val="20"/>
                <w:szCs w:val="20"/>
              </w:rPr>
              <w:t>Urad za preprečevanje pranja denarja</w:t>
            </w:r>
          </w:p>
        </w:tc>
        <w:tc>
          <w:tcPr>
            <w:tcW w:w="1418" w:type="dxa"/>
            <w:shd w:val="clear" w:color="auto" w:fill="auto"/>
            <w:vAlign w:val="center"/>
          </w:tcPr>
          <w:p w14:paraId="7CC78BE5"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15.563</w:t>
            </w:r>
          </w:p>
        </w:tc>
        <w:tc>
          <w:tcPr>
            <w:tcW w:w="1276" w:type="dxa"/>
            <w:shd w:val="clear" w:color="auto" w:fill="auto"/>
            <w:vAlign w:val="center"/>
          </w:tcPr>
          <w:p w14:paraId="0E4EC6A8"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2.101</w:t>
            </w:r>
          </w:p>
        </w:tc>
        <w:tc>
          <w:tcPr>
            <w:tcW w:w="1417" w:type="dxa"/>
            <w:shd w:val="clear" w:color="auto" w:fill="auto"/>
            <w:noWrap/>
            <w:vAlign w:val="center"/>
            <w:hideMark/>
          </w:tcPr>
          <w:p w14:paraId="7F27D53F"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68</w:t>
            </w:r>
          </w:p>
        </w:tc>
        <w:tc>
          <w:tcPr>
            <w:tcW w:w="1276" w:type="dxa"/>
            <w:shd w:val="clear" w:color="auto" w:fill="auto"/>
            <w:vAlign w:val="center"/>
          </w:tcPr>
          <w:p w14:paraId="362CD743"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0</w:t>
            </w:r>
          </w:p>
        </w:tc>
      </w:tr>
      <w:tr w:rsidR="00A135C4" w:rsidRPr="00D83239" w14:paraId="236DCCBA" w14:textId="77777777" w:rsidTr="00A54C1A">
        <w:trPr>
          <w:trHeight w:val="283"/>
        </w:trPr>
        <w:tc>
          <w:tcPr>
            <w:tcW w:w="3397" w:type="dxa"/>
            <w:shd w:val="clear" w:color="auto" w:fill="auto"/>
            <w:noWrap/>
            <w:vAlign w:val="bottom"/>
          </w:tcPr>
          <w:p w14:paraId="61440663" w14:textId="2BD8E364" w:rsidR="00A135C4" w:rsidRPr="00A135C4" w:rsidRDefault="00A135C4" w:rsidP="0031492F">
            <w:pPr>
              <w:spacing w:line="276" w:lineRule="auto"/>
              <w:rPr>
                <w:rFonts w:ascii="Arial" w:eastAsia="Times New Roman" w:hAnsi="Arial" w:cs="Arial"/>
                <w:sz w:val="20"/>
                <w:szCs w:val="20"/>
              </w:rPr>
            </w:pPr>
            <w:proofErr w:type="spellStart"/>
            <w:r w:rsidRPr="00A135C4">
              <w:rPr>
                <w:rFonts w:ascii="Arial" w:eastAsia="Times New Roman" w:hAnsi="Arial" w:cs="Arial"/>
                <w:sz w:val="20"/>
                <w:szCs w:val="20"/>
              </w:rPr>
              <w:t>Eko</w:t>
            </w:r>
            <w:proofErr w:type="spellEnd"/>
            <w:r w:rsidRPr="00A135C4">
              <w:rPr>
                <w:rFonts w:ascii="Arial" w:eastAsia="Times New Roman" w:hAnsi="Arial" w:cs="Arial"/>
                <w:sz w:val="20"/>
                <w:szCs w:val="20"/>
              </w:rPr>
              <w:t xml:space="preserve"> sklad</w:t>
            </w:r>
          </w:p>
        </w:tc>
        <w:tc>
          <w:tcPr>
            <w:tcW w:w="1418" w:type="dxa"/>
            <w:shd w:val="clear" w:color="auto" w:fill="auto"/>
            <w:vAlign w:val="center"/>
          </w:tcPr>
          <w:p w14:paraId="09B5EC32"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w:t>
            </w:r>
          </w:p>
        </w:tc>
        <w:tc>
          <w:tcPr>
            <w:tcW w:w="1276" w:type="dxa"/>
            <w:shd w:val="clear" w:color="auto" w:fill="auto"/>
            <w:vAlign w:val="center"/>
          </w:tcPr>
          <w:p w14:paraId="2332E0AE"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w:t>
            </w:r>
          </w:p>
        </w:tc>
        <w:tc>
          <w:tcPr>
            <w:tcW w:w="1417" w:type="dxa"/>
            <w:shd w:val="clear" w:color="auto" w:fill="auto"/>
            <w:noWrap/>
            <w:vAlign w:val="center"/>
          </w:tcPr>
          <w:p w14:paraId="71E2349F"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68.332</w:t>
            </w:r>
          </w:p>
        </w:tc>
        <w:tc>
          <w:tcPr>
            <w:tcW w:w="1276" w:type="dxa"/>
            <w:shd w:val="clear" w:color="auto" w:fill="auto"/>
            <w:vAlign w:val="center"/>
          </w:tcPr>
          <w:p w14:paraId="0E09A78F"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64.096</w:t>
            </w:r>
          </w:p>
        </w:tc>
      </w:tr>
      <w:tr w:rsidR="00A135C4" w:rsidRPr="00D83239" w14:paraId="549B6F61" w14:textId="77777777" w:rsidTr="00A54C1A">
        <w:trPr>
          <w:trHeight w:val="283"/>
        </w:trPr>
        <w:tc>
          <w:tcPr>
            <w:tcW w:w="3397" w:type="dxa"/>
            <w:shd w:val="clear" w:color="auto" w:fill="auto"/>
            <w:noWrap/>
            <w:vAlign w:val="bottom"/>
            <w:hideMark/>
          </w:tcPr>
          <w:p w14:paraId="4653C2C1" w14:textId="7AC1F6BF" w:rsidR="00A135C4" w:rsidRPr="00A135C4" w:rsidRDefault="00A135C4" w:rsidP="0031492F">
            <w:pPr>
              <w:spacing w:line="276" w:lineRule="auto"/>
              <w:rPr>
                <w:rFonts w:ascii="Arial" w:eastAsia="Times New Roman" w:hAnsi="Arial" w:cs="Arial"/>
                <w:sz w:val="20"/>
                <w:szCs w:val="20"/>
              </w:rPr>
            </w:pPr>
            <w:r w:rsidRPr="00A135C4">
              <w:rPr>
                <w:rFonts w:ascii="Arial" w:eastAsia="Times New Roman" w:hAnsi="Arial" w:cs="Arial"/>
                <w:sz w:val="20"/>
                <w:szCs w:val="20"/>
              </w:rPr>
              <w:t>Ministrstvo za pravosodje</w:t>
            </w:r>
            <w:r w:rsidRPr="00A135C4" w:rsidDel="00A135C4">
              <w:rPr>
                <w:rFonts w:ascii="Arial" w:eastAsia="Times New Roman" w:hAnsi="Arial" w:cs="Arial"/>
                <w:sz w:val="20"/>
                <w:szCs w:val="20"/>
              </w:rPr>
              <w:t xml:space="preserve"> </w:t>
            </w:r>
          </w:p>
        </w:tc>
        <w:tc>
          <w:tcPr>
            <w:tcW w:w="1418" w:type="dxa"/>
            <w:shd w:val="clear" w:color="auto" w:fill="auto"/>
            <w:vAlign w:val="center"/>
          </w:tcPr>
          <w:p w14:paraId="16632F05"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3.006</w:t>
            </w:r>
          </w:p>
        </w:tc>
        <w:tc>
          <w:tcPr>
            <w:tcW w:w="1276" w:type="dxa"/>
            <w:shd w:val="clear" w:color="auto" w:fill="auto"/>
            <w:vAlign w:val="center"/>
          </w:tcPr>
          <w:p w14:paraId="760FA28A"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605.332</w:t>
            </w:r>
          </w:p>
        </w:tc>
        <w:tc>
          <w:tcPr>
            <w:tcW w:w="1417" w:type="dxa"/>
            <w:shd w:val="clear" w:color="auto" w:fill="auto"/>
            <w:noWrap/>
            <w:vAlign w:val="center"/>
            <w:hideMark/>
          </w:tcPr>
          <w:p w14:paraId="50DB6C29"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722.080</w:t>
            </w:r>
          </w:p>
        </w:tc>
        <w:tc>
          <w:tcPr>
            <w:tcW w:w="1276" w:type="dxa"/>
            <w:shd w:val="clear" w:color="auto" w:fill="auto"/>
            <w:vAlign w:val="center"/>
          </w:tcPr>
          <w:p w14:paraId="0CD14D9E"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696.006</w:t>
            </w:r>
          </w:p>
        </w:tc>
      </w:tr>
      <w:tr w:rsidR="00A135C4" w:rsidRPr="00D83239" w14:paraId="55A83B73" w14:textId="77777777" w:rsidTr="00A54C1A">
        <w:trPr>
          <w:trHeight w:val="283"/>
        </w:trPr>
        <w:tc>
          <w:tcPr>
            <w:tcW w:w="3397" w:type="dxa"/>
            <w:shd w:val="clear" w:color="auto" w:fill="auto"/>
            <w:noWrap/>
            <w:vAlign w:val="bottom"/>
          </w:tcPr>
          <w:p w14:paraId="6A0CB2EE" w14:textId="1FABF5BA" w:rsidR="00A135C4" w:rsidRPr="00A135C4" w:rsidRDefault="00A135C4" w:rsidP="0031492F">
            <w:pPr>
              <w:spacing w:line="276" w:lineRule="auto"/>
              <w:rPr>
                <w:rFonts w:ascii="Arial" w:eastAsia="Times New Roman" w:hAnsi="Arial" w:cs="Arial"/>
                <w:sz w:val="20"/>
                <w:szCs w:val="20"/>
              </w:rPr>
            </w:pPr>
            <w:proofErr w:type="spellStart"/>
            <w:r w:rsidRPr="00A135C4">
              <w:rPr>
                <w:rFonts w:ascii="Arial" w:eastAsia="Times New Roman" w:hAnsi="Arial" w:cs="Arial"/>
                <w:sz w:val="20"/>
                <w:szCs w:val="20"/>
              </w:rPr>
              <w:t>Rekono</w:t>
            </w:r>
            <w:proofErr w:type="spellEnd"/>
          </w:p>
        </w:tc>
        <w:tc>
          <w:tcPr>
            <w:tcW w:w="1418" w:type="dxa"/>
            <w:shd w:val="clear" w:color="auto" w:fill="auto"/>
            <w:vAlign w:val="center"/>
          </w:tcPr>
          <w:p w14:paraId="04393460"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4.762</w:t>
            </w:r>
          </w:p>
        </w:tc>
        <w:tc>
          <w:tcPr>
            <w:tcW w:w="1276" w:type="dxa"/>
            <w:shd w:val="clear" w:color="auto" w:fill="auto"/>
            <w:vAlign w:val="center"/>
          </w:tcPr>
          <w:p w14:paraId="219AE72C"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1.046.875</w:t>
            </w:r>
          </w:p>
        </w:tc>
        <w:tc>
          <w:tcPr>
            <w:tcW w:w="1417" w:type="dxa"/>
            <w:shd w:val="clear" w:color="auto" w:fill="auto"/>
            <w:noWrap/>
            <w:vAlign w:val="center"/>
          </w:tcPr>
          <w:p w14:paraId="4EA34179"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541.274</w:t>
            </w:r>
          </w:p>
        </w:tc>
        <w:tc>
          <w:tcPr>
            <w:tcW w:w="1276" w:type="dxa"/>
            <w:shd w:val="clear" w:color="auto" w:fill="auto"/>
            <w:vAlign w:val="center"/>
          </w:tcPr>
          <w:p w14:paraId="6813AB87"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450.268</w:t>
            </w:r>
          </w:p>
        </w:tc>
      </w:tr>
      <w:tr w:rsidR="00A135C4" w:rsidRPr="00D83239" w14:paraId="4F0188FE" w14:textId="77777777" w:rsidTr="00A54C1A">
        <w:trPr>
          <w:trHeight w:val="296"/>
        </w:trPr>
        <w:tc>
          <w:tcPr>
            <w:tcW w:w="3397" w:type="dxa"/>
            <w:shd w:val="clear" w:color="auto" w:fill="auto"/>
            <w:noWrap/>
            <w:vAlign w:val="bottom"/>
          </w:tcPr>
          <w:p w14:paraId="31FD89B6" w14:textId="074250B9" w:rsidR="00A135C4" w:rsidRPr="00A135C4" w:rsidRDefault="00A135C4" w:rsidP="0031492F">
            <w:pPr>
              <w:spacing w:line="276" w:lineRule="auto"/>
              <w:rPr>
                <w:rFonts w:ascii="Arial" w:eastAsia="Times New Roman" w:hAnsi="Arial" w:cs="Arial"/>
                <w:sz w:val="20"/>
                <w:szCs w:val="20"/>
              </w:rPr>
            </w:pPr>
            <w:r w:rsidRPr="00A135C4">
              <w:rPr>
                <w:rFonts w:ascii="Arial" w:eastAsia="Times New Roman" w:hAnsi="Arial" w:cs="Arial"/>
                <w:sz w:val="20"/>
                <w:szCs w:val="20"/>
              </w:rPr>
              <w:t>IO listine</w:t>
            </w:r>
          </w:p>
        </w:tc>
        <w:tc>
          <w:tcPr>
            <w:tcW w:w="1418" w:type="dxa"/>
            <w:shd w:val="clear" w:color="auto" w:fill="auto"/>
            <w:vAlign w:val="center"/>
          </w:tcPr>
          <w:p w14:paraId="6698EA46"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w:t>
            </w:r>
          </w:p>
        </w:tc>
        <w:tc>
          <w:tcPr>
            <w:tcW w:w="1276" w:type="dxa"/>
            <w:shd w:val="clear" w:color="auto" w:fill="auto"/>
            <w:vAlign w:val="center"/>
          </w:tcPr>
          <w:p w14:paraId="1360737F"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w:t>
            </w:r>
          </w:p>
        </w:tc>
        <w:tc>
          <w:tcPr>
            <w:tcW w:w="1417" w:type="dxa"/>
            <w:shd w:val="clear" w:color="auto" w:fill="auto"/>
            <w:noWrap/>
            <w:vAlign w:val="center"/>
          </w:tcPr>
          <w:p w14:paraId="763B9079"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w:t>
            </w:r>
          </w:p>
        </w:tc>
        <w:tc>
          <w:tcPr>
            <w:tcW w:w="1276" w:type="dxa"/>
            <w:shd w:val="clear" w:color="auto" w:fill="auto"/>
            <w:vAlign w:val="center"/>
          </w:tcPr>
          <w:p w14:paraId="66225AC8"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111.083</w:t>
            </w:r>
          </w:p>
        </w:tc>
      </w:tr>
      <w:tr w:rsidR="00A135C4" w:rsidRPr="00D83239" w14:paraId="017B11CB" w14:textId="77777777" w:rsidTr="00A54C1A">
        <w:trPr>
          <w:trHeight w:val="296"/>
        </w:trPr>
        <w:tc>
          <w:tcPr>
            <w:tcW w:w="3397" w:type="dxa"/>
            <w:shd w:val="clear" w:color="auto" w:fill="auto"/>
            <w:noWrap/>
            <w:vAlign w:val="bottom"/>
            <w:hideMark/>
          </w:tcPr>
          <w:p w14:paraId="08F1460D" w14:textId="66228375" w:rsidR="00A135C4" w:rsidRPr="00D83239" w:rsidRDefault="00A135C4" w:rsidP="0031492F">
            <w:pPr>
              <w:spacing w:line="276" w:lineRule="auto"/>
              <w:rPr>
                <w:rFonts w:ascii="Arial" w:eastAsia="Times New Roman" w:hAnsi="Arial" w:cs="Arial"/>
                <w:b/>
                <w:sz w:val="20"/>
                <w:szCs w:val="20"/>
              </w:rPr>
            </w:pPr>
            <w:r>
              <w:rPr>
                <w:rFonts w:ascii="Arial" w:eastAsia="Times New Roman" w:hAnsi="Arial" w:cs="Arial"/>
                <w:b/>
                <w:sz w:val="20"/>
                <w:szCs w:val="20"/>
              </w:rPr>
              <w:t>Drugo</w:t>
            </w:r>
          </w:p>
        </w:tc>
        <w:tc>
          <w:tcPr>
            <w:tcW w:w="1418" w:type="dxa"/>
            <w:shd w:val="clear" w:color="auto" w:fill="auto"/>
            <w:vAlign w:val="center"/>
          </w:tcPr>
          <w:p w14:paraId="2B192908"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428.340</w:t>
            </w:r>
          </w:p>
        </w:tc>
        <w:tc>
          <w:tcPr>
            <w:tcW w:w="1276" w:type="dxa"/>
            <w:shd w:val="clear" w:color="auto" w:fill="auto"/>
            <w:vAlign w:val="center"/>
          </w:tcPr>
          <w:p w14:paraId="7F47D63E"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682.545</w:t>
            </w:r>
          </w:p>
        </w:tc>
        <w:tc>
          <w:tcPr>
            <w:tcW w:w="1417" w:type="dxa"/>
            <w:shd w:val="clear" w:color="auto" w:fill="auto"/>
            <w:noWrap/>
            <w:vAlign w:val="center"/>
            <w:hideMark/>
          </w:tcPr>
          <w:p w14:paraId="01F30D86"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975.380</w:t>
            </w:r>
          </w:p>
        </w:tc>
        <w:tc>
          <w:tcPr>
            <w:tcW w:w="1276" w:type="dxa"/>
            <w:shd w:val="clear" w:color="auto" w:fill="auto"/>
            <w:vAlign w:val="center"/>
          </w:tcPr>
          <w:p w14:paraId="645A910A" w14:textId="77777777" w:rsidR="00A135C4" w:rsidRPr="00D83239" w:rsidRDefault="00A135C4" w:rsidP="00A135C4">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1.120.488</w:t>
            </w:r>
          </w:p>
        </w:tc>
      </w:tr>
      <w:tr w:rsidR="00A135C4" w:rsidRPr="00D83239" w14:paraId="73717CAF" w14:textId="13E1422E" w:rsidTr="00946991">
        <w:trPr>
          <w:trHeight w:val="296"/>
        </w:trPr>
        <w:tc>
          <w:tcPr>
            <w:tcW w:w="3397" w:type="dxa"/>
            <w:shd w:val="clear" w:color="auto" w:fill="D9D9D9" w:themeFill="background1" w:themeFillShade="D9"/>
            <w:noWrap/>
            <w:vAlign w:val="bottom"/>
            <w:hideMark/>
          </w:tcPr>
          <w:p w14:paraId="6966451A" w14:textId="77777777" w:rsidR="00A135C4" w:rsidRPr="00D83239" w:rsidRDefault="00A135C4" w:rsidP="0031492F">
            <w:pPr>
              <w:spacing w:line="276" w:lineRule="auto"/>
              <w:rPr>
                <w:rFonts w:ascii="Arial" w:eastAsia="Times New Roman" w:hAnsi="Arial" w:cs="Arial"/>
                <w:b/>
                <w:bCs/>
                <w:sz w:val="20"/>
                <w:szCs w:val="20"/>
              </w:rPr>
            </w:pPr>
            <w:r w:rsidRPr="00D83239">
              <w:rPr>
                <w:rFonts w:ascii="Arial" w:eastAsia="Times New Roman" w:hAnsi="Arial" w:cs="Arial"/>
                <w:b/>
                <w:bCs/>
                <w:sz w:val="20"/>
                <w:szCs w:val="20"/>
              </w:rPr>
              <w:t>SKUPAJ</w:t>
            </w:r>
          </w:p>
        </w:tc>
        <w:tc>
          <w:tcPr>
            <w:tcW w:w="1418" w:type="dxa"/>
            <w:shd w:val="clear" w:color="auto" w:fill="D9D9D9" w:themeFill="background1" w:themeFillShade="D9"/>
            <w:vAlign w:val="center"/>
          </w:tcPr>
          <w:p w14:paraId="1375E4AB" w14:textId="77777777" w:rsidR="00A135C4" w:rsidRPr="00D83239" w:rsidRDefault="00A135C4" w:rsidP="00A135C4">
            <w:pPr>
              <w:spacing w:line="276" w:lineRule="auto"/>
              <w:jc w:val="right"/>
              <w:rPr>
                <w:rFonts w:ascii="Arial" w:eastAsia="Times New Roman" w:hAnsi="Arial" w:cs="Arial"/>
                <w:b/>
                <w:bCs/>
                <w:sz w:val="20"/>
                <w:szCs w:val="20"/>
              </w:rPr>
            </w:pPr>
            <w:r w:rsidRPr="00D83239">
              <w:rPr>
                <w:rFonts w:ascii="Arial" w:eastAsia="Times New Roman" w:hAnsi="Arial" w:cs="Arial"/>
                <w:b/>
                <w:bCs/>
                <w:sz w:val="20"/>
                <w:szCs w:val="20"/>
              </w:rPr>
              <w:t>17.258.976</w:t>
            </w:r>
          </w:p>
        </w:tc>
        <w:tc>
          <w:tcPr>
            <w:tcW w:w="1276" w:type="dxa"/>
            <w:shd w:val="clear" w:color="auto" w:fill="D9D9D9" w:themeFill="background1" w:themeFillShade="D9"/>
            <w:vAlign w:val="center"/>
          </w:tcPr>
          <w:p w14:paraId="2CD23A7B" w14:textId="77777777" w:rsidR="00A135C4" w:rsidRPr="00D83239" w:rsidRDefault="00A135C4" w:rsidP="00A135C4">
            <w:pPr>
              <w:spacing w:line="276" w:lineRule="auto"/>
              <w:jc w:val="right"/>
              <w:rPr>
                <w:rFonts w:ascii="Arial" w:eastAsia="Times New Roman" w:hAnsi="Arial" w:cs="Arial"/>
                <w:b/>
                <w:bCs/>
                <w:sz w:val="20"/>
                <w:szCs w:val="20"/>
              </w:rPr>
            </w:pPr>
            <w:r w:rsidRPr="00D83239">
              <w:rPr>
                <w:rFonts w:ascii="Arial" w:eastAsia="Times New Roman" w:hAnsi="Arial" w:cs="Arial"/>
                <w:b/>
                <w:bCs/>
                <w:sz w:val="20"/>
                <w:szCs w:val="20"/>
              </w:rPr>
              <w:t>18.679.513</w:t>
            </w:r>
          </w:p>
        </w:tc>
        <w:tc>
          <w:tcPr>
            <w:tcW w:w="1417" w:type="dxa"/>
            <w:shd w:val="clear" w:color="auto" w:fill="D9D9D9" w:themeFill="background1" w:themeFillShade="D9"/>
            <w:noWrap/>
            <w:vAlign w:val="center"/>
            <w:hideMark/>
          </w:tcPr>
          <w:p w14:paraId="181A49AB" w14:textId="77777777" w:rsidR="00A135C4" w:rsidRPr="00D83239" w:rsidRDefault="00A135C4" w:rsidP="00A135C4">
            <w:pPr>
              <w:spacing w:line="276" w:lineRule="auto"/>
              <w:jc w:val="right"/>
              <w:rPr>
                <w:rFonts w:ascii="Arial" w:eastAsia="Times New Roman" w:hAnsi="Arial" w:cs="Arial"/>
                <w:b/>
                <w:bCs/>
                <w:sz w:val="20"/>
                <w:szCs w:val="20"/>
              </w:rPr>
            </w:pPr>
            <w:r w:rsidRPr="00D83239">
              <w:rPr>
                <w:rFonts w:ascii="Arial" w:eastAsia="Times New Roman" w:hAnsi="Arial" w:cs="Arial"/>
                <w:b/>
                <w:bCs/>
                <w:sz w:val="20"/>
                <w:szCs w:val="20"/>
              </w:rPr>
              <w:t>20.831.621</w:t>
            </w:r>
          </w:p>
        </w:tc>
        <w:tc>
          <w:tcPr>
            <w:tcW w:w="1276" w:type="dxa"/>
            <w:shd w:val="clear" w:color="auto" w:fill="D9D9D9" w:themeFill="background1" w:themeFillShade="D9"/>
            <w:vAlign w:val="center"/>
          </w:tcPr>
          <w:p w14:paraId="4388D573" w14:textId="77777777" w:rsidR="00A135C4" w:rsidRPr="00D83239" w:rsidRDefault="00A135C4" w:rsidP="00A135C4">
            <w:pPr>
              <w:spacing w:line="276" w:lineRule="auto"/>
              <w:jc w:val="right"/>
              <w:rPr>
                <w:rFonts w:ascii="Arial" w:eastAsia="Times New Roman" w:hAnsi="Arial" w:cs="Arial"/>
                <w:b/>
                <w:bCs/>
                <w:sz w:val="20"/>
                <w:szCs w:val="20"/>
              </w:rPr>
            </w:pPr>
            <w:r w:rsidRPr="00D83239">
              <w:rPr>
                <w:rFonts w:ascii="Arial" w:eastAsia="Times New Roman" w:hAnsi="Arial" w:cs="Arial"/>
                <w:b/>
                <w:bCs/>
                <w:sz w:val="20"/>
                <w:szCs w:val="20"/>
              </w:rPr>
              <w:t>24.750.552</w:t>
            </w:r>
          </w:p>
        </w:tc>
      </w:tr>
      <w:bookmarkEnd w:id="87"/>
    </w:tbl>
    <w:p w14:paraId="5DBF1109" w14:textId="77777777" w:rsidR="00A54C1A" w:rsidRDefault="00A54C1A" w:rsidP="00D83239">
      <w:pPr>
        <w:autoSpaceDE w:val="0"/>
        <w:autoSpaceDN w:val="0"/>
        <w:adjustRightInd w:val="0"/>
        <w:spacing w:after="0" w:line="276" w:lineRule="auto"/>
        <w:jc w:val="both"/>
        <w:rPr>
          <w:rFonts w:ascii="Arial" w:hAnsi="Arial" w:cs="Arial"/>
          <w:b/>
          <w:bCs/>
          <w:iCs/>
          <w:sz w:val="20"/>
          <w:szCs w:val="20"/>
          <w:lang w:eastAsia="sl-SI"/>
        </w:rPr>
      </w:pPr>
    </w:p>
    <w:p w14:paraId="38A6D626" w14:textId="3CC1469F" w:rsidR="00F04D87" w:rsidRPr="00D83239" w:rsidRDefault="00F04D87" w:rsidP="00D83239">
      <w:pPr>
        <w:autoSpaceDE w:val="0"/>
        <w:autoSpaceDN w:val="0"/>
        <w:adjustRightInd w:val="0"/>
        <w:spacing w:after="0" w:line="276" w:lineRule="auto"/>
        <w:jc w:val="both"/>
        <w:rPr>
          <w:rFonts w:ascii="Arial" w:hAnsi="Arial" w:cs="Arial"/>
          <w:bCs/>
          <w:iCs/>
          <w:sz w:val="20"/>
          <w:szCs w:val="20"/>
          <w:lang w:eastAsia="sl-SI"/>
        </w:rPr>
      </w:pPr>
      <w:r w:rsidRPr="00D83239">
        <w:rPr>
          <w:rFonts w:ascii="Arial" w:hAnsi="Arial" w:cs="Arial"/>
          <w:b/>
          <w:bCs/>
          <w:iCs/>
          <w:sz w:val="20"/>
          <w:szCs w:val="20"/>
          <w:lang w:eastAsia="sl-SI"/>
        </w:rPr>
        <w:t>Preglednica</w:t>
      </w:r>
      <w:r w:rsidRPr="00A135C4">
        <w:rPr>
          <w:rFonts w:ascii="Arial" w:hAnsi="Arial" w:cs="Arial"/>
          <w:bCs/>
          <w:iCs/>
          <w:sz w:val="20"/>
          <w:szCs w:val="20"/>
          <w:lang w:eastAsia="sl-SI"/>
        </w:rPr>
        <w:t>:</w:t>
      </w:r>
      <w:r w:rsidRPr="00D83239">
        <w:rPr>
          <w:rFonts w:ascii="Arial" w:hAnsi="Arial" w:cs="Arial"/>
          <w:bCs/>
          <w:iCs/>
          <w:sz w:val="20"/>
          <w:szCs w:val="20"/>
          <w:lang w:eastAsia="sl-SI"/>
        </w:rPr>
        <w:t xml:space="preserve"> Predložitev podatkov prek IO-CRP</w:t>
      </w:r>
    </w:p>
    <w:p w14:paraId="73723CFA" w14:textId="77777777" w:rsidR="00F04D87" w:rsidRPr="00D83239" w:rsidRDefault="00F04D87" w:rsidP="00D83239">
      <w:pPr>
        <w:autoSpaceDE w:val="0"/>
        <w:autoSpaceDN w:val="0"/>
        <w:adjustRightInd w:val="0"/>
        <w:spacing w:after="0" w:line="276" w:lineRule="auto"/>
        <w:jc w:val="both"/>
        <w:rPr>
          <w:rFonts w:ascii="Arial" w:hAnsi="Arial" w:cs="Arial"/>
          <w:sz w:val="20"/>
          <w:szCs w:val="20"/>
          <w:lang w:eastAsia="sl-SI"/>
        </w:rPr>
      </w:pPr>
    </w:p>
    <w:p w14:paraId="009A4679" w14:textId="3ED1DDBE" w:rsidR="00F04D87" w:rsidRPr="00D83239" w:rsidRDefault="00F04D87" w:rsidP="00D83239">
      <w:pPr>
        <w:autoSpaceDE w:val="0"/>
        <w:autoSpaceDN w:val="0"/>
        <w:adjustRightInd w:val="0"/>
        <w:spacing w:after="0" w:line="276" w:lineRule="auto"/>
        <w:jc w:val="both"/>
        <w:rPr>
          <w:rFonts w:ascii="Arial" w:hAnsi="Arial" w:cs="Arial"/>
          <w:bCs/>
          <w:sz w:val="20"/>
          <w:szCs w:val="20"/>
          <w:lang w:eastAsia="sl-SI"/>
        </w:rPr>
      </w:pPr>
      <w:r w:rsidRPr="00D83239">
        <w:rPr>
          <w:rFonts w:ascii="Arial" w:hAnsi="Arial" w:cs="Arial"/>
          <w:sz w:val="20"/>
          <w:szCs w:val="20"/>
          <w:lang w:eastAsia="sl-SI"/>
        </w:rPr>
        <w:t>Občine podatke, ki jih potrebujejo za opravljanje nalog iz svoje pristojnosti</w:t>
      </w:r>
      <w:r w:rsidR="000F4335">
        <w:rPr>
          <w:rFonts w:ascii="Arial" w:hAnsi="Arial" w:cs="Arial"/>
          <w:sz w:val="20"/>
          <w:szCs w:val="20"/>
          <w:lang w:eastAsia="sl-SI"/>
        </w:rPr>
        <w:t xml:space="preserve"> in</w:t>
      </w:r>
      <w:r w:rsidRPr="00D83239">
        <w:rPr>
          <w:rFonts w:ascii="Arial" w:hAnsi="Arial" w:cs="Arial"/>
          <w:sz w:val="20"/>
          <w:szCs w:val="20"/>
          <w:lang w:eastAsia="sl-SI"/>
        </w:rPr>
        <w:t xml:space="preserve"> jih obdelujejo ter </w:t>
      </w:r>
      <w:r w:rsidR="009D5AD5">
        <w:rPr>
          <w:rFonts w:ascii="Arial" w:hAnsi="Arial" w:cs="Arial"/>
          <w:sz w:val="20"/>
          <w:szCs w:val="20"/>
          <w:lang w:eastAsia="sl-SI"/>
        </w:rPr>
        <w:t xml:space="preserve">na </w:t>
      </w:r>
      <w:r w:rsidR="000F4335">
        <w:rPr>
          <w:rFonts w:ascii="Arial" w:hAnsi="Arial" w:cs="Arial"/>
          <w:sz w:val="20"/>
          <w:szCs w:val="20"/>
          <w:lang w:eastAsia="sl-SI"/>
        </w:rPr>
        <w:t>katerih</w:t>
      </w:r>
      <w:r w:rsidR="009D5AD5">
        <w:rPr>
          <w:rFonts w:ascii="Arial" w:hAnsi="Arial" w:cs="Arial"/>
          <w:sz w:val="20"/>
          <w:szCs w:val="20"/>
          <w:lang w:eastAsia="sl-SI"/>
        </w:rPr>
        <w:t xml:space="preserve"> podlagi </w:t>
      </w:r>
      <w:r w:rsidRPr="00D83239">
        <w:rPr>
          <w:rFonts w:ascii="Arial" w:hAnsi="Arial" w:cs="Arial"/>
          <w:sz w:val="20"/>
          <w:szCs w:val="20"/>
          <w:lang w:eastAsia="sl-SI"/>
        </w:rPr>
        <w:t xml:space="preserve">opravljajo statistično, evidenčno in analitično funkcijo za svoje potrebe, pridobivajo na podlagi 21.a člena Zakona o lokalni samoupravi. Podatke pridobivajo </w:t>
      </w:r>
      <w:r w:rsidRPr="00D83239">
        <w:rPr>
          <w:rFonts w:ascii="Arial" w:hAnsi="Arial" w:cs="Arial"/>
          <w:b/>
          <w:sz w:val="20"/>
          <w:szCs w:val="20"/>
          <w:lang w:eastAsia="sl-SI"/>
        </w:rPr>
        <w:t xml:space="preserve">prek </w:t>
      </w:r>
      <w:r w:rsidR="00F15600">
        <w:rPr>
          <w:rFonts w:ascii="Arial" w:hAnsi="Arial" w:cs="Arial"/>
          <w:b/>
          <w:sz w:val="20"/>
          <w:szCs w:val="20"/>
          <w:lang w:eastAsia="sl-SI"/>
        </w:rPr>
        <w:t>p</w:t>
      </w:r>
      <w:r w:rsidRPr="00D83239">
        <w:rPr>
          <w:rFonts w:ascii="Arial" w:hAnsi="Arial" w:cs="Arial"/>
          <w:b/>
          <w:sz w:val="20"/>
          <w:szCs w:val="20"/>
          <w:lang w:eastAsia="sl-SI"/>
        </w:rPr>
        <w:t xml:space="preserve">ortala </w:t>
      </w:r>
      <w:r w:rsidRPr="00D942C3">
        <w:rPr>
          <w:rFonts w:ascii="Arial" w:hAnsi="Arial" w:cs="Arial"/>
          <w:b/>
          <w:sz w:val="20"/>
          <w:szCs w:val="20"/>
          <w:lang w:eastAsia="sl-SI"/>
        </w:rPr>
        <w:t>CRP-Občine</w:t>
      </w:r>
      <w:r w:rsidRPr="00D83239">
        <w:rPr>
          <w:rFonts w:ascii="Arial" w:hAnsi="Arial" w:cs="Arial"/>
          <w:bCs/>
          <w:sz w:val="20"/>
          <w:szCs w:val="20"/>
          <w:lang w:eastAsia="sl-SI"/>
        </w:rPr>
        <w:t xml:space="preserve">. </w:t>
      </w:r>
    </w:p>
    <w:p w14:paraId="398E48FA" w14:textId="77777777" w:rsidR="00F04D87" w:rsidRPr="00D83239" w:rsidRDefault="00F04D87" w:rsidP="00D83239">
      <w:pPr>
        <w:autoSpaceDE w:val="0"/>
        <w:autoSpaceDN w:val="0"/>
        <w:adjustRightInd w:val="0"/>
        <w:spacing w:after="0" w:line="276" w:lineRule="auto"/>
        <w:jc w:val="both"/>
        <w:rPr>
          <w:rFonts w:ascii="Arial" w:hAnsi="Arial" w:cs="Arial"/>
          <w:bCs/>
          <w:sz w:val="20"/>
          <w:szCs w:val="20"/>
          <w:lang w:eastAsia="sl-SI"/>
        </w:rPr>
      </w:pPr>
    </w:p>
    <w:p w14:paraId="2292816E" w14:textId="622AEE68" w:rsidR="00F04D87" w:rsidRPr="00D83239" w:rsidRDefault="00F04D87"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 xml:space="preserve">Informacijski pooblaščenec </w:t>
      </w:r>
      <w:r w:rsidR="00B61E93" w:rsidRPr="00B61E93">
        <w:rPr>
          <w:rFonts w:ascii="Arial" w:hAnsi="Arial" w:cs="Arial"/>
          <w:sz w:val="20"/>
          <w:szCs w:val="20"/>
        </w:rPr>
        <w:t xml:space="preserve">Republike Slovenije </w:t>
      </w:r>
      <w:r w:rsidRPr="00D83239">
        <w:rPr>
          <w:rFonts w:ascii="Arial" w:hAnsi="Arial" w:cs="Arial"/>
          <w:sz w:val="20"/>
          <w:szCs w:val="20"/>
        </w:rPr>
        <w:t xml:space="preserve">je 24. 10. 2024 uvedel postopek inšpekcijskega nadzora nad izvajanjem določb ZVOP-2 in Splošne uredbe </w:t>
      </w:r>
      <w:r w:rsidR="00F15600">
        <w:rPr>
          <w:rFonts w:ascii="Arial" w:hAnsi="Arial" w:cs="Arial"/>
          <w:sz w:val="20"/>
          <w:szCs w:val="20"/>
        </w:rPr>
        <w:t xml:space="preserve">o varstvu podatkov </w:t>
      </w:r>
      <w:r w:rsidRPr="00D83239">
        <w:rPr>
          <w:rFonts w:ascii="Arial" w:hAnsi="Arial" w:cs="Arial"/>
          <w:sz w:val="20"/>
          <w:szCs w:val="20"/>
        </w:rPr>
        <w:t xml:space="preserve">z namenom nadzora obdelave in varnosti osebnih podatkov iz CRP, katerega zavezanec je MNZ. Z odločbo št. 0612-101/2024/9 z dne 25. 3. 2025 je </w:t>
      </w:r>
      <w:r w:rsidR="0044744E">
        <w:rPr>
          <w:rFonts w:ascii="Arial" w:hAnsi="Arial" w:cs="Arial"/>
          <w:sz w:val="20"/>
          <w:szCs w:val="20"/>
        </w:rPr>
        <w:t>MNZ</w:t>
      </w:r>
      <w:r w:rsidRPr="00D83239">
        <w:rPr>
          <w:rFonts w:ascii="Arial" w:hAnsi="Arial" w:cs="Arial"/>
          <w:sz w:val="20"/>
          <w:szCs w:val="20"/>
        </w:rPr>
        <w:t xml:space="preserve"> naložil, da mora vsem slovenskim občinam prenehati omogočati, da paketno dostopajo in paketno izvažajo osebne podatke posameznikov iz CRP, saj za takšno po</w:t>
      </w:r>
      <w:r w:rsidR="00125A6A">
        <w:rPr>
          <w:rFonts w:ascii="Arial" w:hAnsi="Arial" w:cs="Arial"/>
          <w:sz w:val="20"/>
          <w:szCs w:val="20"/>
        </w:rPr>
        <w:t>šilj</w:t>
      </w:r>
      <w:r w:rsidRPr="00D83239">
        <w:rPr>
          <w:rFonts w:ascii="Arial" w:hAnsi="Arial" w:cs="Arial"/>
          <w:sz w:val="20"/>
          <w:szCs w:val="20"/>
        </w:rPr>
        <w:t>anje oz</w:t>
      </w:r>
      <w:r w:rsidR="0044744E">
        <w:rPr>
          <w:rFonts w:ascii="Arial" w:hAnsi="Arial" w:cs="Arial"/>
          <w:sz w:val="20"/>
          <w:szCs w:val="20"/>
        </w:rPr>
        <w:t>iroma</w:t>
      </w:r>
      <w:r w:rsidRPr="00D83239">
        <w:rPr>
          <w:rFonts w:ascii="Arial" w:hAnsi="Arial" w:cs="Arial"/>
          <w:sz w:val="20"/>
          <w:szCs w:val="20"/>
        </w:rPr>
        <w:t xml:space="preserve"> za omogočanje takšnega dostopa do osebnih podatkov iz CRP ni pravne podlage. Ukrep </w:t>
      </w:r>
      <w:r w:rsidR="0044744E">
        <w:rPr>
          <w:rFonts w:ascii="Arial" w:hAnsi="Arial" w:cs="Arial"/>
          <w:sz w:val="20"/>
          <w:szCs w:val="20"/>
        </w:rPr>
        <w:t>je MNZ</w:t>
      </w:r>
      <w:r w:rsidRPr="00D83239">
        <w:rPr>
          <w:rFonts w:ascii="Arial" w:hAnsi="Arial" w:cs="Arial"/>
          <w:sz w:val="20"/>
          <w:szCs w:val="20"/>
        </w:rPr>
        <w:t xml:space="preserve"> moral</w:t>
      </w:r>
      <w:r w:rsidR="0031492F">
        <w:rPr>
          <w:rFonts w:ascii="Arial" w:hAnsi="Arial" w:cs="Arial"/>
          <w:sz w:val="20"/>
          <w:szCs w:val="20"/>
        </w:rPr>
        <w:t>o</w:t>
      </w:r>
      <w:r w:rsidRPr="00D83239">
        <w:rPr>
          <w:rFonts w:ascii="Arial" w:hAnsi="Arial" w:cs="Arial"/>
          <w:sz w:val="20"/>
          <w:szCs w:val="20"/>
        </w:rPr>
        <w:t xml:space="preserve"> izv</w:t>
      </w:r>
      <w:r w:rsidR="00125A6A">
        <w:rPr>
          <w:rFonts w:ascii="Arial" w:hAnsi="Arial" w:cs="Arial"/>
          <w:sz w:val="20"/>
          <w:szCs w:val="20"/>
        </w:rPr>
        <w:t>es</w:t>
      </w:r>
      <w:r w:rsidRPr="00D83239">
        <w:rPr>
          <w:rFonts w:ascii="Arial" w:hAnsi="Arial" w:cs="Arial"/>
          <w:sz w:val="20"/>
          <w:szCs w:val="20"/>
        </w:rPr>
        <w:t xml:space="preserve">ti z dnem 2. 4. 2025. </w:t>
      </w:r>
      <w:r w:rsidR="00125A6A">
        <w:rPr>
          <w:rFonts w:ascii="Arial" w:hAnsi="Arial" w:cs="Arial"/>
          <w:sz w:val="20"/>
          <w:szCs w:val="20"/>
        </w:rPr>
        <w:t>O</w:t>
      </w:r>
      <w:r w:rsidRPr="00D83239">
        <w:rPr>
          <w:rFonts w:ascii="Arial" w:hAnsi="Arial" w:cs="Arial"/>
          <w:sz w:val="20"/>
          <w:szCs w:val="20"/>
        </w:rPr>
        <w:t xml:space="preserve">d takrat imajo </w:t>
      </w:r>
      <w:r w:rsidRPr="00D83239">
        <w:rPr>
          <w:rFonts w:ascii="Arial" w:hAnsi="Arial" w:cs="Arial"/>
          <w:b/>
          <w:sz w:val="20"/>
          <w:szCs w:val="20"/>
        </w:rPr>
        <w:t>občine ukinjene možnosti paketnega dostopa do osebnih podatkov iz CRP</w:t>
      </w:r>
      <w:r w:rsidRPr="00D83239">
        <w:rPr>
          <w:rFonts w:ascii="Arial" w:hAnsi="Arial" w:cs="Arial"/>
          <w:sz w:val="20"/>
          <w:szCs w:val="20"/>
        </w:rPr>
        <w:t xml:space="preserve">, še vedno pa lahko samostojno </w:t>
      </w:r>
      <w:proofErr w:type="spellStart"/>
      <w:r w:rsidRPr="00D83239">
        <w:rPr>
          <w:rFonts w:ascii="Arial" w:hAnsi="Arial" w:cs="Arial"/>
          <w:sz w:val="20"/>
          <w:szCs w:val="20"/>
        </w:rPr>
        <w:t>vpogledajo</w:t>
      </w:r>
      <w:proofErr w:type="spellEnd"/>
      <w:r w:rsidRPr="00D83239">
        <w:rPr>
          <w:rFonts w:ascii="Arial" w:hAnsi="Arial" w:cs="Arial"/>
          <w:sz w:val="20"/>
          <w:szCs w:val="20"/>
        </w:rPr>
        <w:t xml:space="preserve"> v podatke individualnih občanov ter pridobivajo analitične oz</w:t>
      </w:r>
      <w:r w:rsidR="0044744E">
        <w:rPr>
          <w:rFonts w:ascii="Arial" w:hAnsi="Arial" w:cs="Arial"/>
          <w:sz w:val="20"/>
          <w:szCs w:val="20"/>
        </w:rPr>
        <w:t>iroma</w:t>
      </w:r>
      <w:r w:rsidRPr="00D83239">
        <w:rPr>
          <w:rFonts w:ascii="Arial" w:hAnsi="Arial" w:cs="Arial"/>
          <w:sz w:val="20"/>
          <w:szCs w:val="20"/>
        </w:rPr>
        <w:t xml:space="preserve"> statistične podatke. MNZ je zoper odločbo I</w:t>
      </w:r>
      <w:r w:rsidR="0044744E">
        <w:rPr>
          <w:rFonts w:ascii="Arial" w:hAnsi="Arial" w:cs="Arial"/>
          <w:sz w:val="20"/>
          <w:szCs w:val="20"/>
        </w:rPr>
        <w:t>nformacijskega pooblaščenca</w:t>
      </w:r>
      <w:r w:rsidRPr="00D83239">
        <w:rPr>
          <w:rFonts w:ascii="Arial" w:hAnsi="Arial" w:cs="Arial"/>
          <w:sz w:val="20"/>
          <w:szCs w:val="20"/>
        </w:rPr>
        <w:t xml:space="preserve"> </w:t>
      </w:r>
      <w:r w:rsidR="00B61E93" w:rsidRPr="00B61E93">
        <w:rPr>
          <w:rFonts w:ascii="Arial" w:hAnsi="Arial" w:cs="Arial"/>
          <w:sz w:val="20"/>
          <w:szCs w:val="20"/>
        </w:rPr>
        <w:t xml:space="preserve">Republike Slovenije </w:t>
      </w:r>
      <w:r w:rsidRPr="00D83239">
        <w:rPr>
          <w:rFonts w:ascii="Arial" w:hAnsi="Arial" w:cs="Arial"/>
          <w:sz w:val="20"/>
          <w:szCs w:val="20"/>
        </w:rPr>
        <w:t>po Državne</w:t>
      </w:r>
      <w:r w:rsidR="00125A6A">
        <w:rPr>
          <w:rFonts w:ascii="Arial" w:hAnsi="Arial" w:cs="Arial"/>
          <w:sz w:val="20"/>
          <w:szCs w:val="20"/>
        </w:rPr>
        <w:t>m</w:t>
      </w:r>
      <w:r w:rsidRPr="00D83239">
        <w:rPr>
          <w:rFonts w:ascii="Arial" w:hAnsi="Arial" w:cs="Arial"/>
          <w:sz w:val="20"/>
          <w:szCs w:val="20"/>
        </w:rPr>
        <w:t xml:space="preserve"> odvetništv</w:t>
      </w:r>
      <w:r w:rsidR="00125A6A">
        <w:rPr>
          <w:rFonts w:ascii="Arial" w:hAnsi="Arial" w:cs="Arial"/>
          <w:sz w:val="20"/>
          <w:szCs w:val="20"/>
        </w:rPr>
        <w:t>u Republike Slovenije</w:t>
      </w:r>
      <w:r w:rsidRPr="00D83239">
        <w:rPr>
          <w:rFonts w:ascii="Arial" w:hAnsi="Arial" w:cs="Arial"/>
          <w:sz w:val="20"/>
          <w:szCs w:val="20"/>
        </w:rPr>
        <w:t xml:space="preserve"> vložilo tožbo na Upravno sodišče R</w:t>
      </w:r>
      <w:r w:rsidR="00125A6A">
        <w:rPr>
          <w:rFonts w:ascii="Arial" w:hAnsi="Arial" w:cs="Arial"/>
          <w:sz w:val="20"/>
          <w:szCs w:val="20"/>
        </w:rPr>
        <w:t xml:space="preserve">epublike </w:t>
      </w:r>
      <w:r w:rsidRPr="00D83239">
        <w:rPr>
          <w:rFonts w:ascii="Arial" w:hAnsi="Arial" w:cs="Arial"/>
          <w:sz w:val="20"/>
          <w:szCs w:val="20"/>
        </w:rPr>
        <w:t>S</w:t>
      </w:r>
      <w:r w:rsidR="00125A6A">
        <w:rPr>
          <w:rFonts w:ascii="Arial" w:hAnsi="Arial" w:cs="Arial"/>
          <w:sz w:val="20"/>
          <w:szCs w:val="20"/>
        </w:rPr>
        <w:t>lovenije</w:t>
      </w:r>
      <w:r w:rsidRPr="00D83239">
        <w:rPr>
          <w:rFonts w:ascii="Arial" w:hAnsi="Arial" w:cs="Arial"/>
          <w:sz w:val="20"/>
          <w:szCs w:val="20"/>
        </w:rPr>
        <w:t xml:space="preserve">, ki še ni rešena. V vmesnem obdobju je bila izvedena nadgradnja </w:t>
      </w:r>
      <w:r w:rsidR="00125A6A">
        <w:rPr>
          <w:rFonts w:ascii="Arial" w:hAnsi="Arial" w:cs="Arial"/>
          <w:sz w:val="20"/>
          <w:szCs w:val="20"/>
        </w:rPr>
        <w:t>p</w:t>
      </w:r>
      <w:r w:rsidRPr="00D83239">
        <w:rPr>
          <w:rFonts w:ascii="Arial" w:hAnsi="Arial" w:cs="Arial"/>
          <w:sz w:val="20"/>
          <w:szCs w:val="20"/>
        </w:rPr>
        <w:t xml:space="preserve">ortala </w:t>
      </w:r>
      <w:r w:rsidR="00125A6A" w:rsidRPr="00D942C3">
        <w:rPr>
          <w:rFonts w:ascii="Arial" w:hAnsi="Arial" w:cs="Arial"/>
          <w:sz w:val="20"/>
          <w:szCs w:val="20"/>
        </w:rPr>
        <w:t>e-</w:t>
      </w:r>
      <w:r w:rsidRPr="00D942C3">
        <w:rPr>
          <w:rFonts w:ascii="Arial" w:hAnsi="Arial" w:cs="Arial"/>
          <w:sz w:val="20"/>
          <w:szCs w:val="20"/>
        </w:rPr>
        <w:t>Občine</w:t>
      </w:r>
      <w:r w:rsidRPr="00D83239">
        <w:rPr>
          <w:rFonts w:ascii="Arial" w:hAnsi="Arial" w:cs="Arial"/>
          <w:sz w:val="20"/>
          <w:szCs w:val="20"/>
        </w:rPr>
        <w:t xml:space="preserve">, </w:t>
      </w:r>
      <w:r w:rsidR="00125A6A">
        <w:rPr>
          <w:rFonts w:ascii="Arial" w:hAnsi="Arial" w:cs="Arial"/>
          <w:sz w:val="20"/>
          <w:szCs w:val="20"/>
        </w:rPr>
        <w:t xml:space="preserve">in sicer </w:t>
      </w:r>
      <w:r w:rsidRPr="00D83239">
        <w:rPr>
          <w:rFonts w:ascii="Arial" w:hAnsi="Arial" w:cs="Arial"/>
          <w:sz w:val="20"/>
          <w:szCs w:val="20"/>
        </w:rPr>
        <w:t xml:space="preserve">na način obveznega vpisa namena za pridobivanje podatkov. V sodelovanju z interesnimi združenji občin (Skupnost občin Slovenije, Združenje občin Slovenije in Združenje mestnih občin Slovenije) ter Ministrstvom za javno upravo </w:t>
      </w:r>
      <w:r w:rsidR="0044744E">
        <w:rPr>
          <w:rFonts w:ascii="Arial" w:hAnsi="Arial" w:cs="Arial"/>
          <w:sz w:val="20"/>
          <w:szCs w:val="20"/>
        </w:rPr>
        <w:t>je bil</w:t>
      </w:r>
      <w:r w:rsidRPr="00D83239">
        <w:rPr>
          <w:rFonts w:ascii="Arial" w:hAnsi="Arial" w:cs="Arial"/>
          <w:sz w:val="20"/>
          <w:szCs w:val="20"/>
        </w:rPr>
        <w:t xml:space="preserve"> izdel</w:t>
      </w:r>
      <w:r w:rsidR="0044744E">
        <w:rPr>
          <w:rFonts w:ascii="Arial" w:hAnsi="Arial" w:cs="Arial"/>
          <w:sz w:val="20"/>
          <w:szCs w:val="20"/>
        </w:rPr>
        <w:t xml:space="preserve">an </w:t>
      </w:r>
      <w:r w:rsidRPr="00D83239">
        <w:rPr>
          <w:rFonts w:ascii="Arial" w:hAnsi="Arial" w:cs="Arial"/>
          <w:sz w:val="20"/>
          <w:szCs w:val="20"/>
        </w:rPr>
        <w:t xml:space="preserve">popis potreb občin </w:t>
      </w:r>
      <w:r w:rsidR="00125A6A">
        <w:rPr>
          <w:rFonts w:ascii="Arial" w:hAnsi="Arial" w:cs="Arial"/>
          <w:sz w:val="20"/>
          <w:szCs w:val="20"/>
        </w:rPr>
        <w:t>in</w:t>
      </w:r>
      <w:r w:rsidR="00125A6A" w:rsidRPr="00D83239">
        <w:rPr>
          <w:rFonts w:ascii="Arial" w:hAnsi="Arial" w:cs="Arial"/>
          <w:sz w:val="20"/>
          <w:szCs w:val="20"/>
        </w:rPr>
        <w:t xml:space="preserve"> </w:t>
      </w:r>
      <w:r w:rsidRPr="00D83239">
        <w:rPr>
          <w:rFonts w:ascii="Arial" w:hAnsi="Arial" w:cs="Arial"/>
          <w:sz w:val="20"/>
          <w:szCs w:val="20"/>
        </w:rPr>
        <w:t xml:space="preserve">pravnih podlag, s katerimi je konkretiziran 21.a člen Zakona o lokalni samoupravi. Na </w:t>
      </w:r>
      <w:r w:rsidR="00125A6A">
        <w:rPr>
          <w:rFonts w:ascii="Arial" w:hAnsi="Arial" w:cs="Arial"/>
          <w:sz w:val="20"/>
          <w:szCs w:val="20"/>
        </w:rPr>
        <w:t xml:space="preserve">njihovi </w:t>
      </w:r>
      <w:r w:rsidRPr="00D83239">
        <w:rPr>
          <w:rFonts w:ascii="Arial" w:hAnsi="Arial" w:cs="Arial"/>
          <w:sz w:val="20"/>
          <w:szCs w:val="20"/>
        </w:rPr>
        <w:t xml:space="preserve">podlagi </w:t>
      </w:r>
      <w:r w:rsidR="0044744E">
        <w:rPr>
          <w:rFonts w:ascii="Arial" w:hAnsi="Arial" w:cs="Arial"/>
          <w:sz w:val="20"/>
          <w:szCs w:val="20"/>
        </w:rPr>
        <w:t>je MNZ</w:t>
      </w:r>
      <w:r w:rsidRPr="00D83239">
        <w:rPr>
          <w:rFonts w:ascii="Arial" w:hAnsi="Arial" w:cs="Arial"/>
          <w:sz w:val="20"/>
          <w:szCs w:val="20"/>
        </w:rPr>
        <w:t xml:space="preserve"> pripravil</w:t>
      </w:r>
      <w:r w:rsidR="0044744E">
        <w:rPr>
          <w:rFonts w:ascii="Arial" w:hAnsi="Arial" w:cs="Arial"/>
          <w:sz w:val="20"/>
          <w:szCs w:val="20"/>
        </w:rPr>
        <w:t>o</w:t>
      </w:r>
      <w:r w:rsidRPr="00D83239">
        <w:rPr>
          <w:rFonts w:ascii="Arial" w:hAnsi="Arial" w:cs="Arial"/>
          <w:sz w:val="20"/>
          <w:szCs w:val="20"/>
        </w:rPr>
        <w:t xml:space="preserve"> predlog tehnične prenove </w:t>
      </w:r>
      <w:r w:rsidR="00125A6A">
        <w:rPr>
          <w:rFonts w:ascii="Arial" w:hAnsi="Arial" w:cs="Arial"/>
          <w:sz w:val="20"/>
          <w:szCs w:val="20"/>
        </w:rPr>
        <w:t>p</w:t>
      </w:r>
      <w:r w:rsidRPr="00D83239">
        <w:rPr>
          <w:rFonts w:ascii="Arial" w:hAnsi="Arial" w:cs="Arial"/>
          <w:sz w:val="20"/>
          <w:szCs w:val="20"/>
        </w:rPr>
        <w:t xml:space="preserve">ortala </w:t>
      </w:r>
      <w:r w:rsidRPr="00D942C3">
        <w:rPr>
          <w:rFonts w:ascii="Arial" w:hAnsi="Arial" w:cs="Arial"/>
          <w:sz w:val="20"/>
          <w:szCs w:val="20"/>
        </w:rPr>
        <w:t>e-Občine</w:t>
      </w:r>
      <w:r w:rsidRPr="00D83239">
        <w:rPr>
          <w:rFonts w:ascii="Arial" w:hAnsi="Arial" w:cs="Arial"/>
          <w:sz w:val="20"/>
          <w:szCs w:val="20"/>
        </w:rPr>
        <w:t xml:space="preserve">, ki je zajet v oceni učinka predvidenih dejanj obdelave v zvezi z varstvom osebnih podatkov. Trenutno občinam podatke </w:t>
      </w:r>
      <w:r w:rsidR="007C4616">
        <w:rPr>
          <w:rFonts w:ascii="Arial" w:hAnsi="Arial" w:cs="Arial"/>
          <w:sz w:val="20"/>
          <w:szCs w:val="20"/>
        </w:rPr>
        <w:t xml:space="preserve">MNZ </w:t>
      </w:r>
      <w:r w:rsidRPr="00D83239">
        <w:rPr>
          <w:rFonts w:ascii="Arial" w:hAnsi="Arial" w:cs="Arial"/>
          <w:sz w:val="20"/>
          <w:szCs w:val="20"/>
        </w:rPr>
        <w:t>zagotavlja s</w:t>
      </w:r>
      <w:r w:rsidR="00D942C3">
        <w:rPr>
          <w:rFonts w:ascii="Arial" w:hAnsi="Arial" w:cs="Arial"/>
          <w:sz w:val="20"/>
          <w:szCs w:val="20"/>
        </w:rPr>
        <w:t>á</w:t>
      </w:r>
      <w:r w:rsidRPr="00D83239">
        <w:rPr>
          <w:rFonts w:ascii="Arial" w:hAnsi="Arial" w:cs="Arial"/>
          <w:sz w:val="20"/>
          <w:szCs w:val="20"/>
        </w:rPr>
        <w:t>m</w:t>
      </w:r>
      <w:r w:rsidR="007C4616">
        <w:rPr>
          <w:rFonts w:ascii="Arial" w:hAnsi="Arial" w:cs="Arial"/>
          <w:sz w:val="20"/>
          <w:szCs w:val="20"/>
        </w:rPr>
        <w:t>o</w:t>
      </w:r>
      <w:r w:rsidRPr="00D83239">
        <w:rPr>
          <w:rFonts w:ascii="Arial" w:hAnsi="Arial" w:cs="Arial"/>
          <w:sz w:val="20"/>
          <w:szCs w:val="20"/>
        </w:rPr>
        <w:t xml:space="preserve">, kar se odraža v </w:t>
      </w:r>
      <w:r w:rsidR="00D942C3">
        <w:rPr>
          <w:rFonts w:ascii="Arial" w:hAnsi="Arial" w:cs="Arial"/>
          <w:sz w:val="20"/>
          <w:szCs w:val="20"/>
        </w:rPr>
        <w:t>velikem</w:t>
      </w:r>
      <w:r w:rsidR="00D942C3" w:rsidRPr="00D83239">
        <w:rPr>
          <w:rFonts w:ascii="Arial" w:hAnsi="Arial" w:cs="Arial"/>
          <w:sz w:val="20"/>
          <w:szCs w:val="20"/>
        </w:rPr>
        <w:t xml:space="preserve"> </w:t>
      </w:r>
      <w:r w:rsidRPr="00D83239">
        <w:rPr>
          <w:rFonts w:ascii="Arial" w:hAnsi="Arial" w:cs="Arial"/>
          <w:sz w:val="20"/>
          <w:szCs w:val="20"/>
        </w:rPr>
        <w:t xml:space="preserve">porastu masovnih ročnih poizvedb.  </w:t>
      </w:r>
    </w:p>
    <w:p w14:paraId="697C1966" w14:textId="77777777" w:rsidR="00F04D87" w:rsidRPr="00D83239" w:rsidRDefault="00F04D87" w:rsidP="00D83239">
      <w:pPr>
        <w:autoSpaceDE w:val="0"/>
        <w:autoSpaceDN w:val="0"/>
        <w:adjustRightInd w:val="0"/>
        <w:spacing w:after="0" w:line="276" w:lineRule="auto"/>
        <w:jc w:val="both"/>
        <w:rPr>
          <w:rFonts w:ascii="Arial" w:hAnsi="Arial" w:cs="Arial"/>
          <w:sz w:val="20"/>
          <w:szCs w:val="20"/>
        </w:rPr>
      </w:pPr>
    </w:p>
    <w:p w14:paraId="58E73FFC" w14:textId="7FD8A4E0" w:rsidR="00F04D87" w:rsidRPr="00D83239" w:rsidRDefault="00F04D87"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rPr>
        <w:t>Do ukinitve dostopov občin je bilo p</w:t>
      </w:r>
      <w:r w:rsidRPr="00D83239">
        <w:rPr>
          <w:rFonts w:ascii="Arial" w:hAnsi="Arial" w:cs="Arial"/>
          <w:sz w:val="20"/>
          <w:szCs w:val="20"/>
          <w:lang w:eastAsia="sl-SI"/>
        </w:rPr>
        <w:t xml:space="preserve">rek portala poslanih </w:t>
      </w:r>
      <w:r w:rsidRPr="00D83239">
        <w:rPr>
          <w:rFonts w:ascii="Arial" w:hAnsi="Arial" w:cs="Arial"/>
          <w:sz w:val="20"/>
          <w:szCs w:val="20"/>
        </w:rPr>
        <w:t xml:space="preserve">7.038.355 </w:t>
      </w:r>
      <w:r w:rsidRPr="00D83239">
        <w:rPr>
          <w:rFonts w:ascii="Arial" w:hAnsi="Arial" w:cs="Arial"/>
          <w:sz w:val="20"/>
          <w:szCs w:val="20"/>
          <w:lang w:eastAsia="sl-SI"/>
        </w:rPr>
        <w:t xml:space="preserve">zapisov o njihovih občanih. </w:t>
      </w:r>
    </w:p>
    <w:p w14:paraId="3A8E8FE6" w14:textId="77777777" w:rsidR="00F04D87" w:rsidRPr="00D83239" w:rsidRDefault="00F04D87" w:rsidP="00D83239">
      <w:pPr>
        <w:spacing w:after="0" w:line="276" w:lineRule="auto"/>
        <w:jc w:val="both"/>
        <w:rPr>
          <w:rFonts w:ascii="Arial" w:hAnsi="Arial" w:cs="Arial"/>
          <w:sz w:val="20"/>
          <w:szCs w:val="20"/>
        </w:rPr>
      </w:pPr>
    </w:p>
    <w:p w14:paraId="0A332CDF" w14:textId="15B18507" w:rsidR="00F04D87" w:rsidRPr="00D83239" w:rsidRDefault="00F04D87" w:rsidP="00D83239">
      <w:pPr>
        <w:autoSpaceDE w:val="0"/>
        <w:autoSpaceDN w:val="0"/>
        <w:adjustRightInd w:val="0"/>
        <w:spacing w:after="0" w:line="276" w:lineRule="auto"/>
        <w:jc w:val="both"/>
        <w:rPr>
          <w:rFonts w:ascii="Arial" w:hAnsi="Arial" w:cs="Arial"/>
          <w:sz w:val="20"/>
          <w:szCs w:val="20"/>
        </w:rPr>
      </w:pPr>
      <w:r w:rsidRPr="00042D37">
        <w:rPr>
          <w:rFonts w:ascii="Arial" w:hAnsi="Arial" w:cs="Arial"/>
          <w:sz w:val="20"/>
          <w:szCs w:val="20"/>
        </w:rPr>
        <w:t xml:space="preserve">Na </w:t>
      </w:r>
      <w:r w:rsidR="00D942C3" w:rsidRPr="00042D37">
        <w:rPr>
          <w:rFonts w:ascii="Arial" w:hAnsi="Arial" w:cs="Arial"/>
          <w:sz w:val="20"/>
          <w:szCs w:val="20"/>
        </w:rPr>
        <w:t>p</w:t>
      </w:r>
      <w:r w:rsidRPr="00042D37">
        <w:rPr>
          <w:rFonts w:ascii="Arial" w:hAnsi="Arial" w:cs="Arial"/>
          <w:sz w:val="20"/>
          <w:szCs w:val="20"/>
        </w:rPr>
        <w:t xml:space="preserve">ortal </w:t>
      </w:r>
      <w:r w:rsidRPr="00042D37">
        <w:rPr>
          <w:rFonts w:ascii="Arial" w:hAnsi="Arial" w:cs="Arial"/>
          <w:b/>
          <w:sz w:val="20"/>
          <w:szCs w:val="20"/>
        </w:rPr>
        <w:t>CRP-Zasebniki</w:t>
      </w:r>
      <w:r w:rsidRPr="00042D37">
        <w:rPr>
          <w:rFonts w:ascii="Arial" w:hAnsi="Arial" w:cs="Arial"/>
          <w:sz w:val="20"/>
          <w:szCs w:val="20"/>
        </w:rPr>
        <w:t xml:space="preserve"> je bilo v letu </w:t>
      </w:r>
      <w:r w:rsidRPr="00042D37">
        <w:rPr>
          <w:rFonts w:ascii="Arial" w:hAnsi="Arial" w:cs="Arial"/>
          <w:b/>
          <w:sz w:val="20"/>
          <w:szCs w:val="20"/>
        </w:rPr>
        <w:t>2025</w:t>
      </w:r>
      <w:r w:rsidRPr="00042D37">
        <w:rPr>
          <w:rFonts w:ascii="Arial" w:hAnsi="Arial" w:cs="Arial"/>
          <w:sz w:val="20"/>
          <w:szCs w:val="20"/>
        </w:rPr>
        <w:t xml:space="preserve"> s podpisom sporazuma vključenih sedem novih uporabnikovi</w:t>
      </w:r>
      <w:r w:rsidR="007C4616" w:rsidRPr="00042D37">
        <w:rPr>
          <w:rFonts w:ascii="Arial" w:hAnsi="Arial" w:cs="Arial"/>
          <w:sz w:val="20"/>
          <w:szCs w:val="20"/>
        </w:rPr>
        <w:t>,</w:t>
      </w:r>
      <w:r w:rsidRPr="00042D37">
        <w:rPr>
          <w:rFonts w:ascii="Arial" w:hAnsi="Arial" w:cs="Arial"/>
          <w:sz w:val="20"/>
          <w:szCs w:val="20"/>
        </w:rPr>
        <w:t xml:space="preserve"> in sicer: Agencija za javni nadzor nad revidiranjem, Nepremičnine Celje</w:t>
      </w:r>
      <w:r w:rsidR="00B72713" w:rsidRPr="00042D37">
        <w:rPr>
          <w:rFonts w:ascii="Arial" w:hAnsi="Arial" w:cs="Arial"/>
          <w:sz w:val="20"/>
          <w:szCs w:val="20"/>
        </w:rPr>
        <w:t>,</w:t>
      </w:r>
      <w:r w:rsidRPr="00042D37">
        <w:rPr>
          <w:rFonts w:ascii="Arial" w:hAnsi="Arial" w:cs="Arial"/>
          <w:sz w:val="20"/>
          <w:szCs w:val="20"/>
        </w:rPr>
        <w:t xml:space="preserve"> d.</w:t>
      </w:r>
      <w:r w:rsidR="00B72713" w:rsidRPr="00042D37">
        <w:rPr>
          <w:rFonts w:ascii="Arial" w:hAnsi="Arial" w:cs="Arial"/>
          <w:sz w:val="20"/>
          <w:szCs w:val="20"/>
        </w:rPr>
        <w:t> </w:t>
      </w:r>
      <w:r w:rsidRPr="00042D37">
        <w:rPr>
          <w:rFonts w:ascii="Arial" w:hAnsi="Arial" w:cs="Arial"/>
          <w:sz w:val="20"/>
          <w:szCs w:val="20"/>
        </w:rPr>
        <w:t>o.</w:t>
      </w:r>
      <w:r w:rsidR="00B72713" w:rsidRPr="00042D37">
        <w:rPr>
          <w:rFonts w:ascii="Arial" w:hAnsi="Arial" w:cs="Arial"/>
          <w:sz w:val="20"/>
          <w:szCs w:val="20"/>
        </w:rPr>
        <w:t> </w:t>
      </w:r>
      <w:r w:rsidRPr="00042D37">
        <w:rPr>
          <w:rFonts w:ascii="Arial" w:hAnsi="Arial" w:cs="Arial"/>
          <w:sz w:val="20"/>
          <w:szCs w:val="20"/>
        </w:rPr>
        <w:t xml:space="preserve">o., Izvršitelj Dejan </w:t>
      </w:r>
      <w:proofErr w:type="spellStart"/>
      <w:r w:rsidRPr="00042D37">
        <w:rPr>
          <w:rFonts w:ascii="Arial" w:hAnsi="Arial" w:cs="Arial"/>
          <w:sz w:val="20"/>
          <w:szCs w:val="20"/>
        </w:rPr>
        <w:t>Kolmanko</w:t>
      </w:r>
      <w:proofErr w:type="spellEnd"/>
      <w:r w:rsidRPr="00042D37">
        <w:rPr>
          <w:rFonts w:ascii="Arial" w:hAnsi="Arial" w:cs="Arial"/>
          <w:sz w:val="20"/>
          <w:szCs w:val="20"/>
        </w:rPr>
        <w:t>, Ministrstvo za solidarno prihodnost, J</w:t>
      </w:r>
      <w:r w:rsidR="001004C7" w:rsidRPr="00042D37">
        <w:rPr>
          <w:rFonts w:ascii="Arial" w:hAnsi="Arial" w:cs="Arial"/>
          <w:sz w:val="20"/>
          <w:szCs w:val="20"/>
        </w:rPr>
        <w:t>avni stanovanjski sklad</w:t>
      </w:r>
      <w:r w:rsidRPr="00042D37">
        <w:rPr>
          <w:rFonts w:ascii="Arial" w:hAnsi="Arial" w:cs="Arial"/>
          <w:sz w:val="20"/>
          <w:szCs w:val="20"/>
        </w:rPr>
        <w:t xml:space="preserve"> Občine Ajdovščina</w:t>
      </w:r>
      <w:r w:rsidR="00042D37">
        <w:rPr>
          <w:rFonts w:ascii="Arial" w:hAnsi="Arial" w:cs="Arial"/>
          <w:sz w:val="20"/>
          <w:szCs w:val="20"/>
        </w:rPr>
        <w:t>,</w:t>
      </w:r>
      <w:r w:rsidRPr="00042D37">
        <w:rPr>
          <w:rFonts w:ascii="Arial" w:hAnsi="Arial" w:cs="Arial"/>
          <w:sz w:val="20"/>
          <w:szCs w:val="20"/>
        </w:rPr>
        <w:t xml:space="preserve"> Ministrstvo za pravosodje, </w:t>
      </w:r>
      <w:proofErr w:type="spellStart"/>
      <w:r w:rsidRPr="00042D37">
        <w:rPr>
          <w:rFonts w:ascii="Arial" w:hAnsi="Arial" w:cs="Arial"/>
          <w:sz w:val="20"/>
          <w:szCs w:val="20"/>
        </w:rPr>
        <w:t>prekrškovni</w:t>
      </w:r>
      <w:proofErr w:type="spellEnd"/>
      <w:r w:rsidRPr="00042D37">
        <w:rPr>
          <w:rFonts w:ascii="Arial" w:hAnsi="Arial" w:cs="Arial"/>
          <w:sz w:val="20"/>
          <w:szCs w:val="20"/>
        </w:rPr>
        <w:t xml:space="preserve"> organ in Ministrstvo za </w:t>
      </w:r>
      <w:r w:rsidR="00042D37" w:rsidRPr="00042D37">
        <w:rPr>
          <w:rFonts w:ascii="Arial" w:hAnsi="Arial" w:cs="Arial"/>
          <w:sz w:val="20"/>
          <w:szCs w:val="20"/>
        </w:rPr>
        <w:t>delo, družino, socialne zadeve in enake možnosti</w:t>
      </w:r>
      <w:r w:rsidRPr="00042D37">
        <w:rPr>
          <w:rFonts w:ascii="Arial" w:hAnsi="Arial" w:cs="Arial"/>
          <w:sz w:val="20"/>
          <w:szCs w:val="20"/>
        </w:rPr>
        <w:t xml:space="preserve"> s 16 </w:t>
      </w:r>
      <w:r w:rsidR="00042D37" w:rsidRPr="00042D37">
        <w:rPr>
          <w:rFonts w:ascii="Arial" w:hAnsi="Arial" w:cs="Arial"/>
          <w:sz w:val="20"/>
          <w:szCs w:val="20"/>
        </w:rPr>
        <w:t>centri za socialno delo</w:t>
      </w:r>
      <w:r w:rsidR="00042D37">
        <w:rPr>
          <w:rFonts w:ascii="Arial" w:hAnsi="Arial" w:cs="Arial"/>
          <w:sz w:val="20"/>
          <w:szCs w:val="20"/>
        </w:rPr>
        <w:t>.</w:t>
      </w:r>
      <w:r w:rsidRPr="00042D37">
        <w:rPr>
          <w:rFonts w:ascii="Arial" w:hAnsi="Arial" w:cs="Arial"/>
          <w:sz w:val="20"/>
          <w:szCs w:val="20"/>
        </w:rPr>
        <w:t xml:space="preserve"> S portala CRP </w:t>
      </w:r>
      <w:r w:rsidR="007C4616" w:rsidRPr="00042D37">
        <w:rPr>
          <w:rFonts w:ascii="Arial" w:hAnsi="Arial" w:cs="Arial"/>
          <w:sz w:val="20"/>
          <w:szCs w:val="20"/>
        </w:rPr>
        <w:t xml:space="preserve">je bil </w:t>
      </w:r>
      <w:r w:rsidRPr="00042D37">
        <w:rPr>
          <w:rFonts w:ascii="Arial" w:hAnsi="Arial" w:cs="Arial"/>
          <w:sz w:val="20"/>
          <w:szCs w:val="20"/>
        </w:rPr>
        <w:t>v letu 2025 odklop</w:t>
      </w:r>
      <w:r w:rsidR="007C4616" w:rsidRPr="00042D37">
        <w:rPr>
          <w:rFonts w:ascii="Arial" w:hAnsi="Arial" w:cs="Arial"/>
          <w:sz w:val="20"/>
          <w:szCs w:val="20"/>
        </w:rPr>
        <w:t>ljen</w:t>
      </w:r>
      <w:r w:rsidRPr="00042D37">
        <w:rPr>
          <w:rFonts w:ascii="Arial" w:hAnsi="Arial" w:cs="Arial"/>
          <w:sz w:val="20"/>
          <w:szCs w:val="20"/>
        </w:rPr>
        <w:t xml:space="preserve"> en uporabnik. Vsi uporabniki skupaj so prek </w:t>
      </w:r>
      <w:r w:rsidR="00D942C3" w:rsidRPr="00042D37">
        <w:rPr>
          <w:rFonts w:ascii="Arial" w:hAnsi="Arial" w:cs="Arial"/>
          <w:sz w:val="20"/>
          <w:szCs w:val="20"/>
        </w:rPr>
        <w:t>p</w:t>
      </w:r>
      <w:r w:rsidRPr="00042D37">
        <w:rPr>
          <w:rFonts w:ascii="Arial" w:hAnsi="Arial" w:cs="Arial"/>
          <w:sz w:val="20"/>
          <w:szCs w:val="20"/>
        </w:rPr>
        <w:t xml:space="preserve">ortala CRP v letu 2025 pridobili podatke o </w:t>
      </w:r>
      <w:r w:rsidRPr="00042D37">
        <w:rPr>
          <w:rFonts w:ascii="Arial" w:hAnsi="Arial" w:cs="Arial"/>
          <w:b/>
          <w:sz w:val="20"/>
          <w:szCs w:val="20"/>
        </w:rPr>
        <w:t>159.720 osebah</w:t>
      </w:r>
      <w:r w:rsidRPr="00042D37">
        <w:rPr>
          <w:rFonts w:ascii="Arial" w:hAnsi="Arial" w:cs="Arial"/>
          <w:sz w:val="20"/>
          <w:szCs w:val="20"/>
        </w:rPr>
        <w:t>.</w:t>
      </w:r>
    </w:p>
    <w:p w14:paraId="684D10F8" w14:textId="77777777" w:rsidR="00F04D87" w:rsidRPr="00D83239" w:rsidRDefault="00F04D87" w:rsidP="00D83239">
      <w:pPr>
        <w:autoSpaceDE w:val="0"/>
        <w:autoSpaceDN w:val="0"/>
        <w:adjustRightInd w:val="0"/>
        <w:spacing w:after="0" w:line="276" w:lineRule="auto"/>
        <w:jc w:val="both"/>
        <w:rPr>
          <w:rFonts w:ascii="Arial" w:hAnsi="Arial" w:cs="Arial"/>
          <w:bCs/>
          <w:iCs/>
          <w:sz w:val="20"/>
          <w:szCs w:val="20"/>
          <w:lang w:eastAsia="sl-SI"/>
        </w:rPr>
      </w:pPr>
    </w:p>
    <w:p w14:paraId="6F90EF81" w14:textId="6D605BE0" w:rsidR="00F04D87" w:rsidRPr="00D83239" w:rsidRDefault="00F04D87" w:rsidP="00D83239">
      <w:pPr>
        <w:spacing w:after="0" w:line="276" w:lineRule="auto"/>
        <w:jc w:val="both"/>
        <w:rPr>
          <w:rFonts w:ascii="Arial" w:hAnsi="Arial" w:cs="Arial"/>
          <w:sz w:val="20"/>
          <w:szCs w:val="20"/>
        </w:rPr>
      </w:pPr>
      <w:r w:rsidRPr="00D83239">
        <w:rPr>
          <w:rFonts w:ascii="Arial" w:hAnsi="Arial" w:cs="Arial"/>
          <w:sz w:val="20"/>
          <w:szCs w:val="20"/>
        </w:rPr>
        <w:t>Sporočanje podatkov iz CRP se izvaja od leta 1996. Od leta 2004 se uporablja ista metodologija prikazovanja podatkov. Od začetka vodenja statistike predložitve podatkov leta 1996 do konca leta 2025 je bilo iz CRP predloženih</w:t>
      </w:r>
      <w:r w:rsidR="00D942C3">
        <w:rPr>
          <w:rFonts w:ascii="Arial" w:hAnsi="Arial" w:cs="Arial"/>
          <w:sz w:val="20"/>
          <w:szCs w:val="20"/>
        </w:rPr>
        <w:t xml:space="preserve"> skupno </w:t>
      </w:r>
      <w:r w:rsidRPr="00D83239">
        <w:rPr>
          <w:rFonts w:ascii="Arial" w:hAnsi="Arial" w:cs="Arial"/>
          <w:b/>
          <w:sz w:val="20"/>
          <w:szCs w:val="20"/>
        </w:rPr>
        <w:t xml:space="preserve">2.661.466.153 </w:t>
      </w:r>
      <w:r w:rsidRPr="00D83239">
        <w:rPr>
          <w:rFonts w:ascii="Arial" w:hAnsi="Arial" w:cs="Arial"/>
          <w:sz w:val="20"/>
          <w:szCs w:val="20"/>
        </w:rPr>
        <w:t xml:space="preserve">podatkov oziroma </w:t>
      </w:r>
      <w:r w:rsidRPr="00D83239">
        <w:rPr>
          <w:rFonts w:ascii="Arial" w:hAnsi="Arial" w:cs="Arial"/>
          <w:b/>
          <w:sz w:val="20"/>
          <w:szCs w:val="20"/>
        </w:rPr>
        <w:t xml:space="preserve">2,66 </w:t>
      </w:r>
      <w:r w:rsidRPr="00D83239">
        <w:rPr>
          <w:rFonts w:ascii="Arial" w:hAnsi="Arial" w:cs="Arial"/>
          <w:sz w:val="20"/>
          <w:szCs w:val="20"/>
        </w:rPr>
        <w:t>milijarde podatkov.</w:t>
      </w:r>
    </w:p>
    <w:p w14:paraId="264119E8" w14:textId="77777777" w:rsidR="00F04D87" w:rsidRPr="00D83239" w:rsidRDefault="00F04D87" w:rsidP="00D83239">
      <w:pPr>
        <w:spacing w:after="0" w:line="276" w:lineRule="auto"/>
        <w:jc w:val="both"/>
        <w:rPr>
          <w:rFonts w:ascii="Arial" w:hAnsi="Arial" w:cs="Arial"/>
          <w:sz w:val="20"/>
          <w:szCs w:val="20"/>
        </w:rPr>
      </w:pPr>
    </w:p>
    <w:tbl>
      <w:tblPr>
        <w:tblW w:w="79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1087"/>
        <w:gridCol w:w="1640"/>
        <w:gridCol w:w="1253"/>
        <w:gridCol w:w="1320"/>
        <w:gridCol w:w="1500"/>
      </w:tblGrid>
      <w:tr w:rsidR="00F04D87" w:rsidRPr="00D83239" w14:paraId="65BC8BA4" w14:textId="77777777" w:rsidTr="00A91968">
        <w:trPr>
          <w:trHeight w:val="450"/>
        </w:trPr>
        <w:tc>
          <w:tcPr>
            <w:tcW w:w="1120" w:type="dxa"/>
            <w:shd w:val="clear" w:color="auto" w:fill="D9D9D9" w:themeFill="background1" w:themeFillShade="D9"/>
            <w:hideMark/>
          </w:tcPr>
          <w:p w14:paraId="2A8B9E71" w14:textId="77777777" w:rsidR="00F04D87" w:rsidRPr="00D83239" w:rsidRDefault="00F04D87" w:rsidP="00D83239">
            <w:pPr>
              <w:spacing w:line="276" w:lineRule="auto"/>
              <w:jc w:val="both"/>
              <w:rPr>
                <w:rFonts w:ascii="Arial" w:eastAsia="Times New Roman" w:hAnsi="Arial" w:cs="Arial"/>
                <w:b/>
                <w:bCs/>
                <w:sz w:val="20"/>
                <w:szCs w:val="20"/>
              </w:rPr>
            </w:pPr>
            <w:r w:rsidRPr="00D83239">
              <w:rPr>
                <w:rFonts w:ascii="Arial" w:eastAsia="Times New Roman" w:hAnsi="Arial" w:cs="Arial"/>
                <w:b/>
                <w:bCs/>
                <w:sz w:val="20"/>
                <w:szCs w:val="20"/>
              </w:rPr>
              <w:t>Leto</w:t>
            </w:r>
          </w:p>
        </w:tc>
        <w:tc>
          <w:tcPr>
            <w:tcW w:w="1087" w:type="dxa"/>
            <w:shd w:val="clear" w:color="auto" w:fill="D9D9D9" w:themeFill="background1" w:themeFillShade="D9"/>
            <w:hideMark/>
          </w:tcPr>
          <w:p w14:paraId="494A21A1" w14:textId="77777777" w:rsidR="00F04D87" w:rsidRPr="00D83239" w:rsidRDefault="00F04D87" w:rsidP="0031492F">
            <w:pPr>
              <w:spacing w:line="276" w:lineRule="auto"/>
              <w:rPr>
                <w:rFonts w:ascii="Arial" w:eastAsia="Times New Roman" w:hAnsi="Arial" w:cs="Arial"/>
                <w:b/>
                <w:bCs/>
                <w:sz w:val="20"/>
                <w:szCs w:val="20"/>
              </w:rPr>
            </w:pPr>
            <w:r w:rsidRPr="00D83239">
              <w:rPr>
                <w:rFonts w:ascii="Arial" w:eastAsia="Times New Roman" w:hAnsi="Arial" w:cs="Arial"/>
                <w:b/>
                <w:bCs/>
                <w:sz w:val="20"/>
                <w:szCs w:val="20"/>
              </w:rPr>
              <w:t>Zahteve</w:t>
            </w:r>
          </w:p>
        </w:tc>
        <w:tc>
          <w:tcPr>
            <w:tcW w:w="1640" w:type="dxa"/>
            <w:shd w:val="clear" w:color="auto" w:fill="D9D9D9" w:themeFill="background1" w:themeFillShade="D9"/>
            <w:hideMark/>
          </w:tcPr>
          <w:p w14:paraId="3BF8E964" w14:textId="77777777" w:rsidR="00F04D87" w:rsidRPr="00D83239" w:rsidRDefault="00F04D87" w:rsidP="0031492F">
            <w:pPr>
              <w:spacing w:line="276" w:lineRule="auto"/>
              <w:rPr>
                <w:rFonts w:ascii="Arial" w:eastAsia="Times New Roman" w:hAnsi="Arial" w:cs="Arial"/>
                <w:b/>
                <w:bCs/>
                <w:sz w:val="20"/>
                <w:szCs w:val="20"/>
              </w:rPr>
            </w:pPr>
            <w:r w:rsidRPr="00D83239">
              <w:rPr>
                <w:rFonts w:ascii="Arial" w:eastAsia="Times New Roman" w:hAnsi="Arial" w:cs="Arial"/>
                <w:b/>
                <w:bCs/>
                <w:sz w:val="20"/>
                <w:szCs w:val="20"/>
              </w:rPr>
              <w:t>Ročno in na CD</w:t>
            </w:r>
          </w:p>
        </w:tc>
        <w:tc>
          <w:tcPr>
            <w:tcW w:w="1253" w:type="dxa"/>
            <w:shd w:val="clear" w:color="auto" w:fill="D9D9D9" w:themeFill="background1" w:themeFillShade="D9"/>
            <w:hideMark/>
          </w:tcPr>
          <w:p w14:paraId="571E7B3E" w14:textId="65AA8A4E" w:rsidR="00F04D87" w:rsidRPr="00D83239" w:rsidRDefault="00F04D87" w:rsidP="0031492F">
            <w:pPr>
              <w:spacing w:line="276" w:lineRule="auto"/>
              <w:rPr>
                <w:rFonts w:ascii="Arial" w:eastAsia="Times New Roman" w:hAnsi="Arial" w:cs="Arial"/>
                <w:b/>
                <w:bCs/>
                <w:sz w:val="20"/>
                <w:szCs w:val="20"/>
              </w:rPr>
            </w:pPr>
            <w:r w:rsidRPr="00D83239">
              <w:rPr>
                <w:rFonts w:ascii="Arial" w:eastAsia="Times New Roman" w:hAnsi="Arial" w:cs="Arial"/>
                <w:b/>
                <w:bCs/>
                <w:sz w:val="20"/>
                <w:szCs w:val="20"/>
              </w:rPr>
              <w:t>P</w:t>
            </w:r>
            <w:r w:rsidR="00D942C3">
              <w:rPr>
                <w:rFonts w:ascii="Arial" w:eastAsia="Times New Roman" w:hAnsi="Arial" w:cs="Arial"/>
                <w:b/>
                <w:bCs/>
                <w:sz w:val="20"/>
                <w:szCs w:val="20"/>
              </w:rPr>
              <w:t>o</w:t>
            </w:r>
            <w:r w:rsidRPr="00D83239">
              <w:rPr>
                <w:rFonts w:ascii="Arial" w:eastAsia="Times New Roman" w:hAnsi="Arial" w:cs="Arial"/>
                <w:b/>
                <w:bCs/>
                <w:sz w:val="20"/>
                <w:szCs w:val="20"/>
              </w:rPr>
              <w:t xml:space="preserve"> splet</w:t>
            </w:r>
            <w:r w:rsidR="00D942C3">
              <w:rPr>
                <w:rFonts w:ascii="Arial" w:eastAsia="Times New Roman" w:hAnsi="Arial" w:cs="Arial"/>
                <w:b/>
                <w:bCs/>
                <w:sz w:val="20"/>
                <w:szCs w:val="20"/>
              </w:rPr>
              <w:t>u</w:t>
            </w:r>
          </w:p>
        </w:tc>
        <w:tc>
          <w:tcPr>
            <w:tcW w:w="1320" w:type="dxa"/>
            <w:shd w:val="clear" w:color="auto" w:fill="D9D9D9" w:themeFill="background1" w:themeFillShade="D9"/>
            <w:hideMark/>
          </w:tcPr>
          <w:p w14:paraId="476AD22A" w14:textId="77777777" w:rsidR="00F04D87" w:rsidRPr="00D83239" w:rsidRDefault="00F04D87" w:rsidP="0031492F">
            <w:pPr>
              <w:spacing w:line="276" w:lineRule="auto"/>
              <w:rPr>
                <w:rFonts w:ascii="Arial" w:eastAsia="Times New Roman" w:hAnsi="Arial" w:cs="Arial"/>
                <w:b/>
                <w:bCs/>
                <w:sz w:val="20"/>
                <w:szCs w:val="20"/>
              </w:rPr>
            </w:pPr>
            <w:r w:rsidRPr="00D83239">
              <w:rPr>
                <w:rFonts w:ascii="Arial" w:eastAsia="Times New Roman" w:hAnsi="Arial" w:cs="Arial"/>
                <w:b/>
                <w:bCs/>
                <w:sz w:val="20"/>
                <w:szCs w:val="20"/>
              </w:rPr>
              <w:t>SKUPAJ za leto</w:t>
            </w:r>
          </w:p>
        </w:tc>
        <w:tc>
          <w:tcPr>
            <w:tcW w:w="1500" w:type="dxa"/>
            <w:shd w:val="clear" w:color="auto" w:fill="D9D9D9" w:themeFill="background1" w:themeFillShade="D9"/>
            <w:hideMark/>
          </w:tcPr>
          <w:p w14:paraId="680D6A86" w14:textId="77777777" w:rsidR="00F04D87" w:rsidRPr="00D83239" w:rsidRDefault="00F04D87" w:rsidP="0031492F">
            <w:pPr>
              <w:spacing w:line="276" w:lineRule="auto"/>
              <w:rPr>
                <w:rFonts w:ascii="Arial" w:eastAsia="Times New Roman" w:hAnsi="Arial" w:cs="Arial"/>
                <w:b/>
                <w:bCs/>
                <w:sz w:val="20"/>
                <w:szCs w:val="20"/>
              </w:rPr>
            </w:pPr>
            <w:r w:rsidRPr="00D83239">
              <w:rPr>
                <w:rFonts w:ascii="Arial" w:eastAsia="Times New Roman" w:hAnsi="Arial" w:cs="Arial"/>
                <w:b/>
                <w:bCs/>
                <w:sz w:val="20"/>
                <w:szCs w:val="20"/>
              </w:rPr>
              <w:t>SKUPAJ kumulativno</w:t>
            </w:r>
          </w:p>
        </w:tc>
      </w:tr>
      <w:tr w:rsidR="00F04D87" w:rsidRPr="00D83239" w14:paraId="0CC8F97C" w14:textId="77777777" w:rsidTr="00A54C1A">
        <w:trPr>
          <w:trHeight w:val="255"/>
        </w:trPr>
        <w:tc>
          <w:tcPr>
            <w:tcW w:w="1120" w:type="dxa"/>
            <w:shd w:val="clear" w:color="auto" w:fill="auto"/>
            <w:vAlign w:val="center"/>
            <w:hideMark/>
          </w:tcPr>
          <w:p w14:paraId="0D46012D"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1996</w:t>
            </w:r>
          </w:p>
        </w:tc>
        <w:tc>
          <w:tcPr>
            <w:tcW w:w="1087" w:type="dxa"/>
            <w:shd w:val="clear" w:color="auto" w:fill="auto"/>
            <w:vAlign w:val="center"/>
            <w:hideMark/>
          </w:tcPr>
          <w:p w14:paraId="51A7D2B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1.516</w:t>
            </w:r>
          </w:p>
        </w:tc>
        <w:tc>
          <w:tcPr>
            <w:tcW w:w="1640" w:type="dxa"/>
            <w:shd w:val="clear" w:color="auto" w:fill="auto"/>
            <w:vAlign w:val="center"/>
            <w:hideMark/>
          </w:tcPr>
          <w:p w14:paraId="2E4BBF9A"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12.253.311</w:t>
            </w:r>
          </w:p>
        </w:tc>
        <w:tc>
          <w:tcPr>
            <w:tcW w:w="1253" w:type="dxa"/>
            <w:shd w:val="clear" w:color="auto" w:fill="D9D9D9" w:themeFill="background1" w:themeFillShade="D9"/>
            <w:vAlign w:val="center"/>
            <w:hideMark/>
          </w:tcPr>
          <w:p w14:paraId="2B0239D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 </w:t>
            </w:r>
          </w:p>
        </w:tc>
        <w:tc>
          <w:tcPr>
            <w:tcW w:w="1320" w:type="dxa"/>
            <w:shd w:val="clear" w:color="auto" w:fill="auto"/>
            <w:vAlign w:val="center"/>
            <w:hideMark/>
          </w:tcPr>
          <w:p w14:paraId="0F72684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12.253.311</w:t>
            </w:r>
          </w:p>
        </w:tc>
        <w:tc>
          <w:tcPr>
            <w:tcW w:w="1500" w:type="dxa"/>
            <w:shd w:val="clear" w:color="auto" w:fill="auto"/>
            <w:noWrap/>
            <w:vAlign w:val="center"/>
            <w:hideMark/>
          </w:tcPr>
          <w:p w14:paraId="3316CD2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12.253.311</w:t>
            </w:r>
          </w:p>
        </w:tc>
      </w:tr>
      <w:tr w:rsidR="00F04D87" w:rsidRPr="00D83239" w14:paraId="7E3FB444" w14:textId="77777777" w:rsidTr="00A54C1A">
        <w:trPr>
          <w:trHeight w:val="255"/>
        </w:trPr>
        <w:tc>
          <w:tcPr>
            <w:tcW w:w="1120" w:type="dxa"/>
            <w:shd w:val="clear" w:color="auto" w:fill="auto"/>
            <w:vAlign w:val="center"/>
            <w:hideMark/>
          </w:tcPr>
          <w:p w14:paraId="1517B2E3"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1997</w:t>
            </w:r>
          </w:p>
        </w:tc>
        <w:tc>
          <w:tcPr>
            <w:tcW w:w="1087" w:type="dxa"/>
            <w:shd w:val="clear" w:color="auto" w:fill="auto"/>
            <w:vAlign w:val="center"/>
            <w:hideMark/>
          </w:tcPr>
          <w:p w14:paraId="493661B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1.363</w:t>
            </w:r>
          </w:p>
        </w:tc>
        <w:tc>
          <w:tcPr>
            <w:tcW w:w="1640" w:type="dxa"/>
            <w:shd w:val="clear" w:color="auto" w:fill="auto"/>
            <w:vAlign w:val="center"/>
            <w:hideMark/>
          </w:tcPr>
          <w:p w14:paraId="464F8C9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11.993.603</w:t>
            </w:r>
          </w:p>
        </w:tc>
        <w:tc>
          <w:tcPr>
            <w:tcW w:w="1253" w:type="dxa"/>
            <w:shd w:val="clear" w:color="auto" w:fill="D9D9D9" w:themeFill="background1" w:themeFillShade="D9"/>
            <w:vAlign w:val="center"/>
            <w:hideMark/>
          </w:tcPr>
          <w:p w14:paraId="74D2226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 </w:t>
            </w:r>
          </w:p>
        </w:tc>
        <w:tc>
          <w:tcPr>
            <w:tcW w:w="1320" w:type="dxa"/>
            <w:shd w:val="clear" w:color="auto" w:fill="auto"/>
            <w:vAlign w:val="center"/>
            <w:hideMark/>
          </w:tcPr>
          <w:p w14:paraId="3C7F7CB3"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11.993.603</w:t>
            </w:r>
          </w:p>
        </w:tc>
        <w:tc>
          <w:tcPr>
            <w:tcW w:w="1500" w:type="dxa"/>
            <w:shd w:val="clear" w:color="auto" w:fill="auto"/>
            <w:noWrap/>
            <w:vAlign w:val="center"/>
            <w:hideMark/>
          </w:tcPr>
          <w:p w14:paraId="01DFB56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24.246.914</w:t>
            </w:r>
          </w:p>
        </w:tc>
      </w:tr>
      <w:tr w:rsidR="00F04D87" w:rsidRPr="00D83239" w14:paraId="7F7920FC" w14:textId="77777777" w:rsidTr="00A54C1A">
        <w:trPr>
          <w:trHeight w:val="255"/>
        </w:trPr>
        <w:tc>
          <w:tcPr>
            <w:tcW w:w="1120" w:type="dxa"/>
            <w:shd w:val="clear" w:color="auto" w:fill="auto"/>
            <w:vAlign w:val="center"/>
            <w:hideMark/>
          </w:tcPr>
          <w:p w14:paraId="6CF39235"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1998</w:t>
            </w:r>
          </w:p>
        </w:tc>
        <w:tc>
          <w:tcPr>
            <w:tcW w:w="1087" w:type="dxa"/>
            <w:shd w:val="clear" w:color="auto" w:fill="auto"/>
            <w:vAlign w:val="center"/>
            <w:hideMark/>
          </w:tcPr>
          <w:p w14:paraId="573CF59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2.793</w:t>
            </w:r>
          </w:p>
        </w:tc>
        <w:tc>
          <w:tcPr>
            <w:tcW w:w="1640" w:type="dxa"/>
            <w:shd w:val="clear" w:color="auto" w:fill="auto"/>
            <w:vAlign w:val="center"/>
            <w:hideMark/>
          </w:tcPr>
          <w:p w14:paraId="58A7535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13.185.978</w:t>
            </w:r>
          </w:p>
        </w:tc>
        <w:tc>
          <w:tcPr>
            <w:tcW w:w="1253" w:type="dxa"/>
            <w:shd w:val="clear" w:color="auto" w:fill="D9D9D9" w:themeFill="background1" w:themeFillShade="D9"/>
            <w:vAlign w:val="center"/>
            <w:hideMark/>
          </w:tcPr>
          <w:p w14:paraId="2634F923"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 </w:t>
            </w:r>
          </w:p>
        </w:tc>
        <w:tc>
          <w:tcPr>
            <w:tcW w:w="1320" w:type="dxa"/>
            <w:shd w:val="clear" w:color="auto" w:fill="auto"/>
            <w:vAlign w:val="center"/>
            <w:hideMark/>
          </w:tcPr>
          <w:p w14:paraId="594686F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13.185.978</w:t>
            </w:r>
          </w:p>
        </w:tc>
        <w:tc>
          <w:tcPr>
            <w:tcW w:w="1500" w:type="dxa"/>
            <w:shd w:val="clear" w:color="auto" w:fill="auto"/>
            <w:noWrap/>
            <w:vAlign w:val="center"/>
            <w:hideMark/>
          </w:tcPr>
          <w:p w14:paraId="01B45DA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37.432.892</w:t>
            </w:r>
          </w:p>
        </w:tc>
      </w:tr>
      <w:tr w:rsidR="00F04D87" w:rsidRPr="00D83239" w14:paraId="4EB1F85C" w14:textId="77777777" w:rsidTr="00A54C1A">
        <w:trPr>
          <w:trHeight w:val="255"/>
        </w:trPr>
        <w:tc>
          <w:tcPr>
            <w:tcW w:w="1120" w:type="dxa"/>
            <w:shd w:val="clear" w:color="auto" w:fill="auto"/>
            <w:vAlign w:val="center"/>
            <w:hideMark/>
          </w:tcPr>
          <w:p w14:paraId="64F35D88"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1999</w:t>
            </w:r>
          </w:p>
        </w:tc>
        <w:tc>
          <w:tcPr>
            <w:tcW w:w="1087" w:type="dxa"/>
            <w:shd w:val="clear" w:color="auto" w:fill="auto"/>
            <w:vAlign w:val="center"/>
            <w:hideMark/>
          </w:tcPr>
          <w:p w14:paraId="6758103B"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3.830</w:t>
            </w:r>
          </w:p>
        </w:tc>
        <w:tc>
          <w:tcPr>
            <w:tcW w:w="1640" w:type="dxa"/>
            <w:shd w:val="clear" w:color="auto" w:fill="auto"/>
            <w:vAlign w:val="center"/>
            <w:hideMark/>
          </w:tcPr>
          <w:p w14:paraId="3873A1DE"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12.666.926</w:t>
            </w:r>
          </w:p>
        </w:tc>
        <w:tc>
          <w:tcPr>
            <w:tcW w:w="1253" w:type="dxa"/>
            <w:shd w:val="clear" w:color="auto" w:fill="D9D9D9" w:themeFill="background1" w:themeFillShade="D9"/>
            <w:vAlign w:val="center"/>
            <w:hideMark/>
          </w:tcPr>
          <w:p w14:paraId="471593D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 </w:t>
            </w:r>
          </w:p>
        </w:tc>
        <w:tc>
          <w:tcPr>
            <w:tcW w:w="1320" w:type="dxa"/>
            <w:shd w:val="clear" w:color="auto" w:fill="auto"/>
            <w:vAlign w:val="center"/>
            <w:hideMark/>
          </w:tcPr>
          <w:p w14:paraId="21D5A94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12.666.926</w:t>
            </w:r>
          </w:p>
        </w:tc>
        <w:tc>
          <w:tcPr>
            <w:tcW w:w="1500" w:type="dxa"/>
            <w:shd w:val="clear" w:color="auto" w:fill="auto"/>
            <w:noWrap/>
            <w:vAlign w:val="center"/>
            <w:hideMark/>
          </w:tcPr>
          <w:p w14:paraId="1CCBBA2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50.099.818</w:t>
            </w:r>
          </w:p>
        </w:tc>
      </w:tr>
      <w:tr w:rsidR="00F04D87" w:rsidRPr="00D83239" w14:paraId="15DA417C" w14:textId="77777777" w:rsidTr="00A54C1A">
        <w:trPr>
          <w:trHeight w:val="255"/>
        </w:trPr>
        <w:tc>
          <w:tcPr>
            <w:tcW w:w="1120" w:type="dxa"/>
            <w:shd w:val="clear" w:color="auto" w:fill="auto"/>
            <w:vAlign w:val="center"/>
            <w:hideMark/>
          </w:tcPr>
          <w:p w14:paraId="1C91BB1D"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2000</w:t>
            </w:r>
          </w:p>
        </w:tc>
        <w:tc>
          <w:tcPr>
            <w:tcW w:w="1087" w:type="dxa"/>
            <w:shd w:val="clear" w:color="auto" w:fill="auto"/>
            <w:vAlign w:val="center"/>
            <w:hideMark/>
          </w:tcPr>
          <w:p w14:paraId="1DC40B4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5.536</w:t>
            </w:r>
          </w:p>
        </w:tc>
        <w:tc>
          <w:tcPr>
            <w:tcW w:w="1640" w:type="dxa"/>
            <w:shd w:val="clear" w:color="auto" w:fill="auto"/>
            <w:vAlign w:val="center"/>
            <w:hideMark/>
          </w:tcPr>
          <w:p w14:paraId="04F137B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19.924.820</w:t>
            </w:r>
          </w:p>
        </w:tc>
        <w:tc>
          <w:tcPr>
            <w:tcW w:w="1253" w:type="dxa"/>
            <w:shd w:val="clear" w:color="auto" w:fill="D9D9D9" w:themeFill="background1" w:themeFillShade="D9"/>
            <w:vAlign w:val="center"/>
            <w:hideMark/>
          </w:tcPr>
          <w:p w14:paraId="34F29B81"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 </w:t>
            </w:r>
          </w:p>
        </w:tc>
        <w:tc>
          <w:tcPr>
            <w:tcW w:w="1320" w:type="dxa"/>
            <w:shd w:val="clear" w:color="auto" w:fill="auto"/>
            <w:vAlign w:val="center"/>
            <w:hideMark/>
          </w:tcPr>
          <w:p w14:paraId="5A4476A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19.924.820</w:t>
            </w:r>
          </w:p>
        </w:tc>
        <w:tc>
          <w:tcPr>
            <w:tcW w:w="1500" w:type="dxa"/>
            <w:shd w:val="clear" w:color="auto" w:fill="auto"/>
            <w:noWrap/>
            <w:vAlign w:val="center"/>
            <w:hideMark/>
          </w:tcPr>
          <w:p w14:paraId="0F890039"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70.024.638</w:t>
            </w:r>
          </w:p>
        </w:tc>
      </w:tr>
      <w:tr w:rsidR="00F04D87" w:rsidRPr="00D83239" w14:paraId="09DA5866" w14:textId="77777777" w:rsidTr="00A54C1A">
        <w:trPr>
          <w:trHeight w:val="255"/>
        </w:trPr>
        <w:tc>
          <w:tcPr>
            <w:tcW w:w="1120" w:type="dxa"/>
            <w:shd w:val="clear" w:color="auto" w:fill="auto"/>
            <w:vAlign w:val="center"/>
            <w:hideMark/>
          </w:tcPr>
          <w:p w14:paraId="710EDD0E"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2001</w:t>
            </w:r>
          </w:p>
        </w:tc>
        <w:tc>
          <w:tcPr>
            <w:tcW w:w="1087" w:type="dxa"/>
            <w:shd w:val="clear" w:color="auto" w:fill="auto"/>
            <w:vAlign w:val="center"/>
            <w:hideMark/>
          </w:tcPr>
          <w:p w14:paraId="624345F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6.965</w:t>
            </w:r>
          </w:p>
        </w:tc>
        <w:tc>
          <w:tcPr>
            <w:tcW w:w="1640" w:type="dxa"/>
            <w:shd w:val="clear" w:color="auto" w:fill="auto"/>
            <w:vAlign w:val="center"/>
            <w:hideMark/>
          </w:tcPr>
          <w:p w14:paraId="49DFF38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27.955.248</w:t>
            </w:r>
          </w:p>
        </w:tc>
        <w:tc>
          <w:tcPr>
            <w:tcW w:w="1253" w:type="dxa"/>
            <w:shd w:val="clear" w:color="auto" w:fill="D9D9D9" w:themeFill="background1" w:themeFillShade="D9"/>
            <w:vAlign w:val="center"/>
            <w:hideMark/>
          </w:tcPr>
          <w:p w14:paraId="2F8DE02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 </w:t>
            </w:r>
          </w:p>
        </w:tc>
        <w:tc>
          <w:tcPr>
            <w:tcW w:w="1320" w:type="dxa"/>
            <w:shd w:val="clear" w:color="auto" w:fill="auto"/>
            <w:vAlign w:val="center"/>
            <w:hideMark/>
          </w:tcPr>
          <w:p w14:paraId="70DDF44A"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27.955.248</w:t>
            </w:r>
          </w:p>
        </w:tc>
        <w:tc>
          <w:tcPr>
            <w:tcW w:w="1500" w:type="dxa"/>
            <w:shd w:val="clear" w:color="auto" w:fill="auto"/>
            <w:noWrap/>
            <w:vAlign w:val="center"/>
            <w:hideMark/>
          </w:tcPr>
          <w:p w14:paraId="0DF1A1D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97.979.886</w:t>
            </w:r>
          </w:p>
        </w:tc>
      </w:tr>
      <w:tr w:rsidR="00F04D87" w:rsidRPr="00D83239" w14:paraId="6166D53D" w14:textId="77777777" w:rsidTr="00A54C1A">
        <w:trPr>
          <w:trHeight w:val="255"/>
        </w:trPr>
        <w:tc>
          <w:tcPr>
            <w:tcW w:w="1120" w:type="dxa"/>
            <w:shd w:val="clear" w:color="auto" w:fill="auto"/>
            <w:vAlign w:val="center"/>
            <w:hideMark/>
          </w:tcPr>
          <w:p w14:paraId="187E09BD"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2002</w:t>
            </w:r>
          </w:p>
        </w:tc>
        <w:tc>
          <w:tcPr>
            <w:tcW w:w="1087" w:type="dxa"/>
            <w:shd w:val="clear" w:color="auto" w:fill="auto"/>
            <w:vAlign w:val="center"/>
            <w:hideMark/>
          </w:tcPr>
          <w:p w14:paraId="3648527B"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7.190</w:t>
            </w:r>
          </w:p>
        </w:tc>
        <w:tc>
          <w:tcPr>
            <w:tcW w:w="1640" w:type="dxa"/>
            <w:shd w:val="clear" w:color="auto" w:fill="auto"/>
            <w:vAlign w:val="center"/>
            <w:hideMark/>
          </w:tcPr>
          <w:p w14:paraId="0F9102B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30.297.285</w:t>
            </w:r>
          </w:p>
        </w:tc>
        <w:tc>
          <w:tcPr>
            <w:tcW w:w="1253" w:type="dxa"/>
            <w:shd w:val="clear" w:color="auto" w:fill="auto"/>
            <w:vAlign w:val="center"/>
            <w:hideMark/>
          </w:tcPr>
          <w:p w14:paraId="4921EBA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315.739</w:t>
            </w:r>
          </w:p>
        </w:tc>
        <w:tc>
          <w:tcPr>
            <w:tcW w:w="1320" w:type="dxa"/>
            <w:shd w:val="clear" w:color="auto" w:fill="auto"/>
            <w:vAlign w:val="center"/>
            <w:hideMark/>
          </w:tcPr>
          <w:p w14:paraId="3559BF2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30.613.024</w:t>
            </w:r>
          </w:p>
        </w:tc>
        <w:tc>
          <w:tcPr>
            <w:tcW w:w="1500" w:type="dxa"/>
            <w:shd w:val="clear" w:color="auto" w:fill="auto"/>
            <w:noWrap/>
            <w:vAlign w:val="center"/>
            <w:hideMark/>
          </w:tcPr>
          <w:p w14:paraId="4F072D6F"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128.592.910</w:t>
            </w:r>
          </w:p>
        </w:tc>
      </w:tr>
      <w:tr w:rsidR="00F04D87" w:rsidRPr="00D83239" w14:paraId="2D374CC7" w14:textId="77777777" w:rsidTr="00A54C1A">
        <w:trPr>
          <w:trHeight w:val="255"/>
        </w:trPr>
        <w:tc>
          <w:tcPr>
            <w:tcW w:w="1120" w:type="dxa"/>
            <w:shd w:val="clear" w:color="auto" w:fill="auto"/>
            <w:vAlign w:val="center"/>
            <w:hideMark/>
          </w:tcPr>
          <w:p w14:paraId="410F5DCD"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2003</w:t>
            </w:r>
          </w:p>
        </w:tc>
        <w:tc>
          <w:tcPr>
            <w:tcW w:w="1087" w:type="dxa"/>
            <w:shd w:val="clear" w:color="auto" w:fill="auto"/>
            <w:vAlign w:val="center"/>
            <w:hideMark/>
          </w:tcPr>
          <w:p w14:paraId="058E56BF"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11.105</w:t>
            </w:r>
          </w:p>
        </w:tc>
        <w:tc>
          <w:tcPr>
            <w:tcW w:w="1640" w:type="dxa"/>
            <w:shd w:val="clear" w:color="auto" w:fill="auto"/>
            <w:vAlign w:val="center"/>
            <w:hideMark/>
          </w:tcPr>
          <w:p w14:paraId="40A285A0"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34.830.087</w:t>
            </w:r>
          </w:p>
        </w:tc>
        <w:tc>
          <w:tcPr>
            <w:tcW w:w="1253" w:type="dxa"/>
            <w:shd w:val="clear" w:color="auto" w:fill="auto"/>
            <w:vAlign w:val="center"/>
            <w:hideMark/>
          </w:tcPr>
          <w:p w14:paraId="35ED135B"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860.657</w:t>
            </w:r>
          </w:p>
        </w:tc>
        <w:tc>
          <w:tcPr>
            <w:tcW w:w="1320" w:type="dxa"/>
            <w:shd w:val="clear" w:color="auto" w:fill="auto"/>
            <w:vAlign w:val="center"/>
            <w:hideMark/>
          </w:tcPr>
          <w:p w14:paraId="630C67CB"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35.690.744</w:t>
            </w:r>
          </w:p>
        </w:tc>
        <w:tc>
          <w:tcPr>
            <w:tcW w:w="1500" w:type="dxa"/>
            <w:shd w:val="clear" w:color="auto" w:fill="auto"/>
            <w:noWrap/>
            <w:vAlign w:val="center"/>
            <w:hideMark/>
          </w:tcPr>
          <w:p w14:paraId="6DF6B980"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164.283.654</w:t>
            </w:r>
          </w:p>
        </w:tc>
      </w:tr>
      <w:tr w:rsidR="00F04D87" w:rsidRPr="00D83239" w14:paraId="1797F4DC" w14:textId="77777777" w:rsidTr="00A54C1A">
        <w:trPr>
          <w:trHeight w:val="255"/>
        </w:trPr>
        <w:tc>
          <w:tcPr>
            <w:tcW w:w="1120" w:type="dxa"/>
            <w:shd w:val="clear" w:color="auto" w:fill="auto"/>
            <w:vAlign w:val="center"/>
            <w:hideMark/>
          </w:tcPr>
          <w:p w14:paraId="3D8929B6"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2004</w:t>
            </w:r>
          </w:p>
        </w:tc>
        <w:tc>
          <w:tcPr>
            <w:tcW w:w="1087" w:type="dxa"/>
            <w:shd w:val="clear" w:color="auto" w:fill="auto"/>
            <w:vAlign w:val="center"/>
            <w:hideMark/>
          </w:tcPr>
          <w:p w14:paraId="5212068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9.429</w:t>
            </w:r>
          </w:p>
        </w:tc>
        <w:tc>
          <w:tcPr>
            <w:tcW w:w="1640" w:type="dxa"/>
            <w:shd w:val="clear" w:color="auto" w:fill="auto"/>
            <w:vAlign w:val="center"/>
            <w:hideMark/>
          </w:tcPr>
          <w:p w14:paraId="189159F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39.156.220</w:t>
            </w:r>
          </w:p>
        </w:tc>
        <w:tc>
          <w:tcPr>
            <w:tcW w:w="1253" w:type="dxa"/>
            <w:shd w:val="clear" w:color="auto" w:fill="auto"/>
            <w:vAlign w:val="center"/>
            <w:hideMark/>
          </w:tcPr>
          <w:p w14:paraId="1B3501F2"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1.751.048</w:t>
            </w:r>
          </w:p>
        </w:tc>
        <w:tc>
          <w:tcPr>
            <w:tcW w:w="1320" w:type="dxa"/>
            <w:shd w:val="clear" w:color="auto" w:fill="auto"/>
            <w:vAlign w:val="center"/>
            <w:hideMark/>
          </w:tcPr>
          <w:p w14:paraId="5B9850A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40.907.268</w:t>
            </w:r>
          </w:p>
        </w:tc>
        <w:tc>
          <w:tcPr>
            <w:tcW w:w="1500" w:type="dxa"/>
            <w:shd w:val="clear" w:color="auto" w:fill="auto"/>
            <w:noWrap/>
            <w:vAlign w:val="center"/>
            <w:hideMark/>
          </w:tcPr>
          <w:p w14:paraId="7D5A987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205.190.922</w:t>
            </w:r>
          </w:p>
        </w:tc>
      </w:tr>
      <w:tr w:rsidR="00F04D87" w:rsidRPr="00D83239" w14:paraId="030DBA0B" w14:textId="77777777" w:rsidTr="00A54C1A">
        <w:trPr>
          <w:trHeight w:val="255"/>
        </w:trPr>
        <w:tc>
          <w:tcPr>
            <w:tcW w:w="1120" w:type="dxa"/>
            <w:shd w:val="clear" w:color="auto" w:fill="auto"/>
            <w:vAlign w:val="center"/>
            <w:hideMark/>
          </w:tcPr>
          <w:p w14:paraId="3B99577E"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2005</w:t>
            </w:r>
          </w:p>
        </w:tc>
        <w:tc>
          <w:tcPr>
            <w:tcW w:w="1087" w:type="dxa"/>
            <w:shd w:val="clear" w:color="auto" w:fill="auto"/>
            <w:vAlign w:val="center"/>
            <w:hideMark/>
          </w:tcPr>
          <w:p w14:paraId="04BE3FC3"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5.834</w:t>
            </w:r>
          </w:p>
        </w:tc>
        <w:tc>
          <w:tcPr>
            <w:tcW w:w="1640" w:type="dxa"/>
            <w:shd w:val="clear" w:color="auto" w:fill="auto"/>
            <w:vAlign w:val="center"/>
            <w:hideMark/>
          </w:tcPr>
          <w:p w14:paraId="11A0DE2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21.437.246</w:t>
            </w:r>
          </w:p>
        </w:tc>
        <w:tc>
          <w:tcPr>
            <w:tcW w:w="1253" w:type="dxa"/>
            <w:shd w:val="clear" w:color="auto" w:fill="auto"/>
            <w:vAlign w:val="center"/>
            <w:hideMark/>
          </w:tcPr>
          <w:p w14:paraId="63774E7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3.423.557</w:t>
            </w:r>
          </w:p>
        </w:tc>
        <w:tc>
          <w:tcPr>
            <w:tcW w:w="1320" w:type="dxa"/>
            <w:shd w:val="clear" w:color="auto" w:fill="auto"/>
            <w:vAlign w:val="center"/>
            <w:hideMark/>
          </w:tcPr>
          <w:p w14:paraId="730B06D2"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24.860.803</w:t>
            </w:r>
          </w:p>
        </w:tc>
        <w:tc>
          <w:tcPr>
            <w:tcW w:w="1500" w:type="dxa"/>
            <w:shd w:val="clear" w:color="auto" w:fill="auto"/>
            <w:noWrap/>
            <w:vAlign w:val="center"/>
            <w:hideMark/>
          </w:tcPr>
          <w:p w14:paraId="0911985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230.051.725</w:t>
            </w:r>
          </w:p>
        </w:tc>
      </w:tr>
      <w:tr w:rsidR="00F04D87" w:rsidRPr="00D83239" w14:paraId="36DBA1E0" w14:textId="77777777" w:rsidTr="00A54C1A">
        <w:trPr>
          <w:trHeight w:val="255"/>
        </w:trPr>
        <w:tc>
          <w:tcPr>
            <w:tcW w:w="1120" w:type="dxa"/>
            <w:shd w:val="clear" w:color="auto" w:fill="auto"/>
            <w:vAlign w:val="center"/>
            <w:hideMark/>
          </w:tcPr>
          <w:p w14:paraId="40A6DE36"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2006</w:t>
            </w:r>
          </w:p>
        </w:tc>
        <w:tc>
          <w:tcPr>
            <w:tcW w:w="1087" w:type="dxa"/>
            <w:shd w:val="clear" w:color="auto" w:fill="auto"/>
            <w:vAlign w:val="center"/>
            <w:hideMark/>
          </w:tcPr>
          <w:p w14:paraId="5CA7898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8.732</w:t>
            </w:r>
          </w:p>
        </w:tc>
        <w:tc>
          <w:tcPr>
            <w:tcW w:w="1640" w:type="dxa"/>
            <w:shd w:val="clear" w:color="auto" w:fill="auto"/>
            <w:vAlign w:val="center"/>
            <w:hideMark/>
          </w:tcPr>
          <w:p w14:paraId="2253A43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33.649.836</w:t>
            </w:r>
          </w:p>
        </w:tc>
        <w:tc>
          <w:tcPr>
            <w:tcW w:w="1253" w:type="dxa"/>
            <w:shd w:val="clear" w:color="auto" w:fill="auto"/>
            <w:vAlign w:val="center"/>
            <w:hideMark/>
          </w:tcPr>
          <w:p w14:paraId="7DD0615E"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3.343.713</w:t>
            </w:r>
          </w:p>
        </w:tc>
        <w:tc>
          <w:tcPr>
            <w:tcW w:w="1320" w:type="dxa"/>
            <w:shd w:val="clear" w:color="auto" w:fill="auto"/>
            <w:vAlign w:val="center"/>
            <w:hideMark/>
          </w:tcPr>
          <w:p w14:paraId="3E344F9B"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36.993.549</w:t>
            </w:r>
          </w:p>
        </w:tc>
        <w:tc>
          <w:tcPr>
            <w:tcW w:w="1500" w:type="dxa"/>
            <w:shd w:val="clear" w:color="auto" w:fill="auto"/>
            <w:noWrap/>
            <w:vAlign w:val="center"/>
            <w:hideMark/>
          </w:tcPr>
          <w:p w14:paraId="77DEBBE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267.045.274</w:t>
            </w:r>
          </w:p>
        </w:tc>
      </w:tr>
      <w:tr w:rsidR="00F04D87" w:rsidRPr="00D83239" w14:paraId="58F56DA6" w14:textId="77777777" w:rsidTr="00A54C1A">
        <w:trPr>
          <w:trHeight w:val="255"/>
        </w:trPr>
        <w:tc>
          <w:tcPr>
            <w:tcW w:w="1120" w:type="dxa"/>
            <w:shd w:val="clear" w:color="auto" w:fill="auto"/>
            <w:vAlign w:val="center"/>
            <w:hideMark/>
          </w:tcPr>
          <w:p w14:paraId="22DDEC1D"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2007</w:t>
            </w:r>
          </w:p>
        </w:tc>
        <w:tc>
          <w:tcPr>
            <w:tcW w:w="1087" w:type="dxa"/>
            <w:shd w:val="clear" w:color="auto" w:fill="auto"/>
            <w:vAlign w:val="center"/>
            <w:hideMark/>
          </w:tcPr>
          <w:p w14:paraId="36B7D0EE"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12.892</w:t>
            </w:r>
          </w:p>
        </w:tc>
        <w:tc>
          <w:tcPr>
            <w:tcW w:w="1640" w:type="dxa"/>
            <w:shd w:val="clear" w:color="auto" w:fill="auto"/>
            <w:vAlign w:val="center"/>
            <w:hideMark/>
          </w:tcPr>
          <w:p w14:paraId="44D6FD5F"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41.211.723</w:t>
            </w:r>
          </w:p>
        </w:tc>
        <w:tc>
          <w:tcPr>
            <w:tcW w:w="1253" w:type="dxa"/>
            <w:shd w:val="clear" w:color="auto" w:fill="auto"/>
            <w:vAlign w:val="center"/>
            <w:hideMark/>
          </w:tcPr>
          <w:p w14:paraId="06C30739"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18.449.953</w:t>
            </w:r>
          </w:p>
        </w:tc>
        <w:tc>
          <w:tcPr>
            <w:tcW w:w="1320" w:type="dxa"/>
            <w:shd w:val="clear" w:color="auto" w:fill="auto"/>
            <w:vAlign w:val="center"/>
            <w:hideMark/>
          </w:tcPr>
          <w:p w14:paraId="02F8C3CB"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59.661.676</w:t>
            </w:r>
          </w:p>
        </w:tc>
        <w:tc>
          <w:tcPr>
            <w:tcW w:w="1500" w:type="dxa"/>
            <w:shd w:val="clear" w:color="auto" w:fill="auto"/>
            <w:noWrap/>
            <w:vAlign w:val="center"/>
            <w:hideMark/>
          </w:tcPr>
          <w:p w14:paraId="1C7BEB0F"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326.706.950</w:t>
            </w:r>
          </w:p>
        </w:tc>
      </w:tr>
      <w:tr w:rsidR="00F04D87" w:rsidRPr="00D83239" w14:paraId="5FAEB604" w14:textId="77777777" w:rsidTr="00A54C1A">
        <w:trPr>
          <w:trHeight w:val="255"/>
        </w:trPr>
        <w:tc>
          <w:tcPr>
            <w:tcW w:w="1120" w:type="dxa"/>
            <w:shd w:val="clear" w:color="auto" w:fill="auto"/>
            <w:vAlign w:val="center"/>
            <w:hideMark/>
          </w:tcPr>
          <w:p w14:paraId="5A7C69EC"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2008</w:t>
            </w:r>
          </w:p>
        </w:tc>
        <w:tc>
          <w:tcPr>
            <w:tcW w:w="1087" w:type="dxa"/>
            <w:shd w:val="clear" w:color="auto" w:fill="auto"/>
            <w:vAlign w:val="center"/>
            <w:hideMark/>
          </w:tcPr>
          <w:p w14:paraId="71F85CC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18.108</w:t>
            </w:r>
          </w:p>
        </w:tc>
        <w:tc>
          <w:tcPr>
            <w:tcW w:w="1640" w:type="dxa"/>
            <w:shd w:val="clear" w:color="auto" w:fill="auto"/>
            <w:vAlign w:val="center"/>
            <w:hideMark/>
          </w:tcPr>
          <w:p w14:paraId="600CE4AF"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17.541.923</w:t>
            </w:r>
          </w:p>
        </w:tc>
        <w:tc>
          <w:tcPr>
            <w:tcW w:w="1253" w:type="dxa"/>
            <w:shd w:val="clear" w:color="auto" w:fill="auto"/>
            <w:vAlign w:val="center"/>
            <w:hideMark/>
          </w:tcPr>
          <w:p w14:paraId="69AE0109"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41.030.562</w:t>
            </w:r>
          </w:p>
        </w:tc>
        <w:tc>
          <w:tcPr>
            <w:tcW w:w="1320" w:type="dxa"/>
            <w:shd w:val="clear" w:color="auto" w:fill="auto"/>
            <w:vAlign w:val="center"/>
            <w:hideMark/>
          </w:tcPr>
          <w:p w14:paraId="536AB2F3"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58.572.485</w:t>
            </w:r>
          </w:p>
        </w:tc>
        <w:tc>
          <w:tcPr>
            <w:tcW w:w="1500" w:type="dxa"/>
            <w:shd w:val="clear" w:color="auto" w:fill="auto"/>
            <w:noWrap/>
            <w:vAlign w:val="center"/>
            <w:hideMark/>
          </w:tcPr>
          <w:p w14:paraId="3F5FF7B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385.279.435</w:t>
            </w:r>
          </w:p>
        </w:tc>
      </w:tr>
      <w:tr w:rsidR="00F04D87" w:rsidRPr="00D83239" w14:paraId="5329BB6A" w14:textId="77777777" w:rsidTr="00A54C1A">
        <w:trPr>
          <w:trHeight w:val="255"/>
        </w:trPr>
        <w:tc>
          <w:tcPr>
            <w:tcW w:w="1120" w:type="dxa"/>
            <w:shd w:val="clear" w:color="auto" w:fill="auto"/>
            <w:vAlign w:val="center"/>
            <w:hideMark/>
          </w:tcPr>
          <w:p w14:paraId="4C899A6F"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2009</w:t>
            </w:r>
          </w:p>
        </w:tc>
        <w:tc>
          <w:tcPr>
            <w:tcW w:w="1087" w:type="dxa"/>
            <w:shd w:val="clear" w:color="auto" w:fill="auto"/>
            <w:vAlign w:val="center"/>
            <w:hideMark/>
          </w:tcPr>
          <w:p w14:paraId="55F66C2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19.773</w:t>
            </w:r>
          </w:p>
        </w:tc>
        <w:tc>
          <w:tcPr>
            <w:tcW w:w="1640" w:type="dxa"/>
            <w:shd w:val="clear" w:color="auto" w:fill="auto"/>
            <w:vAlign w:val="center"/>
            <w:hideMark/>
          </w:tcPr>
          <w:p w14:paraId="699F766B"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16.723.737</w:t>
            </w:r>
          </w:p>
        </w:tc>
        <w:tc>
          <w:tcPr>
            <w:tcW w:w="1253" w:type="dxa"/>
            <w:shd w:val="clear" w:color="auto" w:fill="auto"/>
            <w:vAlign w:val="center"/>
            <w:hideMark/>
          </w:tcPr>
          <w:p w14:paraId="258EE2CE"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74.921.040</w:t>
            </w:r>
          </w:p>
        </w:tc>
        <w:tc>
          <w:tcPr>
            <w:tcW w:w="1320" w:type="dxa"/>
            <w:shd w:val="clear" w:color="auto" w:fill="auto"/>
            <w:vAlign w:val="center"/>
            <w:hideMark/>
          </w:tcPr>
          <w:p w14:paraId="759FBCF1"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91.644.777</w:t>
            </w:r>
          </w:p>
        </w:tc>
        <w:tc>
          <w:tcPr>
            <w:tcW w:w="1500" w:type="dxa"/>
            <w:shd w:val="clear" w:color="auto" w:fill="auto"/>
            <w:noWrap/>
            <w:vAlign w:val="center"/>
            <w:hideMark/>
          </w:tcPr>
          <w:p w14:paraId="0C206E0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476.924.212</w:t>
            </w:r>
          </w:p>
        </w:tc>
      </w:tr>
      <w:tr w:rsidR="00F04D87" w:rsidRPr="00D83239" w14:paraId="6BF47787" w14:textId="77777777" w:rsidTr="00A54C1A">
        <w:trPr>
          <w:trHeight w:val="300"/>
        </w:trPr>
        <w:tc>
          <w:tcPr>
            <w:tcW w:w="1120" w:type="dxa"/>
            <w:shd w:val="clear" w:color="auto" w:fill="auto"/>
            <w:vAlign w:val="center"/>
            <w:hideMark/>
          </w:tcPr>
          <w:p w14:paraId="0307A62E"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2010</w:t>
            </w:r>
          </w:p>
        </w:tc>
        <w:tc>
          <w:tcPr>
            <w:tcW w:w="1087" w:type="dxa"/>
            <w:shd w:val="clear" w:color="auto" w:fill="auto"/>
            <w:vAlign w:val="center"/>
            <w:hideMark/>
          </w:tcPr>
          <w:p w14:paraId="577EEFE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19.079</w:t>
            </w:r>
          </w:p>
        </w:tc>
        <w:tc>
          <w:tcPr>
            <w:tcW w:w="1640" w:type="dxa"/>
            <w:shd w:val="clear" w:color="auto" w:fill="auto"/>
            <w:vAlign w:val="center"/>
            <w:hideMark/>
          </w:tcPr>
          <w:p w14:paraId="3BC7404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25.181.123</w:t>
            </w:r>
          </w:p>
        </w:tc>
        <w:tc>
          <w:tcPr>
            <w:tcW w:w="1253" w:type="dxa"/>
            <w:shd w:val="clear" w:color="auto" w:fill="auto"/>
            <w:vAlign w:val="center"/>
            <w:hideMark/>
          </w:tcPr>
          <w:p w14:paraId="65FA9559"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59.110.890</w:t>
            </w:r>
          </w:p>
        </w:tc>
        <w:tc>
          <w:tcPr>
            <w:tcW w:w="1320" w:type="dxa"/>
            <w:shd w:val="clear" w:color="auto" w:fill="auto"/>
            <w:vAlign w:val="center"/>
            <w:hideMark/>
          </w:tcPr>
          <w:p w14:paraId="59406D31"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84.292.013</w:t>
            </w:r>
          </w:p>
        </w:tc>
        <w:tc>
          <w:tcPr>
            <w:tcW w:w="1500" w:type="dxa"/>
            <w:shd w:val="clear" w:color="auto" w:fill="auto"/>
            <w:noWrap/>
            <w:vAlign w:val="center"/>
            <w:hideMark/>
          </w:tcPr>
          <w:p w14:paraId="17A9E64B"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561.216.225</w:t>
            </w:r>
          </w:p>
        </w:tc>
      </w:tr>
      <w:tr w:rsidR="00F04D87" w:rsidRPr="00D83239" w14:paraId="108556C8" w14:textId="77777777" w:rsidTr="00A54C1A">
        <w:trPr>
          <w:trHeight w:val="300"/>
        </w:trPr>
        <w:tc>
          <w:tcPr>
            <w:tcW w:w="1120" w:type="dxa"/>
            <w:shd w:val="clear" w:color="auto" w:fill="auto"/>
            <w:vAlign w:val="center"/>
            <w:hideMark/>
          </w:tcPr>
          <w:p w14:paraId="1C9A5D4C"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2011</w:t>
            </w:r>
          </w:p>
        </w:tc>
        <w:tc>
          <w:tcPr>
            <w:tcW w:w="1087" w:type="dxa"/>
            <w:shd w:val="clear" w:color="auto" w:fill="auto"/>
            <w:vAlign w:val="center"/>
            <w:hideMark/>
          </w:tcPr>
          <w:p w14:paraId="68F9EBC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18.971</w:t>
            </w:r>
          </w:p>
        </w:tc>
        <w:tc>
          <w:tcPr>
            <w:tcW w:w="1640" w:type="dxa"/>
            <w:shd w:val="clear" w:color="auto" w:fill="auto"/>
            <w:vAlign w:val="center"/>
            <w:hideMark/>
          </w:tcPr>
          <w:p w14:paraId="56D6E97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25.871.155</w:t>
            </w:r>
          </w:p>
        </w:tc>
        <w:tc>
          <w:tcPr>
            <w:tcW w:w="1253" w:type="dxa"/>
            <w:shd w:val="clear" w:color="auto" w:fill="auto"/>
            <w:vAlign w:val="center"/>
            <w:hideMark/>
          </w:tcPr>
          <w:p w14:paraId="0DC8431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78.945.254</w:t>
            </w:r>
          </w:p>
        </w:tc>
        <w:tc>
          <w:tcPr>
            <w:tcW w:w="1320" w:type="dxa"/>
            <w:shd w:val="clear" w:color="auto" w:fill="auto"/>
            <w:vAlign w:val="center"/>
            <w:hideMark/>
          </w:tcPr>
          <w:p w14:paraId="56C2ABA9"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104.816.409</w:t>
            </w:r>
          </w:p>
        </w:tc>
        <w:tc>
          <w:tcPr>
            <w:tcW w:w="1500" w:type="dxa"/>
            <w:shd w:val="clear" w:color="auto" w:fill="auto"/>
            <w:noWrap/>
            <w:vAlign w:val="center"/>
            <w:hideMark/>
          </w:tcPr>
          <w:p w14:paraId="0540583A"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666.032.634</w:t>
            </w:r>
          </w:p>
        </w:tc>
      </w:tr>
      <w:tr w:rsidR="00F04D87" w:rsidRPr="00D83239" w14:paraId="7AB8F5CF" w14:textId="77777777" w:rsidTr="00A54C1A">
        <w:trPr>
          <w:trHeight w:val="300"/>
        </w:trPr>
        <w:tc>
          <w:tcPr>
            <w:tcW w:w="1120" w:type="dxa"/>
            <w:shd w:val="clear" w:color="auto" w:fill="auto"/>
            <w:vAlign w:val="center"/>
            <w:hideMark/>
          </w:tcPr>
          <w:p w14:paraId="665EE27D"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2012</w:t>
            </w:r>
          </w:p>
        </w:tc>
        <w:tc>
          <w:tcPr>
            <w:tcW w:w="1087" w:type="dxa"/>
            <w:shd w:val="clear" w:color="auto" w:fill="auto"/>
            <w:vAlign w:val="center"/>
            <w:hideMark/>
          </w:tcPr>
          <w:p w14:paraId="6123B93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14.388</w:t>
            </w:r>
          </w:p>
        </w:tc>
        <w:tc>
          <w:tcPr>
            <w:tcW w:w="1640" w:type="dxa"/>
            <w:shd w:val="clear" w:color="auto" w:fill="auto"/>
            <w:vAlign w:val="center"/>
            <w:hideMark/>
          </w:tcPr>
          <w:p w14:paraId="32854AB9"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22.819.942</w:t>
            </w:r>
          </w:p>
        </w:tc>
        <w:tc>
          <w:tcPr>
            <w:tcW w:w="1253" w:type="dxa"/>
            <w:shd w:val="clear" w:color="auto" w:fill="auto"/>
            <w:vAlign w:val="center"/>
            <w:hideMark/>
          </w:tcPr>
          <w:p w14:paraId="3E90699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68.085.335</w:t>
            </w:r>
          </w:p>
        </w:tc>
        <w:tc>
          <w:tcPr>
            <w:tcW w:w="1320" w:type="dxa"/>
            <w:shd w:val="clear" w:color="auto" w:fill="auto"/>
            <w:vAlign w:val="center"/>
            <w:hideMark/>
          </w:tcPr>
          <w:p w14:paraId="452F52D1"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90.905.277</w:t>
            </w:r>
          </w:p>
        </w:tc>
        <w:tc>
          <w:tcPr>
            <w:tcW w:w="1500" w:type="dxa"/>
            <w:shd w:val="clear" w:color="auto" w:fill="auto"/>
            <w:noWrap/>
            <w:vAlign w:val="center"/>
            <w:hideMark/>
          </w:tcPr>
          <w:p w14:paraId="4389060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756.937.911</w:t>
            </w:r>
          </w:p>
        </w:tc>
      </w:tr>
      <w:tr w:rsidR="00F04D87" w:rsidRPr="00D83239" w14:paraId="49808586" w14:textId="77777777" w:rsidTr="00A54C1A">
        <w:trPr>
          <w:trHeight w:val="300"/>
        </w:trPr>
        <w:tc>
          <w:tcPr>
            <w:tcW w:w="1120" w:type="dxa"/>
            <w:shd w:val="clear" w:color="auto" w:fill="auto"/>
            <w:vAlign w:val="center"/>
            <w:hideMark/>
          </w:tcPr>
          <w:p w14:paraId="24BAFA0A"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2013</w:t>
            </w:r>
          </w:p>
        </w:tc>
        <w:tc>
          <w:tcPr>
            <w:tcW w:w="1087" w:type="dxa"/>
            <w:shd w:val="clear" w:color="auto" w:fill="auto"/>
            <w:vAlign w:val="center"/>
            <w:hideMark/>
          </w:tcPr>
          <w:p w14:paraId="3417249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12.879</w:t>
            </w:r>
          </w:p>
        </w:tc>
        <w:tc>
          <w:tcPr>
            <w:tcW w:w="1640" w:type="dxa"/>
            <w:shd w:val="clear" w:color="auto" w:fill="auto"/>
            <w:vAlign w:val="center"/>
            <w:hideMark/>
          </w:tcPr>
          <w:p w14:paraId="76E31E8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21.266.741</w:t>
            </w:r>
          </w:p>
        </w:tc>
        <w:tc>
          <w:tcPr>
            <w:tcW w:w="1253" w:type="dxa"/>
            <w:shd w:val="clear" w:color="auto" w:fill="auto"/>
            <w:vAlign w:val="center"/>
            <w:hideMark/>
          </w:tcPr>
          <w:p w14:paraId="0216F5F1"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69.457.215</w:t>
            </w:r>
          </w:p>
        </w:tc>
        <w:tc>
          <w:tcPr>
            <w:tcW w:w="1320" w:type="dxa"/>
            <w:shd w:val="clear" w:color="auto" w:fill="auto"/>
            <w:vAlign w:val="center"/>
            <w:hideMark/>
          </w:tcPr>
          <w:p w14:paraId="45E5CA62"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90.723.956</w:t>
            </w:r>
          </w:p>
        </w:tc>
        <w:tc>
          <w:tcPr>
            <w:tcW w:w="1500" w:type="dxa"/>
            <w:shd w:val="clear" w:color="auto" w:fill="auto"/>
            <w:noWrap/>
            <w:vAlign w:val="center"/>
            <w:hideMark/>
          </w:tcPr>
          <w:p w14:paraId="1B91F569"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847.661.867</w:t>
            </w:r>
          </w:p>
        </w:tc>
      </w:tr>
      <w:tr w:rsidR="00F04D87" w:rsidRPr="00D83239" w14:paraId="755CC4C6" w14:textId="77777777" w:rsidTr="00A54C1A">
        <w:trPr>
          <w:trHeight w:val="300"/>
        </w:trPr>
        <w:tc>
          <w:tcPr>
            <w:tcW w:w="1120" w:type="dxa"/>
            <w:shd w:val="clear" w:color="auto" w:fill="auto"/>
            <w:vAlign w:val="center"/>
            <w:hideMark/>
          </w:tcPr>
          <w:p w14:paraId="628F515A"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2014</w:t>
            </w:r>
          </w:p>
        </w:tc>
        <w:tc>
          <w:tcPr>
            <w:tcW w:w="1087" w:type="dxa"/>
            <w:shd w:val="clear" w:color="auto" w:fill="auto"/>
            <w:vAlign w:val="center"/>
            <w:hideMark/>
          </w:tcPr>
          <w:p w14:paraId="2F30C43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12.027</w:t>
            </w:r>
          </w:p>
        </w:tc>
        <w:tc>
          <w:tcPr>
            <w:tcW w:w="1640" w:type="dxa"/>
            <w:shd w:val="clear" w:color="auto" w:fill="auto"/>
            <w:vAlign w:val="center"/>
            <w:hideMark/>
          </w:tcPr>
          <w:p w14:paraId="7CE40F4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27.045.074</w:t>
            </w:r>
          </w:p>
        </w:tc>
        <w:tc>
          <w:tcPr>
            <w:tcW w:w="1253" w:type="dxa"/>
            <w:shd w:val="clear" w:color="auto" w:fill="auto"/>
            <w:vAlign w:val="center"/>
            <w:hideMark/>
          </w:tcPr>
          <w:p w14:paraId="542AF17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81.231.101</w:t>
            </w:r>
          </w:p>
        </w:tc>
        <w:tc>
          <w:tcPr>
            <w:tcW w:w="1320" w:type="dxa"/>
            <w:shd w:val="clear" w:color="auto" w:fill="auto"/>
            <w:vAlign w:val="center"/>
            <w:hideMark/>
          </w:tcPr>
          <w:p w14:paraId="0E7DE741"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108.276.175</w:t>
            </w:r>
          </w:p>
        </w:tc>
        <w:tc>
          <w:tcPr>
            <w:tcW w:w="1500" w:type="dxa"/>
            <w:shd w:val="clear" w:color="auto" w:fill="auto"/>
            <w:noWrap/>
            <w:vAlign w:val="center"/>
            <w:hideMark/>
          </w:tcPr>
          <w:p w14:paraId="0F1D629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955.938.042</w:t>
            </w:r>
          </w:p>
        </w:tc>
      </w:tr>
      <w:tr w:rsidR="00F04D87" w:rsidRPr="00D83239" w14:paraId="3E4D3D6C" w14:textId="77777777" w:rsidTr="00A54C1A">
        <w:trPr>
          <w:trHeight w:val="300"/>
        </w:trPr>
        <w:tc>
          <w:tcPr>
            <w:tcW w:w="1120" w:type="dxa"/>
            <w:shd w:val="clear" w:color="auto" w:fill="auto"/>
            <w:vAlign w:val="center"/>
            <w:hideMark/>
          </w:tcPr>
          <w:p w14:paraId="02F5D26D"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2015</w:t>
            </w:r>
          </w:p>
        </w:tc>
        <w:tc>
          <w:tcPr>
            <w:tcW w:w="1087" w:type="dxa"/>
            <w:shd w:val="clear" w:color="auto" w:fill="auto"/>
            <w:vAlign w:val="center"/>
            <w:hideMark/>
          </w:tcPr>
          <w:p w14:paraId="2B9641B1"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11.286</w:t>
            </w:r>
          </w:p>
        </w:tc>
        <w:tc>
          <w:tcPr>
            <w:tcW w:w="1640" w:type="dxa"/>
            <w:shd w:val="clear" w:color="auto" w:fill="auto"/>
            <w:noWrap/>
            <w:vAlign w:val="center"/>
            <w:hideMark/>
          </w:tcPr>
          <w:p w14:paraId="3E62EF9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25.816.349</w:t>
            </w:r>
          </w:p>
        </w:tc>
        <w:tc>
          <w:tcPr>
            <w:tcW w:w="1253" w:type="dxa"/>
            <w:shd w:val="clear" w:color="auto" w:fill="auto"/>
            <w:vAlign w:val="center"/>
            <w:hideMark/>
          </w:tcPr>
          <w:p w14:paraId="748DEE2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55.927.592</w:t>
            </w:r>
          </w:p>
        </w:tc>
        <w:tc>
          <w:tcPr>
            <w:tcW w:w="1320" w:type="dxa"/>
            <w:shd w:val="clear" w:color="auto" w:fill="auto"/>
            <w:vAlign w:val="center"/>
            <w:hideMark/>
          </w:tcPr>
          <w:p w14:paraId="03F67C3B"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81.743.941</w:t>
            </w:r>
          </w:p>
        </w:tc>
        <w:tc>
          <w:tcPr>
            <w:tcW w:w="1500" w:type="dxa"/>
            <w:shd w:val="clear" w:color="auto" w:fill="auto"/>
            <w:noWrap/>
            <w:vAlign w:val="center"/>
            <w:hideMark/>
          </w:tcPr>
          <w:p w14:paraId="2208951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1.037.681.983</w:t>
            </w:r>
          </w:p>
        </w:tc>
      </w:tr>
      <w:tr w:rsidR="00F04D87" w:rsidRPr="00D83239" w14:paraId="7A11B9D0" w14:textId="77777777" w:rsidTr="00A54C1A">
        <w:trPr>
          <w:trHeight w:val="300"/>
        </w:trPr>
        <w:tc>
          <w:tcPr>
            <w:tcW w:w="1120" w:type="dxa"/>
            <w:shd w:val="clear" w:color="auto" w:fill="auto"/>
            <w:vAlign w:val="bottom"/>
            <w:hideMark/>
          </w:tcPr>
          <w:p w14:paraId="343A2171"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2016</w:t>
            </w:r>
          </w:p>
        </w:tc>
        <w:tc>
          <w:tcPr>
            <w:tcW w:w="1087" w:type="dxa"/>
            <w:shd w:val="clear" w:color="auto" w:fill="auto"/>
            <w:vAlign w:val="center"/>
            <w:hideMark/>
          </w:tcPr>
          <w:p w14:paraId="3521B149"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9.689</w:t>
            </w:r>
          </w:p>
        </w:tc>
        <w:tc>
          <w:tcPr>
            <w:tcW w:w="1640" w:type="dxa"/>
            <w:shd w:val="clear" w:color="auto" w:fill="auto"/>
            <w:noWrap/>
            <w:vAlign w:val="center"/>
            <w:hideMark/>
          </w:tcPr>
          <w:p w14:paraId="689B1110"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27.330.981</w:t>
            </w:r>
          </w:p>
        </w:tc>
        <w:tc>
          <w:tcPr>
            <w:tcW w:w="1253" w:type="dxa"/>
            <w:shd w:val="clear" w:color="auto" w:fill="auto"/>
            <w:vAlign w:val="center"/>
            <w:hideMark/>
          </w:tcPr>
          <w:p w14:paraId="1FEA80F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59.592.862</w:t>
            </w:r>
          </w:p>
        </w:tc>
        <w:tc>
          <w:tcPr>
            <w:tcW w:w="1320" w:type="dxa"/>
            <w:shd w:val="clear" w:color="auto" w:fill="auto"/>
            <w:vAlign w:val="center"/>
            <w:hideMark/>
          </w:tcPr>
          <w:p w14:paraId="0262114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86.923.843</w:t>
            </w:r>
          </w:p>
        </w:tc>
        <w:tc>
          <w:tcPr>
            <w:tcW w:w="1500" w:type="dxa"/>
            <w:shd w:val="clear" w:color="auto" w:fill="auto"/>
            <w:noWrap/>
            <w:vAlign w:val="center"/>
            <w:hideMark/>
          </w:tcPr>
          <w:p w14:paraId="073E3F5E"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1.124.605.826</w:t>
            </w:r>
          </w:p>
        </w:tc>
      </w:tr>
      <w:tr w:rsidR="00F04D87" w:rsidRPr="00D83239" w14:paraId="742F5A36" w14:textId="77777777" w:rsidTr="00A54C1A">
        <w:trPr>
          <w:trHeight w:val="300"/>
        </w:trPr>
        <w:tc>
          <w:tcPr>
            <w:tcW w:w="1120" w:type="dxa"/>
            <w:shd w:val="clear" w:color="auto" w:fill="auto"/>
            <w:vAlign w:val="bottom"/>
            <w:hideMark/>
          </w:tcPr>
          <w:p w14:paraId="15124808"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2017</w:t>
            </w:r>
          </w:p>
        </w:tc>
        <w:tc>
          <w:tcPr>
            <w:tcW w:w="1087" w:type="dxa"/>
            <w:shd w:val="clear" w:color="auto" w:fill="auto"/>
            <w:vAlign w:val="center"/>
            <w:hideMark/>
          </w:tcPr>
          <w:p w14:paraId="79621F9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8.890</w:t>
            </w:r>
          </w:p>
        </w:tc>
        <w:tc>
          <w:tcPr>
            <w:tcW w:w="1640" w:type="dxa"/>
            <w:shd w:val="clear" w:color="auto" w:fill="auto"/>
            <w:noWrap/>
            <w:vAlign w:val="center"/>
            <w:hideMark/>
          </w:tcPr>
          <w:p w14:paraId="4463B98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29.563.622</w:t>
            </w:r>
          </w:p>
        </w:tc>
        <w:tc>
          <w:tcPr>
            <w:tcW w:w="1253" w:type="dxa"/>
            <w:shd w:val="clear" w:color="auto" w:fill="auto"/>
            <w:vAlign w:val="center"/>
            <w:hideMark/>
          </w:tcPr>
          <w:p w14:paraId="40D154A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51.271.493</w:t>
            </w:r>
          </w:p>
        </w:tc>
        <w:tc>
          <w:tcPr>
            <w:tcW w:w="1320" w:type="dxa"/>
            <w:shd w:val="clear" w:color="auto" w:fill="auto"/>
            <w:vAlign w:val="center"/>
            <w:hideMark/>
          </w:tcPr>
          <w:p w14:paraId="39AA222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80.835.115</w:t>
            </w:r>
          </w:p>
        </w:tc>
        <w:tc>
          <w:tcPr>
            <w:tcW w:w="1500" w:type="dxa"/>
            <w:shd w:val="clear" w:color="auto" w:fill="auto"/>
            <w:noWrap/>
            <w:vAlign w:val="center"/>
            <w:hideMark/>
          </w:tcPr>
          <w:p w14:paraId="4EECF993"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1.205.440.941</w:t>
            </w:r>
          </w:p>
        </w:tc>
      </w:tr>
      <w:tr w:rsidR="00F04D87" w:rsidRPr="00D83239" w14:paraId="5D147252" w14:textId="77777777" w:rsidTr="00A54C1A">
        <w:trPr>
          <w:trHeight w:val="300"/>
        </w:trPr>
        <w:tc>
          <w:tcPr>
            <w:tcW w:w="1120" w:type="dxa"/>
            <w:shd w:val="clear" w:color="auto" w:fill="auto"/>
            <w:vAlign w:val="bottom"/>
            <w:hideMark/>
          </w:tcPr>
          <w:p w14:paraId="57A4B357"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2018</w:t>
            </w:r>
          </w:p>
        </w:tc>
        <w:tc>
          <w:tcPr>
            <w:tcW w:w="1087" w:type="dxa"/>
            <w:shd w:val="clear" w:color="auto" w:fill="auto"/>
            <w:vAlign w:val="center"/>
            <w:hideMark/>
          </w:tcPr>
          <w:p w14:paraId="6480F5D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8.943</w:t>
            </w:r>
          </w:p>
        </w:tc>
        <w:tc>
          <w:tcPr>
            <w:tcW w:w="1640" w:type="dxa"/>
            <w:shd w:val="clear" w:color="auto" w:fill="auto"/>
            <w:noWrap/>
            <w:vAlign w:val="center"/>
            <w:hideMark/>
          </w:tcPr>
          <w:p w14:paraId="4263D56E"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25.988.495</w:t>
            </w:r>
          </w:p>
        </w:tc>
        <w:tc>
          <w:tcPr>
            <w:tcW w:w="1253" w:type="dxa"/>
            <w:shd w:val="clear" w:color="auto" w:fill="auto"/>
            <w:vAlign w:val="center"/>
            <w:hideMark/>
          </w:tcPr>
          <w:p w14:paraId="0AFFA9C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135.651.879</w:t>
            </w:r>
          </w:p>
        </w:tc>
        <w:tc>
          <w:tcPr>
            <w:tcW w:w="1320" w:type="dxa"/>
            <w:shd w:val="clear" w:color="auto" w:fill="auto"/>
            <w:vAlign w:val="center"/>
            <w:hideMark/>
          </w:tcPr>
          <w:p w14:paraId="0D207EA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161.640.374</w:t>
            </w:r>
          </w:p>
        </w:tc>
        <w:tc>
          <w:tcPr>
            <w:tcW w:w="1500" w:type="dxa"/>
            <w:shd w:val="clear" w:color="auto" w:fill="auto"/>
            <w:noWrap/>
            <w:vAlign w:val="center"/>
            <w:hideMark/>
          </w:tcPr>
          <w:p w14:paraId="32A773DB"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1.367.081.315</w:t>
            </w:r>
          </w:p>
        </w:tc>
      </w:tr>
      <w:tr w:rsidR="00F04D87" w:rsidRPr="00D83239" w14:paraId="0D27AD22" w14:textId="77777777" w:rsidTr="00A54C1A">
        <w:trPr>
          <w:trHeight w:val="300"/>
        </w:trPr>
        <w:tc>
          <w:tcPr>
            <w:tcW w:w="1120" w:type="dxa"/>
            <w:shd w:val="clear" w:color="auto" w:fill="auto"/>
            <w:vAlign w:val="bottom"/>
            <w:hideMark/>
          </w:tcPr>
          <w:p w14:paraId="7472A4DA"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2019</w:t>
            </w:r>
          </w:p>
        </w:tc>
        <w:tc>
          <w:tcPr>
            <w:tcW w:w="1087" w:type="dxa"/>
            <w:shd w:val="clear" w:color="auto" w:fill="auto"/>
            <w:vAlign w:val="center"/>
            <w:hideMark/>
          </w:tcPr>
          <w:p w14:paraId="6D2B4311"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8.891</w:t>
            </w:r>
          </w:p>
        </w:tc>
        <w:tc>
          <w:tcPr>
            <w:tcW w:w="1640" w:type="dxa"/>
            <w:shd w:val="clear" w:color="auto" w:fill="auto"/>
            <w:noWrap/>
            <w:vAlign w:val="center"/>
            <w:hideMark/>
          </w:tcPr>
          <w:p w14:paraId="2FB8D76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28.884.932</w:t>
            </w:r>
          </w:p>
        </w:tc>
        <w:tc>
          <w:tcPr>
            <w:tcW w:w="1253" w:type="dxa"/>
            <w:shd w:val="clear" w:color="auto" w:fill="auto"/>
            <w:vAlign w:val="center"/>
            <w:hideMark/>
          </w:tcPr>
          <w:p w14:paraId="612BE6A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182.957.481</w:t>
            </w:r>
          </w:p>
        </w:tc>
        <w:tc>
          <w:tcPr>
            <w:tcW w:w="1320" w:type="dxa"/>
            <w:shd w:val="clear" w:color="auto" w:fill="auto"/>
            <w:vAlign w:val="center"/>
            <w:hideMark/>
          </w:tcPr>
          <w:p w14:paraId="6C3D626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211.842.413</w:t>
            </w:r>
          </w:p>
        </w:tc>
        <w:tc>
          <w:tcPr>
            <w:tcW w:w="1500" w:type="dxa"/>
            <w:shd w:val="clear" w:color="auto" w:fill="auto"/>
            <w:noWrap/>
            <w:vAlign w:val="center"/>
            <w:hideMark/>
          </w:tcPr>
          <w:p w14:paraId="09F4BDF2"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1.578.923.728</w:t>
            </w:r>
          </w:p>
        </w:tc>
      </w:tr>
      <w:tr w:rsidR="00F04D87" w:rsidRPr="00D83239" w14:paraId="3718068A" w14:textId="77777777" w:rsidTr="00A54C1A">
        <w:trPr>
          <w:trHeight w:val="300"/>
        </w:trPr>
        <w:tc>
          <w:tcPr>
            <w:tcW w:w="1120" w:type="dxa"/>
            <w:shd w:val="clear" w:color="auto" w:fill="auto"/>
            <w:vAlign w:val="bottom"/>
            <w:hideMark/>
          </w:tcPr>
          <w:p w14:paraId="46299804"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2020</w:t>
            </w:r>
          </w:p>
        </w:tc>
        <w:tc>
          <w:tcPr>
            <w:tcW w:w="1087" w:type="dxa"/>
            <w:shd w:val="clear" w:color="auto" w:fill="auto"/>
            <w:vAlign w:val="center"/>
            <w:hideMark/>
          </w:tcPr>
          <w:p w14:paraId="44B9A0C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7.420</w:t>
            </w:r>
          </w:p>
        </w:tc>
        <w:tc>
          <w:tcPr>
            <w:tcW w:w="1640" w:type="dxa"/>
            <w:shd w:val="clear" w:color="auto" w:fill="auto"/>
            <w:noWrap/>
            <w:vAlign w:val="center"/>
            <w:hideMark/>
          </w:tcPr>
          <w:p w14:paraId="205AC00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29.000.201</w:t>
            </w:r>
          </w:p>
        </w:tc>
        <w:tc>
          <w:tcPr>
            <w:tcW w:w="1253" w:type="dxa"/>
            <w:shd w:val="clear" w:color="auto" w:fill="auto"/>
            <w:vAlign w:val="center"/>
            <w:hideMark/>
          </w:tcPr>
          <w:p w14:paraId="54858111"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204.080.339</w:t>
            </w:r>
          </w:p>
        </w:tc>
        <w:tc>
          <w:tcPr>
            <w:tcW w:w="1320" w:type="dxa"/>
            <w:shd w:val="clear" w:color="auto" w:fill="auto"/>
            <w:vAlign w:val="center"/>
            <w:hideMark/>
          </w:tcPr>
          <w:p w14:paraId="20B54FAE"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233.080.540</w:t>
            </w:r>
          </w:p>
        </w:tc>
        <w:tc>
          <w:tcPr>
            <w:tcW w:w="1500" w:type="dxa"/>
            <w:shd w:val="clear" w:color="auto" w:fill="auto"/>
            <w:noWrap/>
            <w:vAlign w:val="center"/>
            <w:hideMark/>
          </w:tcPr>
          <w:p w14:paraId="66BE8C44"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1.812.004.268</w:t>
            </w:r>
          </w:p>
        </w:tc>
      </w:tr>
      <w:tr w:rsidR="00F04D87" w:rsidRPr="00D83239" w14:paraId="7AB069F8" w14:textId="77777777" w:rsidTr="00A54C1A">
        <w:trPr>
          <w:trHeight w:val="300"/>
        </w:trPr>
        <w:tc>
          <w:tcPr>
            <w:tcW w:w="1120" w:type="dxa"/>
            <w:shd w:val="clear" w:color="auto" w:fill="auto"/>
            <w:noWrap/>
            <w:vAlign w:val="bottom"/>
            <w:hideMark/>
          </w:tcPr>
          <w:p w14:paraId="2FBF9CF2"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2021</w:t>
            </w:r>
          </w:p>
        </w:tc>
        <w:tc>
          <w:tcPr>
            <w:tcW w:w="1087" w:type="dxa"/>
            <w:shd w:val="clear" w:color="auto" w:fill="auto"/>
            <w:vAlign w:val="center"/>
            <w:hideMark/>
          </w:tcPr>
          <w:p w14:paraId="64F4CE52"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7.438</w:t>
            </w:r>
          </w:p>
        </w:tc>
        <w:tc>
          <w:tcPr>
            <w:tcW w:w="1640" w:type="dxa"/>
            <w:shd w:val="clear" w:color="auto" w:fill="auto"/>
            <w:noWrap/>
            <w:vAlign w:val="center"/>
            <w:hideMark/>
          </w:tcPr>
          <w:p w14:paraId="1E9C1AE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30.431.926</w:t>
            </w:r>
          </w:p>
        </w:tc>
        <w:tc>
          <w:tcPr>
            <w:tcW w:w="1253" w:type="dxa"/>
            <w:shd w:val="clear" w:color="auto" w:fill="auto"/>
            <w:noWrap/>
            <w:vAlign w:val="center"/>
            <w:hideMark/>
          </w:tcPr>
          <w:p w14:paraId="65C0ADB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132.995.059</w:t>
            </w:r>
          </w:p>
        </w:tc>
        <w:tc>
          <w:tcPr>
            <w:tcW w:w="1320" w:type="dxa"/>
            <w:shd w:val="clear" w:color="auto" w:fill="auto"/>
            <w:noWrap/>
            <w:vAlign w:val="center"/>
            <w:hideMark/>
          </w:tcPr>
          <w:p w14:paraId="2BD610B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163.426.985</w:t>
            </w:r>
          </w:p>
        </w:tc>
        <w:tc>
          <w:tcPr>
            <w:tcW w:w="1500" w:type="dxa"/>
            <w:shd w:val="clear" w:color="auto" w:fill="auto"/>
            <w:noWrap/>
            <w:vAlign w:val="center"/>
            <w:hideMark/>
          </w:tcPr>
          <w:p w14:paraId="4E4CFDC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1.975.431.253</w:t>
            </w:r>
          </w:p>
        </w:tc>
      </w:tr>
      <w:tr w:rsidR="00F04D87" w:rsidRPr="00D83239" w14:paraId="18F9594E" w14:textId="77777777" w:rsidTr="00A54C1A">
        <w:trPr>
          <w:trHeight w:val="300"/>
        </w:trPr>
        <w:tc>
          <w:tcPr>
            <w:tcW w:w="1120" w:type="dxa"/>
            <w:shd w:val="clear" w:color="auto" w:fill="auto"/>
            <w:noWrap/>
            <w:vAlign w:val="bottom"/>
            <w:hideMark/>
          </w:tcPr>
          <w:p w14:paraId="5CDE5584"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2022</w:t>
            </w:r>
          </w:p>
        </w:tc>
        <w:tc>
          <w:tcPr>
            <w:tcW w:w="1087" w:type="dxa"/>
            <w:shd w:val="clear" w:color="auto" w:fill="auto"/>
            <w:vAlign w:val="center"/>
            <w:hideMark/>
          </w:tcPr>
          <w:p w14:paraId="58837DB2"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7.009</w:t>
            </w:r>
          </w:p>
        </w:tc>
        <w:tc>
          <w:tcPr>
            <w:tcW w:w="1640" w:type="dxa"/>
            <w:shd w:val="clear" w:color="auto" w:fill="auto"/>
            <w:noWrap/>
            <w:vAlign w:val="center"/>
            <w:hideMark/>
          </w:tcPr>
          <w:p w14:paraId="477A003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25.735.303</w:t>
            </w:r>
          </w:p>
        </w:tc>
        <w:tc>
          <w:tcPr>
            <w:tcW w:w="1253" w:type="dxa"/>
            <w:shd w:val="clear" w:color="auto" w:fill="auto"/>
            <w:noWrap/>
            <w:vAlign w:val="center"/>
            <w:hideMark/>
          </w:tcPr>
          <w:p w14:paraId="2E66FCB2"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108.614.196</w:t>
            </w:r>
          </w:p>
        </w:tc>
        <w:tc>
          <w:tcPr>
            <w:tcW w:w="1320" w:type="dxa"/>
            <w:shd w:val="clear" w:color="auto" w:fill="auto"/>
            <w:noWrap/>
            <w:vAlign w:val="center"/>
            <w:hideMark/>
          </w:tcPr>
          <w:p w14:paraId="3FF913C7"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134.349.499</w:t>
            </w:r>
          </w:p>
        </w:tc>
        <w:tc>
          <w:tcPr>
            <w:tcW w:w="1500" w:type="dxa"/>
            <w:shd w:val="clear" w:color="auto" w:fill="auto"/>
            <w:noWrap/>
            <w:vAlign w:val="center"/>
            <w:hideMark/>
          </w:tcPr>
          <w:p w14:paraId="51788E5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2.109.780.752</w:t>
            </w:r>
          </w:p>
        </w:tc>
      </w:tr>
      <w:tr w:rsidR="00F04D87" w:rsidRPr="00D83239" w14:paraId="149C89C0" w14:textId="77777777" w:rsidTr="00A54C1A">
        <w:trPr>
          <w:trHeight w:val="300"/>
        </w:trPr>
        <w:tc>
          <w:tcPr>
            <w:tcW w:w="1120" w:type="dxa"/>
            <w:shd w:val="clear" w:color="000000" w:fill="FFFFFF"/>
            <w:noWrap/>
            <w:vAlign w:val="bottom"/>
            <w:hideMark/>
          </w:tcPr>
          <w:p w14:paraId="30E3B391" w14:textId="77777777" w:rsidR="00F04D87" w:rsidRPr="00D83239" w:rsidRDefault="00F04D87" w:rsidP="00D83239">
            <w:pPr>
              <w:spacing w:line="276" w:lineRule="auto"/>
              <w:jc w:val="both"/>
              <w:rPr>
                <w:rFonts w:ascii="Arial" w:eastAsia="Times New Roman" w:hAnsi="Arial" w:cs="Arial"/>
                <w:sz w:val="20"/>
                <w:szCs w:val="20"/>
              </w:rPr>
            </w:pPr>
            <w:r w:rsidRPr="00D83239">
              <w:rPr>
                <w:rFonts w:ascii="Arial" w:eastAsia="Times New Roman" w:hAnsi="Arial" w:cs="Arial"/>
                <w:sz w:val="20"/>
                <w:szCs w:val="20"/>
              </w:rPr>
              <w:t>2023</w:t>
            </w:r>
          </w:p>
        </w:tc>
        <w:tc>
          <w:tcPr>
            <w:tcW w:w="1087" w:type="dxa"/>
            <w:shd w:val="clear" w:color="000000" w:fill="FFFFFF"/>
            <w:vAlign w:val="center"/>
            <w:hideMark/>
          </w:tcPr>
          <w:p w14:paraId="2A6C9E4A"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7.104</w:t>
            </w:r>
          </w:p>
        </w:tc>
        <w:tc>
          <w:tcPr>
            <w:tcW w:w="1640" w:type="dxa"/>
            <w:shd w:val="clear" w:color="000000" w:fill="FFFFFF"/>
            <w:noWrap/>
            <w:vAlign w:val="center"/>
            <w:hideMark/>
          </w:tcPr>
          <w:p w14:paraId="240143D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45.718.332</w:t>
            </w:r>
          </w:p>
        </w:tc>
        <w:tc>
          <w:tcPr>
            <w:tcW w:w="1253" w:type="dxa"/>
            <w:shd w:val="clear" w:color="000000" w:fill="FFFFFF"/>
            <w:noWrap/>
            <w:vAlign w:val="center"/>
            <w:hideMark/>
          </w:tcPr>
          <w:p w14:paraId="5F94697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113.223.413</w:t>
            </w:r>
          </w:p>
        </w:tc>
        <w:tc>
          <w:tcPr>
            <w:tcW w:w="1320" w:type="dxa"/>
            <w:shd w:val="clear" w:color="000000" w:fill="FFFFFF"/>
            <w:noWrap/>
            <w:vAlign w:val="center"/>
            <w:hideMark/>
          </w:tcPr>
          <w:p w14:paraId="5B9EFCAE"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158.958.401</w:t>
            </w:r>
          </w:p>
        </w:tc>
        <w:tc>
          <w:tcPr>
            <w:tcW w:w="1500" w:type="dxa"/>
            <w:shd w:val="clear" w:color="auto" w:fill="auto"/>
            <w:noWrap/>
            <w:vAlign w:val="center"/>
            <w:hideMark/>
          </w:tcPr>
          <w:p w14:paraId="7D50821D"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2.268.739.153</w:t>
            </w:r>
          </w:p>
        </w:tc>
      </w:tr>
      <w:tr w:rsidR="00F04D87" w:rsidRPr="00D83239" w14:paraId="4B4C3B4B" w14:textId="77777777" w:rsidTr="00A54C1A">
        <w:trPr>
          <w:trHeight w:val="300"/>
        </w:trPr>
        <w:tc>
          <w:tcPr>
            <w:tcW w:w="1120" w:type="dxa"/>
            <w:shd w:val="clear" w:color="000000" w:fill="FFFFFF"/>
            <w:noWrap/>
            <w:vAlign w:val="bottom"/>
            <w:hideMark/>
          </w:tcPr>
          <w:p w14:paraId="545D3DED" w14:textId="77777777" w:rsidR="00F04D87" w:rsidRPr="00D83239" w:rsidRDefault="00F04D87" w:rsidP="00D83239">
            <w:pPr>
              <w:spacing w:line="276" w:lineRule="auto"/>
              <w:jc w:val="both"/>
              <w:rPr>
                <w:rFonts w:ascii="Arial" w:eastAsia="Times New Roman" w:hAnsi="Arial" w:cs="Arial"/>
                <w:bCs/>
                <w:sz w:val="20"/>
                <w:szCs w:val="20"/>
              </w:rPr>
            </w:pPr>
            <w:r w:rsidRPr="00D83239">
              <w:rPr>
                <w:rFonts w:ascii="Arial" w:eastAsia="Times New Roman" w:hAnsi="Arial" w:cs="Arial"/>
                <w:bCs/>
                <w:sz w:val="20"/>
                <w:szCs w:val="20"/>
              </w:rPr>
              <w:t>2024</w:t>
            </w:r>
          </w:p>
        </w:tc>
        <w:tc>
          <w:tcPr>
            <w:tcW w:w="1087" w:type="dxa"/>
            <w:shd w:val="clear" w:color="000000" w:fill="FFFFFF"/>
            <w:vAlign w:val="center"/>
            <w:hideMark/>
          </w:tcPr>
          <w:p w14:paraId="181D8943"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7.616</w:t>
            </w:r>
          </w:p>
        </w:tc>
        <w:tc>
          <w:tcPr>
            <w:tcW w:w="1640" w:type="dxa"/>
            <w:shd w:val="clear" w:color="000000" w:fill="FFFFFF"/>
            <w:noWrap/>
            <w:vAlign w:val="center"/>
            <w:hideMark/>
          </w:tcPr>
          <w:p w14:paraId="402792DA"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50.454.189</w:t>
            </w:r>
          </w:p>
        </w:tc>
        <w:tc>
          <w:tcPr>
            <w:tcW w:w="1253" w:type="dxa"/>
            <w:shd w:val="clear" w:color="000000" w:fill="FFFFFF"/>
            <w:noWrap/>
            <w:vAlign w:val="center"/>
            <w:hideMark/>
          </w:tcPr>
          <w:p w14:paraId="493981EC"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143.273.834</w:t>
            </w:r>
          </w:p>
        </w:tc>
        <w:tc>
          <w:tcPr>
            <w:tcW w:w="1320" w:type="dxa"/>
            <w:shd w:val="clear" w:color="000000" w:fill="FFFFFF"/>
            <w:noWrap/>
            <w:vAlign w:val="center"/>
            <w:hideMark/>
          </w:tcPr>
          <w:p w14:paraId="3E3A1493"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193.746.560</w:t>
            </w:r>
          </w:p>
        </w:tc>
        <w:tc>
          <w:tcPr>
            <w:tcW w:w="1500" w:type="dxa"/>
            <w:shd w:val="clear" w:color="auto" w:fill="auto"/>
            <w:noWrap/>
            <w:vAlign w:val="center"/>
            <w:hideMark/>
          </w:tcPr>
          <w:p w14:paraId="55341D13"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2.462.485.713</w:t>
            </w:r>
          </w:p>
        </w:tc>
      </w:tr>
      <w:tr w:rsidR="00F04D87" w:rsidRPr="00D83239" w14:paraId="0D21B2C1" w14:textId="77777777" w:rsidTr="00A54C1A">
        <w:trPr>
          <w:trHeight w:val="300"/>
        </w:trPr>
        <w:tc>
          <w:tcPr>
            <w:tcW w:w="1120" w:type="dxa"/>
            <w:shd w:val="clear" w:color="000000" w:fill="FFFFFF"/>
            <w:noWrap/>
            <w:vAlign w:val="bottom"/>
            <w:hideMark/>
          </w:tcPr>
          <w:p w14:paraId="468B7A79" w14:textId="77777777" w:rsidR="00F04D87" w:rsidRPr="00D83239" w:rsidRDefault="00F04D87" w:rsidP="00D83239">
            <w:pPr>
              <w:spacing w:line="276" w:lineRule="auto"/>
              <w:jc w:val="both"/>
              <w:rPr>
                <w:rFonts w:ascii="Arial" w:eastAsia="Times New Roman" w:hAnsi="Arial" w:cs="Arial"/>
                <w:b/>
                <w:sz w:val="20"/>
                <w:szCs w:val="20"/>
              </w:rPr>
            </w:pPr>
            <w:r w:rsidRPr="00D83239">
              <w:rPr>
                <w:rFonts w:ascii="Arial" w:eastAsia="Times New Roman" w:hAnsi="Arial" w:cs="Arial"/>
                <w:b/>
                <w:sz w:val="20"/>
                <w:szCs w:val="20"/>
              </w:rPr>
              <w:t>2025</w:t>
            </w:r>
          </w:p>
        </w:tc>
        <w:tc>
          <w:tcPr>
            <w:tcW w:w="1087" w:type="dxa"/>
            <w:shd w:val="clear" w:color="000000" w:fill="FFFFFF"/>
            <w:vAlign w:val="center"/>
          </w:tcPr>
          <w:p w14:paraId="6FE63FB5"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7.571</w:t>
            </w:r>
          </w:p>
        </w:tc>
        <w:tc>
          <w:tcPr>
            <w:tcW w:w="1640" w:type="dxa"/>
            <w:shd w:val="clear" w:color="000000" w:fill="FFFFFF"/>
            <w:noWrap/>
            <w:vAlign w:val="center"/>
          </w:tcPr>
          <w:p w14:paraId="6F26F51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36.387.326</w:t>
            </w:r>
          </w:p>
        </w:tc>
        <w:tc>
          <w:tcPr>
            <w:tcW w:w="1253" w:type="dxa"/>
            <w:shd w:val="clear" w:color="000000" w:fill="FFFFFF"/>
            <w:noWrap/>
            <w:vAlign w:val="center"/>
          </w:tcPr>
          <w:p w14:paraId="44957AC0"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162.574.422</w:t>
            </w:r>
          </w:p>
        </w:tc>
        <w:tc>
          <w:tcPr>
            <w:tcW w:w="1320" w:type="dxa"/>
            <w:shd w:val="clear" w:color="000000" w:fill="FFFFFF"/>
            <w:noWrap/>
            <w:vAlign w:val="center"/>
          </w:tcPr>
          <w:p w14:paraId="3592FA48"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198.980.194</w:t>
            </w:r>
          </w:p>
        </w:tc>
        <w:tc>
          <w:tcPr>
            <w:tcW w:w="1500" w:type="dxa"/>
            <w:shd w:val="clear" w:color="auto" w:fill="auto"/>
            <w:noWrap/>
            <w:vAlign w:val="center"/>
          </w:tcPr>
          <w:p w14:paraId="62987086" w14:textId="77777777" w:rsidR="00F04D87" w:rsidRPr="00D83239" w:rsidRDefault="00F04D87" w:rsidP="00A54C1A">
            <w:pPr>
              <w:spacing w:line="276" w:lineRule="auto"/>
              <w:jc w:val="right"/>
              <w:rPr>
                <w:rFonts w:ascii="Arial" w:eastAsia="Times New Roman" w:hAnsi="Arial" w:cs="Arial"/>
                <w:sz w:val="20"/>
                <w:szCs w:val="20"/>
              </w:rPr>
            </w:pPr>
            <w:r w:rsidRPr="00D83239">
              <w:rPr>
                <w:rFonts w:ascii="Arial" w:eastAsia="Times New Roman" w:hAnsi="Arial" w:cs="Arial"/>
                <w:sz w:val="20"/>
                <w:szCs w:val="20"/>
              </w:rPr>
              <w:t>2.661.466.153</w:t>
            </w:r>
          </w:p>
        </w:tc>
      </w:tr>
    </w:tbl>
    <w:p w14:paraId="2E98485C" w14:textId="77777777" w:rsidR="00A54C1A" w:rsidRDefault="00A54C1A" w:rsidP="00D83239">
      <w:pPr>
        <w:autoSpaceDE w:val="0"/>
        <w:autoSpaceDN w:val="0"/>
        <w:adjustRightInd w:val="0"/>
        <w:spacing w:after="0" w:line="276" w:lineRule="auto"/>
        <w:jc w:val="both"/>
        <w:rPr>
          <w:rFonts w:ascii="Arial" w:hAnsi="Arial" w:cs="Arial"/>
          <w:b/>
          <w:bCs/>
          <w:iCs/>
          <w:sz w:val="20"/>
          <w:szCs w:val="20"/>
          <w:lang w:eastAsia="sl-SI"/>
        </w:rPr>
      </w:pPr>
    </w:p>
    <w:p w14:paraId="23C0E2C8" w14:textId="23632BE9" w:rsidR="00F04D87" w:rsidRPr="007C4616" w:rsidRDefault="00F04D87" w:rsidP="00D83239">
      <w:pPr>
        <w:autoSpaceDE w:val="0"/>
        <w:autoSpaceDN w:val="0"/>
        <w:adjustRightInd w:val="0"/>
        <w:spacing w:after="0" w:line="276" w:lineRule="auto"/>
        <w:jc w:val="both"/>
        <w:rPr>
          <w:rFonts w:ascii="Arial" w:hAnsi="Arial" w:cs="Arial"/>
          <w:bCs/>
          <w:iCs/>
          <w:sz w:val="20"/>
          <w:szCs w:val="20"/>
          <w:lang w:eastAsia="sl-SI"/>
        </w:rPr>
      </w:pPr>
      <w:r w:rsidRPr="00D83239">
        <w:rPr>
          <w:rFonts w:ascii="Arial" w:hAnsi="Arial" w:cs="Arial"/>
          <w:b/>
          <w:bCs/>
          <w:iCs/>
          <w:sz w:val="20"/>
          <w:szCs w:val="20"/>
          <w:lang w:eastAsia="sl-SI"/>
        </w:rPr>
        <w:t>Preglednica</w:t>
      </w:r>
      <w:r w:rsidRPr="001004C7">
        <w:rPr>
          <w:rFonts w:ascii="Arial" w:hAnsi="Arial" w:cs="Arial"/>
          <w:bCs/>
          <w:iCs/>
          <w:sz w:val="20"/>
          <w:szCs w:val="20"/>
          <w:lang w:eastAsia="sl-SI"/>
        </w:rPr>
        <w:t>:</w:t>
      </w:r>
      <w:r w:rsidRPr="00D83239">
        <w:rPr>
          <w:rFonts w:ascii="Arial" w:hAnsi="Arial" w:cs="Arial"/>
          <w:bCs/>
          <w:iCs/>
          <w:sz w:val="20"/>
          <w:szCs w:val="20"/>
          <w:lang w:eastAsia="sl-SI"/>
        </w:rPr>
        <w:t xml:space="preserve"> Število poslanih podatkov iz CRP v letih</w:t>
      </w:r>
    </w:p>
    <w:p w14:paraId="7F917C01" w14:textId="6B99FDF1" w:rsidR="00090839" w:rsidRPr="00D83239" w:rsidRDefault="00090839" w:rsidP="00D83239">
      <w:pPr>
        <w:autoSpaceDE w:val="0"/>
        <w:autoSpaceDN w:val="0"/>
        <w:adjustRightInd w:val="0"/>
        <w:spacing w:after="0" w:line="276" w:lineRule="auto"/>
        <w:jc w:val="both"/>
        <w:rPr>
          <w:rFonts w:ascii="Arial" w:hAnsi="Arial" w:cs="Arial"/>
          <w:sz w:val="20"/>
          <w:szCs w:val="20"/>
          <w:highlight w:val="yellow"/>
          <w:lang w:eastAsia="sl-SI"/>
        </w:rPr>
      </w:pPr>
    </w:p>
    <w:p w14:paraId="23EA34A9" w14:textId="0D0CC7C1" w:rsidR="00E2146B" w:rsidRPr="00D83239" w:rsidRDefault="003C5D73" w:rsidP="00FE543C">
      <w:pPr>
        <w:pStyle w:val="Naslov3"/>
        <w:numPr>
          <w:ilvl w:val="2"/>
          <w:numId w:val="22"/>
        </w:numPr>
        <w:tabs>
          <w:tab w:val="clear" w:pos="567"/>
          <w:tab w:val="left" w:pos="0"/>
        </w:tabs>
        <w:spacing w:line="276" w:lineRule="auto"/>
        <w:jc w:val="both"/>
        <w:rPr>
          <w:rFonts w:cs="Arial"/>
          <w:sz w:val="20"/>
          <w:szCs w:val="20"/>
        </w:rPr>
      </w:pPr>
      <w:bookmarkStart w:id="88" w:name="_Toc225499826"/>
      <w:r w:rsidRPr="00D83239">
        <w:rPr>
          <w:rFonts w:cs="Arial"/>
          <w:sz w:val="20"/>
          <w:szCs w:val="20"/>
        </w:rPr>
        <w:t>Novosti na področju identifikacijskih dokumentov</w:t>
      </w:r>
      <w:bookmarkEnd w:id="88"/>
    </w:p>
    <w:p w14:paraId="2EA06DF4" w14:textId="77777777" w:rsidR="00EC030E" w:rsidRPr="00D83239" w:rsidRDefault="00EC030E" w:rsidP="00D83239">
      <w:pPr>
        <w:spacing w:after="0" w:line="276" w:lineRule="auto"/>
        <w:jc w:val="both"/>
        <w:rPr>
          <w:rFonts w:ascii="Arial" w:hAnsi="Arial" w:cs="Arial"/>
          <w:sz w:val="20"/>
          <w:szCs w:val="20"/>
          <w:highlight w:val="yellow"/>
          <w:lang w:eastAsia="sl-SI"/>
        </w:rPr>
      </w:pPr>
    </w:p>
    <w:p w14:paraId="09168782" w14:textId="4F18CF23" w:rsidR="003C5D73" w:rsidRPr="00D83239" w:rsidRDefault="00712610" w:rsidP="00D83239">
      <w:pPr>
        <w:spacing w:after="0" w:line="276" w:lineRule="auto"/>
        <w:jc w:val="both"/>
        <w:rPr>
          <w:rFonts w:ascii="Arial" w:hAnsi="Arial" w:cs="Arial"/>
          <w:sz w:val="20"/>
          <w:szCs w:val="20"/>
        </w:rPr>
      </w:pPr>
      <w:r>
        <w:rPr>
          <w:rFonts w:ascii="Arial" w:hAnsi="Arial" w:cs="Arial"/>
          <w:bCs/>
          <w:iCs/>
          <w:sz w:val="20"/>
          <w:szCs w:val="20"/>
          <w:lang w:eastAsia="sl-SI"/>
        </w:rPr>
        <w:t xml:space="preserve">Uveden </w:t>
      </w:r>
      <w:r w:rsidR="007C4616">
        <w:rPr>
          <w:rFonts w:ascii="Arial" w:hAnsi="Arial" w:cs="Arial"/>
          <w:bCs/>
          <w:iCs/>
          <w:sz w:val="20"/>
          <w:szCs w:val="20"/>
          <w:lang w:eastAsia="sl-SI"/>
        </w:rPr>
        <w:t xml:space="preserve">je bil </w:t>
      </w:r>
      <w:r w:rsidR="003C5D73" w:rsidRPr="00D83239">
        <w:rPr>
          <w:rFonts w:ascii="Arial" w:hAnsi="Arial" w:cs="Arial"/>
          <w:bCs/>
          <w:iCs/>
          <w:sz w:val="20"/>
          <w:szCs w:val="20"/>
          <w:lang w:eastAsia="sl-SI"/>
        </w:rPr>
        <w:t>pr</w:t>
      </w:r>
      <w:r w:rsidR="003C5D73" w:rsidRPr="00D83239">
        <w:rPr>
          <w:rFonts w:ascii="Arial" w:hAnsi="Arial" w:cs="Arial"/>
          <w:bCs/>
          <w:sz w:val="20"/>
          <w:szCs w:val="20"/>
        </w:rPr>
        <w:t xml:space="preserve">vi sklop novosti </w:t>
      </w:r>
      <w:r w:rsidR="00E52011">
        <w:rPr>
          <w:rFonts w:ascii="Arial" w:hAnsi="Arial" w:cs="Arial"/>
          <w:bCs/>
          <w:sz w:val="20"/>
          <w:szCs w:val="20"/>
        </w:rPr>
        <w:t xml:space="preserve">iz </w:t>
      </w:r>
      <w:r w:rsidR="003C5D73" w:rsidRPr="00D83239">
        <w:rPr>
          <w:rFonts w:ascii="Arial" w:hAnsi="Arial" w:cs="Arial"/>
          <w:bCs/>
          <w:sz w:val="20"/>
          <w:szCs w:val="20"/>
        </w:rPr>
        <w:t>novega Zakona o pot</w:t>
      </w:r>
      <w:r>
        <w:rPr>
          <w:rFonts w:ascii="Arial" w:hAnsi="Arial" w:cs="Arial"/>
          <w:bCs/>
          <w:sz w:val="20"/>
          <w:szCs w:val="20"/>
        </w:rPr>
        <w:t>n</w:t>
      </w:r>
      <w:r w:rsidR="003C5D73" w:rsidRPr="00D83239">
        <w:rPr>
          <w:rFonts w:ascii="Arial" w:hAnsi="Arial" w:cs="Arial"/>
          <w:bCs/>
          <w:sz w:val="20"/>
          <w:szCs w:val="20"/>
        </w:rPr>
        <w:t xml:space="preserve">ih listinah </w:t>
      </w:r>
      <w:r>
        <w:rPr>
          <w:rFonts w:ascii="Arial" w:hAnsi="Arial" w:cs="Arial"/>
          <w:bCs/>
          <w:sz w:val="20"/>
          <w:szCs w:val="20"/>
        </w:rPr>
        <w:t>ter</w:t>
      </w:r>
      <w:r w:rsidRPr="00D83239">
        <w:rPr>
          <w:rFonts w:ascii="Arial" w:hAnsi="Arial" w:cs="Arial"/>
          <w:bCs/>
          <w:sz w:val="20"/>
          <w:szCs w:val="20"/>
        </w:rPr>
        <w:t xml:space="preserve"> </w:t>
      </w:r>
      <w:r w:rsidR="003C5D73" w:rsidRPr="00D83239">
        <w:rPr>
          <w:rFonts w:ascii="Arial" w:hAnsi="Arial" w:cs="Arial"/>
          <w:bCs/>
          <w:sz w:val="20"/>
          <w:szCs w:val="20"/>
        </w:rPr>
        <w:t>Zakona o spremembah in dopolnitvah Zakona o osebni izkaznici, ki so se začele uporabljati 2. 10. 2025. Od takrat lahko d</w:t>
      </w:r>
      <w:r w:rsidR="0031492F">
        <w:rPr>
          <w:rFonts w:ascii="Arial" w:hAnsi="Arial" w:cs="Arial"/>
          <w:sz w:val="20"/>
          <w:szCs w:val="20"/>
        </w:rPr>
        <w:t xml:space="preserve">ržavljan na svoj elektronski naslov </w:t>
      </w:r>
      <w:r w:rsidR="003C5D73" w:rsidRPr="00D83239">
        <w:rPr>
          <w:rFonts w:ascii="Arial" w:hAnsi="Arial" w:cs="Arial"/>
          <w:sz w:val="20"/>
          <w:szCs w:val="20"/>
        </w:rPr>
        <w:t xml:space="preserve">prejme obvestilo o tem, da sta njegov potni list oziroma osebna izkaznica narejena in predana na pošto, državljan, ki stalno prebiva v tujini, se lahko ob </w:t>
      </w:r>
      <w:r w:rsidR="00E52011">
        <w:rPr>
          <w:rFonts w:ascii="Arial" w:hAnsi="Arial" w:cs="Arial"/>
          <w:sz w:val="20"/>
          <w:szCs w:val="20"/>
        </w:rPr>
        <w:t xml:space="preserve">vložitvi </w:t>
      </w:r>
      <w:r w:rsidR="003C5D73" w:rsidRPr="00D83239">
        <w:rPr>
          <w:rFonts w:ascii="Arial" w:hAnsi="Arial" w:cs="Arial"/>
          <w:sz w:val="20"/>
          <w:szCs w:val="20"/>
        </w:rPr>
        <w:t>vlog</w:t>
      </w:r>
      <w:r w:rsidR="00E52011">
        <w:rPr>
          <w:rFonts w:ascii="Arial" w:hAnsi="Arial" w:cs="Arial"/>
          <w:sz w:val="20"/>
          <w:szCs w:val="20"/>
        </w:rPr>
        <w:t>e</w:t>
      </w:r>
      <w:r w:rsidR="003C5D73" w:rsidRPr="00D83239">
        <w:rPr>
          <w:rFonts w:ascii="Arial" w:hAnsi="Arial" w:cs="Arial"/>
          <w:sz w:val="20"/>
          <w:szCs w:val="20"/>
        </w:rPr>
        <w:t xml:space="preserve"> odloči, da v svojem potnem listu ne želi vpisanega naslova prebivališča, kar mu olajša življenj</w:t>
      </w:r>
      <w:r w:rsidR="007C4616">
        <w:rPr>
          <w:rFonts w:ascii="Arial" w:hAnsi="Arial" w:cs="Arial"/>
          <w:sz w:val="20"/>
          <w:szCs w:val="20"/>
        </w:rPr>
        <w:t>e</w:t>
      </w:r>
      <w:r w:rsidR="003C5D73" w:rsidRPr="00D83239">
        <w:rPr>
          <w:rFonts w:ascii="Arial" w:hAnsi="Arial" w:cs="Arial"/>
          <w:sz w:val="20"/>
          <w:szCs w:val="20"/>
        </w:rPr>
        <w:t xml:space="preserve"> v tujini v primeru selitev, v strukturo naslova potnega lista pa sta dodana pošta in poštna številka. </w:t>
      </w:r>
      <w:r w:rsidR="003C5D73" w:rsidRPr="00D83239">
        <w:rPr>
          <w:rFonts w:ascii="Arial" w:hAnsi="Arial" w:cs="Arial"/>
          <w:bCs/>
          <w:sz w:val="20"/>
          <w:szCs w:val="20"/>
        </w:rPr>
        <w:t xml:space="preserve">2. 10. 2025 je </w:t>
      </w:r>
      <w:r>
        <w:rPr>
          <w:rFonts w:ascii="Arial" w:hAnsi="Arial" w:cs="Arial"/>
          <w:bCs/>
          <w:sz w:val="20"/>
          <w:szCs w:val="20"/>
        </w:rPr>
        <w:t>za</w:t>
      </w:r>
      <w:r w:rsidR="003C5D73" w:rsidRPr="00D83239">
        <w:rPr>
          <w:rFonts w:ascii="Arial" w:hAnsi="Arial" w:cs="Arial"/>
          <w:bCs/>
          <w:sz w:val="20"/>
          <w:szCs w:val="20"/>
        </w:rPr>
        <w:t xml:space="preserve">čel veljati </w:t>
      </w:r>
      <w:r w:rsidR="003C5D73" w:rsidRPr="00D83239">
        <w:rPr>
          <w:rFonts w:ascii="Arial" w:hAnsi="Arial" w:cs="Arial"/>
          <w:sz w:val="20"/>
          <w:szCs w:val="20"/>
        </w:rPr>
        <w:t xml:space="preserve">Pravilnik o spremembah in dopolnitvah Pravilnika o izvrševanju Zakona o osebni izkaznici, na podlagi katerega so se </w:t>
      </w:r>
      <w:r>
        <w:rPr>
          <w:rFonts w:ascii="Arial" w:hAnsi="Arial" w:cs="Arial"/>
          <w:sz w:val="20"/>
          <w:szCs w:val="20"/>
        </w:rPr>
        <w:t>s</w:t>
      </w:r>
      <w:r w:rsidR="003C5D73" w:rsidRPr="00D83239">
        <w:rPr>
          <w:rFonts w:ascii="Arial" w:hAnsi="Arial" w:cs="Arial"/>
          <w:sz w:val="20"/>
          <w:szCs w:val="20"/>
        </w:rPr>
        <w:t xml:space="preserve"> 1. 1. 2026 </w:t>
      </w:r>
      <w:r>
        <w:rPr>
          <w:rFonts w:ascii="Arial" w:hAnsi="Arial" w:cs="Arial"/>
          <w:sz w:val="20"/>
          <w:szCs w:val="20"/>
        </w:rPr>
        <w:t>za</w:t>
      </w:r>
      <w:r w:rsidR="003C5D73" w:rsidRPr="00D83239">
        <w:rPr>
          <w:rFonts w:ascii="Arial" w:hAnsi="Arial" w:cs="Arial"/>
          <w:sz w:val="20"/>
          <w:szCs w:val="20"/>
        </w:rPr>
        <w:t xml:space="preserve">čele izdajati dvojezične osebne izkaznice s spremenjeno oblikovno rešitvijo </w:t>
      </w:r>
      <w:r>
        <w:rPr>
          <w:rFonts w:ascii="Arial" w:hAnsi="Arial" w:cs="Arial"/>
          <w:sz w:val="20"/>
          <w:szCs w:val="20"/>
        </w:rPr>
        <w:t>–</w:t>
      </w:r>
      <w:r w:rsidRPr="00D83239">
        <w:rPr>
          <w:rFonts w:ascii="Arial" w:hAnsi="Arial" w:cs="Arial"/>
          <w:sz w:val="20"/>
          <w:szCs w:val="20"/>
        </w:rPr>
        <w:t xml:space="preserve"> </w:t>
      </w:r>
      <w:r w:rsidR="003C5D73" w:rsidRPr="00D83239">
        <w:rPr>
          <w:rFonts w:ascii="Arial" w:hAnsi="Arial" w:cs="Arial"/>
          <w:sz w:val="20"/>
          <w:szCs w:val="20"/>
        </w:rPr>
        <w:t xml:space="preserve">zapisi v italijanskem in madžarskem jeziku so poenoteni z zapisi v slovenskem jeziku </w:t>
      </w:r>
      <w:r>
        <w:rPr>
          <w:rFonts w:ascii="Arial" w:hAnsi="Arial" w:cs="Arial"/>
          <w:sz w:val="20"/>
          <w:szCs w:val="20"/>
        </w:rPr>
        <w:t>ter</w:t>
      </w:r>
      <w:r w:rsidRPr="00D83239">
        <w:rPr>
          <w:rFonts w:ascii="Arial" w:hAnsi="Arial" w:cs="Arial"/>
          <w:sz w:val="20"/>
          <w:szCs w:val="20"/>
        </w:rPr>
        <w:t xml:space="preserve"> </w:t>
      </w:r>
      <w:r w:rsidR="003C5D73" w:rsidRPr="00D83239">
        <w:rPr>
          <w:rFonts w:ascii="Arial" w:hAnsi="Arial" w:cs="Arial"/>
          <w:sz w:val="20"/>
          <w:szCs w:val="20"/>
        </w:rPr>
        <w:t xml:space="preserve">umeščeni takoj za slovenskimi zapisi. </w:t>
      </w:r>
      <w:r>
        <w:rPr>
          <w:rFonts w:ascii="Arial" w:hAnsi="Arial" w:cs="Arial"/>
          <w:sz w:val="20"/>
          <w:szCs w:val="20"/>
        </w:rPr>
        <w:t>Za</w:t>
      </w:r>
      <w:r w:rsidR="003C5D73" w:rsidRPr="00D83239">
        <w:rPr>
          <w:rFonts w:ascii="Arial" w:hAnsi="Arial" w:cs="Arial"/>
          <w:sz w:val="20"/>
          <w:szCs w:val="20"/>
        </w:rPr>
        <w:t>čel</w:t>
      </w:r>
      <w:r>
        <w:rPr>
          <w:rFonts w:ascii="Arial" w:hAnsi="Arial" w:cs="Arial"/>
          <w:sz w:val="20"/>
          <w:szCs w:val="20"/>
        </w:rPr>
        <w:t>a</w:t>
      </w:r>
      <w:r w:rsidR="003C5D73" w:rsidRPr="00D83239">
        <w:rPr>
          <w:rFonts w:ascii="Arial" w:hAnsi="Arial" w:cs="Arial"/>
          <w:sz w:val="20"/>
          <w:szCs w:val="20"/>
        </w:rPr>
        <w:t xml:space="preserve"> se </w:t>
      </w:r>
      <w:r>
        <w:rPr>
          <w:rFonts w:ascii="Arial" w:hAnsi="Arial" w:cs="Arial"/>
          <w:sz w:val="20"/>
          <w:szCs w:val="20"/>
        </w:rPr>
        <w:t xml:space="preserve">je </w:t>
      </w:r>
      <w:r w:rsidR="003C5D73" w:rsidRPr="00D83239">
        <w:rPr>
          <w:rFonts w:ascii="Arial" w:hAnsi="Arial" w:cs="Arial"/>
          <w:bCs/>
          <w:sz w:val="20"/>
          <w:szCs w:val="20"/>
        </w:rPr>
        <w:t>priprav</w:t>
      </w:r>
      <w:r>
        <w:rPr>
          <w:rFonts w:ascii="Arial" w:hAnsi="Arial" w:cs="Arial"/>
          <w:bCs/>
          <w:sz w:val="20"/>
          <w:szCs w:val="20"/>
        </w:rPr>
        <w:t>a</w:t>
      </w:r>
      <w:r w:rsidR="003C5D73" w:rsidRPr="00D83239">
        <w:rPr>
          <w:rFonts w:ascii="Arial" w:hAnsi="Arial" w:cs="Arial"/>
          <w:bCs/>
          <w:sz w:val="20"/>
          <w:szCs w:val="20"/>
        </w:rPr>
        <w:t xml:space="preserve"> nove serije potnih listin</w:t>
      </w:r>
      <w:r w:rsidR="00716F34" w:rsidRPr="00D83239">
        <w:rPr>
          <w:rFonts w:ascii="Arial" w:hAnsi="Arial" w:cs="Arial"/>
          <w:sz w:val="20"/>
          <w:szCs w:val="20"/>
        </w:rPr>
        <w:t xml:space="preserve">.  </w:t>
      </w:r>
    </w:p>
    <w:p w14:paraId="6490A43C" w14:textId="65DF422B" w:rsidR="00E2146B" w:rsidRPr="00D83239" w:rsidRDefault="00E2146B" w:rsidP="00D83239">
      <w:pPr>
        <w:pStyle w:val="Brezrazmikov"/>
        <w:spacing w:line="276" w:lineRule="auto"/>
        <w:jc w:val="both"/>
        <w:rPr>
          <w:rFonts w:ascii="Arial" w:hAnsi="Arial" w:cs="Arial"/>
          <w:bCs/>
          <w:sz w:val="20"/>
          <w:szCs w:val="20"/>
          <w:highlight w:val="yellow"/>
        </w:rPr>
      </w:pPr>
    </w:p>
    <w:p w14:paraId="1BF982A4" w14:textId="179812D9" w:rsidR="00E2146B" w:rsidRPr="00D83239" w:rsidRDefault="003C5D73" w:rsidP="00FE543C">
      <w:pPr>
        <w:pStyle w:val="Naslov3"/>
        <w:numPr>
          <w:ilvl w:val="2"/>
          <w:numId w:val="22"/>
        </w:numPr>
        <w:tabs>
          <w:tab w:val="clear" w:pos="567"/>
          <w:tab w:val="left" w:pos="0"/>
        </w:tabs>
        <w:spacing w:line="276" w:lineRule="auto"/>
        <w:jc w:val="both"/>
        <w:rPr>
          <w:rFonts w:cs="Arial"/>
          <w:sz w:val="20"/>
          <w:szCs w:val="20"/>
        </w:rPr>
      </w:pPr>
      <w:bookmarkStart w:id="89" w:name="_Toc225499827"/>
      <w:r w:rsidRPr="00D83239">
        <w:rPr>
          <w:rFonts w:cs="Arial"/>
          <w:sz w:val="20"/>
          <w:szCs w:val="20"/>
        </w:rPr>
        <w:t>Širitev uporabe elektronske prijave in odjave prebivališč</w:t>
      </w:r>
      <w:bookmarkEnd w:id="89"/>
      <w:r w:rsidRPr="00D83239">
        <w:rPr>
          <w:rFonts w:cs="Arial"/>
          <w:sz w:val="20"/>
          <w:szCs w:val="20"/>
        </w:rPr>
        <w:t xml:space="preserve"> </w:t>
      </w:r>
    </w:p>
    <w:p w14:paraId="150E4802" w14:textId="761C05E4" w:rsidR="00EC030E" w:rsidRPr="00D83239" w:rsidRDefault="00EC030E" w:rsidP="00D83239">
      <w:pPr>
        <w:spacing w:after="0" w:line="276" w:lineRule="auto"/>
        <w:jc w:val="both"/>
        <w:rPr>
          <w:rFonts w:ascii="Arial" w:hAnsi="Arial" w:cs="Arial"/>
          <w:sz w:val="20"/>
          <w:szCs w:val="20"/>
          <w:highlight w:val="yellow"/>
        </w:rPr>
      </w:pPr>
    </w:p>
    <w:p w14:paraId="04537802" w14:textId="3AFC6724" w:rsidR="003C5D73" w:rsidRPr="00D83239" w:rsidRDefault="003C5D73" w:rsidP="00D83239">
      <w:pPr>
        <w:widowControl w:val="0"/>
        <w:autoSpaceDE w:val="0"/>
        <w:autoSpaceDN w:val="0"/>
        <w:adjustRightInd w:val="0"/>
        <w:spacing w:after="0" w:line="276" w:lineRule="auto"/>
        <w:jc w:val="both"/>
        <w:rPr>
          <w:rFonts w:ascii="Arial" w:eastAsia="Arial Unicode MS" w:hAnsi="Arial" w:cs="Arial"/>
          <w:sz w:val="20"/>
          <w:szCs w:val="20"/>
          <w:lang w:bidi="sl-SI"/>
        </w:rPr>
      </w:pPr>
      <w:r w:rsidRPr="00D83239">
        <w:rPr>
          <w:rFonts w:ascii="Arial" w:eastAsia="Arial Unicode MS" w:hAnsi="Arial" w:cs="Arial"/>
          <w:sz w:val="20"/>
          <w:szCs w:val="20"/>
          <w:lang w:bidi="sl-SI"/>
        </w:rPr>
        <w:t xml:space="preserve">Zakon o prijavi prebivališča stanodajalcem omogoča predložitev prijav in odjav začasnega prebivališča posameznika v elektronski obliki iz svoje evidence začasno nastanjenih neposredno v Register stalnega prebivalstva, če imajo za to zagotovljene tehnične in tehnološke možnosti. V letu 2025 sta se v prijave prek spletnih servisov vključila še dva šolska centra. </w:t>
      </w:r>
    </w:p>
    <w:p w14:paraId="112FAAA3" w14:textId="77777777" w:rsidR="003C5D73" w:rsidRPr="00D83239" w:rsidRDefault="003C5D73" w:rsidP="00D83239">
      <w:pPr>
        <w:widowControl w:val="0"/>
        <w:autoSpaceDE w:val="0"/>
        <w:autoSpaceDN w:val="0"/>
        <w:adjustRightInd w:val="0"/>
        <w:spacing w:after="0" w:line="276" w:lineRule="auto"/>
        <w:jc w:val="both"/>
        <w:rPr>
          <w:rFonts w:ascii="Arial" w:eastAsia="Arial Unicode MS" w:hAnsi="Arial" w:cs="Arial"/>
          <w:sz w:val="20"/>
          <w:szCs w:val="20"/>
          <w:lang w:bidi="sl-SI"/>
        </w:rPr>
      </w:pPr>
    </w:p>
    <w:p w14:paraId="46EBBEB4" w14:textId="51D1C7F2" w:rsidR="00946991" w:rsidRPr="00D83239" w:rsidRDefault="003C5D73" w:rsidP="00D83239">
      <w:pPr>
        <w:widowControl w:val="0"/>
        <w:autoSpaceDE w:val="0"/>
        <w:autoSpaceDN w:val="0"/>
        <w:adjustRightInd w:val="0"/>
        <w:spacing w:after="0" w:line="276" w:lineRule="auto"/>
        <w:jc w:val="both"/>
        <w:rPr>
          <w:rFonts w:ascii="Arial" w:eastAsia="Times New Roman" w:hAnsi="Arial" w:cs="Arial"/>
          <w:sz w:val="20"/>
          <w:szCs w:val="20"/>
        </w:rPr>
      </w:pPr>
      <w:r w:rsidRPr="00D83239">
        <w:rPr>
          <w:rFonts w:ascii="Arial" w:eastAsia="Times New Roman" w:hAnsi="Arial" w:cs="Arial"/>
          <w:sz w:val="20"/>
          <w:szCs w:val="20"/>
        </w:rPr>
        <w:t xml:space="preserve">V letu 2025 je bilo izvedenih </w:t>
      </w:r>
      <w:r w:rsidRPr="00D83239">
        <w:rPr>
          <w:rFonts w:ascii="Arial" w:eastAsia="Times New Roman" w:hAnsi="Arial" w:cs="Arial"/>
          <w:b/>
          <w:sz w:val="20"/>
          <w:szCs w:val="20"/>
        </w:rPr>
        <w:t>15.564</w:t>
      </w:r>
      <w:r w:rsidRPr="00D83239">
        <w:rPr>
          <w:rFonts w:ascii="Arial" w:eastAsia="Times New Roman" w:hAnsi="Arial" w:cs="Arial"/>
          <w:sz w:val="20"/>
          <w:szCs w:val="20"/>
        </w:rPr>
        <w:t xml:space="preserve"> elektronskih prijav oziroma odjav začasn</w:t>
      </w:r>
      <w:r w:rsidR="00165462">
        <w:rPr>
          <w:rFonts w:ascii="Arial" w:eastAsia="Times New Roman" w:hAnsi="Arial" w:cs="Arial"/>
          <w:sz w:val="20"/>
          <w:szCs w:val="20"/>
        </w:rPr>
        <w:t>ega</w:t>
      </w:r>
      <w:r w:rsidRPr="00D83239">
        <w:rPr>
          <w:rFonts w:ascii="Arial" w:eastAsia="Times New Roman" w:hAnsi="Arial" w:cs="Arial"/>
          <w:sz w:val="20"/>
          <w:szCs w:val="20"/>
        </w:rPr>
        <w:t xml:space="preserve"> prebivališč</w:t>
      </w:r>
      <w:r w:rsidR="00165462">
        <w:rPr>
          <w:rFonts w:ascii="Arial" w:eastAsia="Times New Roman" w:hAnsi="Arial" w:cs="Arial"/>
          <w:sz w:val="20"/>
          <w:szCs w:val="20"/>
        </w:rPr>
        <w:t>a</w:t>
      </w:r>
      <w:r w:rsidRPr="00D83239">
        <w:rPr>
          <w:rFonts w:ascii="Arial" w:eastAsia="Times New Roman" w:hAnsi="Arial" w:cs="Arial"/>
          <w:sz w:val="20"/>
          <w:szCs w:val="20"/>
        </w:rPr>
        <w:t xml:space="preserve"> </w:t>
      </w:r>
      <w:r w:rsidR="00165462">
        <w:rPr>
          <w:rFonts w:ascii="Arial" w:eastAsia="Times New Roman" w:hAnsi="Arial" w:cs="Arial"/>
          <w:sz w:val="20"/>
          <w:szCs w:val="20"/>
        </w:rPr>
        <w:t xml:space="preserve">pri </w:t>
      </w:r>
      <w:r w:rsidRPr="00D83239">
        <w:rPr>
          <w:rFonts w:ascii="Arial" w:eastAsia="Times New Roman" w:hAnsi="Arial" w:cs="Arial"/>
          <w:sz w:val="20"/>
          <w:szCs w:val="20"/>
        </w:rPr>
        <w:t>stanodajalc</w:t>
      </w:r>
      <w:r w:rsidR="00165462">
        <w:rPr>
          <w:rFonts w:ascii="Arial" w:eastAsia="Times New Roman" w:hAnsi="Arial" w:cs="Arial"/>
          <w:sz w:val="20"/>
          <w:szCs w:val="20"/>
        </w:rPr>
        <w:t>ih</w:t>
      </w:r>
      <w:r w:rsidRPr="00D83239">
        <w:rPr>
          <w:rFonts w:ascii="Arial" w:eastAsia="Times New Roman" w:hAnsi="Arial" w:cs="Arial"/>
          <w:sz w:val="20"/>
          <w:szCs w:val="20"/>
        </w:rPr>
        <w:t xml:space="preserve"> od skup</w:t>
      </w:r>
      <w:r w:rsidR="00165462">
        <w:rPr>
          <w:rFonts w:ascii="Arial" w:eastAsia="Times New Roman" w:hAnsi="Arial" w:cs="Arial"/>
          <w:sz w:val="20"/>
          <w:szCs w:val="20"/>
        </w:rPr>
        <w:t>no</w:t>
      </w:r>
      <w:r w:rsidRPr="00D83239">
        <w:rPr>
          <w:rFonts w:ascii="Arial" w:eastAsia="Times New Roman" w:hAnsi="Arial" w:cs="Arial"/>
          <w:sz w:val="20"/>
          <w:szCs w:val="20"/>
        </w:rPr>
        <w:t xml:space="preserve"> 29.968 vseh prijav s strani stanodajalcev. Navedeno pomeni, da je bilo kar 52</w:t>
      </w:r>
      <w:r w:rsidR="00165462">
        <w:rPr>
          <w:rFonts w:ascii="Arial" w:eastAsia="Times New Roman" w:hAnsi="Arial" w:cs="Arial"/>
          <w:sz w:val="20"/>
          <w:szCs w:val="20"/>
        </w:rPr>
        <w:t> </w:t>
      </w:r>
      <w:r w:rsidRPr="00D83239">
        <w:rPr>
          <w:rFonts w:ascii="Arial" w:eastAsia="Times New Roman" w:hAnsi="Arial" w:cs="Arial"/>
          <w:sz w:val="20"/>
          <w:szCs w:val="20"/>
        </w:rPr>
        <w:t>% (v letu 2024: 44</w:t>
      </w:r>
      <w:r w:rsidR="00165462">
        <w:rPr>
          <w:rFonts w:ascii="Arial" w:eastAsia="Times New Roman" w:hAnsi="Arial" w:cs="Arial"/>
          <w:sz w:val="20"/>
          <w:szCs w:val="20"/>
        </w:rPr>
        <w:t> </w:t>
      </w:r>
      <w:r w:rsidRPr="00D83239">
        <w:rPr>
          <w:rFonts w:ascii="Arial" w:eastAsia="Times New Roman" w:hAnsi="Arial" w:cs="Arial"/>
          <w:sz w:val="20"/>
          <w:szCs w:val="20"/>
        </w:rPr>
        <w:t>%) vseh prijav izvedenih p</w:t>
      </w:r>
      <w:r w:rsidR="00165462">
        <w:rPr>
          <w:rFonts w:ascii="Arial" w:eastAsia="Times New Roman" w:hAnsi="Arial" w:cs="Arial"/>
          <w:sz w:val="20"/>
          <w:szCs w:val="20"/>
        </w:rPr>
        <w:t>o</w:t>
      </w:r>
      <w:r w:rsidRPr="00D83239">
        <w:rPr>
          <w:rFonts w:ascii="Arial" w:eastAsia="Times New Roman" w:hAnsi="Arial" w:cs="Arial"/>
          <w:sz w:val="20"/>
          <w:szCs w:val="20"/>
        </w:rPr>
        <w:t xml:space="preserve"> splet</w:t>
      </w:r>
      <w:r w:rsidR="00165462">
        <w:rPr>
          <w:rFonts w:ascii="Arial" w:eastAsia="Times New Roman" w:hAnsi="Arial" w:cs="Arial"/>
          <w:sz w:val="20"/>
          <w:szCs w:val="20"/>
        </w:rPr>
        <w:t>u</w:t>
      </w:r>
      <w:r w:rsidRPr="00D83239">
        <w:rPr>
          <w:rFonts w:ascii="Arial" w:eastAsia="Times New Roman" w:hAnsi="Arial" w:cs="Arial"/>
          <w:sz w:val="20"/>
          <w:szCs w:val="20"/>
        </w:rPr>
        <w:t xml:space="preserve">, s tem pa so </w:t>
      </w:r>
      <w:r w:rsidR="00F46F10">
        <w:rPr>
          <w:rFonts w:ascii="Arial" w:eastAsia="Times New Roman" w:hAnsi="Arial" w:cs="Arial"/>
          <w:sz w:val="20"/>
          <w:szCs w:val="20"/>
        </w:rPr>
        <w:t xml:space="preserve">bile </w:t>
      </w:r>
      <w:r w:rsidRPr="00D83239">
        <w:rPr>
          <w:rFonts w:ascii="Arial" w:eastAsia="Times New Roman" w:hAnsi="Arial" w:cs="Arial"/>
          <w:sz w:val="20"/>
          <w:szCs w:val="20"/>
        </w:rPr>
        <w:t>upravne enote razbremen</w:t>
      </w:r>
      <w:r w:rsidR="00165462">
        <w:rPr>
          <w:rFonts w:ascii="Arial" w:eastAsia="Times New Roman" w:hAnsi="Arial" w:cs="Arial"/>
          <w:sz w:val="20"/>
          <w:szCs w:val="20"/>
        </w:rPr>
        <w:t>jen</w:t>
      </w:r>
      <w:r w:rsidRPr="00D83239">
        <w:rPr>
          <w:rFonts w:ascii="Arial" w:eastAsia="Times New Roman" w:hAnsi="Arial" w:cs="Arial"/>
          <w:sz w:val="20"/>
          <w:szCs w:val="20"/>
        </w:rPr>
        <w:t xml:space="preserve">e dela. </w:t>
      </w:r>
    </w:p>
    <w:p w14:paraId="020732CF" w14:textId="77777777" w:rsidR="003C5D73" w:rsidRPr="00D83239" w:rsidRDefault="003C5D73" w:rsidP="00D83239">
      <w:pPr>
        <w:widowControl w:val="0"/>
        <w:autoSpaceDE w:val="0"/>
        <w:autoSpaceDN w:val="0"/>
        <w:adjustRightInd w:val="0"/>
        <w:spacing w:after="0" w:line="276" w:lineRule="auto"/>
        <w:jc w:val="both"/>
        <w:rPr>
          <w:rFonts w:ascii="Arial" w:eastAsia="Times New Roman" w:hAnsi="Arial" w:cs="Arial"/>
          <w:sz w:val="20"/>
          <w:szCs w:val="20"/>
        </w:rPr>
      </w:pPr>
    </w:p>
    <w:tbl>
      <w:tblPr>
        <w:tblW w:w="9002" w:type="dxa"/>
        <w:tblInd w:w="62" w:type="dxa"/>
        <w:shd w:val="clear" w:color="auto" w:fill="FFFFFF" w:themeFill="background1"/>
        <w:tblLayout w:type="fixed"/>
        <w:tblCellMar>
          <w:left w:w="70" w:type="dxa"/>
          <w:right w:w="70" w:type="dxa"/>
        </w:tblCellMar>
        <w:tblLook w:val="00A0" w:firstRow="1" w:lastRow="0" w:firstColumn="1" w:lastColumn="0" w:noHBand="0" w:noVBand="0"/>
      </w:tblPr>
      <w:tblGrid>
        <w:gridCol w:w="2880"/>
        <w:gridCol w:w="1445"/>
        <w:gridCol w:w="1275"/>
        <w:gridCol w:w="993"/>
        <w:gridCol w:w="1134"/>
        <w:gridCol w:w="1275"/>
      </w:tblGrid>
      <w:tr w:rsidR="003C5D73" w:rsidRPr="00D83239" w14:paraId="7D240973" w14:textId="77777777" w:rsidTr="00946991">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6934E692" w14:textId="77777777" w:rsidR="003C5D73" w:rsidRPr="00D83239" w:rsidRDefault="003C5D73" w:rsidP="00D83239">
            <w:pPr>
              <w:autoSpaceDE w:val="0"/>
              <w:autoSpaceDN w:val="0"/>
              <w:adjustRightInd w:val="0"/>
              <w:spacing w:after="0" w:line="276" w:lineRule="auto"/>
              <w:jc w:val="both"/>
              <w:rPr>
                <w:rFonts w:ascii="Arial" w:eastAsiaTheme="minorHAnsi" w:hAnsi="Arial" w:cs="Arial"/>
                <w:b/>
                <w:bCs/>
                <w:sz w:val="20"/>
                <w:szCs w:val="20"/>
                <w14:ligatures w14:val="standardContextual"/>
              </w:rPr>
            </w:pPr>
            <w:r w:rsidRPr="00D83239">
              <w:rPr>
                <w:rFonts w:ascii="Arial" w:eastAsiaTheme="minorHAnsi" w:hAnsi="Arial" w:cs="Arial"/>
                <w:b/>
                <w:bCs/>
                <w:sz w:val="20"/>
                <w:szCs w:val="20"/>
                <w14:ligatures w14:val="standardContextual"/>
              </w:rPr>
              <w:t>Stanodajalec</w:t>
            </w:r>
          </w:p>
        </w:tc>
        <w:tc>
          <w:tcPr>
            <w:tcW w:w="14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2D7E51CC" w14:textId="77777777" w:rsidR="003C5D73" w:rsidRPr="00D83239" w:rsidRDefault="003C5D73" w:rsidP="00946991">
            <w:pPr>
              <w:autoSpaceDE w:val="0"/>
              <w:autoSpaceDN w:val="0"/>
              <w:adjustRightInd w:val="0"/>
              <w:spacing w:after="0" w:line="276" w:lineRule="auto"/>
              <w:jc w:val="center"/>
              <w:rPr>
                <w:rFonts w:ascii="Arial" w:eastAsiaTheme="minorHAnsi" w:hAnsi="Arial" w:cs="Arial"/>
                <w:b/>
                <w:bCs/>
                <w:sz w:val="20"/>
                <w:szCs w:val="20"/>
                <w14:ligatures w14:val="standardContextual"/>
              </w:rPr>
            </w:pPr>
            <w:r w:rsidRPr="00D83239">
              <w:rPr>
                <w:rFonts w:ascii="Arial" w:eastAsiaTheme="minorHAnsi" w:hAnsi="Arial" w:cs="Arial"/>
                <w:b/>
                <w:bCs/>
                <w:sz w:val="20"/>
                <w:szCs w:val="20"/>
                <w14:ligatures w14:val="standardContextual"/>
              </w:rPr>
              <w:t>2025</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6214D906" w14:textId="77777777" w:rsidR="003C5D73" w:rsidRPr="00D83239" w:rsidRDefault="003C5D73" w:rsidP="00946991">
            <w:pPr>
              <w:autoSpaceDE w:val="0"/>
              <w:autoSpaceDN w:val="0"/>
              <w:adjustRightInd w:val="0"/>
              <w:spacing w:after="0" w:line="276" w:lineRule="auto"/>
              <w:jc w:val="center"/>
              <w:rPr>
                <w:rFonts w:ascii="Arial" w:eastAsiaTheme="minorHAnsi" w:hAnsi="Arial" w:cs="Arial"/>
                <w:b/>
                <w:bCs/>
                <w:sz w:val="20"/>
                <w:szCs w:val="20"/>
                <w14:ligatures w14:val="standardContextual"/>
              </w:rPr>
            </w:pPr>
            <w:r w:rsidRPr="00D83239">
              <w:rPr>
                <w:rFonts w:ascii="Arial" w:eastAsiaTheme="minorHAnsi" w:hAnsi="Arial" w:cs="Arial"/>
                <w:b/>
                <w:bCs/>
                <w:sz w:val="20"/>
                <w:szCs w:val="20"/>
                <w14:ligatures w14:val="standardContextual"/>
              </w:rPr>
              <w:t>2024</w:t>
            </w:r>
          </w:p>
        </w:tc>
        <w:tc>
          <w:tcPr>
            <w:tcW w:w="9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54D693D2" w14:textId="77777777" w:rsidR="003C5D73" w:rsidRPr="00D83239" w:rsidRDefault="003C5D73" w:rsidP="00946991">
            <w:pPr>
              <w:autoSpaceDE w:val="0"/>
              <w:autoSpaceDN w:val="0"/>
              <w:adjustRightInd w:val="0"/>
              <w:spacing w:after="0" w:line="276" w:lineRule="auto"/>
              <w:jc w:val="center"/>
              <w:rPr>
                <w:rFonts w:ascii="Arial" w:eastAsiaTheme="minorHAnsi" w:hAnsi="Arial" w:cs="Arial"/>
                <w:b/>
                <w:bCs/>
                <w:sz w:val="20"/>
                <w:szCs w:val="20"/>
                <w14:ligatures w14:val="standardContextual"/>
              </w:rPr>
            </w:pPr>
            <w:r w:rsidRPr="00D83239">
              <w:rPr>
                <w:rFonts w:ascii="Arial" w:eastAsiaTheme="minorHAnsi" w:hAnsi="Arial" w:cs="Arial"/>
                <w:b/>
                <w:bCs/>
                <w:sz w:val="20"/>
                <w:szCs w:val="20"/>
                <w14:ligatures w14:val="standardContextual"/>
              </w:rPr>
              <w:t>2023</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46F1B48F" w14:textId="77777777" w:rsidR="003C5D73" w:rsidRPr="00D83239" w:rsidRDefault="003C5D73" w:rsidP="00946991">
            <w:pPr>
              <w:autoSpaceDE w:val="0"/>
              <w:autoSpaceDN w:val="0"/>
              <w:adjustRightInd w:val="0"/>
              <w:spacing w:after="0" w:line="276" w:lineRule="auto"/>
              <w:jc w:val="center"/>
              <w:rPr>
                <w:rFonts w:ascii="Arial" w:eastAsiaTheme="minorHAnsi" w:hAnsi="Arial" w:cs="Arial"/>
                <w:b/>
                <w:bCs/>
                <w:sz w:val="20"/>
                <w:szCs w:val="20"/>
                <w14:ligatures w14:val="standardContextual"/>
              </w:rPr>
            </w:pPr>
            <w:r w:rsidRPr="00D83239">
              <w:rPr>
                <w:rFonts w:ascii="Arial" w:eastAsiaTheme="minorHAnsi" w:hAnsi="Arial" w:cs="Arial"/>
                <w:b/>
                <w:bCs/>
                <w:sz w:val="20"/>
                <w:szCs w:val="20"/>
                <w14:ligatures w14:val="standardContextual"/>
              </w:rPr>
              <w:t>2022</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41A8A08D" w14:textId="77777777" w:rsidR="003C5D73" w:rsidRPr="00D83239" w:rsidRDefault="003C5D73" w:rsidP="00946991">
            <w:pPr>
              <w:autoSpaceDE w:val="0"/>
              <w:autoSpaceDN w:val="0"/>
              <w:adjustRightInd w:val="0"/>
              <w:spacing w:after="0" w:line="276" w:lineRule="auto"/>
              <w:jc w:val="center"/>
              <w:rPr>
                <w:rFonts w:ascii="Arial" w:eastAsiaTheme="minorHAnsi" w:hAnsi="Arial" w:cs="Arial"/>
                <w:b/>
                <w:bCs/>
                <w:sz w:val="20"/>
                <w:szCs w:val="20"/>
                <w14:ligatures w14:val="standardContextual"/>
              </w:rPr>
            </w:pPr>
            <w:r w:rsidRPr="00D83239">
              <w:rPr>
                <w:rFonts w:ascii="Arial" w:eastAsiaTheme="minorHAnsi" w:hAnsi="Arial" w:cs="Arial"/>
                <w:b/>
                <w:bCs/>
                <w:sz w:val="20"/>
                <w:szCs w:val="20"/>
                <w14:ligatures w14:val="standardContextual"/>
              </w:rPr>
              <w:t>2021</w:t>
            </w:r>
          </w:p>
        </w:tc>
      </w:tr>
      <w:tr w:rsidR="003C5D73" w:rsidRPr="00D83239" w14:paraId="3B42DBB2" w14:textId="77777777" w:rsidTr="00A91968">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6A8B84E0" w14:textId="77777777" w:rsidR="003C5D73" w:rsidRPr="00D83239" w:rsidRDefault="003C5D73" w:rsidP="00D83239">
            <w:pPr>
              <w:autoSpaceDE w:val="0"/>
              <w:autoSpaceDN w:val="0"/>
              <w:adjustRightInd w:val="0"/>
              <w:spacing w:after="0" w:line="276" w:lineRule="auto"/>
              <w:jc w:val="both"/>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 xml:space="preserve">Študentski dom Ljubljana </w:t>
            </w:r>
          </w:p>
        </w:tc>
        <w:tc>
          <w:tcPr>
            <w:tcW w:w="144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05756836"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8.512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042B8323"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 xml:space="preserve"> 8.454</w:t>
            </w:r>
          </w:p>
        </w:tc>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14528CF1"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9.462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3DF5A802"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8.792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143B1FE2"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7.248</w:t>
            </w:r>
          </w:p>
        </w:tc>
      </w:tr>
      <w:tr w:rsidR="003C5D73" w:rsidRPr="00D83239" w14:paraId="2ED6753E" w14:textId="77777777" w:rsidTr="00A91968">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0EF31728" w14:textId="4B4C1465" w:rsidR="003C5D73" w:rsidRPr="00D83239" w:rsidRDefault="00660739" w:rsidP="00D83239">
            <w:pPr>
              <w:autoSpaceDE w:val="0"/>
              <w:autoSpaceDN w:val="0"/>
              <w:adjustRightInd w:val="0"/>
              <w:spacing w:after="0" w:line="276" w:lineRule="auto"/>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Ministrstvo za pravosodje</w:t>
            </w:r>
          </w:p>
        </w:tc>
        <w:tc>
          <w:tcPr>
            <w:tcW w:w="144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1ECC04B1"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2.337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13DCC5C2"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 xml:space="preserve">  2.749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179B5395"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1.307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3CE24622"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2.676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4FA9595F"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153</w:t>
            </w:r>
          </w:p>
        </w:tc>
      </w:tr>
      <w:tr w:rsidR="003C5D73" w:rsidRPr="00D83239" w14:paraId="2E5DC302" w14:textId="77777777" w:rsidTr="00A91968">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745C9C4B" w14:textId="5B5FAB89" w:rsidR="003C5D73" w:rsidRPr="00D83239" w:rsidRDefault="00165462" w:rsidP="00165462">
            <w:pPr>
              <w:autoSpaceDE w:val="0"/>
              <w:autoSpaceDN w:val="0"/>
              <w:adjustRightInd w:val="0"/>
              <w:spacing w:after="0" w:line="276" w:lineRule="auto"/>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Drug</w:t>
            </w:r>
            <w:r w:rsidR="003C5D73" w:rsidRPr="00D83239">
              <w:rPr>
                <w:rFonts w:ascii="Arial" w:eastAsiaTheme="minorHAnsi" w:hAnsi="Arial" w:cs="Arial"/>
                <w:sz w:val="20"/>
                <w:szCs w:val="20"/>
                <w14:ligatures w14:val="standardContextual"/>
              </w:rPr>
              <w:t>i stanodajalci</w:t>
            </w:r>
          </w:p>
        </w:tc>
        <w:tc>
          <w:tcPr>
            <w:tcW w:w="144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1FE4E21C"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4.715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2AC2FF33"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 xml:space="preserve"> 3.357</w:t>
            </w:r>
          </w:p>
        </w:tc>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15C515C1"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 xml:space="preserve">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44E058DE"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 xml:space="preserve"> 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6DBE08A0"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 xml:space="preserve">0 </w:t>
            </w:r>
          </w:p>
        </w:tc>
      </w:tr>
      <w:tr w:rsidR="003C5D73" w:rsidRPr="00D83239" w14:paraId="2D4460CC" w14:textId="77777777" w:rsidTr="00946991">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5E0EF852" w14:textId="77777777" w:rsidR="003C5D73" w:rsidRPr="00946991" w:rsidRDefault="003C5D73" w:rsidP="00D83239">
            <w:pPr>
              <w:autoSpaceDE w:val="0"/>
              <w:autoSpaceDN w:val="0"/>
              <w:adjustRightInd w:val="0"/>
              <w:spacing w:after="0" w:line="276" w:lineRule="auto"/>
              <w:jc w:val="both"/>
              <w:rPr>
                <w:rFonts w:ascii="Arial" w:eastAsiaTheme="minorHAnsi" w:hAnsi="Arial" w:cs="Arial"/>
                <w:b/>
                <w:sz w:val="20"/>
                <w:szCs w:val="20"/>
                <w14:ligatures w14:val="standardContextual"/>
              </w:rPr>
            </w:pPr>
            <w:r w:rsidRPr="00946991">
              <w:rPr>
                <w:rFonts w:ascii="Arial" w:eastAsiaTheme="minorHAnsi" w:hAnsi="Arial" w:cs="Arial"/>
                <w:b/>
                <w:sz w:val="20"/>
                <w:szCs w:val="20"/>
                <w14:ligatures w14:val="standardContextual"/>
              </w:rPr>
              <w:t xml:space="preserve">Skupaj </w:t>
            </w:r>
          </w:p>
        </w:tc>
        <w:tc>
          <w:tcPr>
            <w:tcW w:w="14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7F593E66" w14:textId="77777777" w:rsidR="003C5D73" w:rsidRPr="00946991" w:rsidRDefault="003C5D73" w:rsidP="00946991">
            <w:pPr>
              <w:autoSpaceDE w:val="0"/>
              <w:autoSpaceDN w:val="0"/>
              <w:adjustRightInd w:val="0"/>
              <w:spacing w:after="0" w:line="276" w:lineRule="auto"/>
              <w:jc w:val="right"/>
              <w:rPr>
                <w:rFonts w:ascii="Arial" w:eastAsiaTheme="minorHAnsi" w:hAnsi="Arial" w:cs="Arial"/>
                <w:b/>
                <w:sz w:val="20"/>
                <w:szCs w:val="20"/>
                <w14:ligatures w14:val="standardContextual"/>
              </w:rPr>
            </w:pPr>
            <w:r w:rsidRPr="00946991">
              <w:rPr>
                <w:rFonts w:ascii="Arial" w:eastAsiaTheme="minorHAnsi" w:hAnsi="Arial" w:cs="Arial"/>
                <w:b/>
                <w:sz w:val="20"/>
                <w:szCs w:val="20"/>
                <w14:ligatures w14:val="standardContextual"/>
              </w:rPr>
              <w:t>15.564</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1DBBBC61" w14:textId="77777777" w:rsidR="003C5D73" w:rsidRPr="00946991" w:rsidRDefault="003C5D73" w:rsidP="00946991">
            <w:pPr>
              <w:autoSpaceDE w:val="0"/>
              <w:autoSpaceDN w:val="0"/>
              <w:adjustRightInd w:val="0"/>
              <w:spacing w:after="0" w:line="276" w:lineRule="auto"/>
              <w:jc w:val="right"/>
              <w:rPr>
                <w:rFonts w:ascii="Arial" w:eastAsiaTheme="minorHAnsi" w:hAnsi="Arial" w:cs="Arial"/>
                <w:b/>
                <w:sz w:val="20"/>
                <w:szCs w:val="20"/>
                <w14:ligatures w14:val="standardContextual"/>
              </w:rPr>
            </w:pPr>
            <w:r w:rsidRPr="00946991">
              <w:rPr>
                <w:rFonts w:ascii="Arial" w:eastAsiaTheme="minorHAnsi" w:hAnsi="Arial" w:cs="Arial"/>
                <w:b/>
                <w:sz w:val="20"/>
                <w:szCs w:val="20"/>
                <w14:ligatures w14:val="standardContextual"/>
              </w:rPr>
              <w:t xml:space="preserve"> 14.560</w:t>
            </w:r>
          </w:p>
        </w:tc>
        <w:tc>
          <w:tcPr>
            <w:tcW w:w="9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46368950" w14:textId="77777777" w:rsidR="003C5D73" w:rsidRPr="00946991" w:rsidRDefault="003C5D73" w:rsidP="00946991">
            <w:pPr>
              <w:autoSpaceDE w:val="0"/>
              <w:autoSpaceDN w:val="0"/>
              <w:adjustRightInd w:val="0"/>
              <w:spacing w:after="0" w:line="276" w:lineRule="auto"/>
              <w:jc w:val="right"/>
              <w:rPr>
                <w:rFonts w:ascii="Arial" w:eastAsiaTheme="minorHAnsi" w:hAnsi="Arial" w:cs="Arial"/>
                <w:b/>
                <w:sz w:val="20"/>
                <w:szCs w:val="20"/>
                <w14:ligatures w14:val="standardContextual"/>
              </w:rPr>
            </w:pPr>
            <w:r w:rsidRPr="00946991">
              <w:rPr>
                <w:rFonts w:ascii="Arial" w:eastAsiaTheme="minorHAnsi" w:hAnsi="Arial" w:cs="Arial"/>
                <w:b/>
                <w:sz w:val="20"/>
                <w:szCs w:val="20"/>
                <w14:ligatures w14:val="standardContextual"/>
              </w:rPr>
              <w:t>10.769</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353EA51E" w14:textId="77777777" w:rsidR="003C5D73" w:rsidRPr="00946991" w:rsidRDefault="003C5D73" w:rsidP="00946991">
            <w:pPr>
              <w:autoSpaceDE w:val="0"/>
              <w:autoSpaceDN w:val="0"/>
              <w:adjustRightInd w:val="0"/>
              <w:spacing w:after="0" w:line="276" w:lineRule="auto"/>
              <w:jc w:val="right"/>
              <w:rPr>
                <w:rFonts w:ascii="Arial" w:eastAsiaTheme="minorHAnsi" w:hAnsi="Arial" w:cs="Arial"/>
                <w:b/>
                <w:sz w:val="20"/>
                <w:szCs w:val="20"/>
                <w14:ligatures w14:val="standardContextual"/>
              </w:rPr>
            </w:pPr>
            <w:r w:rsidRPr="00946991">
              <w:rPr>
                <w:rFonts w:ascii="Arial" w:eastAsiaTheme="minorHAnsi" w:hAnsi="Arial" w:cs="Arial"/>
                <w:b/>
                <w:sz w:val="20"/>
                <w:szCs w:val="20"/>
                <w14:ligatures w14:val="standardContextual"/>
              </w:rPr>
              <w:t>11.468</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3F514EAF" w14:textId="77777777" w:rsidR="003C5D73" w:rsidRPr="00946991" w:rsidRDefault="003C5D73" w:rsidP="00946991">
            <w:pPr>
              <w:autoSpaceDE w:val="0"/>
              <w:autoSpaceDN w:val="0"/>
              <w:adjustRightInd w:val="0"/>
              <w:spacing w:after="0" w:line="276" w:lineRule="auto"/>
              <w:jc w:val="right"/>
              <w:rPr>
                <w:rFonts w:ascii="Arial" w:eastAsiaTheme="minorHAnsi" w:hAnsi="Arial" w:cs="Arial"/>
                <w:b/>
                <w:sz w:val="20"/>
                <w:szCs w:val="20"/>
                <w14:ligatures w14:val="standardContextual"/>
              </w:rPr>
            </w:pPr>
            <w:r w:rsidRPr="00946991">
              <w:rPr>
                <w:rFonts w:ascii="Arial" w:eastAsiaTheme="minorHAnsi" w:hAnsi="Arial" w:cs="Arial"/>
                <w:b/>
                <w:sz w:val="20"/>
                <w:szCs w:val="20"/>
                <w14:ligatures w14:val="standardContextual"/>
              </w:rPr>
              <w:t>7.401</w:t>
            </w:r>
          </w:p>
        </w:tc>
      </w:tr>
      <w:tr w:rsidR="003C5D73" w:rsidRPr="00D83239" w14:paraId="43904271" w14:textId="77777777" w:rsidTr="00946991">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1767AF3B" w14:textId="77777777" w:rsidR="003C5D73" w:rsidRPr="00D83239" w:rsidRDefault="003C5D73" w:rsidP="00D83239">
            <w:pPr>
              <w:autoSpaceDE w:val="0"/>
              <w:autoSpaceDN w:val="0"/>
              <w:adjustRightInd w:val="0"/>
              <w:spacing w:after="0" w:line="276" w:lineRule="auto"/>
              <w:jc w:val="both"/>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 xml:space="preserve"> </w:t>
            </w:r>
          </w:p>
        </w:tc>
        <w:tc>
          <w:tcPr>
            <w:tcW w:w="14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7FBA32F6" w14:textId="77777777" w:rsidR="003C5D73" w:rsidRPr="00D83239" w:rsidRDefault="003C5D73" w:rsidP="00946991">
            <w:pPr>
              <w:autoSpaceDE w:val="0"/>
              <w:autoSpaceDN w:val="0"/>
              <w:adjustRightInd w:val="0"/>
              <w:spacing w:after="0" w:line="276" w:lineRule="auto"/>
              <w:jc w:val="center"/>
              <w:rPr>
                <w:rFonts w:ascii="Arial" w:eastAsiaTheme="minorHAnsi" w:hAnsi="Arial" w:cs="Arial"/>
                <w:b/>
                <w:bCs/>
                <w:sz w:val="20"/>
                <w:szCs w:val="20"/>
                <w14:ligatures w14:val="standardContextual"/>
              </w:rPr>
            </w:pPr>
            <w:r w:rsidRPr="00D83239">
              <w:rPr>
                <w:rFonts w:ascii="Arial" w:eastAsiaTheme="minorHAnsi" w:hAnsi="Arial" w:cs="Arial"/>
                <w:b/>
                <w:bCs/>
                <w:sz w:val="20"/>
                <w:szCs w:val="20"/>
                <w14:ligatures w14:val="standardContextual"/>
              </w:rPr>
              <w:t>2025</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254200FA" w14:textId="77777777" w:rsidR="003C5D73" w:rsidRPr="00D83239" w:rsidRDefault="003C5D73" w:rsidP="00946991">
            <w:pPr>
              <w:autoSpaceDE w:val="0"/>
              <w:autoSpaceDN w:val="0"/>
              <w:adjustRightInd w:val="0"/>
              <w:spacing w:after="0" w:line="276" w:lineRule="auto"/>
              <w:jc w:val="center"/>
              <w:rPr>
                <w:rFonts w:ascii="Arial" w:eastAsiaTheme="minorHAnsi" w:hAnsi="Arial" w:cs="Arial"/>
                <w:b/>
                <w:bCs/>
                <w:sz w:val="20"/>
                <w:szCs w:val="20"/>
                <w14:ligatures w14:val="standardContextual"/>
              </w:rPr>
            </w:pPr>
            <w:r w:rsidRPr="00D83239">
              <w:rPr>
                <w:rFonts w:ascii="Arial" w:eastAsiaTheme="minorHAnsi" w:hAnsi="Arial" w:cs="Arial"/>
                <w:b/>
                <w:bCs/>
                <w:sz w:val="20"/>
                <w:szCs w:val="20"/>
                <w14:ligatures w14:val="standardContextual"/>
              </w:rPr>
              <w:t>2024</w:t>
            </w:r>
          </w:p>
        </w:tc>
        <w:tc>
          <w:tcPr>
            <w:tcW w:w="9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702C492A" w14:textId="77777777" w:rsidR="003C5D73" w:rsidRPr="00D83239" w:rsidRDefault="003C5D73" w:rsidP="00946991">
            <w:pPr>
              <w:autoSpaceDE w:val="0"/>
              <w:autoSpaceDN w:val="0"/>
              <w:adjustRightInd w:val="0"/>
              <w:spacing w:after="0" w:line="276" w:lineRule="auto"/>
              <w:jc w:val="center"/>
              <w:rPr>
                <w:rFonts w:ascii="Arial" w:eastAsiaTheme="minorHAnsi" w:hAnsi="Arial" w:cs="Arial"/>
                <w:b/>
                <w:bCs/>
                <w:sz w:val="20"/>
                <w:szCs w:val="20"/>
                <w14:ligatures w14:val="standardContextual"/>
              </w:rPr>
            </w:pPr>
            <w:r w:rsidRPr="00D83239">
              <w:rPr>
                <w:rFonts w:ascii="Arial" w:eastAsiaTheme="minorHAnsi" w:hAnsi="Arial" w:cs="Arial"/>
                <w:b/>
                <w:bCs/>
                <w:sz w:val="20"/>
                <w:szCs w:val="20"/>
                <w14:ligatures w14:val="standardContextual"/>
              </w:rPr>
              <w:t>2023</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6DFFC1FF" w14:textId="77777777" w:rsidR="003C5D73" w:rsidRPr="00D83239" w:rsidRDefault="003C5D73" w:rsidP="00946991">
            <w:pPr>
              <w:autoSpaceDE w:val="0"/>
              <w:autoSpaceDN w:val="0"/>
              <w:adjustRightInd w:val="0"/>
              <w:spacing w:after="0" w:line="276" w:lineRule="auto"/>
              <w:jc w:val="center"/>
              <w:rPr>
                <w:rFonts w:ascii="Arial" w:eastAsiaTheme="minorHAnsi" w:hAnsi="Arial" w:cs="Arial"/>
                <w:b/>
                <w:bCs/>
                <w:sz w:val="20"/>
                <w:szCs w:val="20"/>
                <w14:ligatures w14:val="standardContextual"/>
              </w:rPr>
            </w:pPr>
            <w:r w:rsidRPr="00D83239">
              <w:rPr>
                <w:rFonts w:ascii="Arial" w:eastAsiaTheme="minorHAnsi" w:hAnsi="Arial" w:cs="Arial"/>
                <w:b/>
                <w:bCs/>
                <w:sz w:val="20"/>
                <w:szCs w:val="20"/>
                <w14:ligatures w14:val="standardContextual"/>
              </w:rPr>
              <w:t>2022</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14:paraId="07C249A7" w14:textId="77777777" w:rsidR="003C5D73" w:rsidRPr="00D83239" w:rsidRDefault="003C5D73" w:rsidP="00946991">
            <w:pPr>
              <w:autoSpaceDE w:val="0"/>
              <w:autoSpaceDN w:val="0"/>
              <w:adjustRightInd w:val="0"/>
              <w:spacing w:after="0" w:line="276" w:lineRule="auto"/>
              <w:jc w:val="center"/>
              <w:rPr>
                <w:rFonts w:ascii="Arial" w:eastAsiaTheme="minorHAnsi" w:hAnsi="Arial" w:cs="Arial"/>
                <w:b/>
                <w:bCs/>
                <w:sz w:val="20"/>
                <w:szCs w:val="20"/>
                <w14:ligatures w14:val="standardContextual"/>
              </w:rPr>
            </w:pPr>
            <w:r w:rsidRPr="00D83239">
              <w:rPr>
                <w:rFonts w:ascii="Arial" w:eastAsiaTheme="minorHAnsi" w:hAnsi="Arial" w:cs="Arial"/>
                <w:b/>
                <w:bCs/>
                <w:sz w:val="20"/>
                <w:szCs w:val="20"/>
                <w14:ligatures w14:val="standardContextual"/>
              </w:rPr>
              <w:t>2021</w:t>
            </w:r>
          </w:p>
        </w:tc>
      </w:tr>
      <w:tr w:rsidR="003C5D73" w:rsidRPr="00D83239" w14:paraId="4E737F0F" w14:textId="77777777" w:rsidTr="00A91968">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1051BA6D" w14:textId="1F7CE768" w:rsidR="003C5D73" w:rsidRPr="00D83239" w:rsidRDefault="003C5D73" w:rsidP="00165462">
            <w:pPr>
              <w:autoSpaceDE w:val="0"/>
              <w:autoSpaceDN w:val="0"/>
              <w:adjustRightInd w:val="0"/>
              <w:spacing w:after="0" w:line="276" w:lineRule="auto"/>
              <w:jc w:val="both"/>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 xml:space="preserve">Vse prijave </w:t>
            </w:r>
            <w:r w:rsidR="00165462">
              <w:rPr>
                <w:rFonts w:ascii="Arial" w:eastAsiaTheme="minorHAnsi" w:hAnsi="Arial" w:cs="Arial"/>
                <w:sz w:val="20"/>
                <w:szCs w:val="20"/>
                <w14:ligatures w14:val="standardContextual"/>
              </w:rPr>
              <w:t>–</w:t>
            </w:r>
            <w:r w:rsidR="00165462" w:rsidRPr="00D83239">
              <w:rPr>
                <w:rFonts w:ascii="Arial" w:eastAsiaTheme="minorHAnsi" w:hAnsi="Arial" w:cs="Arial"/>
                <w:sz w:val="20"/>
                <w:szCs w:val="20"/>
                <w14:ligatures w14:val="standardContextual"/>
              </w:rPr>
              <w:t xml:space="preserve"> </w:t>
            </w:r>
            <w:r w:rsidRPr="00D83239">
              <w:rPr>
                <w:rFonts w:ascii="Arial" w:eastAsiaTheme="minorHAnsi" w:hAnsi="Arial" w:cs="Arial"/>
                <w:sz w:val="20"/>
                <w:szCs w:val="20"/>
                <w14:ligatures w14:val="standardContextual"/>
              </w:rPr>
              <w:t>stanodajalci</w:t>
            </w:r>
          </w:p>
        </w:tc>
        <w:tc>
          <w:tcPr>
            <w:tcW w:w="144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2A69A51E"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29.968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31F0283F"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32.972</w:t>
            </w:r>
          </w:p>
        </w:tc>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6544C324"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34.095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19FF1625"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35.996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6A0149A7"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33.283</w:t>
            </w:r>
          </w:p>
        </w:tc>
      </w:tr>
      <w:tr w:rsidR="003C5D73" w:rsidRPr="00D83239" w14:paraId="749BF5D8" w14:textId="77777777" w:rsidTr="00A91968">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3FDE31CC" w14:textId="78FF0BA0" w:rsidR="003C5D73" w:rsidRPr="00D83239" w:rsidRDefault="003C5D73" w:rsidP="00165462">
            <w:pPr>
              <w:autoSpaceDE w:val="0"/>
              <w:autoSpaceDN w:val="0"/>
              <w:adjustRightInd w:val="0"/>
              <w:spacing w:after="0" w:line="276" w:lineRule="auto"/>
              <w:jc w:val="both"/>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 xml:space="preserve">E-prijave </w:t>
            </w:r>
            <w:r w:rsidR="00165462">
              <w:rPr>
                <w:rFonts w:ascii="Arial" w:eastAsiaTheme="minorHAnsi" w:hAnsi="Arial" w:cs="Arial"/>
                <w:sz w:val="20"/>
                <w:szCs w:val="20"/>
                <w14:ligatures w14:val="standardContextual"/>
              </w:rPr>
              <w:t>–</w:t>
            </w:r>
            <w:r w:rsidR="00165462" w:rsidRPr="00D83239">
              <w:rPr>
                <w:rFonts w:ascii="Arial" w:eastAsiaTheme="minorHAnsi" w:hAnsi="Arial" w:cs="Arial"/>
                <w:sz w:val="20"/>
                <w:szCs w:val="20"/>
                <w14:ligatures w14:val="standardContextual"/>
              </w:rPr>
              <w:t xml:space="preserve"> </w:t>
            </w:r>
            <w:r w:rsidRPr="00D83239">
              <w:rPr>
                <w:rFonts w:ascii="Arial" w:eastAsiaTheme="minorHAnsi" w:hAnsi="Arial" w:cs="Arial"/>
                <w:sz w:val="20"/>
                <w:szCs w:val="20"/>
                <w14:ligatures w14:val="standardContextual"/>
              </w:rPr>
              <w:t xml:space="preserve">stanodajalci </w:t>
            </w:r>
          </w:p>
        </w:tc>
        <w:tc>
          <w:tcPr>
            <w:tcW w:w="144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4A2946A9"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15.564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2C889C49"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14.560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0FE05CA9"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10.769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2D4F8574"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11.468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5EBF869C"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7.401</w:t>
            </w:r>
          </w:p>
        </w:tc>
      </w:tr>
      <w:tr w:rsidR="003C5D73" w:rsidRPr="00D83239" w14:paraId="6327535A" w14:textId="77777777" w:rsidTr="00A91968">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1E33643E" w14:textId="77777777" w:rsidR="003C5D73" w:rsidRPr="00D83239" w:rsidRDefault="003C5D73" w:rsidP="00D83239">
            <w:pPr>
              <w:autoSpaceDE w:val="0"/>
              <w:autoSpaceDN w:val="0"/>
              <w:adjustRightInd w:val="0"/>
              <w:spacing w:after="0" w:line="276" w:lineRule="auto"/>
              <w:jc w:val="both"/>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E-prijave %</w:t>
            </w:r>
          </w:p>
        </w:tc>
        <w:tc>
          <w:tcPr>
            <w:tcW w:w="144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34997345" w14:textId="60450135"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52</w:t>
            </w:r>
            <w:r w:rsidR="00CC668C">
              <w:rPr>
                <w:rFonts w:ascii="Arial" w:eastAsiaTheme="minorHAnsi" w:hAnsi="Arial" w:cs="Arial"/>
                <w:sz w:val="20"/>
                <w:szCs w:val="20"/>
                <w14:ligatures w14:val="standardContextual"/>
              </w:rPr>
              <w:t xml:space="preserve"> </w:t>
            </w:r>
            <w:r w:rsidRPr="00D83239">
              <w:rPr>
                <w:rFonts w:ascii="Arial" w:eastAsiaTheme="minorHAnsi" w:hAnsi="Arial" w:cs="Arial"/>
                <w:sz w:val="20"/>
                <w:szCs w:val="20"/>
                <w14:ligatures w14:val="standardContextual"/>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7DE7E23F" w14:textId="524C4670"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44</w:t>
            </w:r>
            <w:r w:rsidR="00CC668C">
              <w:rPr>
                <w:rFonts w:ascii="Arial" w:eastAsiaTheme="minorHAnsi" w:hAnsi="Arial" w:cs="Arial"/>
                <w:sz w:val="20"/>
                <w:szCs w:val="20"/>
                <w14:ligatures w14:val="standardContextual"/>
              </w:rPr>
              <w:t xml:space="preserve"> </w:t>
            </w:r>
            <w:r w:rsidRPr="00D83239">
              <w:rPr>
                <w:rFonts w:ascii="Arial" w:eastAsiaTheme="minorHAnsi" w:hAnsi="Arial" w:cs="Arial"/>
                <w:sz w:val="20"/>
                <w:szCs w:val="20"/>
                <w14:ligatures w14:val="standardContextual"/>
              </w:rPr>
              <w:t>%</w:t>
            </w:r>
          </w:p>
        </w:tc>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43DF9654" w14:textId="77777777"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31 %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7396EFB3" w14:textId="53371E03"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31</w:t>
            </w:r>
            <w:r w:rsidR="00CC668C">
              <w:rPr>
                <w:rFonts w:ascii="Arial" w:eastAsiaTheme="minorHAnsi" w:hAnsi="Arial" w:cs="Arial"/>
                <w:sz w:val="20"/>
                <w:szCs w:val="20"/>
                <w14:ligatures w14:val="standardContextual"/>
              </w:rPr>
              <w:t xml:space="preserve"> </w:t>
            </w:r>
            <w:r w:rsidRPr="00D83239">
              <w:rPr>
                <w:rFonts w:ascii="Arial" w:eastAsiaTheme="minorHAnsi" w:hAnsi="Arial" w:cs="Arial"/>
                <w:sz w:val="20"/>
                <w:szCs w:val="20"/>
                <w14:ligatures w14:val="standardContextual"/>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0076A868" w14:textId="04874571" w:rsidR="003C5D73" w:rsidRPr="00D83239" w:rsidRDefault="003C5D73" w:rsidP="00946991">
            <w:pPr>
              <w:autoSpaceDE w:val="0"/>
              <w:autoSpaceDN w:val="0"/>
              <w:adjustRightInd w:val="0"/>
              <w:spacing w:after="0" w:line="276" w:lineRule="auto"/>
              <w:jc w:val="right"/>
              <w:rPr>
                <w:rFonts w:ascii="Arial" w:eastAsiaTheme="minorHAnsi" w:hAnsi="Arial" w:cs="Arial"/>
                <w:sz w:val="20"/>
                <w:szCs w:val="20"/>
                <w14:ligatures w14:val="standardContextual"/>
              </w:rPr>
            </w:pPr>
            <w:r w:rsidRPr="00D83239">
              <w:rPr>
                <w:rFonts w:ascii="Arial" w:eastAsiaTheme="minorHAnsi" w:hAnsi="Arial" w:cs="Arial"/>
                <w:sz w:val="20"/>
                <w:szCs w:val="20"/>
                <w14:ligatures w14:val="standardContextual"/>
              </w:rPr>
              <w:t>22</w:t>
            </w:r>
            <w:r w:rsidR="00CC668C">
              <w:rPr>
                <w:rFonts w:ascii="Arial" w:eastAsiaTheme="minorHAnsi" w:hAnsi="Arial" w:cs="Arial"/>
                <w:sz w:val="20"/>
                <w:szCs w:val="20"/>
                <w14:ligatures w14:val="standardContextual"/>
              </w:rPr>
              <w:t xml:space="preserve"> </w:t>
            </w:r>
            <w:r w:rsidRPr="00D83239">
              <w:rPr>
                <w:rFonts w:ascii="Arial" w:eastAsiaTheme="minorHAnsi" w:hAnsi="Arial" w:cs="Arial"/>
                <w:sz w:val="20"/>
                <w:szCs w:val="20"/>
                <w14:ligatures w14:val="standardContextual"/>
              </w:rPr>
              <w:t>%</w:t>
            </w:r>
          </w:p>
        </w:tc>
      </w:tr>
    </w:tbl>
    <w:p w14:paraId="5B760608" w14:textId="77777777" w:rsidR="00A54C1A" w:rsidRDefault="00A54C1A" w:rsidP="00D83239">
      <w:pPr>
        <w:spacing w:after="0" w:line="276" w:lineRule="auto"/>
        <w:jc w:val="both"/>
        <w:rPr>
          <w:rFonts w:ascii="Arial" w:hAnsi="Arial" w:cs="Arial"/>
          <w:b/>
          <w:bCs/>
          <w:sz w:val="20"/>
          <w:szCs w:val="20"/>
        </w:rPr>
      </w:pPr>
    </w:p>
    <w:p w14:paraId="76B59F07" w14:textId="1C20853A" w:rsidR="003C5D73" w:rsidRPr="00D83239" w:rsidRDefault="003C5D73" w:rsidP="00D83239">
      <w:pPr>
        <w:spacing w:after="0" w:line="276" w:lineRule="auto"/>
        <w:jc w:val="both"/>
        <w:rPr>
          <w:rFonts w:ascii="Arial" w:hAnsi="Arial" w:cs="Arial"/>
          <w:bCs/>
          <w:sz w:val="20"/>
          <w:szCs w:val="20"/>
        </w:rPr>
      </w:pPr>
      <w:r w:rsidRPr="00D83239">
        <w:rPr>
          <w:rFonts w:ascii="Arial" w:hAnsi="Arial" w:cs="Arial"/>
          <w:b/>
          <w:bCs/>
          <w:sz w:val="20"/>
          <w:szCs w:val="20"/>
        </w:rPr>
        <w:t>Preglednica</w:t>
      </w:r>
      <w:r w:rsidRPr="003F5DF2">
        <w:rPr>
          <w:rFonts w:ascii="Arial" w:hAnsi="Arial" w:cs="Arial"/>
          <w:bCs/>
          <w:sz w:val="20"/>
          <w:szCs w:val="20"/>
        </w:rPr>
        <w:t>:</w:t>
      </w:r>
      <w:r w:rsidRPr="00D83239">
        <w:rPr>
          <w:rFonts w:ascii="Arial" w:hAnsi="Arial" w:cs="Arial"/>
          <w:bCs/>
          <w:sz w:val="20"/>
          <w:szCs w:val="20"/>
        </w:rPr>
        <w:t xml:space="preserve"> Število prijav začasn</w:t>
      </w:r>
      <w:r w:rsidR="00165462">
        <w:rPr>
          <w:rFonts w:ascii="Arial" w:hAnsi="Arial" w:cs="Arial"/>
          <w:bCs/>
          <w:sz w:val="20"/>
          <w:szCs w:val="20"/>
        </w:rPr>
        <w:t>ega</w:t>
      </w:r>
      <w:r w:rsidRPr="00D83239">
        <w:rPr>
          <w:rFonts w:ascii="Arial" w:hAnsi="Arial" w:cs="Arial"/>
          <w:bCs/>
          <w:sz w:val="20"/>
          <w:szCs w:val="20"/>
        </w:rPr>
        <w:t xml:space="preserve"> prebivališč</w:t>
      </w:r>
      <w:r w:rsidR="00165462">
        <w:rPr>
          <w:rFonts w:ascii="Arial" w:hAnsi="Arial" w:cs="Arial"/>
          <w:bCs/>
          <w:sz w:val="20"/>
          <w:szCs w:val="20"/>
        </w:rPr>
        <w:t>a pri</w:t>
      </w:r>
      <w:r w:rsidRPr="00D83239">
        <w:rPr>
          <w:rFonts w:ascii="Arial" w:hAnsi="Arial" w:cs="Arial"/>
          <w:bCs/>
          <w:sz w:val="20"/>
          <w:szCs w:val="20"/>
        </w:rPr>
        <w:t xml:space="preserve"> stanodajalc</w:t>
      </w:r>
      <w:r w:rsidR="00165462">
        <w:rPr>
          <w:rFonts w:ascii="Arial" w:hAnsi="Arial" w:cs="Arial"/>
          <w:bCs/>
          <w:sz w:val="20"/>
          <w:szCs w:val="20"/>
        </w:rPr>
        <w:t>ih</w:t>
      </w:r>
    </w:p>
    <w:p w14:paraId="242BCC77" w14:textId="545C1B18" w:rsidR="00CC668C" w:rsidRPr="00D83239" w:rsidRDefault="00CC668C" w:rsidP="00D83239">
      <w:pPr>
        <w:spacing w:after="0" w:line="276" w:lineRule="auto"/>
        <w:jc w:val="both"/>
        <w:rPr>
          <w:rFonts w:ascii="Arial" w:hAnsi="Arial" w:cs="Arial"/>
          <w:sz w:val="20"/>
          <w:szCs w:val="20"/>
          <w:highlight w:val="yellow"/>
        </w:rPr>
      </w:pPr>
    </w:p>
    <w:p w14:paraId="019EFDB1" w14:textId="22417A6F" w:rsidR="00653B9D" w:rsidRPr="00D83239" w:rsidRDefault="003C5D73" w:rsidP="00D83239">
      <w:pPr>
        <w:pStyle w:val="Naslov3"/>
        <w:spacing w:line="276" w:lineRule="auto"/>
        <w:jc w:val="both"/>
        <w:rPr>
          <w:rFonts w:cs="Arial"/>
          <w:sz w:val="20"/>
          <w:szCs w:val="20"/>
        </w:rPr>
      </w:pPr>
      <w:bookmarkStart w:id="90" w:name="_Toc225499828"/>
      <w:r w:rsidRPr="00D83239">
        <w:rPr>
          <w:rFonts w:cs="Arial"/>
          <w:sz w:val="20"/>
          <w:szCs w:val="20"/>
        </w:rPr>
        <w:t>Drugi pomembnejši podatki s področja registracije prebivalstva in javnih listin</w:t>
      </w:r>
      <w:bookmarkEnd w:id="90"/>
    </w:p>
    <w:p w14:paraId="06B6A956" w14:textId="441336C6" w:rsidR="004107D7" w:rsidRPr="00D83239" w:rsidRDefault="004107D7" w:rsidP="00D83239">
      <w:pPr>
        <w:spacing w:after="0" w:line="276" w:lineRule="auto"/>
        <w:jc w:val="both"/>
        <w:rPr>
          <w:rFonts w:ascii="Arial" w:hAnsi="Arial" w:cs="Arial"/>
          <w:sz w:val="20"/>
          <w:szCs w:val="20"/>
          <w:highlight w:val="yellow"/>
        </w:rPr>
      </w:pPr>
    </w:p>
    <w:p w14:paraId="5D6C0BF4" w14:textId="77777777" w:rsidR="003C5D73" w:rsidRPr="00D83239" w:rsidRDefault="003C5D73" w:rsidP="00D83239">
      <w:pPr>
        <w:spacing w:after="0" w:line="276" w:lineRule="auto"/>
        <w:jc w:val="both"/>
        <w:rPr>
          <w:rFonts w:ascii="Arial" w:hAnsi="Arial" w:cs="Arial"/>
          <w:b/>
          <w:sz w:val="20"/>
          <w:szCs w:val="20"/>
        </w:rPr>
      </w:pPr>
      <w:r w:rsidRPr="00D83239">
        <w:rPr>
          <w:rFonts w:ascii="Arial" w:hAnsi="Arial" w:cs="Arial"/>
          <w:b/>
          <w:sz w:val="20"/>
          <w:szCs w:val="20"/>
        </w:rPr>
        <w:t>Podatki o vlogah in veljavnih osebnih izkaznicah ter potnih listinah</w:t>
      </w:r>
    </w:p>
    <w:p w14:paraId="15137E2A" w14:textId="36AF8F60" w:rsidR="003C5D73" w:rsidRPr="00D83239" w:rsidRDefault="003C5D73" w:rsidP="00D83239">
      <w:pPr>
        <w:spacing w:line="276" w:lineRule="auto"/>
        <w:jc w:val="both"/>
        <w:rPr>
          <w:rFonts w:ascii="Arial" w:hAnsi="Arial" w:cs="Arial"/>
          <w:sz w:val="20"/>
          <w:szCs w:val="20"/>
        </w:rPr>
      </w:pPr>
      <w:r w:rsidRPr="00D83239">
        <w:rPr>
          <w:rFonts w:ascii="Arial" w:hAnsi="Arial" w:cs="Arial"/>
          <w:sz w:val="20"/>
          <w:szCs w:val="20"/>
        </w:rPr>
        <w:t xml:space="preserve">1. 1. 2026 je imelo veljavni potni list 754.046 državljanov, veljavno osebno izkaznico pa 1.842.698 državljanov. V letu 2025 je bilo vloženih </w:t>
      </w:r>
      <w:r w:rsidR="00165462" w:rsidRPr="00D83239">
        <w:rPr>
          <w:rFonts w:ascii="Arial" w:hAnsi="Arial" w:cs="Arial"/>
          <w:sz w:val="20"/>
          <w:szCs w:val="20"/>
        </w:rPr>
        <w:t>skup</w:t>
      </w:r>
      <w:r w:rsidR="00165462">
        <w:rPr>
          <w:rFonts w:ascii="Arial" w:hAnsi="Arial" w:cs="Arial"/>
          <w:sz w:val="20"/>
          <w:szCs w:val="20"/>
        </w:rPr>
        <w:t>no</w:t>
      </w:r>
      <w:r w:rsidR="00165462" w:rsidRPr="00D83239">
        <w:rPr>
          <w:rFonts w:ascii="Arial" w:hAnsi="Arial" w:cs="Arial"/>
          <w:sz w:val="20"/>
          <w:szCs w:val="20"/>
        </w:rPr>
        <w:t xml:space="preserve"> </w:t>
      </w:r>
      <w:r w:rsidRPr="00D83239">
        <w:rPr>
          <w:rFonts w:ascii="Arial" w:hAnsi="Arial" w:cs="Arial"/>
          <w:sz w:val="20"/>
          <w:szCs w:val="20"/>
        </w:rPr>
        <w:t>91.194 popolnih vlog za izdajo običajnega potnega lista in 207.550 popolnih vlog za izdajo osebne izkaznice.</w:t>
      </w:r>
    </w:p>
    <w:tbl>
      <w:tblPr>
        <w:tblW w:w="5954" w:type="dxa"/>
        <w:tblInd w:w="-5" w:type="dxa"/>
        <w:tblCellMar>
          <w:left w:w="70" w:type="dxa"/>
          <w:right w:w="70" w:type="dxa"/>
        </w:tblCellMar>
        <w:tblLook w:val="0000" w:firstRow="0" w:lastRow="0" w:firstColumn="0" w:lastColumn="0" w:noHBand="0" w:noVBand="0"/>
      </w:tblPr>
      <w:tblGrid>
        <w:gridCol w:w="2410"/>
        <w:gridCol w:w="1701"/>
        <w:gridCol w:w="1843"/>
      </w:tblGrid>
      <w:tr w:rsidR="003C5D73" w:rsidRPr="00D83239" w14:paraId="3EE61AF5" w14:textId="77777777" w:rsidTr="00A91968">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7DBC1AA" w14:textId="77777777" w:rsidR="003C5D73" w:rsidRPr="00D83239" w:rsidRDefault="003C5D73" w:rsidP="00D83239">
            <w:pPr>
              <w:spacing w:after="0" w:line="276" w:lineRule="auto"/>
              <w:jc w:val="both"/>
              <w:rPr>
                <w:rFonts w:ascii="Arial" w:hAnsi="Arial" w:cs="Arial"/>
                <w:b/>
                <w:bCs/>
                <w:sz w:val="20"/>
                <w:szCs w:val="20"/>
              </w:rPr>
            </w:pPr>
            <w:r w:rsidRPr="00D83239">
              <w:rPr>
                <w:rFonts w:ascii="Arial" w:hAnsi="Arial" w:cs="Arial"/>
                <w:b/>
                <w:bCs/>
                <w:sz w:val="20"/>
                <w:szCs w:val="20"/>
              </w:rPr>
              <w:t>Starostna skupina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A15746" w14:textId="6CD4D374" w:rsidR="003C5D73" w:rsidRPr="00D83239" w:rsidRDefault="00165462" w:rsidP="00165462">
            <w:pPr>
              <w:spacing w:after="0" w:line="276" w:lineRule="auto"/>
              <w:jc w:val="both"/>
              <w:rPr>
                <w:rFonts w:ascii="Arial" w:hAnsi="Arial" w:cs="Arial"/>
                <w:b/>
                <w:bCs/>
                <w:sz w:val="20"/>
                <w:szCs w:val="20"/>
              </w:rPr>
            </w:pPr>
            <w:r>
              <w:rPr>
                <w:rFonts w:ascii="Arial" w:hAnsi="Arial" w:cs="Arial"/>
                <w:b/>
                <w:bCs/>
                <w:sz w:val="20"/>
                <w:szCs w:val="20"/>
              </w:rPr>
              <w:t>Š</w:t>
            </w:r>
            <w:r w:rsidR="003C5D73" w:rsidRPr="00D83239">
              <w:rPr>
                <w:rFonts w:ascii="Arial" w:hAnsi="Arial" w:cs="Arial"/>
                <w:b/>
                <w:bCs/>
                <w:sz w:val="20"/>
                <w:szCs w:val="20"/>
              </w:rPr>
              <w:t xml:space="preserve">t. državljanov s potnim listom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DDAF8" w14:textId="35DCDC15" w:rsidR="003C5D73" w:rsidRPr="00D83239" w:rsidRDefault="00165462" w:rsidP="00165462">
            <w:pPr>
              <w:spacing w:after="0" w:line="276" w:lineRule="auto"/>
              <w:jc w:val="both"/>
              <w:rPr>
                <w:rFonts w:ascii="Arial" w:hAnsi="Arial" w:cs="Arial"/>
                <w:b/>
                <w:bCs/>
                <w:sz w:val="20"/>
                <w:szCs w:val="20"/>
              </w:rPr>
            </w:pPr>
            <w:r>
              <w:rPr>
                <w:rFonts w:ascii="Arial" w:hAnsi="Arial" w:cs="Arial"/>
                <w:b/>
                <w:bCs/>
                <w:sz w:val="20"/>
                <w:szCs w:val="20"/>
              </w:rPr>
              <w:t>Š</w:t>
            </w:r>
            <w:r w:rsidR="003C5D73" w:rsidRPr="00D83239">
              <w:rPr>
                <w:rFonts w:ascii="Arial" w:hAnsi="Arial" w:cs="Arial"/>
                <w:b/>
                <w:bCs/>
                <w:sz w:val="20"/>
                <w:szCs w:val="20"/>
              </w:rPr>
              <w:t xml:space="preserve">t. državljanov z osebno izkaznico </w:t>
            </w:r>
          </w:p>
        </w:tc>
      </w:tr>
      <w:tr w:rsidR="003C5D73" w:rsidRPr="00D83239" w14:paraId="652AA2FB" w14:textId="77777777" w:rsidTr="00A9196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1CA5120E" w14:textId="21047421"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do 3. leta</w:t>
            </w:r>
            <w:r w:rsidR="00165462">
              <w:rPr>
                <w:rFonts w:ascii="Arial" w:hAnsi="Arial" w:cs="Arial"/>
                <w:sz w:val="20"/>
                <w:szCs w:val="20"/>
              </w:rPr>
              <w:t xml:space="preserve"> starosti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3B26FE4"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8.050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7B3845"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34.148</w:t>
            </w:r>
          </w:p>
        </w:tc>
      </w:tr>
      <w:tr w:rsidR="003C5D73" w:rsidRPr="00D83239" w14:paraId="2C1480B8" w14:textId="77777777" w:rsidTr="00A9196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2FBB5106"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od 3 do 18 let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2024DA"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104.392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329896"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263.343</w:t>
            </w:r>
          </w:p>
        </w:tc>
      </w:tr>
      <w:tr w:rsidR="003C5D73" w:rsidRPr="00D83239" w14:paraId="0B4EACE7" w14:textId="77777777" w:rsidTr="00A9196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299ADE99"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od 18 do 31 let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55A5F8F"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124.468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10D1D4"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228.871</w:t>
            </w:r>
          </w:p>
        </w:tc>
      </w:tr>
      <w:tr w:rsidR="003C5D73" w:rsidRPr="00D83239" w14:paraId="51AC9B38" w14:textId="77777777" w:rsidTr="00A9196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644BC932"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od 31 do 41 let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72749B"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117.275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F0384D"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211.593</w:t>
            </w:r>
          </w:p>
        </w:tc>
      </w:tr>
      <w:tr w:rsidR="003C5D73" w:rsidRPr="00D83239" w14:paraId="6C9C5DFF" w14:textId="77777777" w:rsidTr="00A9196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65CB847D"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od 41 do 51 let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BA6A4BF"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136.904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0B1E75"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267.630</w:t>
            </w:r>
          </w:p>
        </w:tc>
      </w:tr>
      <w:tr w:rsidR="003C5D73" w:rsidRPr="00D83239" w14:paraId="0DE05213" w14:textId="77777777" w:rsidTr="00A9196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45CEE444"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od 51 do 61 let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D17DC72"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120.129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70CFCB"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264.028</w:t>
            </w:r>
          </w:p>
        </w:tc>
      </w:tr>
      <w:tr w:rsidR="003C5D73" w:rsidRPr="00D83239" w14:paraId="63ED8F70" w14:textId="77777777" w:rsidTr="00A9196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71B966A3"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od 61 do 71 let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A35CD8"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89.023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2DBE62"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260.038</w:t>
            </w:r>
          </w:p>
        </w:tc>
      </w:tr>
      <w:tr w:rsidR="003C5D73" w:rsidRPr="00D83239" w14:paraId="089CE0F5" w14:textId="77777777" w:rsidTr="00A9196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2BA4B3B9"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več kot 71 let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88F9998"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53.805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0450CE" w14:textId="77777777" w:rsidR="003C5D73" w:rsidRPr="00D83239" w:rsidRDefault="003C5D73" w:rsidP="00946991">
            <w:pPr>
              <w:spacing w:after="0" w:line="276" w:lineRule="auto"/>
              <w:jc w:val="right"/>
              <w:rPr>
                <w:rFonts w:ascii="Arial" w:hAnsi="Arial" w:cs="Arial"/>
                <w:sz w:val="20"/>
                <w:szCs w:val="20"/>
              </w:rPr>
            </w:pPr>
            <w:r w:rsidRPr="00D83239">
              <w:rPr>
                <w:rFonts w:ascii="Arial" w:hAnsi="Arial" w:cs="Arial"/>
                <w:sz w:val="20"/>
                <w:szCs w:val="20"/>
              </w:rPr>
              <w:t>313.047</w:t>
            </w:r>
          </w:p>
        </w:tc>
      </w:tr>
      <w:tr w:rsidR="003C5D73" w:rsidRPr="00D83239" w14:paraId="44C2527E" w14:textId="77777777" w:rsidTr="00A9196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056EBC9F" w14:textId="77777777" w:rsidR="003C5D73" w:rsidRPr="00D83239" w:rsidRDefault="003C5D73" w:rsidP="00086963">
            <w:pPr>
              <w:shd w:val="clear" w:color="auto" w:fill="FFFFFF" w:themeFill="background1"/>
              <w:spacing w:after="0" w:line="276" w:lineRule="auto"/>
              <w:jc w:val="both"/>
              <w:rPr>
                <w:rFonts w:ascii="Arial" w:hAnsi="Arial" w:cs="Arial"/>
                <w:b/>
                <w:bCs/>
                <w:sz w:val="20"/>
                <w:szCs w:val="20"/>
              </w:rPr>
            </w:pPr>
            <w:r w:rsidRPr="00D83239">
              <w:rPr>
                <w:rFonts w:ascii="Arial" w:hAnsi="Arial" w:cs="Arial"/>
                <w:b/>
                <w:bCs/>
                <w:sz w:val="20"/>
                <w:szCs w:val="20"/>
              </w:rPr>
              <w:t>SKUPAJ</w:t>
            </w:r>
          </w:p>
        </w:tc>
        <w:tc>
          <w:tcPr>
            <w:tcW w:w="1701" w:type="dxa"/>
            <w:tcBorders>
              <w:top w:val="single" w:sz="4" w:space="0" w:color="auto"/>
              <w:left w:val="single" w:sz="4" w:space="0" w:color="auto"/>
              <w:bottom w:val="single" w:sz="4" w:space="0" w:color="auto"/>
              <w:right w:val="single" w:sz="4" w:space="0" w:color="auto"/>
            </w:tcBorders>
          </w:tcPr>
          <w:p w14:paraId="0446DA49" w14:textId="77777777" w:rsidR="003C5D73" w:rsidRPr="00D83239" w:rsidRDefault="003C5D73" w:rsidP="00086963">
            <w:pPr>
              <w:shd w:val="clear" w:color="auto" w:fill="FFFFFF" w:themeFill="background1"/>
              <w:spacing w:after="0" w:line="276" w:lineRule="auto"/>
              <w:jc w:val="right"/>
              <w:rPr>
                <w:rFonts w:ascii="Arial" w:hAnsi="Arial" w:cs="Arial"/>
                <w:b/>
                <w:bCs/>
                <w:sz w:val="20"/>
                <w:szCs w:val="20"/>
              </w:rPr>
            </w:pPr>
            <w:r w:rsidRPr="00D83239">
              <w:rPr>
                <w:rFonts w:ascii="Arial" w:hAnsi="Arial" w:cs="Arial"/>
                <w:b/>
                <w:bCs/>
                <w:sz w:val="20"/>
                <w:szCs w:val="20"/>
              </w:rPr>
              <w:t>754.046</w:t>
            </w:r>
          </w:p>
        </w:tc>
        <w:tc>
          <w:tcPr>
            <w:tcW w:w="1843" w:type="dxa"/>
            <w:tcBorders>
              <w:top w:val="single" w:sz="4" w:space="0" w:color="auto"/>
              <w:left w:val="single" w:sz="4" w:space="0" w:color="auto"/>
              <w:bottom w:val="single" w:sz="4" w:space="0" w:color="auto"/>
              <w:right w:val="single" w:sz="4" w:space="0" w:color="auto"/>
            </w:tcBorders>
          </w:tcPr>
          <w:p w14:paraId="2D30D0AD" w14:textId="77777777" w:rsidR="003C5D73" w:rsidRPr="00D83239" w:rsidRDefault="003C5D73" w:rsidP="00086963">
            <w:pPr>
              <w:shd w:val="clear" w:color="auto" w:fill="FFFFFF" w:themeFill="background1"/>
              <w:spacing w:after="0" w:line="276" w:lineRule="auto"/>
              <w:jc w:val="right"/>
              <w:rPr>
                <w:rFonts w:ascii="Arial" w:hAnsi="Arial" w:cs="Arial"/>
                <w:b/>
                <w:bCs/>
                <w:sz w:val="20"/>
                <w:szCs w:val="20"/>
              </w:rPr>
            </w:pPr>
            <w:r w:rsidRPr="00D83239">
              <w:rPr>
                <w:rFonts w:ascii="Arial" w:hAnsi="Arial" w:cs="Arial"/>
                <w:b/>
                <w:sz w:val="20"/>
                <w:szCs w:val="20"/>
              </w:rPr>
              <w:t>1.842.698</w:t>
            </w:r>
          </w:p>
        </w:tc>
      </w:tr>
    </w:tbl>
    <w:p w14:paraId="23442958" w14:textId="77777777" w:rsidR="00A54C1A" w:rsidRDefault="00A54C1A" w:rsidP="00086963">
      <w:pPr>
        <w:shd w:val="clear" w:color="auto" w:fill="FFFFFF" w:themeFill="background1"/>
        <w:spacing w:after="0" w:line="276" w:lineRule="auto"/>
        <w:jc w:val="both"/>
        <w:rPr>
          <w:rFonts w:ascii="Arial" w:hAnsi="Arial" w:cs="Arial"/>
          <w:b/>
          <w:bCs/>
          <w:sz w:val="20"/>
          <w:szCs w:val="20"/>
        </w:rPr>
      </w:pPr>
    </w:p>
    <w:p w14:paraId="4A53632F" w14:textId="0C6BEBDD" w:rsidR="003C5D73" w:rsidRPr="00D83239" w:rsidRDefault="003C5D73" w:rsidP="00D83239">
      <w:pPr>
        <w:spacing w:after="0" w:line="276" w:lineRule="auto"/>
        <w:jc w:val="both"/>
        <w:rPr>
          <w:rFonts w:ascii="Arial" w:hAnsi="Arial" w:cs="Arial"/>
          <w:bCs/>
          <w:sz w:val="20"/>
          <w:szCs w:val="20"/>
        </w:rPr>
      </w:pPr>
      <w:r w:rsidRPr="00D83239">
        <w:rPr>
          <w:rFonts w:ascii="Arial" w:hAnsi="Arial" w:cs="Arial"/>
          <w:b/>
          <w:bCs/>
          <w:sz w:val="20"/>
          <w:szCs w:val="20"/>
        </w:rPr>
        <w:t>Preglednica</w:t>
      </w:r>
      <w:r w:rsidRPr="001004C7">
        <w:rPr>
          <w:rFonts w:ascii="Arial" w:hAnsi="Arial" w:cs="Arial"/>
          <w:bCs/>
          <w:sz w:val="20"/>
          <w:szCs w:val="20"/>
        </w:rPr>
        <w:t>:</w:t>
      </w:r>
      <w:r w:rsidRPr="00D83239">
        <w:rPr>
          <w:rFonts w:ascii="Arial" w:hAnsi="Arial" w:cs="Arial"/>
          <w:bCs/>
          <w:sz w:val="20"/>
          <w:szCs w:val="20"/>
        </w:rPr>
        <w:t xml:space="preserve"> Število državljanov z veljavnim potnim listom in ose</w:t>
      </w:r>
      <w:r w:rsidR="00716F34" w:rsidRPr="00D83239">
        <w:rPr>
          <w:rFonts w:ascii="Arial" w:hAnsi="Arial" w:cs="Arial"/>
          <w:bCs/>
          <w:sz w:val="20"/>
          <w:szCs w:val="20"/>
        </w:rPr>
        <w:t>bno izkaznico na dan 1. 1. 2026</w:t>
      </w:r>
    </w:p>
    <w:p w14:paraId="7C10E1C1" w14:textId="77777777" w:rsidR="003C5D73" w:rsidRPr="00D83239" w:rsidRDefault="003C5D73" w:rsidP="00D83239">
      <w:pPr>
        <w:spacing w:after="0" w:line="276" w:lineRule="auto"/>
        <w:jc w:val="both"/>
        <w:rPr>
          <w:rFonts w:ascii="Arial" w:hAnsi="Arial" w:cs="Arial"/>
          <w:b/>
          <w:sz w:val="20"/>
          <w:szCs w:val="20"/>
        </w:rPr>
      </w:pPr>
    </w:p>
    <w:p w14:paraId="61FB7B87" w14:textId="77777777" w:rsidR="003C5D73" w:rsidRPr="001545E9" w:rsidRDefault="003C5D73" w:rsidP="00D83239">
      <w:pPr>
        <w:spacing w:after="0" w:line="276" w:lineRule="auto"/>
        <w:jc w:val="both"/>
        <w:rPr>
          <w:rFonts w:ascii="Arial" w:hAnsi="Arial" w:cs="Arial"/>
          <w:sz w:val="20"/>
          <w:szCs w:val="20"/>
        </w:rPr>
      </w:pPr>
      <w:r w:rsidRPr="001545E9">
        <w:rPr>
          <w:rFonts w:ascii="Arial" w:hAnsi="Arial" w:cs="Arial"/>
          <w:b/>
          <w:sz w:val="20"/>
          <w:szCs w:val="20"/>
        </w:rPr>
        <w:t>Določitev enotne matične številke občana (EMŠO)</w:t>
      </w:r>
    </w:p>
    <w:p w14:paraId="08FAED9B" w14:textId="77777777" w:rsidR="00086963" w:rsidRDefault="003C5D73" w:rsidP="00086963">
      <w:pPr>
        <w:tabs>
          <w:tab w:val="left" w:pos="8789"/>
        </w:tabs>
        <w:spacing w:line="276" w:lineRule="auto"/>
        <w:jc w:val="both"/>
        <w:rPr>
          <w:rFonts w:ascii="Arial" w:hAnsi="Arial" w:cs="Arial"/>
          <w:b/>
          <w:sz w:val="20"/>
          <w:szCs w:val="20"/>
        </w:rPr>
      </w:pPr>
      <w:r w:rsidRPr="001545E9">
        <w:rPr>
          <w:rFonts w:ascii="Arial" w:hAnsi="Arial" w:cs="Arial"/>
          <w:sz w:val="20"/>
          <w:szCs w:val="20"/>
        </w:rPr>
        <w:t xml:space="preserve">V letu 2025 je bilo določenih </w:t>
      </w:r>
      <w:r w:rsidRPr="001545E9">
        <w:rPr>
          <w:rFonts w:ascii="Arial" w:hAnsi="Arial" w:cs="Arial"/>
          <w:b/>
          <w:bCs/>
          <w:sz w:val="20"/>
          <w:szCs w:val="20"/>
        </w:rPr>
        <w:t>82.327</w:t>
      </w:r>
      <w:r w:rsidRPr="001545E9">
        <w:rPr>
          <w:rFonts w:ascii="Arial" w:hAnsi="Arial" w:cs="Arial"/>
          <w:sz w:val="20"/>
          <w:szCs w:val="20"/>
        </w:rPr>
        <w:t xml:space="preserve"> EMŠO in spremenjenih </w:t>
      </w:r>
      <w:r w:rsidRPr="001545E9">
        <w:rPr>
          <w:rFonts w:ascii="Arial" w:hAnsi="Arial" w:cs="Arial"/>
          <w:b/>
          <w:bCs/>
          <w:sz w:val="20"/>
          <w:szCs w:val="20"/>
        </w:rPr>
        <w:t>1.918</w:t>
      </w:r>
      <w:r w:rsidRPr="001545E9">
        <w:rPr>
          <w:rFonts w:ascii="Arial" w:hAnsi="Arial" w:cs="Arial"/>
          <w:sz w:val="20"/>
          <w:szCs w:val="20"/>
        </w:rPr>
        <w:t xml:space="preserve"> EMŠO. Spremembe so posledica popravkov osebnih podatkov evidenčnih tujcev, kot so priimek, naslov </w:t>
      </w:r>
      <w:r w:rsidR="00165462" w:rsidRPr="001545E9">
        <w:rPr>
          <w:rFonts w:ascii="Arial" w:hAnsi="Arial" w:cs="Arial"/>
          <w:sz w:val="20"/>
          <w:szCs w:val="20"/>
        </w:rPr>
        <w:t>in drugo.</w:t>
      </w:r>
    </w:p>
    <w:p w14:paraId="34C25D25" w14:textId="580D8AA7" w:rsidR="003C5D73" w:rsidRPr="00D83239" w:rsidRDefault="00946991" w:rsidP="00086963">
      <w:pPr>
        <w:tabs>
          <w:tab w:val="left" w:pos="8789"/>
        </w:tabs>
        <w:spacing w:line="276" w:lineRule="auto"/>
        <w:jc w:val="both"/>
        <w:rPr>
          <w:rFonts w:ascii="Arial" w:hAnsi="Arial" w:cs="Arial"/>
          <w:b/>
          <w:sz w:val="20"/>
          <w:szCs w:val="20"/>
        </w:rPr>
      </w:pPr>
      <w:r w:rsidRPr="00D83239">
        <w:rPr>
          <w:rFonts w:ascii="Arial" w:hAnsi="Arial" w:cs="Arial"/>
          <w:noProof/>
          <w:sz w:val="20"/>
          <w:szCs w:val="20"/>
          <w:lang w:eastAsia="sl-SI"/>
          <w14:ligatures w14:val="standardContextual"/>
        </w:rPr>
        <w:drawing>
          <wp:anchor distT="0" distB="0" distL="114300" distR="114300" simplePos="0" relativeHeight="251743744" behindDoc="0" locked="0" layoutInCell="1" allowOverlap="1" wp14:anchorId="0481FA24" wp14:editId="2A6AE655">
            <wp:simplePos x="0" y="0"/>
            <wp:positionH relativeFrom="margin">
              <wp:align>right</wp:align>
            </wp:positionH>
            <wp:positionV relativeFrom="paragraph">
              <wp:posOffset>169545</wp:posOffset>
            </wp:positionV>
            <wp:extent cx="5735955" cy="3295650"/>
            <wp:effectExtent l="0" t="0" r="17145" b="0"/>
            <wp:wrapSquare wrapText="bothSides"/>
            <wp:docPr id="12" name="Grafikon 12">
              <a:extLst xmlns:a="http://schemas.openxmlformats.org/drawingml/2006/main">
                <a:ext uri="{FF2B5EF4-FFF2-40B4-BE49-F238E27FC236}">
                  <a16:creationId xmlns:a16="http://schemas.microsoft.com/office/drawing/2014/main" id="{00000000-0008-0000-0000-000003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1398B14" w14:textId="77777777" w:rsidR="00F01A1E" w:rsidRDefault="00F01A1E" w:rsidP="00946991">
      <w:pPr>
        <w:tabs>
          <w:tab w:val="left" w:pos="8789"/>
        </w:tabs>
        <w:spacing w:line="276" w:lineRule="auto"/>
        <w:jc w:val="both"/>
        <w:rPr>
          <w:rFonts w:ascii="Arial" w:hAnsi="Arial" w:cs="Arial"/>
          <w:b/>
          <w:sz w:val="20"/>
          <w:szCs w:val="20"/>
        </w:rPr>
      </w:pPr>
    </w:p>
    <w:p w14:paraId="6A87547E" w14:textId="528DBF09" w:rsidR="00F01A1E" w:rsidRDefault="003C5D73" w:rsidP="00F01A1E">
      <w:pPr>
        <w:tabs>
          <w:tab w:val="left" w:pos="8789"/>
        </w:tabs>
        <w:spacing w:after="0" w:line="276" w:lineRule="auto"/>
        <w:jc w:val="both"/>
        <w:rPr>
          <w:rFonts w:ascii="Arial" w:hAnsi="Arial" w:cs="Arial"/>
          <w:bCs/>
          <w:sz w:val="20"/>
          <w:szCs w:val="20"/>
        </w:rPr>
      </w:pPr>
      <w:r w:rsidRPr="00D83239">
        <w:rPr>
          <w:rFonts w:ascii="Arial" w:hAnsi="Arial" w:cs="Arial"/>
          <w:b/>
          <w:sz w:val="20"/>
          <w:szCs w:val="20"/>
        </w:rPr>
        <w:t>Graf</w:t>
      </w:r>
      <w:r w:rsidR="00165462">
        <w:rPr>
          <w:rFonts w:ascii="Arial" w:hAnsi="Arial" w:cs="Arial"/>
          <w:b/>
          <w:sz w:val="20"/>
          <w:szCs w:val="20"/>
        </w:rPr>
        <w:t>ikon</w:t>
      </w:r>
      <w:r w:rsidRPr="00946991">
        <w:rPr>
          <w:rFonts w:ascii="Arial" w:hAnsi="Arial" w:cs="Arial"/>
          <w:sz w:val="20"/>
          <w:szCs w:val="20"/>
        </w:rPr>
        <w:t>:</w:t>
      </w:r>
      <w:r w:rsidR="00946991" w:rsidRPr="00946991">
        <w:rPr>
          <w:rFonts w:ascii="Arial" w:hAnsi="Arial" w:cs="Arial"/>
          <w:sz w:val="20"/>
          <w:szCs w:val="20"/>
        </w:rPr>
        <w:t xml:space="preserve"> </w:t>
      </w:r>
      <w:r w:rsidR="00946991" w:rsidRPr="00946991">
        <w:rPr>
          <w:rFonts w:ascii="Arial" w:hAnsi="Arial" w:cs="Arial"/>
          <w:bCs/>
          <w:sz w:val="20"/>
          <w:szCs w:val="20"/>
        </w:rPr>
        <w:t xml:space="preserve">Določitev EMŠO v letu 2025 </w:t>
      </w:r>
      <w:r w:rsidR="00D052CB">
        <w:rPr>
          <w:rFonts w:ascii="Arial" w:hAnsi="Arial" w:cs="Arial"/>
          <w:bCs/>
          <w:sz w:val="20"/>
          <w:szCs w:val="20"/>
        </w:rPr>
        <w:t>(</w:t>
      </w:r>
      <w:r w:rsidR="00946991" w:rsidRPr="00946991">
        <w:rPr>
          <w:rFonts w:ascii="Arial" w:hAnsi="Arial" w:cs="Arial"/>
          <w:bCs/>
          <w:sz w:val="20"/>
          <w:szCs w:val="20"/>
        </w:rPr>
        <w:t>do 31.</w:t>
      </w:r>
      <w:r w:rsidR="00267B5A">
        <w:rPr>
          <w:rFonts w:ascii="Arial" w:hAnsi="Arial" w:cs="Arial"/>
          <w:bCs/>
          <w:sz w:val="20"/>
          <w:szCs w:val="20"/>
        </w:rPr>
        <w:t xml:space="preserve"> </w:t>
      </w:r>
      <w:r w:rsidR="00946991" w:rsidRPr="00946991">
        <w:rPr>
          <w:rFonts w:ascii="Arial" w:hAnsi="Arial" w:cs="Arial"/>
          <w:bCs/>
          <w:sz w:val="20"/>
          <w:szCs w:val="20"/>
        </w:rPr>
        <w:t>12. 2025</w:t>
      </w:r>
      <w:r w:rsidR="00D052CB">
        <w:rPr>
          <w:rFonts w:ascii="Arial" w:hAnsi="Arial" w:cs="Arial"/>
          <w:bCs/>
          <w:sz w:val="20"/>
          <w:szCs w:val="20"/>
        </w:rPr>
        <w:t>)</w:t>
      </w:r>
      <w:r w:rsidR="00946991" w:rsidRPr="00946991">
        <w:rPr>
          <w:rFonts w:ascii="Arial" w:hAnsi="Arial" w:cs="Arial"/>
          <w:bCs/>
          <w:sz w:val="20"/>
          <w:szCs w:val="20"/>
        </w:rPr>
        <w:t xml:space="preserve"> po institucijah</w:t>
      </w:r>
      <w:r w:rsidR="00946991">
        <w:rPr>
          <w:rFonts w:ascii="Arial" w:hAnsi="Arial" w:cs="Arial"/>
          <w:sz w:val="20"/>
          <w:szCs w:val="20"/>
        </w:rPr>
        <w:t xml:space="preserve"> (</w:t>
      </w:r>
      <w:r w:rsidR="00946991">
        <w:rPr>
          <w:rFonts w:ascii="Arial" w:hAnsi="Arial" w:cs="Arial"/>
          <w:bCs/>
          <w:sz w:val="20"/>
          <w:szCs w:val="20"/>
        </w:rPr>
        <w:t xml:space="preserve">določenih </w:t>
      </w:r>
      <w:r w:rsidR="00165462">
        <w:rPr>
          <w:rFonts w:ascii="Arial" w:hAnsi="Arial" w:cs="Arial"/>
          <w:bCs/>
          <w:sz w:val="20"/>
          <w:szCs w:val="20"/>
        </w:rPr>
        <w:t xml:space="preserve">skupno </w:t>
      </w:r>
      <w:r w:rsidR="00946991">
        <w:rPr>
          <w:rFonts w:ascii="Arial" w:hAnsi="Arial" w:cs="Arial"/>
          <w:bCs/>
          <w:sz w:val="20"/>
          <w:szCs w:val="20"/>
        </w:rPr>
        <w:t>82.327</w:t>
      </w:r>
      <w:r w:rsidR="00D052CB">
        <w:rPr>
          <w:rFonts w:ascii="Arial" w:hAnsi="Arial" w:cs="Arial"/>
          <w:bCs/>
          <w:sz w:val="20"/>
          <w:szCs w:val="20"/>
        </w:rPr>
        <w:t> </w:t>
      </w:r>
      <w:r w:rsidR="00946991">
        <w:rPr>
          <w:rFonts w:ascii="Arial" w:hAnsi="Arial" w:cs="Arial"/>
          <w:bCs/>
          <w:sz w:val="20"/>
          <w:szCs w:val="20"/>
        </w:rPr>
        <w:t>EMŠO)</w:t>
      </w:r>
    </w:p>
    <w:p w14:paraId="22E68D0B" w14:textId="77777777" w:rsidR="00F01A1E" w:rsidRPr="00F01A1E" w:rsidRDefault="00F01A1E" w:rsidP="00F01A1E">
      <w:pPr>
        <w:tabs>
          <w:tab w:val="left" w:pos="8789"/>
        </w:tabs>
        <w:spacing w:after="0" w:line="276" w:lineRule="auto"/>
        <w:jc w:val="both"/>
        <w:rPr>
          <w:rFonts w:ascii="Arial" w:hAnsi="Arial" w:cs="Arial"/>
          <w:sz w:val="20"/>
          <w:szCs w:val="20"/>
        </w:rPr>
      </w:pPr>
    </w:p>
    <w:p w14:paraId="0C20D20E" w14:textId="7B6B9D88" w:rsidR="003C5D73" w:rsidRPr="00D83239" w:rsidRDefault="003C5D73" w:rsidP="00D83239">
      <w:pPr>
        <w:autoSpaceDE w:val="0"/>
        <w:autoSpaceDN w:val="0"/>
        <w:adjustRightInd w:val="0"/>
        <w:spacing w:after="0" w:line="276" w:lineRule="auto"/>
        <w:jc w:val="both"/>
        <w:rPr>
          <w:rFonts w:ascii="Arial" w:hAnsi="Arial" w:cs="Arial"/>
          <w:b/>
          <w:sz w:val="20"/>
          <w:szCs w:val="20"/>
        </w:rPr>
      </w:pPr>
      <w:r w:rsidRPr="00D83239">
        <w:rPr>
          <w:rFonts w:ascii="Arial" w:hAnsi="Arial" w:cs="Arial"/>
          <w:b/>
          <w:sz w:val="20"/>
          <w:szCs w:val="20"/>
        </w:rPr>
        <w:t>Vpogled v lastne osebne podatke – VLOP</w:t>
      </w:r>
    </w:p>
    <w:p w14:paraId="622729D1" w14:textId="251D88A8" w:rsidR="003C5D73" w:rsidRPr="00D83239" w:rsidRDefault="003C5D73" w:rsidP="001545E9">
      <w:pPr>
        <w:tabs>
          <w:tab w:val="right" w:pos="9070"/>
        </w:tabs>
        <w:autoSpaceDE w:val="0"/>
        <w:autoSpaceDN w:val="0"/>
        <w:adjustRightInd w:val="0"/>
        <w:spacing w:line="276" w:lineRule="auto"/>
        <w:jc w:val="both"/>
        <w:rPr>
          <w:rFonts w:ascii="Arial" w:hAnsi="Arial" w:cs="Arial"/>
          <w:b/>
          <w:sz w:val="20"/>
          <w:szCs w:val="20"/>
        </w:rPr>
      </w:pPr>
      <w:r w:rsidRPr="00D83239">
        <w:rPr>
          <w:rFonts w:ascii="Arial" w:hAnsi="Arial" w:cs="Arial"/>
          <w:sz w:val="20"/>
          <w:szCs w:val="20"/>
        </w:rPr>
        <w:t>V letu </w:t>
      </w:r>
      <w:r w:rsidRPr="00D83239">
        <w:rPr>
          <w:rFonts w:ascii="Arial" w:hAnsi="Arial" w:cs="Arial"/>
          <w:bCs/>
          <w:sz w:val="20"/>
          <w:szCs w:val="20"/>
        </w:rPr>
        <w:t>2025</w:t>
      </w:r>
      <w:r w:rsidRPr="00D83239">
        <w:rPr>
          <w:rFonts w:ascii="Arial" w:hAnsi="Arial" w:cs="Arial"/>
          <w:sz w:val="20"/>
          <w:szCs w:val="20"/>
        </w:rPr>
        <w:t xml:space="preserve"> je bilo opravljenih </w:t>
      </w:r>
      <w:r w:rsidRPr="00D83239">
        <w:rPr>
          <w:rFonts w:ascii="Arial" w:hAnsi="Arial" w:cs="Arial"/>
          <w:b/>
          <w:bCs/>
          <w:sz w:val="20"/>
          <w:szCs w:val="20"/>
        </w:rPr>
        <w:t>4.105 vpogledov</w:t>
      </w:r>
      <w:r w:rsidRPr="00D83239">
        <w:rPr>
          <w:rFonts w:ascii="Arial" w:hAnsi="Arial" w:cs="Arial"/>
          <w:sz w:val="20"/>
          <w:szCs w:val="20"/>
        </w:rPr>
        <w:t xml:space="preserve"> v lastne osebne podatke prek portala VLOP.</w:t>
      </w:r>
      <w:r w:rsidR="00267B5A">
        <w:rPr>
          <w:rFonts w:ascii="Arial" w:hAnsi="Arial" w:cs="Arial"/>
          <w:sz w:val="20"/>
          <w:szCs w:val="20"/>
        </w:rPr>
        <w:tab/>
      </w:r>
    </w:p>
    <w:p w14:paraId="137C22C0" w14:textId="20F1ECFF" w:rsidR="003C5D73" w:rsidRPr="00D83239" w:rsidRDefault="003C5D73" w:rsidP="00D83239">
      <w:pPr>
        <w:autoSpaceDE w:val="0"/>
        <w:autoSpaceDN w:val="0"/>
        <w:adjustRightInd w:val="0"/>
        <w:spacing w:after="0" w:line="276" w:lineRule="auto"/>
        <w:jc w:val="both"/>
        <w:rPr>
          <w:rFonts w:ascii="Arial" w:hAnsi="Arial" w:cs="Arial"/>
          <w:b/>
          <w:sz w:val="20"/>
          <w:szCs w:val="20"/>
        </w:rPr>
      </w:pPr>
      <w:r w:rsidRPr="00D83239">
        <w:rPr>
          <w:rFonts w:ascii="Arial" w:hAnsi="Arial" w:cs="Arial"/>
          <w:b/>
          <w:sz w:val="20"/>
          <w:szCs w:val="20"/>
        </w:rPr>
        <w:t>Podatki o vpis</w:t>
      </w:r>
      <w:r w:rsidR="00165462">
        <w:rPr>
          <w:rFonts w:ascii="Arial" w:hAnsi="Arial" w:cs="Arial"/>
          <w:b/>
          <w:sz w:val="20"/>
          <w:szCs w:val="20"/>
        </w:rPr>
        <w:t>u</w:t>
      </w:r>
      <w:r w:rsidRPr="00D83239">
        <w:rPr>
          <w:rFonts w:ascii="Arial" w:hAnsi="Arial" w:cs="Arial"/>
          <w:b/>
          <w:sz w:val="20"/>
          <w:szCs w:val="20"/>
        </w:rPr>
        <w:t xml:space="preserve"> v </w:t>
      </w:r>
      <w:r w:rsidR="0030280B">
        <w:rPr>
          <w:rFonts w:ascii="Arial" w:hAnsi="Arial" w:cs="Arial"/>
          <w:b/>
          <w:sz w:val="20"/>
          <w:szCs w:val="20"/>
        </w:rPr>
        <w:t>M</w:t>
      </w:r>
      <w:r w:rsidRPr="00D83239">
        <w:rPr>
          <w:rFonts w:ascii="Arial" w:hAnsi="Arial" w:cs="Arial"/>
          <w:b/>
          <w:sz w:val="20"/>
          <w:szCs w:val="20"/>
        </w:rPr>
        <w:t>atični register</w:t>
      </w:r>
    </w:p>
    <w:p w14:paraId="1C4DE1D7" w14:textId="7C1DB266" w:rsidR="003C5D73" w:rsidRPr="00D83239" w:rsidRDefault="003C5D73"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 xml:space="preserve">V letu 2025 so bili v </w:t>
      </w:r>
      <w:r w:rsidR="0030280B">
        <w:rPr>
          <w:rFonts w:ascii="Arial" w:hAnsi="Arial" w:cs="Arial"/>
          <w:sz w:val="20"/>
          <w:szCs w:val="20"/>
        </w:rPr>
        <w:t>M</w:t>
      </w:r>
      <w:r w:rsidRPr="00D83239">
        <w:rPr>
          <w:rFonts w:ascii="Arial" w:hAnsi="Arial" w:cs="Arial"/>
          <w:sz w:val="20"/>
          <w:szCs w:val="20"/>
        </w:rPr>
        <w:t>atični register vpisani tudi naslednji podatki:</w:t>
      </w:r>
    </w:p>
    <w:p w14:paraId="72DDB085" w14:textId="77777777" w:rsidR="003C5D73" w:rsidRPr="00D83239" w:rsidRDefault="003C5D73" w:rsidP="00D83239">
      <w:pPr>
        <w:autoSpaceDE w:val="0"/>
        <w:autoSpaceDN w:val="0"/>
        <w:adjustRightInd w:val="0"/>
        <w:spacing w:after="0" w:line="276" w:lineRule="auto"/>
        <w:jc w:val="both"/>
        <w:rPr>
          <w:rFonts w:ascii="Arial" w:hAnsi="Arial" w:cs="Arial"/>
          <w:sz w:val="20"/>
          <w:szCs w:val="20"/>
        </w:rPr>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417"/>
      </w:tblGrid>
      <w:tr w:rsidR="003C5D73" w:rsidRPr="00D83239" w14:paraId="0C9E2402" w14:textId="77777777" w:rsidTr="00A91968">
        <w:trPr>
          <w:trHeight w:val="285"/>
        </w:trPr>
        <w:tc>
          <w:tcPr>
            <w:tcW w:w="4815" w:type="dxa"/>
            <w:shd w:val="clear" w:color="auto" w:fill="D9D9D9" w:themeFill="background1" w:themeFillShade="D9"/>
          </w:tcPr>
          <w:p w14:paraId="3DC9E018" w14:textId="77777777" w:rsidR="003C5D73" w:rsidRPr="00D83239" w:rsidRDefault="003C5D73" w:rsidP="00D83239">
            <w:pPr>
              <w:spacing w:after="0" w:line="276" w:lineRule="auto"/>
              <w:jc w:val="both"/>
              <w:rPr>
                <w:rFonts w:ascii="Arial" w:hAnsi="Arial" w:cs="Arial"/>
                <w:b/>
                <w:sz w:val="20"/>
                <w:szCs w:val="20"/>
              </w:rPr>
            </w:pPr>
            <w:r w:rsidRPr="00D83239">
              <w:rPr>
                <w:rFonts w:ascii="Arial" w:hAnsi="Arial" w:cs="Arial"/>
                <w:b/>
                <w:sz w:val="20"/>
                <w:szCs w:val="20"/>
              </w:rPr>
              <w:t>MATIČNA DEJSTVA</w:t>
            </w:r>
          </w:p>
        </w:tc>
        <w:tc>
          <w:tcPr>
            <w:tcW w:w="1417" w:type="dxa"/>
            <w:shd w:val="clear" w:color="auto" w:fill="D9D9D9" w:themeFill="background1" w:themeFillShade="D9"/>
          </w:tcPr>
          <w:p w14:paraId="04A6C347" w14:textId="77777777" w:rsidR="003C5D73" w:rsidRPr="00D83239" w:rsidRDefault="003C5D73" w:rsidP="00D83239">
            <w:pPr>
              <w:spacing w:after="0" w:line="276" w:lineRule="auto"/>
              <w:jc w:val="both"/>
              <w:rPr>
                <w:rFonts w:ascii="Arial" w:hAnsi="Arial" w:cs="Arial"/>
                <w:b/>
                <w:sz w:val="20"/>
                <w:szCs w:val="20"/>
              </w:rPr>
            </w:pPr>
            <w:r w:rsidRPr="00D83239">
              <w:rPr>
                <w:rFonts w:ascii="Arial" w:hAnsi="Arial" w:cs="Arial"/>
                <w:b/>
                <w:sz w:val="20"/>
                <w:szCs w:val="20"/>
              </w:rPr>
              <w:t>Število</w:t>
            </w:r>
          </w:p>
        </w:tc>
      </w:tr>
      <w:tr w:rsidR="003C5D73" w:rsidRPr="00D83239" w14:paraId="44721F2B" w14:textId="77777777" w:rsidTr="00A91968">
        <w:trPr>
          <w:trHeight w:val="213"/>
        </w:trPr>
        <w:tc>
          <w:tcPr>
            <w:tcW w:w="4815" w:type="dxa"/>
          </w:tcPr>
          <w:p w14:paraId="29D81075"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Rojstvo</w:t>
            </w:r>
          </w:p>
        </w:tc>
        <w:tc>
          <w:tcPr>
            <w:tcW w:w="1417" w:type="dxa"/>
          </w:tcPr>
          <w:p w14:paraId="60FC2707"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21.410</w:t>
            </w:r>
          </w:p>
        </w:tc>
      </w:tr>
      <w:tr w:rsidR="003C5D73" w:rsidRPr="00D83239" w14:paraId="149BC7D4" w14:textId="77777777" w:rsidTr="00A91968">
        <w:trPr>
          <w:trHeight w:val="213"/>
        </w:trPr>
        <w:tc>
          <w:tcPr>
            <w:tcW w:w="4815" w:type="dxa"/>
          </w:tcPr>
          <w:p w14:paraId="6922967A" w14:textId="686C9F95"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Sklenitev zakonske zveze</w:t>
            </w:r>
            <w:r w:rsidR="000F7AB0">
              <w:rPr>
                <w:rFonts w:ascii="Arial" w:hAnsi="Arial" w:cs="Arial"/>
                <w:sz w:val="20"/>
                <w:szCs w:val="20"/>
              </w:rPr>
              <w:t xml:space="preserve"> (ZZ)</w:t>
            </w:r>
          </w:p>
        </w:tc>
        <w:tc>
          <w:tcPr>
            <w:tcW w:w="1417" w:type="dxa"/>
          </w:tcPr>
          <w:p w14:paraId="6EF3A8B3"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7.872</w:t>
            </w:r>
          </w:p>
        </w:tc>
      </w:tr>
      <w:tr w:rsidR="003C5D73" w:rsidRPr="00D83239" w14:paraId="1FEA773D" w14:textId="77777777" w:rsidTr="00A91968">
        <w:trPr>
          <w:trHeight w:val="213"/>
        </w:trPr>
        <w:tc>
          <w:tcPr>
            <w:tcW w:w="4815" w:type="dxa"/>
          </w:tcPr>
          <w:p w14:paraId="374DB99A"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Smrt</w:t>
            </w:r>
          </w:p>
        </w:tc>
        <w:tc>
          <w:tcPr>
            <w:tcW w:w="1417" w:type="dxa"/>
          </w:tcPr>
          <w:p w14:paraId="3BD61B84"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21.976</w:t>
            </w:r>
          </w:p>
        </w:tc>
      </w:tr>
      <w:tr w:rsidR="003C5D73" w:rsidRPr="00D83239" w14:paraId="34D3F901" w14:textId="77777777" w:rsidTr="00A91968">
        <w:trPr>
          <w:trHeight w:val="285"/>
        </w:trPr>
        <w:tc>
          <w:tcPr>
            <w:tcW w:w="4815" w:type="dxa"/>
            <w:shd w:val="clear" w:color="auto" w:fill="D9D9D9" w:themeFill="background1" w:themeFillShade="D9"/>
          </w:tcPr>
          <w:p w14:paraId="00ED224D" w14:textId="77777777" w:rsidR="003C5D73" w:rsidRPr="00D83239" w:rsidRDefault="003C5D73" w:rsidP="00D83239">
            <w:pPr>
              <w:spacing w:after="0" w:line="276" w:lineRule="auto"/>
              <w:jc w:val="both"/>
              <w:rPr>
                <w:rFonts w:ascii="Arial" w:hAnsi="Arial" w:cs="Arial"/>
                <w:b/>
                <w:sz w:val="20"/>
                <w:szCs w:val="20"/>
              </w:rPr>
            </w:pPr>
            <w:r w:rsidRPr="00D83239">
              <w:rPr>
                <w:rFonts w:ascii="Arial" w:hAnsi="Arial" w:cs="Arial"/>
                <w:b/>
                <w:sz w:val="20"/>
                <w:szCs w:val="20"/>
              </w:rPr>
              <w:t>DRUGE SPREMEMBE OSEBNEGA STATUSA</w:t>
            </w:r>
          </w:p>
        </w:tc>
        <w:tc>
          <w:tcPr>
            <w:tcW w:w="1417" w:type="dxa"/>
            <w:shd w:val="clear" w:color="auto" w:fill="D9D9D9" w:themeFill="background1" w:themeFillShade="D9"/>
          </w:tcPr>
          <w:p w14:paraId="24498DDC" w14:textId="77777777" w:rsidR="003C5D73" w:rsidRPr="00D83239" w:rsidRDefault="003C5D73" w:rsidP="00D83239">
            <w:pPr>
              <w:spacing w:after="0" w:line="276" w:lineRule="auto"/>
              <w:jc w:val="both"/>
              <w:rPr>
                <w:rFonts w:ascii="Arial" w:hAnsi="Arial" w:cs="Arial"/>
                <w:b/>
                <w:sz w:val="20"/>
                <w:szCs w:val="20"/>
              </w:rPr>
            </w:pPr>
          </w:p>
        </w:tc>
      </w:tr>
      <w:tr w:rsidR="003C5D73" w:rsidRPr="00D83239" w14:paraId="1B050789"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430476AA"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Sprememba spola</w:t>
            </w:r>
          </w:p>
        </w:tc>
        <w:tc>
          <w:tcPr>
            <w:tcW w:w="1417" w:type="dxa"/>
            <w:tcBorders>
              <w:top w:val="single" w:sz="4" w:space="0" w:color="auto"/>
              <w:left w:val="single" w:sz="4" w:space="0" w:color="auto"/>
              <w:bottom w:val="single" w:sz="4" w:space="0" w:color="auto"/>
              <w:right w:val="single" w:sz="4" w:space="0" w:color="auto"/>
            </w:tcBorders>
          </w:tcPr>
          <w:p w14:paraId="1D492B0B"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40</w:t>
            </w:r>
          </w:p>
        </w:tc>
      </w:tr>
      <w:tr w:rsidR="003C5D73" w:rsidRPr="00D83239" w14:paraId="4E0A96B8"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2AFED1A3"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 xml:space="preserve">Prenehanje ZZ – razveljavitev </w:t>
            </w:r>
          </w:p>
        </w:tc>
        <w:tc>
          <w:tcPr>
            <w:tcW w:w="1417" w:type="dxa"/>
            <w:tcBorders>
              <w:top w:val="single" w:sz="4" w:space="0" w:color="auto"/>
              <w:left w:val="single" w:sz="4" w:space="0" w:color="auto"/>
              <w:bottom w:val="single" w:sz="4" w:space="0" w:color="auto"/>
              <w:right w:val="single" w:sz="4" w:space="0" w:color="auto"/>
            </w:tcBorders>
          </w:tcPr>
          <w:p w14:paraId="0CBD1CE8"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3</w:t>
            </w:r>
          </w:p>
        </w:tc>
      </w:tr>
      <w:tr w:rsidR="003C5D73" w:rsidRPr="00D83239" w14:paraId="7F597B1B"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0744F1A8"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Prenehanje ZZ – razveza</w:t>
            </w:r>
          </w:p>
        </w:tc>
        <w:tc>
          <w:tcPr>
            <w:tcW w:w="1417" w:type="dxa"/>
            <w:tcBorders>
              <w:top w:val="single" w:sz="4" w:space="0" w:color="auto"/>
              <w:left w:val="single" w:sz="4" w:space="0" w:color="auto"/>
              <w:bottom w:val="single" w:sz="4" w:space="0" w:color="auto"/>
              <w:right w:val="single" w:sz="4" w:space="0" w:color="auto"/>
            </w:tcBorders>
          </w:tcPr>
          <w:p w14:paraId="7AF76137"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2.461</w:t>
            </w:r>
          </w:p>
        </w:tc>
      </w:tr>
      <w:tr w:rsidR="003C5D73" w:rsidRPr="00D83239" w14:paraId="5029BEF7"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26D4AC07"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Prenehanje ZZ – smrt zakonca</w:t>
            </w:r>
          </w:p>
        </w:tc>
        <w:tc>
          <w:tcPr>
            <w:tcW w:w="1417" w:type="dxa"/>
            <w:tcBorders>
              <w:top w:val="single" w:sz="4" w:space="0" w:color="auto"/>
              <w:left w:val="single" w:sz="4" w:space="0" w:color="auto"/>
              <w:bottom w:val="single" w:sz="4" w:space="0" w:color="auto"/>
              <w:right w:val="single" w:sz="4" w:space="0" w:color="auto"/>
            </w:tcBorders>
          </w:tcPr>
          <w:p w14:paraId="47D84DB4"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7.594</w:t>
            </w:r>
          </w:p>
        </w:tc>
      </w:tr>
      <w:tr w:rsidR="003C5D73" w:rsidRPr="00D83239" w14:paraId="5F69DCDC"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6C8FFBFE"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Posvojitev</w:t>
            </w:r>
          </w:p>
        </w:tc>
        <w:tc>
          <w:tcPr>
            <w:tcW w:w="1417" w:type="dxa"/>
            <w:tcBorders>
              <w:top w:val="single" w:sz="4" w:space="0" w:color="auto"/>
              <w:left w:val="single" w:sz="4" w:space="0" w:color="auto"/>
              <w:bottom w:val="single" w:sz="4" w:space="0" w:color="auto"/>
              <w:right w:val="single" w:sz="4" w:space="0" w:color="auto"/>
            </w:tcBorders>
          </w:tcPr>
          <w:p w14:paraId="6AC33F8C"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36</w:t>
            </w:r>
          </w:p>
        </w:tc>
      </w:tr>
      <w:tr w:rsidR="003C5D73" w:rsidRPr="00D83239" w14:paraId="7B260EBD"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7B4ADF8D"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Izpodbijanje očetovstva</w:t>
            </w:r>
          </w:p>
        </w:tc>
        <w:tc>
          <w:tcPr>
            <w:tcW w:w="1417" w:type="dxa"/>
            <w:tcBorders>
              <w:top w:val="single" w:sz="4" w:space="0" w:color="auto"/>
              <w:left w:val="single" w:sz="4" w:space="0" w:color="auto"/>
              <w:bottom w:val="single" w:sz="4" w:space="0" w:color="auto"/>
              <w:right w:val="single" w:sz="4" w:space="0" w:color="auto"/>
            </w:tcBorders>
          </w:tcPr>
          <w:p w14:paraId="026F1931"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28</w:t>
            </w:r>
          </w:p>
        </w:tc>
      </w:tr>
      <w:tr w:rsidR="003C5D73" w:rsidRPr="00D83239" w14:paraId="755C5DC7"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7E1073BA"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Priznanje očetovstva</w:t>
            </w:r>
          </w:p>
        </w:tc>
        <w:tc>
          <w:tcPr>
            <w:tcW w:w="1417" w:type="dxa"/>
            <w:tcBorders>
              <w:top w:val="single" w:sz="4" w:space="0" w:color="auto"/>
              <w:left w:val="single" w:sz="4" w:space="0" w:color="auto"/>
              <w:bottom w:val="single" w:sz="4" w:space="0" w:color="auto"/>
              <w:right w:val="single" w:sz="4" w:space="0" w:color="auto"/>
            </w:tcBorders>
          </w:tcPr>
          <w:p w14:paraId="58349C48"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9.176</w:t>
            </w:r>
          </w:p>
        </w:tc>
      </w:tr>
      <w:tr w:rsidR="003C5D73" w:rsidRPr="00D83239" w14:paraId="018668B6"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7386A383"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Ugotovitev očetovstva</w:t>
            </w:r>
          </w:p>
        </w:tc>
        <w:tc>
          <w:tcPr>
            <w:tcW w:w="1417" w:type="dxa"/>
            <w:tcBorders>
              <w:top w:val="single" w:sz="4" w:space="0" w:color="auto"/>
              <w:left w:val="single" w:sz="4" w:space="0" w:color="auto"/>
              <w:bottom w:val="single" w:sz="4" w:space="0" w:color="auto"/>
              <w:right w:val="single" w:sz="4" w:space="0" w:color="auto"/>
            </w:tcBorders>
          </w:tcPr>
          <w:p w14:paraId="0F3BBB20"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34</w:t>
            </w:r>
          </w:p>
        </w:tc>
      </w:tr>
      <w:tr w:rsidR="003C5D73" w:rsidRPr="00D83239" w14:paraId="6DC92F02"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1C6BB66E"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Priznanje očetovstva pred rojstvom otroka</w:t>
            </w:r>
          </w:p>
        </w:tc>
        <w:tc>
          <w:tcPr>
            <w:tcW w:w="1417" w:type="dxa"/>
            <w:tcBorders>
              <w:top w:val="single" w:sz="4" w:space="0" w:color="auto"/>
              <w:left w:val="single" w:sz="4" w:space="0" w:color="auto"/>
              <w:bottom w:val="single" w:sz="4" w:space="0" w:color="auto"/>
              <w:right w:val="single" w:sz="4" w:space="0" w:color="auto"/>
            </w:tcBorders>
          </w:tcPr>
          <w:p w14:paraId="6B426929"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812</w:t>
            </w:r>
          </w:p>
        </w:tc>
      </w:tr>
      <w:tr w:rsidR="003C5D73" w:rsidRPr="00D83239" w14:paraId="4A7D099B"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5A1D518B"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Odvzem roditeljske pravice</w:t>
            </w:r>
          </w:p>
        </w:tc>
        <w:tc>
          <w:tcPr>
            <w:tcW w:w="1417" w:type="dxa"/>
            <w:tcBorders>
              <w:top w:val="single" w:sz="4" w:space="0" w:color="auto"/>
              <w:left w:val="single" w:sz="4" w:space="0" w:color="auto"/>
              <w:bottom w:val="single" w:sz="4" w:space="0" w:color="auto"/>
              <w:right w:val="single" w:sz="4" w:space="0" w:color="auto"/>
            </w:tcBorders>
          </w:tcPr>
          <w:p w14:paraId="31CE180A"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0</w:t>
            </w:r>
          </w:p>
        </w:tc>
      </w:tr>
      <w:tr w:rsidR="003C5D73" w:rsidRPr="00D83239" w14:paraId="38B335AC"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39E64E35"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 xml:space="preserve">Podaljšanje roditeljske pravice </w:t>
            </w:r>
          </w:p>
        </w:tc>
        <w:tc>
          <w:tcPr>
            <w:tcW w:w="1417" w:type="dxa"/>
            <w:tcBorders>
              <w:top w:val="single" w:sz="4" w:space="0" w:color="auto"/>
              <w:left w:val="single" w:sz="4" w:space="0" w:color="auto"/>
              <w:bottom w:val="single" w:sz="4" w:space="0" w:color="auto"/>
              <w:right w:val="single" w:sz="4" w:space="0" w:color="auto"/>
            </w:tcBorders>
          </w:tcPr>
          <w:p w14:paraId="53532B5B"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5</w:t>
            </w:r>
          </w:p>
        </w:tc>
      </w:tr>
      <w:tr w:rsidR="003C5D73" w:rsidRPr="00D83239" w14:paraId="14963CD9"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4E1EEBBD"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Prenehanje podaljšanja roditeljske pravice</w:t>
            </w:r>
          </w:p>
        </w:tc>
        <w:tc>
          <w:tcPr>
            <w:tcW w:w="1417" w:type="dxa"/>
            <w:tcBorders>
              <w:top w:val="single" w:sz="4" w:space="0" w:color="auto"/>
              <w:left w:val="single" w:sz="4" w:space="0" w:color="auto"/>
              <w:bottom w:val="single" w:sz="4" w:space="0" w:color="auto"/>
              <w:right w:val="single" w:sz="4" w:space="0" w:color="auto"/>
            </w:tcBorders>
          </w:tcPr>
          <w:p w14:paraId="13468CDA"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17</w:t>
            </w:r>
          </w:p>
        </w:tc>
      </w:tr>
      <w:tr w:rsidR="003C5D73" w:rsidRPr="00D83239" w14:paraId="665BD6D6"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62A90667"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Vrnitev roditeljske pravice</w:t>
            </w:r>
          </w:p>
        </w:tc>
        <w:tc>
          <w:tcPr>
            <w:tcW w:w="1417" w:type="dxa"/>
            <w:tcBorders>
              <w:top w:val="single" w:sz="4" w:space="0" w:color="auto"/>
              <w:left w:val="single" w:sz="4" w:space="0" w:color="auto"/>
              <w:bottom w:val="single" w:sz="4" w:space="0" w:color="auto"/>
              <w:right w:val="single" w:sz="4" w:space="0" w:color="auto"/>
            </w:tcBorders>
          </w:tcPr>
          <w:p w14:paraId="096798C1"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1</w:t>
            </w:r>
          </w:p>
        </w:tc>
      </w:tr>
      <w:tr w:rsidR="003C5D73" w:rsidRPr="00D83239" w14:paraId="3AE04799"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6C4DCED1"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Skrbništvo</w:t>
            </w:r>
          </w:p>
        </w:tc>
        <w:tc>
          <w:tcPr>
            <w:tcW w:w="1417" w:type="dxa"/>
            <w:tcBorders>
              <w:top w:val="single" w:sz="4" w:space="0" w:color="auto"/>
              <w:left w:val="single" w:sz="4" w:space="0" w:color="auto"/>
              <w:bottom w:val="single" w:sz="4" w:space="0" w:color="auto"/>
              <w:right w:val="single" w:sz="4" w:space="0" w:color="auto"/>
            </w:tcBorders>
          </w:tcPr>
          <w:p w14:paraId="00042A88"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13</w:t>
            </w:r>
          </w:p>
        </w:tc>
      </w:tr>
      <w:tr w:rsidR="003C5D73" w:rsidRPr="00D83239" w14:paraId="55F95CB9"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49278828"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Prenehanje skrbništva/skrbnika</w:t>
            </w:r>
          </w:p>
        </w:tc>
        <w:tc>
          <w:tcPr>
            <w:tcW w:w="1417" w:type="dxa"/>
            <w:tcBorders>
              <w:top w:val="single" w:sz="4" w:space="0" w:color="auto"/>
              <w:left w:val="single" w:sz="4" w:space="0" w:color="auto"/>
              <w:bottom w:val="single" w:sz="4" w:space="0" w:color="auto"/>
              <w:right w:val="single" w:sz="4" w:space="0" w:color="auto"/>
            </w:tcBorders>
          </w:tcPr>
          <w:p w14:paraId="0C9F4A7D"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131</w:t>
            </w:r>
          </w:p>
        </w:tc>
      </w:tr>
      <w:tr w:rsidR="003C5D73" w:rsidRPr="00D83239" w14:paraId="236FA813"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5A6711B4"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 xml:space="preserve">Odvzem poslovne sposobnosti </w:t>
            </w:r>
          </w:p>
        </w:tc>
        <w:tc>
          <w:tcPr>
            <w:tcW w:w="1417" w:type="dxa"/>
            <w:tcBorders>
              <w:top w:val="single" w:sz="4" w:space="0" w:color="auto"/>
              <w:left w:val="single" w:sz="4" w:space="0" w:color="auto"/>
              <w:bottom w:val="single" w:sz="4" w:space="0" w:color="auto"/>
              <w:right w:val="single" w:sz="4" w:space="0" w:color="auto"/>
            </w:tcBorders>
          </w:tcPr>
          <w:p w14:paraId="3F1F00D4"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2</w:t>
            </w:r>
          </w:p>
        </w:tc>
      </w:tr>
      <w:tr w:rsidR="003C5D73" w:rsidRPr="00D83239" w14:paraId="03A1F6D2"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0D8F9954"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Pridobitev poslovne sposobnosti pred polnoletnostjo</w:t>
            </w:r>
          </w:p>
        </w:tc>
        <w:tc>
          <w:tcPr>
            <w:tcW w:w="1417" w:type="dxa"/>
            <w:tcBorders>
              <w:top w:val="single" w:sz="4" w:space="0" w:color="auto"/>
              <w:left w:val="single" w:sz="4" w:space="0" w:color="auto"/>
              <w:bottom w:val="single" w:sz="4" w:space="0" w:color="auto"/>
              <w:right w:val="single" w:sz="4" w:space="0" w:color="auto"/>
            </w:tcBorders>
          </w:tcPr>
          <w:p w14:paraId="58F9D660"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2</w:t>
            </w:r>
          </w:p>
        </w:tc>
      </w:tr>
      <w:tr w:rsidR="003C5D73" w:rsidRPr="00D83239" w14:paraId="018ACEB6"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778696E0"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Vrnitev poslovne sposobnosti</w:t>
            </w:r>
          </w:p>
        </w:tc>
        <w:tc>
          <w:tcPr>
            <w:tcW w:w="1417" w:type="dxa"/>
            <w:tcBorders>
              <w:top w:val="single" w:sz="4" w:space="0" w:color="auto"/>
              <w:left w:val="single" w:sz="4" w:space="0" w:color="auto"/>
              <w:bottom w:val="single" w:sz="4" w:space="0" w:color="auto"/>
              <w:right w:val="single" w:sz="4" w:space="0" w:color="auto"/>
            </w:tcBorders>
          </w:tcPr>
          <w:p w14:paraId="0156FF3F"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8</w:t>
            </w:r>
          </w:p>
        </w:tc>
      </w:tr>
      <w:tr w:rsidR="003C5D73" w:rsidRPr="00D83239" w14:paraId="3C3AA179"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4528BFC9"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Sprememba priimka po razvezi ZZ</w:t>
            </w:r>
          </w:p>
        </w:tc>
        <w:tc>
          <w:tcPr>
            <w:tcW w:w="1417" w:type="dxa"/>
            <w:tcBorders>
              <w:top w:val="single" w:sz="4" w:space="0" w:color="auto"/>
              <w:left w:val="single" w:sz="4" w:space="0" w:color="auto"/>
              <w:bottom w:val="single" w:sz="4" w:space="0" w:color="auto"/>
              <w:right w:val="single" w:sz="4" w:space="0" w:color="auto"/>
            </w:tcBorders>
          </w:tcPr>
          <w:p w14:paraId="475252AD"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537</w:t>
            </w:r>
          </w:p>
        </w:tc>
      </w:tr>
      <w:tr w:rsidR="003C5D73" w:rsidRPr="00D83239" w14:paraId="2831BC76"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305164A4"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Pridobitev državljanstva</w:t>
            </w:r>
          </w:p>
        </w:tc>
        <w:tc>
          <w:tcPr>
            <w:tcW w:w="1417" w:type="dxa"/>
            <w:tcBorders>
              <w:top w:val="single" w:sz="4" w:space="0" w:color="auto"/>
              <w:left w:val="single" w:sz="4" w:space="0" w:color="auto"/>
              <w:bottom w:val="single" w:sz="4" w:space="0" w:color="auto"/>
              <w:right w:val="single" w:sz="4" w:space="0" w:color="auto"/>
            </w:tcBorders>
          </w:tcPr>
          <w:p w14:paraId="3D8EBE92"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2.378</w:t>
            </w:r>
          </w:p>
        </w:tc>
      </w:tr>
      <w:tr w:rsidR="003C5D73" w:rsidRPr="00D83239" w14:paraId="40B24C08"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1717B10B"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Prenehanje državljanstva</w:t>
            </w:r>
          </w:p>
        </w:tc>
        <w:tc>
          <w:tcPr>
            <w:tcW w:w="1417" w:type="dxa"/>
            <w:tcBorders>
              <w:top w:val="single" w:sz="4" w:space="0" w:color="auto"/>
              <w:left w:val="single" w:sz="4" w:space="0" w:color="auto"/>
              <w:bottom w:val="single" w:sz="4" w:space="0" w:color="auto"/>
              <w:right w:val="single" w:sz="4" w:space="0" w:color="auto"/>
            </w:tcBorders>
          </w:tcPr>
          <w:p w14:paraId="02EFB2FD"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51</w:t>
            </w:r>
          </w:p>
        </w:tc>
      </w:tr>
      <w:tr w:rsidR="003C5D73" w:rsidRPr="00D83239" w14:paraId="2BF4DD67"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131BAAA0" w14:textId="336C2BFB" w:rsidR="003C5D73" w:rsidRPr="00D83239" w:rsidRDefault="003C5D73" w:rsidP="00165462">
            <w:pPr>
              <w:spacing w:after="0" w:line="276" w:lineRule="auto"/>
              <w:jc w:val="both"/>
              <w:rPr>
                <w:rFonts w:ascii="Arial" w:hAnsi="Arial" w:cs="Arial"/>
                <w:sz w:val="20"/>
                <w:szCs w:val="20"/>
              </w:rPr>
            </w:pPr>
            <w:r w:rsidRPr="00D83239">
              <w:rPr>
                <w:rFonts w:ascii="Arial" w:hAnsi="Arial" w:cs="Arial"/>
                <w:sz w:val="20"/>
                <w:szCs w:val="20"/>
              </w:rPr>
              <w:t>Prenehanje ZZ</w:t>
            </w:r>
            <w:r w:rsidR="00165462">
              <w:rPr>
                <w:rFonts w:ascii="Arial" w:hAnsi="Arial" w:cs="Arial"/>
                <w:sz w:val="20"/>
                <w:szCs w:val="20"/>
              </w:rPr>
              <w:t>,</w:t>
            </w:r>
            <w:r w:rsidRPr="00D83239">
              <w:rPr>
                <w:rFonts w:ascii="Arial" w:hAnsi="Arial" w:cs="Arial"/>
                <w:sz w:val="20"/>
                <w:szCs w:val="20"/>
              </w:rPr>
              <w:t xml:space="preserve"> </w:t>
            </w:r>
            <w:r w:rsidR="00165462">
              <w:rPr>
                <w:rFonts w:ascii="Arial" w:hAnsi="Arial" w:cs="Arial"/>
                <w:sz w:val="20"/>
                <w:szCs w:val="20"/>
              </w:rPr>
              <w:t>isti</w:t>
            </w:r>
            <w:r w:rsidR="00165462" w:rsidRPr="00D83239">
              <w:rPr>
                <w:rFonts w:ascii="Arial" w:hAnsi="Arial" w:cs="Arial"/>
                <w:sz w:val="20"/>
                <w:szCs w:val="20"/>
              </w:rPr>
              <w:t xml:space="preserve"> </w:t>
            </w:r>
            <w:r w:rsidRPr="00D83239">
              <w:rPr>
                <w:rFonts w:ascii="Arial" w:hAnsi="Arial" w:cs="Arial"/>
                <w:sz w:val="20"/>
                <w:szCs w:val="20"/>
              </w:rPr>
              <w:t>spol – razveza</w:t>
            </w:r>
          </w:p>
        </w:tc>
        <w:tc>
          <w:tcPr>
            <w:tcW w:w="1417" w:type="dxa"/>
            <w:tcBorders>
              <w:top w:val="single" w:sz="4" w:space="0" w:color="auto"/>
              <w:left w:val="single" w:sz="4" w:space="0" w:color="auto"/>
              <w:bottom w:val="single" w:sz="4" w:space="0" w:color="auto"/>
              <w:right w:val="single" w:sz="4" w:space="0" w:color="auto"/>
            </w:tcBorders>
          </w:tcPr>
          <w:p w14:paraId="276D6CD5"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2</w:t>
            </w:r>
          </w:p>
        </w:tc>
      </w:tr>
      <w:tr w:rsidR="003C5D73" w:rsidRPr="00D83239" w14:paraId="139440D9"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6BDE90D5" w14:textId="708686BF" w:rsidR="003C5D73" w:rsidRPr="00D83239" w:rsidRDefault="003C5D73" w:rsidP="00165462">
            <w:pPr>
              <w:spacing w:after="0" w:line="276" w:lineRule="auto"/>
              <w:jc w:val="both"/>
              <w:rPr>
                <w:rFonts w:ascii="Arial" w:hAnsi="Arial" w:cs="Arial"/>
                <w:sz w:val="20"/>
                <w:szCs w:val="20"/>
              </w:rPr>
            </w:pPr>
            <w:r w:rsidRPr="00D83239">
              <w:rPr>
                <w:rFonts w:ascii="Arial" w:hAnsi="Arial" w:cs="Arial"/>
                <w:sz w:val="20"/>
                <w:szCs w:val="20"/>
              </w:rPr>
              <w:t>Prenehanje ZZ</w:t>
            </w:r>
            <w:r w:rsidR="00165462">
              <w:rPr>
                <w:rFonts w:ascii="Arial" w:hAnsi="Arial" w:cs="Arial"/>
                <w:sz w:val="20"/>
                <w:szCs w:val="20"/>
              </w:rPr>
              <w:t>,</w:t>
            </w:r>
            <w:r w:rsidRPr="00D83239">
              <w:rPr>
                <w:rFonts w:ascii="Arial" w:hAnsi="Arial" w:cs="Arial"/>
                <w:sz w:val="20"/>
                <w:szCs w:val="20"/>
              </w:rPr>
              <w:t xml:space="preserve"> </w:t>
            </w:r>
            <w:r w:rsidR="00165462">
              <w:rPr>
                <w:rFonts w:ascii="Arial" w:hAnsi="Arial" w:cs="Arial"/>
                <w:sz w:val="20"/>
                <w:szCs w:val="20"/>
              </w:rPr>
              <w:t>isti</w:t>
            </w:r>
            <w:r w:rsidR="00165462" w:rsidRPr="00D83239">
              <w:rPr>
                <w:rFonts w:ascii="Arial" w:hAnsi="Arial" w:cs="Arial"/>
                <w:sz w:val="20"/>
                <w:szCs w:val="20"/>
              </w:rPr>
              <w:t xml:space="preserve"> </w:t>
            </w:r>
            <w:r w:rsidRPr="00D83239">
              <w:rPr>
                <w:rFonts w:ascii="Arial" w:hAnsi="Arial" w:cs="Arial"/>
                <w:sz w:val="20"/>
                <w:szCs w:val="20"/>
              </w:rPr>
              <w:t>spol – razveljavitev</w:t>
            </w:r>
          </w:p>
        </w:tc>
        <w:tc>
          <w:tcPr>
            <w:tcW w:w="1417" w:type="dxa"/>
            <w:tcBorders>
              <w:top w:val="single" w:sz="4" w:space="0" w:color="auto"/>
              <w:left w:val="single" w:sz="4" w:space="0" w:color="auto"/>
              <w:bottom w:val="single" w:sz="4" w:space="0" w:color="auto"/>
              <w:right w:val="single" w:sz="4" w:space="0" w:color="auto"/>
            </w:tcBorders>
          </w:tcPr>
          <w:p w14:paraId="5467221B"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0</w:t>
            </w:r>
          </w:p>
        </w:tc>
      </w:tr>
      <w:tr w:rsidR="003C5D73" w:rsidRPr="00D83239" w14:paraId="7C632D15"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398892E8" w14:textId="19240E95" w:rsidR="003C5D73" w:rsidRPr="00D83239" w:rsidRDefault="003C5D73" w:rsidP="00165462">
            <w:pPr>
              <w:spacing w:after="0" w:line="276" w:lineRule="auto"/>
              <w:jc w:val="both"/>
              <w:rPr>
                <w:rFonts w:ascii="Arial" w:hAnsi="Arial" w:cs="Arial"/>
                <w:sz w:val="20"/>
                <w:szCs w:val="20"/>
              </w:rPr>
            </w:pPr>
            <w:r w:rsidRPr="00D83239">
              <w:rPr>
                <w:rFonts w:ascii="Arial" w:hAnsi="Arial" w:cs="Arial"/>
                <w:sz w:val="20"/>
                <w:szCs w:val="20"/>
              </w:rPr>
              <w:t>Prenehanje ZZ</w:t>
            </w:r>
            <w:r w:rsidR="00165462">
              <w:rPr>
                <w:rFonts w:ascii="Arial" w:hAnsi="Arial" w:cs="Arial"/>
                <w:sz w:val="20"/>
                <w:szCs w:val="20"/>
              </w:rPr>
              <w:t>,</w:t>
            </w:r>
            <w:r w:rsidRPr="00D83239">
              <w:rPr>
                <w:rFonts w:ascii="Arial" w:hAnsi="Arial" w:cs="Arial"/>
                <w:sz w:val="20"/>
                <w:szCs w:val="20"/>
              </w:rPr>
              <w:t xml:space="preserve"> </w:t>
            </w:r>
            <w:r w:rsidR="00165462">
              <w:rPr>
                <w:rFonts w:ascii="Arial" w:hAnsi="Arial" w:cs="Arial"/>
                <w:sz w:val="20"/>
                <w:szCs w:val="20"/>
              </w:rPr>
              <w:t>isti</w:t>
            </w:r>
            <w:r w:rsidR="00165462" w:rsidRPr="00D83239">
              <w:rPr>
                <w:rFonts w:ascii="Arial" w:hAnsi="Arial" w:cs="Arial"/>
                <w:sz w:val="20"/>
                <w:szCs w:val="20"/>
              </w:rPr>
              <w:t xml:space="preserve"> </w:t>
            </w:r>
            <w:r w:rsidRPr="00D83239">
              <w:rPr>
                <w:rFonts w:ascii="Arial" w:hAnsi="Arial" w:cs="Arial"/>
                <w:sz w:val="20"/>
                <w:szCs w:val="20"/>
              </w:rPr>
              <w:t>spol – smrt zakonca</w:t>
            </w:r>
          </w:p>
        </w:tc>
        <w:tc>
          <w:tcPr>
            <w:tcW w:w="1417" w:type="dxa"/>
            <w:tcBorders>
              <w:top w:val="single" w:sz="4" w:space="0" w:color="auto"/>
              <w:left w:val="single" w:sz="4" w:space="0" w:color="auto"/>
              <w:bottom w:val="single" w:sz="4" w:space="0" w:color="auto"/>
              <w:right w:val="single" w:sz="4" w:space="0" w:color="auto"/>
            </w:tcBorders>
          </w:tcPr>
          <w:p w14:paraId="4778B276"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3</w:t>
            </w:r>
          </w:p>
        </w:tc>
      </w:tr>
      <w:tr w:rsidR="003C5D73" w:rsidRPr="00D83239" w14:paraId="139101CD"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03C58521" w14:textId="555704D9" w:rsidR="003C5D73" w:rsidRPr="00D83239" w:rsidRDefault="003C5D73" w:rsidP="00165462">
            <w:pPr>
              <w:spacing w:after="0" w:line="276" w:lineRule="auto"/>
              <w:jc w:val="both"/>
              <w:rPr>
                <w:rFonts w:ascii="Arial" w:hAnsi="Arial" w:cs="Arial"/>
                <w:sz w:val="20"/>
                <w:szCs w:val="20"/>
              </w:rPr>
            </w:pPr>
            <w:r w:rsidRPr="00D83239">
              <w:rPr>
                <w:rFonts w:ascii="Arial" w:hAnsi="Arial" w:cs="Arial"/>
                <w:sz w:val="20"/>
                <w:szCs w:val="20"/>
              </w:rPr>
              <w:t>Sprememba priimka po razvezi ZZ</w:t>
            </w:r>
            <w:r w:rsidR="00165462">
              <w:rPr>
                <w:rFonts w:ascii="Arial" w:hAnsi="Arial" w:cs="Arial"/>
                <w:sz w:val="20"/>
                <w:szCs w:val="20"/>
              </w:rPr>
              <w:t>,</w:t>
            </w:r>
            <w:r w:rsidRPr="00D83239">
              <w:rPr>
                <w:rFonts w:ascii="Arial" w:hAnsi="Arial" w:cs="Arial"/>
                <w:sz w:val="20"/>
                <w:szCs w:val="20"/>
              </w:rPr>
              <w:t xml:space="preserve"> </w:t>
            </w:r>
            <w:r w:rsidR="00165462">
              <w:rPr>
                <w:rFonts w:ascii="Arial" w:hAnsi="Arial" w:cs="Arial"/>
                <w:sz w:val="20"/>
                <w:szCs w:val="20"/>
              </w:rPr>
              <w:t>isti</w:t>
            </w:r>
            <w:r w:rsidR="00165462" w:rsidRPr="00D83239">
              <w:rPr>
                <w:rFonts w:ascii="Arial" w:hAnsi="Arial" w:cs="Arial"/>
                <w:sz w:val="20"/>
                <w:szCs w:val="20"/>
              </w:rPr>
              <w:t xml:space="preserve"> </w:t>
            </w:r>
            <w:r w:rsidRPr="00D83239">
              <w:rPr>
                <w:rFonts w:ascii="Arial" w:hAnsi="Arial" w:cs="Arial"/>
                <w:sz w:val="20"/>
                <w:szCs w:val="20"/>
              </w:rPr>
              <w:t>spol</w:t>
            </w:r>
          </w:p>
        </w:tc>
        <w:tc>
          <w:tcPr>
            <w:tcW w:w="1417" w:type="dxa"/>
            <w:tcBorders>
              <w:top w:val="single" w:sz="4" w:space="0" w:color="auto"/>
              <w:left w:val="single" w:sz="4" w:space="0" w:color="auto"/>
              <w:bottom w:val="single" w:sz="4" w:space="0" w:color="auto"/>
              <w:right w:val="single" w:sz="4" w:space="0" w:color="auto"/>
            </w:tcBorders>
          </w:tcPr>
          <w:p w14:paraId="4B90F843"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0</w:t>
            </w:r>
          </w:p>
        </w:tc>
      </w:tr>
      <w:tr w:rsidR="003C5D73" w:rsidRPr="00D83239" w14:paraId="764B97B4"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3CFED8AF"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Odvzem starševske skrbi</w:t>
            </w:r>
          </w:p>
        </w:tc>
        <w:tc>
          <w:tcPr>
            <w:tcW w:w="1417" w:type="dxa"/>
            <w:tcBorders>
              <w:top w:val="single" w:sz="4" w:space="0" w:color="auto"/>
              <w:left w:val="single" w:sz="4" w:space="0" w:color="auto"/>
              <w:bottom w:val="single" w:sz="4" w:space="0" w:color="auto"/>
              <w:right w:val="single" w:sz="4" w:space="0" w:color="auto"/>
            </w:tcBorders>
          </w:tcPr>
          <w:p w14:paraId="17CB88CB"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30</w:t>
            </w:r>
          </w:p>
        </w:tc>
      </w:tr>
      <w:tr w:rsidR="003C5D73" w:rsidRPr="00D83239" w14:paraId="1CE11411"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4D07CAED"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Podelitev starševske skrbi sorodniku</w:t>
            </w:r>
          </w:p>
        </w:tc>
        <w:tc>
          <w:tcPr>
            <w:tcW w:w="1417" w:type="dxa"/>
            <w:tcBorders>
              <w:top w:val="single" w:sz="4" w:space="0" w:color="auto"/>
              <w:left w:val="single" w:sz="4" w:space="0" w:color="auto"/>
              <w:bottom w:val="single" w:sz="4" w:space="0" w:color="auto"/>
              <w:right w:val="single" w:sz="4" w:space="0" w:color="auto"/>
            </w:tcBorders>
          </w:tcPr>
          <w:p w14:paraId="3F00CDB9"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1</w:t>
            </w:r>
          </w:p>
        </w:tc>
      </w:tr>
      <w:tr w:rsidR="003C5D73" w:rsidRPr="00D83239" w14:paraId="16C55D89"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01CB8C33"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Skrbništvo po Družinskem zakoniku</w:t>
            </w:r>
          </w:p>
        </w:tc>
        <w:tc>
          <w:tcPr>
            <w:tcW w:w="1417" w:type="dxa"/>
            <w:tcBorders>
              <w:top w:val="single" w:sz="4" w:space="0" w:color="auto"/>
              <w:left w:val="single" w:sz="4" w:space="0" w:color="auto"/>
              <w:bottom w:val="single" w:sz="4" w:space="0" w:color="auto"/>
              <w:right w:val="single" w:sz="4" w:space="0" w:color="auto"/>
            </w:tcBorders>
          </w:tcPr>
          <w:p w14:paraId="78CE2098"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1.198</w:t>
            </w:r>
          </w:p>
        </w:tc>
      </w:tr>
      <w:tr w:rsidR="003C5D73" w:rsidRPr="00D83239" w14:paraId="59F04260" w14:textId="77777777" w:rsidTr="00A91968">
        <w:trPr>
          <w:trHeight w:val="213"/>
        </w:trPr>
        <w:tc>
          <w:tcPr>
            <w:tcW w:w="4815" w:type="dxa"/>
            <w:tcBorders>
              <w:top w:val="single" w:sz="4" w:space="0" w:color="auto"/>
              <w:left w:val="single" w:sz="4" w:space="0" w:color="auto"/>
              <w:bottom w:val="single" w:sz="4" w:space="0" w:color="auto"/>
              <w:right w:val="single" w:sz="4" w:space="0" w:color="auto"/>
            </w:tcBorders>
          </w:tcPr>
          <w:p w14:paraId="2CA213FB" w14:textId="77777777" w:rsidR="003C5D73" w:rsidRPr="00D83239" w:rsidRDefault="003C5D73" w:rsidP="00D83239">
            <w:pPr>
              <w:spacing w:after="0" w:line="276" w:lineRule="auto"/>
              <w:jc w:val="both"/>
              <w:rPr>
                <w:rFonts w:ascii="Arial" w:hAnsi="Arial" w:cs="Arial"/>
                <w:b/>
                <w:bCs/>
                <w:sz w:val="20"/>
                <w:szCs w:val="20"/>
              </w:rPr>
            </w:pPr>
            <w:r w:rsidRPr="00D83239">
              <w:rPr>
                <w:rFonts w:ascii="Arial" w:hAnsi="Arial" w:cs="Arial"/>
                <w:b/>
                <w:bCs/>
                <w:sz w:val="20"/>
                <w:szCs w:val="20"/>
              </w:rPr>
              <w:t>SKUPAJ</w:t>
            </w:r>
          </w:p>
        </w:tc>
        <w:tc>
          <w:tcPr>
            <w:tcW w:w="1417" w:type="dxa"/>
            <w:tcBorders>
              <w:top w:val="single" w:sz="4" w:space="0" w:color="auto"/>
              <w:left w:val="single" w:sz="4" w:space="0" w:color="auto"/>
              <w:bottom w:val="single" w:sz="4" w:space="0" w:color="auto"/>
              <w:right w:val="single" w:sz="4" w:space="0" w:color="auto"/>
            </w:tcBorders>
          </w:tcPr>
          <w:p w14:paraId="60E55B66" w14:textId="77777777" w:rsidR="003C5D73" w:rsidRPr="00D83239" w:rsidRDefault="003C5D73" w:rsidP="00D83239">
            <w:pPr>
              <w:spacing w:after="0" w:line="276" w:lineRule="auto"/>
              <w:jc w:val="both"/>
              <w:rPr>
                <w:rFonts w:ascii="Arial" w:hAnsi="Arial" w:cs="Arial"/>
                <w:b/>
                <w:bCs/>
                <w:sz w:val="20"/>
                <w:szCs w:val="20"/>
              </w:rPr>
            </w:pPr>
            <w:r w:rsidRPr="00D83239">
              <w:rPr>
                <w:rFonts w:ascii="Arial" w:hAnsi="Arial" w:cs="Arial"/>
                <w:b/>
                <w:bCs/>
                <w:sz w:val="20"/>
                <w:szCs w:val="20"/>
              </w:rPr>
              <w:t>24.573</w:t>
            </w:r>
          </w:p>
        </w:tc>
      </w:tr>
    </w:tbl>
    <w:p w14:paraId="1995FBF9" w14:textId="77777777" w:rsidR="0073545E" w:rsidRDefault="0073545E" w:rsidP="00D83239">
      <w:pPr>
        <w:autoSpaceDE w:val="0"/>
        <w:autoSpaceDN w:val="0"/>
        <w:adjustRightInd w:val="0"/>
        <w:spacing w:after="0" w:line="276" w:lineRule="auto"/>
        <w:jc w:val="both"/>
        <w:rPr>
          <w:rFonts w:ascii="Arial" w:hAnsi="Arial" w:cs="Arial"/>
          <w:b/>
          <w:bCs/>
          <w:iCs/>
          <w:sz w:val="20"/>
          <w:szCs w:val="20"/>
          <w:lang w:eastAsia="sl-SI"/>
        </w:rPr>
      </w:pPr>
    </w:p>
    <w:p w14:paraId="712F5369" w14:textId="62B253B7" w:rsidR="003C5D73" w:rsidRPr="00D83239" w:rsidRDefault="003C5D73" w:rsidP="00D83239">
      <w:pPr>
        <w:autoSpaceDE w:val="0"/>
        <w:autoSpaceDN w:val="0"/>
        <w:adjustRightInd w:val="0"/>
        <w:spacing w:after="0" w:line="276" w:lineRule="auto"/>
        <w:jc w:val="both"/>
        <w:rPr>
          <w:rFonts w:ascii="Arial" w:hAnsi="Arial" w:cs="Arial"/>
          <w:bCs/>
          <w:iCs/>
          <w:sz w:val="20"/>
          <w:szCs w:val="20"/>
          <w:lang w:eastAsia="sl-SI"/>
        </w:rPr>
      </w:pPr>
      <w:r w:rsidRPr="00D83239">
        <w:rPr>
          <w:rFonts w:ascii="Arial" w:hAnsi="Arial" w:cs="Arial"/>
          <w:b/>
          <w:bCs/>
          <w:iCs/>
          <w:sz w:val="20"/>
          <w:szCs w:val="20"/>
          <w:lang w:eastAsia="sl-SI"/>
        </w:rPr>
        <w:t>Preglednica</w:t>
      </w:r>
      <w:r w:rsidRPr="003F5DF2">
        <w:rPr>
          <w:rFonts w:ascii="Arial" w:hAnsi="Arial" w:cs="Arial"/>
          <w:bCs/>
          <w:iCs/>
          <w:sz w:val="20"/>
          <w:szCs w:val="20"/>
          <w:lang w:eastAsia="sl-SI"/>
        </w:rPr>
        <w:t>:</w:t>
      </w:r>
      <w:r w:rsidRPr="00D83239">
        <w:rPr>
          <w:rFonts w:ascii="Arial" w:hAnsi="Arial" w:cs="Arial"/>
          <w:bCs/>
          <w:iCs/>
          <w:sz w:val="20"/>
          <w:szCs w:val="20"/>
          <w:lang w:eastAsia="sl-SI"/>
        </w:rPr>
        <w:t xml:space="preserve"> Podatki o vpisih v </w:t>
      </w:r>
      <w:r w:rsidR="0030280B">
        <w:rPr>
          <w:rFonts w:ascii="Arial" w:hAnsi="Arial" w:cs="Arial"/>
          <w:bCs/>
          <w:iCs/>
          <w:sz w:val="20"/>
          <w:szCs w:val="20"/>
          <w:lang w:eastAsia="sl-SI"/>
        </w:rPr>
        <w:t>M</w:t>
      </w:r>
      <w:r w:rsidRPr="00D83239">
        <w:rPr>
          <w:rFonts w:ascii="Arial" w:hAnsi="Arial" w:cs="Arial"/>
          <w:bCs/>
          <w:iCs/>
          <w:sz w:val="20"/>
          <w:szCs w:val="20"/>
          <w:lang w:eastAsia="sl-SI"/>
        </w:rPr>
        <w:t>atični register v letu 2025</w:t>
      </w:r>
    </w:p>
    <w:p w14:paraId="3F9FCA9F" w14:textId="77777777" w:rsidR="003C5D73" w:rsidRPr="00D83239" w:rsidRDefault="003C5D73" w:rsidP="00D83239">
      <w:pPr>
        <w:spacing w:after="0" w:line="276" w:lineRule="auto"/>
        <w:jc w:val="both"/>
        <w:rPr>
          <w:rFonts w:ascii="Arial" w:hAnsi="Arial" w:cs="Arial"/>
          <w:sz w:val="20"/>
          <w:szCs w:val="20"/>
        </w:rPr>
      </w:pPr>
    </w:p>
    <w:p w14:paraId="702D09C1" w14:textId="77777777" w:rsidR="003C5D73" w:rsidRPr="00D83239" w:rsidRDefault="003C5D73" w:rsidP="00D83239">
      <w:pPr>
        <w:spacing w:line="276" w:lineRule="auto"/>
        <w:jc w:val="both"/>
        <w:rPr>
          <w:rFonts w:ascii="Arial" w:hAnsi="Arial" w:cs="Arial"/>
          <w:sz w:val="20"/>
          <w:szCs w:val="20"/>
        </w:rPr>
      </w:pPr>
      <w:r w:rsidRPr="00D83239">
        <w:rPr>
          <w:rFonts w:ascii="Arial" w:hAnsi="Arial" w:cs="Arial"/>
          <w:sz w:val="20"/>
          <w:szCs w:val="20"/>
        </w:rPr>
        <w:t xml:space="preserve">Na podlagi prošnje je bilo v letu 2025 izdanih 2.470 odločb o </w:t>
      </w:r>
      <w:r w:rsidRPr="00D83239">
        <w:rPr>
          <w:rFonts w:ascii="Arial" w:hAnsi="Arial" w:cs="Arial"/>
          <w:b/>
          <w:sz w:val="20"/>
          <w:szCs w:val="20"/>
        </w:rPr>
        <w:t>spremembi osebnega imena</w:t>
      </w:r>
      <w:r w:rsidRPr="00D83239">
        <w:rPr>
          <w:rFonts w:ascii="Arial" w:hAnsi="Arial" w:cs="Arial"/>
          <w:bCs/>
          <w:sz w:val="20"/>
          <w:szCs w:val="20"/>
        </w:rPr>
        <w:t>.</w:t>
      </w:r>
    </w:p>
    <w:tbl>
      <w:tblPr>
        <w:tblW w:w="4191" w:type="dxa"/>
        <w:tblCellMar>
          <w:left w:w="70" w:type="dxa"/>
          <w:right w:w="70" w:type="dxa"/>
        </w:tblCellMar>
        <w:tblLook w:val="0000" w:firstRow="0" w:lastRow="0" w:firstColumn="0" w:lastColumn="0" w:noHBand="0" w:noVBand="0"/>
      </w:tblPr>
      <w:tblGrid>
        <w:gridCol w:w="1710"/>
        <w:gridCol w:w="1418"/>
        <w:gridCol w:w="1063"/>
      </w:tblGrid>
      <w:tr w:rsidR="003C5D73" w:rsidRPr="00D83239" w14:paraId="01A362A6" w14:textId="77777777" w:rsidTr="00A91968">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DC22B5" w14:textId="77777777" w:rsidR="003C5D73" w:rsidRPr="00D83239" w:rsidRDefault="003C5D73" w:rsidP="00D83239">
            <w:pPr>
              <w:spacing w:after="0" w:line="276" w:lineRule="auto"/>
              <w:jc w:val="both"/>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A2C3B51" w14:textId="77777777" w:rsidR="003C5D73" w:rsidRPr="00D83239" w:rsidRDefault="003C5D73" w:rsidP="00D83239">
            <w:pPr>
              <w:spacing w:after="0" w:line="276" w:lineRule="auto"/>
              <w:jc w:val="both"/>
              <w:rPr>
                <w:rFonts w:ascii="Arial" w:hAnsi="Arial" w:cs="Arial"/>
                <w:sz w:val="20"/>
                <w:szCs w:val="20"/>
              </w:rPr>
            </w:pPr>
          </w:p>
        </w:tc>
        <w:tc>
          <w:tcPr>
            <w:tcW w:w="106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EC69CB" w14:textId="77777777" w:rsidR="003C5D73" w:rsidRPr="00D83239" w:rsidRDefault="003C5D73" w:rsidP="00D83239">
            <w:pPr>
              <w:spacing w:after="0" w:line="276" w:lineRule="auto"/>
              <w:jc w:val="both"/>
              <w:rPr>
                <w:rFonts w:ascii="Arial" w:hAnsi="Arial" w:cs="Arial"/>
                <w:b/>
                <w:sz w:val="20"/>
                <w:szCs w:val="20"/>
              </w:rPr>
            </w:pPr>
            <w:r w:rsidRPr="00D83239">
              <w:rPr>
                <w:rFonts w:ascii="Arial" w:hAnsi="Arial" w:cs="Arial"/>
                <w:b/>
                <w:sz w:val="20"/>
                <w:szCs w:val="20"/>
              </w:rPr>
              <w:t>Leto 2025</w:t>
            </w:r>
          </w:p>
        </w:tc>
      </w:tr>
      <w:tr w:rsidR="003C5D73" w:rsidRPr="00D83239" w14:paraId="27850C00" w14:textId="77777777" w:rsidTr="00A91968">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0C1BDF"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Mladoletni</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0F96223E"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Ime</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0DAC56A7"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71</w:t>
            </w:r>
          </w:p>
        </w:tc>
      </w:tr>
      <w:tr w:rsidR="003C5D73" w:rsidRPr="00D83239" w14:paraId="4F58B8B0" w14:textId="77777777" w:rsidTr="00A91968">
        <w:trPr>
          <w:trHeight w:val="276"/>
        </w:trPr>
        <w:tc>
          <w:tcPr>
            <w:tcW w:w="1710" w:type="dxa"/>
            <w:tcBorders>
              <w:top w:val="nil"/>
              <w:left w:val="single" w:sz="4" w:space="0" w:color="auto"/>
              <w:bottom w:val="single" w:sz="4" w:space="0" w:color="auto"/>
              <w:right w:val="single" w:sz="4" w:space="0" w:color="auto"/>
            </w:tcBorders>
            <w:shd w:val="clear" w:color="auto" w:fill="FFFFFF"/>
            <w:noWrap/>
            <w:vAlign w:val="center"/>
          </w:tcPr>
          <w:p w14:paraId="362A32D8"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FFFFFF"/>
            <w:noWrap/>
            <w:vAlign w:val="center"/>
          </w:tcPr>
          <w:p w14:paraId="0BED4FF4"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Priimek</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2A21020F"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489</w:t>
            </w:r>
          </w:p>
        </w:tc>
      </w:tr>
      <w:tr w:rsidR="003C5D73" w:rsidRPr="00D83239" w14:paraId="7210EC1E" w14:textId="77777777" w:rsidTr="00A91968">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B21D78"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61213CCA"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Priimek in ime</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5325F410"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15</w:t>
            </w:r>
          </w:p>
        </w:tc>
      </w:tr>
      <w:tr w:rsidR="003C5D73" w:rsidRPr="00D83239" w14:paraId="575BD5A0" w14:textId="77777777" w:rsidTr="00A91968">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3F20BB"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Polnoletni</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26D753B7"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Ime</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2DB36CA6"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262</w:t>
            </w:r>
          </w:p>
        </w:tc>
      </w:tr>
      <w:tr w:rsidR="003C5D73" w:rsidRPr="00D83239" w14:paraId="04E6E7A3" w14:textId="77777777" w:rsidTr="00A91968">
        <w:trPr>
          <w:trHeight w:val="276"/>
        </w:trPr>
        <w:tc>
          <w:tcPr>
            <w:tcW w:w="1710" w:type="dxa"/>
            <w:tcBorders>
              <w:top w:val="nil"/>
              <w:left w:val="single" w:sz="4" w:space="0" w:color="auto"/>
              <w:bottom w:val="single" w:sz="4" w:space="0" w:color="auto"/>
              <w:right w:val="single" w:sz="4" w:space="0" w:color="auto"/>
            </w:tcBorders>
            <w:shd w:val="clear" w:color="auto" w:fill="FFFFFF"/>
            <w:noWrap/>
            <w:vAlign w:val="center"/>
          </w:tcPr>
          <w:p w14:paraId="791F333D"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FFFFFF"/>
            <w:noWrap/>
            <w:vAlign w:val="center"/>
          </w:tcPr>
          <w:p w14:paraId="3CFD9C61"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Priimek</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6864FA65"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1.432</w:t>
            </w:r>
          </w:p>
        </w:tc>
      </w:tr>
      <w:tr w:rsidR="003C5D73" w:rsidRPr="00D83239" w14:paraId="7F557857" w14:textId="77777777" w:rsidTr="00A91968">
        <w:trPr>
          <w:trHeight w:val="276"/>
        </w:trPr>
        <w:tc>
          <w:tcPr>
            <w:tcW w:w="1710" w:type="dxa"/>
            <w:tcBorders>
              <w:top w:val="nil"/>
              <w:left w:val="single" w:sz="4" w:space="0" w:color="auto"/>
              <w:bottom w:val="single" w:sz="4" w:space="0" w:color="auto"/>
              <w:right w:val="single" w:sz="4" w:space="0" w:color="auto"/>
            </w:tcBorders>
            <w:shd w:val="clear" w:color="auto" w:fill="FFFFFF"/>
            <w:noWrap/>
            <w:vAlign w:val="center"/>
          </w:tcPr>
          <w:p w14:paraId="2950FDC1"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FFFFFF"/>
            <w:noWrap/>
            <w:vAlign w:val="center"/>
          </w:tcPr>
          <w:p w14:paraId="2323AF08"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Priimek in ime</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2AFE782F" w14:textId="77777777"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201</w:t>
            </w:r>
          </w:p>
        </w:tc>
      </w:tr>
      <w:tr w:rsidR="003C5D73" w:rsidRPr="00D83239" w14:paraId="5694881E" w14:textId="77777777" w:rsidTr="00A91968">
        <w:trPr>
          <w:trHeight w:val="276"/>
        </w:trPr>
        <w:tc>
          <w:tcPr>
            <w:tcW w:w="171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CF69692" w14:textId="77777777" w:rsidR="003C5D73" w:rsidRPr="00D83239" w:rsidRDefault="003C5D73" w:rsidP="00D83239">
            <w:pPr>
              <w:spacing w:after="0" w:line="276" w:lineRule="auto"/>
              <w:jc w:val="both"/>
              <w:rPr>
                <w:rFonts w:ascii="Arial" w:hAnsi="Arial" w:cs="Arial"/>
                <w:b/>
                <w:sz w:val="20"/>
                <w:szCs w:val="20"/>
              </w:rPr>
            </w:pPr>
            <w:r w:rsidRPr="00D83239">
              <w:rPr>
                <w:rFonts w:ascii="Arial" w:hAnsi="Arial" w:cs="Arial"/>
                <w:b/>
                <w:sz w:val="20"/>
                <w:szCs w:val="20"/>
              </w:rPr>
              <w:t>SKUPAJ</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14:paraId="6AFB2758" w14:textId="77777777" w:rsidR="003C5D73" w:rsidRPr="00D83239" w:rsidRDefault="003C5D73" w:rsidP="00D83239">
            <w:pPr>
              <w:spacing w:after="0" w:line="276" w:lineRule="auto"/>
              <w:jc w:val="both"/>
              <w:rPr>
                <w:rFonts w:ascii="Arial" w:hAnsi="Arial" w:cs="Arial"/>
                <w:b/>
                <w:sz w:val="20"/>
                <w:szCs w:val="20"/>
              </w:rPr>
            </w:pPr>
            <w:r w:rsidRPr="00D83239">
              <w:rPr>
                <w:rFonts w:ascii="Arial" w:hAnsi="Arial" w:cs="Arial"/>
                <w:b/>
                <w:sz w:val="20"/>
                <w:szCs w:val="20"/>
              </w:rPr>
              <w:t> </w:t>
            </w:r>
          </w:p>
        </w:tc>
        <w:tc>
          <w:tcPr>
            <w:tcW w:w="106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213FAC" w14:textId="77777777" w:rsidR="003C5D73" w:rsidRPr="00D83239" w:rsidRDefault="003C5D73" w:rsidP="00D83239">
            <w:pPr>
              <w:spacing w:after="0" w:line="276" w:lineRule="auto"/>
              <w:jc w:val="both"/>
              <w:rPr>
                <w:rFonts w:ascii="Arial" w:hAnsi="Arial" w:cs="Arial"/>
                <w:b/>
                <w:sz w:val="20"/>
                <w:szCs w:val="20"/>
              </w:rPr>
            </w:pPr>
            <w:r w:rsidRPr="00D83239">
              <w:rPr>
                <w:rFonts w:ascii="Arial" w:hAnsi="Arial" w:cs="Arial"/>
                <w:b/>
                <w:bCs/>
                <w:sz w:val="20"/>
                <w:szCs w:val="20"/>
              </w:rPr>
              <w:t>2.470</w:t>
            </w:r>
          </w:p>
        </w:tc>
      </w:tr>
    </w:tbl>
    <w:p w14:paraId="77993FE4" w14:textId="77777777" w:rsidR="00086963" w:rsidRDefault="00086963" w:rsidP="001004C7">
      <w:pPr>
        <w:autoSpaceDE w:val="0"/>
        <w:autoSpaceDN w:val="0"/>
        <w:adjustRightInd w:val="0"/>
        <w:spacing w:after="0" w:line="276" w:lineRule="auto"/>
        <w:jc w:val="both"/>
        <w:rPr>
          <w:rFonts w:ascii="Arial" w:hAnsi="Arial" w:cs="Arial"/>
          <w:b/>
          <w:bCs/>
          <w:iCs/>
          <w:sz w:val="20"/>
          <w:szCs w:val="20"/>
          <w:lang w:eastAsia="sl-SI"/>
        </w:rPr>
      </w:pPr>
    </w:p>
    <w:p w14:paraId="20EB690C" w14:textId="4D880E4B" w:rsidR="003C5D73" w:rsidRPr="0073545E" w:rsidRDefault="003C5D73" w:rsidP="001004C7">
      <w:pPr>
        <w:autoSpaceDE w:val="0"/>
        <w:autoSpaceDN w:val="0"/>
        <w:adjustRightInd w:val="0"/>
        <w:spacing w:after="0" w:line="276" w:lineRule="auto"/>
        <w:jc w:val="both"/>
        <w:rPr>
          <w:rFonts w:ascii="Arial" w:hAnsi="Arial" w:cs="Arial"/>
          <w:bCs/>
          <w:iCs/>
          <w:sz w:val="20"/>
          <w:szCs w:val="20"/>
          <w:lang w:eastAsia="sl-SI"/>
        </w:rPr>
      </w:pPr>
      <w:r w:rsidRPr="00D83239">
        <w:rPr>
          <w:rFonts w:ascii="Arial" w:hAnsi="Arial" w:cs="Arial"/>
          <w:b/>
          <w:bCs/>
          <w:iCs/>
          <w:sz w:val="20"/>
          <w:szCs w:val="20"/>
          <w:lang w:eastAsia="sl-SI"/>
        </w:rPr>
        <w:t>Preglednica</w:t>
      </w:r>
      <w:r w:rsidRPr="003F5DF2">
        <w:rPr>
          <w:rFonts w:ascii="Arial" w:hAnsi="Arial" w:cs="Arial"/>
          <w:bCs/>
          <w:iCs/>
          <w:sz w:val="20"/>
          <w:szCs w:val="20"/>
          <w:lang w:eastAsia="sl-SI"/>
        </w:rPr>
        <w:t>:</w:t>
      </w:r>
      <w:r w:rsidRPr="00D83239">
        <w:rPr>
          <w:rFonts w:ascii="Arial" w:hAnsi="Arial" w:cs="Arial"/>
          <w:bCs/>
          <w:iCs/>
          <w:sz w:val="20"/>
          <w:szCs w:val="20"/>
          <w:lang w:eastAsia="sl-SI"/>
        </w:rPr>
        <w:t xml:space="preserve"> Podatki o izdanih odločbah o sprem</w:t>
      </w:r>
      <w:r w:rsidR="0073545E">
        <w:rPr>
          <w:rFonts w:ascii="Arial" w:hAnsi="Arial" w:cs="Arial"/>
          <w:bCs/>
          <w:iCs/>
          <w:sz w:val="20"/>
          <w:szCs w:val="20"/>
          <w:lang w:eastAsia="sl-SI"/>
        </w:rPr>
        <w:t>embi osebnega imena v letu 2025</w:t>
      </w:r>
    </w:p>
    <w:p w14:paraId="11C58643" w14:textId="77777777" w:rsidR="003F5DF2" w:rsidRDefault="003F5DF2" w:rsidP="00D83239">
      <w:pPr>
        <w:autoSpaceDE w:val="0"/>
        <w:autoSpaceDN w:val="0"/>
        <w:adjustRightInd w:val="0"/>
        <w:spacing w:after="0" w:line="276" w:lineRule="auto"/>
        <w:jc w:val="both"/>
        <w:rPr>
          <w:rFonts w:ascii="Arial" w:hAnsi="Arial" w:cs="Arial"/>
          <w:b/>
          <w:sz w:val="20"/>
          <w:szCs w:val="20"/>
        </w:rPr>
      </w:pPr>
    </w:p>
    <w:p w14:paraId="0229B134" w14:textId="501D5EAA" w:rsidR="003C5D73" w:rsidRPr="00D83239" w:rsidRDefault="003C5D73" w:rsidP="00D83239">
      <w:pPr>
        <w:autoSpaceDE w:val="0"/>
        <w:autoSpaceDN w:val="0"/>
        <w:adjustRightInd w:val="0"/>
        <w:spacing w:after="0" w:line="276" w:lineRule="auto"/>
        <w:jc w:val="both"/>
        <w:rPr>
          <w:rFonts w:ascii="Arial" w:hAnsi="Arial" w:cs="Arial"/>
          <w:b/>
          <w:sz w:val="20"/>
          <w:szCs w:val="20"/>
        </w:rPr>
      </w:pPr>
      <w:r w:rsidRPr="00D83239">
        <w:rPr>
          <w:rFonts w:ascii="Arial" w:hAnsi="Arial" w:cs="Arial"/>
          <w:b/>
          <w:sz w:val="20"/>
          <w:szCs w:val="20"/>
        </w:rPr>
        <w:t>Podatki o prijav</w:t>
      </w:r>
      <w:r w:rsidR="00165462">
        <w:rPr>
          <w:rFonts w:ascii="Arial" w:hAnsi="Arial" w:cs="Arial"/>
          <w:b/>
          <w:sz w:val="20"/>
          <w:szCs w:val="20"/>
        </w:rPr>
        <w:t>i</w:t>
      </w:r>
      <w:r w:rsidRPr="00D83239">
        <w:rPr>
          <w:rFonts w:ascii="Arial" w:hAnsi="Arial" w:cs="Arial"/>
          <w:b/>
          <w:sz w:val="20"/>
          <w:szCs w:val="20"/>
        </w:rPr>
        <w:t xml:space="preserve"> prebivališč</w:t>
      </w:r>
      <w:r w:rsidR="00165462">
        <w:rPr>
          <w:rFonts w:ascii="Arial" w:hAnsi="Arial" w:cs="Arial"/>
          <w:b/>
          <w:sz w:val="20"/>
          <w:szCs w:val="20"/>
        </w:rPr>
        <w:t>a</w:t>
      </w:r>
    </w:p>
    <w:p w14:paraId="147FC214" w14:textId="030E8923" w:rsidR="003C5D73" w:rsidRPr="00D83239" w:rsidRDefault="003C5D73"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31. 12. 2025 je imelo v Republiki Sloveniji prijavljeno stalno prebivališče 2.056.905 posameznikov (od tega 140.389 tujcev), prijavljen</w:t>
      </w:r>
      <w:r w:rsidR="00165462">
        <w:rPr>
          <w:rFonts w:ascii="Arial" w:hAnsi="Arial" w:cs="Arial"/>
          <w:sz w:val="20"/>
          <w:szCs w:val="20"/>
        </w:rPr>
        <w:t>i</w:t>
      </w:r>
      <w:r w:rsidRPr="00D83239">
        <w:rPr>
          <w:rFonts w:ascii="Arial" w:hAnsi="Arial" w:cs="Arial"/>
          <w:sz w:val="20"/>
          <w:szCs w:val="20"/>
        </w:rPr>
        <w:t xml:space="preserve"> stalni naslov v tujini pa 163.900 državljanov. Prijav ali sprememb stalnega prebivališča je bilo v celotnem letu 98.290.</w:t>
      </w:r>
    </w:p>
    <w:p w14:paraId="044536DD" w14:textId="77777777" w:rsidR="003C5D73" w:rsidRPr="00D83239" w:rsidRDefault="003C5D73" w:rsidP="00D83239">
      <w:pPr>
        <w:autoSpaceDE w:val="0"/>
        <w:autoSpaceDN w:val="0"/>
        <w:adjustRightInd w:val="0"/>
        <w:spacing w:after="0" w:line="276" w:lineRule="auto"/>
        <w:jc w:val="both"/>
        <w:rPr>
          <w:rFonts w:ascii="Arial" w:hAnsi="Arial" w:cs="Arial"/>
          <w:sz w:val="20"/>
          <w:szCs w:val="20"/>
        </w:rPr>
      </w:pPr>
    </w:p>
    <w:p w14:paraId="6E566C3D" w14:textId="77777777" w:rsidR="003C5D73" w:rsidRPr="00D83239" w:rsidRDefault="003C5D73"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 xml:space="preserve">Samo začasno prebivališče v Republiki Sloveniji je imelo prijavljenih 107.622 posameznikov (od tega 100.598 tujcev), začasni naslov v tujini pa 5.083 državljanov. V letu 2025 je začasno prebivališče prijavilo 259.356 posameznikov. </w:t>
      </w:r>
    </w:p>
    <w:p w14:paraId="04834398" w14:textId="77777777" w:rsidR="003C5D73" w:rsidRPr="00D83239" w:rsidRDefault="003C5D73" w:rsidP="00D83239">
      <w:pPr>
        <w:autoSpaceDE w:val="0"/>
        <w:autoSpaceDN w:val="0"/>
        <w:adjustRightInd w:val="0"/>
        <w:spacing w:after="0" w:line="276" w:lineRule="auto"/>
        <w:jc w:val="both"/>
        <w:rPr>
          <w:rFonts w:ascii="Arial" w:hAnsi="Arial" w:cs="Arial"/>
          <w:sz w:val="20"/>
          <w:szCs w:val="20"/>
        </w:rPr>
      </w:pPr>
    </w:p>
    <w:p w14:paraId="3AC4D332" w14:textId="77777777" w:rsidR="003C5D73" w:rsidRPr="00D83239" w:rsidRDefault="003C5D73"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Upravne enote so uvedle:</w:t>
      </w:r>
    </w:p>
    <w:p w14:paraId="2BE6E8C0" w14:textId="77777777" w:rsidR="003C5D73" w:rsidRPr="00D83239" w:rsidRDefault="003C5D73" w:rsidP="00FE543C">
      <w:pPr>
        <w:pStyle w:val="Odstavekseznama"/>
        <w:numPr>
          <w:ilvl w:val="0"/>
          <w:numId w:val="9"/>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5.518 postopkov ugotavljanja stalnega prebivališča,</w:t>
      </w:r>
    </w:p>
    <w:p w14:paraId="547BE172" w14:textId="77777777" w:rsidR="003C5D73" w:rsidRPr="00D83239" w:rsidRDefault="003C5D73" w:rsidP="00FE543C">
      <w:pPr>
        <w:pStyle w:val="Odstavekseznama"/>
        <w:numPr>
          <w:ilvl w:val="0"/>
          <w:numId w:val="9"/>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942 postopkov ugotavljanja začasnega prebivališča,</w:t>
      </w:r>
    </w:p>
    <w:p w14:paraId="2F84A822" w14:textId="77777777" w:rsidR="003C5D73" w:rsidRPr="00D83239" w:rsidRDefault="003C5D73" w:rsidP="00FE543C">
      <w:pPr>
        <w:pStyle w:val="Odstavekseznama"/>
        <w:numPr>
          <w:ilvl w:val="0"/>
          <w:numId w:val="9"/>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417 postopkov preverjanja resničnosti prijave stalnega prebivališča,</w:t>
      </w:r>
    </w:p>
    <w:p w14:paraId="0F32F267" w14:textId="77777777" w:rsidR="003C5D73" w:rsidRPr="00D83239" w:rsidRDefault="003C5D73" w:rsidP="00FE543C">
      <w:pPr>
        <w:pStyle w:val="Odstavekseznama"/>
        <w:numPr>
          <w:ilvl w:val="0"/>
          <w:numId w:val="9"/>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739 postopkov preverjanja resničnosti prijave začasnega prebivališča,</w:t>
      </w:r>
    </w:p>
    <w:p w14:paraId="308A08EC" w14:textId="69BC258A" w:rsidR="003C5D73" w:rsidRPr="00D83239" w:rsidRDefault="003C5D73" w:rsidP="00FE543C">
      <w:pPr>
        <w:pStyle w:val="Odstavekseznama"/>
        <w:numPr>
          <w:ilvl w:val="0"/>
          <w:numId w:val="9"/>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202 skrajšan</w:t>
      </w:r>
      <w:r w:rsidR="00D052CB">
        <w:rPr>
          <w:rFonts w:ascii="Arial" w:hAnsi="Arial" w:cs="Arial"/>
          <w:sz w:val="20"/>
          <w:szCs w:val="20"/>
        </w:rPr>
        <w:t>a</w:t>
      </w:r>
      <w:r w:rsidRPr="00D83239">
        <w:rPr>
          <w:rFonts w:ascii="Arial" w:hAnsi="Arial" w:cs="Arial"/>
          <w:sz w:val="20"/>
          <w:szCs w:val="20"/>
        </w:rPr>
        <w:t xml:space="preserve"> postopk</w:t>
      </w:r>
      <w:r w:rsidR="00D052CB">
        <w:rPr>
          <w:rFonts w:ascii="Arial" w:hAnsi="Arial" w:cs="Arial"/>
          <w:sz w:val="20"/>
          <w:szCs w:val="20"/>
        </w:rPr>
        <w:t>a</w:t>
      </w:r>
      <w:r w:rsidRPr="00D83239">
        <w:rPr>
          <w:rFonts w:ascii="Arial" w:hAnsi="Arial" w:cs="Arial"/>
          <w:sz w:val="20"/>
          <w:szCs w:val="20"/>
        </w:rPr>
        <w:t xml:space="preserve"> prijave stalnega prebivališča,</w:t>
      </w:r>
    </w:p>
    <w:p w14:paraId="3A8525B8" w14:textId="77777777" w:rsidR="003C5D73" w:rsidRPr="00D83239" w:rsidRDefault="003C5D73" w:rsidP="00FE543C">
      <w:pPr>
        <w:pStyle w:val="Odstavekseznama"/>
        <w:numPr>
          <w:ilvl w:val="0"/>
          <w:numId w:val="9"/>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712 skrajšanih postopkov prijave začasnega prebivališča.</w:t>
      </w:r>
    </w:p>
    <w:p w14:paraId="2104D179" w14:textId="77777777" w:rsidR="003C5D73" w:rsidRPr="00D83239" w:rsidRDefault="003C5D73" w:rsidP="00D83239">
      <w:pPr>
        <w:tabs>
          <w:tab w:val="left" w:pos="6861"/>
        </w:tabs>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ab/>
      </w:r>
    </w:p>
    <w:p w14:paraId="50E4C953" w14:textId="2A3D090D" w:rsidR="003C5D73" w:rsidRPr="00D83239" w:rsidRDefault="003C5D73" w:rsidP="00D83239">
      <w:pPr>
        <w:spacing w:after="0" w:line="276" w:lineRule="auto"/>
        <w:jc w:val="both"/>
        <w:rPr>
          <w:rFonts w:ascii="Arial" w:hAnsi="Arial" w:cs="Arial"/>
          <w:sz w:val="20"/>
          <w:szCs w:val="20"/>
          <w:shd w:val="clear" w:color="auto" w:fill="FFFFFF"/>
        </w:rPr>
      </w:pPr>
      <w:r w:rsidRPr="00D83239">
        <w:rPr>
          <w:rFonts w:ascii="Arial" w:hAnsi="Arial" w:cs="Arial"/>
          <w:sz w:val="20"/>
          <w:szCs w:val="20"/>
          <w:shd w:val="clear" w:color="auto" w:fill="FFFFFF"/>
        </w:rPr>
        <w:t>Od vzpostavitve elektronskega naslova za vročanje do začetka leta 2025 je v Registru stalnega prebivalstva določilo elektronski naslov za vročanje 2.473 posameznikov.</w:t>
      </w:r>
    </w:p>
    <w:p w14:paraId="55F47329" w14:textId="1309182E" w:rsidR="00086963" w:rsidRDefault="00086963" w:rsidP="00D83239">
      <w:pPr>
        <w:autoSpaceDE w:val="0"/>
        <w:autoSpaceDN w:val="0"/>
        <w:adjustRightInd w:val="0"/>
        <w:spacing w:after="0" w:line="276" w:lineRule="auto"/>
        <w:jc w:val="both"/>
        <w:rPr>
          <w:rFonts w:ascii="Arial" w:hAnsi="Arial" w:cs="Arial"/>
          <w:b/>
          <w:sz w:val="20"/>
          <w:szCs w:val="20"/>
          <w:lang w:eastAsia="sl-SI"/>
        </w:rPr>
      </w:pPr>
    </w:p>
    <w:p w14:paraId="251FCAB1" w14:textId="77777777" w:rsidR="0027329F" w:rsidRDefault="0027329F" w:rsidP="00D83239">
      <w:pPr>
        <w:autoSpaceDE w:val="0"/>
        <w:autoSpaceDN w:val="0"/>
        <w:adjustRightInd w:val="0"/>
        <w:spacing w:after="0" w:line="276" w:lineRule="auto"/>
        <w:jc w:val="both"/>
        <w:rPr>
          <w:rFonts w:ascii="Arial" w:hAnsi="Arial" w:cs="Arial"/>
          <w:b/>
          <w:sz w:val="20"/>
          <w:szCs w:val="20"/>
          <w:lang w:eastAsia="sl-SI"/>
        </w:rPr>
      </w:pPr>
    </w:p>
    <w:p w14:paraId="03784BB0" w14:textId="77777777" w:rsidR="0027329F" w:rsidRDefault="0027329F" w:rsidP="00D83239">
      <w:pPr>
        <w:autoSpaceDE w:val="0"/>
        <w:autoSpaceDN w:val="0"/>
        <w:adjustRightInd w:val="0"/>
        <w:spacing w:after="0" w:line="276" w:lineRule="auto"/>
        <w:jc w:val="both"/>
        <w:rPr>
          <w:rFonts w:ascii="Arial" w:hAnsi="Arial" w:cs="Arial"/>
          <w:b/>
          <w:sz w:val="20"/>
          <w:szCs w:val="20"/>
          <w:lang w:eastAsia="sl-SI"/>
        </w:rPr>
      </w:pPr>
    </w:p>
    <w:p w14:paraId="1A1C36F8" w14:textId="5AA83EA6"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b/>
          <w:sz w:val="20"/>
          <w:szCs w:val="20"/>
          <w:lang w:eastAsia="sl-SI"/>
        </w:rPr>
        <w:t>Volilna opravila in preverjanja volilne pravice</w:t>
      </w:r>
    </w:p>
    <w:p w14:paraId="4775927F" w14:textId="35E8E38A"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lang w:eastAsia="sl-SI"/>
        </w:rPr>
        <w:t>MNZ je v letu 2025 z</w:t>
      </w:r>
      <w:r w:rsidRPr="00D83239">
        <w:rPr>
          <w:rFonts w:ascii="Arial" w:hAnsi="Arial" w:cs="Arial"/>
          <w:sz w:val="20"/>
          <w:szCs w:val="20"/>
        </w:rPr>
        <w:t xml:space="preserve">agotovilo tehnične </w:t>
      </w:r>
      <w:r w:rsidRPr="00D83239">
        <w:rPr>
          <w:rFonts w:ascii="Arial" w:hAnsi="Arial" w:cs="Arial"/>
          <w:bCs/>
          <w:sz w:val="20"/>
          <w:szCs w:val="20"/>
        </w:rPr>
        <w:t>pogoje za racionaliziran</w:t>
      </w:r>
      <w:r w:rsidR="00F4430E">
        <w:rPr>
          <w:rFonts w:ascii="Arial" w:hAnsi="Arial" w:cs="Arial"/>
          <w:bCs/>
          <w:sz w:val="20"/>
          <w:szCs w:val="20"/>
        </w:rPr>
        <w:t>i</w:t>
      </w:r>
      <w:r w:rsidRPr="00D83239">
        <w:rPr>
          <w:rFonts w:ascii="Arial" w:hAnsi="Arial" w:cs="Arial"/>
          <w:bCs/>
          <w:sz w:val="20"/>
          <w:szCs w:val="20"/>
        </w:rPr>
        <w:t xml:space="preserve"> način potrjevanja podpor</w:t>
      </w:r>
      <w:r w:rsidR="00F4430E">
        <w:rPr>
          <w:rFonts w:ascii="Arial" w:hAnsi="Arial" w:cs="Arial"/>
          <w:bCs/>
          <w:sz w:val="20"/>
          <w:szCs w:val="20"/>
        </w:rPr>
        <w:t>e</w:t>
      </w:r>
      <w:r w:rsidRPr="00D83239">
        <w:rPr>
          <w:rFonts w:ascii="Arial" w:hAnsi="Arial" w:cs="Arial"/>
          <w:bCs/>
          <w:sz w:val="20"/>
          <w:szCs w:val="20"/>
        </w:rPr>
        <w:t xml:space="preserve"> volivcev,</w:t>
      </w:r>
      <w:r w:rsidRPr="00D83239">
        <w:rPr>
          <w:rFonts w:ascii="Arial" w:hAnsi="Arial" w:cs="Arial"/>
          <w:b/>
          <w:sz w:val="20"/>
          <w:szCs w:val="20"/>
        </w:rPr>
        <w:t xml:space="preserve"> </w:t>
      </w:r>
      <w:r w:rsidRPr="00D83239">
        <w:rPr>
          <w:rFonts w:ascii="Arial" w:hAnsi="Arial" w:cs="Arial"/>
          <w:bCs/>
          <w:sz w:val="20"/>
          <w:szCs w:val="20"/>
        </w:rPr>
        <w:t xml:space="preserve">kot to določajo zadnje spremembe in dopolnitve Zakona o referendumu in o ljudski iniciativi. Namesto podpisovanje papirnatih obrazcev se je v postopek uvedlo </w:t>
      </w:r>
      <w:r w:rsidRPr="00D83239">
        <w:rPr>
          <w:rFonts w:ascii="Arial" w:hAnsi="Arial" w:cs="Arial"/>
          <w:sz w:val="20"/>
          <w:szCs w:val="20"/>
        </w:rPr>
        <w:t xml:space="preserve">podpisovanje prek digitalne podpisne tablice. </w:t>
      </w:r>
      <w:r w:rsidR="00E0081A">
        <w:rPr>
          <w:rFonts w:ascii="Arial" w:hAnsi="Arial" w:cs="Arial"/>
          <w:sz w:val="20"/>
          <w:szCs w:val="20"/>
        </w:rPr>
        <w:t>MNZ je i</w:t>
      </w:r>
      <w:r w:rsidRPr="00D83239">
        <w:rPr>
          <w:rFonts w:ascii="Arial" w:hAnsi="Arial" w:cs="Arial"/>
          <w:sz w:val="20"/>
          <w:szCs w:val="20"/>
        </w:rPr>
        <w:t>zvedl</w:t>
      </w:r>
      <w:r w:rsidR="00E0081A">
        <w:rPr>
          <w:rFonts w:ascii="Arial" w:hAnsi="Arial" w:cs="Arial"/>
          <w:sz w:val="20"/>
          <w:szCs w:val="20"/>
        </w:rPr>
        <w:t>o</w:t>
      </w:r>
      <w:r w:rsidRPr="00D83239">
        <w:rPr>
          <w:rFonts w:ascii="Arial" w:hAnsi="Arial" w:cs="Arial"/>
          <w:sz w:val="20"/>
          <w:szCs w:val="20"/>
        </w:rPr>
        <w:t xml:space="preserve"> opravila za dva zakonodajna referenduma (priprava volilnih imenikov) ter 12 različnih volitev in glasovanj na lokaln</w:t>
      </w:r>
      <w:r w:rsidR="00414905">
        <w:rPr>
          <w:rFonts w:ascii="Arial" w:hAnsi="Arial" w:cs="Arial"/>
          <w:sz w:val="20"/>
          <w:szCs w:val="20"/>
        </w:rPr>
        <w:t>i ravni</w:t>
      </w:r>
      <w:r w:rsidRPr="00D83239">
        <w:rPr>
          <w:rFonts w:ascii="Arial" w:hAnsi="Arial" w:cs="Arial"/>
          <w:sz w:val="20"/>
          <w:szCs w:val="20"/>
        </w:rPr>
        <w:t>. Preverjal</w:t>
      </w:r>
      <w:r w:rsidR="00E0081A">
        <w:rPr>
          <w:rFonts w:ascii="Arial" w:hAnsi="Arial" w:cs="Arial"/>
          <w:sz w:val="20"/>
          <w:szCs w:val="20"/>
        </w:rPr>
        <w:t>o</w:t>
      </w:r>
      <w:r w:rsidRPr="00D83239">
        <w:rPr>
          <w:rFonts w:ascii="Arial" w:hAnsi="Arial" w:cs="Arial"/>
          <w:sz w:val="20"/>
          <w:szCs w:val="20"/>
        </w:rPr>
        <w:t xml:space="preserve"> </w:t>
      </w:r>
      <w:r w:rsidR="00E0081A">
        <w:rPr>
          <w:rFonts w:ascii="Arial" w:hAnsi="Arial" w:cs="Arial"/>
          <w:sz w:val="20"/>
          <w:szCs w:val="20"/>
        </w:rPr>
        <w:t>je</w:t>
      </w:r>
      <w:r w:rsidRPr="00D83239">
        <w:rPr>
          <w:rFonts w:ascii="Arial" w:hAnsi="Arial" w:cs="Arial"/>
          <w:sz w:val="20"/>
          <w:szCs w:val="20"/>
        </w:rPr>
        <w:t xml:space="preserve"> podpise za </w:t>
      </w:r>
      <w:r w:rsidR="00320F67">
        <w:rPr>
          <w:rFonts w:ascii="Arial" w:hAnsi="Arial" w:cs="Arial"/>
          <w:sz w:val="20"/>
          <w:szCs w:val="20"/>
        </w:rPr>
        <w:t>štiri</w:t>
      </w:r>
      <w:r w:rsidR="00320F67" w:rsidRPr="00D83239">
        <w:rPr>
          <w:rFonts w:ascii="Arial" w:hAnsi="Arial" w:cs="Arial"/>
          <w:sz w:val="20"/>
          <w:szCs w:val="20"/>
        </w:rPr>
        <w:t xml:space="preserve"> </w:t>
      </w:r>
      <w:r w:rsidRPr="00D83239">
        <w:rPr>
          <w:rFonts w:ascii="Arial" w:hAnsi="Arial" w:cs="Arial"/>
          <w:sz w:val="20"/>
          <w:szCs w:val="20"/>
        </w:rPr>
        <w:t xml:space="preserve">evropske državljanske pobude in sezname podpisnikov v podporo </w:t>
      </w:r>
      <w:r w:rsidR="00320F67">
        <w:rPr>
          <w:rFonts w:ascii="Arial" w:hAnsi="Arial" w:cs="Arial"/>
          <w:sz w:val="20"/>
          <w:szCs w:val="20"/>
        </w:rPr>
        <w:t>štirim</w:t>
      </w:r>
      <w:r w:rsidR="00320F67" w:rsidRPr="00D83239">
        <w:rPr>
          <w:rFonts w:ascii="Arial" w:hAnsi="Arial" w:cs="Arial"/>
          <w:sz w:val="20"/>
          <w:szCs w:val="20"/>
        </w:rPr>
        <w:t xml:space="preserve"> </w:t>
      </w:r>
      <w:r w:rsidRPr="00D83239">
        <w:rPr>
          <w:rFonts w:ascii="Arial" w:hAnsi="Arial" w:cs="Arial"/>
          <w:sz w:val="20"/>
          <w:szCs w:val="20"/>
        </w:rPr>
        <w:t xml:space="preserve">pobudam za vložitev zahteve za razpis zakonodajnega referenduma. V letu 2025 je bilo vloženih </w:t>
      </w:r>
      <w:r w:rsidR="00320F67">
        <w:rPr>
          <w:rFonts w:ascii="Arial" w:hAnsi="Arial" w:cs="Arial"/>
          <w:sz w:val="20"/>
          <w:szCs w:val="20"/>
        </w:rPr>
        <w:t>šest</w:t>
      </w:r>
      <w:r w:rsidR="00320F67" w:rsidRPr="00D83239">
        <w:rPr>
          <w:rFonts w:ascii="Arial" w:hAnsi="Arial" w:cs="Arial"/>
          <w:sz w:val="20"/>
          <w:szCs w:val="20"/>
        </w:rPr>
        <w:t xml:space="preserve"> </w:t>
      </w:r>
      <w:r w:rsidRPr="00D83239">
        <w:rPr>
          <w:rFonts w:ascii="Arial" w:hAnsi="Arial" w:cs="Arial"/>
          <w:sz w:val="20"/>
          <w:szCs w:val="20"/>
        </w:rPr>
        <w:t>pobud volivce</w:t>
      </w:r>
      <w:r w:rsidR="00414905">
        <w:rPr>
          <w:rFonts w:ascii="Arial" w:hAnsi="Arial" w:cs="Arial"/>
          <w:sz w:val="20"/>
          <w:szCs w:val="20"/>
        </w:rPr>
        <w:t>v</w:t>
      </w:r>
      <w:r w:rsidRPr="00D83239">
        <w:rPr>
          <w:rFonts w:ascii="Arial" w:hAnsi="Arial" w:cs="Arial"/>
          <w:sz w:val="20"/>
          <w:szCs w:val="20"/>
        </w:rPr>
        <w:t xml:space="preserve"> za vložitev predloga zakona, za katere se </w:t>
      </w:r>
      <w:r w:rsidR="00414905">
        <w:rPr>
          <w:rFonts w:ascii="Arial" w:hAnsi="Arial" w:cs="Arial"/>
          <w:sz w:val="20"/>
          <w:szCs w:val="20"/>
        </w:rPr>
        <w:t xml:space="preserve">je </w:t>
      </w:r>
      <w:r w:rsidRPr="00D83239">
        <w:rPr>
          <w:rFonts w:ascii="Arial" w:hAnsi="Arial" w:cs="Arial"/>
          <w:sz w:val="20"/>
          <w:szCs w:val="20"/>
        </w:rPr>
        <w:t>zbiral</w:t>
      </w:r>
      <w:r w:rsidR="00414905">
        <w:rPr>
          <w:rFonts w:ascii="Arial" w:hAnsi="Arial" w:cs="Arial"/>
          <w:sz w:val="20"/>
          <w:szCs w:val="20"/>
        </w:rPr>
        <w:t>a</w:t>
      </w:r>
      <w:r w:rsidRPr="00D83239">
        <w:rPr>
          <w:rFonts w:ascii="Arial" w:hAnsi="Arial" w:cs="Arial"/>
          <w:sz w:val="20"/>
          <w:szCs w:val="20"/>
        </w:rPr>
        <w:t xml:space="preserve"> podpor</w:t>
      </w:r>
      <w:r w:rsidR="00414905">
        <w:rPr>
          <w:rFonts w:ascii="Arial" w:hAnsi="Arial" w:cs="Arial"/>
          <w:sz w:val="20"/>
          <w:szCs w:val="20"/>
        </w:rPr>
        <w:t>a</w:t>
      </w:r>
      <w:r w:rsidRPr="00D83239">
        <w:rPr>
          <w:rFonts w:ascii="Arial" w:hAnsi="Arial" w:cs="Arial"/>
          <w:sz w:val="20"/>
          <w:szCs w:val="20"/>
        </w:rPr>
        <w:t xml:space="preserve">.  </w:t>
      </w:r>
    </w:p>
    <w:p w14:paraId="302925A5" w14:textId="77777777" w:rsidR="003C5D73" w:rsidRPr="00D83239" w:rsidRDefault="003C5D73" w:rsidP="00D83239">
      <w:pPr>
        <w:spacing w:after="0" w:line="276" w:lineRule="auto"/>
        <w:jc w:val="both"/>
        <w:rPr>
          <w:rFonts w:ascii="Arial" w:hAnsi="Arial" w:cs="Arial"/>
          <w:sz w:val="20"/>
          <w:szCs w:val="20"/>
          <w:highlight w:val="yellow"/>
        </w:rPr>
      </w:pPr>
    </w:p>
    <w:p w14:paraId="2DC4AF09" w14:textId="4F26D405" w:rsidR="003C5D73" w:rsidRPr="00D83239" w:rsidRDefault="003C5D73" w:rsidP="00D83239">
      <w:pPr>
        <w:pStyle w:val="Naslov3"/>
        <w:spacing w:line="276" w:lineRule="auto"/>
        <w:jc w:val="both"/>
        <w:rPr>
          <w:rFonts w:cs="Arial"/>
          <w:sz w:val="20"/>
          <w:szCs w:val="20"/>
        </w:rPr>
      </w:pPr>
      <w:bookmarkStart w:id="91" w:name="_Toc225499829"/>
      <w:r w:rsidRPr="00D83239">
        <w:rPr>
          <w:rFonts w:cs="Arial"/>
          <w:sz w:val="20"/>
          <w:szCs w:val="20"/>
        </w:rPr>
        <w:t>Pridobitev državljanstva</w:t>
      </w:r>
      <w:bookmarkEnd w:id="91"/>
    </w:p>
    <w:p w14:paraId="1FA09C29" w14:textId="77777777" w:rsidR="00716F34" w:rsidRPr="00D83239" w:rsidRDefault="00716F34" w:rsidP="00D83239">
      <w:pPr>
        <w:spacing w:after="0" w:line="276" w:lineRule="auto"/>
        <w:jc w:val="both"/>
        <w:rPr>
          <w:rFonts w:ascii="Arial" w:hAnsi="Arial" w:cs="Arial"/>
          <w:sz w:val="20"/>
          <w:szCs w:val="20"/>
        </w:rPr>
      </w:pPr>
    </w:p>
    <w:p w14:paraId="6DFE07CF" w14:textId="26FB0421" w:rsidR="003C5D73" w:rsidRDefault="003C5D73" w:rsidP="00D83239">
      <w:pPr>
        <w:spacing w:line="276" w:lineRule="auto"/>
        <w:jc w:val="both"/>
        <w:rPr>
          <w:rFonts w:ascii="Arial" w:hAnsi="Arial" w:cs="Arial"/>
          <w:sz w:val="20"/>
          <w:szCs w:val="20"/>
        </w:rPr>
      </w:pPr>
      <w:r w:rsidRPr="00D83239">
        <w:rPr>
          <w:rFonts w:ascii="Arial" w:hAnsi="Arial" w:cs="Arial"/>
          <w:sz w:val="20"/>
          <w:szCs w:val="20"/>
        </w:rPr>
        <w:t>Skupno število sprejetih oseb v državljanstvo Republike Slovenije je bilo v letu 2025 v primerjavi z letom 2024 večje za 20 % (2.405 oseb v letu 2025, 2.002 oseb</w:t>
      </w:r>
      <w:r w:rsidR="00414905">
        <w:rPr>
          <w:rFonts w:ascii="Arial" w:hAnsi="Arial" w:cs="Arial"/>
          <w:sz w:val="20"/>
          <w:szCs w:val="20"/>
        </w:rPr>
        <w:t>i</w:t>
      </w:r>
      <w:r w:rsidRPr="00D83239">
        <w:rPr>
          <w:rFonts w:ascii="Arial" w:hAnsi="Arial" w:cs="Arial"/>
          <w:sz w:val="20"/>
          <w:szCs w:val="20"/>
        </w:rPr>
        <w:t xml:space="preserve"> v letu 2024). Povečalo se je število sprejetih oseb tako pri postopku redne naturalizacije (+17</w:t>
      </w:r>
      <w:r w:rsidR="00E0081A">
        <w:rPr>
          <w:rFonts w:ascii="Arial" w:hAnsi="Arial" w:cs="Arial"/>
          <w:sz w:val="20"/>
          <w:szCs w:val="20"/>
        </w:rPr>
        <w:t xml:space="preserve"> </w:t>
      </w:r>
      <w:r w:rsidRPr="00D83239">
        <w:rPr>
          <w:rFonts w:ascii="Arial" w:hAnsi="Arial" w:cs="Arial"/>
          <w:sz w:val="20"/>
          <w:szCs w:val="20"/>
        </w:rPr>
        <w:t>%) kot pri postopku izredne naturalizacije (+38</w:t>
      </w:r>
      <w:r w:rsidR="00E0081A">
        <w:rPr>
          <w:rFonts w:ascii="Arial" w:hAnsi="Arial" w:cs="Arial"/>
          <w:sz w:val="20"/>
          <w:szCs w:val="20"/>
        </w:rPr>
        <w:t xml:space="preserve"> </w:t>
      </w:r>
      <w:r w:rsidRPr="00D83239">
        <w:rPr>
          <w:rFonts w:ascii="Arial" w:hAnsi="Arial" w:cs="Arial"/>
          <w:sz w:val="20"/>
          <w:szCs w:val="20"/>
        </w:rPr>
        <w:t xml:space="preserve">%). Zaradi vpisa sprejetih oseb v letu 2025 v </w:t>
      </w:r>
      <w:r w:rsidR="0030280B">
        <w:rPr>
          <w:rFonts w:ascii="Arial" w:hAnsi="Arial" w:cs="Arial"/>
          <w:sz w:val="20"/>
          <w:szCs w:val="20"/>
        </w:rPr>
        <w:t>M</w:t>
      </w:r>
      <w:r w:rsidRPr="00D83239">
        <w:rPr>
          <w:rFonts w:ascii="Arial" w:hAnsi="Arial" w:cs="Arial"/>
          <w:sz w:val="20"/>
          <w:szCs w:val="20"/>
        </w:rPr>
        <w:t>atični register, ki še poteka, se bo število sprejetih oseb v letu 2025 lahko še povečalo.</w:t>
      </w:r>
    </w:p>
    <w:p w14:paraId="06DA3A36" w14:textId="77777777" w:rsidR="00D04A11" w:rsidRPr="00D83239" w:rsidRDefault="00D04A11" w:rsidP="00D04A11">
      <w:pPr>
        <w:spacing w:after="0" w:line="276" w:lineRule="auto"/>
        <w:jc w:val="both"/>
        <w:rPr>
          <w:rFonts w:ascii="Arial" w:hAnsi="Arial" w:cs="Arial"/>
          <w:sz w:val="20"/>
          <w:szCs w:val="20"/>
        </w:rPr>
      </w:pPr>
    </w:p>
    <w:p w14:paraId="010839F0" w14:textId="77777777" w:rsidR="00D04A11" w:rsidRDefault="003C5D73" w:rsidP="00D04A11">
      <w:pPr>
        <w:spacing w:line="276" w:lineRule="auto"/>
        <w:jc w:val="both"/>
        <w:rPr>
          <w:rFonts w:ascii="Arial" w:hAnsi="Arial" w:cs="Arial"/>
          <w:b/>
          <w:sz w:val="20"/>
          <w:szCs w:val="20"/>
        </w:rPr>
      </w:pPr>
      <w:r w:rsidRPr="00D83239">
        <w:rPr>
          <w:rFonts w:ascii="Arial" w:hAnsi="Arial" w:cs="Arial"/>
          <w:noProof/>
          <w:sz w:val="20"/>
          <w:szCs w:val="20"/>
          <w:lang w:eastAsia="sl-SI"/>
        </w:rPr>
        <w:drawing>
          <wp:inline distT="0" distB="0" distL="0" distR="0" wp14:anchorId="470BF6EC" wp14:editId="621316B4">
            <wp:extent cx="5738091" cy="2982191"/>
            <wp:effectExtent l="0" t="0" r="15240" b="8890"/>
            <wp:docPr id="5" name="Grafiko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F7A587" w14:textId="0B6D7402" w:rsidR="00086963" w:rsidRPr="00D04A11" w:rsidRDefault="003C5D73" w:rsidP="00D04A11">
      <w:pPr>
        <w:spacing w:line="276" w:lineRule="auto"/>
        <w:jc w:val="both"/>
        <w:rPr>
          <w:rFonts w:ascii="Arial" w:hAnsi="Arial" w:cs="Arial"/>
          <w:b/>
          <w:sz w:val="20"/>
          <w:szCs w:val="20"/>
        </w:rPr>
      </w:pPr>
      <w:r w:rsidRPr="00D83239">
        <w:rPr>
          <w:rFonts w:ascii="Arial" w:hAnsi="Arial" w:cs="Arial"/>
          <w:b/>
          <w:sz w:val="20"/>
          <w:szCs w:val="20"/>
        </w:rPr>
        <w:t>Graf</w:t>
      </w:r>
      <w:r w:rsidR="00414905">
        <w:rPr>
          <w:rFonts w:ascii="Arial" w:hAnsi="Arial" w:cs="Arial"/>
          <w:b/>
          <w:sz w:val="20"/>
          <w:szCs w:val="20"/>
        </w:rPr>
        <w:t>ikon</w:t>
      </w:r>
      <w:r w:rsidRPr="003F5DF2">
        <w:rPr>
          <w:rFonts w:ascii="Arial" w:hAnsi="Arial" w:cs="Arial"/>
          <w:sz w:val="20"/>
          <w:szCs w:val="20"/>
        </w:rPr>
        <w:t>:</w:t>
      </w:r>
      <w:r w:rsidRPr="00D83239">
        <w:rPr>
          <w:rFonts w:ascii="Arial" w:hAnsi="Arial" w:cs="Arial"/>
          <w:sz w:val="20"/>
          <w:szCs w:val="20"/>
        </w:rPr>
        <w:t xml:space="preserve"> Deset najpogostejših izvornih držav prosilcev za redno naturalizacijo v letu 2025 v primerjavi z letom 2024</w:t>
      </w:r>
    </w:p>
    <w:p w14:paraId="475E5396" w14:textId="77777777" w:rsidR="0089453F" w:rsidRDefault="003C5D73" w:rsidP="00D83239">
      <w:pPr>
        <w:spacing w:line="276" w:lineRule="auto"/>
        <w:jc w:val="both"/>
        <w:rPr>
          <w:rFonts w:ascii="Arial" w:hAnsi="Arial" w:cs="Arial"/>
          <w:b/>
          <w:sz w:val="20"/>
          <w:szCs w:val="20"/>
        </w:rPr>
      </w:pPr>
      <w:r w:rsidRPr="00D83239">
        <w:rPr>
          <w:rFonts w:ascii="Arial" w:hAnsi="Arial" w:cs="Arial"/>
          <w:noProof/>
          <w:sz w:val="20"/>
          <w:szCs w:val="20"/>
          <w:lang w:eastAsia="sl-SI"/>
        </w:rPr>
        <w:drawing>
          <wp:inline distT="0" distB="0" distL="0" distR="0" wp14:anchorId="4871957E" wp14:editId="115AF0B4">
            <wp:extent cx="5709237" cy="2918460"/>
            <wp:effectExtent l="0" t="0" r="6350" b="15240"/>
            <wp:docPr id="3" name="Grafiko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45B371" w14:textId="62AAA47F" w:rsidR="003C5D73" w:rsidRPr="00D83239" w:rsidRDefault="003C5D73" w:rsidP="00D04A11">
      <w:pPr>
        <w:spacing w:after="0" w:line="276" w:lineRule="auto"/>
        <w:jc w:val="both"/>
        <w:rPr>
          <w:rFonts w:ascii="Arial" w:hAnsi="Arial" w:cs="Arial"/>
          <w:sz w:val="20"/>
          <w:szCs w:val="20"/>
        </w:rPr>
      </w:pPr>
      <w:r w:rsidRPr="00D83239">
        <w:rPr>
          <w:rFonts w:ascii="Arial" w:hAnsi="Arial" w:cs="Arial"/>
          <w:b/>
          <w:sz w:val="20"/>
          <w:szCs w:val="20"/>
        </w:rPr>
        <w:t>Graf</w:t>
      </w:r>
      <w:r w:rsidR="007D1501">
        <w:rPr>
          <w:rFonts w:ascii="Arial" w:hAnsi="Arial" w:cs="Arial"/>
          <w:b/>
          <w:sz w:val="20"/>
          <w:szCs w:val="20"/>
        </w:rPr>
        <w:t>ikon</w:t>
      </w:r>
      <w:r w:rsidRPr="00D83239">
        <w:rPr>
          <w:rFonts w:ascii="Arial" w:hAnsi="Arial" w:cs="Arial"/>
          <w:sz w:val="20"/>
          <w:szCs w:val="20"/>
        </w:rPr>
        <w:t>: Pet najpogostejših izvornih držav prosilcev za izredno naturalizacijo v letu 2025 v primerjavi z letom 2024</w:t>
      </w:r>
    </w:p>
    <w:p w14:paraId="542ED4DD" w14:textId="77777777" w:rsidR="00D04A11" w:rsidRDefault="00D04A11" w:rsidP="00D04A11">
      <w:pPr>
        <w:spacing w:after="0" w:line="276" w:lineRule="auto"/>
        <w:jc w:val="both"/>
        <w:rPr>
          <w:rFonts w:ascii="Arial" w:hAnsi="Arial" w:cs="Arial"/>
          <w:sz w:val="20"/>
          <w:szCs w:val="20"/>
        </w:rPr>
      </w:pPr>
    </w:p>
    <w:p w14:paraId="4401B058" w14:textId="5B8D3B75" w:rsidR="003C5D73" w:rsidRPr="00D83239" w:rsidRDefault="003C5D73" w:rsidP="00D83239">
      <w:pPr>
        <w:spacing w:line="276" w:lineRule="auto"/>
        <w:jc w:val="both"/>
        <w:rPr>
          <w:rFonts w:ascii="Arial" w:hAnsi="Arial" w:cs="Arial"/>
          <w:sz w:val="20"/>
          <w:szCs w:val="20"/>
        </w:rPr>
      </w:pPr>
      <w:r w:rsidRPr="00D83239">
        <w:rPr>
          <w:rFonts w:ascii="Arial" w:hAnsi="Arial" w:cs="Arial"/>
          <w:sz w:val="20"/>
          <w:szCs w:val="20"/>
        </w:rPr>
        <w:t>V letu 2025 je bilo izvedenih šest regijskih delovnih posvetov z uslužbenci upravnih enot, ki vodijo postopke pridobitve državljanstva na prvi stopnji. Opravljenih je bilo tudi osem strokovnih nadzorov v zvezi z izvajanjem Zakona o državljanstvu Republike Slovenije (na upravnih enotah Ajdovščina, Cerknica, Jesenice, Nova Gorica, Pesnica, Piran, Radlje ob Dravi in Radovljica).</w:t>
      </w:r>
    </w:p>
    <w:p w14:paraId="0FD705F3" w14:textId="02CE9B86"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 xml:space="preserve">Največje pomanjkljivosti so bile ugotovljene pri pomanjkljivem in nepravočasnem vnosu podatkov v </w:t>
      </w:r>
      <w:r w:rsidR="0030280B">
        <w:rPr>
          <w:rFonts w:ascii="Arial" w:hAnsi="Arial" w:cs="Arial"/>
          <w:sz w:val="20"/>
          <w:szCs w:val="20"/>
        </w:rPr>
        <w:t>R</w:t>
      </w:r>
      <w:r w:rsidRPr="00D83239">
        <w:rPr>
          <w:rFonts w:ascii="Arial" w:hAnsi="Arial" w:cs="Arial"/>
          <w:sz w:val="20"/>
          <w:szCs w:val="20"/>
        </w:rPr>
        <w:t xml:space="preserve">egister državljanstev. Pri priglasitvah v državljanstvo je bila pri eni upravni enoti ugotovljena napačna uporaba materialnega zakona za uporabo priglasitve, čeprav bi morala biti uporabljena naturalizacija, sicer pa nekatere upravne enote niso napisale uradnega zaznamka, na kakšen način je </w:t>
      </w:r>
      <w:r w:rsidR="00E0081A">
        <w:rPr>
          <w:rFonts w:ascii="Arial" w:hAnsi="Arial" w:cs="Arial"/>
          <w:sz w:val="20"/>
          <w:szCs w:val="20"/>
        </w:rPr>
        <w:t>upravna enota</w:t>
      </w:r>
      <w:r w:rsidRPr="00D83239">
        <w:rPr>
          <w:rFonts w:ascii="Arial" w:hAnsi="Arial" w:cs="Arial"/>
          <w:sz w:val="20"/>
          <w:szCs w:val="20"/>
        </w:rPr>
        <w:t xml:space="preserve"> ugotovila izpolnjevanje pogojev za priglasitev</w:t>
      </w:r>
      <w:r w:rsidR="003A5F48">
        <w:rPr>
          <w:rFonts w:ascii="Arial" w:hAnsi="Arial" w:cs="Arial"/>
          <w:sz w:val="20"/>
          <w:szCs w:val="20"/>
        </w:rPr>
        <w:t>,</w:t>
      </w:r>
      <w:r w:rsidR="003A5F48" w:rsidRPr="003A5F48">
        <w:rPr>
          <w:rFonts w:ascii="Arial" w:hAnsi="Arial" w:cs="Arial"/>
          <w:sz w:val="20"/>
          <w:szCs w:val="20"/>
        </w:rPr>
        <w:t xml:space="preserve"> </w:t>
      </w:r>
      <w:r w:rsidR="003A5F48" w:rsidRPr="00D83239">
        <w:rPr>
          <w:rFonts w:ascii="Arial" w:hAnsi="Arial" w:cs="Arial"/>
          <w:sz w:val="20"/>
          <w:szCs w:val="20"/>
        </w:rPr>
        <w:t>v upravno zadevo</w:t>
      </w:r>
      <w:r w:rsidRPr="00D83239">
        <w:rPr>
          <w:rFonts w:ascii="Arial" w:hAnsi="Arial" w:cs="Arial"/>
          <w:sz w:val="20"/>
          <w:szCs w:val="20"/>
        </w:rPr>
        <w:t xml:space="preserve">. Pri eni upravni enoti je bila pri vodenju postopka naturalizacije ugotovljena kršitev načela ekonomičnosti postopka in kršitev </w:t>
      </w:r>
      <w:proofErr w:type="spellStart"/>
      <w:r w:rsidRPr="00D83239">
        <w:rPr>
          <w:rFonts w:ascii="Arial" w:hAnsi="Arial" w:cs="Arial"/>
          <w:sz w:val="20"/>
          <w:szCs w:val="20"/>
        </w:rPr>
        <w:t>instrukcijskega</w:t>
      </w:r>
      <w:proofErr w:type="spellEnd"/>
      <w:r w:rsidR="00D04A11">
        <w:rPr>
          <w:rFonts w:ascii="Arial" w:hAnsi="Arial" w:cs="Arial"/>
          <w:sz w:val="20"/>
          <w:szCs w:val="20"/>
        </w:rPr>
        <w:t xml:space="preserve"> roka za odločitev (222. člen Zakona o upravnem postopku</w:t>
      </w:r>
      <w:r w:rsidRPr="00D83239">
        <w:rPr>
          <w:rFonts w:ascii="Arial" w:hAnsi="Arial" w:cs="Arial"/>
          <w:sz w:val="20"/>
          <w:szCs w:val="20"/>
        </w:rPr>
        <w:t xml:space="preserve">). Ugotovljena je bila tudi napačna uporaba drugega odstavka 10. člena Zakona o državljanstvu Republike Slovenije, saj je upravna enota napačno </w:t>
      </w:r>
      <w:r w:rsidR="00D8181D">
        <w:rPr>
          <w:rFonts w:ascii="Arial" w:hAnsi="Arial" w:cs="Arial"/>
          <w:sz w:val="20"/>
          <w:szCs w:val="20"/>
        </w:rPr>
        <w:t>sklen</w:t>
      </w:r>
      <w:r w:rsidRPr="00D83239">
        <w:rPr>
          <w:rFonts w:ascii="Arial" w:hAnsi="Arial" w:cs="Arial"/>
          <w:sz w:val="20"/>
          <w:szCs w:val="20"/>
        </w:rPr>
        <w:t xml:space="preserve">ila, da tuja država ne pozna instituta prenehanja državljanstva na podlagi prošnje. V nekaterih primerih niso bile opravljene ustrezne overitve tujih listin za uporabo v Republiki Sloveniji. </w:t>
      </w:r>
    </w:p>
    <w:p w14:paraId="0D00B552" w14:textId="3CF3201F" w:rsidR="00EC030E" w:rsidRPr="00D83239" w:rsidRDefault="00EC030E" w:rsidP="00D83239">
      <w:pPr>
        <w:spacing w:after="0" w:line="276" w:lineRule="auto"/>
        <w:jc w:val="both"/>
        <w:rPr>
          <w:rFonts w:ascii="Arial" w:hAnsi="Arial" w:cs="Arial"/>
          <w:sz w:val="20"/>
          <w:szCs w:val="20"/>
          <w:highlight w:val="yellow"/>
        </w:rPr>
      </w:pPr>
    </w:p>
    <w:p w14:paraId="56399233" w14:textId="163ADE8F" w:rsidR="003C5D73" w:rsidRPr="00D83239" w:rsidRDefault="003C5D73" w:rsidP="00D83239">
      <w:pPr>
        <w:pStyle w:val="Naslov3"/>
        <w:spacing w:line="276" w:lineRule="auto"/>
        <w:jc w:val="both"/>
        <w:rPr>
          <w:rFonts w:cs="Arial"/>
          <w:sz w:val="20"/>
          <w:szCs w:val="20"/>
        </w:rPr>
      </w:pPr>
      <w:bookmarkStart w:id="92" w:name="_Toc225499830"/>
      <w:r w:rsidRPr="00D83239">
        <w:rPr>
          <w:rFonts w:cs="Arial"/>
          <w:sz w:val="20"/>
          <w:szCs w:val="20"/>
        </w:rPr>
        <w:t>Področje orožja</w:t>
      </w:r>
      <w:bookmarkEnd w:id="92"/>
      <w:r w:rsidRPr="00D83239">
        <w:rPr>
          <w:rFonts w:cs="Arial"/>
          <w:sz w:val="20"/>
          <w:szCs w:val="20"/>
        </w:rPr>
        <w:t xml:space="preserve"> </w:t>
      </w:r>
    </w:p>
    <w:p w14:paraId="6B78CB52" w14:textId="2FC79F22" w:rsidR="003C5D73" w:rsidRPr="00D83239" w:rsidRDefault="003C5D73" w:rsidP="00D83239">
      <w:pPr>
        <w:spacing w:after="0" w:line="276" w:lineRule="auto"/>
        <w:jc w:val="both"/>
        <w:rPr>
          <w:rFonts w:ascii="Arial" w:hAnsi="Arial" w:cs="Arial"/>
          <w:sz w:val="20"/>
          <w:szCs w:val="20"/>
          <w:highlight w:val="yellow"/>
        </w:rPr>
      </w:pPr>
    </w:p>
    <w:p w14:paraId="12926862" w14:textId="4730D62C" w:rsidR="003C5D73" w:rsidRPr="00D83239" w:rsidRDefault="003C5D73" w:rsidP="00D83239">
      <w:pPr>
        <w:spacing w:after="0" w:line="276" w:lineRule="auto"/>
        <w:jc w:val="both"/>
        <w:rPr>
          <w:rFonts w:ascii="Arial" w:eastAsia="Times New Roman" w:hAnsi="Arial" w:cs="Arial"/>
          <w:b/>
          <w:bCs/>
          <w:sz w:val="20"/>
          <w:szCs w:val="20"/>
        </w:rPr>
      </w:pPr>
      <w:r w:rsidRPr="00D83239">
        <w:rPr>
          <w:rFonts w:ascii="Arial" w:eastAsia="Times New Roman" w:hAnsi="Arial" w:cs="Arial"/>
          <w:b/>
          <w:bCs/>
          <w:sz w:val="20"/>
          <w:szCs w:val="20"/>
        </w:rPr>
        <w:t>Zakon o dopolnitvi Zakona o orožju</w:t>
      </w:r>
      <w:r w:rsidR="004F538C">
        <w:rPr>
          <w:rFonts w:ascii="Arial" w:eastAsia="Times New Roman" w:hAnsi="Arial" w:cs="Arial"/>
          <w:b/>
          <w:bCs/>
          <w:sz w:val="20"/>
          <w:szCs w:val="20"/>
        </w:rPr>
        <w:t xml:space="preserve"> </w:t>
      </w:r>
    </w:p>
    <w:p w14:paraId="15BB314D" w14:textId="7BB8A95C" w:rsidR="003C5D73" w:rsidRPr="00D83239" w:rsidRDefault="003C5D73" w:rsidP="00D83239">
      <w:pPr>
        <w:spacing w:line="276" w:lineRule="auto"/>
        <w:ind w:right="72"/>
        <w:jc w:val="both"/>
        <w:rPr>
          <w:rFonts w:ascii="Arial" w:hAnsi="Arial" w:cs="Arial"/>
          <w:sz w:val="20"/>
          <w:szCs w:val="20"/>
          <w:lang w:val="pl-PL"/>
        </w:rPr>
      </w:pPr>
      <w:r w:rsidRPr="00D83239">
        <w:rPr>
          <w:rFonts w:ascii="Arial" w:eastAsia="Times New Roman" w:hAnsi="Arial" w:cs="Arial"/>
          <w:sz w:val="20"/>
          <w:szCs w:val="20"/>
        </w:rPr>
        <w:t xml:space="preserve">V Uradnem listu </w:t>
      </w:r>
      <w:r w:rsidR="003A5F48">
        <w:rPr>
          <w:rFonts w:ascii="Arial" w:eastAsia="Times New Roman" w:hAnsi="Arial" w:cs="Arial"/>
          <w:sz w:val="20"/>
          <w:szCs w:val="20"/>
        </w:rPr>
        <w:t xml:space="preserve">Republike Slovenije št. </w:t>
      </w:r>
      <w:r w:rsidRPr="00D83239">
        <w:rPr>
          <w:rFonts w:ascii="Arial" w:eastAsia="Times New Roman" w:hAnsi="Arial" w:cs="Arial"/>
          <w:sz w:val="20"/>
          <w:szCs w:val="20"/>
        </w:rPr>
        <w:t>104/25 je bil objavljen Zakon o dopolnitvi Zakona o orožju</w:t>
      </w:r>
      <w:r w:rsidR="004F538C">
        <w:rPr>
          <w:rFonts w:ascii="Arial" w:eastAsia="Times New Roman" w:hAnsi="Arial" w:cs="Arial"/>
          <w:sz w:val="20"/>
          <w:szCs w:val="20"/>
        </w:rPr>
        <w:t xml:space="preserve"> (</w:t>
      </w:r>
      <w:r w:rsidR="004F538C" w:rsidRPr="00D83239">
        <w:rPr>
          <w:rFonts w:ascii="Arial" w:eastAsia="Times New Roman" w:hAnsi="Arial" w:cs="Arial"/>
          <w:sz w:val="20"/>
          <w:szCs w:val="20"/>
        </w:rPr>
        <w:t>Zoro-1D</w:t>
      </w:r>
      <w:r w:rsidR="004F538C">
        <w:rPr>
          <w:rFonts w:ascii="Arial" w:eastAsia="Times New Roman" w:hAnsi="Arial" w:cs="Arial"/>
          <w:sz w:val="20"/>
          <w:szCs w:val="20"/>
        </w:rPr>
        <w:t>)</w:t>
      </w:r>
      <w:r w:rsidRPr="00D83239">
        <w:rPr>
          <w:rFonts w:ascii="Arial" w:eastAsia="Times New Roman" w:hAnsi="Arial" w:cs="Arial"/>
          <w:sz w:val="20"/>
          <w:szCs w:val="20"/>
        </w:rPr>
        <w:t>, s katerim se je omogočil</w:t>
      </w:r>
      <w:r w:rsidR="003A5F48">
        <w:rPr>
          <w:rFonts w:ascii="Arial" w:eastAsia="Times New Roman" w:hAnsi="Arial" w:cs="Arial"/>
          <w:sz w:val="20"/>
          <w:szCs w:val="20"/>
        </w:rPr>
        <w:t>a</w:t>
      </w:r>
      <w:r w:rsidRPr="00D83239">
        <w:rPr>
          <w:rFonts w:ascii="Arial" w:eastAsia="Times New Roman" w:hAnsi="Arial" w:cs="Arial"/>
          <w:sz w:val="20"/>
          <w:szCs w:val="20"/>
        </w:rPr>
        <w:t xml:space="preserve"> izročitev orožja oziroma streliva,</w:t>
      </w:r>
      <w:r w:rsidRPr="00D83239">
        <w:rPr>
          <w:rFonts w:ascii="Arial" w:eastAsia="Times New Roman" w:hAnsi="Arial" w:cs="Arial"/>
          <w:b/>
          <w:bCs/>
          <w:sz w:val="20"/>
          <w:szCs w:val="20"/>
        </w:rPr>
        <w:t xml:space="preserve"> </w:t>
      </w:r>
      <w:r w:rsidRPr="00D83239">
        <w:rPr>
          <w:rFonts w:ascii="Arial" w:eastAsia="Times New Roman" w:hAnsi="Arial" w:cs="Arial"/>
          <w:sz w:val="20"/>
          <w:szCs w:val="20"/>
        </w:rPr>
        <w:t>ki ga</w:t>
      </w:r>
      <w:r w:rsidRPr="00D83239">
        <w:rPr>
          <w:rFonts w:ascii="Arial" w:eastAsia="Times New Roman" w:hAnsi="Arial" w:cs="Arial"/>
          <w:b/>
          <w:bCs/>
          <w:sz w:val="20"/>
          <w:szCs w:val="20"/>
        </w:rPr>
        <w:t xml:space="preserve"> </w:t>
      </w:r>
      <w:r w:rsidR="00D8181D" w:rsidRPr="00D83239">
        <w:rPr>
          <w:rFonts w:ascii="Arial" w:eastAsia="Times New Roman" w:hAnsi="Arial" w:cs="Arial"/>
          <w:sz w:val="20"/>
          <w:szCs w:val="20"/>
        </w:rPr>
        <w:t>imetnik</w:t>
      </w:r>
      <w:r w:rsidR="00D8181D">
        <w:rPr>
          <w:rFonts w:ascii="Arial" w:eastAsia="Times New Roman" w:hAnsi="Arial" w:cs="Arial"/>
          <w:sz w:val="20"/>
          <w:szCs w:val="20"/>
        </w:rPr>
        <w:t>i</w:t>
      </w:r>
      <w:r w:rsidR="00D8181D" w:rsidRPr="00D83239">
        <w:rPr>
          <w:rFonts w:ascii="Arial" w:hAnsi="Arial" w:cs="Arial"/>
          <w:color w:val="000000"/>
          <w:sz w:val="20"/>
          <w:szCs w:val="20"/>
        </w:rPr>
        <w:t xml:space="preserve"> </w:t>
      </w:r>
      <w:r w:rsidRPr="00D83239">
        <w:rPr>
          <w:rFonts w:ascii="Arial" w:hAnsi="Arial" w:cs="Arial"/>
          <w:color w:val="000000"/>
          <w:sz w:val="20"/>
          <w:szCs w:val="20"/>
        </w:rPr>
        <w:t>posedujejo brez veljavne orožne listine, ter orožja oziroma streliva, promet</w:t>
      </w:r>
      <w:r w:rsidR="00D8181D">
        <w:rPr>
          <w:rFonts w:ascii="Arial" w:hAnsi="Arial" w:cs="Arial"/>
          <w:color w:val="000000"/>
          <w:sz w:val="20"/>
          <w:szCs w:val="20"/>
        </w:rPr>
        <w:t xml:space="preserve"> s katerim in</w:t>
      </w:r>
      <w:r w:rsidRPr="00D83239">
        <w:rPr>
          <w:rFonts w:ascii="Arial" w:hAnsi="Arial" w:cs="Arial"/>
          <w:color w:val="000000"/>
          <w:sz w:val="20"/>
          <w:szCs w:val="20"/>
        </w:rPr>
        <w:t xml:space="preserve"> </w:t>
      </w:r>
      <w:r w:rsidR="00D8181D" w:rsidRPr="00D83239">
        <w:rPr>
          <w:rFonts w:ascii="Arial" w:hAnsi="Arial" w:cs="Arial"/>
          <w:color w:val="000000"/>
          <w:sz w:val="20"/>
          <w:szCs w:val="20"/>
        </w:rPr>
        <w:t xml:space="preserve">katerega </w:t>
      </w:r>
      <w:r w:rsidRPr="00D83239">
        <w:rPr>
          <w:rFonts w:ascii="Arial" w:hAnsi="Arial" w:cs="Arial"/>
          <w:color w:val="000000"/>
          <w:sz w:val="20"/>
          <w:szCs w:val="20"/>
        </w:rPr>
        <w:t xml:space="preserve">nabava in posest v skladu s tem zakonom niso dovoljeni ali so omejeni. Izročitev orožja oziroma streliva je potekala do </w:t>
      </w:r>
      <w:r w:rsidRPr="00D83239">
        <w:rPr>
          <w:rFonts w:ascii="Arial" w:hAnsi="Arial" w:cs="Arial"/>
          <w:sz w:val="20"/>
          <w:szCs w:val="20"/>
          <w:lang w:val="pl-PL"/>
        </w:rPr>
        <w:t xml:space="preserve">31. </w:t>
      </w:r>
      <w:r w:rsidR="00E0081A">
        <w:rPr>
          <w:rFonts w:ascii="Arial" w:hAnsi="Arial" w:cs="Arial"/>
          <w:sz w:val="20"/>
          <w:szCs w:val="20"/>
          <w:lang w:val="pl-PL"/>
        </w:rPr>
        <w:t>1.</w:t>
      </w:r>
      <w:r w:rsidRPr="00D83239">
        <w:rPr>
          <w:rFonts w:ascii="Arial" w:hAnsi="Arial" w:cs="Arial"/>
          <w:sz w:val="20"/>
          <w:szCs w:val="20"/>
          <w:lang w:val="pl-PL"/>
        </w:rPr>
        <w:t xml:space="preserve"> 2026. Orožje oziroma strelivo se je izročilo policiji </w:t>
      </w:r>
      <w:r w:rsidR="003A5F48">
        <w:rPr>
          <w:rFonts w:ascii="Arial" w:hAnsi="Arial" w:cs="Arial"/>
          <w:sz w:val="20"/>
          <w:szCs w:val="20"/>
          <w:lang w:val="pl-PL"/>
        </w:rPr>
        <w:t>tako</w:t>
      </w:r>
      <w:r w:rsidRPr="00D83239">
        <w:rPr>
          <w:rFonts w:ascii="Arial" w:hAnsi="Arial" w:cs="Arial"/>
          <w:sz w:val="20"/>
          <w:szCs w:val="20"/>
          <w:lang w:val="pl-PL"/>
        </w:rPr>
        <w:t xml:space="preserve">, da je imetnik orožja oziroma streliva predhodno najavil izročitev orožja oziroma streliva po telefonu, nato pa je orožje oziroma strelivo policija prevzela pri imetniku. Izročeno orožje oziroma strelivo je postalo last Republike Slovenije, imetnik za izročeno orožje oziroma strelivo ni mogel pridobiti orožne listine, prav tako ni bil upravičen do odškodnine ali povračila stroškov. </w:t>
      </w:r>
    </w:p>
    <w:p w14:paraId="495F0534" w14:textId="090BDBD4" w:rsidR="003C5D73" w:rsidRPr="00D83239" w:rsidRDefault="003C5D73" w:rsidP="00D83239">
      <w:pPr>
        <w:spacing w:line="276" w:lineRule="auto"/>
        <w:contextualSpacing/>
        <w:jc w:val="both"/>
        <w:rPr>
          <w:rFonts w:ascii="Arial" w:hAnsi="Arial" w:cs="Arial"/>
          <w:sz w:val="20"/>
          <w:szCs w:val="20"/>
          <w:lang w:val="pl-PL"/>
        </w:rPr>
      </w:pPr>
      <w:r w:rsidRPr="00D83239">
        <w:rPr>
          <w:rFonts w:ascii="Arial" w:hAnsi="Arial" w:cs="Arial"/>
          <w:sz w:val="20"/>
          <w:szCs w:val="20"/>
          <w:lang w:val="pl-PL"/>
        </w:rPr>
        <w:t xml:space="preserve">Imetnik izročenega orožja oziroma streliva </w:t>
      </w:r>
      <w:r w:rsidRPr="00D83239">
        <w:rPr>
          <w:rFonts w:ascii="Arial" w:hAnsi="Arial" w:cs="Arial"/>
          <w:color w:val="000000"/>
          <w:sz w:val="20"/>
          <w:szCs w:val="20"/>
          <w:lang w:val="pl-PL"/>
        </w:rPr>
        <w:t>zaradi posesti orožja oziroma streliva ni bil kaznovan za prekršek, imetnik orožja oziroma streliva fizična oseba</w:t>
      </w:r>
      <w:r w:rsidRPr="00D83239">
        <w:rPr>
          <w:rFonts w:ascii="Arial" w:hAnsi="Arial" w:cs="Arial"/>
          <w:sz w:val="20"/>
          <w:szCs w:val="20"/>
          <w:lang w:val="pl-PL"/>
        </w:rPr>
        <w:t xml:space="preserve"> pa ni bil preganjan za kaznivo dejanje na podlagi prvega odstavka 306. člena </w:t>
      </w:r>
      <w:r w:rsidR="007A5FD1" w:rsidRPr="00D83239">
        <w:rPr>
          <w:rFonts w:ascii="Arial" w:hAnsi="Arial" w:cs="Arial"/>
          <w:sz w:val="20"/>
          <w:szCs w:val="20"/>
          <w:lang w:val="pl-PL"/>
        </w:rPr>
        <w:t xml:space="preserve">Kazenskega zakonika </w:t>
      </w:r>
      <w:r w:rsidRPr="00D83239">
        <w:rPr>
          <w:rFonts w:ascii="Arial" w:hAnsi="Arial" w:cs="Arial"/>
          <w:sz w:val="20"/>
          <w:szCs w:val="20"/>
          <w:lang w:val="pl-PL"/>
        </w:rPr>
        <w:t>v delu, ki se nanaša na orožje in strelivo, ali na podlagi 307. člena Kazenskega zakonika.</w:t>
      </w:r>
    </w:p>
    <w:p w14:paraId="5D577880" w14:textId="77777777" w:rsidR="003C5D73" w:rsidRPr="00D83239" w:rsidRDefault="003C5D73" w:rsidP="00D83239">
      <w:pPr>
        <w:spacing w:after="0" w:line="276" w:lineRule="auto"/>
        <w:jc w:val="both"/>
        <w:rPr>
          <w:rFonts w:ascii="Arial" w:eastAsia="Times New Roman" w:hAnsi="Arial" w:cs="Arial"/>
          <w:b/>
          <w:bCs/>
          <w:sz w:val="20"/>
          <w:szCs w:val="20"/>
        </w:rPr>
      </w:pPr>
    </w:p>
    <w:p w14:paraId="7FB6B3D1" w14:textId="2DB72262" w:rsidR="003C5D73" w:rsidRPr="00D83239" w:rsidRDefault="003C5D73" w:rsidP="00D83239">
      <w:pPr>
        <w:spacing w:after="0" w:line="276" w:lineRule="auto"/>
        <w:jc w:val="both"/>
        <w:rPr>
          <w:rFonts w:ascii="Arial" w:eastAsia="Times New Roman" w:hAnsi="Arial" w:cs="Arial"/>
          <w:sz w:val="20"/>
          <w:szCs w:val="20"/>
        </w:rPr>
      </w:pPr>
      <w:r w:rsidRPr="00D83239">
        <w:rPr>
          <w:rFonts w:ascii="Arial" w:eastAsia="Times New Roman" w:hAnsi="Arial" w:cs="Arial"/>
          <w:sz w:val="20"/>
          <w:szCs w:val="20"/>
        </w:rPr>
        <w:t xml:space="preserve">Po podatkih </w:t>
      </w:r>
      <w:r w:rsidR="007A5FD1">
        <w:rPr>
          <w:rFonts w:ascii="Arial" w:eastAsia="Times New Roman" w:hAnsi="Arial" w:cs="Arial"/>
          <w:sz w:val="20"/>
          <w:szCs w:val="20"/>
        </w:rPr>
        <w:t>p</w:t>
      </w:r>
      <w:r w:rsidRPr="00D83239">
        <w:rPr>
          <w:rFonts w:ascii="Arial" w:eastAsia="Times New Roman" w:hAnsi="Arial" w:cs="Arial"/>
          <w:sz w:val="20"/>
          <w:szCs w:val="20"/>
        </w:rPr>
        <w:t>olicije z dne 3. 2. 2026 je bilo na podlagi Zoro-1D izročeno naslednje število kosov orožja oziroma streliva:</w:t>
      </w:r>
    </w:p>
    <w:p w14:paraId="1F1D59A8" w14:textId="77777777" w:rsidR="003C5D73" w:rsidRPr="00D83239" w:rsidRDefault="003C5D73" w:rsidP="00D83239">
      <w:pPr>
        <w:autoSpaceDE w:val="0"/>
        <w:autoSpaceDN w:val="0"/>
        <w:adjustRightInd w:val="0"/>
        <w:spacing w:after="120" w:line="276" w:lineRule="auto"/>
        <w:jc w:val="both"/>
        <w:rPr>
          <w:rFonts w:ascii="Arial" w:hAnsi="Arial" w:cs="Arial"/>
          <w:sz w:val="20"/>
          <w:szCs w:val="20"/>
          <w:lang w:eastAsia="sl-SI"/>
        </w:rPr>
      </w:pPr>
    </w:p>
    <w:tbl>
      <w:tblPr>
        <w:tblW w:w="0" w:type="auto"/>
        <w:tblInd w:w="-8" w:type="dxa"/>
        <w:tblLayout w:type="fixed"/>
        <w:tblLook w:val="00A0" w:firstRow="1" w:lastRow="0" w:firstColumn="1" w:lastColumn="0" w:noHBand="0" w:noVBand="0"/>
      </w:tblPr>
      <w:tblGrid>
        <w:gridCol w:w="2840"/>
        <w:gridCol w:w="1096"/>
      </w:tblGrid>
      <w:tr w:rsidR="003C5D73" w:rsidRPr="00D83239" w14:paraId="5537C672"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440537E8" w14:textId="77777777" w:rsidR="003C5D73" w:rsidRPr="00D83239" w:rsidRDefault="003C5D73" w:rsidP="00D83239">
            <w:pPr>
              <w:autoSpaceDE w:val="0"/>
              <w:autoSpaceDN w:val="0"/>
              <w:adjustRightInd w:val="0"/>
              <w:spacing w:after="0" w:line="276" w:lineRule="auto"/>
              <w:jc w:val="both"/>
              <w:rPr>
                <w:rFonts w:ascii="Arial" w:hAnsi="Arial" w:cs="Arial"/>
                <w:b/>
                <w:bCs/>
                <w:color w:val="000000"/>
                <w:sz w:val="20"/>
                <w:szCs w:val="20"/>
                <w:lang w:eastAsia="sl-SI"/>
              </w:rPr>
            </w:pPr>
            <w:r w:rsidRPr="00D83239">
              <w:rPr>
                <w:rFonts w:ascii="Arial" w:hAnsi="Arial" w:cs="Arial"/>
                <w:b/>
                <w:bCs/>
                <w:color w:val="000000"/>
                <w:sz w:val="20"/>
                <w:szCs w:val="20"/>
                <w:lang w:eastAsia="sl-SI"/>
              </w:rPr>
              <w:t>Vrsta orožja, streliva</w:t>
            </w:r>
          </w:p>
        </w:tc>
        <w:tc>
          <w:tcPr>
            <w:tcW w:w="1096" w:type="dxa"/>
            <w:tcBorders>
              <w:top w:val="single" w:sz="6" w:space="0" w:color="000000"/>
              <w:left w:val="single" w:sz="6" w:space="0" w:color="000000"/>
              <w:bottom w:val="single" w:sz="6" w:space="0" w:color="000000"/>
              <w:right w:val="single" w:sz="6" w:space="0" w:color="000000"/>
            </w:tcBorders>
          </w:tcPr>
          <w:p w14:paraId="173E89C3" w14:textId="0C5EA884" w:rsidR="003C5D73" w:rsidRPr="00D83239" w:rsidRDefault="0073545E" w:rsidP="00D83239">
            <w:pPr>
              <w:autoSpaceDE w:val="0"/>
              <w:autoSpaceDN w:val="0"/>
              <w:adjustRightInd w:val="0"/>
              <w:spacing w:after="0" w:line="276" w:lineRule="auto"/>
              <w:jc w:val="both"/>
              <w:rPr>
                <w:rFonts w:ascii="Arial" w:hAnsi="Arial" w:cs="Arial"/>
                <w:b/>
                <w:bCs/>
                <w:color w:val="000000"/>
                <w:sz w:val="20"/>
                <w:szCs w:val="20"/>
                <w:lang w:eastAsia="sl-SI"/>
              </w:rPr>
            </w:pPr>
            <w:r>
              <w:rPr>
                <w:rFonts w:ascii="Arial" w:hAnsi="Arial" w:cs="Arial"/>
                <w:b/>
                <w:bCs/>
                <w:color w:val="000000"/>
                <w:sz w:val="20"/>
                <w:szCs w:val="20"/>
                <w:lang w:eastAsia="sl-SI"/>
              </w:rPr>
              <w:t>K</w:t>
            </w:r>
            <w:r w:rsidR="003C5D73" w:rsidRPr="00D83239">
              <w:rPr>
                <w:rFonts w:ascii="Arial" w:hAnsi="Arial" w:cs="Arial"/>
                <w:b/>
                <w:bCs/>
                <w:color w:val="000000"/>
                <w:sz w:val="20"/>
                <w:szCs w:val="20"/>
                <w:lang w:eastAsia="sl-SI"/>
              </w:rPr>
              <w:t>oličina</w:t>
            </w:r>
          </w:p>
        </w:tc>
      </w:tr>
      <w:tr w:rsidR="003C5D73" w:rsidRPr="00D83239" w14:paraId="7E45D4B6"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52F0E6E2"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Avtomatska puška</w:t>
            </w:r>
          </w:p>
        </w:tc>
        <w:tc>
          <w:tcPr>
            <w:tcW w:w="1096" w:type="dxa"/>
            <w:tcBorders>
              <w:top w:val="single" w:sz="6" w:space="0" w:color="000000"/>
              <w:left w:val="single" w:sz="6" w:space="0" w:color="000000"/>
              <w:bottom w:val="single" w:sz="6" w:space="0" w:color="000000"/>
              <w:right w:val="single" w:sz="6" w:space="0" w:color="000000"/>
            </w:tcBorders>
          </w:tcPr>
          <w:p w14:paraId="7ED64C9B"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28</w:t>
            </w:r>
          </w:p>
        </w:tc>
      </w:tr>
      <w:tr w:rsidR="003C5D73" w:rsidRPr="00D83239" w14:paraId="6E3B890D"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57FE3470"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Bomba, mina</w:t>
            </w:r>
          </w:p>
        </w:tc>
        <w:tc>
          <w:tcPr>
            <w:tcW w:w="1096" w:type="dxa"/>
            <w:tcBorders>
              <w:top w:val="single" w:sz="6" w:space="0" w:color="000000"/>
              <w:left w:val="single" w:sz="6" w:space="0" w:color="000000"/>
              <w:bottom w:val="single" w:sz="6" w:space="0" w:color="000000"/>
              <w:right w:val="single" w:sz="6" w:space="0" w:color="000000"/>
            </w:tcBorders>
          </w:tcPr>
          <w:p w14:paraId="4E2EA34C"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100</w:t>
            </w:r>
          </w:p>
        </w:tc>
      </w:tr>
      <w:tr w:rsidR="003C5D73" w:rsidRPr="00D83239" w14:paraId="5A16618D"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7D05ADE2"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Deli orožja</w:t>
            </w:r>
          </w:p>
        </w:tc>
        <w:tc>
          <w:tcPr>
            <w:tcW w:w="1096" w:type="dxa"/>
            <w:tcBorders>
              <w:top w:val="single" w:sz="6" w:space="0" w:color="000000"/>
              <w:left w:val="single" w:sz="6" w:space="0" w:color="000000"/>
              <w:bottom w:val="single" w:sz="6" w:space="0" w:color="000000"/>
              <w:right w:val="single" w:sz="6" w:space="0" w:color="000000"/>
            </w:tcBorders>
          </w:tcPr>
          <w:p w14:paraId="5DECA22C"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117</w:t>
            </w:r>
          </w:p>
        </w:tc>
      </w:tr>
      <w:tr w:rsidR="003C5D73" w:rsidRPr="00D83239" w14:paraId="23356987"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27A949D2"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Drugo hladno orožje</w:t>
            </w:r>
          </w:p>
        </w:tc>
        <w:tc>
          <w:tcPr>
            <w:tcW w:w="1096" w:type="dxa"/>
            <w:tcBorders>
              <w:top w:val="single" w:sz="6" w:space="0" w:color="000000"/>
              <w:left w:val="single" w:sz="6" w:space="0" w:color="000000"/>
              <w:bottom w:val="single" w:sz="6" w:space="0" w:color="000000"/>
              <w:right w:val="single" w:sz="6" w:space="0" w:color="000000"/>
            </w:tcBorders>
          </w:tcPr>
          <w:p w14:paraId="2481D0D6"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w:t>
            </w:r>
          </w:p>
        </w:tc>
      </w:tr>
      <w:tr w:rsidR="003C5D73" w:rsidRPr="00D83239" w14:paraId="0BBC8CA6"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531E13F8"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Dušilci zvoka</w:t>
            </w:r>
          </w:p>
        </w:tc>
        <w:tc>
          <w:tcPr>
            <w:tcW w:w="1096" w:type="dxa"/>
            <w:tcBorders>
              <w:top w:val="single" w:sz="6" w:space="0" w:color="000000"/>
              <w:left w:val="single" w:sz="6" w:space="0" w:color="000000"/>
              <w:bottom w:val="single" w:sz="6" w:space="0" w:color="000000"/>
              <w:right w:val="single" w:sz="6" w:space="0" w:color="000000"/>
            </w:tcBorders>
          </w:tcPr>
          <w:p w14:paraId="43F0E636"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w:t>
            </w:r>
          </w:p>
        </w:tc>
      </w:tr>
      <w:tr w:rsidR="003C5D73" w:rsidRPr="00D83239" w14:paraId="22554493"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5B6C666A"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Eksploziv (v gramih)</w:t>
            </w:r>
          </w:p>
        </w:tc>
        <w:tc>
          <w:tcPr>
            <w:tcW w:w="1096" w:type="dxa"/>
            <w:tcBorders>
              <w:top w:val="single" w:sz="6" w:space="0" w:color="000000"/>
              <w:left w:val="single" w:sz="6" w:space="0" w:color="000000"/>
              <w:bottom w:val="single" w:sz="6" w:space="0" w:color="000000"/>
              <w:right w:val="single" w:sz="6" w:space="0" w:color="000000"/>
            </w:tcBorders>
          </w:tcPr>
          <w:p w14:paraId="68A1CD7E"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2.196</w:t>
            </w:r>
          </w:p>
        </w:tc>
      </w:tr>
      <w:tr w:rsidR="003C5D73" w:rsidRPr="00D83239" w14:paraId="0AD7A5DC"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3C348129"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Gumijevka</w:t>
            </w:r>
          </w:p>
        </w:tc>
        <w:tc>
          <w:tcPr>
            <w:tcW w:w="1096" w:type="dxa"/>
            <w:tcBorders>
              <w:top w:val="single" w:sz="6" w:space="0" w:color="000000"/>
              <w:left w:val="single" w:sz="6" w:space="0" w:color="000000"/>
              <w:bottom w:val="single" w:sz="6" w:space="0" w:color="000000"/>
              <w:right w:val="single" w:sz="6" w:space="0" w:color="000000"/>
            </w:tcBorders>
          </w:tcPr>
          <w:p w14:paraId="454BDFDB"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4</w:t>
            </w:r>
          </w:p>
        </w:tc>
      </w:tr>
      <w:tr w:rsidR="003C5D73" w:rsidRPr="00D83239" w14:paraId="1AB99C7B"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0E029F79"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Manevrski naboji</w:t>
            </w:r>
          </w:p>
        </w:tc>
        <w:tc>
          <w:tcPr>
            <w:tcW w:w="1096" w:type="dxa"/>
            <w:tcBorders>
              <w:top w:val="single" w:sz="6" w:space="0" w:color="000000"/>
              <w:left w:val="single" w:sz="6" w:space="0" w:color="000000"/>
              <w:bottom w:val="single" w:sz="6" w:space="0" w:color="000000"/>
              <w:right w:val="single" w:sz="6" w:space="0" w:color="000000"/>
            </w:tcBorders>
          </w:tcPr>
          <w:p w14:paraId="15ACA16D"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1.084</w:t>
            </w:r>
          </w:p>
        </w:tc>
      </w:tr>
      <w:tr w:rsidR="003C5D73" w:rsidRPr="00D83239" w14:paraId="0C565E9A"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5DB4D1E7" w14:textId="4A39914C"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Minskoeksplozivna sredstva</w:t>
            </w:r>
          </w:p>
        </w:tc>
        <w:tc>
          <w:tcPr>
            <w:tcW w:w="1096" w:type="dxa"/>
            <w:tcBorders>
              <w:top w:val="single" w:sz="6" w:space="0" w:color="000000"/>
              <w:left w:val="single" w:sz="6" w:space="0" w:color="000000"/>
              <w:bottom w:val="single" w:sz="6" w:space="0" w:color="000000"/>
              <w:right w:val="single" w:sz="6" w:space="0" w:color="000000"/>
            </w:tcBorders>
          </w:tcPr>
          <w:p w14:paraId="7CE58619"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10</w:t>
            </w:r>
          </w:p>
        </w:tc>
      </w:tr>
      <w:tr w:rsidR="003C5D73" w:rsidRPr="00D83239" w14:paraId="0042682E"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6877F49D"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Ostri naboji</w:t>
            </w:r>
          </w:p>
        </w:tc>
        <w:tc>
          <w:tcPr>
            <w:tcW w:w="1096" w:type="dxa"/>
            <w:tcBorders>
              <w:top w:val="single" w:sz="6" w:space="0" w:color="000000"/>
              <w:left w:val="single" w:sz="6" w:space="0" w:color="000000"/>
              <w:bottom w:val="single" w:sz="6" w:space="0" w:color="000000"/>
              <w:right w:val="single" w:sz="6" w:space="0" w:color="000000"/>
            </w:tcBorders>
          </w:tcPr>
          <w:p w14:paraId="5CF00D7D"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27.914</w:t>
            </w:r>
          </w:p>
        </w:tc>
      </w:tr>
      <w:tr w:rsidR="003C5D73" w:rsidRPr="00D83239" w14:paraId="187F3761"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0EA3522E"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Pištola</w:t>
            </w:r>
          </w:p>
        </w:tc>
        <w:tc>
          <w:tcPr>
            <w:tcW w:w="1096" w:type="dxa"/>
            <w:tcBorders>
              <w:top w:val="single" w:sz="6" w:space="0" w:color="000000"/>
              <w:left w:val="single" w:sz="6" w:space="0" w:color="000000"/>
              <w:bottom w:val="single" w:sz="6" w:space="0" w:color="000000"/>
              <w:right w:val="single" w:sz="6" w:space="0" w:color="000000"/>
            </w:tcBorders>
          </w:tcPr>
          <w:p w14:paraId="2A945B4C"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214</w:t>
            </w:r>
          </w:p>
        </w:tc>
      </w:tr>
      <w:tr w:rsidR="003C5D73" w:rsidRPr="00D83239" w14:paraId="07270F4B"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637C35D7"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Pištola za klanje</w:t>
            </w:r>
          </w:p>
        </w:tc>
        <w:tc>
          <w:tcPr>
            <w:tcW w:w="1096" w:type="dxa"/>
            <w:tcBorders>
              <w:top w:val="single" w:sz="6" w:space="0" w:color="000000"/>
              <w:left w:val="single" w:sz="6" w:space="0" w:color="000000"/>
              <w:bottom w:val="single" w:sz="6" w:space="0" w:color="000000"/>
              <w:right w:val="single" w:sz="6" w:space="0" w:color="000000"/>
            </w:tcBorders>
          </w:tcPr>
          <w:p w14:paraId="2F2A5C63"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3</w:t>
            </w:r>
          </w:p>
        </w:tc>
      </w:tr>
      <w:tr w:rsidR="003C5D73" w:rsidRPr="00D83239" w14:paraId="73AB64C3"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0082751C"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Plinska bomba</w:t>
            </w:r>
          </w:p>
        </w:tc>
        <w:tc>
          <w:tcPr>
            <w:tcW w:w="1096" w:type="dxa"/>
            <w:tcBorders>
              <w:top w:val="single" w:sz="6" w:space="0" w:color="000000"/>
              <w:left w:val="single" w:sz="6" w:space="0" w:color="000000"/>
              <w:bottom w:val="single" w:sz="6" w:space="0" w:color="000000"/>
              <w:right w:val="single" w:sz="6" w:space="0" w:color="000000"/>
            </w:tcBorders>
          </w:tcPr>
          <w:p w14:paraId="27D363E1"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10</w:t>
            </w:r>
          </w:p>
        </w:tc>
      </w:tr>
      <w:tr w:rsidR="003C5D73" w:rsidRPr="00D83239" w14:paraId="13F2B3B9"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114570C3"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Plinska pištola</w:t>
            </w:r>
          </w:p>
        </w:tc>
        <w:tc>
          <w:tcPr>
            <w:tcW w:w="1096" w:type="dxa"/>
            <w:tcBorders>
              <w:top w:val="single" w:sz="6" w:space="0" w:color="000000"/>
              <w:left w:val="single" w:sz="6" w:space="0" w:color="000000"/>
              <w:bottom w:val="single" w:sz="6" w:space="0" w:color="000000"/>
              <w:right w:val="single" w:sz="6" w:space="0" w:color="000000"/>
            </w:tcBorders>
          </w:tcPr>
          <w:p w14:paraId="30039187"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11</w:t>
            </w:r>
          </w:p>
        </w:tc>
      </w:tr>
      <w:tr w:rsidR="003C5D73" w:rsidRPr="00D83239" w14:paraId="57525EB1"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60E58537"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Plinski naboji</w:t>
            </w:r>
          </w:p>
        </w:tc>
        <w:tc>
          <w:tcPr>
            <w:tcW w:w="1096" w:type="dxa"/>
            <w:tcBorders>
              <w:top w:val="single" w:sz="6" w:space="0" w:color="000000"/>
              <w:left w:val="single" w:sz="6" w:space="0" w:color="000000"/>
              <w:bottom w:val="single" w:sz="6" w:space="0" w:color="000000"/>
              <w:right w:val="single" w:sz="6" w:space="0" w:color="000000"/>
            </w:tcBorders>
          </w:tcPr>
          <w:p w14:paraId="603473FB"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1.071</w:t>
            </w:r>
          </w:p>
        </w:tc>
      </w:tr>
      <w:tr w:rsidR="003C5D73" w:rsidRPr="00D83239" w14:paraId="5027BA1F"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0E078578" w14:textId="341744C0" w:rsidR="003C5D73" w:rsidRPr="00D83239" w:rsidRDefault="003C5D73" w:rsidP="007A5FD1">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 xml:space="preserve">Puška </w:t>
            </w:r>
            <w:r w:rsidR="007A5FD1">
              <w:rPr>
                <w:rFonts w:ascii="Arial" w:hAnsi="Arial" w:cs="Arial"/>
                <w:color w:val="000000"/>
                <w:sz w:val="20"/>
                <w:szCs w:val="20"/>
                <w:lang w:eastAsia="sl-SI"/>
              </w:rPr>
              <w:t>–</w:t>
            </w:r>
            <w:r w:rsidR="007A5FD1" w:rsidRPr="00D83239">
              <w:rPr>
                <w:rFonts w:ascii="Arial" w:hAnsi="Arial" w:cs="Arial"/>
                <w:color w:val="000000"/>
                <w:sz w:val="20"/>
                <w:szCs w:val="20"/>
                <w:lang w:eastAsia="sl-SI"/>
              </w:rPr>
              <w:t xml:space="preserve"> </w:t>
            </w:r>
            <w:r w:rsidRPr="00D83239">
              <w:rPr>
                <w:rFonts w:ascii="Arial" w:hAnsi="Arial" w:cs="Arial"/>
                <w:color w:val="000000"/>
                <w:sz w:val="20"/>
                <w:szCs w:val="20"/>
                <w:lang w:eastAsia="sl-SI"/>
              </w:rPr>
              <w:t>druga</w:t>
            </w:r>
          </w:p>
        </w:tc>
        <w:tc>
          <w:tcPr>
            <w:tcW w:w="1096" w:type="dxa"/>
            <w:tcBorders>
              <w:top w:val="single" w:sz="6" w:space="0" w:color="000000"/>
              <w:left w:val="single" w:sz="6" w:space="0" w:color="000000"/>
              <w:bottom w:val="single" w:sz="6" w:space="0" w:color="000000"/>
              <w:right w:val="single" w:sz="6" w:space="0" w:color="000000"/>
            </w:tcBorders>
          </w:tcPr>
          <w:p w14:paraId="519805EA"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33</w:t>
            </w:r>
          </w:p>
        </w:tc>
      </w:tr>
      <w:tr w:rsidR="003C5D73" w:rsidRPr="00D83239" w14:paraId="25B53A2D"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1F1C287B"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proofErr w:type="spellStart"/>
            <w:r w:rsidRPr="00D83239">
              <w:rPr>
                <w:rFonts w:ascii="Arial" w:hAnsi="Arial" w:cs="Arial"/>
                <w:color w:val="000000"/>
                <w:sz w:val="20"/>
                <w:szCs w:val="20"/>
                <w:lang w:eastAsia="sl-SI"/>
              </w:rPr>
              <w:t>Šibrni</w:t>
            </w:r>
            <w:proofErr w:type="spellEnd"/>
            <w:r w:rsidRPr="00D83239">
              <w:rPr>
                <w:rFonts w:ascii="Arial" w:hAnsi="Arial" w:cs="Arial"/>
                <w:color w:val="000000"/>
                <w:sz w:val="20"/>
                <w:szCs w:val="20"/>
                <w:lang w:eastAsia="sl-SI"/>
              </w:rPr>
              <w:t xml:space="preserve"> naboji</w:t>
            </w:r>
          </w:p>
        </w:tc>
        <w:tc>
          <w:tcPr>
            <w:tcW w:w="1096" w:type="dxa"/>
            <w:tcBorders>
              <w:top w:val="single" w:sz="6" w:space="0" w:color="000000"/>
              <w:left w:val="single" w:sz="6" w:space="0" w:color="000000"/>
              <w:bottom w:val="single" w:sz="6" w:space="0" w:color="000000"/>
              <w:right w:val="single" w:sz="6" w:space="0" w:color="000000"/>
            </w:tcBorders>
          </w:tcPr>
          <w:p w14:paraId="1649BBC5"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1.607</w:t>
            </w:r>
          </w:p>
        </w:tc>
      </w:tr>
      <w:tr w:rsidR="003C5D73" w:rsidRPr="00D83239" w14:paraId="3D346CE3"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3485A05F"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Vse lovske puške</w:t>
            </w:r>
          </w:p>
        </w:tc>
        <w:tc>
          <w:tcPr>
            <w:tcW w:w="1096" w:type="dxa"/>
            <w:tcBorders>
              <w:top w:val="single" w:sz="6" w:space="0" w:color="000000"/>
              <w:left w:val="single" w:sz="6" w:space="0" w:color="000000"/>
              <w:bottom w:val="single" w:sz="6" w:space="0" w:color="000000"/>
              <w:right w:val="single" w:sz="6" w:space="0" w:color="000000"/>
            </w:tcBorders>
          </w:tcPr>
          <w:p w14:paraId="0566360E"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49</w:t>
            </w:r>
          </w:p>
        </w:tc>
      </w:tr>
      <w:tr w:rsidR="003C5D73" w:rsidRPr="00D83239" w14:paraId="766186B2"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1F4203FA"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Vžigalna vrvica (v metrih)</w:t>
            </w:r>
          </w:p>
        </w:tc>
        <w:tc>
          <w:tcPr>
            <w:tcW w:w="1096" w:type="dxa"/>
            <w:tcBorders>
              <w:top w:val="single" w:sz="6" w:space="0" w:color="000000"/>
              <w:left w:val="single" w:sz="6" w:space="0" w:color="000000"/>
              <w:bottom w:val="single" w:sz="6" w:space="0" w:color="000000"/>
              <w:right w:val="single" w:sz="6" w:space="0" w:color="000000"/>
            </w:tcBorders>
          </w:tcPr>
          <w:p w14:paraId="429F5A8C"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56</w:t>
            </w:r>
          </w:p>
        </w:tc>
      </w:tr>
      <w:tr w:rsidR="003C5D73" w:rsidRPr="00D83239" w14:paraId="40DF74D6"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167952B4"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Vžigalnik</w:t>
            </w:r>
          </w:p>
        </w:tc>
        <w:tc>
          <w:tcPr>
            <w:tcW w:w="1096" w:type="dxa"/>
            <w:tcBorders>
              <w:top w:val="single" w:sz="6" w:space="0" w:color="000000"/>
              <w:left w:val="single" w:sz="6" w:space="0" w:color="000000"/>
              <w:bottom w:val="single" w:sz="6" w:space="0" w:color="000000"/>
              <w:right w:val="single" w:sz="6" w:space="0" w:color="000000"/>
            </w:tcBorders>
          </w:tcPr>
          <w:p w14:paraId="47667691"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2.209</w:t>
            </w:r>
          </w:p>
        </w:tc>
      </w:tr>
      <w:tr w:rsidR="003C5D73" w:rsidRPr="00D83239" w14:paraId="250B4E77" w14:textId="77777777" w:rsidTr="00F01A1E">
        <w:trPr>
          <w:trHeight w:val="300"/>
        </w:trPr>
        <w:tc>
          <w:tcPr>
            <w:tcW w:w="2840" w:type="dxa"/>
            <w:tcBorders>
              <w:top w:val="single" w:sz="6" w:space="0" w:color="000000"/>
              <w:left w:val="single" w:sz="6" w:space="0" w:color="000000"/>
              <w:bottom w:val="single" w:sz="6" w:space="0" w:color="000000"/>
              <w:right w:val="single" w:sz="6" w:space="0" w:color="000000"/>
            </w:tcBorders>
          </w:tcPr>
          <w:p w14:paraId="57921F9D" w14:textId="77777777" w:rsidR="003C5D73" w:rsidRPr="00D83239" w:rsidRDefault="003C5D7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Zračno</w:t>
            </w:r>
          </w:p>
        </w:tc>
        <w:tc>
          <w:tcPr>
            <w:tcW w:w="1096" w:type="dxa"/>
            <w:tcBorders>
              <w:top w:val="single" w:sz="6" w:space="0" w:color="000000"/>
              <w:left w:val="single" w:sz="6" w:space="0" w:color="000000"/>
              <w:bottom w:val="single" w:sz="6" w:space="0" w:color="000000"/>
              <w:right w:val="single" w:sz="6" w:space="0" w:color="000000"/>
            </w:tcBorders>
          </w:tcPr>
          <w:p w14:paraId="1BD3BD21" w14:textId="77777777" w:rsidR="003C5D73" w:rsidRPr="00D83239" w:rsidRDefault="003C5D73" w:rsidP="0073545E">
            <w:pPr>
              <w:autoSpaceDE w:val="0"/>
              <w:autoSpaceDN w:val="0"/>
              <w:adjustRightInd w:val="0"/>
              <w:spacing w:after="0" w:line="276" w:lineRule="auto"/>
              <w:jc w:val="right"/>
              <w:rPr>
                <w:rFonts w:ascii="Arial" w:hAnsi="Arial" w:cs="Arial"/>
                <w:color w:val="000000"/>
                <w:sz w:val="20"/>
                <w:szCs w:val="20"/>
                <w:lang w:eastAsia="sl-SI"/>
              </w:rPr>
            </w:pPr>
            <w:r w:rsidRPr="00D83239">
              <w:rPr>
                <w:rFonts w:ascii="Arial" w:hAnsi="Arial" w:cs="Arial"/>
                <w:color w:val="000000"/>
                <w:sz w:val="20"/>
                <w:szCs w:val="20"/>
                <w:lang w:eastAsia="sl-SI"/>
              </w:rPr>
              <w:t>10</w:t>
            </w:r>
          </w:p>
        </w:tc>
      </w:tr>
    </w:tbl>
    <w:p w14:paraId="0400CE72" w14:textId="77777777" w:rsidR="00946991" w:rsidRDefault="00946991" w:rsidP="00D83239">
      <w:pPr>
        <w:spacing w:after="0" w:line="276" w:lineRule="auto"/>
        <w:jc w:val="both"/>
        <w:rPr>
          <w:rFonts w:ascii="Arial" w:eastAsia="Times New Roman" w:hAnsi="Arial" w:cs="Arial"/>
          <w:b/>
          <w:bCs/>
          <w:sz w:val="20"/>
          <w:szCs w:val="20"/>
        </w:rPr>
      </w:pPr>
    </w:p>
    <w:p w14:paraId="3617E559" w14:textId="073C0E78" w:rsidR="00D83239" w:rsidRPr="00D83239" w:rsidRDefault="00946991" w:rsidP="00D83239">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Preglednica</w:t>
      </w:r>
      <w:r w:rsidRPr="004F538C">
        <w:rPr>
          <w:rFonts w:ascii="Arial" w:eastAsia="Times New Roman" w:hAnsi="Arial" w:cs="Arial"/>
          <w:bCs/>
          <w:sz w:val="20"/>
          <w:szCs w:val="20"/>
        </w:rPr>
        <w:t>:</w:t>
      </w:r>
      <w:r>
        <w:rPr>
          <w:rFonts w:ascii="Arial" w:eastAsia="Times New Roman" w:hAnsi="Arial" w:cs="Arial"/>
          <w:b/>
          <w:bCs/>
          <w:sz w:val="20"/>
          <w:szCs w:val="20"/>
        </w:rPr>
        <w:t xml:space="preserve"> </w:t>
      </w:r>
      <w:r w:rsidRPr="004F538C">
        <w:rPr>
          <w:rFonts w:ascii="Arial" w:eastAsia="Times New Roman" w:hAnsi="Arial" w:cs="Arial"/>
          <w:bCs/>
          <w:sz w:val="20"/>
          <w:szCs w:val="20"/>
        </w:rPr>
        <w:t>Izročeno orožje</w:t>
      </w:r>
      <w:r w:rsidR="00D8181D">
        <w:rPr>
          <w:rFonts w:ascii="Arial" w:eastAsia="Times New Roman" w:hAnsi="Arial" w:cs="Arial"/>
          <w:bCs/>
          <w:sz w:val="20"/>
          <w:szCs w:val="20"/>
        </w:rPr>
        <w:t xml:space="preserve"> po </w:t>
      </w:r>
      <w:r w:rsidR="00D8181D" w:rsidRPr="00D8181D">
        <w:rPr>
          <w:rFonts w:ascii="Arial" w:eastAsia="Times New Roman" w:hAnsi="Arial" w:cs="Arial"/>
          <w:bCs/>
          <w:sz w:val="20"/>
          <w:szCs w:val="20"/>
        </w:rPr>
        <w:t>Zoro-1D</w:t>
      </w:r>
    </w:p>
    <w:p w14:paraId="70953206" w14:textId="77777777" w:rsidR="00946991" w:rsidRDefault="00946991" w:rsidP="00D83239">
      <w:pPr>
        <w:spacing w:after="0" w:line="276" w:lineRule="auto"/>
        <w:jc w:val="both"/>
        <w:rPr>
          <w:rFonts w:ascii="Arial" w:eastAsia="Times New Roman" w:hAnsi="Arial" w:cs="Arial"/>
          <w:b/>
          <w:bCs/>
          <w:sz w:val="20"/>
          <w:szCs w:val="20"/>
        </w:rPr>
      </w:pPr>
    </w:p>
    <w:p w14:paraId="226C034F" w14:textId="1AEF7CD8" w:rsidR="003C5D73" w:rsidRPr="00D83239" w:rsidRDefault="003C5D73" w:rsidP="00D83239">
      <w:pPr>
        <w:spacing w:after="0" w:line="276" w:lineRule="auto"/>
        <w:jc w:val="both"/>
        <w:rPr>
          <w:rFonts w:ascii="Arial" w:eastAsia="Times New Roman" w:hAnsi="Arial" w:cs="Arial"/>
          <w:b/>
          <w:bCs/>
          <w:sz w:val="20"/>
          <w:szCs w:val="20"/>
        </w:rPr>
      </w:pPr>
      <w:r w:rsidRPr="00D83239">
        <w:rPr>
          <w:rFonts w:ascii="Arial" w:eastAsia="Times New Roman" w:hAnsi="Arial" w:cs="Arial"/>
          <w:b/>
          <w:bCs/>
          <w:sz w:val="20"/>
          <w:szCs w:val="20"/>
        </w:rPr>
        <w:t>Pravilnik o spremembi in dopolnitvi Pravilnika za izvajanje Zakona o orožju</w:t>
      </w:r>
    </w:p>
    <w:p w14:paraId="24C7BBED" w14:textId="75C52FE9" w:rsidR="003C5D73" w:rsidRDefault="003C5D73" w:rsidP="00D83239">
      <w:pPr>
        <w:spacing w:after="0" w:line="276" w:lineRule="auto"/>
        <w:jc w:val="both"/>
        <w:rPr>
          <w:rFonts w:ascii="Arial" w:eastAsia="Times New Roman" w:hAnsi="Arial" w:cs="Arial"/>
          <w:sz w:val="20"/>
          <w:szCs w:val="20"/>
        </w:rPr>
      </w:pPr>
      <w:r w:rsidRPr="00D83239">
        <w:rPr>
          <w:rFonts w:ascii="Arial" w:eastAsia="Times New Roman" w:hAnsi="Arial" w:cs="Arial"/>
          <w:bCs/>
          <w:sz w:val="20"/>
          <w:szCs w:val="20"/>
        </w:rPr>
        <w:t xml:space="preserve">V juniju 2025 je bil v Uradnem listu </w:t>
      </w:r>
      <w:r w:rsidR="007A5FD1">
        <w:rPr>
          <w:rFonts w:ascii="Arial" w:eastAsia="Times New Roman" w:hAnsi="Arial" w:cs="Arial"/>
          <w:bCs/>
          <w:sz w:val="20"/>
          <w:szCs w:val="20"/>
        </w:rPr>
        <w:t xml:space="preserve">Republike Slovenije </w:t>
      </w:r>
      <w:r w:rsidRPr="00D83239">
        <w:rPr>
          <w:rFonts w:ascii="Arial" w:eastAsia="Times New Roman" w:hAnsi="Arial" w:cs="Arial"/>
          <w:bCs/>
          <w:sz w:val="20"/>
          <w:szCs w:val="20"/>
        </w:rPr>
        <w:t xml:space="preserve">št. 45/25 objavljen Pravilnik o spremembi in dopolnitvi Pravilnika za izvajanje Zakona o orožju zaradi prenosa Izvedbene direktive </w:t>
      </w:r>
      <w:r w:rsidRPr="00D83239">
        <w:rPr>
          <w:rFonts w:ascii="Arial" w:eastAsia="Times New Roman" w:hAnsi="Arial" w:cs="Arial"/>
          <w:sz w:val="20"/>
          <w:szCs w:val="20"/>
        </w:rPr>
        <w:t>Komisije (EU) 2024/325 z dne 19. 1. 2024 o spremembi Izvedbene direktive (EU) 2019/68 glede najmanjše globine oznak na strelnem orožju in bistvenih sestavnih delih v slovenski pravni red. Z navedenim pravilnikom se je določil</w:t>
      </w:r>
      <w:r w:rsidR="007A5FD1">
        <w:rPr>
          <w:rFonts w:ascii="Arial" w:eastAsia="Times New Roman" w:hAnsi="Arial" w:cs="Arial"/>
          <w:sz w:val="20"/>
          <w:szCs w:val="20"/>
        </w:rPr>
        <w:t>a</w:t>
      </w:r>
      <w:r w:rsidRPr="00D83239">
        <w:rPr>
          <w:rFonts w:ascii="Arial" w:eastAsia="Times New Roman" w:hAnsi="Arial" w:cs="Arial"/>
          <w:sz w:val="20"/>
          <w:szCs w:val="20"/>
        </w:rPr>
        <w:t xml:space="preserve"> najmanjš</w:t>
      </w:r>
      <w:r w:rsidR="007A5FD1">
        <w:rPr>
          <w:rFonts w:ascii="Arial" w:eastAsia="Times New Roman" w:hAnsi="Arial" w:cs="Arial"/>
          <w:sz w:val="20"/>
          <w:szCs w:val="20"/>
        </w:rPr>
        <w:t>a</w:t>
      </w:r>
      <w:r w:rsidRPr="00D83239">
        <w:rPr>
          <w:rFonts w:ascii="Arial" w:eastAsia="Times New Roman" w:hAnsi="Arial" w:cs="Arial"/>
          <w:sz w:val="20"/>
          <w:szCs w:val="20"/>
        </w:rPr>
        <w:t xml:space="preserve"> globin</w:t>
      </w:r>
      <w:r w:rsidR="007A5FD1">
        <w:rPr>
          <w:rFonts w:ascii="Arial" w:eastAsia="Times New Roman" w:hAnsi="Arial" w:cs="Arial"/>
          <w:sz w:val="20"/>
          <w:szCs w:val="20"/>
        </w:rPr>
        <w:t>a</w:t>
      </w:r>
      <w:r w:rsidRPr="00D83239">
        <w:rPr>
          <w:rFonts w:ascii="Arial" w:eastAsia="Times New Roman" w:hAnsi="Arial" w:cs="Arial"/>
          <w:sz w:val="20"/>
          <w:szCs w:val="20"/>
        </w:rPr>
        <w:t xml:space="preserve"> oznake na strelnem orožju (0,0762 mm).</w:t>
      </w:r>
    </w:p>
    <w:p w14:paraId="28CC0438" w14:textId="73AF3A35" w:rsidR="00F01A1E" w:rsidRDefault="00F01A1E" w:rsidP="00D83239">
      <w:pPr>
        <w:spacing w:after="0" w:line="276" w:lineRule="auto"/>
        <w:jc w:val="both"/>
        <w:rPr>
          <w:rFonts w:ascii="Arial" w:eastAsia="Times New Roman" w:hAnsi="Arial" w:cs="Arial"/>
          <w:sz w:val="20"/>
          <w:szCs w:val="20"/>
        </w:rPr>
      </w:pPr>
    </w:p>
    <w:p w14:paraId="2458F30D" w14:textId="244B3020" w:rsidR="00F01A1E" w:rsidRDefault="00F01A1E" w:rsidP="00D83239">
      <w:pPr>
        <w:spacing w:after="0" w:line="276" w:lineRule="auto"/>
        <w:jc w:val="both"/>
        <w:rPr>
          <w:rFonts w:ascii="Arial" w:eastAsia="Times New Roman" w:hAnsi="Arial" w:cs="Arial"/>
          <w:sz w:val="20"/>
          <w:szCs w:val="20"/>
        </w:rPr>
      </w:pPr>
    </w:p>
    <w:p w14:paraId="7381F28B" w14:textId="742B2B4B" w:rsidR="00F01A1E" w:rsidRDefault="00F01A1E" w:rsidP="00D83239">
      <w:pPr>
        <w:spacing w:after="0" w:line="276" w:lineRule="auto"/>
        <w:jc w:val="both"/>
        <w:rPr>
          <w:rFonts w:ascii="Arial" w:eastAsia="Times New Roman" w:hAnsi="Arial" w:cs="Arial"/>
          <w:sz w:val="20"/>
          <w:szCs w:val="20"/>
        </w:rPr>
      </w:pPr>
    </w:p>
    <w:p w14:paraId="3728DB7A" w14:textId="089666F3" w:rsidR="00F01A1E" w:rsidRDefault="00F01A1E" w:rsidP="00D83239">
      <w:pPr>
        <w:spacing w:after="0" w:line="276" w:lineRule="auto"/>
        <w:jc w:val="both"/>
        <w:rPr>
          <w:rFonts w:ascii="Arial" w:eastAsia="Times New Roman" w:hAnsi="Arial" w:cs="Arial"/>
          <w:sz w:val="20"/>
          <w:szCs w:val="20"/>
        </w:rPr>
      </w:pPr>
    </w:p>
    <w:p w14:paraId="0CF82D54" w14:textId="383B550F" w:rsidR="00F01A1E" w:rsidRDefault="00F01A1E" w:rsidP="00D83239">
      <w:pPr>
        <w:spacing w:after="0" w:line="276" w:lineRule="auto"/>
        <w:jc w:val="both"/>
        <w:rPr>
          <w:rFonts w:ascii="Arial" w:eastAsia="Times New Roman" w:hAnsi="Arial" w:cs="Arial"/>
          <w:sz w:val="20"/>
          <w:szCs w:val="20"/>
        </w:rPr>
      </w:pPr>
    </w:p>
    <w:p w14:paraId="573AF185" w14:textId="5E2073ED" w:rsidR="00F01A1E" w:rsidRDefault="00F01A1E" w:rsidP="00D83239">
      <w:pPr>
        <w:spacing w:after="0" w:line="276" w:lineRule="auto"/>
        <w:jc w:val="both"/>
        <w:rPr>
          <w:rFonts w:ascii="Arial" w:eastAsia="Times New Roman" w:hAnsi="Arial" w:cs="Arial"/>
          <w:sz w:val="20"/>
          <w:szCs w:val="20"/>
        </w:rPr>
      </w:pPr>
    </w:p>
    <w:p w14:paraId="1E0C2311" w14:textId="4D799408" w:rsidR="00F01A1E" w:rsidRDefault="00F01A1E" w:rsidP="00D83239">
      <w:pPr>
        <w:spacing w:after="0" w:line="276" w:lineRule="auto"/>
        <w:jc w:val="both"/>
        <w:rPr>
          <w:rFonts w:ascii="Arial" w:eastAsia="Times New Roman" w:hAnsi="Arial" w:cs="Arial"/>
          <w:sz w:val="20"/>
          <w:szCs w:val="20"/>
        </w:rPr>
      </w:pPr>
    </w:p>
    <w:p w14:paraId="66141A73" w14:textId="142FD78E" w:rsidR="00F01A1E" w:rsidRPr="00D83239" w:rsidRDefault="00F01A1E" w:rsidP="00D83239">
      <w:pPr>
        <w:spacing w:after="0" w:line="276" w:lineRule="auto"/>
        <w:jc w:val="both"/>
        <w:rPr>
          <w:rFonts w:ascii="Arial" w:eastAsia="Times New Roman" w:hAnsi="Arial" w:cs="Arial"/>
          <w:sz w:val="20"/>
          <w:szCs w:val="20"/>
        </w:rPr>
      </w:pPr>
    </w:p>
    <w:p w14:paraId="1D813EDA" w14:textId="77777777" w:rsidR="003C5D73" w:rsidRPr="00D83239" w:rsidRDefault="003C5D73" w:rsidP="00D83239">
      <w:pPr>
        <w:spacing w:line="276" w:lineRule="auto"/>
        <w:jc w:val="both"/>
        <w:rPr>
          <w:rFonts w:ascii="Arial" w:hAnsi="Arial" w:cs="Arial"/>
          <w:sz w:val="20"/>
          <w:szCs w:val="20"/>
        </w:rPr>
      </w:pPr>
      <w:bookmarkStart w:id="93" w:name="_Hlk221525430"/>
    </w:p>
    <w:tbl>
      <w:tblPr>
        <w:tblW w:w="8505" w:type="dxa"/>
        <w:tblInd w:w="134" w:type="dxa"/>
        <w:tblLayout w:type="fixed"/>
        <w:tblLook w:val="00A0" w:firstRow="1" w:lastRow="0" w:firstColumn="1" w:lastColumn="0" w:noHBand="0" w:noVBand="0"/>
      </w:tblPr>
      <w:tblGrid>
        <w:gridCol w:w="1742"/>
        <w:gridCol w:w="1779"/>
        <w:gridCol w:w="2150"/>
        <w:gridCol w:w="1311"/>
        <w:gridCol w:w="1523"/>
      </w:tblGrid>
      <w:tr w:rsidR="003C5D73" w:rsidRPr="00D83239" w14:paraId="694D9DAB" w14:textId="77777777" w:rsidTr="00A91968">
        <w:tc>
          <w:tcPr>
            <w:tcW w:w="1742" w:type="dxa"/>
            <w:tcBorders>
              <w:top w:val="single" w:sz="6" w:space="0" w:color="000000"/>
              <w:left w:val="single" w:sz="6" w:space="0" w:color="000000"/>
              <w:bottom w:val="single" w:sz="6" w:space="0" w:color="000000"/>
              <w:right w:val="single" w:sz="6" w:space="0" w:color="000000"/>
            </w:tcBorders>
            <w:shd w:val="clear" w:color="auto" w:fill="C0E1FF"/>
          </w:tcPr>
          <w:p w14:paraId="0254FD2D" w14:textId="74F8870E"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Oseba</w:t>
            </w: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118161DF"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Vrsta listine</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2B94562C"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Razlog posesti listine ali orožja</w:t>
            </w:r>
          </w:p>
        </w:tc>
        <w:tc>
          <w:tcPr>
            <w:tcW w:w="1311" w:type="dxa"/>
            <w:tcBorders>
              <w:top w:val="single" w:sz="6" w:space="0" w:color="000000"/>
              <w:left w:val="single" w:sz="6" w:space="0" w:color="000000"/>
              <w:bottom w:val="single" w:sz="6" w:space="0" w:color="000000"/>
              <w:right w:val="single" w:sz="6" w:space="0" w:color="000000"/>
            </w:tcBorders>
            <w:shd w:val="clear" w:color="auto" w:fill="C0E1FF"/>
          </w:tcPr>
          <w:p w14:paraId="74BA9C44"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 xml:space="preserve">Št. lastnikov </w:t>
            </w:r>
          </w:p>
          <w:p w14:paraId="3609C514"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orožja</w:t>
            </w:r>
          </w:p>
        </w:tc>
        <w:tc>
          <w:tcPr>
            <w:tcW w:w="1523" w:type="dxa"/>
            <w:tcBorders>
              <w:top w:val="single" w:sz="6" w:space="0" w:color="000000"/>
              <w:left w:val="single" w:sz="6" w:space="0" w:color="000000"/>
              <w:bottom w:val="single" w:sz="6" w:space="0" w:color="000000"/>
              <w:right w:val="single" w:sz="6" w:space="0" w:color="000000"/>
            </w:tcBorders>
            <w:shd w:val="clear" w:color="auto" w:fill="C0E1FF"/>
          </w:tcPr>
          <w:p w14:paraId="2FDA6B28"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Št. kosov orožja</w:t>
            </w:r>
          </w:p>
        </w:tc>
      </w:tr>
      <w:tr w:rsidR="003C5D73" w:rsidRPr="00D83239" w14:paraId="28F4AB9F" w14:textId="77777777" w:rsidTr="00A91968">
        <w:tc>
          <w:tcPr>
            <w:tcW w:w="1742" w:type="dxa"/>
            <w:tcBorders>
              <w:top w:val="single" w:sz="6" w:space="0" w:color="000000"/>
              <w:left w:val="single" w:sz="6" w:space="0" w:color="000000"/>
              <w:bottom w:val="single" w:sz="6" w:space="0" w:color="000000"/>
              <w:right w:val="single" w:sz="6" w:space="0" w:color="000000"/>
            </w:tcBorders>
            <w:shd w:val="clear" w:color="auto" w:fill="C0E1FF"/>
          </w:tcPr>
          <w:p w14:paraId="61A6958A"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Fizična oseba</w:t>
            </w: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4EC3C8F7"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480192E8"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7F6DACB0"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2D86D70C" w14:textId="77777777" w:rsidR="003C5D73" w:rsidRPr="00D83239" w:rsidRDefault="003C5D73" w:rsidP="00D04A11">
            <w:pPr>
              <w:autoSpaceDE w:val="0"/>
              <w:autoSpaceDN w:val="0"/>
              <w:adjustRightInd w:val="0"/>
              <w:spacing w:after="120" w:line="276" w:lineRule="auto"/>
              <w:rPr>
                <w:rFonts w:ascii="Arial" w:hAnsi="Arial" w:cs="Arial"/>
                <w:color w:val="000000"/>
                <w:sz w:val="20"/>
                <w:szCs w:val="20"/>
              </w:rPr>
            </w:pPr>
          </w:p>
        </w:tc>
      </w:tr>
      <w:tr w:rsidR="003C5D73" w:rsidRPr="00D83239" w14:paraId="14DA29BF" w14:textId="77777777" w:rsidTr="00A91968">
        <w:tc>
          <w:tcPr>
            <w:tcW w:w="1742" w:type="dxa"/>
            <w:vMerge w:val="restart"/>
            <w:tcBorders>
              <w:top w:val="single" w:sz="6" w:space="0" w:color="000000"/>
              <w:left w:val="single" w:sz="6" w:space="0" w:color="000000"/>
              <w:bottom w:val="single" w:sz="6" w:space="0" w:color="000000"/>
              <w:right w:val="single" w:sz="6" w:space="0" w:color="000000"/>
            </w:tcBorders>
            <w:shd w:val="clear" w:color="auto" w:fill="C0E1FF"/>
          </w:tcPr>
          <w:p w14:paraId="4D68B872"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4578C468"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Dovoljenje za posest</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45139F33"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1CCF4411"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21.540</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5673002A"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44.439</w:t>
            </w:r>
          </w:p>
        </w:tc>
      </w:tr>
      <w:tr w:rsidR="003C5D73" w:rsidRPr="00D83239" w14:paraId="74488143" w14:textId="77777777" w:rsidTr="00A91968">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108039BD"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779" w:type="dxa"/>
            <w:vMerge w:val="restart"/>
            <w:tcBorders>
              <w:top w:val="single" w:sz="6" w:space="0" w:color="000000"/>
              <w:left w:val="single" w:sz="6" w:space="0" w:color="000000"/>
              <w:bottom w:val="single" w:sz="6" w:space="0" w:color="000000"/>
              <w:right w:val="single" w:sz="6" w:space="0" w:color="000000"/>
            </w:tcBorders>
            <w:shd w:val="clear" w:color="auto" w:fill="C0E1FF"/>
          </w:tcPr>
          <w:p w14:paraId="2233C7BA"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Orožni list</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3781E9A9"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lov</w:t>
            </w: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0DEDCFFD"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19.712</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7750DD58"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80.716</w:t>
            </w:r>
          </w:p>
        </w:tc>
      </w:tr>
      <w:tr w:rsidR="003C5D73" w:rsidRPr="00D83239" w14:paraId="058E7C28" w14:textId="77777777" w:rsidTr="00A91968">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1C93D0C4"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779" w:type="dxa"/>
            <w:vMerge/>
            <w:tcBorders>
              <w:top w:val="single" w:sz="6" w:space="0" w:color="000000"/>
              <w:left w:val="single" w:sz="6" w:space="0" w:color="000000"/>
              <w:bottom w:val="single" w:sz="6" w:space="0" w:color="000000"/>
              <w:right w:val="single" w:sz="6" w:space="0" w:color="000000"/>
            </w:tcBorders>
            <w:shd w:val="clear" w:color="auto" w:fill="C0E1FF"/>
          </w:tcPr>
          <w:p w14:paraId="6DBCB88E"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7C01191E"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šport</w:t>
            </w: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512D85B7"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5.307</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5A6F9405"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18.659</w:t>
            </w:r>
          </w:p>
        </w:tc>
      </w:tr>
      <w:tr w:rsidR="003C5D73" w:rsidRPr="00D83239" w14:paraId="191DEC43" w14:textId="77777777" w:rsidTr="00A91968">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463DB311"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779" w:type="dxa"/>
            <w:vMerge/>
            <w:tcBorders>
              <w:top w:val="single" w:sz="6" w:space="0" w:color="000000"/>
              <w:left w:val="single" w:sz="6" w:space="0" w:color="000000"/>
              <w:bottom w:val="single" w:sz="6" w:space="0" w:color="000000"/>
              <w:right w:val="single" w:sz="6" w:space="0" w:color="000000"/>
            </w:tcBorders>
            <w:shd w:val="clear" w:color="auto" w:fill="C0E1FF"/>
          </w:tcPr>
          <w:p w14:paraId="480B7748"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7AEBD267"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 xml:space="preserve">varnost </w:t>
            </w: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43F3C409"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5.230</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79B4689B"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6.148</w:t>
            </w:r>
          </w:p>
        </w:tc>
      </w:tr>
      <w:tr w:rsidR="003C5D73" w:rsidRPr="00D83239" w14:paraId="2EA48BCF" w14:textId="77777777" w:rsidTr="00A91968">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2BFD73D3"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3929" w:type="dxa"/>
            <w:gridSpan w:val="2"/>
            <w:tcBorders>
              <w:top w:val="single" w:sz="6" w:space="0" w:color="000000"/>
              <w:left w:val="single" w:sz="6" w:space="0" w:color="000000"/>
              <w:bottom w:val="single" w:sz="6" w:space="0" w:color="000000"/>
              <w:right w:val="single" w:sz="6" w:space="0" w:color="000000"/>
            </w:tcBorders>
            <w:shd w:val="clear" w:color="auto" w:fill="B8CCE4" w:themeFill="accent1" w:themeFillTint="66"/>
          </w:tcPr>
          <w:p w14:paraId="355122F2"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Skupaj: orožni list:</w:t>
            </w:r>
          </w:p>
        </w:tc>
        <w:tc>
          <w:tcPr>
            <w:tcW w:w="1311"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tcPr>
          <w:p w14:paraId="04B667B9"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28.936</w:t>
            </w:r>
          </w:p>
        </w:tc>
        <w:tc>
          <w:tcPr>
            <w:tcW w:w="1523"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tcPr>
          <w:p w14:paraId="64B5D475"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105.523</w:t>
            </w:r>
          </w:p>
        </w:tc>
      </w:tr>
      <w:tr w:rsidR="003C5D73" w:rsidRPr="00D83239" w14:paraId="00942447" w14:textId="77777777" w:rsidTr="00A91968">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79944EF9"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49A6B14D"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Priglasitveni list</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1AECA0C8"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02E0C8EA"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961</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04886B97"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2.547</w:t>
            </w:r>
          </w:p>
        </w:tc>
      </w:tr>
      <w:tr w:rsidR="003C5D73" w:rsidRPr="00D83239" w14:paraId="5A7A2976" w14:textId="77777777" w:rsidTr="00A91968">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4E40668A"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17AA93E8"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Dovoljenje za zbiranje</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05F8E62E"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38A31D59"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721</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64A9A05E"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15.770</w:t>
            </w:r>
          </w:p>
        </w:tc>
      </w:tr>
      <w:tr w:rsidR="003C5D73" w:rsidRPr="00D83239" w14:paraId="1E2830B6" w14:textId="77777777" w:rsidTr="00A91968">
        <w:tc>
          <w:tcPr>
            <w:tcW w:w="5671" w:type="dxa"/>
            <w:gridSpan w:val="3"/>
            <w:tcBorders>
              <w:top w:val="single" w:sz="6" w:space="0" w:color="000000"/>
              <w:left w:val="single" w:sz="6" w:space="0" w:color="000000"/>
              <w:bottom w:val="single" w:sz="6" w:space="0" w:color="000000"/>
              <w:right w:val="single" w:sz="6" w:space="0" w:color="000000"/>
            </w:tcBorders>
            <w:shd w:val="clear" w:color="auto" w:fill="C0E1FF"/>
          </w:tcPr>
          <w:p w14:paraId="1B95829D"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Skupaj: fizična oseba</w:t>
            </w:r>
          </w:p>
        </w:tc>
        <w:tc>
          <w:tcPr>
            <w:tcW w:w="1311" w:type="dxa"/>
            <w:tcBorders>
              <w:top w:val="single" w:sz="6" w:space="0" w:color="000000"/>
              <w:left w:val="single" w:sz="6" w:space="0" w:color="000000"/>
              <w:bottom w:val="single" w:sz="6" w:space="0" w:color="000000"/>
              <w:right w:val="single" w:sz="6" w:space="0" w:color="000000"/>
            </w:tcBorders>
            <w:shd w:val="clear" w:color="auto" w:fill="C0E1FF"/>
          </w:tcPr>
          <w:p w14:paraId="51C08658"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46.654</w:t>
            </w:r>
          </w:p>
        </w:tc>
        <w:tc>
          <w:tcPr>
            <w:tcW w:w="1523" w:type="dxa"/>
            <w:tcBorders>
              <w:top w:val="single" w:sz="6" w:space="0" w:color="000000"/>
              <w:left w:val="single" w:sz="6" w:space="0" w:color="000000"/>
              <w:bottom w:val="single" w:sz="6" w:space="0" w:color="000000"/>
              <w:right w:val="single" w:sz="6" w:space="0" w:color="000000"/>
            </w:tcBorders>
            <w:shd w:val="clear" w:color="auto" w:fill="C0E1FF"/>
          </w:tcPr>
          <w:p w14:paraId="61EEB87B"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168.279</w:t>
            </w:r>
          </w:p>
        </w:tc>
      </w:tr>
      <w:tr w:rsidR="003C5D73" w:rsidRPr="00D83239" w14:paraId="3F4B36B2" w14:textId="77777777" w:rsidTr="00A91968">
        <w:tc>
          <w:tcPr>
            <w:tcW w:w="1742" w:type="dxa"/>
            <w:tcBorders>
              <w:top w:val="single" w:sz="6" w:space="0" w:color="000000"/>
              <w:left w:val="single" w:sz="6" w:space="0" w:color="000000"/>
              <w:bottom w:val="single" w:sz="6" w:space="0" w:color="000000"/>
              <w:right w:val="single" w:sz="6" w:space="0" w:color="000000"/>
            </w:tcBorders>
            <w:shd w:val="clear" w:color="auto" w:fill="C0E1FF"/>
          </w:tcPr>
          <w:p w14:paraId="06E16A6C"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Poslovni subjekt</w:t>
            </w: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10BC5C79"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25343A04"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5FA27DCC"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77C0ECD9" w14:textId="77777777" w:rsidR="003C5D73" w:rsidRPr="00D83239" w:rsidRDefault="003C5D73" w:rsidP="00D04A11">
            <w:pPr>
              <w:autoSpaceDE w:val="0"/>
              <w:autoSpaceDN w:val="0"/>
              <w:adjustRightInd w:val="0"/>
              <w:spacing w:after="120" w:line="276" w:lineRule="auto"/>
              <w:jc w:val="right"/>
              <w:rPr>
                <w:rFonts w:ascii="Arial" w:hAnsi="Arial" w:cs="Arial"/>
                <w:color w:val="000000"/>
                <w:sz w:val="20"/>
                <w:szCs w:val="20"/>
              </w:rPr>
            </w:pPr>
          </w:p>
        </w:tc>
      </w:tr>
      <w:tr w:rsidR="003C5D73" w:rsidRPr="00D83239" w14:paraId="63E75FB7" w14:textId="77777777" w:rsidTr="00A91968">
        <w:tc>
          <w:tcPr>
            <w:tcW w:w="1742" w:type="dxa"/>
            <w:tcBorders>
              <w:top w:val="single" w:sz="6" w:space="0" w:color="000000"/>
              <w:left w:val="single" w:sz="6" w:space="0" w:color="000000"/>
              <w:bottom w:val="single" w:sz="6" w:space="0" w:color="000000"/>
              <w:right w:val="single" w:sz="6" w:space="0" w:color="000000"/>
            </w:tcBorders>
            <w:shd w:val="clear" w:color="auto" w:fill="C0E1FF"/>
          </w:tcPr>
          <w:p w14:paraId="437E19DD"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57B30CE6"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Dovoljenje za zbiranje</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0B02B6B0"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02273D55"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4</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36688C9E"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82</w:t>
            </w:r>
          </w:p>
        </w:tc>
      </w:tr>
      <w:tr w:rsidR="003C5D73" w:rsidRPr="00D83239" w14:paraId="52913E38" w14:textId="77777777" w:rsidTr="00A91968">
        <w:tc>
          <w:tcPr>
            <w:tcW w:w="1742" w:type="dxa"/>
            <w:tcBorders>
              <w:top w:val="single" w:sz="6" w:space="0" w:color="000000"/>
              <w:left w:val="single" w:sz="6" w:space="0" w:color="000000"/>
              <w:bottom w:val="single" w:sz="6" w:space="0" w:color="000000"/>
              <w:right w:val="single" w:sz="6" w:space="0" w:color="000000"/>
            </w:tcBorders>
            <w:shd w:val="clear" w:color="auto" w:fill="C0E1FF"/>
          </w:tcPr>
          <w:p w14:paraId="3E4FE9EA"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1ACD8835"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Orožni posestni list</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59EF16B2"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44468268"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229</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60059E28"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3.949</w:t>
            </w:r>
          </w:p>
        </w:tc>
      </w:tr>
      <w:tr w:rsidR="003C5D73" w:rsidRPr="00D83239" w14:paraId="4F1EC4AB" w14:textId="77777777" w:rsidTr="00A91968">
        <w:tc>
          <w:tcPr>
            <w:tcW w:w="5671" w:type="dxa"/>
            <w:gridSpan w:val="3"/>
            <w:tcBorders>
              <w:top w:val="single" w:sz="6" w:space="0" w:color="000000"/>
              <w:left w:val="single" w:sz="6" w:space="0" w:color="000000"/>
              <w:bottom w:val="single" w:sz="6" w:space="0" w:color="000000"/>
              <w:right w:val="single" w:sz="6" w:space="0" w:color="000000"/>
            </w:tcBorders>
            <w:shd w:val="clear" w:color="auto" w:fill="C0E1FF"/>
          </w:tcPr>
          <w:p w14:paraId="290CD472" w14:textId="77777777"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Skupaj: poslovni subjekt</w:t>
            </w:r>
          </w:p>
        </w:tc>
        <w:tc>
          <w:tcPr>
            <w:tcW w:w="1311" w:type="dxa"/>
            <w:tcBorders>
              <w:top w:val="single" w:sz="6" w:space="0" w:color="000000"/>
              <w:left w:val="single" w:sz="6" w:space="0" w:color="000000"/>
              <w:bottom w:val="single" w:sz="6" w:space="0" w:color="000000"/>
              <w:right w:val="single" w:sz="6" w:space="0" w:color="000000"/>
            </w:tcBorders>
            <w:shd w:val="clear" w:color="auto" w:fill="C0E1FF"/>
          </w:tcPr>
          <w:p w14:paraId="6C3ED4AE"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231</w:t>
            </w:r>
          </w:p>
        </w:tc>
        <w:tc>
          <w:tcPr>
            <w:tcW w:w="1523" w:type="dxa"/>
            <w:tcBorders>
              <w:top w:val="single" w:sz="6" w:space="0" w:color="000000"/>
              <w:left w:val="single" w:sz="6" w:space="0" w:color="000000"/>
              <w:bottom w:val="single" w:sz="6" w:space="0" w:color="000000"/>
              <w:right w:val="single" w:sz="6" w:space="0" w:color="000000"/>
            </w:tcBorders>
            <w:shd w:val="clear" w:color="auto" w:fill="C0E1FF"/>
          </w:tcPr>
          <w:p w14:paraId="41720B0D"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4.031</w:t>
            </w:r>
          </w:p>
        </w:tc>
      </w:tr>
      <w:tr w:rsidR="003C5D73" w:rsidRPr="00D83239" w14:paraId="7492094F" w14:textId="77777777" w:rsidTr="00A91968">
        <w:tc>
          <w:tcPr>
            <w:tcW w:w="5671" w:type="dxa"/>
            <w:gridSpan w:val="3"/>
            <w:tcBorders>
              <w:top w:val="single" w:sz="6" w:space="0" w:color="000000"/>
              <w:left w:val="single" w:sz="6" w:space="0" w:color="000000"/>
              <w:bottom w:val="single" w:sz="6" w:space="0" w:color="000000"/>
              <w:right w:val="single" w:sz="6" w:space="0" w:color="000000"/>
            </w:tcBorders>
            <w:shd w:val="clear" w:color="auto" w:fill="C0E1FF"/>
          </w:tcPr>
          <w:p w14:paraId="6A6BB0E1" w14:textId="79B0F012" w:rsidR="003C5D73" w:rsidRPr="00D83239" w:rsidRDefault="003C5D73" w:rsidP="00D04A11">
            <w:pPr>
              <w:autoSpaceDE w:val="0"/>
              <w:autoSpaceDN w:val="0"/>
              <w:adjustRightInd w:val="0"/>
              <w:spacing w:after="0" w:line="276" w:lineRule="auto"/>
              <w:rPr>
                <w:rFonts w:ascii="Arial" w:hAnsi="Arial" w:cs="Arial"/>
                <w:color w:val="000000"/>
                <w:sz w:val="20"/>
                <w:szCs w:val="20"/>
              </w:rPr>
            </w:pPr>
            <w:r w:rsidRPr="00D83239">
              <w:rPr>
                <w:rFonts w:ascii="Arial" w:hAnsi="Arial" w:cs="Arial"/>
                <w:color w:val="000000"/>
                <w:sz w:val="20"/>
                <w:szCs w:val="20"/>
              </w:rPr>
              <w:t>Skupaj: fizična oseba +</w:t>
            </w:r>
            <w:r w:rsidR="007A5FD1">
              <w:rPr>
                <w:rFonts w:ascii="Arial" w:hAnsi="Arial" w:cs="Arial"/>
                <w:color w:val="000000"/>
                <w:sz w:val="20"/>
                <w:szCs w:val="20"/>
              </w:rPr>
              <w:t xml:space="preserve"> </w:t>
            </w:r>
            <w:r w:rsidRPr="00D83239">
              <w:rPr>
                <w:rFonts w:ascii="Arial" w:hAnsi="Arial" w:cs="Arial"/>
                <w:color w:val="000000"/>
                <w:sz w:val="20"/>
                <w:szCs w:val="20"/>
              </w:rPr>
              <w:t>poslovni subjekt</w:t>
            </w:r>
          </w:p>
        </w:tc>
        <w:tc>
          <w:tcPr>
            <w:tcW w:w="1311" w:type="dxa"/>
            <w:tcBorders>
              <w:top w:val="single" w:sz="6" w:space="0" w:color="000000"/>
              <w:left w:val="single" w:sz="6" w:space="0" w:color="000000"/>
              <w:bottom w:val="single" w:sz="6" w:space="0" w:color="000000"/>
              <w:right w:val="single" w:sz="6" w:space="0" w:color="000000"/>
            </w:tcBorders>
            <w:shd w:val="clear" w:color="auto" w:fill="C0E1FF"/>
          </w:tcPr>
          <w:p w14:paraId="406DA2FF"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46.885</w:t>
            </w:r>
          </w:p>
        </w:tc>
        <w:tc>
          <w:tcPr>
            <w:tcW w:w="1523" w:type="dxa"/>
            <w:tcBorders>
              <w:top w:val="single" w:sz="6" w:space="0" w:color="000000"/>
              <w:left w:val="single" w:sz="6" w:space="0" w:color="000000"/>
              <w:bottom w:val="single" w:sz="6" w:space="0" w:color="000000"/>
              <w:right w:val="single" w:sz="6" w:space="0" w:color="000000"/>
            </w:tcBorders>
            <w:shd w:val="clear" w:color="auto" w:fill="C0E1FF"/>
          </w:tcPr>
          <w:p w14:paraId="4912E2C2" w14:textId="77777777" w:rsidR="003C5D73" w:rsidRPr="00D83239" w:rsidRDefault="003C5D73" w:rsidP="00D04A11">
            <w:pPr>
              <w:autoSpaceDE w:val="0"/>
              <w:autoSpaceDN w:val="0"/>
              <w:adjustRightInd w:val="0"/>
              <w:spacing w:after="0" w:line="276" w:lineRule="auto"/>
              <w:jc w:val="right"/>
              <w:rPr>
                <w:rFonts w:ascii="Arial" w:hAnsi="Arial" w:cs="Arial"/>
                <w:color w:val="000000"/>
                <w:sz w:val="20"/>
                <w:szCs w:val="20"/>
              </w:rPr>
            </w:pPr>
            <w:r w:rsidRPr="00D83239">
              <w:rPr>
                <w:rFonts w:ascii="Arial" w:hAnsi="Arial" w:cs="Arial"/>
                <w:color w:val="000000"/>
                <w:sz w:val="20"/>
                <w:szCs w:val="20"/>
              </w:rPr>
              <w:t>172.310</w:t>
            </w:r>
          </w:p>
        </w:tc>
      </w:tr>
    </w:tbl>
    <w:p w14:paraId="217C1DED" w14:textId="77777777" w:rsidR="003C5D73" w:rsidRPr="00D83239" w:rsidRDefault="003C5D73" w:rsidP="00D83239">
      <w:pPr>
        <w:spacing w:after="0" w:line="276" w:lineRule="auto"/>
        <w:jc w:val="both"/>
        <w:rPr>
          <w:rFonts w:ascii="Arial" w:hAnsi="Arial" w:cs="Arial"/>
          <w:color w:val="000000"/>
          <w:sz w:val="20"/>
          <w:szCs w:val="20"/>
          <w:lang w:eastAsia="sl-SI"/>
        </w:rPr>
      </w:pPr>
    </w:p>
    <w:p w14:paraId="3194DB40" w14:textId="77777777" w:rsidR="003C5D73" w:rsidRPr="00D83239" w:rsidRDefault="003C5D73" w:rsidP="00D83239">
      <w:pPr>
        <w:autoSpaceDE w:val="0"/>
        <w:autoSpaceDN w:val="0"/>
        <w:adjustRightInd w:val="0"/>
        <w:spacing w:after="0" w:line="276" w:lineRule="auto"/>
        <w:jc w:val="both"/>
        <w:rPr>
          <w:rFonts w:ascii="Arial" w:hAnsi="Arial" w:cs="Arial"/>
          <w:b/>
          <w:sz w:val="20"/>
          <w:szCs w:val="20"/>
        </w:rPr>
      </w:pPr>
      <w:r w:rsidRPr="00D83239">
        <w:rPr>
          <w:rFonts w:ascii="Arial" w:hAnsi="Arial" w:cs="Arial"/>
          <w:b/>
          <w:bCs/>
          <w:iCs/>
          <w:sz w:val="20"/>
          <w:szCs w:val="20"/>
          <w:lang w:eastAsia="sl-SI"/>
        </w:rPr>
        <w:t>Preglednica</w:t>
      </w:r>
      <w:r w:rsidRPr="00E92FF2">
        <w:rPr>
          <w:rFonts w:ascii="Arial" w:hAnsi="Arial" w:cs="Arial"/>
          <w:bCs/>
          <w:iCs/>
          <w:sz w:val="20"/>
          <w:szCs w:val="20"/>
          <w:lang w:eastAsia="sl-SI"/>
        </w:rPr>
        <w:t>:</w:t>
      </w:r>
      <w:r w:rsidRPr="00D83239">
        <w:rPr>
          <w:rFonts w:ascii="Arial" w:hAnsi="Arial" w:cs="Arial"/>
          <w:b/>
          <w:bCs/>
          <w:iCs/>
          <w:sz w:val="20"/>
          <w:szCs w:val="20"/>
          <w:lang w:eastAsia="sl-SI"/>
        </w:rPr>
        <w:t xml:space="preserve"> </w:t>
      </w:r>
      <w:r w:rsidRPr="00D83239">
        <w:rPr>
          <w:rFonts w:ascii="Arial" w:hAnsi="Arial" w:cs="Arial"/>
          <w:sz w:val="20"/>
          <w:szCs w:val="20"/>
          <w:lang w:eastAsia="sl-SI"/>
        </w:rPr>
        <w:t>Število lastnikov orožja in število kosov registriranega orožja po vrsti listine na dan 31. 12. 2025</w:t>
      </w:r>
      <w:r w:rsidRPr="00D83239">
        <w:rPr>
          <w:rFonts w:ascii="Arial" w:hAnsi="Arial" w:cs="Arial"/>
          <w:b/>
          <w:sz w:val="20"/>
          <w:szCs w:val="20"/>
        </w:rPr>
        <w:t xml:space="preserve"> </w:t>
      </w:r>
    </w:p>
    <w:p w14:paraId="36ABEB09" w14:textId="542A9E19" w:rsidR="003C5D73" w:rsidRDefault="003C5D73" w:rsidP="00D83239">
      <w:pPr>
        <w:autoSpaceDE w:val="0"/>
        <w:autoSpaceDN w:val="0"/>
        <w:adjustRightInd w:val="0"/>
        <w:spacing w:after="0" w:line="276" w:lineRule="auto"/>
        <w:jc w:val="both"/>
        <w:rPr>
          <w:rFonts w:ascii="Arial" w:hAnsi="Arial" w:cs="Arial"/>
          <w:i/>
          <w:sz w:val="20"/>
          <w:szCs w:val="20"/>
          <w:lang w:eastAsia="sl-SI"/>
        </w:rPr>
      </w:pPr>
      <w:r w:rsidRPr="00D83239">
        <w:rPr>
          <w:rFonts w:ascii="Arial" w:hAnsi="Arial" w:cs="Arial"/>
          <w:i/>
          <w:sz w:val="20"/>
          <w:szCs w:val="20"/>
        </w:rPr>
        <w:t>(O</w:t>
      </w:r>
      <w:r w:rsidRPr="00D83239">
        <w:rPr>
          <w:rFonts w:ascii="Arial" w:hAnsi="Arial" w:cs="Arial"/>
          <w:bCs/>
          <w:i/>
          <w:iCs/>
          <w:sz w:val="20"/>
          <w:szCs w:val="20"/>
          <w:lang w:eastAsia="sl-SI"/>
        </w:rPr>
        <w:t>pomba:</w:t>
      </w:r>
      <w:r w:rsidRPr="00D83239">
        <w:rPr>
          <w:rFonts w:ascii="Arial" w:hAnsi="Arial" w:cs="Arial"/>
          <w:i/>
          <w:sz w:val="20"/>
          <w:szCs w:val="20"/>
          <w:lang w:eastAsia="sl-SI"/>
        </w:rPr>
        <w:t xml:space="preserve"> </w:t>
      </w:r>
      <w:r w:rsidR="007A5FD1">
        <w:rPr>
          <w:rFonts w:ascii="Arial" w:hAnsi="Arial" w:cs="Arial"/>
          <w:i/>
          <w:sz w:val="20"/>
          <w:szCs w:val="20"/>
          <w:lang w:eastAsia="sl-SI"/>
        </w:rPr>
        <w:t>S</w:t>
      </w:r>
      <w:r w:rsidRPr="00D83239">
        <w:rPr>
          <w:rFonts w:ascii="Arial" w:hAnsi="Arial" w:cs="Arial"/>
          <w:i/>
          <w:sz w:val="20"/>
          <w:szCs w:val="20"/>
          <w:lang w:eastAsia="sl-SI"/>
        </w:rPr>
        <w:t xml:space="preserve">kupno število lastnikov orožja ni enako skupnemu seštevku, ker ima posameznik </w:t>
      </w:r>
      <w:r w:rsidR="007A5FD1" w:rsidRPr="00D83239">
        <w:rPr>
          <w:rFonts w:ascii="Arial" w:hAnsi="Arial" w:cs="Arial"/>
          <w:i/>
          <w:sz w:val="20"/>
          <w:szCs w:val="20"/>
          <w:lang w:eastAsia="sl-SI"/>
        </w:rPr>
        <w:t xml:space="preserve">lahko </w:t>
      </w:r>
      <w:r w:rsidRPr="00D83239">
        <w:rPr>
          <w:rFonts w:ascii="Arial" w:hAnsi="Arial" w:cs="Arial"/>
          <w:i/>
          <w:sz w:val="20"/>
          <w:szCs w:val="20"/>
          <w:lang w:eastAsia="sl-SI"/>
        </w:rPr>
        <w:t>več različnih orožnih listin.)</w:t>
      </w:r>
    </w:p>
    <w:p w14:paraId="41A71B4E" w14:textId="77777777" w:rsidR="00E0081A" w:rsidRPr="00D83239" w:rsidRDefault="00E0081A" w:rsidP="00D83239">
      <w:pPr>
        <w:autoSpaceDE w:val="0"/>
        <w:autoSpaceDN w:val="0"/>
        <w:adjustRightInd w:val="0"/>
        <w:spacing w:after="0" w:line="276" w:lineRule="auto"/>
        <w:jc w:val="both"/>
        <w:rPr>
          <w:rFonts w:ascii="Arial" w:hAnsi="Arial" w:cs="Arial"/>
          <w:b/>
          <w:sz w:val="20"/>
          <w:szCs w:val="20"/>
        </w:rPr>
      </w:pPr>
    </w:p>
    <w:bookmarkEnd w:id="93"/>
    <w:p w14:paraId="7C64885D" w14:textId="77777777"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p>
    <w:p w14:paraId="746FD237" w14:textId="77777777" w:rsidR="00E0081A" w:rsidRDefault="003C5D73" w:rsidP="00E0081A">
      <w:pPr>
        <w:spacing w:after="200" w:line="276" w:lineRule="auto"/>
        <w:jc w:val="both"/>
        <w:rPr>
          <w:rFonts w:ascii="Arial" w:hAnsi="Arial" w:cs="Arial"/>
          <w:bCs/>
          <w:iCs/>
          <w:color w:val="000000"/>
          <w:sz w:val="20"/>
          <w:szCs w:val="20"/>
        </w:rPr>
      </w:pPr>
      <w:r w:rsidRPr="00D83239">
        <w:rPr>
          <w:rFonts w:ascii="Arial" w:hAnsi="Arial" w:cs="Arial"/>
          <w:noProof/>
          <w:sz w:val="20"/>
          <w:szCs w:val="20"/>
          <w:lang w:eastAsia="sl-SI"/>
        </w:rPr>
        <w:drawing>
          <wp:inline distT="0" distB="0" distL="0" distR="0" wp14:anchorId="08DDCF18" wp14:editId="68D0DFC9">
            <wp:extent cx="4535424" cy="2640229"/>
            <wp:effectExtent l="0" t="0" r="17780" b="8255"/>
            <wp:docPr id="6" name="Grafikon 6">
              <a:extLst xmlns:a="http://schemas.openxmlformats.org/drawingml/2006/main">
                <a:ext uri="{FF2B5EF4-FFF2-40B4-BE49-F238E27FC236}">
                  <a16:creationId xmlns:a16="http://schemas.microsoft.com/office/drawing/2014/main" id="{00000000-0008-0000-0100-00000A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9D3BC9" w14:textId="7558E5C3" w:rsidR="003C5D73" w:rsidRPr="00F01A1E" w:rsidRDefault="003C5D73" w:rsidP="00F01A1E">
      <w:pPr>
        <w:spacing w:after="0" w:line="276" w:lineRule="auto"/>
        <w:jc w:val="both"/>
        <w:rPr>
          <w:rFonts w:ascii="Arial" w:hAnsi="Arial" w:cs="Arial"/>
          <w:bCs/>
          <w:iCs/>
          <w:color w:val="000000"/>
          <w:sz w:val="20"/>
          <w:szCs w:val="20"/>
        </w:rPr>
      </w:pPr>
      <w:r w:rsidRPr="00D83239">
        <w:rPr>
          <w:rFonts w:ascii="Arial" w:hAnsi="Arial" w:cs="Arial"/>
          <w:b/>
          <w:sz w:val="20"/>
          <w:szCs w:val="20"/>
          <w:lang w:eastAsia="sl-SI"/>
        </w:rPr>
        <w:t>Graf</w:t>
      </w:r>
      <w:r w:rsidR="007A5FD1">
        <w:rPr>
          <w:rFonts w:ascii="Arial" w:hAnsi="Arial" w:cs="Arial"/>
          <w:b/>
          <w:sz w:val="20"/>
          <w:szCs w:val="20"/>
          <w:lang w:eastAsia="sl-SI"/>
        </w:rPr>
        <w:t>ikon</w:t>
      </w:r>
      <w:r w:rsidRPr="00E92FF2">
        <w:rPr>
          <w:rFonts w:ascii="Arial" w:hAnsi="Arial" w:cs="Arial"/>
          <w:sz w:val="20"/>
          <w:szCs w:val="20"/>
          <w:lang w:eastAsia="sl-SI"/>
        </w:rPr>
        <w:t>:</w:t>
      </w:r>
      <w:r w:rsidRPr="00D83239">
        <w:rPr>
          <w:rFonts w:ascii="Arial" w:hAnsi="Arial" w:cs="Arial"/>
          <w:b/>
          <w:sz w:val="20"/>
          <w:szCs w:val="20"/>
          <w:lang w:eastAsia="sl-SI"/>
        </w:rPr>
        <w:t xml:space="preserve"> </w:t>
      </w:r>
      <w:r w:rsidRPr="00D83239">
        <w:rPr>
          <w:rFonts w:ascii="Arial" w:hAnsi="Arial" w:cs="Arial"/>
          <w:sz w:val="20"/>
          <w:szCs w:val="20"/>
          <w:lang w:eastAsia="sl-SI"/>
        </w:rPr>
        <w:t>Število kosov orožja (fizične osebe), za katere je izdan orožni list</w:t>
      </w:r>
    </w:p>
    <w:p w14:paraId="1BBBB029" w14:textId="77777777" w:rsidR="00F01A1E" w:rsidRDefault="00F01A1E" w:rsidP="00D83239">
      <w:pPr>
        <w:tabs>
          <w:tab w:val="left" w:pos="3402"/>
        </w:tabs>
        <w:spacing w:after="0" w:line="276" w:lineRule="auto"/>
        <w:jc w:val="both"/>
        <w:rPr>
          <w:rFonts w:ascii="Arial" w:hAnsi="Arial" w:cs="Arial"/>
          <w:sz w:val="20"/>
          <w:szCs w:val="20"/>
        </w:rPr>
      </w:pPr>
    </w:p>
    <w:p w14:paraId="06366C20" w14:textId="296B7D89" w:rsidR="00E2146B" w:rsidRPr="00D83239" w:rsidRDefault="003C5D73" w:rsidP="00D83239">
      <w:pPr>
        <w:tabs>
          <w:tab w:val="left" w:pos="3402"/>
        </w:tabs>
        <w:spacing w:after="0" w:line="276" w:lineRule="auto"/>
        <w:jc w:val="both"/>
        <w:rPr>
          <w:rFonts w:ascii="Arial" w:hAnsi="Arial" w:cs="Arial"/>
          <w:sz w:val="20"/>
          <w:szCs w:val="20"/>
        </w:rPr>
      </w:pPr>
      <w:r w:rsidRPr="00D83239">
        <w:rPr>
          <w:rFonts w:ascii="Arial" w:hAnsi="Arial" w:cs="Arial"/>
          <w:sz w:val="20"/>
          <w:szCs w:val="20"/>
        </w:rPr>
        <w:t xml:space="preserve">V letu 2025 so bili na področju orožja izvedeni štirje strokovni nadzori (pri </w:t>
      </w:r>
      <w:r w:rsidR="007A5FD1">
        <w:rPr>
          <w:rFonts w:ascii="Arial" w:hAnsi="Arial" w:cs="Arial"/>
          <w:sz w:val="20"/>
          <w:szCs w:val="20"/>
        </w:rPr>
        <w:t>u</w:t>
      </w:r>
      <w:r w:rsidRPr="00D83239">
        <w:rPr>
          <w:rFonts w:ascii="Arial" w:hAnsi="Arial" w:cs="Arial"/>
          <w:sz w:val="20"/>
          <w:szCs w:val="20"/>
        </w:rPr>
        <w:t>pravnih enotah Koper, Žalec, Ljutomer in Ilirska Bistrica</w:t>
      </w:r>
      <w:r w:rsidR="007A5FD1">
        <w:rPr>
          <w:rFonts w:ascii="Arial" w:hAnsi="Arial" w:cs="Arial"/>
          <w:sz w:val="20"/>
          <w:szCs w:val="20"/>
        </w:rPr>
        <w:t>).</w:t>
      </w:r>
    </w:p>
    <w:p w14:paraId="3F313FB9" w14:textId="2AB74A81" w:rsidR="00E2146B" w:rsidRDefault="00E2146B" w:rsidP="00D83239">
      <w:pPr>
        <w:spacing w:after="0" w:line="276" w:lineRule="auto"/>
        <w:jc w:val="both"/>
        <w:rPr>
          <w:rFonts w:ascii="Arial" w:hAnsi="Arial" w:cs="Arial"/>
          <w:sz w:val="20"/>
          <w:szCs w:val="20"/>
          <w:highlight w:val="yellow"/>
        </w:rPr>
      </w:pPr>
    </w:p>
    <w:p w14:paraId="54B20B28" w14:textId="77777777" w:rsidR="00E8001C" w:rsidRPr="00D83239" w:rsidRDefault="00E8001C" w:rsidP="00D83239">
      <w:pPr>
        <w:spacing w:after="0" w:line="276" w:lineRule="auto"/>
        <w:jc w:val="both"/>
        <w:rPr>
          <w:rFonts w:ascii="Arial" w:hAnsi="Arial" w:cs="Arial"/>
          <w:sz w:val="20"/>
          <w:szCs w:val="20"/>
          <w:highlight w:val="yellow"/>
        </w:rPr>
      </w:pPr>
    </w:p>
    <w:p w14:paraId="3F337ABA" w14:textId="2B419B0E" w:rsidR="00653B9D" w:rsidRPr="00D83239" w:rsidRDefault="00E2146B" w:rsidP="00D83239">
      <w:pPr>
        <w:pStyle w:val="Naslov3"/>
        <w:spacing w:line="276" w:lineRule="auto"/>
        <w:jc w:val="both"/>
        <w:rPr>
          <w:rFonts w:cs="Arial"/>
          <w:sz w:val="20"/>
          <w:szCs w:val="20"/>
          <w:lang w:eastAsia="sl-SI"/>
        </w:rPr>
      </w:pPr>
      <w:bookmarkStart w:id="94" w:name="_Toc225499831"/>
      <w:r w:rsidRPr="00D83239">
        <w:rPr>
          <w:rFonts w:cs="Arial"/>
          <w:sz w:val="20"/>
          <w:szCs w:val="20"/>
          <w:lang w:eastAsia="sl-SI"/>
        </w:rPr>
        <w:t>Področje eksplozivov</w:t>
      </w:r>
      <w:bookmarkEnd w:id="94"/>
    </w:p>
    <w:p w14:paraId="48949BBB" w14:textId="77777777" w:rsidR="00E8001C" w:rsidRDefault="00E8001C" w:rsidP="00D83239">
      <w:pPr>
        <w:spacing w:after="0" w:line="276" w:lineRule="auto"/>
        <w:jc w:val="both"/>
        <w:rPr>
          <w:rFonts w:ascii="Arial" w:hAnsi="Arial" w:cs="Arial"/>
          <w:sz w:val="20"/>
          <w:szCs w:val="20"/>
          <w:lang w:eastAsia="sl-SI"/>
        </w:rPr>
      </w:pPr>
    </w:p>
    <w:p w14:paraId="60164B0B" w14:textId="77887244" w:rsidR="003C5D73" w:rsidRPr="00D83239" w:rsidRDefault="003C5D73" w:rsidP="00D83239">
      <w:pPr>
        <w:spacing w:after="0" w:line="276" w:lineRule="auto"/>
        <w:jc w:val="both"/>
        <w:rPr>
          <w:rFonts w:ascii="Arial" w:hAnsi="Arial" w:cs="Arial"/>
          <w:color w:val="000000"/>
          <w:sz w:val="20"/>
          <w:szCs w:val="20"/>
          <w:lang w:eastAsia="sl-SI"/>
        </w:rPr>
      </w:pPr>
      <w:r w:rsidRPr="00D83239">
        <w:rPr>
          <w:rFonts w:ascii="Arial" w:hAnsi="Arial" w:cs="Arial"/>
          <w:sz w:val="20"/>
          <w:szCs w:val="20"/>
          <w:lang w:eastAsia="sl-SI"/>
        </w:rPr>
        <w:t>V letu 2025 je bil organiziran in izveden strokovni posvet o pirotehničnih izdelkih, ki so se</w:t>
      </w:r>
      <w:r w:rsidR="007A5FD1">
        <w:rPr>
          <w:rFonts w:ascii="Arial" w:hAnsi="Arial" w:cs="Arial"/>
          <w:sz w:val="20"/>
          <w:szCs w:val="20"/>
          <w:lang w:eastAsia="sl-SI"/>
        </w:rPr>
        <w:t xml:space="preserve"> </w:t>
      </w:r>
      <w:r w:rsidRPr="00D83239">
        <w:rPr>
          <w:rFonts w:ascii="Arial" w:hAnsi="Arial" w:cs="Arial"/>
          <w:sz w:val="20"/>
          <w:szCs w:val="20"/>
          <w:lang w:eastAsia="sl-SI"/>
        </w:rPr>
        <w:t>ga poleg predstavnikov M</w:t>
      </w:r>
      <w:r w:rsidR="00E0081A">
        <w:rPr>
          <w:rFonts w:ascii="Arial" w:hAnsi="Arial" w:cs="Arial"/>
          <w:sz w:val="20"/>
          <w:szCs w:val="20"/>
          <w:lang w:eastAsia="sl-SI"/>
        </w:rPr>
        <w:t xml:space="preserve">NZ, IRSNZ </w:t>
      </w:r>
      <w:r w:rsidRPr="00D83239">
        <w:rPr>
          <w:rFonts w:ascii="Arial" w:hAnsi="Arial" w:cs="Arial"/>
          <w:sz w:val="20"/>
          <w:szCs w:val="20"/>
          <w:lang w:eastAsia="sl-SI"/>
        </w:rPr>
        <w:t xml:space="preserve">in Policije udeležili tudi predstavniki drugih deležnikov na tem področju, in sicer: Ministrstva za gospodarstvo, turizem in šport, Uprave </w:t>
      </w:r>
      <w:r w:rsidR="00307048">
        <w:rPr>
          <w:rFonts w:ascii="Arial" w:hAnsi="Arial" w:cs="Arial"/>
          <w:sz w:val="20"/>
          <w:szCs w:val="20"/>
          <w:lang w:eastAsia="sl-SI"/>
        </w:rPr>
        <w:t xml:space="preserve">Republike Slovenije </w:t>
      </w:r>
      <w:r w:rsidRPr="00D83239">
        <w:rPr>
          <w:rFonts w:ascii="Arial" w:hAnsi="Arial" w:cs="Arial"/>
          <w:sz w:val="20"/>
          <w:szCs w:val="20"/>
          <w:lang w:eastAsia="sl-SI"/>
        </w:rPr>
        <w:t>za varno hrano, veterinarstvo in varstvo rastlin, Ministrstva za okolje, podnebje in energijo, Tržnega inšpektorata</w:t>
      </w:r>
      <w:r w:rsidR="00307048">
        <w:rPr>
          <w:rFonts w:ascii="Arial" w:hAnsi="Arial" w:cs="Arial"/>
          <w:sz w:val="20"/>
          <w:szCs w:val="20"/>
          <w:lang w:eastAsia="sl-SI"/>
        </w:rPr>
        <w:t xml:space="preserve"> Republike Slovenije</w:t>
      </w:r>
      <w:r w:rsidRPr="00D83239">
        <w:rPr>
          <w:rFonts w:ascii="Arial" w:hAnsi="Arial" w:cs="Arial"/>
          <w:sz w:val="20"/>
          <w:szCs w:val="20"/>
          <w:lang w:eastAsia="sl-SI"/>
        </w:rPr>
        <w:t>, Finančne uprave</w:t>
      </w:r>
      <w:r w:rsidR="00307048">
        <w:rPr>
          <w:rFonts w:ascii="Arial" w:hAnsi="Arial" w:cs="Arial"/>
          <w:sz w:val="20"/>
          <w:szCs w:val="20"/>
          <w:lang w:eastAsia="sl-SI"/>
        </w:rPr>
        <w:t xml:space="preserve"> Republike Slovenije</w:t>
      </w:r>
      <w:r w:rsidRPr="00D83239">
        <w:rPr>
          <w:rFonts w:ascii="Arial" w:hAnsi="Arial" w:cs="Arial"/>
          <w:sz w:val="20"/>
          <w:szCs w:val="20"/>
          <w:lang w:eastAsia="sl-SI"/>
        </w:rPr>
        <w:t>, Agencije za komunikacijska omrežja in storitve</w:t>
      </w:r>
      <w:r w:rsidR="00307048">
        <w:rPr>
          <w:rFonts w:ascii="Arial" w:hAnsi="Arial" w:cs="Arial"/>
          <w:sz w:val="20"/>
          <w:szCs w:val="20"/>
          <w:lang w:eastAsia="sl-SI"/>
        </w:rPr>
        <w:t xml:space="preserve"> Republike Slovenije</w:t>
      </w:r>
      <w:r w:rsidRPr="00D83239">
        <w:rPr>
          <w:rFonts w:ascii="Arial" w:hAnsi="Arial" w:cs="Arial"/>
          <w:sz w:val="20"/>
          <w:szCs w:val="20"/>
          <w:lang w:eastAsia="sl-SI"/>
        </w:rPr>
        <w:t xml:space="preserve">, Skupnosti občin Slovenije, predstavniki Inštituta 8. marec ter Zveze društev gluhih in naglušnih Slovenije. Na posvetu je bilo </w:t>
      </w:r>
      <w:r w:rsidR="00307048">
        <w:rPr>
          <w:rFonts w:ascii="Arial" w:hAnsi="Arial" w:cs="Arial"/>
          <w:sz w:val="20"/>
          <w:szCs w:val="20"/>
          <w:lang w:eastAsia="sl-SI"/>
        </w:rPr>
        <w:t>opozor</w:t>
      </w:r>
      <w:r w:rsidRPr="00D83239">
        <w:rPr>
          <w:rFonts w:ascii="Arial" w:hAnsi="Arial" w:cs="Arial"/>
          <w:sz w:val="20"/>
          <w:szCs w:val="20"/>
          <w:lang w:eastAsia="sl-SI"/>
        </w:rPr>
        <w:t xml:space="preserve">jeno, da je Republika Slovenija v okviru </w:t>
      </w:r>
      <w:r w:rsidRPr="00D83239">
        <w:rPr>
          <w:rFonts w:ascii="Arial" w:hAnsi="Arial" w:cs="Arial"/>
          <w:color w:val="000000"/>
          <w:sz w:val="20"/>
          <w:szCs w:val="20"/>
          <w:lang w:eastAsia="sl-SI"/>
        </w:rPr>
        <w:t>evalvacije Direktive 2013/29</w:t>
      </w:r>
      <w:r w:rsidR="00307048">
        <w:rPr>
          <w:rFonts w:ascii="Arial" w:hAnsi="Arial" w:cs="Arial"/>
          <w:color w:val="000000"/>
          <w:sz w:val="20"/>
          <w:szCs w:val="20"/>
          <w:lang w:eastAsia="sl-SI"/>
        </w:rPr>
        <w:t>/EU</w:t>
      </w:r>
      <w:r w:rsidRPr="00D83239">
        <w:rPr>
          <w:rFonts w:ascii="Arial" w:hAnsi="Arial" w:cs="Arial"/>
          <w:color w:val="000000"/>
          <w:sz w:val="20"/>
          <w:szCs w:val="20"/>
          <w:lang w:eastAsia="sl-SI"/>
        </w:rPr>
        <w:t xml:space="preserve"> z 12. junija 2013 o harmonizaciji zakonodaj držav članic v zvezi z dostopnostjo pirotehničnih izdelkov na trgu (prenovitev) opozorila na problematiko različne ureditv</w:t>
      </w:r>
      <w:r w:rsidR="00307048">
        <w:rPr>
          <w:rFonts w:ascii="Arial" w:hAnsi="Arial" w:cs="Arial"/>
          <w:color w:val="000000"/>
          <w:sz w:val="20"/>
          <w:szCs w:val="20"/>
          <w:lang w:eastAsia="sl-SI"/>
        </w:rPr>
        <w:t>e</w:t>
      </w:r>
      <w:r w:rsidRPr="00D83239">
        <w:rPr>
          <w:rFonts w:ascii="Arial" w:hAnsi="Arial" w:cs="Arial"/>
          <w:color w:val="000000"/>
          <w:sz w:val="20"/>
          <w:szCs w:val="20"/>
          <w:lang w:eastAsia="sl-SI"/>
        </w:rPr>
        <w:t xml:space="preserve"> prodaje, posesti in uporabe pirotehničnih izdelkov v državah članicah, k</w:t>
      </w:r>
      <w:r w:rsidR="00307048">
        <w:rPr>
          <w:rFonts w:ascii="Arial" w:hAnsi="Arial" w:cs="Arial"/>
          <w:color w:val="000000"/>
          <w:sz w:val="20"/>
          <w:szCs w:val="20"/>
          <w:lang w:eastAsia="sl-SI"/>
        </w:rPr>
        <w:t>ar</w:t>
      </w:r>
      <w:r w:rsidRPr="00D83239">
        <w:rPr>
          <w:rFonts w:ascii="Arial" w:hAnsi="Arial" w:cs="Arial"/>
          <w:color w:val="000000"/>
          <w:sz w:val="20"/>
          <w:szCs w:val="20"/>
          <w:lang w:eastAsia="sl-SI"/>
        </w:rPr>
        <w:t xml:space="preserve"> ima za posledico nakup pirotehničnih izdelkov v drugih državah članicah, ki takšne prepovedi, kot jo ima Slovenija, nimajo. </w:t>
      </w:r>
      <w:r w:rsidR="00307048">
        <w:rPr>
          <w:rFonts w:ascii="Arial" w:hAnsi="Arial" w:cs="Arial"/>
          <w:color w:val="000000"/>
          <w:sz w:val="20"/>
          <w:szCs w:val="20"/>
          <w:lang w:eastAsia="sl-SI"/>
        </w:rPr>
        <w:t>Opozorjeno</w:t>
      </w:r>
      <w:r w:rsidR="00307048" w:rsidRPr="00D83239">
        <w:rPr>
          <w:rFonts w:ascii="Arial" w:hAnsi="Arial" w:cs="Arial"/>
          <w:color w:val="000000"/>
          <w:sz w:val="20"/>
          <w:szCs w:val="20"/>
          <w:lang w:eastAsia="sl-SI"/>
        </w:rPr>
        <w:t xml:space="preserve"> </w:t>
      </w:r>
      <w:r w:rsidRPr="00D83239">
        <w:rPr>
          <w:rFonts w:ascii="Arial" w:hAnsi="Arial" w:cs="Arial"/>
          <w:color w:val="000000"/>
          <w:sz w:val="20"/>
          <w:szCs w:val="20"/>
          <w:lang w:eastAsia="sl-SI"/>
        </w:rPr>
        <w:t>je bil</w:t>
      </w:r>
      <w:r w:rsidR="00307048">
        <w:rPr>
          <w:rFonts w:ascii="Arial" w:hAnsi="Arial" w:cs="Arial"/>
          <w:color w:val="000000"/>
          <w:sz w:val="20"/>
          <w:szCs w:val="20"/>
          <w:lang w:eastAsia="sl-SI"/>
        </w:rPr>
        <w:t>o</w:t>
      </w:r>
      <w:r w:rsidRPr="00D83239">
        <w:rPr>
          <w:rFonts w:ascii="Arial" w:hAnsi="Arial" w:cs="Arial"/>
          <w:color w:val="000000"/>
          <w:sz w:val="20"/>
          <w:szCs w:val="20"/>
          <w:lang w:eastAsia="sl-SI"/>
        </w:rPr>
        <w:t xml:space="preserve"> tudi </w:t>
      </w:r>
      <w:r w:rsidR="00307048">
        <w:rPr>
          <w:rFonts w:ascii="Arial" w:hAnsi="Arial" w:cs="Arial"/>
          <w:color w:val="000000"/>
          <w:sz w:val="20"/>
          <w:szCs w:val="20"/>
          <w:lang w:eastAsia="sl-SI"/>
        </w:rPr>
        <w:t xml:space="preserve">na </w:t>
      </w:r>
      <w:r w:rsidRPr="00D83239">
        <w:rPr>
          <w:rFonts w:ascii="Arial" w:hAnsi="Arial" w:cs="Arial"/>
          <w:color w:val="000000"/>
          <w:sz w:val="20"/>
          <w:szCs w:val="20"/>
          <w:lang w:eastAsia="sl-SI"/>
        </w:rPr>
        <w:t>težav</w:t>
      </w:r>
      <w:r w:rsidR="00307048">
        <w:rPr>
          <w:rFonts w:ascii="Arial" w:hAnsi="Arial" w:cs="Arial"/>
          <w:color w:val="000000"/>
          <w:sz w:val="20"/>
          <w:szCs w:val="20"/>
          <w:lang w:eastAsia="sl-SI"/>
        </w:rPr>
        <w:t>o</w:t>
      </w:r>
      <w:r w:rsidRPr="00D83239">
        <w:rPr>
          <w:rFonts w:ascii="Arial" w:hAnsi="Arial" w:cs="Arial"/>
          <w:color w:val="000000"/>
          <w:sz w:val="20"/>
          <w:szCs w:val="20"/>
          <w:lang w:eastAsia="sl-SI"/>
        </w:rPr>
        <w:t xml:space="preserve"> prodaje pirotehničnih izdelkov po spletu, ki je ni mogoče ustrezno nadzirati (npr. na pošiljki ni navedeno, da vsebuje pirotehnični izdelek). O težavah, s katerimi se Slovenija s</w:t>
      </w:r>
      <w:r w:rsidR="00307048">
        <w:rPr>
          <w:rFonts w:ascii="Arial" w:hAnsi="Arial" w:cs="Arial"/>
          <w:color w:val="000000"/>
          <w:sz w:val="20"/>
          <w:szCs w:val="20"/>
          <w:lang w:eastAsia="sl-SI"/>
        </w:rPr>
        <w:t>poprijem</w:t>
      </w:r>
      <w:r w:rsidRPr="00D83239">
        <w:rPr>
          <w:rFonts w:ascii="Arial" w:hAnsi="Arial" w:cs="Arial"/>
          <w:color w:val="000000"/>
          <w:sz w:val="20"/>
          <w:szCs w:val="20"/>
          <w:lang w:eastAsia="sl-SI"/>
        </w:rPr>
        <w:t>a na področju pirotehničnih izdelkov, je M</w:t>
      </w:r>
      <w:r w:rsidR="00E0081A">
        <w:rPr>
          <w:rFonts w:ascii="Arial" w:hAnsi="Arial" w:cs="Arial"/>
          <w:color w:val="000000"/>
          <w:sz w:val="20"/>
          <w:szCs w:val="20"/>
          <w:lang w:eastAsia="sl-SI"/>
        </w:rPr>
        <w:t xml:space="preserve">NZ </w:t>
      </w:r>
      <w:r w:rsidRPr="00D83239">
        <w:rPr>
          <w:rFonts w:ascii="Arial" w:hAnsi="Arial" w:cs="Arial"/>
          <w:sz w:val="20"/>
          <w:szCs w:val="20"/>
          <w:lang w:eastAsia="sl-SI"/>
        </w:rPr>
        <w:t xml:space="preserve">pisno </w:t>
      </w:r>
      <w:r w:rsidR="00307048">
        <w:rPr>
          <w:rFonts w:ascii="Arial" w:hAnsi="Arial" w:cs="Arial"/>
          <w:sz w:val="20"/>
          <w:szCs w:val="20"/>
          <w:lang w:eastAsia="sl-SI"/>
        </w:rPr>
        <w:t>obvest</w:t>
      </w:r>
      <w:r w:rsidRPr="00D83239">
        <w:rPr>
          <w:rFonts w:ascii="Arial" w:hAnsi="Arial" w:cs="Arial"/>
          <w:sz w:val="20"/>
          <w:szCs w:val="20"/>
          <w:lang w:eastAsia="sl-SI"/>
        </w:rPr>
        <w:t xml:space="preserve">ilo tudi evropskega komisarja za notranji trg in migracije s </w:t>
      </w:r>
      <w:r w:rsidRPr="00D83239">
        <w:rPr>
          <w:rFonts w:ascii="Arial" w:hAnsi="Arial" w:cs="Arial"/>
          <w:color w:val="000000"/>
          <w:sz w:val="20"/>
          <w:szCs w:val="20"/>
          <w:lang w:eastAsia="sl-SI" w:bidi="sl-SI"/>
        </w:rPr>
        <w:t xml:space="preserve">prošnjo, da s svojimi aktivnostmi pripomore k enotni ureditvi tega področja ter k prepovedi prodaje pirotehničnih izdelkov po spletu s skupno direktivo oziroma drugim evropskim predpisom, saj je le </w:t>
      </w:r>
      <w:r w:rsidR="00307048">
        <w:rPr>
          <w:rFonts w:ascii="Arial" w:hAnsi="Arial" w:cs="Arial"/>
          <w:color w:val="000000"/>
          <w:sz w:val="20"/>
          <w:szCs w:val="20"/>
          <w:lang w:eastAsia="sl-SI" w:bidi="sl-SI"/>
        </w:rPr>
        <w:t>tako</w:t>
      </w:r>
      <w:r w:rsidRPr="00D83239">
        <w:rPr>
          <w:rFonts w:ascii="Arial" w:hAnsi="Arial" w:cs="Arial"/>
          <w:color w:val="000000"/>
          <w:sz w:val="20"/>
          <w:szCs w:val="20"/>
          <w:lang w:eastAsia="sl-SI" w:bidi="sl-SI"/>
        </w:rPr>
        <w:t xml:space="preserve"> mogoče doseči skupn</w:t>
      </w:r>
      <w:r w:rsidR="00307048">
        <w:rPr>
          <w:rFonts w:ascii="Arial" w:hAnsi="Arial" w:cs="Arial"/>
          <w:color w:val="000000"/>
          <w:sz w:val="20"/>
          <w:szCs w:val="20"/>
          <w:lang w:eastAsia="sl-SI" w:bidi="sl-SI"/>
        </w:rPr>
        <w:t>i</w:t>
      </w:r>
      <w:r w:rsidRPr="00D83239">
        <w:rPr>
          <w:rFonts w:ascii="Arial" w:hAnsi="Arial" w:cs="Arial"/>
          <w:color w:val="000000"/>
          <w:sz w:val="20"/>
          <w:szCs w:val="20"/>
          <w:lang w:eastAsia="sl-SI" w:bidi="sl-SI"/>
        </w:rPr>
        <w:t xml:space="preserve"> cilj.</w:t>
      </w:r>
    </w:p>
    <w:p w14:paraId="5249BCBD" w14:textId="77777777" w:rsidR="003C5D73" w:rsidRPr="00D83239" w:rsidRDefault="003C5D73" w:rsidP="00D83239">
      <w:pPr>
        <w:spacing w:after="0" w:line="276" w:lineRule="auto"/>
        <w:jc w:val="both"/>
        <w:rPr>
          <w:rFonts w:ascii="Arial" w:hAnsi="Arial" w:cs="Arial"/>
          <w:sz w:val="20"/>
          <w:szCs w:val="20"/>
          <w:lang w:eastAsia="sl-SI"/>
        </w:rPr>
      </w:pPr>
    </w:p>
    <w:p w14:paraId="167C86F3" w14:textId="3F35D724" w:rsidR="003C5D73" w:rsidRPr="00D83239" w:rsidRDefault="003C5D73" w:rsidP="00D83239">
      <w:pPr>
        <w:spacing w:after="0" w:line="276" w:lineRule="auto"/>
        <w:jc w:val="both"/>
        <w:rPr>
          <w:rFonts w:ascii="Arial" w:hAnsi="Arial" w:cs="Arial"/>
          <w:sz w:val="20"/>
          <w:szCs w:val="20"/>
          <w:lang w:val="pl-PL"/>
        </w:rPr>
      </w:pPr>
      <w:r w:rsidRPr="00D83239">
        <w:rPr>
          <w:rFonts w:ascii="Arial" w:hAnsi="Arial" w:cs="Arial"/>
          <w:sz w:val="20"/>
          <w:szCs w:val="20"/>
          <w:lang w:val="pl-PL"/>
        </w:rPr>
        <w:t xml:space="preserve">V letu 2025 je bilo izdanih </w:t>
      </w:r>
      <w:r w:rsidRPr="00D83239">
        <w:rPr>
          <w:rFonts w:ascii="Arial" w:hAnsi="Arial" w:cs="Arial"/>
          <w:b/>
          <w:sz w:val="20"/>
          <w:szCs w:val="20"/>
          <w:lang w:val="pl-PL"/>
        </w:rPr>
        <w:t>947 dovoljenj</w:t>
      </w:r>
      <w:r w:rsidRPr="00D83239">
        <w:rPr>
          <w:rFonts w:ascii="Arial" w:hAnsi="Arial" w:cs="Arial"/>
          <w:sz w:val="20"/>
          <w:szCs w:val="20"/>
          <w:lang w:val="pl-PL"/>
        </w:rPr>
        <w:t xml:space="preserve"> za uvoz, izvoz, prenos, tranzit eksplozivov, streliva in pirotehničnih izdelkov, 14 postopkov za izdajo dovoljenja pa je bilo ustavljenih.</w:t>
      </w:r>
    </w:p>
    <w:p w14:paraId="4251E1A2" w14:textId="77777777" w:rsidR="003C5D73" w:rsidRPr="00D83239" w:rsidRDefault="003C5D73" w:rsidP="00D83239">
      <w:pPr>
        <w:spacing w:after="200" w:line="276" w:lineRule="auto"/>
        <w:jc w:val="both"/>
        <w:rPr>
          <w:rFonts w:ascii="Arial" w:hAnsi="Arial" w:cs="Arial"/>
          <w:sz w:val="20"/>
          <w:szCs w:val="20"/>
          <w:lang w:val="pl-PL"/>
        </w:rPr>
      </w:pPr>
      <w:r w:rsidRPr="00D83239">
        <w:rPr>
          <w:rFonts w:ascii="Arial" w:hAnsi="Arial" w:cs="Arial"/>
          <w:noProof/>
          <w:sz w:val="20"/>
          <w:szCs w:val="20"/>
          <w:lang w:eastAsia="sl-SI"/>
        </w:rPr>
        <w:t xml:space="preserve">   </w:t>
      </w:r>
      <w:r w:rsidRPr="00D83239">
        <w:rPr>
          <w:rFonts w:ascii="Arial" w:hAnsi="Arial" w:cs="Arial"/>
          <w:noProof/>
          <w:sz w:val="20"/>
          <w:szCs w:val="20"/>
        </w:rPr>
        <w:t xml:space="preserve"> </w:t>
      </w:r>
      <w:r w:rsidRPr="0089453F">
        <w:rPr>
          <w:rFonts w:ascii="Arial" w:hAnsi="Arial" w:cs="Arial"/>
          <w:noProof/>
          <w:sz w:val="20"/>
          <w:szCs w:val="20"/>
          <w:lang w:eastAsia="sl-SI"/>
        </w:rPr>
        <w:drawing>
          <wp:inline distT="0" distB="0" distL="0" distR="0" wp14:anchorId="2E2BF603" wp14:editId="18F6C155">
            <wp:extent cx="5614737" cy="3272589"/>
            <wp:effectExtent l="0" t="0" r="5080" b="4445"/>
            <wp:docPr id="9" name="Grafikon 9" descr="V letu 2025 je bilo izdanih 947 dovoljenj za uvoz, izvoz, prenos, tranzit eksplozivov, streliva in pirotehničnih izdelkov, 14 postopkov za izdajo dovoljenja pa je bilo ustavljenih.">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C8F410" w14:textId="235E7D84" w:rsidR="001E2A30" w:rsidRPr="00D83239" w:rsidRDefault="003C5D73" w:rsidP="00D83239">
      <w:pPr>
        <w:spacing w:after="0" w:line="276" w:lineRule="auto"/>
        <w:jc w:val="both"/>
        <w:rPr>
          <w:rFonts w:ascii="Arial" w:hAnsi="Arial" w:cs="Arial"/>
          <w:sz w:val="20"/>
          <w:szCs w:val="20"/>
        </w:rPr>
      </w:pPr>
      <w:r w:rsidRPr="00D83239">
        <w:rPr>
          <w:rFonts w:ascii="Arial" w:hAnsi="Arial" w:cs="Arial"/>
          <w:b/>
          <w:sz w:val="20"/>
          <w:szCs w:val="20"/>
          <w:lang w:eastAsia="sl-SI"/>
        </w:rPr>
        <w:t>Graf</w:t>
      </w:r>
      <w:r w:rsidR="00307048">
        <w:rPr>
          <w:rFonts w:ascii="Arial" w:hAnsi="Arial" w:cs="Arial"/>
          <w:b/>
          <w:sz w:val="20"/>
          <w:szCs w:val="20"/>
          <w:lang w:eastAsia="sl-SI"/>
        </w:rPr>
        <w:t>ikon</w:t>
      </w:r>
      <w:r w:rsidRPr="00E92FF2">
        <w:rPr>
          <w:rFonts w:ascii="Arial" w:hAnsi="Arial" w:cs="Arial"/>
          <w:sz w:val="20"/>
          <w:szCs w:val="20"/>
          <w:lang w:eastAsia="sl-SI"/>
        </w:rPr>
        <w:t>:</w:t>
      </w:r>
      <w:r w:rsidRPr="00D83239">
        <w:rPr>
          <w:rFonts w:ascii="Arial" w:hAnsi="Arial" w:cs="Arial"/>
          <w:sz w:val="20"/>
          <w:szCs w:val="20"/>
          <w:lang w:eastAsia="sl-SI"/>
        </w:rPr>
        <w:t xml:space="preserve"> </w:t>
      </w:r>
      <w:r w:rsidRPr="00D83239">
        <w:rPr>
          <w:rFonts w:ascii="Arial" w:hAnsi="Arial" w:cs="Arial"/>
          <w:sz w:val="20"/>
          <w:szCs w:val="20"/>
        </w:rPr>
        <w:t>Število izdanih dovoljenj za uvoz, izvoz, prenos, tranzit eksplozivov, streliva in pirotehničnih izdelkov v letih 2015–2025</w:t>
      </w:r>
    </w:p>
    <w:p w14:paraId="1E873C44" w14:textId="34B65E79" w:rsidR="001E2A30" w:rsidRPr="00D83239" w:rsidRDefault="001E2A30" w:rsidP="00D83239">
      <w:pPr>
        <w:spacing w:after="0" w:line="276" w:lineRule="auto"/>
        <w:jc w:val="both"/>
        <w:rPr>
          <w:rFonts w:ascii="Arial" w:hAnsi="Arial" w:cs="Arial"/>
          <w:sz w:val="20"/>
          <w:szCs w:val="20"/>
          <w:highlight w:val="yellow"/>
        </w:rPr>
      </w:pPr>
    </w:p>
    <w:p w14:paraId="3E3BACB3" w14:textId="7741F47F" w:rsidR="00E2146B" w:rsidRPr="00D83239" w:rsidRDefault="000D1E27" w:rsidP="00D83239">
      <w:pPr>
        <w:pStyle w:val="Naslov3"/>
        <w:spacing w:line="276" w:lineRule="auto"/>
        <w:jc w:val="both"/>
        <w:rPr>
          <w:rFonts w:cs="Arial"/>
          <w:sz w:val="20"/>
          <w:szCs w:val="20"/>
        </w:rPr>
      </w:pPr>
      <w:r w:rsidRPr="00D83239">
        <w:rPr>
          <w:rFonts w:cs="Arial"/>
          <w:sz w:val="20"/>
          <w:szCs w:val="20"/>
        </w:rPr>
        <w:t xml:space="preserve"> </w:t>
      </w:r>
      <w:bookmarkStart w:id="95" w:name="_Toc225499832"/>
      <w:r w:rsidR="00E2146B" w:rsidRPr="00D83239">
        <w:rPr>
          <w:rFonts w:cs="Arial"/>
          <w:sz w:val="20"/>
          <w:szCs w:val="20"/>
        </w:rPr>
        <w:t>Področje društev</w:t>
      </w:r>
      <w:r w:rsidR="00653B9D" w:rsidRPr="00D83239">
        <w:rPr>
          <w:rFonts w:cs="Arial"/>
          <w:sz w:val="20"/>
          <w:szCs w:val="20"/>
        </w:rPr>
        <w:t>, javnih zbiranj</w:t>
      </w:r>
      <w:r w:rsidR="00E2146B" w:rsidRPr="00D83239">
        <w:rPr>
          <w:rFonts w:cs="Arial"/>
          <w:sz w:val="20"/>
          <w:szCs w:val="20"/>
        </w:rPr>
        <w:t xml:space="preserve"> in političnih strank</w:t>
      </w:r>
      <w:bookmarkEnd w:id="95"/>
    </w:p>
    <w:p w14:paraId="3D5C5966" w14:textId="77777777" w:rsidR="00D83239" w:rsidRPr="00D83239" w:rsidRDefault="00D83239" w:rsidP="00D83239">
      <w:pPr>
        <w:spacing w:after="0" w:line="276" w:lineRule="auto"/>
        <w:jc w:val="both"/>
        <w:rPr>
          <w:rFonts w:ascii="Arial" w:hAnsi="Arial" w:cs="Arial"/>
          <w:sz w:val="20"/>
          <w:szCs w:val="20"/>
          <w:highlight w:val="yellow"/>
        </w:rPr>
      </w:pPr>
      <w:bookmarkStart w:id="96" w:name="_Hlk221525634"/>
    </w:p>
    <w:p w14:paraId="1182553A" w14:textId="63840C11"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 xml:space="preserve">Na dan 31. 12. 2025 je bilo registriranih </w:t>
      </w:r>
      <w:r w:rsidRPr="00D83239">
        <w:rPr>
          <w:rFonts w:ascii="Arial" w:hAnsi="Arial" w:cs="Arial"/>
          <w:b/>
          <w:sz w:val="20"/>
          <w:szCs w:val="20"/>
        </w:rPr>
        <w:t>87 političnih strank</w:t>
      </w:r>
      <w:r w:rsidR="00F01A1E">
        <w:rPr>
          <w:rFonts w:ascii="Arial" w:hAnsi="Arial" w:cs="Arial"/>
          <w:b/>
          <w:sz w:val="20"/>
          <w:szCs w:val="20"/>
        </w:rPr>
        <w:t xml:space="preserve"> (PS)</w:t>
      </w:r>
      <w:r w:rsidRPr="00D83239">
        <w:rPr>
          <w:rFonts w:ascii="Arial" w:hAnsi="Arial" w:cs="Arial"/>
          <w:b/>
          <w:sz w:val="20"/>
          <w:szCs w:val="20"/>
        </w:rPr>
        <w:t>.</w:t>
      </w:r>
    </w:p>
    <w:p w14:paraId="500C5641" w14:textId="77777777" w:rsidR="003C5D73" w:rsidRPr="00D83239" w:rsidRDefault="003C5D73" w:rsidP="00D83239">
      <w:pPr>
        <w:spacing w:after="0" w:line="276" w:lineRule="auto"/>
        <w:jc w:val="both"/>
        <w:rPr>
          <w:rFonts w:ascii="Arial" w:hAnsi="Arial" w:cs="Arial"/>
          <w:sz w:val="20"/>
          <w:szCs w:val="20"/>
        </w:rPr>
      </w:pPr>
    </w:p>
    <w:p w14:paraId="6D99C169" w14:textId="3EC6D205" w:rsidR="003C5D73" w:rsidRDefault="003C5D73"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 xml:space="preserve">V letu 2025 je bilo v </w:t>
      </w:r>
      <w:r w:rsidR="0030280B">
        <w:rPr>
          <w:rFonts w:ascii="Arial" w:hAnsi="Arial" w:cs="Arial"/>
          <w:sz w:val="20"/>
          <w:szCs w:val="20"/>
        </w:rPr>
        <w:t>R</w:t>
      </w:r>
      <w:r w:rsidRPr="00D83239">
        <w:rPr>
          <w:rFonts w:ascii="Arial" w:hAnsi="Arial" w:cs="Arial"/>
          <w:sz w:val="20"/>
          <w:szCs w:val="20"/>
        </w:rPr>
        <w:t xml:space="preserve">egister političnih strank vpisanih </w:t>
      </w:r>
      <w:r w:rsidRPr="00A96930">
        <w:rPr>
          <w:rFonts w:ascii="Arial" w:hAnsi="Arial" w:cs="Arial"/>
          <w:b/>
          <w:sz w:val="20"/>
          <w:szCs w:val="20"/>
        </w:rPr>
        <w:t>6 novih strank,</w:t>
      </w:r>
      <w:r w:rsidRPr="00D83239">
        <w:rPr>
          <w:rFonts w:ascii="Arial" w:hAnsi="Arial" w:cs="Arial"/>
          <w:sz w:val="20"/>
          <w:szCs w:val="20"/>
        </w:rPr>
        <w:t xml:space="preserve"> iz registra pa so bile </w:t>
      </w:r>
      <w:r w:rsidRPr="00D83239">
        <w:rPr>
          <w:rFonts w:ascii="Arial" w:hAnsi="Arial" w:cs="Arial"/>
          <w:b/>
          <w:sz w:val="20"/>
          <w:szCs w:val="20"/>
        </w:rPr>
        <w:t xml:space="preserve">izbrisane 3 stranke </w:t>
      </w:r>
      <w:r w:rsidRPr="00D83239">
        <w:rPr>
          <w:rFonts w:ascii="Arial" w:hAnsi="Arial" w:cs="Arial"/>
          <w:sz w:val="20"/>
          <w:szCs w:val="20"/>
        </w:rPr>
        <w:t>(2 zaradi spojitve v novo stranko in 1 zaradi pripojitve k drugi stranki). V letu 2025 je bilo izdanih 16 odločb o registraciji sprememb pri političnih strankah.</w:t>
      </w:r>
      <w:bookmarkEnd w:id="96"/>
    </w:p>
    <w:p w14:paraId="6C73CE87" w14:textId="77777777" w:rsidR="00A96930" w:rsidRPr="00F01A1E" w:rsidRDefault="00A96930" w:rsidP="00D83239">
      <w:pPr>
        <w:autoSpaceDE w:val="0"/>
        <w:autoSpaceDN w:val="0"/>
        <w:adjustRightInd w:val="0"/>
        <w:spacing w:after="0" w:line="276" w:lineRule="auto"/>
        <w:jc w:val="both"/>
        <w:rPr>
          <w:rFonts w:ascii="Arial" w:hAnsi="Arial" w:cs="Arial"/>
          <w:color w:val="000000"/>
          <w:sz w:val="20"/>
          <w:szCs w:val="20"/>
        </w:rPr>
      </w:pPr>
    </w:p>
    <w:p w14:paraId="4493236E" w14:textId="77777777" w:rsidR="00F01A1E" w:rsidRDefault="003C5D73" w:rsidP="00F01A1E">
      <w:pPr>
        <w:spacing w:line="276" w:lineRule="auto"/>
        <w:jc w:val="both"/>
        <w:rPr>
          <w:rFonts w:ascii="Arial" w:hAnsi="Arial" w:cs="Arial"/>
          <w:b/>
          <w:sz w:val="20"/>
          <w:szCs w:val="20"/>
        </w:rPr>
      </w:pPr>
      <w:r w:rsidRPr="00D83239">
        <w:rPr>
          <w:rFonts w:ascii="Arial" w:hAnsi="Arial" w:cs="Arial"/>
          <w:noProof/>
          <w:sz w:val="20"/>
          <w:szCs w:val="20"/>
          <w:lang w:eastAsia="sl-SI"/>
        </w:rPr>
        <w:drawing>
          <wp:inline distT="0" distB="0" distL="0" distR="0" wp14:anchorId="47AB2205" wp14:editId="57109DEA">
            <wp:extent cx="5646821" cy="3176337"/>
            <wp:effectExtent l="0" t="0" r="11430" b="5080"/>
            <wp:docPr id="16" name="Grafikon 16" descr="V letu 2025 je bilo v Register političnih strank vpisanih 6 novih strank, iz registra pa so bile izbrisane 3 stranke (2 zaradi spojitve v novo stranko in 1 zaradi pripojitve k drugi stranki). V letu 2025 je bilo izdanih 16 odločb o registraciji sprememb pri političnih strankah.">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06BCB8" w14:textId="3F9D7E82" w:rsidR="00F01A1E" w:rsidRDefault="003C5D73" w:rsidP="007C583D">
      <w:pPr>
        <w:spacing w:after="0" w:line="276" w:lineRule="auto"/>
        <w:jc w:val="both"/>
        <w:rPr>
          <w:rFonts w:ascii="Arial" w:hAnsi="Arial" w:cs="Arial"/>
          <w:sz w:val="20"/>
          <w:szCs w:val="20"/>
        </w:rPr>
      </w:pPr>
      <w:r w:rsidRPr="00D83239">
        <w:rPr>
          <w:rFonts w:ascii="Arial" w:hAnsi="Arial" w:cs="Arial"/>
          <w:b/>
          <w:sz w:val="20"/>
          <w:szCs w:val="20"/>
        </w:rPr>
        <w:t>Graf</w:t>
      </w:r>
      <w:r w:rsidR="00307048">
        <w:rPr>
          <w:rFonts w:ascii="Arial" w:hAnsi="Arial" w:cs="Arial"/>
          <w:b/>
          <w:sz w:val="20"/>
          <w:szCs w:val="20"/>
        </w:rPr>
        <w:t>ikon</w:t>
      </w:r>
      <w:r w:rsidRPr="00E92FF2">
        <w:rPr>
          <w:rFonts w:ascii="Arial" w:hAnsi="Arial" w:cs="Arial"/>
          <w:sz w:val="20"/>
          <w:szCs w:val="20"/>
        </w:rPr>
        <w:t>:</w:t>
      </w:r>
      <w:r w:rsidRPr="00D83239">
        <w:rPr>
          <w:rFonts w:ascii="Arial" w:hAnsi="Arial" w:cs="Arial"/>
          <w:sz w:val="20"/>
          <w:szCs w:val="20"/>
        </w:rPr>
        <w:t xml:space="preserve"> Število vpisanih in izbris</w:t>
      </w:r>
      <w:r w:rsidR="00F01A1E">
        <w:rPr>
          <w:rFonts w:ascii="Arial" w:hAnsi="Arial" w:cs="Arial"/>
          <w:sz w:val="20"/>
          <w:szCs w:val="20"/>
        </w:rPr>
        <w:t>anih političnih strank po letih</w:t>
      </w:r>
      <w:bookmarkStart w:id="97" w:name="_Hlk221525695"/>
    </w:p>
    <w:p w14:paraId="180B21A9" w14:textId="77777777" w:rsidR="007C583D" w:rsidRPr="007C583D" w:rsidRDefault="007C583D" w:rsidP="007C583D">
      <w:pPr>
        <w:spacing w:after="0" w:line="276" w:lineRule="auto"/>
        <w:jc w:val="both"/>
        <w:rPr>
          <w:rFonts w:ascii="Arial" w:hAnsi="Arial" w:cs="Arial"/>
          <w:b/>
          <w:sz w:val="20"/>
          <w:szCs w:val="20"/>
        </w:rPr>
      </w:pPr>
    </w:p>
    <w:p w14:paraId="5E0A4F9F" w14:textId="160F4CEC" w:rsidR="003C5D73" w:rsidRPr="00D83239" w:rsidRDefault="003C5D73" w:rsidP="00D83239">
      <w:pPr>
        <w:autoSpaceDE w:val="0"/>
        <w:autoSpaceDN w:val="0"/>
        <w:adjustRightInd w:val="0"/>
        <w:spacing w:after="0" w:line="276" w:lineRule="auto"/>
        <w:jc w:val="both"/>
        <w:rPr>
          <w:rFonts w:ascii="Arial" w:hAnsi="Arial" w:cs="Arial"/>
          <w:bCs/>
          <w:sz w:val="20"/>
          <w:szCs w:val="20"/>
        </w:rPr>
      </w:pPr>
      <w:r w:rsidRPr="00D83239">
        <w:rPr>
          <w:rFonts w:ascii="Arial" w:hAnsi="Arial" w:cs="Arial"/>
          <w:bCs/>
          <w:sz w:val="20"/>
          <w:szCs w:val="20"/>
        </w:rPr>
        <w:t xml:space="preserve">Na dan 31. 12. 2025 </w:t>
      </w:r>
      <w:r w:rsidR="00307048">
        <w:rPr>
          <w:rFonts w:ascii="Arial" w:hAnsi="Arial" w:cs="Arial"/>
          <w:bCs/>
          <w:sz w:val="20"/>
          <w:szCs w:val="20"/>
        </w:rPr>
        <w:t>so</w:t>
      </w:r>
      <w:r w:rsidR="00307048" w:rsidRPr="00D83239">
        <w:rPr>
          <w:rFonts w:ascii="Arial" w:hAnsi="Arial" w:cs="Arial"/>
          <w:bCs/>
          <w:sz w:val="20"/>
          <w:szCs w:val="20"/>
        </w:rPr>
        <w:t xml:space="preserve"> </w:t>
      </w:r>
      <w:r w:rsidRPr="00D83239">
        <w:rPr>
          <w:rFonts w:ascii="Arial" w:hAnsi="Arial" w:cs="Arial"/>
          <w:bCs/>
          <w:sz w:val="20"/>
          <w:szCs w:val="20"/>
        </w:rPr>
        <w:t>bil</w:t>
      </w:r>
      <w:r w:rsidR="00307048">
        <w:rPr>
          <w:rFonts w:ascii="Arial" w:hAnsi="Arial" w:cs="Arial"/>
          <w:bCs/>
          <w:sz w:val="20"/>
          <w:szCs w:val="20"/>
        </w:rPr>
        <w:t>a</w:t>
      </w:r>
      <w:r w:rsidRPr="00D83239">
        <w:rPr>
          <w:rFonts w:ascii="Arial" w:hAnsi="Arial" w:cs="Arial"/>
          <w:bCs/>
          <w:sz w:val="20"/>
          <w:szCs w:val="20"/>
        </w:rPr>
        <w:t xml:space="preserve"> v </w:t>
      </w:r>
      <w:r w:rsidR="0030280B">
        <w:rPr>
          <w:rFonts w:ascii="Arial" w:hAnsi="Arial" w:cs="Arial"/>
          <w:bCs/>
          <w:sz w:val="20"/>
          <w:szCs w:val="20"/>
        </w:rPr>
        <w:t>R</w:t>
      </w:r>
      <w:r w:rsidRPr="00D83239">
        <w:rPr>
          <w:rFonts w:ascii="Arial" w:hAnsi="Arial" w:cs="Arial"/>
          <w:bCs/>
          <w:sz w:val="20"/>
          <w:szCs w:val="20"/>
        </w:rPr>
        <w:t>egister društev vpisan</w:t>
      </w:r>
      <w:r w:rsidR="00307048">
        <w:rPr>
          <w:rFonts w:ascii="Arial" w:hAnsi="Arial" w:cs="Arial"/>
          <w:bCs/>
          <w:sz w:val="20"/>
          <w:szCs w:val="20"/>
        </w:rPr>
        <w:t>a</w:t>
      </w:r>
      <w:r w:rsidRPr="00D83239">
        <w:rPr>
          <w:rFonts w:ascii="Arial" w:hAnsi="Arial" w:cs="Arial"/>
          <w:bCs/>
          <w:sz w:val="20"/>
          <w:szCs w:val="20"/>
        </w:rPr>
        <w:t xml:space="preserve"> </w:t>
      </w:r>
      <w:r w:rsidRPr="00D83239">
        <w:rPr>
          <w:rFonts w:ascii="Arial" w:hAnsi="Arial" w:cs="Arial"/>
          <w:b/>
          <w:bCs/>
          <w:sz w:val="20"/>
          <w:szCs w:val="20"/>
        </w:rPr>
        <w:t>23.004</w:t>
      </w:r>
      <w:r w:rsidRPr="00D83239">
        <w:rPr>
          <w:rFonts w:ascii="Arial" w:hAnsi="Arial" w:cs="Arial"/>
          <w:bCs/>
          <w:sz w:val="20"/>
          <w:szCs w:val="20"/>
        </w:rPr>
        <w:t xml:space="preserve"> društv</w:t>
      </w:r>
      <w:r w:rsidR="00307048">
        <w:rPr>
          <w:rFonts w:ascii="Arial" w:hAnsi="Arial" w:cs="Arial"/>
          <w:bCs/>
          <w:sz w:val="20"/>
          <w:szCs w:val="20"/>
        </w:rPr>
        <w:t>a</w:t>
      </w:r>
      <w:r w:rsidRPr="00D83239">
        <w:rPr>
          <w:rFonts w:ascii="Arial" w:hAnsi="Arial" w:cs="Arial"/>
          <w:bCs/>
          <w:sz w:val="20"/>
          <w:szCs w:val="20"/>
        </w:rPr>
        <w:t>.</w:t>
      </w:r>
    </w:p>
    <w:bookmarkEnd w:id="97"/>
    <w:p w14:paraId="4C9D5F40" w14:textId="77777777" w:rsidR="003C5D73" w:rsidRPr="00D83239" w:rsidRDefault="003C5D73" w:rsidP="00D83239">
      <w:pPr>
        <w:autoSpaceDE w:val="0"/>
        <w:autoSpaceDN w:val="0"/>
        <w:adjustRightInd w:val="0"/>
        <w:spacing w:after="0" w:line="276" w:lineRule="auto"/>
        <w:jc w:val="both"/>
        <w:rPr>
          <w:rFonts w:ascii="Arial" w:hAnsi="Arial" w:cs="Arial"/>
          <w:bCs/>
          <w:sz w:val="20"/>
          <w:szCs w:val="20"/>
        </w:rPr>
      </w:pPr>
    </w:p>
    <w:tbl>
      <w:tblPr>
        <w:tblW w:w="8359" w:type="dxa"/>
        <w:tblCellMar>
          <w:left w:w="70" w:type="dxa"/>
          <w:right w:w="70" w:type="dxa"/>
        </w:tblCellMar>
        <w:tblLook w:val="04A0" w:firstRow="1" w:lastRow="0" w:firstColumn="1" w:lastColumn="0" w:noHBand="0" w:noVBand="1"/>
      </w:tblPr>
      <w:tblGrid>
        <w:gridCol w:w="5240"/>
        <w:gridCol w:w="3119"/>
      </w:tblGrid>
      <w:tr w:rsidR="003C5D73" w:rsidRPr="00D83239" w14:paraId="6448CAF5" w14:textId="77777777" w:rsidTr="0089453F">
        <w:trPr>
          <w:trHeight w:val="255"/>
        </w:trPr>
        <w:tc>
          <w:tcPr>
            <w:tcW w:w="5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5C07F2" w14:textId="3CBED7FA" w:rsidR="003C5D73" w:rsidRPr="00D83239" w:rsidRDefault="003C5D73" w:rsidP="001545E9">
            <w:pPr>
              <w:spacing w:after="0" w:line="276" w:lineRule="auto"/>
              <w:rPr>
                <w:rFonts w:ascii="Arial" w:eastAsia="Times New Roman" w:hAnsi="Arial" w:cs="Arial"/>
                <w:b/>
                <w:color w:val="000000"/>
                <w:sz w:val="20"/>
                <w:szCs w:val="20"/>
                <w:lang w:eastAsia="sl-SI"/>
              </w:rPr>
            </w:pPr>
            <w:r w:rsidRPr="00D83239">
              <w:rPr>
                <w:rFonts w:ascii="Arial" w:eastAsia="Times New Roman" w:hAnsi="Arial" w:cs="Arial"/>
                <w:b/>
                <w:color w:val="000000"/>
                <w:sz w:val="20"/>
                <w:szCs w:val="20"/>
                <w:lang w:eastAsia="sl-SI"/>
              </w:rPr>
              <w:t>Skupina društ</w:t>
            </w:r>
            <w:r w:rsidR="00764EE5">
              <w:rPr>
                <w:rFonts w:ascii="Arial" w:eastAsia="Times New Roman" w:hAnsi="Arial" w:cs="Arial"/>
                <w:b/>
                <w:color w:val="000000"/>
                <w:sz w:val="20"/>
                <w:szCs w:val="20"/>
                <w:lang w:eastAsia="sl-SI"/>
              </w:rPr>
              <w:t>e</w:t>
            </w:r>
            <w:r w:rsidRPr="00D83239">
              <w:rPr>
                <w:rFonts w:ascii="Arial" w:eastAsia="Times New Roman" w:hAnsi="Arial" w:cs="Arial"/>
                <w:b/>
                <w:color w:val="000000"/>
                <w:sz w:val="20"/>
                <w:szCs w:val="20"/>
                <w:lang w:eastAsia="sl-SI"/>
              </w:rPr>
              <w:t>v</w:t>
            </w:r>
          </w:p>
        </w:tc>
        <w:tc>
          <w:tcPr>
            <w:tcW w:w="3119" w:type="dxa"/>
            <w:tcBorders>
              <w:top w:val="single" w:sz="4" w:space="0" w:color="000000"/>
              <w:left w:val="nil"/>
              <w:bottom w:val="single" w:sz="4" w:space="0" w:color="000000"/>
              <w:right w:val="single" w:sz="4" w:space="0" w:color="000000"/>
            </w:tcBorders>
            <w:shd w:val="clear" w:color="auto" w:fill="D9D9D9" w:themeFill="background1" w:themeFillShade="D9"/>
            <w:hideMark/>
          </w:tcPr>
          <w:p w14:paraId="01A9A5C3" w14:textId="77777777" w:rsidR="003C5D73" w:rsidRPr="00D83239" w:rsidRDefault="003C5D73" w:rsidP="00D83239">
            <w:pPr>
              <w:spacing w:after="0" w:line="276" w:lineRule="auto"/>
              <w:jc w:val="both"/>
              <w:rPr>
                <w:rFonts w:ascii="Arial" w:eastAsia="Times New Roman" w:hAnsi="Arial" w:cs="Arial"/>
                <w:b/>
                <w:color w:val="000000"/>
                <w:sz w:val="20"/>
                <w:szCs w:val="20"/>
                <w:lang w:eastAsia="sl-SI"/>
              </w:rPr>
            </w:pPr>
            <w:r w:rsidRPr="00D83239">
              <w:rPr>
                <w:rFonts w:ascii="Arial" w:eastAsia="Times New Roman" w:hAnsi="Arial" w:cs="Arial"/>
                <w:b/>
                <w:color w:val="000000"/>
                <w:sz w:val="20"/>
                <w:szCs w:val="20"/>
                <w:lang w:eastAsia="sl-SI"/>
              </w:rPr>
              <w:t>Število registriranih društev</w:t>
            </w:r>
          </w:p>
        </w:tc>
      </w:tr>
      <w:tr w:rsidR="003C5D73" w:rsidRPr="00D83239" w14:paraId="47F2E0B8" w14:textId="77777777" w:rsidTr="00A91968">
        <w:trPr>
          <w:trHeight w:val="255"/>
        </w:trPr>
        <w:tc>
          <w:tcPr>
            <w:tcW w:w="5240" w:type="dxa"/>
            <w:tcBorders>
              <w:top w:val="nil"/>
              <w:left w:val="single" w:sz="4" w:space="0" w:color="000000"/>
              <w:bottom w:val="single" w:sz="4" w:space="0" w:color="000000"/>
              <w:right w:val="single" w:sz="4" w:space="0" w:color="000000"/>
            </w:tcBorders>
            <w:shd w:val="clear" w:color="000000" w:fill="FFFFFF"/>
            <w:hideMark/>
          </w:tcPr>
          <w:p w14:paraId="579EFDC8" w14:textId="275FBE26" w:rsidR="003C5D73" w:rsidRPr="00D83239" w:rsidRDefault="003C5D73" w:rsidP="001545E9">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01</w:t>
            </w:r>
            <w:r w:rsidR="00631010">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Športna in rekreativna društva</w:t>
            </w:r>
          </w:p>
        </w:tc>
        <w:tc>
          <w:tcPr>
            <w:tcW w:w="3119" w:type="dxa"/>
            <w:tcBorders>
              <w:top w:val="nil"/>
              <w:left w:val="nil"/>
              <w:bottom w:val="single" w:sz="4" w:space="0" w:color="000000"/>
              <w:right w:val="single" w:sz="4" w:space="0" w:color="000000"/>
            </w:tcBorders>
            <w:shd w:val="clear" w:color="000000" w:fill="FFFFFF"/>
            <w:hideMark/>
          </w:tcPr>
          <w:p w14:paraId="097AD2BA" w14:textId="4B45AC92" w:rsidR="003C5D73" w:rsidRPr="00D83239" w:rsidRDefault="003C5D73" w:rsidP="0089453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8</w:t>
            </w:r>
            <w:r w:rsidR="0089453F">
              <w:rPr>
                <w:rFonts w:ascii="Arial" w:eastAsia="Times New Roman" w:hAnsi="Arial" w:cs="Arial"/>
                <w:color w:val="000000"/>
                <w:sz w:val="20"/>
                <w:szCs w:val="20"/>
                <w:lang w:eastAsia="sl-SI"/>
              </w:rPr>
              <w:t>.</w:t>
            </w:r>
            <w:r w:rsidRPr="00D83239">
              <w:rPr>
                <w:rFonts w:ascii="Arial" w:eastAsia="Times New Roman" w:hAnsi="Arial" w:cs="Arial"/>
                <w:color w:val="000000"/>
                <w:sz w:val="20"/>
                <w:szCs w:val="20"/>
                <w:lang w:eastAsia="sl-SI"/>
              </w:rPr>
              <w:t>127</w:t>
            </w:r>
          </w:p>
        </w:tc>
      </w:tr>
      <w:tr w:rsidR="003C5D73" w:rsidRPr="00D83239" w14:paraId="5D1C46C5" w14:textId="77777777" w:rsidTr="00A91968">
        <w:trPr>
          <w:trHeight w:val="255"/>
        </w:trPr>
        <w:tc>
          <w:tcPr>
            <w:tcW w:w="5240" w:type="dxa"/>
            <w:tcBorders>
              <w:top w:val="nil"/>
              <w:left w:val="single" w:sz="4" w:space="0" w:color="000000"/>
              <w:bottom w:val="single" w:sz="4" w:space="0" w:color="000000"/>
              <w:right w:val="single" w:sz="4" w:space="0" w:color="000000"/>
            </w:tcBorders>
            <w:shd w:val="clear" w:color="000000" w:fill="FFFFFF"/>
            <w:hideMark/>
          </w:tcPr>
          <w:p w14:paraId="4BA3C0B2" w14:textId="1F0E8A9A" w:rsidR="003C5D73" w:rsidRPr="00D83239" w:rsidRDefault="003C5D73" w:rsidP="001545E9">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02</w:t>
            </w:r>
            <w:r w:rsidR="00631010">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Društva za pomoč ljudem</w:t>
            </w:r>
          </w:p>
        </w:tc>
        <w:tc>
          <w:tcPr>
            <w:tcW w:w="3119" w:type="dxa"/>
            <w:tcBorders>
              <w:top w:val="nil"/>
              <w:left w:val="nil"/>
              <w:bottom w:val="single" w:sz="4" w:space="0" w:color="000000"/>
              <w:right w:val="single" w:sz="4" w:space="0" w:color="000000"/>
            </w:tcBorders>
            <w:shd w:val="clear" w:color="000000" w:fill="FFFFFF"/>
            <w:hideMark/>
          </w:tcPr>
          <w:p w14:paraId="64243BF0" w14:textId="5DB25918" w:rsidR="003C5D73" w:rsidRPr="00D83239" w:rsidRDefault="003C5D73" w:rsidP="0089453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w:t>
            </w:r>
            <w:r w:rsidR="0089453F">
              <w:rPr>
                <w:rFonts w:ascii="Arial" w:eastAsia="Times New Roman" w:hAnsi="Arial" w:cs="Arial"/>
                <w:color w:val="000000"/>
                <w:sz w:val="20"/>
                <w:szCs w:val="20"/>
                <w:lang w:eastAsia="sl-SI"/>
              </w:rPr>
              <w:t>.</w:t>
            </w:r>
            <w:r w:rsidRPr="00D83239">
              <w:rPr>
                <w:rFonts w:ascii="Arial" w:eastAsia="Times New Roman" w:hAnsi="Arial" w:cs="Arial"/>
                <w:color w:val="000000"/>
                <w:sz w:val="20"/>
                <w:szCs w:val="20"/>
                <w:lang w:eastAsia="sl-SI"/>
              </w:rPr>
              <w:t>971</w:t>
            </w:r>
          </w:p>
        </w:tc>
      </w:tr>
      <w:tr w:rsidR="003C5D73" w:rsidRPr="00D83239" w14:paraId="7C5925FC" w14:textId="77777777" w:rsidTr="00A91968">
        <w:trPr>
          <w:trHeight w:val="255"/>
        </w:trPr>
        <w:tc>
          <w:tcPr>
            <w:tcW w:w="5240" w:type="dxa"/>
            <w:tcBorders>
              <w:top w:val="nil"/>
              <w:left w:val="single" w:sz="4" w:space="0" w:color="000000"/>
              <w:bottom w:val="single" w:sz="4" w:space="0" w:color="000000"/>
              <w:right w:val="single" w:sz="4" w:space="0" w:color="000000"/>
            </w:tcBorders>
            <w:shd w:val="clear" w:color="000000" w:fill="FFFFFF"/>
            <w:hideMark/>
          </w:tcPr>
          <w:p w14:paraId="20D3D294" w14:textId="0BE804C6" w:rsidR="003C5D73" w:rsidRPr="00D83239" w:rsidRDefault="003C5D73" w:rsidP="001545E9">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03</w:t>
            </w:r>
            <w:r w:rsidR="00631010">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Kulturna in umetniška društva</w:t>
            </w:r>
          </w:p>
        </w:tc>
        <w:tc>
          <w:tcPr>
            <w:tcW w:w="3119" w:type="dxa"/>
            <w:tcBorders>
              <w:top w:val="nil"/>
              <w:left w:val="nil"/>
              <w:bottom w:val="single" w:sz="4" w:space="0" w:color="000000"/>
              <w:right w:val="single" w:sz="4" w:space="0" w:color="000000"/>
            </w:tcBorders>
            <w:shd w:val="clear" w:color="000000" w:fill="FFFFFF"/>
            <w:hideMark/>
          </w:tcPr>
          <w:p w14:paraId="79423787" w14:textId="4A6D4F21" w:rsidR="003C5D73" w:rsidRPr="00D83239" w:rsidRDefault="003C5D73" w:rsidP="0089453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3</w:t>
            </w:r>
            <w:r w:rsidR="0089453F">
              <w:rPr>
                <w:rFonts w:ascii="Arial" w:eastAsia="Times New Roman" w:hAnsi="Arial" w:cs="Arial"/>
                <w:color w:val="000000"/>
                <w:sz w:val="20"/>
                <w:szCs w:val="20"/>
                <w:lang w:eastAsia="sl-SI"/>
              </w:rPr>
              <w:t>.</w:t>
            </w:r>
            <w:r w:rsidRPr="00D83239">
              <w:rPr>
                <w:rFonts w:ascii="Arial" w:eastAsia="Times New Roman" w:hAnsi="Arial" w:cs="Arial"/>
                <w:color w:val="000000"/>
                <w:sz w:val="20"/>
                <w:szCs w:val="20"/>
                <w:lang w:eastAsia="sl-SI"/>
              </w:rPr>
              <w:t>944</w:t>
            </w:r>
          </w:p>
        </w:tc>
      </w:tr>
      <w:tr w:rsidR="003C5D73" w:rsidRPr="00D83239" w14:paraId="31193A7C" w14:textId="77777777" w:rsidTr="00A91968">
        <w:trPr>
          <w:trHeight w:val="510"/>
        </w:trPr>
        <w:tc>
          <w:tcPr>
            <w:tcW w:w="5240" w:type="dxa"/>
            <w:tcBorders>
              <w:top w:val="nil"/>
              <w:left w:val="single" w:sz="4" w:space="0" w:color="000000"/>
              <w:bottom w:val="single" w:sz="4" w:space="0" w:color="000000"/>
              <w:right w:val="single" w:sz="4" w:space="0" w:color="000000"/>
            </w:tcBorders>
            <w:shd w:val="clear" w:color="000000" w:fill="FFFFFF"/>
            <w:hideMark/>
          </w:tcPr>
          <w:p w14:paraId="03131CC7" w14:textId="643888C3" w:rsidR="003C5D73" w:rsidRPr="00D83239" w:rsidRDefault="003C5D73" w:rsidP="001545E9">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04</w:t>
            </w:r>
            <w:r w:rsidR="00631010">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Znanstvenoraziskovalna, izobraževalna, strokovna in poklicna društva</w:t>
            </w:r>
          </w:p>
        </w:tc>
        <w:tc>
          <w:tcPr>
            <w:tcW w:w="3119" w:type="dxa"/>
            <w:tcBorders>
              <w:top w:val="nil"/>
              <w:left w:val="nil"/>
              <w:bottom w:val="single" w:sz="4" w:space="0" w:color="000000"/>
              <w:right w:val="single" w:sz="4" w:space="0" w:color="000000"/>
            </w:tcBorders>
            <w:shd w:val="clear" w:color="000000" w:fill="FFFFFF"/>
            <w:hideMark/>
          </w:tcPr>
          <w:p w14:paraId="0F43A4E2" w14:textId="410DF855" w:rsidR="003C5D73" w:rsidRPr="00D83239" w:rsidRDefault="003C5D73" w:rsidP="0089453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w:t>
            </w:r>
            <w:r w:rsidR="0089453F">
              <w:rPr>
                <w:rFonts w:ascii="Arial" w:eastAsia="Times New Roman" w:hAnsi="Arial" w:cs="Arial"/>
                <w:color w:val="000000"/>
                <w:sz w:val="20"/>
                <w:szCs w:val="20"/>
                <w:lang w:eastAsia="sl-SI"/>
              </w:rPr>
              <w:t>.</w:t>
            </w:r>
            <w:r w:rsidRPr="00D83239">
              <w:rPr>
                <w:rFonts w:ascii="Arial" w:eastAsia="Times New Roman" w:hAnsi="Arial" w:cs="Arial"/>
                <w:color w:val="000000"/>
                <w:sz w:val="20"/>
                <w:szCs w:val="20"/>
                <w:lang w:eastAsia="sl-SI"/>
              </w:rPr>
              <w:t>098</w:t>
            </w:r>
          </w:p>
        </w:tc>
      </w:tr>
      <w:tr w:rsidR="003C5D73" w:rsidRPr="00D83239" w14:paraId="309EFC7F" w14:textId="77777777" w:rsidTr="00A91968">
        <w:trPr>
          <w:trHeight w:val="255"/>
        </w:trPr>
        <w:tc>
          <w:tcPr>
            <w:tcW w:w="5240" w:type="dxa"/>
            <w:tcBorders>
              <w:top w:val="nil"/>
              <w:left w:val="single" w:sz="4" w:space="0" w:color="000000"/>
              <w:bottom w:val="single" w:sz="4" w:space="0" w:color="000000"/>
              <w:right w:val="single" w:sz="4" w:space="0" w:color="000000"/>
            </w:tcBorders>
            <w:shd w:val="clear" w:color="000000" w:fill="FFFFFF"/>
            <w:hideMark/>
          </w:tcPr>
          <w:p w14:paraId="2FE5835C" w14:textId="67E384B8" w:rsidR="003C5D73" w:rsidRPr="00D83239" w:rsidRDefault="003C5D73" w:rsidP="001545E9">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05</w:t>
            </w:r>
            <w:r w:rsidR="00631010">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Društva za varstvo okolja, gojitev in vzrejo živali in rastlin</w:t>
            </w:r>
          </w:p>
        </w:tc>
        <w:tc>
          <w:tcPr>
            <w:tcW w:w="3119" w:type="dxa"/>
            <w:tcBorders>
              <w:top w:val="nil"/>
              <w:left w:val="nil"/>
              <w:bottom w:val="single" w:sz="4" w:space="0" w:color="000000"/>
              <w:right w:val="single" w:sz="4" w:space="0" w:color="000000"/>
            </w:tcBorders>
            <w:shd w:val="clear" w:color="000000" w:fill="FFFFFF"/>
            <w:hideMark/>
          </w:tcPr>
          <w:p w14:paraId="12ED31DF" w14:textId="0D35632F" w:rsidR="003C5D73" w:rsidRPr="00D83239" w:rsidRDefault="003C5D73" w:rsidP="0089453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w:t>
            </w:r>
            <w:r w:rsidR="0089453F">
              <w:rPr>
                <w:rFonts w:ascii="Arial" w:eastAsia="Times New Roman" w:hAnsi="Arial" w:cs="Arial"/>
                <w:color w:val="000000"/>
                <w:sz w:val="20"/>
                <w:szCs w:val="20"/>
                <w:lang w:eastAsia="sl-SI"/>
              </w:rPr>
              <w:t>.</w:t>
            </w:r>
            <w:r w:rsidRPr="00D83239">
              <w:rPr>
                <w:rFonts w:ascii="Arial" w:eastAsia="Times New Roman" w:hAnsi="Arial" w:cs="Arial"/>
                <w:color w:val="000000"/>
                <w:sz w:val="20"/>
                <w:szCs w:val="20"/>
                <w:lang w:eastAsia="sl-SI"/>
              </w:rPr>
              <w:t>640</w:t>
            </w:r>
          </w:p>
        </w:tc>
      </w:tr>
      <w:tr w:rsidR="003C5D73" w:rsidRPr="00D83239" w14:paraId="51F39B12" w14:textId="77777777" w:rsidTr="00A91968">
        <w:trPr>
          <w:trHeight w:val="255"/>
        </w:trPr>
        <w:tc>
          <w:tcPr>
            <w:tcW w:w="5240" w:type="dxa"/>
            <w:tcBorders>
              <w:top w:val="nil"/>
              <w:left w:val="single" w:sz="4" w:space="0" w:color="000000"/>
              <w:bottom w:val="single" w:sz="4" w:space="0" w:color="000000"/>
              <w:right w:val="single" w:sz="4" w:space="0" w:color="000000"/>
            </w:tcBorders>
            <w:shd w:val="clear" w:color="000000" w:fill="FFFFFF"/>
            <w:hideMark/>
          </w:tcPr>
          <w:p w14:paraId="5E496EB9" w14:textId="1E67658E" w:rsidR="003C5D73" w:rsidRPr="00D83239" w:rsidRDefault="003C5D73" w:rsidP="001545E9">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06</w:t>
            </w:r>
            <w:r w:rsidR="00631010">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Stanovska društva</w:t>
            </w:r>
          </w:p>
        </w:tc>
        <w:tc>
          <w:tcPr>
            <w:tcW w:w="3119" w:type="dxa"/>
            <w:tcBorders>
              <w:top w:val="nil"/>
              <w:left w:val="nil"/>
              <w:bottom w:val="single" w:sz="4" w:space="0" w:color="000000"/>
              <w:right w:val="single" w:sz="4" w:space="0" w:color="000000"/>
            </w:tcBorders>
            <w:shd w:val="clear" w:color="000000" w:fill="FFFFFF"/>
            <w:hideMark/>
          </w:tcPr>
          <w:p w14:paraId="4229A033" w14:textId="6ED1114A" w:rsidR="003C5D73" w:rsidRPr="00D83239" w:rsidRDefault="003C5D73" w:rsidP="0089453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w:t>
            </w:r>
            <w:r w:rsidR="0089453F">
              <w:rPr>
                <w:rFonts w:ascii="Arial" w:eastAsia="Times New Roman" w:hAnsi="Arial" w:cs="Arial"/>
                <w:color w:val="000000"/>
                <w:sz w:val="20"/>
                <w:szCs w:val="20"/>
                <w:lang w:eastAsia="sl-SI"/>
              </w:rPr>
              <w:t>.</w:t>
            </w:r>
            <w:r w:rsidRPr="00D83239">
              <w:rPr>
                <w:rFonts w:ascii="Arial" w:eastAsia="Times New Roman" w:hAnsi="Arial" w:cs="Arial"/>
                <w:color w:val="000000"/>
                <w:sz w:val="20"/>
                <w:szCs w:val="20"/>
                <w:lang w:eastAsia="sl-SI"/>
              </w:rPr>
              <w:t>315</w:t>
            </w:r>
          </w:p>
        </w:tc>
      </w:tr>
      <w:tr w:rsidR="003C5D73" w:rsidRPr="00D83239" w14:paraId="2204FA84" w14:textId="77777777" w:rsidTr="00A91968">
        <w:trPr>
          <w:trHeight w:val="255"/>
        </w:trPr>
        <w:tc>
          <w:tcPr>
            <w:tcW w:w="5240" w:type="dxa"/>
            <w:tcBorders>
              <w:top w:val="nil"/>
              <w:left w:val="single" w:sz="4" w:space="0" w:color="000000"/>
              <w:bottom w:val="single" w:sz="4" w:space="0" w:color="000000"/>
              <w:right w:val="single" w:sz="4" w:space="0" w:color="000000"/>
            </w:tcBorders>
            <w:shd w:val="clear" w:color="000000" w:fill="FFFFFF"/>
            <w:hideMark/>
          </w:tcPr>
          <w:p w14:paraId="0990D384" w14:textId="7FAFC2D6" w:rsidR="003C5D73" w:rsidRPr="00D83239" w:rsidRDefault="003C5D73" w:rsidP="001545E9">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07</w:t>
            </w:r>
            <w:r w:rsidR="00631010">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Društva za razvoj kraja</w:t>
            </w:r>
          </w:p>
        </w:tc>
        <w:tc>
          <w:tcPr>
            <w:tcW w:w="3119" w:type="dxa"/>
            <w:tcBorders>
              <w:top w:val="nil"/>
              <w:left w:val="nil"/>
              <w:bottom w:val="single" w:sz="4" w:space="0" w:color="000000"/>
              <w:right w:val="single" w:sz="4" w:space="0" w:color="000000"/>
            </w:tcBorders>
            <w:shd w:val="clear" w:color="000000" w:fill="FFFFFF"/>
            <w:hideMark/>
          </w:tcPr>
          <w:p w14:paraId="140F177E" w14:textId="6B58646A" w:rsidR="003C5D73" w:rsidRPr="00D83239" w:rsidRDefault="003C5D73" w:rsidP="0089453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w:t>
            </w:r>
            <w:r w:rsidR="0089453F">
              <w:rPr>
                <w:rFonts w:ascii="Arial" w:eastAsia="Times New Roman" w:hAnsi="Arial" w:cs="Arial"/>
                <w:color w:val="000000"/>
                <w:sz w:val="20"/>
                <w:szCs w:val="20"/>
                <w:lang w:eastAsia="sl-SI"/>
              </w:rPr>
              <w:t>.</w:t>
            </w:r>
            <w:r w:rsidRPr="00D83239">
              <w:rPr>
                <w:rFonts w:ascii="Arial" w:eastAsia="Times New Roman" w:hAnsi="Arial" w:cs="Arial"/>
                <w:color w:val="000000"/>
                <w:sz w:val="20"/>
                <w:szCs w:val="20"/>
                <w:lang w:eastAsia="sl-SI"/>
              </w:rPr>
              <w:t>461</w:t>
            </w:r>
          </w:p>
        </w:tc>
      </w:tr>
      <w:tr w:rsidR="003C5D73" w:rsidRPr="00D83239" w14:paraId="248ED8A2" w14:textId="77777777" w:rsidTr="00A91968">
        <w:trPr>
          <w:trHeight w:val="255"/>
        </w:trPr>
        <w:tc>
          <w:tcPr>
            <w:tcW w:w="5240" w:type="dxa"/>
            <w:tcBorders>
              <w:top w:val="nil"/>
              <w:left w:val="single" w:sz="4" w:space="0" w:color="000000"/>
              <w:bottom w:val="single" w:sz="4" w:space="0" w:color="000000"/>
              <w:right w:val="single" w:sz="4" w:space="0" w:color="000000"/>
            </w:tcBorders>
            <w:shd w:val="clear" w:color="000000" w:fill="FFFFFF"/>
            <w:hideMark/>
          </w:tcPr>
          <w:p w14:paraId="340B6735" w14:textId="14D28C2C" w:rsidR="003C5D73" w:rsidRPr="00D83239" w:rsidRDefault="003C5D73" w:rsidP="001545E9">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08</w:t>
            </w:r>
            <w:r w:rsidR="00631010">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Nacionalna in politična društva</w:t>
            </w:r>
          </w:p>
        </w:tc>
        <w:tc>
          <w:tcPr>
            <w:tcW w:w="3119" w:type="dxa"/>
            <w:tcBorders>
              <w:top w:val="nil"/>
              <w:left w:val="nil"/>
              <w:bottom w:val="single" w:sz="4" w:space="0" w:color="000000"/>
              <w:right w:val="single" w:sz="4" w:space="0" w:color="000000"/>
            </w:tcBorders>
            <w:shd w:val="clear" w:color="000000" w:fill="FFFFFF"/>
            <w:hideMark/>
          </w:tcPr>
          <w:p w14:paraId="34831A25" w14:textId="77777777" w:rsidR="003C5D73" w:rsidRPr="00D83239" w:rsidRDefault="003C5D73" w:rsidP="0089453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283</w:t>
            </w:r>
          </w:p>
        </w:tc>
      </w:tr>
      <w:tr w:rsidR="003C5D73" w:rsidRPr="00D83239" w14:paraId="30DD53A8" w14:textId="77777777" w:rsidTr="00A91968">
        <w:trPr>
          <w:trHeight w:val="255"/>
        </w:trPr>
        <w:tc>
          <w:tcPr>
            <w:tcW w:w="5240" w:type="dxa"/>
            <w:tcBorders>
              <w:top w:val="nil"/>
              <w:left w:val="single" w:sz="4" w:space="0" w:color="000000"/>
              <w:bottom w:val="single" w:sz="4" w:space="0" w:color="000000"/>
              <w:right w:val="single" w:sz="4" w:space="0" w:color="000000"/>
            </w:tcBorders>
            <w:shd w:val="clear" w:color="000000" w:fill="FFFFFF"/>
            <w:hideMark/>
          </w:tcPr>
          <w:p w14:paraId="17197481" w14:textId="6C583458" w:rsidR="003C5D73" w:rsidRPr="00D83239" w:rsidRDefault="003C5D73" w:rsidP="001545E9">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09</w:t>
            </w:r>
            <w:r w:rsidR="00631010">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Društva za duhovno življenje</w:t>
            </w:r>
          </w:p>
        </w:tc>
        <w:tc>
          <w:tcPr>
            <w:tcW w:w="3119" w:type="dxa"/>
            <w:tcBorders>
              <w:top w:val="nil"/>
              <w:left w:val="nil"/>
              <w:bottom w:val="single" w:sz="4" w:space="0" w:color="000000"/>
              <w:right w:val="single" w:sz="4" w:space="0" w:color="000000"/>
            </w:tcBorders>
            <w:shd w:val="clear" w:color="000000" w:fill="FFFFFF"/>
            <w:hideMark/>
          </w:tcPr>
          <w:p w14:paraId="46972E70" w14:textId="77777777" w:rsidR="003C5D73" w:rsidRPr="00D83239" w:rsidRDefault="003C5D73" w:rsidP="0089453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590</w:t>
            </w:r>
          </w:p>
        </w:tc>
      </w:tr>
      <w:tr w:rsidR="003C5D73" w:rsidRPr="00D83239" w14:paraId="2C8E110F" w14:textId="77777777" w:rsidTr="00A91968">
        <w:trPr>
          <w:trHeight w:val="255"/>
        </w:trPr>
        <w:tc>
          <w:tcPr>
            <w:tcW w:w="5240" w:type="dxa"/>
            <w:tcBorders>
              <w:top w:val="nil"/>
              <w:left w:val="single" w:sz="4" w:space="0" w:color="000000"/>
              <w:bottom w:val="single" w:sz="4" w:space="0" w:color="000000"/>
              <w:right w:val="single" w:sz="4" w:space="0" w:color="000000"/>
            </w:tcBorders>
            <w:shd w:val="clear" w:color="000000" w:fill="FFFFFF"/>
            <w:hideMark/>
          </w:tcPr>
          <w:p w14:paraId="35DF2D1F" w14:textId="0EDD154C" w:rsidR="003C5D73" w:rsidRPr="00D83239" w:rsidRDefault="003C5D73" w:rsidP="001545E9">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99</w:t>
            </w:r>
            <w:r w:rsidR="00631010">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Ostala društva</w:t>
            </w:r>
          </w:p>
        </w:tc>
        <w:tc>
          <w:tcPr>
            <w:tcW w:w="3119" w:type="dxa"/>
            <w:tcBorders>
              <w:top w:val="nil"/>
              <w:left w:val="nil"/>
              <w:bottom w:val="single" w:sz="4" w:space="0" w:color="000000"/>
              <w:right w:val="single" w:sz="4" w:space="0" w:color="000000"/>
            </w:tcBorders>
            <w:shd w:val="clear" w:color="000000" w:fill="FFFFFF"/>
            <w:hideMark/>
          </w:tcPr>
          <w:p w14:paraId="4DD2D6FA" w14:textId="77777777" w:rsidR="003C5D73" w:rsidRPr="00D83239" w:rsidRDefault="003C5D73" w:rsidP="0089453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575</w:t>
            </w:r>
          </w:p>
        </w:tc>
      </w:tr>
      <w:tr w:rsidR="003C5D73" w:rsidRPr="00D83239" w14:paraId="1B3C9364" w14:textId="77777777" w:rsidTr="0089453F">
        <w:trPr>
          <w:trHeight w:val="255"/>
        </w:trPr>
        <w:tc>
          <w:tcPr>
            <w:tcW w:w="5240"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613136ED" w14:textId="44EAEA23" w:rsidR="003C5D73" w:rsidRPr="0089453F" w:rsidRDefault="003C5D73" w:rsidP="00D83239">
            <w:pPr>
              <w:spacing w:after="0" w:line="276" w:lineRule="auto"/>
              <w:jc w:val="both"/>
              <w:rPr>
                <w:rFonts w:ascii="Arial" w:eastAsia="Times New Roman" w:hAnsi="Arial" w:cs="Arial"/>
                <w:b/>
                <w:color w:val="000000"/>
                <w:sz w:val="20"/>
                <w:szCs w:val="20"/>
                <w:lang w:eastAsia="sl-SI"/>
              </w:rPr>
            </w:pPr>
            <w:r w:rsidRPr="0089453F">
              <w:rPr>
                <w:rFonts w:ascii="Arial" w:eastAsia="Times New Roman" w:hAnsi="Arial" w:cs="Arial"/>
                <w:b/>
                <w:color w:val="000000"/>
                <w:sz w:val="20"/>
                <w:szCs w:val="20"/>
                <w:lang w:eastAsia="sl-SI"/>
              </w:rPr>
              <w:t> </w:t>
            </w:r>
            <w:r w:rsidR="0089453F" w:rsidRPr="0089453F">
              <w:rPr>
                <w:rFonts w:ascii="Arial" w:eastAsia="Times New Roman" w:hAnsi="Arial" w:cs="Arial"/>
                <w:b/>
                <w:color w:val="000000"/>
                <w:sz w:val="20"/>
                <w:szCs w:val="20"/>
                <w:lang w:eastAsia="sl-SI"/>
              </w:rPr>
              <w:t>SKUPAJ:</w:t>
            </w:r>
          </w:p>
        </w:tc>
        <w:tc>
          <w:tcPr>
            <w:tcW w:w="3119" w:type="dxa"/>
            <w:tcBorders>
              <w:top w:val="nil"/>
              <w:left w:val="nil"/>
              <w:bottom w:val="single" w:sz="4" w:space="0" w:color="000000"/>
              <w:right w:val="single" w:sz="4" w:space="0" w:color="000000"/>
            </w:tcBorders>
            <w:shd w:val="clear" w:color="auto" w:fill="D9D9D9" w:themeFill="background1" w:themeFillShade="D9"/>
            <w:hideMark/>
          </w:tcPr>
          <w:p w14:paraId="38151111" w14:textId="686425F4" w:rsidR="003C5D73" w:rsidRPr="0089453F" w:rsidRDefault="003C5D73" w:rsidP="0089453F">
            <w:pPr>
              <w:spacing w:after="0" w:line="276" w:lineRule="auto"/>
              <w:jc w:val="right"/>
              <w:rPr>
                <w:rFonts w:ascii="Arial" w:eastAsia="Times New Roman" w:hAnsi="Arial" w:cs="Arial"/>
                <w:b/>
                <w:color w:val="000000"/>
                <w:sz w:val="20"/>
                <w:szCs w:val="20"/>
                <w:lang w:eastAsia="sl-SI"/>
              </w:rPr>
            </w:pPr>
            <w:r w:rsidRPr="0089453F">
              <w:rPr>
                <w:rFonts w:ascii="Arial" w:eastAsia="Times New Roman" w:hAnsi="Arial" w:cs="Arial"/>
                <w:b/>
                <w:color w:val="000000"/>
                <w:sz w:val="20"/>
                <w:szCs w:val="20"/>
                <w:lang w:eastAsia="sl-SI"/>
              </w:rPr>
              <w:t>23</w:t>
            </w:r>
            <w:r w:rsidR="0089453F" w:rsidRPr="0089453F">
              <w:rPr>
                <w:rFonts w:ascii="Arial" w:eastAsia="Times New Roman" w:hAnsi="Arial" w:cs="Arial"/>
                <w:b/>
                <w:color w:val="000000"/>
                <w:sz w:val="20"/>
                <w:szCs w:val="20"/>
                <w:lang w:eastAsia="sl-SI"/>
              </w:rPr>
              <w:t>.</w:t>
            </w:r>
            <w:r w:rsidRPr="0089453F">
              <w:rPr>
                <w:rFonts w:ascii="Arial" w:eastAsia="Times New Roman" w:hAnsi="Arial" w:cs="Arial"/>
                <w:b/>
                <w:color w:val="000000"/>
                <w:sz w:val="20"/>
                <w:szCs w:val="20"/>
                <w:lang w:eastAsia="sl-SI"/>
              </w:rPr>
              <w:t>004</w:t>
            </w:r>
          </w:p>
        </w:tc>
      </w:tr>
    </w:tbl>
    <w:p w14:paraId="4A4F1C86" w14:textId="77777777" w:rsidR="0089453F" w:rsidRDefault="0089453F" w:rsidP="00D83239">
      <w:pPr>
        <w:autoSpaceDE w:val="0"/>
        <w:autoSpaceDN w:val="0"/>
        <w:adjustRightInd w:val="0"/>
        <w:spacing w:after="0" w:line="276" w:lineRule="auto"/>
        <w:jc w:val="both"/>
        <w:rPr>
          <w:rFonts w:ascii="Arial" w:hAnsi="Arial" w:cs="Arial"/>
          <w:b/>
          <w:sz w:val="20"/>
          <w:szCs w:val="20"/>
          <w:lang w:eastAsia="sl-SI"/>
        </w:rPr>
      </w:pPr>
    </w:p>
    <w:p w14:paraId="5C4A0077" w14:textId="2EBE0192"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b/>
          <w:sz w:val="20"/>
          <w:szCs w:val="20"/>
          <w:lang w:eastAsia="sl-SI"/>
        </w:rPr>
        <w:t>Preglednica</w:t>
      </w:r>
      <w:r w:rsidRPr="001545E9">
        <w:rPr>
          <w:rFonts w:ascii="Arial" w:hAnsi="Arial" w:cs="Arial"/>
          <w:sz w:val="20"/>
          <w:szCs w:val="20"/>
          <w:lang w:eastAsia="sl-SI"/>
        </w:rPr>
        <w:t>:</w:t>
      </w:r>
      <w:r w:rsidRPr="00D83239">
        <w:rPr>
          <w:rFonts w:ascii="Arial" w:hAnsi="Arial" w:cs="Arial"/>
          <w:sz w:val="20"/>
          <w:szCs w:val="20"/>
          <w:lang w:eastAsia="sl-SI"/>
        </w:rPr>
        <w:t xml:space="preserve"> Število registriranih društev</w:t>
      </w:r>
    </w:p>
    <w:p w14:paraId="1E00CBD8" w14:textId="77777777" w:rsidR="003C5D73" w:rsidRPr="00D83239" w:rsidRDefault="003C5D73" w:rsidP="00D83239">
      <w:pPr>
        <w:tabs>
          <w:tab w:val="left" w:pos="3402"/>
        </w:tabs>
        <w:spacing w:after="0" w:line="276" w:lineRule="auto"/>
        <w:jc w:val="both"/>
        <w:rPr>
          <w:rFonts w:ascii="Arial" w:hAnsi="Arial" w:cs="Arial"/>
          <w:sz w:val="20"/>
          <w:szCs w:val="20"/>
        </w:rPr>
      </w:pPr>
    </w:p>
    <w:p w14:paraId="08EE26B5" w14:textId="432B7AD8" w:rsidR="003C5D73" w:rsidRDefault="003C5D73" w:rsidP="00E0081A">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 xml:space="preserve">V letu 2025 je bilo na področju zbiranja in združevanja opravljenih </w:t>
      </w:r>
      <w:r w:rsidRPr="00D83239">
        <w:rPr>
          <w:rFonts w:ascii="Arial" w:hAnsi="Arial" w:cs="Arial"/>
          <w:b/>
          <w:sz w:val="20"/>
          <w:szCs w:val="20"/>
        </w:rPr>
        <w:t>pet strokovnih nadzorov</w:t>
      </w:r>
      <w:r w:rsidRPr="00D83239">
        <w:rPr>
          <w:rFonts w:ascii="Arial" w:hAnsi="Arial" w:cs="Arial"/>
          <w:sz w:val="20"/>
          <w:szCs w:val="20"/>
        </w:rPr>
        <w:t xml:space="preserve"> (na </w:t>
      </w:r>
      <w:r w:rsidR="00631010">
        <w:rPr>
          <w:rFonts w:ascii="Arial" w:hAnsi="Arial" w:cs="Arial"/>
          <w:sz w:val="20"/>
          <w:szCs w:val="20"/>
        </w:rPr>
        <w:t>u</w:t>
      </w:r>
      <w:r w:rsidRPr="00D83239">
        <w:rPr>
          <w:rFonts w:ascii="Arial" w:hAnsi="Arial" w:cs="Arial"/>
          <w:sz w:val="20"/>
          <w:szCs w:val="20"/>
        </w:rPr>
        <w:t>pravnih enotah Ruše, Škofja Loka, Žalec, Domžale in Šmarje pri Jelšah).</w:t>
      </w:r>
    </w:p>
    <w:p w14:paraId="76567A98" w14:textId="77777777" w:rsidR="00E0081A" w:rsidRPr="00E0081A" w:rsidRDefault="00E0081A" w:rsidP="00E0081A">
      <w:pPr>
        <w:autoSpaceDE w:val="0"/>
        <w:autoSpaceDN w:val="0"/>
        <w:adjustRightInd w:val="0"/>
        <w:spacing w:after="0" w:line="276" w:lineRule="auto"/>
        <w:jc w:val="both"/>
        <w:rPr>
          <w:rFonts w:ascii="Arial" w:hAnsi="Arial" w:cs="Arial"/>
          <w:sz w:val="20"/>
          <w:szCs w:val="20"/>
        </w:rPr>
      </w:pPr>
    </w:p>
    <w:p w14:paraId="7A2802B8" w14:textId="0EDF4E16" w:rsidR="00E2146B" w:rsidRDefault="00E2146B" w:rsidP="00D83239">
      <w:pPr>
        <w:pStyle w:val="Naslov3"/>
        <w:spacing w:line="276" w:lineRule="auto"/>
        <w:jc w:val="both"/>
        <w:rPr>
          <w:rFonts w:cs="Arial"/>
          <w:sz w:val="20"/>
          <w:szCs w:val="20"/>
          <w:lang w:eastAsia="sl-SI"/>
        </w:rPr>
      </w:pPr>
      <w:bookmarkStart w:id="98" w:name="_Toc225499833"/>
      <w:r w:rsidRPr="00D83239">
        <w:rPr>
          <w:rFonts w:cs="Arial"/>
          <w:sz w:val="20"/>
          <w:szCs w:val="20"/>
          <w:lang w:eastAsia="sl-SI"/>
        </w:rPr>
        <w:t>Informacijski sistem upravnih notranjih zadev</w:t>
      </w:r>
      <w:r w:rsidR="00CF78BC" w:rsidRPr="00D83239">
        <w:rPr>
          <w:rFonts w:cs="Arial"/>
          <w:sz w:val="20"/>
          <w:szCs w:val="20"/>
          <w:lang w:eastAsia="sl-SI"/>
        </w:rPr>
        <w:t xml:space="preserve"> (ISUNZ)</w:t>
      </w:r>
      <w:bookmarkEnd w:id="98"/>
    </w:p>
    <w:p w14:paraId="3CF91CBF" w14:textId="77777777" w:rsidR="00E0081A" w:rsidRPr="00E0081A" w:rsidRDefault="00E0081A" w:rsidP="00E0081A">
      <w:pPr>
        <w:spacing w:after="0"/>
        <w:rPr>
          <w:lang w:eastAsia="sl-SI"/>
        </w:rPr>
      </w:pPr>
    </w:p>
    <w:p w14:paraId="47DBB44A" w14:textId="142F9922" w:rsidR="003C5D73" w:rsidRPr="00D83239" w:rsidRDefault="003C5D73" w:rsidP="00E92FF2">
      <w:pPr>
        <w:autoSpaceDE w:val="0"/>
        <w:autoSpaceDN w:val="0"/>
        <w:adjustRightInd w:val="0"/>
        <w:spacing w:after="0" w:line="276" w:lineRule="auto"/>
        <w:jc w:val="both"/>
        <w:rPr>
          <w:rFonts w:ascii="Arial" w:hAnsi="Arial" w:cs="Arial"/>
          <w:b/>
          <w:sz w:val="20"/>
          <w:szCs w:val="20"/>
          <w:lang w:eastAsia="sl-SI"/>
        </w:rPr>
      </w:pPr>
      <w:r w:rsidRPr="00D83239">
        <w:rPr>
          <w:rFonts w:ascii="Arial" w:hAnsi="Arial" w:cs="Arial"/>
          <w:sz w:val="20"/>
          <w:szCs w:val="20"/>
          <w:lang w:eastAsia="sl-SI"/>
        </w:rPr>
        <w:t xml:space="preserve">Za izvajanje vzdrževanja ISUNZ je bila 6. 10. 2025 sklenjena nova pogodba št. C1711-25-460231 z veljavnostjo </w:t>
      </w:r>
      <w:r w:rsidR="00631010">
        <w:rPr>
          <w:rFonts w:ascii="Arial" w:hAnsi="Arial" w:cs="Arial"/>
          <w:sz w:val="20"/>
          <w:szCs w:val="20"/>
          <w:lang w:eastAsia="sl-SI"/>
        </w:rPr>
        <w:t>petih</w:t>
      </w:r>
      <w:r w:rsidR="00631010" w:rsidRPr="00D83239">
        <w:rPr>
          <w:rFonts w:ascii="Arial" w:hAnsi="Arial" w:cs="Arial"/>
          <w:sz w:val="20"/>
          <w:szCs w:val="20"/>
          <w:lang w:eastAsia="sl-SI"/>
        </w:rPr>
        <w:t xml:space="preserve"> </w:t>
      </w:r>
      <w:r w:rsidRPr="00D83239">
        <w:rPr>
          <w:rFonts w:ascii="Arial" w:hAnsi="Arial" w:cs="Arial"/>
          <w:sz w:val="20"/>
          <w:szCs w:val="20"/>
          <w:lang w:eastAsia="sl-SI"/>
        </w:rPr>
        <w:t xml:space="preserve">let. ISUNZ je skupek računalniških programov oziroma aplikacij za računalniško vodenje evidenc oziroma registrov, ki jih upravlja MNZ, </w:t>
      </w:r>
      <w:r w:rsidR="00631010">
        <w:rPr>
          <w:rFonts w:ascii="Arial" w:hAnsi="Arial" w:cs="Arial"/>
          <w:sz w:val="20"/>
          <w:szCs w:val="20"/>
          <w:lang w:eastAsia="sl-SI"/>
        </w:rPr>
        <w:t>in</w:t>
      </w:r>
      <w:r w:rsidR="00631010" w:rsidRPr="00D83239">
        <w:rPr>
          <w:rFonts w:ascii="Arial" w:hAnsi="Arial" w:cs="Arial"/>
          <w:sz w:val="20"/>
          <w:szCs w:val="20"/>
          <w:lang w:eastAsia="sl-SI"/>
        </w:rPr>
        <w:t xml:space="preserve"> </w:t>
      </w:r>
      <w:r w:rsidRPr="00D83239">
        <w:rPr>
          <w:rFonts w:ascii="Arial" w:hAnsi="Arial" w:cs="Arial"/>
          <w:sz w:val="20"/>
          <w:szCs w:val="20"/>
          <w:lang w:eastAsia="sl-SI"/>
        </w:rPr>
        <w:t>modulov za podporo izvajanju delovnih procesov. Vsaka aplikacija za vodenje evidence oziroma registra vsebuje različne funkcionalnosti. Vse aplikacije delujejo na enotni osnovi in uporabljajo skupne šifrante. Vpis ali sprememba podatkov v eni aplikaciji se lahko uporabi oziroma odrazi v drugi aplikaciji, ko to zahteva poslovni proces. V nekaterih postopkih vodenja evidenc oziroma registrov in izdajanja posameznih dokumentov obstajajo mnoge povezave in izmenjave podatkov z drugimi sistemi znotraj MNZ (</w:t>
      </w:r>
      <w:r w:rsidR="00E0081A">
        <w:rPr>
          <w:rFonts w:ascii="Arial" w:hAnsi="Arial" w:cs="Arial"/>
          <w:sz w:val="20"/>
          <w:szCs w:val="20"/>
          <w:lang w:eastAsia="sl-SI"/>
        </w:rPr>
        <w:t>P</w:t>
      </w:r>
      <w:r w:rsidRPr="00D83239">
        <w:rPr>
          <w:rFonts w:ascii="Arial" w:hAnsi="Arial" w:cs="Arial"/>
          <w:sz w:val="20"/>
          <w:szCs w:val="20"/>
          <w:lang w:eastAsia="sl-SI"/>
        </w:rPr>
        <w:t xml:space="preserve">olicija) in </w:t>
      </w:r>
      <w:r w:rsidR="00631010" w:rsidRPr="001004C7">
        <w:rPr>
          <w:rFonts w:ascii="Arial" w:hAnsi="Arial" w:cs="Arial"/>
          <w:sz w:val="20"/>
          <w:szCs w:val="20"/>
          <w:lang w:eastAsia="sl-SI"/>
        </w:rPr>
        <w:t xml:space="preserve">zunaj MNZ </w:t>
      </w:r>
      <w:r w:rsidRPr="001004C7">
        <w:rPr>
          <w:rFonts w:ascii="Arial" w:hAnsi="Arial" w:cs="Arial"/>
          <w:sz w:val="20"/>
          <w:szCs w:val="20"/>
          <w:lang w:eastAsia="sl-SI"/>
        </w:rPr>
        <w:t>(G</w:t>
      </w:r>
      <w:r w:rsidR="001004C7" w:rsidRPr="001004C7">
        <w:rPr>
          <w:rFonts w:ascii="Arial" w:hAnsi="Arial" w:cs="Arial"/>
          <w:sz w:val="20"/>
          <w:szCs w:val="20"/>
          <w:lang w:eastAsia="sl-SI"/>
        </w:rPr>
        <w:t>eodetska uprava Republike Slovenije</w:t>
      </w:r>
      <w:r w:rsidRPr="001004C7">
        <w:rPr>
          <w:rFonts w:ascii="Arial" w:hAnsi="Arial" w:cs="Arial"/>
          <w:sz w:val="20"/>
          <w:szCs w:val="20"/>
          <w:lang w:eastAsia="sl-SI"/>
        </w:rPr>
        <w:t>, A</w:t>
      </w:r>
      <w:r w:rsidR="001004C7" w:rsidRPr="001004C7">
        <w:rPr>
          <w:rFonts w:ascii="Arial" w:hAnsi="Arial" w:cs="Arial"/>
          <w:sz w:val="20"/>
          <w:szCs w:val="20"/>
          <w:lang w:eastAsia="sl-SI"/>
        </w:rPr>
        <w:t>gencija Republike Slovenije za javnopravne evidence in storitve</w:t>
      </w:r>
      <w:r w:rsidRPr="001004C7">
        <w:rPr>
          <w:rFonts w:ascii="Arial" w:hAnsi="Arial" w:cs="Arial"/>
          <w:sz w:val="20"/>
          <w:szCs w:val="20"/>
          <w:lang w:eastAsia="sl-SI"/>
        </w:rPr>
        <w:t>, Cetis, Pošta Slovenije, Z</w:t>
      </w:r>
      <w:r w:rsidR="001004C7" w:rsidRPr="001004C7">
        <w:rPr>
          <w:rFonts w:ascii="Arial" w:hAnsi="Arial" w:cs="Arial"/>
          <w:sz w:val="20"/>
          <w:szCs w:val="20"/>
          <w:lang w:eastAsia="sl-SI"/>
        </w:rPr>
        <w:t>avod Republike Slovenije za zaposlovanje</w:t>
      </w:r>
      <w:r w:rsidRPr="001004C7">
        <w:rPr>
          <w:rFonts w:ascii="Arial" w:hAnsi="Arial" w:cs="Arial"/>
          <w:sz w:val="20"/>
          <w:szCs w:val="20"/>
          <w:lang w:eastAsia="sl-SI"/>
        </w:rPr>
        <w:t>, trgovci z orožjem, porodnišnice idr.).</w:t>
      </w:r>
    </w:p>
    <w:p w14:paraId="52A06594" w14:textId="77777777"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p>
    <w:p w14:paraId="6E65D1C7" w14:textId="45818E26"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Za vnos podatkov v ISUNZ so pristojne upravne enote, v posamezne evidence oziroma registre pa vnos podatkov poteka tudi prek porodnišnic, ministrstev, diplomatsko-konzularnih predstavništev, volilnih komisij i</w:t>
      </w:r>
      <w:r w:rsidR="00631010">
        <w:rPr>
          <w:rFonts w:ascii="Arial" w:hAnsi="Arial" w:cs="Arial"/>
          <w:sz w:val="20"/>
          <w:szCs w:val="20"/>
          <w:lang w:eastAsia="sl-SI"/>
        </w:rPr>
        <w:t>n drugih</w:t>
      </w:r>
      <w:r w:rsidRPr="00D83239">
        <w:rPr>
          <w:rFonts w:ascii="Arial" w:hAnsi="Arial" w:cs="Arial"/>
          <w:sz w:val="20"/>
          <w:szCs w:val="20"/>
          <w:lang w:eastAsia="sl-SI"/>
        </w:rPr>
        <w:t xml:space="preserve">. Podatki iz ISUNZ se predložijo različnim uporabnikom: prek analitičnih izdelkov iz distribucijskega modula podatkovnega skladišča, prek distribucijske </w:t>
      </w:r>
      <w:r w:rsidR="00631010" w:rsidRPr="00C06D6F">
        <w:rPr>
          <w:rFonts w:ascii="Arial" w:hAnsi="Arial" w:cs="Arial"/>
          <w:sz w:val="20"/>
          <w:szCs w:val="20"/>
          <w:lang w:eastAsia="sl-SI"/>
        </w:rPr>
        <w:t xml:space="preserve">zbirke </w:t>
      </w:r>
      <w:proofErr w:type="spellStart"/>
      <w:r w:rsidRPr="00C06D6F">
        <w:rPr>
          <w:rFonts w:ascii="Arial" w:hAnsi="Arial" w:cs="Arial"/>
          <w:sz w:val="20"/>
          <w:szCs w:val="20"/>
          <w:lang w:eastAsia="sl-SI"/>
        </w:rPr>
        <w:t>eCRP</w:t>
      </w:r>
      <w:proofErr w:type="spellEnd"/>
      <w:r w:rsidRPr="00C06D6F">
        <w:rPr>
          <w:rFonts w:ascii="Arial" w:hAnsi="Arial" w:cs="Arial"/>
          <w:sz w:val="20"/>
          <w:szCs w:val="20"/>
          <w:lang w:eastAsia="sl-SI"/>
        </w:rPr>
        <w:t xml:space="preserve"> (Z</w:t>
      </w:r>
      <w:r w:rsidR="00D2424D" w:rsidRPr="00C06D6F">
        <w:rPr>
          <w:rFonts w:ascii="Arial" w:hAnsi="Arial" w:cs="Arial"/>
          <w:sz w:val="20"/>
          <w:szCs w:val="20"/>
          <w:lang w:eastAsia="sl-SI"/>
        </w:rPr>
        <w:t>avod za pokojninsko in invalidsko zavarovanje Slovenije</w:t>
      </w:r>
      <w:r w:rsidRPr="00C06D6F">
        <w:rPr>
          <w:rFonts w:ascii="Arial" w:hAnsi="Arial" w:cs="Arial"/>
          <w:sz w:val="20"/>
          <w:szCs w:val="20"/>
          <w:lang w:eastAsia="sl-SI"/>
        </w:rPr>
        <w:t>, Z</w:t>
      </w:r>
      <w:r w:rsidR="00D2424D" w:rsidRPr="00C06D6F">
        <w:rPr>
          <w:rFonts w:ascii="Arial" w:hAnsi="Arial" w:cs="Arial"/>
          <w:sz w:val="20"/>
          <w:szCs w:val="20"/>
          <w:lang w:eastAsia="sl-SI"/>
        </w:rPr>
        <w:t>avod za zdravstveno zavarovanje Slovenije</w:t>
      </w:r>
      <w:r w:rsidRPr="00C06D6F">
        <w:rPr>
          <w:rFonts w:ascii="Arial" w:hAnsi="Arial" w:cs="Arial"/>
          <w:sz w:val="20"/>
          <w:szCs w:val="20"/>
          <w:lang w:eastAsia="sl-SI"/>
        </w:rPr>
        <w:t>, Z</w:t>
      </w:r>
      <w:r w:rsidR="00D2424D" w:rsidRPr="00C06D6F">
        <w:rPr>
          <w:rFonts w:ascii="Arial" w:hAnsi="Arial" w:cs="Arial"/>
          <w:sz w:val="20"/>
          <w:szCs w:val="20"/>
          <w:lang w:eastAsia="sl-SI"/>
        </w:rPr>
        <w:t>avod Republike Slovenije za zaposlovanje</w:t>
      </w:r>
      <w:r w:rsidRPr="00C06D6F">
        <w:rPr>
          <w:rFonts w:ascii="Arial" w:hAnsi="Arial" w:cs="Arial"/>
          <w:sz w:val="20"/>
          <w:szCs w:val="20"/>
          <w:lang w:eastAsia="sl-SI"/>
        </w:rPr>
        <w:t>, F</w:t>
      </w:r>
      <w:r w:rsidR="00D2424D" w:rsidRPr="00C06D6F">
        <w:rPr>
          <w:rFonts w:ascii="Arial" w:hAnsi="Arial" w:cs="Arial"/>
          <w:sz w:val="20"/>
          <w:szCs w:val="20"/>
          <w:lang w:eastAsia="sl-SI"/>
        </w:rPr>
        <w:t>inančna uprava Republike Slovenije</w:t>
      </w:r>
      <w:r w:rsidRPr="00C06D6F">
        <w:rPr>
          <w:rFonts w:ascii="Arial" w:hAnsi="Arial" w:cs="Arial"/>
          <w:sz w:val="20"/>
          <w:szCs w:val="20"/>
          <w:lang w:eastAsia="sl-SI"/>
        </w:rPr>
        <w:t xml:space="preserve">, </w:t>
      </w:r>
      <w:r w:rsidR="00631010" w:rsidRPr="00C06D6F">
        <w:rPr>
          <w:rFonts w:ascii="Arial" w:hAnsi="Arial" w:cs="Arial"/>
          <w:sz w:val="20"/>
          <w:szCs w:val="20"/>
          <w:lang w:eastAsia="sl-SI"/>
        </w:rPr>
        <w:t>v</w:t>
      </w:r>
      <w:r w:rsidRPr="00C06D6F">
        <w:rPr>
          <w:rFonts w:ascii="Arial" w:hAnsi="Arial" w:cs="Arial"/>
          <w:sz w:val="20"/>
          <w:szCs w:val="20"/>
          <w:lang w:eastAsia="sl-SI"/>
        </w:rPr>
        <w:t xml:space="preserve">rhovno sodišče, občine itd.) ter prek aplikacije e-RISK (policija, različni inšpekcijski in </w:t>
      </w:r>
      <w:proofErr w:type="spellStart"/>
      <w:r w:rsidRPr="00C06D6F">
        <w:rPr>
          <w:rFonts w:ascii="Arial" w:hAnsi="Arial" w:cs="Arial"/>
          <w:sz w:val="20"/>
          <w:szCs w:val="20"/>
          <w:lang w:eastAsia="sl-SI"/>
        </w:rPr>
        <w:t>prekrškovni</w:t>
      </w:r>
      <w:proofErr w:type="spellEnd"/>
      <w:r w:rsidRPr="00C06D6F">
        <w:rPr>
          <w:rFonts w:ascii="Arial" w:hAnsi="Arial" w:cs="Arial"/>
          <w:sz w:val="20"/>
          <w:szCs w:val="20"/>
          <w:lang w:eastAsia="sl-SI"/>
        </w:rPr>
        <w:t xml:space="preserve"> organi, sodišča, tožilstva itd</w:t>
      </w:r>
      <w:r w:rsidR="00B72713" w:rsidRPr="00C06D6F">
        <w:rPr>
          <w:rFonts w:ascii="Arial" w:hAnsi="Arial" w:cs="Arial"/>
          <w:sz w:val="20"/>
          <w:szCs w:val="20"/>
          <w:lang w:eastAsia="sl-SI"/>
        </w:rPr>
        <w:t>.</w:t>
      </w:r>
      <w:r w:rsidRPr="00C06D6F">
        <w:rPr>
          <w:rFonts w:ascii="Arial" w:hAnsi="Arial" w:cs="Arial"/>
          <w:sz w:val="20"/>
          <w:szCs w:val="20"/>
          <w:lang w:eastAsia="sl-SI"/>
        </w:rPr>
        <w:t>).</w:t>
      </w:r>
    </w:p>
    <w:p w14:paraId="532DB887" w14:textId="77777777"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p>
    <w:p w14:paraId="1C0CE8FD" w14:textId="77777777"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ISUNZ zajema naslednje evidence oziroma registre:</w:t>
      </w:r>
    </w:p>
    <w:p w14:paraId="3652F280" w14:textId="70D7EED7"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1.</w:t>
      </w:r>
      <w:r w:rsidRPr="00D83239">
        <w:rPr>
          <w:rFonts w:ascii="Arial" w:hAnsi="Arial" w:cs="Arial"/>
          <w:sz w:val="20"/>
          <w:szCs w:val="20"/>
          <w:lang w:eastAsia="sl-SI"/>
        </w:rPr>
        <w:tab/>
        <w:t>Matični register (MR)</w:t>
      </w:r>
    </w:p>
    <w:p w14:paraId="272DE202" w14:textId="26F2AB50"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2.</w:t>
      </w:r>
      <w:r w:rsidRPr="00D83239">
        <w:rPr>
          <w:rFonts w:ascii="Arial" w:hAnsi="Arial" w:cs="Arial"/>
          <w:sz w:val="20"/>
          <w:szCs w:val="20"/>
          <w:lang w:eastAsia="sl-SI"/>
        </w:rPr>
        <w:tab/>
        <w:t>Register stalnega prebivalstva (RSP)</w:t>
      </w:r>
    </w:p>
    <w:p w14:paraId="26442179" w14:textId="46A2E39E"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3.</w:t>
      </w:r>
      <w:r w:rsidRPr="00D83239">
        <w:rPr>
          <w:rFonts w:ascii="Arial" w:hAnsi="Arial" w:cs="Arial"/>
          <w:sz w:val="20"/>
          <w:szCs w:val="20"/>
          <w:lang w:eastAsia="sl-SI"/>
        </w:rPr>
        <w:tab/>
        <w:t>Evidenca volilne pravice (EVP)</w:t>
      </w:r>
    </w:p>
    <w:p w14:paraId="1EC4E205" w14:textId="72031025"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4.</w:t>
      </w:r>
      <w:r w:rsidRPr="00D83239">
        <w:rPr>
          <w:rFonts w:ascii="Arial" w:hAnsi="Arial" w:cs="Arial"/>
          <w:sz w:val="20"/>
          <w:szCs w:val="20"/>
          <w:lang w:eastAsia="sl-SI"/>
        </w:rPr>
        <w:tab/>
        <w:t>Register državljanstev (RD)</w:t>
      </w:r>
    </w:p>
    <w:p w14:paraId="021FA31A" w14:textId="7A8F3CEB"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5.</w:t>
      </w:r>
      <w:r w:rsidRPr="00D83239">
        <w:rPr>
          <w:rFonts w:ascii="Arial" w:hAnsi="Arial" w:cs="Arial"/>
          <w:sz w:val="20"/>
          <w:szCs w:val="20"/>
          <w:lang w:eastAsia="sl-SI"/>
        </w:rPr>
        <w:tab/>
        <w:t>Register tujcev (RT)</w:t>
      </w:r>
    </w:p>
    <w:p w14:paraId="12C0C24A" w14:textId="64210FB6"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6.</w:t>
      </w:r>
      <w:r w:rsidRPr="00D83239">
        <w:rPr>
          <w:rFonts w:ascii="Arial" w:hAnsi="Arial" w:cs="Arial"/>
          <w:sz w:val="20"/>
          <w:szCs w:val="20"/>
          <w:lang w:eastAsia="sl-SI"/>
        </w:rPr>
        <w:tab/>
        <w:t>Register prosilcev za azil in sistem za evidentiranje integracijskih ukrepov za begunce (AZ)</w:t>
      </w:r>
    </w:p>
    <w:p w14:paraId="07EA39F3" w14:textId="63649B32"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7.</w:t>
      </w:r>
      <w:r w:rsidRPr="00D83239">
        <w:rPr>
          <w:rFonts w:ascii="Arial" w:hAnsi="Arial" w:cs="Arial"/>
          <w:sz w:val="20"/>
          <w:szCs w:val="20"/>
          <w:lang w:eastAsia="sl-SI"/>
        </w:rPr>
        <w:tab/>
        <w:t>Evidenca evidenčnih tujcev (ETUJ)</w:t>
      </w:r>
    </w:p>
    <w:p w14:paraId="3FBDD813" w14:textId="77777777"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8.</w:t>
      </w:r>
      <w:r w:rsidRPr="00D83239">
        <w:rPr>
          <w:rFonts w:ascii="Arial" w:hAnsi="Arial" w:cs="Arial"/>
          <w:sz w:val="20"/>
          <w:szCs w:val="20"/>
          <w:lang w:eastAsia="sl-SI"/>
        </w:rPr>
        <w:tab/>
        <w:t>Centralni register prebivalstva (CRP) s prenosom v distribucijsko bazo eCRP2, ki vključuje:</w:t>
      </w:r>
    </w:p>
    <w:p w14:paraId="71171E9A" w14:textId="70575035" w:rsidR="003C5D73" w:rsidRPr="00D83239" w:rsidRDefault="00072B79" w:rsidP="001545E9">
      <w:pPr>
        <w:autoSpaceDE w:val="0"/>
        <w:autoSpaceDN w:val="0"/>
        <w:adjustRightInd w:val="0"/>
        <w:spacing w:after="0" w:line="276" w:lineRule="auto"/>
        <w:ind w:left="709"/>
        <w:jc w:val="both"/>
        <w:rPr>
          <w:rFonts w:ascii="Arial" w:hAnsi="Arial" w:cs="Arial"/>
          <w:sz w:val="20"/>
          <w:szCs w:val="20"/>
          <w:lang w:eastAsia="sl-SI"/>
        </w:rPr>
      </w:pPr>
      <w:r>
        <w:rPr>
          <w:rFonts w:ascii="Arial" w:hAnsi="Arial" w:cs="Arial"/>
          <w:sz w:val="20"/>
          <w:szCs w:val="20"/>
          <w:lang w:eastAsia="sl-SI"/>
        </w:rPr>
        <w:t>a)</w:t>
      </w:r>
      <w:r w:rsidR="003C5D73" w:rsidRPr="00D83239">
        <w:rPr>
          <w:rFonts w:ascii="Arial" w:hAnsi="Arial" w:cs="Arial"/>
          <w:sz w:val="20"/>
          <w:szCs w:val="20"/>
          <w:lang w:eastAsia="sl-SI"/>
        </w:rPr>
        <w:tab/>
        <w:t>Centralni register prebivalstva – integrirani del ISUNZ</w:t>
      </w:r>
    </w:p>
    <w:p w14:paraId="1EFDE1A6" w14:textId="095EC487" w:rsidR="003C5D73" w:rsidRPr="00D83239" w:rsidRDefault="00072B79" w:rsidP="001545E9">
      <w:pPr>
        <w:autoSpaceDE w:val="0"/>
        <w:autoSpaceDN w:val="0"/>
        <w:adjustRightInd w:val="0"/>
        <w:spacing w:after="0" w:line="276" w:lineRule="auto"/>
        <w:ind w:left="709"/>
        <w:jc w:val="both"/>
        <w:rPr>
          <w:rFonts w:ascii="Arial" w:hAnsi="Arial" w:cs="Arial"/>
          <w:sz w:val="20"/>
          <w:szCs w:val="20"/>
          <w:lang w:eastAsia="sl-SI"/>
        </w:rPr>
      </w:pPr>
      <w:r>
        <w:rPr>
          <w:rFonts w:ascii="Arial" w:hAnsi="Arial" w:cs="Arial"/>
          <w:sz w:val="20"/>
          <w:szCs w:val="20"/>
          <w:lang w:eastAsia="sl-SI"/>
        </w:rPr>
        <w:t>b)</w:t>
      </w:r>
      <w:r w:rsidR="003C5D73" w:rsidRPr="00D83239">
        <w:rPr>
          <w:rFonts w:ascii="Arial" w:hAnsi="Arial" w:cs="Arial"/>
          <w:sz w:val="20"/>
          <w:szCs w:val="20"/>
          <w:lang w:eastAsia="sl-SI"/>
        </w:rPr>
        <w:tab/>
      </w:r>
      <w:r w:rsidR="000F3E31">
        <w:rPr>
          <w:rFonts w:ascii="Arial" w:hAnsi="Arial" w:cs="Arial"/>
          <w:sz w:val="20"/>
          <w:szCs w:val="20"/>
          <w:lang w:eastAsia="sl-SI"/>
        </w:rPr>
        <w:t>p</w:t>
      </w:r>
      <w:r w:rsidR="003C5D73" w:rsidRPr="00D83239">
        <w:rPr>
          <w:rFonts w:ascii="Arial" w:hAnsi="Arial" w:cs="Arial"/>
          <w:sz w:val="20"/>
          <w:szCs w:val="20"/>
          <w:lang w:eastAsia="sl-SI"/>
        </w:rPr>
        <w:t xml:space="preserve">renos podatkov iz sistema ISUNZ v distribucijsko </w:t>
      </w:r>
      <w:r w:rsidR="000F3E31">
        <w:rPr>
          <w:rFonts w:ascii="Arial" w:hAnsi="Arial" w:cs="Arial"/>
          <w:sz w:val="20"/>
          <w:szCs w:val="20"/>
          <w:lang w:eastAsia="sl-SI"/>
        </w:rPr>
        <w:t>zbirk</w:t>
      </w:r>
      <w:r w:rsidR="003C5D73" w:rsidRPr="00D83239">
        <w:rPr>
          <w:rFonts w:ascii="Arial" w:hAnsi="Arial" w:cs="Arial"/>
          <w:sz w:val="20"/>
          <w:szCs w:val="20"/>
          <w:lang w:eastAsia="sl-SI"/>
        </w:rPr>
        <w:t>o eCRP2</w:t>
      </w:r>
    </w:p>
    <w:p w14:paraId="0CC65FC5" w14:textId="13A634F4"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9.</w:t>
      </w:r>
      <w:r w:rsidRPr="00D83239">
        <w:rPr>
          <w:rFonts w:ascii="Arial" w:hAnsi="Arial" w:cs="Arial"/>
          <w:sz w:val="20"/>
          <w:szCs w:val="20"/>
          <w:lang w:eastAsia="sl-SI"/>
        </w:rPr>
        <w:tab/>
        <w:t>Evidenca potnih listin (POTN)</w:t>
      </w:r>
    </w:p>
    <w:p w14:paraId="3154C077" w14:textId="6A4A3A2C"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10.</w:t>
      </w:r>
      <w:r w:rsidRPr="00D83239">
        <w:rPr>
          <w:rFonts w:ascii="Arial" w:hAnsi="Arial" w:cs="Arial"/>
          <w:sz w:val="20"/>
          <w:szCs w:val="20"/>
          <w:lang w:eastAsia="sl-SI"/>
        </w:rPr>
        <w:tab/>
        <w:t>Evidenca osebnih izkaznic (OSIZ)</w:t>
      </w:r>
    </w:p>
    <w:p w14:paraId="1B685C0A" w14:textId="3CA69967"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11.</w:t>
      </w:r>
      <w:r w:rsidRPr="00D83239">
        <w:rPr>
          <w:rFonts w:ascii="Arial" w:hAnsi="Arial" w:cs="Arial"/>
          <w:sz w:val="20"/>
          <w:szCs w:val="20"/>
          <w:lang w:eastAsia="sl-SI"/>
        </w:rPr>
        <w:tab/>
        <w:t>Evidenca obrazcev (BLKT)</w:t>
      </w:r>
    </w:p>
    <w:p w14:paraId="0D9FB810" w14:textId="5E57E214"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12.</w:t>
      </w:r>
      <w:r w:rsidRPr="00D83239">
        <w:rPr>
          <w:rFonts w:ascii="Arial" w:hAnsi="Arial" w:cs="Arial"/>
          <w:sz w:val="20"/>
          <w:szCs w:val="20"/>
          <w:lang w:eastAsia="sl-SI"/>
        </w:rPr>
        <w:tab/>
        <w:t>Register društev, političnih strank in ustanov (RDRU)</w:t>
      </w:r>
    </w:p>
    <w:p w14:paraId="4364FBC7" w14:textId="6C88F50D"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13.</w:t>
      </w:r>
      <w:r w:rsidRPr="00D83239">
        <w:rPr>
          <w:rFonts w:ascii="Arial" w:hAnsi="Arial" w:cs="Arial"/>
          <w:sz w:val="20"/>
          <w:szCs w:val="20"/>
          <w:lang w:eastAsia="sl-SI"/>
        </w:rPr>
        <w:tab/>
        <w:t>Register izdanih orožnih listin (OR)</w:t>
      </w:r>
    </w:p>
    <w:p w14:paraId="141BE374" w14:textId="5D2DE11E"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14.</w:t>
      </w:r>
      <w:r w:rsidRPr="00D83239">
        <w:rPr>
          <w:rFonts w:ascii="Arial" w:hAnsi="Arial" w:cs="Arial"/>
          <w:sz w:val="20"/>
          <w:szCs w:val="20"/>
          <w:lang w:eastAsia="sl-SI"/>
        </w:rPr>
        <w:tab/>
        <w:t>Evidenca prometa z orožjem (PO)</w:t>
      </w:r>
    </w:p>
    <w:p w14:paraId="0CF18AAC" w14:textId="44221D3B"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15.</w:t>
      </w:r>
      <w:r w:rsidRPr="00D83239">
        <w:rPr>
          <w:rFonts w:ascii="Arial" w:hAnsi="Arial" w:cs="Arial"/>
          <w:sz w:val="20"/>
          <w:szCs w:val="20"/>
          <w:lang w:eastAsia="sl-SI"/>
        </w:rPr>
        <w:tab/>
        <w:t>Evidenca prometa z eksplozivi (PE)</w:t>
      </w:r>
    </w:p>
    <w:p w14:paraId="29619E6F" w14:textId="7B288455"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16.</w:t>
      </w:r>
      <w:r w:rsidRPr="00D83239">
        <w:rPr>
          <w:rFonts w:ascii="Arial" w:hAnsi="Arial" w:cs="Arial"/>
          <w:sz w:val="20"/>
          <w:szCs w:val="20"/>
          <w:lang w:eastAsia="sl-SI"/>
        </w:rPr>
        <w:tab/>
      </w:r>
      <w:r w:rsidR="000F3E31">
        <w:rPr>
          <w:rFonts w:ascii="Arial" w:hAnsi="Arial" w:cs="Arial"/>
          <w:sz w:val="20"/>
          <w:szCs w:val="20"/>
          <w:lang w:eastAsia="sl-SI"/>
        </w:rPr>
        <w:t>p</w:t>
      </w:r>
      <w:r w:rsidRPr="00D83239">
        <w:rPr>
          <w:rFonts w:ascii="Arial" w:hAnsi="Arial" w:cs="Arial"/>
          <w:sz w:val="20"/>
          <w:szCs w:val="20"/>
          <w:lang w:eastAsia="sl-SI"/>
        </w:rPr>
        <w:t>osebna dokumentacija</w:t>
      </w:r>
    </w:p>
    <w:p w14:paraId="2107D9C6" w14:textId="5BDE19D8"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17.</w:t>
      </w:r>
      <w:r w:rsidRPr="00D83239">
        <w:rPr>
          <w:rFonts w:ascii="Arial" w:hAnsi="Arial" w:cs="Arial"/>
          <w:sz w:val="20"/>
          <w:szCs w:val="20"/>
          <w:lang w:eastAsia="sl-SI"/>
        </w:rPr>
        <w:tab/>
      </w:r>
      <w:r w:rsidR="000F3E31">
        <w:rPr>
          <w:rFonts w:ascii="Arial" w:hAnsi="Arial" w:cs="Arial"/>
          <w:sz w:val="20"/>
          <w:szCs w:val="20"/>
          <w:lang w:eastAsia="sl-SI"/>
        </w:rPr>
        <w:t>p</w:t>
      </w:r>
      <w:r w:rsidRPr="00D83239">
        <w:rPr>
          <w:rFonts w:ascii="Arial" w:hAnsi="Arial" w:cs="Arial"/>
          <w:sz w:val="20"/>
          <w:szCs w:val="20"/>
          <w:lang w:eastAsia="sl-SI"/>
        </w:rPr>
        <w:t xml:space="preserve">odporne aplikacije (SIUT, TOR, </w:t>
      </w:r>
      <w:proofErr w:type="spellStart"/>
      <w:r w:rsidRPr="00D83239">
        <w:rPr>
          <w:rFonts w:ascii="Arial" w:hAnsi="Arial" w:cs="Arial"/>
          <w:sz w:val="20"/>
          <w:szCs w:val="20"/>
          <w:lang w:eastAsia="sl-SI"/>
        </w:rPr>
        <w:t>eFotograf</w:t>
      </w:r>
      <w:proofErr w:type="spellEnd"/>
      <w:r w:rsidRPr="00D83239">
        <w:rPr>
          <w:rFonts w:ascii="Arial" w:hAnsi="Arial" w:cs="Arial"/>
          <w:sz w:val="20"/>
          <w:szCs w:val="20"/>
          <w:lang w:eastAsia="sl-SI"/>
        </w:rPr>
        <w:t xml:space="preserve"> idr.)</w:t>
      </w:r>
    </w:p>
    <w:p w14:paraId="453A456A" w14:textId="77777777"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p>
    <w:p w14:paraId="6785CE18" w14:textId="427231BB" w:rsidR="003C5D73" w:rsidRPr="00D83239" w:rsidRDefault="003C5D73"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lang w:eastAsia="sl-SI"/>
        </w:rPr>
        <w:t xml:space="preserve">V letu 2025 so potekale aktivnosti za </w:t>
      </w:r>
      <w:r w:rsidR="00072B79">
        <w:rPr>
          <w:rFonts w:ascii="Arial" w:hAnsi="Arial" w:cs="Arial"/>
          <w:sz w:val="20"/>
          <w:szCs w:val="20"/>
          <w:lang w:eastAsia="sl-SI"/>
        </w:rPr>
        <w:t>uvedbo</w:t>
      </w:r>
      <w:r w:rsidR="00072B79" w:rsidRPr="00D83239">
        <w:rPr>
          <w:rFonts w:ascii="Arial" w:hAnsi="Arial" w:cs="Arial"/>
          <w:sz w:val="20"/>
          <w:szCs w:val="20"/>
          <w:lang w:eastAsia="sl-SI"/>
        </w:rPr>
        <w:t xml:space="preserve"> </w:t>
      </w:r>
      <w:r w:rsidRPr="00D83239">
        <w:rPr>
          <w:rFonts w:ascii="Arial" w:hAnsi="Arial" w:cs="Arial"/>
          <w:sz w:val="20"/>
          <w:szCs w:val="20"/>
          <w:lang w:eastAsia="sl-SI"/>
        </w:rPr>
        <w:t xml:space="preserve">nadgradenj in novih funkcionalnosti. Opravljene so bile večje </w:t>
      </w:r>
      <w:r w:rsidRPr="00D83239">
        <w:rPr>
          <w:rFonts w:ascii="Arial" w:hAnsi="Arial" w:cs="Arial"/>
          <w:sz w:val="20"/>
          <w:szCs w:val="20"/>
        </w:rPr>
        <w:t xml:space="preserve">dopolnitve oziroma nadgradnje informacijskega sistema, </w:t>
      </w:r>
      <w:r w:rsidRPr="00D83239">
        <w:rPr>
          <w:rFonts w:ascii="Arial" w:hAnsi="Arial" w:cs="Arial"/>
          <w:sz w:val="20"/>
          <w:szCs w:val="20"/>
          <w:lang w:eastAsia="sl-SI"/>
        </w:rPr>
        <w:t>ki so bile posledica zakonskih sprememb ali novih funkcionalnosti, na primer</w:t>
      </w:r>
      <w:r w:rsidRPr="00D83239">
        <w:rPr>
          <w:rFonts w:ascii="Arial" w:hAnsi="Arial" w:cs="Arial"/>
          <w:sz w:val="20"/>
          <w:szCs w:val="20"/>
        </w:rPr>
        <w:t>:</w:t>
      </w:r>
    </w:p>
    <w:p w14:paraId="13405FB7" w14:textId="77777777"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 xml:space="preserve">nadaljevanje aktivnosti za prilagoditev ISUNZ na brskalnike EDGE, </w:t>
      </w:r>
      <w:proofErr w:type="spellStart"/>
      <w:r w:rsidRPr="00D83239">
        <w:rPr>
          <w:rFonts w:ascii="Arial" w:hAnsi="Arial" w:cs="Arial"/>
          <w:sz w:val="20"/>
          <w:szCs w:val="20"/>
          <w:lang w:eastAsia="sl-SI"/>
        </w:rPr>
        <w:t>Mozilla</w:t>
      </w:r>
      <w:proofErr w:type="spellEnd"/>
      <w:r w:rsidRPr="00D83239">
        <w:rPr>
          <w:rFonts w:ascii="Arial" w:hAnsi="Arial" w:cs="Arial"/>
          <w:sz w:val="20"/>
          <w:szCs w:val="20"/>
          <w:lang w:eastAsia="sl-SI"/>
        </w:rPr>
        <w:t xml:space="preserve"> Firefox in </w:t>
      </w:r>
      <w:proofErr w:type="spellStart"/>
      <w:r w:rsidRPr="00D83239">
        <w:rPr>
          <w:rFonts w:ascii="Arial" w:hAnsi="Arial" w:cs="Arial"/>
          <w:sz w:val="20"/>
          <w:szCs w:val="20"/>
          <w:lang w:eastAsia="sl-SI"/>
        </w:rPr>
        <w:t>Chrome</w:t>
      </w:r>
      <w:proofErr w:type="spellEnd"/>
      <w:r w:rsidRPr="00D83239">
        <w:rPr>
          <w:rFonts w:ascii="Arial" w:hAnsi="Arial" w:cs="Arial"/>
          <w:sz w:val="20"/>
          <w:szCs w:val="20"/>
          <w:lang w:eastAsia="sl-SI"/>
        </w:rPr>
        <w:t xml:space="preserve"> zaradi tehnološke prenove ISUNZ,</w:t>
      </w:r>
    </w:p>
    <w:p w14:paraId="27A49FA9" w14:textId="1393F25D"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 xml:space="preserve">nadaljevanje prenove Azilnega registra in prenos funkcionalnosti iz </w:t>
      </w:r>
      <w:r w:rsidR="00072B79" w:rsidRPr="00D83239">
        <w:rPr>
          <w:rFonts w:ascii="Arial" w:hAnsi="Arial" w:cs="Arial"/>
          <w:sz w:val="20"/>
          <w:szCs w:val="20"/>
          <w:lang w:eastAsia="sl-SI"/>
        </w:rPr>
        <w:t xml:space="preserve">dela </w:t>
      </w:r>
      <w:r w:rsidRPr="00D83239">
        <w:rPr>
          <w:rFonts w:ascii="Arial" w:hAnsi="Arial" w:cs="Arial"/>
          <w:sz w:val="20"/>
          <w:szCs w:val="20"/>
          <w:lang w:eastAsia="sl-SI"/>
        </w:rPr>
        <w:t xml:space="preserve">Lotus Notes v novo evidenco Dokumenti beguncev, </w:t>
      </w:r>
    </w:p>
    <w:p w14:paraId="718DE85D" w14:textId="3B45DC59"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večje izboljšave funkcional</w:t>
      </w:r>
      <w:r w:rsidR="00B72713">
        <w:rPr>
          <w:rFonts w:ascii="Arial" w:hAnsi="Arial" w:cs="Arial"/>
          <w:sz w:val="20"/>
          <w:szCs w:val="20"/>
          <w:lang w:eastAsia="sl-SI"/>
        </w:rPr>
        <w:t>n</w:t>
      </w:r>
      <w:r w:rsidRPr="00D83239">
        <w:rPr>
          <w:rFonts w:ascii="Arial" w:hAnsi="Arial" w:cs="Arial"/>
          <w:sz w:val="20"/>
          <w:szCs w:val="20"/>
          <w:lang w:eastAsia="sl-SI"/>
        </w:rPr>
        <w:t>osti v Registru orožja in aplikaciji TOR (trgovci z orožjem),</w:t>
      </w:r>
    </w:p>
    <w:p w14:paraId="6C182D0C" w14:textId="2DC58C37"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nadgradnja Matičnega registra v delu, da se omogoči vnos skrbništva z omejenim datumom veljavnosti,</w:t>
      </w:r>
    </w:p>
    <w:p w14:paraId="76850989" w14:textId="5C6EE4B9"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prilagoditev Registra društev na nov</w:t>
      </w:r>
      <w:r w:rsidR="00072B79">
        <w:rPr>
          <w:rFonts w:ascii="Arial" w:hAnsi="Arial" w:cs="Arial"/>
          <w:sz w:val="20"/>
          <w:szCs w:val="20"/>
          <w:lang w:eastAsia="sl-SI"/>
        </w:rPr>
        <w:t>i</w:t>
      </w:r>
      <w:r w:rsidRPr="00D83239">
        <w:rPr>
          <w:rFonts w:ascii="Arial" w:hAnsi="Arial" w:cs="Arial"/>
          <w:sz w:val="20"/>
          <w:szCs w:val="20"/>
          <w:lang w:eastAsia="sl-SI"/>
        </w:rPr>
        <w:t xml:space="preserve"> šifrant dejavnosti SKD 2025,</w:t>
      </w:r>
    </w:p>
    <w:p w14:paraId="68CBC76D" w14:textId="4B5E2302"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vzpostavitev nove aplikacije Objave (</w:t>
      </w:r>
      <w:r w:rsidR="00072B79">
        <w:rPr>
          <w:rFonts w:ascii="Arial" w:hAnsi="Arial" w:cs="Arial"/>
          <w:sz w:val="20"/>
          <w:szCs w:val="20"/>
          <w:lang w:eastAsia="sl-SI"/>
        </w:rPr>
        <w:t xml:space="preserve">se </w:t>
      </w:r>
      <w:r w:rsidRPr="00D83239">
        <w:rPr>
          <w:rFonts w:ascii="Arial" w:hAnsi="Arial" w:cs="Arial"/>
          <w:sz w:val="20"/>
          <w:szCs w:val="20"/>
          <w:lang w:eastAsia="sl-SI"/>
        </w:rPr>
        <w:t>še test</w:t>
      </w:r>
      <w:r w:rsidR="00072B79">
        <w:rPr>
          <w:rFonts w:ascii="Arial" w:hAnsi="Arial" w:cs="Arial"/>
          <w:sz w:val="20"/>
          <w:szCs w:val="20"/>
          <w:lang w:eastAsia="sl-SI"/>
        </w:rPr>
        <w:t>ira</w:t>
      </w:r>
      <w:r w:rsidRPr="00D83239">
        <w:rPr>
          <w:rFonts w:ascii="Arial" w:hAnsi="Arial" w:cs="Arial"/>
          <w:sz w:val="20"/>
          <w:szCs w:val="20"/>
          <w:lang w:eastAsia="sl-SI"/>
        </w:rPr>
        <w:t>), ki bo nadomestila aplikacijo Novice v Lotus Notes,</w:t>
      </w:r>
    </w:p>
    <w:p w14:paraId="6CAE87C6" w14:textId="77777777"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vzpostavitev povezave Registra državljanstev z evidenco Centra za slovenščino kot drugi ali tuji jezik,</w:t>
      </w:r>
    </w:p>
    <w:p w14:paraId="7E9B9556" w14:textId="77777777"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omogočanje vnosa in izbire več skrbnikov v registrih (MR, RSP, OI, PL),</w:t>
      </w:r>
    </w:p>
    <w:p w14:paraId="31BCFF5A" w14:textId="77777777"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 xml:space="preserve">posodobitev Azilnega registra in Registra tujcev zaradi novele Zakona o tujcih, </w:t>
      </w:r>
    </w:p>
    <w:p w14:paraId="3A9CE3F5" w14:textId="1F6EC8F7" w:rsidR="003C5D73" w:rsidRPr="00EB1B0F"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EB1B0F">
        <w:rPr>
          <w:rFonts w:ascii="Arial" w:hAnsi="Arial" w:cs="Arial"/>
          <w:sz w:val="20"/>
          <w:szCs w:val="20"/>
          <w:lang w:eastAsia="sl-SI"/>
        </w:rPr>
        <w:t>spremembe Evidence volilne pravice na področju evidentiranja podpor volivcev po 16. členu Z</w:t>
      </w:r>
      <w:r w:rsidR="000F7AB0" w:rsidRPr="00EB1B0F">
        <w:rPr>
          <w:rFonts w:ascii="Arial" w:hAnsi="Arial" w:cs="Arial"/>
          <w:sz w:val="20"/>
          <w:szCs w:val="20"/>
          <w:lang w:eastAsia="sl-SI"/>
        </w:rPr>
        <w:t>akona o referendumu in ljudski iniciativi</w:t>
      </w:r>
      <w:r w:rsidRPr="00EB1B0F">
        <w:rPr>
          <w:rFonts w:ascii="Arial" w:hAnsi="Arial" w:cs="Arial"/>
          <w:sz w:val="20"/>
          <w:szCs w:val="20"/>
          <w:lang w:eastAsia="sl-SI"/>
        </w:rPr>
        <w:t xml:space="preserve"> v povezavi z nadgradnjo vlog na </w:t>
      </w:r>
      <w:proofErr w:type="spellStart"/>
      <w:r w:rsidRPr="00EB1B0F">
        <w:rPr>
          <w:rFonts w:ascii="Arial" w:hAnsi="Arial" w:cs="Arial"/>
          <w:sz w:val="20"/>
          <w:szCs w:val="20"/>
          <w:lang w:eastAsia="sl-SI"/>
        </w:rPr>
        <w:t>eUpravi</w:t>
      </w:r>
      <w:proofErr w:type="spellEnd"/>
      <w:r w:rsidRPr="00EB1B0F">
        <w:rPr>
          <w:rFonts w:ascii="Arial" w:hAnsi="Arial" w:cs="Arial"/>
          <w:sz w:val="20"/>
          <w:szCs w:val="20"/>
          <w:lang w:eastAsia="sl-SI"/>
        </w:rPr>
        <w:t xml:space="preserve">, </w:t>
      </w:r>
    </w:p>
    <w:p w14:paraId="2FE1F3B0" w14:textId="77777777"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 xml:space="preserve">nadgradnja Registra tujcev za izvajanje </w:t>
      </w:r>
      <w:r w:rsidRPr="00D83239">
        <w:rPr>
          <w:rFonts w:ascii="Arial" w:eastAsia="Times New Roman" w:hAnsi="Arial" w:cs="Arial"/>
          <w:color w:val="000000"/>
          <w:sz w:val="20"/>
          <w:szCs w:val="20"/>
        </w:rPr>
        <w:t>Zakona o spremembah in dopolnitvah Zakona o tujcih (ZTuj-2I),</w:t>
      </w:r>
    </w:p>
    <w:p w14:paraId="0A4E7DEF" w14:textId="77777777"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eastAsia="Times New Roman" w:hAnsi="Arial" w:cs="Arial"/>
          <w:color w:val="000000"/>
          <w:sz w:val="20"/>
          <w:szCs w:val="20"/>
        </w:rPr>
        <w:t>nadgradnja Evidence potnih listin za izvajanje novega Zakona o potnih listinah,</w:t>
      </w:r>
    </w:p>
    <w:p w14:paraId="0041E8E2" w14:textId="77777777"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eastAsia="Times New Roman" w:hAnsi="Arial" w:cs="Arial"/>
          <w:color w:val="000000"/>
          <w:sz w:val="20"/>
          <w:szCs w:val="20"/>
        </w:rPr>
        <w:t>nadgradnja Evidence osebnih izkaznic za izvajanja sprememb Zakona o osebni izkaznici,</w:t>
      </w:r>
    </w:p>
    <w:p w14:paraId="7B8FDC45" w14:textId="77777777"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nadgradnja Registra tujcev z uvedbo dvostopenjskega postopka prenehanja dovoljenja za prebivanje/potrdila o prijavi prebivanja,</w:t>
      </w:r>
    </w:p>
    <w:p w14:paraId="59024FC8" w14:textId="7571F311"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vzpostavitev povezave Registra tujcev in Azilnega registra s schengenskim informacijskim sistemom in sistemom kontroliranega vstopa in izstopa EES (</w:t>
      </w:r>
      <w:proofErr w:type="spellStart"/>
      <w:r w:rsidRPr="00D83239">
        <w:rPr>
          <w:rFonts w:ascii="Arial" w:hAnsi="Arial" w:cs="Arial"/>
          <w:sz w:val="20"/>
          <w:szCs w:val="20"/>
          <w:lang w:eastAsia="sl-SI"/>
        </w:rPr>
        <w:t>Entry</w:t>
      </w:r>
      <w:proofErr w:type="spellEnd"/>
      <w:r w:rsidRPr="00D83239">
        <w:rPr>
          <w:rFonts w:ascii="Arial" w:hAnsi="Arial" w:cs="Arial"/>
          <w:sz w:val="20"/>
          <w:szCs w:val="20"/>
          <w:lang w:eastAsia="sl-SI"/>
        </w:rPr>
        <w:t xml:space="preserve"> </w:t>
      </w:r>
      <w:proofErr w:type="spellStart"/>
      <w:r w:rsidRPr="00D83239">
        <w:rPr>
          <w:rFonts w:ascii="Arial" w:hAnsi="Arial" w:cs="Arial"/>
          <w:sz w:val="20"/>
          <w:szCs w:val="20"/>
          <w:lang w:eastAsia="sl-SI"/>
        </w:rPr>
        <w:t>Exit</w:t>
      </w:r>
      <w:proofErr w:type="spellEnd"/>
      <w:r w:rsidRPr="00D83239">
        <w:rPr>
          <w:rFonts w:ascii="Arial" w:hAnsi="Arial" w:cs="Arial"/>
          <w:sz w:val="20"/>
          <w:szCs w:val="20"/>
          <w:lang w:eastAsia="sl-SI"/>
        </w:rPr>
        <w:t xml:space="preserve"> </w:t>
      </w:r>
      <w:proofErr w:type="spellStart"/>
      <w:r w:rsidRPr="00D83239">
        <w:rPr>
          <w:rFonts w:ascii="Arial" w:hAnsi="Arial" w:cs="Arial"/>
          <w:sz w:val="20"/>
          <w:szCs w:val="20"/>
          <w:lang w:eastAsia="sl-SI"/>
        </w:rPr>
        <w:t>System</w:t>
      </w:r>
      <w:proofErr w:type="spellEnd"/>
      <w:r w:rsidRPr="00D83239">
        <w:rPr>
          <w:rFonts w:ascii="Arial" w:hAnsi="Arial" w:cs="Arial"/>
          <w:sz w:val="20"/>
          <w:szCs w:val="20"/>
          <w:lang w:eastAsia="sl-SI"/>
        </w:rPr>
        <w:t>),</w:t>
      </w:r>
    </w:p>
    <w:p w14:paraId="48BB9887" w14:textId="2F86D03C"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rPr>
        <w:t>prenos vseh aplikacij za podporo postopko</w:t>
      </w:r>
      <w:r w:rsidR="0080686C">
        <w:rPr>
          <w:rFonts w:ascii="Arial" w:hAnsi="Arial" w:cs="Arial"/>
          <w:sz w:val="20"/>
          <w:szCs w:val="20"/>
        </w:rPr>
        <w:t>m</w:t>
      </w:r>
      <w:r w:rsidRPr="00D83239">
        <w:rPr>
          <w:rFonts w:ascii="Arial" w:hAnsi="Arial" w:cs="Arial"/>
          <w:sz w:val="20"/>
          <w:szCs w:val="20"/>
        </w:rPr>
        <w:t xml:space="preserve"> mednarodne zaščite iz okolja Lotus Notes v informacijski sistem upravnih notranjih zadev</w:t>
      </w:r>
      <w:r w:rsidR="00072B79">
        <w:rPr>
          <w:rFonts w:ascii="Arial" w:hAnsi="Arial" w:cs="Arial"/>
          <w:sz w:val="20"/>
          <w:szCs w:val="20"/>
        </w:rPr>
        <w:t>,</w:t>
      </w:r>
    </w:p>
    <w:p w14:paraId="5FD749F5" w14:textId="3393A17F" w:rsidR="003C5D73" w:rsidRPr="00D83239" w:rsidRDefault="003C5D73"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sidRPr="00D83239">
        <w:rPr>
          <w:rFonts w:ascii="Arial" w:hAnsi="Arial" w:cs="Arial"/>
          <w:sz w:val="20"/>
          <w:szCs w:val="20"/>
          <w:lang w:eastAsia="sl-SI"/>
        </w:rPr>
        <w:t xml:space="preserve">izvajanje </w:t>
      </w:r>
      <w:proofErr w:type="spellStart"/>
      <w:r w:rsidRPr="00D83239">
        <w:rPr>
          <w:rFonts w:ascii="Arial" w:hAnsi="Arial" w:cs="Arial"/>
          <w:sz w:val="20"/>
          <w:szCs w:val="20"/>
          <w:lang w:eastAsia="sl-SI"/>
        </w:rPr>
        <w:t>penetracijskih</w:t>
      </w:r>
      <w:proofErr w:type="spellEnd"/>
      <w:r w:rsidRPr="00D83239">
        <w:rPr>
          <w:rFonts w:ascii="Arial" w:hAnsi="Arial" w:cs="Arial"/>
          <w:sz w:val="20"/>
          <w:szCs w:val="20"/>
          <w:lang w:eastAsia="sl-SI"/>
        </w:rPr>
        <w:t xml:space="preserve"> testov na novem Azilnem registru, Dokumentih beguncev in nov</w:t>
      </w:r>
      <w:r w:rsidR="00072B79">
        <w:rPr>
          <w:rFonts w:ascii="Arial" w:hAnsi="Arial" w:cs="Arial"/>
          <w:sz w:val="20"/>
          <w:szCs w:val="20"/>
          <w:lang w:eastAsia="sl-SI"/>
        </w:rPr>
        <w:t>i</w:t>
      </w:r>
      <w:r w:rsidRPr="00D83239">
        <w:rPr>
          <w:rFonts w:ascii="Arial" w:hAnsi="Arial" w:cs="Arial"/>
          <w:sz w:val="20"/>
          <w:szCs w:val="20"/>
          <w:lang w:eastAsia="sl-SI"/>
        </w:rPr>
        <w:t xml:space="preserve"> aplikacij</w:t>
      </w:r>
      <w:r w:rsidR="00072B79">
        <w:rPr>
          <w:rFonts w:ascii="Arial" w:hAnsi="Arial" w:cs="Arial"/>
          <w:sz w:val="20"/>
          <w:szCs w:val="20"/>
          <w:lang w:eastAsia="sl-SI"/>
        </w:rPr>
        <w:t>i</w:t>
      </w:r>
      <w:r w:rsidRPr="00D83239">
        <w:rPr>
          <w:rFonts w:ascii="Arial" w:hAnsi="Arial" w:cs="Arial"/>
          <w:sz w:val="20"/>
          <w:szCs w:val="20"/>
          <w:lang w:eastAsia="sl-SI"/>
        </w:rPr>
        <w:t xml:space="preserve"> Objave,</w:t>
      </w:r>
    </w:p>
    <w:p w14:paraId="613D30D1" w14:textId="41A765DF" w:rsidR="003C5D73" w:rsidRPr="00D83239" w:rsidRDefault="00072B79" w:rsidP="00FE543C">
      <w:pPr>
        <w:pStyle w:val="Odstavekseznama"/>
        <w:numPr>
          <w:ilvl w:val="0"/>
          <w:numId w:val="10"/>
        </w:numPr>
        <w:autoSpaceDE w:val="0"/>
        <w:autoSpaceDN w:val="0"/>
        <w:adjustRightInd w:val="0"/>
        <w:spacing w:after="0"/>
        <w:ind w:left="426" w:hanging="426"/>
        <w:jc w:val="both"/>
        <w:rPr>
          <w:rFonts w:ascii="Arial" w:hAnsi="Arial" w:cs="Arial"/>
          <w:sz w:val="20"/>
          <w:szCs w:val="20"/>
          <w:lang w:eastAsia="sl-SI"/>
        </w:rPr>
      </w:pPr>
      <w:r>
        <w:rPr>
          <w:rFonts w:ascii="Arial" w:hAnsi="Arial" w:cs="Arial"/>
          <w:sz w:val="20"/>
          <w:szCs w:val="20"/>
          <w:lang w:eastAsia="sl-SI"/>
        </w:rPr>
        <w:t>za</w:t>
      </w:r>
      <w:r w:rsidR="003C5D73" w:rsidRPr="00D83239">
        <w:rPr>
          <w:rFonts w:ascii="Arial" w:hAnsi="Arial" w:cs="Arial"/>
          <w:sz w:val="20"/>
          <w:szCs w:val="20"/>
          <w:lang w:eastAsia="sl-SI"/>
        </w:rPr>
        <w:t>četek analize vzpostavitve nove varnostne sheme ISUNZ.</w:t>
      </w:r>
    </w:p>
    <w:p w14:paraId="0386A296" w14:textId="77777777" w:rsidR="003C5D73" w:rsidRPr="00D83239" w:rsidRDefault="003C5D73" w:rsidP="00D83239">
      <w:pPr>
        <w:autoSpaceDE w:val="0"/>
        <w:autoSpaceDN w:val="0"/>
        <w:adjustRightInd w:val="0"/>
        <w:spacing w:after="0" w:line="276" w:lineRule="auto"/>
        <w:jc w:val="both"/>
        <w:rPr>
          <w:rFonts w:ascii="Arial" w:hAnsi="Arial" w:cs="Arial"/>
          <w:sz w:val="20"/>
          <w:szCs w:val="20"/>
        </w:rPr>
      </w:pPr>
    </w:p>
    <w:tbl>
      <w:tblPr>
        <w:tblW w:w="8359" w:type="dxa"/>
        <w:tblCellMar>
          <w:left w:w="70" w:type="dxa"/>
          <w:right w:w="70" w:type="dxa"/>
        </w:tblCellMar>
        <w:tblLook w:val="04A0" w:firstRow="1" w:lastRow="0" w:firstColumn="1" w:lastColumn="0" w:noHBand="0" w:noVBand="1"/>
      </w:tblPr>
      <w:tblGrid>
        <w:gridCol w:w="796"/>
        <w:gridCol w:w="1609"/>
        <w:gridCol w:w="1262"/>
        <w:gridCol w:w="774"/>
        <w:gridCol w:w="1508"/>
        <w:gridCol w:w="1276"/>
        <w:gridCol w:w="1134"/>
      </w:tblGrid>
      <w:tr w:rsidR="003C5D73" w:rsidRPr="00D83239" w14:paraId="502BE8E1" w14:textId="77777777" w:rsidTr="00564D24">
        <w:trPr>
          <w:trHeight w:val="286"/>
        </w:trPr>
        <w:tc>
          <w:tcPr>
            <w:tcW w:w="3667"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5F18141B" w14:textId="77777777" w:rsidR="003C5D73" w:rsidRPr="00D83239" w:rsidRDefault="003C5D73" w:rsidP="00D83239">
            <w:pPr>
              <w:spacing w:after="0" w:line="276" w:lineRule="auto"/>
              <w:jc w:val="both"/>
              <w:rPr>
                <w:rFonts w:ascii="Arial" w:eastAsia="Times New Roman" w:hAnsi="Arial" w:cs="Arial"/>
                <w:b/>
                <w:bCs/>
                <w:color w:val="000000"/>
                <w:sz w:val="20"/>
                <w:szCs w:val="20"/>
                <w:lang w:eastAsia="sl-SI"/>
              </w:rPr>
            </w:pPr>
            <w:r w:rsidRPr="00D83239">
              <w:rPr>
                <w:rFonts w:ascii="Arial" w:eastAsia="Times New Roman" w:hAnsi="Arial" w:cs="Arial"/>
                <w:b/>
                <w:bCs/>
                <w:color w:val="000000"/>
                <w:sz w:val="20"/>
                <w:szCs w:val="20"/>
                <w:lang w:eastAsia="sl-SI"/>
              </w:rPr>
              <w:t>Nadgradnje</w:t>
            </w:r>
          </w:p>
        </w:tc>
        <w:tc>
          <w:tcPr>
            <w:tcW w:w="4692" w:type="dxa"/>
            <w:gridSpan w:val="4"/>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39C831D1" w14:textId="77777777" w:rsidR="003C5D73" w:rsidRPr="00D83239" w:rsidRDefault="003C5D73" w:rsidP="00D83239">
            <w:pPr>
              <w:spacing w:after="0" w:line="276" w:lineRule="auto"/>
              <w:jc w:val="both"/>
              <w:rPr>
                <w:rFonts w:ascii="Arial" w:eastAsia="Times New Roman" w:hAnsi="Arial" w:cs="Arial"/>
                <w:b/>
                <w:bCs/>
                <w:color w:val="000000"/>
                <w:sz w:val="20"/>
                <w:szCs w:val="20"/>
                <w:lang w:eastAsia="sl-SI"/>
              </w:rPr>
            </w:pPr>
            <w:r w:rsidRPr="00D83239">
              <w:rPr>
                <w:rFonts w:ascii="Arial" w:eastAsia="Times New Roman" w:hAnsi="Arial" w:cs="Arial"/>
                <w:b/>
                <w:bCs/>
                <w:color w:val="000000"/>
                <w:sz w:val="20"/>
                <w:szCs w:val="20"/>
                <w:lang w:eastAsia="sl-SI"/>
              </w:rPr>
              <w:t>Incidenti in napake</w:t>
            </w:r>
          </w:p>
        </w:tc>
      </w:tr>
      <w:tr w:rsidR="003C5D73" w:rsidRPr="00D83239" w14:paraId="7ECD4A8C" w14:textId="77777777" w:rsidTr="00564D24">
        <w:trPr>
          <w:trHeight w:val="286"/>
        </w:trPr>
        <w:tc>
          <w:tcPr>
            <w:tcW w:w="79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F91E44B" w14:textId="3C77F367" w:rsidR="003C5D73" w:rsidRPr="00D83239" w:rsidRDefault="007A11F5" w:rsidP="00D83239">
            <w:pPr>
              <w:spacing w:after="0" w:line="276" w:lineRule="auto"/>
              <w:jc w:val="both"/>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M</w:t>
            </w:r>
            <w:r w:rsidR="003C5D73" w:rsidRPr="00D83239">
              <w:rPr>
                <w:rFonts w:ascii="Arial" w:eastAsia="Times New Roman" w:hAnsi="Arial" w:cs="Arial"/>
                <w:b/>
                <w:bCs/>
                <w:color w:val="000000"/>
                <w:sz w:val="20"/>
                <w:szCs w:val="20"/>
                <w:lang w:eastAsia="sl-SI"/>
              </w:rPr>
              <w:t>esec</w:t>
            </w:r>
          </w:p>
        </w:tc>
        <w:tc>
          <w:tcPr>
            <w:tcW w:w="1609" w:type="dxa"/>
            <w:tcBorders>
              <w:top w:val="nil"/>
              <w:left w:val="nil"/>
              <w:bottom w:val="single" w:sz="4" w:space="0" w:color="auto"/>
              <w:right w:val="single" w:sz="4" w:space="0" w:color="auto"/>
            </w:tcBorders>
            <w:shd w:val="clear" w:color="auto" w:fill="D9D9D9" w:themeFill="background1" w:themeFillShade="D9"/>
            <w:noWrap/>
            <w:vAlign w:val="bottom"/>
            <w:hideMark/>
          </w:tcPr>
          <w:p w14:paraId="5AEFE1F1" w14:textId="2979E55A" w:rsidR="003C5D73" w:rsidRPr="00D83239" w:rsidRDefault="007A11F5" w:rsidP="00D83239">
            <w:pPr>
              <w:spacing w:after="0" w:line="276" w:lineRule="auto"/>
              <w:jc w:val="both"/>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Št. zahtevkov</w:t>
            </w:r>
          </w:p>
        </w:tc>
        <w:tc>
          <w:tcPr>
            <w:tcW w:w="1262" w:type="dxa"/>
            <w:tcBorders>
              <w:top w:val="nil"/>
              <w:left w:val="nil"/>
              <w:bottom w:val="single" w:sz="4" w:space="0" w:color="auto"/>
              <w:right w:val="single" w:sz="4" w:space="0" w:color="auto"/>
            </w:tcBorders>
            <w:shd w:val="clear" w:color="auto" w:fill="D9D9D9" w:themeFill="background1" w:themeFillShade="D9"/>
            <w:noWrap/>
            <w:vAlign w:val="bottom"/>
            <w:hideMark/>
          </w:tcPr>
          <w:p w14:paraId="3FBBCC71" w14:textId="55E1E296" w:rsidR="003C5D73" w:rsidRPr="00D83239" w:rsidRDefault="007A11F5" w:rsidP="00564D24">
            <w:pPr>
              <w:spacing w:after="0" w:line="276" w:lineRule="auto"/>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Obseg v urah</w:t>
            </w:r>
          </w:p>
        </w:tc>
        <w:tc>
          <w:tcPr>
            <w:tcW w:w="774" w:type="dxa"/>
            <w:tcBorders>
              <w:top w:val="nil"/>
              <w:left w:val="nil"/>
              <w:bottom w:val="single" w:sz="4" w:space="0" w:color="auto"/>
              <w:right w:val="single" w:sz="4" w:space="0" w:color="auto"/>
            </w:tcBorders>
            <w:shd w:val="clear" w:color="auto" w:fill="D9D9D9" w:themeFill="background1" w:themeFillShade="D9"/>
            <w:noWrap/>
            <w:vAlign w:val="bottom"/>
            <w:hideMark/>
          </w:tcPr>
          <w:p w14:paraId="229EE87D" w14:textId="1FAA9B94" w:rsidR="003C5D73" w:rsidRPr="00D83239" w:rsidRDefault="007A11F5" w:rsidP="00D83239">
            <w:pPr>
              <w:spacing w:after="0" w:line="276" w:lineRule="auto"/>
              <w:jc w:val="both"/>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M</w:t>
            </w:r>
            <w:r w:rsidR="003C5D73" w:rsidRPr="00D83239">
              <w:rPr>
                <w:rFonts w:ascii="Arial" w:eastAsia="Times New Roman" w:hAnsi="Arial" w:cs="Arial"/>
                <w:b/>
                <w:bCs/>
                <w:color w:val="000000"/>
                <w:sz w:val="20"/>
                <w:szCs w:val="20"/>
                <w:lang w:eastAsia="sl-SI"/>
              </w:rPr>
              <w:t>esec</w:t>
            </w:r>
          </w:p>
        </w:tc>
        <w:tc>
          <w:tcPr>
            <w:tcW w:w="15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549CA4B" w14:textId="16B0A096" w:rsidR="003C5D73" w:rsidRPr="00D83239" w:rsidRDefault="007A11F5" w:rsidP="00D83239">
            <w:pPr>
              <w:spacing w:after="0" w:line="276" w:lineRule="auto"/>
              <w:jc w:val="both"/>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 xml:space="preserve">Št. </w:t>
            </w:r>
            <w:r w:rsidR="003C5D73" w:rsidRPr="00D83239">
              <w:rPr>
                <w:rFonts w:ascii="Arial" w:eastAsia="Times New Roman" w:hAnsi="Arial" w:cs="Arial"/>
                <w:b/>
                <w:bCs/>
                <w:color w:val="000000"/>
                <w:sz w:val="20"/>
                <w:szCs w:val="20"/>
                <w:lang w:eastAsia="sl-SI"/>
              </w:rPr>
              <w:t>zahtevkov</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3AE272A4" w14:textId="3BE32745" w:rsidR="003C5D73" w:rsidRPr="00D83239" w:rsidRDefault="007A11F5" w:rsidP="00564D24">
            <w:pPr>
              <w:spacing w:after="0" w:line="276" w:lineRule="auto"/>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O</w:t>
            </w:r>
            <w:r w:rsidR="003C5D73" w:rsidRPr="00D83239">
              <w:rPr>
                <w:rFonts w:ascii="Arial" w:eastAsia="Times New Roman" w:hAnsi="Arial" w:cs="Arial"/>
                <w:b/>
                <w:bCs/>
                <w:color w:val="000000"/>
                <w:sz w:val="20"/>
                <w:szCs w:val="20"/>
                <w:lang w:eastAsia="sl-SI"/>
              </w:rPr>
              <w:t>d tega reklamacije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1C54DDCA" w14:textId="16BA4728" w:rsidR="003C5D73" w:rsidRPr="00D83239" w:rsidRDefault="007A11F5" w:rsidP="00564D24">
            <w:pPr>
              <w:spacing w:after="0" w:line="276" w:lineRule="auto"/>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Obseg v urah</w:t>
            </w:r>
          </w:p>
        </w:tc>
      </w:tr>
      <w:tr w:rsidR="003C5D73" w:rsidRPr="00D83239" w14:paraId="66735082"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24B1D798"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jan</w:t>
            </w:r>
          </w:p>
        </w:tc>
        <w:tc>
          <w:tcPr>
            <w:tcW w:w="1609" w:type="dxa"/>
            <w:tcBorders>
              <w:top w:val="nil"/>
              <w:left w:val="nil"/>
              <w:bottom w:val="single" w:sz="4" w:space="0" w:color="auto"/>
              <w:right w:val="single" w:sz="4" w:space="0" w:color="auto"/>
            </w:tcBorders>
            <w:shd w:val="clear" w:color="auto" w:fill="auto"/>
            <w:noWrap/>
            <w:vAlign w:val="bottom"/>
            <w:hideMark/>
          </w:tcPr>
          <w:p w14:paraId="55A8AA13"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w:t>
            </w:r>
          </w:p>
        </w:tc>
        <w:tc>
          <w:tcPr>
            <w:tcW w:w="1262" w:type="dxa"/>
            <w:tcBorders>
              <w:top w:val="nil"/>
              <w:left w:val="nil"/>
              <w:bottom w:val="single" w:sz="4" w:space="0" w:color="auto"/>
              <w:right w:val="single" w:sz="4" w:space="0" w:color="auto"/>
            </w:tcBorders>
            <w:shd w:val="clear" w:color="auto" w:fill="auto"/>
            <w:noWrap/>
            <w:vAlign w:val="bottom"/>
            <w:hideMark/>
          </w:tcPr>
          <w:p w14:paraId="42917C29"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 </w:t>
            </w:r>
          </w:p>
        </w:tc>
        <w:tc>
          <w:tcPr>
            <w:tcW w:w="774" w:type="dxa"/>
            <w:tcBorders>
              <w:top w:val="nil"/>
              <w:left w:val="nil"/>
              <w:bottom w:val="single" w:sz="4" w:space="0" w:color="auto"/>
              <w:right w:val="single" w:sz="4" w:space="0" w:color="auto"/>
            </w:tcBorders>
            <w:shd w:val="clear" w:color="000000" w:fill="EDEDED"/>
            <w:noWrap/>
            <w:vAlign w:val="bottom"/>
            <w:hideMark/>
          </w:tcPr>
          <w:p w14:paraId="625501E4"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jan</w:t>
            </w:r>
          </w:p>
        </w:tc>
        <w:tc>
          <w:tcPr>
            <w:tcW w:w="1508" w:type="dxa"/>
            <w:tcBorders>
              <w:top w:val="nil"/>
              <w:left w:val="nil"/>
              <w:bottom w:val="single" w:sz="4" w:space="0" w:color="auto"/>
              <w:right w:val="single" w:sz="4" w:space="0" w:color="auto"/>
            </w:tcBorders>
            <w:shd w:val="clear" w:color="auto" w:fill="auto"/>
            <w:noWrap/>
            <w:vAlign w:val="bottom"/>
            <w:hideMark/>
          </w:tcPr>
          <w:p w14:paraId="72366F3A"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30</w:t>
            </w:r>
          </w:p>
        </w:tc>
        <w:tc>
          <w:tcPr>
            <w:tcW w:w="1276" w:type="dxa"/>
            <w:tcBorders>
              <w:top w:val="nil"/>
              <w:left w:val="nil"/>
              <w:bottom w:val="single" w:sz="4" w:space="0" w:color="auto"/>
              <w:right w:val="single" w:sz="4" w:space="0" w:color="auto"/>
            </w:tcBorders>
            <w:shd w:val="clear" w:color="auto" w:fill="auto"/>
            <w:noWrap/>
            <w:vAlign w:val="bottom"/>
            <w:hideMark/>
          </w:tcPr>
          <w:p w14:paraId="2D55F763"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3</w:t>
            </w:r>
          </w:p>
        </w:tc>
        <w:tc>
          <w:tcPr>
            <w:tcW w:w="1134" w:type="dxa"/>
            <w:tcBorders>
              <w:top w:val="nil"/>
              <w:left w:val="nil"/>
              <w:bottom w:val="single" w:sz="4" w:space="0" w:color="auto"/>
              <w:right w:val="single" w:sz="4" w:space="0" w:color="auto"/>
            </w:tcBorders>
            <w:shd w:val="clear" w:color="auto" w:fill="auto"/>
            <w:noWrap/>
            <w:vAlign w:val="bottom"/>
            <w:hideMark/>
          </w:tcPr>
          <w:p w14:paraId="5600596B"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100</w:t>
            </w:r>
          </w:p>
        </w:tc>
      </w:tr>
      <w:tr w:rsidR="003C5D73" w:rsidRPr="00D83239" w14:paraId="7BE593F7"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70E487FB"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feb</w:t>
            </w:r>
          </w:p>
        </w:tc>
        <w:tc>
          <w:tcPr>
            <w:tcW w:w="1609" w:type="dxa"/>
            <w:tcBorders>
              <w:top w:val="nil"/>
              <w:left w:val="nil"/>
              <w:bottom w:val="single" w:sz="4" w:space="0" w:color="auto"/>
              <w:right w:val="single" w:sz="4" w:space="0" w:color="auto"/>
            </w:tcBorders>
            <w:shd w:val="clear" w:color="auto" w:fill="auto"/>
            <w:noWrap/>
            <w:vAlign w:val="bottom"/>
            <w:hideMark/>
          </w:tcPr>
          <w:p w14:paraId="0A419296"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w:t>
            </w:r>
          </w:p>
        </w:tc>
        <w:tc>
          <w:tcPr>
            <w:tcW w:w="1262" w:type="dxa"/>
            <w:tcBorders>
              <w:top w:val="nil"/>
              <w:left w:val="nil"/>
              <w:bottom w:val="single" w:sz="4" w:space="0" w:color="auto"/>
              <w:right w:val="single" w:sz="4" w:space="0" w:color="auto"/>
            </w:tcBorders>
            <w:shd w:val="clear" w:color="auto" w:fill="auto"/>
            <w:noWrap/>
            <w:vAlign w:val="bottom"/>
            <w:hideMark/>
          </w:tcPr>
          <w:p w14:paraId="10A13546"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163</w:t>
            </w:r>
          </w:p>
        </w:tc>
        <w:tc>
          <w:tcPr>
            <w:tcW w:w="774" w:type="dxa"/>
            <w:tcBorders>
              <w:top w:val="nil"/>
              <w:left w:val="nil"/>
              <w:bottom w:val="single" w:sz="4" w:space="0" w:color="auto"/>
              <w:right w:val="single" w:sz="4" w:space="0" w:color="auto"/>
            </w:tcBorders>
            <w:shd w:val="clear" w:color="000000" w:fill="EDEDED"/>
            <w:noWrap/>
            <w:vAlign w:val="bottom"/>
            <w:hideMark/>
          </w:tcPr>
          <w:p w14:paraId="13857B6D"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feb</w:t>
            </w:r>
          </w:p>
        </w:tc>
        <w:tc>
          <w:tcPr>
            <w:tcW w:w="1508" w:type="dxa"/>
            <w:tcBorders>
              <w:top w:val="nil"/>
              <w:left w:val="nil"/>
              <w:bottom w:val="single" w:sz="4" w:space="0" w:color="auto"/>
              <w:right w:val="single" w:sz="4" w:space="0" w:color="auto"/>
            </w:tcBorders>
            <w:shd w:val="clear" w:color="auto" w:fill="auto"/>
            <w:noWrap/>
            <w:vAlign w:val="bottom"/>
            <w:hideMark/>
          </w:tcPr>
          <w:p w14:paraId="02DCB288"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26</w:t>
            </w:r>
          </w:p>
        </w:tc>
        <w:tc>
          <w:tcPr>
            <w:tcW w:w="1276" w:type="dxa"/>
            <w:tcBorders>
              <w:top w:val="nil"/>
              <w:left w:val="nil"/>
              <w:bottom w:val="single" w:sz="4" w:space="0" w:color="auto"/>
              <w:right w:val="single" w:sz="4" w:space="0" w:color="auto"/>
            </w:tcBorders>
            <w:shd w:val="clear" w:color="auto" w:fill="auto"/>
            <w:noWrap/>
            <w:vAlign w:val="bottom"/>
            <w:hideMark/>
          </w:tcPr>
          <w:p w14:paraId="67B9CC24"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5DD97EE2"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96</w:t>
            </w:r>
          </w:p>
        </w:tc>
      </w:tr>
      <w:tr w:rsidR="003C5D73" w:rsidRPr="00D83239" w14:paraId="716789C1"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316A7234"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mar</w:t>
            </w:r>
          </w:p>
        </w:tc>
        <w:tc>
          <w:tcPr>
            <w:tcW w:w="1609" w:type="dxa"/>
            <w:tcBorders>
              <w:top w:val="nil"/>
              <w:left w:val="nil"/>
              <w:bottom w:val="single" w:sz="4" w:space="0" w:color="auto"/>
              <w:right w:val="single" w:sz="4" w:space="0" w:color="auto"/>
            </w:tcBorders>
            <w:shd w:val="clear" w:color="auto" w:fill="auto"/>
            <w:noWrap/>
            <w:vAlign w:val="bottom"/>
            <w:hideMark/>
          </w:tcPr>
          <w:p w14:paraId="5BABF7F3"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w:t>
            </w:r>
          </w:p>
        </w:tc>
        <w:tc>
          <w:tcPr>
            <w:tcW w:w="1262" w:type="dxa"/>
            <w:tcBorders>
              <w:top w:val="nil"/>
              <w:left w:val="nil"/>
              <w:bottom w:val="single" w:sz="4" w:space="0" w:color="auto"/>
              <w:right w:val="single" w:sz="4" w:space="0" w:color="auto"/>
            </w:tcBorders>
            <w:shd w:val="clear" w:color="auto" w:fill="auto"/>
            <w:noWrap/>
            <w:vAlign w:val="bottom"/>
            <w:hideMark/>
          </w:tcPr>
          <w:p w14:paraId="6F5414EB"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1.527</w:t>
            </w:r>
          </w:p>
        </w:tc>
        <w:tc>
          <w:tcPr>
            <w:tcW w:w="774" w:type="dxa"/>
            <w:tcBorders>
              <w:top w:val="nil"/>
              <w:left w:val="nil"/>
              <w:bottom w:val="single" w:sz="4" w:space="0" w:color="auto"/>
              <w:right w:val="single" w:sz="4" w:space="0" w:color="auto"/>
            </w:tcBorders>
            <w:shd w:val="clear" w:color="000000" w:fill="EDEDED"/>
            <w:noWrap/>
            <w:vAlign w:val="bottom"/>
            <w:hideMark/>
          </w:tcPr>
          <w:p w14:paraId="07B36DF1"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mar</w:t>
            </w:r>
          </w:p>
        </w:tc>
        <w:tc>
          <w:tcPr>
            <w:tcW w:w="1508" w:type="dxa"/>
            <w:tcBorders>
              <w:top w:val="nil"/>
              <w:left w:val="nil"/>
              <w:bottom w:val="single" w:sz="4" w:space="0" w:color="auto"/>
              <w:right w:val="single" w:sz="4" w:space="0" w:color="auto"/>
            </w:tcBorders>
            <w:shd w:val="clear" w:color="auto" w:fill="auto"/>
            <w:noWrap/>
            <w:vAlign w:val="bottom"/>
            <w:hideMark/>
          </w:tcPr>
          <w:p w14:paraId="098D5FB1"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44</w:t>
            </w:r>
          </w:p>
        </w:tc>
        <w:tc>
          <w:tcPr>
            <w:tcW w:w="1276" w:type="dxa"/>
            <w:tcBorders>
              <w:top w:val="nil"/>
              <w:left w:val="nil"/>
              <w:bottom w:val="single" w:sz="4" w:space="0" w:color="auto"/>
              <w:right w:val="single" w:sz="4" w:space="0" w:color="auto"/>
            </w:tcBorders>
            <w:shd w:val="clear" w:color="auto" w:fill="auto"/>
            <w:noWrap/>
            <w:vAlign w:val="bottom"/>
            <w:hideMark/>
          </w:tcPr>
          <w:p w14:paraId="0F9CB211"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10</w:t>
            </w:r>
          </w:p>
        </w:tc>
        <w:tc>
          <w:tcPr>
            <w:tcW w:w="1134" w:type="dxa"/>
            <w:tcBorders>
              <w:top w:val="nil"/>
              <w:left w:val="nil"/>
              <w:bottom w:val="single" w:sz="4" w:space="0" w:color="auto"/>
              <w:right w:val="single" w:sz="4" w:space="0" w:color="auto"/>
            </w:tcBorders>
            <w:shd w:val="clear" w:color="auto" w:fill="auto"/>
            <w:noWrap/>
            <w:vAlign w:val="bottom"/>
            <w:hideMark/>
          </w:tcPr>
          <w:p w14:paraId="0967E276"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102</w:t>
            </w:r>
          </w:p>
        </w:tc>
      </w:tr>
      <w:tr w:rsidR="003C5D73" w:rsidRPr="00D83239" w14:paraId="77ABA5BB"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2C1C967E"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apr</w:t>
            </w:r>
          </w:p>
        </w:tc>
        <w:tc>
          <w:tcPr>
            <w:tcW w:w="1609" w:type="dxa"/>
            <w:tcBorders>
              <w:top w:val="nil"/>
              <w:left w:val="nil"/>
              <w:bottom w:val="single" w:sz="4" w:space="0" w:color="auto"/>
              <w:right w:val="single" w:sz="4" w:space="0" w:color="auto"/>
            </w:tcBorders>
            <w:shd w:val="clear" w:color="auto" w:fill="auto"/>
            <w:noWrap/>
            <w:vAlign w:val="bottom"/>
            <w:hideMark/>
          </w:tcPr>
          <w:p w14:paraId="5FC63078"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w:t>
            </w:r>
          </w:p>
        </w:tc>
        <w:tc>
          <w:tcPr>
            <w:tcW w:w="1262" w:type="dxa"/>
            <w:tcBorders>
              <w:top w:val="nil"/>
              <w:left w:val="nil"/>
              <w:bottom w:val="single" w:sz="4" w:space="0" w:color="auto"/>
              <w:right w:val="single" w:sz="4" w:space="0" w:color="auto"/>
            </w:tcBorders>
            <w:shd w:val="clear" w:color="auto" w:fill="auto"/>
            <w:noWrap/>
            <w:vAlign w:val="bottom"/>
            <w:hideMark/>
          </w:tcPr>
          <w:p w14:paraId="513E5D7C"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291</w:t>
            </w:r>
          </w:p>
        </w:tc>
        <w:tc>
          <w:tcPr>
            <w:tcW w:w="774" w:type="dxa"/>
            <w:tcBorders>
              <w:top w:val="nil"/>
              <w:left w:val="nil"/>
              <w:bottom w:val="single" w:sz="4" w:space="0" w:color="auto"/>
              <w:right w:val="single" w:sz="4" w:space="0" w:color="auto"/>
            </w:tcBorders>
            <w:shd w:val="clear" w:color="000000" w:fill="EDEDED"/>
            <w:noWrap/>
            <w:vAlign w:val="bottom"/>
            <w:hideMark/>
          </w:tcPr>
          <w:p w14:paraId="60953B7B"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apr</w:t>
            </w:r>
          </w:p>
        </w:tc>
        <w:tc>
          <w:tcPr>
            <w:tcW w:w="1508" w:type="dxa"/>
            <w:tcBorders>
              <w:top w:val="nil"/>
              <w:left w:val="nil"/>
              <w:bottom w:val="single" w:sz="4" w:space="0" w:color="auto"/>
              <w:right w:val="single" w:sz="4" w:space="0" w:color="auto"/>
            </w:tcBorders>
            <w:shd w:val="clear" w:color="auto" w:fill="auto"/>
            <w:noWrap/>
            <w:vAlign w:val="bottom"/>
            <w:hideMark/>
          </w:tcPr>
          <w:p w14:paraId="5817CAEE"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23</w:t>
            </w:r>
          </w:p>
        </w:tc>
        <w:tc>
          <w:tcPr>
            <w:tcW w:w="1276" w:type="dxa"/>
            <w:tcBorders>
              <w:top w:val="nil"/>
              <w:left w:val="nil"/>
              <w:bottom w:val="single" w:sz="4" w:space="0" w:color="auto"/>
              <w:right w:val="single" w:sz="4" w:space="0" w:color="auto"/>
            </w:tcBorders>
            <w:shd w:val="clear" w:color="auto" w:fill="auto"/>
            <w:noWrap/>
            <w:vAlign w:val="bottom"/>
            <w:hideMark/>
          </w:tcPr>
          <w:p w14:paraId="23D0DFDC"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4</w:t>
            </w:r>
          </w:p>
        </w:tc>
        <w:tc>
          <w:tcPr>
            <w:tcW w:w="1134" w:type="dxa"/>
            <w:tcBorders>
              <w:top w:val="nil"/>
              <w:left w:val="nil"/>
              <w:bottom w:val="single" w:sz="4" w:space="0" w:color="auto"/>
              <w:right w:val="single" w:sz="4" w:space="0" w:color="auto"/>
            </w:tcBorders>
            <w:shd w:val="clear" w:color="auto" w:fill="auto"/>
            <w:noWrap/>
            <w:vAlign w:val="bottom"/>
            <w:hideMark/>
          </w:tcPr>
          <w:p w14:paraId="1F28B4C5"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47</w:t>
            </w:r>
          </w:p>
        </w:tc>
      </w:tr>
      <w:tr w:rsidR="003C5D73" w:rsidRPr="00D83239" w14:paraId="6B8E7159"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0F01F1AB"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maj</w:t>
            </w:r>
          </w:p>
        </w:tc>
        <w:tc>
          <w:tcPr>
            <w:tcW w:w="1609" w:type="dxa"/>
            <w:tcBorders>
              <w:top w:val="nil"/>
              <w:left w:val="nil"/>
              <w:bottom w:val="single" w:sz="4" w:space="0" w:color="auto"/>
              <w:right w:val="single" w:sz="4" w:space="0" w:color="auto"/>
            </w:tcBorders>
            <w:shd w:val="clear" w:color="auto" w:fill="auto"/>
            <w:noWrap/>
            <w:vAlign w:val="bottom"/>
            <w:hideMark/>
          </w:tcPr>
          <w:p w14:paraId="58A0F4FA"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w:t>
            </w:r>
          </w:p>
        </w:tc>
        <w:tc>
          <w:tcPr>
            <w:tcW w:w="1262" w:type="dxa"/>
            <w:tcBorders>
              <w:top w:val="nil"/>
              <w:left w:val="nil"/>
              <w:bottom w:val="single" w:sz="4" w:space="0" w:color="auto"/>
              <w:right w:val="single" w:sz="4" w:space="0" w:color="auto"/>
            </w:tcBorders>
            <w:shd w:val="clear" w:color="auto" w:fill="auto"/>
            <w:noWrap/>
            <w:vAlign w:val="bottom"/>
            <w:hideMark/>
          </w:tcPr>
          <w:p w14:paraId="31E2FC14"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1.678</w:t>
            </w:r>
          </w:p>
        </w:tc>
        <w:tc>
          <w:tcPr>
            <w:tcW w:w="774" w:type="dxa"/>
            <w:tcBorders>
              <w:top w:val="nil"/>
              <w:left w:val="nil"/>
              <w:bottom w:val="single" w:sz="4" w:space="0" w:color="auto"/>
              <w:right w:val="single" w:sz="4" w:space="0" w:color="auto"/>
            </w:tcBorders>
            <w:shd w:val="clear" w:color="000000" w:fill="EDEDED"/>
            <w:noWrap/>
            <w:vAlign w:val="bottom"/>
            <w:hideMark/>
          </w:tcPr>
          <w:p w14:paraId="6BED5C43"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maj</w:t>
            </w:r>
          </w:p>
        </w:tc>
        <w:tc>
          <w:tcPr>
            <w:tcW w:w="1508" w:type="dxa"/>
            <w:tcBorders>
              <w:top w:val="nil"/>
              <w:left w:val="nil"/>
              <w:bottom w:val="single" w:sz="4" w:space="0" w:color="auto"/>
              <w:right w:val="single" w:sz="4" w:space="0" w:color="auto"/>
            </w:tcBorders>
            <w:shd w:val="clear" w:color="auto" w:fill="auto"/>
            <w:noWrap/>
            <w:vAlign w:val="bottom"/>
            <w:hideMark/>
          </w:tcPr>
          <w:p w14:paraId="0BF95DBF"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36</w:t>
            </w:r>
          </w:p>
        </w:tc>
        <w:tc>
          <w:tcPr>
            <w:tcW w:w="1276" w:type="dxa"/>
            <w:tcBorders>
              <w:top w:val="nil"/>
              <w:left w:val="nil"/>
              <w:bottom w:val="single" w:sz="4" w:space="0" w:color="auto"/>
              <w:right w:val="single" w:sz="4" w:space="0" w:color="auto"/>
            </w:tcBorders>
            <w:shd w:val="clear" w:color="auto" w:fill="auto"/>
            <w:noWrap/>
            <w:vAlign w:val="bottom"/>
            <w:hideMark/>
          </w:tcPr>
          <w:p w14:paraId="788E0EF9"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3</w:t>
            </w:r>
          </w:p>
        </w:tc>
        <w:tc>
          <w:tcPr>
            <w:tcW w:w="1134" w:type="dxa"/>
            <w:tcBorders>
              <w:top w:val="nil"/>
              <w:left w:val="nil"/>
              <w:bottom w:val="single" w:sz="4" w:space="0" w:color="auto"/>
              <w:right w:val="single" w:sz="4" w:space="0" w:color="auto"/>
            </w:tcBorders>
            <w:shd w:val="clear" w:color="auto" w:fill="auto"/>
            <w:noWrap/>
            <w:vAlign w:val="bottom"/>
            <w:hideMark/>
          </w:tcPr>
          <w:p w14:paraId="7CE15533"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115</w:t>
            </w:r>
          </w:p>
        </w:tc>
      </w:tr>
      <w:tr w:rsidR="003C5D73" w:rsidRPr="00D83239" w14:paraId="59F5EB19"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529F4BDB"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proofErr w:type="spellStart"/>
            <w:r w:rsidRPr="00D83239">
              <w:rPr>
                <w:rFonts w:ascii="Arial" w:eastAsia="Times New Roman" w:hAnsi="Arial" w:cs="Arial"/>
                <w:color w:val="000000"/>
                <w:sz w:val="20"/>
                <w:szCs w:val="20"/>
                <w:lang w:eastAsia="sl-SI"/>
              </w:rPr>
              <w:t>jun</w:t>
            </w:r>
            <w:proofErr w:type="spellEnd"/>
          </w:p>
        </w:tc>
        <w:tc>
          <w:tcPr>
            <w:tcW w:w="1609" w:type="dxa"/>
            <w:tcBorders>
              <w:top w:val="nil"/>
              <w:left w:val="nil"/>
              <w:bottom w:val="single" w:sz="4" w:space="0" w:color="auto"/>
              <w:right w:val="single" w:sz="4" w:space="0" w:color="auto"/>
            </w:tcBorders>
            <w:shd w:val="clear" w:color="auto" w:fill="auto"/>
            <w:noWrap/>
            <w:vAlign w:val="bottom"/>
            <w:hideMark/>
          </w:tcPr>
          <w:p w14:paraId="442DF962"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w:t>
            </w:r>
          </w:p>
        </w:tc>
        <w:tc>
          <w:tcPr>
            <w:tcW w:w="1262" w:type="dxa"/>
            <w:tcBorders>
              <w:top w:val="nil"/>
              <w:left w:val="nil"/>
              <w:bottom w:val="single" w:sz="4" w:space="0" w:color="auto"/>
              <w:right w:val="single" w:sz="4" w:space="0" w:color="auto"/>
            </w:tcBorders>
            <w:shd w:val="clear" w:color="auto" w:fill="auto"/>
            <w:noWrap/>
            <w:vAlign w:val="bottom"/>
            <w:hideMark/>
          </w:tcPr>
          <w:p w14:paraId="32C502DD"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509</w:t>
            </w:r>
          </w:p>
        </w:tc>
        <w:tc>
          <w:tcPr>
            <w:tcW w:w="774" w:type="dxa"/>
            <w:tcBorders>
              <w:top w:val="nil"/>
              <w:left w:val="nil"/>
              <w:bottom w:val="single" w:sz="4" w:space="0" w:color="auto"/>
              <w:right w:val="single" w:sz="4" w:space="0" w:color="auto"/>
            </w:tcBorders>
            <w:shd w:val="clear" w:color="000000" w:fill="EDEDED"/>
            <w:noWrap/>
            <w:vAlign w:val="bottom"/>
            <w:hideMark/>
          </w:tcPr>
          <w:p w14:paraId="4B0B9F18"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proofErr w:type="spellStart"/>
            <w:r w:rsidRPr="00D83239">
              <w:rPr>
                <w:rFonts w:ascii="Arial" w:eastAsia="Times New Roman" w:hAnsi="Arial" w:cs="Arial"/>
                <w:color w:val="000000"/>
                <w:sz w:val="20"/>
                <w:szCs w:val="20"/>
                <w:lang w:eastAsia="sl-SI"/>
              </w:rPr>
              <w:t>jun</w:t>
            </w:r>
            <w:proofErr w:type="spellEnd"/>
          </w:p>
        </w:tc>
        <w:tc>
          <w:tcPr>
            <w:tcW w:w="1508" w:type="dxa"/>
            <w:tcBorders>
              <w:top w:val="nil"/>
              <w:left w:val="nil"/>
              <w:bottom w:val="single" w:sz="4" w:space="0" w:color="auto"/>
              <w:right w:val="single" w:sz="4" w:space="0" w:color="auto"/>
            </w:tcBorders>
            <w:shd w:val="clear" w:color="auto" w:fill="auto"/>
            <w:noWrap/>
            <w:vAlign w:val="bottom"/>
            <w:hideMark/>
          </w:tcPr>
          <w:p w14:paraId="17E32826"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50</w:t>
            </w:r>
          </w:p>
        </w:tc>
        <w:tc>
          <w:tcPr>
            <w:tcW w:w="1276" w:type="dxa"/>
            <w:tcBorders>
              <w:top w:val="nil"/>
              <w:left w:val="nil"/>
              <w:bottom w:val="single" w:sz="4" w:space="0" w:color="auto"/>
              <w:right w:val="single" w:sz="4" w:space="0" w:color="auto"/>
            </w:tcBorders>
            <w:shd w:val="clear" w:color="auto" w:fill="auto"/>
            <w:noWrap/>
            <w:vAlign w:val="bottom"/>
            <w:hideMark/>
          </w:tcPr>
          <w:p w14:paraId="0087F7C6"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6</w:t>
            </w:r>
          </w:p>
        </w:tc>
        <w:tc>
          <w:tcPr>
            <w:tcW w:w="1134" w:type="dxa"/>
            <w:tcBorders>
              <w:top w:val="nil"/>
              <w:left w:val="nil"/>
              <w:bottom w:val="single" w:sz="4" w:space="0" w:color="auto"/>
              <w:right w:val="single" w:sz="4" w:space="0" w:color="auto"/>
            </w:tcBorders>
            <w:shd w:val="clear" w:color="auto" w:fill="auto"/>
            <w:noWrap/>
            <w:vAlign w:val="bottom"/>
            <w:hideMark/>
          </w:tcPr>
          <w:p w14:paraId="7B3922B8"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176</w:t>
            </w:r>
          </w:p>
        </w:tc>
      </w:tr>
      <w:tr w:rsidR="003C5D73" w:rsidRPr="00D83239" w14:paraId="5E922CAD"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4A490602"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jul</w:t>
            </w:r>
          </w:p>
        </w:tc>
        <w:tc>
          <w:tcPr>
            <w:tcW w:w="1609" w:type="dxa"/>
            <w:tcBorders>
              <w:top w:val="nil"/>
              <w:left w:val="nil"/>
              <w:bottom w:val="single" w:sz="4" w:space="0" w:color="auto"/>
              <w:right w:val="single" w:sz="4" w:space="0" w:color="auto"/>
            </w:tcBorders>
            <w:shd w:val="clear" w:color="auto" w:fill="auto"/>
            <w:noWrap/>
            <w:vAlign w:val="bottom"/>
            <w:hideMark/>
          </w:tcPr>
          <w:p w14:paraId="6E785217"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3</w:t>
            </w:r>
          </w:p>
        </w:tc>
        <w:tc>
          <w:tcPr>
            <w:tcW w:w="1262" w:type="dxa"/>
            <w:tcBorders>
              <w:top w:val="nil"/>
              <w:left w:val="nil"/>
              <w:bottom w:val="single" w:sz="4" w:space="0" w:color="auto"/>
              <w:right w:val="single" w:sz="4" w:space="0" w:color="auto"/>
            </w:tcBorders>
            <w:shd w:val="clear" w:color="auto" w:fill="auto"/>
            <w:noWrap/>
            <w:vAlign w:val="bottom"/>
            <w:hideMark/>
          </w:tcPr>
          <w:p w14:paraId="18F2349E"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839</w:t>
            </w:r>
          </w:p>
        </w:tc>
        <w:tc>
          <w:tcPr>
            <w:tcW w:w="774" w:type="dxa"/>
            <w:tcBorders>
              <w:top w:val="nil"/>
              <w:left w:val="nil"/>
              <w:bottom w:val="single" w:sz="4" w:space="0" w:color="auto"/>
              <w:right w:val="single" w:sz="4" w:space="0" w:color="auto"/>
            </w:tcBorders>
            <w:shd w:val="clear" w:color="000000" w:fill="EDEDED"/>
            <w:noWrap/>
            <w:vAlign w:val="bottom"/>
            <w:hideMark/>
          </w:tcPr>
          <w:p w14:paraId="1ED95968"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jul</w:t>
            </w:r>
          </w:p>
        </w:tc>
        <w:tc>
          <w:tcPr>
            <w:tcW w:w="1508" w:type="dxa"/>
            <w:tcBorders>
              <w:top w:val="nil"/>
              <w:left w:val="nil"/>
              <w:bottom w:val="single" w:sz="4" w:space="0" w:color="auto"/>
              <w:right w:val="single" w:sz="4" w:space="0" w:color="auto"/>
            </w:tcBorders>
            <w:shd w:val="clear" w:color="auto" w:fill="auto"/>
            <w:noWrap/>
            <w:vAlign w:val="bottom"/>
            <w:hideMark/>
          </w:tcPr>
          <w:p w14:paraId="1347B39D"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52</w:t>
            </w:r>
          </w:p>
        </w:tc>
        <w:tc>
          <w:tcPr>
            <w:tcW w:w="1276" w:type="dxa"/>
            <w:tcBorders>
              <w:top w:val="nil"/>
              <w:left w:val="nil"/>
              <w:bottom w:val="single" w:sz="4" w:space="0" w:color="auto"/>
              <w:right w:val="single" w:sz="4" w:space="0" w:color="auto"/>
            </w:tcBorders>
            <w:shd w:val="clear" w:color="auto" w:fill="auto"/>
            <w:noWrap/>
            <w:vAlign w:val="bottom"/>
            <w:hideMark/>
          </w:tcPr>
          <w:p w14:paraId="40C256CA"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w:t>
            </w:r>
          </w:p>
        </w:tc>
        <w:tc>
          <w:tcPr>
            <w:tcW w:w="1134" w:type="dxa"/>
            <w:tcBorders>
              <w:top w:val="nil"/>
              <w:left w:val="nil"/>
              <w:bottom w:val="single" w:sz="4" w:space="0" w:color="auto"/>
              <w:right w:val="single" w:sz="4" w:space="0" w:color="auto"/>
            </w:tcBorders>
            <w:shd w:val="clear" w:color="auto" w:fill="auto"/>
            <w:noWrap/>
            <w:vAlign w:val="bottom"/>
            <w:hideMark/>
          </w:tcPr>
          <w:p w14:paraId="7A886B88"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141</w:t>
            </w:r>
          </w:p>
        </w:tc>
      </w:tr>
      <w:tr w:rsidR="003C5D73" w:rsidRPr="00D83239" w14:paraId="61BEE9AB"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28C8D4D2"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avg</w:t>
            </w:r>
          </w:p>
        </w:tc>
        <w:tc>
          <w:tcPr>
            <w:tcW w:w="1609" w:type="dxa"/>
            <w:tcBorders>
              <w:top w:val="nil"/>
              <w:left w:val="nil"/>
              <w:bottom w:val="single" w:sz="4" w:space="0" w:color="auto"/>
              <w:right w:val="single" w:sz="4" w:space="0" w:color="auto"/>
            </w:tcBorders>
            <w:shd w:val="clear" w:color="auto" w:fill="auto"/>
            <w:noWrap/>
            <w:vAlign w:val="bottom"/>
            <w:hideMark/>
          </w:tcPr>
          <w:p w14:paraId="3B994C50"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11</w:t>
            </w:r>
          </w:p>
        </w:tc>
        <w:tc>
          <w:tcPr>
            <w:tcW w:w="1262" w:type="dxa"/>
            <w:tcBorders>
              <w:top w:val="nil"/>
              <w:left w:val="nil"/>
              <w:bottom w:val="single" w:sz="4" w:space="0" w:color="auto"/>
              <w:right w:val="single" w:sz="4" w:space="0" w:color="auto"/>
            </w:tcBorders>
            <w:shd w:val="clear" w:color="auto" w:fill="auto"/>
            <w:noWrap/>
            <w:vAlign w:val="bottom"/>
            <w:hideMark/>
          </w:tcPr>
          <w:p w14:paraId="0311729B"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1.876</w:t>
            </w:r>
          </w:p>
        </w:tc>
        <w:tc>
          <w:tcPr>
            <w:tcW w:w="774" w:type="dxa"/>
            <w:tcBorders>
              <w:top w:val="nil"/>
              <w:left w:val="nil"/>
              <w:bottom w:val="single" w:sz="4" w:space="0" w:color="auto"/>
              <w:right w:val="single" w:sz="4" w:space="0" w:color="auto"/>
            </w:tcBorders>
            <w:shd w:val="clear" w:color="000000" w:fill="EDEDED"/>
            <w:noWrap/>
            <w:vAlign w:val="bottom"/>
            <w:hideMark/>
          </w:tcPr>
          <w:p w14:paraId="4F665A1B"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avg</w:t>
            </w:r>
          </w:p>
        </w:tc>
        <w:tc>
          <w:tcPr>
            <w:tcW w:w="1508" w:type="dxa"/>
            <w:tcBorders>
              <w:top w:val="nil"/>
              <w:left w:val="nil"/>
              <w:bottom w:val="single" w:sz="4" w:space="0" w:color="auto"/>
              <w:right w:val="single" w:sz="4" w:space="0" w:color="auto"/>
            </w:tcBorders>
            <w:shd w:val="clear" w:color="auto" w:fill="auto"/>
            <w:noWrap/>
            <w:vAlign w:val="bottom"/>
            <w:hideMark/>
          </w:tcPr>
          <w:p w14:paraId="249BA7B0"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71</w:t>
            </w:r>
          </w:p>
        </w:tc>
        <w:tc>
          <w:tcPr>
            <w:tcW w:w="1276" w:type="dxa"/>
            <w:tcBorders>
              <w:top w:val="nil"/>
              <w:left w:val="nil"/>
              <w:bottom w:val="single" w:sz="4" w:space="0" w:color="auto"/>
              <w:right w:val="single" w:sz="4" w:space="0" w:color="auto"/>
            </w:tcBorders>
            <w:shd w:val="clear" w:color="auto" w:fill="auto"/>
            <w:noWrap/>
            <w:vAlign w:val="bottom"/>
            <w:hideMark/>
          </w:tcPr>
          <w:p w14:paraId="027CC84F"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w:t>
            </w:r>
          </w:p>
        </w:tc>
        <w:tc>
          <w:tcPr>
            <w:tcW w:w="1134" w:type="dxa"/>
            <w:tcBorders>
              <w:top w:val="nil"/>
              <w:left w:val="nil"/>
              <w:bottom w:val="single" w:sz="4" w:space="0" w:color="auto"/>
              <w:right w:val="single" w:sz="4" w:space="0" w:color="auto"/>
            </w:tcBorders>
            <w:shd w:val="clear" w:color="auto" w:fill="auto"/>
            <w:noWrap/>
            <w:vAlign w:val="bottom"/>
            <w:hideMark/>
          </w:tcPr>
          <w:p w14:paraId="081D291D"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152</w:t>
            </w:r>
          </w:p>
        </w:tc>
      </w:tr>
      <w:tr w:rsidR="003C5D73" w:rsidRPr="00D83239" w14:paraId="03050EA9"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7417356D"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sept</w:t>
            </w:r>
          </w:p>
        </w:tc>
        <w:tc>
          <w:tcPr>
            <w:tcW w:w="1609" w:type="dxa"/>
            <w:tcBorders>
              <w:top w:val="nil"/>
              <w:left w:val="nil"/>
              <w:bottom w:val="single" w:sz="4" w:space="0" w:color="auto"/>
              <w:right w:val="single" w:sz="4" w:space="0" w:color="auto"/>
            </w:tcBorders>
            <w:shd w:val="clear" w:color="auto" w:fill="auto"/>
            <w:noWrap/>
            <w:vAlign w:val="bottom"/>
            <w:hideMark/>
          </w:tcPr>
          <w:p w14:paraId="3969923B"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7</w:t>
            </w:r>
          </w:p>
        </w:tc>
        <w:tc>
          <w:tcPr>
            <w:tcW w:w="1262" w:type="dxa"/>
            <w:tcBorders>
              <w:top w:val="nil"/>
              <w:left w:val="nil"/>
              <w:bottom w:val="single" w:sz="4" w:space="0" w:color="auto"/>
              <w:right w:val="single" w:sz="4" w:space="0" w:color="auto"/>
            </w:tcBorders>
            <w:shd w:val="clear" w:color="auto" w:fill="auto"/>
            <w:noWrap/>
            <w:vAlign w:val="bottom"/>
            <w:hideMark/>
          </w:tcPr>
          <w:p w14:paraId="221BB02F"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1.011</w:t>
            </w:r>
          </w:p>
        </w:tc>
        <w:tc>
          <w:tcPr>
            <w:tcW w:w="774" w:type="dxa"/>
            <w:tcBorders>
              <w:top w:val="nil"/>
              <w:left w:val="nil"/>
              <w:bottom w:val="single" w:sz="4" w:space="0" w:color="auto"/>
              <w:right w:val="single" w:sz="4" w:space="0" w:color="auto"/>
            </w:tcBorders>
            <w:shd w:val="clear" w:color="000000" w:fill="EDEDED"/>
            <w:noWrap/>
            <w:vAlign w:val="bottom"/>
            <w:hideMark/>
          </w:tcPr>
          <w:p w14:paraId="1B42D13F"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sept</w:t>
            </w:r>
          </w:p>
        </w:tc>
        <w:tc>
          <w:tcPr>
            <w:tcW w:w="1508" w:type="dxa"/>
            <w:tcBorders>
              <w:top w:val="nil"/>
              <w:left w:val="nil"/>
              <w:bottom w:val="single" w:sz="4" w:space="0" w:color="auto"/>
              <w:right w:val="single" w:sz="4" w:space="0" w:color="auto"/>
            </w:tcBorders>
            <w:shd w:val="clear" w:color="auto" w:fill="auto"/>
            <w:noWrap/>
            <w:vAlign w:val="bottom"/>
            <w:hideMark/>
          </w:tcPr>
          <w:p w14:paraId="6D620D04"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54</w:t>
            </w:r>
          </w:p>
        </w:tc>
        <w:tc>
          <w:tcPr>
            <w:tcW w:w="1276" w:type="dxa"/>
            <w:tcBorders>
              <w:top w:val="nil"/>
              <w:left w:val="nil"/>
              <w:bottom w:val="single" w:sz="4" w:space="0" w:color="auto"/>
              <w:right w:val="single" w:sz="4" w:space="0" w:color="auto"/>
            </w:tcBorders>
            <w:shd w:val="clear" w:color="auto" w:fill="auto"/>
            <w:noWrap/>
            <w:vAlign w:val="bottom"/>
            <w:hideMark/>
          </w:tcPr>
          <w:p w14:paraId="659A35F5"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6814DA3C"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135</w:t>
            </w:r>
          </w:p>
        </w:tc>
      </w:tr>
      <w:tr w:rsidR="003C5D73" w:rsidRPr="00D83239" w14:paraId="265AFF93"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74101B38"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okt</w:t>
            </w:r>
          </w:p>
        </w:tc>
        <w:tc>
          <w:tcPr>
            <w:tcW w:w="1609" w:type="dxa"/>
            <w:tcBorders>
              <w:top w:val="nil"/>
              <w:left w:val="nil"/>
              <w:bottom w:val="single" w:sz="4" w:space="0" w:color="auto"/>
              <w:right w:val="single" w:sz="4" w:space="0" w:color="auto"/>
            </w:tcBorders>
            <w:shd w:val="clear" w:color="auto" w:fill="auto"/>
            <w:noWrap/>
            <w:vAlign w:val="bottom"/>
            <w:hideMark/>
          </w:tcPr>
          <w:p w14:paraId="28F12B88"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12</w:t>
            </w:r>
          </w:p>
        </w:tc>
        <w:tc>
          <w:tcPr>
            <w:tcW w:w="1262" w:type="dxa"/>
            <w:tcBorders>
              <w:top w:val="nil"/>
              <w:left w:val="nil"/>
              <w:bottom w:val="single" w:sz="4" w:space="0" w:color="auto"/>
              <w:right w:val="single" w:sz="4" w:space="0" w:color="auto"/>
            </w:tcBorders>
            <w:shd w:val="clear" w:color="auto" w:fill="auto"/>
            <w:noWrap/>
            <w:vAlign w:val="bottom"/>
            <w:hideMark/>
          </w:tcPr>
          <w:p w14:paraId="471FD872"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2.268</w:t>
            </w:r>
          </w:p>
        </w:tc>
        <w:tc>
          <w:tcPr>
            <w:tcW w:w="774" w:type="dxa"/>
            <w:tcBorders>
              <w:top w:val="nil"/>
              <w:left w:val="nil"/>
              <w:bottom w:val="single" w:sz="4" w:space="0" w:color="auto"/>
              <w:right w:val="single" w:sz="4" w:space="0" w:color="auto"/>
            </w:tcBorders>
            <w:shd w:val="clear" w:color="000000" w:fill="EDEDED"/>
            <w:noWrap/>
            <w:vAlign w:val="bottom"/>
            <w:hideMark/>
          </w:tcPr>
          <w:p w14:paraId="2BBF77AA"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okt</w:t>
            </w:r>
          </w:p>
        </w:tc>
        <w:tc>
          <w:tcPr>
            <w:tcW w:w="1508" w:type="dxa"/>
            <w:tcBorders>
              <w:top w:val="nil"/>
              <w:left w:val="nil"/>
              <w:bottom w:val="single" w:sz="4" w:space="0" w:color="auto"/>
              <w:right w:val="single" w:sz="4" w:space="0" w:color="auto"/>
            </w:tcBorders>
            <w:shd w:val="clear" w:color="auto" w:fill="auto"/>
            <w:noWrap/>
            <w:vAlign w:val="bottom"/>
            <w:hideMark/>
          </w:tcPr>
          <w:p w14:paraId="6B5E7DF6"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80</w:t>
            </w:r>
          </w:p>
        </w:tc>
        <w:tc>
          <w:tcPr>
            <w:tcW w:w="1276" w:type="dxa"/>
            <w:tcBorders>
              <w:top w:val="nil"/>
              <w:left w:val="nil"/>
              <w:bottom w:val="single" w:sz="4" w:space="0" w:color="auto"/>
              <w:right w:val="single" w:sz="4" w:space="0" w:color="auto"/>
            </w:tcBorders>
            <w:shd w:val="clear" w:color="auto" w:fill="auto"/>
            <w:noWrap/>
            <w:vAlign w:val="bottom"/>
            <w:hideMark/>
          </w:tcPr>
          <w:p w14:paraId="231331F7"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15</w:t>
            </w:r>
          </w:p>
        </w:tc>
        <w:tc>
          <w:tcPr>
            <w:tcW w:w="1134" w:type="dxa"/>
            <w:tcBorders>
              <w:top w:val="nil"/>
              <w:left w:val="nil"/>
              <w:bottom w:val="single" w:sz="4" w:space="0" w:color="auto"/>
              <w:right w:val="single" w:sz="4" w:space="0" w:color="auto"/>
            </w:tcBorders>
            <w:shd w:val="clear" w:color="auto" w:fill="auto"/>
            <w:noWrap/>
            <w:vAlign w:val="bottom"/>
            <w:hideMark/>
          </w:tcPr>
          <w:p w14:paraId="3270A447"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284</w:t>
            </w:r>
          </w:p>
        </w:tc>
      </w:tr>
      <w:tr w:rsidR="003C5D73" w:rsidRPr="00D83239" w14:paraId="340F3608"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0C0B84B2"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nov</w:t>
            </w:r>
          </w:p>
        </w:tc>
        <w:tc>
          <w:tcPr>
            <w:tcW w:w="1609" w:type="dxa"/>
            <w:tcBorders>
              <w:top w:val="nil"/>
              <w:left w:val="nil"/>
              <w:bottom w:val="single" w:sz="4" w:space="0" w:color="auto"/>
              <w:right w:val="single" w:sz="4" w:space="0" w:color="auto"/>
            </w:tcBorders>
            <w:shd w:val="clear" w:color="auto" w:fill="auto"/>
            <w:noWrap/>
            <w:vAlign w:val="bottom"/>
            <w:hideMark/>
          </w:tcPr>
          <w:p w14:paraId="30EE4F6C"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w:t>
            </w:r>
          </w:p>
        </w:tc>
        <w:tc>
          <w:tcPr>
            <w:tcW w:w="1262" w:type="dxa"/>
            <w:tcBorders>
              <w:top w:val="nil"/>
              <w:left w:val="nil"/>
              <w:bottom w:val="single" w:sz="4" w:space="0" w:color="auto"/>
              <w:right w:val="single" w:sz="4" w:space="0" w:color="auto"/>
            </w:tcBorders>
            <w:shd w:val="clear" w:color="auto" w:fill="auto"/>
            <w:noWrap/>
            <w:vAlign w:val="bottom"/>
            <w:hideMark/>
          </w:tcPr>
          <w:p w14:paraId="4169A2E6"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716</w:t>
            </w:r>
          </w:p>
        </w:tc>
        <w:tc>
          <w:tcPr>
            <w:tcW w:w="774" w:type="dxa"/>
            <w:tcBorders>
              <w:top w:val="nil"/>
              <w:left w:val="nil"/>
              <w:bottom w:val="single" w:sz="4" w:space="0" w:color="auto"/>
              <w:right w:val="single" w:sz="4" w:space="0" w:color="auto"/>
            </w:tcBorders>
            <w:shd w:val="clear" w:color="000000" w:fill="EDEDED"/>
            <w:noWrap/>
            <w:vAlign w:val="bottom"/>
            <w:hideMark/>
          </w:tcPr>
          <w:p w14:paraId="0C9B2208"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nov</w:t>
            </w:r>
          </w:p>
        </w:tc>
        <w:tc>
          <w:tcPr>
            <w:tcW w:w="1508" w:type="dxa"/>
            <w:tcBorders>
              <w:top w:val="nil"/>
              <w:left w:val="nil"/>
              <w:bottom w:val="single" w:sz="4" w:space="0" w:color="auto"/>
              <w:right w:val="single" w:sz="4" w:space="0" w:color="auto"/>
            </w:tcBorders>
            <w:shd w:val="clear" w:color="auto" w:fill="auto"/>
            <w:noWrap/>
            <w:vAlign w:val="bottom"/>
            <w:hideMark/>
          </w:tcPr>
          <w:p w14:paraId="36754388"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78</w:t>
            </w:r>
          </w:p>
        </w:tc>
        <w:tc>
          <w:tcPr>
            <w:tcW w:w="1276" w:type="dxa"/>
            <w:tcBorders>
              <w:top w:val="nil"/>
              <w:left w:val="nil"/>
              <w:bottom w:val="single" w:sz="4" w:space="0" w:color="auto"/>
              <w:right w:val="single" w:sz="4" w:space="0" w:color="auto"/>
            </w:tcBorders>
            <w:shd w:val="clear" w:color="auto" w:fill="auto"/>
            <w:noWrap/>
            <w:vAlign w:val="bottom"/>
            <w:hideMark/>
          </w:tcPr>
          <w:p w14:paraId="4BAC7BD7"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11</w:t>
            </w:r>
          </w:p>
        </w:tc>
        <w:tc>
          <w:tcPr>
            <w:tcW w:w="1134" w:type="dxa"/>
            <w:tcBorders>
              <w:top w:val="nil"/>
              <w:left w:val="nil"/>
              <w:bottom w:val="single" w:sz="4" w:space="0" w:color="auto"/>
              <w:right w:val="single" w:sz="4" w:space="0" w:color="auto"/>
            </w:tcBorders>
            <w:shd w:val="clear" w:color="auto" w:fill="auto"/>
            <w:noWrap/>
            <w:vAlign w:val="bottom"/>
            <w:hideMark/>
          </w:tcPr>
          <w:p w14:paraId="3317D33A"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115</w:t>
            </w:r>
          </w:p>
        </w:tc>
      </w:tr>
      <w:tr w:rsidR="003C5D73" w:rsidRPr="00D83239" w14:paraId="5144BF3F" w14:textId="77777777" w:rsidTr="00564D24">
        <w:trPr>
          <w:trHeight w:val="286"/>
        </w:trPr>
        <w:tc>
          <w:tcPr>
            <w:tcW w:w="796" w:type="dxa"/>
            <w:tcBorders>
              <w:top w:val="nil"/>
              <w:left w:val="single" w:sz="4" w:space="0" w:color="auto"/>
              <w:bottom w:val="single" w:sz="4" w:space="0" w:color="auto"/>
              <w:right w:val="single" w:sz="4" w:space="0" w:color="auto"/>
            </w:tcBorders>
            <w:shd w:val="clear" w:color="000000" w:fill="EDEDED"/>
            <w:noWrap/>
            <w:vAlign w:val="bottom"/>
            <w:hideMark/>
          </w:tcPr>
          <w:p w14:paraId="4698A234"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dec</w:t>
            </w:r>
          </w:p>
        </w:tc>
        <w:tc>
          <w:tcPr>
            <w:tcW w:w="1609" w:type="dxa"/>
            <w:tcBorders>
              <w:top w:val="nil"/>
              <w:left w:val="nil"/>
              <w:bottom w:val="single" w:sz="4" w:space="0" w:color="auto"/>
              <w:right w:val="single" w:sz="4" w:space="0" w:color="auto"/>
            </w:tcBorders>
            <w:shd w:val="clear" w:color="auto" w:fill="auto"/>
            <w:noWrap/>
            <w:vAlign w:val="bottom"/>
            <w:hideMark/>
          </w:tcPr>
          <w:p w14:paraId="689381CD"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w:t>
            </w:r>
          </w:p>
        </w:tc>
        <w:tc>
          <w:tcPr>
            <w:tcW w:w="1262" w:type="dxa"/>
            <w:tcBorders>
              <w:top w:val="nil"/>
              <w:left w:val="nil"/>
              <w:bottom w:val="single" w:sz="4" w:space="0" w:color="auto"/>
              <w:right w:val="single" w:sz="4" w:space="0" w:color="auto"/>
            </w:tcBorders>
            <w:shd w:val="clear" w:color="auto" w:fill="auto"/>
            <w:noWrap/>
            <w:vAlign w:val="bottom"/>
            <w:hideMark/>
          </w:tcPr>
          <w:p w14:paraId="7DE7784D"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w:t>
            </w:r>
          </w:p>
        </w:tc>
        <w:tc>
          <w:tcPr>
            <w:tcW w:w="774" w:type="dxa"/>
            <w:tcBorders>
              <w:top w:val="nil"/>
              <w:left w:val="nil"/>
              <w:bottom w:val="single" w:sz="4" w:space="0" w:color="auto"/>
              <w:right w:val="single" w:sz="4" w:space="0" w:color="auto"/>
            </w:tcBorders>
            <w:shd w:val="clear" w:color="000000" w:fill="EDEDED"/>
            <w:noWrap/>
            <w:vAlign w:val="bottom"/>
            <w:hideMark/>
          </w:tcPr>
          <w:p w14:paraId="33FF1237" w14:textId="77777777" w:rsidR="003C5D73" w:rsidRPr="00D83239" w:rsidRDefault="003C5D73"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dec</w:t>
            </w:r>
          </w:p>
        </w:tc>
        <w:tc>
          <w:tcPr>
            <w:tcW w:w="1508" w:type="dxa"/>
            <w:tcBorders>
              <w:top w:val="nil"/>
              <w:left w:val="nil"/>
              <w:bottom w:val="single" w:sz="4" w:space="0" w:color="auto"/>
              <w:right w:val="single" w:sz="4" w:space="0" w:color="auto"/>
            </w:tcBorders>
            <w:shd w:val="clear" w:color="auto" w:fill="auto"/>
            <w:noWrap/>
            <w:vAlign w:val="bottom"/>
            <w:hideMark/>
          </w:tcPr>
          <w:p w14:paraId="5B6AA5B7"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51</w:t>
            </w:r>
          </w:p>
        </w:tc>
        <w:tc>
          <w:tcPr>
            <w:tcW w:w="1276" w:type="dxa"/>
            <w:tcBorders>
              <w:top w:val="nil"/>
              <w:left w:val="nil"/>
              <w:bottom w:val="single" w:sz="4" w:space="0" w:color="auto"/>
              <w:right w:val="single" w:sz="4" w:space="0" w:color="auto"/>
            </w:tcBorders>
            <w:shd w:val="clear" w:color="auto" w:fill="auto"/>
            <w:noWrap/>
            <w:vAlign w:val="bottom"/>
            <w:hideMark/>
          </w:tcPr>
          <w:p w14:paraId="2564403D"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12012713" w14:textId="77777777" w:rsidR="003C5D73" w:rsidRPr="00D83239" w:rsidRDefault="003C5D73" w:rsidP="007A11F5">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249</w:t>
            </w:r>
          </w:p>
        </w:tc>
      </w:tr>
      <w:tr w:rsidR="003C5D73" w:rsidRPr="00D83239" w14:paraId="02CF3147" w14:textId="77777777" w:rsidTr="00564D24">
        <w:trPr>
          <w:trHeight w:val="286"/>
        </w:trPr>
        <w:tc>
          <w:tcPr>
            <w:tcW w:w="79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569A854" w14:textId="20510A55" w:rsidR="003C5D73" w:rsidRPr="00D83239" w:rsidRDefault="007A11F5" w:rsidP="00D83239">
            <w:pPr>
              <w:spacing w:after="0" w:line="276" w:lineRule="auto"/>
              <w:jc w:val="both"/>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S</w:t>
            </w:r>
            <w:r w:rsidR="003C5D73" w:rsidRPr="00D83239">
              <w:rPr>
                <w:rFonts w:ascii="Arial" w:eastAsia="Times New Roman" w:hAnsi="Arial" w:cs="Arial"/>
                <w:b/>
                <w:bCs/>
                <w:color w:val="000000"/>
                <w:sz w:val="20"/>
                <w:szCs w:val="20"/>
                <w:lang w:eastAsia="sl-SI"/>
              </w:rPr>
              <w:t>kupaj</w:t>
            </w:r>
          </w:p>
        </w:tc>
        <w:tc>
          <w:tcPr>
            <w:tcW w:w="1609" w:type="dxa"/>
            <w:tcBorders>
              <w:top w:val="nil"/>
              <w:left w:val="nil"/>
              <w:bottom w:val="single" w:sz="4" w:space="0" w:color="auto"/>
              <w:right w:val="single" w:sz="4" w:space="0" w:color="auto"/>
            </w:tcBorders>
            <w:shd w:val="clear" w:color="auto" w:fill="D9D9D9" w:themeFill="background1" w:themeFillShade="D9"/>
            <w:noWrap/>
            <w:vAlign w:val="bottom"/>
            <w:hideMark/>
          </w:tcPr>
          <w:p w14:paraId="516B938E" w14:textId="77777777" w:rsidR="003C5D73" w:rsidRPr="00D83239" w:rsidRDefault="003C5D73" w:rsidP="007A11F5">
            <w:pPr>
              <w:spacing w:after="0" w:line="276" w:lineRule="auto"/>
              <w:jc w:val="right"/>
              <w:rPr>
                <w:rFonts w:ascii="Arial" w:eastAsia="Times New Roman" w:hAnsi="Arial" w:cs="Arial"/>
                <w:b/>
                <w:bCs/>
                <w:color w:val="000000"/>
                <w:sz w:val="20"/>
                <w:szCs w:val="20"/>
                <w:lang w:eastAsia="sl-SI"/>
              </w:rPr>
            </w:pPr>
            <w:r w:rsidRPr="00D83239">
              <w:rPr>
                <w:rFonts w:ascii="Arial" w:eastAsia="Times New Roman" w:hAnsi="Arial" w:cs="Arial"/>
                <w:b/>
                <w:bCs/>
                <w:color w:val="000000"/>
                <w:sz w:val="20"/>
                <w:szCs w:val="20"/>
                <w:lang w:eastAsia="sl-SI"/>
              </w:rPr>
              <w:t>49</w:t>
            </w:r>
          </w:p>
        </w:tc>
        <w:tc>
          <w:tcPr>
            <w:tcW w:w="1262" w:type="dxa"/>
            <w:tcBorders>
              <w:top w:val="nil"/>
              <w:left w:val="nil"/>
              <w:bottom w:val="single" w:sz="4" w:space="0" w:color="auto"/>
              <w:right w:val="single" w:sz="4" w:space="0" w:color="auto"/>
            </w:tcBorders>
            <w:shd w:val="clear" w:color="auto" w:fill="D9D9D9" w:themeFill="background1" w:themeFillShade="D9"/>
            <w:noWrap/>
            <w:vAlign w:val="bottom"/>
            <w:hideMark/>
          </w:tcPr>
          <w:p w14:paraId="27087DC9" w14:textId="77777777" w:rsidR="003C5D73" w:rsidRPr="00D83239" w:rsidRDefault="003C5D73" w:rsidP="007A11F5">
            <w:pPr>
              <w:spacing w:after="0" w:line="276" w:lineRule="auto"/>
              <w:jc w:val="right"/>
              <w:rPr>
                <w:rFonts w:ascii="Arial" w:eastAsia="Times New Roman" w:hAnsi="Arial" w:cs="Arial"/>
                <w:b/>
                <w:bCs/>
                <w:color w:val="000000"/>
                <w:sz w:val="20"/>
                <w:szCs w:val="20"/>
                <w:lang w:eastAsia="sl-SI"/>
              </w:rPr>
            </w:pPr>
            <w:r w:rsidRPr="00D83239">
              <w:rPr>
                <w:rFonts w:ascii="Arial" w:eastAsia="Times New Roman" w:hAnsi="Arial" w:cs="Arial"/>
                <w:b/>
                <w:bCs/>
                <w:color w:val="000000"/>
                <w:sz w:val="20"/>
                <w:szCs w:val="20"/>
                <w:lang w:eastAsia="sl-SI"/>
              </w:rPr>
              <w:t>10.878</w:t>
            </w:r>
          </w:p>
        </w:tc>
        <w:tc>
          <w:tcPr>
            <w:tcW w:w="774" w:type="dxa"/>
            <w:tcBorders>
              <w:top w:val="nil"/>
              <w:left w:val="nil"/>
              <w:bottom w:val="single" w:sz="4" w:space="0" w:color="auto"/>
              <w:right w:val="single" w:sz="4" w:space="0" w:color="auto"/>
            </w:tcBorders>
            <w:shd w:val="clear" w:color="auto" w:fill="D9D9D9" w:themeFill="background1" w:themeFillShade="D9"/>
            <w:noWrap/>
            <w:vAlign w:val="bottom"/>
            <w:hideMark/>
          </w:tcPr>
          <w:p w14:paraId="0BCE61A3" w14:textId="77777777" w:rsidR="003C5D73" w:rsidRPr="00D83239" w:rsidRDefault="003C5D73" w:rsidP="00D83239">
            <w:pPr>
              <w:spacing w:after="0" w:line="276" w:lineRule="auto"/>
              <w:jc w:val="both"/>
              <w:rPr>
                <w:rFonts w:ascii="Arial" w:eastAsia="Times New Roman" w:hAnsi="Arial" w:cs="Arial"/>
                <w:b/>
                <w:bCs/>
                <w:color w:val="000000"/>
                <w:sz w:val="20"/>
                <w:szCs w:val="20"/>
                <w:lang w:eastAsia="sl-SI"/>
              </w:rPr>
            </w:pPr>
            <w:r w:rsidRPr="00D83239">
              <w:rPr>
                <w:rFonts w:ascii="Arial" w:eastAsia="Times New Roman" w:hAnsi="Arial" w:cs="Arial"/>
                <w:b/>
                <w:bCs/>
                <w:color w:val="000000"/>
                <w:sz w:val="20"/>
                <w:szCs w:val="20"/>
                <w:lang w:eastAsia="sl-SI"/>
              </w:rPr>
              <w:t>skupaj</w:t>
            </w:r>
          </w:p>
        </w:tc>
        <w:tc>
          <w:tcPr>
            <w:tcW w:w="15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78466FC" w14:textId="77777777" w:rsidR="003C5D73" w:rsidRPr="00D83239" w:rsidRDefault="003C5D73" w:rsidP="007A11F5">
            <w:pPr>
              <w:spacing w:after="0" w:line="276" w:lineRule="auto"/>
              <w:jc w:val="right"/>
              <w:rPr>
                <w:rFonts w:ascii="Arial" w:eastAsia="Times New Roman" w:hAnsi="Arial" w:cs="Arial"/>
                <w:b/>
                <w:bCs/>
                <w:color w:val="000000"/>
                <w:sz w:val="20"/>
                <w:szCs w:val="20"/>
                <w:lang w:eastAsia="sl-SI"/>
              </w:rPr>
            </w:pPr>
            <w:r w:rsidRPr="00D83239">
              <w:rPr>
                <w:rFonts w:ascii="Arial" w:eastAsia="Times New Roman" w:hAnsi="Arial" w:cs="Arial"/>
                <w:b/>
                <w:bCs/>
                <w:color w:val="000000"/>
                <w:sz w:val="20"/>
                <w:szCs w:val="20"/>
                <w:lang w:eastAsia="sl-SI"/>
              </w:rPr>
              <w:t>595</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7D6F90EF" w14:textId="77777777" w:rsidR="003C5D73" w:rsidRPr="00D83239" w:rsidRDefault="003C5D73" w:rsidP="007A11F5">
            <w:pPr>
              <w:spacing w:after="0" w:line="276" w:lineRule="auto"/>
              <w:jc w:val="right"/>
              <w:rPr>
                <w:rFonts w:ascii="Arial" w:eastAsia="Times New Roman" w:hAnsi="Arial" w:cs="Arial"/>
                <w:b/>
                <w:bCs/>
                <w:color w:val="000000"/>
                <w:sz w:val="20"/>
                <w:szCs w:val="20"/>
                <w:lang w:eastAsia="sl-SI"/>
              </w:rPr>
            </w:pPr>
            <w:r w:rsidRPr="00D83239">
              <w:rPr>
                <w:rFonts w:ascii="Arial" w:eastAsia="Times New Roman" w:hAnsi="Arial" w:cs="Arial"/>
                <w:b/>
                <w:bCs/>
                <w:color w:val="000000"/>
                <w:sz w:val="20"/>
                <w:szCs w:val="20"/>
                <w:lang w:eastAsia="sl-SI"/>
              </w:rPr>
              <w:t>59</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3C18144A" w14:textId="77777777" w:rsidR="003C5D73" w:rsidRPr="00D83239" w:rsidRDefault="003C5D73" w:rsidP="007A11F5">
            <w:pPr>
              <w:spacing w:after="0" w:line="276" w:lineRule="auto"/>
              <w:jc w:val="right"/>
              <w:rPr>
                <w:rFonts w:ascii="Arial" w:eastAsia="Times New Roman" w:hAnsi="Arial" w:cs="Arial"/>
                <w:b/>
                <w:bCs/>
                <w:color w:val="000000"/>
                <w:sz w:val="20"/>
                <w:szCs w:val="20"/>
                <w:lang w:eastAsia="sl-SI"/>
              </w:rPr>
            </w:pPr>
            <w:r w:rsidRPr="00D83239">
              <w:rPr>
                <w:rFonts w:ascii="Arial" w:eastAsia="Times New Roman" w:hAnsi="Arial" w:cs="Arial"/>
                <w:b/>
                <w:bCs/>
                <w:color w:val="000000"/>
                <w:sz w:val="20"/>
                <w:szCs w:val="20"/>
                <w:lang w:eastAsia="sl-SI"/>
              </w:rPr>
              <w:t>1.712</w:t>
            </w:r>
          </w:p>
        </w:tc>
      </w:tr>
    </w:tbl>
    <w:p w14:paraId="25675293" w14:textId="77777777" w:rsidR="007A11F5" w:rsidRDefault="007A11F5" w:rsidP="00D83239">
      <w:pPr>
        <w:autoSpaceDE w:val="0"/>
        <w:autoSpaceDN w:val="0"/>
        <w:adjustRightInd w:val="0"/>
        <w:spacing w:after="0" w:line="276" w:lineRule="auto"/>
        <w:jc w:val="both"/>
        <w:rPr>
          <w:rFonts w:ascii="Arial" w:hAnsi="Arial" w:cs="Arial"/>
          <w:b/>
          <w:sz w:val="20"/>
          <w:szCs w:val="20"/>
          <w:lang w:eastAsia="sl-SI"/>
        </w:rPr>
      </w:pPr>
    </w:p>
    <w:p w14:paraId="26D18029" w14:textId="6E148CB8" w:rsidR="003C5D73" w:rsidRPr="00D83239" w:rsidRDefault="003C5D7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b/>
          <w:sz w:val="20"/>
          <w:szCs w:val="20"/>
          <w:lang w:eastAsia="sl-SI"/>
        </w:rPr>
        <w:t>Preglednica</w:t>
      </w:r>
      <w:r w:rsidRPr="00E92FF2">
        <w:rPr>
          <w:rFonts w:ascii="Arial" w:hAnsi="Arial" w:cs="Arial"/>
          <w:sz w:val="20"/>
          <w:szCs w:val="20"/>
          <w:lang w:eastAsia="sl-SI"/>
        </w:rPr>
        <w:t>:</w:t>
      </w:r>
      <w:r w:rsidRPr="00D83239">
        <w:rPr>
          <w:rFonts w:ascii="Arial" w:hAnsi="Arial" w:cs="Arial"/>
          <w:sz w:val="20"/>
          <w:szCs w:val="20"/>
          <w:lang w:eastAsia="sl-SI"/>
        </w:rPr>
        <w:t xml:space="preserve"> Zahtevki za nadgradnjo in odpravo napak </w:t>
      </w:r>
    </w:p>
    <w:p w14:paraId="4E2E78E3" w14:textId="77777777" w:rsidR="003C5D73" w:rsidRPr="00D83239" w:rsidRDefault="003C5D73" w:rsidP="00D83239">
      <w:pPr>
        <w:autoSpaceDE w:val="0"/>
        <w:autoSpaceDN w:val="0"/>
        <w:adjustRightInd w:val="0"/>
        <w:spacing w:after="0" w:line="276" w:lineRule="auto"/>
        <w:jc w:val="both"/>
        <w:rPr>
          <w:rFonts w:ascii="Arial" w:hAnsi="Arial" w:cs="Arial"/>
          <w:sz w:val="20"/>
          <w:szCs w:val="20"/>
        </w:rPr>
      </w:pPr>
    </w:p>
    <w:p w14:paraId="67E08E0E" w14:textId="00E160FB" w:rsidR="003C5D73" w:rsidRPr="00D83239" w:rsidRDefault="003C5D73"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V letu 2025 je bilo</w:t>
      </w:r>
      <w:r w:rsidRPr="00D83239">
        <w:rPr>
          <w:rFonts w:ascii="Arial" w:hAnsi="Arial" w:cs="Arial"/>
          <w:sz w:val="20"/>
          <w:szCs w:val="20"/>
          <w:lang w:eastAsia="sl-SI"/>
        </w:rPr>
        <w:t xml:space="preserve"> v sodelovanju z zunanjim izvajalcem ponovno izvedeno varnostno preverjanje delovanja ISUNZ podatkovnih </w:t>
      </w:r>
      <w:r w:rsidR="001D0FB1">
        <w:rPr>
          <w:rFonts w:ascii="Arial" w:hAnsi="Arial" w:cs="Arial"/>
          <w:sz w:val="20"/>
          <w:szCs w:val="20"/>
          <w:lang w:eastAsia="sl-SI"/>
        </w:rPr>
        <w:t>zbirk</w:t>
      </w:r>
      <w:r w:rsidRPr="00D83239">
        <w:rPr>
          <w:rFonts w:ascii="Arial" w:hAnsi="Arial" w:cs="Arial"/>
          <w:sz w:val="20"/>
          <w:szCs w:val="20"/>
          <w:lang w:eastAsia="sl-SI"/>
        </w:rPr>
        <w:t xml:space="preserve"> z rezervne lokacije v Mariboru, ki je bilo uspešno zaključeno.</w:t>
      </w:r>
    </w:p>
    <w:p w14:paraId="2CB69703" w14:textId="77777777" w:rsidR="003C5D73" w:rsidRPr="00D83239" w:rsidRDefault="003C5D73" w:rsidP="00D83239">
      <w:pPr>
        <w:autoSpaceDE w:val="0"/>
        <w:autoSpaceDN w:val="0"/>
        <w:adjustRightInd w:val="0"/>
        <w:spacing w:after="0" w:line="276" w:lineRule="auto"/>
        <w:jc w:val="both"/>
        <w:rPr>
          <w:rFonts w:ascii="Arial" w:hAnsi="Arial" w:cs="Arial"/>
          <w:sz w:val="20"/>
          <w:szCs w:val="20"/>
        </w:rPr>
      </w:pPr>
    </w:p>
    <w:p w14:paraId="73CC2574" w14:textId="02FADE4A" w:rsidR="003C5D73" w:rsidRPr="00D83239" w:rsidRDefault="003C5D73"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 xml:space="preserve">V sklopu delovanja ISUNZ sta bili v letu 2025 zagotovljeni administracija vseh uporabnikov za dostop do registrov in podpornih aplikacij ISUNZ </w:t>
      </w:r>
      <w:r w:rsidR="001D0FB1">
        <w:rPr>
          <w:rFonts w:ascii="Arial" w:hAnsi="Arial" w:cs="Arial"/>
          <w:sz w:val="20"/>
          <w:szCs w:val="20"/>
        </w:rPr>
        <w:t>ter</w:t>
      </w:r>
      <w:r w:rsidR="001D0FB1" w:rsidRPr="00D83239">
        <w:rPr>
          <w:rFonts w:ascii="Arial" w:hAnsi="Arial" w:cs="Arial"/>
          <w:sz w:val="20"/>
          <w:szCs w:val="20"/>
        </w:rPr>
        <w:t xml:space="preserve"> </w:t>
      </w:r>
      <w:r w:rsidRPr="00D83239">
        <w:rPr>
          <w:rFonts w:ascii="Arial" w:hAnsi="Arial" w:cs="Arial"/>
          <w:sz w:val="20"/>
          <w:szCs w:val="20"/>
        </w:rPr>
        <w:t xml:space="preserve">ponastavitev gesel za vse uporabnike. V letu 2025 je bilo na podlagi sprejetih </w:t>
      </w:r>
      <w:proofErr w:type="spellStart"/>
      <w:r w:rsidRPr="00D83239">
        <w:rPr>
          <w:rFonts w:ascii="Arial" w:hAnsi="Arial" w:cs="Arial"/>
          <w:sz w:val="20"/>
          <w:szCs w:val="20"/>
        </w:rPr>
        <w:t>informacijskovarnostnih</w:t>
      </w:r>
      <w:proofErr w:type="spellEnd"/>
      <w:r w:rsidRPr="00D83239">
        <w:rPr>
          <w:rFonts w:ascii="Arial" w:hAnsi="Arial" w:cs="Arial"/>
          <w:sz w:val="20"/>
          <w:szCs w:val="20"/>
        </w:rPr>
        <w:t xml:space="preserve"> ukrepov </w:t>
      </w:r>
      <w:r w:rsidR="00A57698">
        <w:rPr>
          <w:rFonts w:ascii="Arial" w:hAnsi="Arial" w:cs="Arial"/>
          <w:sz w:val="20"/>
          <w:szCs w:val="20"/>
        </w:rPr>
        <w:t>MNZ</w:t>
      </w:r>
      <w:r w:rsidRPr="00D83239">
        <w:rPr>
          <w:rFonts w:ascii="Arial" w:hAnsi="Arial" w:cs="Arial"/>
          <w:sz w:val="20"/>
          <w:szCs w:val="20"/>
        </w:rPr>
        <w:t xml:space="preserve"> v varnostni shemi ISUNZ odjavljen</w:t>
      </w:r>
      <w:r w:rsidR="00A57698">
        <w:rPr>
          <w:rFonts w:ascii="Arial" w:hAnsi="Arial" w:cs="Arial"/>
          <w:sz w:val="20"/>
          <w:szCs w:val="20"/>
        </w:rPr>
        <w:t>ih</w:t>
      </w:r>
      <w:r w:rsidRPr="00D83239">
        <w:rPr>
          <w:rFonts w:ascii="Arial" w:hAnsi="Arial" w:cs="Arial"/>
          <w:sz w:val="20"/>
          <w:szCs w:val="20"/>
        </w:rPr>
        <w:t xml:space="preserve"> 396 uporabnikov. </w:t>
      </w:r>
      <w:r w:rsidR="00A57698">
        <w:rPr>
          <w:rFonts w:ascii="Arial" w:hAnsi="Arial" w:cs="Arial"/>
          <w:sz w:val="20"/>
          <w:szCs w:val="20"/>
        </w:rPr>
        <w:t>T</w:t>
      </w:r>
      <w:r w:rsidRPr="00D83239">
        <w:rPr>
          <w:rFonts w:ascii="Arial" w:hAnsi="Arial" w:cs="Arial"/>
          <w:sz w:val="20"/>
          <w:szCs w:val="20"/>
        </w:rPr>
        <w:t xml:space="preserve">renutno </w:t>
      </w:r>
      <w:r w:rsidR="00A57698">
        <w:rPr>
          <w:rFonts w:ascii="Arial" w:hAnsi="Arial" w:cs="Arial"/>
          <w:sz w:val="20"/>
          <w:szCs w:val="20"/>
        </w:rPr>
        <w:t>je</w:t>
      </w:r>
      <w:r w:rsidRPr="00D83239">
        <w:rPr>
          <w:rFonts w:ascii="Arial" w:hAnsi="Arial" w:cs="Arial"/>
          <w:sz w:val="20"/>
          <w:szCs w:val="20"/>
        </w:rPr>
        <w:t xml:space="preserve"> 12.854 aktivnih uporabnikov. </w:t>
      </w:r>
      <w:r w:rsidR="00A57698">
        <w:rPr>
          <w:rFonts w:ascii="Arial" w:hAnsi="Arial" w:cs="Arial"/>
          <w:sz w:val="20"/>
          <w:szCs w:val="20"/>
        </w:rPr>
        <w:t>Med</w:t>
      </w:r>
      <w:r w:rsidRPr="00D83239">
        <w:rPr>
          <w:rFonts w:ascii="Arial" w:hAnsi="Arial" w:cs="Arial"/>
          <w:sz w:val="20"/>
          <w:szCs w:val="20"/>
        </w:rPr>
        <w:t xml:space="preserve"> let</w:t>
      </w:r>
      <w:r w:rsidR="00A57698">
        <w:rPr>
          <w:rFonts w:ascii="Arial" w:hAnsi="Arial" w:cs="Arial"/>
          <w:sz w:val="20"/>
          <w:szCs w:val="20"/>
        </w:rPr>
        <w:t>om</w:t>
      </w:r>
      <w:r w:rsidRPr="00D83239">
        <w:rPr>
          <w:rFonts w:ascii="Arial" w:hAnsi="Arial" w:cs="Arial"/>
          <w:sz w:val="20"/>
          <w:szCs w:val="20"/>
        </w:rPr>
        <w:t xml:space="preserve"> je bilo uporabnikom določenih tudi 2</w:t>
      </w:r>
      <w:r w:rsidR="00A57698">
        <w:rPr>
          <w:rFonts w:ascii="Arial" w:hAnsi="Arial" w:cs="Arial"/>
          <w:sz w:val="20"/>
          <w:szCs w:val="20"/>
        </w:rPr>
        <w:t>.</w:t>
      </w:r>
      <w:r w:rsidRPr="00D83239">
        <w:rPr>
          <w:rFonts w:ascii="Arial" w:hAnsi="Arial" w:cs="Arial"/>
          <w:sz w:val="20"/>
          <w:szCs w:val="20"/>
        </w:rPr>
        <w:t>740 novih gesel (kar je 1.229 več gesel kot v letu 2024).</w:t>
      </w:r>
    </w:p>
    <w:p w14:paraId="79C5CB66" w14:textId="77777777" w:rsidR="003C5D73" w:rsidRPr="00D83239" w:rsidRDefault="003C5D73" w:rsidP="00D83239">
      <w:pPr>
        <w:autoSpaceDE w:val="0"/>
        <w:autoSpaceDN w:val="0"/>
        <w:adjustRightInd w:val="0"/>
        <w:spacing w:after="0" w:line="276" w:lineRule="auto"/>
        <w:jc w:val="both"/>
        <w:rPr>
          <w:rFonts w:ascii="Arial" w:hAnsi="Arial" w:cs="Arial"/>
          <w:sz w:val="20"/>
          <w:szCs w:val="20"/>
        </w:rPr>
      </w:pPr>
    </w:p>
    <w:p w14:paraId="3418F66D" w14:textId="0046867E" w:rsidR="003C5D73" w:rsidRPr="00D83239" w:rsidRDefault="003C5D73" w:rsidP="00D83239">
      <w:pPr>
        <w:autoSpaceDE w:val="0"/>
        <w:autoSpaceDN w:val="0"/>
        <w:adjustRightInd w:val="0"/>
        <w:spacing w:after="0" w:line="276" w:lineRule="auto"/>
        <w:jc w:val="both"/>
        <w:rPr>
          <w:rFonts w:ascii="Arial" w:hAnsi="Arial" w:cs="Arial"/>
          <w:sz w:val="20"/>
          <w:szCs w:val="20"/>
        </w:rPr>
      </w:pPr>
      <w:r w:rsidRPr="00EB1B0F">
        <w:rPr>
          <w:rFonts w:ascii="Arial" w:hAnsi="Arial" w:cs="Arial"/>
          <w:sz w:val="20"/>
          <w:szCs w:val="20"/>
        </w:rPr>
        <w:t xml:space="preserve">V letu 2025 je bila v skladu z ZVOP-2 in Splošno uredbo </w:t>
      </w:r>
      <w:r w:rsidR="001D0FB1" w:rsidRPr="00EB1B0F">
        <w:rPr>
          <w:rFonts w:ascii="Arial" w:hAnsi="Arial" w:cs="Arial"/>
          <w:sz w:val="20"/>
          <w:szCs w:val="20"/>
        </w:rPr>
        <w:t xml:space="preserve">o varstvu podatkov </w:t>
      </w:r>
      <w:r w:rsidRPr="00EB1B0F">
        <w:rPr>
          <w:rFonts w:ascii="Arial" w:hAnsi="Arial" w:cs="Arial"/>
          <w:sz w:val="20"/>
          <w:szCs w:val="20"/>
        </w:rPr>
        <w:t>(GDPR) zagotovljena tudi priprava vseh zahtevanih dnevnikov dela za vpogled v lastne osebne podatke, nadaljevale pa so se tudi nadgradnje za skladnost z ZVOP</w:t>
      </w:r>
      <w:r w:rsidR="00EB1B0F" w:rsidRPr="00EB1B0F">
        <w:rPr>
          <w:rFonts w:ascii="Arial" w:hAnsi="Arial" w:cs="Arial"/>
          <w:sz w:val="20"/>
          <w:szCs w:val="20"/>
        </w:rPr>
        <w:t>-</w:t>
      </w:r>
      <w:r w:rsidRPr="00EB1B0F">
        <w:rPr>
          <w:rFonts w:ascii="Arial" w:hAnsi="Arial" w:cs="Arial"/>
          <w:sz w:val="20"/>
          <w:szCs w:val="20"/>
        </w:rPr>
        <w:t>2.</w:t>
      </w:r>
    </w:p>
    <w:p w14:paraId="3CB27C81" w14:textId="77777777" w:rsidR="003C5D73" w:rsidRPr="00D83239" w:rsidRDefault="003C5D73" w:rsidP="00D83239">
      <w:pPr>
        <w:autoSpaceDE w:val="0"/>
        <w:autoSpaceDN w:val="0"/>
        <w:adjustRightInd w:val="0"/>
        <w:spacing w:after="0" w:line="276" w:lineRule="auto"/>
        <w:jc w:val="both"/>
        <w:rPr>
          <w:rFonts w:ascii="Arial" w:hAnsi="Arial" w:cs="Arial"/>
          <w:b/>
          <w:sz w:val="20"/>
          <w:szCs w:val="20"/>
        </w:rPr>
      </w:pPr>
    </w:p>
    <w:p w14:paraId="2CD7CE86" w14:textId="78F6D762" w:rsidR="003C5D73" w:rsidRPr="00A57698" w:rsidRDefault="003C5D73" w:rsidP="00D83239">
      <w:pPr>
        <w:autoSpaceDE w:val="0"/>
        <w:autoSpaceDN w:val="0"/>
        <w:adjustRightInd w:val="0"/>
        <w:spacing w:after="0" w:line="276" w:lineRule="auto"/>
        <w:jc w:val="both"/>
        <w:rPr>
          <w:rFonts w:ascii="Arial" w:hAnsi="Arial" w:cs="Arial"/>
          <w:b/>
          <w:sz w:val="20"/>
          <w:szCs w:val="20"/>
        </w:rPr>
      </w:pPr>
      <w:r w:rsidRPr="00D83239">
        <w:rPr>
          <w:rFonts w:ascii="Arial" w:hAnsi="Arial" w:cs="Arial"/>
          <w:b/>
          <w:sz w:val="20"/>
          <w:szCs w:val="20"/>
        </w:rPr>
        <w:t>Aktivnosti v zvezi z izvajanjem pogodbe C1711-24-460081 za vzdrževanje licenčne programske opreme sodobnega delovnega mesta za potrebe upravnih enot in podporo skrbnikom programske opreme</w:t>
      </w:r>
    </w:p>
    <w:p w14:paraId="179BBCCE" w14:textId="11E589F5" w:rsidR="00653B9D" w:rsidRPr="00D83239" w:rsidRDefault="003C5D73"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Na okencih upravnih enot se za sprejetje vlog za izdelavo osebnih dokumentov v elektronski obliki uporablja posebna programska oprema – t. i. sodobno delovno mesto (SDM). SDM omogoča integracijo zunanjih naprav (podpisnih tablic, čitalnikov prstnih odtisov in optičnih čital</w:t>
      </w:r>
      <w:r w:rsidR="00B72713">
        <w:rPr>
          <w:rFonts w:ascii="Arial" w:hAnsi="Arial" w:cs="Arial"/>
          <w:sz w:val="20"/>
          <w:szCs w:val="20"/>
        </w:rPr>
        <w:t>niko</w:t>
      </w:r>
      <w:r w:rsidRPr="00D83239">
        <w:rPr>
          <w:rFonts w:ascii="Arial" w:hAnsi="Arial" w:cs="Arial"/>
          <w:sz w:val="20"/>
          <w:szCs w:val="20"/>
        </w:rPr>
        <w:t xml:space="preserve">v) s spletno aplikacijo za naslednje registre: Register osebnih izkaznic, Register potnih listin, Register tujcev in Register stalnega prebivalstva. Okenca upravnih enot so eden od kritičnih elementov v informacijskem sistemu upravnih enot. Za delo na okencih upravnih enot je nujno treba zagotoviti nemoteno delovanje tako perifernih naprav kot tudi sodobnega delovnega mesta, ki te naprave povezuje. V letu 2025 je MNZ izvajalo oziroma koordiniralo vse aktivnosti v sklopu zagotavljanja funkcionalnosti sodobnega delovnega mesta. Med večjimi nadgradnjami se je nadaljevala prenova </w:t>
      </w:r>
      <w:proofErr w:type="spellStart"/>
      <w:r w:rsidRPr="00D83239">
        <w:rPr>
          <w:rFonts w:ascii="Arial" w:hAnsi="Arial" w:cs="Arial"/>
          <w:sz w:val="20"/>
          <w:szCs w:val="20"/>
        </w:rPr>
        <w:t>appleta</w:t>
      </w:r>
      <w:proofErr w:type="spellEnd"/>
      <w:r w:rsidRPr="00D83239">
        <w:rPr>
          <w:rFonts w:ascii="Arial" w:hAnsi="Arial" w:cs="Arial"/>
          <w:sz w:val="20"/>
          <w:szCs w:val="20"/>
        </w:rPr>
        <w:t xml:space="preserve"> </w:t>
      </w:r>
      <w:r w:rsidR="00B72713" w:rsidRPr="00D83239">
        <w:rPr>
          <w:rFonts w:ascii="Arial" w:hAnsi="Arial" w:cs="Arial"/>
          <w:sz w:val="20"/>
          <w:szCs w:val="20"/>
        </w:rPr>
        <w:t xml:space="preserve">SDM </w:t>
      </w:r>
      <w:r w:rsidRPr="00D83239">
        <w:rPr>
          <w:rFonts w:ascii="Arial" w:hAnsi="Arial" w:cs="Arial"/>
          <w:sz w:val="20"/>
          <w:szCs w:val="20"/>
        </w:rPr>
        <w:t xml:space="preserve">na že obstoječo platformo SDM.NEXT. SDM.NEXT tako deluje tudi v </w:t>
      </w:r>
      <w:r w:rsidR="00CE2BCB">
        <w:rPr>
          <w:rFonts w:ascii="Arial" w:hAnsi="Arial" w:cs="Arial"/>
          <w:sz w:val="20"/>
          <w:szCs w:val="20"/>
        </w:rPr>
        <w:t>drug</w:t>
      </w:r>
      <w:r w:rsidRPr="00D83239">
        <w:rPr>
          <w:rFonts w:ascii="Arial" w:hAnsi="Arial" w:cs="Arial"/>
          <w:sz w:val="20"/>
          <w:szCs w:val="20"/>
        </w:rPr>
        <w:t>ih brskalnikih in ne samo v brskalni</w:t>
      </w:r>
      <w:r w:rsidR="00B72713">
        <w:rPr>
          <w:rFonts w:ascii="Arial" w:hAnsi="Arial" w:cs="Arial"/>
          <w:sz w:val="20"/>
          <w:szCs w:val="20"/>
        </w:rPr>
        <w:t>k</w:t>
      </w:r>
      <w:r w:rsidRPr="00D83239">
        <w:rPr>
          <w:rFonts w:ascii="Arial" w:hAnsi="Arial" w:cs="Arial"/>
          <w:sz w:val="20"/>
          <w:szCs w:val="20"/>
        </w:rPr>
        <w:t xml:space="preserve">u </w:t>
      </w:r>
      <w:proofErr w:type="spellStart"/>
      <w:r w:rsidRPr="00D83239">
        <w:rPr>
          <w:rFonts w:ascii="Arial" w:hAnsi="Arial" w:cs="Arial"/>
          <w:sz w:val="20"/>
          <w:szCs w:val="20"/>
        </w:rPr>
        <w:t>Edge</w:t>
      </w:r>
      <w:proofErr w:type="spellEnd"/>
      <w:r w:rsidRPr="00D83239">
        <w:rPr>
          <w:rFonts w:ascii="Arial" w:hAnsi="Arial" w:cs="Arial"/>
          <w:sz w:val="20"/>
          <w:szCs w:val="20"/>
        </w:rPr>
        <w:t xml:space="preserve"> z vklopljenim I.E., deluje pa tudi po starem, kar omogoča tehnološko prenovo ISUNZ. V tem sklopu je bil v letu 2025 tudi končan pilotni projekt za preprečevanje </w:t>
      </w:r>
      <w:r w:rsidR="00CE2BCB" w:rsidRPr="0086200C">
        <w:rPr>
          <w:rFonts w:ascii="Arial" w:hAnsi="Arial" w:cs="Arial"/>
          <w:sz w:val="20"/>
          <w:szCs w:val="20"/>
        </w:rPr>
        <w:t>preoblikovanja (angl. </w:t>
      </w:r>
      <w:proofErr w:type="spellStart"/>
      <w:r w:rsidRPr="0086200C">
        <w:rPr>
          <w:rFonts w:ascii="Arial" w:hAnsi="Arial" w:cs="Arial"/>
          <w:sz w:val="20"/>
          <w:szCs w:val="20"/>
        </w:rPr>
        <w:t>morphing</w:t>
      </w:r>
      <w:proofErr w:type="spellEnd"/>
      <w:r w:rsidR="00CE2BCB" w:rsidRPr="0086200C">
        <w:rPr>
          <w:rFonts w:ascii="Arial" w:hAnsi="Arial" w:cs="Arial"/>
          <w:sz w:val="20"/>
          <w:szCs w:val="20"/>
        </w:rPr>
        <w:t>)</w:t>
      </w:r>
      <w:r w:rsidRPr="00D83239">
        <w:rPr>
          <w:rFonts w:ascii="Arial" w:hAnsi="Arial" w:cs="Arial"/>
          <w:sz w:val="20"/>
          <w:szCs w:val="20"/>
        </w:rPr>
        <w:t xml:space="preserve"> obraznih slik ter vključitev </w:t>
      </w:r>
      <w:proofErr w:type="spellStart"/>
      <w:r w:rsidRPr="00D83239">
        <w:rPr>
          <w:rFonts w:ascii="Arial" w:hAnsi="Arial" w:cs="Arial"/>
          <w:sz w:val="20"/>
          <w:szCs w:val="20"/>
        </w:rPr>
        <w:t>Wacom</w:t>
      </w:r>
      <w:proofErr w:type="spellEnd"/>
      <w:r w:rsidRPr="00D83239">
        <w:rPr>
          <w:rFonts w:ascii="Arial" w:hAnsi="Arial" w:cs="Arial"/>
          <w:sz w:val="20"/>
          <w:szCs w:val="20"/>
        </w:rPr>
        <w:t xml:space="preserve"> podpisnih tablic in </w:t>
      </w:r>
      <w:r w:rsidR="00B72713" w:rsidRPr="00D83239">
        <w:rPr>
          <w:rFonts w:ascii="Arial" w:hAnsi="Arial" w:cs="Arial"/>
          <w:sz w:val="20"/>
          <w:szCs w:val="20"/>
        </w:rPr>
        <w:t>optičnega čitalnika</w:t>
      </w:r>
      <w:r w:rsidRPr="00D83239">
        <w:rPr>
          <w:rFonts w:ascii="Arial" w:hAnsi="Arial" w:cs="Arial"/>
          <w:sz w:val="20"/>
          <w:szCs w:val="20"/>
        </w:rPr>
        <w:t xml:space="preserve"> RICOH fi800R za potrebe upravnih enot in MNZ. MNZ je s pomočjo Policije pripravljal</w:t>
      </w:r>
      <w:r w:rsidR="0077546D">
        <w:rPr>
          <w:rFonts w:ascii="Arial" w:hAnsi="Arial" w:cs="Arial"/>
          <w:sz w:val="20"/>
          <w:szCs w:val="20"/>
        </w:rPr>
        <w:t>o</w:t>
      </w:r>
      <w:r w:rsidRPr="00D83239">
        <w:rPr>
          <w:rFonts w:ascii="Arial" w:hAnsi="Arial" w:cs="Arial"/>
          <w:sz w:val="20"/>
          <w:szCs w:val="20"/>
        </w:rPr>
        <w:t xml:space="preserve"> tudi tehničn</w:t>
      </w:r>
      <w:r w:rsidR="0077546D">
        <w:rPr>
          <w:rFonts w:ascii="Arial" w:hAnsi="Arial" w:cs="Arial"/>
          <w:sz w:val="20"/>
          <w:szCs w:val="20"/>
        </w:rPr>
        <w:t>o</w:t>
      </w:r>
      <w:r w:rsidRPr="00D83239">
        <w:rPr>
          <w:rFonts w:ascii="Arial" w:hAnsi="Arial" w:cs="Arial"/>
          <w:sz w:val="20"/>
          <w:szCs w:val="20"/>
        </w:rPr>
        <w:t xml:space="preserve"> dokumentacij</w:t>
      </w:r>
      <w:r w:rsidR="0077546D">
        <w:rPr>
          <w:rFonts w:ascii="Arial" w:hAnsi="Arial" w:cs="Arial"/>
          <w:sz w:val="20"/>
          <w:szCs w:val="20"/>
        </w:rPr>
        <w:t>o</w:t>
      </w:r>
      <w:r w:rsidRPr="00D83239">
        <w:rPr>
          <w:rFonts w:ascii="Arial" w:hAnsi="Arial" w:cs="Arial"/>
          <w:sz w:val="20"/>
          <w:szCs w:val="20"/>
        </w:rPr>
        <w:t xml:space="preserve"> za nabavo čital</w:t>
      </w:r>
      <w:r w:rsidR="00B72713">
        <w:rPr>
          <w:rFonts w:ascii="Arial" w:hAnsi="Arial" w:cs="Arial"/>
          <w:sz w:val="20"/>
          <w:szCs w:val="20"/>
        </w:rPr>
        <w:t>niko</w:t>
      </w:r>
      <w:r w:rsidRPr="00D83239">
        <w:rPr>
          <w:rFonts w:ascii="Arial" w:hAnsi="Arial" w:cs="Arial"/>
          <w:sz w:val="20"/>
          <w:szCs w:val="20"/>
        </w:rPr>
        <w:t xml:space="preserve">v </w:t>
      </w:r>
      <w:r w:rsidR="00EE71FC">
        <w:rPr>
          <w:rFonts w:ascii="Arial" w:hAnsi="Arial" w:cs="Arial"/>
          <w:sz w:val="20"/>
          <w:szCs w:val="20"/>
        </w:rPr>
        <w:t>štirih</w:t>
      </w:r>
      <w:r w:rsidRPr="00D83239">
        <w:rPr>
          <w:rFonts w:ascii="Arial" w:hAnsi="Arial" w:cs="Arial"/>
          <w:sz w:val="20"/>
          <w:szCs w:val="20"/>
        </w:rPr>
        <w:t xml:space="preserve"> prstnih odtisov in čital</w:t>
      </w:r>
      <w:r w:rsidR="00B72713">
        <w:rPr>
          <w:rFonts w:ascii="Arial" w:hAnsi="Arial" w:cs="Arial"/>
          <w:sz w:val="20"/>
          <w:szCs w:val="20"/>
        </w:rPr>
        <w:t>niko</w:t>
      </w:r>
      <w:r w:rsidRPr="00D83239">
        <w:rPr>
          <w:rFonts w:ascii="Arial" w:hAnsi="Arial" w:cs="Arial"/>
          <w:sz w:val="20"/>
          <w:szCs w:val="20"/>
        </w:rPr>
        <w:t xml:space="preserve">v dokumentov, ki jih bodo upravne enote uporabljale na svojih delovnih postajah. </w:t>
      </w:r>
      <w:r w:rsidRPr="00477D7F">
        <w:rPr>
          <w:rFonts w:ascii="Arial" w:hAnsi="Arial" w:cs="Arial"/>
          <w:sz w:val="20"/>
          <w:szCs w:val="20"/>
        </w:rPr>
        <w:t xml:space="preserve">Nabava obeh </w:t>
      </w:r>
      <w:r w:rsidR="00B72713" w:rsidRPr="00477D7F">
        <w:rPr>
          <w:rFonts w:ascii="Arial" w:hAnsi="Arial" w:cs="Arial"/>
          <w:sz w:val="20"/>
          <w:szCs w:val="20"/>
        </w:rPr>
        <w:t xml:space="preserve">vrst </w:t>
      </w:r>
      <w:r w:rsidRPr="00477D7F">
        <w:rPr>
          <w:rFonts w:ascii="Arial" w:hAnsi="Arial" w:cs="Arial"/>
          <w:sz w:val="20"/>
          <w:szCs w:val="20"/>
        </w:rPr>
        <w:t>čital</w:t>
      </w:r>
      <w:r w:rsidR="00B72713" w:rsidRPr="00477D7F">
        <w:rPr>
          <w:rFonts w:ascii="Arial" w:hAnsi="Arial" w:cs="Arial"/>
          <w:sz w:val="20"/>
          <w:szCs w:val="20"/>
        </w:rPr>
        <w:t>niko</w:t>
      </w:r>
      <w:r w:rsidR="00716F34" w:rsidRPr="00477D7F">
        <w:rPr>
          <w:rFonts w:ascii="Arial" w:hAnsi="Arial" w:cs="Arial"/>
          <w:sz w:val="20"/>
          <w:szCs w:val="20"/>
        </w:rPr>
        <w:t>v je v pristojnosti M</w:t>
      </w:r>
      <w:r w:rsidR="00477D7F" w:rsidRPr="00477D7F">
        <w:rPr>
          <w:rFonts w:ascii="Arial" w:hAnsi="Arial" w:cs="Arial"/>
          <w:sz w:val="20"/>
          <w:szCs w:val="20"/>
        </w:rPr>
        <w:t xml:space="preserve">inistrstva za digitalno preobrazbo in Ministrstva za javno upravo. </w:t>
      </w:r>
    </w:p>
    <w:p w14:paraId="03B7762F" w14:textId="77777777" w:rsidR="000B1BAF" w:rsidRPr="00D83239" w:rsidRDefault="000B1BAF" w:rsidP="00D83239">
      <w:pPr>
        <w:autoSpaceDE w:val="0"/>
        <w:autoSpaceDN w:val="0"/>
        <w:adjustRightInd w:val="0"/>
        <w:spacing w:after="0" w:line="276" w:lineRule="auto"/>
        <w:jc w:val="both"/>
        <w:rPr>
          <w:rFonts w:ascii="Arial" w:hAnsi="Arial" w:cs="Arial"/>
          <w:sz w:val="20"/>
          <w:szCs w:val="20"/>
          <w:highlight w:val="yellow"/>
        </w:rPr>
      </w:pPr>
    </w:p>
    <w:p w14:paraId="4CA6F11E" w14:textId="516213CC" w:rsidR="00653B9D" w:rsidRPr="00D83239" w:rsidRDefault="00D8059D" w:rsidP="00D83239">
      <w:pPr>
        <w:pStyle w:val="Naslov3"/>
        <w:spacing w:line="276" w:lineRule="auto"/>
        <w:jc w:val="both"/>
        <w:rPr>
          <w:rFonts w:eastAsiaTheme="majorEastAsia" w:cs="Arial"/>
          <w:sz w:val="20"/>
          <w:szCs w:val="20"/>
        </w:rPr>
      </w:pPr>
      <w:bookmarkStart w:id="99" w:name="_Toc184888972"/>
      <w:bookmarkStart w:id="100" w:name="_Toc193199777"/>
      <w:r w:rsidRPr="00D83239">
        <w:rPr>
          <w:rFonts w:eastAsiaTheme="majorEastAsia" w:cs="Arial"/>
          <w:sz w:val="20"/>
          <w:szCs w:val="20"/>
        </w:rPr>
        <w:t xml:space="preserve"> </w:t>
      </w:r>
      <w:bookmarkStart w:id="101" w:name="_Toc225499834"/>
      <w:r w:rsidR="00653B9D" w:rsidRPr="00D83239">
        <w:rPr>
          <w:rFonts w:eastAsiaTheme="majorEastAsia" w:cs="Arial"/>
          <w:sz w:val="20"/>
          <w:szCs w:val="20"/>
        </w:rPr>
        <w:t xml:space="preserve">Druge aktivnosti </w:t>
      </w:r>
      <w:r w:rsidRPr="00D83239">
        <w:rPr>
          <w:rFonts w:eastAsiaTheme="majorEastAsia" w:cs="Arial"/>
          <w:sz w:val="20"/>
          <w:szCs w:val="20"/>
        </w:rPr>
        <w:t xml:space="preserve">na področju upravnih notranjih zadev </w:t>
      </w:r>
      <w:r w:rsidR="00653B9D" w:rsidRPr="00D83239">
        <w:rPr>
          <w:rFonts w:eastAsiaTheme="majorEastAsia" w:cs="Arial"/>
          <w:sz w:val="20"/>
          <w:szCs w:val="20"/>
        </w:rPr>
        <w:t>v letu 202</w:t>
      </w:r>
      <w:bookmarkEnd w:id="99"/>
      <w:bookmarkEnd w:id="100"/>
      <w:r w:rsidR="003C5D73" w:rsidRPr="00D83239">
        <w:rPr>
          <w:rFonts w:eastAsiaTheme="majorEastAsia" w:cs="Arial"/>
          <w:sz w:val="20"/>
          <w:szCs w:val="20"/>
        </w:rPr>
        <w:t>5</w:t>
      </w:r>
      <w:bookmarkEnd w:id="101"/>
    </w:p>
    <w:p w14:paraId="6ED854F5" w14:textId="56413486" w:rsidR="00D8059D" w:rsidRPr="00D83239" w:rsidRDefault="00D8059D" w:rsidP="00D83239">
      <w:pPr>
        <w:spacing w:after="0" w:line="276" w:lineRule="auto"/>
        <w:jc w:val="both"/>
        <w:rPr>
          <w:rFonts w:ascii="Arial" w:hAnsi="Arial" w:cs="Arial"/>
          <w:sz w:val="20"/>
          <w:szCs w:val="20"/>
          <w:highlight w:val="yellow"/>
        </w:rPr>
      </w:pPr>
    </w:p>
    <w:p w14:paraId="4420C91B" w14:textId="1D38690E" w:rsidR="003C5D73" w:rsidRPr="00D83239" w:rsidRDefault="003C5D73" w:rsidP="00D83239">
      <w:pPr>
        <w:spacing w:after="0" w:line="276" w:lineRule="auto"/>
        <w:jc w:val="both"/>
        <w:rPr>
          <w:rFonts w:ascii="Arial" w:hAnsi="Arial" w:cs="Arial"/>
          <w:sz w:val="20"/>
          <w:szCs w:val="20"/>
        </w:rPr>
      </w:pPr>
      <w:r w:rsidRPr="00D83239">
        <w:rPr>
          <w:rFonts w:ascii="Arial" w:hAnsi="Arial" w:cs="Arial"/>
          <w:sz w:val="20"/>
          <w:szCs w:val="20"/>
        </w:rPr>
        <w:t xml:space="preserve">Na področju upravnih notranjih zadev je MNZ v letu 2025 izvajalo </w:t>
      </w:r>
      <w:r w:rsidR="0077546D">
        <w:rPr>
          <w:rFonts w:ascii="Arial" w:hAnsi="Arial" w:cs="Arial"/>
          <w:sz w:val="20"/>
          <w:szCs w:val="20"/>
        </w:rPr>
        <w:t>tudi</w:t>
      </w:r>
      <w:r w:rsidR="0077546D" w:rsidRPr="00D83239">
        <w:rPr>
          <w:rFonts w:ascii="Arial" w:hAnsi="Arial" w:cs="Arial"/>
          <w:sz w:val="20"/>
          <w:szCs w:val="20"/>
        </w:rPr>
        <w:t xml:space="preserve"> </w:t>
      </w:r>
      <w:r w:rsidRPr="00D83239">
        <w:rPr>
          <w:rFonts w:ascii="Arial" w:hAnsi="Arial" w:cs="Arial"/>
          <w:sz w:val="20"/>
          <w:szCs w:val="20"/>
        </w:rPr>
        <w:t>naslednje aktivnosti:</w:t>
      </w:r>
    </w:p>
    <w:p w14:paraId="38CFE973" w14:textId="1822FEFA" w:rsidR="003C5D73" w:rsidRPr="00D83239" w:rsidRDefault="003C5D73" w:rsidP="00FE543C">
      <w:pPr>
        <w:numPr>
          <w:ilvl w:val="0"/>
          <w:numId w:val="7"/>
        </w:num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izvajanje tehnične podpore za posvetovalne in zakonodajne referendume</w:t>
      </w:r>
      <w:r w:rsidR="0077546D">
        <w:rPr>
          <w:rFonts w:ascii="Arial" w:hAnsi="Arial" w:cs="Arial"/>
          <w:sz w:val="20"/>
          <w:szCs w:val="20"/>
          <w:lang w:eastAsia="sl-SI"/>
        </w:rPr>
        <w:t>;</w:t>
      </w:r>
    </w:p>
    <w:p w14:paraId="1B3BB60C" w14:textId="7932E5D7" w:rsidR="003C5D73" w:rsidRPr="00D83239" w:rsidRDefault="003C5D73" w:rsidP="00FE543C">
      <w:pPr>
        <w:numPr>
          <w:ilvl w:val="0"/>
          <w:numId w:val="7"/>
        </w:num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sodelovanje pri projektu Skrinja (M</w:t>
      </w:r>
      <w:r w:rsidR="0086200C">
        <w:rPr>
          <w:rFonts w:ascii="Arial" w:hAnsi="Arial" w:cs="Arial"/>
          <w:sz w:val="20"/>
          <w:szCs w:val="20"/>
          <w:lang w:eastAsia="sl-SI"/>
        </w:rPr>
        <w:t>inistrstvo za digitalno preobrazbo</w:t>
      </w:r>
      <w:r w:rsidRPr="00D83239">
        <w:rPr>
          <w:rFonts w:ascii="Arial" w:hAnsi="Arial" w:cs="Arial"/>
          <w:sz w:val="20"/>
          <w:szCs w:val="20"/>
          <w:lang w:eastAsia="sl-SI"/>
        </w:rPr>
        <w:t>) glede priprave avtomatiziranih statističnih podatkov DUN, ki se vodijo v ISUNZ za celo</w:t>
      </w:r>
      <w:r w:rsidR="0077546D">
        <w:rPr>
          <w:rFonts w:ascii="Arial" w:hAnsi="Arial" w:cs="Arial"/>
          <w:sz w:val="20"/>
          <w:szCs w:val="20"/>
          <w:lang w:eastAsia="sl-SI"/>
        </w:rPr>
        <w:t>tno</w:t>
      </w:r>
      <w:r w:rsidRPr="00D83239">
        <w:rPr>
          <w:rFonts w:ascii="Arial" w:hAnsi="Arial" w:cs="Arial"/>
          <w:sz w:val="20"/>
          <w:szCs w:val="20"/>
          <w:lang w:eastAsia="sl-SI"/>
        </w:rPr>
        <w:t xml:space="preserve"> Slovenijo po upravnih enotah</w:t>
      </w:r>
      <w:r w:rsidR="0077546D">
        <w:rPr>
          <w:rFonts w:ascii="Arial" w:hAnsi="Arial" w:cs="Arial"/>
          <w:sz w:val="20"/>
          <w:szCs w:val="20"/>
          <w:lang w:eastAsia="sl-SI"/>
        </w:rPr>
        <w:t>;</w:t>
      </w:r>
    </w:p>
    <w:p w14:paraId="5CC3B8F5" w14:textId="204E9569" w:rsidR="003C5D73" w:rsidRPr="003D4C90" w:rsidRDefault="003C5D73" w:rsidP="00FE543C">
      <w:pPr>
        <w:numPr>
          <w:ilvl w:val="0"/>
          <w:numId w:val="7"/>
        </w:numPr>
        <w:autoSpaceDE w:val="0"/>
        <w:autoSpaceDN w:val="0"/>
        <w:adjustRightInd w:val="0"/>
        <w:spacing w:after="0" w:line="276" w:lineRule="auto"/>
        <w:jc w:val="both"/>
        <w:rPr>
          <w:rFonts w:ascii="Arial" w:hAnsi="Arial" w:cs="Arial"/>
          <w:sz w:val="20"/>
          <w:szCs w:val="20"/>
          <w:lang w:eastAsia="sl-SI"/>
        </w:rPr>
      </w:pPr>
      <w:r w:rsidRPr="003D4C90">
        <w:rPr>
          <w:rFonts w:ascii="Arial" w:hAnsi="Arial" w:cs="Arial"/>
          <w:sz w:val="20"/>
          <w:szCs w:val="20"/>
          <w:lang w:eastAsia="sl-SI"/>
        </w:rPr>
        <w:t>sodelovanje pri projektu Digitalizacija upravnih postopkov na upravnih enotah (M</w:t>
      </w:r>
      <w:r w:rsidR="00B1329D" w:rsidRPr="003D4C90">
        <w:rPr>
          <w:rFonts w:ascii="Arial" w:hAnsi="Arial" w:cs="Arial"/>
          <w:sz w:val="20"/>
          <w:szCs w:val="20"/>
          <w:lang w:eastAsia="sl-SI"/>
        </w:rPr>
        <w:t>inistrstvo za digitalno preobrazbo</w:t>
      </w:r>
      <w:r w:rsidRPr="003D4C90">
        <w:rPr>
          <w:rFonts w:ascii="Arial" w:hAnsi="Arial" w:cs="Arial"/>
          <w:sz w:val="20"/>
          <w:szCs w:val="20"/>
          <w:lang w:eastAsia="sl-SI"/>
        </w:rPr>
        <w:t>)</w:t>
      </w:r>
      <w:r w:rsidR="0077546D" w:rsidRPr="003D4C90">
        <w:rPr>
          <w:rFonts w:ascii="Arial" w:hAnsi="Arial" w:cs="Arial"/>
          <w:sz w:val="20"/>
          <w:szCs w:val="20"/>
          <w:lang w:eastAsia="sl-SI"/>
        </w:rPr>
        <w:t>;</w:t>
      </w:r>
      <w:r w:rsidRPr="003D4C90">
        <w:rPr>
          <w:rFonts w:ascii="Arial" w:hAnsi="Arial" w:cs="Arial"/>
          <w:sz w:val="20"/>
          <w:szCs w:val="20"/>
          <w:lang w:eastAsia="sl-SI"/>
        </w:rPr>
        <w:t xml:space="preserve"> </w:t>
      </w:r>
    </w:p>
    <w:p w14:paraId="5B9B7D99" w14:textId="01C6A4A1" w:rsidR="003C5D73" w:rsidRPr="003D4C90" w:rsidRDefault="003C5D73" w:rsidP="00FE543C">
      <w:pPr>
        <w:numPr>
          <w:ilvl w:val="0"/>
          <w:numId w:val="7"/>
        </w:numPr>
        <w:autoSpaceDE w:val="0"/>
        <w:autoSpaceDN w:val="0"/>
        <w:adjustRightInd w:val="0"/>
        <w:spacing w:after="0" w:line="276" w:lineRule="auto"/>
        <w:jc w:val="both"/>
        <w:rPr>
          <w:rFonts w:ascii="Arial" w:hAnsi="Arial" w:cs="Arial"/>
          <w:sz w:val="20"/>
          <w:szCs w:val="20"/>
          <w:lang w:eastAsia="sl-SI"/>
        </w:rPr>
      </w:pPr>
      <w:r w:rsidRPr="003D4C90">
        <w:rPr>
          <w:rFonts w:ascii="Arial" w:hAnsi="Arial" w:cs="Arial"/>
          <w:sz w:val="20"/>
          <w:szCs w:val="20"/>
          <w:lang w:eastAsia="sl-SI"/>
        </w:rPr>
        <w:t xml:space="preserve">sodelovanje pri projektih DTC, EES in </w:t>
      </w:r>
      <w:r w:rsidR="00B1329D" w:rsidRPr="003D4C90">
        <w:rPr>
          <w:rFonts w:ascii="Arial" w:hAnsi="Arial" w:cs="Arial"/>
          <w:sz w:val="20"/>
          <w:szCs w:val="20"/>
          <w:lang w:eastAsia="sl-SI"/>
        </w:rPr>
        <w:t>Evropski p</w:t>
      </w:r>
      <w:r w:rsidRPr="003D4C90">
        <w:rPr>
          <w:rFonts w:ascii="Arial" w:hAnsi="Arial" w:cs="Arial"/>
          <w:sz w:val="20"/>
          <w:szCs w:val="20"/>
          <w:lang w:eastAsia="sl-SI"/>
        </w:rPr>
        <w:t>akt o migracijah</w:t>
      </w:r>
      <w:r w:rsidR="00B1329D" w:rsidRPr="003D4C90">
        <w:rPr>
          <w:rFonts w:ascii="Arial" w:hAnsi="Arial" w:cs="Arial"/>
          <w:sz w:val="20"/>
          <w:szCs w:val="20"/>
          <w:lang w:eastAsia="sl-SI"/>
        </w:rPr>
        <w:t xml:space="preserve"> in azilu</w:t>
      </w:r>
      <w:r w:rsidR="0077546D" w:rsidRPr="003D4C90">
        <w:rPr>
          <w:rFonts w:ascii="Arial" w:hAnsi="Arial" w:cs="Arial"/>
          <w:sz w:val="20"/>
          <w:szCs w:val="20"/>
          <w:lang w:eastAsia="sl-SI"/>
        </w:rPr>
        <w:t>;</w:t>
      </w:r>
    </w:p>
    <w:p w14:paraId="772E3450" w14:textId="00830C51" w:rsidR="003C5D73" w:rsidRPr="003D4C90" w:rsidRDefault="003C5D73" w:rsidP="00FE543C">
      <w:pPr>
        <w:numPr>
          <w:ilvl w:val="0"/>
          <w:numId w:val="7"/>
        </w:numPr>
        <w:autoSpaceDE w:val="0"/>
        <w:autoSpaceDN w:val="0"/>
        <w:adjustRightInd w:val="0"/>
        <w:spacing w:after="0" w:line="276" w:lineRule="auto"/>
        <w:jc w:val="both"/>
        <w:rPr>
          <w:rFonts w:ascii="Arial" w:hAnsi="Arial" w:cs="Arial"/>
          <w:sz w:val="20"/>
          <w:szCs w:val="20"/>
          <w:lang w:eastAsia="sl-SI"/>
        </w:rPr>
      </w:pPr>
      <w:r w:rsidRPr="003D4C90">
        <w:rPr>
          <w:rFonts w:ascii="Arial" w:hAnsi="Arial" w:cs="Arial"/>
          <w:sz w:val="20"/>
          <w:szCs w:val="20"/>
        </w:rPr>
        <w:t>izvajanje pomoči uporabnikom v zvezi s programsko in strojno opremo</w:t>
      </w:r>
      <w:r w:rsidR="0077546D" w:rsidRPr="003D4C90">
        <w:rPr>
          <w:rFonts w:ascii="Arial" w:hAnsi="Arial" w:cs="Arial"/>
          <w:sz w:val="20"/>
          <w:szCs w:val="20"/>
        </w:rPr>
        <w:t>;</w:t>
      </w:r>
    </w:p>
    <w:p w14:paraId="4299EA2E" w14:textId="3E7C1F92" w:rsidR="003C5D73" w:rsidRPr="003D4C90" w:rsidRDefault="003C5D73" w:rsidP="00FE543C">
      <w:pPr>
        <w:numPr>
          <w:ilvl w:val="0"/>
          <w:numId w:val="7"/>
        </w:numPr>
        <w:autoSpaceDE w:val="0"/>
        <w:autoSpaceDN w:val="0"/>
        <w:adjustRightInd w:val="0"/>
        <w:spacing w:after="0" w:line="276" w:lineRule="auto"/>
        <w:jc w:val="both"/>
        <w:rPr>
          <w:rFonts w:ascii="Arial" w:hAnsi="Arial" w:cs="Arial"/>
          <w:sz w:val="20"/>
          <w:szCs w:val="20"/>
          <w:lang w:eastAsia="sl-SI"/>
        </w:rPr>
      </w:pPr>
      <w:r w:rsidRPr="003D4C90">
        <w:rPr>
          <w:rFonts w:ascii="Arial" w:hAnsi="Arial" w:cs="Arial"/>
          <w:sz w:val="20"/>
          <w:szCs w:val="20"/>
        </w:rPr>
        <w:t>skrb za informacijsko varnost ISUNZ in odzivanje na varnostne incidente</w:t>
      </w:r>
      <w:r w:rsidR="0077546D" w:rsidRPr="003D4C90">
        <w:rPr>
          <w:rFonts w:ascii="Arial" w:hAnsi="Arial" w:cs="Arial"/>
          <w:sz w:val="20"/>
          <w:szCs w:val="20"/>
        </w:rPr>
        <w:t>;</w:t>
      </w:r>
      <w:r w:rsidRPr="003D4C90">
        <w:rPr>
          <w:rFonts w:ascii="Arial" w:hAnsi="Arial" w:cs="Arial"/>
          <w:sz w:val="20"/>
          <w:szCs w:val="20"/>
        </w:rPr>
        <w:t xml:space="preserve"> </w:t>
      </w:r>
    </w:p>
    <w:p w14:paraId="25B9D023" w14:textId="714F62EA" w:rsidR="003C5D73" w:rsidRPr="003D4C90" w:rsidRDefault="003C5D73" w:rsidP="00FE543C">
      <w:pPr>
        <w:numPr>
          <w:ilvl w:val="0"/>
          <w:numId w:val="7"/>
        </w:numPr>
        <w:autoSpaceDE w:val="0"/>
        <w:autoSpaceDN w:val="0"/>
        <w:adjustRightInd w:val="0"/>
        <w:spacing w:after="0" w:line="276" w:lineRule="auto"/>
        <w:jc w:val="both"/>
        <w:rPr>
          <w:rFonts w:ascii="Arial" w:hAnsi="Arial" w:cs="Arial"/>
          <w:sz w:val="20"/>
          <w:szCs w:val="20"/>
          <w:lang w:eastAsia="sl-SI"/>
        </w:rPr>
      </w:pPr>
      <w:r w:rsidRPr="003D4C90">
        <w:rPr>
          <w:rFonts w:ascii="Arial" w:hAnsi="Arial" w:cs="Arial"/>
          <w:sz w:val="20"/>
          <w:szCs w:val="20"/>
        </w:rPr>
        <w:t>sodelovanje pri izvedbi notranje presoje ISUNZ in pomoč pri pripravi ocen učinka</w:t>
      </w:r>
      <w:r w:rsidR="0077546D" w:rsidRPr="003D4C90">
        <w:rPr>
          <w:rFonts w:ascii="Arial" w:hAnsi="Arial" w:cs="Arial"/>
          <w:sz w:val="20"/>
          <w:szCs w:val="20"/>
        </w:rPr>
        <w:t>;</w:t>
      </w:r>
    </w:p>
    <w:p w14:paraId="647297FE" w14:textId="69453442" w:rsidR="003C5D73" w:rsidRPr="003D4C90" w:rsidRDefault="003C5D73" w:rsidP="00FE543C">
      <w:pPr>
        <w:numPr>
          <w:ilvl w:val="0"/>
          <w:numId w:val="7"/>
        </w:numPr>
        <w:autoSpaceDE w:val="0"/>
        <w:autoSpaceDN w:val="0"/>
        <w:adjustRightInd w:val="0"/>
        <w:spacing w:after="0" w:line="276" w:lineRule="auto"/>
        <w:jc w:val="both"/>
        <w:rPr>
          <w:rFonts w:ascii="Arial" w:hAnsi="Arial" w:cs="Arial"/>
          <w:sz w:val="20"/>
          <w:szCs w:val="20"/>
        </w:rPr>
      </w:pPr>
      <w:r w:rsidRPr="003D4C90">
        <w:rPr>
          <w:rFonts w:ascii="Arial" w:hAnsi="Arial" w:cs="Arial"/>
          <w:sz w:val="20"/>
          <w:szCs w:val="20"/>
        </w:rPr>
        <w:t xml:space="preserve">zagotavljanje priložnostnih poizvedb in priprava statističnih podatkov za </w:t>
      </w:r>
      <w:r w:rsidR="00477D7F" w:rsidRPr="003D4C90">
        <w:rPr>
          <w:rFonts w:ascii="Arial" w:hAnsi="Arial" w:cs="Arial"/>
          <w:sz w:val="20"/>
          <w:szCs w:val="20"/>
        </w:rPr>
        <w:t>organizacijske enote MNZ</w:t>
      </w:r>
      <w:r w:rsidRPr="003D4C90">
        <w:rPr>
          <w:rFonts w:ascii="Arial" w:hAnsi="Arial" w:cs="Arial"/>
          <w:sz w:val="20"/>
          <w:szCs w:val="20"/>
        </w:rPr>
        <w:t xml:space="preserve"> in druga ministrstva ter druge poslovne subjekte (pripravljenih je bilo več kot 300 poizvedb)</w:t>
      </w:r>
      <w:r w:rsidR="0077546D" w:rsidRPr="003D4C90">
        <w:rPr>
          <w:rFonts w:ascii="Arial" w:hAnsi="Arial" w:cs="Arial"/>
          <w:sz w:val="20"/>
          <w:szCs w:val="20"/>
        </w:rPr>
        <w:t>;</w:t>
      </w:r>
    </w:p>
    <w:p w14:paraId="1B3DDDD7" w14:textId="1EF2AA82" w:rsidR="003C5D73" w:rsidRPr="003D4C90" w:rsidRDefault="003C5D73" w:rsidP="00FE543C">
      <w:pPr>
        <w:numPr>
          <w:ilvl w:val="0"/>
          <w:numId w:val="7"/>
        </w:numPr>
        <w:autoSpaceDE w:val="0"/>
        <w:autoSpaceDN w:val="0"/>
        <w:adjustRightInd w:val="0"/>
        <w:spacing w:after="0" w:line="276" w:lineRule="auto"/>
        <w:jc w:val="both"/>
        <w:rPr>
          <w:rFonts w:ascii="Arial" w:hAnsi="Arial" w:cs="Arial"/>
          <w:sz w:val="20"/>
          <w:szCs w:val="20"/>
        </w:rPr>
      </w:pPr>
      <w:r w:rsidRPr="003D4C90">
        <w:rPr>
          <w:rFonts w:ascii="Arial" w:hAnsi="Arial" w:cs="Arial"/>
          <w:sz w:val="20"/>
          <w:szCs w:val="20"/>
        </w:rPr>
        <w:t>priprava PDF-obrazcev</w:t>
      </w:r>
      <w:r w:rsidR="0077546D" w:rsidRPr="003D4C90">
        <w:rPr>
          <w:rFonts w:ascii="Arial" w:hAnsi="Arial" w:cs="Arial"/>
          <w:sz w:val="20"/>
          <w:szCs w:val="20"/>
        </w:rPr>
        <w:t>;</w:t>
      </w:r>
    </w:p>
    <w:p w14:paraId="2F745088" w14:textId="77777777" w:rsidR="003C5D73" w:rsidRPr="003D4C90" w:rsidRDefault="003C5D73" w:rsidP="00FE543C">
      <w:pPr>
        <w:numPr>
          <w:ilvl w:val="0"/>
          <w:numId w:val="7"/>
        </w:numPr>
        <w:autoSpaceDE w:val="0"/>
        <w:autoSpaceDN w:val="0"/>
        <w:adjustRightInd w:val="0"/>
        <w:spacing w:after="0" w:line="276" w:lineRule="auto"/>
        <w:jc w:val="both"/>
        <w:rPr>
          <w:rFonts w:ascii="Arial" w:hAnsi="Arial" w:cs="Arial"/>
          <w:sz w:val="20"/>
          <w:szCs w:val="20"/>
        </w:rPr>
      </w:pPr>
      <w:r w:rsidRPr="003D4C90">
        <w:rPr>
          <w:rFonts w:ascii="Arial" w:hAnsi="Arial" w:cs="Arial"/>
          <w:sz w:val="20"/>
          <w:szCs w:val="20"/>
        </w:rPr>
        <w:t>zagotavljanje članstva v različnih delovnih skupinah:</w:t>
      </w:r>
    </w:p>
    <w:p w14:paraId="1C423991" w14:textId="77777777" w:rsidR="003C5D73" w:rsidRPr="003D4C90" w:rsidRDefault="003C5D73" w:rsidP="00FE543C">
      <w:pPr>
        <w:numPr>
          <w:ilvl w:val="0"/>
          <w:numId w:val="5"/>
        </w:numPr>
        <w:autoSpaceDE w:val="0"/>
        <w:autoSpaceDN w:val="0"/>
        <w:adjustRightInd w:val="0"/>
        <w:spacing w:after="0" w:line="276" w:lineRule="auto"/>
        <w:jc w:val="both"/>
        <w:rPr>
          <w:rFonts w:ascii="Arial" w:hAnsi="Arial" w:cs="Arial"/>
          <w:sz w:val="20"/>
          <w:szCs w:val="20"/>
        </w:rPr>
      </w:pPr>
      <w:proofErr w:type="spellStart"/>
      <w:r w:rsidRPr="003D4C90">
        <w:rPr>
          <w:rFonts w:ascii="Arial" w:hAnsi="Arial" w:cs="Arial"/>
          <w:sz w:val="20"/>
          <w:szCs w:val="20"/>
        </w:rPr>
        <w:t>Article</w:t>
      </w:r>
      <w:proofErr w:type="spellEnd"/>
      <w:r w:rsidRPr="003D4C90">
        <w:rPr>
          <w:rFonts w:ascii="Arial" w:hAnsi="Arial" w:cs="Arial"/>
          <w:sz w:val="20"/>
          <w:szCs w:val="20"/>
        </w:rPr>
        <w:t xml:space="preserve"> 6 s podskupinama:</w:t>
      </w:r>
    </w:p>
    <w:p w14:paraId="33A72015" w14:textId="77777777" w:rsidR="003C5D73" w:rsidRPr="003D4C90" w:rsidRDefault="003C5D73" w:rsidP="00FE543C">
      <w:pPr>
        <w:numPr>
          <w:ilvl w:val="0"/>
          <w:numId w:val="4"/>
        </w:numPr>
        <w:autoSpaceDE w:val="0"/>
        <w:autoSpaceDN w:val="0"/>
        <w:adjustRightInd w:val="0"/>
        <w:spacing w:after="0" w:line="276" w:lineRule="auto"/>
        <w:jc w:val="both"/>
        <w:rPr>
          <w:rFonts w:ascii="Arial" w:hAnsi="Arial" w:cs="Arial"/>
          <w:bCs/>
          <w:sz w:val="20"/>
          <w:szCs w:val="20"/>
          <w:lang w:eastAsia="sl-SI"/>
        </w:rPr>
      </w:pPr>
      <w:proofErr w:type="spellStart"/>
      <w:r w:rsidRPr="003D4C90">
        <w:rPr>
          <w:rFonts w:ascii="Arial" w:hAnsi="Arial" w:cs="Arial"/>
          <w:bCs/>
          <w:sz w:val="20"/>
          <w:szCs w:val="20"/>
          <w:lang w:eastAsia="sl-SI"/>
        </w:rPr>
        <w:t>Technical</w:t>
      </w:r>
      <w:proofErr w:type="spellEnd"/>
      <w:r w:rsidRPr="003D4C90">
        <w:rPr>
          <w:rFonts w:ascii="Arial" w:hAnsi="Arial" w:cs="Arial"/>
          <w:bCs/>
          <w:sz w:val="20"/>
          <w:szCs w:val="20"/>
          <w:lang w:eastAsia="sl-SI"/>
        </w:rPr>
        <w:t xml:space="preserve"> </w:t>
      </w:r>
      <w:proofErr w:type="spellStart"/>
      <w:r w:rsidRPr="003D4C90">
        <w:rPr>
          <w:rFonts w:ascii="Arial" w:hAnsi="Arial" w:cs="Arial"/>
          <w:bCs/>
          <w:sz w:val="20"/>
          <w:szCs w:val="20"/>
          <w:lang w:eastAsia="sl-SI"/>
        </w:rPr>
        <w:t>Subgroup</w:t>
      </w:r>
      <w:proofErr w:type="spellEnd"/>
      <w:r w:rsidRPr="003D4C90">
        <w:rPr>
          <w:rFonts w:ascii="Arial" w:hAnsi="Arial" w:cs="Arial"/>
          <w:bCs/>
          <w:sz w:val="20"/>
          <w:szCs w:val="20"/>
          <w:lang w:eastAsia="sl-SI"/>
        </w:rPr>
        <w:t xml:space="preserve"> in</w:t>
      </w:r>
    </w:p>
    <w:p w14:paraId="2D868625" w14:textId="3CA672E7" w:rsidR="003C5D73" w:rsidRPr="003D4C90" w:rsidRDefault="003C5D73" w:rsidP="00FE543C">
      <w:pPr>
        <w:numPr>
          <w:ilvl w:val="0"/>
          <w:numId w:val="4"/>
        </w:numPr>
        <w:autoSpaceDE w:val="0"/>
        <w:autoSpaceDN w:val="0"/>
        <w:adjustRightInd w:val="0"/>
        <w:spacing w:after="0" w:line="276" w:lineRule="auto"/>
        <w:jc w:val="both"/>
        <w:rPr>
          <w:rFonts w:ascii="Arial" w:hAnsi="Arial" w:cs="Arial"/>
          <w:sz w:val="20"/>
          <w:szCs w:val="20"/>
        </w:rPr>
      </w:pPr>
      <w:proofErr w:type="spellStart"/>
      <w:r w:rsidRPr="003D4C90">
        <w:rPr>
          <w:rFonts w:ascii="Arial" w:hAnsi="Arial" w:cs="Arial"/>
          <w:bCs/>
          <w:sz w:val="20"/>
          <w:szCs w:val="20"/>
          <w:lang w:eastAsia="sl-SI"/>
        </w:rPr>
        <w:t>Travel</w:t>
      </w:r>
      <w:proofErr w:type="spellEnd"/>
      <w:r w:rsidRPr="003D4C90">
        <w:rPr>
          <w:rFonts w:ascii="Arial" w:hAnsi="Arial" w:cs="Arial"/>
          <w:bCs/>
          <w:sz w:val="20"/>
          <w:szCs w:val="20"/>
          <w:lang w:eastAsia="sl-SI"/>
        </w:rPr>
        <w:t xml:space="preserve"> </w:t>
      </w:r>
      <w:proofErr w:type="spellStart"/>
      <w:r w:rsidRPr="003D4C90">
        <w:rPr>
          <w:rFonts w:ascii="Arial" w:hAnsi="Arial" w:cs="Arial"/>
          <w:bCs/>
          <w:sz w:val="20"/>
          <w:szCs w:val="20"/>
          <w:lang w:eastAsia="sl-SI"/>
        </w:rPr>
        <w:t>Facilitation</w:t>
      </w:r>
      <w:proofErr w:type="spellEnd"/>
      <w:r w:rsidRPr="003D4C90">
        <w:rPr>
          <w:rFonts w:ascii="Arial" w:hAnsi="Arial" w:cs="Arial"/>
          <w:bCs/>
          <w:sz w:val="20"/>
          <w:szCs w:val="20"/>
          <w:lang w:eastAsia="sl-SI"/>
        </w:rPr>
        <w:t xml:space="preserve"> </w:t>
      </w:r>
      <w:proofErr w:type="spellStart"/>
      <w:r w:rsidRPr="003D4C90">
        <w:rPr>
          <w:rFonts w:ascii="Arial" w:hAnsi="Arial" w:cs="Arial"/>
          <w:bCs/>
          <w:sz w:val="20"/>
          <w:szCs w:val="20"/>
          <w:lang w:eastAsia="sl-SI"/>
        </w:rPr>
        <w:t>Group</w:t>
      </w:r>
      <w:proofErr w:type="spellEnd"/>
      <w:r w:rsidRPr="003D4C90">
        <w:rPr>
          <w:rFonts w:ascii="Arial" w:hAnsi="Arial" w:cs="Arial"/>
          <w:bCs/>
          <w:sz w:val="20"/>
          <w:szCs w:val="20"/>
          <w:lang w:eastAsia="sl-SI"/>
        </w:rPr>
        <w:t xml:space="preserve"> (projekt DTC)</w:t>
      </w:r>
      <w:r w:rsidR="0077546D" w:rsidRPr="003D4C90">
        <w:rPr>
          <w:rFonts w:ascii="Arial" w:hAnsi="Arial" w:cs="Arial"/>
          <w:bCs/>
          <w:sz w:val="20"/>
          <w:szCs w:val="20"/>
          <w:lang w:eastAsia="sl-SI"/>
        </w:rPr>
        <w:t>;</w:t>
      </w:r>
    </w:p>
    <w:p w14:paraId="2F0FC409" w14:textId="77777777" w:rsidR="00477D7F" w:rsidRPr="003D4C90" w:rsidRDefault="00477D7F" w:rsidP="00477D7F">
      <w:pPr>
        <w:numPr>
          <w:ilvl w:val="0"/>
          <w:numId w:val="5"/>
        </w:numPr>
        <w:autoSpaceDE w:val="0"/>
        <w:autoSpaceDN w:val="0"/>
        <w:adjustRightInd w:val="0"/>
        <w:spacing w:after="0" w:line="276" w:lineRule="auto"/>
        <w:jc w:val="both"/>
        <w:rPr>
          <w:rFonts w:ascii="Arial" w:hAnsi="Arial" w:cs="Arial"/>
          <w:sz w:val="20"/>
          <w:szCs w:val="20"/>
        </w:rPr>
      </w:pPr>
      <w:r w:rsidRPr="003D4C90">
        <w:rPr>
          <w:rFonts w:ascii="Arial" w:hAnsi="Arial" w:cs="Arial"/>
          <w:bCs/>
          <w:sz w:val="20"/>
          <w:szCs w:val="20"/>
          <w:lang w:eastAsia="sl-SI"/>
        </w:rPr>
        <w:t xml:space="preserve">EP </w:t>
      </w:r>
      <w:proofErr w:type="spellStart"/>
      <w:r w:rsidRPr="003D4C90">
        <w:rPr>
          <w:rFonts w:ascii="Arial" w:hAnsi="Arial" w:cs="Arial"/>
          <w:bCs/>
          <w:sz w:val="20"/>
          <w:szCs w:val="20"/>
          <w:lang w:eastAsia="sl-SI"/>
        </w:rPr>
        <w:t>Elections</w:t>
      </w:r>
      <w:proofErr w:type="spellEnd"/>
      <w:r w:rsidRPr="003D4C90">
        <w:rPr>
          <w:rFonts w:ascii="Arial" w:hAnsi="Arial" w:cs="Arial"/>
          <w:bCs/>
          <w:sz w:val="20"/>
          <w:szCs w:val="20"/>
          <w:lang w:eastAsia="sl-SI"/>
        </w:rPr>
        <w:t>;</w:t>
      </w:r>
    </w:p>
    <w:p w14:paraId="1CD4FBFB" w14:textId="5892ED86" w:rsidR="003C5D73" w:rsidRPr="003D4C90" w:rsidRDefault="005D2EB5" w:rsidP="00FE543C">
      <w:pPr>
        <w:numPr>
          <w:ilvl w:val="0"/>
          <w:numId w:val="5"/>
        </w:numPr>
        <w:spacing w:after="0" w:line="276" w:lineRule="auto"/>
        <w:jc w:val="both"/>
        <w:rPr>
          <w:rFonts w:ascii="Arial" w:hAnsi="Arial" w:cs="Arial"/>
          <w:sz w:val="20"/>
          <w:szCs w:val="20"/>
        </w:rPr>
      </w:pPr>
      <w:r w:rsidRPr="003D4C90">
        <w:rPr>
          <w:rFonts w:ascii="Arial" w:hAnsi="Arial" w:cs="Arial"/>
          <w:sz w:val="20"/>
          <w:szCs w:val="20"/>
        </w:rPr>
        <w:t>m</w:t>
      </w:r>
      <w:r w:rsidR="003C5D73" w:rsidRPr="003D4C90">
        <w:rPr>
          <w:rFonts w:ascii="Arial" w:hAnsi="Arial" w:cs="Arial"/>
          <w:sz w:val="20"/>
          <w:szCs w:val="20"/>
        </w:rPr>
        <w:t xml:space="preserve">edresorska operativna delovna skupina za </w:t>
      </w:r>
      <w:proofErr w:type="spellStart"/>
      <w:r w:rsidR="003C5D73" w:rsidRPr="003D4C90">
        <w:rPr>
          <w:rFonts w:ascii="Arial" w:hAnsi="Arial" w:cs="Arial"/>
          <w:sz w:val="20"/>
          <w:szCs w:val="20"/>
        </w:rPr>
        <w:t>interoperabilnost</w:t>
      </w:r>
      <w:proofErr w:type="spellEnd"/>
      <w:r w:rsidR="003C5D73" w:rsidRPr="003D4C90">
        <w:rPr>
          <w:rFonts w:ascii="Arial" w:hAnsi="Arial" w:cs="Arial"/>
          <w:sz w:val="20"/>
          <w:szCs w:val="20"/>
        </w:rPr>
        <w:t>;</w:t>
      </w:r>
    </w:p>
    <w:p w14:paraId="31D38B0D" w14:textId="30337154" w:rsidR="003C5D73" w:rsidRPr="003D4C90" w:rsidRDefault="005D2EB5" w:rsidP="00FE543C">
      <w:pPr>
        <w:numPr>
          <w:ilvl w:val="0"/>
          <w:numId w:val="6"/>
        </w:numPr>
        <w:autoSpaceDE w:val="0"/>
        <w:autoSpaceDN w:val="0"/>
        <w:adjustRightInd w:val="0"/>
        <w:spacing w:after="0" w:line="276" w:lineRule="auto"/>
        <w:jc w:val="both"/>
        <w:rPr>
          <w:rFonts w:ascii="Arial" w:hAnsi="Arial" w:cs="Arial"/>
          <w:sz w:val="20"/>
          <w:szCs w:val="20"/>
        </w:rPr>
      </w:pPr>
      <w:r w:rsidRPr="003D4C90">
        <w:rPr>
          <w:rFonts w:ascii="Arial" w:hAnsi="Arial" w:cs="Arial"/>
          <w:bCs/>
          <w:sz w:val="20"/>
          <w:szCs w:val="20"/>
          <w:lang w:eastAsia="sl-SI"/>
        </w:rPr>
        <w:t>o</w:t>
      </w:r>
      <w:r w:rsidR="003C5D73" w:rsidRPr="003D4C90">
        <w:rPr>
          <w:rFonts w:ascii="Arial" w:hAnsi="Arial" w:cs="Arial"/>
          <w:bCs/>
          <w:sz w:val="20"/>
          <w:szCs w:val="20"/>
          <w:lang w:eastAsia="sl-SI"/>
        </w:rPr>
        <w:t xml:space="preserve">perativna delovna skupina za </w:t>
      </w:r>
      <w:proofErr w:type="spellStart"/>
      <w:r w:rsidR="00477D7F" w:rsidRPr="003D4C90">
        <w:rPr>
          <w:rFonts w:ascii="Arial" w:hAnsi="Arial" w:cs="Arial"/>
          <w:sz w:val="20"/>
          <w:szCs w:val="20"/>
        </w:rPr>
        <w:t>interoperabilnost</w:t>
      </w:r>
      <w:proofErr w:type="spellEnd"/>
      <w:r w:rsidR="00477D7F" w:rsidRPr="003D4C90">
        <w:rPr>
          <w:rFonts w:ascii="Arial" w:hAnsi="Arial" w:cs="Arial"/>
          <w:bCs/>
          <w:sz w:val="20"/>
          <w:szCs w:val="20"/>
          <w:lang w:eastAsia="sl-SI"/>
        </w:rPr>
        <w:t xml:space="preserve"> </w:t>
      </w:r>
      <w:r w:rsidR="003C5D73" w:rsidRPr="003D4C90">
        <w:rPr>
          <w:rFonts w:ascii="Arial" w:hAnsi="Arial" w:cs="Arial"/>
          <w:bCs/>
          <w:sz w:val="20"/>
          <w:szCs w:val="20"/>
          <w:lang w:eastAsia="sl-SI"/>
        </w:rPr>
        <w:t>;</w:t>
      </w:r>
    </w:p>
    <w:p w14:paraId="20096CF3" w14:textId="408F60A8" w:rsidR="003C5D73" w:rsidRPr="001545E9" w:rsidRDefault="003C5D73" w:rsidP="00D83239">
      <w:pPr>
        <w:numPr>
          <w:ilvl w:val="0"/>
          <w:numId w:val="8"/>
        </w:numPr>
        <w:autoSpaceDE w:val="0"/>
        <w:autoSpaceDN w:val="0"/>
        <w:adjustRightInd w:val="0"/>
        <w:spacing w:after="0" w:line="276" w:lineRule="auto"/>
        <w:jc w:val="both"/>
        <w:rPr>
          <w:rFonts w:ascii="Arial" w:hAnsi="Arial" w:cs="Arial"/>
          <w:sz w:val="20"/>
          <w:szCs w:val="20"/>
        </w:rPr>
      </w:pPr>
      <w:r w:rsidRPr="001545E9">
        <w:rPr>
          <w:rFonts w:ascii="Arial" w:hAnsi="Arial" w:cs="Arial"/>
          <w:sz w:val="20"/>
          <w:szCs w:val="20"/>
        </w:rPr>
        <w:t>vzdrževanje inšpekcijskega sistema za preverjanje vsebnosti zapisa na dokumentih PL, OI, BDP</w:t>
      </w:r>
      <w:r w:rsidR="0077546D" w:rsidRPr="001545E9">
        <w:rPr>
          <w:rFonts w:ascii="Arial" w:hAnsi="Arial" w:cs="Arial"/>
          <w:sz w:val="20"/>
          <w:szCs w:val="20"/>
        </w:rPr>
        <w:t>;</w:t>
      </w:r>
    </w:p>
    <w:p w14:paraId="11B9376A" w14:textId="1BE5D679" w:rsidR="00653B9D" w:rsidRDefault="00653B9D" w:rsidP="00D83239">
      <w:pPr>
        <w:tabs>
          <w:tab w:val="left" w:pos="3402"/>
        </w:tabs>
        <w:spacing w:after="0" w:line="276" w:lineRule="auto"/>
        <w:jc w:val="both"/>
        <w:rPr>
          <w:rFonts w:ascii="Arial" w:hAnsi="Arial" w:cs="Arial"/>
          <w:b/>
          <w:sz w:val="20"/>
          <w:szCs w:val="20"/>
          <w:highlight w:val="yellow"/>
          <w:lang w:eastAsia="sl-SI"/>
        </w:rPr>
      </w:pPr>
    </w:p>
    <w:p w14:paraId="5B61AABC" w14:textId="5F478198" w:rsidR="0086200C" w:rsidRDefault="0086200C" w:rsidP="00D83239">
      <w:pPr>
        <w:tabs>
          <w:tab w:val="left" w:pos="3402"/>
        </w:tabs>
        <w:spacing w:after="0" w:line="276" w:lineRule="auto"/>
        <w:jc w:val="both"/>
        <w:rPr>
          <w:rFonts w:ascii="Arial" w:hAnsi="Arial" w:cs="Arial"/>
          <w:b/>
          <w:sz w:val="20"/>
          <w:szCs w:val="20"/>
          <w:highlight w:val="yellow"/>
          <w:lang w:eastAsia="sl-SI"/>
        </w:rPr>
      </w:pPr>
    </w:p>
    <w:p w14:paraId="55437A9C" w14:textId="4E7C3081" w:rsidR="0086200C" w:rsidRDefault="0086200C" w:rsidP="00D83239">
      <w:pPr>
        <w:tabs>
          <w:tab w:val="left" w:pos="3402"/>
        </w:tabs>
        <w:spacing w:after="0" w:line="276" w:lineRule="auto"/>
        <w:jc w:val="both"/>
        <w:rPr>
          <w:rFonts w:ascii="Arial" w:hAnsi="Arial" w:cs="Arial"/>
          <w:b/>
          <w:sz w:val="20"/>
          <w:szCs w:val="20"/>
          <w:highlight w:val="yellow"/>
          <w:lang w:eastAsia="sl-SI"/>
        </w:rPr>
      </w:pPr>
    </w:p>
    <w:p w14:paraId="0D5D9830" w14:textId="77777777" w:rsidR="0086200C" w:rsidRPr="00D83239" w:rsidRDefault="0086200C" w:rsidP="00D83239">
      <w:pPr>
        <w:tabs>
          <w:tab w:val="left" w:pos="3402"/>
        </w:tabs>
        <w:spacing w:after="0" w:line="276" w:lineRule="auto"/>
        <w:jc w:val="both"/>
        <w:rPr>
          <w:rFonts w:ascii="Arial" w:hAnsi="Arial" w:cs="Arial"/>
          <w:b/>
          <w:sz w:val="20"/>
          <w:szCs w:val="20"/>
          <w:highlight w:val="yellow"/>
          <w:lang w:eastAsia="sl-SI"/>
        </w:rPr>
      </w:pPr>
    </w:p>
    <w:p w14:paraId="6028C7FB" w14:textId="24D05334" w:rsidR="001C6D21" w:rsidRPr="00D83239" w:rsidRDefault="00590E45" w:rsidP="00D83239">
      <w:pPr>
        <w:pStyle w:val="Naslov1"/>
        <w:spacing w:after="0" w:line="276" w:lineRule="auto"/>
        <w:jc w:val="both"/>
        <w:rPr>
          <w:color w:val="auto"/>
        </w:rPr>
      </w:pPr>
      <w:bookmarkStart w:id="102" w:name="_Toc65591465"/>
      <w:bookmarkStart w:id="103" w:name="_Toc65651016"/>
      <w:bookmarkStart w:id="104" w:name="_Toc225499835"/>
      <w:r w:rsidRPr="00D83239">
        <w:rPr>
          <w:color w:val="auto"/>
        </w:rPr>
        <w:t>Upravljanje migracij</w:t>
      </w:r>
      <w:bookmarkEnd w:id="102"/>
      <w:bookmarkEnd w:id="103"/>
      <w:bookmarkEnd w:id="104"/>
    </w:p>
    <w:p w14:paraId="6714C0F0" w14:textId="053F69FE" w:rsidR="00A17960" w:rsidRPr="00D83239" w:rsidRDefault="00A17960" w:rsidP="00D83239">
      <w:pPr>
        <w:spacing w:after="0" w:line="276" w:lineRule="auto"/>
        <w:jc w:val="both"/>
        <w:rPr>
          <w:rFonts w:ascii="Arial" w:hAnsi="Arial" w:cs="Arial"/>
          <w:sz w:val="20"/>
          <w:szCs w:val="20"/>
          <w:highlight w:val="yellow"/>
        </w:rPr>
      </w:pPr>
    </w:p>
    <w:p w14:paraId="66B2DC91"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 xml:space="preserve">MNZ je pristojno za izvajanje migracijske politike na področjih zakonitih migracij, mednarodne zaščite in začasne zaščite, kar vključuje pripravo in usklajevanje predlogov ukrepov za izvajanje migracijske politike ter pripravo predlogov normativnih aktov. </w:t>
      </w:r>
    </w:p>
    <w:p w14:paraId="76C4A620" w14:textId="7AE3A943" w:rsidR="005D4F96" w:rsidRPr="00D83239" w:rsidRDefault="005D4F96"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 xml:space="preserve">V pristojnosti MNZ je tudi vodenje postopkov in odločanje v upravnih zadevah na prvi </w:t>
      </w:r>
      <w:r w:rsidR="00546798">
        <w:rPr>
          <w:rFonts w:ascii="Arial" w:hAnsi="Arial" w:cs="Arial"/>
          <w:sz w:val="20"/>
          <w:szCs w:val="20"/>
        </w:rPr>
        <w:t xml:space="preserve">stopnji </w:t>
      </w:r>
      <w:r w:rsidRPr="00D83239">
        <w:rPr>
          <w:rFonts w:ascii="Arial" w:hAnsi="Arial" w:cs="Arial"/>
          <w:sz w:val="20"/>
          <w:szCs w:val="20"/>
        </w:rPr>
        <w:t>(zadeve priznanja mednarodne zaščite, izdaj</w:t>
      </w:r>
      <w:r w:rsidR="00546798">
        <w:rPr>
          <w:rFonts w:ascii="Arial" w:hAnsi="Arial" w:cs="Arial"/>
          <w:sz w:val="20"/>
          <w:szCs w:val="20"/>
        </w:rPr>
        <w:t>a</w:t>
      </w:r>
      <w:r w:rsidRPr="00D83239">
        <w:rPr>
          <w:rFonts w:ascii="Arial" w:hAnsi="Arial" w:cs="Arial"/>
          <w:sz w:val="20"/>
          <w:szCs w:val="20"/>
        </w:rPr>
        <w:t xml:space="preserve"> dovoljenj za prebivanje družinskim članom oseb s priznano mednarodno zaščito in osebam z izkazanim interesom Republike Slovenije) in drugi stopnji (odločanje o pritožbenih zadevah s področja dovoljenj za prebivanje tujcev, določit</w:t>
      </w:r>
      <w:r w:rsidR="00546798">
        <w:rPr>
          <w:rFonts w:ascii="Arial" w:hAnsi="Arial" w:cs="Arial"/>
          <w:sz w:val="20"/>
          <w:szCs w:val="20"/>
        </w:rPr>
        <w:t>e</w:t>
      </w:r>
      <w:r w:rsidRPr="00D83239">
        <w:rPr>
          <w:rFonts w:ascii="Arial" w:hAnsi="Arial" w:cs="Arial"/>
          <w:sz w:val="20"/>
          <w:szCs w:val="20"/>
        </w:rPr>
        <w:t xml:space="preserve">v denarne odškodnine izbrisanim iz </w:t>
      </w:r>
      <w:r w:rsidR="00546798">
        <w:rPr>
          <w:rFonts w:ascii="Arial" w:hAnsi="Arial" w:cs="Arial"/>
          <w:sz w:val="20"/>
          <w:szCs w:val="20"/>
        </w:rPr>
        <w:t>R</w:t>
      </w:r>
      <w:r w:rsidRPr="00D83239">
        <w:rPr>
          <w:rFonts w:ascii="Arial" w:hAnsi="Arial" w:cs="Arial"/>
          <w:sz w:val="20"/>
          <w:szCs w:val="20"/>
        </w:rPr>
        <w:t>egistra stalnega prebivalstva, priznanj</w:t>
      </w:r>
      <w:r w:rsidR="00546798">
        <w:rPr>
          <w:rFonts w:ascii="Arial" w:hAnsi="Arial" w:cs="Arial"/>
          <w:sz w:val="20"/>
          <w:szCs w:val="20"/>
        </w:rPr>
        <w:t>e</w:t>
      </w:r>
      <w:r w:rsidRPr="00D83239">
        <w:rPr>
          <w:rFonts w:ascii="Arial" w:hAnsi="Arial" w:cs="Arial"/>
          <w:sz w:val="20"/>
          <w:szCs w:val="20"/>
        </w:rPr>
        <w:t xml:space="preserve"> statusa upravičenca).</w:t>
      </w:r>
    </w:p>
    <w:p w14:paraId="712618B3" w14:textId="77777777" w:rsidR="005D4F96" w:rsidRPr="00D83239" w:rsidRDefault="005D4F96" w:rsidP="00D83239">
      <w:pPr>
        <w:autoSpaceDE w:val="0"/>
        <w:autoSpaceDN w:val="0"/>
        <w:adjustRightInd w:val="0"/>
        <w:spacing w:after="0" w:line="276" w:lineRule="auto"/>
        <w:jc w:val="both"/>
        <w:rPr>
          <w:rFonts w:ascii="Arial" w:hAnsi="Arial" w:cs="Arial"/>
          <w:sz w:val="20"/>
          <w:szCs w:val="20"/>
        </w:rPr>
      </w:pPr>
    </w:p>
    <w:p w14:paraId="5D8E8DA0" w14:textId="77777777" w:rsidR="005D4F96" w:rsidRPr="00D83239" w:rsidRDefault="005D4F96" w:rsidP="00FE543C">
      <w:pPr>
        <w:pStyle w:val="Naslov1"/>
        <w:numPr>
          <w:ilvl w:val="1"/>
          <w:numId w:val="3"/>
        </w:numPr>
        <w:spacing w:after="0" w:line="276" w:lineRule="auto"/>
        <w:jc w:val="both"/>
        <w:rPr>
          <w:color w:val="auto"/>
        </w:rPr>
      </w:pPr>
      <w:bookmarkStart w:id="105" w:name="_Toc225499836"/>
      <w:r w:rsidRPr="00D83239">
        <w:rPr>
          <w:color w:val="auto"/>
        </w:rPr>
        <w:t>Mednarodna zaščita</w:t>
      </w:r>
      <w:bookmarkEnd w:id="105"/>
    </w:p>
    <w:p w14:paraId="40DC240B" w14:textId="77777777" w:rsidR="005D4F96" w:rsidRPr="00D83239" w:rsidRDefault="005D4F96" w:rsidP="00D83239">
      <w:pPr>
        <w:spacing w:after="0" w:line="276" w:lineRule="auto"/>
        <w:jc w:val="both"/>
        <w:rPr>
          <w:rFonts w:ascii="Arial" w:hAnsi="Arial" w:cs="Arial"/>
          <w:b/>
          <w:sz w:val="20"/>
          <w:szCs w:val="20"/>
        </w:rPr>
      </w:pPr>
    </w:p>
    <w:p w14:paraId="642D7C21" w14:textId="08146449" w:rsidR="005D4F96" w:rsidRDefault="005D4F96" w:rsidP="00F01A1E">
      <w:pPr>
        <w:autoSpaceDE w:val="0"/>
        <w:spacing w:after="0" w:line="276" w:lineRule="auto"/>
        <w:jc w:val="both"/>
        <w:rPr>
          <w:rFonts w:ascii="Arial" w:hAnsi="Arial" w:cs="Arial"/>
          <w:sz w:val="20"/>
          <w:szCs w:val="20"/>
        </w:rPr>
      </w:pPr>
      <w:r w:rsidRPr="00D83239">
        <w:rPr>
          <w:rFonts w:ascii="Arial" w:hAnsi="Arial" w:cs="Arial"/>
          <w:bCs/>
          <w:color w:val="000000"/>
          <w:sz w:val="20"/>
          <w:szCs w:val="20"/>
        </w:rPr>
        <w:t xml:space="preserve">V letu 2025 je bilo vloženih </w:t>
      </w:r>
      <w:r w:rsidR="00546798" w:rsidRPr="00D83239">
        <w:rPr>
          <w:rFonts w:ascii="Arial" w:hAnsi="Arial" w:cs="Arial"/>
          <w:bCs/>
          <w:color w:val="000000"/>
          <w:sz w:val="20"/>
          <w:szCs w:val="20"/>
        </w:rPr>
        <w:t xml:space="preserve">skupno </w:t>
      </w:r>
      <w:r w:rsidRPr="00D83239">
        <w:rPr>
          <w:rFonts w:ascii="Arial" w:hAnsi="Arial" w:cs="Arial"/>
          <w:bCs/>
          <w:color w:val="000000"/>
          <w:sz w:val="20"/>
          <w:szCs w:val="20"/>
        </w:rPr>
        <w:t>4.172 prošenj za mednarodno zaščito, kar je manj od vloženih prošenj v posameznem letu v obdobju od leta 2021 do leta 2024. V primerjavi z letom 2024 je bilo v letu 2025 vloženih 26</w:t>
      </w:r>
      <w:r w:rsidR="002E75FB">
        <w:rPr>
          <w:rFonts w:ascii="Arial" w:hAnsi="Arial" w:cs="Arial"/>
          <w:bCs/>
          <w:color w:val="000000"/>
          <w:sz w:val="20"/>
          <w:szCs w:val="20"/>
        </w:rPr>
        <w:t xml:space="preserve"> </w:t>
      </w:r>
      <w:r w:rsidRPr="00D83239">
        <w:rPr>
          <w:rFonts w:ascii="Arial" w:hAnsi="Arial" w:cs="Arial"/>
          <w:bCs/>
          <w:color w:val="000000"/>
          <w:sz w:val="20"/>
          <w:szCs w:val="20"/>
        </w:rPr>
        <w:t>% manj prošenj. Enako kot v preteklih letih je bila večina prošenj za mednarodno zaščito vložen</w:t>
      </w:r>
      <w:r w:rsidR="00546798">
        <w:rPr>
          <w:rFonts w:ascii="Arial" w:hAnsi="Arial" w:cs="Arial"/>
          <w:bCs/>
          <w:color w:val="000000"/>
          <w:sz w:val="20"/>
          <w:szCs w:val="20"/>
        </w:rPr>
        <w:t>a</w:t>
      </w:r>
      <w:r w:rsidRPr="00D83239">
        <w:rPr>
          <w:rFonts w:ascii="Arial" w:hAnsi="Arial" w:cs="Arial"/>
          <w:bCs/>
          <w:color w:val="000000"/>
          <w:sz w:val="20"/>
          <w:szCs w:val="20"/>
        </w:rPr>
        <w:t xml:space="preserve"> v drugi polovici leta.</w:t>
      </w:r>
    </w:p>
    <w:p w14:paraId="1157E6EA" w14:textId="77777777" w:rsidR="00F01A1E" w:rsidRPr="00D83239" w:rsidRDefault="00F01A1E" w:rsidP="00F01A1E">
      <w:pPr>
        <w:autoSpaceDE w:val="0"/>
        <w:spacing w:after="0" w:line="276" w:lineRule="auto"/>
        <w:jc w:val="both"/>
        <w:rPr>
          <w:rFonts w:ascii="Arial" w:hAnsi="Arial" w:cs="Arial"/>
          <w:sz w:val="20"/>
          <w:szCs w:val="20"/>
        </w:rPr>
      </w:pPr>
    </w:p>
    <w:p w14:paraId="464506E3" w14:textId="77777777" w:rsidR="00F01A1E" w:rsidRDefault="005D4F96" w:rsidP="00F01A1E">
      <w:pPr>
        <w:spacing w:after="0" w:line="276" w:lineRule="auto"/>
        <w:jc w:val="both"/>
        <w:rPr>
          <w:rFonts w:ascii="Arial" w:hAnsi="Arial" w:cs="Arial"/>
          <w:sz w:val="20"/>
          <w:szCs w:val="20"/>
        </w:rPr>
      </w:pPr>
      <w:r w:rsidRPr="00D83239">
        <w:rPr>
          <w:rFonts w:ascii="Arial" w:hAnsi="Arial" w:cs="Arial"/>
          <w:noProof/>
          <w:sz w:val="20"/>
          <w:szCs w:val="20"/>
          <w:lang w:eastAsia="sl-SI"/>
        </w:rPr>
        <w:drawing>
          <wp:inline distT="0" distB="0" distL="0" distR="0" wp14:anchorId="50AE7FCA" wp14:editId="697A1BA9">
            <wp:extent cx="4707082" cy="2805546"/>
            <wp:effectExtent l="0" t="0" r="17780" b="13970"/>
            <wp:docPr id="17" name="Grafikon 17" title="števila prošenj za mednarodno zaščito ">
              <a:extLst xmlns:a="http://schemas.openxmlformats.org/drawingml/2006/main">
                <a:ext uri="{FF2B5EF4-FFF2-40B4-BE49-F238E27FC236}">
                  <a16:creationId xmlns:a16="http://schemas.microsoft.com/office/drawing/2014/main" id="{ED2AE109-75EF-CAE9-3C67-E947DC515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6FD5D7" w14:textId="77777777" w:rsidR="00F01A1E" w:rsidRDefault="00F01A1E" w:rsidP="00F01A1E">
      <w:pPr>
        <w:spacing w:after="0" w:line="276" w:lineRule="auto"/>
        <w:jc w:val="both"/>
        <w:rPr>
          <w:rFonts w:ascii="Arial" w:hAnsi="Arial" w:cs="Arial"/>
          <w:b/>
          <w:sz w:val="20"/>
          <w:szCs w:val="20"/>
        </w:rPr>
      </w:pPr>
    </w:p>
    <w:p w14:paraId="59156300" w14:textId="31053A05" w:rsidR="005D4F96" w:rsidRPr="00D83239" w:rsidRDefault="005D4F96" w:rsidP="00F01A1E">
      <w:pPr>
        <w:spacing w:after="0" w:line="276" w:lineRule="auto"/>
        <w:jc w:val="both"/>
        <w:rPr>
          <w:rFonts w:ascii="Arial" w:hAnsi="Arial" w:cs="Arial"/>
          <w:sz w:val="20"/>
          <w:szCs w:val="20"/>
        </w:rPr>
      </w:pPr>
      <w:r w:rsidRPr="00D83239">
        <w:rPr>
          <w:rFonts w:ascii="Arial" w:hAnsi="Arial" w:cs="Arial"/>
          <w:b/>
          <w:sz w:val="20"/>
          <w:szCs w:val="20"/>
        </w:rPr>
        <w:t>Graf</w:t>
      </w:r>
      <w:r w:rsidR="00546798">
        <w:rPr>
          <w:rFonts w:ascii="Arial" w:hAnsi="Arial" w:cs="Arial"/>
          <w:b/>
          <w:sz w:val="20"/>
          <w:szCs w:val="20"/>
        </w:rPr>
        <w:t>ikon</w:t>
      </w:r>
      <w:r w:rsidRPr="00E92FF2">
        <w:rPr>
          <w:rFonts w:ascii="Arial" w:hAnsi="Arial" w:cs="Arial"/>
          <w:sz w:val="20"/>
          <w:szCs w:val="20"/>
        </w:rPr>
        <w:t>:</w:t>
      </w:r>
      <w:r w:rsidR="006B2B30">
        <w:rPr>
          <w:rFonts w:ascii="Arial" w:hAnsi="Arial" w:cs="Arial"/>
          <w:sz w:val="20"/>
          <w:szCs w:val="20"/>
        </w:rPr>
        <w:t xml:space="preserve"> Število</w:t>
      </w:r>
      <w:r w:rsidRPr="00D83239">
        <w:rPr>
          <w:rFonts w:ascii="Arial" w:hAnsi="Arial" w:cs="Arial"/>
          <w:sz w:val="20"/>
          <w:szCs w:val="20"/>
        </w:rPr>
        <w:t xml:space="preserve"> prošenj za mednarodno zaščito v zadnjih osmih letih</w:t>
      </w:r>
    </w:p>
    <w:p w14:paraId="290DCF9C" w14:textId="77777777" w:rsidR="00F01A1E" w:rsidRDefault="00F01A1E" w:rsidP="00F01A1E">
      <w:pPr>
        <w:spacing w:after="0" w:line="276" w:lineRule="auto"/>
        <w:jc w:val="both"/>
        <w:rPr>
          <w:rFonts w:ascii="Arial" w:hAnsi="Arial" w:cs="Arial"/>
          <w:sz w:val="20"/>
          <w:szCs w:val="20"/>
        </w:rPr>
      </w:pPr>
    </w:p>
    <w:p w14:paraId="6D5982FB" w14:textId="6ED05E72" w:rsidR="005D4F96" w:rsidRPr="00D83239" w:rsidRDefault="005D4F96" w:rsidP="00D83239">
      <w:pPr>
        <w:spacing w:line="276" w:lineRule="auto"/>
        <w:jc w:val="both"/>
        <w:rPr>
          <w:rFonts w:ascii="Arial" w:hAnsi="Arial" w:cs="Arial"/>
          <w:sz w:val="20"/>
          <w:szCs w:val="20"/>
        </w:rPr>
      </w:pPr>
      <w:r w:rsidRPr="00D83239">
        <w:rPr>
          <w:rFonts w:ascii="Arial" w:hAnsi="Arial" w:cs="Arial"/>
          <w:bCs/>
          <w:color w:val="000000"/>
          <w:sz w:val="20"/>
          <w:szCs w:val="20"/>
        </w:rPr>
        <w:t>Po številu vloženih prošenj so prevladovali državljani Maroka (60</w:t>
      </w:r>
      <w:r w:rsidR="002E75FB">
        <w:rPr>
          <w:rFonts w:ascii="Arial" w:hAnsi="Arial" w:cs="Arial"/>
          <w:bCs/>
          <w:color w:val="000000"/>
          <w:sz w:val="20"/>
          <w:szCs w:val="20"/>
        </w:rPr>
        <w:t xml:space="preserve"> </w:t>
      </w:r>
      <w:r w:rsidRPr="00D83239">
        <w:rPr>
          <w:rFonts w:ascii="Arial" w:hAnsi="Arial" w:cs="Arial"/>
          <w:bCs/>
          <w:color w:val="000000"/>
          <w:sz w:val="20"/>
          <w:szCs w:val="20"/>
        </w:rPr>
        <w:t>% vseh vloženih prošenj za mednarodno zaščito), sledili pa so jim državljani Egipta in Alžirije.</w:t>
      </w:r>
    </w:p>
    <w:p w14:paraId="1E02CD7F" w14:textId="4DAFD81B" w:rsidR="005D4F96" w:rsidRPr="00D83239" w:rsidRDefault="005D4F96" w:rsidP="00D83239">
      <w:pPr>
        <w:spacing w:line="276" w:lineRule="auto"/>
        <w:jc w:val="both"/>
        <w:rPr>
          <w:rFonts w:ascii="Arial" w:hAnsi="Arial" w:cs="Arial"/>
          <w:sz w:val="20"/>
          <w:szCs w:val="20"/>
        </w:rPr>
      </w:pPr>
      <w:r w:rsidRPr="00D83239">
        <w:rPr>
          <w:rFonts w:ascii="Arial" w:hAnsi="Arial" w:cs="Arial"/>
          <w:noProof/>
          <w:sz w:val="20"/>
          <w:szCs w:val="20"/>
          <w:lang w:eastAsia="sl-SI"/>
        </w:rPr>
        <w:drawing>
          <wp:inline distT="0" distB="0" distL="0" distR="0" wp14:anchorId="50DE96B1" wp14:editId="60EBE9B5">
            <wp:extent cx="4572000" cy="2743200"/>
            <wp:effectExtent l="0" t="0" r="0" b="0"/>
            <wp:docPr id="18" name="Grafikon 18" descr="Po številu vloženih prošenj so prevladovali državljani Maroka (60 % vseh vloženih prošenj za mednarodno zaščito), sledili pa so jim državljani Egipta in Alžirije.">
              <a:extLst xmlns:a="http://schemas.openxmlformats.org/drawingml/2006/main">
                <a:ext uri="{FF2B5EF4-FFF2-40B4-BE49-F238E27FC236}">
                  <a16:creationId xmlns:a16="http://schemas.microsoft.com/office/drawing/2014/main" id="{59EB640E-9DAA-F066-2986-7F29956AD5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9253C8" w14:textId="091D76D5" w:rsidR="005D4F96" w:rsidRPr="00D83239" w:rsidRDefault="005D4F96" w:rsidP="00D83239">
      <w:pPr>
        <w:spacing w:after="0" w:line="276" w:lineRule="auto"/>
        <w:jc w:val="both"/>
        <w:rPr>
          <w:rFonts w:ascii="Arial" w:hAnsi="Arial" w:cs="Arial"/>
          <w:sz w:val="20"/>
          <w:szCs w:val="20"/>
        </w:rPr>
      </w:pPr>
      <w:r w:rsidRPr="00D83239">
        <w:rPr>
          <w:rFonts w:ascii="Arial" w:hAnsi="Arial" w:cs="Arial"/>
          <w:b/>
          <w:sz w:val="20"/>
          <w:szCs w:val="20"/>
        </w:rPr>
        <w:t>Graf</w:t>
      </w:r>
      <w:r w:rsidR="00546798">
        <w:rPr>
          <w:rFonts w:ascii="Arial" w:hAnsi="Arial" w:cs="Arial"/>
          <w:b/>
          <w:sz w:val="20"/>
          <w:szCs w:val="20"/>
        </w:rPr>
        <w:t>ikon</w:t>
      </w:r>
      <w:r w:rsidRPr="00E92FF2">
        <w:rPr>
          <w:rFonts w:ascii="Arial" w:hAnsi="Arial" w:cs="Arial"/>
          <w:sz w:val="20"/>
          <w:szCs w:val="20"/>
        </w:rPr>
        <w:t>:</w:t>
      </w:r>
      <w:r w:rsidRPr="00D83239">
        <w:rPr>
          <w:rFonts w:ascii="Arial" w:hAnsi="Arial" w:cs="Arial"/>
          <w:sz w:val="20"/>
          <w:szCs w:val="20"/>
        </w:rPr>
        <w:t xml:space="preserve"> Prve tri države izvora, katerih državljani so vložili največ prošenj za mednarodno zaščito v letu 2025</w:t>
      </w:r>
    </w:p>
    <w:p w14:paraId="44A506E8" w14:textId="77777777" w:rsidR="005D4F96" w:rsidRPr="00D83239" w:rsidRDefault="005D4F96" w:rsidP="00D83239">
      <w:pPr>
        <w:spacing w:after="0" w:line="276" w:lineRule="auto"/>
        <w:jc w:val="both"/>
        <w:rPr>
          <w:rFonts w:ascii="Arial" w:hAnsi="Arial" w:cs="Arial"/>
          <w:b/>
          <w:sz w:val="20"/>
          <w:szCs w:val="20"/>
        </w:rPr>
      </w:pPr>
    </w:p>
    <w:p w14:paraId="0A06D7D0"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 xml:space="preserve">V letu 2025 se je nadaljeval trend samovoljnega zapuščanja Republike Slovenije, ustavljenih je bilo 57 % vseh rešenih postopkov, kar je nekoliko več od leta 2024 (54 %). Nadaljeval se je trend upada števila vloženih prošenj, pri katerih je bilo ugotovljeno, da je za njihovo obravnavo pristojna druga država članica EU (t. i. dublinski postopek). Tako je bilo zaključenih 38 % rešenih prošenj oziroma 30 % manj kot prejšnje leto. </w:t>
      </w:r>
    </w:p>
    <w:p w14:paraId="4391FEC2" w14:textId="7232A630" w:rsidR="005D4F96" w:rsidRPr="00D83239" w:rsidRDefault="005D4F96" w:rsidP="00D83239">
      <w:pPr>
        <w:autoSpaceDE w:val="0"/>
        <w:adjustRightInd w:val="0"/>
        <w:spacing w:after="0" w:line="276" w:lineRule="auto"/>
        <w:jc w:val="both"/>
        <w:rPr>
          <w:rFonts w:ascii="Arial" w:hAnsi="Arial" w:cs="Arial"/>
          <w:sz w:val="20"/>
          <w:szCs w:val="20"/>
        </w:rPr>
      </w:pPr>
      <w:r w:rsidRPr="00D83239">
        <w:rPr>
          <w:rFonts w:ascii="Arial" w:hAnsi="Arial" w:cs="Arial"/>
          <w:sz w:val="20"/>
          <w:szCs w:val="20"/>
        </w:rPr>
        <w:t xml:space="preserve">V obdobju </w:t>
      </w:r>
      <w:r w:rsidR="009E3844">
        <w:rPr>
          <w:rFonts w:ascii="Arial" w:hAnsi="Arial" w:cs="Arial"/>
          <w:sz w:val="20"/>
          <w:szCs w:val="20"/>
        </w:rPr>
        <w:t xml:space="preserve">od </w:t>
      </w:r>
      <w:r w:rsidRPr="00D83239">
        <w:rPr>
          <w:rFonts w:ascii="Arial" w:hAnsi="Arial" w:cs="Arial"/>
          <w:b/>
          <w:sz w:val="20"/>
          <w:szCs w:val="20"/>
        </w:rPr>
        <w:t xml:space="preserve">1. 1. 2025 </w:t>
      </w:r>
      <w:r w:rsidR="009E3844">
        <w:rPr>
          <w:rFonts w:ascii="Arial" w:hAnsi="Arial" w:cs="Arial"/>
          <w:b/>
          <w:sz w:val="20"/>
          <w:szCs w:val="20"/>
        </w:rPr>
        <w:t>do</w:t>
      </w:r>
      <w:r w:rsidR="009E3844" w:rsidRPr="00D83239">
        <w:rPr>
          <w:rFonts w:ascii="Arial" w:hAnsi="Arial" w:cs="Arial"/>
          <w:b/>
          <w:sz w:val="20"/>
          <w:szCs w:val="20"/>
        </w:rPr>
        <w:t xml:space="preserve"> </w:t>
      </w:r>
      <w:r w:rsidRPr="00D83239">
        <w:rPr>
          <w:rFonts w:ascii="Arial" w:hAnsi="Arial" w:cs="Arial"/>
          <w:b/>
          <w:sz w:val="20"/>
          <w:szCs w:val="20"/>
        </w:rPr>
        <w:t>31. 12. 2025</w:t>
      </w:r>
      <w:r w:rsidRPr="00D83239">
        <w:rPr>
          <w:rFonts w:ascii="Arial" w:hAnsi="Arial" w:cs="Arial"/>
          <w:sz w:val="20"/>
          <w:szCs w:val="20"/>
        </w:rPr>
        <w:t xml:space="preserve"> je bilo </w:t>
      </w:r>
      <w:r w:rsidRPr="006B2B30">
        <w:rPr>
          <w:rFonts w:ascii="Arial" w:hAnsi="Arial" w:cs="Arial"/>
          <w:sz w:val="20"/>
          <w:szCs w:val="20"/>
        </w:rPr>
        <w:t xml:space="preserve">izvedenih </w:t>
      </w:r>
      <w:r w:rsidRPr="006B2B30">
        <w:rPr>
          <w:rFonts w:ascii="Arial" w:hAnsi="Arial" w:cs="Arial"/>
          <w:b/>
          <w:bCs/>
          <w:sz w:val="20"/>
          <w:szCs w:val="20"/>
        </w:rPr>
        <w:t xml:space="preserve">46 </w:t>
      </w:r>
      <w:r w:rsidRPr="006B2B30">
        <w:rPr>
          <w:rFonts w:ascii="Arial" w:hAnsi="Arial" w:cs="Arial"/>
          <w:b/>
          <w:sz w:val="20"/>
          <w:szCs w:val="20"/>
        </w:rPr>
        <w:t>predaj po Dublinski uredbi</w:t>
      </w:r>
      <w:r w:rsidRPr="006B2B30">
        <w:rPr>
          <w:rFonts w:ascii="Arial" w:hAnsi="Arial" w:cs="Arial"/>
          <w:sz w:val="20"/>
          <w:szCs w:val="20"/>
        </w:rPr>
        <w:t>,</w:t>
      </w:r>
      <w:r w:rsidRPr="00D83239">
        <w:rPr>
          <w:rFonts w:ascii="Arial" w:hAnsi="Arial" w:cs="Arial"/>
          <w:sz w:val="20"/>
          <w:szCs w:val="20"/>
        </w:rPr>
        <w:t xml:space="preserve"> kar je manj od leta 2024 (68). Od tega je bilo največ predaj na Hrvaško (29).  </w:t>
      </w:r>
    </w:p>
    <w:p w14:paraId="1164AA93" w14:textId="576F306C" w:rsidR="005D4F96" w:rsidRPr="00D83239" w:rsidRDefault="005D4F96" w:rsidP="00D83239">
      <w:pPr>
        <w:autoSpaceDE w:val="0"/>
        <w:adjustRightInd w:val="0"/>
        <w:spacing w:after="0" w:line="276"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1696"/>
        <w:gridCol w:w="1063"/>
      </w:tblGrid>
      <w:tr w:rsidR="005D4F96" w:rsidRPr="00D83239" w14:paraId="0989DCF5" w14:textId="77777777" w:rsidTr="00EF3DF9">
        <w:tc>
          <w:tcPr>
            <w:tcW w:w="1696" w:type="dxa"/>
            <w:tcBorders>
              <w:top w:val="single" w:sz="4" w:space="0" w:color="auto"/>
              <w:bottom w:val="single" w:sz="12" w:space="0" w:color="auto"/>
              <w:right w:val="single" w:sz="12" w:space="0" w:color="auto"/>
            </w:tcBorders>
            <w:shd w:val="clear" w:color="auto" w:fill="D9D9D9" w:themeFill="background1" w:themeFillShade="D9"/>
          </w:tcPr>
          <w:p w14:paraId="5DF0771B" w14:textId="6965A839" w:rsidR="005D4F96" w:rsidRPr="00EF3DF9" w:rsidRDefault="002E75FB" w:rsidP="00EF3DF9">
            <w:pPr>
              <w:spacing w:line="276" w:lineRule="auto"/>
              <w:rPr>
                <w:rFonts w:ascii="Arial" w:hAnsi="Arial" w:cs="Arial"/>
                <w:b/>
                <w:sz w:val="20"/>
                <w:szCs w:val="20"/>
              </w:rPr>
            </w:pPr>
            <w:r w:rsidRPr="00EF3DF9">
              <w:rPr>
                <w:rFonts w:ascii="Arial" w:hAnsi="Arial" w:cs="Arial"/>
                <w:b/>
                <w:sz w:val="20"/>
                <w:szCs w:val="20"/>
              </w:rPr>
              <w:t>D</w:t>
            </w:r>
            <w:r w:rsidR="005D4F96" w:rsidRPr="00EF3DF9">
              <w:rPr>
                <w:rFonts w:ascii="Arial" w:hAnsi="Arial" w:cs="Arial"/>
                <w:b/>
                <w:sz w:val="20"/>
                <w:szCs w:val="20"/>
              </w:rPr>
              <w:t>ržava članica</w:t>
            </w:r>
          </w:p>
        </w:tc>
        <w:tc>
          <w:tcPr>
            <w:tcW w:w="1063" w:type="dxa"/>
            <w:tcBorders>
              <w:bottom w:val="single" w:sz="12" w:space="0" w:color="auto"/>
            </w:tcBorders>
            <w:shd w:val="clear" w:color="auto" w:fill="D9D9D9" w:themeFill="background1" w:themeFillShade="D9"/>
          </w:tcPr>
          <w:p w14:paraId="6D163F5E" w14:textId="77777777" w:rsidR="005D4F96" w:rsidRPr="00EF3DF9" w:rsidRDefault="005D4F96" w:rsidP="00EF3DF9">
            <w:pPr>
              <w:spacing w:line="276" w:lineRule="auto"/>
              <w:jc w:val="center"/>
              <w:rPr>
                <w:rFonts w:ascii="Arial" w:hAnsi="Arial" w:cs="Arial"/>
                <w:b/>
                <w:sz w:val="20"/>
                <w:szCs w:val="20"/>
              </w:rPr>
            </w:pPr>
            <w:r w:rsidRPr="00EF3DF9">
              <w:rPr>
                <w:rFonts w:ascii="Arial" w:hAnsi="Arial" w:cs="Arial"/>
                <w:b/>
                <w:sz w:val="20"/>
                <w:szCs w:val="20"/>
              </w:rPr>
              <w:t>2025</w:t>
            </w:r>
          </w:p>
        </w:tc>
      </w:tr>
      <w:tr w:rsidR="005D4F96" w:rsidRPr="00D83239" w14:paraId="2BE0AD83" w14:textId="77777777" w:rsidTr="00EF3DF9">
        <w:tc>
          <w:tcPr>
            <w:tcW w:w="1696" w:type="dxa"/>
            <w:tcBorders>
              <w:top w:val="single" w:sz="12" w:space="0" w:color="auto"/>
              <w:right w:val="single" w:sz="12" w:space="0" w:color="auto"/>
            </w:tcBorders>
          </w:tcPr>
          <w:p w14:paraId="08EE5463"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Avstrija</w:t>
            </w:r>
          </w:p>
        </w:tc>
        <w:tc>
          <w:tcPr>
            <w:tcW w:w="1063" w:type="dxa"/>
            <w:tcBorders>
              <w:top w:val="single" w:sz="12" w:space="0" w:color="auto"/>
            </w:tcBorders>
          </w:tcPr>
          <w:p w14:paraId="3A2801FA"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w:t>
            </w:r>
          </w:p>
        </w:tc>
      </w:tr>
      <w:tr w:rsidR="005D4F96" w:rsidRPr="00D83239" w14:paraId="40EF077F" w14:textId="77777777" w:rsidTr="00EF3DF9">
        <w:tc>
          <w:tcPr>
            <w:tcW w:w="1696" w:type="dxa"/>
            <w:tcBorders>
              <w:right w:val="single" w:sz="12" w:space="0" w:color="auto"/>
            </w:tcBorders>
          </w:tcPr>
          <w:p w14:paraId="656D3E53"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Belgija</w:t>
            </w:r>
          </w:p>
        </w:tc>
        <w:tc>
          <w:tcPr>
            <w:tcW w:w="1063" w:type="dxa"/>
          </w:tcPr>
          <w:p w14:paraId="2AFCD7C9"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w:t>
            </w:r>
          </w:p>
        </w:tc>
      </w:tr>
      <w:tr w:rsidR="005D4F96" w:rsidRPr="00D83239" w14:paraId="7080CD70" w14:textId="77777777" w:rsidTr="00EF3DF9">
        <w:tc>
          <w:tcPr>
            <w:tcW w:w="1696" w:type="dxa"/>
            <w:tcBorders>
              <w:right w:val="single" w:sz="12" w:space="0" w:color="auto"/>
            </w:tcBorders>
          </w:tcPr>
          <w:p w14:paraId="2CFF65EF"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Bolgarija</w:t>
            </w:r>
          </w:p>
        </w:tc>
        <w:tc>
          <w:tcPr>
            <w:tcW w:w="1063" w:type="dxa"/>
          </w:tcPr>
          <w:p w14:paraId="5CF650A6"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w:t>
            </w:r>
          </w:p>
        </w:tc>
      </w:tr>
      <w:tr w:rsidR="005D4F96" w:rsidRPr="00D83239" w14:paraId="10409EFD" w14:textId="77777777" w:rsidTr="00EF3DF9">
        <w:tc>
          <w:tcPr>
            <w:tcW w:w="1696" w:type="dxa"/>
            <w:tcBorders>
              <w:right w:val="single" w:sz="12" w:space="0" w:color="auto"/>
            </w:tcBorders>
          </w:tcPr>
          <w:p w14:paraId="1856396D"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Francija</w:t>
            </w:r>
          </w:p>
        </w:tc>
        <w:tc>
          <w:tcPr>
            <w:tcW w:w="1063" w:type="dxa"/>
          </w:tcPr>
          <w:p w14:paraId="3EE5C844"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w:t>
            </w:r>
          </w:p>
        </w:tc>
      </w:tr>
      <w:tr w:rsidR="005D4F96" w:rsidRPr="00D83239" w14:paraId="02B08B66" w14:textId="77777777" w:rsidTr="00EF3DF9">
        <w:tc>
          <w:tcPr>
            <w:tcW w:w="1696" w:type="dxa"/>
            <w:tcBorders>
              <w:right w:val="single" w:sz="12" w:space="0" w:color="auto"/>
            </w:tcBorders>
          </w:tcPr>
          <w:p w14:paraId="1A2011ED"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Hrvaška</w:t>
            </w:r>
          </w:p>
        </w:tc>
        <w:tc>
          <w:tcPr>
            <w:tcW w:w="1063" w:type="dxa"/>
          </w:tcPr>
          <w:p w14:paraId="5B5C658C"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29</w:t>
            </w:r>
          </w:p>
        </w:tc>
      </w:tr>
      <w:tr w:rsidR="005D4F96" w:rsidRPr="00D83239" w14:paraId="5D449682" w14:textId="77777777" w:rsidTr="00EF3DF9">
        <w:tc>
          <w:tcPr>
            <w:tcW w:w="1696" w:type="dxa"/>
            <w:tcBorders>
              <w:right w:val="single" w:sz="12" w:space="0" w:color="auto"/>
            </w:tcBorders>
          </w:tcPr>
          <w:p w14:paraId="49E06BDF"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Nemčija</w:t>
            </w:r>
          </w:p>
        </w:tc>
        <w:tc>
          <w:tcPr>
            <w:tcW w:w="1063" w:type="dxa"/>
          </w:tcPr>
          <w:p w14:paraId="41971D1C"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7</w:t>
            </w:r>
          </w:p>
        </w:tc>
      </w:tr>
      <w:tr w:rsidR="005D4F96" w:rsidRPr="00D83239" w14:paraId="745DC0B6" w14:textId="77777777" w:rsidTr="00EF3DF9">
        <w:tc>
          <w:tcPr>
            <w:tcW w:w="1696" w:type="dxa"/>
            <w:tcBorders>
              <w:right w:val="single" w:sz="12" w:space="0" w:color="auto"/>
            </w:tcBorders>
          </w:tcPr>
          <w:p w14:paraId="2B4EE32D"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Nizozemska</w:t>
            </w:r>
          </w:p>
        </w:tc>
        <w:tc>
          <w:tcPr>
            <w:tcW w:w="1063" w:type="dxa"/>
          </w:tcPr>
          <w:p w14:paraId="0C6E090C"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w:t>
            </w:r>
          </w:p>
        </w:tc>
      </w:tr>
      <w:tr w:rsidR="005D4F96" w:rsidRPr="00D83239" w14:paraId="6CC8E87F" w14:textId="77777777" w:rsidTr="00EF3DF9">
        <w:tc>
          <w:tcPr>
            <w:tcW w:w="1696" w:type="dxa"/>
            <w:tcBorders>
              <w:right w:val="single" w:sz="12" w:space="0" w:color="auto"/>
            </w:tcBorders>
          </w:tcPr>
          <w:p w14:paraId="4BB6FE87"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Španija</w:t>
            </w:r>
          </w:p>
        </w:tc>
        <w:tc>
          <w:tcPr>
            <w:tcW w:w="1063" w:type="dxa"/>
          </w:tcPr>
          <w:p w14:paraId="464F56FC"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w:t>
            </w:r>
          </w:p>
        </w:tc>
      </w:tr>
      <w:tr w:rsidR="005D4F96" w:rsidRPr="00D83239" w14:paraId="19458FF7" w14:textId="77777777" w:rsidTr="00EF3DF9">
        <w:tc>
          <w:tcPr>
            <w:tcW w:w="1696" w:type="dxa"/>
            <w:tcBorders>
              <w:right w:val="single" w:sz="12" w:space="0" w:color="auto"/>
            </w:tcBorders>
          </w:tcPr>
          <w:p w14:paraId="728C4000"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Švica</w:t>
            </w:r>
          </w:p>
        </w:tc>
        <w:tc>
          <w:tcPr>
            <w:tcW w:w="1063" w:type="dxa"/>
          </w:tcPr>
          <w:p w14:paraId="0980478D"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4</w:t>
            </w:r>
          </w:p>
        </w:tc>
      </w:tr>
      <w:tr w:rsidR="005D4F96" w:rsidRPr="00D83239" w14:paraId="093C6785" w14:textId="77777777" w:rsidTr="00EF3DF9">
        <w:tc>
          <w:tcPr>
            <w:tcW w:w="1696" w:type="dxa"/>
            <w:tcBorders>
              <w:top w:val="single" w:sz="12" w:space="0" w:color="auto"/>
              <w:right w:val="single" w:sz="12" w:space="0" w:color="auto"/>
            </w:tcBorders>
            <w:shd w:val="clear" w:color="auto" w:fill="D9D9D9" w:themeFill="background1" w:themeFillShade="D9"/>
          </w:tcPr>
          <w:p w14:paraId="1CB0C2DC" w14:textId="05C4C3B5" w:rsidR="005D4F96" w:rsidRPr="00D83239" w:rsidRDefault="002E75FB" w:rsidP="00D83239">
            <w:pPr>
              <w:spacing w:line="276" w:lineRule="auto"/>
              <w:jc w:val="both"/>
              <w:rPr>
                <w:rFonts w:ascii="Arial" w:hAnsi="Arial" w:cs="Arial"/>
                <w:b/>
                <w:sz w:val="20"/>
                <w:szCs w:val="20"/>
              </w:rPr>
            </w:pPr>
            <w:r>
              <w:rPr>
                <w:rFonts w:ascii="Arial" w:hAnsi="Arial" w:cs="Arial"/>
                <w:b/>
                <w:sz w:val="20"/>
                <w:szCs w:val="20"/>
              </w:rPr>
              <w:t>S</w:t>
            </w:r>
            <w:r w:rsidR="005D4F96" w:rsidRPr="00D83239">
              <w:rPr>
                <w:rFonts w:ascii="Arial" w:hAnsi="Arial" w:cs="Arial"/>
                <w:b/>
                <w:sz w:val="20"/>
                <w:szCs w:val="20"/>
              </w:rPr>
              <w:t>kupaj</w:t>
            </w:r>
          </w:p>
        </w:tc>
        <w:tc>
          <w:tcPr>
            <w:tcW w:w="1063" w:type="dxa"/>
            <w:tcBorders>
              <w:top w:val="single" w:sz="12" w:space="0" w:color="auto"/>
            </w:tcBorders>
            <w:shd w:val="clear" w:color="auto" w:fill="D9D9D9" w:themeFill="background1" w:themeFillShade="D9"/>
          </w:tcPr>
          <w:p w14:paraId="44303A61" w14:textId="77777777" w:rsidR="005D4F96" w:rsidRPr="00D83239" w:rsidRDefault="005D4F96" w:rsidP="00EF3DF9">
            <w:pPr>
              <w:spacing w:line="276" w:lineRule="auto"/>
              <w:jc w:val="right"/>
              <w:rPr>
                <w:rFonts w:ascii="Arial" w:hAnsi="Arial" w:cs="Arial"/>
                <w:b/>
                <w:sz w:val="20"/>
                <w:szCs w:val="20"/>
              </w:rPr>
            </w:pPr>
            <w:r w:rsidRPr="00D83239">
              <w:rPr>
                <w:rFonts w:ascii="Arial" w:hAnsi="Arial" w:cs="Arial"/>
                <w:b/>
                <w:sz w:val="20"/>
                <w:szCs w:val="20"/>
              </w:rPr>
              <w:t>46</w:t>
            </w:r>
          </w:p>
        </w:tc>
      </w:tr>
    </w:tbl>
    <w:p w14:paraId="7EDF5F5D" w14:textId="2F6EE0A1" w:rsidR="005D4F96" w:rsidRDefault="005D4F96" w:rsidP="00D83239">
      <w:pPr>
        <w:spacing w:after="0" w:line="276" w:lineRule="auto"/>
        <w:jc w:val="both"/>
        <w:rPr>
          <w:rFonts w:ascii="Arial" w:hAnsi="Arial" w:cs="Arial"/>
          <w:sz w:val="20"/>
          <w:szCs w:val="20"/>
        </w:rPr>
      </w:pPr>
    </w:p>
    <w:p w14:paraId="720B4D85" w14:textId="13FE865A" w:rsidR="00EF3DF9" w:rsidRPr="00D83239" w:rsidRDefault="00EF3DF9" w:rsidP="00EF3DF9">
      <w:pPr>
        <w:autoSpaceDE w:val="0"/>
        <w:adjustRightInd w:val="0"/>
        <w:spacing w:after="0" w:line="276" w:lineRule="auto"/>
        <w:jc w:val="both"/>
        <w:rPr>
          <w:rFonts w:ascii="Arial" w:hAnsi="Arial" w:cs="Arial"/>
          <w:sz w:val="20"/>
          <w:szCs w:val="20"/>
        </w:rPr>
      </w:pPr>
      <w:r w:rsidRPr="00EF3DF9">
        <w:rPr>
          <w:rFonts w:ascii="Arial" w:hAnsi="Arial" w:cs="Arial"/>
          <w:b/>
          <w:sz w:val="20"/>
          <w:szCs w:val="20"/>
        </w:rPr>
        <w:t>Preglednica</w:t>
      </w:r>
      <w:r w:rsidRPr="00E92FF2">
        <w:rPr>
          <w:rFonts w:ascii="Arial" w:hAnsi="Arial" w:cs="Arial"/>
          <w:sz w:val="20"/>
          <w:szCs w:val="20"/>
        </w:rPr>
        <w:t>:</w:t>
      </w:r>
      <w:r>
        <w:rPr>
          <w:rFonts w:ascii="Arial" w:hAnsi="Arial" w:cs="Arial"/>
          <w:sz w:val="20"/>
          <w:szCs w:val="20"/>
        </w:rPr>
        <w:t xml:space="preserve"> </w:t>
      </w:r>
      <w:r w:rsidRPr="006B2B30">
        <w:rPr>
          <w:rFonts w:ascii="Arial" w:hAnsi="Arial" w:cs="Arial"/>
          <w:sz w:val="20"/>
          <w:szCs w:val="20"/>
        </w:rPr>
        <w:t>Število dublinskih predaj</w:t>
      </w:r>
      <w:r w:rsidRPr="00D83239">
        <w:rPr>
          <w:rFonts w:ascii="Arial" w:hAnsi="Arial" w:cs="Arial"/>
          <w:sz w:val="20"/>
          <w:szCs w:val="20"/>
        </w:rPr>
        <w:t xml:space="preserve"> glede na državo sprejema v obdobju </w:t>
      </w:r>
      <w:r w:rsidR="009E3844">
        <w:rPr>
          <w:rFonts w:ascii="Arial" w:hAnsi="Arial" w:cs="Arial"/>
          <w:sz w:val="20"/>
          <w:szCs w:val="20"/>
        </w:rPr>
        <w:t xml:space="preserve">od </w:t>
      </w:r>
      <w:r w:rsidRPr="00D83239">
        <w:rPr>
          <w:rFonts w:ascii="Arial" w:hAnsi="Arial" w:cs="Arial"/>
          <w:sz w:val="20"/>
          <w:szCs w:val="20"/>
        </w:rPr>
        <w:t xml:space="preserve">1. 1. 2025 </w:t>
      </w:r>
      <w:r w:rsidR="009E3844">
        <w:rPr>
          <w:rFonts w:ascii="Arial" w:hAnsi="Arial" w:cs="Arial"/>
          <w:sz w:val="20"/>
          <w:szCs w:val="20"/>
        </w:rPr>
        <w:t>do</w:t>
      </w:r>
      <w:r w:rsidR="009E3844" w:rsidRPr="00D83239">
        <w:rPr>
          <w:rFonts w:ascii="Arial" w:hAnsi="Arial" w:cs="Arial"/>
          <w:sz w:val="20"/>
          <w:szCs w:val="20"/>
        </w:rPr>
        <w:t xml:space="preserve"> </w:t>
      </w:r>
      <w:r w:rsidRPr="00D83239">
        <w:rPr>
          <w:rFonts w:ascii="Arial" w:hAnsi="Arial" w:cs="Arial"/>
          <w:sz w:val="20"/>
          <w:szCs w:val="20"/>
        </w:rPr>
        <w:t>31.</w:t>
      </w:r>
      <w:r w:rsidR="009E3844">
        <w:rPr>
          <w:rFonts w:ascii="Arial" w:hAnsi="Arial" w:cs="Arial"/>
          <w:sz w:val="20"/>
          <w:szCs w:val="20"/>
        </w:rPr>
        <w:t> </w:t>
      </w:r>
      <w:r w:rsidRPr="00D83239">
        <w:rPr>
          <w:rFonts w:ascii="Arial" w:hAnsi="Arial" w:cs="Arial"/>
          <w:sz w:val="20"/>
          <w:szCs w:val="20"/>
        </w:rPr>
        <w:t>12.</w:t>
      </w:r>
      <w:r w:rsidR="009E3844">
        <w:rPr>
          <w:rFonts w:ascii="Arial" w:hAnsi="Arial" w:cs="Arial"/>
          <w:sz w:val="20"/>
          <w:szCs w:val="20"/>
        </w:rPr>
        <w:t> </w:t>
      </w:r>
      <w:r w:rsidRPr="00D83239">
        <w:rPr>
          <w:rFonts w:ascii="Arial" w:hAnsi="Arial" w:cs="Arial"/>
          <w:sz w:val="20"/>
          <w:szCs w:val="20"/>
        </w:rPr>
        <w:t>2025</w:t>
      </w:r>
    </w:p>
    <w:p w14:paraId="4BAC4B57" w14:textId="5C5D9B8A" w:rsidR="00EF3DF9" w:rsidRPr="00D83239" w:rsidRDefault="00EF3DF9" w:rsidP="00D83239">
      <w:pPr>
        <w:spacing w:after="0" w:line="276" w:lineRule="auto"/>
        <w:jc w:val="both"/>
        <w:rPr>
          <w:rFonts w:ascii="Arial" w:hAnsi="Arial" w:cs="Arial"/>
          <w:sz w:val="20"/>
          <w:szCs w:val="20"/>
        </w:rPr>
      </w:pPr>
    </w:p>
    <w:p w14:paraId="5DD94522" w14:textId="1DAB5CFF" w:rsidR="005D4F96" w:rsidRDefault="005D4F96" w:rsidP="00EF3DF9">
      <w:pPr>
        <w:autoSpaceDE w:val="0"/>
        <w:adjustRightInd w:val="0"/>
        <w:spacing w:after="0" w:line="276" w:lineRule="auto"/>
        <w:jc w:val="both"/>
        <w:rPr>
          <w:rFonts w:ascii="Arial" w:hAnsi="Arial" w:cs="Arial"/>
          <w:sz w:val="20"/>
          <w:szCs w:val="20"/>
        </w:rPr>
      </w:pPr>
      <w:r w:rsidRPr="00D83239">
        <w:rPr>
          <w:rFonts w:ascii="Arial" w:hAnsi="Arial" w:cs="Arial"/>
          <w:sz w:val="20"/>
          <w:szCs w:val="20"/>
        </w:rPr>
        <w:t xml:space="preserve">Republika Slovenija je v obdobju </w:t>
      </w:r>
      <w:r w:rsidR="009E3844">
        <w:rPr>
          <w:rFonts w:ascii="Arial" w:hAnsi="Arial" w:cs="Arial"/>
          <w:sz w:val="20"/>
          <w:szCs w:val="20"/>
        </w:rPr>
        <w:t xml:space="preserve">od </w:t>
      </w:r>
      <w:r w:rsidRPr="00D83239">
        <w:rPr>
          <w:rFonts w:ascii="Arial" w:hAnsi="Arial" w:cs="Arial"/>
          <w:sz w:val="20"/>
          <w:szCs w:val="20"/>
        </w:rPr>
        <w:t xml:space="preserve">1. 1. 2025 </w:t>
      </w:r>
      <w:r w:rsidR="009E3844">
        <w:rPr>
          <w:rFonts w:ascii="Arial" w:hAnsi="Arial" w:cs="Arial"/>
          <w:sz w:val="20"/>
          <w:szCs w:val="20"/>
        </w:rPr>
        <w:t>do</w:t>
      </w:r>
      <w:r w:rsidR="009E3844" w:rsidRPr="00D83239">
        <w:rPr>
          <w:rFonts w:ascii="Arial" w:hAnsi="Arial" w:cs="Arial"/>
          <w:sz w:val="20"/>
          <w:szCs w:val="20"/>
        </w:rPr>
        <w:t xml:space="preserve"> </w:t>
      </w:r>
      <w:r w:rsidRPr="00D83239">
        <w:rPr>
          <w:rFonts w:ascii="Arial" w:hAnsi="Arial" w:cs="Arial"/>
          <w:sz w:val="20"/>
          <w:szCs w:val="20"/>
        </w:rPr>
        <w:t xml:space="preserve">31. 12. 2025 po Dublinski uredbi sprejela 233 oseb, kar je občutno več kot leta 2024 (167). Povečalo se je zlasti število sprejemov iz Nemčije.   </w:t>
      </w:r>
    </w:p>
    <w:p w14:paraId="521B68EB" w14:textId="77777777" w:rsidR="00E92FF2" w:rsidRPr="00D83239" w:rsidRDefault="00E92FF2" w:rsidP="00EF3DF9">
      <w:pPr>
        <w:autoSpaceDE w:val="0"/>
        <w:adjustRightInd w:val="0"/>
        <w:spacing w:after="0" w:line="276"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1696"/>
        <w:gridCol w:w="1065"/>
      </w:tblGrid>
      <w:tr w:rsidR="005D4F96" w:rsidRPr="00D83239" w14:paraId="4F02105F" w14:textId="77777777" w:rsidTr="00EF3DF9">
        <w:tc>
          <w:tcPr>
            <w:tcW w:w="1696" w:type="dxa"/>
            <w:tcBorders>
              <w:bottom w:val="single" w:sz="12" w:space="0" w:color="auto"/>
              <w:right w:val="single" w:sz="12" w:space="0" w:color="auto"/>
            </w:tcBorders>
            <w:shd w:val="clear" w:color="auto" w:fill="D9D9D9" w:themeFill="background1" w:themeFillShade="D9"/>
          </w:tcPr>
          <w:p w14:paraId="733E012A" w14:textId="47020CBA" w:rsidR="005D4F96" w:rsidRPr="00EF3DF9" w:rsidRDefault="002E75FB" w:rsidP="00EF3DF9">
            <w:pPr>
              <w:spacing w:line="276" w:lineRule="auto"/>
              <w:jc w:val="both"/>
              <w:rPr>
                <w:rFonts w:ascii="Arial" w:hAnsi="Arial" w:cs="Arial"/>
                <w:b/>
                <w:sz w:val="20"/>
                <w:szCs w:val="20"/>
              </w:rPr>
            </w:pPr>
            <w:r w:rsidRPr="00EF3DF9">
              <w:rPr>
                <w:rFonts w:ascii="Arial" w:hAnsi="Arial" w:cs="Arial"/>
                <w:b/>
                <w:sz w:val="20"/>
                <w:szCs w:val="20"/>
              </w:rPr>
              <w:t>D</w:t>
            </w:r>
            <w:r w:rsidR="005D4F96" w:rsidRPr="00EF3DF9">
              <w:rPr>
                <w:rFonts w:ascii="Arial" w:hAnsi="Arial" w:cs="Arial"/>
                <w:b/>
                <w:sz w:val="20"/>
                <w:szCs w:val="20"/>
              </w:rPr>
              <w:t>ržava članica</w:t>
            </w:r>
          </w:p>
        </w:tc>
        <w:tc>
          <w:tcPr>
            <w:tcW w:w="1065" w:type="dxa"/>
            <w:tcBorders>
              <w:bottom w:val="single" w:sz="12" w:space="0" w:color="auto"/>
            </w:tcBorders>
            <w:shd w:val="clear" w:color="auto" w:fill="D9D9D9" w:themeFill="background1" w:themeFillShade="D9"/>
          </w:tcPr>
          <w:p w14:paraId="2CBFA3F7" w14:textId="77777777" w:rsidR="005D4F96" w:rsidRPr="00EF3DF9" w:rsidRDefault="005D4F96" w:rsidP="00EF3DF9">
            <w:pPr>
              <w:spacing w:line="276" w:lineRule="auto"/>
              <w:jc w:val="center"/>
              <w:rPr>
                <w:rFonts w:ascii="Arial" w:hAnsi="Arial" w:cs="Arial"/>
                <w:b/>
                <w:sz w:val="20"/>
                <w:szCs w:val="20"/>
              </w:rPr>
            </w:pPr>
            <w:r w:rsidRPr="00EF3DF9">
              <w:rPr>
                <w:rFonts w:ascii="Arial" w:hAnsi="Arial" w:cs="Arial"/>
                <w:b/>
                <w:sz w:val="20"/>
                <w:szCs w:val="20"/>
              </w:rPr>
              <w:t>2025</w:t>
            </w:r>
          </w:p>
        </w:tc>
      </w:tr>
      <w:tr w:rsidR="005D4F96" w:rsidRPr="00D83239" w14:paraId="14EE271A" w14:textId="77777777" w:rsidTr="00EF3DF9">
        <w:tc>
          <w:tcPr>
            <w:tcW w:w="1696" w:type="dxa"/>
            <w:tcBorders>
              <w:top w:val="single" w:sz="12" w:space="0" w:color="auto"/>
              <w:right w:val="single" w:sz="12" w:space="0" w:color="auto"/>
            </w:tcBorders>
          </w:tcPr>
          <w:p w14:paraId="1D3AFDF5"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Avstrija</w:t>
            </w:r>
          </w:p>
        </w:tc>
        <w:tc>
          <w:tcPr>
            <w:tcW w:w="1065" w:type="dxa"/>
            <w:tcBorders>
              <w:top w:val="single" w:sz="12" w:space="0" w:color="auto"/>
            </w:tcBorders>
          </w:tcPr>
          <w:p w14:paraId="7B2D53A0"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23</w:t>
            </w:r>
          </w:p>
        </w:tc>
      </w:tr>
      <w:tr w:rsidR="005D4F96" w:rsidRPr="00D83239" w14:paraId="2F0DA1DB" w14:textId="77777777" w:rsidTr="00EF3DF9">
        <w:tc>
          <w:tcPr>
            <w:tcW w:w="1696" w:type="dxa"/>
            <w:tcBorders>
              <w:right w:val="single" w:sz="12" w:space="0" w:color="auto"/>
            </w:tcBorders>
          </w:tcPr>
          <w:p w14:paraId="0F5EBB3C"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Belgija</w:t>
            </w:r>
          </w:p>
        </w:tc>
        <w:tc>
          <w:tcPr>
            <w:tcW w:w="1065" w:type="dxa"/>
          </w:tcPr>
          <w:p w14:paraId="40419569"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15</w:t>
            </w:r>
          </w:p>
        </w:tc>
      </w:tr>
      <w:tr w:rsidR="005D4F96" w:rsidRPr="00D83239" w14:paraId="780A5557" w14:textId="77777777" w:rsidTr="00EF3DF9">
        <w:tc>
          <w:tcPr>
            <w:tcW w:w="1696" w:type="dxa"/>
            <w:tcBorders>
              <w:right w:val="single" w:sz="12" w:space="0" w:color="auto"/>
            </w:tcBorders>
          </w:tcPr>
          <w:p w14:paraId="390717B0"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Finska</w:t>
            </w:r>
          </w:p>
        </w:tc>
        <w:tc>
          <w:tcPr>
            <w:tcW w:w="1065" w:type="dxa"/>
          </w:tcPr>
          <w:p w14:paraId="60249F91"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w:t>
            </w:r>
          </w:p>
        </w:tc>
      </w:tr>
      <w:tr w:rsidR="005D4F96" w:rsidRPr="00D83239" w14:paraId="34E9DB2B" w14:textId="77777777" w:rsidTr="00EF3DF9">
        <w:tc>
          <w:tcPr>
            <w:tcW w:w="1696" w:type="dxa"/>
            <w:tcBorders>
              <w:right w:val="single" w:sz="12" w:space="0" w:color="auto"/>
            </w:tcBorders>
          </w:tcPr>
          <w:p w14:paraId="3F78D860"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Francija</w:t>
            </w:r>
          </w:p>
        </w:tc>
        <w:tc>
          <w:tcPr>
            <w:tcW w:w="1065" w:type="dxa"/>
          </w:tcPr>
          <w:p w14:paraId="1A11B8C3"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17</w:t>
            </w:r>
          </w:p>
        </w:tc>
      </w:tr>
      <w:tr w:rsidR="005D4F96" w:rsidRPr="00D83239" w14:paraId="08CBE708" w14:textId="77777777" w:rsidTr="00EF3DF9">
        <w:tc>
          <w:tcPr>
            <w:tcW w:w="1696" w:type="dxa"/>
            <w:tcBorders>
              <w:right w:val="single" w:sz="12" w:space="0" w:color="auto"/>
            </w:tcBorders>
          </w:tcPr>
          <w:p w14:paraId="0A89E1A8"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Grčija</w:t>
            </w:r>
          </w:p>
        </w:tc>
        <w:tc>
          <w:tcPr>
            <w:tcW w:w="1065" w:type="dxa"/>
          </w:tcPr>
          <w:p w14:paraId="66A2A61F"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w:t>
            </w:r>
          </w:p>
        </w:tc>
      </w:tr>
      <w:tr w:rsidR="005D4F96" w:rsidRPr="00D83239" w14:paraId="73F6F343" w14:textId="77777777" w:rsidTr="00EF3DF9">
        <w:tc>
          <w:tcPr>
            <w:tcW w:w="1696" w:type="dxa"/>
            <w:tcBorders>
              <w:right w:val="single" w:sz="12" w:space="0" w:color="auto"/>
            </w:tcBorders>
          </w:tcPr>
          <w:p w14:paraId="116AC360"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Hrvaška</w:t>
            </w:r>
          </w:p>
        </w:tc>
        <w:tc>
          <w:tcPr>
            <w:tcW w:w="1065" w:type="dxa"/>
          </w:tcPr>
          <w:p w14:paraId="47D5E675"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2</w:t>
            </w:r>
          </w:p>
        </w:tc>
      </w:tr>
      <w:tr w:rsidR="005D4F96" w:rsidRPr="00D83239" w14:paraId="3EEFC519" w14:textId="77777777" w:rsidTr="00EF3DF9">
        <w:tc>
          <w:tcPr>
            <w:tcW w:w="1696" w:type="dxa"/>
            <w:tcBorders>
              <w:right w:val="single" w:sz="12" w:space="0" w:color="auto"/>
            </w:tcBorders>
          </w:tcPr>
          <w:p w14:paraId="63DF4C98"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Luksemburg</w:t>
            </w:r>
          </w:p>
        </w:tc>
        <w:tc>
          <w:tcPr>
            <w:tcW w:w="1065" w:type="dxa"/>
          </w:tcPr>
          <w:p w14:paraId="088A5BC8"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2</w:t>
            </w:r>
          </w:p>
        </w:tc>
      </w:tr>
      <w:tr w:rsidR="005D4F96" w:rsidRPr="00D83239" w14:paraId="66BA1E3B" w14:textId="77777777" w:rsidTr="00EF3DF9">
        <w:tc>
          <w:tcPr>
            <w:tcW w:w="1696" w:type="dxa"/>
            <w:tcBorders>
              <w:right w:val="single" w:sz="12" w:space="0" w:color="auto"/>
            </w:tcBorders>
          </w:tcPr>
          <w:p w14:paraId="0F6927D4"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Islandija</w:t>
            </w:r>
          </w:p>
        </w:tc>
        <w:tc>
          <w:tcPr>
            <w:tcW w:w="1065" w:type="dxa"/>
          </w:tcPr>
          <w:p w14:paraId="50299807"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w:t>
            </w:r>
          </w:p>
        </w:tc>
      </w:tr>
      <w:tr w:rsidR="005D4F96" w:rsidRPr="00D83239" w14:paraId="5BB9C31B" w14:textId="77777777" w:rsidTr="00EF3DF9">
        <w:tc>
          <w:tcPr>
            <w:tcW w:w="1696" w:type="dxa"/>
            <w:tcBorders>
              <w:right w:val="single" w:sz="12" w:space="0" w:color="auto"/>
            </w:tcBorders>
          </w:tcPr>
          <w:p w14:paraId="0D26A789"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Nemčija</w:t>
            </w:r>
          </w:p>
        </w:tc>
        <w:tc>
          <w:tcPr>
            <w:tcW w:w="1065" w:type="dxa"/>
          </w:tcPr>
          <w:p w14:paraId="1EF5EE0A"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105</w:t>
            </w:r>
          </w:p>
        </w:tc>
      </w:tr>
      <w:tr w:rsidR="005D4F96" w:rsidRPr="00D83239" w14:paraId="57701F82" w14:textId="77777777" w:rsidTr="00EF3DF9">
        <w:tc>
          <w:tcPr>
            <w:tcW w:w="1696" w:type="dxa"/>
            <w:tcBorders>
              <w:right w:val="single" w:sz="12" w:space="0" w:color="auto"/>
            </w:tcBorders>
          </w:tcPr>
          <w:p w14:paraId="007EDBF9"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Nizozemska</w:t>
            </w:r>
          </w:p>
        </w:tc>
        <w:tc>
          <w:tcPr>
            <w:tcW w:w="1065" w:type="dxa"/>
          </w:tcPr>
          <w:p w14:paraId="1DC987EC"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14</w:t>
            </w:r>
          </w:p>
        </w:tc>
      </w:tr>
      <w:tr w:rsidR="005D4F96" w:rsidRPr="00D83239" w14:paraId="1A3ECFDC" w14:textId="77777777" w:rsidTr="00EF3DF9">
        <w:tc>
          <w:tcPr>
            <w:tcW w:w="1696" w:type="dxa"/>
            <w:tcBorders>
              <w:right w:val="single" w:sz="12" w:space="0" w:color="auto"/>
            </w:tcBorders>
          </w:tcPr>
          <w:p w14:paraId="03759B1B"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Poljska</w:t>
            </w:r>
          </w:p>
        </w:tc>
        <w:tc>
          <w:tcPr>
            <w:tcW w:w="1065" w:type="dxa"/>
          </w:tcPr>
          <w:p w14:paraId="51CC0092"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1</w:t>
            </w:r>
          </w:p>
        </w:tc>
      </w:tr>
      <w:tr w:rsidR="005D4F96" w:rsidRPr="00D83239" w14:paraId="0A5162D9" w14:textId="77777777" w:rsidTr="00EF3DF9">
        <w:tc>
          <w:tcPr>
            <w:tcW w:w="1696" w:type="dxa"/>
            <w:tcBorders>
              <w:right w:val="single" w:sz="12" w:space="0" w:color="auto"/>
            </w:tcBorders>
          </w:tcPr>
          <w:p w14:paraId="76B8F732"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 xml:space="preserve">Švedska </w:t>
            </w:r>
          </w:p>
        </w:tc>
        <w:tc>
          <w:tcPr>
            <w:tcW w:w="1065" w:type="dxa"/>
          </w:tcPr>
          <w:p w14:paraId="30F035EC"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3</w:t>
            </w:r>
          </w:p>
        </w:tc>
      </w:tr>
      <w:tr w:rsidR="005D4F96" w:rsidRPr="00D83239" w14:paraId="38AD93BF" w14:textId="77777777" w:rsidTr="00EF3DF9">
        <w:tc>
          <w:tcPr>
            <w:tcW w:w="1696" w:type="dxa"/>
            <w:tcBorders>
              <w:bottom w:val="single" w:sz="12" w:space="0" w:color="auto"/>
              <w:right w:val="single" w:sz="12" w:space="0" w:color="auto"/>
            </w:tcBorders>
          </w:tcPr>
          <w:p w14:paraId="6F49D693"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Švica</w:t>
            </w:r>
          </w:p>
        </w:tc>
        <w:tc>
          <w:tcPr>
            <w:tcW w:w="1065" w:type="dxa"/>
            <w:tcBorders>
              <w:bottom w:val="single" w:sz="12" w:space="0" w:color="auto"/>
            </w:tcBorders>
          </w:tcPr>
          <w:p w14:paraId="7EB9CAFF" w14:textId="77777777" w:rsidR="005D4F96" w:rsidRPr="00D83239" w:rsidRDefault="005D4F96" w:rsidP="00EF3DF9">
            <w:pPr>
              <w:spacing w:line="276" w:lineRule="auto"/>
              <w:jc w:val="right"/>
              <w:rPr>
                <w:rFonts w:ascii="Arial" w:hAnsi="Arial" w:cs="Arial"/>
                <w:sz w:val="20"/>
                <w:szCs w:val="20"/>
              </w:rPr>
            </w:pPr>
            <w:r w:rsidRPr="00D83239">
              <w:rPr>
                <w:rFonts w:ascii="Arial" w:hAnsi="Arial" w:cs="Arial"/>
                <w:sz w:val="20"/>
                <w:szCs w:val="20"/>
              </w:rPr>
              <w:t>48</w:t>
            </w:r>
          </w:p>
        </w:tc>
      </w:tr>
      <w:tr w:rsidR="005D4F96" w:rsidRPr="00D83239" w14:paraId="2C2F4C0E" w14:textId="77777777" w:rsidTr="00EF3DF9">
        <w:trPr>
          <w:trHeight w:val="249"/>
        </w:trPr>
        <w:tc>
          <w:tcPr>
            <w:tcW w:w="1696" w:type="dxa"/>
            <w:tcBorders>
              <w:top w:val="single" w:sz="12" w:space="0" w:color="auto"/>
              <w:right w:val="single" w:sz="12" w:space="0" w:color="auto"/>
            </w:tcBorders>
            <w:shd w:val="clear" w:color="auto" w:fill="D9D9D9" w:themeFill="background1" w:themeFillShade="D9"/>
          </w:tcPr>
          <w:p w14:paraId="7609CAA5" w14:textId="3B39F5CD" w:rsidR="005D4F96" w:rsidRPr="00D83239" w:rsidRDefault="002E75FB" w:rsidP="00D83239">
            <w:pPr>
              <w:spacing w:line="276" w:lineRule="auto"/>
              <w:jc w:val="both"/>
              <w:rPr>
                <w:rFonts w:ascii="Arial" w:hAnsi="Arial" w:cs="Arial"/>
                <w:b/>
                <w:sz w:val="20"/>
                <w:szCs w:val="20"/>
              </w:rPr>
            </w:pPr>
            <w:r>
              <w:rPr>
                <w:rFonts w:ascii="Arial" w:hAnsi="Arial" w:cs="Arial"/>
                <w:b/>
                <w:sz w:val="20"/>
                <w:szCs w:val="20"/>
              </w:rPr>
              <w:t>S</w:t>
            </w:r>
            <w:r w:rsidR="005D4F96" w:rsidRPr="00D83239">
              <w:rPr>
                <w:rFonts w:ascii="Arial" w:hAnsi="Arial" w:cs="Arial"/>
                <w:b/>
                <w:sz w:val="20"/>
                <w:szCs w:val="20"/>
              </w:rPr>
              <w:t>kupaj</w:t>
            </w:r>
          </w:p>
        </w:tc>
        <w:tc>
          <w:tcPr>
            <w:tcW w:w="1065" w:type="dxa"/>
            <w:tcBorders>
              <w:top w:val="single" w:sz="12" w:space="0" w:color="auto"/>
            </w:tcBorders>
            <w:shd w:val="clear" w:color="auto" w:fill="D9D9D9" w:themeFill="background1" w:themeFillShade="D9"/>
          </w:tcPr>
          <w:p w14:paraId="70B007FC" w14:textId="77777777" w:rsidR="005D4F96" w:rsidRPr="00D83239" w:rsidRDefault="005D4F96" w:rsidP="00EF3DF9">
            <w:pPr>
              <w:spacing w:line="276" w:lineRule="auto"/>
              <w:jc w:val="right"/>
              <w:rPr>
                <w:rFonts w:ascii="Arial" w:hAnsi="Arial" w:cs="Arial"/>
                <w:b/>
                <w:sz w:val="20"/>
                <w:szCs w:val="20"/>
              </w:rPr>
            </w:pPr>
            <w:r w:rsidRPr="00D83239">
              <w:rPr>
                <w:rFonts w:ascii="Arial" w:hAnsi="Arial" w:cs="Arial"/>
                <w:b/>
                <w:sz w:val="20"/>
                <w:szCs w:val="20"/>
              </w:rPr>
              <w:t>233</w:t>
            </w:r>
          </w:p>
        </w:tc>
      </w:tr>
    </w:tbl>
    <w:p w14:paraId="2E3E3175" w14:textId="77777777" w:rsidR="00EF3DF9" w:rsidRDefault="00EF3DF9" w:rsidP="00D83239">
      <w:pPr>
        <w:spacing w:line="276" w:lineRule="auto"/>
        <w:jc w:val="both"/>
        <w:rPr>
          <w:rFonts w:ascii="Arial" w:hAnsi="Arial" w:cs="Arial"/>
          <w:sz w:val="20"/>
          <w:szCs w:val="20"/>
        </w:rPr>
      </w:pPr>
    </w:p>
    <w:p w14:paraId="0B1642AD" w14:textId="12A3BAB3" w:rsidR="00EF3DF9" w:rsidRPr="00D83239" w:rsidRDefault="00EF3DF9" w:rsidP="00BF4616">
      <w:pPr>
        <w:spacing w:after="0" w:line="276" w:lineRule="auto"/>
        <w:jc w:val="both"/>
        <w:rPr>
          <w:rFonts w:ascii="Arial" w:hAnsi="Arial" w:cs="Arial"/>
          <w:sz w:val="20"/>
          <w:szCs w:val="20"/>
        </w:rPr>
      </w:pPr>
      <w:r w:rsidRPr="00EF3DF9">
        <w:rPr>
          <w:rFonts w:ascii="Arial" w:hAnsi="Arial" w:cs="Arial"/>
          <w:b/>
          <w:sz w:val="20"/>
          <w:szCs w:val="20"/>
        </w:rPr>
        <w:t>Preglednica</w:t>
      </w:r>
      <w:r w:rsidRPr="00E92FF2">
        <w:rPr>
          <w:rFonts w:ascii="Arial" w:hAnsi="Arial" w:cs="Arial"/>
          <w:sz w:val="20"/>
          <w:szCs w:val="20"/>
        </w:rPr>
        <w:t>:</w:t>
      </w:r>
      <w:r>
        <w:rPr>
          <w:rFonts w:ascii="Arial" w:hAnsi="Arial" w:cs="Arial"/>
          <w:sz w:val="20"/>
          <w:szCs w:val="20"/>
        </w:rPr>
        <w:t xml:space="preserve"> Š</w:t>
      </w:r>
      <w:r w:rsidRPr="00D83239">
        <w:rPr>
          <w:rFonts w:ascii="Arial" w:hAnsi="Arial" w:cs="Arial"/>
          <w:sz w:val="20"/>
          <w:szCs w:val="20"/>
        </w:rPr>
        <w:t xml:space="preserve">tevilo </w:t>
      </w:r>
      <w:r w:rsidRPr="006B2B30">
        <w:rPr>
          <w:rFonts w:ascii="Arial" w:hAnsi="Arial" w:cs="Arial"/>
          <w:sz w:val="20"/>
          <w:szCs w:val="20"/>
        </w:rPr>
        <w:t>sprejetih prosilcev</w:t>
      </w:r>
      <w:r w:rsidRPr="00D83239">
        <w:rPr>
          <w:rFonts w:ascii="Arial" w:hAnsi="Arial" w:cs="Arial"/>
          <w:sz w:val="20"/>
          <w:szCs w:val="20"/>
        </w:rPr>
        <w:t xml:space="preserve"> po Dublinski</w:t>
      </w:r>
      <w:r>
        <w:rPr>
          <w:rFonts w:ascii="Arial" w:hAnsi="Arial" w:cs="Arial"/>
          <w:sz w:val="20"/>
          <w:szCs w:val="20"/>
        </w:rPr>
        <w:t xml:space="preserve"> uredbi glede na državo predaje</w:t>
      </w:r>
    </w:p>
    <w:p w14:paraId="7E5683A2" w14:textId="77777777" w:rsidR="00BF4616" w:rsidRDefault="00BF4616" w:rsidP="00BF4616">
      <w:pPr>
        <w:spacing w:after="0" w:line="276" w:lineRule="auto"/>
        <w:jc w:val="both"/>
        <w:rPr>
          <w:rFonts w:ascii="Arial" w:hAnsi="Arial" w:cs="Arial"/>
          <w:sz w:val="20"/>
          <w:szCs w:val="20"/>
        </w:rPr>
      </w:pPr>
    </w:p>
    <w:p w14:paraId="1B9E2614" w14:textId="3967BF9E" w:rsidR="00BF461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 xml:space="preserve">V letu 2025 je bilo 5 % prošenj vsebinsko obravnavanih. Med njimi je bilo priznanih 71 statusov, kar </w:t>
      </w:r>
      <w:r w:rsidR="009E3844">
        <w:rPr>
          <w:rFonts w:ascii="Arial" w:hAnsi="Arial" w:cs="Arial"/>
          <w:sz w:val="20"/>
          <w:szCs w:val="20"/>
        </w:rPr>
        <w:t>je</w:t>
      </w:r>
      <w:r w:rsidR="009E3844" w:rsidRPr="00D83239">
        <w:rPr>
          <w:rFonts w:ascii="Arial" w:hAnsi="Arial" w:cs="Arial"/>
          <w:sz w:val="20"/>
          <w:szCs w:val="20"/>
        </w:rPr>
        <w:t xml:space="preserve"> </w:t>
      </w:r>
      <w:r w:rsidRPr="00D83239">
        <w:rPr>
          <w:rFonts w:ascii="Arial" w:hAnsi="Arial" w:cs="Arial"/>
          <w:sz w:val="20"/>
          <w:szCs w:val="20"/>
        </w:rPr>
        <w:t>31 % vseh vsebinsko obravnavanih postopkov. Priznanih je bilo 36 statusov subsidiarne zaščite in 35 statusov begunca.</w:t>
      </w:r>
    </w:p>
    <w:p w14:paraId="44381057" w14:textId="77777777" w:rsidR="00786E30" w:rsidRDefault="005D4F96" w:rsidP="00786E30">
      <w:pPr>
        <w:spacing w:line="276" w:lineRule="auto"/>
        <w:jc w:val="both"/>
        <w:rPr>
          <w:rFonts w:ascii="Arial" w:hAnsi="Arial" w:cs="Arial"/>
          <w:sz w:val="20"/>
          <w:szCs w:val="20"/>
        </w:rPr>
      </w:pPr>
      <w:r w:rsidRPr="00D83239">
        <w:rPr>
          <w:rFonts w:ascii="Arial" w:hAnsi="Arial" w:cs="Arial"/>
          <w:noProof/>
          <w:sz w:val="20"/>
          <w:szCs w:val="20"/>
          <w:lang w:eastAsia="sl-SI"/>
        </w:rPr>
        <w:drawing>
          <wp:inline distT="0" distB="0" distL="0" distR="0" wp14:anchorId="11FBD065" wp14:editId="69B2DCC2">
            <wp:extent cx="5403273" cy="2400300"/>
            <wp:effectExtent l="0" t="0" r="6985" b="0"/>
            <wp:docPr id="19" name="Grafikon 19" descr="V letu 2025 je bilo 5 % prošenj vsebinsko obravnavanih. Med njimi je bilo priznanih 71 statusov, kar je 31 % vseh vsebinsko obravnavanih postopkov. Priznanih je bilo 36 statusov subsidiarne zaščite in 35 statusov begunca.">
              <a:extLst xmlns:a="http://schemas.openxmlformats.org/drawingml/2006/main">
                <a:ext uri="{FF2B5EF4-FFF2-40B4-BE49-F238E27FC236}">
                  <a16:creationId xmlns:a16="http://schemas.microsoft.com/office/drawing/2014/main" id="{B8DE45DA-6BAB-3118-8753-301A128FA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8EF559" w14:textId="77777777" w:rsidR="00BF4616" w:rsidRDefault="00BF4616" w:rsidP="00786E30">
      <w:pPr>
        <w:spacing w:after="0" w:line="276" w:lineRule="auto"/>
        <w:jc w:val="both"/>
        <w:rPr>
          <w:rFonts w:ascii="Arial" w:hAnsi="Arial" w:cs="Arial"/>
          <w:sz w:val="20"/>
          <w:szCs w:val="20"/>
        </w:rPr>
      </w:pPr>
    </w:p>
    <w:p w14:paraId="0182E000" w14:textId="3AD59955" w:rsidR="005D4F96" w:rsidRDefault="005D4F96" w:rsidP="00786E30">
      <w:pPr>
        <w:spacing w:after="0" w:line="276" w:lineRule="auto"/>
        <w:jc w:val="both"/>
        <w:rPr>
          <w:rFonts w:ascii="Arial" w:hAnsi="Arial" w:cs="Arial"/>
          <w:sz w:val="20"/>
          <w:szCs w:val="20"/>
        </w:rPr>
      </w:pPr>
      <w:r w:rsidRPr="00D83239">
        <w:rPr>
          <w:rFonts w:ascii="Arial" w:hAnsi="Arial" w:cs="Arial"/>
          <w:b/>
          <w:sz w:val="20"/>
          <w:szCs w:val="20"/>
        </w:rPr>
        <w:t>Graf</w:t>
      </w:r>
      <w:r w:rsidR="009E3844">
        <w:rPr>
          <w:rFonts w:ascii="Arial" w:hAnsi="Arial" w:cs="Arial"/>
          <w:b/>
          <w:sz w:val="20"/>
          <w:szCs w:val="20"/>
        </w:rPr>
        <w:t>ikon</w:t>
      </w:r>
      <w:r w:rsidRPr="00E92FF2">
        <w:rPr>
          <w:rFonts w:ascii="Arial" w:hAnsi="Arial" w:cs="Arial"/>
          <w:sz w:val="20"/>
          <w:szCs w:val="20"/>
        </w:rPr>
        <w:t>:</w:t>
      </w:r>
      <w:r w:rsidRPr="00D83239">
        <w:rPr>
          <w:rFonts w:ascii="Arial" w:hAnsi="Arial" w:cs="Arial"/>
          <w:sz w:val="20"/>
          <w:szCs w:val="20"/>
        </w:rPr>
        <w:t xml:space="preserve"> Struktura rešenih prošenj za mednarodno zaščito v letu 2025</w:t>
      </w:r>
    </w:p>
    <w:p w14:paraId="2F682593" w14:textId="77777777" w:rsidR="006B2B30" w:rsidRDefault="006B2B30" w:rsidP="00786E30">
      <w:pPr>
        <w:spacing w:after="0" w:line="276" w:lineRule="auto"/>
        <w:jc w:val="both"/>
        <w:rPr>
          <w:rFonts w:ascii="Arial" w:hAnsi="Arial" w:cs="Arial"/>
          <w:sz w:val="20"/>
          <w:szCs w:val="20"/>
        </w:rPr>
      </w:pPr>
    </w:p>
    <w:p w14:paraId="3F422E93" w14:textId="5549F5D9" w:rsidR="005D4F96" w:rsidRPr="00D83239" w:rsidRDefault="005D4F96" w:rsidP="00D83239">
      <w:pPr>
        <w:spacing w:after="0" w:line="276" w:lineRule="auto"/>
        <w:jc w:val="both"/>
        <w:rPr>
          <w:rFonts w:ascii="Arial" w:hAnsi="Arial" w:cs="Arial"/>
          <w:sz w:val="20"/>
          <w:szCs w:val="20"/>
        </w:rPr>
      </w:pPr>
    </w:p>
    <w:tbl>
      <w:tblPr>
        <w:tblW w:w="6232" w:type="dxa"/>
        <w:tblCellMar>
          <w:left w:w="70" w:type="dxa"/>
          <w:right w:w="70" w:type="dxa"/>
        </w:tblCellMar>
        <w:tblLook w:val="04A0" w:firstRow="1" w:lastRow="0" w:firstColumn="1" w:lastColumn="0" w:noHBand="0" w:noVBand="1"/>
      </w:tblPr>
      <w:tblGrid>
        <w:gridCol w:w="1696"/>
        <w:gridCol w:w="4536"/>
      </w:tblGrid>
      <w:tr w:rsidR="005D4F96" w:rsidRPr="00D83239" w14:paraId="181103D7"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90186A4" w14:textId="77777777" w:rsidR="005D4F96" w:rsidRPr="00E63B3B" w:rsidRDefault="005D4F96" w:rsidP="00D608A9">
            <w:pPr>
              <w:spacing w:after="0" w:line="276" w:lineRule="auto"/>
              <w:rPr>
                <w:rFonts w:ascii="Arial" w:eastAsia="Times New Roman" w:hAnsi="Arial" w:cs="Arial"/>
                <w:b/>
                <w:sz w:val="20"/>
                <w:szCs w:val="20"/>
                <w:lang w:eastAsia="sl-SI"/>
              </w:rPr>
            </w:pPr>
            <w:r w:rsidRPr="00E63B3B">
              <w:rPr>
                <w:rFonts w:ascii="Arial" w:eastAsia="Times New Roman" w:hAnsi="Arial" w:cs="Arial"/>
                <w:b/>
                <w:sz w:val="20"/>
                <w:szCs w:val="20"/>
                <w:lang w:eastAsia="sl-SI"/>
              </w:rPr>
              <w:t>Država izvora</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9743CD" w14:textId="621A0388" w:rsidR="005D4F96" w:rsidRPr="00E63B3B" w:rsidRDefault="00BF4616" w:rsidP="00D608A9">
            <w:pPr>
              <w:spacing w:after="0" w:line="276" w:lineRule="auto"/>
              <w:rPr>
                <w:rFonts w:ascii="Arial" w:eastAsia="Times New Roman" w:hAnsi="Arial" w:cs="Arial"/>
                <w:b/>
                <w:sz w:val="20"/>
                <w:szCs w:val="20"/>
                <w:lang w:eastAsia="sl-SI"/>
              </w:rPr>
            </w:pPr>
            <w:r>
              <w:rPr>
                <w:rFonts w:ascii="Arial" w:eastAsia="Times New Roman" w:hAnsi="Arial" w:cs="Arial"/>
                <w:b/>
                <w:sz w:val="20"/>
                <w:szCs w:val="20"/>
                <w:lang w:eastAsia="sl-SI"/>
              </w:rPr>
              <w:t>Št.</w:t>
            </w:r>
            <w:r w:rsidR="005D4F96" w:rsidRPr="00E63B3B">
              <w:rPr>
                <w:rFonts w:ascii="Arial" w:eastAsia="Times New Roman" w:hAnsi="Arial" w:cs="Arial"/>
                <w:b/>
                <w:sz w:val="20"/>
                <w:szCs w:val="20"/>
                <w:lang w:eastAsia="sl-SI"/>
              </w:rPr>
              <w:t xml:space="preserve"> podeljenih statusov mednarodne zaščite</w:t>
            </w:r>
          </w:p>
        </w:tc>
      </w:tr>
      <w:tr w:rsidR="005D4F96" w:rsidRPr="00D83239" w14:paraId="0F859BD6" w14:textId="77777777" w:rsidTr="00BF4616">
        <w:trPr>
          <w:trHeight w:val="255"/>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FCD0607"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Afganistan</w:t>
            </w:r>
          </w:p>
        </w:tc>
        <w:tc>
          <w:tcPr>
            <w:tcW w:w="4536" w:type="dxa"/>
            <w:tcBorders>
              <w:top w:val="nil"/>
              <w:left w:val="nil"/>
              <w:bottom w:val="single" w:sz="4" w:space="0" w:color="auto"/>
              <w:right w:val="single" w:sz="4" w:space="0" w:color="auto"/>
            </w:tcBorders>
            <w:shd w:val="clear" w:color="auto" w:fill="auto"/>
            <w:noWrap/>
            <w:vAlign w:val="bottom"/>
            <w:hideMark/>
          </w:tcPr>
          <w:p w14:paraId="576D19DA"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4</w:t>
            </w:r>
          </w:p>
        </w:tc>
      </w:tr>
      <w:tr w:rsidR="005D4F96" w:rsidRPr="00D83239" w14:paraId="34B2CAA5"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819D7"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Alžirija</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18C41052"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w:t>
            </w:r>
          </w:p>
        </w:tc>
      </w:tr>
      <w:tr w:rsidR="005D4F96" w:rsidRPr="00D83239" w14:paraId="79A566D4"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4DFE7"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Armenija</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1DDE7118"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w:t>
            </w:r>
          </w:p>
        </w:tc>
      </w:tr>
      <w:tr w:rsidR="005D4F96" w:rsidRPr="00D83239" w14:paraId="188E0E7C"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6CD4C"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Burundi</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7DEC73B"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7</w:t>
            </w:r>
          </w:p>
        </w:tc>
      </w:tr>
      <w:tr w:rsidR="005D4F96" w:rsidRPr="00D83239" w14:paraId="152BFA3E" w14:textId="77777777" w:rsidTr="00BF4616">
        <w:trPr>
          <w:trHeight w:val="255"/>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CCE5BAE"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Kamerun</w:t>
            </w:r>
          </w:p>
        </w:tc>
        <w:tc>
          <w:tcPr>
            <w:tcW w:w="4536" w:type="dxa"/>
            <w:tcBorders>
              <w:top w:val="nil"/>
              <w:left w:val="nil"/>
              <w:bottom w:val="single" w:sz="4" w:space="0" w:color="auto"/>
              <w:right w:val="single" w:sz="4" w:space="0" w:color="auto"/>
            </w:tcBorders>
            <w:shd w:val="clear" w:color="auto" w:fill="auto"/>
            <w:noWrap/>
            <w:vAlign w:val="bottom"/>
            <w:hideMark/>
          </w:tcPr>
          <w:p w14:paraId="339FD144"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w:t>
            </w:r>
          </w:p>
        </w:tc>
      </w:tr>
      <w:tr w:rsidR="005D4F96" w:rsidRPr="00D83239" w14:paraId="1BB9F09E"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DC83"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Gambija</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4B76C13"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w:t>
            </w:r>
          </w:p>
        </w:tc>
      </w:tr>
      <w:tr w:rsidR="005D4F96" w:rsidRPr="00D83239" w14:paraId="24612A62"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09D76"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Iran</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AB59D51"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w:t>
            </w:r>
          </w:p>
        </w:tc>
      </w:tr>
      <w:tr w:rsidR="005D4F96" w:rsidRPr="00D83239" w14:paraId="56F8E68D"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3B21D"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Nigerija</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28F4EB70"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2</w:t>
            </w:r>
          </w:p>
        </w:tc>
      </w:tr>
      <w:tr w:rsidR="005D4F96" w:rsidRPr="00D83239" w14:paraId="052FF23F"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9846"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Palestina</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292B823C"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11</w:t>
            </w:r>
          </w:p>
        </w:tc>
      </w:tr>
      <w:tr w:rsidR="005D4F96" w:rsidRPr="00D83239" w14:paraId="4556A6D3"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D0214"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Rusija</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3FF56CAB"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4</w:t>
            </w:r>
          </w:p>
        </w:tc>
      </w:tr>
      <w:tr w:rsidR="005D4F96" w:rsidRPr="00D83239" w14:paraId="5691B072"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ACA2A"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Senegal</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83A7B1B"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w:t>
            </w:r>
          </w:p>
        </w:tc>
      </w:tr>
      <w:tr w:rsidR="005D4F96" w:rsidRPr="00D83239" w14:paraId="57910E11"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AE5FF"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Sirija</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3EC646A5"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w:t>
            </w:r>
          </w:p>
        </w:tc>
      </w:tr>
      <w:tr w:rsidR="005D4F96" w:rsidRPr="00D83239" w14:paraId="4A21E5D6"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5921E" w14:textId="77777777" w:rsidR="005D4F96" w:rsidRPr="00D83239" w:rsidRDefault="005D4F96" w:rsidP="00D8323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Ukrajina</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065370FA"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34</w:t>
            </w:r>
          </w:p>
        </w:tc>
      </w:tr>
      <w:tr w:rsidR="005D4F96" w:rsidRPr="00D83239" w14:paraId="33EE1E50" w14:textId="77777777" w:rsidTr="00BF4616">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B135E" w14:textId="62B534E0" w:rsidR="005D4F96" w:rsidRPr="00D83239" w:rsidRDefault="005D4F96" w:rsidP="009E3844">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Skup</w:t>
            </w:r>
            <w:r w:rsidR="009E3844">
              <w:rPr>
                <w:rFonts w:ascii="Arial" w:eastAsia="Times New Roman" w:hAnsi="Arial" w:cs="Arial"/>
                <w:sz w:val="20"/>
                <w:szCs w:val="20"/>
                <w:lang w:eastAsia="sl-SI"/>
              </w:rPr>
              <w:t>aj</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39A2C1B5" w14:textId="77777777" w:rsidR="005D4F96" w:rsidRPr="00D83239" w:rsidRDefault="005D4F96" w:rsidP="00D608A9">
            <w:pPr>
              <w:spacing w:after="0"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71</w:t>
            </w:r>
          </w:p>
        </w:tc>
      </w:tr>
    </w:tbl>
    <w:p w14:paraId="1674D929" w14:textId="77777777" w:rsidR="00BF4616" w:rsidRDefault="00BF4616" w:rsidP="00E63B3B">
      <w:pPr>
        <w:spacing w:after="0" w:line="276" w:lineRule="auto"/>
        <w:jc w:val="both"/>
        <w:rPr>
          <w:rFonts w:ascii="Arial" w:hAnsi="Arial" w:cs="Arial"/>
          <w:b/>
          <w:sz w:val="20"/>
          <w:szCs w:val="20"/>
        </w:rPr>
      </w:pPr>
    </w:p>
    <w:p w14:paraId="11FF5EE7" w14:textId="4FBCBA9C" w:rsidR="00E63B3B" w:rsidRDefault="00E63B3B" w:rsidP="00D83239">
      <w:pPr>
        <w:spacing w:after="0" w:line="276" w:lineRule="auto"/>
        <w:jc w:val="both"/>
        <w:rPr>
          <w:rFonts w:ascii="Arial" w:hAnsi="Arial" w:cs="Arial"/>
          <w:sz w:val="20"/>
          <w:szCs w:val="20"/>
        </w:rPr>
      </w:pPr>
      <w:r w:rsidRPr="00E63B3B">
        <w:rPr>
          <w:rFonts w:ascii="Arial" w:hAnsi="Arial" w:cs="Arial"/>
          <w:b/>
          <w:sz w:val="20"/>
          <w:szCs w:val="20"/>
        </w:rPr>
        <w:t>Preglednica</w:t>
      </w:r>
      <w:r w:rsidRPr="003D4C90">
        <w:rPr>
          <w:rFonts w:ascii="Arial" w:hAnsi="Arial" w:cs="Arial"/>
          <w:sz w:val="20"/>
          <w:szCs w:val="20"/>
        </w:rPr>
        <w:t>:</w:t>
      </w:r>
      <w:r w:rsidRPr="00E63B3B">
        <w:rPr>
          <w:rFonts w:ascii="Arial" w:hAnsi="Arial" w:cs="Arial"/>
          <w:b/>
          <w:sz w:val="20"/>
          <w:szCs w:val="20"/>
        </w:rPr>
        <w:t xml:space="preserve"> </w:t>
      </w:r>
      <w:r>
        <w:rPr>
          <w:rFonts w:ascii="Arial" w:hAnsi="Arial" w:cs="Arial"/>
          <w:sz w:val="20"/>
          <w:szCs w:val="20"/>
        </w:rPr>
        <w:t>Š</w:t>
      </w:r>
      <w:r w:rsidRPr="00D83239">
        <w:rPr>
          <w:rFonts w:ascii="Arial" w:hAnsi="Arial" w:cs="Arial"/>
          <w:sz w:val="20"/>
          <w:szCs w:val="20"/>
        </w:rPr>
        <w:t>tevilo oseb, ki jim je bila v letu 2025 priznana mednarodna zaščita, glede na državo izvora</w:t>
      </w:r>
    </w:p>
    <w:p w14:paraId="164FDE46" w14:textId="77777777" w:rsidR="006B2B30" w:rsidRPr="00D83239" w:rsidRDefault="006B2B30" w:rsidP="00D83239">
      <w:pPr>
        <w:spacing w:after="0" w:line="276" w:lineRule="auto"/>
        <w:jc w:val="both"/>
        <w:rPr>
          <w:rFonts w:ascii="Arial" w:hAnsi="Arial" w:cs="Arial"/>
          <w:sz w:val="20"/>
          <w:szCs w:val="20"/>
        </w:rPr>
      </w:pPr>
    </w:p>
    <w:p w14:paraId="142F1CF5" w14:textId="0DBBAF2F" w:rsidR="005D4F96" w:rsidRPr="00477D7F" w:rsidRDefault="00014BAB" w:rsidP="00FE543C">
      <w:pPr>
        <w:pStyle w:val="Naslov1"/>
        <w:numPr>
          <w:ilvl w:val="1"/>
          <w:numId w:val="3"/>
        </w:numPr>
        <w:spacing w:after="0" w:line="276" w:lineRule="auto"/>
        <w:jc w:val="both"/>
        <w:rPr>
          <w:color w:val="auto"/>
        </w:rPr>
      </w:pPr>
      <w:bookmarkStart w:id="106" w:name="_Toc225499837"/>
      <w:r w:rsidRPr="00477D7F">
        <w:rPr>
          <w:color w:val="auto"/>
        </w:rPr>
        <w:t>Evropski p</w:t>
      </w:r>
      <w:r w:rsidR="005D4F96" w:rsidRPr="00477D7F">
        <w:rPr>
          <w:color w:val="auto"/>
        </w:rPr>
        <w:t>akt o migracijah in azilu</w:t>
      </w:r>
      <w:bookmarkEnd w:id="106"/>
    </w:p>
    <w:p w14:paraId="27F783A9" w14:textId="77777777" w:rsidR="006B2B30" w:rsidRDefault="006B2B30" w:rsidP="006B2B30">
      <w:pPr>
        <w:pStyle w:val="Navadensplet"/>
        <w:spacing w:before="0" w:beforeAutospacing="0" w:after="0" w:afterAutospacing="0" w:line="276" w:lineRule="auto"/>
        <w:jc w:val="both"/>
        <w:textAlignment w:val="baseline"/>
        <w:rPr>
          <w:rFonts w:ascii="Arial" w:hAnsi="Arial" w:cs="Arial"/>
          <w:bCs/>
          <w:sz w:val="20"/>
          <w:szCs w:val="20"/>
        </w:rPr>
      </w:pPr>
    </w:p>
    <w:p w14:paraId="6E76B174" w14:textId="3C01B131" w:rsidR="005D4F96" w:rsidRPr="00D83239" w:rsidRDefault="005D4F96" w:rsidP="006B2B30">
      <w:pPr>
        <w:pStyle w:val="Navadensplet"/>
        <w:spacing w:before="0" w:beforeAutospacing="0" w:after="0" w:afterAutospacing="0" w:line="276" w:lineRule="auto"/>
        <w:jc w:val="both"/>
        <w:textAlignment w:val="baseline"/>
        <w:rPr>
          <w:rFonts w:ascii="Arial" w:hAnsi="Arial" w:cs="Arial"/>
          <w:kern w:val="3"/>
          <w:sz w:val="20"/>
          <w:szCs w:val="20"/>
        </w:rPr>
      </w:pPr>
      <w:r w:rsidRPr="00477D7F">
        <w:rPr>
          <w:rFonts w:ascii="Arial" w:hAnsi="Arial" w:cs="Arial"/>
          <w:bCs/>
          <w:sz w:val="20"/>
          <w:szCs w:val="20"/>
        </w:rPr>
        <w:t>S</w:t>
      </w:r>
      <w:r w:rsidRPr="00477D7F">
        <w:rPr>
          <w:rFonts w:ascii="Arial" w:hAnsi="Arial" w:cs="Arial"/>
          <w:sz w:val="20"/>
          <w:szCs w:val="20"/>
        </w:rPr>
        <w:t xml:space="preserve">vet Evropske unije je 14. 5. 2024 sprejel </w:t>
      </w:r>
      <w:r w:rsidR="009E3844" w:rsidRPr="00477D7F">
        <w:rPr>
          <w:rFonts w:ascii="Arial" w:hAnsi="Arial" w:cs="Arial"/>
          <w:sz w:val="20"/>
          <w:szCs w:val="20"/>
        </w:rPr>
        <w:t>Evropski p</w:t>
      </w:r>
      <w:r w:rsidRPr="00477D7F">
        <w:rPr>
          <w:rFonts w:ascii="Arial" w:hAnsi="Arial" w:cs="Arial"/>
          <w:sz w:val="20"/>
          <w:szCs w:val="20"/>
        </w:rPr>
        <w:t>akt o migracijah in azilu, ki predstavlja</w:t>
      </w:r>
      <w:r w:rsidRPr="00D83239">
        <w:rPr>
          <w:rFonts w:ascii="Arial" w:hAnsi="Arial" w:cs="Arial"/>
          <w:sz w:val="20"/>
          <w:szCs w:val="20"/>
        </w:rPr>
        <w:t xml:space="preserve"> celovit</w:t>
      </w:r>
      <w:r w:rsidR="009E3844">
        <w:rPr>
          <w:rFonts w:ascii="Arial" w:hAnsi="Arial" w:cs="Arial"/>
          <w:sz w:val="20"/>
          <w:szCs w:val="20"/>
        </w:rPr>
        <w:t>o</w:t>
      </w:r>
      <w:r w:rsidRPr="00D83239">
        <w:rPr>
          <w:rFonts w:ascii="Arial" w:hAnsi="Arial" w:cs="Arial"/>
          <w:sz w:val="20"/>
          <w:szCs w:val="20"/>
        </w:rPr>
        <w:t xml:space="preserve"> in nadgrajen</w:t>
      </w:r>
      <w:r w:rsidR="009E3844">
        <w:rPr>
          <w:rFonts w:ascii="Arial" w:hAnsi="Arial" w:cs="Arial"/>
          <w:sz w:val="20"/>
          <w:szCs w:val="20"/>
        </w:rPr>
        <w:t>o</w:t>
      </w:r>
      <w:r w:rsidRPr="00D83239">
        <w:rPr>
          <w:rFonts w:ascii="Arial" w:hAnsi="Arial" w:cs="Arial"/>
          <w:sz w:val="20"/>
          <w:szCs w:val="20"/>
        </w:rPr>
        <w:t xml:space="preserve"> upravljanj</w:t>
      </w:r>
      <w:r w:rsidR="009E3844">
        <w:rPr>
          <w:rFonts w:ascii="Arial" w:hAnsi="Arial" w:cs="Arial"/>
          <w:sz w:val="20"/>
          <w:szCs w:val="20"/>
        </w:rPr>
        <w:t>e</w:t>
      </w:r>
      <w:r w:rsidRPr="00D83239">
        <w:rPr>
          <w:rFonts w:ascii="Arial" w:hAnsi="Arial" w:cs="Arial"/>
          <w:sz w:val="20"/>
          <w:szCs w:val="20"/>
        </w:rPr>
        <w:t xml:space="preserve"> migracij in azila s krepitvijo in povezovanjem ključnih politik Evropske unije na področju migracij, azila, upravljanja meja in vključevanja. Pakt je sestavljen iz 9 zakonodajnih aktov, od tega je 8 uredb in 1 direktiva, na novo uvaja sistematično in strateško upravljanje </w:t>
      </w:r>
      <w:r w:rsidRPr="00D83239">
        <w:rPr>
          <w:rFonts w:ascii="Arial" w:hAnsi="Arial" w:cs="Arial"/>
          <w:kern w:val="3"/>
          <w:sz w:val="20"/>
          <w:szCs w:val="20"/>
        </w:rPr>
        <w:t>migracij in azil</w:t>
      </w:r>
      <w:r w:rsidR="009E3844">
        <w:rPr>
          <w:rFonts w:ascii="Arial" w:hAnsi="Arial" w:cs="Arial"/>
          <w:kern w:val="3"/>
          <w:sz w:val="20"/>
          <w:szCs w:val="20"/>
        </w:rPr>
        <w:t>a</w:t>
      </w:r>
      <w:r w:rsidRPr="00D83239">
        <w:rPr>
          <w:rFonts w:ascii="Arial" w:hAnsi="Arial" w:cs="Arial"/>
          <w:kern w:val="3"/>
          <w:sz w:val="20"/>
          <w:szCs w:val="20"/>
        </w:rPr>
        <w:t xml:space="preserve"> na ravni EU, vzpostavlja nove, okrepljene in povezane postopke preverjanja na zunanjih mejah, azila in vračanja, krepi jamstva za ranljive </w:t>
      </w:r>
      <w:r w:rsidR="009E3844">
        <w:rPr>
          <w:rFonts w:ascii="Arial" w:hAnsi="Arial" w:cs="Arial"/>
          <w:kern w:val="3"/>
          <w:sz w:val="20"/>
          <w:szCs w:val="20"/>
        </w:rPr>
        <w:t>skupin</w:t>
      </w:r>
      <w:r w:rsidRPr="00D83239">
        <w:rPr>
          <w:rFonts w:ascii="Arial" w:hAnsi="Arial" w:cs="Arial"/>
          <w:kern w:val="3"/>
          <w:sz w:val="20"/>
          <w:szCs w:val="20"/>
        </w:rPr>
        <w:t xml:space="preserve">e, nadgrajuje standarde sprejema prosilcev za mednarodno zaščito, vzpostavlja uravnotežena pravila odgovornosti </w:t>
      </w:r>
      <w:r w:rsidR="009E3844">
        <w:rPr>
          <w:rFonts w:ascii="Arial" w:hAnsi="Arial" w:cs="Arial"/>
          <w:kern w:val="3"/>
          <w:sz w:val="20"/>
          <w:szCs w:val="20"/>
        </w:rPr>
        <w:t>ter</w:t>
      </w:r>
      <w:r w:rsidR="009E3844" w:rsidRPr="00D83239">
        <w:rPr>
          <w:rFonts w:ascii="Arial" w:hAnsi="Arial" w:cs="Arial"/>
          <w:kern w:val="3"/>
          <w:sz w:val="20"/>
          <w:szCs w:val="20"/>
        </w:rPr>
        <w:t xml:space="preserve"> </w:t>
      </w:r>
      <w:r w:rsidRPr="00D83239">
        <w:rPr>
          <w:rFonts w:ascii="Arial" w:hAnsi="Arial" w:cs="Arial"/>
          <w:kern w:val="3"/>
          <w:sz w:val="20"/>
          <w:szCs w:val="20"/>
        </w:rPr>
        <w:t xml:space="preserve">sistematično uvaja solidarnostne ukrepe, vzpostavlja okvir odzivanja v kriznih situacijah, v primeru višje sile in instrumentalizacije ter okvir Evropske unije za preselitev. </w:t>
      </w:r>
      <w:r w:rsidRPr="00D83239">
        <w:rPr>
          <w:rFonts w:ascii="Arial" w:hAnsi="Arial" w:cs="Arial"/>
          <w:sz w:val="20"/>
          <w:szCs w:val="20"/>
        </w:rPr>
        <w:t>Celotni sveženj se je uveljavil 12. 6. 2024, uporabljati pa se začne 12.</w:t>
      </w:r>
      <w:r w:rsidR="009E3844">
        <w:rPr>
          <w:rFonts w:ascii="Arial" w:hAnsi="Arial" w:cs="Arial"/>
          <w:sz w:val="20"/>
          <w:szCs w:val="20"/>
        </w:rPr>
        <w:t> </w:t>
      </w:r>
      <w:r w:rsidRPr="00D83239">
        <w:rPr>
          <w:rFonts w:ascii="Arial" w:hAnsi="Arial" w:cs="Arial"/>
          <w:sz w:val="20"/>
          <w:szCs w:val="20"/>
        </w:rPr>
        <w:t>6.</w:t>
      </w:r>
      <w:r w:rsidR="009E3844">
        <w:rPr>
          <w:rFonts w:ascii="Arial" w:hAnsi="Arial" w:cs="Arial"/>
          <w:sz w:val="20"/>
          <w:szCs w:val="20"/>
        </w:rPr>
        <w:t> </w:t>
      </w:r>
      <w:r w:rsidRPr="00D83239">
        <w:rPr>
          <w:rFonts w:ascii="Arial" w:hAnsi="Arial" w:cs="Arial"/>
          <w:sz w:val="20"/>
          <w:szCs w:val="20"/>
        </w:rPr>
        <w:t xml:space="preserve">2026.  </w:t>
      </w:r>
    </w:p>
    <w:p w14:paraId="5A828FCC" w14:textId="71DFE27F" w:rsidR="005D4F96" w:rsidRPr="00D83239" w:rsidRDefault="005D4F96" w:rsidP="00D83239">
      <w:pPr>
        <w:pStyle w:val="Navadensplet"/>
        <w:spacing w:before="120" w:after="120" w:line="276" w:lineRule="auto"/>
        <w:jc w:val="both"/>
        <w:textAlignment w:val="baseline"/>
        <w:rPr>
          <w:rFonts w:ascii="Arial" w:hAnsi="Arial" w:cs="Arial"/>
          <w:kern w:val="3"/>
          <w:sz w:val="20"/>
          <w:szCs w:val="20"/>
        </w:rPr>
      </w:pPr>
      <w:r w:rsidRPr="00D83239">
        <w:rPr>
          <w:rFonts w:ascii="Arial" w:hAnsi="Arial" w:cs="Arial"/>
          <w:kern w:val="3"/>
          <w:sz w:val="20"/>
          <w:szCs w:val="20"/>
        </w:rPr>
        <w:t xml:space="preserve">V okviru izpolnjevanja zakonodajnih obveznosti, ki izhajajo iz </w:t>
      </w:r>
      <w:r w:rsidR="009E3844">
        <w:rPr>
          <w:rFonts w:ascii="Arial" w:hAnsi="Arial" w:cs="Arial"/>
          <w:kern w:val="3"/>
          <w:sz w:val="20"/>
          <w:szCs w:val="20"/>
        </w:rPr>
        <w:t>p</w:t>
      </w:r>
      <w:r w:rsidRPr="00D83239">
        <w:rPr>
          <w:rFonts w:ascii="Arial" w:hAnsi="Arial" w:cs="Arial"/>
          <w:kern w:val="3"/>
          <w:sz w:val="20"/>
          <w:szCs w:val="20"/>
        </w:rPr>
        <w:t>akta, je Vlada Republike Slovenije 10.</w:t>
      </w:r>
      <w:r w:rsidR="009E3844">
        <w:rPr>
          <w:rFonts w:ascii="Arial" w:hAnsi="Arial" w:cs="Arial"/>
          <w:kern w:val="3"/>
          <w:sz w:val="20"/>
          <w:szCs w:val="20"/>
        </w:rPr>
        <w:t> </w:t>
      </w:r>
      <w:r w:rsidRPr="00D83239">
        <w:rPr>
          <w:rFonts w:ascii="Arial" w:hAnsi="Arial" w:cs="Arial"/>
          <w:kern w:val="3"/>
          <w:sz w:val="20"/>
          <w:szCs w:val="20"/>
        </w:rPr>
        <w:t>4.</w:t>
      </w:r>
      <w:r w:rsidR="009E3844">
        <w:rPr>
          <w:rFonts w:ascii="Arial" w:hAnsi="Arial" w:cs="Arial"/>
          <w:kern w:val="3"/>
          <w:sz w:val="20"/>
          <w:szCs w:val="20"/>
        </w:rPr>
        <w:t> </w:t>
      </w:r>
      <w:r w:rsidRPr="00D83239">
        <w:rPr>
          <w:rFonts w:ascii="Arial" w:hAnsi="Arial" w:cs="Arial"/>
          <w:kern w:val="3"/>
          <w:sz w:val="20"/>
          <w:szCs w:val="20"/>
        </w:rPr>
        <w:t xml:space="preserve">2025 sprejela Kontingentni načrt za zagotovitev nastanitve in oskrbe povečanega števila prosilcev za mednarodno zaščito in za izvajanje postopkov mednarodne zaščite, 19. 6. 2025 pa nacionalno </w:t>
      </w:r>
      <w:r w:rsidR="009E3844">
        <w:rPr>
          <w:rFonts w:ascii="Arial" w:hAnsi="Arial" w:cs="Arial"/>
          <w:kern w:val="3"/>
          <w:sz w:val="20"/>
          <w:szCs w:val="20"/>
        </w:rPr>
        <w:t>s</w:t>
      </w:r>
      <w:r w:rsidRPr="00D83239">
        <w:rPr>
          <w:rFonts w:ascii="Arial" w:hAnsi="Arial" w:cs="Arial"/>
          <w:kern w:val="3"/>
          <w:sz w:val="20"/>
          <w:szCs w:val="20"/>
        </w:rPr>
        <w:t>trategijo o upravljanju migracij in azila.</w:t>
      </w:r>
    </w:p>
    <w:p w14:paraId="12C5CCBE" w14:textId="49516696" w:rsidR="005D4F96" w:rsidRDefault="005D4F96" w:rsidP="00C8061C">
      <w:pPr>
        <w:pStyle w:val="Navadensplet"/>
        <w:spacing w:before="0" w:beforeAutospacing="0" w:after="0" w:afterAutospacing="0" w:line="276" w:lineRule="auto"/>
        <w:jc w:val="both"/>
        <w:textAlignment w:val="baseline"/>
        <w:rPr>
          <w:rFonts w:ascii="Arial" w:hAnsi="Arial" w:cs="Arial"/>
          <w:kern w:val="3"/>
          <w:sz w:val="20"/>
          <w:szCs w:val="20"/>
        </w:rPr>
      </w:pPr>
      <w:r w:rsidRPr="00D83239">
        <w:rPr>
          <w:rFonts w:ascii="Arial" w:hAnsi="Arial" w:cs="Arial"/>
          <w:kern w:val="3"/>
          <w:sz w:val="20"/>
          <w:szCs w:val="20"/>
        </w:rPr>
        <w:t xml:space="preserve">V letu 2025 so intenzivno potekale zakonodajne in izvedbene aktivnosti za </w:t>
      </w:r>
      <w:r w:rsidR="009E3844">
        <w:rPr>
          <w:rFonts w:ascii="Arial" w:hAnsi="Arial" w:cs="Arial"/>
          <w:kern w:val="3"/>
          <w:sz w:val="20"/>
          <w:szCs w:val="20"/>
        </w:rPr>
        <w:t>izvajanje</w:t>
      </w:r>
      <w:r w:rsidR="009E3844" w:rsidRPr="00D83239">
        <w:rPr>
          <w:rFonts w:ascii="Arial" w:hAnsi="Arial" w:cs="Arial"/>
          <w:kern w:val="3"/>
          <w:sz w:val="20"/>
          <w:szCs w:val="20"/>
        </w:rPr>
        <w:t xml:space="preserve"> </w:t>
      </w:r>
      <w:r w:rsidR="009E3844">
        <w:rPr>
          <w:rFonts w:ascii="Arial" w:hAnsi="Arial" w:cs="Arial"/>
          <w:kern w:val="3"/>
          <w:sz w:val="20"/>
          <w:szCs w:val="20"/>
        </w:rPr>
        <w:t>p</w:t>
      </w:r>
      <w:r w:rsidRPr="00D83239">
        <w:rPr>
          <w:rFonts w:ascii="Arial" w:hAnsi="Arial" w:cs="Arial"/>
          <w:kern w:val="3"/>
          <w:sz w:val="20"/>
          <w:szCs w:val="20"/>
        </w:rPr>
        <w:t xml:space="preserve">akta, usmerjene zlasti v prilagoditev nacionalnega zakonodajnega okvira, vzpostavitev potrebnih institucionalnih, postopkovnih in tehničnih zmogljivosti ter zagotavljanje usklajenega in pravočasnega začetka uporabe </w:t>
      </w:r>
      <w:r w:rsidR="00EC5EA9" w:rsidRPr="00D83239">
        <w:rPr>
          <w:rFonts w:ascii="Arial" w:hAnsi="Arial" w:cs="Arial"/>
          <w:kern w:val="3"/>
          <w:sz w:val="20"/>
          <w:szCs w:val="20"/>
        </w:rPr>
        <w:t>novega zakonodajnega okvira EU.</w:t>
      </w:r>
    </w:p>
    <w:p w14:paraId="52D96BD9" w14:textId="77777777" w:rsidR="00C8061C" w:rsidRPr="00D83239" w:rsidRDefault="00C8061C" w:rsidP="00C8061C">
      <w:pPr>
        <w:pStyle w:val="Navadensplet"/>
        <w:spacing w:before="0" w:beforeAutospacing="0" w:after="0" w:afterAutospacing="0" w:line="276" w:lineRule="auto"/>
        <w:jc w:val="both"/>
        <w:textAlignment w:val="baseline"/>
        <w:rPr>
          <w:rFonts w:ascii="Arial" w:hAnsi="Arial" w:cs="Arial"/>
          <w:kern w:val="3"/>
          <w:sz w:val="20"/>
          <w:szCs w:val="20"/>
        </w:rPr>
      </w:pPr>
    </w:p>
    <w:p w14:paraId="494C56BC" w14:textId="77777777" w:rsidR="005D4F96" w:rsidRPr="00803485" w:rsidRDefault="005D4F96" w:rsidP="00FE543C">
      <w:pPr>
        <w:pStyle w:val="Naslov1"/>
        <w:numPr>
          <w:ilvl w:val="1"/>
          <w:numId w:val="3"/>
        </w:numPr>
        <w:spacing w:after="0" w:line="276" w:lineRule="auto"/>
        <w:jc w:val="both"/>
        <w:rPr>
          <w:color w:val="auto"/>
        </w:rPr>
      </w:pPr>
      <w:bookmarkStart w:id="107" w:name="_Toc225499838"/>
      <w:r w:rsidRPr="00803485">
        <w:rPr>
          <w:color w:val="auto"/>
        </w:rPr>
        <w:t>Začasna zaščita</w:t>
      </w:r>
      <w:bookmarkEnd w:id="107"/>
    </w:p>
    <w:p w14:paraId="10A84F9A" w14:textId="77777777" w:rsidR="005D4F96" w:rsidRPr="00D83239" w:rsidRDefault="005D4F96" w:rsidP="00D83239">
      <w:pPr>
        <w:spacing w:after="0" w:line="276" w:lineRule="auto"/>
        <w:jc w:val="both"/>
        <w:rPr>
          <w:rFonts w:ascii="Arial" w:hAnsi="Arial" w:cs="Arial"/>
          <w:sz w:val="20"/>
          <w:szCs w:val="20"/>
        </w:rPr>
      </w:pPr>
    </w:p>
    <w:p w14:paraId="2402909A" w14:textId="4D9A7AF0" w:rsidR="005D4F96" w:rsidRPr="00D83239" w:rsidRDefault="005D4F96" w:rsidP="00D83239">
      <w:pPr>
        <w:spacing w:line="276" w:lineRule="auto"/>
        <w:jc w:val="both"/>
        <w:rPr>
          <w:rFonts w:ascii="Arial" w:hAnsi="Arial" w:cs="Arial"/>
          <w:color w:val="000000"/>
          <w:sz w:val="20"/>
          <w:szCs w:val="20"/>
          <w:shd w:val="clear" w:color="auto" w:fill="FFFFFF"/>
        </w:rPr>
      </w:pPr>
      <w:r w:rsidRPr="00D83239">
        <w:rPr>
          <w:rFonts w:ascii="Arial" w:hAnsi="Arial" w:cs="Arial"/>
          <w:bCs/>
          <w:sz w:val="20"/>
          <w:szCs w:val="20"/>
        </w:rPr>
        <w:t xml:space="preserve">V letu 2022 se je prvič po uvedbi leta 2001 aktivirala </w:t>
      </w:r>
      <w:r w:rsidRPr="00D83239">
        <w:rPr>
          <w:rFonts w:ascii="Arial" w:hAnsi="Arial" w:cs="Arial"/>
          <w:b/>
          <w:bCs/>
          <w:sz w:val="20"/>
          <w:szCs w:val="20"/>
        </w:rPr>
        <w:t>začasna zaščita</w:t>
      </w:r>
      <w:r w:rsidRPr="00D83239">
        <w:rPr>
          <w:rFonts w:ascii="Arial" w:hAnsi="Arial" w:cs="Arial"/>
          <w:bCs/>
          <w:sz w:val="20"/>
          <w:szCs w:val="20"/>
        </w:rPr>
        <w:t>. Ta je bila aktivirana z Izvedbenim sklepom Sveta (EU) 2022/382 z dne 4. 3. 2022 o obstoju množičnega prihoda razseljenih oseb iz Ukrajine v smislu 5. člena Direktive 2001/55/ES in z učinkom uvedbe začasne zaščite in aktivacijo Direktive 2001/55/ES, in sicer za eno leto</w:t>
      </w:r>
      <w:r w:rsidR="00014BAB">
        <w:rPr>
          <w:rFonts w:ascii="Arial" w:hAnsi="Arial" w:cs="Arial"/>
          <w:bCs/>
          <w:sz w:val="20"/>
          <w:szCs w:val="20"/>
        </w:rPr>
        <w:t>,</w:t>
      </w:r>
      <w:r w:rsidRPr="00D83239">
        <w:rPr>
          <w:rFonts w:ascii="Arial" w:hAnsi="Arial" w:cs="Arial"/>
          <w:bCs/>
          <w:sz w:val="20"/>
          <w:szCs w:val="20"/>
        </w:rPr>
        <w:t xml:space="preserve"> do 4. 3. 2023. Začasna zaščita je bila potem večkrat podaljšana, nazadnje l</w:t>
      </w:r>
      <w:r w:rsidRPr="00D83239">
        <w:rPr>
          <w:rFonts w:ascii="Arial" w:hAnsi="Arial" w:cs="Arial"/>
          <w:color w:val="000000"/>
          <w:sz w:val="20"/>
          <w:szCs w:val="20"/>
          <w:shd w:val="clear" w:color="auto" w:fill="FFFFFF"/>
        </w:rPr>
        <w:t xml:space="preserve">eta 2025, ko je bil sprejet Izvedbeni sklep Sveta (EU) 2025/1460 z dne 15. julija 2025 o podaljšanju začasne zaščite, v skladu s katerim se je začasna zaščita za osebe, razseljene iz Ukrajine, podaljšala do 4. 3. 2027. Ker se v skladu s prvim odstavkom 9. člena novega Zakona o začasni zaščiti razseljenih oseb (Uradni list RS, št. </w:t>
      </w:r>
      <w:r w:rsidRPr="00D83239">
        <w:rPr>
          <w:rFonts w:ascii="Arial" w:hAnsi="Arial" w:cs="Arial"/>
          <w:sz w:val="20"/>
          <w:szCs w:val="20"/>
          <w:shd w:val="clear" w:color="auto" w:fill="FFFFFF"/>
        </w:rPr>
        <w:t>22/25</w:t>
      </w:r>
      <w:r w:rsidRPr="00D83239">
        <w:rPr>
          <w:rFonts w:ascii="Arial" w:hAnsi="Arial" w:cs="Arial"/>
          <w:color w:val="000000"/>
          <w:sz w:val="20"/>
          <w:szCs w:val="20"/>
          <w:shd w:val="clear" w:color="auto" w:fill="FFFFFF"/>
        </w:rPr>
        <w:t>) začasna zaščita uvede z dnem uveljavitve sklepa Sveta Evropske unije iz 5. člena Direktive 2001/55/ES, to pomeni, da spreje</w:t>
      </w:r>
      <w:r w:rsidR="00780C91">
        <w:rPr>
          <w:rFonts w:ascii="Arial" w:hAnsi="Arial" w:cs="Arial"/>
          <w:color w:val="000000"/>
          <w:sz w:val="20"/>
          <w:szCs w:val="20"/>
          <w:shd w:val="clear" w:color="auto" w:fill="FFFFFF"/>
        </w:rPr>
        <w:t>tje</w:t>
      </w:r>
      <w:r w:rsidRPr="00D83239">
        <w:rPr>
          <w:rFonts w:ascii="Arial" w:hAnsi="Arial" w:cs="Arial"/>
          <w:color w:val="000000"/>
          <w:sz w:val="20"/>
          <w:szCs w:val="20"/>
          <w:shd w:val="clear" w:color="auto" w:fill="FFFFFF"/>
        </w:rPr>
        <w:t xml:space="preserve"> posebnega sklepa </w:t>
      </w:r>
      <w:r w:rsidR="00780C91">
        <w:rPr>
          <w:rFonts w:ascii="Arial" w:hAnsi="Arial" w:cs="Arial"/>
          <w:color w:val="000000"/>
          <w:sz w:val="20"/>
          <w:szCs w:val="20"/>
          <w:shd w:val="clear" w:color="auto" w:fill="FFFFFF"/>
        </w:rPr>
        <w:t>v</w:t>
      </w:r>
      <w:r w:rsidRPr="00D83239">
        <w:rPr>
          <w:rFonts w:ascii="Arial" w:hAnsi="Arial" w:cs="Arial"/>
          <w:color w:val="000000"/>
          <w:sz w:val="20"/>
          <w:szCs w:val="20"/>
          <w:shd w:val="clear" w:color="auto" w:fill="FFFFFF"/>
        </w:rPr>
        <w:t>lade na nacionalni ravni za uvedbo ali pod</w:t>
      </w:r>
      <w:r w:rsidR="00B72713">
        <w:rPr>
          <w:rFonts w:ascii="Arial" w:hAnsi="Arial" w:cs="Arial"/>
          <w:color w:val="000000"/>
          <w:sz w:val="20"/>
          <w:szCs w:val="20"/>
          <w:shd w:val="clear" w:color="auto" w:fill="FFFFFF"/>
        </w:rPr>
        <w:t>a</w:t>
      </w:r>
      <w:r w:rsidRPr="00D83239">
        <w:rPr>
          <w:rFonts w:ascii="Arial" w:hAnsi="Arial" w:cs="Arial"/>
          <w:color w:val="000000"/>
          <w:sz w:val="20"/>
          <w:szCs w:val="20"/>
          <w:shd w:val="clear" w:color="auto" w:fill="FFFFFF"/>
        </w:rPr>
        <w:t>ljšanje začasne zaščite ni več potrebn</w:t>
      </w:r>
      <w:r w:rsidR="00780C91">
        <w:rPr>
          <w:rFonts w:ascii="Arial" w:hAnsi="Arial" w:cs="Arial"/>
          <w:color w:val="000000"/>
          <w:sz w:val="20"/>
          <w:szCs w:val="20"/>
          <w:shd w:val="clear" w:color="auto" w:fill="FFFFFF"/>
        </w:rPr>
        <w:t>o</w:t>
      </w:r>
      <w:r w:rsidRPr="00D83239">
        <w:rPr>
          <w:rFonts w:ascii="Arial" w:hAnsi="Arial" w:cs="Arial"/>
          <w:color w:val="000000"/>
          <w:sz w:val="20"/>
          <w:szCs w:val="20"/>
          <w:shd w:val="clear" w:color="auto" w:fill="FFFFFF"/>
        </w:rPr>
        <w:t>.</w:t>
      </w:r>
    </w:p>
    <w:p w14:paraId="6426D74E" w14:textId="57FEA537" w:rsidR="005D4F96" w:rsidRPr="00D83239" w:rsidRDefault="005D4F96" w:rsidP="00D83239">
      <w:pPr>
        <w:spacing w:line="276" w:lineRule="auto"/>
        <w:jc w:val="both"/>
        <w:rPr>
          <w:rFonts w:ascii="Arial" w:hAnsi="Arial" w:cs="Arial"/>
          <w:bCs/>
          <w:sz w:val="20"/>
          <w:szCs w:val="20"/>
        </w:rPr>
      </w:pPr>
      <w:r w:rsidRPr="00D83239">
        <w:rPr>
          <w:rFonts w:ascii="Arial" w:hAnsi="Arial" w:cs="Arial"/>
          <w:bCs/>
          <w:sz w:val="20"/>
          <w:szCs w:val="20"/>
        </w:rPr>
        <w:t xml:space="preserve">Na podlagi </w:t>
      </w:r>
      <w:r w:rsidR="00477D7F" w:rsidRPr="00D83239">
        <w:rPr>
          <w:rFonts w:ascii="Arial" w:hAnsi="Arial" w:cs="Arial"/>
          <w:b/>
          <w:sz w:val="20"/>
          <w:szCs w:val="20"/>
        </w:rPr>
        <w:t>Zakon</w:t>
      </w:r>
      <w:r w:rsidR="00477D7F">
        <w:rPr>
          <w:rFonts w:ascii="Arial" w:hAnsi="Arial" w:cs="Arial"/>
          <w:b/>
          <w:sz w:val="20"/>
          <w:szCs w:val="20"/>
        </w:rPr>
        <w:t>a</w:t>
      </w:r>
      <w:r w:rsidR="00477D7F" w:rsidRPr="00D83239">
        <w:rPr>
          <w:rFonts w:ascii="Arial" w:hAnsi="Arial" w:cs="Arial"/>
          <w:b/>
          <w:sz w:val="20"/>
          <w:szCs w:val="20"/>
        </w:rPr>
        <w:t xml:space="preserve"> o začasni zaščiti razseljenih oseb</w:t>
      </w:r>
      <w:r w:rsidRPr="00D83239">
        <w:rPr>
          <w:rFonts w:ascii="Arial" w:hAnsi="Arial" w:cs="Arial"/>
          <w:bCs/>
          <w:sz w:val="20"/>
          <w:szCs w:val="20"/>
        </w:rPr>
        <w:t xml:space="preserve"> je bilo v obdobju od uvedbe začasne zaščite</w:t>
      </w:r>
      <w:r w:rsidR="00780C91">
        <w:rPr>
          <w:rFonts w:ascii="Arial" w:hAnsi="Arial" w:cs="Arial"/>
          <w:bCs/>
          <w:sz w:val="20"/>
          <w:szCs w:val="20"/>
        </w:rPr>
        <w:t xml:space="preserve">, tj. od </w:t>
      </w:r>
      <w:r w:rsidRPr="00D83239">
        <w:rPr>
          <w:rFonts w:ascii="Arial" w:hAnsi="Arial" w:cs="Arial"/>
          <w:bCs/>
          <w:sz w:val="20"/>
          <w:szCs w:val="20"/>
        </w:rPr>
        <w:t>10. 3. 2022 do 31. 12. 2025</w:t>
      </w:r>
      <w:r w:rsidR="00780C91">
        <w:rPr>
          <w:rFonts w:ascii="Arial" w:hAnsi="Arial" w:cs="Arial"/>
          <w:bCs/>
          <w:sz w:val="20"/>
          <w:szCs w:val="20"/>
        </w:rPr>
        <w:t>,</w:t>
      </w:r>
      <w:r w:rsidRPr="00D83239">
        <w:rPr>
          <w:rFonts w:ascii="Arial" w:hAnsi="Arial" w:cs="Arial"/>
          <w:bCs/>
          <w:sz w:val="20"/>
          <w:szCs w:val="20"/>
        </w:rPr>
        <w:t xml:space="preserve"> vloženih 13.885 vlog za priznanje začasne zaščite. Upravne enote so v istem obdobju rešile 13.562 vlog in 12.800 osebam priznale začasno zaščito.</w:t>
      </w:r>
    </w:p>
    <w:p w14:paraId="411EBBBB" w14:textId="1F1021AC" w:rsidR="005D4F96" w:rsidRPr="00D83239" w:rsidRDefault="005D4F96" w:rsidP="00D83239">
      <w:pPr>
        <w:spacing w:after="0" w:line="276" w:lineRule="auto"/>
        <w:jc w:val="both"/>
        <w:rPr>
          <w:rFonts w:ascii="Arial" w:hAnsi="Arial" w:cs="Arial"/>
          <w:b/>
          <w:sz w:val="20"/>
          <w:szCs w:val="20"/>
        </w:rPr>
      </w:pPr>
      <w:r w:rsidRPr="00D83239">
        <w:rPr>
          <w:rFonts w:ascii="Arial" w:hAnsi="Arial" w:cs="Arial"/>
          <w:b/>
          <w:sz w:val="20"/>
          <w:szCs w:val="20"/>
        </w:rPr>
        <w:t xml:space="preserve">Zakon o začasni zaščiti razseljenih oseb </w:t>
      </w:r>
      <w:r w:rsidR="00780C91">
        <w:rPr>
          <w:rFonts w:ascii="Arial" w:hAnsi="Arial" w:cs="Arial"/>
          <w:b/>
          <w:sz w:val="20"/>
          <w:szCs w:val="20"/>
        </w:rPr>
        <w:t>–</w:t>
      </w:r>
      <w:r w:rsidR="00780C91" w:rsidRPr="00D83239">
        <w:rPr>
          <w:rFonts w:ascii="Arial" w:hAnsi="Arial" w:cs="Arial"/>
          <w:b/>
          <w:sz w:val="20"/>
          <w:szCs w:val="20"/>
        </w:rPr>
        <w:t xml:space="preserve"> </w:t>
      </w:r>
      <w:r w:rsidRPr="00D83239">
        <w:rPr>
          <w:rFonts w:ascii="Arial" w:hAnsi="Arial" w:cs="Arial"/>
          <w:b/>
          <w:sz w:val="20"/>
          <w:szCs w:val="20"/>
        </w:rPr>
        <w:t>ZZZRO-1</w:t>
      </w:r>
    </w:p>
    <w:p w14:paraId="003096B7" w14:textId="70BAEF6F" w:rsidR="00BF4616" w:rsidRDefault="005D4F96" w:rsidP="00D83239">
      <w:pPr>
        <w:spacing w:after="0" w:line="276" w:lineRule="auto"/>
        <w:jc w:val="both"/>
        <w:rPr>
          <w:rFonts w:ascii="Arial" w:hAnsi="Arial" w:cs="Arial"/>
          <w:bCs/>
          <w:sz w:val="20"/>
          <w:szCs w:val="20"/>
        </w:rPr>
      </w:pPr>
      <w:r w:rsidRPr="00D83239">
        <w:rPr>
          <w:rFonts w:ascii="Arial" w:hAnsi="Arial" w:cs="Arial"/>
          <w:bCs/>
          <w:sz w:val="20"/>
          <w:szCs w:val="20"/>
        </w:rPr>
        <w:t xml:space="preserve">25. </w:t>
      </w:r>
      <w:r w:rsidR="002E75FB">
        <w:rPr>
          <w:rFonts w:ascii="Arial" w:hAnsi="Arial" w:cs="Arial"/>
          <w:bCs/>
          <w:sz w:val="20"/>
          <w:szCs w:val="20"/>
        </w:rPr>
        <w:t>3.</w:t>
      </w:r>
      <w:r w:rsidRPr="00D83239">
        <w:rPr>
          <w:rFonts w:ascii="Arial" w:hAnsi="Arial" w:cs="Arial"/>
          <w:bCs/>
          <w:sz w:val="20"/>
          <w:szCs w:val="20"/>
        </w:rPr>
        <w:t xml:space="preserve"> 2025 je bil sprejet novi Zakon o začasni zaščiti razseljenih oseb (Uradni list RS, št. 22/25), ki je celovito prenovil ureditev začasne zaščite v Republiki Sloveniji. Zakon poenostavlja </w:t>
      </w:r>
      <w:r w:rsidR="00256586">
        <w:rPr>
          <w:rFonts w:ascii="Arial" w:hAnsi="Arial" w:cs="Arial"/>
          <w:bCs/>
          <w:sz w:val="20"/>
          <w:szCs w:val="20"/>
        </w:rPr>
        <w:t>upr</w:t>
      </w:r>
      <w:r w:rsidRPr="00D83239">
        <w:rPr>
          <w:rFonts w:ascii="Arial" w:hAnsi="Arial" w:cs="Arial"/>
          <w:bCs/>
          <w:sz w:val="20"/>
          <w:szCs w:val="20"/>
        </w:rPr>
        <w:t xml:space="preserve">avne postopke, natančneje razmejuje začasno in mednarodno zaščito, omogoča prehod oseb z začasno zaščito na druge oblike nacionalnih dovoljenj za prebivanje med </w:t>
      </w:r>
      <w:r w:rsidR="00256586">
        <w:rPr>
          <w:rFonts w:ascii="Arial" w:hAnsi="Arial" w:cs="Arial"/>
          <w:bCs/>
          <w:sz w:val="20"/>
          <w:szCs w:val="20"/>
        </w:rPr>
        <w:t xml:space="preserve">zaščito </w:t>
      </w:r>
      <w:r w:rsidRPr="00D83239">
        <w:rPr>
          <w:rFonts w:ascii="Arial" w:hAnsi="Arial" w:cs="Arial"/>
          <w:bCs/>
          <w:sz w:val="20"/>
          <w:szCs w:val="20"/>
        </w:rPr>
        <w:t xml:space="preserve">in po </w:t>
      </w:r>
      <w:r w:rsidR="00256586">
        <w:rPr>
          <w:rFonts w:ascii="Arial" w:hAnsi="Arial" w:cs="Arial"/>
          <w:bCs/>
          <w:sz w:val="20"/>
          <w:szCs w:val="20"/>
        </w:rPr>
        <w:t xml:space="preserve">njenem </w:t>
      </w:r>
      <w:r w:rsidRPr="00D83239">
        <w:rPr>
          <w:rFonts w:ascii="Arial" w:hAnsi="Arial" w:cs="Arial"/>
          <w:bCs/>
          <w:sz w:val="20"/>
          <w:szCs w:val="20"/>
        </w:rPr>
        <w:t>prenehanju ter vzpostavlja pravno podlago za vzpostavitev in delovanje registracijske platforme, ki omogoča pregled priznanih statusov začasne zaščite v celotni Evropski uniji. Hkrati zakon podrobneje ureja pogoje glede nastanitve, denarne pomoči ter dostopa do izobraževanja, zdravstvenega varstva in trga dela, pri čemer vsebuje tudi pos</w:t>
      </w:r>
      <w:r w:rsidR="00716F34" w:rsidRPr="00D83239">
        <w:rPr>
          <w:rFonts w:ascii="Arial" w:hAnsi="Arial" w:cs="Arial"/>
          <w:bCs/>
          <w:sz w:val="20"/>
          <w:szCs w:val="20"/>
        </w:rPr>
        <w:t>ebne določbe za ranljive osebe.</w:t>
      </w:r>
    </w:p>
    <w:p w14:paraId="5DD844ED" w14:textId="77777777" w:rsidR="00BF4616" w:rsidRPr="00D83239" w:rsidRDefault="00BF4616" w:rsidP="00D83239">
      <w:pPr>
        <w:spacing w:after="0" w:line="276" w:lineRule="auto"/>
        <w:jc w:val="both"/>
        <w:rPr>
          <w:rFonts w:ascii="Arial" w:hAnsi="Arial" w:cs="Arial"/>
          <w:bCs/>
          <w:sz w:val="20"/>
          <w:szCs w:val="20"/>
        </w:rPr>
      </w:pPr>
    </w:p>
    <w:p w14:paraId="2DA2EA83" w14:textId="77777777" w:rsidR="005D4F96" w:rsidRPr="00D83239" w:rsidRDefault="005D4F96" w:rsidP="00FE543C">
      <w:pPr>
        <w:pStyle w:val="Naslov1"/>
        <w:numPr>
          <w:ilvl w:val="1"/>
          <w:numId w:val="3"/>
        </w:numPr>
        <w:spacing w:after="0" w:line="276" w:lineRule="auto"/>
        <w:jc w:val="both"/>
        <w:rPr>
          <w:color w:val="auto"/>
        </w:rPr>
      </w:pPr>
      <w:bookmarkStart w:id="108" w:name="_Toc225499839"/>
      <w:r w:rsidRPr="00D83239">
        <w:rPr>
          <w:color w:val="auto"/>
        </w:rPr>
        <w:t>Zakonite migracije</w:t>
      </w:r>
      <w:bookmarkEnd w:id="108"/>
    </w:p>
    <w:p w14:paraId="5E0B7D81" w14:textId="77777777" w:rsidR="005D4F96" w:rsidRPr="00D83239" w:rsidRDefault="005D4F96" w:rsidP="00D83239">
      <w:pPr>
        <w:spacing w:after="0" w:line="276" w:lineRule="auto"/>
        <w:jc w:val="both"/>
        <w:rPr>
          <w:rFonts w:ascii="Arial" w:hAnsi="Arial" w:cs="Arial"/>
          <w:sz w:val="20"/>
          <w:szCs w:val="20"/>
        </w:rPr>
      </w:pPr>
    </w:p>
    <w:p w14:paraId="79DA9680" w14:textId="7DB631E0"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 xml:space="preserve">V Republiki Sloveniji je imelo na dan 31. 12. 2025 veljavno dovoljenje za prebivanje oziroma potrdilo o prijavi prebivanja 266.555 oseb. Od tega je imelo 146.209 državljanov tretjih držav veljavno dovoljenje za stalno prebivanje in 89.252 veljavno dovoljenje za začasno prebivanje. Državljani Evropske unije (v </w:t>
      </w:r>
      <w:r w:rsidR="00256586">
        <w:rPr>
          <w:rFonts w:ascii="Arial" w:hAnsi="Arial" w:cs="Arial"/>
          <w:sz w:val="20"/>
          <w:szCs w:val="20"/>
        </w:rPr>
        <w:t>skupin</w:t>
      </w:r>
      <w:r w:rsidRPr="00D83239">
        <w:rPr>
          <w:rFonts w:ascii="Arial" w:hAnsi="Arial" w:cs="Arial"/>
          <w:sz w:val="20"/>
          <w:szCs w:val="20"/>
        </w:rPr>
        <w:t xml:space="preserve">o državljani EU so vključeni </w:t>
      </w:r>
      <w:r w:rsidR="0029275F">
        <w:rPr>
          <w:rFonts w:ascii="Arial" w:hAnsi="Arial" w:cs="Arial"/>
          <w:sz w:val="20"/>
          <w:szCs w:val="20"/>
        </w:rPr>
        <w:t xml:space="preserve">tudi </w:t>
      </w:r>
      <w:r w:rsidRPr="00D83239">
        <w:rPr>
          <w:rFonts w:ascii="Arial" w:hAnsi="Arial" w:cs="Arial"/>
          <w:sz w:val="20"/>
          <w:szCs w:val="20"/>
        </w:rPr>
        <w:t xml:space="preserve">državljani članic Evropskega gospodarskega prostora ter državljani Švicarske konfederacije) so imeli </w:t>
      </w:r>
      <w:r w:rsidR="00256586">
        <w:rPr>
          <w:rFonts w:ascii="Arial" w:hAnsi="Arial" w:cs="Arial"/>
          <w:sz w:val="20"/>
          <w:szCs w:val="20"/>
        </w:rPr>
        <w:t xml:space="preserve">na dan </w:t>
      </w:r>
      <w:r w:rsidRPr="00D83239">
        <w:rPr>
          <w:rFonts w:ascii="Arial" w:hAnsi="Arial" w:cs="Arial"/>
          <w:sz w:val="20"/>
          <w:szCs w:val="20"/>
        </w:rPr>
        <w:t>31. 12. 2025 veljavnih 15.310</w:t>
      </w:r>
      <w:r w:rsidR="002E75FB">
        <w:rPr>
          <w:rFonts w:ascii="Arial" w:hAnsi="Arial" w:cs="Arial"/>
          <w:sz w:val="20"/>
          <w:szCs w:val="20"/>
        </w:rPr>
        <w:t xml:space="preserve"> </w:t>
      </w:r>
      <w:r w:rsidRPr="00D83239">
        <w:rPr>
          <w:rFonts w:ascii="Arial" w:hAnsi="Arial" w:cs="Arial"/>
          <w:sz w:val="20"/>
          <w:szCs w:val="20"/>
        </w:rPr>
        <w:t>potrdil o prijavi stalnega prebivanja in 15.784 potrdil o prijavi prebivanja.</w:t>
      </w:r>
    </w:p>
    <w:p w14:paraId="5BE1CDAF" w14:textId="522EB053" w:rsidR="0086159F" w:rsidRPr="0086159F" w:rsidRDefault="005D4F96" w:rsidP="0086159F">
      <w:pPr>
        <w:spacing w:line="276" w:lineRule="auto"/>
        <w:jc w:val="both"/>
        <w:rPr>
          <w:rFonts w:ascii="Arial" w:hAnsi="Arial" w:cs="Arial"/>
          <w:sz w:val="20"/>
          <w:szCs w:val="20"/>
        </w:rPr>
      </w:pPr>
      <w:r w:rsidRPr="00D608A9">
        <w:rPr>
          <w:rFonts w:ascii="Arial" w:hAnsi="Arial" w:cs="Arial"/>
          <w:noProof/>
          <w:sz w:val="20"/>
          <w:szCs w:val="20"/>
          <w:lang w:eastAsia="sl-SI"/>
        </w:rPr>
        <w:drawing>
          <wp:inline distT="0" distB="0" distL="0" distR="0" wp14:anchorId="4E0C27DA" wp14:editId="558F6118">
            <wp:extent cx="5701665" cy="2590800"/>
            <wp:effectExtent l="0" t="0" r="13335" b="0"/>
            <wp:docPr id="21" name="Grafikon 21" descr="V Republiki Sloveniji je imelo na dan 31. 12. 2025 veljavno dovoljenje za prebivanje oziroma potrdilo o prijavi prebivanja 266.555 oseb. Od tega je imelo 146.209 državljanov tretjih držav veljavno dovoljenje za stalno prebivanje in 89.252 veljavno dovoljenje za začasno prebivanje. Državljani Evropske unije (v skupino državljani EU so vključeni tudi državljani članic Evropskega gospodarskega prostora ter državljani Švicarske konfederacije) so imeli na dan 31. 12. 2025 veljavnih 15.310 potrdil o prijavi stalnega prebivanja in 15.784 potrdil o prijavi prebivanja.">
              <a:extLst xmlns:a="http://schemas.openxmlformats.org/drawingml/2006/main">
                <a:ext uri="{FF2B5EF4-FFF2-40B4-BE49-F238E27FC236}">
                  <a16:creationId xmlns:a16="http://schemas.microsoft.com/office/drawing/2014/main" id="{9C724B16-EEF1-D7A2-6E88-41974E73F0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06C90E2" w14:textId="4BC5A90F" w:rsidR="0086159F" w:rsidRDefault="005D4F96" w:rsidP="0086159F">
      <w:pPr>
        <w:spacing w:after="0" w:line="276" w:lineRule="auto"/>
        <w:jc w:val="both"/>
        <w:rPr>
          <w:rFonts w:ascii="Arial" w:hAnsi="Arial" w:cs="Arial"/>
          <w:sz w:val="20"/>
          <w:szCs w:val="20"/>
        </w:rPr>
      </w:pPr>
      <w:r w:rsidRPr="00D83239">
        <w:rPr>
          <w:rFonts w:ascii="Arial" w:hAnsi="Arial" w:cs="Arial"/>
          <w:b/>
          <w:sz w:val="20"/>
          <w:szCs w:val="20"/>
        </w:rPr>
        <w:t>Graf</w:t>
      </w:r>
      <w:r w:rsidR="00256586">
        <w:rPr>
          <w:rFonts w:ascii="Arial" w:hAnsi="Arial" w:cs="Arial"/>
          <w:b/>
          <w:sz w:val="20"/>
          <w:szCs w:val="20"/>
        </w:rPr>
        <w:t>ikon</w:t>
      </w:r>
      <w:r w:rsidRPr="00E92FF2">
        <w:rPr>
          <w:rFonts w:ascii="Arial" w:hAnsi="Arial" w:cs="Arial"/>
          <w:sz w:val="20"/>
          <w:szCs w:val="20"/>
        </w:rPr>
        <w:t>:</w:t>
      </w:r>
      <w:r w:rsidRPr="00D83239">
        <w:rPr>
          <w:rFonts w:ascii="Arial" w:hAnsi="Arial" w:cs="Arial"/>
          <w:sz w:val="20"/>
          <w:szCs w:val="20"/>
        </w:rPr>
        <w:t xml:space="preserve"> Število posameznih vrst veljavnih dovoljenj za prebivanje na dan 31. de</w:t>
      </w:r>
      <w:r w:rsidR="0086159F">
        <w:rPr>
          <w:rFonts w:ascii="Arial" w:hAnsi="Arial" w:cs="Arial"/>
          <w:sz w:val="20"/>
          <w:szCs w:val="20"/>
        </w:rPr>
        <w:t>cembra 2025</w:t>
      </w:r>
    </w:p>
    <w:p w14:paraId="78F389D3" w14:textId="77777777" w:rsidR="0086159F" w:rsidRDefault="0086159F" w:rsidP="0086159F">
      <w:pPr>
        <w:spacing w:after="0" w:line="276" w:lineRule="auto"/>
        <w:jc w:val="both"/>
        <w:rPr>
          <w:rFonts w:ascii="Arial" w:hAnsi="Arial" w:cs="Arial"/>
          <w:sz w:val="20"/>
          <w:szCs w:val="20"/>
        </w:rPr>
      </w:pPr>
    </w:p>
    <w:p w14:paraId="31D2F288" w14:textId="7AE64EDE"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 xml:space="preserve">V letu 2025 je bilo izdanih </w:t>
      </w:r>
      <w:r w:rsidR="00256586" w:rsidRPr="00D83239">
        <w:rPr>
          <w:rFonts w:ascii="Arial" w:hAnsi="Arial" w:cs="Arial"/>
          <w:sz w:val="20"/>
          <w:szCs w:val="20"/>
        </w:rPr>
        <w:t xml:space="preserve">skupno </w:t>
      </w:r>
      <w:r w:rsidRPr="00D83239">
        <w:rPr>
          <w:rFonts w:ascii="Arial" w:hAnsi="Arial" w:cs="Arial"/>
          <w:sz w:val="20"/>
          <w:szCs w:val="20"/>
        </w:rPr>
        <w:t>79.596 (4</w:t>
      </w:r>
      <w:r w:rsidR="00256586">
        <w:rPr>
          <w:rFonts w:ascii="Arial" w:hAnsi="Arial" w:cs="Arial"/>
          <w:sz w:val="20"/>
          <w:szCs w:val="20"/>
        </w:rPr>
        <w:t>-odstotni</w:t>
      </w:r>
      <w:r w:rsidRPr="00D83239">
        <w:rPr>
          <w:rFonts w:ascii="Arial" w:hAnsi="Arial" w:cs="Arial"/>
          <w:sz w:val="20"/>
          <w:szCs w:val="20"/>
        </w:rPr>
        <w:t xml:space="preserve"> upad v primerjavi z letom</w:t>
      </w:r>
      <w:r w:rsidR="00D55F40">
        <w:rPr>
          <w:rFonts w:ascii="Arial" w:hAnsi="Arial" w:cs="Arial"/>
          <w:sz w:val="20"/>
          <w:szCs w:val="20"/>
        </w:rPr>
        <w:t xml:space="preserve"> prej</w:t>
      </w:r>
      <w:r w:rsidRPr="00D83239">
        <w:rPr>
          <w:rFonts w:ascii="Arial" w:hAnsi="Arial" w:cs="Arial"/>
          <w:sz w:val="20"/>
          <w:szCs w:val="20"/>
        </w:rPr>
        <w:t>) dovoljenj za začasno prebivanje državljanov tretjih držav in 6.582 (18</w:t>
      </w:r>
      <w:r w:rsidR="00256586">
        <w:rPr>
          <w:rFonts w:ascii="Arial" w:hAnsi="Arial" w:cs="Arial"/>
          <w:sz w:val="20"/>
          <w:szCs w:val="20"/>
        </w:rPr>
        <w:t>-odstotni porast</w:t>
      </w:r>
      <w:r w:rsidRPr="00D83239">
        <w:rPr>
          <w:rFonts w:ascii="Arial" w:hAnsi="Arial" w:cs="Arial"/>
          <w:sz w:val="20"/>
          <w:szCs w:val="20"/>
        </w:rPr>
        <w:t xml:space="preserve"> v primerjavi z letom</w:t>
      </w:r>
      <w:r w:rsidR="00D55F40">
        <w:rPr>
          <w:rFonts w:ascii="Arial" w:hAnsi="Arial" w:cs="Arial"/>
          <w:sz w:val="20"/>
          <w:szCs w:val="20"/>
        </w:rPr>
        <w:t xml:space="preserve"> prej</w:t>
      </w:r>
      <w:r w:rsidRPr="00D83239">
        <w:rPr>
          <w:rFonts w:ascii="Arial" w:hAnsi="Arial" w:cs="Arial"/>
          <w:sz w:val="20"/>
          <w:szCs w:val="20"/>
        </w:rPr>
        <w:t>) potrdil o prijavi prebivanja za državljane EU. P</w:t>
      </w:r>
      <w:r w:rsidR="00D55F40">
        <w:rPr>
          <w:rFonts w:ascii="Arial" w:hAnsi="Arial" w:cs="Arial"/>
          <w:sz w:val="20"/>
          <w:szCs w:val="20"/>
        </w:rPr>
        <w:t>oleg tega</w:t>
      </w:r>
      <w:r w:rsidRPr="00D83239">
        <w:rPr>
          <w:rFonts w:ascii="Arial" w:hAnsi="Arial" w:cs="Arial"/>
          <w:sz w:val="20"/>
          <w:szCs w:val="20"/>
        </w:rPr>
        <w:t xml:space="preserve"> je bilo izdanih 10.799 (44</w:t>
      </w:r>
      <w:r w:rsidR="00D55F40">
        <w:rPr>
          <w:rFonts w:ascii="Arial" w:hAnsi="Arial" w:cs="Arial"/>
          <w:sz w:val="20"/>
          <w:szCs w:val="20"/>
        </w:rPr>
        <w:t>-odstotni</w:t>
      </w:r>
      <w:r w:rsidRPr="00D83239">
        <w:rPr>
          <w:rFonts w:ascii="Arial" w:hAnsi="Arial" w:cs="Arial"/>
          <w:sz w:val="20"/>
          <w:szCs w:val="20"/>
        </w:rPr>
        <w:t xml:space="preserve"> upad v primerjavi z letom</w:t>
      </w:r>
      <w:r w:rsidR="00C5622B">
        <w:rPr>
          <w:rFonts w:ascii="Arial" w:hAnsi="Arial" w:cs="Arial"/>
          <w:sz w:val="20"/>
          <w:szCs w:val="20"/>
        </w:rPr>
        <w:t xml:space="preserve"> prej</w:t>
      </w:r>
      <w:r w:rsidRPr="00D83239">
        <w:rPr>
          <w:rFonts w:ascii="Arial" w:hAnsi="Arial" w:cs="Arial"/>
          <w:sz w:val="20"/>
          <w:szCs w:val="20"/>
        </w:rPr>
        <w:t>) dovoljenj za stalno prebivanje državljanom tretjih držav in 933 (21</w:t>
      </w:r>
      <w:r w:rsidR="009F337C">
        <w:rPr>
          <w:rFonts w:ascii="Arial" w:hAnsi="Arial" w:cs="Arial"/>
          <w:sz w:val="20"/>
          <w:szCs w:val="20"/>
        </w:rPr>
        <w:t>-odstotni porast</w:t>
      </w:r>
      <w:r w:rsidRPr="00D83239">
        <w:rPr>
          <w:rFonts w:ascii="Arial" w:hAnsi="Arial" w:cs="Arial"/>
          <w:sz w:val="20"/>
          <w:szCs w:val="20"/>
        </w:rPr>
        <w:t xml:space="preserve"> v primerjavi z letom</w:t>
      </w:r>
      <w:r w:rsidR="00C5622B">
        <w:rPr>
          <w:rFonts w:ascii="Arial" w:hAnsi="Arial" w:cs="Arial"/>
          <w:sz w:val="20"/>
          <w:szCs w:val="20"/>
        </w:rPr>
        <w:t xml:space="preserve"> prej</w:t>
      </w:r>
      <w:r w:rsidRPr="00D83239">
        <w:rPr>
          <w:rFonts w:ascii="Arial" w:hAnsi="Arial" w:cs="Arial"/>
          <w:sz w:val="20"/>
          <w:szCs w:val="20"/>
        </w:rPr>
        <w:t>) potrdil o prijavi stalnega prebivanja za državljane EU.</w:t>
      </w:r>
    </w:p>
    <w:p w14:paraId="04AF088D" w14:textId="77777777" w:rsidR="005D4F96" w:rsidRPr="00D83239" w:rsidRDefault="005D4F96" w:rsidP="00D83239">
      <w:pPr>
        <w:spacing w:line="276" w:lineRule="auto"/>
        <w:jc w:val="both"/>
        <w:rPr>
          <w:rFonts w:ascii="Arial" w:hAnsi="Arial" w:cs="Arial"/>
          <w:sz w:val="20"/>
          <w:szCs w:val="20"/>
        </w:rPr>
      </w:pPr>
      <w:r w:rsidRPr="00D608A9">
        <w:rPr>
          <w:rFonts w:ascii="Arial" w:hAnsi="Arial" w:cs="Arial"/>
          <w:noProof/>
          <w:sz w:val="20"/>
          <w:szCs w:val="20"/>
          <w:lang w:eastAsia="sl-SI"/>
        </w:rPr>
        <w:drawing>
          <wp:inline distT="0" distB="0" distL="0" distR="0" wp14:anchorId="1682B13F" wp14:editId="788CB45A">
            <wp:extent cx="5810250" cy="2466975"/>
            <wp:effectExtent l="0" t="0" r="0" b="9525"/>
            <wp:docPr id="22" name="Grafikon 22">
              <a:extLst xmlns:a="http://schemas.openxmlformats.org/drawingml/2006/main">
                <a:ext uri="{FF2B5EF4-FFF2-40B4-BE49-F238E27FC236}">
                  <a16:creationId xmlns:a16="http://schemas.microsoft.com/office/drawing/2014/main" id="{6236C5AA-3B65-5D36-5A75-7E9FA4859C9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9E7C517" w14:textId="042140E5" w:rsidR="005D4F96" w:rsidRPr="00D83239" w:rsidRDefault="005D4F96" w:rsidP="00D83239">
      <w:pPr>
        <w:spacing w:line="276" w:lineRule="auto"/>
        <w:jc w:val="both"/>
        <w:rPr>
          <w:rFonts w:ascii="Arial" w:hAnsi="Arial" w:cs="Arial"/>
          <w:sz w:val="20"/>
          <w:szCs w:val="20"/>
        </w:rPr>
      </w:pPr>
      <w:r w:rsidRPr="002E75FB">
        <w:rPr>
          <w:rFonts w:ascii="Arial" w:hAnsi="Arial" w:cs="Arial"/>
          <w:b/>
          <w:bCs/>
          <w:sz w:val="20"/>
          <w:szCs w:val="20"/>
        </w:rPr>
        <w:t>Graf</w:t>
      </w:r>
      <w:r w:rsidR="009F337C">
        <w:rPr>
          <w:rFonts w:ascii="Arial" w:hAnsi="Arial" w:cs="Arial"/>
          <w:b/>
          <w:bCs/>
          <w:sz w:val="20"/>
          <w:szCs w:val="20"/>
        </w:rPr>
        <w:t>ikon</w:t>
      </w:r>
      <w:r w:rsidRPr="00E92FF2">
        <w:rPr>
          <w:rFonts w:ascii="Arial" w:hAnsi="Arial" w:cs="Arial"/>
          <w:bCs/>
          <w:sz w:val="20"/>
          <w:szCs w:val="20"/>
        </w:rPr>
        <w:t>:</w:t>
      </w:r>
      <w:r w:rsidRPr="00D83239">
        <w:rPr>
          <w:rFonts w:ascii="Arial" w:hAnsi="Arial" w:cs="Arial"/>
          <w:sz w:val="20"/>
          <w:szCs w:val="20"/>
        </w:rPr>
        <w:t xml:space="preserve"> Prikaz števila izdanih dovoljenj za začasno prebivanje oziroma potrdil o prijavi prebivanja v obdobju od 1. 1. 2025 do 31. 12. 2025 glede na vrsto dovoljenja </w:t>
      </w:r>
    </w:p>
    <w:p w14:paraId="7A73302B" w14:textId="2EBF4239"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Od vseh izdanih dovoljenj za začasno prebivanje je bilo 24.916 (6</w:t>
      </w:r>
      <w:r w:rsidR="009F337C">
        <w:rPr>
          <w:rFonts w:ascii="Arial" w:hAnsi="Arial" w:cs="Arial"/>
          <w:sz w:val="20"/>
          <w:szCs w:val="20"/>
        </w:rPr>
        <w:t xml:space="preserve">-odstotni </w:t>
      </w:r>
      <w:r w:rsidRPr="00D83239">
        <w:rPr>
          <w:rFonts w:ascii="Arial" w:hAnsi="Arial" w:cs="Arial"/>
          <w:sz w:val="20"/>
          <w:szCs w:val="20"/>
        </w:rPr>
        <w:t>upad v primerjavi z letom</w:t>
      </w:r>
      <w:r w:rsidR="00C5622B">
        <w:rPr>
          <w:rFonts w:ascii="Arial" w:hAnsi="Arial" w:cs="Arial"/>
          <w:sz w:val="20"/>
          <w:szCs w:val="20"/>
        </w:rPr>
        <w:t xml:space="preserve"> prej</w:t>
      </w:r>
      <w:r w:rsidRPr="00D83239">
        <w:rPr>
          <w:rFonts w:ascii="Arial" w:hAnsi="Arial" w:cs="Arial"/>
          <w:sz w:val="20"/>
          <w:szCs w:val="20"/>
        </w:rPr>
        <w:t>) izdanih kot prvih dovoljenj za začasno prebivanje, pri čemer je bil največji delež le-teh izdan iz razloga zaposlitve ali dela (60</w:t>
      </w:r>
      <w:r w:rsidR="002E75FB">
        <w:rPr>
          <w:rFonts w:ascii="Arial" w:hAnsi="Arial" w:cs="Arial"/>
          <w:sz w:val="20"/>
          <w:szCs w:val="20"/>
        </w:rPr>
        <w:t xml:space="preserve"> </w:t>
      </w:r>
      <w:r w:rsidR="009D5C5A">
        <w:rPr>
          <w:rFonts w:ascii="Arial" w:hAnsi="Arial" w:cs="Arial"/>
          <w:sz w:val="20"/>
          <w:szCs w:val="20"/>
        </w:rPr>
        <w:t xml:space="preserve">%). </w:t>
      </w:r>
    </w:p>
    <w:p w14:paraId="300BD9CF" w14:textId="77777777" w:rsidR="005D4F96" w:rsidRPr="00D83239" w:rsidRDefault="005D4F96" w:rsidP="00D83239">
      <w:pPr>
        <w:spacing w:line="276" w:lineRule="auto"/>
        <w:jc w:val="both"/>
        <w:rPr>
          <w:rFonts w:ascii="Arial" w:hAnsi="Arial" w:cs="Arial"/>
          <w:sz w:val="20"/>
          <w:szCs w:val="20"/>
        </w:rPr>
      </w:pPr>
      <w:r w:rsidRPr="00D83239">
        <w:rPr>
          <w:rFonts w:ascii="Arial" w:hAnsi="Arial" w:cs="Arial"/>
          <w:noProof/>
          <w:sz w:val="20"/>
          <w:szCs w:val="20"/>
          <w:lang w:eastAsia="sl-SI"/>
        </w:rPr>
        <w:drawing>
          <wp:inline distT="0" distB="0" distL="0" distR="0" wp14:anchorId="736332FB" wp14:editId="540B2E1C">
            <wp:extent cx="5791200" cy="2771775"/>
            <wp:effectExtent l="0" t="0" r="0" b="9525"/>
            <wp:docPr id="10" name="Grafikon 10" descr="Od vseh izdanih dovoljenj za začasno prebivanje je bilo 24.916 (6-odstotni upad v primerjavi z letom prej) izdanih kot prvih dovoljenj za začasno prebivanje, pri čemer je bil največji delež le-teh izdan iz razloga zaposlitve ali dela (60 %).">
              <a:extLst xmlns:a="http://schemas.openxmlformats.org/drawingml/2006/main">
                <a:ext uri="{FF2B5EF4-FFF2-40B4-BE49-F238E27FC236}">
                  <a16:creationId xmlns:a16="http://schemas.microsoft.com/office/drawing/2014/main" id="{7C27D900-A473-0893-8A4F-4C34370366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1AF9B29" w14:textId="2AA5371E" w:rsidR="005D4F96" w:rsidRPr="00D83239" w:rsidRDefault="005D4F96" w:rsidP="00D83239">
      <w:pPr>
        <w:spacing w:after="0" w:line="276" w:lineRule="auto"/>
        <w:jc w:val="both"/>
        <w:rPr>
          <w:rFonts w:ascii="Arial" w:hAnsi="Arial" w:cs="Arial"/>
          <w:sz w:val="20"/>
          <w:szCs w:val="20"/>
        </w:rPr>
      </w:pPr>
      <w:r w:rsidRPr="00D83239">
        <w:rPr>
          <w:rFonts w:ascii="Arial" w:hAnsi="Arial" w:cs="Arial"/>
          <w:b/>
          <w:sz w:val="20"/>
          <w:szCs w:val="20"/>
        </w:rPr>
        <w:t>Graf</w:t>
      </w:r>
      <w:r w:rsidR="009F337C">
        <w:rPr>
          <w:rFonts w:ascii="Arial" w:hAnsi="Arial" w:cs="Arial"/>
          <w:b/>
          <w:sz w:val="20"/>
          <w:szCs w:val="20"/>
        </w:rPr>
        <w:t>ikon</w:t>
      </w:r>
      <w:r w:rsidRPr="00E92FF2">
        <w:rPr>
          <w:rFonts w:ascii="Arial" w:hAnsi="Arial" w:cs="Arial"/>
          <w:sz w:val="20"/>
          <w:szCs w:val="20"/>
        </w:rPr>
        <w:t>:</w:t>
      </w:r>
      <w:r w:rsidRPr="00D83239">
        <w:rPr>
          <w:rFonts w:ascii="Arial" w:hAnsi="Arial" w:cs="Arial"/>
          <w:sz w:val="20"/>
          <w:szCs w:val="20"/>
        </w:rPr>
        <w:t xml:space="preserve"> Trend števila izdanih prvih dovoljenj za začasno prebivanje v zadnjih osmih letih</w:t>
      </w:r>
    </w:p>
    <w:p w14:paraId="58E0603D" w14:textId="77777777" w:rsidR="005D4F96" w:rsidRPr="00D83239" w:rsidRDefault="005D4F96" w:rsidP="00D83239">
      <w:pPr>
        <w:spacing w:after="0" w:line="276" w:lineRule="auto"/>
        <w:jc w:val="both"/>
        <w:rPr>
          <w:rFonts w:ascii="Arial" w:hAnsi="Arial" w:cs="Arial"/>
          <w:sz w:val="20"/>
          <w:szCs w:val="20"/>
        </w:rPr>
      </w:pPr>
    </w:p>
    <w:p w14:paraId="48898C7A" w14:textId="73452CC9" w:rsidR="005D4F96" w:rsidRPr="00D83239" w:rsidRDefault="005D4F96" w:rsidP="00D83239">
      <w:pPr>
        <w:spacing w:line="276" w:lineRule="auto"/>
        <w:jc w:val="both"/>
        <w:rPr>
          <w:rFonts w:ascii="Arial" w:hAnsi="Arial" w:cs="Arial"/>
          <w:sz w:val="20"/>
          <w:szCs w:val="20"/>
        </w:rPr>
      </w:pPr>
      <w:r w:rsidRPr="00D83239">
        <w:rPr>
          <w:rFonts w:ascii="Arial" w:hAnsi="Arial" w:cs="Arial"/>
          <w:sz w:val="20"/>
          <w:szCs w:val="20"/>
        </w:rPr>
        <w:t>Največ prvih dovoljenj za začasno prebivanje je bilo izdanih državljanom Bosne in Hercegovine (26</w:t>
      </w:r>
      <w:r w:rsidR="009F337C">
        <w:rPr>
          <w:rFonts w:ascii="Arial" w:hAnsi="Arial" w:cs="Arial"/>
          <w:sz w:val="20"/>
          <w:szCs w:val="20"/>
        </w:rPr>
        <w:t> </w:t>
      </w:r>
      <w:r w:rsidRPr="00D83239">
        <w:rPr>
          <w:rFonts w:ascii="Arial" w:hAnsi="Arial" w:cs="Arial"/>
          <w:sz w:val="20"/>
          <w:szCs w:val="20"/>
        </w:rPr>
        <w:t>%), ki jim sledijo državljani Srbije (18</w:t>
      </w:r>
      <w:r w:rsidR="002E75FB">
        <w:rPr>
          <w:rFonts w:ascii="Arial" w:hAnsi="Arial" w:cs="Arial"/>
          <w:sz w:val="20"/>
          <w:szCs w:val="20"/>
        </w:rPr>
        <w:t xml:space="preserve"> </w:t>
      </w:r>
      <w:r w:rsidRPr="00D83239">
        <w:rPr>
          <w:rFonts w:ascii="Arial" w:hAnsi="Arial" w:cs="Arial"/>
          <w:sz w:val="20"/>
          <w:szCs w:val="20"/>
        </w:rPr>
        <w:t>%) ter Kosova (14</w:t>
      </w:r>
      <w:r w:rsidR="002E75FB">
        <w:rPr>
          <w:rFonts w:ascii="Arial" w:hAnsi="Arial" w:cs="Arial"/>
          <w:sz w:val="20"/>
          <w:szCs w:val="20"/>
        </w:rPr>
        <w:t xml:space="preserve"> </w:t>
      </w:r>
      <w:r w:rsidRPr="00D83239">
        <w:rPr>
          <w:rFonts w:ascii="Arial" w:hAnsi="Arial" w:cs="Arial"/>
          <w:sz w:val="20"/>
          <w:szCs w:val="20"/>
        </w:rPr>
        <w:t>%).</w:t>
      </w:r>
    </w:p>
    <w:p w14:paraId="5FDF025B" w14:textId="0AEA082E" w:rsidR="005D4F96" w:rsidRPr="00D83239" w:rsidRDefault="005D4F96" w:rsidP="00D83239">
      <w:pPr>
        <w:spacing w:line="276" w:lineRule="auto"/>
        <w:jc w:val="both"/>
        <w:rPr>
          <w:rFonts w:ascii="Arial" w:hAnsi="Arial" w:cs="Arial"/>
          <w:sz w:val="20"/>
          <w:szCs w:val="20"/>
        </w:rPr>
      </w:pPr>
      <w:r w:rsidRPr="00D83239">
        <w:rPr>
          <w:rFonts w:ascii="Arial" w:hAnsi="Arial" w:cs="Arial"/>
          <w:noProof/>
          <w:sz w:val="20"/>
          <w:szCs w:val="20"/>
          <w:lang w:eastAsia="sl-SI"/>
        </w:rPr>
        <w:drawing>
          <wp:inline distT="0" distB="0" distL="0" distR="0" wp14:anchorId="21262379" wp14:editId="2ADF7608">
            <wp:extent cx="5823284" cy="2662989"/>
            <wp:effectExtent l="0" t="0" r="6350" b="4445"/>
            <wp:docPr id="11" name="Grafikon 11" descr="Največ prvih dovoljenj za začasno prebivanje je bilo izdanih državljanom Bosne in Hercegovine (26 %), ki jim sledijo državljani Srbije (18 %) ter Kosova (14 %).">
              <a:extLst xmlns:a="http://schemas.openxmlformats.org/drawingml/2006/main">
                <a:ext uri="{FF2B5EF4-FFF2-40B4-BE49-F238E27FC236}">
                  <a16:creationId xmlns:a16="http://schemas.microsoft.com/office/drawing/2014/main" id="{D47157DA-EBB1-912A-8712-B163A2394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A8C89F1" w14:textId="3A483A3A" w:rsidR="005D4F96" w:rsidRPr="002E75FB" w:rsidRDefault="005D4F96" w:rsidP="002E75FB">
      <w:pPr>
        <w:spacing w:after="0" w:line="276" w:lineRule="auto"/>
        <w:jc w:val="both"/>
        <w:rPr>
          <w:rFonts w:ascii="Arial" w:hAnsi="Arial" w:cs="Arial"/>
          <w:sz w:val="20"/>
          <w:szCs w:val="20"/>
        </w:rPr>
      </w:pPr>
      <w:r w:rsidRPr="00D83239">
        <w:rPr>
          <w:rFonts w:ascii="Arial" w:hAnsi="Arial" w:cs="Arial"/>
          <w:b/>
          <w:sz w:val="20"/>
          <w:szCs w:val="20"/>
        </w:rPr>
        <w:t>Graf</w:t>
      </w:r>
      <w:r w:rsidR="009F337C">
        <w:rPr>
          <w:rFonts w:ascii="Arial" w:hAnsi="Arial" w:cs="Arial"/>
          <w:b/>
          <w:sz w:val="20"/>
          <w:szCs w:val="20"/>
        </w:rPr>
        <w:t>ikon</w:t>
      </w:r>
      <w:r w:rsidRPr="00E92FF2">
        <w:rPr>
          <w:rFonts w:ascii="Arial" w:hAnsi="Arial" w:cs="Arial"/>
          <w:sz w:val="20"/>
          <w:szCs w:val="20"/>
        </w:rPr>
        <w:t>:</w:t>
      </w:r>
      <w:r w:rsidRPr="00D83239">
        <w:rPr>
          <w:rFonts w:ascii="Arial" w:hAnsi="Arial" w:cs="Arial"/>
          <w:sz w:val="20"/>
          <w:szCs w:val="20"/>
        </w:rPr>
        <w:t xml:space="preserve"> Prve tri države, državljanom </w:t>
      </w:r>
      <w:r w:rsidR="009F337C" w:rsidRPr="00D83239">
        <w:rPr>
          <w:rFonts w:ascii="Arial" w:hAnsi="Arial" w:cs="Arial"/>
          <w:sz w:val="20"/>
          <w:szCs w:val="20"/>
        </w:rPr>
        <w:t xml:space="preserve">katerih </w:t>
      </w:r>
      <w:r w:rsidRPr="00D83239">
        <w:rPr>
          <w:rFonts w:ascii="Arial" w:hAnsi="Arial" w:cs="Arial"/>
          <w:sz w:val="20"/>
          <w:szCs w:val="20"/>
        </w:rPr>
        <w:t>je bilo izdanih največ prvih dovoljenj za prebivanje v letu 2025</w:t>
      </w:r>
    </w:p>
    <w:p w14:paraId="03314830" w14:textId="77777777" w:rsidR="002E75FB" w:rsidRDefault="002E75FB" w:rsidP="00D83239">
      <w:pPr>
        <w:spacing w:after="0" w:line="276" w:lineRule="auto"/>
        <w:jc w:val="both"/>
        <w:rPr>
          <w:rFonts w:ascii="Arial" w:hAnsi="Arial" w:cs="Arial"/>
          <w:b/>
          <w:bCs/>
          <w:sz w:val="20"/>
          <w:szCs w:val="20"/>
        </w:rPr>
      </w:pPr>
    </w:p>
    <w:p w14:paraId="0C94C5C2" w14:textId="2E641AE8" w:rsidR="005D4F96" w:rsidRPr="00D83239" w:rsidRDefault="005D4F96" w:rsidP="00D83239">
      <w:pPr>
        <w:spacing w:after="0" w:line="276" w:lineRule="auto"/>
        <w:jc w:val="both"/>
        <w:rPr>
          <w:rFonts w:ascii="Arial" w:hAnsi="Arial" w:cs="Arial"/>
          <w:b/>
          <w:bCs/>
          <w:sz w:val="20"/>
          <w:szCs w:val="20"/>
        </w:rPr>
      </w:pPr>
      <w:r w:rsidRPr="00D83239">
        <w:rPr>
          <w:rFonts w:ascii="Arial" w:hAnsi="Arial" w:cs="Arial"/>
          <w:b/>
          <w:bCs/>
          <w:sz w:val="20"/>
          <w:szCs w:val="20"/>
        </w:rPr>
        <w:t xml:space="preserve">Zakon o tujcih </w:t>
      </w:r>
      <w:r w:rsidR="009F337C">
        <w:rPr>
          <w:rFonts w:ascii="Arial" w:hAnsi="Arial" w:cs="Arial"/>
          <w:b/>
          <w:bCs/>
          <w:sz w:val="20"/>
          <w:szCs w:val="20"/>
        </w:rPr>
        <w:t>–</w:t>
      </w:r>
      <w:r w:rsidR="009F337C" w:rsidRPr="00D83239">
        <w:rPr>
          <w:rFonts w:ascii="Arial" w:hAnsi="Arial" w:cs="Arial"/>
          <w:b/>
          <w:bCs/>
          <w:sz w:val="20"/>
          <w:szCs w:val="20"/>
        </w:rPr>
        <w:t xml:space="preserve"> </w:t>
      </w:r>
      <w:r w:rsidRPr="00D83239">
        <w:rPr>
          <w:rFonts w:ascii="Arial" w:hAnsi="Arial" w:cs="Arial"/>
          <w:b/>
          <w:bCs/>
          <w:sz w:val="20"/>
          <w:szCs w:val="20"/>
        </w:rPr>
        <w:t>ZTuj-2I</w:t>
      </w:r>
    </w:p>
    <w:p w14:paraId="4470219F" w14:textId="72EFA893" w:rsidR="00D83239" w:rsidRPr="00D83239" w:rsidRDefault="005D4F96" w:rsidP="00D83239">
      <w:pPr>
        <w:spacing w:after="0" w:line="276" w:lineRule="auto"/>
        <w:jc w:val="both"/>
        <w:rPr>
          <w:rFonts w:ascii="Arial" w:hAnsi="Arial" w:cs="Arial"/>
          <w:sz w:val="20"/>
          <w:szCs w:val="20"/>
        </w:rPr>
      </w:pPr>
      <w:r w:rsidRPr="00D83239">
        <w:rPr>
          <w:rFonts w:ascii="Arial" w:hAnsi="Arial" w:cs="Arial"/>
          <w:sz w:val="20"/>
          <w:szCs w:val="20"/>
        </w:rPr>
        <w:t>V letu 2025 je bil sprejet Zakon o spremembah in dopolnitvah Zakona o tujcih (Uradni list RS, št. 46/25 – uradno prečiščeno besedilo; ZTuj-2l), ki je v nacionalni pravni red prenesel Direktivo 2021/1883 Evropskega parlamenta in Sveta z dne 20. oktobra 2021 o pogojih za vstop in prebivanje državljanov tretjih držav za namen visokokvalificirane zaposlitve (t.</w:t>
      </w:r>
      <w:r w:rsidR="008B3F3E">
        <w:rPr>
          <w:rFonts w:ascii="Arial" w:hAnsi="Arial" w:cs="Arial"/>
          <w:sz w:val="20"/>
          <w:szCs w:val="20"/>
        </w:rPr>
        <w:t> </w:t>
      </w:r>
      <w:r w:rsidRPr="00D83239">
        <w:rPr>
          <w:rFonts w:ascii="Arial" w:hAnsi="Arial" w:cs="Arial"/>
          <w:sz w:val="20"/>
          <w:szCs w:val="20"/>
        </w:rPr>
        <w:t xml:space="preserve">i. prenovljeno direktivo o modri karti). ZTuj-2I vsebuje še nekatere druge vsebinske rešitve, ki med drugim omogočajo hitrejše in lažje zaposlovanje tujcev, možnost vlaganja prošenj za prvo dovoljenje za začasno prebivanje pri upravni enoti v Republiki Sloveniji, prehode med statusi, odpravljajo pa se tudi </w:t>
      </w:r>
      <w:r w:rsidR="00A22B7D">
        <w:rPr>
          <w:rFonts w:ascii="Arial" w:hAnsi="Arial" w:cs="Arial"/>
          <w:sz w:val="20"/>
          <w:szCs w:val="20"/>
        </w:rPr>
        <w:t>nekater</w:t>
      </w:r>
      <w:r w:rsidRPr="00D83239">
        <w:rPr>
          <w:rFonts w:ascii="Arial" w:hAnsi="Arial" w:cs="Arial"/>
          <w:sz w:val="20"/>
          <w:szCs w:val="20"/>
        </w:rPr>
        <w:t>e pomanjkljivosti pri prenosu Direktive Evropskega parlamenta in Sveta 2004/38/ES z dne 29. aprila 2004 o pravici državljanov Unije in njihovih družinskih članov do prostega gibanja in prebivanja na ozemlju držav članic (UL L 158, 30. 4. 2004, str.</w:t>
      </w:r>
      <w:r w:rsidR="008B3F3E">
        <w:rPr>
          <w:rFonts w:ascii="Arial" w:hAnsi="Arial" w:cs="Arial"/>
          <w:sz w:val="20"/>
          <w:szCs w:val="20"/>
        </w:rPr>
        <w:t> </w:t>
      </w:r>
      <w:r w:rsidRPr="00D83239">
        <w:rPr>
          <w:rFonts w:ascii="Arial" w:hAnsi="Arial" w:cs="Arial"/>
          <w:sz w:val="20"/>
          <w:szCs w:val="20"/>
        </w:rPr>
        <w:t>77) ter Sporazuma o izstopu Združenega kraljestva Velika Britanija in Severna Irska iz Evropske unije in Evropske skupnosti za atomsko energijo (UL L 29, 31. 1. 2020, str. 7).</w:t>
      </w:r>
    </w:p>
    <w:p w14:paraId="498072E9" w14:textId="77777777" w:rsidR="00E92FF2" w:rsidRDefault="00E92FF2" w:rsidP="00D83239">
      <w:pPr>
        <w:spacing w:after="0" w:line="276" w:lineRule="auto"/>
        <w:jc w:val="both"/>
        <w:rPr>
          <w:rFonts w:ascii="Arial" w:hAnsi="Arial" w:cs="Arial"/>
          <w:sz w:val="20"/>
          <w:szCs w:val="20"/>
        </w:rPr>
      </w:pPr>
    </w:p>
    <w:p w14:paraId="60AFFFB8" w14:textId="5C6C803C" w:rsidR="005D4F96" w:rsidRPr="00D83239" w:rsidRDefault="005D4F96" w:rsidP="00D83239">
      <w:pPr>
        <w:spacing w:after="0" w:line="276" w:lineRule="auto"/>
        <w:jc w:val="both"/>
        <w:rPr>
          <w:rFonts w:ascii="Arial" w:hAnsi="Arial" w:cs="Arial"/>
          <w:sz w:val="20"/>
          <w:szCs w:val="20"/>
        </w:rPr>
      </w:pPr>
      <w:r w:rsidRPr="00D83239">
        <w:rPr>
          <w:rFonts w:ascii="Arial" w:hAnsi="Arial" w:cs="Arial"/>
          <w:sz w:val="20"/>
          <w:szCs w:val="20"/>
        </w:rPr>
        <w:t>Zaradi izvajanja Zakona o spremembah in dopolnitvah Zakona o tujcih je bil nadgrajen tudi Register tujcev, to je centralna evidenca o dovoljenjih za prebivanje in odpovedih prebivanja tujcu, katere upravlja</w:t>
      </w:r>
      <w:r w:rsidR="00C07719">
        <w:rPr>
          <w:rFonts w:ascii="Arial" w:hAnsi="Arial" w:cs="Arial"/>
          <w:sz w:val="20"/>
          <w:szCs w:val="20"/>
        </w:rPr>
        <w:t>v</w:t>
      </w:r>
      <w:r w:rsidRPr="00D83239">
        <w:rPr>
          <w:rFonts w:ascii="Arial" w:hAnsi="Arial" w:cs="Arial"/>
          <w:sz w:val="20"/>
          <w:szCs w:val="20"/>
        </w:rPr>
        <w:t>ec je M</w:t>
      </w:r>
      <w:r w:rsidR="00BA29B0">
        <w:rPr>
          <w:rFonts w:ascii="Arial" w:hAnsi="Arial" w:cs="Arial"/>
          <w:sz w:val="20"/>
          <w:szCs w:val="20"/>
        </w:rPr>
        <w:t>NZ</w:t>
      </w:r>
      <w:r w:rsidRPr="00D83239">
        <w:rPr>
          <w:rFonts w:ascii="Arial" w:hAnsi="Arial" w:cs="Arial"/>
          <w:sz w:val="20"/>
          <w:szCs w:val="20"/>
        </w:rPr>
        <w:t xml:space="preserve">. Med drugim nadgradnja omogoča izdajo nove vrste dovoljenja za začasno prebivanje za digitalne nomade in iskalce zaposlitve oziroma samozaposlitve, prehode iz statusa osebe s priznano mednarodno zaščito ali začasno zaščito v status tujca z dovoljenjem za prebivanje ter prikaz neomejene časovne veljavnosti potrdila o prijavi prebivanja za državljane Evropske unije in dovoljenja za začasno prebivanje za državljane Združenega kraljestva in njihove družinske člane.  </w:t>
      </w:r>
    </w:p>
    <w:p w14:paraId="33988007" w14:textId="77777777" w:rsidR="00D83239" w:rsidRPr="00D83239" w:rsidRDefault="00D83239" w:rsidP="00D83239">
      <w:pPr>
        <w:spacing w:after="0" w:line="276" w:lineRule="auto"/>
        <w:jc w:val="both"/>
        <w:rPr>
          <w:rFonts w:ascii="Arial" w:hAnsi="Arial" w:cs="Arial"/>
          <w:sz w:val="20"/>
          <w:szCs w:val="20"/>
        </w:rPr>
      </w:pPr>
    </w:p>
    <w:p w14:paraId="18978177" w14:textId="6CA09CF6" w:rsidR="005D4F96" w:rsidRPr="00D83239" w:rsidRDefault="005D4F96" w:rsidP="00D83239">
      <w:pPr>
        <w:spacing w:after="0" w:line="276" w:lineRule="auto"/>
        <w:jc w:val="both"/>
        <w:rPr>
          <w:rFonts w:ascii="Arial" w:hAnsi="Arial" w:cs="Arial"/>
          <w:sz w:val="20"/>
          <w:szCs w:val="20"/>
        </w:rPr>
      </w:pPr>
      <w:r w:rsidRPr="00D83239">
        <w:rPr>
          <w:rFonts w:ascii="Arial" w:hAnsi="Arial" w:cs="Arial"/>
          <w:sz w:val="20"/>
          <w:szCs w:val="20"/>
        </w:rPr>
        <w:t xml:space="preserve">Register tujcev je bil v letu 2025 nadgrajen tudi zaradi izvajanja novega sistema vstopa in izstopa (SVI). </w:t>
      </w:r>
      <w:r w:rsidR="00C07719">
        <w:rPr>
          <w:rFonts w:ascii="Arial" w:hAnsi="Arial" w:cs="Arial"/>
          <w:sz w:val="20"/>
          <w:szCs w:val="20"/>
        </w:rPr>
        <w:t>Z</w:t>
      </w:r>
      <w:r w:rsidRPr="00D83239">
        <w:rPr>
          <w:rFonts w:ascii="Arial" w:hAnsi="Arial" w:cs="Arial"/>
          <w:sz w:val="20"/>
          <w:szCs w:val="20"/>
        </w:rPr>
        <w:t xml:space="preserve"> 12. 10. 2025 se je namreč na zunanjih mejah schengenskega območja za državljane tretjih držav začel postopno izvajati nov</w:t>
      </w:r>
      <w:r w:rsidR="008B3F3E">
        <w:rPr>
          <w:rFonts w:ascii="Arial" w:hAnsi="Arial" w:cs="Arial"/>
          <w:sz w:val="20"/>
          <w:szCs w:val="20"/>
        </w:rPr>
        <w:t>i</w:t>
      </w:r>
      <w:r w:rsidRPr="00D83239">
        <w:rPr>
          <w:rFonts w:ascii="Arial" w:hAnsi="Arial" w:cs="Arial"/>
          <w:sz w:val="20"/>
          <w:szCs w:val="20"/>
        </w:rPr>
        <w:t xml:space="preserve"> sistem vstopa in izstopa (SVI), ki vpliva tudi na delo upravnih enot in M</w:t>
      </w:r>
      <w:r w:rsidR="00BA29B0">
        <w:rPr>
          <w:rFonts w:ascii="Arial" w:hAnsi="Arial" w:cs="Arial"/>
          <w:sz w:val="20"/>
          <w:szCs w:val="20"/>
        </w:rPr>
        <w:t>NZ</w:t>
      </w:r>
      <w:r w:rsidRPr="00D83239">
        <w:rPr>
          <w:rFonts w:ascii="Arial" w:hAnsi="Arial" w:cs="Arial"/>
          <w:sz w:val="20"/>
          <w:szCs w:val="20"/>
        </w:rPr>
        <w:t>. Zaradi navedenega je bil nadgrajen Register tujcev in vzpostavljena povezava med Registrom tujcev in sistemom vstopa in izstopa (SVI), ki upravnim enotam in M</w:t>
      </w:r>
      <w:r w:rsidR="00BA29B0">
        <w:rPr>
          <w:rFonts w:ascii="Arial" w:hAnsi="Arial" w:cs="Arial"/>
          <w:sz w:val="20"/>
          <w:szCs w:val="20"/>
        </w:rPr>
        <w:t>NZ</w:t>
      </w:r>
      <w:r w:rsidRPr="00D83239">
        <w:rPr>
          <w:rFonts w:ascii="Arial" w:hAnsi="Arial" w:cs="Arial"/>
          <w:sz w:val="20"/>
          <w:szCs w:val="20"/>
        </w:rPr>
        <w:t xml:space="preserve"> v postopkih izdaje dovoljenj za prebivanje omogoča preverjanje državljanov tretjih držav v sistemu vstopa in izstopa (SVI) </w:t>
      </w:r>
      <w:r w:rsidR="008B3F3E">
        <w:rPr>
          <w:rFonts w:ascii="Arial" w:hAnsi="Arial" w:cs="Arial"/>
          <w:sz w:val="20"/>
          <w:szCs w:val="20"/>
        </w:rPr>
        <w:t>ter</w:t>
      </w:r>
      <w:r w:rsidR="008B3F3E" w:rsidRPr="00D83239">
        <w:rPr>
          <w:rFonts w:ascii="Arial" w:hAnsi="Arial" w:cs="Arial"/>
          <w:sz w:val="20"/>
          <w:szCs w:val="20"/>
        </w:rPr>
        <w:t xml:space="preserve"> </w:t>
      </w:r>
      <w:r w:rsidRPr="00D83239">
        <w:rPr>
          <w:rFonts w:ascii="Arial" w:hAnsi="Arial" w:cs="Arial"/>
          <w:sz w:val="20"/>
          <w:szCs w:val="20"/>
        </w:rPr>
        <w:t>po</w:t>
      </w:r>
      <w:r w:rsidR="008B3F3E">
        <w:rPr>
          <w:rFonts w:ascii="Arial" w:hAnsi="Arial" w:cs="Arial"/>
          <w:sz w:val="20"/>
          <w:szCs w:val="20"/>
        </w:rPr>
        <w:t>šilj</w:t>
      </w:r>
      <w:r w:rsidRPr="00D83239">
        <w:rPr>
          <w:rFonts w:ascii="Arial" w:hAnsi="Arial" w:cs="Arial"/>
          <w:sz w:val="20"/>
          <w:szCs w:val="20"/>
        </w:rPr>
        <w:t xml:space="preserve">anje določenih podatkov iz Registra tujcev v sistem vstopa in izstopa (SVI). </w:t>
      </w:r>
      <w:r w:rsidR="008B3F3E">
        <w:rPr>
          <w:rFonts w:ascii="Arial" w:hAnsi="Arial" w:cs="Arial"/>
          <w:sz w:val="20"/>
          <w:szCs w:val="20"/>
        </w:rPr>
        <w:t>Izvajanje</w:t>
      </w:r>
      <w:r w:rsidR="008B3F3E" w:rsidRPr="00D83239">
        <w:rPr>
          <w:rFonts w:ascii="Arial" w:hAnsi="Arial" w:cs="Arial"/>
          <w:sz w:val="20"/>
          <w:szCs w:val="20"/>
        </w:rPr>
        <w:t xml:space="preserve"> </w:t>
      </w:r>
      <w:r w:rsidRPr="00D83239">
        <w:rPr>
          <w:rFonts w:ascii="Arial" w:hAnsi="Arial" w:cs="Arial"/>
          <w:sz w:val="20"/>
          <w:szCs w:val="20"/>
        </w:rPr>
        <w:t>projekt</w:t>
      </w:r>
      <w:r w:rsidR="008B3F3E">
        <w:rPr>
          <w:rFonts w:ascii="Arial" w:hAnsi="Arial" w:cs="Arial"/>
          <w:sz w:val="20"/>
          <w:szCs w:val="20"/>
        </w:rPr>
        <w:t>a</w:t>
      </w:r>
      <w:r w:rsidRPr="00D83239">
        <w:rPr>
          <w:rFonts w:ascii="Arial" w:hAnsi="Arial" w:cs="Arial"/>
          <w:sz w:val="20"/>
          <w:szCs w:val="20"/>
        </w:rPr>
        <w:t xml:space="preserve"> se bo nadaljevalo tudi v letu 2026, saj je obdobje do 10. 4. 2026, ko bo sistem vstopa in izstopa (SVI) deloval v celoti, namenjeno tudi spremljanju in ugotavljanju pravilnosti delovanja povezav te</w:t>
      </w:r>
      <w:r w:rsidR="00D83239" w:rsidRPr="00D83239">
        <w:rPr>
          <w:rFonts w:ascii="Arial" w:hAnsi="Arial" w:cs="Arial"/>
          <w:sz w:val="20"/>
          <w:szCs w:val="20"/>
        </w:rPr>
        <w:t>r odpravljanju pomanjkljivosti.</w:t>
      </w:r>
    </w:p>
    <w:p w14:paraId="7E9D2BCC" w14:textId="77777777" w:rsidR="00D83239" w:rsidRPr="00D83239" w:rsidRDefault="00D83239" w:rsidP="00D83239">
      <w:pPr>
        <w:spacing w:after="0" w:line="276" w:lineRule="auto"/>
        <w:jc w:val="both"/>
        <w:rPr>
          <w:rFonts w:ascii="Arial" w:hAnsi="Arial" w:cs="Arial"/>
          <w:sz w:val="20"/>
          <w:szCs w:val="20"/>
        </w:rPr>
      </w:pPr>
    </w:p>
    <w:p w14:paraId="074E78E4" w14:textId="34FEDA2F" w:rsidR="005D4F96" w:rsidRPr="00D83239" w:rsidRDefault="005D4F96" w:rsidP="00FE543C">
      <w:pPr>
        <w:pStyle w:val="Naslov1"/>
        <w:numPr>
          <w:ilvl w:val="1"/>
          <w:numId w:val="3"/>
        </w:numPr>
        <w:spacing w:after="0" w:line="276" w:lineRule="auto"/>
        <w:jc w:val="both"/>
        <w:rPr>
          <w:color w:val="auto"/>
        </w:rPr>
      </w:pPr>
      <w:bookmarkStart w:id="109" w:name="_Toc225499840"/>
      <w:r w:rsidRPr="00D83239">
        <w:rPr>
          <w:color w:val="auto"/>
        </w:rPr>
        <w:t>Delovne skupine Sveta EU, kontaktni odbori Evropske komisije, Agencija EU za azil in drugi mednarodni forumi s področja mednarodne zaščite in zakonitih migracij</w:t>
      </w:r>
      <w:bookmarkEnd w:id="109"/>
    </w:p>
    <w:p w14:paraId="68808151" w14:textId="77777777" w:rsidR="005D4F96" w:rsidRPr="00D83239" w:rsidRDefault="005D4F96" w:rsidP="00D83239">
      <w:pPr>
        <w:autoSpaceDE w:val="0"/>
        <w:spacing w:after="0" w:line="276" w:lineRule="auto"/>
        <w:jc w:val="both"/>
        <w:rPr>
          <w:rFonts w:ascii="Arial" w:hAnsi="Arial" w:cs="Arial"/>
          <w:b/>
          <w:sz w:val="20"/>
          <w:szCs w:val="20"/>
        </w:rPr>
      </w:pPr>
    </w:p>
    <w:p w14:paraId="24EDED00" w14:textId="77777777" w:rsidR="005D4F96" w:rsidRPr="00BA29B0" w:rsidRDefault="005D4F96" w:rsidP="00BA29B0">
      <w:pPr>
        <w:pStyle w:val="Odstavekseznama"/>
        <w:numPr>
          <w:ilvl w:val="0"/>
          <w:numId w:val="8"/>
        </w:numPr>
        <w:suppressAutoHyphens/>
        <w:autoSpaceDE w:val="0"/>
        <w:autoSpaceDN w:val="0"/>
        <w:spacing w:after="0"/>
        <w:jc w:val="both"/>
        <w:rPr>
          <w:rFonts w:ascii="Arial" w:hAnsi="Arial" w:cs="Arial"/>
          <w:sz w:val="20"/>
          <w:szCs w:val="20"/>
        </w:rPr>
      </w:pPr>
      <w:r w:rsidRPr="00BA29B0">
        <w:rPr>
          <w:rFonts w:ascii="Arial" w:hAnsi="Arial" w:cs="Arial"/>
          <w:sz w:val="20"/>
          <w:szCs w:val="20"/>
        </w:rPr>
        <w:t>Strateški odbor za migracije, meje in azil (SCIFA)</w:t>
      </w:r>
    </w:p>
    <w:p w14:paraId="55C89DD4" w14:textId="40E9C8C8" w:rsidR="00BA29B0" w:rsidRDefault="005D4F96" w:rsidP="00BA29B0">
      <w:pPr>
        <w:autoSpaceDE w:val="0"/>
        <w:spacing w:after="0" w:line="276" w:lineRule="auto"/>
        <w:jc w:val="both"/>
        <w:rPr>
          <w:rFonts w:ascii="Arial" w:hAnsi="Arial" w:cs="Arial"/>
          <w:sz w:val="20"/>
          <w:szCs w:val="20"/>
        </w:rPr>
      </w:pPr>
      <w:r w:rsidRPr="00D83239">
        <w:rPr>
          <w:rFonts w:ascii="Arial" w:hAnsi="Arial" w:cs="Arial"/>
          <w:sz w:val="20"/>
          <w:szCs w:val="20"/>
        </w:rPr>
        <w:t xml:space="preserve">V letu 2025 so bila izvedena štiri redna (formalna) </w:t>
      </w:r>
      <w:r w:rsidR="00021E73">
        <w:rPr>
          <w:rFonts w:ascii="Arial" w:hAnsi="Arial" w:cs="Arial"/>
          <w:sz w:val="20"/>
          <w:szCs w:val="20"/>
        </w:rPr>
        <w:t>zased</w:t>
      </w:r>
      <w:r w:rsidR="00C07719">
        <w:rPr>
          <w:rFonts w:ascii="Arial" w:hAnsi="Arial" w:cs="Arial"/>
          <w:sz w:val="20"/>
          <w:szCs w:val="20"/>
        </w:rPr>
        <w:t>a</w:t>
      </w:r>
      <w:r w:rsidR="00021E73">
        <w:rPr>
          <w:rFonts w:ascii="Arial" w:hAnsi="Arial" w:cs="Arial"/>
          <w:sz w:val="20"/>
          <w:szCs w:val="20"/>
        </w:rPr>
        <w:t xml:space="preserve">nja </w:t>
      </w:r>
      <w:r w:rsidRPr="00D83239">
        <w:rPr>
          <w:rFonts w:ascii="Arial" w:hAnsi="Arial" w:cs="Arial"/>
          <w:sz w:val="20"/>
          <w:szCs w:val="20"/>
        </w:rPr>
        <w:t xml:space="preserve">in dve neformalni zasedanji odbora SCIFA, na katerih so se obravnavale teme, povezane z vsebino </w:t>
      </w:r>
      <w:r w:rsidR="00021E73">
        <w:rPr>
          <w:rFonts w:ascii="Arial" w:hAnsi="Arial" w:cs="Arial"/>
          <w:sz w:val="20"/>
          <w:szCs w:val="20"/>
        </w:rPr>
        <w:t>Evropskega p</w:t>
      </w:r>
      <w:r w:rsidRPr="00D83239">
        <w:rPr>
          <w:rFonts w:ascii="Arial" w:hAnsi="Arial" w:cs="Arial"/>
          <w:sz w:val="20"/>
          <w:szCs w:val="20"/>
        </w:rPr>
        <w:t xml:space="preserve">akta o migracijah in azilu, vračanjem, varnimi izvornimi državami in začasno zaščito. </w:t>
      </w:r>
    </w:p>
    <w:p w14:paraId="1421E24D" w14:textId="77777777" w:rsidR="00BA29B0" w:rsidRDefault="00BA29B0" w:rsidP="00BA29B0">
      <w:pPr>
        <w:autoSpaceDE w:val="0"/>
        <w:spacing w:after="0" w:line="276" w:lineRule="auto"/>
        <w:jc w:val="both"/>
        <w:rPr>
          <w:rFonts w:ascii="Arial" w:hAnsi="Arial" w:cs="Arial"/>
          <w:sz w:val="20"/>
          <w:szCs w:val="20"/>
        </w:rPr>
      </w:pPr>
    </w:p>
    <w:p w14:paraId="2FE9F19F" w14:textId="687DF7B5" w:rsidR="005D4F96" w:rsidRPr="00477D7F" w:rsidRDefault="005D4F96" w:rsidP="00BA29B0">
      <w:pPr>
        <w:pStyle w:val="Odstavekseznama"/>
        <w:numPr>
          <w:ilvl w:val="0"/>
          <w:numId w:val="8"/>
        </w:numPr>
        <w:autoSpaceDE w:val="0"/>
        <w:spacing w:after="0"/>
        <w:jc w:val="both"/>
        <w:rPr>
          <w:rFonts w:ascii="Arial" w:hAnsi="Arial" w:cs="Arial"/>
          <w:sz w:val="20"/>
          <w:szCs w:val="20"/>
        </w:rPr>
      </w:pPr>
      <w:r w:rsidRPr="00477D7F">
        <w:rPr>
          <w:rFonts w:ascii="Arial" w:hAnsi="Arial" w:cs="Arial"/>
          <w:sz w:val="20"/>
          <w:szCs w:val="20"/>
        </w:rPr>
        <w:t>D</w:t>
      </w:r>
      <w:r w:rsidR="00474D14" w:rsidRPr="00477D7F">
        <w:rPr>
          <w:rFonts w:ascii="Arial" w:hAnsi="Arial" w:cs="Arial"/>
          <w:sz w:val="20"/>
          <w:szCs w:val="20"/>
        </w:rPr>
        <w:t>elovna skupina</w:t>
      </w:r>
      <w:r w:rsidRPr="00477D7F">
        <w:rPr>
          <w:rFonts w:ascii="Arial" w:hAnsi="Arial" w:cs="Arial"/>
          <w:sz w:val="20"/>
          <w:szCs w:val="20"/>
        </w:rPr>
        <w:t xml:space="preserve"> IMEX (integracija, migracija, izgon)</w:t>
      </w:r>
    </w:p>
    <w:p w14:paraId="3CE72E76" w14:textId="63AF3536" w:rsidR="005D4F96" w:rsidRPr="00D83239" w:rsidRDefault="005D4F96" w:rsidP="00BA29B0">
      <w:pPr>
        <w:autoSpaceDE w:val="0"/>
        <w:spacing w:after="0" w:line="276" w:lineRule="auto"/>
        <w:jc w:val="both"/>
        <w:rPr>
          <w:rFonts w:ascii="Arial" w:hAnsi="Arial" w:cs="Arial"/>
          <w:color w:val="000000"/>
          <w:sz w:val="20"/>
          <w:szCs w:val="20"/>
          <w:lang w:eastAsia="sl-SI"/>
        </w:rPr>
      </w:pPr>
      <w:r w:rsidRPr="00477D7F">
        <w:rPr>
          <w:rFonts w:ascii="Arial" w:hAnsi="Arial" w:cs="Arial"/>
          <w:color w:val="000000"/>
          <w:sz w:val="20"/>
          <w:szCs w:val="20"/>
          <w:lang w:eastAsia="sl-SI"/>
        </w:rPr>
        <w:t>V letu 2025 sta bili izvedeni dve zasedanji delovne skupine IMEX-</w:t>
      </w:r>
      <w:proofErr w:type="spellStart"/>
      <w:r w:rsidRPr="00477D7F">
        <w:rPr>
          <w:rFonts w:ascii="Arial" w:hAnsi="Arial" w:cs="Arial"/>
          <w:color w:val="000000"/>
          <w:sz w:val="20"/>
          <w:szCs w:val="20"/>
          <w:lang w:eastAsia="sl-SI"/>
        </w:rPr>
        <w:t>Admission</w:t>
      </w:r>
      <w:proofErr w:type="spellEnd"/>
      <w:r w:rsidRPr="00477D7F">
        <w:rPr>
          <w:rFonts w:ascii="Arial" w:hAnsi="Arial" w:cs="Arial"/>
          <w:color w:val="000000"/>
          <w:sz w:val="20"/>
          <w:szCs w:val="20"/>
          <w:lang w:eastAsia="sl-SI"/>
        </w:rPr>
        <w:t xml:space="preserve">. 4. 4. 2025 sta bili obravnavani temi izhodne strategije v povezavi z začasno zaščito ter </w:t>
      </w:r>
      <w:r w:rsidR="00021E73" w:rsidRPr="00477D7F">
        <w:rPr>
          <w:rFonts w:ascii="Arial" w:hAnsi="Arial" w:cs="Arial"/>
          <w:color w:val="000000"/>
          <w:sz w:val="20"/>
          <w:szCs w:val="20"/>
          <w:lang w:eastAsia="sl-SI"/>
        </w:rPr>
        <w:t>p</w:t>
      </w:r>
      <w:r w:rsidRPr="00477D7F">
        <w:rPr>
          <w:rFonts w:ascii="Arial" w:hAnsi="Arial" w:cs="Arial"/>
          <w:color w:val="000000"/>
          <w:sz w:val="20"/>
          <w:szCs w:val="20"/>
          <w:lang w:eastAsia="sl-SI"/>
        </w:rPr>
        <w:t xml:space="preserve">artnerstvo za talente. </w:t>
      </w:r>
      <w:r w:rsidR="00DA4CBA" w:rsidRPr="00477D7F">
        <w:rPr>
          <w:rFonts w:ascii="Arial" w:hAnsi="Arial" w:cs="Arial"/>
          <w:color w:val="000000"/>
          <w:sz w:val="20"/>
          <w:szCs w:val="20"/>
          <w:lang w:eastAsia="sl-SI"/>
        </w:rPr>
        <w:t>Delovna skupina je</w:t>
      </w:r>
      <w:r w:rsidR="005F4A19">
        <w:rPr>
          <w:rFonts w:ascii="Arial" w:hAnsi="Arial" w:cs="Arial"/>
          <w:color w:val="000000"/>
          <w:sz w:val="20"/>
          <w:szCs w:val="20"/>
          <w:lang w:eastAsia="sl-SI"/>
        </w:rPr>
        <w:t xml:space="preserve"> </w:t>
      </w:r>
      <w:r w:rsidRPr="00477D7F">
        <w:rPr>
          <w:rFonts w:ascii="Arial" w:hAnsi="Arial" w:cs="Arial"/>
          <w:color w:val="000000"/>
          <w:sz w:val="20"/>
          <w:szCs w:val="20"/>
          <w:lang w:eastAsia="sl-SI"/>
        </w:rPr>
        <w:t>31.</w:t>
      </w:r>
      <w:r w:rsidR="00021E73" w:rsidRPr="00477D7F">
        <w:rPr>
          <w:rFonts w:ascii="Arial" w:hAnsi="Arial" w:cs="Arial"/>
          <w:color w:val="000000"/>
          <w:sz w:val="20"/>
          <w:szCs w:val="20"/>
          <w:lang w:eastAsia="sl-SI"/>
        </w:rPr>
        <w:t> </w:t>
      </w:r>
      <w:r w:rsidRPr="00477D7F">
        <w:rPr>
          <w:rFonts w:ascii="Arial" w:hAnsi="Arial" w:cs="Arial"/>
          <w:color w:val="000000"/>
          <w:sz w:val="20"/>
          <w:szCs w:val="20"/>
          <w:lang w:eastAsia="sl-SI"/>
        </w:rPr>
        <w:t>10. 2025 obravnava</w:t>
      </w:r>
      <w:r w:rsidR="00DA4CBA" w:rsidRPr="00477D7F">
        <w:rPr>
          <w:rFonts w:ascii="Arial" w:hAnsi="Arial" w:cs="Arial"/>
          <w:color w:val="000000"/>
          <w:sz w:val="20"/>
          <w:szCs w:val="20"/>
          <w:lang w:eastAsia="sl-SI"/>
        </w:rPr>
        <w:t>la</w:t>
      </w:r>
      <w:r w:rsidRPr="00477D7F">
        <w:rPr>
          <w:rFonts w:ascii="Arial" w:hAnsi="Arial" w:cs="Arial"/>
          <w:color w:val="000000"/>
          <w:sz w:val="20"/>
          <w:szCs w:val="20"/>
          <w:lang w:eastAsia="sl-SI"/>
        </w:rPr>
        <w:t xml:space="preserve"> </w:t>
      </w:r>
      <w:r w:rsidR="00021E73" w:rsidRPr="00477D7F">
        <w:rPr>
          <w:rFonts w:ascii="Arial" w:hAnsi="Arial" w:cs="Arial"/>
          <w:color w:val="000000"/>
          <w:sz w:val="20"/>
          <w:szCs w:val="20"/>
          <w:lang w:eastAsia="sl-SI"/>
        </w:rPr>
        <w:t>p</w:t>
      </w:r>
      <w:r w:rsidRPr="00477D7F">
        <w:rPr>
          <w:rFonts w:ascii="Arial" w:hAnsi="Arial" w:cs="Arial"/>
          <w:color w:val="000000"/>
          <w:sz w:val="20"/>
          <w:szCs w:val="20"/>
          <w:lang w:eastAsia="sl-SI"/>
        </w:rPr>
        <w:t xml:space="preserve">artnerstvo za talente </w:t>
      </w:r>
      <w:r w:rsidR="00021E73" w:rsidRPr="00477D7F">
        <w:rPr>
          <w:rFonts w:ascii="Arial" w:hAnsi="Arial" w:cs="Arial"/>
          <w:color w:val="000000"/>
          <w:sz w:val="20"/>
          <w:szCs w:val="20"/>
          <w:lang w:eastAsia="sl-SI"/>
        </w:rPr>
        <w:t xml:space="preserve">ter </w:t>
      </w:r>
      <w:r w:rsidRPr="00477D7F">
        <w:rPr>
          <w:rFonts w:ascii="Arial" w:hAnsi="Arial" w:cs="Arial"/>
          <w:color w:val="000000"/>
          <w:sz w:val="20"/>
          <w:szCs w:val="20"/>
          <w:lang w:eastAsia="sl-SI"/>
        </w:rPr>
        <w:t>teme poštenega zaposlovanja in dostojnih delovnih pogojev za državljane tretjih držav, nadzor za preprečevanje zlorab zaposlovalnih praks in področje bilateralnih dogovorov s tretjimi državami na področju mobilnosti. Zadevnega zasedanja se je iz prestolnice udeležil predstavnik M</w:t>
      </w:r>
      <w:r w:rsidR="00474D14" w:rsidRPr="00477D7F">
        <w:rPr>
          <w:rFonts w:ascii="Arial" w:hAnsi="Arial" w:cs="Arial"/>
          <w:color w:val="000000"/>
          <w:sz w:val="20"/>
          <w:szCs w:val="20"/>
          <w:lang w:eastAsia="sl-SI"/>
        </w:rPr>
        <w:t>inistrstva za delo, družino, socialne zadeve in enake možnosti</w:t>
      </w:r>
      <w:r w:rsidRPr="00477D7F">
        <w:rPr>
          <w:rFonts w:ascii="Arial" w:hAnsi="Arial" w:cs="Arial"/>
          <w:color w:val="000000"/>
          <w:sz w:val="20"/>
          <w:szCs w:val="20"/>
          <w:lang w:eastAsia="sl-SI"/>
        </w:rPr>
        <w:t>.</w:t>
      </w:r>
    </w:p>
    <w:p w14:paraId="45BDD315" w14:textId="77777777" w:rsidR="00BA29B0" w:rsidRDefault="00BA29B0" w:rsidP="00BA29B0">
      <w:pPr>
        <w:autoSpaceDE w:val="0"/>
        <w:spacing w:after="0" w:line="276" w:lineRule="auto"/>
        <w:jc w:val="both"/>
        <w:rPr>
          <w:rFonts w:ascii="Arial" w:hAnsi="Arial" w:cs="Arial"/>
          <w:color w:val="000000"/>
          <w:sz w:val="20"/>
          <w:szCs w:val="20"/>
          <w:lang w:eastAsia="sl-SI"/>
        </w:rPr>
      </w:pPr>
    </w:p>
    <w:p w14:paraId="0BEE4C92" w14:textId="54198D3E" w:rsidR="005D4F96" w:rsidRDefault="005D4F96" w:rsidP="00E847F2">
      <w:pPr>
        <w:autoSpaceDE w:val="0"/>
        <w:spacing w:after="0" w:line="276" w:lineRule="auto"/>
        <w:jc w:val="both"/>
        <w:rPr>
          <w:rFonts w:ascii="Arial" w:hAnsi="Arial" w:cs="Arial"/>
          <w:color w:val="000000"/>
          <w:sz w:val="20"/>
          <w:szCs w:val="20"/>
          <w:lang w:eastAsia="sl-SI"/>
        </w:rPr>
      </w:pPr>
      <w:r w:rsidRPr="001545E9">
        <w:rPr>
          <w:rFonts w:ascii="Arial" w:hAnsi="Arial" w:cs="Arial"/>
          <w:color w:val="000000"/>
          <w:sz w:val="20"/>
          <w:szCs w:val="20"/>
          <w:lang w:eastAsia="sl-SI"/>
        </w:rPr>
        <w:t xml:space="preserve">10. 2. 2025 je potekalo tudi posvetovanje s </w:t>
      </w:r>
      <w:r w:rsidR="00021E73" w:rsidRPr="001545E9">
        <w:rPr>
          <w:rFonts w:ascii="Arial" w:hAnsi="Arial" w:cs="Arial"/>
          <w:color w:val="000000"/>
          <w:sz w:val="20"/>
          <w:szCs w:val="20"/>
          <w:lang w:eastAsia="sl-SI"/>
        </w:rPr>
        <w:t>p</w:t>
      </w:r>
      <w:r w:rsidRPr="001545E9">
        <w:rPr>
          <w:rFonts w:ascii="Arial" w:hAnsi="Arial" w:cs="Arial"/>
          <w:color w:val="000000"/>
          <w:sz w:val="20"/>
          <w:szCs w:val="20"/>
          <w:lang w:eastAsia="sl-SI"/>
        </w:rPr>
        <w:t>oljskim predsedstvom in R</w:t>
      </w:r>
      <w:r w:rsidR="00474D14" w:rsidRPr="001545E9">
        <w:rPr>
          <w:rFonts w:ascii="Arial" w:hAnsi="Arial" w:cs="Arial"/>
          <w:color w:val="000000"/>
          <w:sz w:val="20"/>
          <w:szCs w:val="20"/>
          <w:lang w:eastAsia="sl-SI"/>
        </w:rPr>
        <w:t xml:space="preserve">epubliko </w:t>
      </w:r>
      <w:r w:rsidRPr="001545E9">
        <w:rPr>
          <w:rFonts w:ascii="Arial" w:hAnsi="Arial" w:cs="Arial"/>
          <w:color w:val="000000"/>
          <w:sz w:val="20"/>
          <w:szCs w:val="20"/>
          <w:lang w:eastAsia="sl-SI"/>
        </w:rPr>
        <w:t>S</w:t>
      </w:r>
      <w:r w:rsidR="00474D14" w:rsidRPr="001545E9">
        <w:rPr>
          <w:rFonts w:ascii="Arial" w:hAnsi="Arial" w:cs="Arial"/>
          <w:color w:val="000000"/>
          <w:sz w:val="20"/>
          <w:szCs w:val="20"/>
          <w:lang w:eastAsia="sl-SI"/>
        </w:rPr>
        <w:t>lovenijo</w:t>
      </w:r>
      <w:r w:rsidRPr="001545E9">
        <w:rPr>
          <w:rFonts w:ascii="Arial" w:hAnsi="Arial" w:cs="Arial"/>
          <w:color w:val="000000"/>
          <w:sz w:val="20"/>
          <w:szCs w:val="20"/>
          <w:lang w:eastAsia="sl-SI"/>
        </w:rPr>
        <w:t xml:space="preserve"> glede nadaljevanja pogajanj za </w:t>
      </w:r>
      <w:r w:rsidR="001545E9" w:rsidRPr="001545E9">
        <w:rPr>
          <w:rFonts w:ascii="Arial" w:hAnsi="Arial" w:cs="Arial"/>
          <w:color w:val="000000"/>
          <w:sz w:val="20"/>
          <w:szCs w:val="20"/>
          <w:lang w:eastAsia="sl-SI"/>
        </w:rPr>
        <w:t>Direktivo o dolgoročnem prebivanju</w:t>
      </w:r>
      <w:r w:rsidRPr="001545E9">
        <w:rPr>
          <w:rFonts w:ascii="Arial" w:hAnsi="Arial" w:cs="Arial"/>
          <w:color w:val="000000"/>
          <w:sz w:val="20"/>
          <w:szCs w:val="20"/>
          <w:lang w:eastAsia="sl-SI"/>
        </w:rPr>
        <w:t>. Pogajanja se nato niso nadaljevala, saj so se države razhajale v treh ključnih točkah.</w:t>
      </w:r>
    </w:p>
    <w:p w14:paraId="734C6A06" w14:textId="77777777" w:rsidR="00E847F2" w:rsidRPr="00D83239" w:rsidRDefault="00E847F2" w:rsidP="00E847F2">
      <w:pPr>
        <w:autoSpaceDE w:val="0"/>
        <w:spacing w:after="0" w:line="276" w:lineRule="auto"/>
        <w:jc w:val="both"/>
        <w:rPr>
          <w:rFonts w:ascii="Arial" w:hAnsi="Arial" w:cs="Arial"/>
          <w:color w:val="000000"/>
          <w:sz w:val="20"/>
          <w:szCs w:val="20"/>
          <w:lang w:eastAsia="sl-SI"/>
        </w:rPr>
      </w:pPr>
    </w:p>
    <w:p w14:paraId="4FFC3F80" w14:textId="2CE9A66A" w:rsidR="005D4F96" w:rsidRPr="005F4A19" w:rsidRDefault="005D4F96" w:rsidP="00BA29B0">
      <w:pPr>
        <w:pStyle w:val="Odstavekseznama"/>
        <w:numPr>
          <w:ilvl w:val="0"/>
          <w:numId w:val="8"/>
        </w:numPr>
        <w:suppressAutoHyphens/>
        <w:autoSpaceDE w:val="0"/>
        <w:autoSpaceDN w:val="0"/>
        <w:spacing w:after="0"/>
        <w:jc w:val="both"/>
        <w:rPr>
          <w:rFonts w:ascii="Arial" w:hAnsi="Arial" w:cs="Arial"/>
          <w:sz w:val="20"/>
          <w:szCs w:val="20"/>
        </w:rPr>
      </w:pPr>
      <w:r w:rsidRPr="005F4A19">
        <w:rPr>
          <w:rFonts w:ascii="Arial" w:hAnsi="Arial" w:cs="Arial"/>
          <w:sz w:val="20"/>
          <w:szCs w:val="20"/>
        </w:rPr>
        <w:t>D</w:t>
      </w:r>
      <w:r w:rsidR="00474D14" w:rsidRPr="005F4A19">
        <w:rPr>
          <w:rFonts w:ascii="Arial" w:hAnsi="Arial" w:cs="Arial"/>
          <w:sz w:val="20"/>
          <w:szCs w:val="20"/>
        </w:rPr>
        <w:t>elovna skupina</w:t>
      </w:r>
      <w:r w:rsidRPr="005F4A19">
        <w:rPr>
          <w:rFonts w:ascii="Arial" w:hAnsi="Arial" w:cs="Arial"/>
          <w:sz w:val="20"/>
          <w:szCs w:val="20"/>
        </w:rPr>
        <w:t xml:space="preserve"> Azil</w:t>
      </w:r>
    </w:p>
    <w:p w14:paraId="1B1CEFC3" w14:textId="19203002" w:rsidR="005D4F96" w:rsidRPr="00D83239" w:rsidRDefault="005D4F96" w:rsidP="00D83239">
      <w:pPr>
        <w:pStyle w:val="Standard"/>
        <w:spacing w:after="240"/>
        <w:jc w:val="both"/>
        <w:rPr>
          <w:rFonts w:ascii="Arial" w:hAnsi="Arial" w:cs="Arial"/>
          <w:sz w:val="20"/>
          <w:szCs w:val="20"/>
        </w:rPr>
      </w:pPr>
      <w:r w:rsidRPr="00D83239">
        <w:rPr>
          <w:rFonts w:ascii="Arial" w:hAnsi="Arial" w:cs="Arial"/>
          <w:sz w:val="20"/>
          <w:szCs w:val="20"/>
        </w:rPr>
        <w:t xml:space="preserve">Uslužbenci </w:t>
      </w:r>
      <w:r w:rsidR="00181654">
        <w:rPr>
          <w:rFonts w:ascii="Arial" w:hAnsi="Arial" w:cs="Arial"/>
          <w:sz w:val="20"/>
          <w:szCs w:val="20"/>
        </w:rPr>
        <w:t>MNZ</w:t>
      </w:r>
      <w:r w:rsidRPr="00D83239">
        <w:rPr>
          <w:rFonts w:ascii="Arial" w:hAnsi="Arial" w:cs="Arial"/>
          <w:sz w:val="20"/>
          <w:szCs w:val="20"/>
        </w:rPr>
        <w:t xml:space="preserve"> so se v letu 2025 udeležili </w:t>
      </w:r>
      <w:r w:rsidR="00021E73">
        <w:rPr>
          <w:rFonts w:ascii="Arial" w:hAnsi="Arial" w:cs="Arial"/>
          <w:sz w:val="20"/>
          <w:szCs w:val="20"/>
        </w:rPr>
        <w:t>petih</w:t>
      </w:r>
      <w:r w:rsidR="00021E73" w:rsidRPr="00D83239">
        <w:rPr>
          <w:rFonts w:ascii="Arial" w:hAnsi="Arial" w:cs="Arial"/>
          <w:sz w:val="20"/>
          <w:szCs w:val="20"/>
        </w:rPr>
        <w:t xml:space="preserve"> </w:t>
      </w:r>
      <w:r w:rsidRPr="00D83239">
        <w:rPr>
          <w:rFonts w:ascii="Arial" w:hAnsi="Arial" w:cs="Arial"/>
          <w:sz w:val="20"/>
          <w:szCs w:val="20"/>
        </w:rPr>
        <w:t xml:space="preserve">zasedanj delovne skupine za azil, na katerih se je razpravljalo o različnih </w:t>
      </w:r>
      <w:r w:rsidRPr="005F4A19">
        <w:rPr>
          <w:rFonts w:ascii="Arial" w:hAnsi="Arial" w:cs="Arial"/>
          <w:sz w:val="20"/>
          <w:szCs w:val="20"/>
        </w:rPr>
        <w:t xml:space="preserve">elementih </w:t>
      </w:r>
      <w:r w:rsidR="00021E73" w:rsidRPr="005F4A19">
        <w:rPr>
          <w:rFonts w:ascii="Arial" w:hAnsi="Arial" w:cs="Arial"/>
          <w:sz w:val="20"/>
          <w:szCs w:val="20"/>
        </w:rPr>
        <w:t>Evropskega p</w:t>
      </w:r>
      <w:r w:rsidRPr="005F4A19">
        <w:rPr>
          <w:rFonts w:ascii="Arial" w:hAnsi="Arial" w:cs="Arial"/>
          <w:sz w:val="20"/>
          <w:szCs w:val="20"/>
        </w:rPr>
        <w:t>akta o migracijah in azilu,</w:t>
      </w:r>
      <w:r w:rsidRPr="00D83239">
        <w:rPr>
          <w:rFonts w:ascii="Arial" w:hAnsi="Arial" w:cs="Arial"/>
          <w:sz w:val="20"/>
          <w:szCs w:val="20"/>
        </w:rPr>
        <w:t xml:space="preserve"> s posebnim poudarkom na </w:t>
      </w:r>
      <w:r w:rsidR="00021E73">
        <w:rPr>
          <w:rFonts w:ascii="Arial" w:hAnsi="Arial" w:cs="Arial"/>
          <w:sz w:val="20"/>
          <w:szCs w:val="20"/>
        </w:rPr>
        <w:t>izvajanju</w:t>
      </w:r>
      <w:r w:rsidR="00021E73" w:rsidRPr="00D83239">
        <w:rPr>
          <w:rFonts w:ascii="Arial" w:hAnsi="Arial" w:cs="Arial"/>
          <w:sz w:val="20"/>
          <w:szCs w:val="20"/>
        </w:rPr>
        <w:t xml:space="preserve"> </w:t>
      </w:r>
      <w:r w:rsidR="00021E73">
        <w:rPr>
          <w:rFonts w:ascii="Arial" w:hAnsi="Arial" w:cs="Arial"/>
          <w:sz w:val="20"/>
          <w:szCs w:val="20"/>
        </w:rPr>
        <w:t>p</w:t>
      </w:r>
      <w:r w:rsidRPr="00D83239">
        <w:rPr>
          <w:rFonts w:ascii="Arial" w:hAnsi="Arial" w:cs="Arial"/>
          <w:sz w:val="20"/>
          <w:szCs w:val="20"/>
        </w:rPr>
        <w:t xml:space="preserve">akta ter predlogu Uredbe (EU) o spremembi Uredbe (EU) 2024/1348 glede vzpostavitve seznama varnih izvornih držav na ravni Unije in predlogu Uredbe (EU) o spremembi Uredbe (EU) 2024/1348 glede uporabe koncepta varne tretje države.   </w:t>
      </w:r>
    </w:p>
    <w:p w14:paraId="4026D2A6" w14:textId="77777777" w:rsidR="005D4F96" w:rsidRPr="00D83239" w:rsidRDefault="005D4F96" w:rsidP="00BA29B0">
      <w:pPr>
        <w:pStyle w:val="Standard"/>
        <w:numPr>
          <w:ilvl w:val="0"/>
          <w:numId w:val="8"/>
        </w:numPr>
        <w:spacing w:after="0"/>
        <w:jc w:val="both"/>
        <w:rPr>
          <w:rFonts w:ascii="Arial" w:hAnsi="Arial" w:cs="Arial"/>
          <w:sz w:val="20"/>
          <w:szCs w:val="20"/>
        </w:rPr>
      </w:pPr>
      <w:r w:rsidRPr="00D83239">
        <w:rPr>
          <w:rFonts w:ascii="Arial" w:hAnsi="Arial" w:cs="Arial"/>
          <w:sz w:val="20"/>
          <w:szCs w:val="20"/>
        </w:rPr>
        <w:t>Solidarnostna platforma</w:t>
      </w:r>
    </w:p>
    <w:p w14:paraId="2C6BF6BC" w14:textId="0B46FFD8" w:rsidR="005D4F96" w:rsidRPr="00D83239" w:rsidRDefault="005D4F96" w:rsidP="00D83239">
      <w:pPr>
        <w:pStyle w:val="Standard"/>
        <w:spacing w:after="240"/>
        <w:jc w:val="both"/>
        <w:rPr>
          <w:rFonts w:ascii="Arial" w:hAnsi="Arial" w:cs="Arial"/>
          <w:sz w:val="20"/>
          <w:szCs w:val="20"/>
        </w:rPr>
      </w:pPr>
      <w:r w:rsidRPr="00D83239">
        <w:rPr>
          <w:rFonts w:ascii="Arial" w:hAnsi="Arial" w:cs="Arial"/>
          <w:sz w:val="20"/>
          <w:szCs w:val="20"/>
        </w:rPr>
        <w:t xml:space="preserve">Uslužbenci </w:t>
      </w:r>
      <w:r w:rsidR="005F4A19">
        <w:rPr>
          <w:rFonts w:ascii="Arial" w:hAnsi="Arial" w:cs="Arial"/>
          <w:sz w:val="20"/>
          <w:szCs w:val="20"/>
        </w:rPr>
        <w:t>MNZ</w:t>
      </w:r>
      <w:r w:rsidRPr="00D83239">
        <w:rPr>
          <w:rFonts w:ascii="Arial" w:hAnsi="Arial" w:cs="Arial"/>
          <w:sz w:val="20"/>
          <w:szCs w:val="20"/>
        </w:rPr>
        <w:t xml:space="preserve"> so se udeležili dveh zasedanj Solidarnostne platforme, vzpostavljene za lažjo koordinacijo med državami članicami in Evropsko komisijo pri izvedbi solidarnostnega mehanizma v skladu z Uredbo o upravljanju azila in migracij. Zasedanji sta se poleg predstavitve metodologije ocene migracijskega pritiska osredotočili na bolj tehnični vidik aktivnosti, ki so bile potrebne za spreje</w:t>
      </w:r>
      <w:r w:rsidR="00021E73">
        <w:rPr>
          <w:rFonts w:ascii="Arial" w:hAnsi="Arial" w:cs="Arial"/>
          <w:sz w:val="20"/>
          <w:szCs w:val="20"/>
        </w:rPr>
        <w:t>tje</w:t>
      </w:r>
      <w:r w:rsidRPr="00D83239">
        <w:rPr>
          <w:rFonts w:ascii="Arial" w:hAnsi="Arial" w:cs="Arial"/>
          <w:sz w:val="20"/>
          <w:szCs w:val="20"/>
        </w:rPr>
        <w:t xml:space="preserve"> prvega solidarnostnega fonda, predvsem v kontekstu solidarnostnega foruma na tehnični ravni. </w:t>
      </w:r>
    </w:p>
    <w:p w14:paraId="44E54843" w14:textId="77777777" w:rsidR="005D4F96" w:rsidRPr="00D83239" w:rsidRDefault="005D4F96" w:rsidP="00BA29B0">
      <w:pPr>
        <w:pStyle w:val="Standard"/>
        <w:numPr>
          <w:ilvl w:val="0"/>
          <w:numId w:val="8"/>
        </w:numPr>
        <w:spacing w:after="0"/>
        <w:jc w:val="both"/>
        <w:rPr>
          <w:rFonts w:ascii="Arial" w:hAnsi="Arial" w:cs="Arial"/>
          <w:sz w:val="20"/>
          <w:szCs w:val="20"/>
        </w:rPr>
      </w:pPr>
      <w:r w:rsidRPr="00D83239">
        <w:rPr>
          <w:rFonts w:ascii="Arial" w:hAnsi="Arial" w:cs="Arial"/>
          <w:sz w:val="20"/>
          <w:szCs w:val="20"/>
        </w:rPr>
        <w:t>Kontaktni odbori Evropske komisije</w:t>
      </w:r>
    </w:p>
    <w:p w14:paraId="2B12147F" w14:textId="03ECE506" w:rsidR="005D4F96" w:rsidRPr="00D83239" w:rsidRDefault="005D4F96" w:rsidP="00D83239">
      <w:pPr>
        <w:autoSpaceDE w:val="0"/>
        <w:spacing w:after="0" w:line="276" w:lineRule="auto"/>
        <w:jc w:val="both"/>
        <w:rPr>
          <w:rFonts w:ascii="Arial" w:hAnsi="Arial" w:cs="Arial"/>
          <w:sz w:val="20"/>
          <w:szCs w:val="20"/>
        </w:rPr>
      </w:pPr>
      <w:r w:rsidRPr="00D83239">
        <w:rPr>
          <w:rFonts w:ascii="Arial" w:hAnsi="Arial" w:cs="Arial"/>
          <w:sz w:val="20"/>
          <w:szCs w:val="20"/>
        </w:rPr>
        <w:t xml:space="preserve">V povezavi z </w:t>
      </w:r>
      <w:r w:rsidR="00021E73">
        <w:rPr>
          <w:rFonts w:ascii="Arial" w:hAnsi="Arial" w:cs="Arial"/>
          <w:sz w:val="20"/>
          <w:szCs w:val="20"/>
        </w:rPr>
        <w:t>izvajanjem</w:t>
      </w:r>
      <w:r w:rsidR="00021E73" w:rsidRPr="00D83239">
        <w:rPr>
          <w:rFonts w:ascii="Arial" w:hAnsi="Arial" w:cs="Arial"/>
          <w:sz w:val="20"/>
          <w:szCs w:val="20"/>
        </w:rPr>
        <w:t xml:space="preserve"> </w:t>
      </w:r>
      <w:r w:rsidR="00021E73">
        <w:rPr>
          <w:rFonts w:ascii="Arial" w:hAnsi="Arial" w:cs="Arial"/>
          <w:sz w:val="20"/>
          <w:szCs w:val="20"/>
        </w:rPr>
        <w:t>p</w:t>
      </w:r>
      <w:r w:rsidRPr="00D83239">
        <w:rPr>
          <w:rFonts w:ascii="Arial" w:hAnsi="Arial" w:cs="Arial"/>
          <w:sz w:val="20"/>
          <w:szCs w:val="20"/>
        </w:rPr>
        <w:t xml:space="preserve">akta je Evropska komisija v letu 2025 organizirala več kontaktnih odborov za posamezne zakonodajne akte, in sicer dva odbora za Direktivo o standardih za sprejem prosilcev za mednarodno zaščito, kjer se je razprava osredotočala na določbe direktive v povezavi s pridržanjem in na prehod med starim in novim azilnim sistemom, dva odbora za Uredbo o vzpostavitvi skupnega postopka za mednarodno zaščito v EU, kjer se je razprava osredotočala na vprašanja oseb brez državljanstva v okviru </w:t>
      </w:r>
      <w:r w:rsidR="00021E73">
        <w:rPr>
          <w:rFonts w:ascii="Arial" w:hAnsi="Arial" w:cs="Arial"/>
          <w:sz w:val="20"/>
          <w:szCs w:val="20"/>
        </w:rPr>
        <w:t>p</w:t>
      </w:r>
      <w:r w:rsidRPr="00D83239">
        <w:rPr>
          <w:rFonts w:ascii="Arial" w:hAnsi="Arial" w:cs="Arial"/>
          <w:sz w:val="20"/>
          <w:szCs w:val="20"/>
        </w:rPr>
        <w:t xml:space="preserve">akta, azilni </w:t>
      </w:r>
      <w:r w:rsidRPr="0008188F">
        <w:rPr>
          <w:rFonts w:ascii="Arial" w:hAnsi="Arial" w:cs="Arial"/>
          <w:sz w:val="20"/>
          <w:szCs w:val="20"/>
        </w:rPr>
        <w:t xml:space="preserve">mejni postopek, vključno z vidika omejevanje svobode gibanja in pridržanja, obveznosti obveščanja držav članic </w:t>
      </w:r>
      <w:r w:rsidR="0008188F" w:rsidRPr="0008188F">
        <w:rPr>
          <w:rFonts w:ascii="Arial" w:hAnsi="Arial" w:cs="Arial"/>
          <w:sz w:val="20"/>
          <w:szCs w:val="20"/>
        </w:rPr>
        <w:t>po Uredbi o azilnih postopkih</w:t>
      </w:r>
      <w:r w:rsidRPr="0008188F">
        <w:rPr>
          <w:rFonts w:ascii="Arial" w:hAnsi="Arial" w:cs="Arial"/>
          <w:sz w:val="20"/>
          <w:szCs w:val="20"/>
        </w:rPr>
        <w:t xml:space="preserve"> ter prehodne ukrepe pri začetku </w:t>
      </w:r>
      <w:r w:rsidR="0008188F" w:rsidRPr="0008188F">
        <w:rPr>
          <w:rFonts w:ascii="Arial" w:hAnsi="Arial" w:cs="Arial"/>
          <w:sz w:val="20"/>
          <w:szCs w:val="20"/>
        </w:rPr>
        <w:t>uporabe Uredbe o azilnih postopkih</w:t>
      </w:r>
      <w:r w:rsidRPr="0008188F">
        <w:rPr>
          <w:rFonts w:ascii="Arial" w:hAnsi="Arial" w:cs="Arial"/>
          <w:sz w:val="20"/>
          <w:szCs w:val="20"/>
        </w:rPr>
        <w:t>. Potekalo je tudi pet kontaktnih odborov za Uredbo o upravljanju azila in migracij, kjer se je razprava osredotočila predvsem</w:t>
      </w:r>
      <w:r w:rsidRPr="00D83239">
        <w:rPr>
          <w:rFonts w:ascii="Arial" w:hAnsi="Arial" w:cs="Arial"/>
          <w:sz w:val="20"/>
          <w:szCs w:val="20"/>
        </w:rPr>
        <w:t xml:space="preserve"> </w:t>
      </w:r>
      <w:r w:rsidR="00B94001">
        <w:rPr>
          <w:rFonts w:ascii="Arial" w:hAnsi="Arial" w:cs="Arial"/>
          <w:sz w:val="20"/>
          <w:szCs w:val="20"/>
        </w:rPr>
        <w:t>na</w:t>
      </w:r>
      <w:r w:rsidR="00B94001" w:rsidRPr="00D83239">
        <w:rPr>
          <w:rFonts w:ascii="Arial" w:hAnsi="Arial" w:cs="Arial"/>
          <w:sz w:val="20"/>
          <w:szCs w:val="20"/>
        </w:rPr>
        <w:t xml:space="preserve"> </w:t>
      </w:r>
      <w:r w:rsidRPr="00D83239">
        <w:rPr>
          <w:rFonts w:ascii="Arial" w:hAnsi="Arial" w:cs="Arial"/>
          <w:sz w:val="20"/>
          <w:szCs w:val="20"/>
        </w:rPr>
        <w:t>izvedben</w:t>
      </w:r>
      <w:r w:rsidR="00B94001">
        <w:rPr>
          <w:rFonts w:ascii="Arial" w:hAnsi="Arial" w:cs="Arial"/>
          <w:sz w:val="20"/>
          <w:szCs w:val="20"/>
        </w:rPr>
        <w:t>a</w:t>
      </w:r>
      <w:r w:rsidRPr="00D83239">
        <w:rPr>
          <w:rFonts w:ascii="Arial" w:hAnsi="Arial" w:cs="Arial"/>
          <w:sz w:val="20"/>
          <w:szCs w:val="20"/>
        </w:rPr>
        <w:t xml:space="preserve"> pravil</w:t>
      </w:r>
      <w:r w:rsidR="00B94001">
        <w:rPr>
          <w:rFonts w:ascii="Arial" w:hAnsi="Arial" w:cs="Arial"/>
          <w:sz w:val="20"/>
          <w:szCs w:val="20"/>
        </w:rPr>
        <w:t>a</w:t>
      </w:r>
      <w:r w:rsidRPr="00D83239">
        <w:rPr>
          <w:rFonts w:ascii="Arial" w:hAnsi="Arial" w:cs="Arial"/>
          <w:sz w:val="20"/>
          <w:szCs w:val="20"/>
        </w:rPr>
        <w:t>, sočasn</w:t>
      </w:r>
      <w:r w:rsidR="00B94001">
        <w:rPr>
          <w:rFonts w:ascii="Arial" w:hAnsi="Arial" w:cs="Arial"/>
          <w:sz w:val="20"/>
          <w:szCs w:val="20"/>
        </w:rPr>
        <w:t>i</w:t>
      </w:r>
      <w:r w:rsidRPr="00D83239">
        <w:rPr>
          <w:rFonts w:ascii="Arial" w:hAnsi="Arial" w:cs="Arial"/>
          <w:sz w:val="20"/>
          <w:szCs w:val="20"/>
        </w:rPr>
        <w:t xml:space="preserve"> tek dublinskega in azilnega postopka, praktično izvajanje solidarnostnega mehanizma ter </w:t>
      </w:r>
      <w:r w:rsidR="00B94001">
        <w:rPr>
          <w:rFonts w:ascii="Arial" w:hAnsi="Arial" w:cs="Arial"/>
          <w:sz w:val="20"/>
          <w:szCs w:val="20"/>
        </w:rPr>
        <w:t xml:space="preserve">na </w:t>
      </w:r>
      <w:r w:rsidRPr="00D83239">
        <w:rPr>
          <w:rFonts w:ascii="Arial" w:hAnsi="Arial" w:cs="Arial"/>
          <w:sz w:val="20"/>
          <w:szCs w:val="20"/>
        </w:rPr>
        <w:t xml:space="preserve">prehodna pravila ob začetku uporabe Uredbe o upravljanju azila in migracij. </w:t>
      </w:r>
    </w:p>
    <w:p w14:paraId="557A11D0" w14:textId="77777777" w:rsidR="00D83239" w:rsidRPr="00D83239" w:rsidRDefault="00D83239" w:rsidP="00D83239">
      <w:pPr>
        <w:autoSpaceDE w:val="0"/>
        <w:spacing w:after="120" w:line="276" w:lineRule="auto"/>
        <w:jc w:val="both"/>
        <w:rPr>
          <w:rFonts w:ascii="Arial" w:hAnsi="Arial" w:cs="Arial"/>
          <w:color w:val="000000"/>
          <w:sz w:val="20"/>
          <w:szCs w:val="20"/>
          <w:lang w:eastAsia="sl-SI"/>
        </w:rPr>
      </w:pPr>
    </w:p>
    <w:p w14:paraId="6FA92406" w14:textId="284EA1B3" w:rsidR="005D4F96" w:rsidRPr="00D83239" w:rsidRDefault="005D4F96" w:rsidP="00D83239">
      <w:pPr>
        <w:autoSpaceDE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 xml:space="preserve">V letu 2025 sta potekali dve zasedanji </w:t>
      </w:r>
      <w:r w:rsidR="00B94001">
        <w:rPr>
          <w:rFonts w:ascii="Arial" w:hAnsi="Arial" w:cs="Arial"/>
          <w:color w:val="000000"/>
          <w:sz w:val="20"/>
          <w:szCs w:val="20"/>
          <w:lang w:eastAsia="sl-SI"/>
        </w:rPr>
        <w:t>k</w:t>
      </w:r>
      <w:r w:rsidRPr="00D83239">
        <w:rPr>
          <w:rFonts w:ascii="Arial" w:hAnsi="Arial" w:cs="Arial"/>
          <w:color w:val="000000"/>
          <w:sz w:val="20"/>
          <w:szCs w:val="20"/>
          <w:lang w:eastAsia="sl-SI"/>
        </w:rPr>
        <w:t>ontaktne skupine za zakonite migracije</w:t>
      </w:r>
      <w:r w:rsidR="00B94001">
        <w:rPr>
          <w:rFonts w:ascii="Arial" w:hAnsi="Arial" w:cs="Arial"/>
          <w:color w:val="000000"/>
          <w:sz w:val="20"/>
          <w:szCs w:val="20"/>
          <w:lang w:eastAsia="sl-SI"/>
        </w:rPr>
        <w:t>,</w:t>
      </w:r>
      <w:r w:rsidRPr="00D83239">
        <w:rPr>
          <w:rFonts w:ascii="Arial" w:hAnsi="Arial" w:cs="Arial"/>
          <w:color w:val="000000"/>
          <w:sz w:val="20"/>
          <w:szCs w:val="20"/>
          <w:lang w:eastAsia="sl-SI"/>
        </w:rPr>
        <w:t xml:space="preserve"> in sicer 18.</w:t>
      </w:r>
      <w:r w:rsidR="00B94001">
        <w:rPr>
          <w:rFonts w:ascii="Arial" w:hAnsi="Arial" w:cs="Arial"/>
          <w:color w:val="000000"/>
          <w:sz w:val="20"/>
          <w:szCs w:val="20"/>
          <w:lang w:eastAsia="sl-SI"/>
        </w:rPr>
        <w:t> </w:t>
      </w:r>
      <w:r w:rsidRPr="00D83239">
        <w:rPr>
          <w:rFonts w:ascii="Arial" w:hAnsi="Arial" w:cs="Arial"/>
          <w:color w:val="000000"/>
          <w:sz w:val="20"/>
          <w:szCs w:val="20"/>
          <w:lang w:eastAsia="sl-SI"/>
        </w:rPr>
        <w:t>2.</w:t>
      </w:r>
      <w:r w:rsidR="00B94001">
        <w:rPr>
          <w:rFonts w:ascii="Arial" w:hAnsi="Arial" w:cs="Arial"/>
          <w:color w:val="000000"/>
          <w:sz w:val="20"/>
          <w:szCs w:val="20"/>
          <w:lang w:eastAsia="sl-SI"/>
        </w:rPr>
        <w:t> </w:t>
      </w:r>
      <w:r w:rsidRPr="00D83239">
        <w:rPr>
          <w:rFonts w:ascii="Arial" w:hAnsi="Arial" w:cs="Arial"/>
          <w:color w:val="000000"/>
          <w:sz w:val="20"/>
          <w:szCs w:val="20"/>
          <w:lang w:eastAsia="sl-SI"/>
        </w:rPr>
        <w:t>2025 v Bruslju ter 22.</w:t>
      </w:r>
      <w:r w:rsidR="00B94001">
        <w:rPr>
          <w:rFonts w:ascii="Arial" w:hAnsi="Arial" w:cs="Arial"/>
          <w:color w:val="000000"/>
          <w:sz w:val="20"/>
          <w:szCs w:val="20"/>
          <w:lang w:eastAsia="sl-SI"/>
        </w:rPr>
        <w:t> </w:t>
      </w:r>
      <w:r w:rsidRPr="00D83239">
        <w:rPr>
          <w:rFonts w:ascii="Arial" w:hAnsi="Arial" w:cs="Arial"/>
          <w:color w:val="000000"/>
          <w:sz w:val="20"/>
          <w:szCs w:val="20"/>
          <w:lang w:eastAsia="sl-SI"/>
        </w:rPr>
        <w:t>10.</w:t>
      </w:r>
      <w:r w:rsidR="00B94001">
        <w:rPr>
          <w:rFonts w:ascii="Arial" w:hAnsi="Arial" w:cs="Arial"/>
          <w:color w:val="000000"/>
          <w:sz w:val="20"/>
          <w:szCs w:val="20"/>
          <w:lang w:eastAsia="sl-SI"/>
        </w:rPr>
        <w:t> </w:t>
      </w:r>
      <w:r w:rsidRPr="00D83239">
        <w:rPr>
          <w:rFonts w:ascii="Arial" w:hAnsi="Arial" w:cs="Arial"/>
          <w:color w:val="000000"/>
          <w:sz w:val="20"/>
          <w:szCs w:val="20"/>
          <w:lang w:eastAsia="sl-SI"/>
        </w:rPr>
        <w:t>2025</w:t>
      </w:r>
      <w:r w:rsidR="00B94001">
        <w:rPr>
          <w:rFonts w:ascii="Arial" w:hAnsi="Arial" w:cs="Arial"/>
          <w:color w:val="000000"/>
          <w:sz w:val="20"/>
          <w:szCs w:val="20"/>
          <w:lang w:eastAsia="sl-SI"/>
        </w:rPr>
        <w:t xml:space="preserve"> na daljavo</w:t>
      </w:r>
      <w:r w:rsidRPr="00D83239">
        <w:rPr>
          <w:rFonts w:ascii="Arial" w:hAnsi="Arial" w:cs="Arial"/>
          <w:color w:val="000000"/>
          <w:sz w:val="20"/>
          <w:szCs w:val="20"/>
          <w:lang w:eastAsia="sl-SI"/>
        </w:rPr>
        <w:t>. Obravnavane so bile teme iz direktiv na področju zakonitih migracij (vprašanja</w:t>
      </w:r>
      <w:r w:rsidR="00B94001">
        <w:rPr>
          <w:rFonts w:ascii="Arial" w:hAnsi="Arial" w:cs="Arial"/>
          <w:color w:val="000000"/>
          <w:sz w:val="20"/>
          <w:szCs w:val="20"/>
          <w:lang w:eastAsia="sl-SI"/>
        </w:rPr>
        <w:t>,</w:t>
      </w:r>
      <w:r w:rsidRPr="00D83239">
        <w:rPr>
          <w:rFonts w:ascii="Arial" w:hAnsi="Arial" w:cs="Arial"/>
          <w:color w:val="000000"/>
          <w:sz w:val="20"/>
          <w:szCs w:val="20"/>
          <w:lang w:eastAsia="sl-SI"/>
        </w:rPr>
        <w:t xml:space="preserve"> povezana s prenosom t.</w:t>
      </w:r>
      <w:r w:rsidR="00B94001">
        <w:rPr>
          <w:rFonts w:ascii="Arial" w:hAnsi="Arial" w:cs="Arial"/>
          <w:color w:val="000000"/>
          <w:sz w:val="20"/>
          <w:szCs w:val="20"/>
          <w:lang w:eastAsia="sl-SI"/>
        </w:rPr>
        <w:t> </w:t>
      </w:r>
      <w:r w:rsidRPr="00D83239">
        <w:rPr>
          <w:rFonts w:ascii="Arial" w:hAnsi="Arial" w:cs="Arial"/>
          <w:color w:val="000000"/>
          <w:sz w:val="20"/>
          <w:szCs w:val="20"/>
          <w:lang w:eastAsia="sl-SI"/>
        </w:rPr>
        <w:t xml:space="preserve">i. prenovljene </w:t>
      </w:r>
      <w:r w:rsidR="00B94001">
        <w:rPr>
          <w:rFonts w:ascii="Arial" w:hAnsi="Arial" w:cs="Arial"/>
          <w:color w:val="000000"/>
          <w:sz w:val="20"/>
          <w:szCs w:val="20"/>
          <w:lang w:eastAsia="sl-SI"/>
        </w:rPr>
        <w:t>d</w:t>
      </w:r>
      <w:r w:rsidRPr="00D83239">
        <w:rPr>
          <w:rFonts w:ascii="Arial" w:hAnsi="Arial" w:cs="Arial"/>
          <w:color w:val="000000"/>
          <w:sz w:val="20"/>
          <w:szCs w:val="20"/>
          <w:lang w:eastAsia="sl-SI"/>
        </w:rPr>
        <w:t>irektive o enotnem postopku in t.</w:t>
      </w:r>
      <w:r w:rsidR="00B94001">
        <w:rPr>
          <w:rFonts w:ascii="Arial" w:hAnsi="Arial" w:cs="Arial"/>
          <w:color w:val="000000"/>
          <w:sz w:val="20"/>
          <w:szCs w:val="20"/>
          <w:lang w:eastAsia="sl-SI"/>
        </w:rPr>
        <w:t> </w:t>
      </w:r>
      <w:r w:rsidRPr="00D83239">
        <w:rPr>
          <w:rFonts w:ascii="Arial" w:hAnsi="Arial" w:cs="Arial"/>
          <w:color w:val="000000"/>
          <w:sz w:val="20"/>
          <w:szCs w:val="20"/>
          <w:lang w:eastAsia="sl-SI"/>
        </w:rPr>
        <w:t xml:space="preserve">i. prenovljene direktive o </w:t>
      </w:r>
      <w:r w:rsidR="00B94001">
        <w:rPr>
          <w:rFonts w:ascii="Arial" w:hAnsi="Arial" w:cs="Arial"/>
          <w:color w:val="000000"/>
          <w:sz w:val="20"/>
          <w:szCs w:val="20"/>
          <w:lang w:eastAsia="sl-SI"/>
        </w:rPr>
        <w:t>m</w:t>
      </w:r>
      <w:r w:rsidRPr="00D83239">
        <w:rPr>
          <w:rFonts w:ascii="Arial" w:hAnsi="Arial" w:cs="Arial"/>
          <w:color w:val="000000"/>
          <w:sz w:val="20"/>
          <w:szCs w:val="20"/>
          <w:lang w:eastAsia="sl-SI"/>
        </w:rPr>
        <w:t>odri karti EU), varnostna preverjanja v postopkih izdaje dovoljenj za prebivanje ter strategija na področju vizumske politike.</w:t>
      </w:r>
    </w:p>
    <w:p w14:paraId="729A317B" w14:textId="77777777" w:rsidR="00D83239" w:rsidRPr="00D83239" w:rsidRDefault="00D83239" w:rsidP="00D83239">
      <w:pPr>
        <w:pStyle w:val="Standard"/>
        <w:spacing w:after="0"/>
        <w:jc w:val="both"/>
        <w:rPr>
          <w:rFonts w:ascii="Arial" w:hAnsi="Arial" w:cs="Arial"/>
          <w:sz w:val="20"/>
          <w:szCs w:val="20"/>
        </w:rPr>
      </w:pPr>
    </w:p>
    <w:p w14:paraId="46D7FCDB" w14:textId="0B485E0F" w:rsidR="005D4F96" w:rsidRPr="00D83239" w:rsidRDefault="005D4F96" w:rsidP="00D83239">
      <w:pPr>
        <w:pStyle w:val="Standard"/>
        <w:spacing w:after="0"/>
        <w:jc w:val="both"/>
        <w:rPr>
          <w:rFonts w:ascii="Arial" w:hAnsi="Arial" w:cs="Arial"/>
          <w:sz w:val="20"/>
          <w:szCs w:val="20"/>
        </w:rPr>
      </w:pPr>
      <w:r w:rsidRPr="00D83239">
        <w:rPr>
          <w:rFonts w:ascii="Arial" w:hAnsi="Arial" w:cs="Arial"/>
          <w:sz w:val="20"/>
          <w:szCs w:val="20"/>
        </w:rPr>
        <w:t xml:space="preserve">Poleg navedenega so uslužbenci </w:t>
      </w:r>
      <w:r w:rsidR="00784897">
        <w:rPr>
          <w:rFonts w:ascii="Arial" w:hAnsi="Arial" w:cs="Arial"/>
          <w:sz w:val="20"/>
          <w:szCs w:val="20"/>
        </w:rPr>
        <w:t xml:space="preserve">MNZ v sodelovanju s </w:t>
      </w:r>
      <w:r w:rsidR="00B658A0" w:rsidRPr="00D83239">
        <w:rPr>
          <w:rFonts w:ascii="Arial" w:hAnsi="Arial" w:cs="Arial"/>
          <w:sz w:val="20"/>
          <w:szCs w:val="20"/>
        </w:rPr>
        <w:t xml:space="preserve"> </w:t>
      </w:r>
      <w:r w:rsidRPr="00D83239">
        <w:rPr>
          <w:rFonts w:ascii="Arial" w:hAnsi="Arial" w:cs="Arial"/>
          <w:sz w:val="20"/>
          <w:szCs w:val="20"/>
        </w:rPr>
        <w:t xml:space="preserve">Stalnim predstavništvom </w:t>
      </w:r>
      <w:r w:rsidR="00B658A0">
        <w:rPr>
          <w:rFonts w:ascii="Arial" w:hAnsi="Arial" w:cs="Arial"/>
          <w:sz w:val="20"/>
          <w:szCs w:val="20"/>
        </w:rPr>
        <w:t xml:space="preserve">Republike Slovenije </w:t>
      </w:r>
      <w:r w:rsidRPr="00D83239">
        <w:rPr>
          <w:rFonts w:ascii="Arial" w:hAnsi="Arial" w:cs="Arial"/>
          <w:sz w:val="20"/>
          <w:szCs w:val="20"/>
        </w:rPr>
        <w:t>pri E</w:t>
      </w:r>
      <w:r w:rsidR="00B658A0">
        <w:rPr>
          <w:rFonts w:ascii="Arial" w:hAnsi="Arial" w:cs="Arial"/>
          <w:sz w:val="20"/>
          <w:szCs w:val="20"/>
        </w:rPr>
        <w:t>vropski uniji</w:t>
      </w:r>
      <w:r w:rsidRPr="00D83239">
        <w:rPr>
          <w:rFonts w:ascii="Arial" w:hAnsi="Arial" w:cs="Arial"/>
          <w:sz w:val="20"/>
          <w:szCs w:val="20"/>
        </w:rPr>
        <w:t xml:space="preserve"> v Bruslju pripravljali številna stališča za zasedanje svetovalcev </w:t>
      </w:r>
      <w:r w:rsidR="005F4A19">
        <w:rPr>
          <w:rFonts w:ascii="Arial" w:hAnsi="Arial" w:cs="Arial"/>
          <w:sz w:val="20"/>
          <w:szCs w:val="20"/>
        </w:rPr>
        <w:t xml:space="preserve">Sveta za pravosodje in </w:t>
      </w:r>
      <w:r w:rsidR="005F4A19" w:rsidRPr="005F4A19">
        <w:rPr>
          <w:rFonts w:ascii="Arial" w:hAnsi="Arial" w:cs="Arial"/>
          <w:sz w:val="20"/>
          <w:szCs w:val="20"/>
        </w:rPr>
        <w:t xml:space="preserve">notranje zadeve (Svet </w:t>
      </w:r>
      <w:r w:rsidRPr="005F4A19">
        <w:rPr>
          <w:rFonts w:ascii="Arial" w:hAnsi="Arial" w:cs="Arial"/>
          <w:sz w:val="20"/>
          <w:szCs w:val="20"/>
        </w:rPr>
        <w:t>PNZ</w:t>
      </w:r>
      <w:r w:rsidR="005F4A19" w:rsidRPr="005F4A19">
        <w:rPr>
          <w:rFonts w:ascii="Arial" w:hAnsi="Arial" w:cs="Arial"/>
          <w:sz w:val="20"/>
          <w:szCs w:val="20"/>
        </w:rPr>
        <w:t>)</w:t>
      </w:r>
      <w:r w:rsidRPr="005F4A19">
        <w:rPr>
          <w:rFonts w:ascii="Arial" w:hAnsi="Arial" w:cs="Arial"/>
          <w:sz w:val="20"/>
          <w:szCs w:val="20"/>
        </w:rPr>
        <w:t xml:space="preserve"> in druga zaseda</w:t>
      </w:r>
      <w:r w:rsidRPr="00D83239">
        <w:rPr>
          <w:rFonts w:ascii="Arial" w:hAnsi="Arial" w:cs="Arial"/>
          <w:sz w:val="20"/>
          <w:szCs w:val="20"/>
        </w:rPr>
        <w:t>nja iz delovnega področja.</w:t>
      </w:r>
    </w:p>
    <w:p w14:paraId="5A009A12" w14:textId="77777777" w:rsidR="00D83239" w:rsidRPr="00D83239" w:rsidRDefault="00D83239" w:rsidP="00D83239">
      <w:pPr>
        <w:pStyle w:val="Standard"/>
        <w:spacing w:after="0"/>
        <w:jc w:val="both"/>
        <w:rPr>
          <w:rFonts w:ascii="Arial" w:hAnsi="Arial" w:cs="Arial"/>
          <w:sz w:val="20"/>
          <w:szCs w:val="20"/>
        </w:rPr>
      </w:pPr>
    </w:p>
    <w:p w14:paraId="670C2F01" w14:textId="77777777" w:rsidR="005D4F96" w:rsidRPr="00D83239" w:rsidRDefault="005D4F96" w:rsidP="00EB35BF">
      <w:pPr>
        <w:pStyle w:val="Standard"/>
        <w:numPr>
          <w:ilvl w:val="0"/>
          <w:numId w:val="8"/>
        </w:numPr>
        <w:spacing w:after="0"/>
        <w:jc w:val="both"/>
        <w:rPr>
          <w:rFonts w:ascii="Arial" w:hAnsi="Arial" w:cs="Arial"/>
          <w:sz w:val="20"/>
          <w:szCs w:val="20"/>
        </w:rPr>
      </w:pPr>
      <w:r w:rsidRPr="00D83239">
        <w:rPr>
          <w:rFonts w:ascii="Arial" w:hAnsi="Arial" w:cs="Arial"/>
          <w:sz w:val="20"/>
          <w:szCs w:val="20"/>
        </w:rPr>
        <w:t>Agencija EU za azil (EUAA)</w:t>
      </w:r>
    </w:p>
    <w:p w14:paraId="59742436" w14:textId="47F9E85E" w:rsidR="005D4F96" w:rsidRPr="00D83239" w:rsidRDefault="000A2B5D" w:rsidP="00D83239">
      <w:pPr>
        <w:autoSpaceDE w:val="0"/>
        <w:spacing w:after="0" w:line="276" w:lineRule="auto"/>
        <w:jc w:val="both"/>
        <w:rPr>
          <w:rFonts w:ascii="Arial" w:hAnsi="Arial" w:cs="Arial"/>
          <w:sz w:val="20"/>
          <w:szCs w:val="20"/>
        </w:rPr>
      </w:pPr>
      <w:r>
        <w:rPr>
          <w:rFonts w:ascii="Arial" w:hAnsi="Arial" w:cs="Arial"/>
          <w:color w:val="000000"/>
          <w:sz w:val="20"/>
          <w:szCs w:val="20"/>
          <w:lang w:eastAsia="sl-SI"/>
        </w:rPr>
        <w:t>MNZ</w:t>
      </w:r>
      <w:r w:rsidR="005D4F96" w:rsidRPr="00D83239">
        <w:rPr>
          <w:rFonts w:ascii="Arial" w:hAnsi="Arial" w:cs="Arial"/>
          <w:color w:val="000000"/>
          <w:sz w:val="20"/>
          <w:szCs w:val="20"/>
          <w:lang w:eastAsia="sl-SI"/>
        </w:rPr>
        <w:t xml:space="preserve"> kot uradna kontaktna točka EUAA sodeluje na sestankih upravnega odbora (višji uradniki) in redno komunicira z EUAA v okviru različnih posvetovalnih skupin in mrež, ki pokrivajo relevantne elemente azilnega in sprejemnega sistema (mreža za sprejem, mreža za postopke mednarodne zaščite, mreža</w:t>
      </w:r>
      <w:r w:rsidR="00BF1D69" w:rsidRPr="00BF1D69">
        <w:rPr>
          <w:rFonts w:ascii="Arial" w:hAnsi="Arial" w:cs="Arial"/>
          <w:color w:val="000000"/>
          <w:sz w:val="20"/>
          <w:szCs w:val="20"/>
          <w:lang w:eastAsia="sl-SI"/>
        </w:rPr>
        <w:t xml:space="preserve"> </w:t>
      </w:r>
      <w:r w:rsidR="00BF1D69" w:rsidRPr="00D83239">
        <w:rPr>
          <w:rFonts w:ascii="Arial" w:hAnsi="Arial" w:cs="Arial"/>
          <w:color w:val="000000"/>
          <w:sz w:val="20"/>
          <w:szCs w:val="20"/>
          <w:lang w:eastAsia="sl-SI"/>
        </w:rPr>
        <w:t>Dublin</w:t>
      </w:r>
      <w:r w:rsidR="005D4F96" w:rsidRPr="00D83239">
        <w:rPr>
          <w:rFonts w:ascii="Arial" w:hAnsi="Arial" w:cs="Arial"/>
          <w:color w:val="000000"/>
          <w:sz w:val="20"/>
          <w:szCs w:val="20"/>
          <w:lang w:eastAsia="sl-SI"/>
        </w:rPr>
        <w:t>, mreža za sodelovanje s tretjimi državami, mreža za statistiko, mreža strokovnjakov za ranljivost, posvetovalna skupina</w:t>
      </w:r>
      <w:r w:rsidR="00BF1D69" w:rsidRPr="00BF1D69">
        <w:rPr>
          <w:rFonts w:ascii="Arial" w:hAnsi="Arial" w:cs="Arial"/>
          <w:color w:val="000000"/>
          <w:sz w:val="20"/>
          <w:szCs w:val="20"/>
          <w:lang w:eastAsia="sl-SI"/>
        </w:rPr>
        <w:t xml:space="preserve"> </w:t>
      </w:r>
      <w:r w:rsidR="00BF1D69" w:rsidRPr="00D83239">
        <w:rPr>
          <w:rFonts w:ascii="Arial" w:hAnsi="Arial" w:cs="Arial"/>
          <w:color w:val="000000"/>
          <w:sz w:val="20"/>
          <w:szCs w:val="20"/>
          <w:lang w:eastAsia="sl-SI"/>
        </w:rPr>
        <w:t>IDS</w:t>
      </w:r>
      <w:r w:rsidR="005D4F96" w:rsidRPr="00D83239">
        <w:rPr>
          <w:rFonts w:ascii="Arial" w:hAnsi="Arial" w:cs="Arial"/>
          <w:color w:val="000000"/>
          <w:sz w:val="20"/>
          <w:szCs w:val="20"/>
          <w:lang w:eastAsia="sl-SI"/>
        </w:rPr>
        <w:t xml:space="preserve">, posvetovalna skupina za spremljanje), </w:t>
      </w:r>
      <w:r w:rsidR="00265B93">
        <w:rPr>
          <w:rFonts w:ascii="Arial" w:hAnsi="Arial" w:cs="Arial"/>
          <w:color w:val="000000"/>
          <w:sz w:val="20"/>
          <w:szCs w:val="20"/>
          <w:lang w:eastAsia="sl-SI"/>
        </w:rPr>
        <w:t>ter</w:t>
      </w:r>
      <w:r w:rsidR="00265B93" w:rsidRPr="00D83239">
        <w:rPr>
          <w:rFonts w:ascii="Arial" w:hAnsi="Arial" w:cs="Arial"/>
          <w:color w:val="000000"/>
          <w:sz w:val="20"/>
          <w:szCs w:val="20"/>
          <w:lang w:eastAsia="sl-SI"/>
        </w:rPr>
        <w:t xml:space="preserve"> </w:t>
      </w:r>
      <w:r w:rsidR="005D4F96" w:rsidRPr="00D83239">
        <w:rPr>
          <w:rFonts w:ascii="Arial" w:hAnsi="Arial" w:cs="Arial"/>
          <w:color w:val="000000"/>
          <w:sz w:val="20"/>
          <w:szCs w:val="20"/>
          <w:lang w:eastAsia="sl-SI"/>
        </w:rPr>
        <w:t xml:space="preserve">drugih programov (IDS, </w:t>
      </w:r>
      <w:proofErr w:type="spellStart"/>
      <w:r w:rsidR="005D4F96" w:rsidRPr="00D83239">
        <w:rPr>
          <w:rFonts w:ascii="Arial" w:hAnsi="Arial" w:cs="Arial"/>
          <w:color w:val="000000"/>
          <w:sz w:val="20"/>
          <w:szCs w:val="20"/>
          <w:lang w:eastAsia="sl-SI"/>
        </w:rPr>
        <w:t>Query</w:t>
      </w:r>
      <w:proofErr w:type="spellEnd"/>
      <w:r w:rsidR="005D4F96" w:rsidRPr="00D83239">
        <w:rPr>
          <w:rFonts w:ascii="Arial" w:hAnsi="Arial" w:cs="Arial"/>
          <w:color w:val="000000"/>
          <w:sz w:val="20"/>
          <w:szCs w:val="20"/>
          <w:lang w:eastAsia="sl-SI"/>
        </w:rPr>
        <w:t xml:space="preserve">, </w:t>
      </w:r>
      <w:proofErr w:type="spellStart"/>
      <w:r w:rsidR="005D4F96" w:rsidRPr="00D83239">
        <w:rPr>
          <w:rFonts w:ascii="Arial" w:hAnsi="Arial" w:cs="Arial"/>
          <w:color w:val="000000"/>
          <w:sz w:val="20"/>
          <w:szCs w:val="20"/>
          <w:lang w:eastAsia="sl-SI"/>
        </w:rPr>
        <w:t>Case</w:t>
      </w:r>
      <w:proofErr w:type="spellEnd"/>
      <w:r w:rsidR="005D4F96" w:rsidRPr="00D83239">
        <w:rPr>
          <w:rFonts w:ascii="Arial" w:hAnsi="Arial" w:cs="Arial"/>
          <w:color w:val="000000"/>
          <w:sz w:val="20"/>
          <w:szCs w:val="20"/>
          <w:lang w:eastAsia="sl-SI"/>
        </w:rPr>
        <w:t xml:space="preserve"> </w:t>
      </w:r>
      <w:proofErr w:type="spellStart"/>
      <w:r w:rsidR="005D4F96" w:rsidRPr="00D83239">
        <w:rPr>
          <w:rFonts w:ascii="Arial" w:hAnsi="Arial" w:cs="Arial"/>
          <w:color w:val="000000"/>
          <w:sz w:val="20"/>
          <w:szCs w:val="20"/>
          <w:lang w:eastAsia="sl-SI"/>
        </w:rPr>
        <w:t>law</w:t>
      </w:r>
      <w:proofErr w:type="spellEnd"/>
      <w:r w:rsidR="005D4F96" w:rsidRPr="00D83239">
        <w:rPr>
          <w:rFonts w:ascii="Arial" w:hAnsi="Arial" w:cs="Arial"/>
          <w:color w:val="000000"/>
          <w:sz w:val="20"/>
          <w:szCs w:val="20"/>
          <w:lang w:eastAsia="sl-SI"/>
        </w:rPr>
        <w:t xml:space="preserve">). V letu 2025 so javni uslužbenci </w:t>
      </w:r>
      <w:r>
        <w:rPr>
          <w:rFonts w:ascii="Arial" w:hAnsi="Arial" w:cs="Arial"/>
          <w:color w:val="000000"/>
          <w:sz w:val="20"/>
          <w:szCs w:val="20"/>
          <w:lang w:eastAsia="sl-SI"/>
        </w:rPr>
        <w:t>MNZ</w:t>
      </w:r>
      <w:r w:rsidR="005D4F96" w:rsidRPr="00D83239">
        <w:rPr>
          <w:rFonts w:ascii="Arial" w:hAnsi="Arial" w:cs="Arial"/>
          <w:color w:val="000000"/>
          <w:sz w:val="20"/>
          <w:szCs w:val="20"/>
          <w:lang w:eastAsia="sl-SI"/>
        </w:rPr>
        <w:t xml:space="preserve"> odgovorili na skupno 43 vprašalnikov držav članic in EUAA, prispevali k letnemu poročilu, redno </w:t>
      </w:r>
      <w:r w:rsidR="00BF1D69">
        <w:rPr>
          <w:rFonts w:ascii="Arial" w:hAnsi="Arial" w:cs="Arial"/>
          <w:color w:val="000000"/>
          <w:sz w:val="20"/>
          <w:szCs w:val="20"/>
          <w:lang w:eastAsia="sl-SI"/>
        </w:rPr>
        <w:t>sporoč</w:t>
      </w:r>
      <w:r w:rsidR="005D4F96" w:rsidRPr="00D83239">
        <w:rPr>
          <w:rFonts w:ascii="Arial" w:hAnsi="Arial" w:cs="Arial"/>
          <w:color w:val="000000"/>
          <w:sz w:val="20"/>
          <w:szCs w:val="20"/>
          <w:lang w:eastAsia="sl-SI"/>
        </w:rPr>
        <w:t>ali relevantne podatke s področja mednarodne zaščite v Sloveniji ter sodelovali pri pregledu in pripravi drugih relevantnih dokumentov, smernic, poročil in orodij.</w:t>
      </w:r>
    </w:p>
    <w:p w14:paraId="579E0634" w14:textId="77777777" w:rsidR="005D4F96" w:rsidRPr="00D83239" w:rsidRDefault="005D4F96" w:rsidP="00D83239">
      <w:pPr>
        <w:tabs>
          <w:tab w:val="left" w:pos="-720"/>
          <w:tab w:val="left" w:pos="0"/>
          <w:tab w:val="left" w:pos="720"/>
          <w:tab w:val="left" w:pos="1440"/>
          <w:tab w:val="left" w:pos="2160"/>
          <w:tab w:val="left" w:pos="2880"/>
          <w:tab w:val="left" w:pos="3600"/>
          <w:tab w:val="left" w:pos="4320"/>
        </w:tabs>
        <w:autoSpaceDE w:val="0"/>
        <w:spacing w:after="0" w:line="276" w:lineRule="auto"/>
        <w:jc w:val="both"/>
        <w:rPr>
          <w:rFonts w:ascii="Arial" w:hAnsi="Arial" w:cs="Arial"/>
          <w:color w:val="000000"/>
          <w:sz w:val="20"/>
          <w:szCs w:val="20"/>
          <w:lang w:eastAsia="sl-SI"/>
        </w:rPr>
      </w:pPr>
    </w:p>
    <w:p w14:paraId="6460E9E1" w14:textId="26639A9C" w:rsidR="005D4F96" w:rsidRPr="00D83239" w:rsidRDefault="005D4F96" w:rsidP="00D83239">
      <w:pPr>
        <w:tabs>
          <w:tab w:val="left" w:pos="-720"/>
          <w:tab w:val="left" w:pos="0"/>
          <w:tab w:val="left" w:pos="720"/>
          <w:tab w:val="left" w:pos="1440"/>
          <w:tab w:val="left" w:pos="2160"/>
          <w:tab w:val="left" w:pos="2880"/>
          <w:tab w:val="left" w:pos="3600"/>
          <w:tab w:val="left" w:pos="4320"/>
        </w:tabs>
        <w:autoSpaceDE w:val="0"/>
        <w:spacing w:after="0" w:line="276" w:lineRule="auto"/>
        <w:jc w:val="both"/>
        <w:rPr>
          <w:rFonts w:ascii="Arial" w:hAnsi="Arial" w:cs="Arial"/>
          <w:color w:val="000000"/>
          <w:sz w:val="20"/>
          <w:szCs w:val="20"/>
          <w:lang w:eastAsia="sl-SI"/>
        </w:rPr>
      </w:pPr>
      <w:r w:rsidRPr="005F4A19">
        <w:rPr>
          <w:rFonts w:ascii="Arial" w:hAnsi="Arial" w:cs="Arial"/>
          <w:color w:val="000000"/>
          <w:sz w:val="20"/>
          <w:szCs w:val="20"/>
          <w:lang w:eastAsia="sl-SI"/>
        </w:rPr>
        <w:t xml:space="preserve">V letu 2025 se je javni uslužbenec </w:t>
      </w:r>
      <w:r w:rsidR="000A2B5D" w:rsidRPr="005F4A19">
        <w:rPr>
          <w:rFonts w:ascii="Arial" w:hAnsi="Arial" w:cs="Arial"/>
          <w:color w:val="000000"/>
          <w:sz w:val="20"/>
          <w:szCs w:val="20"/>
          <w:lang w:eastAsia="sl-SI"/>
        </w:rPr>
        <w:t>MNZ</w:t>
      </w:r>
      <w:r w:rsidRPr="005F4A19">
        <w:rPr>
          <w:rFonts w:ascii="Arial" w:hAnsi="Arial" w:cs="Arial"/>
          <w:color w:val="000000"/>
          <w:sz w:val="20"/>
          <w:szCs w:val="20"/>
          <w:lang w:eastAsia="sl-SI"/>
        </w:rPr>
        <w:t xml:space="preserve"> udeležil usposabljanja po modulu EUAA, in sicer v modulu Otroci v azilnem postopku. V zvezi </w:t>
      </w:r>
      <w:r w:rsidR="00BF1D69" w:rsidRPr="005F4A19">
        <w:rPr>
          <w:rFonts w:ascii="Arial" w:hAnsi="Arial" w:cs="Arial"/>
          <w:color w:val="000000"/>
          <w:sz w:val="20"/>
          <w:szCs w:val="20"/>
          <w:lang w:eastAsia="sl-SI"/>
        </w:rPr>
        <w:t>z Evropskim p</w:t>
      </w:r>
      <w:r w:rsidRPr="005F4A19">
        <w:rPr>
          <w:rFonts w:ascii="Arial" w:hAnsi="Arial" w:cs="Arial"/>
          <w:color w:val="000000"/>
          <w:sz w:val="20"/>
          <w:szCs w:val="20"/>
          <w:lang w:eastAsia="sl-SI"/>
        </w:rPr>
        <w:t xml:space="preserve">aktom o migracijah in azilu so potekala usposabljanja po štirih vsebinskih sklopih. Sklopa glede Uredbe o upravljanju migracij in azila se je udeležilo 7 javnih uslužbencev, sklopa Azilni postopek v Paktu o migracijah in azilu se je udeležilo 17 javnih uslužbencev, sklopa Pakt o migracijah in azilu: Ključne zakonodajne spremembe se je udeležilo 5 javnih uslužbencev, sklopa Ranljivost v Paktu o migracijah in azilu pa 15 javnih uslužbencev </w:t>
      </w:r>
      <w:r w:rsidR="000A2B5D" w:rsidRPr="005F4A19">
        <w:rPr>
          <w:rFonts w:ascii="Arial" w:hAnsi="Arial" w:cs="Arial"/>
          <w:color w:val="000000"/>
          <w:sz w:val="20"/>
          <w:szCs w:val="20"/>
          <w:lang w:eastAsia="sl-SI"/>
        </w:rPr>
        <w:t>MNZ</w:t>
      </w:r>
      <w:r w:rsidRPr="005F4A19">
        <w:rPr>
          <w:rFonts w:ascii="Arial" w:hAnsi="Arial" w:cs="Arial"/>
          <w:color w:val="000000"/>
          <w:sz w:val="20"/>
          <w:szCs w:val="20"/>
          <w:lang w:eastAsia="sl-SI"/>
        </w:rPr>
        <w:t>.</w:t>
      </w:r>
    </w:p>
    <w:p w14:paraId="74F959A4" w14:textId="77777777" w:rsidR="005D4F96" w:rsidRPr="00D83239" w:rsidRDefault="005D4F96" w:rsidP="00D83239">
      <w:pPr>
        <w:tabs>
          <w:tab w:val="left" w:pos="-720"/>
          <w:tab w:val="left" w:pos="0"/>
          <w:tab w:val="left" w:pos="720"/>
          <w:tab w:val="left" w:pos="1440"/>
          <w:tab w:val="left" w:pos="2160"/>
          <w:tab w:val="left" w:pos="2880"/>
          <w:tab w:val="left" w:pos="3600"/>
          <w:tab w:val="left" w:pos="4320"/>
        </w:tabs>
        <w:autoSpaceDE w:val="0"/>
        <w:spacing w:after="0" w:line="276" w:lineRule="auto"/>
        <w:jc w:val="both"/>
        <w:rPr>
          <w:rFonts w:ascii="Arial" w:hAnsi="Arial" w:cs="Arial"/>
          <w:color w:val="000000"/>
          <w:sz w:val="20"/>
          <w:szCs w:val="20"/>
          <w:lang w:eastAsia="sl-SI"/>
        </w:rPr>
      </w:pPr>
    </w:p>
    <w:p w14:paraId="1CF0E0EA" w14:textId="77777777" w:rsidR="005D4F96" w:rsidRPr="00D83239" w:rsidRDefault="005D4F96" w:rsidP="00EB35BF">
      <w:pPr>
        <w:pStyle w:val="Standard"/>
        <w:numPr>
          <w:ilvl w:val="0"/>
          <w:numId w:val="8"/>
        </w:numPr>
        <w:spacing w:after="0"/>
        <w:jc w:val="both"/>
        <w:rPr>
          <w:rFonts w:ascii="Arial" w:hAnsi="Arial" w:cs="Arial"/>
          <w:sz w:val="20"/>
          <w:szCs w:val="20"/>
        </w:rPr>
      </w:pPr>
      <w:r w:rsidRPr="00D83239">
        <w:rPr>
          <w:rFonts w:ascii="Arial" w:hAnsi="Arial" w:cs="Arial"/>
          <w:sz w:val="20"/>
          <w:szCs w:val="20"/>
        </w:rPr>
        <w:t>Evropska migracijska mreža (EMN)</w:t>
      </w:r>
    </w:p>
    <w:p w14:paraId="5FF1400E" w14:textId="445F9612" w:rsidR="005D4F96" w:rsidRPr="00D83239" w:rsidRDefault="005D4F96" w:rsidP="005F4A19">
      <w:pPr>
        <w:autoSpaceDE w:val="0"/>
        <w:spacing w:after="0" w:line="276" w:lineRule="auto"/>
        <w:jc w:val="both"/>
        <w:rPr>
          <w:rFonts w:ascii="Arial" w:hAnsi="Arial" w:cs="Arial"/>
          <w:sz w:val="20"/>
          <w:szCs w:val="20"/>
        </w:rPr>
      </w:pPr>
      <w:r w:rsidRPr="00D83239">
        <w:rPr>
          <w:rFonts w:ascii="Arial" w:hAnsi="Arial" w:cs="Arial"/>
          <w:sz w:val="20"/>
          <w:szCs w:val="20"/>
        </w:rPr>
        <w:t xml:space="preserve">EMN zagotavlja najnovejše, objektivne, zanesljive in primerljive informacije o migracijah in azilu ter s tem nudi podporo pri oblikovanju politik v Evropski uniji, njenih državah članicah in državah opazovalkah v EMN. </w:t>
      </w:r>
    </w:p>
    <w:p w14:paraId="717C1858" w14:textId="77777777" w:rsidR="005F4A19" w:rsidRDefault="005F4A19" w:rsidP="00EB35BF">
      <w:pPr>
        <w:autoSpaceDE w:val="0"/>
        <w:spacing w:after="0" w:line="276" w:lineRule="auto"/>
        <w:jc w:val="both"/>
        <w:rPr>
          <w:rFonts w:ascii="Arial" w:hAnsi="Arial" w:cs="Arial"/>
          <w:sz w:val="20"/>
          <w:szCs w:val="20"/>
        </w:rPr>
      </w:pPr>
    </w:p>
    <w:p w14:paraId="45334B20" w14:textId="78E4576F" w:rsidR="005D4F96" w:rsidRPr="00D83239" w:rsidRDefault="005D4F96" w:rsidP="00EB35BF">
      <w:pPr>
        <w:autoSpaceDE w:val="0"/>
        <w:spacing w:after="0" w:line="276" w:lineRule="auto"/>
        <w:jc w:val="both"/>
        <w:rPr>
          <w:rFonts w:ascii="Arial" w:hAnsi="Arial" w:cs="Arial"/>
          <w:sz w:val="20"/>
          <w:szCs w:val="20"/>
        </w:rPr>
      </w:pPr>
      <w:r w:rsidRPr="00D83239">
        <w:rPr>
          <w:rFonts w:ascii="Arial" w:hAnsi="Arial" w:cs="Arial"/>
          <w:sz w:val="20"/>
          <w:szCs w:val="20"/>
        </w:rPr>
        <w:t xml:space="preserve">V letu 2025 je slovenska nacionalna kontaktna točka (NKT) v EMN </w:t>
      </w:r>
      <w:r w:rsidRPr="005F4A19">
        <w:rPr>
          <w:rFonts w:ascii="Arial" w:hAnsi="Arial" w:cs="Arial"/>
          <w:sz w:val="20"/>
          <w:szCs w:val="20"/>
        </w:rPr>
        <w:t xml:space="preserve">zagotovila odgovore na skupno 77 namenskih poizvedb z različnih </w:t>
      </w:r>
      <w:proofErr w:type="spellStart"/>
      <w:r w:rsidRPr="005F4A19">
        <w:rPr>
          <w:rFonts w:ascii="Arial" w:hAnsi="Arial" w:cs="Arial"/>
          <w:sz w:val="20"/>
          <w:szCs w:val="20"/>
        </w:rPr>
        <w:t>podpodročij</w:t>
      </w:r>
      <w:proofErr w:type="spellEnd"/>
      <w:r w:rsidRPr="005F4A19">
        <w:rPr>
          <w:rFonts w:ascii="Arial" w:hAnsi="Arial" w:cs="Arial"/>
          <w:sz w:val="20"/>
          <w:szCs w:val="20"/>
        </w:rPr>
        <w:t xml:space="preserve"> migracij in azila, od tega je</w:t>
      </w:r>
      <w:r w:rsidR="005F4A19" w:rsidRPr="005F4A19">
        <w:rPr>
          <w:rFonts w:ascii="Arial" w:hAnsi="Arial" w:cs="Arial"/>
          <w:sz w:val="20"/>
          <w:szCs w:val="20"/>
        </w:rPr>
        <w:t xml:space="preserve"> </w:t>
      </w:r>
      <w:r w:rsidRPr="005F4A19">
        <w:rPr>
          <w:rFonts w:ascii="Arial" w:hAnsi="Arial" w:cs="Arial"/>
          <w:sz w:val="20"/>
          <w:szCs w:val="20"/>
        </w:rPr>
        <w:t>NKT objavila</w:t>
      </w:r>
      <w:r w:rsidRPr="00D83239">
        <w:rPr>
          <w:rFonts w:ascii="Arial" w:hAnsi="Arial" w:cs="Arial"/>
          <w:sz w:val="20"/>
          <w:szCs w:val="20"/>
        </w:rPr>
        <w:t xml:space="preserve"> poizvedbo na temo vloge delodajalca pri integraciji zaposlenih državljanov tretjih držav. V sklopu svojega mandata je NKT v letu 2025 zagotovila nacionalne prispevke za 12 publikacij</w:t>
      </w:r>
      <w:r w:rsidR="006D63BA" w:rsidRPr="006D63BA">
        <w:rPr>
          <w:rFonts w:ascii="Arial" w:hAnsi="Arial" w:cs="Arial"/>
          <w:sz w:val="20"/>
          <w:szCs w:val="20"/>
        </w:rPr>
        <w:t xml:space="preserve"> </w:t>
      </w:r>
      <w:r w:rsidR="006D63BA" w:rsidRPr="00D83239">
        <w:rPr>
          <w:rFonts w:ascii="Arial" w:hAnsi="Arial" w:cs="Arial"/>
          <w:sz w:val="20"/>
          <w:szCs w:val="20"/>
        </w:rPr>
        <w:t>EMN</w:t>
      </w:r>
      <w:r w:rsidRPr="00D83239">
        <w:rPr>
          <w:rFonts w:ascii="Arial" w:hAnsi="Arial" w:cs="Arial"/>
          <w:sz w:val="20"/>
          <w:szCs w:val="20"/>
        </w:rPr>
        <w:t xml:space="preserve">, </w:t>
      </w:r>
      <w:r w:rsidR="00BF1D69">
        <w:rPr>
          <w:rFonts w:ascii="Arial" w:hAnsi="Arial" w:cs="Arial"/>
          <w:sz w:val="20"/>
          <w:szCs w:val="20"/>
        </w:rPr>
        <w:t>natančneje,</w:t>
      </w:r>
      <w:r w:rsidR="00BF1D69" w:rsidRPr="00D83239">
        <w:rPr>
          <w:rFonts w:ascii="Arial" w:hAnsi="Arial" w:cs="Arial"/>
          <w:sz w:val="20"/>
          <w:szCs w:val="20"/>
        </w:rPr>
        <w:t xml:space="preserve"> </w:t>
      </w:r>
      <w:r w:rsidRPr="00D83239">
        <w:rPr>
          <w:rFonts w:ascii="Arial" w:hAnsi="Arial" w:cs="Arial"/>
          <w:sz w:val="20"/>
          <w:szCs w:val="20"/>
        </w:rPr>
        <w:t xml:space="preserve">za </w:t>
      </w:r>
      <w:r w:rsidR="00BF1D69">
        <w:rPr>
          <w:rFonts w:ascii="Arial" w:hAnsi="Arial" w:cs="Arial"/>
          <w:sz w:val="20"/>
          <w:szCs w:val="20"/>
        </w:rPr>
        <w:t>deset</w:t>
      </w:r>
      <w:r w:rsidR="00BF1D69" w:rsidRPr="00D83239">
        <w:rPr>
          <w:rFonts w:ascii="Arial" w:hAnsi="Arial" w:cs="Arial"/>
          <w:sz w:val="20"/>
          <w:szCs w:val="20"/>
        </w:rPr>
        <w:t xml:space="preserve"> </w:t>
      </w:r>
      <w:r w:rsidRPr="00D83239">
        <w:rPr>
          <w:rFonts w:ascii="Arial" w:hAnsi="Arial" w:cs="Arial"/>
          <w:sz w:val="20"/>
          <w:szCs w:val="20"/>
        </w:rPr>
        <w:t xml:space="preserve">informatorjev in dve študiji. Zagotovila je tudi nacionalni prispevek za </w:t>
      </w:r>
      <w:r w:rsidR="00146225">
        <w:rPr>
          <w:rFonts w:ascii="Arial" w:hAnsi="Arial" w:cs="Arial"/>
          <w:sz w:val="20"/>
          <w:szCs w:val="20"/>
        </w:rPr>
        <w:t>l</w:t>
      </w:r>
      <w:r w:rsidRPr="00D83239">
        <w:rPr>
          <w:rFonts w:ascii="Arial" w:hAnsi="Arial" w:cs="Arial"/>
          <w:sz w:val="20"/>
          <w:szCs w:val="20"/>
        </w:rPr>
        <w:t>etno poročilo o migracijah in azilu ter za četrtletna poročila</w:t>
      </w:r>
      <w:r w:rsidR="00146225" w:rsidRPr="00146225">
        <w:rPr>
          <w:rFonts w:ascii="Arial" w:hAnsi="Arial" w:cs="Arial"/>
          <w:sz w:val="20"/>
          <w:szCs w:val="20"/>
        </w:rPr>
        <w:t xml:space="preserve"> </w:t>
      </w:r>
      <w:r w:rsidR="00146225" w:rsidRPr="00D83239">
        <w:rPr>
          <w:rFonts w:ascii="Arial" w:hAnsi="Arial" w:cs="Arial"/>
          <w:sz w:val="20"/>
          <w:szCs w:val="20"/>
        </w:rPr>
        <w:t>EMN</w:t>
      </w:r>
      <w:r w:rsidRPr="00D83239">
        <w:rPr>
          <w:rFonts w:ascii="Arial" w:hAnsi="Arial" w:cs="Arial"/>
          <w:sz w:val="20"/>
          <w:szCs w:val="20"/>
        </w:rPr>
        <w:t xml:space="preserve">, v katerih so predstavljene spremembe migracijske politike in zakonodaje na področjih zakonitih migracij, mednarodne zaščite, mladoletnikov in drugih ranljivih skupin, vključevanja, državljanstva in oseb brez državljanstva, upravljanja zunanjih meja, nezakonitih migracij, preprečevanja trgovine z ljudmi in boja proti njej, vračanja in ponovnega sprejema ter mednarodnega sodelovanja na področju migracij. </w:t>
      </w:r>
    </w:p>
    <w:p w14:paraId="77BBA733" w14:textId="77777777" w:rsidR="00EB35BF" w:rsidRDefault="00EB35BF" w:rsidP="00EB35BF">
      <w:pPr>
        <w:autoSpaceDE w:val="0"/>
        <w:spacing w:after="0" w:line="276" w:lineRule="auto"/>
        <w:jc w:val="both"/>
        <w:rPr>
          <w:rFonts w:ascii="Arial" w:hAnsi="Arial" w:cs="Arial"/>
          <w:sz w:val="20"/>
          <w:szCs w:val="20"/>
        </w:rPr>
      </w:pPr>
    </w:p>
    <w:p w14:paraId="5BD5F5FF" w14:textId="5FD004FE" w:rsidR="005D4F96" w:rsidRPr="00D83239" w:rsidRDefault="005D4F96" w:rsidP="00D83239">
      <w:pPr>
        <w:autoSpaceDE w:val="0"/>
        <w:spacing w:line="276" w:lineRule="auto"/>
        <w:jc w:val="both"/>
        <w:rPr>
          <w:rFonts w:ascii="Arial" w:hAnsi="Arial" w:cs="Arial"/>
          <w:sz w:val="20"/>
          <w:szCs w:val="20"/>
        </w:rPr>
      </w:pPr>
      <w:r w:rsidRPr="00D83239">
        <w:rPr>
          <w:rFonts w:ascii="Arial" w:hAnsi="Arial" w:cs="Arial"/>
          <w:sz w:val="20"/>
          <w:szCs w:val="20"/>
        </w:rPr>
        <w:t xml:space="preserve">V letu 2025 so strokovnjaki posameznih področij strokovno sodelovali v sedmih delovnih skupinah znotraj mreže </w:t>
      </w:r>
      <w:r w:rsidR="00146225" w:rsidRPr="00D83239">
        <w:rPr>
          <w:rFonts w:ascii="Arial" w:hAnsi="Arial" w:cs="Arial"/>
          <w:sz w:val="20"/>
          <w:szCs w:val="20"/>
        </w:rPr>
        <w:t xml:space="preserve">EMN </w:t>
      </w:r>
      <w:r w:rsidRPr="00D83239">
        <w:rPr>
          <w:rFonts w:ascii="Arial" w:hAnsi="Arial" w:cs="Arial"/>
          <w:sz w:val="20"/>
          <w:szCs w:val="20"/>
        </w:rPr>
        <w:t>ter se udeležili trinajst dogodkov pod pokroviteljstvom EMN, vključno s predsedstveno konferenco EMN Poljske na temo boja proti nezakonitim migracijam.</w:t>
      </w:r>
    </w:p>
    <w:p w14:paraId="3A4B1CA4" w14:textId="77777777" w:rsidR="005D4F96" w:rsidRPr="009512D6" w:rsidRDefault="005D4F96" w:rsidP="00EB35BF">
      <w:pPr>
        <w:pStyle w:val="Standard"/>
        <w:numPr>
          <w:ilvl w:val="0"/>
          <w:numId w:val="8"/>
        </w:numPr>
        <w:spacing w:after="0"/>
        <w:jc w:val="both"/>
        <w:rPr>
          <w:rFonts w:ascii="Arial" w:hAnsi="Arial" w:cs="Arial"/>
          <w:sz w:val="20"/>
          <w:szCs w:val="20"/>
        </w:rPr>
      </w:pPr>
      <w:r w:rsidRPr="009512D6">
        <w:rPr>
          <w:rFonts w:ascii="Arial" w:hAnsi="Arial" w:cs="Arial"/>
          <w:sz w:val="20"/>
          <w:szCs w:val="20"/>
        </w:rPr>
        <w:t>GDISC</w:t>
      </w:r>
    </w:p>
    <w:p w14:paraId="6E9693B8" w14:textId="09AC0E33" w:rsidR="005D4F96" w:rsidRPr="00D83239" w:rsidRDefault="005D4F96" w:rsidP="00D83239">
      <w:pPr>
        <w:autoSpaceDE w:val="0"/>
        <w:spacing w:after="0" w:line="276" w:lineRule="auto"/>
        <w:jc w:val="both"/>
        <w:rPr>
          <w:rFonts w:ascii="Arial" w:hAnsi="Arial" w:cs="Arial"/>
          <w:b/>
          <w:sz w:val="20"/>
          <w:szCs w:val="20"/>
          <w:lang w:eastAsia="sl-SI"/>
        </w:rPr>
      </w:pPr>
      <w:r w:rsidRPr="009512D6">
        <w:rPr>
          <w:rFonts w:ascii="Arial" w:eastAsia="Arial" w:hAnsi="Arial" w:cs="Arial"/>
          <w:sz w:val="20"/>
          <w:szCs w:val="20"/>
        </w:rPr>
        <w:t xml:space="preserve">Slovenska nacionalna kontaktna točka, ki deluje v okviru </w:t>
      </w:r>
      <w:r w:rsidR="000A2B5D" w:rsidRPr="009512D6">
        <w:rPr>
          <w:rFonts w:ascii="Arial" w:eastAsia="Arial" w:hAnsi="Arial" w:cs="Arial"/>
          <w:sz w:val="20"/>
          <w:szCs w:val="20"/>
        </w:rPr>
        <w:t>MNZ</w:t>
      </w:r>
      <w:r w:rsidR="00146225" w:rsidRPr="009512D6">
        <w:rPr>
          <w:rFonts w:ascii="Arial" w:eastAsia="Arial" w:hAnsi="Arial" w:cs="Arial"/>
          <w:sz w:val="20"/>
          <w:szCs w:val="20"/>
        </w:rPr>
        <w:t>,</w:t>
      </w:r>
      <w:r w:rsidRPr="009512D6">
        <w:rPr>
          <w:rFonts w:ascii="Arial" w:eastAsia="Arial" w:hAnsi="Arial" w:cs="Arial"/>
          <w:sz w:val="20"/>
          <w:szCs w:val="20"/>
        </w:rPr>
        <w:t xml:space="preserve"> je v neformalni mreži GDISC v letu 2025 zagotovila odgovore na sedem ad hoc poizvedb držav članic neformalne mreže s področja zakonitih migracij in mednarodne zaščite. </w:t>
      </w:r>
      <w:r w:rsidR="00EB4852" w:rsidRPr="009512D6">
        <w:rPr>
          <w:rFonts w:ascii="Arial" w:eastAsia="Arial" w:hAnsi="Arial" w:cs="Arial"/>
          <w:sz w:val="20"/>
          <w:szCs w:val="20"/>
        </w:rPr>
        <w:t>Predstavnik</w:t>
      </w:r>
      <w:r w:rsidR="005F4A19" w:rsidRPr="009512D6">
        <w:rPr>
          <w:rFonts w:ascii="Arial" w:eastAsia="Arial" w:hAnsi="Arial" w:cs="Arial"/>
          <w:sz w:val="20"/>
          <w:szCs w:val="20"/>
        </w:rPr>
        <w:t>i</w:t>
      </w:r>
      <w:r w:rsidR="00EB4852" w:rsidRPr="009512D6">
        <w:rPr>
          <w:rFonts w:ascii="Arial" w:eastAsia="Arial" w:hAnsi="Arial" w:cs="Arial"/>
          <w:sz w:val="20"/>
          <w:szCs w:val="20"/>
        </w:rPr>
        <w:t xml:space="preserve"> MNZ</w:t>
      </w:r>
      <w:r w:rsidRPr="009512D6">
        <w:rPr>
          <w:rFonts w:ascii="Arial" w:eastAsia="Arial" w:hAnsi="Arial" w:cs="Arial"/>
          <w:sz w:val="20"/>
          <w:szCs w:val="20"/>
        </w:rPr>
        <w:t xml:space="preserve"> </w:t>
      </w:r>
      <w:r w:rsidR="005F4A19" w:rsidRPr="009512D6">
        <w:rPr>
          <w:rFonts w:ascii="Arial" w:eastAsia="Arial" w:hAnsi="Arial" w:cs="Arial"/>
          <w:sz w:val="20"/>
          <w:szCs w:val="20"/>
        </w:rPr>
        <w:t xml:space="preserve">so </w:t>
      </w:r>
      <w:r w:rsidRPr="009512D6">
        <w:rPr>
          <w:rFonts w:ascii="Arial" w:eastAsia="Arial" w:hAnsi="Arial" w:cs="Arial"/>
          <w:sz w:val="20"/>
          <w:szCs w:val="20"/>
        </w:rPr>
        <w:t>se udeležil letne konference mreže, dveh sestankov mreže nacionalnih kontaktnih točk</w:t>
      </w:r>
      <w:r w:rsidR="009512D6">
        <w:rPr>
          <w:rFonts w:ascii="Arial" w:eastAsia="Arial" w:hAnsi="Arial" w:cs="Arial"/>
          <w:sz w:val="20"/>
          <w:szCs w:val="20"/>
        </w:rPr>
        <w:t xml:space="preserve"> in </w:t>
      </w:r>
      <w:r w:rsidRPr="009512D6">
        <w:rPr>
          <w:rFonts w:ascii="Arial" w:eastAsia="Arial" w:hAnsi="Arial" w:cs="Arial"/>
          <w:sz w:val="20"/>
          <w:szCs w:val="20"/>
        </w:rPr>
        <w:t>naslednjih sestankov mini neformalnih mrež, ki delujejo znotraj GDISC: enega sestanka mreže, ki se ukvarja s prognozami, analizami trendov in preverjanjem napovedi migracij, enega sestanka varnostne mreže, katere namen je okrepiti mednarodno sodelovanje na področju povezave med migracijami in varnostjo</w:t>
      </w:r>
      <w:r w:rsidR="00146225" w:rsidRPr="009512D6">
        <w:rPr>
          <w:rFonts w:ascii="Arial" w:eastAsia="Arial" w:hAnsi="Arial" w:cs="Arial"/>
          <w:sz w:val="20"/>
          <w:szCs w:val="20"/>
        </w:rPr>
        <w:t>,</w:t>
      </w:r>
      <w:r w:rsidRPr="00D83239">
        <w:rPr>
          <w:rFonts w:ascii="Arial" w:eastAsia="Arial" w:hAnsi="Arial" w:cs="Arial"/>
          <w:sz w:val="20"/>
          <w:szCs w:val="20"/>
        </w:rPr>
        <w:t xml:space="preserve"> </w:t>
      </w:r>
      <w:r w:rsidR="00146225">
        <w:rPr>
          <w:rFonts w:ascii="Arial" w:eastAsia="Arial" w:hAnsi="Arial" w:cs="Arial"/>
          <w:sz w:val="20"/>
          <w:szCs w:val="20"/>
        </w:rPr>
        <w:t>ter</w:t>
      </w:r>
      <w:r w:rsidR="00146225" w:rsidRPr="00D83239">
        <w:rPr>
          <w:rFonts w:ascii="Arial" w:eastAsia="Arial" w:hAnsi="Arial" w:cs="Arial"/>
          <w:sz w:val="20"/>
          <w:szCs w:val="20"/>
        </w:rPr>
        <w:t xml:space="preserve"> </w:t>
      </w:r>
      <w:r w:rsidRPr="00D83239">
        <w:rPr>
          <w:rFonts w:ascii="Arial" w:eastAsia="Arial" w:hAnsi="Arial" w:cs="Arial"/>
          <w:sz w:val="20"/>
          <w:szCs w:val="20"/>
        </w:rPr>
        <w:t xml:space="preserve">enega sestanka mreže za zakonite migracije. Mini mreže so dragocene platforme za izmenjavo informacij in gradnjo </w:t>
      </w:r>
      <w:r w:rsidR="00146225">
        <w:rPr>
          <w:rFonts w:ascii="Arial" w:eastAsia="Arial" w:hAnsi="Arial" w:cs="Arial"/>
          <w:sz w:val="20"/>
          <w:szCs w:val="20"/>
        </w:rPr>
        <w:t>zbirke</w:t>
      </w:r>
      <w:r w:rsidR="00146225" w:rsidRPr="00D83239">
        <w:rPr>
          <w:rFonts w:ascii="Arial" w:eastAsia="Arial" w:hAnsi="Arial" w:cs="Arial"/>
          <w:sz w:val="20"/>
          <w:szCs w:val="20"/>
        </w:rPr>
        <w:t xml:space="preserve"> </w:t>
      </w:r>
      <w:r w:rsidRPr="00D83239">
        <w:rPr>
          <w:rFonts w:ascii="Arial" w:eastAsia="Arial" w:hAnsi="Arial" w:cs="Arial"/>
          <w:sz w:val="20"/>
          <w:szCs w:val="20"/>
        </w:rPr>
        <w:t>znanja o določenih temah.</w:t>
      </w:r>
    </w:p>
    <w:p w14:paraId="04551E41" w14:textId="0D8184FD" w:rsidR="00DA7739" w:rsidRPr="00D83239" w:rsidRDefault="00DA7739" w:rsidP="00D83239">
      <w:pPr>
        <w:autoSpaceDE w:val="0"/>
        <w:autoSpaceDN w:val="0"/>
        <w:adjustRightInd w:val="0"/>
        <w:spacing w:after="0" w:line="276" w:lineRule="auto"/>
        <w:jc w:val="both"/>
        <w:rPr>
          <w:rFonts w:ascii="Arial" w:hAnsi="Arial" w:cs="Arial"/>
          <w:sz w:val="20"/>
          <w:szCs w:val="20"/>
          <w:highlight w:val="yellow"/>
          <w:u w:val="single"/>
          <w:lang w:eastAsia="sl-SI"/>
        </w:rPr>
      </w:pPr>
    </w:p>
    <w:p w14:paraId="075CB932" w14:textId="06B27169" w:rsidR="00310F1D" w:rsidRPr="00D83239" w:rsidRDefault="001D478C" w:rsidP="00D83239">
      <w:pPr>
        <w:pStyle w:val="Naslov1"/>
        <w:spacing w:after="0" w:line="276" w:lineRule="auto"/>
        <w:jc w:val="both"/>
        <w:rPr>
          <w:color w:val="auto"/>
        </w:rPr>
      </w:pPr>
      <w:bookmarkStart w:id="110" w:name="_Toc65591466"/>
      <w:bookmarkStart w:id="111" w:name="_Toc65651017"/>
      <w:bookmarkStart w:id="112" w:name="_Toc225499841"/>
      <w:r w:rsidRPr="00D83239">
        <w:rPr>
          <w:color w:val="auto"/>
        </w:rPr>
        <w:t>P</w:t>
      </w:r>
      <w:r w:rsidR="00590E45" w:rsidRPr="00D83239">
        <w:rPr>
          <w:color w:val="auto"/>
        </w:rPr>
        <w:t xml:space="preserve">roaktivno in kredibilno mednarodno </w:t>
      </w:r>
      <w:proofErr w:type="spellStart"/>
      <w:r w:rsidR="00590E45" w:rsidRPr="00D83239">
        <w:rPr>
          <w:color w:val="auto"/>
        </w:rPr>
        <w:t>dvo</w:t>
      </w:r>
      <w:proofErr w:type="spellEnd"/>
      <w:r w:rsidR="00590E45" w:rsidRPr="00D83239">
        <w:rPr>
          <w:color w:val="auto"/>
        </w:rPr>
        <w:t>- in večstransko sodelovanje</w:t>
      </w:r>
      <w:bookmarkEnd w:id="110"/>
      <w:bookmarkEnd w:id="111"/>
      <w:bookmarkEnd w:id="112"/>
    </w:p>
    <w:p w14:paraId="44A6F270" w14:textId="77777777" w:rsidR="00310F1D" w:rsidRPr="00D83239" w:rsidRDefault="00310F1D" w:rsidP="00D83239">
      <w:pPr>
        <w:spacing w:after="0" w:line="276" w:lineRule="auto"/>
        <w:jc w:val="both"/>
        <w:rPr>
          <w:rFonts w:ascii="Arial" w:hAnsi="Arial" w:cs="Arial"/>
          <w:sz w:val="20"/>
          <w:szCs w:val="20"/>
          <w:highlight w:val="yellow"/>
        </w:rPr>
      </w:pPr>
    </w:p>
    <w:p w14:paraId="79A9D4D8" w14:textId="4645F3A9" w:rsidR="001E7CF5" w:rsidRPr="00D83239" w:rsidRDefault="001E7CF5" w:rsidP="00D83239">
      <w:pPr>
        <w:spacing w:after="100" w:afterAutospacing="1" w:line="276" w:lineRule="auto"/>
        <w:jc w:val="both"/>
        <w:rPr>
          <w:rFonts w:ascii="Arial" w:eastAsia="Times New Roman" w:hAnsi="Arial" w:cs="Arial"/>
          <w:sz w:val="20"/>
          <w:szCs w:val="20"/>
          <w:lang w:eastAsia="sl-SI"/>
        </w:rPr>
      </w:pPr>
      <w:r w:rsidRPr="009512D6">
        <w:rPr>
          <w:rFonts w:ascii="Arial" w:eastAsia="Times New Roman" w:hAnsi="Arial" w:cs="Arial"/>
          <w:sz w:val="20"/>
          <w:szCs w:val="20"/>
          <w:lang w:eastAsia="sl-SI"/>
        </w:rPr>
        <w:t xml:space="preserve">Na področju zadev Evropske unije </w:t>
      </w:r>
      <w:r w:rsidR="000F47F3" w:rsidRPr="009512D6">
        <w:rPr>
          <w:rFonts w:ascii="Arial" w:eastAsia="Times New Roman" w:hAnsi="Arial" w:cs="Arial"/>
          <w:sz w:val="20"/>
          <w:szCs w:val="20"/>
          <w:lang w:eastAsia="sl-SI"/>
        </w:rPr>
        <w:t xml:space="preserve">sta </w:t>
      </w:r>
      <w:r w:rsidRPr="009512D6">
        <w:rPr>
          <w:rFonts w:ascii="Arial" w:eastAsia="Times New Roman" w:hAnsi="Arial" w:cs="Arial"/>
          <w:sz w:val="20"/>
          <w:szCs w:val="20"/>
          <w:lang w:eastAsia="sl-SI"/>
        </w:rPr>
        <w:t>se v skladu z notranjo zakonodajo in uveljavljenimi postopki zagotavljala vsebinska usklajenost ter ustrezno potrjevanje stališč Republike Slovenije do zakonodajnih in drugih aktov z delovnega področja M</w:t>
      </w:r>
      <w:r w:rsidR="00EB35BF" w:rsidRPr="009512D6">
        <w:rPr>
          <w:rFonts w:ascii="Arial" w:eastAsia="Times New Roman" w:hAnsi="Arial" w:cs="Arial"/>
          <w:sz w:val="20"/>
          <w:szCs w:val="20"/>
          <w:lang w:eastAsia="sl-SI"/>
        </w:rPr>
        <w:t>NZ</w:t>
      </w:r>
      <w:r w:rsidRPr="009512D6">
        <w:rPr>
          <w:rFonts w:ascii="Arial" w:eastAsia="Times New Roman" w:hAnsi="Arial" w:cs="Arial"/>
          <w:sz w:val="20"/>
          <w:szCs w:val="20"/>
          <w:lang w:eastAsia="sl-SI"/>
        </w:rPr>
        <w:t xml:space="preserve">. </w:t>
      </w:r>
      <w:r w:rsidR="009512D6" w:rsidRPr="009512D6">
        <w:rPr>
          <w:rFonts w:ascii="Arial" w:eastAsia="Times New Roman" w:hAnsi="Arial" w:cs="Arial"/>
          <w:sz w:val="20"/>
          <w:szCs w:val="20"/>
          <w:lang w:eastAsia="sl-SI"/>
        </w:rPr>
        <w:t xml:space="preserve">Poskrbljeno je bilo za </w:t>
      </w:r>
      <w:r w:rsidRPr="009512D6">
        <w:rPr>
          <w:rFonts w:ascii="Arial" w:eastAsia="Times New Roman" w:hAnsi="Arial" w:cs="Arial"/>
          <w:sz w:val="20"/>
          <w:szCs w:val="20"/>
          <w:lang w:eastAsia="sl-SI"/>
        </w:rPr>
        <w:t xml:space="preserve">pripravo in usklajevanje stališč ter drugih potrebnih odzivov s pristojnimi strokovnimi službami znotraj </w:t>
      </w:r>
      <w:r w:rsidR="009512D6">
        <w:rPr>
          <w:rFonts w:ascii="Arial" w:eastAsia="Times New Roman" w:hAnsi="Arial" w:cs="Arial"/>
          <w:sz w:val="20"/>
          <w:szCs w:val="20"/>
          <w:lang w:eastAsia="sl-SI"/>
        </w:rPr>
        <w:t>MNZ</w:t>
      </w:r>
      <w:r w:rsidRPr="009512D6">
        <w:rPr>
          <w:rFonts w:ascii="Arial" w:eastAsia="Times New Roman" w:hAnsi="Arial" w:cs="Arial"/>
          <w:sz w:val="20"/>
          <w:szCs w:val="20"/>
          <w:lang w:eastAsia="sl-SI"/>
        </w:rPr>
        <w:t xml:space="preserve"> in Policije ter za usklajevanje med njimi</w:t>
      </w:r>
      <w:r w:rsidR="009512D6">
        <w:rPr>
          <w:rFonts w:ascii="Arial" w:eastAsia="Times New Roman" w:hAnsi="Arial" w:cs="Arial"/>
          <w:sz w:val="20"/>
          <w:szCs w:val="20"/>
          <w:lang w:eastAsia="sl-SI"/>
        </w:rPr>
        <w:t>,</w:t>
      </w:r>
      <w:r w:rsidRPr="009512D6">
        <w:rPr>
          <w:rFonts w:ascii="Arial" w:eastAsia="Times New Roman" w:hAnsi="Arial" w:cs="Arial"/>
          <w:sz w:val="20"/>
          <w:szCs w:val="20"/>
          <w:lang w:eastAsia="sl-SI"/>
        </w:rPr>
        <w:t xml:space="preserve"> pa tudi z drugimi pristojnimi resornimi ministrstvi in vladnimi službami. Poleg tega je </w:t>
      </w:r>
      <w:r w:rsidR="009512D6">
        <w:rPr>
          <w:rFonts w:ascii="Arial" w:eastAsia="Times New Roman" w:hAnsi="Arial" w:cs="Arial"/>
          <w:sz w:val="20"/>
          <w:szCs w:val="20"/>
          <w:lang w:eastAsia="sl-SI"/>
        </w:rPr>
        <w:t>bila zagotovljena</w:t>
      </w:r>
      <w:r w:rsidRPr="009512D6">
        <w:rPr>
          <w:rFonts w:ascii="Arial" w:eastAsia="Times New Roman" w:hAnsi="Arial" w:cs="Arial"/>
          <w:sz w:val="20"/>
          <w:szCs w:val="20"/>
          <w:lang w:eastAsia="sl-SI"/>
        </w:rPr>
        <w:t xml:space="preserve"> priprav</w:t>
      </w:r>
      <w:r w:rsidR="009512D6">
        <w:rPr>
          <w:rFonts w:ascii="Arial" w:eastAsia="Times New Roman" w:hAnsi="Arial" w:cs="Arial"/>
          <w:sz w:val="20"/>
          <w:szCs w:val="20"/>
          <w:lang w:eastAsia="sl-SI"/>
        </w:rPr>
        <w:t>a</w:t>
      </w:r>
      <w:r w:rsidRPr="009512D6">
        <w:rPr>
          <w:rFonts w:ascii="Arial" w:eastAsia="Times New Roman" w:hAnsi="Arial" w:cs="Arial"/>
          <w:sz w:val="20"/>
          <w:szCs w:val="20"/>
          <w:lang w:eastAsia="sl-SI"/>
        </w:rPr>
        <w:t xml:space="preserve"> ustreznih gradiv za predstavitev in potrjevanje predlogov stališč po uveljavljenih postopkih na Vladi Republike Slovenije, v Državnem svetu Republike Slovenije in Državnem zboru Republike Slovenije ter </w:t>
      </w:r>
      <w:r w:rsidR="009512D6">
        <w:rPr>
          <w:rFonts w:ascii="Arial" w:eastAsia="Times New Roman" w:hAnsi="Arial" w:cs="Arial"/>
          <w:sz w:val="20"/>
          <w:szCs w:val="20"/>
          <w:lang w:eastAsia="sl-SI"/>
        </w:rPr>
        <w:t xml:space="preserve">poskrbljeno za </w:t>
      </w:r>
      <w:r w:rsidRPr="009512D6">
        <w:rPr>
          <w:rFonts w:ascii="Arial" w:eastAsia="Times New Roman" w:hAnsi="Arial" w:cs="Arial"/>
          <w:sz w:val="20"/>
          <w:szCs w:val="20"/>
          <w:lang w:eastAsia="sl-SI"/>
        </w:rPr>
        <w:t>ustrezno predstavitev teh stališč v delovnih telesih institucij EU in v pogovorih najvišjih predstavnikov MNZ in Policije z drugimi mednarodnimi predstavniki.</w:t>
      </w:r>
    </w:p>
    <w:p w14:paraId="035756D6" w14:textId="322B45DE" w:rsidR="001E7CF5" w:rsidRPr="00D83239" w:rsidRDefault="009512D6" w:rsidP="00D83239">
      <w:pPr>
        <w:spacing w:after="100" w:afterAutospacing="1" w:line="276" w:lineRule="auto"/>
        <w:jc w:val="both"/>
        <w:rPr>
          <w:rFonts w:ascii="Arial" w:eastAsia="Times New Roman" w:hAnsi="Arial" w:cs="Arial"/>
          <w:sz w:val="20"/>
          <w:szCs w:val="20"/>
          <w:lang w:eastAsia="sl-SI"/>
        </w:rPr>
      </w:pPr>
      <w:r w:rsidRPr="009512D6">
        <w:rPr>
          <w:rFonts w:ascii="Arial" w:eastAsia="Times New Roman" w:hAnsi="Arial" w:cs="Arial"/>
          <w:sz w:val="20"/>
          <w:szCs w:val="20"/>
          <w:lang w:eastAsia="sl-SI"/>
        </w:rPr>
        <w:t>MNZ</w:t>
      </w:r>
      <w:r w:rsidR="001E7CF5" w:rsidRPr="009512D6">
        <w:rPr>
          <w:rFonts w:ascii="Arial" w:eastAsia="Times New Roman" w:hAnsi="Arial" w:cs="Arial"/>
          <w:sz w:val="20"/>
          <w:szCs w:val="20"/>
          <w:lang w:eastAsia="sl-SI"/>
        </w:rPr>
        <w:t xml:space="preserve"> je tesno</w:t>
      </w:r>
      <w:r w:rsidR="001E7CF5" w:rsidRPr="00D83239">
        <w:rPr>
          <w:rFonts w:ascii="Arial" w:eastAsia="Times New Roman" w:hAnsi="Arial" w:cs="Arial"/>
          <w:sz w:val="20"/>
          <w:szCs w:val="20"/>
          <w:lang w:eastAsia="sl-SI"/>
        </w:rPr>
        <w:t xml:space="preserve"> sodeloval</w:t>
      </w:r>
      <w:r>
        <w:rPr>
          <w:rFonts w:ascii="Arial" w:eastAsia="Times New Roman" w:hAnsi="Arial" w:cs="Arial"/>
          <w:sz w:val="20"/>
          <w:szCs w:val="20"/>
          <w:lang w:eastAsia="sl-SI"/>
        </w:rPr>
        <w:t>o</w:t>
      </w:r>
      <w:r w:rsidR="001E7CF5" w:rsidRPr="00D83239">
        <w:rPr>
          <w:rFonts w:ascii="Arial" w:eastAsia="Times New Roman" w:hAnsi="Arial" w:cs="Arial"/>
          <w:sz w:val="20"/>
          <w:szCs w:val="20"/>
          <w:lang w:eastAsia="sl-SI"/>
        </w:rPr>
        <w:t xml:space="preserve"> s Stalnim predstavništvom Republike Slovenije pri Evropski uniji v Bruslju, usmerjal</w:t>
      </w:r>
      <w:r>
        <w:rPr>
          <w:rFonts w:ascii="Arial" w:eastAsia="Times New Roman" w:hAnsi="Arial" w:cs="Arial"/>
          <w:sz w:val="20"/>
          <w:szCs w:val="20"/>
          <w:lang w:eastAsia="sl-SI"/>
        </w:rPr>
        <w:t>o</w:t>
      </w:r>
      <w:r w:rsidR="001E7CF5" w:rsidRPr="00D83239">
        <w:rPr>
          <w:rFonts w:ascii="Arial" w:eastAsia="Times New Roman" w:hAnsi="Arial" w:cs="Arial"/>
          <w:sz w:val="20"/>
          <w:szCs w:val="20"/>
          <w:lang w:eastAsia="sl-SI"/>
        </w:rPr>
        <w:t xml:space="preserve"> njihove aktivnosti ter zagotavljal</w:t>
      </w:r>
      <w:r>
        <w:rPr>
          <w:rFonts w:ascii="Arial" w:eastAsia="Times New Roman" w:hAnsi="Arial" w:cs="Arial"/>
          <w:sz w:val="20"/>
          <w:szCs w:val="20"/>
          <w:lang w:eastAsia="sl-SI"/>
        </w:rPr>
        <w:t>o</w:t>
      </w:r>
      <w:r w:rsidR="001E7CF5" w:rsidRPr="00D83239">
        <w:rPr>
          <w:rFonts w:ascii="Arial" w:eastAsia="Times New Roman" w:hAnsi="Arial" w:cs="Arial"/>
          <w:sz w:val="20"/>
          <w:szCs w:val="20"/>
          <w:lang w:eastAsia="sl-SI"/>
        </w:rPr>
        <w:t xml:space="preserve"> vsebinske po</w:t>
      </w:r>
      <w:r w:rsidR="000248D4">
        <w:rPr>
          <w:rFonts w:ascii="Arial" w:eastAsia="Times New Roman" w:hAnsi="Arial" w:cs="Arial"/>
          <w:sz w:val="20"/>
          <w:szCs w:val="20"/>
          <w:lang w:eastAsia="sl-SI"/>
        </w:rPr>
        <w:t>dlag</w:t>
      </w:r>
      <w:r w:rsidR="001E7CF5" w:rsidRPr="00D83239">
        <w:rPr>
          <w:rFonts w:ascii="Arial" w:eastAsia="Times New Roman" w:hAnsi="Arial" w:cs="Arial"/>
          <w:sz w:val="20"/>
          <w:szCs w:val="20"/>
          <w:lang w:eastAsia="sl-SI"/>
        </w:rPr>
        <w:t xml:space="preserve">e za njihovo delo, vključno s pripravo navodil in stališč, potrebnih za udeležbo na zasedanjih </w:t>
      </w:r>
      <w:proofErr w:type="spellStart"/>
      <w:r w:rsidR="001E7CF5" w:rsidRPr="00D83239">
        <w:rPr>
          <w:rFonts w:ascii="Arial" w:eastAsia="Times New Roman" w:hAnsi="Arial" w:cs="Arial"/>
          <w:sz w:val="20"/>
          <w:szCs w:val="20"/>
          <w:lang w:eastAsia="sl-SI"/>
        </w:rPr>
        <w:t>Coreperja</w:t>
      </w:r>
      <w:proofErr w:type="spellEnd"/>
      <w:r w:rsidR="001E7CF5" w:rsidRPr="00D83239">
        <w:rPr>
          <w:rFonts w:ascii="Arial" w:eastAsia="Times New Roman" w:hAnsi="Arial" w:cs="Arial"/>
          <w:sz w:val="20"/>
          <w:szCs w:val="20"/>
          <w:lang w:eastAsia="sl-SI"/>
        </w:rPr>
        <w:t>.</w:t>
      </w:r>
    </w:p>
    <w:p w14:paraId="48AB06AA" w14:textId="4EB74913" w:rsidR="001E7CF5" w:rsidRPr="00D83239" w:rsidRDefault="001E7CF5" w:rsidP="00D83239">
      <w:pPr>
        <w:spacing w:after="100" w:afterAutospacing="1"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V letu 2025 je </w:t>
      </w:r>
      <w:r w:rsidR="009512D6">
        <w:rPr>
          <w:rFonts w:ascii="Arial" w:eastAsia="Times New Roman" w:hAnsi="Arial" w:cs="Arial"/>
          <w:sz w:val="20"/>
          <w:szCs w:val="20"/>
          <w:lang w:eastAsia="sl-SI"/>
        </w:rPr>
        <w:t>MNZ</w:t>
      </w:r>
      <w:r w:rsidRPr="00D83239">
        <w:rPr>
          <w:rFonts w:ascii="Arial" w:eastAsia="Times New Roman" w:hAnsi="Arial" w:cs="Arial"/>
          <w:sz w:val="20"/>
          <w:szCs w:val="20"/>
          <w:lang w:eastAsia="sl-SI"/>
        </w:rPr>
        <w:t xml:space="preserve"> pripravil</w:t>
      </w:r>
      <w:r w:rsidR="009512D6">
        <w:rPr>
          <w:rFonts w:ascii="Arial" w:eastAsia="Times New Roman" w:hAnsi="Arial" w:cs="Arial"/>
          <w:sz w:val="20"/>
          <w:szCs w:val="20"/>
          <w:lang w:eastAsia="sl-SI"/>
        </w:rPr>
        <w:t>o</w:t>
      </w:r>
      <w:r w:rsidRPr="00D83239">
        <w:rPr>
          <w:rFonts w:ascii="Arial" w:eastAsia="Times New Roman" w:hAnsi="Arial" w:cs="Arial"/>
          <w:sz w:val="20"/>
          <w:szCs w:val="20"/>
          <w:lang w:eastAsia="sl-SI"/>
        </w:rPr>
        <w:t xml:space="preserve"> in izved</w:t>
      </w:r>
      <w:r w:rsidR="009512D6">
        <w:rPr>
          <w:rFonts w:ascii="Arial" w:eastAsia="Times New Roman" w:hAnsi="Arial" w:cs="Arial"/>
          <w:sz w:val="20"/>
          <w:szCs w:val="20"/>
          <w:lang w:eastAsia="sl-SI"/>
        </w:rPr>
        <w:t>lo</w:t>
      </w:r>
      <w:r w:rsidRPr="00D83239">
        <w:rPr>
          <w:rFonts w:ascii="Arial" w:eastAsia="Times New Roman" w:hAnsi="Arial" w:cs="Arial"/>
          <w:sz w:val="20"/>
          <w:szCs w:val="20"/>
          <w:lang w:eastAsia="sl-SI"/>
        </w:rPr>
        <w:t xml:space="preserve"> vse potrebne aktivnosti v zvezi s šestimi zasedanji Sveta za pravosodje in notranje zadeve. V prvi polovici leta, v času poljskega predsedovanja Svetu EU, so bila izvedena tri zasedanja (eno neformalno in dve redni), tri zasedanja (eno neformalno in dve redni) </w:t>
      </w:r>
      <w:r w:rsidR="000248D4" w:rsidRPr="00D83239">
        <w:rPr>
          <w:rFonts w:ascii="Arial" w:eastAsia="Times New Roman" w:hAnsi="Arial" w:cs="Arial"/>
          <w:sz w:val="20"/>
          <w:szCs w:val="20"/>
          <w:lang w:eastAsia="sl-SI"/>
        </w:rPr>
        <w:t xml:space="preserve">so bila </w:t>
      </w:r>
      <w:r w:rsidRPr="00D83239">
        <w:rPr>
          <w:rFonts w:ascii="Arial" w:eastAsia="Times New Roman" w:hAnsi="Arial" w:cs="Arial"/>
          <w:sz w:val="20"/>
          <w:szCs w:val="20"/>
          <w:lang w:eastAsia="sl-SI"/>
        </w:rPr>
        <w:t xml:space="preserve">izvedena </w:t>
      </w:r>
      <w:r w:rsidR="000248D4">
        <w:rPr>
          <w:rFonts w:ascii="Arial" w:eastAsia="Times New Roman" w:hAnsi="Arial" w:cs="Arial"/>
          <w:sz w:val="20"/>
          <w:szCs w:val="20"/>
          <w:lang w:eastAsia="sl-SI"/>
        </w:rPr>
        <w:t xml:space="preserve">tudi </w:t>
      </w:r>
      <w:r w:rsidRPr="00D83239">
        <w:rPr>
          <w:rFonts w:ascii="Arial" w:eastAsia="Times New Roman" w:hAnsi="Arial" w:cs="Arial"/>
          <w:sz w:val="20"/>
          <w:szCs w:val="20"/>
          <w:lang w:eastAsia="sl-SI"/>
        </w:rPr>
        <w:t>v drugi polovici leta</w:t>
      </w:r>
      <w:r w:rsidR="000248D4">
        <w:rPr>
          <w:rFonts w:ascii="Arial" w:eastAsia="Times New Roman" w:hAnsi="Arial" w:cs="Arial"/>
          <w:sz w:val="20"/>
          <w:szCs w:val="20"/>
          <w:lang w:eastAsia="sl-SI"/>
        </w:rPr>
        <w:t>,</w:t>
      </w:r>
      <w:r w:rsidRPr="00D83239">
        <w:rPr>
          <w:rFonts w:ascii="Arial" w:eastAsia="Times New Roman" w:hAnsi="Arial" w:cs="Arial"/>
          <w:sz w:val="20"/>
          <w:szCs w:val="20"/>
          <w:lang w:eastAsia="sl-SI"/>
        </w:rPr>
        <w:t xml:space="preserve"> v času danskega predsedovanja Svetu EU. Na štirih zasedanjih so sodelovale delegacije MNZ z ministrom. Na prvem zasedanju je Slovenijo predstavljal veleposlanik Republike Slovenije v Varšavi, na zadnjem pa delegacija MNZ z državno sekretarko.</w:t>
      </w:r>
    </w:p>
    <w:p w14:paraId="642B8711" w14:textId="65A78CC5" w:rsidR="001E7CF5" w:rsidRPr="00D83239" w:rsidRDefault="001E7CF5" w:rsidP="00D83239">
      <w:pPr>
        <w:spacing w:after="100" w:afterAutospacing="1" w:line="276" w:lineRule="auto"/>
        <w:jc w:val="both"/>
        <w:rPr>
          <w:rFonts w:ascii="Arial" w:eastAsia="Times New Roman" w:hAnsi="Arial" w:cs="Arial"/>
          <w:sz w:val="20"/>
          <w:szCs w:val="20"/>
          <w:lang w:eastAsia="sl-SI"/>
        </w:rPr>
      </w:pPr>
      <w:r w:rsidRPr="009512D6">
        <w:rPr>
          <w:rFonts w:ascii="Arial" w:eastAsia="Times New Roman" w:hAnsi="Arial" w:cs="Arial"/>
          <w:sz w:val="20"/>
          <w:szCs w:val="20"/>
          <w:lang w:eastAsia="sl-SI"/>
        </w:rPr>
        <w:t xml:space="preserve">Med osrednjimi temami razprave med ministri je bilo izvajanje </w:t>
      </w:r>
      <w:r w:rsidR="000248D4" w:rsidRPr="009512D6">
        <w:rPr>
          <w:rFonts w:ascii="Arial" w:eastAsia="Times New Roman" w:hAnsi="Arial" w:cs="Arial"/>
          <w:sz w:val="20"/>
          <w:szCs w:val="20"/>
          <w:lang w:eastAsia="sl-SI"/>
        </w:rPr>
        <w:t>Evropskega p</w:t>
      </w:r>
      <w:r w:rsidRPr="009512D6">
        <w:rPr>
          <w:rFonts w:ascii="Arial" w:eastAsia="Times New Roman" w:hAnsi="Arial" w:cs="Arial"/>
          <w:sz w:val="20"/>
          <w:szCs w:val="20"/>
          <w:lang w:eastAsia="sl-SI"/>
        </w:rPr>
        <w:t xml:space="preserve">akta o migracijah in azilu, pri čemer je Slovenija podpirala celostno in harmonizirano izvajanje novih pravil. Podpirala je tudi razprave o novih, inovativnih načinih upravljanja migracij, ki dopolnjujejo </w:t>
      </w:r>
      <w:r w:rsidR="000248D4" w:rsidRPr="009512D6">
        <w:rPr>
          <w:rFonts w:ascii="Arial" w:eastAsia="Times New Roman" w:hAnsi="Arial" w:cs="Arial"/>
          <w:sz w:val="20"/>
          <w:szCs w:val="20"/>
          <w:lang w:eastAsia="sl-SI"/>
        </w:rPr>
        <w:t>p</w:t>
      </w:r>
      <w:r w:rsidRPr="009512D6">
        <w:rPr>
          <w:rFonts w:ascii="Arial" w:eastAsia="Times New Roman" w:hAnsi="Arial" w:cs="Arial"/>
          <w:sz w:val="20"/>
          <w:szCs w:val="20"/>
          <w:lang w:eastAsia="sl-SI"/>
        </w:rPr>
        <w:t>akt in druge obstoječe mehanizme. Ob tem je Slovenija dosledno zagovarjala stališče, da morajo vse rešitve spoštovati pravo EU in mednarodno pravo, vključno s temeljnimi pravicami. Slovenija je podprla spreje</w:t>
      </w:r>
      <w:r w:rsidR="000248D4" w:rsidRPr="009512D6">
        <w:rPr>
          <w:rFonts w:ascii="Arial" w:eastAsia="Times New Roman" w:hAnsi="Arial" w:cs="Arial"/>
          <w:sz w:val="20"/>
          <w:szCs w:val="20"/>
          <w:lang w:eastAsia="sl-SI"/>
        </w:rPr>
        <w:t>tje</w:t>
      </w:r>
      <w:r w:rsidRPr="009512D6">
        <w:rPr>
          <w:rFonts w:ascii="Arial" w:eastAsia="Times New Roman" w:hAnsi="Arial" w:cs="Arial"/>
          <w:sz w:val="20"/>
          <w:szCs w:val="20"/>
          <w:lang w:eastAsia="sl-SI"/>
        </w:rPr>
        <w:t xml:space="preserve"> splošnih pristopov glede seznama varnih izvornih držav in uporabe koncepta »varnih tretjih držav« ter vzpostavitev letnega solidarnostnega sklada za leto 2026. Slovenija se je zavzemala tudi za okrepljeno politično upravljanje schengenskega območja, ki se odraža v rednih zasedanjih schengenskega </w:t>
      </w:r>
      <w:r w:rsidR="000248D4" w:rsidRPr="009512D6">
        <w:rPr>
          <w:rFonts w:ascii="Arial" w:eastAsia="Times New Roman" w:hAnsi="Arial" w:cs="Arial"/>
          <w:sz w:val="20"/>
          <w:szCs w:val="20"/>
          <w:lang w:eastAsia="sl-SI"/>
        </w:rPr>
        <w:t>s</w:t>
      </w:r>
      <w:r w:rsidRPr="009512D6">
        <w:rPr>
          <w:rFonts w:ascii="Arial" w:eastAsia="Times New Roman" w:hAnsi="Arial" w:cs="Arial"/>
          <w:sz w:val="20"/>
          <w:szCs w:val="20"/>
          <w:lang w:eastAsia="sl-SI"/>
        </w:rPr>
        <w:t>veta, ter za kontinuiran</w:t>
      </w:r>
      <w:r w:rsidR="000248D4" w:rsidRPr="009512D6">
        <w:rPr>
          <w:rFonts w:ascii="Arial" w:eastAsia="Times New Roman" w:hAnsi="Arial" w:cs="Arial"/>
          <w:sz w:val="20"/>
          <w:szCs w:val="20"/>
          <w:lang w:eastAsia="sl-SI"/>
        </w:rPr>
        <w:t>i</w:t>
      </w:r>
      <w:r w:rsidRPr="009512D6">
        <w:rPr>
          <w:rFonts w:ascii="Arial" w:eastAsia="Times New Roman" w:hAnsi="Arial" w:cs="Arial"/>
          <w:sz w:val="20"/>
          <w:szCs w:val="20"/>
          <w:lang w:eastAsia="sl-SI"/>
        </w:rPr>
        <w:t xml:space="preserve"> pregled stanja v schengenskem območju, saj to lahko prispeva k ponovni vzpostavitvi zaupanja med državami članicami in posledično k čimprejšnji vrnitvi k polno delujočemu schengenskemu območju. Na področju vračanja je Slovenija podpirala delo na prenovitvi zakonodaje, bolj strateško uporabo vizumske politike EU, spodbujanje prostovoljnega vračanja ter krepitev mandata agencije </w:t>
      </w:r>
      <w:proofErr w:type="spellStart"/>
      <w:r w:rsidRPr="009512D6">
        <w:rPr>
          <w:rFonts w:ascii="Arial" w:eastAsia="Times New Roman" w:hAnsi="Arial" w:cs="Arial"/>
          <w:sz w:val="20"/>
          <w:szCs w:val="20"/>
          <w:lang w:eastAsia="sl-SI"/>
        </w:rPr>
        <w:t>Frontex</w:t>
      </w:r>
      <w:proofErr w:type="spellEnd"/>
      <w:r w:rsidRPr="009512D6">
        <w:rPr>
          <w:rFonts w:ascii="Arial" w:eastAsia="Times New Roman" w:hAnsi="Arial" w:cs="Arial"/>
          <w:sz w:val="20"/>
          <w:szCs w:val="20"/>
          <w:lang w:eastAsia="sl-SI"/>
        </w:rPr>
        <w:t xml:space="preserve"> na področju vračanja. </w:t>
      </w:r>
      <w:r w:rsidR="000248D4" w:rsidRPr="009512D6">
        <w:rPr>
          <w:rFonts w:ascii="Arial" w:eastAsia="Times New Roman" w:hAnsi="Arial" w:cs="Arial"/>
          <w:sz w:val="20"/>
          <w:szCs w:val="20"/>
          <w:lang w:eastAsia="sl-SI"/>
        </w:rPr>
        <w:t xml:space="preserve">To </w:t>
      </w:r>
      <w:r w:rsidRPr="009512D6">
        <w:rPr>
          <w:rFonts w:ascii="Arial" w:eastAsia="Times New Roman" w:hAnsi="Arial" w:cs="Arial"/>
          <w:sz w:val="20"/>
          <w:szCs w:val="20"/>
          <w:lang w:eastAsia="sl-SI"/>
        </w:rPr>
        <w:t>bi agenciji omogočilo tudi podporo tretjim državam, vključno s partnerji na Zahodnem Balkanu, pri sami operativni izvedbi vračanja v izvorne države. Slovenija je podprla spreje</w:t>
      </w:r>
      <w:r w:rsidR="00BF1476" w:rsidRPr="009512D6">
        <w:rPr>
          <w:rFonts w:ascii="Arial" w:eastAsia="Times New Roman" w:hAnsi="Arial" w:cs="Arial"/>
          <w:sz w:val="20"/>
          <w:szCs w:val="20"/>
          <w:lang w:eastAsia="sl-SI"/>
        </w:rPr>
        <w:t>tje</w:t>
      </w:r>
      <w:r w:rsidRPr="009512D6">
        <w:rPr>
          <w:rFonts w:ascii="Arial" w:eastAsia="Times New Roman" w:hAnsi="Arial" w:cs="Arial"/>
          <w:sz w:val="20"/>
          <w:szCs w:val="20"/>
          <w:lang w:eastAsia="sl-SI"/>
        </w:rPr>
        <w:t xml:space="preserve"> splošnega pristopa glede predloga uredbe o vzpostavitvi skupnega sistema za vračanje državljanov tretjih držav, ki nezakonito prebivajo v EU, hkrati pa pozvala k skrbnemu premisleku o morebitnih posledicah vzpostavitve vozlišč za vračanje, zlasti če bi </w:t>
      </w:r>
      <w:r w:rsidR="00BF1476" w:rsidRPr="009512D6">
        <w:rPr>
          <w:rFonts w:ascii="Arial" w:eastAsia="Times New Roman" w:hAnsi="Arial" w:cs="Arial"/>
          <w:sz w:val="20"/>
          <w:szCs w:val="20"/>
          <w:lang w:eastAsia="sl-SI"/>
        </w:rPr>
        <w:t>bila</w:t>
      </w:r>
      <w:r w:rsidRPr="009512D6">
        <w:rPr>
          <w:rFonts w:ascii="Arial" w:eastAsia="Times New Roman" w:hAnsi="Arial" w:cs="Arial"/>
          <w:sz w:val="20"/>
          <w:szCs w:val="20"/>
          <w:lang w:eastAsia="sl-SI"/>
        </w:rPr>
        <w:t xml:space="preserve"> ta v neposredni bližini zunanje meje EU, vključno z </w:t>
      </w:r>
      <w:proofErr w:type="spellStart"/>
      <w:r w:rsidRPr="009512D6">
        <w:rPr>
          <w:rFonts w:ascii="Arial" w:eastAsia="Times New Roman" w:hAnsi="Arial" w:cs="Arial"/>
          <w:sz w:val="20"/>
          <w:szCs w:val="20"/>
          <w:lang w:eastAsia="sl-SI"/>
        </w:rPr>
        <w:t>zahodnobalkansko</w:t>
      </w:r>
      <w:proofErr w:type="spellEnd"/>
      <w:r w:rsidRPr="009512D6">
        <w:rPr>
          <w:rFonts w:ascii="Arial" w:eastAsia="Times New Roman" w:hAnsi="Arial" w:cs="Arial"/>
          <w:sz w:val="20"/>
          <w:szCs w:val="20"/>
          <w:lang w:eastAsia="sl-SI"/>
        </w:rPr>
        <w:t xml:space="preserve"> migracijsko potjo. Pri nudenju začasne zaščite razseljenim osebam iz Ukrajine je Slovenija podpirala nadaljevanje nudenja začasne zaščite ter razprave o izhodnih strategijah. Na vsakem zasedanju </w:t>
      </w:r>
      <w:r w:rsidR="00BF1476" w:rsidRPr="009512D6">
        <w:rPr>
          <w:rFonts w:ascii="Arial" w:eastAsia="Times New Roman" w:hAnsi="Arial" w:cs="Arial"/>
          <w:sz w:val="20"/>
          <w:szCs w:val="20"/>
          <w:lang w:eastAsia="sl-SI"/>
        </w:rPr>
        <w:t>s</w:t>
      </w:r>
      <w:r w:rsidRPr="009512D6">
        <w:rPr>
          <w:rFonts w:ascii="Arial" w:eastAsia="Times New Roman" w:hAnsi="Arial" w:cs="Arial"/>
          <w:sz w:val="20"/>
          <w:szCs w:val="20"/>
          <w:lang w:eastAsia="sl-SI"/>
        </w:rPr>
        <w:t>veta je potekalo tudi spremljanje napredka pri i</w:t>
      </w:r>
      <w:r w:rsidR="00B658A0" w:rsidRPr="009512D6">
        <w:rPr>
          <w:rFonts w:ascii="Arial" w:eastAsia="Times New Roman" w:hAnsi="Arial" w:cs="Arial"/>
          <w:sz w:val="20"/>
          <w:szCs w:val="20"/>
          <w:lang w:eastAsia="sl-SI"/>
        </w:rPr>
        <w:t>zvajanju</w:t>
      </w:r>
      <w:r w:rsidRPr="009512D6">
        <w:rPr>
          <w:rFonts w:ascii="Arial" w:eastAsia="Times New Roman" w:hAnsi="Arial" w:cs="Arial"/>
          <w:sz w:val="20"/>
          <w:szCs w:val="20"/>
          <w:lang w:eastAsia="sl-SI"/>
        </w:rPr>
        <w:t xml:space="preserve"> </w:t>
      </w:r>
      <w:proofErr w:type="spellStart"/>
      <w:r w:rsidRPr="009512D6">
        <w:rPr>
          <w:rFonts w:ascii="Arial" w:eastAsia="Times New Roman" w:hAnsi="Arial" w:cs="Arial"/>
          <w:sz w:val="20"/>
          <w:szCs w:val="20"/>
          <w:lang w:eastAsia="sl-SI"/>
        </w:rPr>
        <w:t>interoperabilnosti</w:t>
      </w:r>
      <w:proofErr w:type="spellEnd"/>
      <w:r w:rsidRPr="009512D6">
        <w:rPr>
          <w:rFonts w:ascii="Arial" w:eastAsia="Times New Roman" w:hAnsi="Arial" w:cs="Arial"/>
          <w:sz w:val="20"/>
          <w:szCs w:val="20"/>
          <w:lang w:eastAsia="sl-SI"/>
        </w:rPr>
        <w:t xml:space="preserve">, v okviru katere je 12. </w:t>
      </w:r>
      <w:r w:rsidR="009512D6" w:rsidRPr="009512D6">
        <w:rPr>
          <w:rFonts w:ascii="Arial" w:eastAsia="Times New Roman" w:hAnsi="Arial" w:cs="Arial"/>
          <w:sz w:val="20"/>
          <w:szCs w:val="20"/>
          <w:lang w:eastAsia="sl-SI"/>
        </w:rPr>
        <w:t>10.</w:t>
      </w:r>
      <w:r w:rsidRPr="009512D6">
        <w:rPr>
          <w:rFonts w:ascii="Arial" w:eastAsia="Times New Roman" w:hAnsi="Arial" w:cs="Arial"/>
          <w:sz w:val="20"/>
          <w:szCs w:val="20"/>
          <w:lang w:eastAsia="sl-SI"/>
        </w:rPr>
        <w:t xml:space="preserve"> 2025 </w:t>
      </w:r>
      <w:r w:rsidR="00BF1476" w:rsidRPr="009512D6">
        <w:rPr>
          <w:rFonts w:ascii="Arial" w:eastAsia="Times New Roman" w:hAnsi="Arial" w:cs="Arial"/>
          <w:sz w:val="20"/>
          <w:szCs w:val="20"/>
          <w:lang w:eastAsia="sl-SI"/>
        </w:rPr>
        <w:t>začel delovati</w:t>
      </w:r>
      <w:r w:rsidRPr="009512D6">
        <w:rPr>
          <w:rFonts w:ascii="Arial" w:eastAsia="Times New Roman" w:hAnsi="Arial" w:cs="Arial"/>
          <w:sz w:val="20"/>
          <w:szCs w:val="20"/>
          <w:lang w:eastAsia="sl-SI"/>
        </w:rPr>
        <w:t xml:space="preserve"> </w:t>
      </w:r>
      <w:r w:rsidR="00BF1476" w:rsidRPr="009512D6">
        <w:rPr>
          <w:rFonts w:ascii="Arial" w:eastAsia="Times New Roman" w:hAnsi="Arial" w:cs="Arial"/>
          <w:sz w:val="20"/>
          <w:szCs w:val="20"/>
          <w:lang w:eastAsia="sl-SI"/>
        </w:rPr>
        <w:t>s</w:t>
      </w:r>
      <w:r w:rsidRPr="009512D6">
        <w:rPr>
          <w:rFonts w:ascii="Arial" w:eastAsia="Times New Roman" w:hAnsi="Arial" w:cs="Arial"/>
          <w:sz w:val="20"/>
          <w:szCs w:val="20"/>
          <w:lang w:eastAsia="sl-SI"/>
        </w:rPr>
        <w:t xml:space="preserve">istem vstopa/izstopa. </w:t>
      </w:r>
      <w:r w:rsidR="009512D6" w:rsidRPr="009512D6">
        <w:rPr>
          <w:rFonts w:ascii="Arial" w:eastAsia="Times New Roman" w:hAnsi="Arial" w:cs="Arial"/>
          <w:sz w:val="20"/>
          <w:szCs w:val="20"/>
          <w:lang w:eastAsia="sl-SI"/>
        </w:rPr>
        <w:t>MNZ</w:t>
      </w:r>
      <w:r w:rsidRPr="009512D6">
        <w:rPr>
          <w:rFonts w:ascii="Arial" w:eastAsia="Times New Roman" w:hAnsi="Arial" w:cs="Arial"/>
          <w:sz w:val="20"/>
          <w:szCs w:val="20"/>
          <w:lang w:eastAsia="sl-SI"/>
        </w:rPr>
        <w:t xml:space="preserve"> je aktivno sodeloval</w:t>
      </w:r>
      <w:r w:rsidR="009512D6" w:rsidRPr="009512D6">
        <w:rPr>
          <w:rFonts w:ascii="Arial" w:eastAsia="Times New Roman" w:hAnsi="Arial" w:cs="Arial"/>
          <w:sz w:val="20"/>
          <w:szCs w:val="20"/>
          <w:lang w:eastAsia="sl-SI"/>
        </w:rPr>
        <w:t>o</w:t>
      </w:r>
      <w:r w:rsidRPr="009512D6">
        <w:rPr>
          <w:rFonts w:ascii="Arial" w:eastAsia="Times New Roman" w:hAnsi="Arial" w:cs="Arial"/>
          <w:sz w:val="20"/>
          <w:szCs w:val="20"/>
          <w:lang w:eastAsia="sl-SI"/>
        </w:rPr>
        <w:t xml:space="preserve"> pri usklajevanju potrebnih gradiv za pripravo zakonskih predlogov in njihovo potrjevanje na Svetu za pravosodje in notranje zadeve. Ob začetku delovanja sistema je </w:t>
      </w:r>
      <w:r w:rsidR="009512D6" w:rsidRPr="009512D6">
        <w:rPr>
          <w:rFonts w:ascii="Arial" w:eastAsia="Times New Roman" w:hAnsi="Arial" w:cs="Arial"/>
          <w:sz w:val="20"/>
          <w:szCs w:val="20"/>
          <w:lang w:eastAsia="sl-SI"/>
        </w:rPr>
        <w:t>MNZ</w:t>
      </w:r>
      <w:r w:rsidRPr="009512D6">
        <w:rPr>
          <w:rFonts w:ascii="Arial" w:eastAsia="Times New Roman" w:hAnsi="Arial" w:cs="Arial"/>
          <w:sz w:val="20"/>
          <w:szCs w:val="20"/>
          <w:lang w:eastAsia="sl-SI"/>
        </w:rPr>
        <w:t xml:space="preserve"> prevzel</w:t>
      </w:r>
      <w:r w:rsidR="009512D6" w:rsidRPr="009512D6">
        <w:rPr>
          <w:rFonts w:ascii="Arial" w:eastAsia="Times New Roman" w:hAnsi="Arial" w:cs="Arial"/>
          <w:sz w:val="20"/>
          <w:szCs w:val="20"/>
          <w:lang w:eastAsia="sl-SI"/>
        </w:rPr>
        <w:t>o</w:t>
      </w:r>
      <w:r w:rsidRPr="009512D6">
        <w:rPr>
          <w:rFonts w:ascii="Arial" w:eastAsia="Times New Roman" w:hAnsi="Arial" w:cs="Arial"/>
          <w:sz w:val="20"/>
          <w:szCs w:val="20"/>
          <w:lang w:eastAsia="sl-SI"/>
        </w:rPr>
        <w:t xml:space="preserve"> tudi vlogo koordinatorja za pripravo rednih mesečnih poročil o njegovem delovanju.</w:t>
      </w:r>
    </w:p>
    <w:p w14:paraId="7ECA27BC" w14:textId="00AD8350" w:rsidR="00E847F2" w:rsidRDefault="001E7CF5" w:rsidP="00E847F2">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Pomembna tema je bil vpliv zunanjih konfliktov na notranjo varnost in migracije. Slovenija se je zavzemala za redno spremljanje razmer ter za okrepljeno sodelovanje med državami članicami na področjih izmenjave informacij, upravljanja meja, reforme varnostnih sistemov </w:t>
      </w:r>
      <w:r w:rsidR="00302655">
        <w:rPr>
          <w:rFonts w:ascii="Arial" w:eastAsia="Times New Roman" w:hAnsi="Arial" w:cs="Arial"/>
          <w:sz w:val="20"/>
          <w:szCs w:val="20"/>
          <w:lang w:eastAsia="sl-SI"/>
        </w:rPr>
        <w:t>in</w:t>
      </w:r>
      <w:r w:rsidR="00302655"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 xml:space="preserve">podpore pri izgradnji zmogljivosti za boj proti korupciji, hibridnim grožnjam in kibernetskim napadom. Slovenija je podprla novo </w:t>
      </w:r>
      <w:r w:rsidR="00302655">
        <w:rPr>
          <w:rFonts w:ascii="Arial" w:eastAsia="Times New Roman" w:hAnsi="Arial" w:cs="Arial"/>
          <w:sz w:val="20"/>
          <w:szCs w:val="20"/>
          <w:lang w:eastAsia="sl-SI"/>
        </w:rPr>
        <w:t>e</w:t>
      </w:r>
      <w:r w:rsidRPr="00D83239">
        <w:rPr>
          <w:rFonts w:ascii="Arial" w:eastAsia="Times New Roman" w:hAnsi="Arial" w:cs="Arial"/>
          <w:sz w:val="20"/>
          <w:szCs w:val="20"/>
          <w:lang w:eastAsia="sl-SI"/>
        </w:rPr>
        <w:t>vropsko strategijo notranje varnosti (</w:t>
      </w:r>
      <w:proofErr w:type="spellStart"/>
      <w:r w:rsidRPr="00D83239">
        <w:rPr>
          <w:rFonts w:ascii="Arial" w:eastAsia="Times New Roman" w:hAnsi="Arial" w:cs="Arial"/>
          <w:sz w:val="20"/>
          <w:szCs w:val="20"/>
          <w:lang w:eastAsia="sl-SI"/>
        </w:rPr>
        <w:t>ProtectEU</w:t>
      </w:r>
      <w:proofErr w:type="spellEnd"/>
      <w:r w:rsidRPr="00D83239">
        <w:rPr>
          <w:rFonts w:ascii="Arial" w:eastAsia="Times New Roman" w:hAnsi="Arial" w:cs="Arial"/>
          <w:sz w:val="20"/>
          <w:szCs w:val="20"/>
          <w:lang w:eastAsia="sl-SI"/>
        </w:rPr>
        <w:t xml:space="preserve">), ki </w:t>
      </w:r>
      <w:r w:rsidR="00302655">
        <w:rPr>
          <w:rFonts w:ascii="Arial" w:eastAsia="Times New Roman" w:hAnsi="Arial" w:cs="Arial"/>
          <w:sz w:val="20"/>
          <w:szCs w:val="20"/>
          <w:lang w:eastAsia="sl-SI"/>
        </w:rPr>
        <w:t>obravnava</w:t>
      </w:r>
      <w:r w:rsidR="00302655"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 xml:space="preserve">ključne usmeritve in pobude za delo na področju notranje varnosti v prihodnjih letih, med drugim na področjih kibernetskih groženj, instrumentalizacije migracij, </w:t>
      </w:r>
      <w:r w:rsidR="00302655">
        <w:rPr>
          <w:rFonts w:ascii="Arial" w:eastAsia="Times New Roman" w:hAnsi="Arial" w:cs="Arial"/>
          <w:sz w:val="20"/>
          <w:szCs w:val="20"/>
          <w:lang w:eastAsia="sl-SI"/>
        </w:rPr>
        <w:t>n</w:t>
      </w:r>
      <w:r w:rsidR="00C07719">
        <w:rPr>
          <w:rFonts w:ascii="Arial" w:eastAsia="Times New Roman" w:hAnsi="Arial" w:cs="Arial"/>
          <w:sz w:val="20"/>
          <w:szCs w:val="20"/>
          <w:lang w:eastAsia="sl-SI"/>
        </w:rPr>
        <w:t>a</w:t>
      </w:r>
      <w:r w:rsidR="00302655">
        <w:rPr>
          <w:rFonts w:ascii="Arial" w:eastAsia="Times New Roman" w:hAnsi="Arial" w:cs="Arial"/>
          <w:sz w:val="20"/>
          <w:szCs w:val="20"/>
          <w:lang w:eastAsia="sl-SI"/>
        </w:rPr>
        <w:t>čina</w:t>
      </w:r>
      <w:r w:rsidR="00302655"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 xml:space="preserve">»sledenje denarju«, odvzema in zaplembe protipravno pridobljenega premoženja, spodbujanja javno-zasebnih partnerstev, krepitve sodelovanja s tretjimi državami ter boja proti terorizmu in novim oblikam groženj. Kot osrednjo prednostno nalogo strategije je Slovenija </w:t>
      </w:r>
      <w:r w:rsidR="0015510C">
        <w:rPr>
          <w:rFonts w:ascii="Arial" w:eastAsia="Times New Roman" w:hAnsi="Arial" w:cs="Arial"/>
          <w:sz w:val="20"/>
          <w:szCs w:val="20"/>
          <w:lang w:eastAsia="sl-SI"/>
        </w:rPr>
        <w:t>poudar</w:t>
      </w:r>
      <w:r w:rsidRPr="00D83239">
        <w:rPr>
          <w:rFonts w:ascii="Arial" w:eastAsia="Times New Roman" w:hAnsi="Arial" w:cs="Arial"/>
          <w:sz w:val="20"/>
          <w:szCs w:val="20"/>
          <w:lang w:eastAsia="sl-SI"/>
        </w:rPr>
        <w:t xml:space="preserve">ila ureditev področja hrambe </w:t>
      </w:r>
      <w:r w:rsidR="0015510C" w:rsidRPr="00D83239">
        <w:rPr>
          <w:rFonts w:ascii="Arial" w:eastAsia="Times New Roman" w:hAnsi="Arial" w:cs="Arial"/>
          <w:sz w:val="20"/>
          <w:szCs w:val="20"/>
          <w:lang w:eastAsia="sl-SI"/>
        </w:rPr>
        <w:t xml:space="preserve">podatkov </w:t>
      </w:r>
      <w:r w:rsidRPr="00D83239">
        <w:rPr>
          <w:rFonts w:ascii="Arial" w:eastAsia="Times New Roman" w:hAnsi="Arial" w:cs="Arial"/>
          <w:sz w:val="20"/>
          <w:szCs w:val="20"/>
          <w:lang w:eastAsia="sl-SI"/>
        </w:rPr>
        <w:t>in dostopa do</w:t>
      </w:r>
      <w:r w:rsidR="0015510C">
        <w:rPr>
          <w:rFonts w:ascii="Arial" w:eastAsia="Times New Roman" w:hAnsi="Arial" w:cs="Arial"/>
          <w:sz w:val="20"/>
          <w:szCs w:val="20"/>
          <w:lang w:eastAsia="sl-SI"/>
        </w:rPr>
        <w:t xml:space="preserve"> njih</w:t>
      </w:r>
      <w:r w:rsidR="00E847F2">
        <w:rPr>
          <w:rFonts w:ascii="Arial" w:eastAsia="Times New Roman" w:hAnsi="Arial" w:cs="Arial"/>
          <w:sz w:val="20"/>
          <w:szCs w:val="20"/>
          <w:lang w:eastAsia="sl-SI"/>
        </w:rPr>
        <w:t>.</w:t>
      </w:r>
    </w:p>
    <w:p w14:paraId="1B9344C5" w14:textId="77777777" w:rsidR="00E847F2" w:rsidRDefault="00E847F2" w:rsidP="00E847F2">
      <w:pPr>
        <w:spacing w:after="0" w:line="276" w:lineRule="auto"/>
        <w:jc w:val="both"/>
        <w:rPr>
          <w:rFonts w:ascii="Arial" w:eastAsia="Times New Roman" w:hAnsi="Arial" w:cs="Arial"/>
          <w:sz w:val="20"/>
          <w:szCs w:val="20"/>
          <w:lang w:eastAsia="sl-SI"/>
        </w:rPr>
      </w:pPr>
    </w:p>
    <w:p w14:paraId="3AE67506" w14:textId="3CCF3283" w:rsidR="001E7CF5" w:rsidRDefault="001E7CF5" w:rsidP="00E847F2">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Na področju zunanje dimenzije migracij je Slovenija podpirala oblikovanje celovitih partnerstev po </w:t>
      </w:r>
      <w:r w:rsidR="00302655">
        <w:rPr>
          <w:rFonts w:ascii="Arial" w:eastAsia="Times New Roman" w:hAnsi="Arial" w:cs="Arial"/>
          <w:sz w:val="20"/>
          <w:szCs w:val="20"/>
          <w:lang w:eastAsia="sl-SI"/>
        </w:rPr>
        <w:t>načinu</w:t>
      </w:r>
      <w:r w:rsidR="00302655"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 xml:space="preserve">»po meri«, spodbujala sodelovanje partnerskih držav s </w:t>
      </w:r>
      <w:proofErr w:type="spellStart"/>
      <w:r w:rsidRPr="00D83239">
        <w:rPr>
          <w:rFonts w:ascii="Arial" w:eastAsia="Times New Roman" w:hAnsi="Arial" w:cs="Arial"/>
          <w:sz w:val="20"/>
          <w:szCs w:val="20"/>
          <w:lang w:eastAsia="sl-SI"/>
        </w:rPr>
        <w:t>Frontexom</w:t>
      </w:r>
      <w:proofErr w:type="spellEnd"/>
      <w:r w:rsidRPr="00D83239">
        <w:rPr>
          <w:rFonts w:ascii="Arial" w:eastAsia="Times New Roman" w:hAnsi="Arial" w:cs="Arial"/>
          <w:sz w:val="20"/>
          <w:szCs w:val="20"/>
          <w:lang w:eastAsia="sl-SI"/>
        </w:rPr>
        <w:t xml:space="preserve">, Agencijo Evropske unije za azil in Europolom ter se zavzemala za okrepitev aktivnosti v boju proti tihotapljenju migrantov, predvsem vzdolž </w:t>
      </w:r>
      <w:proofErr w:type="spellStart"/>
      <w:r w:rsidRPr="00D83239">
        <w:rPr>
          <w:rFonts w:ascii="Arial" w:eastAsia="Times New Roman" w:hAnsi="Arial" w:cs="Arial"/>
          <w:sz w:val="20"/>
          <w:szCs w:val="20"/>
          <w:lang w:eastAsia="sl-SI"/>
        </w:rPr>
        <w:t>zahodnobalkanske</w:t>
      </w:r>
      <w:proofErr w:type="spellEnd"/>
      <w:r w:rsidRPr="00D83239">
        <w:rPr>
          <w:rFonts w:ascii="Arial" w:eastAsia="Times New Roman" w:hAnsi="Arial" w:cs="Arial"/>
          <w:sz w:val="20"/>
          <w:szCs w:val="20"/>
          <w:lang w:eastAsia="sl-SI"/>
        </w:rPr>
        <w:t xml:space="preserve"> migracijske poti in v sodelovanju s partnerji v regiji. Med pomembnimi temami je bilo tudi iskanje rešitev za izboljšanje civilne pripravljenosti, odpornosti in preprečevanja kriz v EU in državah članicah </w:t>
      </w:r>
      <w:r w:rsidR="00302655">
        <w:rPr>
          <w:rFonts w:ascii="Arial" w:eastAsia="Times New Roman" w:hAnsi="Arial" w:cs="Arial"/>
          <w:sz w:val="20"/>
          <w:szCs w:val="20"/>
          <w:lang w:eastAsia="sl-SI"/>
        </w:rPr>
        <w:t>z vidika</w:t>
      </w:r>
      <w:r w:rsidRPr="00D83239">
        <w:rPr>
          <w:rFonts w:ascii="Arial" w:eastAsia="Times New Roman" w:hAnsi="Arial" w:cs="Arial"/>
          <w:sz w:val="20"/>
          <w:szCs w:val="20"/>
          <w:lang w:eastAsia="sl-SI"/>
        </w:rPr>
        <w:t xml:space="preserve"> spreminjajočega se varnostnega okolja. Slovenija je podpirala prizadevanja Evropske komisije za izboljšanje pripravljenosti, odpornosti in odzivanja na sodobne grožnje, vključno s </w:t>
      </w:r>
      <w:r w:rsidR="00F16ED9">
        <w:rPr>
          <w:rFonts w:ascii="Arial" w:eastAsia="Times New Roman" w:hAnsi="Arial" w:cs="Arial"/>
          <w:sz w:val="20"/>
          <w:szCs w:val="20"/>
          <w:lang w:eastAsia="sl-SI"/>
        </w:rPr>
        <w:t>s</w:t>
      </w:r>
      <w:r w:rsidRPr="00D83239">
        <w:rPr>
          <w:rFonts w:ascii="Arial" w:eastAsia="Times New Roman" w:hAnsi="Arial" w:cs="Arial"/>
          <w:sz w:val="20"/>
          <w:szCs w:val="20"/>
          <w:lang w:eastAsia="sl-SI"/>
        </w:rPr>
        <w:t>trategijo Evropske unije za pripravljenost.</w:t>
      </w:r>
    </w:p>
    <w:p w14:paraId="73D1AD25" w14:textId="77777777" w:rsidR="00AB780A" w:rsidRPr="00D83239" w:rsidRDefault="00AB780A" w:rsidP="00E847F2">
      <w:pPr>
        <w:spacing w:after="0" w:line="276" w:lineRule="auto"/>
        <w:jc w:val="both"/>
        <w:rPr>
          <w:rFonts w:ascii="Arial" w:eastAsia="Times New Roman" w:hAnsi="Arial" w:cs="Arial"/>
          <w:sz w:val="20"/>
          <w:szCs w:val="20"/>
          <w:lang w:eastAsia="sl-SI"/>
        </w:rPr>
      </w:pPr>
    </w:p>
    <w:p w14:paraId="36242A8B" w14:textId="25B48A36" w:rsidR="001E7CF5" w:rsidRPr="00D83239" w:rsidRDefault="001E7CF5" w:rsidP="00D83239">
      <w:pPr>
        <w:spacing w:after="100" w:afterAutospacing="1"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Področje migracij in z njim povezana zakonodajna vprašanja so v letu 2025 zaznamovala pogajanja o predlogu uredbe o vzpostavitvi skupnega sistema za vračanje, </w:t>
      </w:r>
      <w:r w:rsidR="0015510C">
        <w:rPr>
          <w:rFonts w:ascii="Arial" w:eastAsia="Times New Roman" w:hAnsi="Arial" w:cs="Arial"/>
          <w:sz w:val="20"/>
          <w:szCs w:val="20"/>
          <w:lang w:eastAsia="sl-SI"/>
        </w:rPr>
        <w:t xml:space="preserve">o </w:t>
      </w:r>
      <w:r w:rsidRPr="00D83239">
        <w:rPr>
          <w:rFonts w:ascii="Arial" w:eastAsia="Times New Roman" w:hAnsi="Arial" w:cs="Arial"/>
          <w:sz w:val="20"/>
          <w:szCs w:val="20"/>
          <w:lang w:eastAsia="sl-SI"/>
        </w:rPr>
        <w:t>zakonodajnih predlogih glede seznama varnih izvornih držav in uporabe koncepta »varnih tretjih držav«, o spremembi mehanizma zadržanja izvzetja iz vizumske obveznosti ter o predlogu uredbe o vzpostavitvi aplikacije za elektronsko predložitev potovalnih podatkov (digitalna potovalna aplikacija EU). Dosežen je bil tudi dogovor o vzpostavitvi letnega solidarnostnega sklada za leto 2026.</w:t>
      </w:r>
    </w:p>
    <w:p w14:paraId="2480D54A" w14:textId="336A3F2D" w:rsidR="001E7CF5" w:rsidRPr="00D83239" w:rsidRDefault="001E7CF5" w:rsidP="00D83239">
      <w:pPr>
        <w:spacing w:after="100" w:afterAutospacing="1"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Velik napredek je bil dosežen na področju boja proti terorizmu, ekstremnemu nasilju in radikalizaciji, kjer je </w:t>
      </w:r>
      <w:r w:rsidR="009512D6">
        <w:rPr>
          <w:rFonts w:ascii="Arial" w:eastAsia="Times New Roman" w:hAnsi="Arial" w:cs="Arial"/>
          <w:sz w:val="20"/>
          <w:szCs w:val="20"/>
          <w:lang w:eastAsia="sl-SI"/>
        </w:rPr>
        <w:t>MNZ</w:t>
      </w:r>
      <w:r w:rsidRPr="00D83239">
        <w:rPr>
          <w:rFonts w:ascii="Arial" w:eastAsia="Times New Roman" w:hAnsi="Arial" w:cs="Arial"/>
          <w:sz w:val="20"/>
          <w:szCs w:val="20"/>
          <w:lang w:eastAsia="sl-SI"/>
        </w:rPr>
        <w:t xml:space="preserve"> sodelovalo na vseh ravneh dogodkov </w:t>
      </w:r>
      <w:r w:rsidR="00F16ED9">
        <w:rPr>
          <w:rFonts w:ascii="Arial" w:eastAsia="Times New Roman" w:hAnsi="Arial" w:cs="Arial"/>
          <w:sz w:val="20"/>
          <w:szCs w:val="20"/>
          <w:lang w:eastAsia="sl-SI"/>
        </w:rPr>
        <w:t>i</w:t>
      </w:r>
      <w:r w:rsidRPr="00D83239">
        <w:rPr>
          <w:rFonts w:ascii="Arial" w:eastAsia="Times New Roman" w:hAnsi="Arial" w:cs="Arial"/>
          <w:sz w:val="20"/>
          <w:szCs w:val="20"/>
          <w:lang w:eastAsia="sl-SI"/>
        </w:rPr>
        <w:t>nternetnega foruma</w:t>
      </w:r>
      <w:r w:rsidR="00F16ED9" w:rsidRPr="00F16ED9">
        <w:rPr>
          <w:rFonts w:ascii="Arial" w:eastAsia="Times New Roman" w:hAnsi="Arial" w:cs="Arial"/>
          <w:sz w:val="20"/>
          <w:szCs w:val="20"/>
          <w:lang w:eastAsia="sl-SI"/>
        </w:rPr>
        <w:t xml:space="preserve"> </w:t>
      </w:r>
      <w:r w:rsidR="00F16ED9" w:rsidRPr="00D83239">
        <w:rPr>
          <w:rFonts w:ascii="Arial" w:eastAsia="Times New Roman" w:hAnsi="Arial" w:cs="Arial"/>
          <w:sz w:val="20"/>
          <w:szCs w:val="20"/>
          <w:lang w:eastAsia="sl-SI"/>
        </w:rPr>
        <w:t>EU</w:t>
      </w:r>
      <w:r w:rsidRPr="00D83239">
        <w:rPr>
          <w:rFonts w:ascii="Arial" w:eastAsia="Times New Roman" w:hAnsi="Arial" w:cs="Arial"/>
          <w:sz w:val="20"/>
          <w:szCs w:val="20"/>
          <w:lang w:eastAsia="sl-SI"/>
        </w:rPr>
        <w:t xml:space="preserve">. </w:t>
      </w:r>
      <w:r w:rsidR="009512D6">
        <w:rPr>
          <w:rFonts w:ascii="Arial" w:eastAsia="Times New Roman" w:hAnsi="Arial" w:cs="Arial"/>
          <w:sz w:val="20"/>
          <w:szCs w:val="20"/>
          <w:lang w:eastAsia="sl-SI"/>
        </w:rPr>
        <w:t>MNZ</w:t>
      </w:r>
      <w:r w:rsidRPr="00D83239">
        <w:rPr>
          <w:rFonts w:ascii="Arial" w:eastAsia="Times New Roman" w:hAnsi="Arial" w:cs="Arial"/>
          <w:sz w:val="20"/>
          <w:szCs w:val="20"/>
          <w:lang w:eastAsia="sl-SI"/>
        </w:rPr>
        <w:t xml:space="preserve"> je aktivno sodeloval</w:t>
      </w:r>
      <w:r w:rsidR="009512D6">
        <w:rPr>
          <w:rFonts w:ascii="Arial" w:eastAsia="Times New Roman" w:hAnsi="Arial" w:cs="Arial"/>
          <w:sz w:val="20"/>
          <w:szCs w:val="20"/>
          <w:lang w:eastAsia="sl-SI"/>
        </w:rPr>
        <w:t>o</w:t>
      </w:r>
      <w:r w:rsidRPr="00D83239">
        <w:rPr>
          <w:rFonts w:ascii="Arial" w:eastAsia="Times New Roman" w:hAnsi="Arial" w:cs="Arial"/>
          <w:sz w:val="20"/>
          <w:szCs w:val="20"/>
          <w:lang w:eastAsia="sl-SI"/>
        </w:rPr>
        <w:t xml:space="preserve"> tudi pri pripravi novega skupnega akcijskega načrta EU za boj proti terorizmu </w:t>
      </w:r>
      <w:r w:rsidR="00C07719">
        <w:rPr>
          <w:rFonts w:ascii="Arial" w:eastAsia="Times New Roman" w:hAnsi="Arial" w:cs="Arial"/>
          <w:sz w:val="20"/>
          <w:szCs w:val="20"/>
          <w:lang w:eastAsia="sl-SI"/>
        </w:rPr>
        <w:t>in</w:t>
      </w:r>
      <w:r w:rsidR="00C07719"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 xml:space="preserve">nasilnemu ekstremizmu </w:t>
      </w:r>
      <w:r w:rsidR="00C07719">
        <w:rPr>
          <w:rFonts w:ascii="Arial" w:eastAsia="Times New Roman" w:hAnsi="Arial" w:cs="Arial"/>
          <w:sz w:val="20"/>
          <w:szCs w:val="20"/>
          <w:lang w:eastAsia="sl-SI"/>
        </w:rPr>
        <w:t xml:space="preserve">ter </w:t>
      </w:r>
      <w:r w:rsidR="00090D24">
        <w:rPr>
          <w:rFonts w:ascii="Arial" w:eastAsia="Times New Roman" w:hAnsi="Arial" w:cs="Arial"/>
          <w:sz w:val="20"/>
          <w:szCs w:val="20"/>
          <w:lang w:eastAsia="sl-SI"/>
        </w:rPr>
        <w:t xml:space="preserve">za </w:t>
      </w:r>
      <w:r w:rsidR="00C07719">
        <w:rPr>
          <w:rFonts w:ascii="Arial" w:eastAsia="Times New Roman" w:hAnsi="Arial" w:cs="Arial"/>
          <w:sz w:val="20"/>
          <w:szCs w:val="20"/>
          <w:lang w:eastAsia="sl-SI"/>
        </w:rPr>
        <w:t xml:space="preserve">njuno </w:t>
      </w:r>
      <w:r w:rsidR="00C07719" w:rsidRPr="00D83239">
        <w:rPr>
          <w:rFonts w:ascii="Arial" w:eastAsia="Times New Roman" w:hAnsi="Arial" w:cs="Arial"/>
          <w:sz w:val="20"/>
          <w:szCs w:val="20"/>
          <w:lang w:eastAsia="sl-SI"/>
        </w:rPr>
        <w:t xml:space="preserve">preprečevanje </w:t>
      </w:r>
      <w:r w:rsidRPr="00D83239">
        <w:rPr>
          <w:rFonts w:ascii="Arial" w:eastAsia="Times New Roman" w:hAnsi="Arial" w:cs="Arial"/>
          <w:sz w:val="20"/>
          <w:szCs w:val="20"/>
          <w:lang w:eastAsia="sl-SI"/>
        </w:rPr>
        <w:t>za Zahodni Balkan.</w:t>
      </w:r>
    </w:p>
    <w:p w14:paraId="35ECF1B1" w14:textId="2453400E" w:rsidR="00AB780A" w:rsidRDefault="009512D6" w:rsidP="00AB780A">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MNZ</w:t>
      </w:r>
      <w:r w:rsidR="001E7CF5" w:rsidRPr="00D83239">
        <w:rPr>
          <w:rFonts w:ascii="Arial" w:eastAsia="Times New Roman" w:hAnsi="Arial" w:cs="Arial"/>
          <w:sz w:val="20"/>
          <w:szCs w:val="20"/>
          <w:lang w:eastAsia="sl-SI"/>
        </w:rPr>
        <w:t xml:space="preserve"> je v letu 2025 aktivno sodeloval</w:t>
      </w:r>
      <w:r>
        <w:rPr>
          <w:rFonts w:ascii="Arial" w:eastAsia="Times New Roman" w:hAnsi="Arial" w:cs="Arial"/>
          <w:sz w:val="20"/>
          <w:szCs w:val="20"/>
          <w:lang w:eastAsia="sl-SI"/>
        </w:rPr>
        <w:t>o</w:t>
      </w:r>
      <w:r w:rsidR="001E7CF5" w:rsidRPr="00D83239">
        <w:rPr>
          <w:rFonts w:ascii="Arial" w:eastAsia="Times New Roman" w:hAnsi="Arial" w:cs="Arial"/>
          <w:sz w:val="20"/>
          <w:szCs w:val="20"/>
          <w:lang w:eastAsia="sl-SI"/>
        </w:rPr>
        <w:t xml:space="preserve"> v pogajanjih v okviru Sveta EU o zakonodajnih aktih s področja policijskega sodelovanja. Poseben poudarek je bil namenjen predlogu uredbe o preprečevanju in boju proti spolnim zlorabam otrok, glede katerega so države članice po večletnih intenzivnih pogajanjih dosegle dogovor. Dansko predsedstvo je iz predloga umaknilo najsporn</w:t>
      </w:r>
      <w:r w:rsidR="00F16ED9">
        <w:rPr>
          <w:rFonts w:ascii="Arial" w:eastAsia="Times New Roman" w:hAnsi="Arial" w:cs="Arial"/>
          <w:sz w:val="20"/>
          <w:szCs w:val="20"/>
          <w:lang w:eastAsia="sl-SI"/>
        </w:rPr>
        <w:t>ejši</w:t>
      </w:r>
      <w:r w:rsidR="001E7CF5" w:rsidRPr="00D83239">
        <w:rPr>
          <w:rFonts w:ascii="Arial" w:eastAsia="Times New Roman" w:hAnsi="Arial" w:cs="Arial"/>
          <w:sz w:val="20"/>
          <w:szCs w:val="20"/>
          <w:lang w:eastAsia="sl-SI"/>
        </w:rPr>
        <w:t xml:space="preserve"> element, tj. odredbe o zaznavanju, na podlagi katerih bi morali ponudniki storitev pregledovati medsebojne komunikacije vseh uporabnikov. Zadnji kompromisni predlog je vključeval ključne elemente, ki jih je Slovenija zagovarjala </w:t>
      </w:r>
      <w:r w:rsidR="00F16ED9">
        <w:rPr>
          <w:rFonts w:ascii="Arial" w:eastAsia="Times New Roman" w:hAnsi="Arial" w:cs="Arial"/>
          <w:sz w:val="20"/>
          <w:szCs w:val="20"/>
          <w:lang w:eastAsia="sl-SI"/>
        </w:rPr>
        <w:t>ves</w:t>
      </w:r>
      <w:r w:rsidR="001E7CF5" w:rsidRPr="00D83239">
        <w:rPr>
          <w:rFonts w:ascii="Arial" w:eastAsia="Times New Roman" w:hAnsi="Arial" w:cs="Arial"/>
          <w:sz w:val="20"/>
          <w:szCs w:val="20"/>
          <w:lang w:eastAsia="sl-SI"/>
        </w:rPr>
        <w:t xml:space="preserve"> pogajalski proces, zato ga je lahko podprla. Na tej podlagi so se začela pogajanja z Evropskim parlamentom z namenom zagotovitve ureditve področja pred iztekom začasne derogacije uredbe o e-zase</w:t>
      </w:r>
      <w:r w:rsidR="00AB780A">
        <w:rPr>
          <w:rFonts w:ascii="Arial" w:eastAsia="Times New Roman" w:hAnsi="Arial" w:cs="Arial"/>
          <w:sz w:val="20"/>
          <w:szCs w:val="20"/>
          <w:lang w:eastAsia="sl-SI"/>
        </w:rPr>
        <w:t>bnosti aprila 2026.</w:t>
      </w:r>
    </w:p>
    <w:p w14:paraId="28CD0E10" w14:textId="77777777" w:rsidR="00AB780A" w:rsidRDefault="00AB780A" w:rsidP="00AB780A">
      <w:pPr>
        <w:spacing w:after="0" w:line="276" w:lineRule="auto"/>
        <w:jc w:val="both"/>
        <w:rPr>
          <w:rFonts w:ascii="Arial" w:eastAsia="Times New Roman" w:hAnsi="Arial" w:cs="Arial"/>
          <w:sz w:val="20"/>
          <w:szCs w:val="20"/>
          <w:lang w:eastAsia="sl-SI"/>
        </w:rPr>
      </w:pPr>
    </w:p>
    <w:p w14:paraId="7DD369B6" w14:textId="50D88D2C" w:rsidR="00AB780A" w:rsidRDefault="009512D6" w:rsidP="00AB780A">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MNZ</w:t>
      </w:r>
      <w:r w:rsidR="001E7CF5" w:rsidRPr="00D83239">
        <w:rPr>
          <w:rFonts w:ascii="Arial" w:eastAsia="Times New Roman" w:hAnsi="Arial" w:cs="Arial"/>
          <w:sz w:val="20"/>
          <w:szCs w:val="20"/>
          <w:lang w:eastAsia="sl-SI"/>
        </w:rPr>
        <w:t xml:space="preserve"> je bil</w:t>
      </w:r>
      <w:r>
        <w:rPr>
          <w:rFonts w:ascii="Arial" w:eastAsia="Times New Roman" w:hAnsi="Arial" w:cs="Arial"/>
          <w:sz w:val="20"/>
          <w:szCs w:val="20"/>
          <w:lang w:eastAsia="sl-SI"/>
        </w:rPr>
        <w:t>o</w:t>
      </w:r>
      <w:r w:rsidR="001E7CF5" w:rsidRPr="00D83239">
        <w:rPr>
          <w:rFonts w:ascii="Arial" w:eastAsia="Times New Roman" w:hAnsi="Arial" w:cs="Arial"/>
          <w:sz w:val="20"/>
          <w:szCs w:val="20"/>
          <w:lang w:eastAsia="sl-SI"/>
        </w:rPr>
        <w:t xml:space="preserve"> poleg tega aktivno vključen</w:t>
      </w:r>
      <w:r>
        <w:rPr>
          <w:rFonts w:ascii="Arial" w:eastAsia="Times New Roman" w:hAnsi="Arial" w:cs="Arial"/>
          <w:sz w:val="20"/>
          <w:szCs w:val="20"/>
          <w:lang w:eastAsia="sl-SI"/>
        </w:rPr>
        <w:t>o</w:t>
      </w:r>
      <w:r w:rsidR="001E7CF5" w:rsidRPr="00D83239">
        <w:rPr>
          <w:rFonts w:ascii="Arial" w:eastAsia="Times New Roman" w:hAnsi="Arial" w:cs="Arial"/>
          <w:sz w:val="20"/>
          <w:szCs w:val="20"/>
          <w:lang w:eastAsia="sl-SI"/>
        </w:rPr>
        <w:t xml:space="preserve"> v pogajanja o ciljni spremembi uredbe o Europolu za okrepitev boja proti tihotapljenju migrantov. Septembra 2025 je bil dosežen dogovor med Evropskim parlamentom in Svetom EU, ki je poleg okrepljene izmenjave podatkov zagotovil dodatnih 50 zaposlitev v Europolu, vzpostavitev stalnega Centra za boj proti tihotapljenju migrantov ter dodatnih 50 milijonov evrov za boj proti tihotapljenju migrantov in trgovini z ljudmi.</w:t>
      </w:r>
    </w:p>
    <w:p w14:paraId="1EACC44D" w14:textId="77777777" w:rsidR="00AB780A" w:rsidRPr="00D83239" w:rsidRDefault="00AB780A" w:rsidP="00AB780A">
      <w:pPr>
        <w:spacing w:after="0" w:line="276" w:lineRule="auto"/>
        <w:jc w:val="both"/>
        <w:rPr>
          <w:rFonts w:ascii="Arial" w:eastAsia="Times New Roman" w:hAnsi="Arial" w:cs="Arial"/>
          <w:sz w:val="20"/>
          <w:szCs w:val="20"/>
          <w:lang w:eastAsia="sl-SI"/>
        </w:rPr>
      </w:pPr>
    </w:p>
    <w:p w14:paraId="40BA0415" w14:textId="3AE2027A" w:rsidR="001E7CF5" w:rsidRPr="00D83239" w:rsidRDefault="001E7CF5" w:rsidP="00D83239">
      <w:pPr>
        <w:spacing w:after="100" w:afterAutospacing="1"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V letu 2025 je v Sloveniji potekalo tudi ocenjevanje uporabe schengenskega pravnega reda. Za usklajevanje vseh aktivnosti ter pripravo in izvedbo </w:t>
      </w:r>
      <w:proofErr w:type="spellStart"/>
      <w:r w:rsidRPr="00D83239">
        <w:rPr>
          <w:rFonts w:ascii="Arial" w:eastAsia="Times New Roman" w:hAnsi="Arial" w:cs="Arial"/>
          <w:sz w:val="20"/>
          <w:szCs w:val="20"/>
          <w:lang w:eastAsia="sl-SI"/>
        </w:rPr>
        <w:t>evalvacijskih</w:t>
      </w:r>
      <w:proofErr w:type="spellEnd"/>
      <w:r w:rsidRPr="00D83239">
        <w:rPr>
          <w:rFonts w:ascii="Arial" w:eastAsia="Times New Roman" w:hAnsi="Arial" w:cs="Arial"/>
          <w:sz w:val="20"/>
          <w:szCs w:val="20"/>
          <w:lang w:eastAsia="sl-SI"/>
        </w:rPr>
        <w:t xml:space="preserve"> obiskov je bila na ravni MNZ imenovana </w:t>
      </w:r>
      <w:r w:rsidR="005D2EB5">
        <w:rPr>
          <w:rFonts w:ascii="Arial" w:eastAsia="Times New Roman" w:hAnsi="Arial" w:cs="Arial"/>
          <w:sz w:val="20"/>
          <w:szCs w:val="20"/>
          <w:lang w:eastAsia="sl-SI"/>
        </w:rPr>
        <w:t>d</w:t>
      </w:r>
      <w:r w:rsidRPr="00D83239">
        <w:rPr>
          <w:rFonts w:ascii="Arial" w:eastAsia="Times New Roman" w:hAnsi="Arial" w:cs="Arial"/>
          <w:sz w:val="20"/>
          <w:szCs w:val="20"/>
          <w:lang w:eastAsia="sl-SI"/>
        </w:rPr>
        <w:t xml:space="preserve">elovna skupina za pripravo schengenske evalvacije 2025. V tem okviru je </w:t>
      </w:r>
      <w:r w:rsidR="009512D6">
        <w:rPr>
          <w:rFonts w:ascii="Arial" w:eastAsia="Times New Roman" w:hAnsi="Arial" w:cs="Arial"/>
          <w:sz w:val="20"/>
          <w:szCs w:val="20"/>
          <w:lang w:eastAsia="sl-SI"/>
        </w:rPr>
        <w:t>bil v</w:t>
      </w:r>
      <w:r w:rsidRPr="00D83239">
        <w:rPr>
          <w:rFonts w:ascii="Arial" w:eastAsia="Times New Roman" w:hAnsi="Arial" w:cs="Arial"/>
          <w:sz w:val="20"/>
          <w:szCs w:val="20"/>
          <w:lang w:eastAsia="sl-SI"/>
        </w:rPr>
        <w:t xml:space="preserve"> novembr</w:t>
      </w:r>
      <w:r w:rsidR="009512D6">
        <w:rPr>
          <w:rFonts w:ascii="Arial" w:eastAsia="Times New Roman" w:hAnsi="Arial" w:cs="Arial"/>
          <w:sz w:val="20"/>
          <w:szCs w:val="20"/>
          <w:lang w:eastAsia="sl-SI"/>
        </w:rPr>
        <w:t>u</w:t>
      </w:r>
      <w:r w:rsidRPr="00D83239">
        <w:rPr>
          <w:rFonts w:ascii="Arial" w:eastAsia="Times New Roman" w:hAnsi="Arial" w:cs="Arial"/>
          <w:sz w:val="20"/>
          <w:szCs w:val="20"/>
          <w:lang w:eastAsia="sl-SI"/>
        </w:rPr>
        <w:t xml:space="preserve"> organizir</w:t>
      </w:r>
      <w:r w:rsidR="009512D6">
        <w:rPr>
          <w:rFonts w:ascii="Arial" w:eastAsia="Times New Roman" w:hAnsi="Arial" w:cs="Arial"/>
          <w:sz w:val="20"/>
          <w:szCs w:val="20"/>
          <w:lang w:eastAsia="sl-SI"/>
        </w:rPr>
        <w:t>an</w:t>
      </w:r>
      <w:r w:rsidRPr="00D83239">
        <w:rPr>
          <w:rFonts w:ascii="Arial" w:eastAsia="Times New Roman" w:hAnsi="Arial" w:cs="Arial"/>
          <w:sz w:val="20"/>
          <w:szCs w:val="20"/>
          <w:lang w:eastAsia="sl-SI"/>
        </w:rPr>
        <w:t xml:space="preserve"> tudi obisk schengenskega koordinatorja.</w:t>
      </w:r>
    </w:p>
    <w:p w14:paraId="37A457A1" w14:textId="5B4B2484" w:rsidR="008E60B9" w:rsidRDefault="001E7CF5" w:rsidP="008E60B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Slovenija je v letu 2025 aktivno sodelovala </w:t>
      </w:r>
      <w:r w:rsidR="00F16ED9">
        <w:rPr>
          <w:rFonts w:ascii="Arial" w:eastAsia="Times New Roman" w:hAnsi="Arial" w:cs="Arial"/>
          <w:sz w:val="20"/>
          <w:szCs w:val="20"/>
          <w:lang w:eastAsia="sl-SI"/>
        </w:rPr>
        <w:t>na</w:t>
      </w:r>
      <w:r w:rsidR="00F16ED9"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 xml:space="preserve">Salzburškem forumu, kjer je </w:t>
      </w:r>
      <w:r w:rsidR="009512D6">
        <w:rPr>
          <w:rFonts w:ascii="Arial" w:eastAsia="Times New Roman" w:hAnsi="Arial" w:cs="Arial"/>
          <w:sz w:val="20"/>
          <w:szCs w:val="20"/>
          <w:lang w:eastAsia="sl-SI"/>
        </w:rPr>
        <w:t>bilo poskrbljeno</w:t>
      </w:r>
      <w:r w:rsidRPr="00D83239">
        <w:rPr>
          <w:rFonts w:ascii="Arial" w:eastAsia="Times New Roman" w:hAnsi="Arial" w:cs="Arial"/>
          <w:sz w:val="20"/>
          <w:szCs w:val="20"/>
          <w:lang w:eastAsia="sl-SI"/>
        </w:rPr>
        <w:t xml:space="preserve"> za vsebinsko pripravo gradiv za udeležbo ministra na dveh ministrskih srečanjih ter za pripravo skupnih izjav ministrov.</w:t>
      </w:r>
    </w:p>
    <w:p w14:paraId="6CC4B08B" w14:textId="77777777" w:rsidR="008E60B9" w:rsidRPr="00D83239" w:rsidRDefault="008E60B9" w:rsidP="008E60B9">
      <w:pPr>
        <w:spacing w:after="0" w:line="276" w:lineRule="auto"/>
        <w:jc w:val="both"/>
        <w:rPr>
          <w:rFonts w:ascii="Arial" w:eastAsia="Times New Roman" w:hAnsi="Arial" w:cs="Arial"/>
          <w:sz w:val="20"/>
          <w:szCs w:val="20"/>
          <w:lang w:eastAsia="sl-SI"/>
        </w:rPr>
      </w:pPr>
    </w:p>
    <w:p w14:paraId="71794365" w14:textId="6794ED4D" w:rsidR="001E7CF5" w:rsidRDefault="001E7CF5" w:rsidP="008E60B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Sodelovanje z Zahodnim Balkanom ostaja ena ključnih pr</w:t>
      </w:r>
      <w:r w:rsidR="00F16ED9">
        <w:rPr>
          <w:rFonts w:ascii="Arial" w:eastAsia="Times New Roman" w:hAnsi="Arial" w:cs="Arial"/>
          <w:sz w:val="20"/>
          <w:szCs w:val="20"/>
          <w:lang w:eastAsia="sl-SI"/>
        </w:rPr>
        <w:t>ednostnih nalog</w:t>
      </w:r>
      <w:r w:rsidRPr="00D83239">
        <w:rPr>
          <w:rFonts w:ascii="Arial" w:eastAsia="Times New Roman" w:hAnsi="Arial" w:cs="Arial"/>
          <w:sz w:val="20"/>
          <w:szCs w:val="20"/>
          <w:lang w:eastAsia="sl-SI"/>
        </w:rPr>
        <w:t xml:space="preserve"> Republike Slovenije. Večina regionalnih aktivnosti je potekala v okviru procesa</w:t>
      </w:r>
      <w:r w:rsidR="00F16ED9" w:rsidRPr="00F16ED9">
        <w:rPr>
          <w:rFonts w:ascii="Arial" w:eastAsia="Times New Roman" w:hAnsi="Arial" w:cs="Arial"/>
          <w:sz w:val="20"/>
          <w:szCs w:val="20"/>
          <w:lang w:eastAsia="sl-SI"/>
        </w:rPr>
        <w:t xml:space="preserve"> </w:t>
      </w:r>
      <w:r w:rsidR="00F16ED9" w:rsidRPr="00D83239">
        <w:rPr>
          <w:rFonts w:ascii="Arial" w:eastAsia="Times New Roman" w:hAnsi="Arial" w:cs="Arial"/>
          <w:sz w:val="20"/>
          <w:szCs w:val="20"/>
          <w:lang w:eastAsia="sl-SI"/>
        </w:rPr>
        <w:t>Brdo</w:t>
      </w:r>
      <w:r w:rsidRPr="00D83239">
        <w:rPr>
          <w:rFonts w:ascii="Arial" w:eastAsia="Times New Roman" w:hAnsi="Arial" w:cs="Arial"/>
          <w:sz w:val="20"/>
          <w:szCs w:val="20"/>
          <w:lang w:eastAsia="sl-SI"/>
        </w:rPr>
        <w:t xml:space="preserve">, medtem ko je bilateralno sodelovanje v letu 2025 potekalo predvsem s Črno goro in Severno Makedonijo. Trinajsto neformalno srečanje ministrov za notranje zadeve </w:t>
      </w:r>
      <w:r w:rsidR="00F16ED9">
        <w:rPr>
          <w:rFonts w:ascii="Arial" w:eastAsia="Times New Roman" w:hAnsi="Arial" w:cs="Arial"/>
          <w:sz w:val="20"/>
          <w:szCs w:val="20"/>
          <w:lang w:eastAsia="sl-SI"/>
        </w:rPr>
        <w:t xml:space="preserve">v okviru </w:t>
      </w:r>
      <w:r w:rsidRPr="00D83239">
        <w:rPr>
          <w:rFonts w:ascii="Arial" w:eastAsia="Times New Roman" w:hAnsi="Arial" w:cs="Arial"/>
          <w:sz w:val="20"/>
          <w:szCs w:val="20"/>
          <w:lang w:eastAsia="sl-SI"/>
        </w:rPr>
        <w:t xml:space="preserve">procesa </w:t>
      </w:r>
      <w:r w:rsidR="00F16ED9" w:rsidRPr="00D83239">
        <w:rPr>
          <w:rFonts w:ascii="Arial" w:eastAsia="Times New Roman" w:hAnsi="Arial" w:cs="Arial"/>
          <w:sz w:val="20"/>
          <w:szCs w:val="20"/>
          <w:lang w:eastAsia="sl-SI"/>
        </w:rPr>
        <w:t xml:space="preserve">Brdo </w:t>
      </w:r>
      <w:r w:rsidRPr="00D83239">
        <w:rPr>
          <w:rFonts w:ascii="Arial" w:eastAsia="Times New Roman" w:hAnsi="Arial" w:cs="Arial"/>
          <w:sz w:val="20"/>
          <w:szCs w:val="20"/>
          <w:lang w:eastAsia="sl-SI"/>
        </w:rPr>
        <w:t xml:space="preserve">je potekalo 27. in 28. </w:t>
      </w:r>
      <w:r w:rsidR="003E1B2F">
        <w:rPr>
          <w:rFonts w:ascii="Arial" w:eastAsia="Times New Roman" w:hAnsi="Arial" w:cs="Arial"/>
          <w:sz w:val="20"/>
          <w:szCs w:val="20"/>
          <w:lang w:eastAsia="sl-SI"/>
        </w:rPr>
        <w:t>3.</w:t>
      </w:r>
      <w:r w:rsidRPr="00D83239">
        <w:rPr>
          <w:rFonts w:ascii="Arial" w:eastAsia="Times New Roman" w:hAnsi="Arial" w:cs="Arial"/>
          <w:sz w:val="20"/>
          <w:szCs w:val="20"/>
          <w:lang w:eastAsia="sl-SI"/>
        </w:rPr>
        <w:t xml:space="preserve"> 2025 na Brdu pri Kranju. Ministri so podprli krepitev regionalnega sodelovanja v boju proti terorističnim grožnjam ter poudarili pomembno vlogo mreže nacionalnih koordinatorjev za boj proti trgovini z ljudmi jugovzhodne Evrope pri obravnavi nezakonitih migracij. Srečanja sta se udeležila tudi evropska komisarka za širitev in evropski komisar za notranje zadeve in migracije.</w:t>
      </w:r>
    </w:p>
    <w:p w14:paraId="576081FB" w14:textId="77777777" w:rsidR="008E60B9" w:rsidRPr="00D83239" w:rsidRDefault="008E60B9" w:rsidP="008E60B9">
      <w:pPr>
        <w:spacing w:after="0" w:line="276" w:lineRule="auto"/>
        <w:jc w:val="both"/>
        <w:rPr>
          <w:rFonts w:ascii="Arial" w:eastAsia="Times New Roman" w:hAnsi="Arial" w:cs="Arial"/>
          <w:sz w:val="20"/>
          <w:szCs w:val="20"/>
          <w:lang w:eastAsia="sl-SI"/>
        </w:rPr>
      </w:pPr>
    </w:p>
    <w:p w14:paraId="5D029C86" w14:textId="74AF99E9" w:rsidR="008E60B9" w:rsidRDefault="001E7CF5" w:rsidP="008E60B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Glede na spremembe v mednarodnem varnostnem okolju je </w:t>
      </w:r>
      <w:r w:rsidR="003E1B2F">
        <w:rPr>
          <w:rFonts w:ascii="Arial" w:eastAsia="Times New Roman" w:hAnsi="Arial" w:cs="Arial"/>
          <w:sz w:val="20"/>
          <w:szCs w:val="20"/>
          <w:lang w:eastAsia="sl-SI"/>
        </w:rPr>
        <w:t>bilo poskrbljeno</w:t>
      </w:r>
      <w:r w:rsidR="00B95461">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za celovit</w:t>
      </w:r>
      <w:r w:rsidR="00F16ED9">
        <w:rPr>
          <w:rFonts w:ascii="Arial" w:eastAsia="Times New Roman" w:hAnsi="Arial" w:cs="Arial"/>
          <w:sz w:val="20"/>
          <w:szCs w:val="20"/>
          <w:lang w:eastAsia="sl-SI"/>
        </w:rPr>
        <w:t>o delovanje</w:t>
      </w:r>
      <w:r w:rsidR="008E60B9">
        <w:rPr>
          <w:rFonts w:ascii="Arial" w:eastAsia="Times New Roman" w:hAnsi="Arial" w:cs="Arial"/>
          <w:sz w:val="20"/>
          <w:szCs w:val="20"/>
          <w:lang w:eastAsia="sl-SI"/>
        </w:rPr>
        <w:t xml:space="preserve"> in ustrezen</w:t>
      </w:r>
      <w:r w:rsidRPr="00D83239">
        <w:rPr>
          <w:rFonts w:ascii="Arial" w:eastAsia="Times New Roman" w:hAnsi="Arial" w:cs="Arial"/>
          <w:sz w:val="20"/>
          <w:szCs w:val="20"/>
          <w:lang w:eastAsia="sl-SI"/>
        </w:rPr>
        <w:t xml:space="preserve"> nabor zmogljivosti za sodelovanje na področju civilnega kriznega upravljanja. MNZ je tako v skladu z odločitvami, sprejetimi na najvišji državni ravni, ter mednarodnimi zavezami v letu 2025 sodeloval</w:t>
      </w:r>
      <w:r w:rsidR="00BE46AE">
        <w:rPr>
          <w:rFonts w:ascii="Arial" w:eastAsia="Times New Roman" w:hAnsi="Arial" w:cs="Arial"/>
          <w:sz w:val="20"/>
          <w:szCs w:val="20"/>
          <w:lang w:eastAsia="sl-SI"/>
        </w:rPr>
        <w:t>o</w:t>
      </w:r>
      <w:r w:rsidRPr="00D83239">
        <w:rPr>
          <w:rFonts w:ascii="Arial" w:eastAsia="Times New Roman" w:hAnsi="Arial" w:cs="Arial"/>
          <w:sz w:val="20"/>
          <w:szCs w:val="20"/>
          <w:lang w:eastAsia="sl-SI"/>
        </w:rPr>
        <w:t xml:space="preserve"> v mednarodnih civilnih misijah na Kosovu, v Palestini, Gruziji in Ukrajini ter spremljal</w:t>
      </w:r>
      <w:r w:rsidR="00BE46AE">
        <w:rPr>
          <w:rFonts w:ascii="Arial" w:eastAsia="Times New Roman" w:hAnsi="Arial" w:cs="Arial"/>
          <w:sz w:val="20"/>
          <w:szCs w:val="20"/>
          <w:lang w:eastAsia="sl-SI"/>
        </w:rPr>
        <w:t>o</w:t>
      </w:r>
      <w:r w:rsidRPr="00D83239">
        <w:rPr>
          <w:rFonts w:ascii="Arial" w:eastAsia="Times New Roman" w:hAnsi="Arial" w:cs="Arial"/>
          <w:sz w:val="20"/>
          <w:szCs w:val="20"/>
          <w:lang w:eastAsia="sl-SI"/>
        </w:rPr>
        <w:t xml:space="preserve"> dejavnosti relevantnih organov EU na področju skupne </w:t>
      </w:r>
      <w:r w:rsidR="008E60B9">
        <w:rPr>
          <w:rFonts w:ascii="Arial" w:eastAsia="Times New Roman" w:hAnsi="Arial" w:cs="Arial"/>
          <w:sz w:val="20"/>
          <w:szCs w:val="20"/>
          <w:lang w:eastAsia="sl-SI"/>
        </w:rPr>
        <w:t>varnostne in obrambne politike.</w:t>
      </w:r>
    </w:p>
    <w:p w14:paraId="0FB07DD4" w14:textId="77777777" w:rsidR="008E60B9" w:rsidRDefault="008E60B9" w:rsidP="008E60B9">
      <w:pPr>
        <w:spacing w:after="0" w:line="276" w:lineRule="auto"/>
        <w:jc w:val="both"/>
        <w:rPr>
          <w:rFonts w:ascii="Arial" w:eastAsia="Times New Roman" w:hAnsi="Arial" w:cs="Arial"/>
          <w:sz w:val="20"/>
          <w:szCs w:val="20"/>
          <w:lang w:eastAsia="sl-SI"/>
        </w:rPr>
      </w:pPr>
    </w:p>
    <w:p w14:paraId="71AAB0A6" w14:textId="4C8FC817" w:rsidR="008E60B9" w:rsidRDefault="001E7CF5" w:rsidP="008E60B9">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V letu 2025 so se nadaljevali tudi bilateralni dialogi na področju migracij in varnosti v regiji Severne Afrike z namenom nadgradnje sodelovanja med pristojnimi organi. Prvo srečanje je potekalo v okviru dialoga na visoki ravni s Kraljevino Maroko junija 2025 v Sloveniji. Pomemben napredek </w:t>
      </w:r>
      <w:r w:rsidR="00BE46AE">
        <w:rPr>
          <w:rFonts w:ascii="Arial" w:eastAsia="Times New Roman" w:hAnsi="Arial" w:cs="Arial"/>
          <w:sz w:val="20"/>
          <w:szCs w:val="20"/>
          <w:lang w:eastAsia="sl-SI"/>
        </w:rPr>
        <w:t>je bil dosežen s</w:t>
      </w:r>
      <w:r w:rsidR="00BE46AE"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podpis</w:t>
      </w:r>
      <w:r w:rsidR="00BE46AE">
        <w:rPr>
          <w:rFonts w:ascii="Arial" w:eastAsia="Times New Roman" w:hAnsi="Arial" w:cs="Arial"/>
          <w:sz w:val="20"/>
          <w:szCs w:val="20"/>
          <w:lang w:eastAsia="sl-SI"/>
        </w:rPr>
        <w:t>om</w:t>
      </w:r>
      <w:r w:rsidRPr="00D83239">
        <w:rPr>
          <w:rFonts w:ascii="Arial" w:eastAsia="Times New Roman" w:hAnsi="Arial" w:cs="Arial"/>
          <w:sz w:val="20"/>
          <w:szCs w:val="20"/>
          <w:lang w:eastAsia="sl-SI"/>
        </w:rPr>
        <w:t xml:space="preserve"> Memoranduma o soglasju med Ministrstvom za notranje zadeve Republike Slovenije in Ministrstvom za notranje zadeve, lokalno upravo in promet Ljudske demokratične republike Alžirije na področju policijskega sodelovanja, podpisan </w:t>
      </w:r>
      <w:r w:rsidR="00BE46AE" w:rsidRPr="00D83239">
        <w:rPr>
          <w:rFonts w:ascii="Arial" w:eastAsia="Times New Roman" w:hAnsi="Arial" w:cs="Arial"/>
          <w:sz w:val="20"/>
          <w:szCs w:val="20"/>
          <w:lang w:eastAsia="sl-SI"/>
        </w:rPr>
        <w:t xml:space="preserve">je bil </w:t>
      </w:r>
      <w:r w:rsidR="008E60B9">
        <w:rPr>
          <w:rFonts w:ascii="Arial" w:eastAsia="Times New Roman" w:hAnsi="Arial" w:cs="Arial"/>
          <w:sz w:val="20"/>
          <w:szCs w:val="20"/>
          <w:lang w:eastAsia="sl-SI"/>
        </w:rPr>
        <w:t>13. 5.</w:t>
      </w:r>
      <w:r w:rsidRPr="00D83239">
        <w:rPr>
          <w:rFonts w:ascii="Arial" w:eastAsia="Times New Roman" w:hAnsi="Arial" w:cs="Arial"/>
          <w:sz w:val="20"/>
          <w:szCs w:val="20"/>
          <w:lang w:eastAsia="sl-SI"/>
        </w:rPr>
        <w:t xml:space="preserve"> 2025 ob robu obiska alžirskega predsednika </w:t>
      </w:r>
      <w:proofErr w:type="spellStart"/>
      <w:r w:rsidRPr="00D83239">
        <w:rPr>
          <w:rFonts w:ascii="Arial" w:eastAsia="Times New Roman" w:hAnsi="Arial" w:cs="Arial"/>
          <w:sz w:val="20"/>
          <w:szCs w:val="20"/>
          <w:lang w:eastAsia="sl-SI"/>
        </w:rPr>
        <w:t>Abdelmadjida</w:t>
      </w:r>
      <w:proofErr w:type="spellEnd"/>
      <w:r w:rsidRPr="00D83239">
        <w:rPr>
          <w:rFonts w:ascii="Arial" w:eastAsia="Times New Roman" w:hAnsi="Arial" w:cs="Arial"/>
          <w:sz w:val="20"/>
          <w:szCs w:val="20"/>
          <w:lang w:eastAsia="sl-SI"/>
        </w:rPr>
        <w:t xml:space="preserve"> </w:t>
      </w:r>
      <w:proofErr w:type="spellStart"/>
      <w:r w:rsidRPr="00D83239">
        <w:rPr>
          <w:rFonts w:ascii="Arial" w:eastAsia="Times New Roman" w:hAnsi="Arial" w:cs="Arial"/>
          <w:sz w:val="20"/>
          <w:szCs w:val="20"/>
          <w:lang w:eastAsia="sl-SI"/>
        </w:rPr>
        <w:t>Tebbouna</w:t>
      </w:r>
      <w:proofErr w:type="spellEnd"/>
      <w:r w:rsidRPr="00D83239">
        <w:rPr>
          <w:rFonts w:ascii="Arial" w:eastAsia="Times New Roman" w:hAnsi="Arial" w:cs="Arial"/>
          <w:sz w:val="20"/>
          <w:szCs w:val="20"/>
          <w:lang w:eastAsia="sl-SI"/>
        </w:rPr>
        <w:t xml:space="preserve"> pri predsedniku vlade Robertu Golobu. Memorandum </w:t>
      </w:r>
      <w:r w:rsidR="00BE46AE">
        <w:rPr>
          <w:rFonts w:ascii="Arial" w:eastAsia="Times New Roman" w:hAnsi="Arial" w:cs="Arial"/>
          <w:sz w:val="20"/>
          <w:szCs w:val="20"/>
          <w:lang w:eastAsia="sl-SI"/>
        </w:rPr>
        <w:t>je</w:t>
      </w:r>
      <w:r w:rsidR="00BE46AE"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 xml:space="preserve">temelj za krepitev dvostranskih odnosov na vseh ključnih področjih policijskega delovanja, zlasti na področju boja proti čezmejnemu kriminalu, upravljanja migracij ter usposabljanj in izmenjave izkušenj. Na njegovi podlagi je bil pripravljen osnutek akcijskega načrta za leti 2026 in 2027, </w:t>
      </w:r>
      <w:r w:rsidR="00BE46AE">
        <w:rPr>
          <w:rFonts w:ascii="Arial" w:eastAsia="Times New Roman" w:hAnsi="Arial" w:cs="Arial"/>
          <w:sz w:val="20"/>
          <w:szCs w:val="20"/>
          <w:lang w:eastAsia="sl-SI"/>
        </w:rPr>
        <w:t>potekajo</w:t>
      </w:r>
      <w:r w:rsidRPr="00D83239">
        <w:rPr>
          <w:rFonts w:ascii="Arial" w:eastAsia="Times New Roman" w:hAnsi="Arial" w:cs="Arial"/>
          <w:sz w:val="20"/>
          <w:szCs w:val="20"/>
          <w:lang w:eastAsia="sl-SI"/>
        </w:rPr>
        <w:t xml:space="preserve"> pa tudi priprave na prvo srečanje visokih uradnikov obeh držav, predvideno marca 2026, na katerem bo pregledano dosedanje sodelovanje in dokončno usklajen akcijski načrt. Za izvajanje okrepljenih aktivnosti sodelovanja z državami Severne Afrike je </w:t>
      </w:r>
      <w:r w:rsidR="003E1B2F">
        <w:rPr>
          <w:rFonts w:ascii="Arial" w:eastAsia="Times New Roman" w:hAnsi="Arial" w:cs="Arial"/>
          <w:sz w:val="20"/>
          <w:szCs w:val="20"/>
          <w:lang w:eastAsia="sl-SI"/>
        </w:rPr>
        <w:t>MNZ</w:t>
      </w:r>
      <w:r w:rsidRPr="00D83239">
        <w:rPr>
          <w:rFonts w:ascii="Arial" w:eastAsia="Times New Roman" w:hAnsi="Arial" w:cs="Arial"/>
          <w:sz w:val="20"/>
          <w:szCs w:val="20"/>
          <w:lang w:eastAsia="sl-SI"/>
        </w:rPr>
        <w:t xml:space="preserve"> pripravil</w:t>
      </w:r>
      <w:r w:rsidR="003E1B2F">
        <w:rPr>
          <w:rFonts w:ascii="Arial" w:eastAsia="Times New Roman" w:hAnsi="Arial" w:cs="Arial"/>
          <w:sz w:val="20"/>
          <w:szCs w:val="20"/>
          <w:lang w:eastAsia="sl-SI"/>
        </w:rPr>
        <w:t>o</w:t>
      </w:r>
      <w:r w:rsidRPr="00D83239">
        <w:rPr>
          <w:rFonts w:ascii="Arial" w:eastAsia="Times New Roman" w:hAnsi="Arial" w:cs="Arial"/>
          <w:sz w:val="20"/>
          <w:szCs w:val="20"/>
          <w:lang w:eastAsia="sl-SI"/>
        </w:rPr>
        <w:t xml:space="preserve"> tudi predlog za pridobitev evropskih sredstev, s katerimi bi se lahko pokrilo do 75 % nas</w:t>
      </w:r>
      <w:r w:rsidR="008E60B9">
        <w:rPr>
          <w:rFonts w:ascii="Arial" w:eastAsia="Times New Roman" w:hAnsi="Arial" w:cs="Arial"/>
          <w:sz w:val="20"/>
          <w:szCs w:val="20"/>
          <w:lang w:eastAsia="sl-SI"/>
        </w:rPr>
        <w:t>talih stroškov.</w:t>
      </w:r>
    </w:p>
    <w:p w14:paraId="42FC0847" w14:textId="77777777" w:rsidR="008E60B9" w:rsidRDefault="008E60B9" w:rsidP="008E60B9">
      <w:pPr>
        <w:spacing w:after="0" w:line="276" w:lineRule="auto"/>
        <w:jc w:val="both"/>
        <w:rPr>
          <w:rFonts w:ascii="Arial" w:eastAsia="Times New Roman" w:hAnsi="Arial" w:cs="Arial"/>
          <w:sz w:val="20"/>
          <w:szCs w:val="20"/>
          <w:lang w:eastAsia="sl-SI"/>
        </w:rPr>
      </w:pPr>
    </w:p>
    <w:p w14:paraId="4AD06D7E" w14:textId="5E2AAC2B" w:rsidR="001E7CF5" w:rsidRDefault="003E1B2F" w:rsidP="008E60B9">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MNZ</w:t>
      </w:r>
      <w:r w:rsidR="001E7CF5" w:rsidRPr="00D83239">
        <w:rPr>
          <w:rFonts w:ascii="Arial" w:eastAsia="Times New Roman" w:hAnsi="Arial" w:cs="Arial"/>
          <w:sz w:val="20"/>
          <w:szCs w:val="20"/>
          <w:lang w:eastAsia="sl-SI"/>
        </w:rPr>
        <w:t xml:space="preserve"> je v letu 2025 aktivno deloval</w:t>
      </w:r>
      <w:r>
        <w:rPr>
          <w:rFonts w:ascii="Arial" w:eastAsia="Times New Roman" w:hAnsi="Arial" w:cs="Arial"/>
          <w:sz w:val="20"/>
          <w:szCs w:val="20"/>
          <w:lang w:eastAsia="sl-SI"/>
        </w:rPr>
        <w:t>o</w:t>
      </w:r>
      <w:r w:rsidR="001E7CF5" w:rsidRPr="00D83239">
        <w:rPr>
          <w:rFonts w:ascii="Arial" w:eastAsia="Times New Roman" w:hAnsi="Arial" w:cs="Arial"/>
          <w:sz w:val="20"/>
          <w:szCs w:val="20"/>
          <w:lang w:eastAsia="sl-SI"/>
        </w:rPr>
        <w:t xml:space="preserve"> tudi na področju sklepanja mednarodnih pogodb in </w:t>
      </w:r>
      <w:proofErr w:type="spellStart"/>
      <w:r w:rsidR="001E7CF5" w:rsidRPr="00D83239">
        <w:rPr>
          <w:rFonts w:ascii="Arial" w:eastAsia="Times New Roman" w:hAnsi="Arial" w:cs="Arial"/>
          <w:sz w:val="20"/>
          <w:szCs w:val="20"/>
          <w:lang w:eastAsia="sl-SI"/>
        </w:rPr>
        <w:t>nepogodbenih</w:t>
      </w:r>
      <w:proofErr w:type="spellEnd"/>
      <w:r w:rsidR="001E7CF5" w:rsidRPr="00D83239">
        <w:rPr>
          <w:rFonts w:ascii="Arial" w:eastAsia="Times New Roman" w:hAnsi="Arial" w:cs="Arial"/>
          <w:sz w:val="20"/>
          <w:szCs w:val="20"/>
          <w:lang w:eastAsia="sl-SI"/>
        </w:rPr>
        <w:t xml:space="preserve"> aktov s področja notranjih zadev in policijskega sodelovanja. Posebej </w:t>
      </w:r>
      <w:r>
        <w:rPr>
          <w:rFonts w:ascii="Arial" w:eastAsia="Times New Roman" w:hAnsi="Arial" w:cs="Arial"/>
          <w:sz w:val="20"/>
          <w:szCs w:val="20"/>
          <w:lang w:eastAsia="sl-SI"/>
        </w:rPr>
        <w:t>pomembna sta bila</w:t>
      </w:r>
      <w:r w:rsidR="001E7CF5" w:rsidRPr="00D83239">
        <w:rPr>
          <w:rFonts w:ascii="Arial" w:eastAsia="Times New Roman" w:hAnsi="Arial" w:cs="Arial"/>
          <w:sz w:val="20"/>
          <w:szCs w:val="20"/>
          <w:lang w:eastAsia="sl-SI"/>
        </w:rPr>
        <w:t xml:space="preserve"> </w:t>
      </w:r>
      <w:r w:rsidR="002721D0">
        <w:rPr>
          <w:rFonts w:ascii="Arial" w:eastAsia="Times New Roman" w:hAnsi="Arial" w:cs="Arial"/>
          <w:sz w:val="20"/>
          <w:szCs w:val="20"/>
          <w:lang w:eastAsia="sl-SI"/>
        </w:rPr>
        <w:t>M</w:t>
      </w:r>
      <w:r w:rsidR="001E7CF5" w:rsidRPr="00D83239">
        <w:rPr>
          <w:rFonts w:ascii="Arial" w:eastAsia="Times New Roman" w:hAnsi="Arial" w:cs="Arial"/>
          <w:sz w:val="20"/>
          <w:szCs w:val="20"/>
          <w:lang w:eastAsia="sl-SI"/>
        </w:rPr>
        <w:t xml:space="preserve">emorandum o soglasju za izvajanje skupnih tristranskih patrulj na hrvaški zunanji meji na podlagi </w:t>
      </w:r>
      <w:proofErr w:type="spellStart"/>
      <w:r w:rsidR="00BE46AE">
        <w:rPr>
          <w:rFonts w:ascii="Arial" w:eastAsia="Times New Roman" w:hAnsi="Arial" w:cs="Arial"/>
          <w:sz w:val="20"/>
          <w:szCs w:val="20"/>
          <w:lang w:eastAsia="sl-SI"/>
        </w:rPr>
        <w:t>p</w:t>
      </w:r>
      <w:r w:rsidR="001E7CF5" w:rsidRPr="00D83239">
        <w:rPr>
          <w:rFonts w:ascii="Arial" w:eastAsia="Times New Roman" w:hAnsi="Arial" w:cs="Arial"/>
          <w:sz w:val="20"/>
          <w:szCs w:val="20"/>
          <w:lang w:eastAsia="sl-SI"/>
        </w:rPr>
        <w:t>rümskega</w:t>
      </w:r>
      <w:proofErr w:type="spellEnd"/>
      <w:r w:rsidR="001E7CF5" w:rsidRPr="00D83239">
        <w:rPr>
          <w:rFonts w:ascii="Arial" w:eastAsia="Times New Roman" w:hAnsi="Arial" w:cs="Arial"/>
          <w:sz w:val="20"/>
          <w:szCs w:val="20"/>
          <w:lang w:eastAsia="sl-SI"/>
        </w:rPr>
        <w:t xml:space="preserve"> sklepa ter</w:t>
      </w:r>
      <w:r w:rsidR="00BE46AE">
        <w:rPr>
          <w:rFonts w:ascii="Arial" w:eastAsia="Times New Roman" w:hAnsi="Arial" w:cs="Arial"/>
          <w:sz w:val="20"/>
          <w:szCs w:val="20"/>
          <w:lang w:eastAsia="sl-SI"/>
        </w:rPr>
        <w:t xml:space="preserve"> </w:t>
      </w:r>
      <w:r w:rsidR="002721D0">
        <w:rPr>
          <w:rFonts w:ascii="Arial" w:eastAsia="Times New Roman" w:hAnsi="Arial" w:cs="Arial"/>
          <w:sz w:val="20"/>
          <w:szCs w:val="20"/>
          <w:lang w:eastAsia="sl-SI"/>
        </w:rPr>
        <w:t>M</w:t>
      </w:r>
      <w:r w:rsidR="001E7CF5" w:rsidRPr="00D83239">
        <w:rPr>
          <w:rFonts w:ascii="Arial" w:eastAsia="Times New Roman" w:hAnsi="Arial" w:cs="Arial"/>
          <w:sz w:val="20"/>
          <w:szCs w:val="20"/>
          <w:lang w:eastAsia="sl-SI"/>
        </w:rPr>
        <w:t>emorandum o soglasju med ministrstvoma za notranje zadeve Slovenije in Alžirije na področju policijskega sodelovanja.</w:t>
      </w:r>
    </w:p>
    <w:p w14:paraId="19C909DD" w14:textId="77777777" w:rsidR="008E60B9" w:rsidRPr="00D83239" w:rsidRDefault="008E60B9" w:rsidP="008E60B9">
      <w:pPr>
        <w:spacing w:after="0" w:line="276" w:lineRule="auto"/>
        <w:jc w:val="both"/>
        <w:rPr>
          <w:rFonts w:ascii="Arial" w:eastAsia="Times New Roman" w:hAnsi="Arial" w:cs="Arial"/>
          <w:sz w:val="20"/>
          <w:szCs w:val="20"/>
          <w:lang w:eastAsia="sl-SI"/>
        </w:rPr>
      </w:pPr>
    </w:p>
    <w:p w14:paraId="3A491570" w14:textId="664B7499" w:rsidR="001C6D21" w:rsidRDefault="001E7CF5" w:rsidP="001B483B">
      <w:pPr>
        <w:spacing w:after="0" w:line="276" w:lineRule="auto"/>
        <w:jc w:val="both"/>
        <w:rPr>
          <w:rFonts w:ascii="Arial" w:eastAsia="Times New Roman" w:hAnsi="Arial" w:cs="Arial"/>
          <w:sz w:val="20"/>
          <w:szCs w:val="20"/>
          <w:lang w:eastAsia="sl-SI"/>
        </w:rPr>
      </w:pPr>
      <w:r w:rsidRPr="00D83239">
        <w:rPr>
          <w:rFonts w:ascii="Arial" w:eastAsia="Times New Roman" w:hAnsi="Arial" w:cs="Arial"/>
          <w:sz w:val="20"/>
          <w:szCs w:val="20"/>
          <w:lang w:eastAsia="sl-SI"/>
        </w:rPr>
        <w:t xml:space="preserve">V okviru projekta »EU sodelovanje predstavnikov MNZ in Policije« </w:t>
      </w:r>
      <w:r w:rsidR="003E1B2F">
        <w:rPr>
          <w:rFonts w:ascii="Arial" w:eastAsia="Times New Roman" w:hAnsi="Arial" w:cs="Arial"/>
          <w:sz w:val="20"/>
          <w:szCs w:val="20"/>
          <w:lang w:eastAsia="sl-SI"/>
        </w:rPr>
        <w:t>so</w:t>
      </w:r>
      <w:r w:rsidRPr="00D83239">
        <w:rPr>
          <w:rFonts w:ascii="Arial" w:eastAsia="Times New Roman" w:hAnsi="Arial" w:cs="Arial"/>
          <w:sz w:val="20"/>
          <w:szCs w:val="20"/>
          <w:lang w:eastAsia="sl-SI"/>
        </w:rPr>
        <w:t xml:space="preserve"> </w:t>
      </w:r>
      <w:r w:rsidR="003E1B2F">
        <w:rPr>
          <w:rFonts w:ascii="Arial" w:eastAsia="Times New Roman" w:hAnsi="Arial" w:cs="Arial"/>
          <w:sz w:val="20"/>
          <w:szCs w:val="20"/>
          <w:lang w:eastAsia="sl-SI"/>
        </w:rPr>
        <w:t>bila</w:t>
      </w:r>
      <w:r w:rsidRPr="00D83239">
        <w:rPr>
          <w:rFonts w:ascii="Arial" w:eastAsia="Times New Roman" w:hAnsi="Arial" w:cs="Arial"/>
          <w:sz w:val="20"/>
          <w:szCs w:val="20"/>
          <w:lang w:eastAsia="sl-SI"/>
        </w:rPr>
        <w:t xml:space="preserve"> v letu 2025 zagotov</w:t>
      </w:r>
      <w:r w:rsidR="003E1B2F">
        <w:rPr>
          <w:rFonts w:ascii="Arial" w:eastAsia="Times New Roman" w:hAnsi="Arial" w:cs="Arial"/>
          <w:sz w:val="20"/>
          <w:szCs w:val="20"/>
          <w:lang w:eastAsia="sl-SI"/>
        </w:rPr>
        <w:t>ljena</w:t>
      </w:r>
      <w:r w:rsidRPr="00D83239">
        <w:rPr>
          <w:rFonts w:ascii="Arial" w:eastAsia="Times New Roman" w:hAnsi="Arial" w:cs="Arial"/>
          <w:sz w:val="20"/>
          <w:szCs w:val="20"/>
          <w:lang w:eastAsia="sl-SI"/>
        </w:rPr>
        <w:t xml:space="preserve"> vsa potrebna logistična opravila. </w:t>
      </w:r>
      <w:r w:rsidR="003E1B2F">
        <w:rPr>
          <w:rFonts w:ascii="Arial" w:eastAsia="Times New Roman" w:hAnsi="Arial" w:cs="Arial"/>
          <w:sz w:val="20"/>
          <w:szCs w:val="20"/>
          <w:lang w:eastAsia="sl-SI"/>
        </w:rPr>
        <w:t>Poskrbljeno je bilo</w:t>
      </w:r>
      <w:r w:rsidRPr="00D83239">
        <w:rPr>
          <w:rFonts w:ascii="Arial" w:eastAsia="Times New Roman" w:hAnsi="Arial" w:cs="Arial"/>
          <w:sz w:val="20"/>
          <w:szCs w:val="20"/>
          <w:lang w:eastAsia="sl-SI"/>
        </w:rPr>
        <w:t xml:space="preserve"> za pripravo in obračun potnih nalogov ter za rezervacije letalskih </w:t>
      </w:r>
      <w:r w:rsidR="00090D24">
        <w:rPr>
          <w:rFonts w:ascii="Arial" w:eastAsia="Times New Roman" w:hAnsi="Arial" w:cs="Arial"/>
          <w:sz w:val="20"/>
          <w:szCs w:val="20"/>
          <w:lang w:eastAsia="sl-SI"/>
        </w:rPr>
        <w:t>vozovnic</w:t>
      </w:r>
      <w:r w:rsidR="00090D24" w:rsidRPr="00D83239">
        <w:rPr>
          <w:rFonts w:ascii="Arial" w:eastAsia="Times New Roman" w:hAnsi="Arial" w:cs="Arial"/>
          <w:sz w:val="20"/>
          <w:szCs w:val="20"/>
          <w:lang w:eastAsia="sl-SI"/>
        </w:rPr>
        <w:t xml:space="preserve"> </w:t>
      </w:r>
      <w:r w:rsidRPr="00D83239">
        <w:rPr>
          <w:rFonts w:ascii="Arial" w:eastAsia="Times New Roman" w:hAnsi="Arial" w:cs="Arial"/>
          <w:sz w:val="20"/>
          <w:szCs w:val="20"/>
          <w:lang w:eastAsia="sl-SI"/>
        </w:rPr>
        <w:t>in hotelov za vse udeležence zasedanj v Bruslju in drugod, ne glede na organizacijsko enoto, iz katere so prihajali nacionalni delegati oziroma eksperti. V letu 2025 je bila zagotovljena logistika za 392 službenih poti, hkrati pa tudi celovita logistična podpora ministru pri njegovih poteh v tujino.</w:t>
      </w:r>
    </w:p>
    <w:p w14:paraId="77C50CE9" w14:textId="77777777" w:rsidR="001B483B" w:rsidRPr="00B95461" w:rsidRDefault="001B483B" w:rsidP="001B483B">
      <w:pPr>
        <w:spacing w:after="0" w:line="276" w:lineRule="auto"/>
        <w:jc w:val="both"/>
        <w:rPr>
          <w:rFonts w:ascii="Arial" w:eastAsia="Times New Roman" w:hAnsi="Arial" w:cs="Arial"/>
          <w:sz w:val="20"/>
          <w:szCs w:val="20"/>
          <w:lang w:eastAsia="sl-SI"/>
        </w:rPr>
      </w:pPr>
    </w:p>
    <w:p w14:paraId="3ED0541D" w14:textId="236111E4" w:rsidR="00310F1D" w:rsidRPr="00D83239" w:rsidRDefault="00590E45" w:rsidP="00D83239">
      <w:pPr>
        <w:pStyle w:val="Naslov1"/>
        <w:spacing w:after="0" w:line="276" w:lineRule="auto"/>
        <w:jc w:val="both"/>
        <w:rPr>
          <w:color w:val="auto"/>
        </w:rPr>
      </w:pPr>
      <w:bookmarkStart w:id="113" w:name="_Toc225499842"/>
      <w:r w:rsidRPr="00D83239">
        <w:rPr>
          <w:color w:val="auto"/>
        </w:rPr>
        <w:t xml:space="preserve">Preprečevanje </w:t>
      </w:r>
      <w:r w:rsidR="00C145B8" w:rsidRPr="00D83239">
        <w:rPr>
          <w:color w:val="auto"/>
        </w:rPr>
        <w:t>trgovin</w:t>
      </w:r>
      <w:r w:rsidR="00C145B8">
        <w:rPr>
          <w:color w:val="auto"/>
        </w:rPr>
        <w:t>e</w:t>
      </w:r>
      <w:r w:rsidR="00C145B8" w:rsidRPr="00D83239">
        <w:rPr>
          <w:color w:val="auto"/>
        </w:rPr>
        <w:t xml:space="preserve"> z ljudmi </w:t>
      </w:r>
      <w:r w:rsidRPr="00D83239">
        <w:rPr>
          <w:color w:val="auto"/>
        </w:rPr>
        <w:t xml:space="preserve">in boj proti </w:t>
      </w:r>
      <w:r w:rsidR="00C145B8">
        <w:rPr>
          <w:color w:val="auto"/>
        </w:rPr>
        <w:t>njej</w:t>
      </w:r>
      <w:bookmarkEnd w:id="113"/>
    </w:p>
    <w:p w14:paraId="2582C274" w14:textId="77777777" w:rsidR="00517DF2" w:rsidRPr="00D83239" w:rsidRDefault="00517DF2" w:rsidP="00D83239">
      <w:pPr>
        <w:spacing w:after="0" w:line="276" w:lineRule="auto"/>
        <w:jc w:val="both"/>
        <w:rPr>
          <w:rFonts w:ascii="Arial" w:hAnsi="Arial" w:cs="Arial"/>
          <w:sz w:val="20"/>
          <w:szCs w:val="20"/>
          <w:highlight w:val="yellow"/>
        </w:rPr>
      </w:pPr>
    </w:p>
    <w:p w14:paraId="0FBFDF0E" w14:textId="7A980ABB" w:rsidR="001E7CF5" w:rsidRDefault="003E1B2F" w:rsidP="00D83239">
      <w:pPr>
        <w:spacing w:after="0" w:line="276" w:lineRule="auto"/>
        <w:jc w:val="both"/>
        <w:rPr>
          <w:rFonts w:ascii="Arial" w:hAnsi="Arial" w:cs="Arial"/>
          <w:sz w:val="20"/>
          <w:szCs w:val="20"/>
        </w:rPr>
      </w:pPr>
      <w:r>
        <w:rPr>
          <w:rFonts w:ascii="Arial" w:hAnsi="Arial" w:cs="Arial"/>
          <w:sz w:val="20"/>
          <w:szCs w:val="20"/>
        </w:rPr>
        <w:t>MNZ</w:t>
      </w:r>
      <w:r w:rsidR="001E7CF5" w:rsidRPr="00D83239">
        <w:rPr>
          <w:rFonts w:ascii="Arial" w:hAnsi="Arial" w:cs="Arial"/>
          <w:sz w:val="20"/>
          <w:szCs w:val="20"/>
        </w:rPr>
        <w:t xml:space="preserve"> je v letu 2025 izvajal</w:t>
      </w:r>
      <w:r>
        <w:rPr>
          <w:rFonts w:ascii="Arial" w:hAnsi="Arial" w:cs="Arial"/>
          <w:sz w:val="20"/>
          <w:szCs w:val="20"/>
        </w:rPr>
        <w:t>o</w:t>
      </w:r>
      <w:r w:rsidR="001E7CF5" w:rsidRPr="00D83239">
        <w:rPr>
          <w:rFonts w:ascii="Arial" w:hAnsi="Arial" w:cs="Arial"/>
          <w:sz w:val="20"/>
          <w:szCs w:val="20"/>
        </w:rPr>
        <w:t xml:space="preserve"> naloge v okviru svojih pristojnosti in aktivnosti, določene v Akcijskem načrtu za boj proti trgovini z ljudmi za obdobje 2025–2026.</w:t>
      </w:r>
    </w:p>
    <w:p w14:paraId="55A76DC5" w14:textId="77777777" w:rsidR="003E1B2F" w:rsidRPr="00D83239" w:rsidRDefault="003E1B2F" w:rsidP="00D83239">
      <w:pPr>
        <w:spacing w:after="0" w:line="276" w:lineRule="auto"/>
        <w:jc w:val="both"/>
        <w:rPr>
          <w:rFonts w:ascii="Arial" w:hAnsi="Arial" w:cs="Arial"/>
          <w:sz w:val="20"/>
          <w:szCs w:val="20"/>
        </w:rPr>
      </w:pPr>
    </w:p>
    <w:p w14:paraId="4EDCDC73" w14:textId="18E77EB2" w:rsidR="001E7CF5" w:rsidRPr="00D83239" w:rsidRDefault="001E7CF5" w:rsidP="00D83239">
      <w:pPr>
        <w:autoSpaceDE w:val="0"/>
        <w:autoSpaceDN w:val="0"/>
        <w:adjustRightInd w:val="0"/>
        <w:spacing w:after="0" w:line="276" w:lineRule="auto"/>
        <w:jc w:val="both"/>
        <w:rPr>
          <w:rFonts w:ascii="Arial" w:hAnsi="Arial" w:cs="Arial"/>
          <w:bCs/>
          <w:sz w:val="20"/>
          <w:szCs w:val="20"/>
        </w:rPr>
      </w:pPr>
      <w:r w:rsidRPr="00D83239">
        <w:rPr>
          <w:rFonts w:ascii="Arial" w:hAnsi="Arial" w:cs="Arial"/>
          <w:sz w:val="20"/>
          <w:szCs w:val="20"/>
        </w:rPr>
        <w:t xml:space="preserve">Vlada Republike Slovenije je 27. 3. 2025 sprejela </w:t>
      </w:r>
      <w:r w:rsidRPr="00D83239">
        <w:rPr>
          <w:rFonts w:ascii="Arial" w:hAnsi="Arial" w:cs="Arial"/>
          <w:color w:val="111111"/>
          <w:sz w:val="20"/>
          <w:szCs w:val="20"/>
        </w:rPr>
        <w:t>sklep, s katerim je imenovala novega nacionalnega koordinatorja za boj proti trgovini z ljudmi</w:t>
      </w:r>
      <w:r w:rsidR="000E7330">
        <w:rPr>
          <w:rFonts w:ascii="Arial" w:hAnsi="Arial" w:cs="Arial"/>
          <w:color w:val="111111"/>
          <w:sz w:val="20"/>
          <w:szCs w:val="20"/>
        </w:rPr>
        <w:t>,</w:t>
      </w:r>
      <w:r w:rsidRPr="00D83239">
        <w:rPr>
          <w:rFonts w:ascii="Arial" w:hAnsi="Arial" w:cs="Arial"/>
          <w:color w:val="111111"/>
          <w:sz w:val="20"/>
          <w:szCs w:val="20"/>
        </w:rPr>
        <w:t xml:space="preserve"> in hkrati sklep o spremembi sklepa o imenovanju članov</w:t>
      </w:r>
      <w:r w:rsidRPr="00D83239">
        <w:rPr>
          <w:rFonts w:ascii="Arial" w:hAnsi="Arial" w:cs="Arial"/>
          <w:sz w:val="20"/>
          <w:szCs w:val="20"/>
        </w:rPr>
        <w:t xml:space="preserve"> </w:t>
      </w:r>
      <w:r w:rsidR="005D2EB5">
        <w:rPr>
          <w:rFonts w:ascii="Arial" w:hAnsi="Arial" w:cs="Arial"/>
          <w:sz w:val="20"/>
          <w:szCs w:val="20"/>
        </w:rPr>
        <w:t>m</w:t>
      </w:r>
      <w:r w:rsidRPr="00D83239">
        <w:rPr>
          <w:rFonts w:ascii="Arial" w:hAnsi="Arial" w:cs="Arial"/>
          <w:sz w:val="20"/>
          <w:szCs w:val="20"/>
        </w:rPr>
        <w:t>edresorske delovne skupine za boj proti trgovini z ljudmi</w:t>
      </w:r>
      <w:r w:rsidRPr="00D83239">
        <w:rPr>
          <w:rFonts w:ascii="Arial" w:hAnsi="Arial" w:cs="Arial"/>
          <w:b/>
          <w:sz w:val="20"/>
          <w:szCs w:val="20"/>
        </w:rPr>
        <w:t xml:space="preserve"> </w:t>
      </w:r>
      <w:r w:rsidRPr="00D83239">
        <w:rPr>
          <w:rFonts w:ascii="Arial" w:hAnsi="Arial" w:cs="Arial"/>
          <w:sz w:val="20"/>
          <w:szCs w:val="20"/>
        </w:rPr>
        <w:t>(MDS TZL)</w:t>
      </w:r>
      <w:r w:rsidRPr="003E1B2F">
        <w:rPr>
          <w:rFonts w:ascii="Arial" w:hAnsi="Arial" w:cs="Arial"/>
          <w:sz w:val="20"/>
          <w:szCs w:val="20"/>
        </w:rPr>
        <w:t>.</w:t>
      </w:r>
      <w:r w:rsidRPr="00D83239">
        <w:rPr>
          <w:rFonts w:ascii="Arial" w:hAnsi="Arial" w:cs="Arial"/>
          <w:b/>
          <w:sz w:val="20"/>
          <w:szCs w:val="20"/>
        </w:rPr>
        <w:t xml:space="preserve"> </w:t>
      </w:r>
      <w:r w:rsidRPr="00D83239">
        <w:rPr>
          <w:rFonts w:ascii="Arial" w:hAnsi="Arial" w:cs="Arial"/>
          <w:bCs/>
          <w:sz w:val="20"/>
          <w:szCs w:val="20"/>
        </w:rPr>
        <w:t>Zadnji sklep o spremembi sklepa o imenovanju članov MDS TZL je Vlada Republike Slovenije sprejela 6.</w:t>
      </w:r>
      <w:r w:rsidR="008942C4">
        <w:rPr>
          <w:rFonts w:ascii="Arial" w:hAnsi="Arial" w:cs="Arial"/>
          <w:bCs/>
          <w:sz w:val="20"/>
          <w:szCs w:val="20"/>
        </w:rPr>
        <w:t> </w:t>
      </w:r>
      <w:r w:rsidRPr="00D83239">
        <w:rPr>
          <w:rFonts w:ascii="Arial" w:hAnsi="Arial" w:cs="Arial"/>
          <w:bCs/>
          <w:sz w:val="20"/>
          <w:szCs w:val="20"/>
        </w:rPr>
        <w:t>11.</w:t>
      </w:r>
      <w:r w:rsidR="008942C4">
        <w:rPr>
          <w:rFonts w:ascii="Arial" w:hAnsi="Arial" w:cs="Arial"/>
          <w:bCs/>
          <w:sz w:val="20"/>
          <w:szCs w:val="20"/>
        </w:rPr>
        <w:t> </w:t>
      </w:r>
      <w:r w:rsidRPr="00D83239">
        <w:rPr>
          <w:rFonts w:ascii="Arial" w:hAnsi="Arial" w:cs="Arial"/>
          <w:bCs/>
          <w:sz w:val="20"/>
          <w:szCs w:val="20"/>
        </w:rPr>
        <w:t>2025, s katerim je, na podlagi zaznanega trenda povečanja števila primerov domnevnega delovnega izkoriščanja, med člane MDS TZL imenovala predstavnico Zavoda Republike Slovenije za zaposlovanje. V začetku leta je MDS TZL izdelala nov Akcijski načrt za boj proti trgovini z ljudmi za leti 2025 in 2026. Vlada Republike Slovenije je nov</w:t>
      </w:r>
      <w:r w:rsidR="000E7330">
        <w:rPr>
          <w:rFonts w:ascii="Arial" w:hAnsi="Arial" w:cs="Arial"/>
          <w:bCs/>
          <w:sz w:val="20"/>
          <w:szCs w:val="20"/>
        </w:rPr>
        <w:t>i</w:t>
      </w:r>
      <w:r w:rsidRPr="00D83239">
        <w:rPr>
          <w:rFonts w:ascii="Arial" w:hAnsi="Arial" w:cs="Arial"/>
          <w:bCs/>
          <w:sz w:val="20"/>
          <w:szCs w:val="20"/>
        </w:rPr>
        <w:t xml:space="preserve"> akcijski načrt sprejela 13. 2. 2025 in pristojnim ministrstvom naložila njegovo upoštevanje in izvedbo. MDS TZL je izdelala tudi letno poročilo za leto 2024 in z njim seznanila Vlado Republike Slovenije. MDS TZL se je v letu 2025 sestala trikrat, dvakrat pa se je sestala v ožji sestavi z namenom obravnave </w:t>
      </w:r>
      <w:r w:rsidR="008942C4">
        <w:rPr>
          <w:rFonts w:ascii="Arial" w:hAnsi="Arial" w:cs="Arial"/>
          <w:bCs/>
          <w:sz w:val="20"/>
          <w:szCs w:val="20"/>
        </w:rPr>
        <w:t>posamez</w:t>
      </w:r>
      <w:r w:rsidRPr="00D83239">
        <w:rPr>
          <w:rFonts w:ascii="Arial" w:hAnsi="Arial" w:cs="Arial"/>
          <w:bCs/>
          <w:sz w:val="20"/>
          <w:szCs w:val="20"/>
        </w:rPr>
        <w:t xml:space="preserve">nih tem, in sicer glede prepoznave in zaščite domnevnih žrtev trgovine z ljudmi med mladoletnimi prosilci za mednarodno zaščito </w:t>
      </w:r>
      <w:r w:rsidR="000E7330">
        <w:rPr>
          <w:rFonts w:ascii="Arial" w:hAnsi="Arial" w:cs="Arial"/>
          <w:bCs/>
          <w:sz w:val="20"/>
          <w:szCs w:val="20"/>
        </w:rPr>
        <w:t>ter</w:t>
      </w:r>
      <w:r w:rsidR="000E7330" w:rsidRPr="00D83239">
        <w:rPr>
          <w:rFonts w:ascii="Arial" w:hAnsi="Arial" w:cs="Arial"/>
          <w:bCs/>
          <w:sz w:val="20"/>
          <w:szCs w:val="20"/>
        </w:rPr>
        <w:t xml:space="preserve"> </w:t>
      </w:r>
      <w:r w:rsidRPr="00D83239">
        <w:rPr>
          <w:rFonts w:ascii="Arial" w:hAnsi="Arial" w:cs="Arial"/>
          <w:bCs/>
          <w:sz w:val="20"/>
          <w:szCs w:val="20"/>
        </w:rPr>
        <w:t xml:space="preserve">glede problematike izkoriščanja tuje delovne sile. </w:t>
      </w:r>
    </w:p>
    <w:p w14:paraId="0A0202BE" w14:textId="77777777" w:rsidR="001E7CF5" w:rsidRPr="00D83239" w:rsidRDefault="001E7CF5" w:rsidP="00D83239">
      <w:pPr>
        <w:autoSpaceDE w:val="0"/>
        <w:autoSpaceDN w:val="0"/>
        <w:adjustRightInd w:val="0"/>
        <w:spacing w:after="0" w:line="276" w:lineRule="auto"/>
        <w:jc w:val="both"/>
        <w:rPr>
          <w:rFonts w:ascii="Arial" w:hAnsi="Arial" w:cs="Arial"/>
          <w:bCs/>
          <w:sz w:val="20"/>
          <w:szCs w:val="20"/>
        </w:rPr>
      </w:pPr>
    </w:p>
    <w:p w14:paraId="0A2FFA22" w14:textId="21694E27" w:rsidR="001E7CF5" w:rsidRPr="00D83239" w:rsidRDefault="003E1B2F" w:rsidP="00D83239">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Pripravljen je bil </w:t>
      </w:r>
      <w:r w:rsidR="001E7CF5" w:rsidRPr="00D83239">
        <w:rPr>
          <w:rFonts w:ascii="Arial" w:hAnsi="Arial" w:cs="Arial"/>
          <w:bCs/>
          <w:sz w:val="20"/>
          <w:szCs w:val="20"/>
        </w:rPr>
        <w:t>osnutek vsebine novega Priročnika o identifikaciji, pomoči in zaščiti žrtev trgovine z ljudmi, ki je bil članom MDS TZL pos</w:t>
      </w:r>
      <w:r w:rsidR="000E7330">
        <w:rPr>
          <w:rFonts w:ascii="Arial" w:hAnsi="Arial" w:cs="Arial"/>
          <w:bCs/>
          <w:sz w:val="20"/>
          <w:szCs w:val="20"/>
        </w:rPr>
        <w:t>l</w:t>
      </w:r>
      <w:r w:rsidR="001E7CF5" w:rsidRPr="00D83239">
        <w:rPr>
          <w:rFonts w:ascii="Arial" w:hAnsi="Arial" w:cs="Arial"/>
          <w:bCs/>
          <w:sz w:val="20"/>
          <w:szCs w:val="20"/>
        </w:rPr>
        <w:t>an v usklajevanje in bo predvidoma v prvi polovici leta 2026 sprejet na Vladi Republike Slovenije.</w:t>
      </w:r>
    </w:p>
    <w:p w14:paraId="6D9BAC49" w14:textId="77777777" w:rsidR="001E7CF5" w:rsidRPr="00D83239" w:rsidRDefault="001E7CF5" w:rsidP="00D83239">
      <w:pPr>
        <w:autoSpaceDE w:val="0"/>
        <w:autoSpaceDN w:val="0"/>
        <w:adjustRightInd w:val="0"/>
        <w:spacing w:after="0" w:line="276" w:lineRule="auto"/>
        <w:jc w:val="both"/>
        <w:rPr>
          <w:rFonts w:ascii="Arial" w:hAnsi="Arial" w:cs="Arial"/>
          <w:b/>
          <w:sz w:val="20"/>
          <w:szCs w:val="20"/>
        </w:rPr>
      </w:pPr>
    </w:p>
    <w:p w14:paraId="082D66BB" w14:textId="1A166F71" w:rsidR="001E7CF5" w:rsidRPr="00D83239" w:rsidRDefault="001E7CF5" w:rsidP="00D83239">
      <w:pPr>
        <w:spacing w:after="0" w:line="276" w:lineRule="auto"/>
        <w:jc w:val="both"/>
        <w:rPr>
          <w:rFonts w:ascii="Arial" w:hAnsi="Arial" w:cs="Arial"/>
          <w:sz w:val="20"/>
          <w:szCs w:val="20"/>
        </w:rPr>
      </w:pPr>
      <w:r w:rsidRPr="00D83239">
        <w:rPr>
          <w:rFonts w:ascii="Arial" w:hAnsi="Arial" w:cs="Arial"/>
          <w:sz w:val="20"/>
          <w:szCs w:val="20"/>
        </w:rPr>
        <w:t xml:space="preserve">Na področju preventive je </w:t>
      </w:r>
      <w:r w:rsidR="003E1B2F">
        <w:rPr>
          <w:rFonts w:ascii="Arial" w:hAnsi="Arial" w:cs="Arial"/>
          <w:sz w:val="20"/>
          <w:szCs w:val="20"/>
        </w:rPr>
        <w:t>MNZ</w:t>
      </w:r>
      <w:r w:rsidRPr="00D83239">
        <w:rPr>
          <w:rFonts w:ascii="Arial" w:hAnsi="Arial" w:cs="Arial"/>
          <w:sz w:val="20"/>
          <w:szCs w:val="20"/>
        </w:rPr>
        <w:t xml:space="preserve"> v letu 2025 izvedl</w:t>
      </w:r>
      <w:r w:rsidR="003E1B2F">
        <w:rPr>
          <w:rFonts w:ascii="Arial" w:hAnsi="Arial" w:cs="Arial"/>
          <w:sz w:val="20"/>
          <w:szCs w:val="20"/>
        </w:rPr>
        <w:t>o</w:t>
      </w:r>
      <w:r w:rsidRPr="00D83239">
        <w:rPr>
          <w:rFonts w:ascii="Arial" w:hAnsi="Arial" w:cs="Arial"/>
          <w:sz w:val="20"/>
          <w:szCs w:val="20"/>
        </w:rPr>
        <w:t xml:space="preserve"> 93 delavnic v srednjih šolah ter 85 delavnic v osnovnih šolah, skupno 187 delavnic, k</w:t>
      </w:r>
      <w:r w:rsidR="00021E53">
        <w:rPr>
          <w:rFonts w:ascii="Arial" w:hAnsi="Arial" w:cs="Arial"/>
          <w:sz w:val="20"/>
          <w:szCs w:val="20"/>
        </w:rPr>
        <w:t>i</w:t>
      </w:r>
      <w:r w:rsidRPr="00D83239">
        <w:rPr>
          <w:rFonts w:ascii="Arial" w:hAnsi="Arial" w:cs="Arial"/>
          <w:sz w:val="20"/>
          <w:szCs w:val="20"/>
        </w:rPr>
        <w:t xml:space="preserve"> se </w:t>
      </w:r>
      <w:r w:rsidR="00021E53">
        <w:rPr>
          <w:rFonts w:ascii="Arial" w:hAnsi="Arial" w:cs="Arial"/>
          <w:sz w:val="20"/>
          <w:szCs w:val="20"/>
        </w:rPr>
        <w:t xml:space="preserve">jih </w:t>
      </w:r>
      <w:r w:rsidRPr="00D83239">
        <w:rPr>
          <w:rFonts w:ascii="Arial" w:hAnsi="Arial" w:cs="Arial"/>
          <w:sz w:val="20"/>
          <w:szCs w:val="20"/>
        </w:rPr>
        <w:t>je udeležilo 3</w:t>
      </w:r>
      <w:r w:rsidR="001B483B">
        <w:rPr>
          <w:rFonts w:ascii="Arial" w:hAnsi="Arial" w:cs="Arial"/>
          <w:sz w:val="20"/>
          <w:szCs w:val="20"/>
        </w:rPr>
        <w:t>.</w:t>
      </w:r>
      <w:r w:rsidRPr="00D83239">
        <w:rPr>
          <w:rFonts w:ascii="Arial" w:hAnsi="Arial" w:cs="Arial"/>
          <w:sz w:val="20"/>
          <w:szCs w:val="20"/>
        </w:rPr>
        <w:t>759 učencev in dijakov. Na delavnicah so bili poleg učencev oziroma dijakov prisotni tudi razredni učitelji, pogosto pa tudi socialni pedagogi in vodstv</w:t>
      </w:r>
      <w:r w:rsidR="00021E53">
        <w:rPr>
          <w:rFonts w:ascii="Arial" w:hAnsi="Arial" w:cs="Arial"/>
          <w:sz w:val="20"/>
          <w:szCs w:val="20"/>
        </w:rPr>
        <w:t>o</w:t>
      </w:r>
      <w:r w:rsidRPr="00D83239">
        <w:rPr>
          <w:rFonts w:ascii="Arial" w:hAnsi="Arial" w:cs="Arial"/>
          <w:sz w:val="20"/>
          <w:szCs w:val="20"/>
        </w:rPr>
        <w:t xml:space="preserve"> šol</w:t>
      </w:r>
      <w:r w:rsidR="00021E53">
        <w:rPr>
          <w:rFonts w:ascii="Arial" w:hAnsi="Arial" w:cs="Arial"/>
          <w:sz w:val="20"/>
          <w:szCs w:val="20"/>
        </w:rPr>
        <w:t>e</w:t>
      </w:r>
      <w:r w:rsidRPr="00D83239">
        <w:rPr>
          <w:rFonts w:ascii="Arial" w:hAnsi="Arial" w:cs="Arial"/>
          <w:sz w:val="20"/>
          <w:szCs w:val="20"/>
        </w:rPr>
        <w:t>. Skupaj je bilo na delavnicah prisotnih 242 šolskih delavcev.</w:t>
      </w:r>
    </w:p>
    <w:p w14:paraId="50CAD14D" w14:textId="77777777" w:rsidR="001E7CF5" w:rsidRPr="00D83239" w:rsidRDefault="001E7CF5" w:rsidP="00D83239">
      <w:pPr>
        <w:spacing w:after="0" w:line="276" w:lineRule="auto"/>
        <w:jc w:val="both"/>
        <w:rPr>
          <w:rFonts w:ascii="Arial" w:hAnsi="Arial" w:cs="Arial"/>
          <w:sz w:val="20"/>
          <w:szCs w:val="20"/>
        </w:rPr>
      </w:pPr>
    </w:p>
    <w:p w14:paraId="0FCC47C0" w14:textId="77C0D4FF" w:rsidR="001E7CF5" w:rsidRPr="00D83239" w:rsidRDefault="003E1B2F" w:rsidP="00D83239">
      <w:pPr>
        <w:spacing w:after="0" w:line="276" w:lineRule="auto"/>
        <w:jc w:val="both"/>
        <w:rPr>
          <w:rFonts w:ascii="Arial" w:hAnsi="Arial" w:cs="Arial"/>
          <w:sz w:val="20"/>
          <w:szCs w:val="20"/>
        </w:rPr>
      </w:pPr>
      <w:r>
        <w:rPr>
          <w:rFonts w:ascii="Arial" w:hAnsi="Arial" w:cs="Arial"/>
          <w:sz w:val="20"/>
          <w:szCs w:val="20"/>
        </w:rPr>
        <w:t>MNZ</w:t>
      </w:r>
      <w:r w:rsidR="001E7CF5" w:rsidRPr="00D83239">
        <w:rPr>
          <w:rFonts w:ascii="Arial" w:hAnsi="Arial" w:cs="Arial"/>
          <w:sz w:val="20"/>
          <w:szCs w:val="20"/>
        </w:rPr>
        <w:t xml:space="preserve"> je pripravil</w:t>
      </w:r>
      <w:r>
        <w:rPr>
          <w:rFonts w:ascii="Arial" w:hAnsi="Arial" w:cs="Arial"/>
          <w:sz w:val="20"/>
          <w:szCs w:val="20"/>
        </w:rPr>
        <w:t>o</w:t>
      </w:r>
      <w:r w:rsidR="001E7CF5" w:rsidRPr="00D83239">
        <w:rPr>
          <w:rFonts w:ascii="Arial" w:hAnsi="Arial" w:cs="Arial"/>
          <w:sz w:val="20"/>
          <w:szCs w:val="20"/>
        </w:rPr>
        <w:t xml:space="preserve"> strokovno usposabljanje za uslužbence Finančne uprave Republike Slovenije, ki je bilo izvedeno 1.</w:t>
      </w:r>
      <w:r w:rsidR="00B95461">
        <w:rPr>
          <w:rFonts w:ascii="Arial" w:hAnsi="Arial" w:cs="Arial"/>
          <w:sz w:val="20"/>
          <w:szCs w:val="20"/>
        </w:rPr>
        <w:t xml:space="preserve"> 12.</w:t>
      </w:r>
      <w:r w:rsidR="001E7CF5" w:rsidRPr="00D83239">
        <w:rPr>
          <w:rFonts w:ascii="Arial" w:hAnsi="Arial" w:cs="Arial"/>
          <w:sz w:val="20"/>
          <w:szCs w:val="20"/>
        </w:rPr>
        <w:t xml:space="preserve"> 2025 na Generalnem finančnem uradu v Ljubljani. Udeležilo se ga je 86 uslužbencev. Udeleženci strokovnega usposabljanja so se seznanili z aktualnimi trendi trgovine z ljudmi in zakonodajnimi novostmi, pri čemer je bila poudarjena problematika prepoznavanja prisilnega dela oziroma delovnega izkoriščanja.</w:t>
      </w:r>
    </w:p>
    <w:p w14:paraId="2AE93CE2" w14:textId="77777777" w:rsidR="001E7CF5" w:rsidRPr="00D83239" w:rsidRDefault="001E7CF5" w:rsidP="00D83239">
      <w:pPr>
        <w:spacing w:after="0" w:line="276" w:lineRule="auto"/>
        <w:jc w:val="both"/>
        <w:rPr>
          <w:rFonts w:ascii="Arial" w:hAnsi="Arial" w:cs="Arial"/>
          <w:sz w:val="20"/>
          <w:szCs w:val="20"/>
        </w:rPr>
      </w:pPr>
    </w:p>
    <w:p w14:paraId="50D1836A" w14:textId="0B2BA4C8" w:rsidR="001E7CF5" w:rsidRPr="00D83239" w:rsidRDefault="003E1B2F" w:rsidP="00D83239">
      <w:pPr>
        <w:spacing w:after="0" w:line="276" w:lineRule="auto"/>
        <w:jc w:val="both"/>
        <w:rPr>
          <w:rFonts w:ascii="Arial" w:hAnsi="Arial" w:cs="Arial"/>
          <w:sz w:val="20"/>
          <w:szCs w:val="20"/>
        </w:rPr>
      </w:pPr>
      <w:r>
        <w:rPr>
          <w:rFonts w:ascii="Arial" w:hAnsi="Arial" w:cs="Arial"/>
          <w:sz w:val="20"/>
          <w:szCs w:val="20"/>
        </w:rPr>
        <w:t>MNZ</w:t>
      </w:r>
      <w:r w:rsidR="001E7CF5" w:rsidRPr="00D83239">
        <w:rPr>
          <w:rFonts w:ascii="Arial" w:hAnsi="Arial" w:cs="Arial"/>
          <w:sz w:val="20"/>
          <w:szCs w:val="20"/>
        </w:rPr>
        <w:t xml:space="preserve"> je 6. </w:t>
      </w:r>
      <w:r w:rsidR="00B95461">
        <w:rPr>
          <w:rFonts w:ascii="Arial" w:hAnsi="Arial" w:cs="Arial"/>
          <w:sz w:val="20"/>
          <w:szCs w:val="20"/>
        </w:rPr>
        <w:t>11.</w:t>
      </w:r>
      <w:r w:rsidR="001E7CF5" w:rsidRPr="00D83239">
        <w:rPr>
          <w:rFonts w:ascii="Arial" w:hAnsi="Arial" w:cs="Arial"/>
          <w:sz w:val="20"/>
          <w:szCs w:val="20"/>
        </w:rPr>
        <w:t xml:space="preserve"> 2025 na Brdu pri Kranju sodeloval</w:t>
      </w:r>
      <w:r>
        <w:rPr>
          <w:rFonts w:ascii="Arial" w:hAnsi="Arial" w:cs="Arial"/>
          <w:sz w:val="20"/>
          <w:szCs w:val="20"/>
        </w:rPr>
        <w:t>o</w:t>
      </w:r>
      <w:r w:rsidR="001E7CF5" w:rsidRPr="00D83239">
        <w:rPr>
          <w:rFonts w:ascii="Arial" w:hAnsi="Arial" w:cs="Arial"/>
          <w:sz w:val="20"/>
          <w:szCs w:val="20"/>
        </w:rPr>
        <w:t xml:space="preserve"> na konzularnem posvetu, kjer je bila obravnavana tematika trgovine z ljudmi. Udeležencem posveta so bili predstavljeni aktualni trendi, zakonodajne novosti ter oblike trgovine z ljudmi s poudarkom na delovnem izkoriščanju in problematiki glede pridobivanja delovnih dovoljenj za tujce. Posveta se je udeležilo 55 predstavnikov diplomatsko-konzularnih predstavništev.</w:t>
      </w:r>
    </w:p>
    <w:p w14:paraId="10AB6722" w14:textId="77777777" w:rsidR="001E7CF5" w:rsidRPr="00D83239" w:rsidRDefault="001E7CF5" w:rsidP="00D83239">
      <w:pPr>
        <w:spacing w:after="0" w:line="276" w:lineRule="auto"/>
        <w:jc w:val="both"/>
        <w:rPr>
          <w:rFonts w:ascii="Arial" w:hAnsi="Arial" w:cs="Arial"/>
          <w:sz w:val="20"/>
          <w:szCs w:val="20"/>
        </w:rPr>
      </w:pPr>
    </w:p>
    <w:p w14:paraId="1AA02CDD" w14:textId="08EC98F2" w:rsidR="001E7CF5" w:rsidRPr="00D83239" w:rsidRDefault="001E7CF5" w:rsidP="00D83239">
      <w:pPr>
        <w:tabs>
          <w:tab w:val="left" w:pos="5550"/>
        </w:tabs>
        <w:spacing w:after="0" w:line="276" w:lineRule="auto"/>
        <w:jc w:val="both"/>
        <w:rPr>
          <w:rFonts w:ascii="Arial" w:hAnsi="Arial" w:cs="Arial"/>
          <w:sz w:val="20"/>
          <w:szCs w:val="20"/>
        </w:rPr>
      </w:pPr>
      <w:r w:rsidRPr="00D83239">
        <w:rPr>
          <w:rFonts w:ascii="Arial" w:hAnsi="Arial" w:cs="Arial"/>
          <w:sz w:val="20"/>
          <w:szCs w:val="20"/>
        </w:rPr>
        <w:t xml:space="preserve">Ob evropskem dnevu boja proti trgovini z ljudmi je </w:t>
      </w:r>
      <w:r w:rsidR="003E1B2F">
        <w:rPr>
          <w:rFonts w:ascii="Arial" w:hAnsi="Arial" w:cs="Arial"/>
          <w:sz w:val="20"/>
          <w:szCs w:val="20"/>
        </w:rPr>
        <w:t>MNZ</w:t>
      </w:r>
      <w:r w:rsidRPr="00D83239">
        <w:rPr>
          <w:rFonts w:ascii="Arial" w:hAnsi="Arial" w:cs="Arial"/>
          <w:sz w:val="20"/>
          <w:szCs w:val="20"/>
        </w:rPr>
        <w:t xml:space="preserve"> v sodelovanju s </w:t>
      </w:r>
      <w:r w:rsidR="00021E53">
        <w:rPr>
          <w:rFonts w:ascii="Arial" w:hAnsi="Arial" w:cs="Arial"/>
          <w:sz w:val="20"/>
          <w:szCs w:val="20"/>
        </w:rPr>
        <w:t>C</w:t>
      </w:r>
      <w:r w:rsidRPr="00D83239">
        <w:rPr>
          <w:rFonts w:ascii="Arial" w:hAnsi="Arial" w:cs="Arial"/>
          <w:sz w:val="20"/>
          <w:szCs w:val="20"/>
        </w:rPr>
        <w:t>entrom za razvoj politike migracij (ICMPD) v okviru projekta EU4FAST</w:t>
      </w:r>
      <w:r w:rsidRPr="00D83239">
        <w:rPr>
          <w:rFonts w:ascii="Arial" w:hAnsi="Arial" w:cs="Arial"/>
          <w:sz w:val="20"/>
          <w:szCs w:val="20"/>
          <w:shd w:val="clear" w:color="auto" w:fill="FAFAFA"/>
        </w:rPr>
        <w:t xml:space="preserve"> </w:t>
      </w:r>
      <w:r w:rsidRPr="00D83239">
        <w:rPr>
          <w:rFonts w:ascii="Arial" w:hAnsi="Arial" w:cs="Arial"/>
          <w:sz w:val="20"/>
          <w:szCs w:val="20"/>
        </w:rPr>
        <w:t>izved</w:t>
      </w:r>
      <w:r w:rsidR="00B95461">
        <w:rPr>
          <w:rFonts w:ascii="Arial" w:hAnsi="Arial" w:cs="Arial"/>
          <w:sz w:val="20"/>
          <w:szCs w:val="20"/>
        </w:rPr>
        <w:t>l</w:t>
      </w:r>
      <w:r w:rsidR="003E1B2F">
        <w:rPr>
          <w:rFonts w:ascii="Arial" w:hAnsi="Arial" w:cs="Arial"/>
          <w:sz w:val="20"/>
          <w:szCs w:val="20"/>
        </w:rPr>
        <w:t>o</w:t>
      </w:r>
      <w:r w:rsidRPr="00D83239">
        <w:rPr>
          <w:rFonts w:ascii="Arial" w:hAnsi="Arial" w:cs="Arial"/>
          <w:sz w:val="20"/>
          <w:szCs w:val="20"/>
        </w:rPr>
        <w:t xml:space="preserve"> promocijski projekt, namenjen preprečevanju delovnega izkoriščanja. V okviru projekta je bil posnet krajši videoposnetek, ki je bil hkrati predvajan in deljen v različnih medijih </w:t>
      </w:r>
      <w:r w:rsidR="00021E53">
        <w:rPr>
          <w:rFonts w:ascii="Arial" w:hAnsi="Arial" w:cs="Arial"/>
          <w:sz w:val="20"/>
          <w:szCs w:val="20"/>
        </w:rPr>
        <w:t>ter</w:t>
      </w:r>
      <w:r w:rsidR="00021E53" w:rsidRPr="00D83239">
        <w:rPr>
          <w:rFonts w:ascii="Arial" w:hAnsi="Arial" w:cs="Arial"/>
          <w:sz w:val="20"/>
          <w:szCs w:val="20"/>
        </w:rPr>
        <w:t xml:space="preserve"> </w:t>
      </w:r>
      <w:r w:rsidRPr="00D83239">
        <w:rPr>
          <w:rFonts w:ascii="Arial" w:hAnsi="Arial" w:cs="Arial"/>
          <w:sz w:val="20"/>
          <w:szCs w:val="20"/>
        </w:rPr>
        <w:t>na spletnih platformah v vseh državah članicah neformalne mreže nacionalnih koordinatorjev za boj proti trgovini z ljudmi jugovzhodne Evrope (NATC SEE).</w:t>
      </w:r>
    </w:p>
    <w:p w14:paraId="0DE5E5E4" w14:textId="77777777" w:rsidR="001E7CF5" w:rsidRPr="00D83239" w:rsidRDefault="001E7CF5" w:rsidP="00D83239">
      <w:pPr>
        <w:tabs>
          <w:tab w:val="left" w:pos="5550"/>
        </w:tabs>
        <w:spacing w:after="0" w:line="276" w:lineRule="auto"/>
        <w:jc w:val="both"/>
        <w:rPr>
          <w:rFonts w:ascii="Arial" w:hAnsi="Arial" w:cs="Arial"/>
          <w:sz w:val="20"/>
          <w:szCs w:val="20"/>
        </w:rPr>
      </w:pPr>
    </w:p>
    <w:p w14:paraId="47B119DE" w14:textId="4E1D8184" w:rsidR="001E7CF5" w:rsidRPr="00D83239" w:rsidRDefault="001E7CF5" w:rsidP="00D83239">
      <w:pPr>
        <w:tabs>
          <w:tab w:val="left" w:pos="5550"/>
        </w:tabs>
        <w:spacing w:after="0" w:line="276" w:lineRule="auto"/>
        <w:jc w:val="both"/>
        <w:rPr>
          <w:rFonts w:ascii="Arial" w:hAnsi="Arial" w:cs="Arial"/>
          <w:sz w:val="20"/>
          <w:szCs w:val="20"/>
        </w:rPr>
      </w:pPr>
      <w:r w:rsidRPr="00D83239">
        <w:rPr>
          <w:rFonts w:ascii="Arial" w:hAnsi="Arial" w:cs="Arial"/>
          <w:sz w:val="20"/>
          <w:szCs w:val="20"/>
        </w:rPr>
        <w:t>Ob 15</w:t>
      </w:r>
      <w:r w:rsidR="00021E53">
        <w:rPr>
          <w:rFonts w:ascii="Arial" w:hAnsi="Arial" w:cs="Arial"/>
          <w:sz w:val="20"/>
          <w:szCs w:val="20"/>
        </w:rPr>
        <w:t>-</w:t>
      </w:r>
      <w:r w:rsidRPr="00D83239">
        <w:rPr>
          <w:rFonts w:ascii="Arial" w:hAnsi="Arial" w:cs="Arial"/>
          <w:sz w:val="20"/>
          <w:szCs w:val="20"/>
        </w:rPr>
        <w:t>letnici aktivnega delovanja mreže NATC SEE so v marcu 2025 v Sloveniji</w:t>
      </w:r>
      <w:r w:rsidR="00021E53">
        <w:rPr>
          <w:rFonts w:ascii="Arial" w:hAnsi="Arial" w:cs="Arial"/>
          <w:sz w:val="20"/>
          <w:szCs w:val="20"/>
        </w:rPr>
        <w:t>,</w:t>
      </w:r>
      <w:r w:rsidRPr="00D83239">
        <w:rPr>
          <w:rFonts w:ascii="Arial" w:hAnsi="Arial" w:cs="Arial"/>
          <w:sz w:val="20"/>
          <w:szCs w:val="20"/>
        </w:rPr>
        <w:t xml:space="preserve"> ponovno ob robu ministrskega srečanja </w:t>
      </w:r>
      <w:r w:rsidR="00021E53">
        <w:rPr>
          <w:rFonts w:ascii="Arial" w:hAnsi="Arial" w:cs="Arial"/>
          <w:sz w:val="20"/>
          <w:szCs w:val="20"/>
        </w:rPr>
        <w:t>p</w:t>
      </w:r>
      <w:r w:rsidRPr="00D83239">
        <w:rPr>
          <w:rFonts w:ascii="Arial" w:hAnsi="Arial" w:cs="Arial"/>
          <w:sz w:val="20"/>
          <w:szCs w:val="20"/>
        </w:rPr>
        <w:t>rocesa Brdo</w:t>
      </w:r>
      <w:r w:rsidR="00021E53">
        <w:rPr>
          <w:rFonts w:ascii="Arial" w:hAnsi="Arial" w:cs="Arial"/>
          <w:sz w:val="20"/>
          <w:szCs w:val="20"/>
        </w:rPr>
        <w:t>,</w:t>
      </w:r>
      <w:r w:rsidRPr="00D83239">
        <w:rPr>
          <w:rFonts w:ascii="Arial" w:hAnsi="Arial" w:cs="Arial"/>
          <w:sz w:val="20"/>
          <w:szCs w:val="20"/>
        </w:rPr>
        <w:t xml:space="preserve"> organizirali srečanje mreže, kjer je bila sprejeta tudi nova </w:t>
      </w:r>
      <w:r w:rsidR="00021E53">
        <w:rPr>
          <w:rFonts w:ascii="Arial" w:hAnsi="Arial" w:cs="Arial"/>
          <w:sz w:val="20"/>
          <w:szCs w:val="20"/>
        </w:rPr>
        <w:t>s</w:t>
      </w:r>
      <w:r w:rsidRPr="00D83239">
        <w:rPr>
          <w:rFonts w:ascii="Arial" w:hAnsi="Arial" w:cs="Arial"/>
          <w:sz w:val="20"/>
          <w:szCs w:val="20"/>
        </w:rPr>
        <w:t>trategija delovanja mreže za obdobje 2025</w:t>
      </w:r>
      <w:r w:rsidR="00021E53">
        <w:rPr>
          <w:rFonts w:ascii="Arial" w:hAnsi="Arial" w:cs="Arial"/>
          <w:sz w:val="20"/>
          <w:szCs w:val="20"/>
        </w:rPr>
        <w:t>–</w:t>
      </w:r>
      <w:r w:rsidRPr="00D83239">
        <w:rPr>
          <w:rFonts w:ascii="Arial" w:hAnsi="Arial" w:cs="Arial"/>
          <w:sz w:val="20"/>
          <w:szCs w:val="20"/>
        </w:rPr>
        <w:t xml:space="preserve">2029. Podporo delovanju mreže in novi strategiji njenega delovanja so s sprejetjem deklaracije na svojem srečanju izrazili tudi ministri procesa Brdo. </w:t>
      </w:r>
      <w:r w:rsidR="00DF54FF">
        <w:rPr>
          <w:rFonts w:ascii="Arial" w:hAnsi="Arial" w:cs="Arial"/>
          <w:sz w:val="20"/>
          <w:szCs w:val="20"/>
        </w:rPr>
        <w:t>MNZ</w:t>
      </w:r>
      <w:r w:rsidRPr="00D83239">
        <w:rPr>
          <w:rFonts w:ascii="Arial" w:hAnsi="Arial" w:cs="Arial"/>
          <w:sz w:val="20"/>
          <w:szCs w:val="20"/>
        </w:rPr>
        <w:t xml:space="preserve"> je v sodelovanju z ICMPD v letu 2025 organiziral</w:t>
      </w:r>
      <w:r w:rsidR="00DF54FF">
        <w:rPr>
          <w:rFonts w:ascii="Arial" w:hAnsi="Arial" w:cs="Arial"/>
          <w:sz w:val="20"/>
          <w:szCs w:val="20"/>
        </w:rPr>
        <w:t>o</w:t>
      </w:r>
      <w:r w:rsidRPr="00D83239">
        <w:rPr>
          <w:rFonts w:ascii="Arial" w:hAnsi="Arial" w:cs="Arial"/>
          <w:sz w:val="20"/>
          <w:szCs w:val="20"/>
        </w:rPr>
        <w:t xml:space="preserve"> dodatno srečanje NATC SEE, </w:t>
      </w:r>
      <w:r w:rsidR="00021E53">
        <w:rPr>
          <w:rFonts w:ascii="Arial" w:hAnsi="Arial" w:cs="Arial"/>
          <w:sz w:val="20"/>
          <w:szCs w:val="20"/>
        </w:rPr>
        <w:t xml:space="preserve">in sicer </w:t>
      </w:r>
      <w:r w:rsidRPr="00D83239">
        <w:rPr>
          <w:rFonts w:ascii="Arial" w:hAnsi="Arial" w:cs="Arial"/>
          <w:sz w:val="20"/>
          <w:szCs w:val="20"/>
        </w:rPr>
        <w:t>med 12. in 14.</w:t>
      </w:r>
      <w:r w:rsidR="00021E53">
        <w:rPr>
          <w:rFonts w:ascii="Arial" w:hAnsi="Arial" w:cs="Arial"/>
          <w:sz w:val="20"/>
          <w:szCs w:val="20"/>
        </w:rPr>
        <w:t> </w:t>
      </w:r>
      <w:r w:rsidR="00B95461">
        <w:rPr>
          <w:rFonts w:ascii="Arial" w:hAnsi="Arial" w:cs="Arial"/>
          <w:sz w:val="20"/>
          <w:szCs w:val="20"/>
        </w:rPr>
        <w:t>11.</w:t>
      </w:r>
      <w:r w:rsidR="00021E53">
        <w:rPr>
          <w:rFonts w:ascii="Arial" w:hAnsi="Arial" w:cs="Arial"/>
          <w:sz w:val="20"/>
          <w:szCs w:val="20"/>
        </w:rPr>
        <w:t> </w:t>
      </w:r>
      <w:r w:rsidR="00B95461">
        <w:rPr>
          <w:rFonts w:ascii="Arial" w:hAnsi="Arial" w:cs="Arial"/>
          <w:sz w:val="20"/>
          <w:szCs w:val="20"/>
        </w:rPr>
        <w:t>2025</w:t>
      </w:r>
      <w:r w:rsidRPr="00D83239">
        <w:rPr>
          <w:rFonts w:ascii="Arial" w:hAnsi="Arial" w:cs="Arial"/>
          <w:sz w:val="20"/>
          <w:szCs w:val="20"/>
        </w:rPr>
        <w:t xml:space="preserve"> v Sarajevu.</w:t>
      </w:r>
    </w:p>
    <w:p w14:paraId="703A42C5" w14:textId="77777777" w:rsidR="001E7CF5" w:rsidRPr="00D83239" w:rsidRDefault="001E7CF5" w:rsidP="00D83239">
      <w:pPr>
        <w:tabs>
          <w:tab w:val="left" w:pos="5550"/>
        </w:tabs>
        <w:spacing w:after="0" w:line="276" w:lineRule="auto"/>
        <w:jc w:val="both"/>
        <w:rPr>
          <w:rFonts w:ascii="Arial" w:hAnsi="Arial" w:cs="Arial"/>
          <w:sz w:val="20"/>
          <w:szCs w:val="20"/>
        </w:rPr>
      </w:pPr>
    </w:p>
    <w:p w14:paraId="062079B4" w14:textId="7E5F7F93" w:rsidR="001E7CF5" w:rsidRPr="00D83239" w:rsidRDefault="001E7CF5" w:rsidP="00D83239">
      <w:pPr>
        <w:spacing w:after="0" w:line="276" w:lineRule="auto"/>
        <w:jc w:val="both"/>
        <w:rPr>
          <w:rFonts w:ascii="Arial" w:hAnsi="Arial" w:cs="Arial"/>
          <w:sz w:val="20"/>
          <w:szCs w:val="20"/>
        </w:rPr>
      </w:pPr>
      <w:r w:rsidRPr="00D83239">
        <w:rPr>
          <w:rFonts w:ascii="Arial" w:hAnsi="Arial" w:cs="Arial"/>
          <w:sz w:val="20"/>
          <w:szCs w:val="20"/>
        </w:rPr>
        <w:t xml:space="preserve">Predstavniki </w:t>
      </w:r>
      <w:r w:rsidR="00DF54FF">
        <w:rPr>
          <w:rFonts w:ascii="Arial" w:hAnsi="Arial" w:cs="Arial"/>
          <w:sz w:val="20"/>
          <w:szCs w:val="20"/>
        </w:rPr>
        <w:t>MNZ</w:t>
      </w:r>
      <w:r w:rsidRPr="00D83239">
        <w:rPr>
          <w:rFonts w:ascii="Arial" w:hAnsi="Arial" w:cs="Arial"/>
          <w:sz w:val="20"/>
          <w:szCs w:val="20"/>
        </w:rPr>
        <w:t xml:space="preserve"> so poleg tega sodelovali v </w:t>
      </w:r>
      <w:r w:rsidRPr="00D83239">
        <w:rPr>
          <w:rFonts w:ascii="Arial" w:hAnsi="Arial" w:cs="Arial"/>
          <w:bCs/>
          <w:sz w:val="20"/>
          <w:szCs w:val="20"/>
        </w:rPr>
        <w:t>različnih drugih mednarodnih dejavnostih</w:t>
      </w:r>
      <w:r w:rsidRPr="00D83239">
        <w:rPr>
          <w:rFonts w:ascii="Arial" w:hAnsi="Arial" w:cs="Arial"/>
          <w:sz w:val="20"/>
          <w:szCs w:val="20"/>
        </w:rPr>
        <w:t xml:space="preserve"> s področja dela v organizaciji </w:t>
      </w:r>
      <w:r w:rsidRPr="00D83239">
        <w:rPr>
          <w:rFonts w:ascii="Arial" w:hAnsi="Arial" w:cs="Arial"/>
          <w:bCs/>
          <w:sz w:val="20"/>
          <w:szCs w:val="20"/>
        </w:rPr>
        <w:t>Urada</w:t>
      </w:r>
      <w:r w:rsidRPr="00D83239">
        <w:rPr>
          <w:rFonts w:ascii="Arial" w:hAnsi="Arial" w:cs="Arial"/>
          <w:i/>
          <w:sz w:val="20"/>
          <w:szCs w:val="20"/>
        </w:rPr>
        <w:t> </w:t>
      </w:r>
      <w:r w:rsidRPr="00D83239">
        <w:rPr>
          <w:rFonts w:ascii="Arial" w:hAnsi="Arial" w:cs="Arial"/>
          <w:sz w:val="20"/>
          <w:szCs w:val="20"/>
        </w:rPr>
        <w:t xml:space="preserve">Združenih narodov za droge in kriminal (UNODC), Evropske komisije, Sveta Evrope in OVSE. </w:t>
      </w:r>
    </w:p>
    <w:p w14:paraId="26E9A4DE" w14:textId="77777777" w:rsidR="001E7CF5" w:rsidRPr="00D83239" w:rsidRDefault="001E7CF5" w:rsidP="00D83239">
      <w:pPr>
        <w:spacing w:after="0" w:line="276" w:lineRule="auto"/>
        <w:jc w:val="both"/>
        <w:rPr>
          <w:rFonts w:ascii="Arial" w:hAnsi="Arial" w:cs="Arial"/>
          <w:sz w:val="20"/>
          <w:szCs w:val="20"/>
        </w:rPr>
      </w:pPr>
    </w:p>
    <w:p w14:paraId="6C668E25" w14:textId="2EE8A303" w:rsidR="001E7CF5" w:rsidRPr="00D83239" w:rsidRDefault="001E7CF5" w:rsidP="00D83239">
      <w:pPr>
        <w:spacing w:after="0" w:line="276" w:lineRule="auto"/>
        <w:jc w:val="both"/>
        <w:rPr>
          <w:rFonts w:ascii="Arial" w:hAnsi="Arial" w:cs="Arial"/>
          <w:sz w:val="20"/>
          <w:szCs w:val="20"/>
        </w:rPr>
      </w:pPr>
      <w:r w:rsidRPr="00D83239">
        <w:rPr>
          <w:rFonts w:ascii="Arial" w:hAnsi="Arial" w:cs="Arial"/>
          <w:sz w:val="20"/>
          <w:szCs w:val="20"/>
        </w:rPr>
        <w:t>Nacionalni koordinator za boj proti trgovini z ljudmi se je 24. in 25.</w:t>
      </w:r>
      <w:r w:rsidR="00B95461">
        <w:rPr>
          <w:rFonts w:ascii="Arial" w:hAnsi="Arial" w:cs="Arial"/>
          <w:sz w:val="20"/>
          <w:szCs w:val="20"/>
        </w:rPr>
        <w:t xml:space="preserve"> 11.</w:t>
      </w:r>
      <w:r w:rsidRPr="00D83239">
        <w:rPr>
          <w:rFonts w:ascii="Arial" w:hAnsi="Arial" w:cs="Arial"/>
          <w:sz w:val="20"/>
          <w:szCs w:val="20"/>
        </w:rPr>
        <w:t xml:space="preserve"> 2025 udeležil rednega zasedanja Generalne skupščine OZN v New Yorku, kjer je podal izjavo Republike Slovenije v podporo sprejetju deklaracije o izvajanju Globalnega akcijskega načrta OZN za boj proti trgovini z ljudmi.</w:t>
      </w:r>
    </w:p>
    <w:p w14:paraId="75195D1E" w14:textId="79E1F817" w:rsidR="001E7CF5" w:rsidRPr="00D83239" w:rsidRDefault="001E7CF5" w:rsidP="00D83239">
      <w:pPr>
        <w:spacing w:after="0" w:line="276" w:lineRule="auto"/>
        <w:jc w:val="both"/>
        <w:rPr>
          <w:rFonts w:ascii="Arial" w:hAnsi="Arial" w:cs="Arial"/>
          <w:sz w:val="20"/>
          <w:szCs w:val="20"/>
        </w:rPr>
      </w:pPr>
      <w:r w:rsidRPr="00D83239">
        <w:rPr>
          <w:rFonts w:ascii="Arial" w:hAnsi="Arial" w:cs="Arial"/>
          <w:sz w:val="20"/>
          <w:szCs w:val="20"/>
        </w:rPr>
        <w:t xml:space="preserve">Aktivnosti </w:t>
      </w:r>
      <w:r w:rsidR="00DF54FF">
        <w:rPr>
          <w:rFonts w:ascii="Arial" w:hAnsi="Arial" w:cs="Arial"/>
          <w:sz w:val="20"/>
          <w:szCs w:val="20"/>
        </w:rPr>
        <w:t>MNZ</w:t>
      </w:r>
      <w:r w:rsidRPr="00D83239">
        <w:rPr>
          <w:rFonts w:ascii="Arial" w:hAnsi="Arial" w:cs="Arial"/>
          <w:sz w:val="20"/>
          <w:szCs w:val="20"/>
        </w:rPr>
        <w:t xml:space="preserve"> so bile v letu 2025 usmerjene tudi v </w:t>
      </w:r>
      <w:r w:rsidR="00F5059F">
        <w:rPr>
          <w:rFonts w:ascii="Arial" w:hAnsi="Arial" w:cs="Arial"/>
          <w:sz w:val="20"/>
          <w:szCs w:val="20"/>
        </w:rPr>
        <w:t>prenos</w:t>
      </w:r>
      <w:r w:rsidRPr="00D83239">
        <w:rPr>
          <w:rFonts w:ascii="Arial" w:hAnsi="Arial" w:cs="Arial"/>
          <w:sz w:val="20"/>
          <w:szCs w:val="20"/>
        </w:rPr>
        <w:t xml:space="preserve"> Direktive 2024/1712EU (spremembe in dopolnitve Direktive 2011/36/EU o preprečevanju trgovine z ljudmi in boju proti njej ter zaščiti njenih žrtev), katere nosilec je sicer Ministrstvo za pravosodje. Evropski parlament in Svet sta </w:t>
      </w:r>
      <w:r w:rsidR="00F5059F">
        <w:rPr>
          <w:rFonts w:ascii="Arial" w:hAnsi="Arial" w:cs="Arial"/>
          <w:sz w:val="20"/>
          <w:szCs w:val="20"/>
        </w:rPr>
        <w:t>d</w:t>
      </w:r>
      <w:r w:rsidRPr="00D83239">
        <w:rPr>
          <w:rFonts w:ascii="Arial" w:hAnsi="Arial" w:cs="Arial"/>
          <w:sz w:val="20"/>
          <w:szCs w:val="20"/>
        </w:rPr>
        <w:t xml:space="preserve">irektivo sprejela 13. </w:t>
      </w:r>
      <w:r w:rsidR="003B15DE">
        <w:rPr>
          <w:rFonts w:ascii="Arial" w:hAnsi="Arial" w:cs="Arial"/>
          <w:sz w:val="20"/>
          <w:szCs w:val="20"/>
        </w:rPr>
        <w:t>6.</w:t>
      </w:r>
      <w:r w:rsidRPr="00D83239">
        <w:rPr>
          <w:rFonts w:ascii="Arial" w:hAnsi="Arial" w:cs="Arial"/>
          <w:sz w:val="20"/>
          <w:szCs w:val="20"/>
        </w:rPr>
        <w:t xml:space="preserve"> 2024, </w:t>
      </w:r>
      <w:r w:rsidR="00F5059F">
        <w:rPr>
          <w:rFonts w:ascii="Arial" w:hAnsi="Arial" w:cs="Arial"/>
          <w:sz w:val="20"/>
          <w:szCs w:val="20"/>
        </w:rPr>
        <w:t>prenos</w:t>
      </w:r>
      <w:r w:rsidR="00F5059F" w:rsidRPr="00D83239">
        <w:rPr>
          <w:rFonts w:ascii="Arial" w:hAnsi="Arial" w:cs="Arial"/>
          <w:sz w:val="20"/>
          <w:szCs w:val="20"/>
        </w:rPr>
        <w:t xml:space="preserve"> </w:t>
      </w:r>
      <w:r w:rsidRPr="00D83239">
        <w:rPr>
          <w:rFonts w:ascii="Arial" w:hAnsi="Arial" w:cs="Arial"/>
          <w:sz w:val="20"/>
          <w:szCs w:val="20"/>
        </w:rPr>
        <w:t xml:space="preserve">pa mora biti izveden do 15. 7. 2026. V letu 2025 so se </w:t>
      </w:r>
      <w:r w:rsidR="00DF54FF">
        <w:rPr>
          <w:rFonts w:ascii="Arial" w:hAnsi="Arial" w:cs="Arial"/>
          <w:sz w:val="20"/>
          <w:szCs w:val="20"/>
        </w:rPr>
        <w:t xml:space="preserve">javni uslužbenci MNZ </w:t>
      </w:r>
      <w:r w:rsidRPr="00D83239">
        <w:rPr>
          <w:rFonts w:ascii="Arial" w:hAnsi="Arial" w:cs="Arial"/>
          <w:sz w:val="20"/>
          <w:szCs w:val="20"/>
        </w:rPr>
        <w:t xml:space="preserve">udeležili več delavnic v zvezi </w:t>
      </w:r>
      <w:r w:rsidR="00F5059F">
        <w:rPr>
          <w:rFonts w:ascii="Arial" w:hAnsi="Arial" w:cs="Arial"/>
          <w:sz w:val="20"/>
          <w:szCs w:val="20"/>
        </w:rPr>
        <w:t>s prenosom</w:t>
      </w:r>
      <w:r w:rsidRPr="00D83239">
        <w:rPr>
          <w:rFonts w:ascii="Arial" w:hAnsi="Arial" w:cs="Arial"/>
          <w:sz w:val="20"/>
          <w:szCs w:val="20"/>
        </w:rPr>
        <w:t xml:space="preserve"> direktive, na pravočasno izvedbo aktivnosti pa </w:t>
      </w:r>
      <w:r w:rsidR="00DF54FF">
        <w:rPr>
          <w:rFonts w:ascii="Arial" w:hAnsi="Arial" w:cs="Arial"/>
          <w:sz w:val="20"/>
          <w:szCs w:val="20"/>
        </w:rPr>
        <w:t>je MNZ</w:t>
      </w:r>
      <w:r w:rsidRPr="00D83239">
        <w:rPr>
          <w:rFonts w:ascii="Arial" w:hAnsi="Arial" w:cs="Arial"/>
          <w:sz w:val="20"/>
          <w:szCs w:val="20"/>
        </w:rPr>
        <w:t xml:space="preserve"> z dopisom opozoril</w:t>
      </w:r>
      <w:r w:rsidR="00DF54FF">
        <w:rPr>
          <w:rFonts w:ascii="Arial" w:hAnsi="Arial" w:cs="Arial"/>
          <w:sz w:val="20"/>
          <w:szCs w:val="20"/>
        </w:rPr>
        <w:t>o</w:t>
      </w:r>
      <w:r w:rsidRPr="00D83239">
        <w:rPr>
          <w:rFonts w:ascii="Arial" w:hAnsi="Arial" w:cs="Arial"/>
          <w:sz w:val="20"/>
          <w:szCs w:val="20"/>
        </w:rPr>
        <w:t xml:space="preserve"> tudi Ministrstvo za pravosodje (vezano predvsem na predvidene spremembe in dopolnitve Kazenskega zakonika).</w:t>
      </w:r>
    </w:p>
    <w:p w14:paraId="69164D91" w14:textId="77777777" w:rsidR="001E7CF5" w:rsidRPr="00D83239" w:rsidRDefault="001E7CF5" w:rsidP="00D83239">
      <w:pPr>
        <w:spacing w:after="0" w:line="276" w:lineRule="auto"/>
        <w:jc w:val="both"/>
        <w:rPr>
          <w:rFonts w:ascii="Arial" w:hAnsi="Arial" w:cs="Arial"/>
          <w:sz w:val="20"/>
          <w:szCs w:val="20"/>
        </w:rPr>
      </w:pPr>
    </w:p>
    <w:p w14:paraId="17AAB5AE" w14:textId="06018C56" w:rsidR="001E7CF5" w:rsidRPr="00D83239" w:rsidRDefault="001E7CF5" w:rsidP="00D83239">
      <w:pPr>
        <w:spacing w:after="0" w:line="276" w:lineRule="auto"/>
        <w:jc w:val="both"/>
        <w:rPr>
          <w:rFonts w:ascii="Arial" w:hAnsi="Arial" w:cs="Arial"/>
          <w:sz w:val="20"/>
          <w:szCs w:val="20"/>
        </w:rPr>
      </w:pPr>
      <w:r w:rsidRPr="00D83239">
        <w:rPr>
          <w:rFonts w:ascii="Arial" w:hAnsi="Arial" w:cs="Arial"/>
          <w:sz w:val="20"/>
          <w:szCs w:val="20"/>
        </w:rPr>
        <w:t>Pri snovanju sprememb in dopolnitev zakonodaje na področju boja proti trgovin</w:t>
      </w:r>
      <w:r w:rsidR="00F5059F">
        <w:rPr>
          <w:rFonts w:ascii="Arial" w:hAnsi="Arial" w:cs="Arial"/>
          <w:sz w:val="20"/>
          <w:szCs w:val="20"/>
        </w:rPr>
        <w:t>i</w:t>
      </w:r>
      <w:r w:rsidRPr="00D83239">
        <w:rPr>
          <w:rFonts w:ascii="Arial" w:hAnsi="Arial" w:cs="Arial"/>
          <w:sz w:val="20"/>
          <w:szCs w:val="20"/>
        </w:rPr>
        <w:t xml:space="preserve"> z ljudmi bodo upoštevane tudi ugotovitve </w:t>
      </w:r>
      <w:r w:rsidR="00F5059F">
        <w:rPr>
          <w:rFonts w:ascii="Arial" w:hAnsi="Arial" w:cs="Arial"/>
          <w:sz w:val="20"/>
          <w:szCs w:val="20"/>
        </w:rPr>
        <w:t xml:space="preserve">iz </w:t>
      </w:r>
      <w:r w:rsidRPr="00D83239">
        <w:rPr>
          <w:rFonts w:ascii="Arial" w:hAnsi="Arial" w:cs="Arial"/>
          <w:sz w:val="20"/>
          <w:szCs w:val="20"/>
        </w:rPr>
        <w:t xml:space="preserve">raziskave </w:t>
      </w:r>
      <w:r w:rsidR="00F5059F">
        <w:rPr>
          <w:rFonts w:ascii="Arial" w:hAnsi="Arial" w:cs="Arial"/>
          <w:sz w:val="20"/>
          <w:szCs w:val="20"/>
        </w:rPr>
        <w:t xml:space="preserve">o </w:t>
      </w:r>
      <w:r w:rsidRPr="00D83239">
        <w:rPr>
          <w:rFonts w:ascii="Arial" w:hAnsi="Arial" w:cs="Arial"/>
          <w:sz w:val="20"/>
          <w:szCs w:val="20"/>
        </w:rPr>
        <w:t>učinkovitosti pregona trgovine z ljudmi, določb kazenske zakonodaje in sodne prakse na področju kaznivih dejanj trgovine z ljudmi, ki jo je v okviru ciljnega raziskovalnega projekta »CRP 2024« izvedel Inštitut za kriminologijo pri Pravni fakulteti v Ljubljani in je bila zaključena v novembru 2025.</w:t>
      </w:r>
    </w:p>
    <w:p w14:paraId="0B088D4F" w14:textId="77777777" w:rsidR="001E7CF5" w:rsidRPr="00D83239" w:rsidRDefault="001E7CF5" w:rsidP="00D83239">
      <w:pPr>
        <w:spacing w:after="0" w:line="276" w:lineRule="auto"/>
        <w:jc w:val="both"/>
        <w:rPr>
          <w:rFonts w:ascii="Arial" w:hAnsi="Arial" w:cs="Arial"/>
          <w:sz w:val="20"/>
          <w:szCs w:val="20"/>
        </w:rPr>
      </w:pPr>
    </w:p>
    <w:p w14:paraId="6221D2E8" w14:textId="16856D45" w:rsidR="001E7CF5" w:rsidRPr="00D83239" w:rsidRDefault="001E7CF5" w:rsidP="00D83239">
      <w:pPr>
        <w:spacing w:after="0" w:line="276" w:lineRule="auto"/>
        <w:jc w:val="both"/>
        <w:rPr>
          <w:rFonts w:ascii="Arial" w:hAnsi="Arial" w:cs="Arial"/>
          <w:sz w:val="20"/>
          <w:szCs w:val="20"/>
        </w:rPr>
      </w:pPr>
      <w:r w:rsidRPr="00D83239">
        <w:rPr>
          <w:rFonts w:ascii="Arial" w:hAnsi="Arial" w:cs="Arial"/>
          <w:sz w:val="20"/>
          <w:szCs w:val="20"/>
        </w:rPr>
        <w:t>V skladu z ustaljeno prakso je</w:t>
      </w:r>
      <w:r w:rsidR="003B15DE">
        <w:rPr>
          <w:rFonts w:ascii="Arial" w:hAnsi="Arial" w:cs="Arial"/>
          <w:sz w:val="20"/>
          <w:szCs w:val="20"/>
        </w:rPr>
        <w:t xml:space="preserve"> MNZ</w:t>
      </w:r>
      <w:r w:rsidRPr="00D83239">
        <w:rPr>
          <w:rFonts w:ascii="Arial" w:hAnsi="Arial" w:cs="Arial"/>
          <w:sz w:val="20"/>
          <w:szCs w:val="20"/>
        </w:rPr>
        <w:t xml:space="preserve"> tudi v letu 2025 sodeloval</w:t>
      </w:r>
      <w:r w:rsidR="003B15DE">
        <w:rPr>
          <w:rFonts w:ascii="Arial" w:hAnsi="Arial" w:cs="Arial"/>
          <w:sz w:val="20"/>
          <w:szCs w:val="20"/>
        </w:rPr>
        <w:t>o</w:t>
      </w:r>
      <w:r w:rsidRPr="00D83239">
        <w:rPr>
          <w:rFonts w:ascii="Arial" w:hAnsi="Arial" w:cs="Arial"/>
          <w:sz w:val="20"/>
          <w:szCs w:val="20"/>
        </w:rPr>
        <w:t xml:space="preserve"> pri pripravi letnega poročila o trgovini z ljudmi </w:t>
      </w:r>
      <w:r w:rsidR="00F5059F">
        <w:rPr>
          <w:rFonts w:ascii="Arial" w:hAnsi="Arial" w:cs="Arial"/>
          <w:sz w:val="20"/>
          <w:szCs w:val="20"/>
        </w:rPr>
        <w:t>m</w:t>
      </w:r>
      <w:r w:rsidRPr="00D83239">
        <w:rPr>
          <w:rFonts w:ascii="Arial" w:hAnsi="Arial" w:cs="Arial"/>
          <w:sz w:val="20"/>
          <w:szCs w:val="20"/>
        </w:rPr>
        <w:t>inistrstva za zunanje zadeve ZDA. Poročilo je Slovenijo zaradi napredka po dveh letih ponovno uvrstilo v prvo skupino držav, ki na področju boja proti trgovini z ljudmi v celoti izpolnjujejo minimalne standarde (t. i. TIER 1).</w:t>
      </w:r>
    </w:p>
    <w:p w14:paraId="46A50BDC" w14:textId="77777777" w:rsidR="001E7CF5" w:rsidRPr="00D83239" w:rsidRDefault="001E7CF5" w:rsidP="00D83239">
      <w:pPr>
        <w:spacing w:after="0" w:line="276" w:lineRule="auto"/>
        <w:jc w:val="both"/>
        <w:rPr>
          <w:rFonts w:ascii="Arial" w:hAnsi="Arial" w:cs="Arial"/>
          <w:sz w:val="20"/>
          <w:szCs w:val="20"/>
        </w:rPr>
      </w:pPr>
      <w:r w:rsidRPr="00D83239">
        <w:rPr>
          <w:rFonts w:ascii="Arial" w:hAnsi="Arial" w:cs="Arial"/>
          <w:sz w:val="20"/>
          <w:szCs w:val="20"/>
        </w:rPr>
        <w:t xml:space="preserve"> </w:t>
      </w:r>
    </w:p>
    <w:p w14:paraId="44C4E13F" w14:textId="41D54DF5" w:rsidR="001E7CF5" w:rsidRPr="00D83239" w:rsidRDefault="001E7CF5" w:rsidP="00D83239">
      <w:pPr>
        <w:spacing w:after="0" w:line="276" w:lineRule="auto"/>
        <w:jc w:val="both"/>
        <w:rPr>
          <w:rFonts w:ascii="Arial" w:hAnsi="Arial" w:cs="Arial"/>
          <w:sz w:val="20"/>
          <w:szCs w:val="20"/>
        </w:rPr>
      </w:pPr>
      <w:r w:rsidRPr="00D83239">
        <w:rPr>
          <w:rFonts w:ascii="Arial" w:hAnsi="Arial" w:cs="Arial"/>
          <w:sz w:val="20"/>
          <w:szCs w:val="20"/>
        </w:rPr>
        <w:t xml:space="preserve">V letu 2025 je bil za Slovenijo zaključen </w:t>
      </w:r>
      <w:r w:rsidR="00F5059F">
        <w:rPr>
          <w:rFonts w:ascii="Arial" w:hAnsi="Arial" w:cs="Arial"/>
          <w:sz w:val="20"/>
          <w:szCs w:val="20"/>
        </w:rPr>
        <w:t>tretji</w:t>
      </w:r>
      <w:r w:rsidRPr="00D83239">
        <w:rPr>
          <w:rFonts w:ascii="Arial" w:hAnsi="Arial" w:cs="Arial"/>
          <w:sz w:val="20"/>
          <w:szCs w:val="20"/>
        </w:rPr>
        <w:t xml:space="preserve"> krog ocenjevanja glede i</w:t>
      </w:r>
      <w:r w:rsidR="00F5059F">
        <w:rPr>
          <w:rFonts w:ascii="Arial" w:hAnsi="Arial" w:cs="Arial"/>
          <w:sz w:val="20"/>
          <w:szCs w:val="20"/>
        </w:rPr>
        <w:t>zvajanja</w:t>
      </w:r>
      <w:r w:rsidRPr="00D83239">
        <w:rPr>
          <w:rFonts w:ascii="Arial" w:hAnsi="Arial" w:cs="Arial"/>
          <w:sz w:val="20"/>
          <w:szCs w:val="20"/>
        </w:rPr>
        <w:t xml:space="preserve"> Konvencije Sveta Evrope o ukrepanju proti trgovini z ljudmi, ki ga izvaja skupina strokovnjakov Sveta Evrope (GRETA). MDS TZL je pripravila poročilo o izvajanju priporočil GRETA, ki ga je sprejela Vlada Republike Slovenije in ga 8.</w:t>
      </w:r>
      <w:r w:rsidR="00F5059F">
        <w:rPr>
          <w:rFonts w:ascii="Arial" w:hAnsi="Arial" w:cs="Arial"/>
          <w:sz w:val="20"/>
          <w:szCs w:val="20"/>
        </w:rPr>
        <w:t> </w:t>
      </w:r>
      <w:r w:rsidR="001B483B">
        <w:rPr>
          <w:rFonts w:ascii="Arial" w:hAnsi="Arial" w:cs="Arial"/>
          <w:sz w:val="20"/>
          <w:szCs w:val="20"/>
        </w:rPr>
        <w:t>7.</w:t>
      </w:r>
      <w:r w:rsidRPr="00D83239">
        <w:rPr>
          <w:rFonts w:ascii="Arial" w:hAnsi="Arial" w:cs="Arial"/>
          <w:sz w:val="20"/>
          <w:szCs w:val="20"/>
        </w:rPr>
        <w:t xml:space="preserve"> 2025 poslala Svetu Evrope. Zagovor </w:t>
      </w:r>
      <w:r w:rsidR="001B483B">
        <w:rPr>
          <w:rFonts w:ascii="Arial" w:hAnsi="Arial" w:cs="Arial"/>
          <w:sz w:val="20"/>
          <w:szCs w:val="20"/>
        </w:rPr>
        <w:t>poročila je potekal 18. 12.</w:t>
      </w:r>
      <w:r w:rsidRPr="00D83239">
        <w:rPr>
          <w:rFonts w:ascii="Arial" w:hAnsi="Arial" w:cs="Arial"/>
          <w:sz w:val="20"/>
          <w:szCs w:val="20"/>
        </w:rPr>
        <w:t xml:space="preserve"> 2025 v Strasbourgu (zaradi obiska delegacije </w:t>
      </w:r>
      <w:r w:rsidR="00F5059F" w:rsidRPr="00D83239">
        <w:rPr>
          <w:rFonts w:ascii="Arial" w:hAnsi="Arial" w:cs="Arial"/>
          <w:sz w:val="20"/>
          <w:szCs w:val="20"/>
        </w:rPr>
        <w:t>G</w:t>
      </w:r>
      <w:r w:rsidR="00F5059F">
        <w:rPr>
          <w:rFonts w:ascii="Arial" w:hAnsi="Arial" w:cs="Arial"/>
          <w:sz w:val="20"/>
          <w:szCs w:val="20"/>
        </w:rPr>
        <w:t>RETA</w:t>
      </w:r>
      <w:r w:rsidR="00F5059F" w:rsidRPr="00D83239">
        <w:rPr>
          <w:rFonts w:ascii="Arial" w:hAnsi="Arial" w:cs="Arial"/>
          <w:sz w:val="20"/>
          <w:szCs w:val="20"/>
        </w:rPr>
        <w:t xml:space="preserve"> </w:t>
      </w:r>
      <w:r w:rsidRPr="00D83239">
        <w:rPr>
          <w:rFonts w:ascii="Arial" w:hAnsi="Arial" w:cs="Arial"/>
          <w:sz w:val="20"/>
          <w:szCs w:val="20"/>
        </w:rPr>
        <w:t xml:space="preserve">se je nacionalni koordinator za boj proti trgovini z ljudmi sestanka udeležil na daljavo). Junija 2025 je bila Republika Slovenija s strani sekretariata </w:t>
      </w:r>
      <w:r w:rsidR="00A71C09">
        <w:rPr>
          <w:rFonts w:ascii="Arial" w:hAnsi="Arial" w:cs="Arial"/>
          <w:sz w:val="20"/>
          <w:szCs w:val="20"/>
        </w:rPr>
        <w:t>k</w:t>
      </w:r>
      <w:r w:rsidRPr="00D83239">
        <w:rPr>
          <w:rFonts w:ascii="Arial" w:hAnsi="Arial" w:cs="Arial"/>
          <w:sz w:val="20"/>
          <w:szCs w:val="20"/>
        </w:rPr>
        <w:t xml:space="preserve">onvencije seznanjena z začetkom </w:t>
      </w:r>
      <w:r w:rsidR="00A71C09">
        <w:rPr>
          <w:rFonts w:ascii="Arial" w:hAnsi="Arial" w:cs="Arial"/>
          <w:sz w:val="20"/>
          <w:szCs w:val="20"/>
        </w:rPr>
        <w:t>četrtega</w:t>
      </w:r>
      <w:r w:rsidRPr="00D83239">
        <w:rPr>
          <w:rFonts w:ascii="Arial" w:hAnsi="Arial" w:cs="Arial"/>
          <w:sz w:val="20"/>
          <w:szCs w:val="20"/>
        </w:rPr>
        <w:t xml:space="preserve"> kroga ocenjevanja in ob tem v izpolnitev prejela vprašalnik. MDS TZL je pripravila odgovore na vprašalnik, ki jih je Vlada Republike Slovenije sprejela in </w:t>
      </w:r>
      <w:r w:rsidR="00A71C09">
        <w:rPr>
          <w:rFonts w:ascii="Arial" w:hAnsi="Arial" w:cs="Arial"/>
          <w:sz w:val="20"/>
          <w:szCs w:val="20"/>
        </w:rPr>
        <w:t xml:space="preserve">nato </w:t>
      </w:r>
      <w:r w:rsidRPr="00D83239">
        <w:rPr>
          <w:rFonts w:ascii="Arial" w:hAnsi="Arial" w:cs="Arial"/>
          <w:sz w:val="20"/>
          <w:szCs w:val="20"/>
        </w:rPr>
        <w:t xml:space="preserve">24. </w:t>
      </w:r>
      <w:r w:rsidR="00B95461">
        <w:rPr>
          <w:rFonts w:ascii="Arial" w:hAnsi="Arial" w:cs="Arial"/>
          <w:sz w:val="20"/>
          <w:szCs w:val="20"/>
        </w:rPr>
        <w:t>10.</w:t>
      </w:r>
      <w:r w:rsidRPr="00D83239">
        <w:rPr>
          <w:rFonts w:ascii="Arial" w:hAnsi="Arial" w:cs="Arial"/>
          <w:sz w:val="20"/>
          <w:szCs w:val="20"/>
        </w:rPr>
        <w:t xml:space="preserve"> 2025 pos</w:t>
      </w:r>
      <w:r w:rsidR="00A71C09">
        <w:rPr>
          <w:rFonts w:ascii="Arial" w:hAnsi="Arial" w:cs="Arial"/>
          <w:sz w:val="20"/>
          <w:szCs w:val="20"/>
        </w:rPr>
        <w:t>l</w:t>
      </w:r>
      <w:r w:rsidRPr="00D83239">
        <w:rPr>
          <w:rFonts w:ascii="Arial" w:hAnsi="Arial" w:cs="Arial"/>
          <w:sz w:val="20"/>
          <w:szCs w:val="20"/>
        </w:rPr>
        <w:t xml:space="preserve">ala sekretariatu konvencije. Med 16. in 19. </w:t>
      </w:r>
      <w:r w:rsidR="00B95461">
        <w:rPr>
          <w:rFonts w:ascii="Arial" w:hAnsi="Arial" w:cs="Arial"/>
          <w:sz w:val="20"/>
          <w:szCs w:val="20"/>
        </w:rPr>
        <w:t>12.</w:t>
      </w:r>
      <w:r w:rsidRPr="00D83239">
        <w:rPr>
          <w:rFonts w:ascii="Arial" w:hAnsi="Arial" w:cs="Arial"/>
          <w:sz w:val="20"/>
          <w:szCs w:val="20"/>
        </w:rPr>
        <w:t xml:space="preserve"> 2025 je v Ljubljani potekal </w:t>
      </w:r>
      <w:proofErr w:type="spellStart"/>
      <w:r w:rsidRPr="00D83239">
        <w:rPr>
          <w:rFonts w:ascii="Arial" w:hAnsi="Arial" w:cs="Arial"/>
          <w:sz w:val="20"/>
          <w:szCs w:val="20"/>
        </w:rPr>
        <w:t>evalvacijski</w:t>
      </w:r>
      <w:proofErr w:type="spellEnd"/>
      <w:r w:rsidRPr="00D83239">
        <w:rPr>
          <w:rFonts w:ascii="Arial" w:hAnsi="Arial" w:cs="Arial"/>
          <w:sz w:val="20"/>
          <w:szCs w:val="20"/>
        </w:rPr>
        <w:t xml:space="preserve"> obisk skupine strokovnjakov GRETA v okviru </w:t>
      </w:r>
      <w:r w:rsidR="00A71C09">
        <w:rPr>
          <w:rFonts w:ascii="Arial" w:hAnsi="Arial" w:cs="Arial"/>
          <w:sz w:val="20"/>
          <w:szCs w:val="20"/>
        </w:rPr>
        <w:t>četrtega</w:t>
      </w:r>
      <w:r w:rsidRPr="00D83239">
        <w:rPr>
          <w:rFonts w:ascii="Arial" w:hAnsi="Arial" w:cs="Arial"/>
          <w:sz w:val="20"/>
          <w:szCs w:val="20"/>
        </w:rPr>
        <w:t xml:space="preserve"> kroga ocenjevanja, ki ga je koordiniral</w:t>
      </w:r>
      <w:r w:rsidR="003B15DE">
        <w:rPr>
          <w:rFonts w:ascii="Arial" w:hAnsi="Arial" w:cs="Arial"/>
          <w:sz w:val="20"/>
          <w:szCs w:val="20"/>
        </w:rPr>
        <w:t>o</w:t>
      </w:r>
      <w:r w:rsidRPr="00D83239">
        <w:rPr>
          <w:rFonts w:ascii="Arial" w:hAnsi="Arial" w:cs="Arial"/>
          <w:sz w:val="20"/>
          <w:szCs w:val="20"/>
        </w:rPr>
        <w:t xml:space="preserve"> </w:t>
      </w:r>
      <w:r w:rsidR="003B15DE">
        <w:rPr>
          <w:rFonts w:ascii="Arial" w:hAnsi="Arial" w:cs="Arial"/>
          <w:sz w:val="20"/>
          <w:szCs w:val="20"/>
        </w:rPr>
        <w:t>MNZ</w:t>
      </w:r>
      <w:r w:rsidRPr="00D83239">
        <w:rPr>
          <w:rFonts w:ascii="Arial" w:hAnsi="Arial" w:cs="Arial"/>
          <w:sz w:val="20"/>
          <w:szCs w:val="20"/>
        </w:rPr>
        <w:t xml:space="preserve">. </w:t>
      </w:r>
    </w:p>
    <w:p w14:paraId="5001FE0F" w14:textId="77777777" w:rsidR="001E7CF5" w:rsidRPr="00D83239" w:rsidRDefault="001E7CF5" w:rsidP="00D83239">
      <w:pPr>
        <w:spacing w:after="0" w:line="276" w:lineRule="auto"/>
        <w:jc w:val="both"/>
        <w:rPr>
          <w:rFonts w:ascii="Arial" w:hAnsi="Arial" w:cs="Arial"/>
          <w:sz w:val="20"/>
          <w:szCs w:val="20"/>
        </w:rPr>
      </w:pPr>
    </w:p>
    <w:p w14:paraId="777C6CEC" w14:textId="241A99BC" w:rsidR="001E7CF5" w:rsidRPr="00D83239" w:rsidRDefault="001E7CF5"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Na področju pomoči žrtvam trgovanja se je v skladu z določili Zakona o ratifikaciji Konvencije Sveta Evrope o ukrepanju proti trgovini z ljudmi izvajal projekt Oskrba žrtev trgovine z ljudmi – namestitev v varnem prostoru za obdobje 2025‒2027, v katerega je bilo v letu 2025 vključenih 9 žrtev trgovanja. Uspešno se izvaja tudi operacija Nadaljevanje zaščite žrtev ter programa njihove reintegracije za obdobje 2024</w:t>
      </w:r>
      <w:r w:rsidR="00A71C09">
        <w:rPr>
          <w:rFonts w:ascii="Arial" w:hAnsi="Arial" w:cs="Arial"/>
          <w:sz w:val="20"/>
          <w:szCs w:val="20"/>
        </w:rPr>
        <w:t>–</w:t>
      </w:r>
      <w:r w:rsidRPr="00D83239">
        <w:rPr>
          <w:rFonts w:ascii="Arial" w:hAnsi="Arial" w:cs="Arial"/>
          <w:sz w:val="20"/>
          <w:szCs w:val="20"/>
        </w:rPr>
        <w:t>2027, v kater</w:t>
      </w:r>
      <w:r w:rsidR="00A71C09">
        <w:rPr>
          <w:rFonts w:ascii="Arial" w:hAnsi="Arial" w:cs="Arial"/>
          <w:sz w:val="20"/>
          <w:szCs w:val="20"/>
        </w:rPr>
        <w:t>o</w:t>
      </w:r>
      <w:r w:rsidRPr="00D83239">
        <w:rPr>
          <w:rFonts w:ascii="Arial" w:hAnsi="Arial" w:cs="Arial"/>
          <w:sz w:val="20"/>
          <w:szCs w:val="20"/>
        </w:rPr>
        <w:t xml:space="preserve"> je trenutno vključenih 15 oseb.</w:t>
      </w:r>
    </w:p>
    <w:p w14:paraId="4DADAECF" w14:textId="1FB278CA" w:rsidR="001C6D21" w:rsidRPr="00D83239" w:rsidRDefault="001C6D21" w:rsidP="00D83239">
      <w:pPr>
        <w:spacing w:after="0" w:line="276" w:lineRule="auto"/>
        <w:jc w:val="both"/>
        <w:rPr>
          <w:rFonts w:ascii="Arial" w:hAnsi="Arial" w:cs="Arial"/>
          <w:sz w:val="20"/>
          <w:szCs w:val="20"/>
        </w:rPr>
      </w:pPr>
      <w:bookmarkStart w:id="114" w:name="_Toc65591467"/>
      <w:bookmarkStart w:id="115" w:name="_Toc65651018"/>
    </w:p>
    <w:p w14:paraId="062ECDAD" w14:textId="03EBD125" w:rsidR="00310F1D" w:rsidRPr="00D83239" w:rsidRDefault="00BD72BA" w:rsidP="00D83239">
      <w:pPr>
        <w:pStyle w:val="Naslov1"/>
        <w:spacing w:after="0" w:line="276" w:lineRule="auto"/>
        <w:jc w:val="both"/>
        <w:rPr>
          <w:color w:val="auto"/>
        </w:rPr>
      </w:pPr>
      <w:bookmarkStart w:id="116" w:name="_Toc225499843"/>
      <w:r w:rsidRPr="00D83239">
        <w:rPr>
          <w:color w:val="auto"/>
        </w:rPr>
        <w:t>Zagotavlja</w:t>
      </w:r>
      <w:r w:rsidR="003E68AE" w:rsidRPr="00D83239">
        <w:rPr>
          <w:color w:val="auto"/>
        </w:rPr>
        <w:t>nje pogojev za delo Ministrstva za notranje zadeve,</w:t>
      </w:r>
      <w:r w:rsidR="00561D83" w:rsidRPr="00D83239">
        <w:rPr>
          <w:color w:val="auto"/>
        </w:rPr>
        <w:t xml:space="preserve"> </w:t>
      </w:r>
      <w:bookmarkStart w:id="117" w:name="_Hlk125027042"/>
      <w:bookmarkEnd w:id="114"/>
      <w:bookmarkEnd w:id="115"/>
      <w:r w:rsidR="001B483B">
        <w:rPr>
          <w:color w:val="auto"/>
        </w:rPr>
        <w:t>P</w:t>
      </w:r>
      <w:r w:rsidR="000C5EF6" w:rsidRPr="00D83239">
        <w:rPr>
          <w:color w:val="auto"/>
        </w:rPr>
        <w:t xml:space="preserve">olicije </w:t>
      </w:r>
      <w:r w:rsidR="00561D83" w:rsidRPr="00D83239">
        <w:rPr>
          <w:color w:val="auto"/>
        </w:rPr>
        <w:t>in I</w:t>
      </w:r>
      <w:r w:rsidR="003E68AE" w:rsidRPr="00D83239">
        <w:rPr>
          <w:color w:val="auto"/>
        </w:rPr>
        <w:t>nšpektorata Republike Slovenije za notranje zadeve</w:t>
      </w:r>
      <w:bookmarkEnd w:id="116"/>
    </w:p>
    <w:p w14:paraId="4840C977" w14:textId="77777777" w:rsidR="00517DF2" w:rsidRPr="00D83239" w:rsidRDefault="00517DF2" w:rsidP="00D83239">
      <w:pPr>
        <w:spacing w:after="0" w:line="276" w:lineRule="auto"/>
        <w:jc w:val="both"/>
        <w:rPr>
          <w:rFonts w:ascii="Arial" w:hAnsi="Arial" w:cs="Arial"/>
          <w:sz w:val="20"/>
          <w:szCs w:val="20"/>
          <w:highlight w:val="yellow"/>
        </w:rPr>
      </w:pPr>
    </w:p>
    <w:bookmarkEnd w:id="117"/>
    <w:p w14:paraId="1CB7BAE7" w14:textId="34F57812" w:rsidR="00EC5EA9" w:rsidRPr="00D83239" w:rsidRDefault="00716F34" w:rsidP="00D83239">
      <w:pPr>
        <w:spacing w:after="0" w:line="276" w:lineRule="auto"/>
        <w:jc w:val="both"/>
        <w:rPr>
          <w:rFonts w:ascii="Arial" w:hAnsi="Arial" w:cs="Arial"/>
          <w:b/>
          <w:sz w:val="20"/>
          <w:szCs w:val="20"/>
        </w:rPr>
      </w:pPr>
      <w:r w:rsidRPr="0078067A">
        <w:rPr>
          <w:rFonts w:ascii="Arial" w:hAnsi="Arial" w:cs="Arial"/>
          <w:b/>
          <w:sz w:val="20"/>
          <w:szCs w:val="20"/>
        </w:rPr>
        <w:t>Postopki javnih naročil</w:t>
      </w:r>
    </w:p>
    <w:p w14:paraId="4F8A036D" w14:textId="6945B2B7" w:rsidR="00EC5EA9" w:rsidRPr="00D83239" w:rsidRDefault="00EC5EA9" w:rsidP="00D83239">
      <w:pPr>
        <w:spacing w:line="276" w:lineRule="auto"/>
        <w:jc w:val="both"/>
        <w:rPr>
          <w:rFonts w:ascii="Arial" w:hAnsi="Arial" w:cs="Arial"/>
          <w:b/>
          <w:strike/>
          <w:sz w:val="20"/>
          <w:szCs w:val="20"/>
        </w:rPr>
      </w:pPr>
      <w:r w:rsidRPr="00D83239">
        <w:rPr>
          <w:rFonts w:ascii="Arial" w:hAnsi="Arial" w:cs="Arial"/>
          <w:sz w:val="20"/>
          <w:szCs w:val="20"/>
        </w:rPr>
        <w:t xml:space="preserve">Postopki javnih naročil se v </w:t>
      </w:r>
      <w:r w:rsidR="006C6CCA">
        <w:rPr>
          <w:rFonts w:ascii="Arial" w:hAnsi="Arial" w:cs="Arial"/>
          <w:sz w:val="20"/>
          <w:szCs w:val="20"/>
        </w:rPr>
        <w:t xml:space="preserve">MNZ izvajajo </w:t>
      </w:r>
      <w:r w:rsidRPr="00D83239">
        <w:rPr>
          <w:rFonts w:ascii="Arial" w:hAnsi="Arial" w:cs="Arial"/>
          <w:sz w:val="20"/>
          <w:szCs w:val="20"/>
        </w:rPr>
        <w:t xml:space="preserve">na podlagi več različnih pravnih podlag, poleg izvajanja javnih naročil na podlagi Zakona o javnem naročanju ter Zakona o javnem naročanju na področju obrambe in varnosti, v manjšem delu tudi na podlagi Pravilnika o izvrševanju proračuna Republike Slovenije ter Zakona o javno-zasebnem partnerstvu. </w:t>
      </w:r>
    </w:p>
    <w:p w14:paraId="7CB24413" w14:textId="697F4A6A" w:rsidR="00EC5EA9" w:rsidRPr="00D83239" w:rsidRDefault="00EC5EA9" w:rsidP="00D83239">
      <w:pPr>
        <w:tabs>
          <w:tab w:val="left" w:pos="9070"/>
        </w:tabs>
        <w:spacing w:line="276" w:lineRule="auto"/>
        <w:ind w:left="-6" w:hanging="11"/>
        <w:jc w:val="both"/>
        <w:rPr>
          <w:rFonts w:ascii="Arial" w:hAnsi="Arial" w:cs="Arial"/>
          <w:sz w:val="20"/>
          <w:szCs w:val="20"/>
        </w:rPr>
      </w:pPr>
      <w:r w:rsidRPr="00D83239">
        <w:rPr>
          <w:rFonts w:ascii="Arial" w:hAnsi="Arial" w:cs="Arial"/>
          <w:sz w:val="20"/>
          <w:szCs w:val="20"/>
        </w:rPr>
        <w:t>V terminskem načrtu javnih naročil in javnih razpisov za leto 2025 je bilo načrtovanih 218 postopkov javnih naročil ali javnih razpisov, od katerih je bilo v izvedbi 144 postopkov (64 postopkov je bilo črtanih, 10 pa se jih je združilo z že obstoječimi postopki), kar vključuje tudi postopke po Zakonu o javnem naročanju na področju obrambe in varnosti. Med letom so se pojavile potrebe po izvedbi javnih naročil, ki v sprejetem terminskem načrtu javnih naročil</w:t>
      </w:r>
      <w:r w:rsidR="00A91968" w:rsidRPr="00D83239">
        <w:rPr>
          <w:rFonts w:ascii="Arial" w:hAnsi="Arial" w:cs="Arial"/>
          <w:sz w:val="20"/>
          <w:szCs w:val="20"/>
        </w:rPr>
        <w:t xml:space="preserve"> in javnih razpisov za leto 2025</w:t>
      </w:r>
      <w:r w:rsidRPr="00D83239">
        <w:rPr>
          <w:rFonts w:ascii="Arial" w:hAnsi="Arial" w:cs="Arial"/>
          <w:sz w:val="20"/>
          <w:szCs w:val="20"/>
        </w:rPr>
        <w:t xml:space="preserve"> niso bila zajeta; teh je bilo 70, od katerih je bilo v izvedbi 68 postopkov (dva postopka sta bila črtana).</w:t>
      </w:r>
    </w:p>
    <w:p w14:paraId="5DEA7C65" w14:textId="5356C23D" w:rsidR="00EC5EA9" w:rsidRPr="00D83239" w:rsidRDefault="00EC5EA9" w:rsidP="00D83239">
      <w:pPr>
        <w:tabs>
          <w:tab w:val="left" w:pos="9070"/>
        </w:tabs>
        <w:spacing w:after="0" w:line="276" w:lineRule="auto"/>
        <w:ind w:left="-6" w:hanging="11"/>
        <w:jc w:val="both"/>
        <w:rPr>
          <w:rFonts w:ascii="Arial" w:hAnsi="Arial" w:cs="Arial"/>
          <w:sz w:val="20"/>
          <w:szCs w:val="20"/>
        </w:rPr>
      </w:pPr>
      <w:r w:rsidRPr="00D83239">
        <w:rPr>
          <w:rFonts w:ascii="Arial" w:hAnsi="Arial" w:cs="Arial"/>
          <w:sz w:val="20"/>
          <w:szCs w:val="20"/>
        </w:rPr>
        <w:t xml:space="preserve">Poleg navedenega je bilo izvedenih več evidenčnih naročil male vrednosti </w:t>
      </w:r>
      <w:r w:rsidR="00A71C09">
        <w:rPr>
          <w:rFonts w:ascii="Arial" w:hAnsi="Arial" w:cs="Arial"/>
          <w:sz w:val="20"/>
          <w:szCs w:val="20"/>
        </w:rPr>
        <w:t>in</w:t>
      </w:r>
      <w:r w:rsidR="00A71C09" w:rsidRPr="00D83239">
        <w:rPr>
          <w:rFonts w:ascii="Arial" w:hAnsi="Arial" w:cs="Arial"/>
          <w:sz w:val="20"/>
          <w:szCs w:val="20"/>
        </w:rPr>
        <w:t xml:space="preserve"> </w:t>
      </w:r>
      <w:r w:rsidRPr="00D83239">
        <w:rPr>
          <w:rFonts w:ascii="Arial" w:hAnsi="Arial" w:cs="Arial"/>
          <w:sz w:val="20"/>
          <w:szCs w:val="20"/>
        </w:rPr>
        <w:t>drugih izjem, ki se ne vodijo v terminskem načrtu:</w:t>
      </w:r>
    </w:p>
    <w:p w14:paraId="07B31353" w14:textId="6EE5B761" w:rsidR="00EC5EA9" w:rsidRPr="00D83239" w:rsidRDefault="00EC5EA9" w:rsidP="00FE543C">
      <w:pPr>
        <w:pStyle w:val="Odstavekseznama"/>
        <w:numPr>
          <w:ilvl w:val="0"/>
          <w:numId w:val="11"/>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število pravnih podlag (pogodbe, naročilnice, aneksi), izdanih na podlagi evidenčnih naročil male vrednosti: 803 pravn</w:t>
      </w:r>
      <w:r w:rsidR="00FE28D4">
        <w:rPr>
          <w:rFonts w:ascii="Arial" w:hAnsi="Arial" w:cs="Arial"/>
          <w:sz w:val="20"/>
          <w:szCs w:val="20"/>
        </w:rPr>
        <w:t>e</w:t>
      </w:r>
      <w:r w:rsidRPr="00D83239">
        <w:rPr>
          <w:rFonts w:ascii="Arial" w:hAnsi="Arial" w:cs="Arial"/>
          <w:sz w:val="20"/>
          <w:szCs w:val="20"/>
        </w:rPr>
        <w:t xml:space="preserve"> podlag</w:t>
      </w:r>
      <w:r w:rsidR="00FE28D4">
        <w:rPr>
          <w:rFonts w:ascii="Arial" w:hAnsi="Arial" w:cs="Arial"/>
          <w:sz w:val="20"/>
          <w:szCs w:val="20"/>
        </w:rPr>
        <w:t>e</w:t>
      </w:r>
      <w:r w:rsidRPr="00D83239">
        <w:rPr>
          <w:rFonts w:ascii="Arial" w:hAnsi="Arial" w:cs="Arial"/>
          <w:sz w:val="20"/>
          <w:szCs w:val="20"/>
        </w:rPr>
        <w:t xml:space="preserve"> (791 pravnih podlag na podlagi izvedenih postopkov evidenčnih naročil </w:t>
      </w:r>
      <w:r w:rsidR="00FE28D4">
        <w:rPr>
          <w:rFonts w:ascii="Arial" w:hAnsi="Arial" w:cs="Arial"/>
          <w:sz w:val="20"/>
          <w:szCs w:val="20"/>
        </w:rPr>
        <w:t>in</w:t>
      </w:r>
      <w:r w:rsidR="00FE28D4" w:rsidRPr="00D83239">
        <w:rPr>
          <w:rFonts w:ascii="Arial" w:hAnsi="Arial" w:cs="Arial"/>
          <w:sz w:val="20"/>
          <w:szCs w:val="20"/>
        </w:rPr>
        <w:t xml:space="preserve"> </w:t>
      </w:r>
      <w:r w:rsidRPr="00D83239">
        <w:rPr>
          <w:rFonts w:ascii="Arial" w:hAnsi="Arial" w:cs="Arial"/>
          <w:sz w:val="20"/>
          <w:szCs w:val="20"/>
        </w:rPr>
        <w:t>12 aneksov k pogodbam),</w:t>
      </w:r>
    </w:p>
    <w:p w14:paraId="7BF90874" w14:textId="7DB8EC76" w:rsidR="00EC5EA9" w:rsidRPr="00D83239" w:rsidRDefault="00EC5EA9" w:rsidP="00FE543C">
      <w:pPr>
        <w:pStyle w:val="Odstavekseznama"/>
        <w:numPr>
          <w:ilvl w:val="0"/>
          <w:numId w:val="11"/>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 xml:space="preserve">število pravnih podlag (pogodbe, naročilnice, aneksi), izdanih na podlagi petega odstavka 73. člena ZJN-3 (izločeni sklopi): 71 pravnih podlag (60 pravnih podlag na podlagi izvedenih postopkov </w:t>
      </w:r>
      <w:r w:rsidR="00BB71EA">
        <w:rPr>
          <w:rFonts w:ascii="Arial" w:hAnsi="Arial" w:cs="Arial"/>
          <w:sz w:val="20"/>
          <w:szCs w:val="20"/>
        </w:rPr>
        <w:t>in</w:t>
      </w:r>
      <w:r w:rsidR="00BB71EA" w:rsidRPr="00D83239">
        <w:rPr>
          <w:rFonts w:ascii="Arial" w:hAnsi="Arial" w:cs="Arial"/>
          <w:sz w:val="20"/>
          <w:szCs w:val="20"/>
        </w:rPr>
        <w:t xml:space="preserve"> </w:t>
      </w:r>
      <w:r w:rsidRPr="00D83239">
        <w:rPr>
          <w:rFonts w:ascii="Arial" w:hAnsi="Arial" w:cs="Arial"/>
          <w:sz w:val="20"/>
          <w:szCs w:val="20"/>
        </w:rPr>
        <w:t>11 aneksov k pogodbam),</w:t>
      </w:r>
    </w:p>
    <w:p w14:paraId="1BC637EA" w14:textId="1A4AA2B0" w:rsidR="00EC5EA9" w:rsidRPr="00D83239" w:rsidRDefault="00EC5EA9" w:rsidP="00FE543C">
      <w:pPr>
        <w:pStyle w:val="Odstavekseznama"/>
        <w:numPr>
          <w:ilvl w:val="0"/>
          <w:numId w:val="11"/>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 xml:space="preserve">število pravnih podlag (pogodbe), izdanih na podlagi tretje alineje točke </w:t>
      </w:r>
      <w:r w:rsidR="00BB71EA" w:rsidRPr="00D83239">
        <w:rPr>
          <w:rFonts w:ascii="Arial" w:hAnsi="Arial" w:cs="Arial"/>
          <w:sz w:val="20"/>
          <w:szCs w:val="20"/>
        </w:rPr>
        <w:t>a</w:t>
      </w:r>
      <w:r w:rsidR="00BB71EA">
        <w:rPr>
          <w:rFonts w:ascii="Arial" w:hAnsi="Arial" w:cs="Arial"/>
          <w:sz w:val="20"/>
          <w:szCs w:val="20"/>
        </w:rPr>
        <w:t xml:space="preserve"> </w:t>
      </w:r>
      <w:r w:rsidRPr="00D83239">
        <w:rPr>
          <w:rFonts w:ascii="Arial" w:hAnsi="Arial" w:cs="Arial"/>
          <w:sz w:val="20"/>
          <w:szCs w:val="20"/>
        </w:rPr>
        <w:t xml:space="preserve">prvega odstavka 21. člena ZJN-3 (socialne in druge posebne storitve do mejne vrednosti 750.000 </w:t>
      </w:r>
      <w:r w:rsidR="008B3C62">
        <w:rPr>
          <w:rFonts w:ascii="Arial" w:hAnsi="Arial" w:cs="Arial"/>
          <w:sz w:val="20"/>
          <w:szCs w:val="20"/>
        </w:rPr>
        <w:t>evrov</w:t>
      </w:r>
      <w:r w:rsidRPr="00D83239">
        <w:rPr>
          <w:rFonts w:ascii="Arial" w:hAnsi="Arial" w:cs="Arial"/>
          <w:sz w:val="20"/>
          <w:szCs w:val="20"/>
        </w:rPr>
        <w:t xml:space="preserve">): 18 pravnih podlag (16 pravnih podlag na podlagi izvedenih postopkov </w:t>
      </w:r>
      <w:r w:rsidR="00BB71EA">
        <w:rPr>
          <w:rFonts w:ascii="Arial" w:hAnsi="Arial" w:cs="Arial"/>
          <w:sz w:val="20"/>
          <w:szCs w:val="20"/>
        </w:rPr>
        <w:t xml:space="preserve">in </w:t>
      </w:r>
      <w:r w:rsidRPr="00D83239">
        <w:rPr>
          <w:rFonts w:ascii="Arial" w:hAnsi="Arial" w:cs="Arial"/>
          <w:sz w:val="20"/>
          <w:szCs w:val="20"/>
        </w:rPr>
        <w:t>2 aneksa k pogodbi),</w:t>
      </w:r>
    </w:p>
    <w:p w14:paraId="1E5BC388" w14:textId="77777777" w:rsidR="00EC5EA9" w:rsidRPr="00D83239" w:rsidRDefault="00EC5EA9" w:rsidP="00FE543C">
      <w:pPr>
        <w:pStyle w:val="Odstavekseznama"/>
        <w:numPr>
          <w:ilvl w:val="0"/>
          <w:numId w:val="11"/>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število pravnih podlag (pogodbe), izdanih na podlagi evidenčnih naročil male vrednosti na področju obrambe in varnosti: 1 pravna podlaga.</w:t>
      </w:r>
    </w:p>
    <w:p w14:paraId="416902BC" w14:textId="77777777" w:rsidR="00EC5EA9" w:rsidRPr="00D83239" w:rsidRDefault="00EC5EA9" w:rsidP="00D83239">
      <w:pPr>
        <w:autoSpaceDE w:val="0"/>
        <w:autoSpaceDN w:val="0"/>
        <w:adjustRightInd w:val="0"/>
        <w:spacing w:after="0" w:line="276" w:lineRule="auto"/>
        <w:jc w:val="both"/>
        <w:rPr>
          <w:rFonts w:ascii="Arial" w:hAnsi="Arial" w:cs="Arial"/>
          <w:b/>
          <w:bCs/>
          <w:sz w:val="20"/>
          <w:szCs w:val="20"/>
        </w:rPr>
      </w:pPr>
    </w:p>
    <w:p w14:paraId="749AC753" w14:textId="18E16FC2" w:rsidR="00EC5EA9" w:rsidRPr="00D83239" w:rsidRDefault="00EC5EA9"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b/>
          <w:bCs/>
          <w:sz w:val="20"/>
          <w:szCs w:val="20"/>
        </w:rPr>
        <w:t>Naročila blaga/storitev po pogodbah oz</w:t>
      </w:r>
      <w:r w:rsidR="006C6CCA">
        <w:rPr>
          <w:rFonts w:ascii="Arial" w:hAnsi="Arial" w:cs="Arial"/>
          <w:b/>
          <w:bCs/>
          <w:sz w:val="20"/>
          <w:szCs w:val="20"/>
        </w:rPr>
        <w:t>iroma</w:t>
      </w:r>
      <w:r w:rsidRPr="00D83239">
        <w:rPr>
          <w:rFonts w:ascii="Arial" w:hAnsi="Arial" w:cs="Arial"/>
          <w:b/>
          <w:bCs/>
          <w:sz w:val="20"/>
          <w:szCs w:val="20"/>
        </w:rPr>
        <w:t xml:space="preserve"> okvirnih sporazumih v letu 2025</w:t>
      </w:r>
      <w:r w:rsidRPr="00D83239">
        <w:rPr>
          <w:rFonts w:ascii="Arial" w:hAnsi="Arial" w:cs="Arial"/>
          <w:sz w:val="20"/>
          <w:szCs w:val="20"/>
        </w:rPr>
        <w:t>:</w:t>
      </w:r>
    </w:p>
    <w:p w14:paraId="70DDC3F8" w14:textId="77777777"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nakup letalskih vozovnic: 587 postopkov nabave (odpiranje konkurence) letalskih vozovnic,</w:t>
      </w:r>
    </w:p>
    <w:p w14:paraId="06B3F503" w14:textId="77777777"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nabava pisarniškega materiala: 188 naročil,</w:t>
      </w:r>
    </w:p>
    <w:p w14:paraId="2273B0C7" w14:textId="77777777" w:rsidR="00B95461" w:rsidRDefault="00EC5EA9" w:rsidP="00D83239">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nabava papirja: 54 naročil,</w:t>
      </w:r>
    </w:p>
    <w:p w14:paraId="76C3FE19" w14:textId="77777777" w:rsidR="00B95461" w:rsidRDefault="00EC5EA9" w:rsidP="00D83239">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B95461">
        <w:rPr>
          <w:rFonts w:ascii="Arial" w:hAnsi="Arial" w:cs="Arial"/>
          <w:sz w:val="20"/>
          <w:szCs w:val="20"/>
        </w:rPr>
        <w:t>dobava blaga in izvedba storitev pri vzdrževanju flote helikopterjev: 112 naročil</w:t>
      </w:r>
      <w:r w:rsidR="00B95461">
        <w:rPr>
          <w:rFonts w:ascii="Arial" w:hAnsi="Arial" w:cs="Arial"/>
          <w:sz w:val="20"/>
          <w:szCs w:val="20"/>
        </w:rPr>
        <w:t>,</w:t>
      </w:r>
    </w:p>
    <w:p w14:paraId="672A764E" w14:textId="77777777" w:rsidR="00B95461" w:rsidRDefault="00EC5EA9" w:rsidP="00D83239">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B95461">
        <w:rPr>
          <w:rFonts w:ascii="Arial" w:hAnsi="Arial" w:cs="Arial"/>
          <w:sz w:val="20"/>
          <w:szCs w:val="20"/>
        </w:rPr>
        <w:t>dobava energijsko učinkovitih tiskalnikov, večnamenskih naprav in optičnih čitalnikov (e-Katalog): 22 naročil</w:t>
      </w:r>
      <w:r w:rsidR="00B95461">
        <w:rPr>
          <w:rFonts w:ascii="Arial" w:hAnsi="Arial" w:cs="Arial"/>
          <w:sz w:val="20"/>
          <w:szCs w:val="20"/>
        </w:rPr>
        <w:t>,</w:t>
      </w:r>
    </w:p>
    <w:p w14:paraId="6F7B53CE" w14:textId="77777777" w:rsidR="00B95461" w:rsidRDefault="00EC5EA9" w:rsidP="00D83239">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B95461">
        <w:rPr>
          <w:rFonts w:ascii="Arial" w:hAnsi="Arial" w:cs="Arial"/>
          <w:sz w:val="20"/>
          <w:szCs w:val="20"/>
        </w:rPr>
        <w:t>nabava energijsko učinkovitih prenosnih računalnikov (e-Katalog): 22 naročil</w:t>
      </w:r>
      <w:r w:rsidR="00B95461">
        <w:rPr>
          <w:rFonts w:ascii="Arial" w:hAnsi="Arial" w:cs="Arial"/>
          <w:sz w:val="20"/>
          <w:szCs w:val="20"/>
        </w:rPr>
        <w:t>,</w:t>
      </w:r>
    </w:p>
    <w:p w14:paraId="33324FBA" w14:textId="77777777" w:rsidR="00B95461" w:rsidRDefault="00EC5EA9" w:rsidP="00D83239">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B95461">
        <w:rPr>
          <w:rFonts w:ascii="Arial" w:hAnsi="Arial" w:cs="Arial"/>
          <w:sz w:val="20"/>
          <w:szCs w:val="20"/>
        </w:rPr>
        <w:t>nabava energijsko učinkovitih osebnih računalnikov in zaslonov (e-Katalog): 13 naročil</w:t>
      </w:r>
      <w:r w:rsidR="00B95461">
        <w:rPr>
          <w:rFonts w:ascii="Arial" w:hAnsi="Arial" w:cs="Arial"/>
          <w:sz w:val="20"/>
          <w:szCs w:val="20"/>
        </w:rPr>
        <w:t>,</w:t>
      </w:r>
    </w:p>
    <w:p w14:paraId="14AA80CC" w14:textId="3C4FE9F8" w:rsidR="006C6CCA" w:rsidRDefault="00BB71EA" w:rsidP="00D83239">
      <w:pPr>
        <w:pStyle w:val="Odstavekseznama"/>
        <w:numPr>
          <w:ilvl w:val="0"/>
          <w:numId w:val="12"/>
        </w:numPr>
        <w:autoSpaceDE w:val="0"/>
        <w:autoSpaceDN w:val="0"/>
        <w:adjustRightInd w:val="0"/>
        <w:spacing w:after="0"/>
        <w:ind w:left="426" w:hanging="426"/>
        <w:jc w:val="both"/>
        <w:rPr>
          <w:rFonts w:ascii="Arial" w:hAnsi="Arial" w:cs="Arial"/>
          <w:sz w:val="20"/>
          <w:szCs w:val="20"/>
        </w:rPr>
      </w:pPr>
      <w:r>
        <w:rPr>
          <w:rFonts w:ascii="Arial" w:hAnsi="Arial" w:cs="Arial"/>
          <w:sz w:val="20"/>
          <w:szCs w:val="20"/>
        </w:rPr>
        <w:t>drug</w:t>
      </w:r>
      <w:r w:rsidR="00EC5EA9" w:rsidRPr="00B95461">
        <w:rPr>
          <w:rFonts w:ascii="Arial" w:hAnsi="Arial" w:cs="Arial"/>
          <w:sz w:val="20"/>
          <w:szCs w:val="20"/>
        </w:rPr>
        <w:t>a naročila: 24</w:t>
      </w:r>
      <w:r w:rsidR="006C6CCA">
        <w:rPr>
          <w:rFonts w:ascii="Arial" w:hAnsi="Arial" w:cs="Arial"/>
          <w:sz w:val="20"/>
          <w:szCs w:val="20"/>
        </w:rPr>
        <w:t>,</w:t>
      </w:r>
    </w:p>
    <w:p w14:paraId="2A24B568" w14:textId="3B18A38B" w:rsidR="00EC5EA9" w:rsidRPr="006C6CCA" w:rsidRDefault="00EC5EA9" w:rsidP="00D83239">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4A07E2">
        <w:rPr>
          <w:rFonts w:ascii="Arial" w:hAnsi="Arial" w:cs="Arial"/>
          <w:sz w:val="20"/>
          <w:szCs w:val="20"/>
        </w:rPr>
        <w:t>SKUPAJ</w:t>
      </w:r>
      <w:r w:rsidR="00B95461" w:rsidRPr="004A07E2">
        <w:rPr>
          <w:rFonts w:ascii="Arial" w:hAnsi="Arial" w:cs="Arial"/>
          <w:sz w:val="20"/>
          <w:szCs w:val="20"/>
        </w:rPr>
        <w:t>:</w:t>
      </w:r>
      <w:r w:rsidRPr="004A07E2">
        <w:rPr>
          <w:rFonts w:ascii="Arial" w:hAnsi="Arial" w:cs="Arial"/>
          <w:sz w:val="20"/>
          <w:szCs w:val="20"/>
        </w:rPr>
        <w:t xml:space="preserve"> </w:t>
      </w:r>
      <w:r w:rsidRPr="006C6CCA">
        <w:rPr>
          <w:rFonts w:ascii="Arial" w:hAnsi="Arial" w:cs="Arial"/>
          <w:sz w:val="20"/>
          <w:szCs w:val="20"/>
        </w:rPr>
        <w:t>okvirno 1.022 naročil (naročila z dopisi oz</w:t>
      </w:r>
      <w:r w:rsidR="00B95461" w:rsidRPr="006C6CCA">
        <w:rPr>
          <w:rFonts w:ascii="Arial" w:hAnsi="Arial" w:cs="Arial"/>
          <w:sz w:val="20"/>
          <w:szCs w:val="20"/>
        </w:rPr>
        <w:t>iroma</w:t>
      </w:r>
      <w:r w:rsidRPr="006C6CCA">
        <w:rPr>
          <w:rFonts w:ascii="Arial" w:hAnsi="Arial" w:cs="Arial"/>
          <w:sz w:val="20"/>
          <w:szCs w:val="20"/>
        </w:rPr>
        <w:t xml:space="preserve"> v e-Katalogu)</w:t>
      </w:r>
      <w:r w:rsidR="00BB71EA">
        <w:rPr>
          <w:rFonts w:ascii="Arial" w:hAnsi="Arial" w:cs="Arial"/>
          <w:sz w:val="20"/>
          <w:szCs w:val="20"/>
        </w:rPr>
        <w:t>.</w:t>
      </w:r>
    </w:p>
    <w:p w14:paraId="074B3FA9" w14:textId="7F074580" w:rsidR="0078067A" w:rsidRDefault="0078067A" w:rsidP="00D83239">
      <w:pPr>
        <w:tabs>
          <w:tab w:val="left" w:pos="9070"/>
        </w:tabs>
        <w:spacing w:after="0" w:line="276" w:lineRule="auto"/>
        <w:ind w:left="-6" w:hanging="11"/>
        <w:jc w:val="both"/>
        <w:rPr>
          <w:rFonts w:ascii="Arial" w:hAnsi="Arial" w:cs="Arial"/>
          <w:b/>
          <w:sz w:val="20"/>
          <w:szCs w:val="20"/>
        </w:rPr>
      </w:pPr>
    </w:p>
    <w:p w14:paraId="6799FE9D" w14:textId="164C3022" w:rsidR="00EC5EA9" w:rsidRPr="00D83239" w:rsidRDefault="006C6CCA" w:rsidP="00D83239">
      <w:pPr>
        <w:tabs>
          <w:tab w:val="left" w:pos="9070"/>
        </w:tabs>
        <w:spacing w:after="0" w:line="276" w:lineRule="auto"/>
        <w:ind w:left="-6" w:hanging="11"/>
        <w:jc w:val="both"/>
        <w:rPr>
          <w:rFonts w:ascii="Arial" w:hAnsi="Arial" w:cs="Arial"/>
          <w:b/>
          <w:sz w:val="20"/>
          <w:szCs w:val="20"/>
        </w:rPr>
      </w:pPr>
      <w:r>
        <w:rPr>
          <w:rFonts w:ascii="Arial" w:hAnsi="Arial" w:cs="Arial"/>
          <w:b/>
          <w:sz w:val="20"/>
          <w:szCs w:val="20"/>
        </w:rPr>
        <w:t>V</w:t>
      </w:r>
      <w:r w:rsidR="00EC5EA9" w:rsidRPr="00D83239">
        <w:rPr>
          <w:rFonts w:ascii="Arial" w:hAnsi="Arial" w:cs="Arial"/>
          <w:b/>
          <w:sz w:val="20"/>
          <w:szCs w:val="20"/>
        </w:rPr>
        <w:t xml:space="preserve"> letu 2025 </w:t>
      </w:r>
      <w:r>
        <w:rPr>
          <w:rFonts w:ascii="Arial" w:hAnsi="Arial" w:cs="Arial"/>
          <w:b/>
          <w:sz w:val="20"/>
          <w:szCs w:val="20"/>
        </w:rPr>
        <w:t xml:space="preserve">so bile </w:t>
      </w:r>
      <w:r w:rsidR="00EC5EA9" w:rsidRPr="00D83239">
        <w:rPr>
          <w:rFonts w:ascii="Arial" w:hAnsi="Arial" w:cs="Arial"/>
          <w:b/>
          <w:sz w:val="20"/>
          <w:szCs w:val="20"/>
        </w:rPr>
        <w:t xml:space="preserve">izvedene </w:t>
      </w:r>
      <w:r w:rsidR="00BB71EA">
        <w:rPr>
          <w:rFonts w:ascii="Arial" w:hAnsi="Arial" w:cs="Arial"/>
          <w:b/>
          <w:sz w:val="20"/>
          <w:szCs w:val="20"/>
        </w:rPr>
        <w:t xml:space="preserve">tudi </w:t>
      </w:r>
      <w:r w:rsidR="00EC5EA9" w:rsidRPr="00D83239">
        <w:rPr>
          <w:rFonts w:ascii="Arial" w:hAnsi="Arial" w:cs="Arial"/>
          <w:b/>
          <w:sz w:val="20"/>
          <w:szCs w:val="20"/>
        </w:rPr>
        <w:t>naslednje naloge:</w:t>
      </w:r>
    </w:p>
    <w:p w14:paraId="19C9BE7B" w14:textId="77777777"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u w:val="single"/>
        </w:rPr>
      </w:pPr>
      <w:r w:rsidRPr="00D83239">
        <w:rPr>
          <w:rFonts w:ascii="Arial" w:hAnsi="Arial" w:cs="Arial"/>
          <w:sz w:val="20"/>
          <w:szCs w:val="20"/>
        </w:rPr>
        <w:t>priprava aneksov k pogodbam – razen aneksov na podlagi evidenčnih naročil, ki so zajeti že zgoraj (podaljšanje veljavnosti, povišanje cen ipd.) – 160 aneksov,</w:t>
      </w:r>
    </w:p>
    <w:p w14:paraId="6B9D284F" w14:textId="77777777"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u w:val="single"/>
        </w:rPr>
      </w:pPr>
      <w:r w:rsidRPr="00D83239">
        <w:rPr>
          <w:rFonts w:ascii="Arial" w:hAnsi="Arial" w:cs="Arial"/>
          <w:sz w:val="20"/>
          <w:szCs w:val="20"/>
        </w:rPr>
        <w:t>sklepanje pravnih podlag (neposrednih pogodb, posameznih okvirnih sporazumov idr.) na podlagi skupnih javnih naročil, ki jih izvede MJU ali drug organ po pooblastilu – 94 pravnih podlag,</w:t>
      </w:r>
    </w:p>
    <w:p w14:paraId="07203E50" w14:textId="27741544"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 xml:space="preserve">izvedba nadzora nad delom policijskih uprav v letu 2025 </w:t>
      </w:r>
      <w:r w:rsidR="00BB71EA">
        <w:rPr>
          <w:rFonts w:ascii="Arial" w:hAnsi="Arial" w:cs="Arial"/>
          <w:sz w:val="20"/>
          <w:szCs w:val="20"/>
        </w:rPr>
        <w:t>in</w:t>
      </w:r>
      <w:r w:rsidR="00BB71EA" w:rsidRPr="00D83239">
        <w:rPr>
          <w:rFonts w:ascii="Arial" w:hAnsi="Arial" w:cs="Arial"/>
          <w:sz w:val="20"/>
          <w:szCs w:val="20"/>
        </w:rPr>
        <w:t xml:space="preserve"> </w:t>
      </w:r>
      <w:r w:rsidRPr="00D83239">
        <w:rPr>
          <w:rFonts w:ascii="Arial" w:hAnsi="Arial" w:cs="Arial"/>
          <w:sz w:val="20"/>
          <w:szCs w:val="20"/>
        </w:rPr>
        <w:t>vse naloge v zvezi s tem: en nadzor (Policijska uprava Ljubljana),</w:t>
      </w:r>
    </w:p>
    <w:p w14:paraId="7B032DD8" w14:textId="21488C3A"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priprava navodil, obvestil, opozoril oziroma usmeritev za vse notranje organizacijske enote MNZ: en dopis</w:t>
      </w:r>
      <w:r w:rsidR="00FA513C">
        <w:rPr>
          <w:rFonts w:ascii="Arial" w:hAnsi="Arial" w:cs="Arial"/>
          <w:sz w:val="20"/>
          <w:szCs w:val="20"/>
        </w:rPr>
        <w:t>,</w:t>
      </w:r>
    </w:p>
    <w:p w14:paraId="4402ACCE" w14:textId="32DED07E"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 xml:space="preserve">sodelovanje v </w:t>
      </w:r>
      <w:r w:rsidR="00BB71EA">
        <w:rPr>
          <w:rFonts w:ascii="Arial" w:hAnsi="Arial" w:cs="Arial"/>
          <w:sz w:val="20"/>
          <w:szCs w:val="20"/>
        </w:rPr>
        <w:t>m</w:t>
      </w:r>
      <w:r w:rsidRPr="00D83239">
        <w:rPr>
          <w:rFonts w:ascii="Arial" w:hAnsi="Arial" w:cs="Arial"/>
          <w:sz w:val="20"/>
          <w:szCs w:val="20"/>
        </w:rPr>
        <w:t>edresorski komisiji za naročila, ki se izvajajo na podlagi 346. člena Pogodbe o delovanju EU</w:t>
      </w:r>
      <w:r w:rsidR="00BB71EA">
        <w:rPr>
          <w:rFonts w:ascii="Arial" w:hAnsi="Arial" w:cs="Arial"/>
          <w:sz w:val="20"/>
          <w:szCs w:val="20"/>
        </w:rPr>
        <w:t>,</w:t>
      </w:r>
      <w:r w:rsidRPr="00D83239">
        <w:rPr>
          <w:rFonts w:ascii="Arial" w:hAnsi="Arial" w:cs="Arial"/>
          <w:sz w:val="20"/>
          <w:szCs w:val="20"/>
        </w:rPr>
        <w:t xml:space="preserve"> ter </w:t>
      </w:r>
      <w:r w:rsidR="00BB71EA">
        <w:rPr>
          <w:rFonts w:ascii="Arial" w:hAnsi="Arial" w:cs="Arial"/>
          <w:sz w:val="20"/>
          <w:szCs w:val="20"/>
        </w:rPr>
        <w:t xml:space="preserve">za </w:t>
      </w:r>
      <w:r w:rsidRPr="00D83239">
        <w:rPr>
          <w:rFonts w:ascii="Arial" w:hAnsi="Arial" w:cs="Arial"/>
          <w:sz w:val="20"/>
          <w:szCs w:val="20"/>
        </w:rPr>
        <w:t xml:space="preserve">naročila za izvajanje obveščevalne in protiobveščevalne dejavnosti (zaupna naročila) </w:t>
      </w:r>
      <w:r w:rsidRPr="006C6CCA">
        <w:rPr>
          <w:rFonts w:ascii="Arial" w:hAnsi="Arial" w:cs="Arial"/>
          <w:sz w:val="20"/>
          <w:szCs w:val="20"/>
        </w:rPr>
        <w:t>–</w:t>
      </w:r>
      <w:r w:rsidRPr="00D83239">
        <w:rPr>
          <w:rFonts w:ascii="Arial" w:hAnsi="Arial" w:cs="Arial"/>
          <w:b/>
          <w:bCs/>
          <w:sz w:val="20"/>
          <w:szCs w:val="20"/>
        </w:rPr>
        <w:t xml:space="preserve"> </w:t>
      </w:r>
      <w:r w:rsidRPr="00D83239">
        <w:rPr>
          <w:rFonts w:ascii="Arial" w:hAnsi="Arial" w:cs="Arial"/>
          <w:sz w:val="20"/>
          <w:szCs w:val="20"/>
        </w:rPr>
        <w:t>8</w:t>
      </w:r>
      <w:r w:rsidR="00BB71EA">
        <w:rPr>
          <w:rFonts w:ascii="Arial" w:hAnsi="Arial" w:cs="Arial"/>
          <w:sz w:val="20"/>
          <w:szCs w:val="20"/>
        </w:rPr>
        <w:t>-krat</w:t>
      </w:r>
      <w:r w:rsidRPr="00D83239">
        <w:rPr>
          <w:rFonts w:ascii="Arial" w:hAnsi="Arial" w:cs="Arial"/>
          <w:sz w:val="20"/>
          <w:szCs w:val="20"/>
        </w:rPr>
        <w:t xml:space="preserve"> udeležba na seji medresorske komisije</w:t>
      </w:r>
      <w:r w:rsidR="00FA513C">
        <w:rPr>
          <w:rFonts w:ascii="Arial" w:hAnsi="Arial" w:cs="Arial"/>
          <w:sz w:val="20"/>
          <w:szCs w:val="20"/>
        </w:rPr>
        <w:t>,</w:t>
      </w:r>
    </w:p>
    <w:p w14:paraId="35AC460F" w14:textId="28F14AA4"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priprava referenčnih potrdil oz</w:t>
      </w:r>
      <w:r w:rsidR="00BB71EA">
        <w:rPr>
          <w:rFonts w:ascii="Arial" w:hAnsi="Arial" w:cs="Arial"/>
          <w:sz w:val="20"/>
          <w:szCs w:val="20"/>
        </w:rPr>
        <w:t>iroma</w:t>
      </w:r>
      <w:r w:rsidRPr="00D83239">
        <w:rPr>
          <w:rFonts w:ascii="Arial" w:hAnsi="Arial" w:cs="Arial"/>
          <w:sz w:val="20"/>
          <w:szCs w:val="20"/>
        </w:rPr>
        <w:t xml:space="preserve"> potrditev referenc izvajalcem – 36 potrjenih referenc</w:t>
      </w:r>
      <w:r w:rsidR="00FA513C">
        <w:rPr>
          <w:rFonts w:ascii="Arial" w:hAnsi="Arial" w:cs="Arial"/>
          <w:sz w:val="20"/>
          <w:szCs w:val="20"/>
        </w:rPr>
        <w:t>,</w:t>
      </w:r>
    </w:p>
    <w:p w14:paraId="2D088484" w14:textId="699A2DA1" w:rsidR="00EC5EA9" w:rsidRPr="00D83239" w:rsidRDefault="006C6CCA"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Pr>
          <w:rFonts w:ascii="Arial" w:hAnsi="Arial" w:cs="Arial"/>
          <w:sz w:val="20"/>
          <w:szCs w:val="20"/>
        </w:rPr>
        <w:t>s</w:t>
      </w:r>
      <w:r w:rsidR="00EC5EA9" w:rsidRPr="00D83239">
        <w:rPr>
          <w:rFonts w:ascii="Arial" w:hAnsi="Arial" w:cs="Arial"/>
          <w:sz w:val="20"/>
          <w:szCs w:val="20"/>
        </w:rPr>
        <w:t>prememba Navodila o izvajanju javnih naročil in javnih razpisov v Ministrstvu za notranje zadeve</w:t>
      </w:r>
      <w:r>
        <w:rPr>
          <w:rFonts w:ascii="Arial" w:hAnsi="Arial" w:cs="Arial"/>
          <w:sz w:val="20"/>
          <w:szCs w:val="20"/>
        </w:rPr>
        <w:t>,</w:t>
      </w:r>
    </w:p>
    <w:p w14:paraId="3AD09857" w14:textId="19E705A2" w:rsidR="00EC5EA9" w:rsidRPr="00D83239" w:rsidRDefault="006C6CCA"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Pr>
          <w:rFonts w:ascii="Arial" w:hAnsi="Arial" w:cs="Arial"/>
          <w:sz w:val="20"/>
          <w:szCs w:val="20"/>
        </w:rPr>
        <w:t>n</w:t>
      </w:r>
      <w:r w:rsidR="00EC5EA9" w:rsidRPr="00D83239">
        <w:rPr>
          <w:rFonts w:ascii="Arial" w:hAnsi="Arial" w:cs="Arial"/>
          <w:sz w:val="20"/>
          <w:szCs w:val="20"/>
        </w:rPr>
        <w:t>ovo Navodilo o oddaji evidenčnih naročil male vrednosti</w:t>
      </w:r>
      <w:r w:rsidR="00FA513C">
        <w:rPr>
          <w:rFonts w:ascii="Arial" w:hAnsi="Arial" w:cs="Arial"/>
          <w:sz w:val="20"/>
          <w:szCs w:val="20"/>
        </w:rPr>
        <w:t>.</w:t>
      </w:r>
    </w:p>
    <w:p w14:paraId="6F711A05" w14:textId="77777777" w:rsidR="00EC5EA9" w:rsidRPr="00D83239" w:rsidRDefault="00EC5EA9" w:rsidP="00D83239">
      <w:pPr>
        <w:autoSpaceDE w:val="0"/>
        <w:autoSpaceDN w:val="0"/>
        <w:adjustRightInd w:val="0"/>
        <w:spacing w:after="0" w:line="276" w:lineRule="auto"/>
        <w:jc w:val="both"/>
        <w:rPr>
          <w:rFonts w:ascii="Arial" w:hAnsi="Arial" w:cs="Arial"/>
          <w:sz w:val="20"/>
          <w:szCs w:val="20"/>
        </w:rPr>
      </w:pPr>
    </w:p>
    <w:p w14:paraId="6100188B" w14:textId="1428E6B0" w:rsidR="00EC5EA9" w:rsidRPr="006C6CCA" w:rsidRDefault="00EC5EA9" w:rsidP="00D83239">
      <w:pPr>
        <w:autoSpaceDE w:val="0"/>
        <w:autoSpaceDN w:val="0"/>
        <w:adjustRightInd w:val="0"/>
        <w:spacing w:after="0" w:line="276" w:lineRule="auto"/>
        <w:jc w:val="both"/>
        <w:rPr>
          <w:rFonts w:ascii="Arial" w:hAnsi="Arial" w:cs="Arial"/>
          <w:b/>
          <w:bCs/>
          <w:sz w:val="20"/>
          <w:szCs w:val="20"/>
        </w:rPr>
      </w:pPr>
      <w:r w:rsidRPr="006C6CCA">
        <w:rPr>
          <w:rFonts w:ascii="Arial" w:hAnsi="Arial" w:cs="Arial"/>
          <w:b/>
          <w:bCs/>
          <w:sz w:val="20"/>
          <w:szCs w:val="20"/>
        </w:rPr>
        <w:t>Potekalo je</w:t>
      </w:r>
      <w:r w:rsidR="006C6CCA" w:rsidRPr="006C6CCA">
        <w:rPr>
          <w:rFonts w:ascii="Arial" w:hAnsi="Arial" w:cs="Arial"/>
          <w:b/>
          <w:bCs/>
          <w:sz w:val="20"/>
          <w:szCs w:val="20"/>
        </w:rPr>
        <w:t xml:space="preserve"> tudi</w:t>
      </w:r>
      <w:r w:rsidRPr="006C6CCA">
        <w:rPr>
          <w:rFonts w:ascii="Arial" w:hAnsi="Arial" w:cs="Arial"/>
          <w:b/>
          <w:bCs/>
          <w:sz w:val="20"/>
          <w:szCs w:val="20"/>
        </w:rPr>
        <w:t>:</w:t>
      </w:r>
    </w:p>
    <w:p w14:paraId="5BBA6788" w14:textId="77777777"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izvajanje skrbništva pogodb (spremljanje pogodb, pregled in potrjevanje večjega števila računov, reševanje problematike zamud pri dobavah, povišanja cen, priprava naročil – za vzdrževanje helikopterjev, nabavo uniform, informacijske opreme ipd.),</w:t>
      </w:r>
    </w:p>
    <w:p w14:paraId="1922C0D9" w14:textId="72FC55D4"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koordinacija z MJU glede skupnih javnih naročil (zbiranje potreb in priprava potrebne dokumentacije ter predložitev le-teh MJU),</w:t>
      </w:r>
    </w:p>
    <w:p w14:paraId="566B6E86" w14:textId="77777777"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sodelovanje v komisiji za nakup službenih živali,</w:t>
      </w:r>
    </w:p>
    <w:p w14:paraId="727BEACF" w14:textId="47B81EEF" w:rsidR="00EC5EA9" w:rsidRPr="00D83239" w:rsidRDefault="00EC5EA9" w:rsidP="00FE543C">
      <w:pPr>
        <w:pStyle w:val="Odstavekseznama"/>
        <w:numPr>
          <w:ilvl w:val="0"/>
          <w:numId w:val="12"/>
        </w:numPr>
        <w:autoSpaceDE w:val="0"/>
        <w:autoSpaceDN w:val="0"/>
        <w:adjustRightInd w:val="0"/>
        <w:spacing w:after="0"/>
        <w:ind w:left="426" w:hanging="426"/>
        <w:jc w:val="both"/>
        <w:rPr>
          <w:rFonts w:ascii="Arial" w:hAnsi="Arial" w:cs="Arial"/>
          <w:sz w:val="20"/>
          <w:szCs w:val="20"/>
        </w:rPr>
      </w:pPr>
      <w:r w:rsidRPr="00D83239">
        <w:rPr>
          <w:rFonts w:ascii="Arial" w:hAnsi="Arial" w:cs="Arial"/>
          <w:sz w:val="20"/>
          <w:szCs w:val="20"/>
        </w:rPr>
        <w:t>izvajanje nalog tehnično</w:t>
      </w:r>
      <w:r w:rsidR="00BB71EA">
        <w:rPr>
          <w:rFonts w:ascii="Arial" w:hAnsi="Arial" w:cs="Arial"/>
          <w:sz w:val="20"/>
          <w:szCs w:val="20"/>
        </w:rPr>
        <w:t>-</w:t>
      </w:r>
      <w:r w:rsidRPr="00D83239">
        <w:rPr>
          <w:rFonts w:ascii="Arial" w:hAnsi="Arial" w:cs="Arial"/>
          <w:sz w:val="20"/>
          <w:szCs w:val="20"/>
        </w:rPr>
        <w:t>strokovnih služb za letalske vozovnice, pisarniški material in papir.</w:t>
      </w:r>
    </w:p>
    <w:p w14:paraId="16EC0921" w14:textId="77777777" w:rsidR="00EC5EA9" w:rsidRPr="00D83239" w:rsidRDefault="00EC5EA9" w:rsidP="00D83239">
      <w:pPr>
        <w:tabs>
          <w:tab w:val="left" w:pos="9070"/>
        </w:tabs>
        <w:spacing w:after="0" w:line="276" w:lineRule="auto"/>
        <w:ind w:left="-6" w:hanging="11"/>
        <w:jc w:val="both"/>
        <w:rPr>
          <w:rFonts w:ascii="Arial" w:hAnsi="Arial" w:cs="Arial"/>
          <w:sz w:val="20"/>
          <w:szCs w:val="20"/>
          <w:highlight w:val="yellow"/>
        </w:rPr>
      </w:pPr>
    </w:p>
    <w:p w14:paraId="7826E943" w14:textId="541D44C1" w:rsidR="00EC5EA9" w:rsidRDefault="00EC5EA9" w:rsidP="0010021C">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Med pomembnejšimi postopki, ki so bili izvedeni, so</w:t>
      </w:r>
      <w:r w:rsidR="006C6CCA">
        <w:rPr>
          <w:rFonts w:ascii="Arial" w:hAnsi="Arial" w:cs="Arial"/>
          <w:sz w:val="20"/>
          <w:szCs w:val="20"/>
        </w:rPr>
        <w:t>:</w:t>
      </w:r>
      <w:r w:rsidRPr="00D83239">
        <w:rPr>
          <w:rFonts w:ascii="Arial" w:hAnsi="Arial" w:cs="Arial"/>
          <w:sz w:val="20"/>
          <w:szCs w:val="20"/>
        </w:rPr>
        <w:t xml:space="preserve"> </w:t>
      </w:r>
      <w:bookmarkStart w:id="118" w:name="_Hlk220491421"/>
      <w:r w:rsidRPr="00D83239">
        <w:rPr>
          <w:rFonts w:ascii="Arial" w:hAnsi="Arial" w:cs="Arial"/>
          <w:sz w:val="20"/>
          <w:szCs w:val="20"/>
        </w:rPr>
        <w:t>nakup dveh helikopterjev z usposabljanjem posadk in dv</w:t>
      </w:r>
      <w:r w:rsidR="00CF74D7">
        <w:rPr>
          <w:rFonts w:ascii="Arial" w:hAnsi="Arial" w:cs="Arial"/>
          <w:sz w:val="20"/>
          <w:szCs w:val="20"/>
        </w:rPr>
        <w:t>e</w:t>
      </w:r>
      <w:r w:rsidRPr="00D83239">
        <w:rPr>
          <w:rFonts w:ascii="Arial" w:hAnsi="Arial" w:cs="Arial"/>
          <w:sz w:val="20"/>
          <w:szCs w:val="20"/>
        </w:rPr>
        <w:t>letno vzdrževalno pogodbo (uvedba dejavnosti</w:t>
      </w:r>
      <w:r w:rsidR="00CF74D7" w:rsidRPr="00CF74D7">
        <w:rPr>
          <w:rFonts w:ascii="Arial" w:hAnsi="Arial" w:cs="Arial"/>
          <w:sz w:val="20"/>
          <w:szCs w:val="20"/>
        </w:rPr>
        <w:t xml:space="preserve"> </w:t>
      </w:r>
      <w:r w:rsidR="00A513F8">
        <w:rPr>
          <w:rFonts w:ascii="Arial" w:hAnsi="Arial" w:cs="Arial"/>
          <w:sz w:val="20"/>
          <w:szCs w:val="20"/>
        </w:rPr>
        <w:t>helikopterske nujne medicinske pomoči (</w:t>
      </w:r>
      <w:r w:rsidR="00CF74D7" w:rsidRPr="00D83239">
        <w:rPr>
          <w:rFonts w:ascii="Arial" w:hAnsi="Arial" w:cs="Arial"/>
          <w:sz w:val="20"/>
          <w:szCs w:val="20"/>
        </w:rPr>
        <w:t>HNMP</w:t>
      </w:r>
      <w:r w:rsidRPr="00D83239">
        <w:rPr>
          <w:rFonts w:ascii="Arial" w:hAnsi="Arial" w:cs="Arial"/>
          <w:sz w:val="20"/>
          <w:szCs w:val="20"/>
        </w:rPr>
        <w:t>)</w:t>
      </w:r>
      <w:r w:rsidR="00A513F8">
        <w:rPr>
          <w:rFonts w:ascii="Arial" w:hAnsi="Arial" w:cs="Arial"/>
          <w:sz w:val="20"/>
          <w:szCs w:val="20"/>
        </w:rPr>
        <w:t>)</w:t>
      </w:r>
      <w:r w:rsidRPr="00D83239">
        <w:rPr>
          <w:rFonts w:ascii="Arial" w:hAnsi="Arial" w:cs="Arial"/>
          <w:sz w:val="20"/>
          <w:szCs w:val="20"/>
        </w:rPr>
        <w:t xml:space="preserve">, dobava blaga in izvedba storitev pri vzdrževanju flote helikopterjev slovenske policije proizvajalca Leonardo </w:t>
      </w:r>
      <w:proofErr w:type="spellStart"/>
      <w:r w:rsidRPr="00D83239">
        <w:rPr>
          <w:rFonts w:ascii="Arial" w:hAnsi="Arial" w:cs="Arial"/>
          <w:sz w:val="20"/>
          <w:szCs w:val="20"/>
        </w:rPr>
        <w:t>S.p.A</w:t>
      </w:r>
      <w:proofErr w:type="spellEnd"/>
      <w:r w:rsidRPr="00D83239">
        <w:rPr>
          <w:rFonts w:ascii="Arial" w:hAnsi="Arial" w:cs="Arial"/>
          <w:sz w:val="20"/>
          <w:szCs w:val="20"/>
        </w:rPr>
        <w:t xml:space="preserve">., izvedba vzdrževanja klimatskih naprav izven garancijskega roka, nakup in vzdrževanje v garancijskem roku za MNZ, </w:t>
      </w:r>
      <w:r w:rsidR="00EF1CB0">
        <w:rPr>
          <w:rFonts w:ascii="Arial" w:hAnsi="Arial" w:cs="Arial"/>
          <w:sz w:val="20"/>
          <w:szCs w:val="20"/>
        </w:rPr>
        <w:t>GPU</w:t>
      </w:r>
      <w:r w:rsidRPr="00D83239">
        <w:rPr>
          <w:rFonts w:ascii="Arial" w:hAnsi="Arial" w:cs="Arial"/>
          <w:sz w:val="20"/>
          <w:szCs w:val="20"/>
        </w:rPr>
        <w:t xml:space="preserve"> in mejo, izvajanje pisnega prevajanja in tolmačenja v postopkih policije s tujimi državljani na terenu (GPU), izvajanje čiščenja poslovnih prostorov in prostorov posebnega pomena v objektih MNZ in GPU (C</w:t>
      </w:r>
      <w:r w:rsidR="006C6CCA">
        <w:rPr>
          <w:rFonts w:ascii="Arial" w:hAnsi="Arial" w:cs="Arial"/>
          <w:sz w:val="20"/>
          <w:szCs w:val="20"/>
        </w:rPr>
        <w:t>enter za tujce</w:t>
      </w:r>
      <w:r w:rsidRPr="00D83239">
        <w:rPr>
          <w:rFonts w:ascii="Arial" w:hAnsi="Arial" w:cs="Arial"/>
          <w:sz w:val="20"/>
          <w:szCs w:val="20"/>
        </w:rPr>
        <w:t xml:space="preserve"> Postojna, S</w:t>
      </w:r>
      <w:r w:rsidR="006C6CCA">
        <w:rPr>
          <w:rFonts w:ascii="Arial" w:hAnsi="Arial" w:cs="Arial"/>
          <w:sz w:val="20"/>
          <w:szCs w:val="20"/>
        </w:rPr>
        <w:t>pecialna enota</w:t>
      </w:r>
      <w:r w:rsidRPr="00D83239">
        <w:rPr>
          <w:rFonts w:ascii="Arial" w:hAnsi="Arial" w:cs="Arial"/>
          <w:sz w:val="20"/>
          <w:szCs w:val="20"/>
        </w:rPr>
        <w:t>, P</w:t>
      </w:r>
      <w:r w:rsidR="006C6CCA">
        <w:rPr>
          <w:rFonts w:ascii="Arial" w:hAnsi="Arial" w:cs="Arial"/>
          <w:sz w:val="20"/>
          <w:szCs w:val="20"/>
        </w:rPr>
        <w:t>olicijska a</w:t>
      </w:r>
      <w:r w:rsidR="00CF74D7">
        <w:rPr>
          <w:rFonts w:ascii="Arial" w:hAnsi="Arial" w:cs="Arial"/>
          <w:sz w:val="20"/>
          <w:szCs w:val="20"/>
        </w:rPr>
        <w:t>k</w:t>
      </w:r>
      <w:r w:rsidR="006C6CCA">
        <w:rPr>
          <w:rFonts w:ascii="Arial" w:hAnsi="Arial" w:cs="Arial"/>
          <w:sz w:val="20"/>
          <w:szCs w:val="20"/>
        </w:rPr>
        <w:t>ademija</w:t>
      </w:r>
      <w:r w:rsidRPr="00D83239">
        <w:rPr>
          <w:rFonts w:ascii="Arial" w:hAnsi="Arial" w:cs="Arial"/>
          <w:sz w:val="20"/>
          <w:szCs w:val="20"/>
        </w:rPr>
        <w:t xml:space="preserve"> Tacen, Gmajnice, N</w:t>
      </w:r>
      <w:r w:rsidR="006C6CCA">
        <w:rPr>
          <w:rFonts w:ascii="Arial" w:hAnsi="Arial" w:cs="Arial"/>
          <w:sz w:val="20"/>
          <w:szCs w:val="20"/>
        </w:rPr>
        <w:t>acionalni fore</w:t>
      </w:r>
      <w:r w:rsidR="00CF74D7">
        <w:rPr>
          <w:rFonts w:ascii="Arial" w:hAnsi="Arial" w:cs="Arial"/>
          <w:sz w:val="20"/>
          <w:szCs w:val="20"/>
        </w:rPr>
        <w:t>n</w:t>
      </w:r>
      <w:r w:rsidR="006C6CCA">
        <w:rPr>
          <w:rFonts w:ascii="Arial" w:hAnsi="Arial" w:cs="Arial"/>
          <w:sz w:val="20"/>
          <w:szCs w:val="20"/>
        </w:rPr>
        <w:t>zični urad</w:t>
      </w:r>
      <w:r w:rsidRPr="00D83239">
        <w:rPr>
          <w:rFonts w:ascii="Arial" w:hAnsi="Arial" w:cs="Arial"/>
          <w:sz w:val="20"/>
          <w:szCs w:val="20"/>
        </w:rPr>
        <w:t xml:space="preserve">, Kotnikova, Gotenica), izvedba projekta razvoja in vzdrževanja mobilne rešitve nove generacije </w:t>
      </w:r>
      <w:proofErr w:type="spellStart"/>
      <w:r w:rsidRPr="00D83239">
        <w:rPr>
          <w:rFonts w:ascii="Arial" w:hAnsi="Arial" w:cs="Arial"/>
          <w:sz w:val="20"/>
          <w:szCs w:val="20"/>
        </w:rPr>
        <w:t>ePolicistNG</w:t>
      </w:r>
      <w:proofErr w:type="spellEnd"/>
      <w:r w:rsidRPr="00D83239">
        <w:rPr>
          <w:rFonts w:ascii="Arial" w:hAnsi="Arial" w:cs="Arial"/>
          <w:sz w:val="20"/>
          <w:szCs w:val="20"/>
        </w:rPr>
        <w:t xml:space="preserve">, dobava </w:t>
      </w:r>
      <w:proofErr w:type="spellStart"/>
      <w:r w:rsidRPr="00D83239">
        <w:rPr>
          <w:rFonts w:ascii="Arial" w:hAnsi="Arial" w:cs="Arial"/>
          <w:sz w:val="20"/>
          <w:szCs w:val="20"/>
        </w:rPr>
        <w:t>okoljsko</w:t>
      </w:r>
      <w:proofErr w:type="spellEnd"/>
      <w:r w:rsidRPr="00D83239">
        <w:rPr>
          <w:rFonts w:ascii="Arial" w:hAnsi="Arial" w:cs="Arial"/>
          <w:sz w:val="20"/>
          <w:szCs w:val="20"/>
        </w:rPr>
        <w:t xml:space="preserve"> manj obremenjujočih motornih vozil s pnevmatikami z boljšim izkoristkom goriva in boljšim oprijemom na mokri podlagi, zagotavljanje storitve odzivanja na kibernetske incidente, nabava prehrambnega blaga za potrebe obratov prehrane MNZ in </w:t>
      </w:r>
      <w:r w:rsidR="006C6CCA">
        <w:rPr>
          <w:rFonts w:ascii="Arial" w:hAnsi="Arial" w:cs="Arial"/>
          <w:sz w:val="20"/>
          <w:szCs w:val="20"/>
        </w:rPr>
        <w:t>policijske uprave</w:t>
      </w:r>
      <w:r w:rsidRPr="00D83239">
        <w:rPr>
          <w:rFonts w:ascii="Arial" w:hAnsi="Arial" w:cs="Arial"/>
          <w:sz w:val="20"/>
          <w:szCs w:val="20"/>
        </w:rPr>
        <w:t xml:space="preserve">, nabava informacijske opreme z licencami in </w:t>
      </w:r>
      <w:r w:rsidR="00CF74D7">
        <w:rPr>
          <w:rFonts w:ascii="Arial" w:hAnsi="Arial" w:cs="Arial"/>
          <w:sz w:val="20"/>
          <w:szCs w:val="20"/>
        </w:rPr>
        <w:t>uvedbo</w:t>
      </w:r>
      <w:r w:rsidRPr="00D83239">
        <w:rPr>
          <w:rFonts w:ascii="Arial" w:hAnsi="Arial" w:cs="Arial"/>
          <w:sz w:val="20"/>
          <w:szCs w:val="20"/>
        </w:rPr>
        <w:t xml:space="preserve">, nabava IBM programske in strojne opreme </w:t>
      </w:r>
      <w:r w:rsidR="00CF74D7">
        <w:rPr>
          <w:rFonts w:ascii="Arial" w:hAnsi="Arial" w:cs="Arial"/>
          <w:sz w:val="20"/>
          <w:szCs w:val="20"/>
        </w:rPr>
        <w:t>–</w:t>
      </w:r>
      <w:r w:rsidR="00CF74D7" w:rsidRPr="00D83239">
        <w:rPr>
          <w:rFonts w:ascii="Arial" w:hAnsi="Arial" w:cs="Arial"/>
          <w:sz w:val="20"/>
          <w:szCs w:val="20"/>
        </w:rPr>
        <w:t xml:space="preserve"> </w:t>
      </w:r>
      <w:r w:rsidRPr="00D83239">
        <w:rPr>
          <w:rFonts w:ascii="Arial" w:hAnsi="Arial" w:cs="Arial"/>
          <w:sz w:val="20"/>
          <w:szCs w:val="20"/>
        </w:rPr>
        <w:t xml:space="preserve">ESSO (nakup, najem in vzdrževanje), nakup ABIS – sistem za avtomatsko primerjavo obrazov, izvedba servisiranja in popravil službenih vozil, nabava zaščitene opreme za policiste (telovnikov in majic z balistično in delno </w:t>
      </w:r>
      <w:proofErr w:type="spellStart"/>
      <w:r w:rsidRPr="00D83239">
        <w:rPr>
          <w:rFonts w:ascii="Arial" w:hAnsi="Arial" w:cs="Arial"/>
          <w:sz w:val="20"/>
          <w:szCs w:val="20"/>
        </w:rPr>
        <w:t>protivrezno</w:t>
      </w:r>
      <w:proofErr w:type="spellEnd"/>
      <w:r w:rsidRPr="00D83239">
        <w:rPr>
          <w:rFonts w:ascii="Arial" w:hAnsi="Arial" w:cs="Arial"/>
          <w:sz w:val="20"/>
          <w:szCs w:val="20"/>
        </w:rPr>
        <w:t xml:space="preserve"> in </w:t>
      </w:r>
      <w:proofErr w:type="spellStart"/>
      <w:r w:rsidRPr="00D83239">
        <w:rPr>
          <w:rFonts w:ascii="Arial" w:hAnsi="Arial" w:cs="Arial"/>
          <w:sz w:val="20"/>
          <w:szCs w:val="20"/>
        </w:rPr>
        <w:t>protivbodno</w:t>
      </w:r>
      <w:proofErr w:type="spellEnd"/>
      <w:r w:rsidRPr="00D83239">
        <w:rPr>
          <w:rFonts w:ascii="Arial" w:hAnsi="Arial" w:cs="Arial"/>
          <w:sz w:val="20"/>
          <w:szCs w:val="20"/>
        </w:rPr>
        <w:t xml:space="preserve"> zaščito), širitev najema licenc programske opreme za preiskovanje kripto transakcij, izvedba vzpostavitve elektronske dodelave tajnih podatkov, zagotavljanje širokopasovnega omrežja ITSP, izvajanje krovno</w:t>
      </w:r>
      <w:r w:rsidR="00D8691C">
        <w:rPr>
          <w:rFonts w:ascii="Arial" w:hAnsi="Arial" w:cs="Arial"/>
          <w:sz w:val="20"/>
          <w:szCs w:val="20"/>
        </w:rPr>
        <w:t>-</w:t>
      </w:r>
      <w:r w:rsidRPr="00D83239">
        <w:rPr>
          <w:rFonts w:ascii="Arial" w:hAnsi="Arial" w:cs="Arial"/>
          <w:sz w:val="20"/>
          <w:szCs w:val="20"/>
        </w:rPr>
        <w:t>kleparskih vzdrževalnih del na objektih MNZ GPU, meja, P</w:t>
      </w:r>
      <w:r w:rsidR="006C6CCA">
        <w:rPr>
          <w:rFonts w:ascii="Arial" w:hAnsi="Arial" w:cs="Arial"/>
          <w:sz w:val="20"/>
          <w:szCs w:val="20"/>
        </w:rPr>
        <w:t>olicijska uprava Ljubljana</w:t>
      </w:r>
      <w:r w:rsidRPr="00D83239">
        <w:rPr>
          <w:rFonts w:ascii="Arial" w:hAnsi="Arial" w:cs="Arial"/>
          <w:sz w:val="20"/>
          <w:szCs w:val="20"/>
        </w:rPr>
        <w:t xml:space="preserve">, </w:t>
      </w:r>
      <w:r w:rsidR="006C6CCA" w:rsidRPr="00D83239">
        <w:rPr>
          <w:rFonts w:ascii="Arial" w:hAnsi="Arial" w:cs="Arial"/>
          <w:sz w:val="20"/>
          <w:szCs w:val="20"/>
        </w:rPr>
        <w:t>P</w:t>
      </w:r>
      <w:r w:rsidR="006C6CCA">
        <w:rPr>
          <w:rFonts w:ascii="Arial" w:hAnsi="Arial" w:cs="Arial"/>
          <w:sz w:val="20"/>
          <w:szCs w:val="20"/>
        </w:rPr>
        <w:t>olicijska uprava Celje</w:t>
      </w:r>
      <w:r w:rsidRPr="00D83239">
        <w:rPr>
          <w:rFonts w:ascii="Arial" w:hAnsi="Arial" w:cs="Arial"/>
          <w:sz w:val="20"/>
          <w:szCs w:val="20"/>
        </w:rPr>
        <w:t xml:space="preserve">, </w:t>
      </w:r>
      <w:r w:rsidR="006C6CCA" w:rsidRPr="00D83239">
        <w:rPr>
          <w:rFonts w:ascii="Arial" w:hAnsi="Arial" w:cs="Arial"/>
          <w:sz w:val="20"/>
          <w:szCs w:val="20"/>
        </w:rPr>
        <w:t>P</w:t>
      </w:r>
      <w:r w:rsidR="006C6CCA">
        <w:rPr>
          <w:rFonts w:ascii="Arial" w:hAnsi="Arial" w:cs="Arial"/>
          <w:sz w:val="20"/>
          <w:szCs w:val="20"/>
        </w:rPr>
        <w:t>olicijska uprava Murska Sobota</w:t>
      </w:r>
      <w:r w:rsidRPr="00D83239">
        <w:rPr>
          <w:rFonts w:ascii="Arial" w:hAnsi="Arial" w:cs="Arial"/>
          <w:sz w:val="20"/>
          <w:szCs w:val="20"/>
        </w:rPr>
        <w:t xml:space="preserve">, </w:t>
      </w:r>
      <w:r w:rsidR="006C6CCA" w:rsidRPr="00D83239">
        <w:rPr>
          <w:rFonts w:ascii="Arial" w:hAnsi="Arial" w:cs="Arial"/>
          <w:sz w:val="20"/>
          <w:szCs w:val="20"/>
        </w:rPr>
        <w:t>P</w:t>
      </w:r>
      <w:r w:rsidR="006C6CCA">
        <w:rPr>
          <w:rFonts w:ascii="Arial" w:hAnsi="Arial" w:cs="Arial"/>
          <w:sz w:val="20"/>
          <w:szCs w:val="20"/>
        </w:rPr>
        <w:t>olicijska uprava</w:t>
      </w:r>
      <w:r w:rsidRPr="00D83239">
        <w:rPr>
          <w:rFonts w:ascii="Arial" w:hAnsi="Arial" w:cs="Arial"/>
          <w:sz w:val="20"/>
          <w:szCs w:val="20"/>
        </w:rPr>
        <w:t xml:space="preserve"> K</w:t>
      </w:r>
      <w:r w:rsidR="006C6CCA">
        <w:rPr>
          <w:rFonts w:ascii="Arial" w:hAnsi="Arial" w:cs="Arial"/>
          <w:sz w:val="20"/>
          <w:szCs w:val="20"/>
        </w:rPr>
        <w:t>oper</w:t>
      </w:r>
      <w:r w:rsidRPr="00D83239">
        <w:rPr>
          <w:rFonts w:ascii="Arial" w:hAnsi="Arial" w:cs="Arial"/>
          <w:sz w:val="20"/>
          <w:szCs w:val="20"/>
        </w:rPr>
        <w:t xml:space="preserve"> in </w:t>
      </w:r>
      <w:r w:rsidR="006C6CCA" w:rsidRPr="00D83239">
        <w:rPr>
          <w:rFonts w:ascii="Arial" w:hAnsi="Arial" w:cs="Arial"/>
          <w:sz w:val="20"/>
          <w:szCs w:val="20"/>
        </w:rPr>
        <w:t>P</w:t>
      </w:r>
      <w:r w:rsidR="006C6CCA">
        <w:rPr>
          <w:rFonts w:ascii="Arial" w:hAnsi="Arial" w:cs="Arial"/>
          <w:sz w:val="20"/>
          <w:szCs w:val="20"/>
        </w:rPr>
        <w:t xml:space="preserve">olicijska uprava </w:t>
      </w:r>
      <w:r w:rsidRPr="00D83239">
        <w:rPr>
          <w:rFonts w:ascii="Arial" w:hAnsi="Arial" w:cs="Arial"/>
          <w:sz w:val="20"/>
          <w:szCs w:val="20"/>
        </w:rPr>
        <w:t>M</w:t>
      </w:r>
      <w:r w:rsidR="006C6CCA">
        <w:rPr>
          <w:rFonts w:ascii="Arial" w:hAnsi="Arial" w:cs="Arial"/>
          <w:sz w:val="20"/>
          <w:szCs w:val="20"/>
        </w:rPr>
        <w:t>aribor</w:t>
      </w:r>
      <w:r w:rsidRPr="00D83239">
        <w:rPr>
          <w:rFonts w:ascii="Arial" w:hAnsi="Arial" w:cs="Arial"/>
          <w:sz w:val="20"/>
          <w:szCs w:val="20"/>
        </w:rPr>
        <w:t xml:space="preserve">, izvedba energetske sanacije fasade </w:t>
      </w:r>
      <w:r w:rsidR="006C6CCA" w:rsidRPr="00D83239">
        <w:rPr>
          <w:rFonts w:ascii="Arial" w:hAnsi="Arial" w:cs="Arial"/>
          <w:sz w:val="20"/>
          <w:szCs w:val="20"/>
        </w:rPr>
        <w:t>P</w:t>
      </w:r>
      <w:r w:rsidR="006C6CCA">
        <w:rPr>
          <w:rFonts w:ascii="Arial" w:hAnsi="Arial" w:cs="Arial"/>
          <w:sz w:val="20"/>
          <w:szCs w:val="20"/>
        </w:rPr>
        <w:t>olicijske uprav</w:t>
      </w:r>
      <w:r w:rsidR="00D8691C">
        <w:rPr>
          <w:rFonts w:ascii="Arial" w:hAnsi="Arial" w:cs="Arial"/>
          <w:sz w:val="20"/>
          <w:szCs w:val="20"/>
        </w:rPr>
        <w:t>e</w:t>
      </w:r>
      <w:r w:rsidRPr="00D83239">
        <w:rPr>
          <w:rFonts w:ascii="Arial" w:hAnsi="Arial" w:cs="Arial"/>
          <w:sz w:val="20"/>
          <w:szCs w:val="20"/>
        </w:rPr>
        <w:t xml:space="preserve"> M</w:t>
      </w:r>
      <w:r w:rsidR="006C6CCA">
        <w:rPr>
          <w:rFonts w:ascii="Arial" w:hAnsi="Arial" w:cs="Arial"/>
          <w:sz w:val="20"/>
          <w:szCs w:val="20"/>
        </w:rPr>
        <w:t>urska Sobota</w:t>
      </w:r>
      <w:r w:rsidRPr="00D83239">
        <w:rPr>
          <w:rFonts w:ascii="Arial" w:hAnsi="Arial" w:cs="Arial"/>
          <w:sz w:val="20"/>
          <w:szCs w:val="20"/>
        </w:rPr>
        <w:t>, nakup in dobava suhih obrokov za potrebe pridržanih oseb in migrantov, izvedba vzdrževanja sistema AFIS, nabava posebnih in dopolnilnih delov uniform ter športne opreme, izvedba posodobitv</w:t>
      </w:r>
      <w:r w:rsidR="00D8691C">
        <w:rPr>
          <w:rFonts w:ascii="Arial" w:hAnsi="Arial" w:cs="Arial"/>
          <w:sz w:val="20"/>
          <w:szCs w:val="20"/>
        </w:rPr>
        <w:t>e</w:t>
      </w:r>
      <w:r w:rsidRPr="00D83239">
        <w:rPr>
          <w:rFonts w:ascii="Arial" w:hAnsi="Arial" w:cs="Arial"/>
          <w:sz w:val="20"/>
          <w:szCs w:val="20"/>
        </w:rPr>
        <w:t xml:space="preserve"> in vzdrževanj</w:t>
      </w:r>
      <w:r w:rsidR="00D8691C">
        <w:rPr>
          <w:rFonts w:ascii="Arial" w:hAnsi="Arial" w:cs="Arial"/>
          <w:sz w:val="20"/>
          <w:szCs w:val="20"/>
        </w:rPr>
        <w:t>a</w:t>
      </w:r>
      <w:r w:rsidRPr="00D83239">
        <w:rPr>
          <w:rFonts w:ascii="Arial" w:hAnsi="Arial" w:cs="Arial"/>
          <w:sz w:val="20"/>
          <w:szCs w:val="20"/>
        </w:rPr>
        <w:t xml:space="preserve"> sistema za prenos alarmnih sporočil, nabava namizne informacijske opreme, nabava plinskih sredstev </w:t>
      </w:r>
      <w:proofErr w:type="spellStart"/>
      <w:r w:rsidRPr="00D83239">
        <w:rPr>
          <w:rFonts w:ascii="Arial" w:hAnsi="Arial" w:cs="Arial"/>
          <w:sz w:val="20"/>
          <w:szCs w:val="20"/>
        </w:rPr>
        <w:t>Rheinmetal</w:t>
      </w:r>
      <w:proofErr w:type="spellEnd"/>
      <w:r w:rsidRPr="00D83239">
        <w:rPr>
          <w:rFonts w:ascii="Arial" w:hAnsi="Arial" w:cs="Arial"/>
          <w:sz w:val="20"/>
          <w:szCs w:val="20"/>
        </w:rPr>
        <w:t>, nabava kompletov za odvzem krvi in urina ter izvajanje laboratorijskih analiz, nabava in podaljšanje licenc programske opreme, izvedba vzdrževanj</w:t>
      </w:r>
      <w:r w:rsidR="00D8691C">
        <w:rPr>
          <w:rFonts w:ascii="Arial" w:hAnsi="Arial" w:cs="Arial"/>
          <w:sz w:val="20"/>
          <w:szCs w:val="20"/>
        </w:rPr>
        <w:t>a</w:t>
      </w:r>
      <w:r w:rsidRPr="00D83239">
        <w:rPr>
          <w:rFonts w:ascii="Arial" w:hAnsi="Arial" w:cs="Arial"/>
          <w:sz w:val="20"/>
          <w:szCs w:val="20"/>
        </w:rPr>
        <w:t xml:space="preserve"> strojne in programske opreme CISCO, sukcesivna nabava pnevmatik in </w:t>
      </w:r>
      <w:proofErr w:type="spellStart"/>
      <w:r w:rsidRPr="00D83239">
        <w:rPr>
          <w:rFonts w:ascii="Arial" w:hAnsi="Arial" w:cs="Arial"/>
          <w:sz w:val="20"/>
          <w:szCs w:val="20"/>
        </w:rPr>
        <w:t>vulkanizerskega</w:t>
      </w:r>
      <w:proofErr w:type="spellEnd"/>
      <w:r w:rsidRPr="00D83239">
        <w:rPr>
          <w:rFonts w:ascii="Arial" w:hAnsi="Arial" w:cs="Arial"/>
          <w:sz w:val="20"/>
          <w:szCs w:val="20"/>
        </w:rPr>
        <w:t xml:space="preserve"> materiala za prevozna sredstva za MNZ, GPU, </w:t>
      </w:r>
      <w:r w:rsidR="00B60EBD">
        <w:rPr>
          <w:rFonts w:ascii="Arial" w:hAnsi="Arial" w:cs="Arial"/>
          <w:sz w:val="20"/>
          <w:szCs w:val="20"/>
        </w:rPr>
        <w:t>policijske uprave</w:t>
      </w:r>
      <w:r w:rsidRPr="00D83239">
        <w:rPr>
          <w:rFonts w:ascii="Arial" w:hAnsi="Arial" w:cs="Arial"/>
          <w:sz w:val="20"/>
          <w:szCs w:val="20"/>
        </w:rPr>
        <w:t xml:space="preserve"> in IRSNZ, izvedba zavarovanja helikopterjev za leto 2025, izvajanje zimske službe za MNZ, GPU</w:t>
      </w:r>
      <w:r w:rsidR="006C6CCA">
        <w:rPr>
          <w:rFonts w:ascii="Arial" w:hAnsi="Arial" w:cs="Arial"/>
          <w:sz w:val="20"/>
          <w:szCs w:val="20"/>
        </w:rPr>
        <w:t xml:space="preserve"> in policijske uprave</w:t>
      </w:r>
      <w:r w:rsidRPr="00D83239">
        <w:rPr>
          <w:rFonts w:ascii="Arial" w:hAnsi="Arial" w:cs="Arial"/>
          <w:sz w:val="20"/>
          <w:szCs w:val="20"/>
        </w:rPr>
        <w:t xml:space="preserve">, najem energijsko učinkovitih </w:t>
      </w:r>
      <w:proofErr w:type="spellStart"/>
      <w:r w:rsidRPr="00D83239">
        <w:rPr>
          <w:rFonts w:ascii="Arial" w:hAnsi="Arial" w:cs="Arial"/>
          <w:sz w:val="20"/>
          <w:szCs w:val="20"/>
        </w:rPr>
        <w:t>multifunkcijskih</w:t>
      </w:r>
      <w:proofErr w:type="spellEnd"/>
      <w:r w:rsidRPr="00D83239">
        <w:rPr>
          <w:rFonts w:ascii="Arial" w:hAnsi="Arial" w:cs="Arial"/>
          <w:sz w:val="20"/>
          <w:szCs w:val="20"/>
        </w:rPr>
        <w:t xml:space="preserve"> naprav, posodobitev sistem</w:t>
      </w:r>
      <w:r w:rsidR="00D8691C">
        <w:rPr>
          <w:rFonts w:ascii="Arial" w:hAnsi="Arial" w:cs="Arial"/>
          <w:sz w:val="20"/>
          <w:szCs w:val="20"/>
        </w:rPr>
        <w:t>a</w:t>
      </w:r>
      <w:r w:rsidRPr="00D83239">
        <w:rPr>
          <w:rFonts w:ascii="Arial" w:hAnsi="Arial" w:cs="Arial"/>
          <w:sz w:val="20"/>
          <w:szCs w:val="20"/>
        </w:rPr>
        <w:t xml:space="preserve"> za nadzor </w:t>
      </w:r>
      <w:r w:rsidR="00D8691C">
        <w:rPr>
          <w:rFonts w:ascii="Arial" w:hAnsi="Arial" w:cs="Arial"/>
          <w:sz w:val="20"/>
          <w:szCs w:val="20"/>
        </w:rPr>
        <w:t xml:space="preserve">nad </w:t>
      </w:r>
      <w:r w:rsidRPr="00D83239">
        <w:rPr>
          <w:rFonts w:ascii="Arial" w:hAnsi="Arial" w:cs="Arial"/>
          <w:sz w:val="20"/>
          <w:szCs w:val="20"/>
        </w:rPr>
        <w:t>elektronski</w:t>
      </w:r>
      <w:r w:rsidR="00D8691C">
        <w:rPr>
          <w:rFonts w:ascii="Arial" w:hAnsi="Arial" w:cs="Arial"/>
          <w:sz w:val="20"/>
          <w:szCs w:val="20"/>
        </w:rPr>
        <w:t>mi</w:t>
      </w:r>
      <w:r w:rsidRPr="00D83239">
        <w:rPr>
          <w:rFonts w:ascii="Arial" w:hAnsi="Arial" w:cs="Arial"/>
          <w:sz w:val="20"/>
          <w:szCs w:val="20"/>
        </w:rPr>
        <w:t xml:space="preserve"> komunikacij</w:t>
      </w:r>
      <w:r w:rsidR="00D8691C">
        <w:rPr>
          <w:rFonts w:ascii="Arial" w:hAnsi="Arial" w:cs="Arial"/>
          <w:sz w:val="20"/>
          <w:szCs w:val="20"/>
        </w:rPr>
        <w:t>ami</w:t>
      </w:r>
      <w:r w:rsidRPr="00D83239">
        <w:rPr>
          <w:rFonts w:ascii="Arial" w:hAnsi="Arial" w:cs="Arial"/>
          <w:sz w:val="20"/>
          <w:szCs w:val="20"/>
        </w:rPr>
        <w:t>, nakup centralnega računalnika za primarno in sekundarno lokacijo z diskovnimi polji in omrežjem</w:t>
      </w:r>
      <w:r w:rsidR="00D8691C" w:rsidRPr="00D8691C">
        <w:rPr>
          <w:rFonts w:ascii="Arial" w:hAnsi="Arial" w:cs="Arial"/>
          <w:sz w:val="20"/>
          <w:szCs w:val="20"/>
        </w:rPr>
        <w:t xml:space="preserve"> </w:t>
      </w:r>
      <w:r w:rsidR="00D8691C" w:rsidRPr="00D83239">
        <w:rPr>
          <w:rFonts w:ascii="Arial" w:hAnsi="Arial" w:cs="Arial"/>
          <w:sz w:val="20"/>
          <w:szCs w:val="20"/>
        </w:rPr>
        <w:t>SAN</w:t>
      </w:r>
      <w:r w:rsidRPr="00D83239">
        <w:rPr>
          <w:rFonts w:ascii="Arial" w:hAnsi="Arial" w:cs="Arial"/>
          <w:sz w:val="20"/>
          <w:szCs w:val="20"/>
        </w:rPr>
        <w:t xml:space="preserve">, nabava strojne in programske opreme za varnostno kopiranje virtualnega strežniškega okolja, nabava dveh genetskih analizatorjev, nabava sistema za avtomatizirano </w:t>
      </w:r>
      <w:proofErr w:type="spellStart"/>
      <w:r w:rsidRPr="00D83239">
        <w:rPr>
          <w:rFonts w:ascii="Arial" w:hAnsi="Arial" w:cs="Arial"/>
          <w:sz w:val="20"/>
          <w:szCs w:val="20"/>
        </w:rPr>
        <w:t>penetracijsko</w:t>
      </w:r>
      <w:proofErr w:type="spellEnd"/>
      <w:r w:rsidRPr="00D83239">
        <w:rPr>
          <w:rFonts w:ascii="Arial" w:hAnsi="Arial" w:cs="Arial"/>
          <w:sz w:val="20"/>
          <w:szCs w:val="20"/>
        </w:rPr>
        <w:t xml:space="preserve"> testiranje, izvedba nadgradnje samohodne robotske naprave </w:t>
      </w:r>
      <w:proofErr w:type="spellStart"/>
      <w:r w:rsidRPr="00D83239">
        <w:rPr>
          <w:rFonts w:ascii="Arial" w:hAnsi="Arial" w:cs="Arial"/>
          <w:sz w:val="20"/>
          <w:szCs w:val="20"/>
        </w:rPr>
        <w:t>Telerob</w:t>
      </w:r>
      <w:proofErr w:type="spellEnd"/>
      <w:r w:rsidRPr="00D83239">
        <w:rPr>
          <w:rFonts w:ascii="Arial" w:hAnsi="Arial" w:cs="Arial"/>
          <w:sz w:val="20"/>
          <w:szCs w:val="20"/>
        </w:rPr>
        <w:t>, izvedba kleparsko</w:t>
      </w:r>
      <w:r w:rsidR="00D8691C">
        <w:rPr>
          <w:rFonts w:ascii="Arial" w:hAnsi="Arial" w:cs="Arial"/>
          <w:sz w:val="20"/>
          <w:szCs w:val="20"/>
        </w:rPr>
        <w:t>-</w:t>
      </w:r>
      <w:r w:rsidRPr="00D83239">
        <w:rPr>
          <w:rFonts w:ascii="Arial" w:hAnsi="Arial" w:cs="Arial"/>
          <w:sz w:val="20"/>
          <w:szCs w:val="20"/>
        </w:rPr>
        <w:t xml:space="preserve">ličarskih storitev za vozila za MNZ, GPU, </w:t>
      </w:r>
      <w:r w:rsidR="00B60EBD">
        <w:rPr>
          <w:rFonts w:ascii="Arial" w:hAnsi="Arial" w:cs="Arial"/>
          <w:sz w:val="20"/>
          <w:szCs w:val="20"/>
        </w:rPr>
        <w:t>policijske</w:t>
      </w:r>
      <w:r w:rsidR="006C6CCA">
        <w:rPr>
          <w:rFonts w:ascii="Arial" w:hAnsi="Arial" w:cs="Arial"/>
          <w:sz w:val="20"/>
          <w:szCs w:val="20"/>
        </w:rPr>
        <w:t xml:space="preserve"> uprav</w:t>
      </w:r>
      <w:r w:rsidR="00B60EBD">
        <w:rPr>
          <w:rFonts w:ascii="Arial" w:hAnsi="Arial" w:cs="Arial"/>
          <w:sz w:val="20"/>
          <w:szCs w:val="20"/>
        </w:rPr>
        <w:t>e</w:t>
      </w:r>
      <w:r w:rsidRPr="00D83239">
        <w:rPr>
          <w:rFonts w:ascii="Arial" w:hAnsi="Arial" w:cs="Arial"/>
          <w:sz w:val="20"/>
          <w:szCs w:val="20"/>
        </w:rPr>
        <w:t xml:space="preserve"> in IRSNZ, izvedba vzdrževanja informacijskega sistema upravnih notranjih zadev, uničevanje dokumentarnega gradiva MNZ in GPU, izvajanje storitev prevoza migrantov z avtobusi na območju R</w:t>
      </w:r>
      <w:r w:rsidR="00B60EBD">
        <w:rPr>
          <w:rFonts w:ascii="Arial" w:hAnsi="Arial" w:cs="Arial"/>
          <w:sz w:val="20"/>
          <w:szCs w:val="20"/>
        </w:rPr>
        <w:t xml:space="preserve">epublike </w:t>
      </w:r>
      <w:r w:rsidRPr="00D83239">
        <w:rPr>
          <w:rFonts w:ascii="Arial" w:hAnsi="Arial" w:cs="Arial"/>
          <w:sz w:val="20"/>
          <w:szCs w:val="20"/>
        </w:rPr>
        <w:t>S</w:t>
      </w:r>
      <w:r w:rsidR="00B60EBD">
        <w:rPr>
          <w:rFonts w:ascii="Arial" w:hAnsi="Arial" w:cs="Arial"/>
          <w:sz w:val="20"/>
          <w:szCs w:val="20"/>
        </w:rPr>
        <w:t>lovenije</w:t>
      </w:r>
      <w:r w:rsidRPr="00D83239">
        <w:rPr>
          <w:rFonts w:ascii="Arial" w:hAnsi="Arial" w:cs="Arial"/>
          <w:sz w:val="20"/>
          <w:szCs w:val="20"/>
        </w:rPr>
        <w:t xml:space="preserve">, čiščenje greznic ter prediranje in čiščenje kanalizacijskih sistemov za potrebe MNZ, GPU in </w:t>
      </w:r>
      <w:r w:rsidR="006C6CCA">
        <w:rPr>
          <w:rFonts w:ascii="Arial" w:hAnsi="Arial" w:cs="Arial"/>
          <w:sz w:val="20"/>
          <w:szCs w:val="20"/>
        </w:rPr>
        <w:t>policijskih uprav</w:t>
      </w:r>
      <w:r w:rsidRPr="00D83239">
        <w:rPr>
          <w:rFonts w:ascii="Arial" w:hAnsi="Arial" w:cs="Arial"/>
          <w:sz w:val="20"/>
          <w:szCs w:val="20"/>
        </w:rPr>
        <w:t xml:space="preserve">, izvedba GOI del za sanacijo strešne kritine na </w:t>
      </w:r>
      <w:r w:rsidR="00D8691C">
        <w:rPr>
          <w:rFonts w:ascii="Arial" w:hAnsi="Arial" w:cs="Arial"/>
          <w:sz w:val="20"/>
          <w:szCs w:val="20"/>
        </w:rPr>
        <w:t>m</w:t>
      </w:r>
      <w:r w:rsidR="006C6CCA">
        <w:rPr>
          <w:rFonts w:ascii="Arial" w:hAnsi="Arial" w:cs="Arial"/>
          <w:sz w:val="20"/>
          <w:szCs w:val="20"/>
        </w:rPr>
        <w:t>ejne</w:t>
      </w:r>
      <w:r w:rsidR="00D8691C">
        <w:rPr>
          <w:rFonts w:ascii="Arial" w:hAnsi="Arial" w:cs="Arial"/>
          <w:sz w:val="20"/>
          <w:szCs w:val="20"/>
        </w:rPr>
        <w:t>m</w:t>
      </w:r>
      <w:r w:rsidR="006C6CCA">
        <w:rPr>
          <w:rFonts w:ascii="Arial" w:hAnsi="Arial" w:cs="Arial"/>
          <w:sz w:val="20"/>
          <w:szCs w:val="20"/>
        </w:rPr>
        <w:t xml:space="preserve"> prehod</w:t>
      </w:r>
      <w:r w:rsidR="00D8691C">
        <w:rPr>
          <w:rFonts w:ascii="Arial" w:hAnsi="Arial" w:cs="Arial"/>
          <w:sz w:val="20"/>
          <w:szCs w:val="20"/>
        </w:rPr>
        <w:t>u</w:t>
      </w:r>
      <w:r w:rsidRPr="00D83239">
        <w:rPr>
          <w:rFonts w:ascii="Arial" w:hAnsi="Arial" w:cs="Arial"/>
          <w:sz w:val="20"/>
          <w:szCs w:val="20"/>
        </w:rPr>
        <w:t xml:space="preserve"> Šentilj. </w:t>
      </w:r>
    </w:p>
    <w:p w14:paraId="25790913" w14:textId="77777777" w:rsidR="0010021C" w:rsidRPr="00D83239" w:rsidRDefault="0010021C" w:rsidP="001545E9">
      <w:pPr>
        <w:autoSpaceDE w:val="0"/>
        <w:autoSpaceDN w:val="0"/>
        <w:adjustRightInd w:val="0"/>
        <w:spacing w:after="0" w:line="276" w:lineRule="auto"/>
        <w:jc w:val="both"/>
        <w:rPr>
          <w:rFonts w:ascii="Arial" w:hAnsi="Arial" w:cs="Arial"/>
          <w:sz w:val="20"/>
          <w:szCs w:val="20"/>
        </w:rPr>
      </w:pPr>
    </w:p>
    <w:bookmarkEnd w:id="118"/>
    <w:p w14:paraId="07CFAAFA" w14:textId="77777777" w:rsidR="00EC5EA9" w:rsidRPr="00D83239" w:rsidRDefault="00EC5EA9" w:rsidP="00D83239">
      <w:pPr>
        <w:spacing w:after="0" w:line="276" w:lineRule="auto"/>
        <w:jc w:val="both"/>
        <w:rPr>
          <w:rFonts w:ascii="Arial" w:hAnsi="Arial" w:cs="Arial"/>
          <w:sz w:val="20"/>
          <w:szCs w:val="20"/>
          <w:lang w:eastAsia="sl-SI"/>
        </w:rPr>
      </w:pPr>
      <w:r w:rsidRPr="00D83239">
        <w:rPr>
          <w:rFonts w:ascii="Arial" w:hAnsi="Arial" w:cs="Arial"/>
          <w:sz w:val="20"/>
          <w:szCs w:val="20"/>
          <w:lang w:eastAsia="sl-SI"/>
        </w:rPr>
        <w:t>Pripravljena so bila naslednja poročila:</w:t>
      </w:r>
    </w:p>
    <w:p w14:paraId="44DEE135" w14:textId="09E9C6AC" w:rsidR="00EC5EA9" w:rsidRPr="00D83239" w:rsidRDefault="00EC5EA9" w:rsidP="00FE543C">
      <w:pPr>
        <w:pStyle w:val="Odstavekseznama"/>
        <w:numPr>
          <w:ilvl w:val="0"/>
          <w:numId w:val="13"/>
        </w:numPr>
        <w:autoSpaceDE w:val="0"/>
        <w:autoSpaceDN w:val="0"/>
        <w:adjustRightInd w:val="0"/>
        <w:spacing w:after="0"/>
        <w:jc w:val="both"/>
        <w:rPr>
          <w:rFonts w:ascii="Arial" w:hAnsi="Arial" w:cs="Arial"/>
          <w:sz w:val="20"/>
          <w:szCs w:val="20"/>
        </w:rPr>
      </w:pPr>
      <w:r w:rsidRPr="00D83239">
        <w:rPr>
          <w:rFonts w:ascii="Arial" w:hAnsi="Arial" w:cs="Arial"/>
          <w:sz w:val="20"/>
          <w:szCs w:val="20"/>
        </w:rPr>
        <w:t>letn</w:t>
      </w:r>
      <w:r w:rsidR="008A0556">
        <w:rPr>
          <w:rFonts w:ascii="Arial" w:hAnsi="Arial" w:cs="Arial"/>
          <w:sz w:val="20"/>
          <w:szCs w:val="20"/>
        </w:rPr>
        <w:t>o</w:t>
      </w:r>
      <w:r w:rsidRPr="00D83239">
        <w:rPr>
          <w:rFonts w:ascii="Arial" w:hAnsi="Arial" w:cs="Arial"/>
          <w:sz w:val="20"/>
          <w:szCs w:val="20"/>
        </w:rPr>
        <w:t xml:space="preserve"> poročil</w:t>
      </w:r>
      <w:r w:rsidR="008A0556">
        <w:rPr>
          <w:rFonts w:ascii="Arial" w:hAnsi="Arial" w:cs="Arial"/>
          <w:sz w:val="20"/>
          <w:szCs w:val="20"/>
        </w:rPr>
        <w:t>o</w:t>
      </w:r>
      <w:r w:rsidRPr="00D83239">
        <w:rPr>
          <w:rFonts w:ascii="Arial" w:hAnsi="Arial" w:cs="Arial"/>
          <w:sz w:val="20"/>
          <w:szCs w:val="20"/>
        </w:rPr>
        <w:t xml:space="preserve"> o oddanih evidenčnih naročilih male vrednosti (</w:t>
      </w:r>
      <w:r w:rsidR="008A0556">
        <w:rPr>
          <w:rFonts w:ascii="Arial" w:hAnsi="Arial" w:cs="Arial"/>
          <w:sz w:val="20"/>
          <w:szCs w:val="20"/>
        </w:rPr>
        <w:t>p</w:t>
      </w:r>
      <w:r w:rsidRPr="00D83239">
        <w:rPr>
          <w:rFonts w:ascii="Arial" w:hAnsi="Arial" w:cs="Arial"/>
          <w:sz w:val="20"/>
          <w:szCs w:val="20"/>
          <w:shd w:val="clear" w:color="auto" w:fill="FFFFFF"/>
        </w:rPr>
        <w:t>odatki o oddanih javnih naročilih, katerih vrednost je nižja od vrednosti iz prvega odstavka 21. člena ZJN-3</w:t>
      </w:r>
      <w:r w:rsidR="008A0556">
        <w:rPr>
          <w:rFonts w:ascii="Arial" w:hAnsi="Arial" w:cs="Arial"/>
          <w:sz w:val="20"/>
          <w:szCs w:val="20"/>
          <w:shd w:val="clear" w:color="auto" w:fill="FFFFFF"/>
        </w:rPr>
        <w:t>,</w:t>
      </w:r>
      <w:r w:rsidRPr="00D83239">
        <w:rPr>
          <w:rFonts w:ascii="Arial" w:hAnsi="Arial" w:cs="Arial"/>
          <w:sz w:val="20"/>
          <w:szCs w:val="20"/>
          <w:shd w:val="clear" w:color="auto" w:fill="FFFFFF"/>
        </w:rPr>
        <w:t xml:space="preserve"> in javn</w:t>
      </w:r>
      <w:r w:rsidR="008A0556">
        <w:rPr>
          <w:rFonts w:ascii="Arial" w:hAnsi="Arial" w:cs="Arial"/>
          <w:sz w:val="20"/>
          <w:szCs w:val="20"/>
          <w:shd w:val="clear" w:color="auto" w:fill="FFFFFF"/>
        </w:rPr>
        <w:t>ih</w:t>
      </w:r>
      <w:r w:rsidRPr="00D83239">
        <w:rPr>
          <w:rFonts w:ascii="Arial" w:hAnsi="Arial" w:cs="Arial"/>
          <w:sz w:val="20"/>
          <w:szCs w:val="20"/>
          <w:shd w:val="clear" w:color="auto" w:fill="FFFFFF"/>
        </w:rPr>
        <w:t xml:space="preserve"> naročil</w:t>
      </w:r>
      <w:r w:rsidR="008A0556">
        <w:rPr>
          <w:rFonts w:ascii="Arial" w:hAnsi="Arial" w:cs="Arial"/>
          <w:sz w:val="20"/>
          <w:szCs w:val="20"/>
          <w:shd w:val="clear" w:color="auto" w:fill="FFFFFF"/>
        </w:rPr>
        <w:t>ih</w:t>
      </w:r>
      <w:r w:rsidRPr="00D83239">
        <w:rPr>
          <w:rFonts w:ascii="Arial" w:hAnsi="Arial" w:cs="Arial"/>
          <w:sz w:val="20"/>
          <w:szCs w:val="20"/>
          <w:shd w:val="clear" w:color="auto" w:fill="FFFFFF"/>
        </w:rPr>
        <w:t>, ki se oddajo kot posamezni izločeni sklopi v skladu s petim odstavkom 73. člena tega zakona, ter javn</w:t>
      </w:r>
      <w:r w:rsidR="008A0556">
        <w:rPr>
          <w:rFonts w:ascii="Arial" w:hAnsi="Arial" w:cs="Arial"/>
          <w:sz w:val="20"/>
          <w:szCs w:val="20"/>
          <w:shd w:val="clear" w:color="auto" w:fill="FFFFFF"/>
        </w:rPr>
        <w:t>ih</w:t>
      </w:r>
      <w:r w:rsidRPr="00D83239">
        <w:rPr>
          <w:rFonts w:ascii="Arial" w:hAnsi="Arial" w:cs="Arial"/>
          <w:sz w:val="20"/>
          <w:szCs w:val="20"/>
          <w:shd w:val="clear" w:color="auto" w:fill="FFFFFF"/>
        </w:rPr>
        <w:t xml:space="preserve"> naročil</w:t>
      </w:r>
      <w:r w:rsidR="008A0556">
        <w:rPr>
          <w:rFonts w:ascii="Arial" w:hAnsi="Arial" w:cs="Arial"/>
          <w:sz w:val="20"/>
          <w:szCs w:val="20"/>
          <w:shd w:val="clear" w:color="auto" w:fill="FFFFFF"/>
        </w:rPr>
        <w:t>ih</w:t>
      </w:r>
      <w:r w:rsidRPr="00D83239">
        <w:rPr>
          <w:rFonts w:ascii="Arial" w:hAnsi="Arial" w:cs="Arial"/>
          <w:sz w:val="20"/>
          <w:szCs w:val="20"/>
          <w:shd w:val="clear" w:color="auto" w:fill="FFFFFF"/>
        </w:rPr>
        <w:t xml:space="preserve"> iz 15., 16., 17. in 18. točke prvega odstavka 27. člena tega zakona – z objavo na portalu javnih naročil) </w:t>
      </w:r>
      <w:r w:rsidRPr="00D83239">
        <w:rPr>
          <w:rFonts w:ascii="Arial" w:hAnsi="Arial" w:cs="Arial"/>
          <w:sz w:val="20"/>
          <w:szCs w:val="20"/>
        </w:rPr>
        <w:t>(eno);</w:t>
      </w:r>
    </w:p>
    <w:p w14:paraId="3572846C" w14:textId="4C394FAE" w:rsidR="00EC5EA9" w:rsidRPr="00D83239" w:rsidRDefault="00EC5EA9" w:rsidP="00FE543C">
      <w:pPr>
        <w:pStyle w:val="Odstavekseznama"/>
        <w:numPr>
          <w:ilvl w:val="0"/>
          <w:numId w:val="13"/>
        </w:numPr>
        <w:autoSpaceDE w:val="0"/>
        <w:autoSpaceDN w:val="0"/>
        <w:adjustRightInd w:val="0"/>
        <w:spacing w:after="0"/>
        <w:jc w:val="both"/>
        <w:rPr>
          <w:rFonts w:ascii="Arial" w:hAnsi="Arial" w:cs="Arial"/>
          <w:sz w:val="20"/>
          <w:szCs w:val="20"/>
        </w:rPr>
      </w:pPr>
      <w:r w:rsidRPr="00D83239">
        <w:rPr>
          <w:rFonts w:ascii="Arial" w:hAnsi="Arial" w:cs="Arial"/>
          <w:sz w:val="20"/>
          <w:szCs w:val="20"/>
        </w:rPr>
        <w:t>vladn</w:t>
      </w:r>
      <w:r w:rsidR="008A0556">
        <w:rPr>
          <w:rFonts w:ascii="Arial" w:hAnsi="Arial" w:cs="Arial"/>
          <w:sz w:val="20"/>
          <w:szCs w:val="20"/>
        </w:rPr>
        <w:t>o</w:t>
      </w:r>
      <w:r w:rsidRPr="00D83239">
        <w:rPr>
          <w:rFonts w:ascii="Arial" w:hAnsi="Arial" w:cs="Arial"/>
          <w:sz w:val="20"/>
          <w:szCs w:val="20"/>
        </w:rPr>
        <w:t xml:space="preserve"> gradiv</w:t>
      </w:r>
      <w:r w:rsidR="008A0556">
        <w:rPr>
          <w:rFonts w:ascii="Arial" w:hAnsi="Arial" w:cs="Arial"/>
          <w:sz w:val="20"/>
          <w:szCs w:val="20"/>
        </w:rPr>
        <w:t>o</w:t>
      </w:r>
      <w:r w:rsidRPr="00D83239">
        <w:rPr>
          <w:rFonts w:ascii="Arial" w:hAnsi="Arial" w:cs="Arial"/>
          <w:sz w:val="20"/>
          <w:szCs w:val="20"/>
        </w:rPr>
        <w:t xml:space="preserve"> – Poročilo Ministrstva za notranje zadeve Vladi Republike Slovenije o oddanih naročilih po 11. členu Zakona o javnem naročanju na področju obrambe in varnosti (eno);</w:t>
      </w:r>
    </w:p>
    <w:p w14:paraId="054EF8BB" w14:textId="569F1C52" w:rsidR="00EC5EA9" w:rsidRPr="00D83239" w:rsidRDefault="00EC5EA9" w:rsidP="00FE543C">
      <w:pPr>
        <w:pStyle w:val="Odstavekseznama"/>
        <w:numPr>
          <w:ilvl w:val="0"/>
          <w:numId w:val="13"/>
        </w:numPr>
        <w:autoSpaceDE w:val="0"/>
        <w:autoSpaceDN w:val="0"/>
        <w:adjustRightInd w:val="0"/>
        <w:spacing w:after="0"/>
        <w:jc w:val="both"/>
        <w:rPr>
          <w:rFonts w:ascii="Arial" w:hAnsi="Arial" w:cs="Arial"/>
          <w:sz w:val="20"/>
          <w:szCs w:val="20"/>
        </w:rPr>
      </w:pPr>
      <w:r w:rsidRPr="00D83239">
        <w:rPr>
          <w:rFonts w:ascii="Arial" w:hAnsi="Arial" w:cs="Arial"/>
          <w:sz w:val="20"/>
          <w:szCs w:val="20"/>
        </w:rPr>
        <w:t>mesečn</w:t>
      </w:r>
      <w:r w:rsidR="008A0556">
        <w:rPr>
          <w:rFonts w:ascii="Arial" w:hAnsi="Arial" w:cs="Arial"/>
          <w:sz w:val="20"/>
          <w:szCs w:val="20"/>
        </w:rPr>
        <w:t>a</w:t>
      </w:r>
      <w:r w:rsidRPr="00D83239">
        <w:rPr>
          <w:rFonts w:ascii="Arial" w:hAnsi="Arial" w:cs="Arial"/>
          <w:sz w:val="20"/>
          <w:szCs w:val="20"/>
        </w:rPr>
        <w:t xml:space="preserve"> poročil</w:t>
      </w:r>
      <w:r w:rsidR="008A0556">
        <w:rPr>
          <w:rFonts w:ascii="Arial" w:hAnsi="Arial" w:cs="Arial"/>
          <w:sz w:val="20"/>
          <w:szCs w:val="20"/>
        </w:rPr>
        <w:t>a</w:t>
      </w:r>
      <w:r w:rsidRPr="00D83239">
        <w:rPr>
          <w:rFonts w:ascii="Arial" w:hAnsi="Arial" w:cs="Arial"/>
          <w:sz w:val="20"/>
          <w:szCs w:val="20"/>
        </w:rPr>
        <w:t xml:space="preserve"> INTRASTAT (12).</w:t>
      </w:r>
    </w:p>
    <w:p w14:paraId="46BAD95F" w14:textId="77777777" w:rsidR="00F85381" w:rsidRDefault="00F85381" w:rsidP="00D83239">
      <w:pPr>
        <w:autoSpaceDE w:val="0"/>
        <w:autoSpaceDN w:val="0"/>
        <w:adjustRightInd w:val="0"/>
        <w:spacing w:after="0" w:line="276" w:lineRule="auto"/>
        <w:jc w:val="both"/>
        <w:rPr>
          <w:rFonts w:ascii="Arial" w:eastAsiaTheme="minorHAnsi" w:hAnsi="Arial" w:cs="Arial"/>
          <w:sz w:val="20"/>
          <w:szCs w:val="20"/>
        </w:rPr>
      </w:pPr>
    </w:p>
    <w:p w14:paraId="05E94A23" w14:textId="121F4DB8" w:rsidR="00EC5EA9" w:rsidRPr="00D83239" w:rsidRDefault="00EC5EA9" w:rsidP="00D83239">
      <w:pPr>
        <w:autoSpaceDE w:val="0"/>
        <w:autoSpaceDN w:val="0"/>
        <w:adjustRightInd w:val="0"/>
        <w:spacing w:after="0" w:line="276" w:lineRule="auto"/>
        <w:jc w:val="both"/>
        <w:rPr>
          <w:rFonts w:ascii="Arial" w:hAnsi="Arial" w:cs="Arial"/>
          <w:b/>
          <w:sz w:val="20"/>
          <w:szCs w:val="20"/>
        </w:rPr>
      </w:pPr>
      <w:r w:rsidRPr="00D83239">
        <w:rPr>
          <w:rFonts w:ascii="Arial" w:eastAsiaTheme="minorHAnsi" w:hAnsi="Arial" w:cs="Arial"/>
          <w:sz w:val="20"/>
          <w:szCs w:val="20"/>
        </w:rPr>
        <w:t>V letu 2025 so bile urejene pravne podlage za ponovno vzpostavitev oz</w:t>
      </w:r>
      <w:r w:rsidR="006C6CCA">
        <w:rPr>
          <w:rFonts w:ascii="Arial" w:eastAsiaTheme="minorHAnsi" w:hAnsi="Arial" w:cs="Arial"/>
          <w:sz w:val="20"/>
          <w:szCs w:val="20"/>
        </w:rPr>
        <w:t>iroma</w:t>
      </w:r>
      <w:r w:rsidRPr="00D83239">
        <w:rPr>
          <w:rFonts w:ascii="Arial" w:eastAsiaTheme="minorHAnsi" w:hAnsi="Arial" w:cs="Arial"/>
          <w:sz w:val="20"/>
          <w:szCs w:val="20"/>
        </w:rPr>
        <w:t xml:space="preserve"> vrnitev samostojnosti policijskih uprav na področju javnega naročanja za določene kategorije (področja) javnih naročil, in sicer sprememba Navodila o izvajanju javnih naročil in javnih razpisov v Ministrstvu za notranje zadeve </w:t>
      </w:r>
      <w:r w:rsidR="00AD6744">
        <w:rPr>
          <w:rFonts w:ascii="Arial" w:eastAsiaTheme="minorHAnsi" w:hAnsi="Arial" w:cs="Arial"/>
          <w:sz w:val="20"/>
          <w:szCs w:val="20"/>
        </w:rPr>
        <w:t>ter</w:t>
      </w:r>
      <w:r w:rsidR="00AD6744" w:rsidRPr="00D83239">
        <w:rPr>
          <w:rFonts w:ascii="Arial" w:eastAsiaTheme="minorHAnsi" w:hAnsi="Arial" w:cs="Arial"/>
          <w:sz w:val="20"/>
          <w:szCs w:val="20"/>
        </w:rPr>
        <w:t xml:space="preserve"> </w:t>
      </w:r>
      <w:r w:rsidR="00AD6744">
        <w:rPr>
          <w:rFonts w:ascii="Arial" w:eastAsiaTheme="minorHAnsi" w:hAnsi="Arial" w:cs="Arial"/>
          <w:sz w:val="20"/>
          <w:szCs w:val="20"/>
        </w:rPr>
        <w:t>n</w:t>
      </w:r>
      <w:r w:rsidRPr="00D83239">
        <w:rPr>
          <w:rFonts w:ascii="Arial" w:eastAsiaTheme="minorHAnsi" w:hAnsi="Arial" w:cs="Arial"/>
          <w:sz w:val="20"/>
          <w:szCs w:val="20"/>
        </w:rPr>
        <w:t>ovela Zakona o organiziranosti in delu v policiji, ki sta začeli veljati v novembru 2025.</w:t>
      </w:r>
      <w:r w:rsidRPr="00D83239">
        <w:rPr>
          <w:rFonts w:ascii="Arial" w:hAnsi="Arial" w:cs="Arial"/>
          <w:sz w:val="20"/>
          <w:szCs w:val="20"/>
        </w:rPr>
        <w:t xml:space="preserve"> </w:t>
      </w:r>
      <w:r w:rsidRPr="00D83239">
        <w:rPr>
          <w:rFonts w:ascii="Arial" w:eastAsiaTheme="minorHAnsi" w:hAnsi="Arial" w:cs="Arial"/>
          <w:sz w:val="20"/>
          <w:szCs w:val="20"/>
        </w:rPr>
        <w:t xml:space="preserve">Namen </w:t>
      </w:r>
      <w:r w:rsidR="00AD6744">
        <w:rPr>
          <w:rFonts w:ascii="Arial" w:eastAsiaTheme="minorHAnsi" w:hAnsi="Arial" w:cs="Arial"/>
          <w:sz w:val="20"/>
          <w:szCs w:val="20"/>
        </w:rPr>
        <w:t>teh</w:t>
      </w:r>
      <w:r w:rsidR="00AD6744" w:rsidRPr="00D83239">
        <w:rPr>
          <w:rFonts w:ascii="Arial" w:eastAsiaTheme="minorHAnsi" w:hAnsi="Arial" w:cs="Arial"/>
          <w:sz w:val="20"/>
          <w:szCs w:val="20"/>
        </w:rPr>
        <w:t xml:space="preserve"> </w:t>
      </w:r>
      <w:r w:rsidRPr="00D83239">
        <w:rPr>
          <w:rFonts w:ascii="Arial" w:eastAsiaTheme="minorHAnsi" w:hAnsi="Arial" w:cs="Arial"/>
          <w:sz w:val="20"/>
          <w:szCs w:val="20"/>
        </w:rPr>
        <w:t xml:space="preserve">sprememb je </w:t>
      </w:r>
      <w:r w:rsidR="006C6CCA">
        <w:rPr>
          <w:rFonts w:ascii="Arial" w:eastAsiaTheme="minorHAnsi" w:hAnsi="Arial" w:cs="Arial"/>
          <w:sz w:val="20"/>
          <w:szCs w:val="20"/>
        </w:rPr>
        <w:t>policijskim upravam</w:t>
      </w:r>
      <w:r w:rsidRPr="00D83239">
        <w:rPr>
          <w:rFonts w:ascii="Arial" w:eastAsiaTheme="minorHAnsi" w:hAnsi="Arial" w:cs="Arial"/>
          <w:sz w:val="20"/>
          <w:szCs w:val="20"/>
        </w:rPr>
        <w:t xml:space="preserve">, ki so v preteklosti že samostojno izvajale </w:t>
      </w:r>
      <w:r w:rsidR="00AD6744">
        <w:rPr>
          <w:rFonts w:ascii="Arial" w:eastAsiaTheme="minorHAnsi" w:hAnsi="Arial" w:cs="Arial"/>
          <w:sz w:val="20"/>
          <w:szCs w:val="20"/>
        </w:rPr>
        <w:t>nekater</w:t>
      </w:r>
      <w:r w:rsidRPr="00D83239">
        <w:rPr>
          <w:rFonts w:ascii="Arial" w:eastAsiaTheme="minorHAnsi" w:hAnsi="Arial" w:cs="Arial"/>
          <w:sz w:val="20"/>
          <w:szCs w:val="20"/>
        </w:rPr>
        <w:t>e postopke javnih naročil, povrniti tovrstno samostojnost na določenih področjih s ciljem hitrejšega oz</w:t>
      </w:r>
      <w:r w:rsidR="006C6CCA">
        <w:rPr>
          <w:rFonts w:ascii="Arial" w:eastAsiaTheme="minorHAnsi" w:hAnsi="Arial" w:cs="Arial"/>
          <w:sz w:val="20"/>
          <w:szCs w:val="20"/>
        </w:rPr>
        <w:t>iroma</w:t>
      </w:r>
      <w:r w:rsidRPr="00D83239">
        <w:rPr>
          <w:rFonts w:ascii="Arial" w:eastAsiaTheme="minorHAnsi" w:hAnsi="Arial" w:cs="Arial"/>
          <w:sz w:val="20"/>
          <w:szCs w:val="20"/>
        </w:rPr>
        <w:t xml:space="preserve"> učinkovitejšega javnega naročanja </w:t>
      </w:r>
      <w:r w:rsidR="00AD6744">
        <w:rPr>
          <w:rFonts w:ascii="Arial" w:eastAsiaTheme="minorHAnsi" w:hAnsi="Arial" w:cs="Arial"/>
          <w:sz w:val="20"/>
          <w:szCs w:val="20"/>
        </w:rPr>
        <w:t>in s tem povezanega</w:t>
      </w:r>
      <w:r w:rsidRPr="00D83239">
        <w:rPr>
          <w:rFonts w:ascii="Arial" w:eastAsiaTheme="minorHAnsi" w:hAnsi="Arial" w:cs="Arial"/>
          <w:sz w:val="20"/>
          <w:szCs w:val="20"/>
        </w:rPr>
        <w:t xml:space="preserve"> pozitivnega vpliva na operativnost </w:t>
      </w:r>
      <w:r w:rsidR="006C6CCA">
        <w:rPr>
          <w:rFonts w:ascii="Arial" w:eastAsiaTheme="minorHAnsi" w:hAnsi="Arial" w:cs="Arial"/>
          <w:sz w:val="20"/>
          <w:szCs w:val="20"/>
        </w:rPr>
        <w:t>policijskih uprav</w:t>
      </w:r>
      <w:r w:rsidRPr="00D83239">
        <w:rPr>
          <w:rFonts w:ascii="Arial" w:eastAsiaTheme="minorHAnsi" w:hAnsi="Arial" w:cs="Arial"/>
          <w:sz w:val="20"/>
          <w:szCs w:val="20"/>
        </w:rPr>
        <w:t xml:space="preserve"> ter tako tudi racionalizacije poslovanja na področju javnega naročanja v MNZ</w:t>
      </w:r>
      <w:r w:rsidR="000A628E">
        <w:rPr>
          <w:rFonts w:ascii="Arial" w:eastAsiaTheme="minorHAnsi" w:hAnsi="Arial" w:cs="Arial"/>
          <w:sz w:val="20"/>
          <w:szCs w:val="20"/>
        </w:rPr>
        <w:t xml:space="preserve"> in</w:t>
      </w:r>
      <w:r w:rsidRPr="00D83239">
        <w:rPr>
          <w:rFonts w:ascii="Arial" w:eastAsiaTheme="minorHAnsi" w:hAnsi="Arial" w:cs="Arial"/>
          <w:sz w:val="20"/>
          <w:szCs w:val="20"/>
        </w:rPr>
        <w:t xml:space="preserve"> odprav</w:t>
      </w:r>
      <w:r w:rsidR="00AD6744">
        <w:rPr>
          <w:rFonts w:ascii="Arial" w:eastAsiaTheme="minorHAnsi" w:hAnsi="Arial" w:cs="Arial"/>
          <w:sz w:val="20"/>
          <w:szCs w:val="20"/>
        </w:rPr>
        <w:t>e</w:t>
      </w:r>
      <w:r w:rsidR="00B60EBD">
        <w:rPr>
          <w:rFonts w:ascii="Arial" w:eastAsiaTheme="minorHAnsi" w:hAnsi="Arial" w:cs="Arial"/>
          <w:sz w:val="20"/>
          <w:szCs w:val="20"/>
        </w:rPr>
        <w:t xml:space="preserve"> </w:t>
      </w:r>
      <w:r w:rsidRPr="00D83239">
        <w:rPr>
          <w:rFonts w:ascii="Arial" w:eastAsiaTheme="minorHAnsi" w:hAnsi="Arial" w:cs="Arial"/>
          <w:sz w:val="20"/>
          <w:szCs w:val="20"/>
        </w:rPr>
        <w:t>drobljenja javnih naročil zaradi izvajanja manjših evidenčnih naročil za t.</w:t>
      </w:r>
      <w:r w:rsidR="00AD6744">
        <w:rPr>
          <w:rFonts w:ascii="Arial" w:eastAsiaTheme="minorHAnsi" w:hAnsi="Arial" w:cs="Arial"/>
          <w:sz w:val="20"/>
          <w:szCs w:val="20"/>
        </w:rPr>
        <w:t> </w:t>
      </w:r>
      <w:r w:rsidRPr="00D83239">
        <w:rPr>
          <w:rFonts w:ascii="Arial" w:eastAsiaTheme="minorHAnsi" w:hAnsi="Arial" w:cs="Arial"/>
          <w:sz w:val="20"/>
          <w:szCs w:val="20"/>
        </w:rPr>
        <w:t>i. vmesna obdobja kot posledica neuspešnih kompleksnih postopkov javnih naročil, ki so v</w:t>
      </w:r>
      <w:r w:rsidR="00B60EBD">
        <w:rPr>
          <w:rFonts w:ascii="Arial" w:eastAsiaTheme="minorHAnsi" w:hAnsi="Arial" w:cs="Arial"/>
          <w:sz w:val="20"/>
          <w:szCs w:val="20"/>
        </w:rPr>
        <w:t xml:space="preserve">ključevali potrebe vseh notranjih </w:t>
      </w:r>
      <w:proofErr w:type="spellStart"/>
      <w:r w:rsidRPr="00D83239">
        <w:rPr>
          <w:rFonts w:ascii="Arial" w:eastAsiaTheme="minorHAnsi" w:hAnsi="Arial" w:cs="Arial"/>
          <w:sz w:val="20"/>
          <w:szCs w:val="20"/>
        </w:rPr>
        <w:t>organozacijskih</w:t>
      </w:r>
      <w:proofErr w:type="spellEnd"/>
      <w:r w:rsidRPr="00D83239">
        <w:rPr>
          <w:rFonts w:ascii="Arial" w:eastAsiaTheme="minorHAnsi" w:hAnsi="Arial" w:cs="Arial"/>
          <w:sz w:val="20"/>
          <w:szCs w:val="20"/>
        </w:rPr>
        <w:t xml:space="preserve"> enot, vključno s</w:t>
      </w:r>
      <w:r w:rsidR="000A628E">
        <w:rPr>
          <w:rFonts w:ascii="Arial" w:eastAsiaTheme="minorHAnsi" w:hAnsi="Arial" w:cs="Arial"/>
          <w:sz w:val="20"/>
          <w:szCs w:val="20"/>
        </w:rPr>
        <w:t xml:space="preserve"> policijskimi upravami</w:t>
      </w:r>
      <w:r w:rsidRPr="00D83239">
        <w:rPr>
          <w:rFonts w:ascii="Arial" w:eastAsiaTheme="minorHAnsi" w:hAnsi="Arial" w:cs="Arial"/>
          <w:sz w:val="20"/>
          <w:szCs w:val="20"/>
        </w:rPr>
        <w:t>.</w:t>
      </w:r>
    </w:p>
    <w:p w14:paraId="16B50383" w14:textId="77777777" w:rsidR="00EC5EA9" w:rsidRPr="00D83239" w:rsidRDefault="00EC5EA9" w:rsidP="00D83239">
      <w:pPr>
        <w:spacing w:after="0" w:line="276" w:lineRule="auto"/>
        <w:jc w:val="both"/>
        <w:rPr>
          <w:rFonts w:ascii="Arial" w:hAnsi="Arial" w:cs="Arial"/>
          <w:b/>
          <w:sz w:val="20"/>
          <w:szCs w:val="20"/>
          <w:highlight w:val="yellow"/>
        </w:rPr>
      </w:pPr>
    </w:p>
    <w:p w14:paraId="3F91D0DF" w14:textId="2903C35E" w:rsidR="00EC5EA9" w:rsidRPr="00D22FDB" w:rsidRDefault="00EC5EA9" w:rsidP="00D83239">
      <w:pPr>
        <w:tabs>
          <w:tab w:val="left" w:pos="9070"/>
        </w:tabs>
        <w:autoSpaceDE w:val="0"/>
        <w:autoSpaceDN w:val="0"/>
        <w:adjustRightInd w:val="0"/>
        <w:spacing w:after="0" w:line="276" w:lineRule="auto"/>
        <w:jc w:val="both"/>
        <w:rPr>
          <w:rFonts w:ascii="Arial" w:hAnsi="Arial" w:cs="Arial"/>
          <w:b/>
          <w:sz w:val="20"/>
          <w:szCs w:val="20"/>
        </w:rPr>
      </w:pPr>
      <w:bookmarkStart w:id="119" w:name="_Hlk221715309"/>
      <w:bookmarkStart w:id="120" w:name="_Toc65591470"/>
      <w:bookmarkStart w:id="121" w:name="_Toc65651021"/>
      <w:r w:rsidRPr="00D22FDB">
        <w:rPr>
          <w:rFonts w:ascii="Arial" w:hAnsi="Arial" w:cs="Arial"/>
          <w:b/>
          <w:sz w:val="20"/>
          <w:szCs w:val="20"/>
        </w:rPr>
        <w:t>Investicijska vzdrževalna dela (</w:t>
      </w:r>
      <w:r w:rsidR="00AD6744" w:rsidRPr="00D22FDB">
        <w:rPr>
          <w:rFonts w:ascii="Arial" w:hAnsi="Arial" w:cs="Arial"/>
          <w:b/>
          <w:sz w:val="20"/>
          <w:szCs w:val="20"/>
        </w:rPr>
        <w:t xml:space="preserve">in </w:t>
      </w:r>
      <w:r w:rsidRPr="00D22FDB">
        <w:rPr>
          <w:rFonts w:ascii="Arial" w:hAnsi="Arial" w:cs="Arial"/>
          <w:b/>
          <w:sz w:val="20"/>
          <w:szCs w:val="20"/>
        </w:rPr>
        <w:t>projektna dokumentacija), ki so se začela leta 2025 in s</w:t>
      </w:r>
      <w:r w:rsidR="00AD6744" w:rsidRPr="00D22FDB">
        <w:rPr>
          <w:rFonts w:ascii="Arial" w:hAnsi="Arial" w:cs="Arial"/>
          <w:b/>
          <w:sz w:val="20"/>
          <w:szCs w:val="20"/>
        </w:rPr>
        <w:t>e</w:t>
      </w:r>
      <w:r w:rsidRPr="00D22FDB">
        <w:rPr>
          <w:rFonts w:ascii="Arial" w:hAnsi="Arial" w:cs="Arial"/>
          <w:b/>
          <w:sz w:val="20"/>
          <w:szCs w:val="20"/>
        </w:rPr>
        <w:t xml:space="preserve"> še izv</w:t>
      </w:r>
      <w:r w:rsidR="00AD6744" w:rsidRPr="00D22FDB">
        <w:rPr>
          <w:rFonts w:ascii="Arial" w:hAnsi="Arial" w:cs="Arial"/>
          <w:b/>
          <w:sz w:val="20"/>
          <w:szCs w:val="20"/>
        </w:rPr>
        <w:t>ajajo</w:t>
      </w:r>
      <w:r w:rsidRPr="00D22FDB">
        <w:rPr>
          <w:rFonts w:ascii="Arial" w:hAnsi="Arial" w:cs="Arial"/>
          <w:b/>
          <w:sz w:val="20"/>
          <w:szCs w:val="20"/>
        </w:rPr>
        <w:t xml:space="preserve">: </w:t>
      </w:r>
    </w:p>
    <w:p w14:paraId="5806DA18" w14:textId="106AC604" w:rsidR="00EC5EA9" w:rsidRPr="00D22FDB" w:rsidRDefault="000A628E" w:rsidP="00FE543C">
      <w:pPr>
        <w:pStyle w:val="Odstavekseznama"/>
        <w:numPr>
          <w:ilvl w:val="0"/>
          <w:numId w:val="14"/>
        </w:numPr>
        <w:spacing w:after="0"/>
        <w:contextualSpacing/>
        <w:jc w:val="both"/>
        <w:rPr>
          <w:rFonts w:ascii="Arial" w:hAnsi="Arial" w:cs="Arial"/>
          <w:sz w:val="20"/>
          <w:szCs w:val="20"/>
        </w:rPr>
      </w:pPr>
      <w:r w:rsidRPr="00D22FDB">
        <w:rPr>
          <w:rFonts w:ascii="Arial" w:hAnsi="Arial" w:cs="Arial"/>
          <w:sz w:val="20"/>
          <w:szCs w:val="20"/>
        </w:rPr>
        <w:t>e</w:t>
      </w:r>
      <w:r w:rsidR="00EC5EA9" w:rsidRPr="00D22FDB">
        <w:rPr>
          <w:rFonts w:ascii="Arial" w:hAnsi="Arial" w:cs="Arial"/>
          <w:sz w:val="20"/>
          <w:szCs w:val="20"/>
        </w:rPr>
        <w:t>nergetska sanacija fasadnega ovoja P</w:t>
      </w:r>
      <w:r w:rsidR="0010021C" w:rsidRPr="00D22FDB">
        <w:rPr>
          <w:rFonts w:ascii="Arial" w:hAnsi="Arial" w:cs="Arial"/>
          <w:sz w:val="20"/>
          <w:szCs w:val="20"/>
        </w:rPr>
        <w:t>olicijske uprave</w:t>
      </w:r>
      <w:r w:rsidR="00EC5EA9" w:rsidRPr="00D22FDB">
        <w:rPr>
          <w:rFonts w:ascii="Arial" w:hAnsi="Arial" w:cs="Arial"/>
          <w:sz w:val="20"/>
          <w:szCs w:val="20"/>
        </w:rPr>
        <w:t xml:space="preserve"> Murska Sobota,</w:t>
      </w:r>
    </w:p>
    <w:p w14:paraId="19E9B7D1" w14:textId="475FB3E8" w:rsidR="00EC5EA9" w:rsidRPr="00D22FDB" w:rsidRDefault="000A628E" w:rsidP="00FE543C">
      <w:pPr>
        <w:pStyle w:val="Odstavekseznama"/>
        <w:numPr>
          <w:ilvl w:val="0"/>
          <w:numId w:val="14"/>
        </w:numPr>
        <w:spacing w:after="0"/>
        <w:contextualSpacing/>
        <w:jc w:val="both"/>
        <w:rPr>
          <w:rFonts w:ascii="Arial" w:hAnsi="Arial" w:cs="Arial"/>
          <w:sz w:val="20"/>
          <w:szCs w:val="20"/>
        </w:rPr>
      </w:pPr>
      <w:r w:rsidRPr="00D22FDB">
        <w:rPr>
          <w:rFonts w:ascii="Arial" w:hAnsi="Arial" w:cs="Arial"/>
          <w:sz w:val="20"/>
          <w:szCs w:val="20"/>
        </w:rPr>
        <w:t>z</w:t>
      </w:r>
      <w:r w:rsidR="00EC5EA9" w:rsidRPr="00D22FDB">
        <w:rPr>
          <w:rFonts w:ascii="Arial" w:hAnsi="Arial" w:cs="Arial"/>
          <w:sz w:val="20"/>
          <w:szCs w:val="20"/>
        </w:rPr>
        <w:t xml:space="preserve">amenjava strešne kritine na nadstrešku na </w:t>
      </w:r>
      <w:r w:rsidR="00AD6744" w:rsidRPr="00D22FDB">
        <w:rPr>
          <w:rFonts w:ascii="Arial" w:hAnsi="Arial" w:cs="Arial"/>
          <w:sz w:val="20"/>
          <w:szCs w:val="20"/>
        </w:rPr>
        <w:t>nekdanj</w:t>
      </w:r>
      <w:r w:rsidR="00EC5EA9" w:rsidRPr="00D22FDB">
        <w:rPr>
          <w:rFonts w:ascii="Arial" w:hAnsi="Arial" w:cs="Arial"/>
          <w:sz w:val="20"/>
          <w:szCs w:val="20"/>
        </w:rPr>
        <w:t xml:space="preserve">em </w:t>
      </w:r>
      <w:r w:rsidR="0010021C" w:rsidRPr="00D22FDB">
        <w:rPr>
          <w:rFonts w:ascii="Arial" w:hAnsi="Arial" w:cs="Arial"/>
          <w:sz w:val="20"/>
          <w:szCs w:val="20"/>
        </w:rPr>
        <w:t>mejnem prehodu</w:t>
      </w:r>
      <w:r w:rsidR="00EC5EA9" w:rsidRPr="00D22FDB">
        <w:rPr>
          <w:rFonts w:ascii="Arial" w:hAnsi="Arial" w:cs="Arial"/>
          <w:sz w:val="20"/>
          <w:szCs w:val="20"/>
        </w:rPr>
        <w:t xml:space="preserve"> Šentilj,</w:t>
      </w:r>
    </w:p>
    <w:p w14:paraId="363D9263" w14:textId="3D859E74" w:rsidR="00EC5EA9" w:rsidRPr="00D22FDB" w:rsidRDefault="000A628E" w:rsidP="00FE543C">
      <w:pPr>
        <w:pStyle w:val="Odstavekseznama"/>
        <w:numPr>
          <w:ilvl w:val="0"/>
          <w:numId w:val="14"/>
        </w:numPr>
        <w:spacing w:after="0"/>
        <w:contextualSpacing/>
        <w:jc w:val="both"/>
        <w:rPr>
          <w:rFonts w:ascii="Arial" w:hAnsi="Arial" w:cs="Arial"/>
          <w:sz w:val="20"/>
          <w:szCs w:val="20"/>
        </w:rPr>
      </w:pPr>
      <w:r w:rsidRPr="00D22FDB">
        <w:rPr>
          <w:rFonts w:ascii="Arial" w:hAnsi="Arial" w:cs="Arial"/>
          <w:sz w:val="20"/>
          <w:szCs w:val="20"/>
        </w:rPr>
        <w:t>s</w:t>
      </w:r>
      <w:r w:rsidR="00EC5EA9" w:rsidRPr="00D22FDB">
        <w:rPr>
          <w:rFonts w:ascii="Arial" w:hAnsi="Arial" w:cs="Arial"/>
          <w:sz w:val="20"/>
          <w:szCs w:val="20"/>
        </w:rPr>
        <w:t>anacija hlajenja prostorov DRC na P</w:t>
      </w:r>
      <w:r w:rsidR="0010021C" w:rsidRPr="00D22FDB">
        <w:rPr>
          <w:rFonts w:ascii="Arial" w:hAnsi="Arial" w:cs="Arial"/>
          <w:sz w:val="20"/>
          <w:szCs w:val="20"/>
        </w:rPr>
        <w:t>olicijski upravi</w:t>
      </w:r>
      <w:r w:rsidR="00EC5EA9" w:rsidRPr="00D22FDB">
        <w:rPr>
          <w:rFonts w:ascii="Arial" w:hAnsi="Arial" w:cs="Arial"/>
          <w:sz w:val="20"/>
          <w:szCs w:val="20"/>
        </w:rPr>
        <w:t xml:space="preserve"> Novo mesto,</w:t>
      </w:r>
    </w:p>
    <w:p w14:paraId="7325A20C" w14:textId="23D1A873" w:rsidR="00EC5EA9" w:rsidRPr="00D22FDB" w:rsidRDefault="000A628E" w:rsidP="00FE543C">
      <w:pPr>
        <w:pStyle w:val="Odstavekseznama"/>
        <w:numPr>
          <w:ilvl w:val="0"/>
          <w:numId w:val="14"/>
        </w:numPr>
        <w:spacing w:after="0"/>
        <w:contextualSpacing/>
        <w:jc w:val="both"/>
        <w:rPr>
          <w:rFonts w:ascii="Arial" w:hAnsi="Arial" w:cs="Arial"/>
          <w:sz w:val="20"/>
          <w:szCs w:val="20"/>
        </w:rPr>
      </w:pPr>
      <w:r w:rsidRPr="00D22FDB">
        <w:rPr>
          <w:rFonts w:ascii="Arial" w:hAnsi="Arial" w:cs="Arial"/>
          <w:sz w:val="20"/>
          <w:szCs w:val="20"/>
        </w:rPr>
        <w:t>i</w:t>
      </w:r>
      <w:r w:rsidR="00EC5EA9" w:rsidRPr="00D22FDB">
        <w:rPr>
          <w:rFonts w:ascii="Arial" w:hAnsi="Arial" w:cs="Arial"/>
          <w:sz w:val="20"/>
          <w:szCs w:val="20"/>
        </w:rPr>
        <w:t>zdelava projektne dokumentacije PZI za novogradnjo P</w:t>
      </w:r>
      <w:r w:rsidR="00D22FDB">
        <w:rPr>
          <w:rFonts w:ascii="Arial" w:hAnsi="Arial" w:cs="Arial"/>
          <w:sz w:val="20"/>
          <w:szCs w:val="20"/>
        </w:rPr>
        <w:t>olicijske postaje</w:t>
      </w:r>
      <w:r w:rsidR="00EC5EA9" w:rsidRPr="00D22FDB">
        <w:rPr>
          <w:rFonts w:ascii="Arial" w:hAnsi="Arial" w:cs="Arial"/>
          <w:sz w:val="20"/>
          <w:szCs w:val="20"/>
        </w:rPr>
        <w:t xml:space="preserve"> Ajdovščina,</w:t>
      </w:r>
    </w:p>
    <w:p w14:paraId="05C6AE82" w14:textId="0BF857FF" w:rsidR="00EC5EA9" w:rsidRPr="00D22FDB" w:rsidRDefault="000A628E" w:rsidP="00FE543C">
      <w:pPr>
        <w:pStyle w:val="Odstavekseznama"/>
        <w:numPr>
          <w:ilvl w:val="0"/>
          <w:numId w:val="14"/>
        </w:numPr>
        <w:spacing w:after="0"/>
        <w:contextualSpacing/>
        <w:jc w:val="both"/>
        <w:rPr>
          <w:rFonts w:ascii="Arial" w:hAnsi="Arial" w:cs="Arial"/>
          <w:sz w:val="20"/>
          <w:szCs w:val="20"/>
        </w:rPr>
      </w:pPr>
      <w:r w:rsidRPr="00D22FDB">
        <w:rPr>
          <w:rFonts w:ascii="Arial" w:hAnsi="Arial" w:cs="Arial"/>
          <w:sz w:val="20"/>
          <w:szCs w:val="20"/>
        </w:rPr>
        <w:t>p</w:t>
      </w:r>
      <w:r w:rsidR="00EC5EA9" w:rsidRPr="00D22FDB">
        <w:rPr>
          <w:rFonts w:ascii="Arial" w:hAnsi="Arial" w:cs="Arial"/>
          <w:sz w:val="20"/>
          <w:szCs w:val="20"/>
        </w:rPr>
        <w:t xml:space="preserve">rojektiranje umestitve pisarn v </w:t>
      </w:r>
      <w:r w:rsidR="00AD6744" w:rsidRPr="00D22FDB">
        <w:rPr>
          <w:rFonts w:ascii="Arial" w:hAnsi="Arial" w:cs="Arial"/>
          <w:sz w:val="20"/>
          <w:szCs w:val="20"/>
        </w:rPr>
        <w:t>nekdanj</w:t>
      </w:r>
      <w:r w:rsidR="00EC5EA9" w:rsidRPr="00D22FDB">
        <w:rPr>
          <w:rFonts w:ascii="Arial" w:hAnsi="Arial" w:cs="Arial"/>
          <w:sz w:val="20"/>
          <w:szCs w:val="20"/>
        </w:rPr>
        <w:t xml:space="preserve">o delilnico hrane na Štefanovi </w:t>
      </w:r>
      <w:r w:rsidR="00D22FDB">
        <w:rPr>
          <w:rFonts w:ascii="Arial" w:hAnsi="Arial" w:cs="Arial"/>
          <w:sz w:val="20"/>
          <w:szCs w:val="20"/>
        </w:rPr>
        <w:t xml:space="preserve">ulici </w:t>
      </w:r>
      <w:r w:rsidR="00EC5EA9" w:rsidRPr="00D22FDB">
        <w:rPr>
          <w:rFonts w:ascii="Arial" w:hAnsi="Arial" w:cs="Arial"/>
          <w:sz w:val="20"/>
          <w:szCs w:val="20"/>
        </w:rPr>
        <w:t>2 v Ljubljani.</w:t>
      </w:r>
    </w:p>
    <w:bookmarkEnd w:id="119"/>
    <w:p w14:paraId="3221665A" w14:textId="77777777" w:rsidR="00EC5EA9" w:rsidRPr="00D83239" w:rsidRDefault="00EC5EA9" w:rsidP="00D83239">
      <w:pPr>
        <w:tabs>
          <w:tab w:val="left" w:pos="9070"/>
        </w:tabs>
        <w:autoSpaceDE w:val="0"/>
        <w:autoSpaceDN w:val="0"/>
        <w:adjustRightInd w:val="0"/>
        <w:spacing w:after="0" w:line="276" w:lineRule="auto"/>
        <w:jc w:val="both"/>
        <w:rPr>
          <w:rFonts w:ascii="Arial" w:hAnsi="Arial" w:cs="Arial"/>
          <w:sz w:val="20"/>
          <w:szCs w:val="20"/>
        </w:rPr>
      </w:pPr>
    </w:p>
    <w:p w14:paraId="46605C38" w14:textId="456DE727" w:rsidR="00EC5EA9" w:rsidRPr="00D83239" w:rsidRDefault="00EC5EA9" w:rsidP="00D83239">
      <w:pPr>
        <w:tabs>
          <w:tab w:val="left" w:pos="9070"/>
        </w:tabs>
        <w:autoSpaceDE w:val="0"/>
        <w:autoSpaceDN w:val="0"/>
        <w:adjustRightInd w:val="0"/>
        <w:spacing w:after="0" w:line="276" w:lineRule="auto"/>
        <w:jc w:val="both"/>
        <w:rPr>
          <w:rFonts w:ascii="Arial" w:hAnsi="Arial" w:cs="Arial"/>
          <w:b/>
          <w:sz w:val="20"/>
          <w:szCs w:val="20"/>
        </w:rPr>
      </w:pPr>
      <w:r w:rsidRPr="00D83239">
        <w:rPr>
          <w:rFonts w:ascii="Arial" w:hAnsi="Arial" w:cs="Arial"/>
          <w:b/>
          <w:sz w:val="20"/>
          <w:szCs w:val="20"/>
        </w:rPr>
        <w:t xml:space="preserve">Projekti na področju investicijskega vzdrževanja in projektna dokumentacija, izvedeni v letu 2025: </w:t>
      </w:r>
    </w:p>
    <w:p w14:paraId="79BE9BCB" w14:textId="3AEF2EE3" w:rsidR="00EC5EA9" w:rsidRPr="00D83239" w:rsidRDefault="000A628E" w:rsidP="00FE543C">
      <w:pPr>
        <w:pStyle w:val="Odstavekseznama"/>
        <w:numPr>
          <w:ilvl w:val="0"/>
          <w:numId w:val="20"/>
        </w:numPr>
        <w:tabs>
          <w:tab w:val="left" w:pos="993"/>
          <w:tab w:val="left" w:pos="9070"/>
        </w:tabs>
        <w:autoSpaceDE w:val="0"/>
        <w:autoSpaceDN w:val="0"/>
        <w:adjustRightInd w:val="0"/>
        <w:spacing w:after="0"/>
        <w:contextualSpacing/>
        <w:jc w:val="both"/>
        <w:rPr>
          <w:rFonts w:ascii="Arial" w:hAnsi="Arial" w:cs="Arial"/>
          <w:sz w:val="20"/>
          <w:szCs w:val="20"/>
        </w:rPr>
      </w:pPr>
      <w:r>
        <w:rPr>
          <w:rFonts w:ascii="Arial" w:hAnsi="Arial" w:cs="Arial"/>
          <w:sz w:val="20"/>
          <w:szCs w:val="20"/>
        </w:rPr>
        <w:t>i</w:t>
      </w:r>
      <w:r w:rsidR="00EC5EA9" w:rsidRPr="00D83239">
        <w:rPr>
          <w:rFonts w:ascii="Arial" w:hAnsi="Arial" w:cs="Arial"/>
          <w:sz w:val="20"/>
          <w:szCs w:val="20"/>
        </w:rPr>
        <w:t>nvesticijska vzdrževalna dela za obnovo službenih stanovanj,</w:t>
      </w:r>
    </w:p>
    <w:p w14:paraId="206BB794" w14:textId="7C2874E8"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 xml:space="preserve">stražarske hiške: </w:t>
      </w:r>
      <w:r w:rsidR="000A628E">
        <w:rPr>
          <w:rFonts w:ascii="Arial" w:hAnsi="Arial" w:cs="Arial"/>
          <w:sz w:val="20"/>
          <w:szCs w:val="20"/>
        </w:rPr>
        <w:t>z</w:t>
      </w:r>
      <w:r w:rsidRPr="00D83239">
        <w:rPr>
          <w:rFonts w:ascii="Arial" w:hAnsi="Arial" w:cs="Arial"/>
          <w:sz w:val="20"/>
          <w:szCs w:val="20"/>
        </w:rPr>
        <w:t>amenjava dveh starih stražarskih hišk na lokacijah Erjavčeva</w:t>
      </w:r>
      <w:r w:rsidR="00B60EBD">
        <w:rPr>
          <w:rFonts w:ascii="Arial" w:hAnsi="Arial" w:cs="Arial"/>
          <w:sz w:val="20"/>
          <w:szCs w:val="20"/>
        </w:rPr>
        <w:t xml:space="preserve"> cesta in </w:t>
      </w:r>
      <w:proofErr w:type="spellStart"/>
      <w:r w:rsidR="00B60EBD">
        <w:rPr>
          <w:rFonts w:ascii="Arial" w:hAnsi="Arial" w:cs="Arial"/>
          <w:sz w:val="20"/>
          <w:szCs w:val="20"/>
        </w:rPr>
        <w:t>Windische</w:t>
      </w:r>
      <w:r w:rsidRPr="00D83239">
        <w:rPr>
          <w:rFonts w:ascii="Arial" w:hAnsi="Arial" w:cs="Arial"/>
          <w:sz w:val="20"/>
          <w:szCs w:val="20"/>
        </w:rPr>
        <w:t>rjeva</w:t>
      </w:r>
      <w:proofErr w:type="spellEnd"/>
      <w:r w:rsidR="00B60EBD">
        <w:rPr>
          <w:rFonts w:ascii="Arial" w:hAnsi="Arial" w:cs="Arial"/>
          <w:sz w:val="20"/>
          <w:szCs w:val="20"/>
        </w:rPr>
        <w:t xml:space="preserve"> ulica</w:t>
      </w:r>
      <w:r w:rsidRPr="00D83239">
        <w:rPr>
          <w:rFonts w:ascii="Arial" w:hAnsi="Arial" w:cs="Arial"/>
          <w:sz w:val="20"/>
          <w:szCs w:val="20"/>
        </w:rPr>
        <w:t xml:space="preserve">, </w:t>
      </w:r>
    </w:p>
    <w:p w14:paraId="5F6E73EB" w14:textId="38CA5F53" w:rsidR="00EC5EA9" w:rsidRPr="00D83239" w:rsidRDefault="00EC5EA9" w:rsidP="00FE543C">
      <w:pPr>
        <w:numPr>
          <w:ilvl w:val="0"/>
          <w:numId w:val="20"/>
        </w:numPr>
        <w:autoSpaceDE w:val="0"/>
        <w:autoSpaceDN w:val="0"/>
        <w:adjustRightInd w:val="0"/>
        <w:spacing w:line="276" w:lineRule="auto"/>
        <w:contextualSpacing/>
        <w:jc w:val="both"/>
        <w:rPr>
          <w:rFonts w:ascii="Arial" w:hAnsi="Arial" w:cs="Arial"/>
          <w:sz w:val="20"/>
          <w:szCs w:val="20"/>
        </w:rPr>
      </w:pPr>
      <w:r w:rsidRPr="00D83239">
        <w:rPr>
          <w:rFonts w:ascii="Arial" w:hAnsi="Arial" w:cs="Arial"/>
          <w:sz w:val="20"/>
          <w:szCs w:val="20"/>
        </w:rPr>
        <w:t>L</w:t>
      </w:r>
      <w:r w:rsidR="000A628E">
        <w:rPr>
          <w:rFonts w:ascii="Arial" w:hAnsi="Arial" w:cs="Arial"/>
          <w:sz w:val="20"/>
          <w:szCs w:val="20"/>
        </w:rPr>
        <w:t>etalska policijska enota</w:t>
      </w:r>
      <w:r w:rsidRPr="00D83239">
        <w:rPr>
          <w:rFonts w:ascii="Arial" w:hAnsi="Arial" w:cs="Arial"/>
          <w:sz w:val="20"/>
          <w:szCs w:val="20"/>
        </w:rPr>
        <w:t xml:space="preserve"> Brnik: </w:t>
      </w:r>
      <w:r w:rsidR="000A628E">
        <w:rPr>
          <w:rFonts w:ascii="Arial" w:hAnsi="Arial" w:cs="Arial"/>
          <w:sz w:val="20"/>
          <w:szCs w:val="20"/>
        </w:rPr>
        <w:t>z</w:t>
      </w:r>
      <w:r w:rsidRPr="00D83239">
        <w:rPr>
          <w:rFonts w:ascii="Arial" w:hAnsi="Arial" w:cs="Arial"/>
          <w:sz w:val="20"/>
          <w:szCs w:val="20"/>
        </w:rPr>
        <w:t xml:space="preserve">agotovljena je bila polnilnica za akumulatorske baterije, </w:t>
      </w:r>
    </w:p>
    <w:p w14:paraId="2B61DF54" w14:textId="6575AC89" w:rsidR="00EC5EA9" w:rsidRPr="00D83239" w:rsidRDefault="00EC5EA9" w:rsidP="00FE543C">
      <w:pPr>
        <w:numPr>
          <w:ilvl w:val="0"/>
          <w:numId w:val="20"/>
        </w:numPr>
        <w:autoSpaceDE w:val="0"/>
        <w:autoSpaceDN w:val="0"/>
        <w:adjustRightInd w:val="0"/>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postaja</w:t>
      </w:r>
      <w:r w:rsidRPr="00D83239">
        <w:rPr>
          <w:rFonts w:ascii="Arial" w:hAnsi="Arial" w:cs="Arial"/>
          <w:sz w:val="20"/>
          <w:szCs w:val="20"/>
        </w:rPr>
        <w:t xml:space="preserve"> Podlehnik: </w:t>
      </w:r>
      <w:r w:rsidR="000A628E">
        <w:rPr>
          <w:rFonts w:ascii="Arial" w:hAnsi="Arial" w:cs="Arial"/>
          <w:sz w:val="20"/>
          <w:szCs w:val="20"/>
        </w:rPr>
        <w:t>z</w:t>
      </w:r>
      <w:r w:rsidRPr="00D83239">
        <w:rPr>
          <w:rFonts w:ascii="Arial" w:hAnsi="Arial" w:cs="Arial"/>
          <w:sz w:val="20"/>
          <w:szCs w:val="20"/>
        </w:rPr>
        <w:t>amenjava vhodnih vrat,</w:t>
      </w:r>
    </w:p>
    <w:p w14:paraId="64C17500" w14:textId="1621D7CB" w:rsidR="00EC5EA9" w:rsidRPr="00D83239" w:rsidRDefault="000A628E" w:rsidP="00FE543C">
      <w:pPr>
        <w:numPr>
          <w:ilvl w:val="0"/>
          <w:numId w:val="20"/>
        </w:numPr>
        <w:autoSpaceDE w:val="0"/>
        <w:autoSpaceDN w:val="0"/>
        <w:adjustRightInd w:val="0"/>
        <w:spacing w:line="276" w:lineRule="auto"/>
        <w:contextualSpacing/>
        <w:jc w:val="both"/>
        <w:rPr>
          <w:rFonts w:ascii="Arial" w:hAnsi="Arial" w:cs="Arial"/>
          <w:sz w:val="20"/>
          <w:szCs w:val="20"/>
        </w:rPr>
      </w:pPr>
      <w:r>
        <w:rPr>
          <w:rFonts w:ascii="Arial" w:hAnsi="Arial" w:cs="Arial"/>
          <w:sz w:val="20"/>
          <w:szCs w:val="20"/>
        </w:rPr>
        <w:t>Policijska postaja</w:t>
      </w:r>
      <w:r w:rsidR="00EC5EA9" w:rsidRPr="00D83239">
        <w:rPr>
          <w:rFonts w:ascii="Arial" w:hAnsi="Arial" w:cs="Arial"/>
          <w:sz w:val="20"/>
          <w:szCs w:val="20"/>
        </w:rPr>
        <w:t xml:space="preserve"> Podlehnik: izdelava PZI dokumentacije za sanacijo cevne inštalacije,</w:t>
      </w:r>
    </w:p>
    <w:p w14:paraId="6CB278E2" w14:textId="4DCBCFFF" w:rsidR="00EC5EA9" w:rsidRPr="00D83239" w:rsidRDefault="00EC5EA9" w:rsidP="00FE543C">
      <w:pPr>
        <w:numPr>
          <w:ilvl w:val="0"/>
          <w:numId w:val="20"/>
        </w:numPr>
        <w:autoSpaceDE w:val="0"/>
        <w:autoSpaceDN w:val="0"/>
        <w:adjustRightInd w:val="0"/>
        <w:spacing w:line="276" w:lineRule="auto"/>
        <w:contextualSpacing/>
        <w:jc w:val="both"/>
        <w:rPr>
          <w:rFonts w:ascii="Arial" w:hAnsi="Arial" w:cs="Arial"/>
          <w:sz w:val="20"/>
          <w:szCs w:val="20"/>
        </w:rPr>
      </w:pPr>
      <w:r w:rsidRPr="00D83239">
        <w:rPr>
          <w:rFonts w:ascii="Arial" w:hAnsi="Arial" w:cs="Arial"/>
          <w:sz w:val="20"/>
          <w:szCs w:val="20"/>
        </w:rPr>
        <w:t>Vodovodna</w:t>
      </w:r>
      <w:r w:rsidR="008B31CC">
        <w:rPr>
          <w:rFonts w:ascii="Arial" w:hAnsi="Arial" w:cs="Arial"/>
          <w:sz w:val="20"/>
          <w:szCs w:val="20"/>
        </w:rPr>
        <w:t xml:space="preserve"> cesta</w:t>
      </w:r>
      <w:r w:rsidRPr="00D83239">
        <w:rPr>
          <w:rFonts w:ascii="Arial" w:hAnsi="Arial" w:cs="Arial"/>
          <w:sz w:val="20"/>
          <w:szCs w:val="20"/>
        </w:rPr>
        <w:t xml:space="preserve"> 93a v Ljubljani: pridobitev projektne dokumentacije za ureditev prostorov in pisarn,</w:t>
      </w:r>
    </w:p>
    <w:p w14:paraId="15D467EC" w14:textId="261C5494" w:rsidR="00EC5EA9" w:rsidRPr="00D83239" w:rsidRDefault="00EC5EA9" w:rsidP="00FE543C">
      <w:pPr>
        <w:numPr>
          <w:ilvl w:val="0"/>
          <w:numId w:val="20"/>
        </w:numPr>
        <w:autoSpaceDE w:val="0"/>
        <w:autoSpaceDN w:val="0"/>
        <w:adjustRightInd w:val="0"/>
        <w:spacing w:line="276" w:lineRule="auto"/>
        <w:contextualSpacing/>
        <w:jc w:val="both"/>
        <w:rPr>
          <w:rFonts w:ascii="Arial" w:hAnsi="Arial" w:cs="Arial"/>
          <w:sz w:val="20"/>
          <w:szCs w:val="20"/>
        </w:rPr>
      </w:pPr>
      <w:r w:rsidRPr="00D83239">
        <w:rPr>
          <w:rFonts w:ascii="Arial" w:hAnsi="Arial" w:cs="Arial"/>
          <w:sz w:val="20"/>
          <w:szCs w:val="20"/>
        </w:rPr>
        <w:t xml:space="preserve">Vič, Dravograd: </w:t>
      </w:r>
      <w:r w:rsidR="000A628E">
        <w:rPr>
          <w:rFonts w:ascii="Arial" w:hAnsi="Arial" w:cs="Arial"/>
          <w:sz w:val="20"/>
          <w:szCs w:val="20"/>
        </w:rPr>
        <w:t>z</w:t>
      </w:r>
      <w:r w:rsidRPr="00D83239">
        <w:rPr>
          <w:rFonts w:ascii="Arial" w:hAnsi="Arial" w:cs="Arial"/>
          <w:sz w:val="20"/>
          <w:szCs w:val="20"/>
        </w:rPr>
        <w:t>amenjava plinske peči,</w:t>
      </w:r>
    </w:p>
    <w:p w14:paraId="10A378EB" w14:textId="6E68EC5E" w:rsidR="00EC5EA9" w:rsidRPr="00D83239" w:rsidRDefault="00EC5EA9" w:rsidP="00FE543C">
      <w:pPr>
        <w:numPr>
          <w:ilvl w:val="0"/>
          <w:numId w:val="20"/>
        </w:numPr>
        <w:autoSpaceDE w:val="0"/>
        <w:autoSpaceDN w:val="0"/>
        <w:adjustRightInd w:val="0"/>
        <w:spacing w:line="276" w:lineRule="auto"/>
        <w:contextualSpacing/>
        <w:jc w:val="both"/>
        <w:rPr>
          <w:rFonts w:ascii="Arial" w:hAnsi="Arial" w:cs="Arial"/>
          <w:sz w:val="20"/>
          <w:szCs w:val="20"/>
        </w:rPr>
      </w:pPr>
      <w:r w:rsidRPr="00D83239">
        <w:rPr>
          <w:rFonts w:ascii="Arial" w:hAnsi="Arial" w:cs="Arial"/>
          <w:sz w:val="20"/>
          <w:szCs w:val="20"/>
        </w:rPr>
        <w:t>GPU, P</w:t>
      </w:r>
      <w:r w:rsidR="0010021C">
        <w:rPr>
          <w:rFonts w:ascii="Arial" w:hAnsi="Arial" w:cs="Arial"/>
          <w:sz w:val="20"/>
          <w:szCs w:val="20"/>
        </w:rPr>
        <w:t>olicijska akademija</w:t>
      </w:r>
      <w:r w:rsidRPr="00D83239">
        <w:rPr>
          <w:rFonts w:ascii="Arial" w:hAnsi="Arial" w:cs="Arial"/>
          <w:sz w:val="20"/>
          <w:szCs w:val="20"/>
        </w:rPr>
        <w:t xml:space="preserve"> Tacen: </w:t>
      </w:r>
      <w:r w:rsidR="000A628E">
        <w:rPr>
          <w:rFonts w:ascii="Arial" w:hAnsi="Arial" w:cs="Arial"/>
          <w:sz w:val="20"/>
          <w:szCs w:val="20"/>
        </w:rPr>
        <w:t>p</w:t>
      </w:r>
      <w:r w:rsidRPr="00D83239">
        <w:rPr>
          <w:rFonts w:ascii="Arial" w:hAnsi="Arial" w:cs="Arial"/>
          <w:sz w:val="20"/>
          <w:szCs w:val="20"/>
        </w:rPr>
        <w:t>ostavitev lovilnega odra na DOM II,</w:t>
      </w:r>
    </w:p>
    <w:p w14:paraId="6A627AFA" w14:textId="45E42C5D"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N</w:t>
      </w:r>
      <w:r w:rsidR="000A628E">
        <w:rPr>
          <w:rFonts w:ascii="Arial" w:hAnsi="Arial" w:cs="Arial"/>
          <w:sz w:val="20"/>
          <w:szCs w:val="20"/>
        </w:rPr>
        <w:t>acionalni forenzični laboratorij</w:t>
      </w:r>
      <w:r w:rsidRPr="00D83239">
        <w:rPr>
          <w:rFonts w:ascii="Arial" w:hAnsi="Arial" w:cs="Arial"/>
          <w:sz w:val="20"/>
          <w:szCs w:val="20"/>
        </w:rPr>
        <w:t xml:space="preserve">: zamenjava hladilnega agregata, </w:t>
      </w:r>
    </w:p>
    <w:p w14:paraId="5F14BE15" w14:textId="74E22942"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postaja</w:t>
      </w:r>
      <w:r w:rsidRPr="00D83239">
        <w:rPr>
          <w:rFonts w:ascii="Arial" w:hAnsi="Arial" w:cs="Arial"/>
          <w:sz w:val="20"/>
          <w:szCs w:val="20"/>
        </w:rPr>
        <w:t xml:space="preserve"> Gornja Radgona: zamenjava CNS sistema,</w:t>
      </w:r>
    </w:p>
    <w:p w14:paraId="39CD0FBC" w14:textId="3A94F23F" w:rsidR="00EC5EA9" w:rsidRPr="00D83239" w:rsidRDefault="00AD6744" w:rsidP="00FE543C">
      <w:pPr>
        <w:numPr>
          <w:ilvl w:val="0"/>
          <w:numId w:val="20"/>
        </w:numPr>
        <w:spacing w:line="276" w:lineRule="auto"/>
        <w:contextualSpacing/>
        <w:jc w:val="both"/>
        <w:rPr>
          <w:rFonts w:ascii="Arial" w:hAnsi="Arial" w:cs="Arial"/>
          <w:sz w:val="20"/>
          <w:szCs w:val="20"/>
        </w:rPr>
      </w:pPr>
      <w:r>
        <w:rPr>
          <w:rFonts w:ascii="Arial" w:hAnsi="Arial" w:cs="Arial"/>
          <w:sz w:val="20"/>
          <w:szCs w:val="20"/>
        </w:rPr>
        <w:t>m</w:t>
      </w:r>
      <w:r w:rsidR="000A628E">
        <w:rPr>
          <w:rFonts w:ascii="Arial" w:hAnsi="Arial" w:cs="Arial"/>
          <w:sz w:val="20"/>
          <w:szCs w:val="20"/>
        </w:rPr>
        <w:t>ejni prehod</w:t>
      </w:r>
      <w:r w:rsidR="00EC5EA9" w:rsidRPr="00D83239">
        <w:rPr>
          <w:rFonts w:ascii="Arial" w:hAnsi="Arial" w:cs="Arial"/>
          <w:sz w:val="20"/>
          <w:szCs w:val="20"/>
        </w:rPr>
        <w:t xml:space="preserve"> Šentilj: </w:t>
      </w:r>
      <w:r w:rsidR="000A628E">
        <w:rPr>
          <w:rFonts w:ascii="Arial" w:hAnsi="Arial" w:cs="Arial"/>
          <w:sz w:val="20"/>
          <w:szCs w:val="20"/>
        </w:rPr>
        <w:t>p</w:t>
      </w:r>
      <w:r w:rsidR="00EC5EA9" w:rsidRPr="00D83239">
        <w:rPr>
          <w:rFonts w:ascii="Arial" w:hAnsi="Arial" w:cs="Arial"/>
          <w:sz w:val="20"/>
          <w:szCs w:val="20"/>
        </w:rPr>
        <w:t>rojektiranje nove kotlovnice,</w:t>
      </w:r>
    </w:p>
    <w:p w14:paraId="0AE16C8D" w14:textId="652EC486"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Prušnikova</w:t>
      </w:r>
      <w:r w:rsidR="00B60EBD">
        <w:rPr>
          <w:rFonts w:ascii="Arial" w:hAnsi="Arial" w:cs="Arial"/>
          <w:sz w:val="20"/>
          <w:szCs w:val="20"/>
        </w:rPr>
        <w:t xml:space="preserve"> ulica</w:t>
      </w:r>
      <w:r w:rsidRPr="00D83239">
        <w:rPr>
          <w:rFonts w:ascii="Arial" w:hAnsi="Arial" w:cs="Arial"/>
          <w:sz w:val="20"/>
          <w:szCs w:val="20"/>
        </w:rPr>
        <w:t>: zamenjava kotla,</w:t>
      </w:r>
    </w:p>
    <w:p w14:paraId="050E1B1E" w14:textId="4BF8FCC9"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postaja</w:t>
      </w:r>
      <w:r w:rsidRPr="00D83239">
        <w:rPr>
          <w:rFonts w:ascii="Arial" w:hAnsi="Arial" w:cs="Arial"/>
          <w:sz w:val="20"/>
          <w:szCs w:val="20"/>
        </w:rPr>
        <w:t xml:space="preserve"> Šentjernej: zamenjava peči, </w:t>
      </w:r>
    </w:p>
    <w:p w14:paraId="093302BA" w14:textId="6E4B4740" w:rsidR="00EC5EA9" w:rsidRPr="00D83239" w:rsidRDefault="000A628E" w:rsidP="00FE543C">
      <w:pPr>
        <w:numPr>
          <w:ilvl w:val="0"/>
          <w:numId w:val="20"/>
        </w:numPr>
        <w:spacing w:line="276" w:lineRule="auto"/>
        <w:contextualSpacing/>
        <w:jc w:val="both"/>
        <w:rPr>
          <w:rFonts w:ascii="Arial" w:hAnsi="Arial" w:cs="Arial"/>
          <w:sz w:val="20"/>
          <w:szCs w:val="20"/>
        </w:rPr>
      </w:pPr>
      <w:r>
        <w:rPr>
          <w:rFonts w:ascii="Arial" w:hAnsi="Arial" w:cs="Arial"/>
          <w:sz w:val="20"/>
          <w:szCs w:val="20"/>
        </w:rPr>
        <w:t>o</w:t>
      </w:r>
      <w:r w:rsidR="00EC5EA9" w:rsidRPr="00D83239">
        <w:rPr>
          <w:rFonts w:ascii="Arial" w:hAnsi="Arial" w:cs="Arial"/>
          <w:sz w:val="20"/>
          <w:szCs w:val="20"/>
        </w:rPr>
        <w:t xml:space="preserve">bjekt 29 na </w:t>
      </w:r>
      <w:r w:rsidR="00AD6744">
        <w:rPr>
          <w:rFonts w:ascii="Arial" w:hAnsi="Arial" w:cs="Arial"/>
          <w:sz w:val="20"/>
          <w:szCs w:val="20"/>
        </w:rPr>
        <w:t>nekdanj</w:t>
      </w:r>
      <w:r w:rsidR="00EC5EA9" w:rsidRPr="00D83239">
        <w:rPr>
          <w:rFonts w:ascii="Arial" w:hAnsi="Arial" w:cs="Arial"/>
          <w:sz w:val="20"/>
          <w:szCs w:val="20"/>
        </w:rPr>
        <w:t xml:space="preserve">em </w:t>
      </w:r>
      <w:r w:rsidR="00AD6744">
        <w:rPr>
          <w:rFonts w:ascii="Arial" w:hAnsi="Arial" w:cs="Arial"/>
          <w:sz w:val="20"/>
          <w:szCs w:val="20"/>
        </w:rPr>
        <w:t>m</w:t>
      </w:r>
      <w:r>
        <w:rPr>
          <w:rFonts w:ascii="Arial" w:hAnsi="Arial" w:cs="Arial"/>
          <w:sz w:val="20"/>
          <w:szCs w:val="20"/>
        </w:rPr>
        <w:t>ejnem prehodu</w:t>
      </w:r>
      <w:r w:rsidR="00EC5EA9" w:rsidRPr="00D83239">
        <w:rPr>
          <w:rFonts w:ascii="Arial" w:hAnsi="Arial" w:cs="Arial"/>
          <w:sz w:val="20"/>
          <w:szCs w:val="20"/>
        </w:rPr>
        <w:t xml:space="preserve"> Obrežje: </w:t>
      </w:r>
      <w:r>
        <w:rPr>
          <w:rFonts w:ascii="Arial" w:hAnsi="Arial" w:cs="Arial"/>
          <w:sz w:val="20"/>
          <w:szCs w:val="20"/>
        </w:rPr>
        <w:t>d</w:t>
      </w:r>
      <w:r w:rsidR="00EC5EA9" w:rsidRPr="00D83239">
        <w:rPr>
          <w:rFonts w:ascii="Arial" w:hAnsi="Arial" w:cs="Arial"/>
          <w:sz w:val="20"/>
          <w:szCs w:val="20"/>
        </w:rPr>
        <w:t xml:space="preserve">obava in montaža naprav za prezračevanje z rekuperacijo, </w:t>
      </w:r>
    </w:p>
    <w:p w14:paraId="04FC4F39" w14:textId="1A8E0A26"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postaja</w:t>
      </w:r>
      <w:r w:rsidRPr="00D83239">
        <w:rPr>
          <w:rFonts w:ascii="Arial" w:hAnsi="Arial" w:cs="Arial"/>
          <w:sz w:val="20"/>
          <w:szCs w:val="20"/>
        </w:rPr>
        <w:t xml:space="preserve"> Podlehnik: izdelava PZI dokumentacije za menjavo cevnega razvoda,</w:t>
      </w:r>
    </w:p>
    <w:p w14:paraId="5E77F347" w14:textId="38ECAB2A"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Trubarjeva 19</w:t>
      </w:r>
      <w:r w:rsidR="00090D24">
        <w:rPr>
          <w:rFonts w:ascii="Arial" w:hAnsi="Arial" w:cs="Arial"/>
          <w:sz w:val="20"/>
          <w:szCs w:val="20"/>
        </w:rPr>
        <w:t>,</w:t>
      </w:r>
      <w:r w:rsidRPr="00D83239">
        <w:rPr>
          <w:rFonts w:ascii="Arial" w:hAnsi="Arial" w:cs="Arial"/>
          <w:sz w:val="20"/>
          <w:szCs w:val="20"/>
        </w:rPr>
        <w:t xml:space="preserve"> Maribor: PZI dokumentacija za energetsko sanacijo fasadnega ovoja,</w:t>
      </w:r>
    </w:p>
    <w:p w14:paraId="3ABCE620" w14:textId="122F34CC" w:rsidR="00EC5EA9" w:rsidRPr="00D22FDB" w:rsidRDefault="000A628E" w:rsidP="00FE543C">
      <w:pPr>
        <w:numPr>
          <w:ilvl w:val="0"/>
          <w:numId w:val="20"/>
        </w:numPr>
        <w:spacing w:line="276" w:lineRule="auto"/>
        <w:contextualSpacing/>
        <w:jc w:val="both"/>
        <w:rPr>
          <w:rFonts w:ascii="Arial" w:hAnsi="Arial" w:cs="Arial"/>
          <w:sz w:val="20"/>
          <w:szCs w:val="20"/>
        </w:rPr>
      </w:pPr>
      <w:r w:rsidRPr="000A628E">
        <w:rPr>
          <w:rFonts w:ascii="Arial" w:hAnsi="Arial" w:cs="Arial"/>
          <w:sz w:val="20"/>
          <w:szCs w:val="20"/>
        </w:rPr>
        <w:t>Policijska postaja vodnikov službenih psov</w:t>
      </w:r>
      <w:r w:rsidR="00EC5EA9" w:rsidRPr="00D83239">
        <w:rPr>
          <w:rFonts w:ascii="Arial" w:hAnsi="Arial" w:cs="Arial"/>
          <w:sz w:val="20"/>
          <w:szCs w:val="20"/>
        </w:rPr>
        <w:t xml:space="preserve"> Novo mesto (Črnomelj): izdelava projektne </w:t>
      </w:r>
      <w:r w:rsidR="00EC5EA9" w:rsidRPr="00D22FDB">
        <w:rPr>
          <w:rFonts w:ascii="Arial" w:hAnsi="Arial" w:cs="Arial"/>
          <w:sz w:val="20"/>
          <w:szCs w:val="20"/>
        </w:rPr>
        <w:t xml:space="preserve">dokumentacije in pridobitev </w:t>
      </w:r>
      <w:r w:rsidR="00D22FDB" w:rsidRPr="00D22FDB">
        <w:rPr>
          <w:rFonts w:ascii="Arial" w:hAnsi="Arial" w:cs="Arial"/>
          <w:sz w:val="20"/>
          <w:szCs w:val="20"/>
        </w:rPr>
        <w:t>gradbenega dovoljenja</w:t>
      </w:r>
    </w:p>
    <w:p w14:paraId="7BD532B6" w14:textId="462F33AB" w:rsidR="00EC5EA9" w:rsidRPr="00D22FDB" w:rsidRDefault="000A628E" w:rsidP="00FE543C">
      <w:pPr>
        <w:numPr>
          <w:ilvl w:val="0"/>
          <w:numId w:val="20"/>
        </w:numPr>
        <w:spacing w:line="276" w:lineRule="auto"/>
        <w:contextualSpacing/>
        <w:jc w:val="both"/>
        <w:rPr>
          <w:rFonts w:ascii="Arial" w:hAnsi="Arial" w:cs="Arial"/>
          <w:sz w:val="20"/>
          <w:szCs w:val="20"/>
        </w:rPr>
      </w:pPr>
      <w:r w:rsidRPr="00D22FDB">
        <w:rPr>
          <w:rFonts w:ascii="Arial" w:hAnsi="Arial" w:cs="Arial"/>
          <w:sz w:val="20"/>
          <w:szCs w:val="20"/>
        </w:rPr>
        <w:t>p</w:t>
      </w:r>
      <w:r w:rsidR="00EC5EA9" w:rsidRPr="00D22FDB">
        <w:rPr>
          <w:rFonts w:ascii="Arial" w:hAnsi="Arial" w:cs="Arial"/>
          <w:sz w:val="20"/>
          <w:szCs w:val="20"/>
        </w:rPr>
        <w:t xml:space="preserve">rezračevanje objekta K28 v Gotenici in prostora puškarja v </w:t>
      </w:r>
      <w:r w:rsidRPr="00D22FDB">
        <w:rPr>
          <w:rFonts w:ascii="Arial" w:hAnsi="Arial" w:cs="Arial"/>
          <w:sz w:val="20"/>
          <w:szCs w:val="20"/>
        </w:rPr>
        <w:t>Policijski akademiji v</w:t>
      </w:r>
      <w:r w:rsidR="00EC5EA9" w:rsidRPr="00D22FDB">
        <w:rPr>
          <w:rFonts w:ascii="Arial" w:hAnsi="Arial" w:cs="Arial"/>
          <w:sz w:val="20"/>
          <w:szCs w:val="20"/>
        </w:rPr>
        <w:t xml:space="preserve"> Tacnu,</w:t>
      </w:r>
    </w:p>
    <w:p w14:paraId="3D076F32" w14:textId="2F112C74" w:rsidR="00EC5EA9" w:rsidRPr="00D22FDB" w:rsidRDefault="00EC5EA9" w:rsidP="00FE543C">
      <w:pPr>
        <w:numPr>
          <w:ilvl w:val="0"/>
          <w:numId w:val="20"/>
        </w:numPr>
        <w:spacing w:line="276" w:lineRule="auto"/>
        <w:contextualSpacing/>
        <w:jc w:val="both"/>
        <w:rPr>
          <w:rFonts w:ascii="Arial" w:hAnsi="Arial" w:cs="Arial"/>
          <w:sz w:val="20"/>
          <w:szCs w:val="20"/>
        </w:rPr>
      </w:pPr>
      <w:r w:rsidRPr="00D22FDB">
        <w:rPr>
          <w:rFonts w:ascii="Arial" w:hAnsi="Arial" w:cs="Arial"/>
          <w:sz w:val="20"/>
          <w:szCs w:val="20"/>
        </w:rPr>
        <w:t xml:space="preserve">rekonstrukcija sistema priprave tople vode, </w:t>
      </w:r>
    </w:p>
    <w:p w14:paraId="6141AD66" w14:textId="7959DF09"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akademija</w:t>
      </w:r>
      <w:r w:rsidRPr="00D83239">
        <w:rPr>
          <w:rFonts w:ascii="Arial" w:hAnsi="Arial" w:cs="Arial"/>
          <w:sz w:val="20"/>
          <w:szCs w:val="20"/>
        </w:rPr>
        <w:t xml:space="preserve"> Tacen: izvedba inštalacijskih del,</w:t>
      </w:r>
    </w:p>
    <w:p w14:paraId="2FA612E6" w14:textId="04FA7611" w:rsidR="00EC5EA9" w:rsidRPr="00D83239" w:rsidRDefault="000A628E"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Pr>
          <w:rFonts w:ascii="Arial" w:hAnsi="Arial" w:cs="Arial"/>
          <w:sz w:val="20"/>
          <w:szCs w:val="20"/>
        </w:rPr>
        <w:t>olicijska akademija</w:t>
      </w:r>
      <w:r w:rsidR="00EC5EA9" w:rsidRPr="00D83239">
        <w:rPr>
          <w:rFonts w:ascii="Arial" w:hAnsi="Arial" w:cs="Arial"/>
          <w:sz w:val="20"/>
          <w:szCs w:val="20"/>
        </w:rPr>
        <w:t xml:space="preserve"> Tacen: prenova zunanjega strelišča,</w:t>
      </w:r>
    </w:p>
    <w:p w14:paraId="112FCA2A" w14:textId="3B0994FF" w:rsidR="00EC5EA9" w:rsidRPr="00D83239" w:rsidRDefault="000A628E"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Pr>
          <w:rFonts w:ascii="Arial" w:hAnsi="Arial" w:cs="Arial"/>
          <w:sz w:val="20"/>
          <w:szCs w:val="20"/>
        </w:rPr>
        <w:t>olicijska akademija</w:t>
      </w:r>
      <w:r w:rsidR="00EC5EA9" w:rsidRPr="00D83239">
        <w:rPr>
          <w:rFonts w:ascii="Arial" w:hAnsi="Arial" w:cs="Arial"/>
          <w:sz w:val="20"/>
          <w:szCs w:val="20"/>
        </w:rPr>
        <w:t xml:space="preserve"> Tacen: prenova sanitarij objekta DOM II (1. faza), </w:t>
      </w:r>
    </w:p>
    <w:p w14:paraId="716B611B" w14:textId="6B2B3880" w:rsidR="00EC5EA9" w:rsidRPr="00D83239" w:rsidRDefault="000A628E"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Pr>
          <w:rFonts w:ascii="Arial" w:hAnsi="Arial" w:cs="Arial"/>
          <w:sz w:val="20"/>
          <w:szCs w:val="20"/>
        </w:rPr>
        <w:t>olicijska akademija</w:t>
      </w:r>
      <w:r w:rsidR="00EC5EA9" w:rsidRPr="00D83239">
        <w:rPr>
          <w:rFonts w:ascii="Arial" w:hAnsi="Arial" w:cs="Arial"/>
          <w:sz w:val="20"/>
          <w:szCs w:val="20"/>
        </w:rPr>
        <w:t xml:space="preserve"> Tacen: dobava in montaža varovalnih ograj,</w:t>
      </w:r>
    </w:p>
    <w:p w14:paraId="3F793D53" w14:textId="142B9C19" w:rsidR="00EC5EA9" w:rsidRPr="00D83239" w:rsidRDefault="000A628E"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Pr>
          <w:rFonts w:ascii="Arial" w:hAnsi="Arial" w:cs="Arial"/>
          <w:sz w:val="20"/>
          <w:szCs w:val="20"/>
        </w:rPr>
        <w:t>olicijska akademija</w:t>
      </w:r>
      <w:r w:rsidR="00EC5EA9" w:rsidRPr="00D83239">
        <w:rPr>
          <w:rFonts w:ascii="Arial" w:hAnsi="Arial" w:cs="Arial"/>
          <w:sz w:val="20"/>
          <w:szCs w:val="20"/>
        </w:rPr>
        <w:t xml:space="preserve"> Tacen: analiza stanja prostorov strelišča,</w:t>
      </w:r>
    </w:p>
    <w:p w14:paraId="29325E03" w14:textId="42B3F587"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postaja</w:t>
      </w:r>
      <w:r w:rsidRPr="00D83239">
        <w:rPr>
          <w:rFonts w:ascii="Arial" w:hAnsi="Arial" w:cs="Arial"/>
          <w:sz w:val="20"/>
          <w:szCs w:val="20"/>
        </w:rPr>
        <w:t xml:space="preserve"> Tržič: zamenjava zapornice,</w:t>
      </w:r>
    </w:p>
    <w:p w14:paraId="0C4D7029" w14:textId="713B0CF7" w:rsidR="00EC5EA9" w:rsidRPr="00D83239" w:rsidRDefault="000A628E" w:rsidP="00FE543C">
      <w:pPr>
        <w:numPr>
          <w:ilvl w:val="0"/>
          <w:numId w:val="20"/>
        </w:numPr>
        <w:spacing w:line="276" w:lineRule="auto"/>
        <w:contextualSpacing/>
        <w:jc w:val="both"/>
        <w:rPr>
          <w:rFonts w:ascii="Arial" w:hAnsi="Arial" w:cs="Arial"/>
          <w:sz w:val="20"/>
          <w:szCs w:val="20"/>
        </w:rPr>
      </w:pPr>
      <w:r>
        <w:rPr>
          <w:rFonts w:ascii="Arial" w:hAnsi="Arial" w:cs="Arial"/>
          <w:sz w:val="20"/>
          <w:szCs w:val="20"/>
        </w:rPr>
        <w:t>z</w:t>
      </w:r>
      <w:r w:rsidR="00EC5EA9" w:rsidRPr="00D83239">
        <w:rPr>
          <w:rFonts w:ascii="Arial" w:hAnsi="Arial" w:cs="Arial"/>
          <w:sz w:val="20"/>
          <w:szCs w:val="20"/>
        </w:rPr>
        <w:t>amenjava varnostnih vrat v moškem oddelku C</w:t>
      </w:r>
      <w:r>
        <w:rPr>
          <w:rFonts w:ascii="Arial" w:hAnsi="Arial" w:cs="Arial"/>
          <w:sz w:val="20"/>
          <w:szCs w:val="20"/>
        </w:rPr>
        <w:t>entra za tujce</w:t>
      </w:r>
      <w:r w:rsidR="00EC5EA9" w:rsidRPr="00D83239">
        <w:rPr>
          <w:rFonts w:ascii="Arial" w:hAnsi="Arial" w:cs="Arial"/>
          <w:sz w:val="20"/>
          <w:szCs w:val="20"/>
        </w:rPr>
        <w:t xml:space="preserve"> Postojna,</w:t>
      </w:r>
    </w:p>
    <w:p w14:paraId="11D48AEC" w14:textId="0F5C61DE"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S</w:t>
      </w:r>
      <w:r w:rsidR="000A628E">
        <w:rPr>
          <w:rFonts w:ascii="Arial" w:hAnsi="Arial" w:cs="Arial"/>
          <w:sz w:val="20"/>
          <w:szCs w:val="20"/>
        </w:rPr>
        <w:t>pecialna enota</w:t>
      </w:r>
      <w:r w:rsidRPr="00D83239">
        <w:rPr>
          <w:rFonts w:ascii="Arial" w:hAnsi="Arial" w:cs="Arial"/>
          <w:sz w:val="20"/>
          <w:szCs w:val="20"/>
        </w:rPr>
        <w:t>, Sadinja vas: izdelava PZI dokumentacije za povečanje odprtine garažnih vrat,</w:t>
      </w:r>
    </w:p>
    <w:p w14:paraId="21E231CA" w14:textId="59B04078" w:rsidR="00EC5EA9" w:rsidRPr="00D83239" w:rsidRDefault="000A628E" w:rsidP="00FE543C">
      <w:pPr>
        <w:numPr>
          <w:ilvl w:val="0"/>
          <w:numId w:val="20"/>
        </w:numPr>
        <w:spacing w:line="276" w:lineRule="auto"/>
        <w:contextualSpacing/>
        <w:jc w:val="both"/>
        <w:rPr>
          <w:rFonts w:ascii="Arial" w:hAnsi="Arial" w:cs="Arial"/>
          <w:sz w:val="20"/>
          <w:szCs w:val="20"/>
        </w:rPr>
      </w:pPr>
      <w:r>
        <w:rPr>
          <w:rFonts w:ascii="Arial" w:hAnsi="Arial" w:cs="Arial"/>
          <w:sz w:val="20"/>
          <w:szCs w:val="20"/>
        </w:rPr>
        <w:t>i</w:t>
      </w:r>
      <w:r w:rsidR="00EC5EA9" w:rsidRPr="00D83239">
        <w:rPr>
          <w:rFonts w:ascii="Arial" w:hAnsi="Arial" w:cs="Arial"/>
          <w:sz w:val="20"/>
          <w:szCs w:val="20"/>
        </w:rPr>
        <w:t>zdelava računskih in merjenih energetskih izkaznic,</w:t>
      </w:r>
    </w:p>
    <w:p w14:paraId="7D9CD2BE" w14:textId="36E7949A"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uprava</w:t>
      </w:r>
      <w:r w:rsidRPr="00D83239">
        <w:rPr>
          <w:rFonts w:ascii="Arial" w:hAnsi="Arial" w:cs="Arial"/>
          <w:sz w:val="20"/>
          <w:szCs w:val="20"/>
        </w:rPr>
        <w:t xml:space="preserve"> Koper: dobava in montaža nove toplotne črpalke,</w:t>
      </w:r>
    </w:p>
    <w:p w14:paraId="044DC45B" w14:textId="24FAD517" w:rsidR="00EC5EA9" w:rsidRPr="00D83239" w:rsidRDefault="00EC5EA9" w:rsidP="00FE543C">
      <w:pPr>
        <w:numPr>
          <w:ilvl w:val="0"/>
          <w:numId w:val="20"/>
        </w:numPr>
        <w:spacing w:line="276" w:lineRule="auto"/>
        <w:contextualSpacing/>
        <w:jc w:val="both"/>
        <w:rPr>
          <w:rFonts w:ascii="Arial" w:hAnsi="Arial" w:cs="Arial"/>
          <w:sz w:val="20"/>
          <w:szCs w:val="20"/>
        </w:rPr>
      </w:pPr>
      <w:r w:rsidRPr="00E85C13">
        <w:rPr>
          <w:rFonts w:ascii="Arial" w:hAnsi="Arial" w:cs="Arial"/>
          <w:sz w:val="20"/>
          <w:szCs w:val="20"/>
        </w:rPr>
        <w:t>P</w:t>
      </w:r>
      <w:r w:rsidR="00E85C13" w:rsidRPr="00E85C13">
        <w:rPr>
          <w:rFonts w:ascii="Arial" w:hAnsi="Arial" w:cs="Arial"/>
          <w:sz w:val="20"/>
          <w:szCs w:val="20"/>
        </w:rPr>
        <w:t>olicijska postaja za izravnalne ukrepe</w:t>
      </w:r>
      <w:r w:rsidRPr="00E85C13">
        <w:rPr>
          <w:rFonts w:ascii="Arial" w:hAnsi="Arial" w:cs="Arial"/>
          <w:sz w:val="20"/>
          <w:szCs w:val="20"/>
        </w:rPr>
        <w:t xml:space="preserve"> Koper (Dragonja): rekonstrukcija</w:t>
      </w:r>
      <w:r w:rsidRPr="00D83239">
        <w:rPr>
          <w:rFonts w:ascii="Arial" w:hAnsi="Arial" w:cs="Arial"/>
          <w:sz w:val="20"/>
          <w:szCs w:val="20"/>
        </w:rPr>
        <w:t xml:space="preserve"> kotlovnice,</w:t>
      </w:r>
    </w:p>
    <w:p w14:paraId="367277F4" w14:textId="77777777"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Litostroj jug: izdelava načrta označevanja,</w:t>
      </w:r>
    </w:p>
    <w:p w14:paraId="60709B83" w14:textId="77777777"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Litostroj jug: izdelava načrta opreme,</w:t>
      </w:r>
    </w:p>
    <w:p w14:paraId="5B0AE28E" w14:textId="77777777"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 xml:space="preserve">Litostroj jug: </w:t>
      </w:r>
      <w:proofErr w:type="spellStart"/>
      <w:r w:rsidRPr="00D83239">
        <w:rPr>
          <w:rFonts w:ascii="Arial" w:hAnsi="Arial" w:cs="Arial"/>
          <w:sz w:val="20"/>
          <w:szCs w:val="20"/>
        </w:rPr>
        <w:t>novelacija</w:t>
      </w:r>
      <w:proofErr w:type="spellEnd"/>
      <w:r w:rsidRPr="00D83239">
        <w:rPr>
          <w:rFonts w:ascii="Arial" w:hAnsi="Arial" w:cs="Arial"/>
          <w:sz w:val="20"/>
          <w:szCs w:val="20"/>
        </w:rPr>
        <w:t xml:space="preserve"> IP dokumentacije,</w:t>
      </w:r>
    </w:p>
    <w:p w14:paraId="4BA245FD" w14:textId="36ACF885"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postaja</w:t>
      </w:r>
      <w:r w:rsidRPr="00D83239">
        <w:rPr>
          <w:rFonts w:ascii="Arial" w:hAnsi="Arial" w:cs="Arial"/>
          <w:sz w:val="20"/>
          <w:szCs w:val="20"/>
        </w:rPr>
        <w:t xml:space="preserve"> Ajdovščina: izdelava investicijske dokumentacije</w:t>
      </w:r>
      <w:r w:rsidR="000A59A9">
        <w:rPr>
          <w:rFonts w:ascii="Arial" w:hAnsi="Arial" w:cs="Arial"/>
          <w:sz w:val="20"/>
          <w:szCs w:val="20"/>
        </w:rPr>
        <w:t>,</w:t>
      </w:r>
    </w:p>
    <w:p w14:paraId="2B63E409" w14:textId="21409E20"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uprava</w:t>
      </w:r>
      <w:r w:rsidRPr="00D83239">
        <w:rPr>
          <w:rFonts w:ascii="Arial" w:hAnsi="Arial" w:cs="Arial"/>
          <w:sz w:val="20"/>
          <w:szCs w:val="20"/>
        </w:rPr>
        <w:t xml:space="preserve"> Nova Gorica: izvedba manjših </w:t>
      </w:r>
      <w:proofErr w:type="spellStart"/>
      <w:r w:rsidRPr="00D83239">
        <w:rPr>
          <w:rFonts w:ascii="Arial" w:hAnsi="Arial" w:cs="Arial"/>
          <w:sz w:val="20"/>
          <w:szCs w:val="20"/>
        </w:rPr>
        <w:t>preureditvenih</w:t>
      </w:r>
      <w:proofErr w:type="spellEnd"/>
      <w:r w:rsidRPr="00D83239">
        <w:rPr>
          <w:rFonts w:ascii="Arial" w:hAnsi="Arial" w:cs="Arial"/>
          <w:sz w:val="20"/>
          <w:szCs w:val="20"/>
        </w:rPr>
        <w:t xml:space="preserve"> investicijsko</w:t>
      </w:r>
      <w:r w:rsidR="00090D24">
        <w:rPr>
          <w:rFonts w:ascii="Arial" w:hAnsi="Arial" w:cs="Arial"/>
          <w:sz w:val="20"/>
          <w:szCs w:val="20"/>
        </w:rPr>
        <w:t>-</w:t>
      </w:r>
      <w:r w:rsidRPr="00D83239">
        <w:rPr>
          <w:rFonts w:ascii="Arial" w:hAnsi="Arial" w:cs="Arial"/>
          <w:sz w:val="20"/>
          <w:szCs w:val="20"/>
        </w:rPr>
        <w:t>vzdrževalnih del na objektu,</w:t>
      </w:r>
    </w:p>
    <w:p w14:paraId="3230010A" w14:textId="1B53B104" w:rsidR="00EC5EA9" w:rsidRPr="00D83239" w:rsidRDefault="00D22FDB" w:rsidP="00FE543C">
      <w:pPr>
        <w:numPr>
          <w:ilvl w:val="0"/>
          <w:numId w:val="20"/>
        </w:numPr>
        <w:spacing w:line="276" w:lineRule="auto"/>
        <w:contextualSpacing/>
        <w:jc w:val="both"/>
        <w:rPr>
          <w:rFonts w:ascii="Arial" w:hAnsi="Arial" w:cs="Arial"/>
          <w:sz w:val="20"/>
          <w:szCs w:val="20"/>
        </w:rPr>
      </w:pPr>
      <w:r w:rsidRPr="00D22FDB">
        <w:rPr>
          <w:rFonts w:ascii="Arial" w:hAnsi="Arial" w:cs="Arial"/>
          <w:sz w:val="20"/>
          <w:szCs w:val="20"/>
        </w:rPr>
        <w:t>Postaja pomorske policije Koper:</w:t>
      </w:r>
      <w:r>
        <w:rPr>
          <w:rFonts w:ascii="Arial" w:hAnsi="Arial" w:cs="Arial"/>
          <w:b/>
          <w:sz w:val="20"/>
          <w:szCs w:val="20"/>
        </w:rPr>
        <w:t xml:space="preserve"> </w:t>
      </w:r>
      <w:r w:rsidR="00EC5EA9" w:rsidRPr="0078067A">
        <w:rPr>
          <w:rFonts w:ascii="Arial" w:hAnsi="Arial" w:cs="Arial"/>
          <w:sz w:val="20"/>
          <w:szCs w:val="20"/>
        </w:rPr>
        <w:t>izdelava</w:t>
      </w:r>
      <w:r w:rsidR="00EC5EA9" w:rsidRPr="00D83239">
        <w:rPr>
          <w:rFonts w:ascii="Arial" w:hAnsi="Arial" w:cs="Arial"/>
          <w:sz w:val="20"/>
          <w:szCs w:val="20"/>
        </w:rPr>
        <w:t xml:space="preserve"> PZI dokumentacije,</w:t>
      </w:r>
    </w:p>
    <w:p w14:paraId="76A4B951" w14:textId="0647108E" w:rsidR="00EC5EA9" w:rsidRPr="00D83239" w:rsidRDefault="00EC5EA9" w:rsidP="00FE543C">
      <w:pPr>
        <w:numPr>
          <w:ilvl w:val="0"/>
          <w:numId w:val="20"/>
        </w:numPr>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postaja</w:t>
      </w:r>
      <w:r w:rsidRPr="00D83239">
        <w:rPr>
          <w:rFonts w:ascii="Arial" w:hAnsi="Arial" w:cs="Arial"/>
          <w:sz w:val="20"/>
          <w:szCs w:val="20"/>
        </w:rPr>
        <w:t xml:space="preserve"> Tolmin: izdelava projektne dokumentacije za prostorsko preveritev,</w:t>
      </w:r>
    </w:p>
    <w:p w14:paraId="28664CB7" w14:textId="7E55A93A" w:rsidR="00EC5EA9" w:rsidRPr="00D83239" w:rsidRDefault="00D22FDB" w:rsidP="00FE543C">
      <w:pPr>
        <w:numPr>
          <w:ilvl w:val="0"/>
          <w:numId w:val="20"/>
        </w:numPr>
        <w:autoSpaceDE w:val="0"/>
        <w:autoSpaceDN w:val="0"/>
        <w:adjustRightInd w:val="0"/>
        <w:spacing w:line="276" w:lineRule="auto"/>
        <w:contextualSpacing/>
        <w:jc w:val="both"/>
        <w:rPr>
          <w:rFonts w:ascii="Arial" w:hAnsi="Arial" w:cs="Arial"/>
          <w:sz w:val="20"/>
          <w:szCs w:val="20"/>
        </w:rPr>
      </w:pPr>
      <w:r>
        <w:rPr>
          <w:rFonts w:ascii="Arial" w:hAnsi="Arial" w:cs="Arial"/>
          <w:sz w:val="20"/>
          <w:szCs w:val="20"/>
        </w:rPr>
        <w:t>i</w:t>
      </w:r>
      <w:r w:rsidR="00EC5EA9" w:rsidRPr="00D83239">
        <w:rPr>
          <w:rFonts w:ascii="Arial" w:hAnsi="Arial" w:cs="Arial"/>
          <w:sz w:val="20"/>
          <w:szCs w:val="20"/>
        </w:rPr>
        <w:t>nvesticijsko</w:t>
      </w:r>
      <w:r w:rsidR="000A59A9">
        <w:rPr>
          <w:rFonts w:ascii="Arial" w:hAnsi="Arial" w:cs="Arial"/>
          <w:sz w:val="20"/>
          <w:szCs w:val="20"/>
        </w:rPr>
        <w:t>-</w:t>
      </w:r>
      <w:r w:rsidR="00EC5EA9" w:rsidRPr="00D83239">
        <w:rPr>
          <w:rFonts w:ascii="Arial" w:hAnsi="Arial" w:cs="Arial"/>
          <w:sz w:val="20"/>
          <w:szCs w:val="20"/>
        </w:rPr>
        <w:t xml:space="preserve">vzdrževalna dela na Slomškovi </w:t>
      </w:r>
      <w:r w:rsidR="00B60EBD">
        <w:rPr>
          <w:rFonts w:ascii="Arial" w:hAnsi="Arial" w:cs="Arial"/>
          <w:sz w:val="20"/>
          <w:szCs w:val="20"/>
        </w:rPr>
        <w:t xml:space="preserve">ulici </w:t>
      </w:r>
      <w:r w:rsidR="00EC5EA9" w:rsidRPr="00D83239">
        <w:rPr>
          <w:rFonts w:ascii="Arial" w:hAnsi="Arial" w:cs="Arial"/>
          <w:sz w:val="20"/>
          <w:szCs w:val="20"/>
        </w:rPr>
        <w:t>20 v Ljubljani,</w:t>
      </w:r>
    </w:p>
    <w:p w14:paraId="7799DEB8" w14:textId="08BB4E63" w:rsidR="00EC5EA9" w:rsidRPr="00D83239" w:rsidRDefault="00EC5EA9" w:rsidP="00FE543C">
      <w:pPr>
        <w:numPr>
          <w:ilvl w:val="0"/>
          <w:numId w:val="20"/>
        </w:numPr>
        <w:autoSpaceDE w:val="0"/>
        <w:autoSpaceDN w:val="0"/>
        <w:adjustRightInd w:val="0"/>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uprava</w:t>
      </w:r>
      <w:r w:rsidRPr="00D83239">
        <w:rPr>
          <w:rFonts w:ascii="Arial" w:hAnsi="Arial" w:cs="Arial"/>
          <w:sz w:val="20"/>
          <w:szCs w:val="20"/>
        </w:rPr>
        <w:t xml:space="preserve"> Novo mesto: izdelava PZI dokumentacije za odpravo zamakanja,</w:t>
      </w:r>
    </w:p>
    <w:p w14:paraId="65023BAB" w14:textId="78F058F5" w:rsidR="00EC5EA9" w:rsidRPr="00D83239" w:rsidRDefault="00E85C13" w:rsidP="00FE543C">
      <w:pPr>
        <w:numPr>
          <w:ilvl w:val="0"/>
          <w:numId w:val="20"/>
        </w:numPr>
        <w:autoSpaceDE w:val="0"/>
        <w:autoSpaceDN w:val="0"/>
        <w:adjustRightInd w:val="0"/>
        <w:spacing w:line="276" w:lineRule="auto"/>
        <w:contextualSpacing/>
        <w:jc w:val="both"/>
        <w:rPr>
          <w:rFonts w:ascii="Arial" w:hAnsi="Arial" w:cs="Arial"/>
          <w:sz w:val="20"/>
          <w:szCs w:val="20"/>
        </w:rPr>
      </w:pPr>
      <w:r w:rsidRPr="00E85C13">
        <w:rPr>
          <w:rFonts w:ascii="Arial" w:hAnsi="Arial" w:cs="Arial"/>
          <w:sz w:val="20"/>
          <w:szCs w:val="20"/>
        </w:rPr>
        <w:t>Policijska postaja za izravnalne ukrepe Koper</w:t>
      </w:r>
      <w:r w:rsidR="00EC5EA9" w:rsidRPr="00D83239">
        <w:rPr>
          <w:rFonts w:ascii="Arial" w:hAnsi="Arial" w:cs="Arial"/>
          <w:sz w:val="20"/>
          <w:szCs w:val="20"/>
        </w:rPr>
        <w:t xml:space="preserve"> (Dragonja): zamenjava strešne kritine objekta, </w:t>
      </w:r>
    </w:p>
    <w:p w14:paraId="21B7EEA8" w14:textId="6AF87634" w:rsidR="00EC5EA9" w:rsidRPr="00D83239" w:rsidRDefault="00EC5EA9" w:rsidP="00FE543C">
      <w:pPr>
        <w:numPr>
          <w:ilvl w:val="0"/>
          <w:numId w:val="20"/>
        </w:numPr>
        <w:autoSpaceDE w:val="0"/>
        <w:autoSpaceDN w:val="0"/>
        <w:adjustRightInd w:val="0"/>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postaja</w:t>
      </w:r>
      <w:r w:rsidRPr="00D83239">
        <w:rPr>
          <w:rFonts w:ascii="Arial" w:hAnsi="Arial" w:cs="Arial"/>
          <w:sz w:val="20"/>
          <w:szCs w:val="20"/>
        </w:rPr>
        <w:t xml:space="preserve"> Sežana: izdelava PZI dokumentacije za sanacijo plina </w:t>
      </w:r>
      <w:r w:rsidR="00E85C13">
        <w:rPr>
          <w:rFonts w:ascii="Arial" w:hAnsi="Arial" w:cs="Arial"/>
          <w:sz w:val="20"/>
          <w:szCs w:val="20"/>
        </w:rPr>
        <w:t>r</w:t>
      </w:r>
      <w:r w:rsidRPr="00D83239">
        <w:rPr>
          <w:rFonts w:ascii="Arial" w:hAnsi="Arial" w:cs="Arial"/>
          <w:sz w:val="20"/>
          <w:szCs w:val="20"/>
        </w:rPr>
        <w:t>adon v objektu,</w:t>
      </w:r>
    </w:p>
    <w:p w14:paraId="284B6D36" w14:textId="3E3D3193" w:rsidR="00EC5EA9" w:rsidRPr="00D83239" w:rsidRDefault="00EC5EA9" w:rsidP="00FE543C">
      <w:pPr>
        <w:numPr>
          <w:ilvl w:val="0"/>
          <w:numId w:val="20"/>
        </w:numPr>
        <w:autoSpaceDE w:val="0"/>
        <w:autoSpaceDN w:val="0"/>
        <w:adjustRightInd w:val="0"/>
        <w:spacing w:line="276" w:lineRule="auto"/>
        <w:contextualSpacing/>
        <w:jc w:val="both"/>
        <w:rPr>
          <w:rFonts w:ascii="Arial" w:hAnsi="Arial" w:cs="Arial"/>
          <w:sz w:val="20"/>
          <w:szCs w:val="20"/>
        </w:rPr>
      </w:pPr>
      <w:r w:rsidRPr="00D83239">
        <w:rPr>
          <w:rFonts w:ascii="Arial" w:hAnsi="Arial" w:cs="Arial"/>
          <w:sz w:val="20"/>
          <w:szCs w:val="20"/>
        </w:rPr>
        <w:t>P</w:t>
      </w:r>
      <w:r w:rsidR="000A628E">
        <w:rPr>
          <w:rFonts w:ascii="Arial" w:hAnsi="Arial" w:cs="Arial"/>
          <w:sz w:val="20"/>
          <w:szCs w:val="20"/>
        </w:rPr>
        <w:t>olicijska postaja</w:t>
      </w:r>
      <w:r w:rsidRPr="00D83239">
        <w:rPr>
          <w:rFonts w:ascii="Arial" w:hAnsi="Arial" w:cs="Arial"/>
          <w:sz w:val="20"/>
          <w:szCs w:val="20"/>
        </w:rPr>
        <w:t xml:space="preserve"> Postojna: PZI dokumentacija za izvedbo priklopa objekta na javno kanalizacijsko omrežje,</w:t>
      </w:r>
    </w:p>
    <w:p w14:paraId="70A983B6" w14:textId="7804979D" w:rsidR="00EC5EA9" w:rsidRPr="00D83239" w:rsidRDefault="000A628E" w:rsidP="00FE543C">
      <w:pPr>
        <w:numPr>
          <w:ilvl w:val="0"/>
          <w:numId w:val="20"/>
        </w:numPr>
        <w:autoSpaceDE w:val="0"/>
        <w:autoSpaceDN w:val="0"/>
        <w:adjustRightInd w:val="0"/>
        <w:spacing w:line="276" w:lineRule="auto"/>
        <w:contextualSpacing/>
        <w:jc w:val="both"/>
        <w:rPr>
          <w:rFonts w:ascii="Arial" w:hAnsi="Arial" w:cs="Arial"/>
          <w:sz w:val="20"/>
          <w:szCs w:val="20"/>
        </w:rPr>
      </w:pPr>
      <w:r>
        <w:rPr>
          <w:rFonts w:ascii="Arial" w:hAnsi="Arial" w:cs="Arial"/>
          <w:sz w:val="20"/>
          <w:szCs w:val="20"/>
        </w:rPr>
        <w:t>i</w:t>
      </w:r>
      <w:r w:rsidR="00EC5EA9" w:rsidRPr="00D83239">
        <w:rPr>
          <w:rFonts w:ascii="Arial" w:hAnsi="Arial" w:cs="Arial"/>
          <w:sz w:val="20"/>
          <w:szCs w:val="20"/>
        </w:rPr>
        <w:t xml:space="preserve">nvesticijska dokumentacija: </w:t>
      </w:r>
      <w:r w:rsidR="000A59A9">
        <w:rPr>
          <w:rFonts w:ascii="Arial" w:hAnsi="Arial" w:cs="Arial"/>
          <w:sz w:val="20"/>
          <w:szCs w:val="20"/>
        </w:rPr>
        <w:t>i</w:t>
      </w:r>
      <w:r w:rsidR="00EC5EA9" w:rsidRPr="00D83239">
        <w:rPr>
          <w:rFonts w:ascii="Arial" w:hAnsi="Arial" w:cs="Arial"/>
          <w:sz w:val="20"/>
          <w:szCs w:val="20"/>
        </w:rPr>
        <w:t>zvedba 1. odpoklica za izdelavo investicijske dokumentacije za štiri lokacije</w:t>
      </w:r>
      <w:r>
        <w:rPr>
          <w:rFonts w:ascii="Arial" w:hAnsi="Arial" w:cs="Arial"/>
          <w:sz w:val="20"/>
          <w:szCs w:val="20"/>
        </w:rPr>
        <w:t>,</w:t>
      </w:r>
    </w:p>
    <w:p w14:paraId="322EC7D1" w14:textId="468C341E" w:rsidR="00EC5EA9" w:rsidRPr="00D83239" w:rsidRDefault="000A628E" w:rsidP="00FE543C">
      <w:pPr>
        <w:numPr>
          <w:ilvl w:val="0"/>
          <w:numId w:val="20"/>
        </w:numPr>
        <w:autoSpaceDE w:val="0"/>
        <w:autoSpaceDN w:val="0"/>
        <w:adjustRightInd w:val="0"/>
        <w:spacing w:line="276" w:lineRule="auto"/>
        <w:contextualSpacing/>
        <w:jc w:val="both"/>
        <w:rPr>
          <w:rFonts w:ascii="Arial" w:hAnsi="Arial" w:cs="Arial"/>
          <w:sz w:val="20"/>
          <w:szCs w:val="20"/>
        </w:rPr>
      </w:pPr>
      <w:r>
        <w:rPr>
          <w:rFonts w:ascii="Arial" w:hAnsi="Arial" w:cs="Arial"/>
          <w:sz w:val="20"/>
          <w:szCs w:val="20"/>
        </w:rPr>
        <w:t>z</w:t>
      </w:r>
      <w:r w:rsidR="00EC5EA9" w:rsidRPr="00D83239">
        <w:rPr>
          <w:rFonts w:ascii="Arial" w:hAnsi="Arial" w:cs="Arial"/>
          <w:sz w:val="20"/>
          <w:szCs w:val="20"/>
        </w:rPr>
        <w:t>a potrebe preverb</w:t>
      </w:r>
      <w:r w:rsidR="00441CEA">
        <w:rPr>
          <w:rFonts w:ascii="Arial" w:hAnsi="Arial" w:cs="Arial"/>
          <w:sz w:val="20"/>
          <w:szCs w:val="20"/>
        </w:rPr>
        <w:t>e</w:t>
      </w:r>
      <w:r w:rsidR="00EC5EA9" w:rsidRPr="00D83239">
        <w:rPr>
          <w:rFonts w:ascii="Arial" w:hAnsi="Arial" w:cs="Arial"/>
          <w:sz w:val="20"/>
          <w:szCs w:val="20"/>
        </w:rPr>
        <w:t xml:space="preserve"> P</w:t>
      </w:r>
      <w:r w:rsidR="00441CEA">
        <w:rPr>
          <w:rFonts w:ascii="Arial" w:hAnsi="Arial" w:cs="Arial"/>
          <w:sz w:val="20"/>
          <w:szCs w:val="20"/>
        </w:rPr>
        <w:t>olicijske postaje</w:t>
      </w:r>
      <w:r w:rsidR="00EC5EA9" w:rsidRPr="00D83239">
        <w:rPr>
          <w:rFonts w:ascii="Arial" w:hAnsi="Arial" w:cs="Arial"/>
          <w:sz w:val="20"/>
          <w:szCs w:val="20"/>
        </w:rPr>
        <w:t xml:space="preserve"> Tolmin</w:t>
      </w:r>
      <w:r w:rsidR="00D22FDB">
        <w:rPr>
          <w:rFonts w:ascii="Arial" w:hAnsi="Arial" w:cs="Arial"/>
          <w:sz w:val="20"/>
          <w:szCs w:val="20"/>
        </w:rPr>
        <w:t>:</w:t>
      </w:r>
      <w:r w:rsidR="000A59A9" w:rsidRPr="00D83239">
        <w:rPr>
          <w:rFonts w:ascii="Arial" w:hAnsi="Arial" w:cs="Arial"/>
          <w:sz w:val="20"/>
          <w:szCs w:val="20"/>
        </w:rPr>
        <w:t xml:space="preserve"> </w:t>
      </w:r>
      <w:r w:rsidR="00EC5EA9" w:rsidRPr="00D83239">
        <w:rPr>
          <w:rFonts w:ascii="Arial" w:hAnsi="Arial" w:cs="Arial"/>
          <w:sz w:val="20"/>
          <w:szCs w:val="20"/>
        </w:rPr>
        <w:t>izdelava projektne dokumentacije IDZ za potrebe umestitve ponujene lokacije in umestitve programa</w:t>
      </w:r>
      <w:r w:rsidR="00441CEA">
        <w:rPr>
          <w:rFonts w:ascii="Arial" w:hAnsi="Arial" w:cs="Arial"/>
          <w:sz w:val="20"/>
          <w:szCs w:val="20"/>
        </w:rPr>
        <w:t>,</w:t>
      </w:r>
    </w:p>
    <w:p w14:paraId="47B46994" w14:textId="358ED560" w:rsidR="00EC5EA9" w:rsidRPr="00D83239" w:rsidRDefault="00EC5EA9" w:rsidP="00FE543C">
      <w:pPr>
        <w:numPr>
          <w:ilvl w:val="0"/>
          <w:numId w:val="20"/>
        </w:numPr>
        <w:autoSpaceDE w:val="0"/>
        <w:autoSpaceDN w:val="0"/>
        <w:adjustRightInd w:val="0"/>
        <w:spacing w:line="276" w:lineRule="auto"/>
        <w:contextualSpacing/>
        <w:jc w:val="both"/>
        <w:rPr>
          <w:rFonts w:ascii="Arial" w:hAnsi="Arial" w:cs="Arial"/>
          <w:sz w:val="20"/>
          <w:szCs w:val="20"/>
        </w:rPr>
      </w:pPr>
      <w:r w:rsidRPr="00D83239">
        <w:rPr>
          <w:rFonts w:ascii="Arial" w:hAnsi="Arial" w:cs="Arial"/>
          <w:sz w:val="20"/>
          <w:szCs w:val="20"/>
        </w:rPr>
        <w:t>P</w:t>
      </w:r>
      <w:r w:rsidR="00441CEA">
        <w:rPr>
          <w:rFonts w:ascii="Arial" w:hAnsi="Arial" w:cs="Arial"/>
          <w:sz w:val="20"/>
          <w:szCs w:val="20"/>
        </w:rPr>
        <w:t>olicijska akademija</w:t>
      </w:r>
      <w:r w:rsidRPr="00D83239">
        <w:rPr>
          <w:rFonts w:ascii="Arial" w:hAnsi="Arial" w:cs="Arial"/>
          <w:sz w:val="20"/>
          <w:szCs w:val="20"/>
        </w:rPr>
        <w:t xml:space="preserve"> Tacen</w:t>
      </w:r>
      <w:r w:rsidR="00D22FDB">
        <w:rPr>
          <w:rFonts w:ascii="Arial" w:hAnsi="Arial" w:cs="Arial"/>
          <w:sz w:val="20"/>
          <w:szCs w:val="20"/>
        </w:rPr>
        <w:t>:</w:t>
      </w:r>
      <w:r w:rsidRPr="00D83239">
        <w:rPr>
          <w:rFonts w:ascii="Arial" w:hAnsi="Arial" w:cs="Arial"/>
          <w:sz w:val="20"/>
          <w:szCs w:val="20"/>
        </w:rPr>
        <w:t xml:space="preserve"> izdelava prostorske preveritve umestitve novega objekta »notranje strelišče« za potrebe preveritve različnih možnosti lokacijske umestitve objekta notranjega strelišča.</w:t>
      </w:r>
    </w:p>
    <w:p w14:paraId="6F4325A2" w14:textId="77777777" w:rsidR="00EC5EA9" w:rsidRPr="00D83239" w:rsidRDefault="00EC5EA9" w:rsidP="00D83239">
      <w:pPr>
        <w:tabs>
          <w:tab w:val="left" w:pos="9070"/>
        </w:tabs>
        <w:autoSpaceDE w:val="0"/>
        <w:autoSpaceDN w:val="0"/>
        <w:adjustRightInd w:val="0"/>
        <w:spacing w:after="0" w:line="276" w:lineRule="auto"/>
        <w:ind w:left="1077" w:hanging="1077"/>
        <w:jc w:val="both"/>
        <w:rPr>
          <w:rFonts w:ascii="Arial" w:hAnsi="Arial" w:cs="Arial"/>
          <w:sz w:val="20"/>
          <w:szCs w:val="20"/>
        </w:rPr>
      </w:pPr>
    </w:p>
    <w:p w14:paraId="7E07B401" w14:textId="77777777"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rPr>
        <w:t xml:space="preserve">Nakup opreme v letu 2025: </w:t>
      </w:r>
    </w:p>
    <w:p w14:paraId="089189D2" w14:textId="7AD6935C" w:rsidR="00EC5EA9" w:rsidRPr="00D83239" w:rsidRDefault="00E85C13" w:rsidP="00FE543C">
      <w:pPr>
        <w:pStyle w:val="Odstavekseznama"/>
        <w:numPr>
          <w:ilvl w:val="0"/>
          <w:numId w:val="27"/>
        </w:numPr>
        <w:tabs>
          <w:tab w:val="left" w:pos="993"/>
          <w:tab w:val="left" w:pos="9070"/>
        </w:tabs>
        <w:autoSpaceDE w:val="0"/>
        <w:autoSpaceDN w:val="0"/>
        <w:adjustRightInd w:val="0"/>
        <w:spacing w:after="0"/>
        <w:ind w:left="426" w:hanging="426"/>
        <w:contextualSpacing/>
        <w:jc w:val="both"/>
        <w:rPr>
          <w:rFonts w:ascii="Arial" w:hAnsi="Arial" w:cs="Arial"/>
          <w:sz w:val="20"/>
          <w:szCs w:val="20"/>
        </w:rPr>
      </w:pPr>
      <w:r>
        <w:rPr>
          <w:rFonts w:ascii="Arial" w:hAnsi="Arial" w:cs="Arial"/>
          <w:sz w:val="20"/>
          <w:szCs w:val="20"/>
        </w:rPr>
        <w:t>i</w:t>
      </w:r>
      <w:r w:rsidR="00EC5EA9" w:rsidRPr="00D83239">
        <w:rPr>
          <w:rFonts w:ascii="Arial" w:hAnsi="Arial" w:cs="Arial"/>
          <w:sz w:val="20"/>
          <w:szCs w:val="20"/>
        </w:rPr>
        <w:t>zvedeni odpoklici klimatskih naprav po okvirnih sporazumih,</w:t>
      </w:r>
    </w:p>
    <w:p w14:paraId="5260EFB7" w14:textId="77777777" w:rsidR="00EC5EA9" w:rsidRPr="00D83239" w:rsidRDefault="00EC5EA9" w:rsidP="00FE543C">
      <w:pPr>
        <w:pStyle w:val="Odstavekseznama"/>
        <w:numPr>
          <w:ilvl w:val="0"/>
          <w:numId w:val="15"/>
        </w:numPr>
        <w:tabs>
          <w:tab w:val="left" w:pos="993"/>
          <w:tab w:val="left" w:pos="9070"/>
        </w:tabs>
        <w:autoSpaceDE w:val="0"/>
        <w:autoSpaceDN w:val="0"/>
        <w:adjustRightInd w:val="0"/>
        <w:spacing w:after="0"/>
        <w:ind w:left="426" w:hanging="426"/>
        <w:contextualSpacing/>
        <w:jc w:val="both"/>
        <w:rPr>
          <w:rFonts w:ascii="Arial" w:hAnsi="Arial" w:cs="Arial"/>
          <w:sz w:val="20"/>
          <w:szCs w:val="20"/>
        </w:rPr>
      </w:pPr>
      <w:r w:rsidRPr="00D83239">
        <w:rPr>
          <w:rFonts w:ascii="Arial" w:hAnsi="Arial" w:cs="Arial"/>
          <w:sz w:val="20"/>
          <w:szCs w:val="20"/>
        </w:rPr>
        <w:t>izvedeni odpoklici pohištvene opreme po okvirnih sporazumih,</w:t>
      </w:r>
    </w:p>
    <w:p w14:paraId="6BD922AF" w14:textId="77777777" w:rsidR="00EC5EA9" w:rsidRPr="00D83239" w:rsidRDefault="00EC5EA9" w:rsidP="00FE543C">
      <w:pPr>
        <w:pStyle w:val="Odstavekseznama"/>
        <w:numPr>
          <w:ilvl w:val="0"/>
          <w:numId w:val="15"/>
        </w:numPr>
        <w:tabs>
          <w:tab w:val="left" w:pos="993"/>
          <w:tab w:val="left" w:pos="9070"/>
        </w:tabs>
        <w:autoSpaceDE w:val="0"/>
        <w:autoSpaceDN w:val="0"/>
        <w:adjustRightInd w:val="0"/>
        <w:spacing w:after="0"/>
        <w:ind w:left="426" w:hanging="426"/>
        <w:contextualSpacing/>
        <w:jc w:val="both"/>
        <w:rPr>
          <w:rFonts w:ascii="Arial" w:hAnsi="Arial" w:cs="Arial"/>
          <w:sz w:val="20"/>
          <w:szCs w:val="20"/>
        </w:rPr>
      </w:pPr>
      <w:r w:rsidRPr="00D83239">
        <w:rPr>
          <w:rFonts w:ascii="Arial" w:hAnsi="Arial" w:cs="Arial"/>
          <w:sz w:val="20"/>
          <w:szCs w:val="20"/>
        </w:rPr>
        <w:t xml:space="preserve">izveden nakup </w:t>
      </w:r>
      <w:proofErr w:type="spellStart"/>
      <w:r w:rsidRPr="00D83239">
        <w:rPr>
          <w:rFonts w:ascii="Arial" w:hAnsi="Arial" w:cs="Arial"/>
          <w:sz w:val="20"/>
          <w:szCs w:val="20"/>
        </w:rPr>
        <w:t>birotehnične</w:t>
      </w:r>
      <w:proofErr w:type="spellEnd"/>
      <w:r w:rsidRPr="00D83239">
        <w:rPr>
          <w:rFonts w:ascii="Arial" w:hAnsi="Arial" w:cs="Arial"/>
          <w:sz w:val="20"/>
          <w:szCs w:val="20"/>
        </w:rPr>
        <w:t xml:space="preserve"> opreme in dela opreme delavnic.</w:t>
      </w:r>
    </w:p>
    <w:p w14:paraId="0414804D" w14:textId="77777777" w:rsidR="00EC5EA9" w:rsidRPr="00D83239" w:rsidRDefault="00EC5EA9" w:rsidP="00D83239">
      <w:pPr>
        <w:tabs>
          <w:tab w:val="left" w:pos="9070"/>
        </w:tabs>
        <w:autoSpaceDE w:val="0"/>
        <w:autoSpaceDN w:val="0"/>
        <w:adjustRightInd w:val="0"/>
        <w:spacing w:after="0" w:line="276" w:lineRule="auto"/>
        <w:ind w:left="1077" w:hanging="1077"/>
        <w:jc w:val="both"/>
        <w:rPr>
          <w:rFonts w:ascii="Arial" w:hAnsi="Arial" w:cs="Arial"/>
          <w:b/>
          <w:sz w:val="20"/>
          <w:szCs w:val="20"/>
        </w:rPr>
      </w:pPr>
    </w:p>
    <w:p w14:paraId="218AACAB" w14:textId="0CCA0DD7" w:rsidR="00EC5EA9" w:rsidRPr="00D83239" w:rsidRDefault="00EC5EA9" w:rsidP="00D83239">
      <w:pPr>
        <w:tabs>
          <w:tab w:val="left" w:pos="9070"/>
        </w:tabs>
        <w:autoSpaceDE w:val="0"/>
        <w:autoSpaceDN w:val="0"/>
        <w:adjustRightInd w:val="0"/>
        <w:spacing w:after="0" w:line="276" w:lineRule="auto"/>
        <w:ind w:left="1077" w:hanging="1077"/>
        <w:jc w:val="both"/>
        <w:rPr>
          <w:rFonts w:ascii="Arial" w:hAnsi="Arial" w:cs="Arial"/>
          <w:b/>
          <w:sz w:val="20"/>
          <w:szCs w:val="20"/>
        </w:rPr>
      </w:pPr>
      <w:r w:rsidRPr="00D83239">
        <w:rPr>
          <w:rFonts w:ascii="Arial" w:hAnsi="Arial" w:cs="Arial"/>
          <w:b/>
          <w:sz w:val="20"/>
          <w:szCs w:val="20"/>
        </w:rPr>
        <w:t>Projekti</w:t>
      </w:r>
      <w:r w:rsidR="00247683">
        <w:rPr>
          <w:rFonts w:ascii="Arial" w:hAnsi="Arial" w:cs="Arial"/>
          <w:b/>
          <w:sz w:val="20"/>
          <w:szCs w:val="20"/>
        </w:rPr>
        <w:t>, izvedeni s</w:t>
      </w:r>
      <w:r w:rsidRPr="00D83239">
        <w:rPr>
          <w:rFonts w:ascii="Arial" w:hAnsi="Arial" w:cs="Arial"/>
          <w:b/>
          <w:sz w:val="20"/>
          <w:szCs w:val="20"/>
        </w:rPr>
        <w:t xml:space="preserve"> sredstv</w:t>
      </w:r>
      <w:r w:rsidR="00247683">
        <w:rPr>
          <w:rFonts w:ascii="Arial" w:hAnsi="Arial" w:cs="Arial"/>
          <w:b/>
          <w:sz w:val="20"/>
          <w:szCs w:val="20"/>
        </w:rPr>
        <w:t>i</w:t>
      </w:r>
      <w:r w:rsidR="00247683" w:rsidRPr="00247683">
        <w:rPr>
          <w:rFonts w:ascii="Arial" w:hAnsi="Arial" w:cs="Arial"/>
          <w:b/>
          <w:sz w:val="20"/>
          <w:szCs w:val="20"/>
        </w:rPr>
        <w:t xml:space="preserve"> </w:t>
      </w:r>
      <w:r w:rsidR="00247683" w:rsidRPr="00D83239">
        <w:rPr>
          <w:rFonts w:ascii="Arial" w:hAnsi="Arial" w:cs="Arial"/>
          <w:b/>
          <w:sz w:val="20"/>
          <w:szCs w:val="20"/>
        </w:rPr>
        <w:t>EU</w:t>
      </w:r>
      <w:r w:rsidRPr="00D83239">
        <w:rPr>
          <w:rFonts w:ascii="Arial" w:hAnsi="Arial" w:cs="Arial"/>
          <w:b/>
          <w:sz w:val="20"/>
          <w:szCs w:val="20"/>
        </w:rPr>
        <w:t>:</w:t>
      </w:r>
    </w:p>
    <w:p w14:paraId="600ED36B" w14:textId="785454D5" w:rsidR="00EC5EA9" w:rsidRPr="00D83239" w:rsidRDefault="00E85C13" w:rsidP="00FE543C">
      <w:pPr>
        <w:pStyle w:val="Odstavekseznama"/>
        <w:numPr>
          <w:ilvl w:val="0"/>
          <w:numId w:val="15"/>
        </w:numPr>
        <w:tabs>
          <w:tab w:val="left" w:pos="993"/>
          <w:tab w:val="left" w:pos="9070"/>
        </w:tabs>
        <w:autoSpaceDE w:val="0"/>
        <w:autoSpaceDN w:val="0"/>
        <w:adjustRightInd w:val="0"/>
        <w:spacing w:after="0"/>
        <w:ind w:left="425" w:hanging="425"/>
        <w:contextualSpacing/>
        <w:jc w:val="both"/>
        <w:rPr>
          <w:rFonts w:ascii="Arial" w:hAnsi="Arial" w:cs="Arial"/>
          <w:sz w:val="20"/>
          <w:szCs w:val="20"/>
        </w:rPr>
      </w:pPr>
      <w:r>
        <w:rPr>
          <w:rFonts w:ascii="Arial" w:hAnsi="Arial" w:cs="Arial"/>
          <w:sz w:val="20"/>
          <w:szCs w:val="20"/>
        </w:rPr>
        <w:t>i</w:t>
      </w:r>
      <w:r w:rsidR="00EC5EA9" w:rsidRPr="00D83239">
        <w:rPr>
          <w:rFonts w:ascii="Arial" w:hAnsi="Arial" w:cs="Arial"/>
          <w:sz w:val="20"/>
          <w:szCs w:val="20"/>
        </w:rPr>
        <w:t>zvedba projektiranja hangar Šentvid,</w:t>
      </w:r>
    </w:p>
    <w:p w14:paraId="33D18BA9" w14:textId="24572454" w:rsidR="00EC5EA9" w:rsidRPr="00D83239" w:rsidRDefault="00EC5EA9" w:rsidP="00FE543C">
      <w:pPr>
        <w:pStyle w:val="Odstavekseznama"/>
        <w:numPr>
          <w:ilvl w:val="0"/>
          <w:numId w:val="15"/>
        </w:numPr>
        <w:tabs>
          <w:tab w:val="left" w:pos="993"/>
          <w:tab w:val="left" w:pos="9070"/>
        </w:tabs>
        <w:autoSpaceDE w:val="0"/>
        <w:autoSpaceDN w:val="0"/>
        <w:adjustRightInd w:val="0"/>
        <w:spacing w:after="0"/>
        <w:ind w:left="425" w:hanging="425"/>
        <w:contextualSpacing/>
        <w:jc w:val="both"/>
        <w:rPr>
          <w:rFonts w:ascii="Arial" w:hAnsi="Arial" w:cs="Arial"/>
          <w:sz w:val="20"/>
          <w:szCs w:val="20"/>
        </w:rPr>
      </w:pPr>
      <w:r w:rsidRPr="00D83239">
        <w:rPr>
          <w:rFonts w:ascii="Arial" w:hAnsi="Arial" w:cs="Arial"/>
          <w:sz w:val="20"/>
          <w:szCs w:val="20"/>
        </w:rPr>
        <w:t>izvedba projektiranja koordinacijskega centra Dolga 48</w:t>
      </w:r>
      <w:r w:rsidR="00E85C13">
        <w:rPr>
          <w:rFonts w:ascii="Arial" w:hAnsi="Arial" w:cs="Arial"/>
          <w:sz w:val="20"/>
          <w:szCs w:val="20"/>
        </w:rPr>
        <w:t>,</w:t>
      </w:r>
    </w:p>
    <w:p w14:paraId="08E7996E" w14:textId="6868D2A8" w:rsidR="00EC5EA9" w:rsidRPr="00D83239" w:rsidRDefault="00EC5EA9" w:rsidP="00FE543C">
      <w:pPr>
        <w:pStyle w:val="Odstavekseznama"/>
        <w:numPr>
          <w:ilvl w:val="0"/>
          <w:numId w:val="15"/>
        </w:numPr>
        <w:tabs>
          <w:tab w:val="left" w:pos="993"/>
          <w:tab w:val="left" w:pos="9070"/>
        </w:tabs>
        <w:autoSpaceDE w:val="0"/>
        <w:autoSpaceDN w:val="0"/>
        <w:adjustRightInd w:val="0"/>
        <w:spacing w:after="0"/>
        <w:ind w:left="425" w:hanging="425"/>
        <w:contextualSpacing/>
        <w:jc w:val="both"/>
        <w:rPr>
          <w:rFonts w:ascii="Arial" w:hAnsi="Arial" w:cs="Arial"/>
          <w:sz w:val="20"/>
          <w:szCs w:val="20"/>
        </w:rPr>
      </w:pPr>
      <w:r w:rsidRPr="00D83239">
        <w:rPr>
          <w:rFonts w:ascii="Arial" w:hAnsi="Arial" w:cs="Arial"/>
          <w:sz w:val="20"/>
          <w:szCs w:val="20"/>
        </w:rPr>
        <w:t>C</w:t>
      </w:r>
      <w:r w:rsidR="00E85C13">
        <w:rPr>
          <w:rFonts w:ascii="Arial" w:hAnsi="Arial" w:cs="Arial"/>
          <w:sz w:val="20"/>
          <w:szCs w:val="20"/>
        </w:rPr>
        <w:t>enter za tujce</w:t>
      </w:r>
      <w:r w:rsidRPr="00D83239">
        <w:rPr>
          <w:rFonts w:ascii="Arial" w:hAnsi="Arial" w:cs="Arial"/>
          <w:sz w:val="20"/>
          <w:szCs w:val="20"/>
        </w:rPr>
        <w:t xml:space="preserve"> Postojna: </w:t>
      </w:r>
      <w:r w:rsidR="00E85C13">
        <w:rPr>
          <w:rFonts w:ascii="Arial" w:hAnsi="Arial" w:cs="Arial"/>
          <w:sz w:val="20"/>
          <w:szCs w:val="20"/>
        </w:rPr>
        <w:t>i</w:t>
      </w:r>
      <w:r w:rsidRPr="00D83239">
        <w:rPr>
          <w:rFonts w:ascii="Arial" w:hAnsi="Arial" w:cs="Arial"/>
          <w:sz w:val="20"/>
          <w:szCs w:val="20"/>
        </w:rPr>
        <w:t>zdelana projektna dokumentacija za ograditev igrišča in pridobljeno gradbeno dovoljenje.</w:t>
      </w:r>
    </w:p>
    <w:p w14:paraId="37F5CBEE" w14:textId="77777777" w:rsidR="00EC5EA9" w:rsidRPr="00D83239" w:rsidRDefault="00EC5EA9" w:rsidP="00D83239">
      <w:pPr>
        <w:tabs>
          <w:tab w:val="left" w:pos="9070"/>
        </w:tabs>
        <w:autoSpaceDE w:val="0"/>
        <w:autoSpaceDN w:val="0"/>
        <w:adjustRightInd w:val="0"/>
        <w:spacing w:after="0" w:line="276" w:lineRule="auto"/>
        <w:jc w:val="both"/>
        <w:rPr>
          <w:rFonts w:ascii="Arial" w:hAnsi="Arial" w:cs="Arial"/>
          <w:sz w:val="20"/>
          <w:szCs w:val="20"/>
        </w:rPr>
      </w:pPr>
    </w:p>
    <w:p w14:paraId="6B9D416D" w14:textId="1B690B45" w:rsidR="00EC5EA9" w:rsidRPr="00D83239" w:rsidRDefault="00EC5EA9" w:rsidP="00B60EBD">
      <w:pPr>
        <w:tabs>
          <w:tab w:val="left" w:pos="9070"/>
        </w:tabs>
        <w:autoSpaceDE w:val="0"/>
        <w:autoSpaceDN w:val="0"/>
        <w:adjustRightInd w:val="0"/>
        <w:spacing w:after="0" w:line="276" w:lineRule="auto"/>
        <w:jc w:val="both"/>
        <w:rPr>
          <w:rFonts w:ascii="Arial" w:hAnsi="Arial" w:cs="Arial"/>
          <w:b/>
          <w:sz w:val="20"/>
          <w:szCs w:val="20"/>
        </w:rPr>
      </w:pPr>
      <w:r w:rsidRPr="00D83239">
        <w:rPr>
          <w:rFonts w:ascii="Arial" w:hAnsi="Arial" w:cs="Arial"/>
          <w:b/>
          <w:sz w:val="20"/>
          <w:szCs w:val="20"/>
        </w:rPr>
        <w:t>Projekti novogradenj in sanacije obstoječih objektov</w:t>
      </w:r>
      <w:r w:rsidR="00E85C13">
        <w:rPr>
          <w:rFonts w:ascii="Arial" w:hAnsi="Arial" w:cs="Arial"/>
          <w:b/>
          <w:sz w:val="20"/>
          <w:szCs w:val="20"/>
        </w:rPr>
        <w:t>:</w:t>
      </w:r>
    </w:p>
    <w:p w14:paraId="0AE3D5E2" w14:textId="61A60FB8" w:rsidR="00EC5EA9" w:rsidRPr="00D83239" w:rsidRDefault="00EC5EA9" w:rsidP="00FE543C">
      <w:pPr>
        <w:pStyle w:val="Odstavekseznama"/>
        <w:numPr>
          <w:ilvl w:val="0"/>
          <w:numId w:val="15"/>
        </w:numPr>
        <w:tabs>
          <w:tab w:val="left" w:pos="993"/>
          <w:tab w:val="left" w:pos="9070"/>
        </w:tabs>
        <w:autoSpaceDE w:val="0"/>
        <w:autoSpaceDN w:val="0"/>
        <w:adjustRightInd w:val="0"/>
        <w:spacing w:after="0"/>
        <w:ind w:left="426" w:hanging="426"/>
        <w:contextualSpacing/>
        <w:jc w:val="both"/>
        <w:rPr>
          <w:rFonts w:ascii="Arial" w:hAnsi="Arial" w:cs="Arial"/>
          <w:sz w:val="20"/>
          <w:szCs w:val="20"/>
        </w:rPr>
      </w:pPr>
      <w:r w:rsidRPr="00D83239">
        <w:rPr>
          <w:rFonts w:ascii="Arial" w:hAnsi="Arial" w:cs="Arial"/>
          <w:sz w:val="20"/>
          <w:szCs w:val="20"/>
        </w:rPr>
        <w:t xml:space="preserve">Postaja pomorske policije Koper: </w:t>
      </w:r>
      <w:r w:rsidR="00E85C13">
        <w:rPr>
          <w:rFonts w:ascii="Arial" w:hAnsi="Arial" w:cs="Arial"/>
          <w:sz w:val="20"/>
          <w:szCs w:val="20"/>
        </w:rPr>
        <w:t>p</w:t>
      </w:r>
      <w:r w:rsidRPr="00D83239">
        <w:rPr>
          <w:rFonts w:ascii="Arial" w:hAnsi="Arial" w:cs="Arial"/>
          <w:sz w:val="20"/>
          <w:szCs w:val="20"/>
        </w:rPr>
        <w:t>odpisana je bila pogodba za izdelavo projektne dokumentacije za ureditev novih poslovnih prostorov. Projektna dokumentacija je bila izdelana in prevzeta</w:t>
      </w:r>
      <w:r w:rsidR="00E85C13">
        <w:rPr>
          <w:rFonts w:ascii="Arial" w:hAnsi="Arial" w:cs="Arial"/>
          <w:sz w:val="20"/>
          <w:szCs w:val="20"/>
        </w:rPr>
        <w:t>;</w:t>
      </w:r>
    </w:p>
    <w:p w14:paraId="6190E623" w14:textId="5A5DFD22" w:rsidR="00EC5EA9" w:rsidRPr="00D83239" w:rsidRDefault="00EC5EA9" w:rsidP="00FE543C">
      <w:pPr>
        <w:pStyle w:val="Odstavekseznama"/>
        <w:numPr>
          <w:ilvl w:val="0"/>
          <w:numId w:val="15"/>
        </w:numPr>
        <w:tabs>
          <w:tab w:val="left" w:pos="993"/>
          <w:tab w:val="left" w:pos="9070"/>
        </w:tabs>
        <w:autoSpaceDE w:val="0"/>
        <w:autoSpaceDN w:val="0"/>
        <w:adjustRightInd w:val="0"/>
        <w:spacing w:after="0"/>
        <w:ind w:left="426" w:hanging="426"/>
        <w:contextualSpacing/>
        <w:jc w:val="both"/>
        <w:rPr>
          <w:rFonts w:ascii="Arial" w:hAnsi="Arial" w:cs="Arial"/>
          <w:sz w:val="20"/>
          <w:szCs w:val="20"/>
        </w:rPr>
      </w:pPr>
      <w:r w:rsidRPr="00D83239">
        <w:rPr>
          <w:rFonts w:ascii="Arial" w:hAnsi="Arial" w:cs="Arial"/>
          <w:sz w:val="20"/>
          <w:szCs w:val="20"/>
        </w:rPr>
        <w:t xml:space="preserve">Policijska postaja Ajdovščina: </w:t>
      </w:r>
      <w:r w:rsidR="00E85C13">
        <w:rPr>
          <w:rFonts w:ascii="Arial" w:hAnsi="Arial" w:cs="Arial"/>
          <w:sz w:val="20"/>
          <w:szCs w:val="20"/>
        </w:rPr>
        <w:t>z</w:t>
      </w:r>
      <w:r w:rsidRPr="00D83239">
        <w:rPr>
          <w:rFonts w:ascii="Arial" w:hAnsi="Arial" w:cs="Arial"/>
          <w:sz w:val="20"/>
          <w:szCs w:val="20"/>
        </w:rPr>
        <w:t>a novogradnjo je bila izdelana DGD projektna dokumentacija, aprila 2023 pa pridobljeno gradbeno dovoljenje. V letu 2025 je bil ponovljen postopek javnega naročila za pridobitev projektne dokumentacije PZI. Projektiranje je v teku</w:t>
      </w:r>
      <w:r w:rsidR="00E85C13">
        <w:rPr>
          <w:rFonts w:ascii="Arial" w:hAnsi="Arial" w:cs="Arial"/>
          <w:sz w:val="20"/>
          <w:szCs w:val="20"/>
        </w:rPr>
        <w:t>;</w:t>
      </w:r>
    </w:p>
    <w:p w14:paraId="0ED9BEE9" w14:textId="35C90D46" w:rsidR="00EC5EA9" w:rsidRPr="00D83239" w:rsidRDefault="00EC5EA9" w:rsidP="00FE543C">
      <w:pPr>
        <w:pStyle w:val="Odstavekseznama"/>
        <w:numPr>
          <w:ilvl w:val="0"/>
          <w:numId w:val="15"/>
        </w:numPr>
        <w:tabs>
          <w:tab w:val="left" w:pos="993"/>
          <w:tab w:val="left" w:pos="9070"/>
        </w:tabs>
        <w:autoSpaceDE w:val="0"/>
        <w:autoSpaceDN w:val="0"/>
        <w:adjustRightInd w:val="0"/>
        <w:spacing w:after="0"/>
        <w:ind w:left="426" w:hanging="426"/>
        <w:contextualSpacing/>
        <w:jc w:val="both"/>
        <w:rPr>
          <w:rFonts w:ascii="Arial" w:hAnsi="Arial" w:cs="Arial"/>
          <w:sz w:val="20"/>
          <w:szCs w:val="20"/>
        </w:rPr>
      </w:pPr>
      <w:r w:rsidRPr="00D83239">
        <w:rPr>
          <w:rFonts w:ascii="Arial" w:hAnsi="Arial" w:cs="Arial"/>
          <w:sz w:val="20"/>
          <w:szCs w:val="20"/>
        </w:rPr>
        <w:t xml:space="preserve">EVSP Novo mesto (Črnomelj): </w:t>
      </w:r>
      <w:r w:rsidR="00E85C13">
        <w:rPr>
          <w:rFonts w:ascii="Arial" w:hAnsi="Arial" w:cs="Arial"/>
          <w:sz w:val="20"/>
          <w:szCs w:val="20"/>
        </w:rPr>
        <w:t>i</w:t>
      </w:r>
      <w:r w:rsidRPr="00D83239">
        <w:rPr>
          <w:rFonts w:ascii="Arial" w:hAnsi="Arial" w:cs="Arial"/>
          <w:sz w:val="20"/>
          <w:szCs w:val="20"/>
        </w:rPr>
        <w:t>zdelana je bila projektna dokumentacija in pridobljeno gradbeno dovoljenje</w:t>
      </w:r>
      <w:r w:rsidR="00E85C13">
        <w:rPr>
          <w:rFonts w:ascii="Arial" w:hAnsi="Arial" w:cs="Arial"/>
          <w:sz w:val="20"/>
          <w:szCs w:val="20"/>
        </w:rPr>
        <w:t>;</w:t>
      </w:r>
    </w:p>
    <w:p w14:paraId="527D9D3A" w14:textId="06D6AC40" w:rsidR="00EC5EA9" w:rsidRPr="00D83239" w:rsidRDefault="00E85C13" w:rsidP="00FE543C">
      <w:pPr>
        <w:pStyle w:val="Odstavekseznama"/>
        <w:numPr>
          <w:ilvl w:val="0"/>
          <w:numId w:val="15"/>
        </w:numPr>
        <w:tabs>
          <w:tab w:val="left" w:pos="993"/>
          <w:tab w:val="left" w:pos="9070"/>
        </w:tabs>
        <w:autoSpaceDE w:val="0"/>
        <w:autoSpaceDN w:val="0"/>
        <w:adjustRightInd w:val="0"/>
        <w:spacing w:after="0"/>
        <w:ind w:left="426" w:hanging="426"/>
        <w:contextualSpacing/>
        <w:jc w:val="both"/>
        <w:rPr>
          <w:rFonts w:ascii="Arial" w:hAnsi="Arial" w:cs="Arial"/>
          <w:sz w:val="20"/>
          <w:szCs w:val="20"/>
        </w:rPr>
      </w:pPr>
      <w:r>
        <w:rPr>
          <w:rFonts w:ascii="Arial" w:hAnsi="Arial" w:cs="Arial"/>
          <w:sz w:val="20"/>
          <w:szCs w:val="20"/>
        </w:rPr>
        <w:t>n</w:t>
      </w:r>
      <w:r w:rsidR="00EC5EA9" w:rsidRPr="00D83239">
        <w:rPr>
          <w:rFonts w:ascii="Arial" w:hAnsi="Arial" w:cs="Arial"/>
          <w:sz w:val="20"/>
          <w:szCs w:val="20"/>
        </w:rPr>
        <w:t>ovogradnja P</w:t>
      </w:r>
      <w:r>
        <w:rPr>
          <w:rFonts w:ascii="Arial" w:hAnsi="Arial" w:cs="Arial"/>
          <w:sz w:val="20"/>
          <w:szCs w:val="20"/>
        </w:rPr>
        <w:t>olicijska uprava</w:t>
      </w:r>
      <w:r w:rsidR="00EC5EA9" w:rsidRPr="00D83239">
        <w:rPr>
          <w:rFonts w:ascii="Arial" w:hAnsi="Arial" w:cs="Arial"/>
          <w:sz w:val="20"/>
          <w:szCs w:val="20"/>
        </w:rPr>
        <w:t xml:space="preserve"> Koper: </w:t>
      </w:r>
      <w:r>
        <w:rPr>
          <w:rFonts w:ascii="Arial" w:hAnsi="Arial" w:cs="Arial"/>
          <w:sz w:val="20"/>
          <w:szCs w:val="20"/>
        </w:rPr>
        <w:t>o</w:t>
      </w:r>
      <w:r w:rsidR="00EC5EA9" w:rsidRPr="00D83239">
        <w:rPr>
          <w:rFonts w:ascii="Arial" w:hAnsi="Arial" w:cs="Arial"/>
          <w:sz w:val="20"/>
          <w:szCs w:val="20"/>
        </w:rPr>
        <w:t xml:space="preserve">bravnavanih je bilo več novih lokacij, ki so bile na območju mestne občine Koper in občine Ankaran. Vse lokacije so se izkazale </w:t>
      </w:r>
      <w:r w:rsidR="00247683">
        <w:rPr>
          <w:rFonts w:ascii="Arial" w:hAnsi="Arial" w:cs="Arial"/>
          <w:sz w:val="20"/>
          <w:szCs w:val="20"/>
        </w:rPr>
        <w:t>za</w:t>
      </w:r>
      <w:r w:rsidR="00247683" w:rsidRPr="00D83239">
        <w:rPr>
          <w:rFonts w:ascii="Arial" w:hAnsi="Arial" w:cs="Arial"/>
          <w:sz w:val="20"/>
          <w:szCs w:val="20"/>
        </w:rPr>
        <w:t xml:space="preserve"> </w:t>
      </w:r>
      <w:r w:rsidR="00EC5EA9" w:rsidRPr="00D83239">
        <w:rPr>
          <w:rFonts w:ascii="Arial" w:hAnsi="Arial" w:cs="Arial"/>
          <w:sz w:val="20"/>
          <w:szCs w:val="20"/>
        </w:rPr>
        <w:t xml:space="preserve">neprimerne. </w:t>
      </w:r>
    </w:p>
    <w:p w14:paraId="380596D5" w14:textId="77777777" w:rsidR="00EC5EA9" w:rsidRPr="00D83239" w:rsidRDefault="00EC5EA9" w:rsidP="00D83239">
      <w:pPr>
        <w:spacing w:line="276" w:lineRule="auto"/>
        <w:contextualSpacing/>
        <w:jc w:val="both"/>
        <w:rPr>
          <w:rFonts w:ascii="Arial" w:hAnsi="Arial" w:cs="Arial"/>
          <w:sz w:val="20"/>
          <w:szCs w:val="20"/>
        </w:rPr>
      </w:pPr>
    </w:p>
    <w:p w14:paraId="49783E46" w14:textId="77777777" w:rsidR="00EC5EA9" w:rsidRPr="00D83239" w:rsidRDefault="00EC5EA9" w:rsidP="00D83239">
      <w:pPr>
        <w:spacing w:after="0" w:line="276" w:lineRule="auto"/>
        <w:jc w:val="both"/>
        <w:rPr>
          <w:rFonts w:ascii="Arial" w:hAnsi="Arial" w:cs="Arial"/>
          <w:sz w:val="20"/>
          <w:szCs w:val="20"/>
        </w:rPr>
      </w:pPr>
      <w:r w:rsidRPr="00D83239">
        <w:rPr>
          <w:rFonts w:ascii="Arial" w:hAnsi="Arial" w:cs="Arial"/>
          <w:b/>
          <w:sz w:val="20"/>
          <w:szCs w:val="20"/>
        </w:rPr>
        <w:t>Načrt za okrevanje in odpornost – projekt postavitve 30 polnilnih postaj za vozila policije</w:t>
      </w:r>
      <w:r w:rsidRPr="00D83239">
        <w:rPr>
          <w:rFonts w:ascii="Arial" w:hAnsi="Arial" w:cs="Arial"/>
          <w:sz w:val="20"/>
          <w:szCs w:val="20"/>
        </w:rPr>
        <w:t>:</w:t>
      </w:r>
    </w:p>
    <w:p w14:paraId="24F9D58E" w14:textId="0EA8C5A6" w:rsidR="00EC5EA9" w:rsidRPr="00D83239" w:rsidRDefault="00E85C13" w:rsidP="00B60EBD">
      <w:pPr>
        <w:pStyle w:val="Odstavekseznama"/>
        <w:numPr>
          <w:ilvl w:val="0"/>
          <w:numId w:val="16"/>
        </w:numPr>
        <w:spacing w:after="0"/>
        <w:ind w:left="426" w:hanging="426"/>
        <w:contextualSpacing/>
        <w:jc w:val="both"/>
        <w:rPr>
          <w:rFonts w:ascii="Arial" w:hAnsi="Arial" w:cs="Arial"/>
          <w:sz w:val="20"/>
          <w:szCs w:val="20"/>
        </w:rPr>
      </w:pPr>
      <w:r>
        <w:rPr>
          <w:rFonts w:ascii="Arial" w:hAnsi="Arial" w:cs="Arial"/>
          <w:sz w:val="20"/>
          <w:szCs w:val="20"/>
        </w:rPr>
        <w:t>v</w:t>
      </w:r>
      <w:r w:rsidR="00EC5EA9" w:rsidRPr="00D83239">
        <w:rPr>
          <w:rFonts w:ascii="Arial" w:hAnsi="Arial" w:cs="Arial"/>
          <w:sz w:val="20"/>
          <w:szCs w:val="20"/>
        </w:rPr>
        <w:t>sa dela po projektu so bila končana, končni prevzem del je bil v decembru 2025.</w:t>
      </w:r>
    </w:p>
    <w:p w14:paraId="3E4EF7C3" w14:textId="77777777" w:rsidR="00B60EBD" w:rsidRDefault="00B60EBD" w:rsidP="00D83239">
      <w:pPr>
        <w:spacing w:after="0" w:line="276" w:lineRule="auto"/>
        <w:jc w:val="both"/>
        <w:rPr>
          <w:rFonts w:ascii="Arial" w:hAnsi="Arial" w:cs="Arial"/>
          <w:b/>
          <w:sz w:val="20"/>
          <w:szCs w:val="20"/>
        </w:rPr>
      </w:pPr>
    </w:p>
    <w:p w14:paraId="1F825F10" w14:textId="6EA4AB5D"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rPr>
        <w:t>Odstranjevanje začasnih tehničnih ovir na meji z Republiko Hrvaško</w:t>
      </w:r>
    </w:p>
    <w:p w14:paraId="5EED5881" w14:textId="7504F4F0" w:rsidR="000D05FC" w:rsidRPr="00D83239" w:rsidRDefault="000D05FC" w:rsidP="000D05FC">
      <w:pPr>
        <w:spacing w:line="276" w:lineRule="auto"/>
        <w:contextualSpacing/>
        <w:jc w:val="both"/>
        <w:rPr>
          <w:rFonts w:ascii="Arial" w:hAnsi="Arial" w:cs="Arial"/>
          <w:sz w:val="20"/>
          <w:szCs w:val="20"/>
        </w:rPr>
      </w:pPr>
      <w:r w:rsidRPr="00D83239">
        <w:rPr>
          <w:rFonts w:ascii="Arial" w:hAnsi="Arial" w:cs="Arial"/>
          <w:sz w:val="20"/>
          <w:szCs w:val="20"/>
        </w:rPr>
        <w:t>V letu 2025 je bilo po pogodbi z MINIS</w:t>
      </w:r>
      <w:r w:rsidR="00247683">
        <w:rPr>
          <w:rFonts w:ascii="Arial" w:hAnsi="Arial" w:cs="Arial"/>
          <w:sz w:val="20"/>
          <w:szCs w:val="20"/>
        </w:rPr>
        <w:t>,</w:t>
      </w:r>
      <w:r w:rsidRPr="00D83239">
        <w:rPr>
          <w:rFonts w:ascii="Arial" w:hAnsi="Arial" w:cs="Arial"/>
          <w:sz w:val="20"/>
          <w:szCs w:val="20"/>
        </w:rPr>
        <w:t xml:space="preserve"> d.</w:t>
      </w:r>
      <w:r w:rsidR="00247683">
        <w:rPr>
          <w:rFonts w:ascii="Arial" w:hAnsi="Arial" w:cs="Arial"/>
          <w:sz w:val="20"/>
          <w:szCs w:val="20"/>
        </w:rPr>
        <w:t xml:space="preserve"> </w:t>
      </w:r>
      <w:r w:rsidRPr="00D83239">
        <w:rPr>
          <w:rFonts w:ascii="Arial" w:hAnsi="Arial" w:cs="Arial"/>
          <w:sz w:val="20"/>
          <w:szCs w:val="20"/>
        </w:rPr>
        <w:t>o.</w:t>
      </w:r>
      <w:r w:rsidR="00247683">
        <w:rPr>
          <w:rFonts w:ascii="Arial" w:hAnsi="Arial" w:cs="Arial"/>
          <w:sz w:val="20"/>
          <w:szCs w:val="20"/>
        </w:rPr>
        <w:t xml:space="preserve"> </w:t>
      </w:r>
      <w:r w:rsidRPr="00D83239">
        <w:rPr>
          <w:rFonts w:ascii="Arial" w:hAnsi="Arial" w:cs="Arial"/>
          <w:sz w:val="20"/>
          <w:szCs w:val="20"/>
        </w:rPr>
        <w:t>o</w:t>
      </w:r>
      <w:r w:rsidR="00247683">
        <w:rPr>
          <w:rFonts w:ascii="Arial" w:hAnsi="Arial" w:cs="Arial"/>
          <w:sz w:val="20"/>
          <w:szCs w:val="20"/>
        </w:rPr>
        <w:t>.,</w:t>
      </w:r>
      <w:r w:rsidRPr="00D83239">
        <w:rPr>
          <w:rFonts w:ascii="Arial" w:hAnsi="Arial" w:cs="Arial"/>
          <w:sz w:val="20"/>
          <w:szCs w:val="20"/>
        </w:rPr>
        <w:t xml:space="preserve"> odstranjen</w:t>
      </w:r>
      <w:r>
        <w:rPr>
          <w:rFonts w:ascii="Arial" w:hAnsi="Arial" w:cs="Arial"/>
          <w:sz w:val="20"/>
          <w:szCs w:val="20"/>
        </w:rPr>
        <w:t>ih</w:t>
      </w:r>
      <w:r w:rsidRPr="00D83239">
        <w:rPr>
          <w:rFonts w:ascii="Arial" w:hAnsi="Arial" w:cs="Arial"/>
          <w:sz w:val="20"/>
          <w:szCs w:val="20"/>
        </w:rPr>
        <w:t xml:space="preserve"> 106.638,03 metr</w:t>
      </w:r>
      <w:r w:rsidR="00247683">
        <w:rPr>
          <w:rFonts w:ascii="Arial" w:hAnsi="Arial" w:cs="Arial"/>
          <w:sz w:val="20"/>
          <w:szCs w:val="20"/>
        </w:rPr>
        <w:t>a</w:t>
      </w:r>
      <w:r w:rsidRPr="00D83239">
        <w:rPr>
          <w:rFonts w:ascii="Arial" w:hAnsi="Arial" w:cs="Arial"/>
          <w:sz w:val="20"/>
          <w:szCs w:val="20"/>
        </w:rPr>
        <w:t xml:space="preserve"> začasnih tehničnih ovir (ZTO) panelne ograje, 9.038,00 metr</w:t>
      </w:r>
      <w:r w:rsidR="00247683">
        <w:rPr>
          <w:rFonts w:ascii="Arial" w:hAnsi="Arial" w:cs="Arial"/>
          <w:sz w:val="20"/>
          <w:szCs w:val="20"/>
        </w:rPr>
        <w:t>a</w:t>
      </w:r>
      <w:r w:rsidRPr="00D83239">
        <w:rPr>
          <w:rFonts w:ascii="Arial" w:hAnsi="Arial" w:cs="Arial"/>
          <w:sz w:val="20"/>
          <w:szCs w:val="20"/>
        </w:rPr>
        <w:t xml:space="preserve"> panelne ograje po pogodbi MENSEL (vzdrževanje ZTO)</w:t>
      </w:r>
      <w:r>
        <w:rPr>
          <w:rFonts w:ascii="Arial" w:hAnsi="Arial" w:cs="Arial"/>
          <w:sz w:val="20"/>
          <w:szCs w:val="20"/>
        </w:rPr>
        <w:t>.</w:t>
      </w:r>
      <w:r w:rsidRPr="00D83239">
        <w:rPr>
          <w:rFonts w:ascii="Arial" w:hAnsi="Arial" w:cs="Arial"/>
          <w:sz w:val="20"/>
          <w:szCs w:val="20"/>
        </w:rPr>
        <w:t xml:space="preserve"> Skupaj je bilo odstranjenih</w:t>
      </w:r>
      <w:r w:rsidR="00247683">
        <w:rPr>
          <w:rFonts w:ascii="Arial" w:hAnsi="Arial" w:cs="Arial"/>
          <w:sz w:val="20"/>
          <w:szCs w:val="20"/>
        </w:rPr>
        <w:t xml:space="preserve"> </w:t>
      </w:r>
      <w:r>
        <w:rPr>
          <w:rFonts w:ascii="Arial" w:hAnsi="Arial" w:cs="Arial"/>
          <w:sz w:val="20"/>
          <w:szCs w:val="20"/>
        </w:rPr>
        <w:t>115.676,03</w:t>
      </w:r>
      <w:r w:rsidRPr="00D83239">
        <w:rPr>
          <w:rFonts w:ascii="Arial" w:hAnsi="Arial" w:cs="Arial"/>
          <w:sz w:val="20"/>
          <w:szCs w:val="20"/>
        </w:rPr>
        <w:t xml:space="preserve"> metr</w:t>
      </w:r>
      <w:r w:rsidR="00247683">
        <w:rPr>
          <w:rFonts w:ascii="Arial" w:hAnsi="Arial" w:cs="Arial"/>
          <w:sz w:val="20"/>
          <w:szCs w:val="20"/>
        </w:rPr>
        <w:t>a</w:t>
      </w:r>
      <w:r w:rsidRPr="00D83239">
        <w:rPr>
          <w:rFonts w:ascii="Arial" w:hAnsi="Arial" w:cs="Arial"/>
          <w:sz w:val="20"/>
          <w:szCs w:val="20"/>
        </w:rPr>
        <w:t xml:space="preserve"> ZTO. </w:t>
      </w:r>
    </w:p>
    <w:p w14:paraId="0C173111" w14:textId="72BCC9A9" w:rsidR="00EC5EA9" w:rsidRPr="00D83239" w:rsidRDefault="00EC5EA9" w:rsidP="00D83239">
      <w:pPr>
        <w:spacing w:after="0" w:line="276" w:lineRule="auto"/>
        <w:jc w:val="both"/>
        <w:rPr>
          <w:rFonts w:ascii="Arial" w:hAnsi="Arial" w:cs="Arial"/>
          <w:b/>
          <w:sz w:val="20"/>
          <w:szCs w:val="20"/>
        </w:rPr>
      </w:pPr>
    </w:p>
    <w:p w14:paraId="70C21005" w14:textId="2EC9A4F0"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rPr>
        <w:t>Pridobivanje stvarnega premoženja v letu 2025</w:t>
      </w:r>
    </w:p>
    <w:p w14:paraId="5FED8E85" w14:textId="3F3DFDEF" w:rsidR="00EC5EA9" w:rsidRPr="00D83239" w:rsidRDefault="00EC5EA9" w:rsidP="00D83239">
      <w:pPr>
        <w:spacing w:after="0" w:line="276" w:lineRule="auto"/>
        <w:jc w:val="both"/>
        <w:rPr>
          <w:rFonts w:ascii="Arial" w:hAnsi="Arial" w:cs="Arial"/>
          <w:sz w:val="20"/>
          <w:szCs w:val="20"/>
        </w:rPr>
      </w:pPr>
      <w:r w:rsidRPr="00D83239">
        <w:rPr>
          <w:rFonts w:ascii="Arial" w:hAnsi="Arial" w:cs="Arial"/>
          <w:sz w:val="20"/>
          <w:szCs w:val="20"/>
        </w:rPr>
        <w:t>Na podlagi postopkov po Zakonu o stvarnem premoženju države in s</w:t>
      </w:r>
      <w:r w:rsidR="008B31CC">
        <w:rPr>
          <w:rFonts w:ascii="Arial" w:hAnsi="Arial" w:cs="Arial"/>
          <w:sz w:val="20"/>
          <w:szCs w:val="20"/>
        </w:rPr>
        <w:t xml:space="preserve">amoupravnih lokalnih skupnosti </w:t>
      </w:r>
      <w:r w:rsidRPr="00D83239">
        <w:rPr>
          <w:rFonts w:ascii="Arial" w:hAnsi="Arial" w:cs="Arial"/>
          <w:sz w:val="20"/>
          <w:szCs w:val="20"/>
        </w:rPr>
        <w:t>v letu 2025 ni bilo poslov pridobivanja stvarnega premoženja, izvedeni so bili zgolj postopki prenosa upravljanja. Na podlagi sodne poravnave je bil urejen zemljiškoknjižni status nepremičnin na območju Debelega rtiča</w:t>
      </w:r>
      <w:r w:rsidR="00247683">
        <w:rPr>
          <w:rFonts w:ascii="Arial" w:hAnsi="Arial" w:cs="Arial"/>
          <w:sz w:val="20"/>
          <w:szCs w:val="20"/>
        </w:rPr>
        <w:t>.</w:t>
      </w:r>
    </w:p>
    <w:p w14:paraId="37816427" w14:textId="77777777" w:rsidR="00EC5EA9" w:rsidRPr="00D83239" w:rsidRDefault="00EC5EA9" w:rsidP="00D83239">
      <w:pPr>
        <w:spacing w:after="0" w:line="276" w:lineRule="auto"/>
        <w:jc w:val="both"/>
        <w:rPr>
          <w:rFonts w:ascii="Arial" w:hAnsi="Arial" w:cs="Arial"/>
          <w:b/>
          <w:sz w:val="20"/>
          <w:szCs w:val="20"/>
        </w:rPr>
      </w:pPr>
    </w:p>
    <w:p w14:paraId="79EBEBDB" w14:textId="39BE5F08"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rPr>
        <w:t xml:space="preserve">Odsvojitev stvarnega premoženja v letu 2025 </w:t>
      </w:r>
    </w:p>
    <w:p w14:paraId="6AC41988" w14:textId="77777777" w:rsidR="00EC5EA9" w:rsidRPr="00D83239" w:rsidRDefault="00EC5EA9" w:rsidP="00D83239">
      <w:pPr>
        <w:autoSpaceDE w:val="0"/>
        <w:autoSpaceDN w:val="0"/>
        <w:adjustRightInd w:val="0"/>
        <w:spacing w:after="0" w:line="276" w:lineRule="auto"/>
        <w:jc w:val="both"/>
        <w:rPr>
          <w:rFonts w:ascii="Arial" w:hAnsi="Arial" w:cs="Arial"/>
          <w:sz w:val="20"/>
          <w:szCs w:val="20"/>
        </w:rPr>
      </w:pPr>
    </w:p>
    <w:p w14:paraId="001462AF" w14:textId="77777777" w:rsidR="00EC5EA9" w:rsidRPr="00D83239" w:rsidRDefault="00EC5EA9" w:rsidP="00D83239">
      <w:pPr>
        <w:autoSpaceDE w:val="0"/>
        <w:autoSpaceDN w:val="0"/>
        <w:adjustRightInd w:val="0"/>
        <w:spacing w:after="0" w:line="276" w:lineRule="auto"/>
        <w:jc w:val="both"/>
        <w:rPr>
          <w:rFonts w:ascii="Arial" w:eastAsiaTheme="minorHAnsi" w:hAnsi="Arial" w:cs="Arial"/>
          <w:b/>
          <w:bCs/>
          <w:sz w:val="20"/>
          <w:szCs w:val="20"/>
        </w:rPr>
      </w:pPr>
      <w:r w:rsidRPr="00D83239">
        <w:rPr>
          <w:rFonts w:ascii="Arial" w:hAnsi="Arial" w:cs="Arial"/>
          <w:b/>
          <w:sz w:val="20"/>
          <w:szCs w:val="20"/>
        </w:rPr>
        <w:t>V letu 2025</w:t>
      </w:r>
      <w:r w:rsidRPr="00D83239">
        <w:rPr>
          <w:rFonts w:ascii="Arial" w:hAnsi="Arial" w:cs="Arial"/>
          <w:sz w:val="20"/>
          <w:szCs w:val="20"/>
        </w:rPr>
        <w:t xml:space="preserve"> </w:t>
      </w:r>
      <w:r w:rsidRPr="00D83239">
        <w:rPr>
          <w:rFonts w:ascii="Arial" w:eastAsiaTheme="minorHAnsi" w:hAnsi="Arial" w:cs="Arial"/>
          <w:b/>
          <w:bCs/>
          <w:sz w:val="20"/>
          <w:szCs w:val="20"/>
        </w:rPr>
        <w:t>so bile izvedene naslednje prodaje:</w:t>
      </w:r>
    </w:p>
    <w:p w14:paraId="291A72D2" w14:textId="77777777" w:rsidR="00EC5EA9" w:rsidRPr="00D83239" w:rsidRDefault="00EC5EA9" w:rsidP="00D83239">
      <w:pPr>
        <w:autoSpaceDE w:val="0"/>
        <w:autoSpaceDN w:val="0"/>
        <w:adjustRightInd w:val="0"/>
        <w:spacing w:after="0" w:line="276" w:lineRule="auto"/>
        <w:jc w:val="both"/>
        <w:rPr>
          <w:rFonts w:ascii="Arial" w:eastAsiaTheme="minorHAnsi" w:hAnsi="Arial" w:cs="Arial"/>
          <w:b/>
          <w:bCs/>
          <w:sz w:val="20"/>
          <w:szCs w:val="20"/>
        </w:rPr>
      </w:pPr>
    </w:p>
    <w:p w14:paraId="76B3B250" w14:textId="70E0729D" w:rsidR="00EC5EA9" w:rsidRPr="00E85C13" w:rsidRDefault="00E85C13" w:rsidP="00E85C13">
      <w:pPr>
        <w:spacing w:after="0"/>
        <w:contextualSpacing/>
        <w:jc w:val="both"/>
        <w:rPr>
          <w:rFonts w:ascii="Arial" w:eastAsiaTheme="minorHAnsi" w:hAnsi="Arial" w:cs="Arial"/>
          <w:sz w:val="20"/>
          <w:szCs w:val="20"/>
          <w:u w:val="single"/>
        </w:rPr>
      </w:pPr>
      <w:r w:rsidRPr="00627532">
        <w:rPr>
          <w:rFonts w:ascii="Arial" w:hAnsi="Arial" w:cs="Arial"/>
          <w:sz w:val="20"/>
          <w:szCs w:val="20"/>
          <w:u w:val="single"/>
        </w:rPr>
        <w:t>N</w:t>
      </w:r>
      <w:r w:rsidR="00EC5EA9" w:rsidRPr="00627532">
        <w:rPr>
          <w:rFonts w:ascii="Arial" w:hAnsi="Arial" w:cs="Arial"/>
          <w:sz w:val="20"/>
          <w:szCs w:val="20"/>
          <w:u w:val="single"/>
        </w:rPr>
        <w:t>a podlagi javne dražbe</w:t>
      </w:r>
      <w:r w:rsidR="00EC5EA9" w:rsidRPr="00E85C13">
        <w:rPr>
          <w:rFonts w:ascii="Arial" w:hAnsi="Arial" w:cs="Arial"/>
          <w:sz w:val="20"/>
          <w:szCs w:val="20"/>
          <w:u w:val="single"/>
        </w:rPr>
        <w:t>:</w:t>
      </w:r>
    </w:p>
    <w:p w14:paraId="66CC8E3D" w14:textId="30C8697B" w:rsidR="00EC5EA9" w:rsidRPr="00D83239" w:rsidRDefault="00EC5EA9" w:rsidP="00086963">
      <w:pPr>
        <w:autoSpaceDE w:val="0"/>
        <w:autoSpaceDN w:val="0"/>
        <w:adjustRightInd w:val="0"/>
        <w:spacing w:after="0" w:line="276" w:lineRule="auto"/>
        <w:jc w:val="both"/>
        <w:rPr>
          <w:rFonts w:ascii="Arial" w:eastAsiaTheme="minorHAnsi" w:hAnsi="Arial" w:cs="Arial"/>
          <w:sz w:val="20"/>
          <w:szCs w:val="20"/>
        </w:rPr>
      </w:pPr>
      <w:r w:rsidRPr="00D83239">
        <w:rPr>
          <w:rFonts w:ascii="Arial" w:eastAsiaTheme="minorHAnsi" w:hAnsi="Arial" w:cs="Arial"/>
          <w:b/>
          <w:bCs/>
          <w:sz w:val="20"/>
          <w:szCs w:val="20"/>
        </w:rPr>
        <w:t>Prodaja kompleksa nepremičnin na Medvedjaku</w:t>
      </w:r>
      <w:r w:rsidRPr="00D83239">
        <w:rPr>
          <w:rFonts w:ascii="Arial" w:eastAsiaTheme="minorHAnsi" w:hAnsi="Arial" w:cs="Arial"/>
          <w:sz w:val="20"/>
          <w:szCs w:val="20"/>
        </w:rPr>
        <w:t>, ki obsega:</w:t>
      </w:r>
    </w:p>
    <w:p w14:paraId="507998A5" w14:textId="13834FDB" w:rsidR="00EC5EA9" w:rsidRPr="00D83239" w:rsidRDefault="00EC5EA9" w:rsidP="00FE543C">
      <w:pPr>
        <w:pStyle w:val="Odstavekseznama"/>
        <w:numPr>
          <w:ilvl w:val="0"/>
          <w:numId w:val="16"/>
        </w:numPr>
        <w:ind w:left="426" w:hanging="426"/>
        <w:contextualSpacing/>
        <w:jc w:val="both"/>
        <w:rPr>
          <w:rFonts w:ascii="Arial" w:hAnsi="Arial" w:cs="Arial"/>
          <w:sz w:val="20"/>
          <w:szCs w:val="20"/>
        </w:rPr>
      </w:pPr>
      <w:r w:rsidRPr="00D83239">
        <w:rPr>
          <w:rFonts w:ascii="Arial" w:hAnsi="Arial" w:cs="Arial"/>
          <w:sz w:val="20"/>
          <w:szCs w:val="20"/>
        </w:rPr>
        <w:t>parcel</w:t>
      </w:r>
      <w:r w:rsidR="00D750EB">
        <w:rPr>
          <w:rFonts w:ascii="Arial" w:hAnsi="Arial" w:cs="Arial"/>
          <w:sz w:val="20"/>
          <w:szCs w:val="20"/>
        </w:rPr>
        <w:t>o</w:t>
      </w:r>
      <w:r w:rsidRPr="00D83239">
        <w:rPr>
          <w:rFonts w:ascii="Arial" w:hAnsi="Arial" w:cs="Arial"/>
          <w:sz w:val="20"/>
          <w:szCs w:val="20"/>
        </w:rPr>
        <w:t xml:space="preserve"> 1585 1513/110 (</w:t>
      </w:r>
      <w:proofErr w:type="spellStart"/>
      <w:r w:rsidRPr="00D83239">
        <w:rPr>
          <w:rFonts w:ascii="Arial" w:hAnsi="Arial" w:cs="Arial"/>
          <w:sz w:val="20"/>
          <w:szCs w:val="20"/>
        </w:rPr>
        <w:t>parc</w:t>
      </w:r>
      <w:proofErr w:type="spellEnd"/>
      <w:r w:rsidRPr="00D83239">
        <w:rPr>
          <w:rFonts w:ascii="Arial" w:hAnsi="Arial" w:cs="Arial"/>
          <w:sz w:val="20"/>
          <w:szCs w:val="20"/>
        </w:rPr>
        <w:t>. št. 1513/110, k.</w:t>
      </w:r>
      <w:r w:rsidR="0095627C">
        <w:rPr>
          <w:rFonts w:ascii="Arial" w:hAnsi="Arial" w:cs="Arial"/>
          <w:sz w:val="20"/>
          <w:szCs w:val="20"/>
        </w:rPr>
        <w:t xml:space="preserve"> </w:t>
      </w:r>
      <w:r w:rsidRPr="00D83239">
        <w:rPr>
          <w:rFonts w:ascii="Arial" w:hAnsi="Arial" w:cs="Arial"/>
          <w:sz w:val="20"/>
          <w:szCs w:val="20"/>
        </w:rPr>
        <w:t>o. 1585 Trava), na kateri stoji stavba 1585-343,</w:t>
      </w:r>
    </w:p>
    <w:p w14:paraId="63E1CDA7" w14:textId="2F9B3291" w:rsidR="00EC5EA9" w:rsidRPr="00D83239" w:rsidRDefault="00EC5EA9" w:rsidP="00FE543C">
      <w:pPr>
        <w:pStyle w:val="Odstavekseznama"/>
        <w:numPr>
          <w:ilvl w:val="0"/>
          <w:numId w:val="16"/>
        </w:numPr>
        <w:ind w:left="426" w:hanging="426"/>
        <w:contextualSpacing/>
        <w:jc w:val="both"/>
        <w:rPr>
          <w:rFonts w:ascii="Arial" w:hAnsi="Arial" w:cs="Arial"/>
          <w:sz w:val="20"/>
          <w:szCs w:val="20"/>
        </w:rPr>
      </w:pPr>
      <w:r w:rsidRPr="00D83239">
        <w:rPr>
          <w:rFonts w:ascii="Arial" w:hAnsi="Arial" w:cs="Arial"/>
          <w:sz w:val="20"/>
          <w:szCs w:val="20"/>
        </w:rPr>
        <w:t>parcel</w:t>
      </w:r>
      <w:r w:rsidR="00D750EB">
        <w:rPr>
          <w:rFonts w:ascii="Arial" w:hAnsi="Arial" w:cs="Arial"/>
          <w:sz w:val="20"/>
          <w:szCs w:val="20"/>
        </w:rPr>
        <w:t>o</w:t>
      </w:r>
      <w:r w:rsidRPr="00D83239">
        <w:rPr>
          <w:rFonts w:ascii="Arial" w:hAnsi="Arial" w:cs="Arial"/>
          <w:sz w:val="20"/>
          <w:szCs w:val="20"/>
        </w:rPr>
        <w:t xml:space="preserve"> 1585 1513/111 (</w:t>
      </w:r>
      <w:proofErr w:type="spellStart"/>
      <w:r w:rsidRPr="00D83239">
        <w:rPr>
          <w:rFonts w:ascii="Arial" w:hAnsi="Arial" w:cs="Arial"/>
          <w:sz w:val="20"/>
          <w:szCs w:val="20"/>
        </w:rPr>
        <w:t>parc</w:t>
      </w:r>
      <w:proofErr w:type="spellEnd"/>
      <w:r w:rsidRPr="00D83239">
        <w:rPr>
          <w:rFonts w:ascii="Arial" w:hAnsi="Arial" w:cs="Arial"/>
          <w:sz w:val="20"/>
          <w:szCs w:val="20"/>
        </w:rPr>
        <w:t>. št. 1513/111, k.</w:t>
      </w:r>
      <w:r w:rsidR="0095627C">
        <w:rPr>
          <w:rFonts w:ascii="Arial" w:hAnsi="Arial" w:cs="Arial"/>
          <w:sz w:val="20"/>
          <w:szCs w:val="20"/>
        </w:rPr>
        <w:t xml:space="preserve"> </w:t>
      </w:r>
      <w:r w:rsidRPr="00D83239">
        <w:rPr>
          <w:rFonts w:ascii="Arial" w:hAnsi="Arial" w:cs="Arial"/>
          <w:sz w:val="20"/>
          <w:szCs w:val="20"/>
        </w:rPr>
        <w:t>o. 1585 Trava), na kateri stojita stavbi 1585-341 in 1585-342,</w:t>
      </w:r>
    </w:p>
    <w:p w14:paraId="689B6618" w14:textId="6FEFAC61" w:rsidR="00EC5EA9" w:rsidRPr="00D83239" w:rsidRDefault="00EC5EA9" w:rsidP="00FE543C">
      <w:pPr>
        <w:pStyle w:val="Odstavekseznama"/>
        <w:numPr>
          <w:ilvl w:val="0"/>
          <w:numId w:val="16"/>
        </w:numPr>
        <w:ind w:left="426" w:hanging="426"/>
        <w:contextualSpacing/>
        <w:jc w:val="both"/>
        <w:rPr>
          <w:rFonts w:ascii="Arial" w:hAnsi="Arial" w:cs="Arial"/>
          <w:sz w:val="20"/>
          <w:szCs w:val="20"/>
        </w:rPr>
      </w:pPr>
      <w:r w:rsidRPr="00D83239">
        <w:rPr>
          <w:rFonts w:ascii="Arial" w:hAnsi="Arial" w:cs="Arial"/>
          <w:sz w:val="20"/>
          <w:szCs w:val="20"/>
        </w:rPr>
        <w:t>parcel</w:t>
      </w:r>
      <w:r w:rsidR="00D750EB">
        <w:rPr>
          <w:rFonts w:ascii="Arial" w:hAnsi="Arial" w:cs="Arial"/>
          <w:sz w:val="20"/>
          <w:szCs w:val="20"/>
        </w:rPr>
        <w:t>o</w:t>
      </w:r>
      <w:r w:rsidRPr="00D83239">
        <w:rPr>
          <w:rFonts w:ascii="Arial" w:hAnsi="Arial" w:cs="Arial"/>
          <w:sz w:val="20"/>
          <w:szCs w:val="20"/>
        </w:rPr>
        <w:t xml:space="preserve"> 1585 1513/112 (</w:t>
      </w:r>
      <w:proofErr w:type="spellStart"/>
      <w:r w:rsidRPr="00D83239">
        <w:rPr>
          <w:rFonts w:ascii="Arial" w:hAnsi="Arial" w:cs="Arial"/>
          <w:sz w:val="20"/>
          <w:szCs w:val="20"/>
        </w:rPr>
        <w:t>parc</w:t>
      </w:r>
      <w:proofErr w:type="spellEnd"/>
      <w:r w:rsidRPr="00D83239">
        <w:rPr>
          <w:rFonts w:ascii="Arial" w:hAnsi="Arial" w:cs="Arial"/>
          <w:sz w:val="20"/>
          <w:szCs w:val="20"/>
        </w:rPr>
        <w:t>. št. 1513/112, k.</w:t>
      </w:r>
      <w:r w:rsidR="0095627C">
        <w:rPr>
          <w:rFonts w:ascii="Arial" w:hAnsi="Arial" w:cs="Arial"/>
          <w:sz w:val="20"/>
          <w:szCs w:val="20"/>
        </w:rPr>
        <w:t xml:space="preserve"> </w:t>
      </w:r>
      <w:r w:rsidRPr="00D83239">
        <w:rPr>
          <w:rFonts w:ascii="Arial" w:hAnsi="Arial" w:cs="Arial"/>
          <w:sz w:val="20"/>
          <w:szCs w:val="20"/>
        </w:rPr>
        <w:t>o. 1585 Trava),</w:t>
      </w:r>
    </w:p>
    <w:p w14:paraId="2CA88C2C" w14:textId="58B4FEEC" w:rsidR="00EC5EA9" w:rsidRPr="00D83239" w:rsidRDefault="00EC5EA9" w:rsidP="00FE543C">
      <w:pPr>
        <w:pStyle w:val="Odstavekseznama"/>
        <w:numPr>
          <w:ilvl w:val="0"/>
          <w:numId w:val="16"/>
        </w:numPr>
        <w:ind w:left="426" w:hanging="426"/>
        <w:contextualSpacing/>
        <w:jc w:val="both"/>
        <w:rPr>
          <w:rFonts w:ascii="Arial" w:eastAsiaTheme="minorHAnsi" w:hAnsi="Arial" w:cs="Arial"/>
          <w:sz w:val="20"/>
          <w:szCs w:val="20"/>
        </w:rPr>
      </w:pPr>
      <w:r w:rsidRPr="00D83239">
        <w:rPr>
          <w:rFonts w:ascii="Arial" w:hAnsi="Arial" w:cs="Arial"/>
          <w:sz w:val="20"/>
          <w:szCs w:val="20"/>
        </w:rPr>
        <w:t>parcel</w:t>
      </w:r>
      <w:r w:rsidR="00D750EB">
        <w:rPr>
          <w:rFonts w:ascii="Arial" w:hAnsi="Arial" w:cs="Arial"/>
          <w:sz w:val="20"/>
          <w:szCs w:val="20"/>
        </w:rPr>
        <w:t>o</w:t>
      </w:r>
      <w:r w:rsidRPr="00D83239">
        <w:rPr>
          <w:rFonts w:ascii="Arial" w:hAnsi="Arial" w:cs="Arial"/>
          <w:sz w:val="20"/>
          <w:szCs w:val="20"/>
        </w:rPr>
        <w:t xml:space="preserve"> 1585 1513/113 (</w:t>
      </w:r>
      <w:proofErr w:type="spellStart"/>
      <w:r w:rsidRPr="00D83239">
        <w:rPr>
          <w:rFonts w:ascii="Arial" w:hAnsi="Arial" w:cs="Arial"/>
          <w:sz w:val="20"/>
          <w:szCs w:val="20"/>
        </w:rPr>
        <w:t>parc</w:t>
      </w:r>
      <w:proofErr w:type="spellEnd"/>
      <w:r w:rsidRPr="00D83239">
        <w:rPr>
          <w:rFonts w:ascii="Arial" w:hAnsi="Arial" w:cs="Arial"/>
          <w:sz w:val="20"/>
          <w:szCs w:val="20"/>
        </w:rPr>
        <w:t>. št. 1513/113, k.</w:t>
      </w:r>
      <w:r w:rsidR="0095627C">
        <w:rPr>
          <w:rFonts w:ascii="Arial" w:hAnsi="Arial" w:cs="Arial"/>
          <w:sz w:val="20"/>
          <w:szCs w:val="20"/>
        </w:rPr>
        <w:t xml:space="preserve"> </w:t>
      </w:r>
      <w:r w:rsidRPr="00D83239">
        <w:rPr>
          <w:rFonts w:ascii="Arial" w:hAnsi="Arial" w:cs="Arial"/>
          <w:sz w:val="20"/>
          <w:szCs w:val="20"/>
        </w:rPr>
        <w:t>o. 1585 Trava),</w:t>
      </w:r>
    </w:p>
    <w:p w14:paraId="475E2D34" w14:textId="6736E6CC" w:rsidR="00EC5EA9" w:rsidRPr="00D83239" w:rsidRDefault="00EC5EA9" w:rsidP="00E85C13">
      <w:pPr>
        <w:autoSpaceDE w:val="0"/>
        <w:autoSpaceDN w:val="0"/>
        <w:adjustRightInd w:val="0"/>
        <w:spacing w:after="0" w:line="276" w:lineRule="auto"/>
        <w:jc w:val="both"/>
        <w:rPr>
          <w:rFonts w:ascii="Arial" w:eastAsiaTheme="minorHAnsi" w:hAnsi="Arial" w:cs="Arial"/>
          <w:sz w:val="20"/>
          <w:szCs w:val="20"/>
        </w:rPr>
      </w:pPr>
      <w:r w:rsidRPr="00D83239">
        <w:rPr>
          <w:rFonts w:ascii="Arial" w:eastAsiaTheme="minorHAnsi" w:hAnsi="Arial" w:cs="Arial"/>
          <w:sz w:val="20"/>
          <w:szCs w:val="20"/>
        </w:rPr>
        <w:t>Republika Slovenija je lastnica, M</w:t>
      </w:r>
      <w:r w:rsidR="00E85C13">
        <w:rPr>
          <w:rFonts w:ascii="Arial" w:eastAsiaTheme="minorHAnsi" w:hAnsi="Arial" w:cs="Arial"/>
          <w:sz w:val="20"/>
          <w:szCs w:val="20"/>
        </w:rPr>
        <w:t>NZ</w:t>
      </w:r>
      <w:r w:rsidRPr="00D83239">
        <w:rPr>
          <w:rFonts w:ascii="Arial" w:eastAsiaTheme="minorHAnsi" w:hAnsi="Arial" w:cs="Arial"/>
          <w:sz w:val="20"/>
          <w:szCs w:val="20"/>
        </w:rPr>
        <w:t xml:space="preserve"> pa upravljavec zgoraj navedenih nepremičnin</w:t>
      </w:r>
      <w:r w:rsidR="00D750EB">
        <w:rPr>
          <w:rFonts w:ascii="Arial" w:eastAsiaTheme="minorHAnsi" w:hAnsi="Arial" w:cs="Arial"/>
          <w:sz w:val="20"/>
          <w:szCs w:val="20"/>
        </w:rPr>
        <w:t>;</w:t>
      </w:r>
    </w:p>
    <w:p w14:paraId="69764896" w14:textId="77777777" w:rsidR="00E85C13" w:rsidRDefault="00E85C13" w:rsidP="00D83239">
      <w:pPr>
        <w:autoSpaceDE w:val="0"/>
        <w:autoSpaceDN w:val="0"/>
        <w:adjustRightInd w:val="0"/>
        <w:spacing w:after="0" w:line="276" w:lineRule="auto"/>
        <w:ind w:left="400"/>
        <w:jc w:val="both"/>
        <w:rPr>
          <w:rFonts w:ascii="Arial" w:eastAsiaTheme="minorHAnsi" w:hAnsi="Arial" w:cs="Arial"/>
          <w:sz w:val="20"/>
          <w:szCs w:val="20"/>
        </w:rPr>
      </w:pPr>
    </w:p>
    <w:p w14:paraId="02F905D3" w14:textId="57B5832D" w:rsidR="00EC5EA9" w:rsidRPr="00D83239" w:rsidRDefault="00EC5EA9" w:rsidP="00D83239">
      <w:pPr>
        <w:autoSpaceDE w:val="0"/>
        <w:autoSpaceDN w:val="0"/>
        <w:adjustRightInd w:val="0"/>
        <w:spacing w:after="0" w:line="276" w:lineRule="auto"/>
        <w:ind w:left="400"/>
        <w:jc w:val="both"/>
        <w:rPr>
          <w:rFonts w:ascii="Arial" w:eastAsiaTheme="minorHAnsi" w:hAnsi="Arial" w:cs="Arial"/>
          <w:sz w:val="20"/>
          <w:szCs w:val="20"/>
        </w:rPr>
      </w:pPr>
      <w:r w:rsidRPr="00D83239">
        <w:rPr>
          <w:rFonts w:ascii="Arial" w:eastAsiaTheme="minorHAnsi" w:hAnsi="Arial" w:cs="Arial"/>
          <w:sz w:val="20"/>
          <w:szCs w:val="20"/>
        </w:rPr>
        <w:t>ter</w:t>
      </w:r>
    </w:p>
    <w:p w14:paraId="266132A4" w14:textId="77777777" w:rsidR="00EC5EA9" w:rsidRPr="00D83239" w:rsidRDefault="00EC5EA9" w:rsidP="00D83239">
      <w:pPr>
        <w:autoSpaceDE w:val="0"/>
        <w:autoSpaceDN w:val="0"/>
        <w:adjustRightInd w:val="0"/>
        <w:spacing w:after="0" w:line="276" w:lineRule="auto"/>
        <w:ind w:left="400"/>
        <w:jc w:val="both"/>
        <w:rPr>
          <w:rFonts w:ascii="Arial" w:eastAsiaTheme="minorHAnsi" w:hAnsi="Arial" w:cs="Arial"/>
          <w:sz w:val="20"/>
          <w:szCs w:val="20"/>
        </w:rPr>
      </w:pPr>
    </w:p>
    <w:p w14:paraId="79E07FE4" w14:textId="32A47CFA" w:rsidR="00EC5EA9" w:rsidRPr="00D83239" w:rsidRDefault="00EC5EA9" w:rsidP="00FE543C">
      <w:pPr>
        <w:pStyle w:val="Odstavekseznama"/>
        <w:numPr>
          <w:ilvl w:val="0"/>
          <w:numId w:val="16"/>
        </w:numPr>
        <w:ind w:left="426" w:hanging="426"/>
        <w:contextualSpacing/>
        <w:jc w:val="both"/>
        <w:rPr>
          <w:rFonts w:ascii="Arial" w:hAnsi="Arial" w:cs="Arial"/>
          <w:sz w:val="20"/>
          <w:szCs w:val="20"/>
        </w:rPr>
      </w:pPr>
      <w:r w:rsidRPr="00D83239">
        <w:rPr>
          <w:rFonts w:ascii="Arial" w:hAnsi="Arial" w:cs="Arial"/>
          <w:sz w:val="20"/>
          <w:szCs w:val="20"/>
        </w:rPr>
        <w:t>parcel</w:t>
      </w:r>
      <w:r w:rsidR="00D750EB">
        <w:rPr>
          <w:rFonts w:ascii="Arial" w:hAnsi="Arial" w:cs="Arial"/>
          <w:sz w:val="20"/>
          <w:szCs w:val="20"/>
        </w:rPr>
        <w:t>o</w:t>
      </w:r>
      <w:r w:rsidRPr="00D83239">
        <w:rPr>
          <w:rFonts w:ascii="Arial" w:hAnsi="Arial" w:cs="Arial"/>
          <w:sz w:val="20"/>
          <w:szCs w:val="20"/>
        </w:rPr>
        <w:t xml:space="preserve"> 1585 1513/104 (</w:t>
      </w:r>
      <w:proofErr w:type="spellStart"/>
      <w:r w:rsidRPr="00D83239">
        <w:rPr>
          <w:rFonts w:ascii="Arial" w:hAnsi="Arial" w:cs="Arial"/>
          <w:sz w:val="20"/>
          <w:szCs w:val="20"/>
        </w:rPr>
        <w:t>parc</w:t>
      </w:r>
      <w:proofErr w:type="spellEnd"/>
      <w:r w:rsidRPr="00D83239">
        <w:rPr>
          <w:rFonts w:ascii="Arial" w:hAnsi="Arial" w:cs="Arial"/>
          <w:sz w:val="20"/>
          <w:szCs w:val="20"/>
        </w:rPr>
        <w:t>. št. 1513/104, k.</w:t>
      </w:r>
      <w:r w:rsidR="00E422D9">
        <w:rPr>
          <w:rFonts w:ascii="Arial" w:hAnsi="Arial" w:cs="Arial"/>
          <w:sz w:val="20"/>
          <w:szCs w:val="20"/>
        </w:rPr>
        <w:t xml:space="preserve"> </w:t>
      </w:r>
      <w:r w:rsidRPr="00D83239">
        <w:rPr>
          <w:rFonts w:ascii="Arial" w:hAnsi="Arial" w:cs="Arial"/>
          <w:sz w:val="20"/>
          <w:szCs w:val="20"/>
        </w:rPr>
        <w:t>o. 1585 Trava),</w:t>
      </w:r>
    </w:p>
    <w:p w14:paraId="34973528" w14:textId="6B5B431B" w:rsidR="00EC5EA9" w:rsidRPr="00D83239" w:rsidRDefault="00EC5EA9" w:rsidP="00FE543C">
      <w:pPr>
        <w:pStyle w:val="Odstavekseznama"/>
        <w:numPr>
          <w:ilvl w:val="0"/>
          <w:numId w:val="16"/>
        </w:numPr>
        <w:ind w:left="426" w:hanging="426"/>
        <w:contextualSpacing/>
        <w:jc w:val="both"/>
        <w:rPr>
          <w:rFonts w:ascii="Arial" w:hAnsi="Arial" w:cs="Arial"/>
          <w:sz w:val="20"/>
          <w:szCs w:val="20"/>
        </w:rPr>
      </w:pPr>
      <w:r w:rsidRPr="00D83239">
        <w:rPr>
          <w:rFonts w:ascii="Arial" w:hAnsi="Arial" w:cs="Arial"/>
          <w:sz w:val="20"/>
          <w:szCs w:val="20"/>
        </w:rPr>
        <w:t>parcel</w:t>
      </w:r>
      <w:r w:rsidR="00D750EB">
        <w:rPr>
          <w:rFonts w:ascii="Arial" w:hAnsi="Arial" w:cs="Arial"/>
          <w:sz w:val="20"/>
          <w:szCs w:val="20"/>
        </w:rPr>
        <w:t>o</w:t>
      </w:r>
      <w:r w:rsidRPr="00D83239">
        <w:rPr>
          <w:rFonts w:ascii="Arial" w:hAnsi="Arial" w:cs="Arial"/>
          <w:sz w:val="20"/>
          <w:szCs w:val="20"/>
        </w:rPr>
        <w:t xml:space="preserve"> 1585 1513/109 (</w:t>
      </w:r>
      <w:proofErr w:type="spellStart"/>
      <w:r w:rsidRPr="00D83239">
        <w:rPr>
          <w:rFonts w:ascii="Arial" w:hAnsi="Arial" w:cs="Arial"/>
          <w:sz w:val="20"/>
          <w:szCs w:val="20"/>
        </w:rPr>
        <w:t>parc</w:t>
      </w:r>
      <w:proofErr w:type="spellEnd"/>
      <w:r w:rsidRPr="00D83239">
        <w:rPr>
          <w:rFonts w:ascii="Arial" w:hAnsi="Arial" w:cs="Arial"/>
          <w:sz w:val="20"/>
          <w:szCs w:val="20"/>
        </w:rPr>
        <w:t>. št. 1513/109, k.</w:t>
      </w:r>
      <w:r w:rsidR="00E422D9">
        <w:rPr>
          <w:rFonts w:ascii="Arial" w:hAnsi="Arial" w:cs="Arial"/>
          <w:sz w:val="20"/>
          <w:szCs w:val="20"/>
        </w:rPr>
        <w:t xml:space="preserve"> </w:t>
      </w:r>
      <w:r w:rsidRPr="00D83239">
        <w:rPr>
          <w:rFonts w:ascii="Arial" w:hAnsi="Arial" w:cs="Arial"/>
          <w:sz w:val="20"/>
          <w:szCs w:val="20"/>
        </w:rPr>
        <w:t>o. 1585 Trava),</w:t>
      </w:r>
    </w:p>
    <w:p w14:paraId="27DF0597" w14:textId="272A5D2B" w:rsidR="00EC5EA9" w:rsidRPr="00D83239" w:rsidRDefault="00EC5EA9" w:rsidP="00FE543C">
      <w:pPr>
        <w:pStyle w:val="Odstavekseznama"/>
        <w:numPr>
          <w:ilvl w:val="0"/>
          <w:numId w:val="16"/>
        </w:numPr>
        <w:ind w:left="426" w:hanging="426"/>
        <w:contextualSpacing/>
        <w:jc w:val="both"/>
        <w:rPr>
          <w:rFonts w:ascii="Arial" w:hAnsi="Arial" w:cs="Arial"/>
          <w:sz w:val="20"/>
          <w:szCs w:val="20"/>
        </w:rPr>
      </w:pPr>
      <w:r w:rsidRPr="00D83239">
        <w:rPr>
          <w:rFonts w:ascii="Arial" w:hAnsi="Arial" w:cs="Arial"/>
          <w:sz w:val="20"/>
          <w:szCs w:val="20"/>
        </w:rPr>
        <w:t>parcel</w:t>
      </w:r>
      <w:r w:rsidR="00D750EB">
        <w:rPr>
          <w:rFonts w:ascii="Arial" w:hAnsi="Arial" w:cs="Arial"/>
          <w:sz w:val="20"/>
          <w:szCs w:val="20"/>
        </w:rPr>
        <w:t>o</w:t>
      </w:r>
      <w:r w:rsidRPr="00D83239">
        <w:rPr>
          <w:rFonts w:ascii="Arial" w:hAnsi="Arial" w:cs="Arial"/>
          <w:sz w:val="20"/>
          <w:szCs w:val="20"/>
        </w:rPr>
        <w:t xml:space="preserve"> 1585 1513/114 (</w:t>
      </w:r>
      <w:proofErr w:type="spellStart"/>
      <w:r w:rsidRPr="00D83239">
        <w:rPr>
          <w:rFonts w:ascii="Arial" w:hAnsi="Arial" w:cs="Arial"/>
          <w:sz w:val="20"/>
          <w:szCs w:val="20"/>
        </w:rPr>
        <w:t>parc</w:t>
      </w:r>
      <w:proofErr w:type="spellEnd"/>
      <w:r w:rsidRPr="00D83239">
        <w:rPr>
          <w:rFonts w:ascii="Arial" w:hAnsi="Arial" w:cs="Arial"/>
          <w:sz w:val="20"/>
          <w:szCs w:val="20"/>
        </w:rPr>
        <w:t>. št. 1513/114, k.</w:t>
      </w:r>
      <w:r w:rsidR="00E422D9">
        <w:rPr>
          <w:rFonts w:ascii="Arial" w:hAnsi="Arial" w:cs="Arial"/>
          <w:sz w:val="20"/>
          <w:szCs w:val="20"/>
        </w:rPr>
        <w:t xml:space="preserve"> </w:t>
      </w:r>
      <w:r w:rsidRPr="00D83239">
        <w:rPr>
          <w:rFonts w:ascii="Arial" w:hAnsi="Arial" w:cs="Arial"/>
          <w:sz w:val="20"/>
          <w:szCs w:val="20"/>
        </w:rPr>
        <w:t xml:space="preserve">o. 1585 Trava), na kateri stojita stavbi 1585-344, 1585-345, ter rezervoar vode in greznica, ki so v lasti Republike Slovenije, upravljavec </w:t>
      </w:r>
      <w:r w:rsidR="00E85C13">
        <w:rPr>
          <w:rFonts w:ascii="Arial" w:hAnsi="Arial" w:cs="Arial"/>
          <w:sz w:val="20"/>
          <w:szCs w:val="20"/>
        </w:rPr>
        <w:t>MNZ,</w:t>
      </w:r>
    </w:p>
    <w:p w14:paraId="5FF53CEC" w14:textId="36011DA1" w:rsidR="00EC5EA9" w:rsidRPr="00E85C13" w:rsidRDefault="00EC5EA9" w:rsidP="00E85C13">
      <w:pPr>
        <w:pStyle w:val="Odstavekseznama"/>
        <w:numPr>
          <w:ilvl w:val="0"/>
          <w:numId w:val="16"/>
        </w:numPr>
        <w:ind w:left="426" w:hanging="426"/>
        <w:contextualSpacing/>
        <w:jc w:val="both"/>
        <w:rPr>
          <w:rFonts w:ascii="Arial" w:hAnsi="Arial" w:cs="Arial"/>
          <w:sz w:val="20"/>
          <w:szCs w:val="20"/>
        </w:rPr>
      </w:pPr>
      <w:r w:rsidRPr="00D83239">
        <w:rPr>
          <w:rFonts w:ascii="Arial" w:hAnsi="Arial" w:cs="Arial"/>
          <w:sz w:val="20"/>
          <w:szCs w:val="20"/>
        </w:rPr>
        <w:t>parcel</w:t>
      </w:r>
      <w:r w:rsidR="00D750EB">
        <w:rPr>
          <w:rFonts w:ascii="Arial" w:hAnsi="Arial" w:cs="Arial"/>
          <w:sz w:val="20"/>
          <w:szCs w:val="20"/>
        </w:rPr>
        <w:t>o</w:t>
      </w:r>
      <w:r w:rsidRPr="00D83239">
        <w:rPr>
          <w:rFonts w:ascii="Arial" w:hAnsi="Arial" w:cs="Arial"/>
          <w:sz w:val="20"/>
          <w:szCs w:val="20"/>
        </w:rPr>
        <w:t xml:space="preserve"> 1585 1513/115 (</w:t>
      </w:r>
      <w:proofErr w:type="spellStart"/>
      <w:r w:rsidRPr="00D83239">
        <w:rPr>
          <w:rFonts w:ascii="Arial" w:hAnsi="Arial" w:cs="Arial"/>
          <w:sz w:val="20"/>
          <w:szCs w:val="20"/>
        </w:rPr>
        <w:t>parc</w:t>
      </w:r>
      <w:proofErr w:type="spellEnd"/>
      <w:r w:rsidRPr="00D83239">
        <w:rPr>
          <w:rFonts w:ascii="Arial" w:hAnsi="Arial" w:cs="Arial"/>
          <w:sz w:val="20"/>
          <w:szCs w:val="20"/>
        </w:rPr>
        <w:t>. št. 1513/115, k.</w:t>
      </w:r>
      <w:r w:rsidR="00E422D9">
        <w:rPr>
          <w:rFonts w:ascii="Arial" w:hAnsi="Arial" w:cs="Arial"/>
          <w:sz w:val="20"/>
          <w:szCs w:val="20"/>
        </w:rPr>
        <w:t xml:space="preserve"> </w:t>
      </w:r>
      <w:r w:rsidRPr="00D83239">
        <w:rPr>
          <w:rFonts w:ascii="Arial" w:hAnsi="Arial" w:cs="Arial"/>
          <w:sz w:val="20"/>
          <w:szCs w:val="20"/>
        </w:rPr>
        <w:t>o. 1585 Trava)</w:t>
      </w:r>
      <w:r w:rsidR="00D750EB">
        <w:rPr>
          <w:rFonts w:ascii="Arial" w:hAnsi="Arial" w:cs="Arial"/>
          <w:sz w:val="20"/>
          <w:szCs w:val="20"/>
        </w:rPr>
        <w:t>.</w:t>
      </w:r>
      <w:r w:rsidRPr="00D83239">
        <w:rPr>
          <w:rFonts w:ascii="Arial" w:hAnsi="Arial" w:cs="Arial"/>
          <w:sz w:val="20"/>
          <w:szCs w:val="20"/>
        </w:rPr>
        <w:t xml:space="preserve"> </w:t>
      </w:r>
    </w:p>
    <w:p w14:paraId="5E2F24D7" w14:textId="77777777" w:rsidR="00EC5EA9" w:rsidRPr="00D83239" w:rsidRDefault="00EC5EA9" w:rsidP="00E85C13">
      <w:pPr>
        <w:autoSpaceDE w:val="0"/>
        <w:autoSpaceDN w:val="0"/>
        <w:adjustRightInd w:val="0"/>
        <w:spacing w:after="0" w:line="276" w:lineRule="auto"/>
        <w:jc w:val="both"/>
        <w:rPr>
          <w:rFonts w:ascii="Arial" w:eastAsiaTheme="minorHAnsi" w:hAnsi="Arial" w:cs="Arial"/>
          <w:sz w:val="20"/>
          <w:szCs w:val="20"/>
        </w:rPr>
      </w:pPr>
      <w:r w:rsidRPr="00D83239">
        <w:rPr>
          <w:rFonts w:ascii="Arial" w:eastAsiaTheme="minorHAnsi" w:hAnsi="Arial" w:cs="Arial"/>
          <w:sz w:val="20"/>
          <w:szCs w:val="20"/>
        </w:rPr>
        <w:t>Občina Loški Potok je lastnica parcel 1585 1513/104, 1585 1513/109, 1585 1513/114 in 1585 1513/115 brez stavb.</w:t>
      </w:r>
    </w:p>
    <w:p w14:paraId="51A536A7" w14:textId="77777777" w:rsidR="00EC5EA9" w:rsidRPr="00D83239" w:rsidRDefault="00EC5EA9" w:rsidP="00D83239">
      <w:pPr>
        <w:autoSpaceDE w:val="0"/>
        <w:autoSpaceDN w:val="0"/>
        <w:adjustRightInd w:val="0"/>
        <w:spacing w:after="0" w:line="276" w:lineRule="auto"/>
        <w:ind w:left="400"/>
        <w:jc w:val="both"/>
        <w:rPr>
          <w:rFonts w:ascii="Arial" w:eastAsiaTheme="minorHAnsi" w:hAnsi="Arial" w:cs="Arial"/>
          <w:sz w:val="20"/>
          <w:szCs w:val="20"/>
        </w:rPr>
      </w:pPr>
    </w:p>
    <w:p w14:paraId="4A2E89BF" w14:textId="69CFD113" w:rsidR="00EC5EA9" w:rsidRPr="00D83239" w:rsidRDefault="00EC5EA9" w:rsidP="00E85C13">
      <w:pPr>
        <w:autoSpaceDE w:val="0"/>
        <w:autoSpaceDN w:val="0"/>
        <w:adjustRightInd w:val="0"/>
        <w:spacing w:after="0" w:line="276" w:lineRule="auto"/>
        <w:jc w:val="both"/>
        <w:rPr>
          <w:rFonts w:ascii="Arial" w:eastAsiaTheme="minorHAnsi" w:hAnsi="Arial" w:cs="Arial"/>
          <w:sz w:val="20"/>
          <w:szCs w:val="20"/>
        </w:rPr>
      </w:pPr>
      <w:r w:rsidRPr="00D83239">
        <w:rPr>
          <w:rFonts w:ascii="Arial" w:eastAsiaTheme="minorHAnsi" w:hAnsi="Arial" w:cs="Arial"/>
          <w:sz w:val="20"/>
          <w:szCs w:val="20"/>
        </w:rPr>
        <w:t>Parcela 1585 1513/114 (</w:t>
      </w:r>
      <w:proofErr w:type="spellStart"/>
      <w:r w:rsidRPr="00D83239">
        <w:rPr>
          <w:rFonts w:ascii="Arial" w:eastAsiaTheme="minorHAnsi" w:hAnsi="Arial" w:cs="Arial"/>
          <w:sz w:val="20"/>
          <w:szCs w:val="20"/>
        </w:rPr>
        <w:t>parc</w:t>
      </w:r>
      <w:proofErr w:type="spellEnd"/>
      <w:r w:rsidRPr="00D83239">
        <w:rPr>
          <w:rFonts w:ascii="Arial" w:eastAsiaTheme="minorHAnsi" w:hAnsi="Arial" w:cs="Arial"/>
          <w:sz w:val="20"/>
          <w:szCs w:val="20"/>
        </w:rPr>
        <w:t>. št. 1513/114, k.</w:t>
      </w:r>
      <w:r w:rsidR="008B3C62">
        <w:rPr>
          <w:rFonts w:ascii="Arial" w:eastAsiaTheme="minorHAnsi" w:hAnsi="Arial" w:cs="Arial"/>
          <w:sz w:val="20"/>
          <w:szCs w:val="20"/>
        </w:rPr>
        <w:t> </w:t>
      </w:r>
      <w:r w:rsidRPr="00D83239">
        <w:rPr>
          <w:rFonts w:ascii="Arial" w:eastAsiaTheme="minorHAnsi" w:hAnsi="Arial" w:cs="Arial"/>
          <w:sz w:val="20"/>
          <w:szCs w:val="20"/>
        </w:rPr>
        <w:t>o. 1585 Trava) je delno stavbno in delno gozdno zemljišče. Površina gozdnega zemljišča je manjša kot 200 m</w:t>
      </w:r>
      <w:r w:rsidRPr="00D83239">
        <w:rPr>
          <w:rFonts w:ascii="Arial" w:eastAsiaTheme="minorHAnsi" w:hAnsi="Arial" w:cs="Arial"/>
          <w:sz w:val="20"/>
          <w:szCs w:val="20"/>
          <w:vertAlign w:val="superscript"/>
        </w:rPr>
        <w:t>2</w:t>
      </w:r>
      <w:r w:rsidRPr="00D83239">
        <w:rPr>
          <w:rFonts w:ascii="Arial" w:eastAsiaTheme="minorHAnsi" w:hAnsi="Arial" w:cs="Arial"/>
          <w:sz w:val="20"/>
          <w:szCs w:val="20"/>
        </w:rPr>
        <w:t xml:space="preserve">. </w:t>
      </w:r>
      <w:r w:rsidR="008B3C62">
        <w:rPr>
          <w:rFonts w:ascii="Arial" w:eastAsiaTheme="minorHAnsi" w:hAnsi="Arial" w:cs="Arial"/>
          <w:sz w:val="20"/>
          <w:szCs w:val="20"/>
        </w:rPr>
        <w:t>Drug</w:t>
      </w:r>
      <w:r w:rsidRPr="00D83239">
        <w:rPr>
          <w:rFonts w:ascii="Arial" w:eastAsiaTheme="minorHAnsi" w:hAnsi="Arial" w:cs="Arial"/>
          <w:sz w:val="20"/>
          <w:szCs w:val="20"/>
        </w:rPr>
        <w:t xml:space="preserve">e parcele so po osnovni namenski rabi stavbna zemljišča. </w:t>
      </w:r>
    </w:p>
    <w:p w14:paraId="776CED9C" w14:textId="77777777" w:rsidR="00B60EBD" w:rsidRDefault="00B60EBD" w:rsidP="00E85C13">
      <w:pPr>
        <w:autoSpaceDE w:val="0"/>
        <w:autoSpaceDN w:val="0"/>
        <w:adjustRightInd w:val="0"/>
        <w:spacing w:after="0" w:line="276" w:lineRule="auto"/>
        <w:jc w:val="both"/>
        <w:rPr>
          <w:rFonts w:ascii="Arial" w:eastAsiaTheme="minorHAnsi" w:hAnsi="Arial" w:cs="Arial"/>
          <w:sz w:val="20"/>
          <w:szCs w:val="20"/>
        </w:rPr>
      </w:pPr>
    </w:p>
    <w:p w14:paraId="71FBE68A" w14:textId="03E8074E" w:rsidR="00EC5EA9" w:rsidRPr="00D83239" w:rsidRDefault="00EC5EA9" w:rsidP="00E85C13">
      <w:pPr>
        <w:autoSpaceDE w:val="0"/>
        <w:autoSpaceDN w:val="0"/>
        <w:adjustRightInd w:val="0"/>
        <w:spacing w:after="0" w:line="276" w:lineRule="auto"/>
        <w:jc w:val="both"/>
        <w:rPr>
          <w:rFonts w:ascii="Arial" w:eastAsiaTheme="minorHAnsi" w:hAnsi="Arial" w:cs="Arial"/>
          <w:sz w:val="20"/>
          <w:szCs w:val="20"/>
        </w:rPr>
      </w:pPr>
      <w:r w:rsidRPr="00D83239">
        <w:rPr>
          <w:rFonts w:ascii="Arial" w:eastAsiaTheme="minorHAnsi" w:hAnsi="Arial" w:cs="Arial"/>
          <w:sz w:val="20"/>
          <w:szCs w:val="20"/>
        </w:rPr>
        <w:t>Lastnika kompleksa nepremičnin na Medvedjaku sta: Republika Slovenija, upravljavec</w:t>
      </w:r>
      <w:r w:rsidR="00E85C13">
        <w:rPr>
          <w:rFonts w:ascii="Arial" w:eastAsiaTheme="minorHAnsi" w:hAnsi="Arial" w:cs="Arial"/>
          <w:sz w:val="20"/>
          <w:szCs w:val="20"/>
        </w:rPr>
        <w:t xml:space="preserve"> MNZ</w:t>
      </w:r>
      <w:r w:rsidRPr="00D83239">
        <w:rPr>
          <w:rFonts w:ascii="Arial" w:eastAsiaTheme="minorHAnsi" w:hAnsi="Arial" w:cs="Arial"/>
          <w:sz w:val="20"/>
          <w:szCs w:val="20"/>
        </w:rPr>
        <w:t>, v deležu 61,61</w:t>
      </w:r>
      <w:r w:rsidR="00E85C13">
        <w:rPr>
          <w:rFonts w:ascii="Arial" w:eastAsiaTheme="minorHAnsi" w:hAnsi="Arial" w:cs="Arial"/>
          <w:sz w:val="20"/>
          <w:szCs w:val="20"/>
        </w:rPr>
        <w:t xml:space="preserve"> </w:t>
      </w:r>
      <w:r w:rsidRPr="00D83239">
        <w:rPr>
          <w:rFonts w:ascii="Arial" w:eastAsiaTheme="minorHAnsi" w:hAnsi="Arial" w:cs="Arial"/>
          <w:sz w:val="20"/>
          <w:szCs w:val="20"/>
        </w:rPr>
        <w:t>% in Občina Loški Potok v deležu 38,39</w:t>
      </w:r>
      <w:r w:rsidR="00E85C13">
        <w:rPr>
          <w:rFonts w:ascii="Arial" w:eastAsiaTheme="minorHAnsi" w:hAnsi="Arial" w:cs="Arial"/>
          <w:sz w:val="20"/>
          <w:szCs w:val="20"/>
        </w:rPr>
        <w:t xml:space="preserve"> </w:t>
      </w:r>
      <w:r w:rsidRPr="00D83239">
        <w:rPr>
          <w:rFonts w:ascii="Arial" w:eastAsiaTheme="minorHAnsi" w:hAnsi="Arial" w:cs="Arial"/>
          <w:sz w:val="20"/>
          <w:szCs w:val="20"/>
        </w:rPr>
        <w:t xml:space="preserve">%. Pogodbena vrednost je 121.500,00 </w:t>
      </w:r>
      <w:r w:rsidR="008B3C62">
        <w:rPr>
          <w:rFonts w:ascii="Arial" w:eastAsiaTheme="minorHAnsi" w:hAnsi="Arial" w:cs="Arial"/>
          <w:sz w:val="20"/>
          <w:szCs w:val="20"/>
        </w:rPr>
        <w:t>evra</w:t>
      </w:r>
      <w:r w:rsidRPr="00D83239">
        <w:rPr>
          <w:rFonts w:ascii="Arial" w:eastAsiaTheme="minorHAnsi" w:hAnsi="Arial" w:cs="Arial"/>
          <w:sz w:val="20"/>
          <w:szCs w:val="20"/>
        </w:rPr>
        <w:t>.</w:t>
      </w:r>
    </w:p>
    <w:p w14:paraId="67C842A1" w14:textId="77777777" w:rsidR="00EC5EA9" w:rsidRPr="00D83239" w:rsidRDefault="00EC5EA9" w:rsidP="00D83239">
      <w:pPr>
        <w:autoSpaceDE w:val="0"/>
        <w:autoSpaceDN w:val="0"/>
        <w:adjustRightInd w:val="0"/>
        <w:spacing w:after="0" w:line="276" w:lineRule="auto"/>
        <w:jc w:val="both"/>
        <w:rPr>
          <w:rFonts w:ascii="Arial" w:eastAsiaTheme="minorHAnsi" w:hAnsi="Arial" w:cs="Arial"/>
          <w:sz w:val="20"/>
          <w:szCs w:val="20"/>
        </w:rPr>
      </w:pPr>
      <w:r w:rsidRPr="00D83239">
        <w:rPr>
          <w:rFonts w:ascii="Arial" w:eastAsiaTheme="minorHAnsi" w:hAnsi="Arial" w:cs="Arial"/>
          <w:sz w:val="20"/>
          <w:szCs w:val="20"/>
        </w:rPr>
        <w:t xml:space="preserve"> </w:t>
      </w:r>
    </w:p>
    <w:p w14:paraId="08B0F621" w14:textId="43615E95" w:rsidR="00EC5EA9" w:rsidRPr="00E85C13" w:rsidRDefault="00E85C13" w:rsidP="00E85C13">
      <w:pPr>
        <w:contextualSpacing/>
        <w:jc w:val="both"/>
        <w:rPr>
          <w:rFonts w:ascii="Arial" w:eastAsiaTheme="minorHAnsi" w:hAnsi="Arial" w:cs="Arial"/>
          <w:sz w:val="20"/>
          <w:szCs w:val="20"/>
          <w:u w:val="single"/>
        </w:rPr>
      </w:pPr>
      <w:r>
        <w:rPr>
          <w:rFonts w:ascii="Arial" w:hAnsi="Arial" w:cs="Arial"/>
          <w:sz w:val="20"/>
          <w:szCs w:val="20"/>
          <w:u w:val="single"/>
        </w:rPr>
        <w:t>N</w:t>
      </w:r>
      <w:r w:rsidR="00EC5EA9" w:rsidRPr="00E85C13">
        <w:rPr>
          <w:rFonts w:ascii="Arial" w:hAnsi="Arial" w:cs="Arial"/>
          <w:sz w:val="20"/>
          <w:szCs w:val="20"/>
          <w:u w:val="single"/>
        </w:rPr>
        <w:t>a podlagi zbiranja ponudb:</w:t>
      </w:r>
    </w:p>
    <w:p w14:paraId="126C5435" w14:textId="761E21D6" w:rsidR="00EC5EA9" w:rsidRPr="00E85C13" w:rsidRDefault="00E85C13" w:rsidP="00E85C13">
      <w:pPr>
        <w:numPr>
          <w:ilvl w:val="0"/>
          <w:numId w:val="26"/>
        </w:numPr>
        <w:autoSpaceDE w:val="0"/>
        <w:autoSpaceDN w:val="0"/>
        <w:adjustRightInd w:val="0"/>
        <w:spacing w:after="0" w:line="276" w:lineRule="auto"/>
        <w:jc w:val="both"/>
        <w:rPr>
          <w:rFonts w:ascii="Arial" w:eastAsiaTheme="minorHAnsi" w:hAnsi="Arial" w:cs="Arial"/>
          <w:bCs/>
          <w:sz w:val="20"/>
          <w:szCs w:val="20"/>
        </w:rPr>
      </w:pPr>
      <w:r>
        <w:rPr>
          <w:rFonts w:ascii="Arial" w:eastAsiaTheme="minorHAnsi" w:hAnsi="Arial" w:cs="Arial"/>
          <w:bCs/>
          <w:sz w:val="20"/>
          <w:szCs w:val="20"/>
        </w:rPr>
        <w:t>p</w:t>
      </w:r>
      <w:r w:rsidR="00EC5EA9" w:rsidRPr="00D83239">
        <w:rPr>
          <w:rFonts w:ascii="Arial" w:eastAsiaTheme="minorHAnsi" w:hAnsi="Arial" w:cs="Arial"/>
          <w:bCs/>
          <w:sz w:val="20"/>
          <w:szCs w:val="20"/>
        </w:rPr>
        <w:t>rodaja nepremičnin v k. o. 829 Dravograd 905/17</w:t>
      </w:r>
      <w:r w:rsidR="008B3C62">
        <w:rPr>
          <w:rFonts w:ascii="Arial" w:eastAsiaTheme="minorHAnsi" w:hAnsi="Arial" w:cs="Arial"/>
          <w:bCs/>
          <w:sz w:val="20"/>
          <w:szCs w:val="20"/>
        </w:rPr>
        <w:t>,</w:t>
      </w:r>
      <w:r w:rsidR="00EC5EA9" w:rsidRPr="00D83239">
        <w:rPr>
          <w:rFonts w:ascii="Arial" w:eastAsiaTheme="minorHAnsi" w:hAnsi="Arial" w:cs="Arial"/>
          <w:bCs/>
          <w:sz w:val="20"/>
          <w:szCs w:val="20"/>
        </w:rPr>
        <w:t xml:space="preserve"> zemljišče pod garažo v izmeri 19 m</w:t>
      </w:r>
      <w:r w:rsidR="00EC5EA9" w:rsidRPr="00D83239">
        <w:rPr>
          <w:rFonts w:ascii="Arial" w:eastAsiaTheme="minorHAnsi" w:hAnsi="Arial" w:cs="Arial"/>
          <w:bCs/>
          <w:sz w:val="20"/>
          <w:szCs w:val="20"/>
          <w:vertAlign w:val="superscript"/>
        </w:rPr>
        <w:t>2</w:t>
      </w:r>
      <w:r w:rsidR="008B3C62" w:rsidRPr="00345662">
        <w:rPr>
          <w:rFonts w:ascii="Arial" w:eastAsiaTheme="minorHAnsi" w:hAnsi="Arial" w:cs="Arial"/>
          <w:bCs/>
          <w:sz w:val="20"/>
          <w:szCs w:val="20"/>
        </w:rPr>
        <w:t>,</w:t>
      </w:r>
      <w:r w:rsidR="00EC5EA9" w:rsidRPr="00D83239">
        <w:rPr>
          <w:rFonts w:ascii="Arial" w:eastAsiaTheme="minorHAnsi" w:hAnsi="Arial" w:cs="Arial"/>
          <w:bCs/>
          <w:sz w:val="20"/>
          <w:szCs w:val="20"/>
        </w:rPr>
        <w:t xml:space="preserve"> in 905/18, zemljišče pod garažo v izmeri 17 m</w:t>
      </w:r>
      <w:r w:rsidR="00EC5EA9" w:rsidRPr="00D83239">
        <w:rPr>
          <w:rFonts w:ascii="Arial" w:eastAsiaTheme="minorHAnsi" w:hAnsi="Arial" w:cs="Arial"/>
          <w:bCs/>
          <w:sz w:val="20"/>
          <w:szCs w:val="20"/>
          <w:vertAlign w:val="superscript"/>
        </w:rPr>
        <w:t>2</w:t>
      </w:r>
      <w:r w:rsidR="008B3C62" w:rsidRPr="00345662">
        <w:rPr>
          <w:rFonts w:ascii="Arial" w:eastAsiaTheme="minorHAnsi" w:hAnsi="Arial" w:cs="Arial"/>
          <w:bCs/>
          <w:sz w:val="20"/>
          <w:szCs w:val="20"/>
        </w:rPr>
        <w:t>,</w:t>
      </w:r>
      <w:r w:rsidR="00EC5EA9" w:rsidRPr="00D83239">
        <w:rPr>
          <w:rFonts w:ascii="Arial" w:eastAsiaTheme="minorHAnsi" w:hAnsi="Arial" w:cs="Arial"/>
          <w:bCs/>
          <w:sz w:val="20"/>
          <w:szCs w:val="20"/>
        </w:rPr>
        <w:t xml:space="preserve"> skupaj za kupnino 2.265,00 </w:t>
      </w:r>
      <w:r>
        <w:rPr>
          <w:rFonts w:ascii="Arial" w:eastAsiaTheme="minorHAnsi" w:hAnsi="Arial" w:cs="Arial"/>
          <w:bCs/>
          <w:sz w:val="20"/>
          <w:szCs w:val="20"/>
        </w:rPr>
        <w:t>evr</w:t>
      </w:r>
      <w:r w:rsidR="008B3C62">
        <w:rPr>
          <w:rFonts w:ascii="Arial" w:eastAsiaTheme="minorHAnsi" w:hAnsi="Arial" w:cs="Arial"/>
          <w:bCs/>
          <w:sz w:val="20"/>
          <w:szCs w:val="20"/>
        </w:rPr>
        <w:t>a</w:t>
      </w:r>
      <w:r>
        <w:rPr>
          <w:rFonts w:ascii="Arial" w:eastAsiaTheme="minorHAnsi" w:hAnsi="Arial" w:cs="Arial"/>
          <w:bCs/>
          <w:sz w:val="20"/>
          <w:szCs w:val="20"/>
        </w:rPr>
        <w:t>;</w:t>
      </w:r>
    </w:p>
    <w:p w14:paraId="1EADC422" w14:textId="43F9043C" w:rsidR="00EC5EA9" w:rsidRPr="00E85C13" w:rsidRDefault="00E85C13" w:rsidP="00D83239">
      <w:pPr>
        <w:numPr>
          <w:ilvl w:val="0"/>
          <w:numId w:val="26"/>
        </w:numPr>
        <w:autoSpaceDE w:val="0"/>
        <w:autoSpaceDN w:val="0"/>
        <w:adjustRightInd w:val="0"/>
        <w:spacing w:after="0" w:line="276" w:lineRule="auto"/>
        <w:jc w:val="both"/>
        <w:rPr>
          <w:rFonts w:ascii="Arial" w:eastAsiaTheme="minorHAnsi" w:hAnsi="Arial" w:cs="Arial"/>
          <w:bCs/>
          <w:sz w:val="20"/>
          <w:szCs w:val="20"/>
        </w:rPr>
      </w:pPr>
      <w:r>
        <w:rPr>
          <w:rFonts w:ascii="Arial" w:eastAsiaTheme="minorHAnsi" w:hAnsi="Arial" w:cs="Arial"/>
          <w:bCs/>
          <w:sz w:val="20"/>
          <w:szCs w:val="20"/>
        </w:rPr>
        <w:t>p</w:t>
      </w:r>
      <w:r w:rsidR="00EC5EA9" w:rsidRPr="00D83239">
        <w:rPr>
          <w:rFonts w:ascii="Arial" w:eastAsiaTheme="minorHAnsi" w:hAnsi="Arial" w:cs="Arial"/>
          <w:bCs/>
          <w:sz w:val="20"/>
          <w:szCs w:val="20"/>
        </w:rPr>
        <w:t>rodaja nepremičnine</w:t>
      </w:r>
      <w:r w:rsidR="002C208E">
        <w:rPr>
          <w:rFonts w:ascii="Arial" w:eastAsiaTheme="minorHAnsi" w:hAnsi="Arial" w:cs="Arial"/>
          <w:bCs/>
          <w:sz w:val="20"/>
          <w:szCs w:val="20"/>
        </w:rPr>
        <w:t xml:space="preserve"> v</w:t>
      </w:r>
      <w:r w:rsidR="00EC5EA9" w:rsidRPr="00D83239">
        <w:rPr>
          <w:rFonts w:ascii="Arial" w:eastAsiaTheme="minorHAnsi" w:hAnsi="Arial" w:cs="Arial"/>
          <w:bCs/>
          <w:sz w:val="20"/>
          <w:szCs w:val="20"/>
        </w:rPr>
        <w:t xml:space="preserve"> k. o. 2560 Hrpelje 3060/17</w:t>
      </w:r>
      <w:r w:rsidR="008B3C62">
        <w:rPr>
          <w:rFonts w:ascii="Arial" w:eastAsiaTheme="minorHAnsi" w:hAnsi="Arial" w:cs="Arial"/>
          <w:bCs/>
          <w:sz w:val="20"/>
          <w:szCs w:val="20"/>
        </w:rPr>
        <w:t>,</w:t>
      </w:r>
      <w:r w:rsidR="00EC5EA9" w:rsidRPr="00D83239">
        <w:rPr>
          <w:rFonts w:ascii="Arial" w:eastAsiaTheme="minorHAnsi" w:hAnsi="Arial" w:cs="Arial"/>
          <w:bCs/>
          <w:sz w:val="20"/>
          <w:szCs w:val="20"/>
        </w:rPr>
        <w:t xml:space="preserve"> nezazidano stavbno zemljišče v izmeri 691</w:t>
      </w:r>
      <w:r w:rsidR="008B3C62">
        <w:rPr>
          <w:rFonts w:ascii="Arial" w:eastAsiaTheme="minorHAnsi" w:hAnsi="Arial" w:cs="Arial"/>
          <w:bCs/>
          <w:sz w:val="20"/>
          <w:szCs w:val="20"/>
        </w:rPr>
        <w:t> m</w:t>
      </w:r>
      <w:r w:rsidR="008B3C62" w:rsidRPr="00345662">
        <w:rPr>
          <w:rFonts w:ascii="Arial" w:eastAsiaTheme="minorHAnsi" w:hAnsi="Arial" w:cs="Arial"/>
          <w:bCs/>
          <w:sz w:val="20"/>
          <w:szCs w:val="20"/>
          <w:vertAlign w:val="superscript"/>
        </w:rPr>
        <w:t>2</w:t>
      </w:r>
      <w:r w:rsidR="008B3C62">
        <w:rPr>
          <w:rFonts w:ascii="Arial" w:eastAsiaTheme="minorHAnsi" w:hAnsi="Arial" w:cs="Arial"/>
          <w:bCs/>
          <w:sz w:val="20"/>
          <w:szCs w:val="20"/>
        </w:rPr>
        <w:t xml:space="preserve">, </w:t>
      </w:r>
      <w:r w:rsidR="00EC5EA9" w:rsidRPr="00D83239">
        <w:rPr>
          <w:rFonts w:ascii="Arial" w:eastAsiaTheme="minorHAnsi" w:hAnsi="Arial" w:cs="Arial"/>
          <w:bCs/>
          <w:sz w:val="20"/>
          <w:szCs w:val="20"/>
        </w:rPr>
        <w:t xml:space="preserve">za ceno 98.820,00 </w:t>
      </w:r>
      <w:r>
        <w:rPr>
          <w:rFonts w:ascii="Arial" w:eastAsiaTheme="minorHAnsi" w:hAnsi="Arial" w:cs="Arial"/>
          <w:bCs/>
          <w:sz w:val="20"/>
          <w:szCs w:val="20"/>
        </w:rPr>
        <w:t>evr</w:t>
      </w:r>
      <w:r w:rsidR="008B3C62">
        <w:rPr>
          <w:rFonts w:ascii="Arial" w:eastAsiaTheme="minorHAnsi" w:hAnsi="Arial" w:cs="Arial"/>
          <w:bCs/>
          <w:sz w:val="20"/>
          <w:szCs w:val="20"/>
        </w:rPr>
        <w:t>a</w:t>
      </w:r>
      <w:r w:rsidR="00EC5EA9" w:rsidRPr="00D83239">
        <w:rPr>
          <w:rFonts w:ascii="Arial" w:eastAsiaTheme="minorHAnsi" w:hAnsi="Arial" w:cs="Arial"/>
          <w:bCs/>
          <w:sz w:val="20"/>
          <w:szCs w:val="20"/>
        </w:rPr>
        <w:t xml:space="preserve"> z DDV</w:t>
      </w:r>
      <w:r>
        <w:rPr>
          <w:rFonts w:ascii="Arial" w:eastAsiaTheme="minorHAnsi" w:hAnsi="Arial" w:cs="Arial"/>
          <w:bCs/>
          <w:sz w:val="20"/>
          <w:szCs w:val="20"/>
        </w:rPr>
        <w:t>;</w:t>
      </w:r>
    </w:p>
    <w:p w14:paraId="0B4A1C87" w14:textId="14965F26" w:rsidR="00EC5EA9" w:rsidRPr="00D83239" w:rsidRDefault="00E85C13" w:rsidP="00FE543C">
      <w:pPr>
        <w:numPr>
          <w:ilvl w:val="0"/>
          <w:numId w:val="26"/>
        </w:numPr>
        <w:autoSpaceDE w:val="0"/>
        <w:autoSpaceDN w:val="0"/>
        <w:adjustRightInd w:val="0"/>
        <w:spacing w:after="0" w:line="276" w:lineRule="auto"/>
        <w:jc w:val="both"/>
        <w:rPr>
          <w:rFonts w:ascii="Arial" w:eastAsiaTheme="minorHAnsi" w:hAnsi="Arial" w:cs="Arial"/>
          <w:bCs/>
          <w:sz w:val="20"/>
          <w:szCs w:val="20"/>
        </w:rPr>
      </w:pPr>
      <w:r>
        <w:rPr>
          <w:rFonts w:ascii="Arial" w:eastAsiaTheme="minorHAnsi" w:hAnsi="Arial" w:cs="Arial"/>
          <w:bCs/>
          <w:sz w:val="20"/>
          <w:szCs w:val="20"/>
        </w:rPr>
        <w:t>o</w:t>
      </w:r>
      <w:r w:rsidR="00EC5EA9" w:rsidRPr="00D83239">
        <w:rPr>
          <w:rFonts w:ascii="Arial" w:eastAsiaTheme="minorHAnsi" w:hAnsi="Arial" w:cs="Arial"/>
          <w:bCs/>
          <w:sz w:val="20"/>
          <w:szCs w:val="20"/>
        </w:rPr>
        <w:t xml:space="preserve">dsvojitev nepremičnine – stanovanja na naslovu Praprotnikova ulica 12, Mozirje, posamezni del stavbe 920-1-18, v vrednosti 117.494,00 </w:t>
      </w:r>
      <w:r>
        <w:rPr>
          <w:rFonts w:ascii="Arial" w:eastAsiaTheme="minorHAnsi" w:hAnsi="Arial" w:cs="Arial"/>
          <w:bCs/>
          <w:sz w:val="20"/>
          <w:szCs w:val="20"/>
        </w:rPr>
        <w:t>evr</w:t>
      </w:r>
      <w:r w:rsidR="008B3C62">
        <w:rPr>
          <w:rFonts w:ascii="Arial" w:eastAsiaTheme="minorHAnsi" w:hAnsi="Arial" w:cs="Arial"/>
          <w:bCs/>
          <w:sz w:val="20"/>
          <w:szCs w:val="20"/>
        </w:rPr>
        <w:t>a</w:t>
      </w:r>
      <w:r w:rsidR="00EC5EA9" w:rsidRPr="00D83239">
        <w:rPr>
          <w:rFonts w:ascii="Arial" w:eastAsiaTheme="minorHAnsi" w:hAnsi="Arial" w:cs="Arial"/>
          <w:bCs/>
          <w:sz w:val="20"/>
          <w:szCs w:val="20"/>
        </w:rPr>
        <w:t xml:space="preserve">. Na podlagi določil Zakona o interventnih ukrepih za odpravo posledic poprav in zemeljskih plazov </w:t>
      </w:r>
      <w:r w:rsidR="008B31CC">
        <w:rPr>
          <w:rFonts w:ascii="Arial" w:eastAsiaTheme="minorHAnsi" w:hAnsi="Arial" w:cs="Arial"/>
          <w:bCs/>
          <w:sz w:val="20"/>
          <w:szCs w:val="20"/>
        </w:rPr>
        <w:t>j</w:t>
      </w:r>
      <w:r w:rsidR="00EC5EA9" w:rsidRPr="00D83239">
        <w:rPr>
          <w:rFonts w:ascii="Arial" w:eastAsiaTheme="minorHAnsi" w:hAnsi="Arial" w:cs="Arial"/>
          <w:bCs/>
          <w:sz w:val="20"/>
          <w:szCs w:val="20"/>
        </w:rPr>
        <w:t xml:space="preserve">e bila sklenjena </w:t>
      </w:r>
      <w:r>
        <w:rPr>
          <w:rFonts w:ascii="Arial" w:eastAsiaTheme="minorHAnsi" w:hAnsi="Arial" w:cs="Arial"/>
          <w:bCs/>
          <w:sz w:val="20"/>
          <w:szCs w:val="20"/>
        </w:rPr>
        <w:t>p</w:t>
      </w:r>
      <w:r w:rsidR="00EC5EA9" w:rsidRPr="00D83239">
        <w:rPr>
          <w:rFonts w:ascii="Arial" w:eastAsiaTheme="minorHAnsi" w:hAnsi="Arial" w:cs="Arial"/>
          <w:bCs/>
          <w:sz w:val="20"/>
          <w:szCs w:val="20"/>
        </w:rPr>
        <w:t>rodajna pogodba, ki se sklepa namest</w:t>
      </w:r>
      <w:r w:rsidR="00090D24">
        <w:rPr>
          <w:rFonts w:ascii="Arial" w:eastAsiaTheme="minorHAnsi" w:hAnsi="Arial" w:cs="Arial"/>
          <w:bCs/>
          <w:sz w:val="20"/>
          <w:szCs w:val="20"/>
        </w:rPr>
        <w:t>o</w:t>
      </w:r>
      <w:r w:rsidR="00EC5EA9" w:rsidRPr="00D83239">
        <w:rPr>
          <w:rFonts w:ascii="Arial" w:eastAsiaTheme="minorHAnsi" w:hAnsi="Arial" w:cs="Arial"/>
          <w:bCs/>
          <w:sz w:val="20"/>
          <w:szCs w:val="20"/>
        </w:rPr>
        <w:t xml:space="preserve"> razlastitve, s katero bo stanovanje preneseno na fizične osebe. Vrednost premoženja oziroma stanovanja bo Vlada R</w:t>
      </w:r>
      <w:r w:rsidR="002F1AC9">
        <w:rPr>
          <w:rFonts w:ascii="Arial" w:eastAsiaTheme="minorHAnsi" w:hAnsi="Arial" w:cs="Arial"/>
          <w:bCs/>
          <w:sz w:val="20"/>
          <w:szCs w:val="20"/>
        </w:rPr>
        <w:t xml:space="preserve">epublike </w:t>
      </w:r>
      <w:r w:rsidR="00EC5EA9" w:rsidRPr="00D83239">
        <w:rPr>
          <w:rFonts w:ascii="Arial" w:eastAsiaTheme="minorHAnsi" w:hAnsi="Arial" w:cs="Arial"/>
          <w:bCs/>
          <w:sz w:val="20"/>
          <w:szCs w:val="20"/>
        </w:rPr>
        <w:t>S</w:t>
      </w:r>
      <w:r w:rsidR="002F1AC9">
        <w:rPr>
          <w:rFonts w:ascii="Arial" w:eastAsiaTheme="minorHAnsi" w:hAnsi="Arial" w:cs="Arial"/>
          <w:bCs/>
          <w:sz w:val="20"/>
          <w:szCs w:val="20"/>
        </w:rPr>
        <w:t>lovenije</w:t>
      </w:r>
      <w:r w:rsidR="00EC5EA9" w:rsidRPr="00D83239">
        <w:rPr>
          <w:rFonts w:ascii="Arial" w:eastAsiaTheme="minorHAnsi" w:hAnsi="Arial" w:cs="Arial"/>
          <w:bCs/>
          <w:sz w:val="20"/>
          <w:szCs w:val="20"/>
        </w:rPr>
        <w:t xml:space="preserve"> nakazala MNZ.</w:t>
      </w:r>
    </w:p>
    <w:p w14:paraId="35352828" w14:textId="77777777" w:rsidR="00EC5EA9" w:rsidRPr="00D83239" w:rsidRDefault="00EC5EA9" w:rsidP="00D83239">
      <w:pPr>
        <w:spacing w:after="0" w:line="276" w:lineRule="auto"/>
        <w:jc w:val="both"/>
        <w:rPr>
          <w:rFonts w:ascii="Arial" w:hAnsi="Arial" w:cs="Arial"/>
          <w:sz w:val="20"/>
          <w:szCs w:val="20"/>
        </w:rPr>
      </w:pPr>
    </w:p>
    <w:p w14:paraId="53525A73" w14:textId="77777777" w:rsidR="00EC5EA9" w:rsidRPr="00D83239" w:rsidRDefault="00EC5EA9" w:rsidP="00D83239">
      <w:pPr>
        <w:autoSpaceDE w:val="0"/>
        <w:autoSpaceDN w:val="0"/>
        <w:adjustRightInd w:val="0"/>
        <w:spacing w:after="0" w:line="276" w:lineRule="auto"/>
        <w:jc w:val="both"/>
        <w:rPr>
          <w:rFonts w:ascii="Arial" w:hAnsi="Arial" w:cs="Arial"/>
          <w:b/>
          <w:bCs/>
          <w:sz w:val="20"/>
          <w:szCs w:val="20"/>
        </w:rPr>
      </w:pPr>
      <w:r w:rsidRPr="00D83239">
        <w:rPr>
          <w:rFonts w:ascii="Arial" w:hAnsi="Arial" w:cs="Arial"/>
          <w:b/>
          <w:bCs/>
          <w:sz w:val="20"/>
          <w:szCs w:val="20"/>
        </w:rPr>
        <w:t>Nadaljevanje obnove voznega parka</w:t>
      </w:r>
    </w:p>
    <w:p w14:paraId="1964D867" w14:textId="5B9C3EEA" w:rsidR="00EC5EA9" w:rsidRPr="00D83239" w:rsidRDefault="00EC5EA9" w:rsidP="00D83239">
      <w:pPr>
        <w:autoSpaceDE w:val="0"/>
        <w:autoSpaceDN w:val="0"/>
        <w:adjustRightInd w:val="0"/>
        <w:spacing w:after="0" w:line="276" w:lineRule="auto"/>
        <w:jc w:val="both"/>
        <w:rPr>
          <w:rFonts w:ascii="Arial" w:hAnsi="Arial" w:cs="Arial"/>
          <w:b/>
          <w:bCs/>
          <w:sz w:val="20"/>
          <w:szCs w:val="20"/>
        </w:rPr>
      </w:pPr>
      <w:r w:rsidRPr="00D83239">
        <w:rPr>
          <w:rFonts w:ascii="Arial" w:hAnsi="Arial" w:cs="Arial"/>
          <w:sz w:val="20"/>
          <w:szCs w:val="20"/>
        </w:rPr>
        <w:t xml:space="preserve">V letu 2025 se je nadaljevala postopna obnova voznega parka MNZ, Policije in IRSNZ z namenom zagotavljanja operativne zanesljivosti in varnosti pri delu. Za ta namen so bila zagotovljena integralna proračunska sredstva ter dodatna evropska sredstva, skupno v višini približno 5 milijonov </w:t>
      </w:r>
      <w:r w:rsidR="00E85C13">
        <w:rPr>
          <w:rFonts w:ascii="Arial" w:hAnsi="Arial" w:cs="Arial"/>
          <w:sz w:val="20"/>
          <w:szCs w:val="20"/>
        </w:rPr>
        <w:t>evrov</w:t>
      </w:r>
      <w:r w:rsidRPr="00D83239">
        <w:rPr>
          <w:rFonts w:ascii="Arial" w:hAnsi="Arial" w:cs="Arial"/>
          <w:sz w:val="20"/>
          <w:szCs w:val="20"/>
        </w:rPr>
        <w:t>. Še naprej se je izvajal operativni najem službenih vozil, ki omogoča prilagodljivost in nemoteno izvajanje nalog. Pri načrtovanju nabav so se upoštevale tudi usmeritve prehoda na okolju prijaznejše oblike mobilnosti skladno z razpoložljivo infrastrukturo.</w:t>
      </w:r>
    </w:p>
    <w:p w14:paraId="4CCEAD1A" w14:textId="77777777" w:rsidR="00EC5EA9" w:rsidRPr="00D83239" w:rsidRDefault="00EC5EA9" w:rsidP="00D83239">
      <w:pPr>
        <w:spacing w:after="0" w:line="276" w:lineRule="auto"/>
        <w:jc w:val="both"/>
        <w:rPr>
          <w:rFonts w:ascii="Arial" w:hAnsi="Arial" w:cs="Arial"/>
          <w:b/>
          <w:sz w:val="20"/>
          <w:szCs w:val="20"/>
        </w:rPr>
      </w:pPr>
    </w:p>
    <w:p w14:paraId="2FD39570" w14:textId="77777777"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rPr>
        <w:t>Osebna oprema</w:t>
      </w:r>
    </w:p>
    <w:p w14:paraId="6318BF1B" w14:textId="261BC30A" w:rsidR="00EC5EA9" w:rsidRPr="00D83239" w:rsidRDefault="00EC5EA9" w:rsidP="00D83239">
      <w:pPr>
        <w:spacing w:after="0" w:line="276" w:lineRule="auto"/>
        <w:jc w:val="both"/>
        <w:rPr>
          <w:rFonts w:ascii="Arial" w:hAnsi="Arial" w:cs="Arial"/>
          <w:b/>
          <w:sz w:val="20"/>
          <w:szCs w:val="20"/>
        </w:rPr>
      </w:pPr>
      <w:r w:rsidRPr="00D83239">
        <w:rPr>
          <w:rFonts w:ascii="Arial" w:hAnsi="Arial" w:cs="Arial"/>
          <w:sz w:val="20"/>
          <w:szCs w:val="20"/>
        </w:rPr>
        <w:t xml:space="preserve">Na podlagi ocen tveganja na delovnih mestih je bila v letu 2025 zagotovljena ustrezna osebna varovalna, zaščitna in osebna oprema za javne uslužbence. Za ta namen je bilo namenjenih približno 9 milijonov </w:t>
      </w:r>
      <w:r w:rsidR="00E85C13">
        <w:rPr>
          <w:rFonts w:ascii="Arial" w:hAnsi="Arial" w:cs="Arial"/>
          <w:sz w:val="20"/>
          <w:szCs w:val="20"/>
        </w:rPr>
        <w:t>evrov</w:t>
      </w:r>
      <w:r w:rsidRPr="00D83239">
        <w:rPr>
          <w:rFonts w:ascii="Arial" w:hAnsi="Arial" w:cs="Arial"/>
          <w:sz w:val="20"/>
          <w:szCs w:val="20"/>
        </w:rPr>
        <w:t>, s poudarkom na zaščiti zdravja in varnosti policistov ter zagotavljanju ustreznih delovnih pogojev. Posebna pozornost je bila namenjena redni oskrbi policistov z uniformami in delovnimi oblekami ter opremljanju specializiranih enot, pri čemer so se za zagotavljanje stabilnosti dobav uporabljali okvirni sporazumi.</w:t>
      </w:r>
    </w:p>
    <w:p w14:paraId="7496EAFF" w14:textId="77777777" w:rsidR="00D3490F" w:rsidRDefault="00D3490F" w:rsidP="00D3490F">
      <w:pPr>
        <w:autoSpaceDE w:val="0"/>
        <w:autoSpaceDN w:val="0"/>
        <w:adjustRightInd w:val="0"/>
        <w:spacing w:after="0" w:line="276" w:lineRule="auto"/>
        <w:jc w:val="both"/>
        <w:rPr>
          <w:rFonts w:ascii="Arial" w:hAnsi="Arial" w:cs="Arial"/>
          <w:b/>
          <w:bCs/>
          <w:sz w:val="20"/>
          <w:szCs w:val="20"/>
        </w:rPr>
      </w:pPr>
    </w:p>
    <w:p w14:paraId="47684B58" w14:textId="6AEF2CCF" w:rsidR="00EC5EA9" w:rsidRPr="00D83239" w:rsidRDefault="00EC5EA9" w:rsidP="00D3490F">
      <w:pPr>
        <w:autoSpaceDE w:val="0"/>
        <w:autoSpaceDN w:val="0"/>
        <w:adjustRightInd w:val="0"/>
        <w:spacing w:after="0" w:line="276" w:lineRule="auto"/>
        <w:jc w:val="both"/>
        <w:rPr>
          <w:rFonts w:ascii="Arial" w:hAnsi="Arial" w:cs="Arial"/>
          <w:b/>
          <w:bCs/>
          <w:sz w:val="20"/>
          <w:szCs w:val="20"/>
        </w:rPr>
      </w:pPr>
      <w:r w:rsidRPr="00D83239">
        <w:rPr>
          <w:rFonts w:ascii="Arial" w:hAnsi="Arial" w:cs="Arial"/>
          <w:b/>
          <w:bCs/>
          <w:sz w:val="20"/>
          <w:szCs w:val="20"/>
        </w:rPr>
        <w:t>Nabava osebne varovalne, zaščitne in osebne opreme</w:t>
      </w:r>
    </w:p>
    <w:p w14:paraId="071F5553" w14:textId="395E1AFB" w:rsidR="00EC5EA9" w:rsidRPr="00D83239" w:rsidRDefault="00EC5EA9" w:rsidP="00D83239">
      <w:pPr>
        <w:spacing w:after="0" w:line="276" w:lineRule="auto"/>
        <w:jc w:val="both"/>
        <w:rPr>
          <w:rFonts w:ascii="Arial" w:hAnsi="Arial" w:cs="Arial"/>
          <w:sz w:val="20"/>
          <w:szCs w:val="20"/>
        </w:rPr>
      </w:pPr>
      <w:r w:rsidRPr="00D83239">
        <w:rPr>
          <w:rFonts w:ascii="Arial" w:hAnsi="Arial" w:cs="Arial"/>
          <w:sz w:val="20"/>
          <w:szCs w:val="20"/>
          <w:lang w:eastAsia="sl-SI"/>
        </w:rPr>
        <w:t>Za nabavo osebne opreme je bilo v letu 2025 namenjeno 6,8 mi</w:t>
      </w:r>
      <w:r w:rsidR="002F1AC9">
        <w:rPr>
          <w:rFonts w:ascii="Arial" w:hAnsi="Arial" w:cs="Arial"/>
          <w:sz w:val="20"/>
          <w:szCs w:val="20"/>
          <w:lang w:eastAsia="sl-SI"/>
        </w:rPr>
        <w:t>lijona</w:t>
      </w:r>
      <w:r w:rsidRPr="00D83239">
        <w:rPr>
          <w:rFonts w:ascii="Arial" w:hAnsi="Arial" w:cs="Arial"/>
          <w:sz w:val="20"/>
          <w:szCs w:val="20"/>
          <w:lang w:eastAsia="sl-SI"/>
        </w:rPr>
        <w:t xml:space="preserve"> </w:t>
      </w:r>
      <w:r w:rsidR="00E85C13">
        <w:rPr>
          <w:rFonts w:ascii="Arial" w:hAnsi="Arial" w:cs="Arial"/>
          <w:sz w:val="20"/>
          <w:szCs w:val="20"/>
          <w:lang w:eastAsia="sl-SI"/>
        </w:rPr>
        <w:t>evrov</w:t>
      </w:r>
      <w:r w:rsidRPr="00D83239">
        <w:rPr>
          <w:rFonts w:ascii="Arial" w:hAnsi="Arial" w:cs="Arial"/>
          <w:sz w:val="20"/>
          <w:szCs w:val="20"/>
          <w:lang w:eastAsia="sl-SI"/>
        </w:rPr>
        <w:t xml:space="preserve">. Glavnina je bila dobavljena na </w:t>
      </w:r>
      <w:r w:rsidR="002F1AC9">
        <w:rPr>
          <w:rFonts w:ascii="Arial" w:hAnsi="Arial" w:cs="Arial"/>
          <w:sz w:val="20"/>
          <w:szCs w:val="20"/>
          <w:lang w:eastAsia="sl-SI"/>
        </w:rPr>
        <w:t>podlag</w:t>
      </w:r>
      <w:r w:rsidRPr="00D83239">
        <w:rPr>
          <w:rFonts w:ascii="Arial" w:hAnsi="Arial" w:cs="Arial"/>
          <w:sz w:val="20"/>
          <w:szCs w:val="20"/>
          <w:lang w:eastAsia="sl-SI"/>
        </w:rPr>
        <w:t xml:space="preserve">i predhodno sklenjenih okvirnih sporazumov, ki </w:t>
      </w:r>
      <w:r w:rsidR="000D05FC">
        <w:rPr>
          <w:rFonts w:ascii="Arial" w:hAnsi="Arial" w:cs="Arial"/>
          <w:sz w:val="20"/>
          <w:szCs w:val="20"/>
          <w:lang w:eastAsia="sl-SI"/>
        </w:rPr>
        <w:t>se uporablja</w:t>
      </w:r>
      <w:r w:rsidR="002F1AC9">
        <w:rPr>
          <w:rFonts w:ascii="Arial" w:hAnsi="Arial" w:cs="Arial"/>
          <w:sz w:val="20"/>
          <w:szCs w:val="20"/>
          <w:lang w:eastAsia="sl-SI"/>
        </w:rPr>
        <w:t>jo</w:t>
      </w:r>
      <w:r w:rsidRPr="00D83239">
        <w:rPr>
          <w:rFonts w:ascii="Arial" w:hAnsi="Arial" w:cs="Arial"/>
          <w:sz w:val="20"/>
          <w:szCs w:val="20"/>
          <w:lang w:eastAsia="sl-SI"/>
        </w:rPr>
        <w:t xml:space="preserve"> z namenom </w:t>
      </w:r>
      <w:r w:rsidR="002F1AC9">
        <w:rPr>
          <w:rFonts w:ascii="Arial" w:hAnsi="Arial" w:cs="Arial"/>
          <w:sz w:val="20"/>
          <w:szCs w:val="20"/>
          <w:lang w:eastAsia="sl-SI"/>
        </w:rPr>
        <w:t>stalne</w:t>
      </w:r>
      <w:r w:rsidRPr="00D83239">
        <w:rPr>
          <w:rFonts w:ascii="Arial" w:hAnsi="Arial" w:cs="Arial"/>
          <w:sz w:val="20"/>
          <w:szCs w:val="20"/>
          <w:lang w:eastAsia="sl-SI"/>
        </w:rPr>
        <w:t xml:space="preserve"> dobave oziroma preprečitve motenj pri preskrbi opreme. Razpoložljiva sredstva </w:t>
      </w:r>
      <w:r w:rsidR="002F1AC9">
        <w:rPr>
          <w:rFonts w:ascii="Arial" w:hAnsi="Arial" w:cs="Arial"/>
          <w:sz w:val="20"/>
          <w:szCs w:val="20"/>
          <w:lang w:eastAsia="sl-SI"/>
        </w:rPr>
        <w:t>in</w:t>
      </w:r>
      <w:r w:rsidR="002F1AC9" w:rsidRPr="00D83239">
        <w:rPr>
          <w:rFonts w:ascii="Arial" w:hAnsi="Arial" w:cs="Arial"/>
          <w:sz w:val="20"/>
          <w:szCs w:val="20"/>
          <w:lang w:eastAsia="sl-SI"/>
        </w:rPr>
        <w:t xml:space="preserve"> </w:t>
      </w:r>
      <w:r w:rsidRPr="00D83239">
        <w:rPr>
          <w:rFonts w:ascii="Arial" w:hAnsi="Arial" w:cs="Arial"/>
          <w:sz w:val="20"/>
          <w:szCs w:val="20"/>
          <w:lang w:eastAsia="sl-SI"/>
        </w:rPr>
        <w:t>aktualna zaloga v skladišču osebne opreme je bila namenjena za zagotovitev policijske uniforme, ki policistom pripada skladno s pravili o dodeljevanju policijske uniforme. Policisti so prejeli policijsko uniformo, ki so jo naročili v aplikaciji Točkovni sistemi</w:t>
      </w:r>
      <w:r w:rsidR="002F1AC9">
        <w:rPr>
          <w:rFonts w:ascii="Arial" w:hAnsi="Arial" w:cs="Arial"/>
          <w:sz w:val="20"/>
          <w:szCs w:val="20"/>
          <w:lang w:eastAsia="sl-SI"/>
        </w:rPr>
        <w:t>,</w:t>
      </w:r>
      <w:r w:rsidRPr="00D83239">
        <w:rPr>
          <w:rFonts w:ascii="Arial" w:hAnsi="Arial" w:cs="Arial"/>
          <w:sz w:val="20"/>
          <w:szCs w:val="20"/>
          <w:lang w:eastAsia="sl-SI"/>
        </w:rPr>
        <w:t xml:space="preserve"> ter specialistično uniformo, ki jim pripada skladno z zapa</w:t>
      </w:r>
      <w:r w:rsidR="00D3490F">
        <w:rPr>
          <w:rFonts w:ascii="Arial" w:hAnsi="Arial" w:cs="Arial"/>
          <w:sz w:val="20"/>
          <w:szCs w:val="20"/>
          <w:lang w:eastAsia="sl-SI"/>
        </w:rPr>
        <w:t>dlimi roki uporabnosti (opremljeni so bili policisti</w:t>
      </w:r>
      <w:r w:rsidRPr="00D83239">
        <w:rPr>
          <w:rFonts w:ascii="Arial" w:hAnsi="Arial" w:cs="Arial"/>
          <w:sz w:val="20"/>
          <w:szCs w:val="20"/>
          <w:lang w:eastAsia="sl-SI"/>
        </w:rPr>
        <w:t>, ki i</w:t>
      </w:r>
      <w:r w:rsidR="00D3490F">
        <w:rPr>
          <w:rFonts w:ascii="Arial" w:hAnsi="Arial" w:cs="Arial"/>
          <w:sz w:val="20"/>
          <w:szCs w:val="20"/>
          <w:lang w:eastAsia="sl-SI"/>
        </w:rPr>
        <w:t>zvajajo delovne naloge motoristov, vodnikov službenih psov, konjenikov</w:t>
      </w:r>
      <w:r w:rsidRPr="00D83239">
        <w:rPr>
          <w:rFonts w:ascii="Arial" w:hAnsi="Arial" w:cs="Arial"/>
          <w:sz w:val="20"/>
          <w:szCs w:val="20"/>
          <w:lang w:eastAsia="sl-SI"/>
        </w:rPr>
        <w:t xml:space="preserve">, </w:t>
      </w:r>
      <w:r w:rsidR="00D3490F">
        <w:rPr>
          <w:rFonts w:ascii="Arial" w:hAnsi="Arial" w:cs="Arial"/>
          <w:sz w:val="20"/>
          <w:szCs w:val="20"/>
          <w:lang w:eastAsia="sl-SI"/>
        </w:rPr>
        <w:t>policisti gorske enote, policisti</w:t>
      </w:r>
      <w:r w:rsidRPr="00D83239">
        <w:rPr>
          <w:rFonts w:ascii="Arial" w:hAnsi="Arial" w:cs="Arial"/>
          <w:sz w:val="20"/>
          <w:szCs w:val="20"/>
          <w:lang w:eastAsia="sl-SI"/>
        </w:rPr>
        <w:t xml:space="preserve"> </w:t>
      </w:r>
      <w:r w:rsidR="00D3490F">
        <w:rPr>
          <w:rFonts w:ascii="Arial" w:hAnsi="Arial" w:cs="Arial"/>
          <w:sz w:val="20"/>
          <w:szCs w:val="20"/>
          <w:lang w:eastAsia="sl-SI"/>
        </w:rPr>
        <w:t>v Posebni policijski enoti, policisti</w:t>
      </w:r>
      <w:r w:rsidRPr="00D83239">
        <w:rPr>
          <w:rFonts w:ascii="Arial" w:hAnsi="Arial" w:cs="Arial"/>
          <w:sz w:val="20"/>
          <w:szCs w:val="20"/>
          <w:lang w:eastAsia="sl-SI"/>
        </w:rPr>
        <w:t xml:space="preserve">, ki opravljajo delovne naloge na plovilih, smučarje, kolesarje, </w:t>
      </w:r>
      <w:r w:rsidR="002F1AC9">
        <w:rPr>
          <w:rFonts w:ascii="Arial" w:hAnsi="Arial" w:cs="Arial"/>
          <w:sz w:val="20"/>
          <w:szCs w:val="20"/>
          <w:lang w:eastAsia="sl-SI"/>
        </w:rPr>
        <w:t xml:space="preserve">tiste, ki potrebujejo </w:t>
      </w:r>
      <w:r w:rsidRPr="00D83239">
        <w:rPr>
          <w:rFonts w:ascii="Arial" w:hAnsi="Arial" w:cs="Arial"/>
          <w:sz w:val="20"/>
          <w:szCs w:val="20"/>
          <w:lang w:eastAsia="sl-SI"/>
        </w:rPr>
        <w:t xml:space="preserve">civilno službeno obleko itd.). </w:t>
      </w:r>
      <w:r w:rsidR="002F1AC9">
        <w:rPr>
          <w:rFonts w:ascii="Arial" w:hAnsi="Arial" w:cs="Arial"/>
          <w:sz w:val="20"/>
          <w:szCs w:val="20"/>
          <w:lang w:eastAsia="sl-SI"/>
        </w:rPr>
        <w:t>N</w:t>
      </w:r>
      <w:r w:rsidR="00D3490F">
        <w:rPr>
          <w:rFonts w:ascii="Arial" w:hAnsi="Arial" w:cs="Arial"/>
          <w:sz w:val="20"/>
          <w:szCs w:val="20"/>
          <w:lang w:eastAsia="sl-SI"/>
        </w:rPr>
        <w:t>adaljevalo se je</w:t>
      </w:r>
      <w:r w:rsidRPr="00D83239">
        <w:rPr>
          <w:rFonts w:ascii="Arial" w:hAnsi="Arial" w:cs="Arial"/>
          <w:sz w:val="20"/>
          <w:szCs w:val="20"/>
          <w:lang w:eastAsia="sl-SI"/>
        </w:rPr>
        <w:t xml:space="preserve"> </w:t>
      </w:r>
      <w:r w:rsidR="002F1AC9">
        <w:rPr>
          <w:rFonts w:ascii="Arial" w:hAnsi="Arial" w:cs="Arial"/>
          <w:sz w:val="20"/>
          <w:szCs w:val="20"/>
          <w:lang w:eastAsia="sl-SI"/>
        </w:rPr>
        <w:t xml:space="preserve">tudi </w:t>
      </w:r>
      <w:r w:rsidRPr="00D83239">
        <w:rPr>
          <w:rFonts w:ascii="Arial" w:hAnsi="Arial" w:cs="Arial"/>
          <w:sz w:val="20"/>
          <w:szCs w:val="20"/>
          <w:lang w:eastAsia="sl-SI"/>
        </w:rPr>
        <w:t>opremljanje neuniformiranih policistov z novimi delovnimi oblačili. Projekt zamenjave starih delovnih oblačil skladno s Pravili o spremembi Pravil o vrsti in količini delovne obleke ter rokih uporabe, vračanju in zamenjavi delov delovne in civilne službene obleke je bil končan v drugi polovici leta 2025.</w:t>
      </w:r>
    </w:p>
    <w:p w14:paraId="58190946" w14:textId="77777777" w:rsidR="00EC5EA9" w:rsidRPr="00D83239" w:rsidRDefault="00EC5EA9" w:rsidP="00D83239">
      <w:pPr>
        <w:spacing w:after="0" w:line="276" w:lineRule="auto"/>
        <w:jc w:val="both"/>
        <w:rPr>
          <w:rFonts w:ascii="Arial" w:hAnsi="Arial" w:cs="Arial"/>
          <w:sz w:val="20"/>
          <w:szCs w:val="20"/>
        </w:rPr>
      </w:pPr>
    </w:p>
    <w:p w14:paraId="53859E24" w14:textId="77777777"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rPr>
        <w:t>Oborožitev, strelivo in plinska sredstva</w:t>
      </w:r>
    </w:p>
    <w:p w14:paraId="43768751" w14:textId="56D5D1D5" w:rsidR="00EC5EA9" w:rsidRPr="00D83239" w:rsidRDefault="00EC5EA9" w:rsidP="00D83239">
      <w:pPr>
        <w:spacing w:after="0" w:line="276" w:lineRule="auto"/>
        <w:jc w:val="both"/>
        <w:rPr>
          <w:rFonts w:ascii="Arial" w:hAnsi="Arial" w:cs="Arial"/>
          <w:b/>
          <w:sz w:val="20"/>
          <w:szCs w:val="20"/>
          <w:lang w:eastAsia="sl-SI"/>
        </w:rPr>
      </w:pPr>
      <w:r w:rsidRPr="00D83239">
        <w:rPr>
          <w:rFonts w:ascii="Arial" w:hAnsi="Arial" w:cs="Arial"/>
          <w:sz w:val="20"/>
          <w:szCs w:val="20"/>
          <w:lang w:eastAsia="sl-SI"/>
        </w:rPr>
        <w:t>Za nabavo zaščitnih sredstev je bilo v letu 2025 namenjeno 1,1 mi</w:t>
      </w:r>
      <w:r w:rsidR="002F1AC9">
        <w:rPr>
          <w:rFonts w:ascii="Arial" w:hAnsi="Arial" w:cs="Arial"/>
          <w:sz w:val="20"/>
          <w:szCs w:val="20"/>
          <w:lang w:eastAsia="sl-SI"/>
        </w:rPr>
        <w:t>lijona</w:t>
      </w:r>
      <w:r w:rsidRPr="00D83239">
        <w:rPr>
          <w:rFonts w:ascii="Arial" w:hAnsi="Arial" w:cs="Arial"/>
          <w:sz w:val="20"/>
          <w:szCs w:val="20"/>
          <w:lang w:eastAsia="sl-SI"/>
        </w:rPr>
        <w:t xml:space="preserve"> </w:t>
      </w:r>
      <w:r w:rsidR="00E85C13">
        <w:rPr>
          <w:rFonts w:ascii="Arial" w:hAnsi="Arial" w:cs="Arial"/>
          <w:sz w:val="20"/>
          <w:szCs w:val="20"/>
          <w:lang w:eastAsia="sl-SI"/>
        </w:rPr>
        <w:t>evrov</w:t>
      </w:r>
      <w:r w:rsidRPr="00D83239">
        <w:rPr>
          <w:rFonts w:ascii="Arial" w:hAnsi="Arial" w:cs="Arial"/>
          <w:sz w:val="20"/>
          <w:szCs w:val="20"/>
          <w:lang w:eastAsia="sl-SI"/>
        </w:rPr>
        <w:t xml:space="preserve">. Sklenjen je bil okvirni sporazum za obdobje 4 let za nabavo zaščitnih telovnikov in majic z balistično in </w:t>
      </w:r>
      <w:proofErr w:type="spellStart"/>
      <w:r w:rsidRPr="00D83239">
        <w:rPr>
          <w:rFonts w:ascii="Arial" w:hAnsi="Arial" w:cs="Arial"/>
          <w:sz w:val="20"/>
          <w:szCs w:val="20"/>
          <w:lang w:eastAsia="sl-SI"/>
        </w:rPr>
        <w:t>protivrezno</w:t>
      </w:r>
      <w:proofErr w:type="spellEnd"/>
      <w:r w:rsidRPr="00D83239">
        <w:rPr>
          <w:rFonts w:ascii="Arial" w:hAnsi="Arial" w:cs="Arial"/>
          <w:sz w:val="20"/>
          <w:szCs w:val="20"/>
          <w:lang w:eastAsia="sl-SI"/>
        </w:rPr>
        <w:t xml:space="preserve"> ter </w:t>
      </w:r>
      <w:proofErr w:type="spellStart"/>
      <w:r w:rsidRPr="00D83239">
        <w:rPr>
          <w:rFonts w:ascii="Arial" w:hAnsi="Arial" w:cs="Arial"/>
          <w:sz w:val="20"/>
          <w:szCs w:val="20"/>
          <w:lang w:eastAsia="sl-SI"/>
        </w:rPr>
        <w:t>protivbodno</w:t>
      </w:r>
      <w:proofErr w:type="spellEnd"/>
      <w:r w:rsidRPr="00D83239">
        <w:rPr>
          <w:rFonts w:ascii="Arial" w:hAnsi="Arial" w:cs="Arial"/>
          <w:sz w:val="20"/>
          <w:szCs w:val="20"/>
          <w:lang w:eastAsia="sl-SI"/>
        </w:rPr>
        <w:t xml:space="preserve"> zaščito ter opravljeni 2 naročili. P</w:t>
      </w:r>
      <w:r w:rsidR="002F1AC9">
        <w:rPr>
          <w:rFonts w:ascii="Arial" w:hAnsi="Arial" w:cs="Arial"/>
          <w:sz w:val="20"/>
          <w:szCs w:val="20"/>
          <w:lang w:eastAsia="sl-SI"/>
        </w:rPr>
        <w:t>oleg tega</w:t>
      </w:r>
      <w:r w:rsidRPr="00D83239">
        <w:rPr>
          <w:rFonts w:ascii="Arial" w:hAnsi="Arial" w:cs="Arial"/>
          <w:sz w:val="20"/>
          <w:szCs w:val="20"/>
          <w:lang w:eastAsia="sl-SI"/>
        </w:rPr>
        <w:t xml:space="preserve"> je bil</w:t>
      </w:r>
      <w:r w:rsidR="002F1AC9">
        <w:rPr>
          <w:rFonts w:ascii="Arial" w:hAnsi="Arial" w:cs="Arial"/>
          <w:sz w:val="20"/>
          <w:szCs w:val="20"/>
          <w:lang w:eastAsia="sl-SI"/>
        </w:rPr>
        <w:t>a</w:t>
      </w:r>
      <w:r w:rsidRPr="00D83239">
        <w:rPr>
          <w:rFonts w:ascii="Arial" w:hAnsi="Arial" w:cs="Arial"/>
          <w:sz w:val="20"/>
          <w:szCs w:val="20"/>
          <w:lang w:eastAsia="sl-SI"/>
        </w:rPr>
        <w:t xml:space="preserve"> za potrebe različnih enot nabavljena večja količina aktivnih glušnikov, balističnih plošč, JRM in balističnih ščitov, balističnih jopičev ter več vrst balističnih čelad. Izveden je bil tudi odpoklic zaščitnih filtrov za </w:t>
      </w:r>
      <w:proofErr w:type="spellStart"/>
      <w:r w:rsidRPr="00D83239">
        <w:rPr>
          <w:rFonts w:ascii="Arial" w:hAnsi="Arial" w:cs="Arial"/>
          <w:sz w:val="20"/>
          <w:szCs w:val="20"/>
          <w:lang w:eastAsia="sl-SI"/>
        </w:rPr>
        <w:t>celoobrazne</w:t>
      </w:r>
      <w:proofErr w:type="spellEnd"/>
      <w:r w:rsidRPr="00D83239">
        <w:rPr>
          <w:rFonts w:ascii="Arial" w:hAnsi="Arial" w:cs="Arial"/>
          <w:sz w:val="20"/>
          <w:szCs w:val="20"/>
          <w:lang w:eastAsia="sl-SI"/>
        </w:rPr>
        <w:t xml:space="preserve"> zaščitne maske po sklenjenem okvirnem sporazumu.</w:t>
      </w:r>
      <w:r w:rsidRPr="00D83239" w:rsidDel="00B21D5B">
        <w:rPr>
          <w:rFonts w:ascii="Arial" w:hAnsi="Arial" w:cs="Arial"/>
          <w:sz w:val="20"/>
          <w:szCs w:val="20"/>
        </w:rPr>
        <w:t xml:space="preserve"> </w:t>
      </w:r>
    </w:p>
    <w:p w14:paraId="4D434869" w14:textId="77777777" w:rsidR="003B7D14" w:rsidRDefault="003B7D14" w:rsidP="00D83239">
      <w:pPr>
        <w:spacing w:after="0" w:line="276" w:lineRule="auto"/>
        <w:jc w:val="both"/>
        <w:rPr>
          <w:rFonts w:ascii="Arial" w:hAnsi="Arial" w:cs="Arial"/>
          <w:b/>
          <w:sz w:val="20"/>
          <w:szCs w:val="20"/>
          <w:lang w:eastAsia="sl-SI"/>
        </w:rPr>
      </w:pPr>
    </w:p>
    <w:p w14:paraId="35320605" w14:textId="2D55BD13"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lang w:eastAsia="sl-SI"/>
        </w:rPr>
        <w:t>Posebna tehnična sredstva</w:t>
      </w:r>
    </w:p>
    <w:p w14:paraId="5B1DAE41" w14:textId="136F2410" w:rsidR="00EC5EA9" w:rsidRDefault="00EC5EA9" w:rsidP="00D83239">
      <w:pPr>
        <w:spacing w:after="0" w:line="276" w:lineRule="auto"/>
        <w:jc w:val="both"/>
        <w:rPr>
          <w:rFonts w:ascii="Arial" w:hAnsi="Arial" w:cs="Arial"/>
          <w:sz w:val="20"/>
          <w:szCs w:val="20"/>
        </w:rPr>
      </w:pPr>
      <w:r w:rsidRPr="00D83239">
        <w:rPr>
          <w:rFonts w:ascii="Arial" w:hAnsi="Arial" w:cs="Arial"/>
          <w:sz w:val="20"/>
          <w:szCs w:val="20"/>
        </w:rPr>
        <w:t>Za nabavo posebnih tehničnih sredstev so bila v letu 2025 načrtov</w:t>
      </w:r>
      <w:r w:rsidR="003B7D14">
        <w:rPr>
          <w:rFonts w:ascii="Arial" w:hAnsi="Arial" w:cs="Arial"/>
          <w:sz w:val="20"/>
          <w:szCs w:val="20"/>
        </w:rPr>
        <w:t>ana sredstva v višini 800.000</w:t>
      </w:r>
      <w:r w:rsidR="005C6850">
        <w:rPr>
          <w:rFonts w:ascii="Arial" w:hAnsi="Arial" w:cs="Arial"/>
          <w:sz w:val="20"/>
          <w:szCs w:val="20"/>
        </w:rPr>
        <w:t> </w:t>
      </w:r>
      <w:r w:rsidR="00E85C13">
        <w:rPr>
          <w:rFonts w:ascii="Arial" w:hAnsi="Arial" w:cs="Arial"/>
          <w:sz w:val="20"/>
          <w:szCs w:val="20"/>
        </w:rPr>
        <w:t>evr</w:t>
      </w:r>
      <w:r w:rsidR="003B7D14">
        <w:rPr>
          <w:rFonts w:ascii="Arial" w:hAnsi="Arial" w:cs="Arial"/>
          <w:sz w:val="20"/>
          <w:szCs w:val="20"/>
        </w:rPr>
        <w:t>ov</w:t>
      </w:r>
      <w:r w:rsidRPr="00D83239">
        <w:rPr>
          <w:rFonts w:ascii="Arial" w:hAnsi="Arial" w:cs="Arial"/>
          <w:sz w:val="20"/>
          <w:szCs w:val="20"/>
        </w:rPr>
        <w:t>, iz katerih se je financiral nakup različne opreme, kot je oprema za varno vadbo in delo službenih živali, oprema za opazovanje in dokumentiranje postopkov, kot so zmogljivi fotoaparati, teleobjektiv, videokamere, daljnogledi ter večje število taktičnih nahrbtnikov za različne enote Policije.</w:t>
      </w:r>
    </w:p>
    <w:p w14:paraId="0AA37B08" w14:textId="77777777" w:rsidR="00E85C13" w:rsidRPr="00D83239" w:rsidRDefault="00E85C13" w:rsidP="00D83239">
      <w:pPr>
        <w:spacing w:after="0" w:line="276" w:lineRule="auto"/>
        <w:jc w:val="both"/>
        <w:rPr>
          <w:rFonts w:ascii="Arial" w:hAnsi="Arial" w:cs="Arial"/>
          <w:sz w:val="20"/>
          <w:szCs w:val="20"/>
        </w:rPr>
      </w:pPr>
    </w:p>
    <w:p w14:paraId="1CB2D58C" w14:textId="06B4FDC7" w:rsidR="00EC5EA9" w:rsidRPr="00D83239" w:rsidRDefault="00EC5EA9" w:rsidP="00D83239">
      <w:pPr>
        <w:spacing w:after="0" w:line="276" w:lineRule="auto"/>
        <w:jc w:val="both"/>
        <w:rPr>
          <w:rFonts w:ascii="Arial" w:hAnsi="Arial" w:cs="Arial"/>
          <w:b/>
          <w:sz w:val="20"/>
          <w:szCs w:val="20"/>
          <w:lang w:eastAsia="sl-SI"/>
        </w:rPr>
      </w:pPr>
      <w:r w:rsidRPr="00D83239">
        <w:rPr>
          <w:rFonts w:ascii="Arial" w:hAnsi="Arial" w:cs="Arial"/>
          <w:sz w:val="20"/>
          <w:szCs w:val="20"/>
        </w:rPr>
        <w:t xml:space="preserve">Sredstva so bila porabljena tudi za dopolnitev in zamenjavo dotrajane in iztrošene alpinistično-jamarske opreme, </w:t>
      </w:r>
      <w:proofErr w:type="spellStart"/>
      <w:r w:rsidRPr="00D83239">
        <w:rPr>
          <w:rFonts w:ascii="Arial" w:hAnsi="Arial" w:cs="Arial"/>
          <w:sz w:val="20"/>
          <w:szCs w:val="20"/>
        </w:rPr>
        <w:t>turnosmučarske</w:t>
      </w:r>
      <w:proofErr w:type="spellEnd"/>
      <w:r w:rsidRPr="00D83239">
        <w:rPr>
          <w:rFonts w:ascii="Arial" w:hAnsi="Arial" w:cs="Arial"/>
          <w:sz w:val="20"/>
          <w:szCs w:val="20"/>
        </w:rPr>
        <w:t xml:space="preserve"> in potapljaške opreme ter opreme </w:t>
      </w:r>
      <w:r w:rsidR="00090D24" w:rsidRPr="00D83239">
        <w:rPr>
          <w:rFonts w:ascii="Arial" w:hAnsi="Arial" w:cs="Arial"/>
          <w:sz w:val="20"/>
          <w:szCs w:val="20"/>
        </w:rPr>
        <w:t xml:space="preserve">HESLO </w:t>
      </w:r>
      <w:r w:rsidRPr="00D83239">
        <w:rPr>
          <w:rFonts w:ascii="Arial" w:hAnsi="Arial" w:cs="Arial"/>
          <w:sz w:val="20"/>
          <w:szCs w:val="20"/>
        </w:rPr>
        <w:t>za letalsko enoto Policije. Kupljene so bile nove kovinske tarče za izvajanje usposabljanj v vadbenem centru Gotenica, daljinomeri, termovizijske naprave z nastavki, naprave za taktično osvetlitev ter večje število večnamenskega orodja za popolnitev potreb Specialne enote GPU.</w:t>
      </w:r>
    </w:p>
    <w:p w14:paraId="13B71ED9" w14:textId="77777777" w:rsidR="00EC5EA9" w:rsidRPr="00D83239" w:rsidRDefault="00EC5EA9" w:rsidP="00D83239">
      <w:pPr>
        <w:spacing w:after="0" w:line="276" w:lineRule="auto"/>
        <w:jc w:val="both"/>
        <w:rPr>
          <w:rFonts w:ascii="Arial" w:hAnsi="Arial" w:cs="Arial"/>
          <w:b/>
          <w:sz w:val="20"/>
          <w:szCs w:val="20"/>
          <w:lang w:eastAsia="sl-SI"/>
        </w:rPr>
      </w:pPr>
    </w:p>
    <w:p w14:paraId="73272D24" w14:textId="77777777"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lang w:eastAsia="sl-SI"/>
        </w:rPr>
        <w:t>Zavarovanja</w:t>
      </w:r>
    </w:p>
    <w:p w14:paraId="40FBB4C4" w14:textId="2A780648" w:rsidR="00EC5EA9" w:rsidRDefault="00EC5EA9" w:rsidP="00D83239">
      <w:pPr>
        <w:spacing w:after="0" w:line="276" w:lineRule="auto"/>
        <w:jc w:val="both"/>
        <w:rPr>
          <w:rFonts w:ascii="Arial" w:hAnsi="Arial" w:cs="Arial"/>
          <w:sz w:val="20"/>
          <w:szCs w:val="20"/>
        </w:rPr>
      </w:pPr>
      <w:r w:rsidRPr="00D83239">
        <w:rPr>
          <w:rFonts w:ascii="Arial" w:hAnsi="Arial" w:cs="Arial"/>
          <w:sz w:val="20"/>
          <w:szCs w:val="20"/>
        </w:rPr>
        <w:t>V letu 2024 je bilo izvedeno javno naro</w:t>
      </w:r>
      <w:r w:rsidR="000D05FC">
        <w:rPr>
          <w:rFonts w:ascii="Arial" w:hAnsi="Arial" w:cs="Arial"/>
          <w:sz w:val="20"/>
          <w:szCs w:val="20"/>
        </w:rPr>
        <w:t xml:space="preserve">čilo in na podlagi tega </w:t>
      </w:r>
      <w:r w:rsidR="00400D23">
        <w:rPr>
          <w:rFonts w:ascii="Arial" w:hAnsi="Arial" w:cs="Arial"/>
          <w:sz w:val="20"/>
          <w:szCs w:val="20"/>
        </w:rPr>
        <w:t xml:space="preserve">so bile </w:t>
      </w:r>
      <w:r w:rsidRPr="00D83239">
        <w:rPr>
          <w:rFonts w:ascii="Arial" w:hAnsi="Arial" w:cs="Arial"/>
          <w:sz w:val="20"/>
          <w:szCs w:val="20"/>
        </w:rPr>
        <w:t>sklenjene pogodbe o zavarovanju za obdobje dveh let z možnostjo podaljšanja za 12 mesecev za nezgodno zavarovanje policistov in drugih uslužbencev policije (povišale so se zavarovalne vsote), zavarovanje službenih živali, zavarovanje brezpilotnih letalnih naprav in zavarovanje vodnih plovil. Na podlagi izvedenega javnega naročila je bilo sklenjeno tudi zavarovanje helikopterjev za obdobje enega leta – do 30. 9. 2025. Za tri nove helikopterje je poleg obveznega sklenjeno tudi kasko zavarovanje.</w:t>
      </w:r>
    </w:p>
    <w:p w14:paraId="13529241" w14:textId="450AFBDE" w:rsidR="00EC5EA9" w:rsidRPr="00D83239" w:rsidRDefault="00EC5EA9" w:rsidP="00D83239">
      <w:pPr>
        <w:spacing w:after="0" w:line="276" w:lineRule="auto"/>
        <w:jc w:val="both"/>
        <w:rPr>
          <w:rFonts w:ascii="Arial" w:hAnsi="Arial" w:cs="Arial"/>
          <w:sz w:val="20"/>
          <w:szCs w:val="20"/>
        </w:rPr>
      </w:pPr>
      <w:r w:rsidRPr="00D83239">
        <w:rPr>
          <w:rFonts w:ascii="Arial" w:hAnsi="Arial" w:cs="Arial"/>
          <w:sz w:val="20"/>
          <w:szCs w:val="20"/>
        </w:rPr>
        <w:t>Poleg navedenih zavarovanj se je v preteklem letu urejalo tudi nezgodno zavarovanje za uslužbence policije v Ukrajini, ki tam delujejo kot varnostniki varovanih oseb ali so na misiji, in na drugih območjih večjih tveganj (npr. Izrael). Ta območja so obravnavana kot vojna območja, zato so premije za nezgodno zavarovanje bistveno višje kot običajne, kritje pa se lahko pridobi le na svetovnem zavarovalnem trgu. Prijave škodnih primerov na pogodbene zavarovalnice so bile vložene tekoče, v skladu z obvestili in dokumentacijo o nastali škodi.</w:t>
      </w:r>
    </w:p>
    <w:p w14:paraId="5A9EC79E" w14:textId="3F78FC07" w:rsidR="00EC5EA9" w:rsidRPr="00D83239" w:rsidRDefault="00EC5EA9" w:rsidP="00D83239">
      <w:pPr>
        <w:spacing w:after="0" w:line="276" w:lineRule="auto"/>
        <w:jc w:val="both"/>
        <w:rPr>
          <w:rFonts w:ascii="Arial" w:hAnsi="Arial" w:cs="Arial"/>
          <w:b/>
          <w:sz w:val="20"/>
          <w:szCs w:val="20"/>
        </w:rPr>
      </w:pPr>
    </w:p>
    <w:p w14:paraId="185CCC8C" w14:textId="77777777" w:rsidR="00EC5EA9" w:rsidRPr="00D83239" w:rsidRDefault="00EC5EA9" w:rsidP="00D83239">
      <w:pPr>
        <w:spacing w:after="0" w:line="276" w:lineRule="auto"/>
        <w:jc w:val="both"/>
        <w:rPr>
          <w:rFonts w:ascii="Arial" w:hAnsi="Arial" w:cs="Arial"/>
          <w:b/>
          <w:sz w:val="20"/>
          <w:szCs w:val="20"/>
        </w:rPr>
      </w:pPr>
      <w:bookmarkStart w:id="122" w:name="_Hlk221715271"/>
      <w:r w:rsidRPr="00D83239">
        <w:rPr>
          <w:rFonts w:ascii="Arial" w:hAnsi="Arial" w:cs="Arial"/>
          <w:b/>
          <w:sz w:val="20"/>
          <w:szCs w:val="20"/>
        </w:rPr>
        <w:t>Logistični center</w:t>
      </w:r>
    </w:p>
    <w:p w14:paraId="4D883814" w14:textId="4002F54D" w:rsidR="00EC5EA9" w:rsidRPr="00FA513C" w:rsidRDefault="00EC5EA9" w:rsidP="00FA513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D83239">
        <w:rPr>
          <w:rFonts w:ascii="Arial" w:hAnsi="Arial" w:cs="Arial"/>
          <w:bCs/>
          <w:sz w:val="20"/>
          <w:szCs w:val="20"/>
        </w:rPr>
        <w:t>MNZ je v letu 2024 zagotovilo dodatne prostore v obliki kratkotrajnega najema za obdobje 24 mesecev. Problematika logističnega centra ostaja nerešena in bo zahtevala poglobljeno obravnavo v prihodnjem obdobju.</w:t>
      </w:r>
    </w:p>
    <w:p w14:paraId="4341EDB6" w14:textId="77777777" w:rsidR="00D83239" w:rsidRDefault="00D83239" w:rsidP="00D83239">
      <w:pPr>
        <w:spacing w:after="0" w:line="276" w:lineRule="auto"/>
        <w:jc w:val="both"/>
        <w:rPr>
          <w:rFonts w:ascii="Arial" w:hAnsi="Arial" w:cs="Arial"/>
          <w:b/>
          <w:sz w:val="20"/>
          <w:szCs w:val="20"/>
        </w:rPr>
      </w:pPr>
    </w:p>
    <w:p w14:paraId="7DDC2F61" w14:textId="2478A440"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rPr>
        <w:t>Službena stanovanja</w:t>
      </w:r>
    </w:p>
    <w:p w14:paraId="23FFD54F" w14:textId="3C70AE1F" w:rsidR="00EC5EA9" w:rsidRPr="00FA513C" w:rsidRDefault="00EC5EA9" w:rsidP="00FA513C">
      <w:pPr>
        <w:spacing w:after="0" w:line="276" w:lineRule="auto"/>
        <w:jc w:val="both"/>
        <w:rPr>
          <w:rFonts w:ascii="Arial" w:hAnsi="Arial" w:cs="Arial"/>
          <w:sz w:val="20"/>
          <w:szCs w:val="20"/>
        </w:rPr>
      </w:pPr>
      <w:r w:rsidRPr="00D83239">
        <w:rPr>
          <w:rFonts w:ascii="Arial" w:hAnsi="Arial" w:cs="Arial"/>
          <w:sz w:val="20"/>
          <w:szCs w:val="20"/>
        </w:rPr>
        <w:t xml:space="preserve">V letu 2025 je </w:t>
      </w:r>
      <w:r w:rsidR="005D2EB5">
        <w:rPr>
          <w:rFonts w:ascii="Arial" w:hAnsi="Arial" w:cs="Arial"/>
          <w:sz w:val="20"/>
          <w:szCs w:val="20"/>
        </w:rPr>
        <w:t>d</w:t>
      </w:r>
      <w:r w:rsidRPr="00D83239">
        <w:rPr>
          <w:rFonts w:ascii="Arial" w:hAnsi="Arial" w:cs="Arial"/>
          <w:sz w:val="20"/>
          <w:szCs w:val="20"/>
        </w:rPr>
        <w:t xml:space="preserve">elovna skupina vlade za zagotavljanje zemljišč za gradnjo javnih najemnih stanovanj in službenih stanovanj </w:t>
      </w:r>
      <w:r w:rsidR="00400D23">
        <w:rPr>
          <w:rFonts w:ascii="Arial" w:hAnsi="Arial" w:cs="Arial"/>
          <w:sz w:val="20"/>
          <w:szCs w:val="20"/>
        </w:rPr>
        <w:t>končala</w:t>
      </w:r>
      <w:r w:rsidRPr="00D83239">
        <w:rPr>
          <w:rFonts w:ascii="Arial" w:hAnsi="Arial" w:cs="Arial"/>
          <w:sz w:val="20"/>
          <w:szCs w:val="20"/>
        </w:rPr>
        <w:t xml:space="preserve"> delo z ugotovit</w:t>
      </w:r>
      <w:r w:rsidR="00C87C03">
        <w:rPr>
          <w:rFonts w:ascii="Arial" w:hAnsi="Arial" w:cs="Arial"/>
          <w:sz w:val="20"/>
          <w:szCs w:val="20"/>
        </w:rPr>
        <w:t>v</w:t>
      </w:r>
      <w:r w:rsidR="009D5FC4">
        <w:rPr>
          <w:rFonts w:ascii="Arial" w:hAnsi="Arial" w:cs="Arial"/>
          <w:sz w:val="20"/>
          <w:szCs w:val="20"/>
        </w:rPr>
        <w:t>ijo</w:t>
      </w:r>
      <w:r w:rsidRPr="00D83239">
        <w:rPr>
          <w:rFonts w:ascii="Arial" w:hAnsi="Arial" w:cs="Arial"/>
          <w:sz w:val="20"/>
          <w:szCs w:val="20"/>
        </w:rPr>
        <w:t>, da ni mo</w:t>
      </w:r>
      <w:r w:rsidR="00400D23">
        <w:rPr>
          <w:rFonts w:ascii="Arial" w:hAnsi="Arial" w:cs="Arial"/>
          <w:sz w:val="20"/>
          <w:szCs w:val="20"/>
        </w:rPr>
        <w:t>goče</w:t>
      </w:r>
      <w:r w:rsidRPr="00D83239">
        <w:rPr>
          <w:rFonts w:ascii="Arial" w:hAnsi="Arial" w:cs="Arial"/>
          <w:sz w:val="20"/>
          <w:szCs w:val="20"/>
        </w:rPr>
        <w:t xml:space="preserve"> </w:t>
      </w:r>
      <w:proofErr w:type="spellStart"/>
      <w:r w:rsidRPr="00D83239">
        <w:rPr>
          <w:rFonts w:ascii="Arial" w:hAnsi="Arial" w:cs="Arial"/>
          <w:sz w:val="20"/>
          <w:szCs w:val="20"/>
        </w:rPr>
        <w:t>detektirati</w:t>
      </w:r>
      <w:proofErr w:type="spellEnd"/>
      <w:r w:rsidRPr="00D83239">
        <w:rPr>
          <w:rFonts w:ascii="Arial" w:hAnsi="Arial" w:cs="Arial"/>
          <w:sz w:val="20"/>
          <w:szCs w:val="20"/>
        </w:rPr>
        <w:t xml:space="preserve"> primernih zemljišč, ki bi jih bilo mogoče aktivirati na kratek rok, hkrati pa delovna skupina ni dosegla soglasja glede načina izvedbe projekta. Glede na navedeno se je v letu 2025 </w:t>
      </w:r>
      <w:r w:rsidR="00C87C03">
        <w:rPr>
          <w:rFonts w:ascii="Arial" w:hAnsi="Arial" w:cs="Arial"/>
          <w:sz w:val="20"/>
          <w:szCs w:val="20"/>
        </w:rPr>
        <w:t>za</w:t>
      </w:r>
      <w:r w:rsidR="00400D23">
        <w:rPr>
          <w:rFonts w:ascii="Arial" w:hAnsi="Arial" w:cs="Arial"/>
          <w:sz w:val="20"/>
          <w:szCs w:val="20"/>
        </w:rPr>
        <w:t>če</w:t>
      </w:r>
      <w:r w:rsidR="00C87C03">
        <w:rPr>
          <w:rFonts w:ascii="Arial" w:hAnsi="Arial" w:cs="Arial"/>
          <w:sz w:val="20"/>
          <w:szCs w:val="20"/>
        </w:rPr>
        <w:t>l</w:t>
      </w:r>
      <w:r w:rsidR="00400D23">
        <w:rPr>
          <w:rFonts w:ascii="Arial" w:hAnsi="Arial" w:cs="Arial"/>
          <w:sz w:val="20"/>
          <w:szCs w:val="20"/>
        </w:rPr>
        <w:t>a</w:t>
      </w:r>
      <w:r w:rsidRPr="00D83239">
        <w:rPr>
          <w:rFonts w:ascii="Arial" w:hAnsi="Arial" w:cs="Arial"/>
          <w:sz w:val="20"/>
          <w:szCs w:val="20"/>
        </w:rPr>
        <w:t xml:space="preserve"> priprav</w:t>
      </w:r>
      <w:r w:rsidR="00400D23">
        <w:rPr>
          <w:rFonts w:ascii="Arial" w:hAnsi="Arial" w:cs="Arial"/>
          <w:sz w:val="20"/>
          <w:szCs w:val="20"/>
        </w:rPr>
        <w:t>a</w:t>
      </w:r>
      <w:r w:rsidRPr="00D83239">
        <w:rPr>
          <w:rFonts w:ascii="Arial" w:hAnsi="Arial" w:cs="Arial"/>
          <w:sz w:val="20"/>
          <w:szCs w:val="20"/>
        </w:rPr>
        <w:t xml:space="preserve"> idejne zasnove za investicijsko obnovo samskih sob ter rekonstrukcijo dela obstoječega objekta na Jeranovi</w:t>
      </w:r>
      <w:r w:rsidR="00FD61C7">
        <w:rPr>
          <w:rFonts w:ascii="Arial" w:hAnsi="Arial" w:cs="Arial"/>
          <w:sz w:val="20"/>
          <w:szCs w:val="20"/>
        </w:rPr>
        <w:t xml:space="preserve"> ulici</w:t>
      </w:r>
      <w:r w:rsidRPr="00D83239">
        <w:rPr>
          <w:rFonts w:ascii="Arial" w:hAnsi="Arial" w:cs="Arial"/>
          <w:sz w:val="20"/>
          <w:szCs w:val="20"/>
        </w:rPr>
        <w:t xml:space="preserve"> 14, Ljubljana (</w:t>
      </w:r>
      <w:r w:rsidR="00400D23">
        <w:rPr>
          <w:rFonts w:ascii="Arial" w:hAnsi="Arial" w:cs="Arial"/>
          <w:sz w:val="20"/>
          <w:szCs w:val="20"/>
        </w:rPr>
        <w:t>s</w:t>
      </w:r>
      <w:r w:rsidRPr="00D83239">
        <w:rPr>
          <w:rFonts w:ascii="Arial" w:hAnsi="Arial" w:cs="Arial"/>
          <w:sz w:val="20"/>
          <w:szCs w:val="20"/>
        </w:rPr>
        <w:t>amski dom)</w:t>
      </w:r>
      <w:r w:rsidR="00400D23">
        <w:rPr>
          <w:rFonts w:ascii="Arial" w:hAnsi="Arial" w:cs="Arial"/>
          <w:sz w:val="20"/>
          <w:szCs w:val="20"/>
        </w:rPr>
        <w:t>,</w:t>
      </w:r>
      <w:r w:rsidRPr="00D83239">
        <w:rPr>
          <w:rFonts w:ascii="Arial" w:hAnsi="Arial" w:cs="Arial"/>
          <w:sz w:val="20"/>
          <w:szCs w:val="20"/>
        </w:rPr>
        <w:t xml:space="preserve"> za potrebe zagotovitve službenih stanovanj v Ljubljani, kjer je povpraševanje največje.</w:t>
      </w:r>
      <w:bookmarkEnd w:id="122"/>
    </w:p>
    <w:p w14:paraId="5EBF8BE8" w14:textId="77777777" w:rsidR="00BA1F48" w:rsidRPr="00D83239" w:rsidRDefault="00BA1F48" w:rsidP="00D83239">
      <w:pPr>
        <w:spacing w:after="0" w:line="276" w:lineRule="auto"/>
        <w:jc w:val="both"/>
        <w:rPr>
          <w:rFonts w:ascii="Arial" w:hAnsi="Arial" w:cs="Arial"/>
          <w:sz w:val="20"/>
          <w:szCs w:val="20"/>
        </w:rPr>
      </w:pPr>
    </w:p>
    <w:p w14:paraId="424BE3AC" w14:textId="226B81C9" w:rsidR="00310F1D" w:rsidRPr="00D83239" w:rsidRDefault="003E68AE" w:rsidP="00D83239">
      <w:pPr>
        <w:pStyle w:val="Naslov1"/>
        <w:spacing w:after="0" w:line="276" w:lineRule="auto"/>
        <w:jc w:val="both"/>
        <w:rPr>
          <w:rStyle w:val="Krepko"/>
          <w:b/>
          <w:bCs w:val="0"/>
          <w:color w:val="auto"/>
        </w:rPr>
      </w:pPr>
      <w:bookmarkStart w:id="123" w:name="_Toc225499844"/>
      <w:r w:rsidRPr="00D83239">
        <w:rPr>
          <w:rStyle w:val="Krepko"/>
          <w:b/>
          <w:bCs w:val="0"/>
          <w:color w:val="auto"/>
        </w:rPr>
        <w:t>Podatki o proračunu Ministrstva za notranje zadeve</w:t>
      </w:r>
      <w:r w:rsidR="00FA76F8" w:rsidRPr="00D83239">
        <w:rPr>
          <w:rStyle w:val="Krepko"/>
          <w:b/>
          <w:bCs w:val="0"/>
          <w:color w:val="auto"/>
        </w:rPr>
        <w:t xml:space="preserve">, kadrovski podatki, pravne zadeve in druge </w:t>
      </w:r>
      <w:r w:rsidR="00896369" w:rsidRPr="00D83239">
        <w:rPr>
          <w:rStyle w:val="Krepko"/>
          <w:b/>
          <w:bCs w:val="0"/>
          <w:color w:val="auto"/>
        </w:rPr>
        <w:t>dejavnosti</w:t>
      </w:r>
      <w:bookmarkEnd w:id="123"/>
    </w:p>
    <w:p w14:paraId="1B02A581" w14:textId="77777777" w:rsidR="00BA1F48" w:rsidRPr="00D83239" w:rsidRDefault="00BA1F48" w:rsidP="00D83239">
      <w:pPr>
        <w:spacing w:after="0" w:line="276" w:lineRule="auto"/>
        <w:jc w:val="both"/>
        <w:rPr>
          <w:rFonts w:ascii="Arial" w:hAnsi="Arial" w:cs="Arial"/>
          <w:sz w:val="20"/>
          <w:szCs w:val="20"/>
        </w:rPr>
      </w:pPr>
    </w:p>
    <w:p w14:paraId="117DFEDA" w14:textId="77777777" w:rsidR="00C26E08" w:rsidRPr="00D83239" w:rsidRDefault="00C26E08" w:rsidP="00D83239">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lang w:eastAsia="sl-SI"/>
        </w:rPr>
      </w:pPr>
      <w:bookmarkStart w:id="124" w:name="_Toc126820175"/>
      <w:bookmarkStart w:id="125" w:name="_Toc126820280"/>
      <w:bookmarkStart w:id="126" w:name="_Toc126820317"/>
      <w:bookmarkStart w:id="127" w:name="_Toc126821510"/>
      <w:bookmarkStart w:id="128" w:name="_Toc160704630"/>
      <w:bookmarkStart w:id="129" w:name="_Toc161053810"/>
      <w:bookmarkStart w:id="130" w:name="_Toc161053854"/>
      <w:bookmarkStart w:id="131" w:name="_Toc163819695"/>
      <w:bookmarkStart w:id="132" w:name="_Toc164169679"/>
      <w:bookmarkStart w:id="133" w:name="_Toc164169735"/>
      <w:bookmarkStart w:id="134" w:name="_Toc164169779"/>
      <w:bookmarkStart w:id="135" w:name="_Toc164169969"/>
      <w:bookmarkStart w:id="136" w:name="_Toc164171634"/>
      <w:bookmarkStart w:id="137" w:name="_Toc164171746"/>
      <w:bookmarkStart w:id="138" w:name="_Toc193199783"/>
      <w:bookmarkStart w:id="139" w:name="_Toc195707075"/>
      <w:bookmarkStart w:id="140" w:name="_Toc203552479"/>
      <w:bookmarkStart w:id="141" w:name="_Toc203552678"/>
      <w:bookmarkStart w:id="142" w:name="_Toc203552815"/>
      <w:bookmarkStart w:id="143" w:name="_Toc203552998"/>
      <w:bookmarkStart w:id="144" w:name="_Toc222735968"/>
      <w:bookmarkStart w:id="145" w:name="_Toc222736019"/>
      <w:bookmarkStart w:id="146" w:name="_Toc222742115"/>
      <w:bookmarkStart w:id="147" w:name="_Toc224897159"/>
      <w:bookmarkStart w:id="148" w:name="_Toc225499845"/>
      <w:bookmarkEnd w:id="120"/>
      <w:bookmarkEnd w:id="12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7D779DD" w14:textId="77777777" w:rsidR="00C26E08" w:rsidRPr="00D83239" w:rsidRDefault="00C26E08" w:rsidP="00D83239">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lang w:eastAsia="sl-SI"/>
        </w:rPr>
      </w:pPr>
      <w:bookmarkStart w:id="149" w:name="_Toc126821511"/>
      <w:bookmarkStart w:id="150" w:name="_Toc160704631"/>
      <w:bookmarkStart w:id="151" w:name="_Toc161053811"/>
      <w:bookmarkStart w:id="152" w:name="_Toc161053855"/>
      <w:bookmarkStart w:id="153" w:name="_Toc163819696"/>
      <w:bookmarkStart w:id="154" w:name="_Toc164169680"/>
      <w:bookmarkStart w:id="155" w:name="_Toc164169736"/>
      <w:bookmarkStart w:id="156" w:name="_Toc164169780"/>
      <w:bookmarkStart w:id="157" w:name="_Toc164169970"/>
      <w:bookmarkStart w:id="158" w:name="_Toc164171635"/>
      <w:bookmarkStart w:id="159" w:name="_Toc164171747"/>
      <w:bookmarkStart w:id="160" w:name="_Toc193199784"/>
      <w:bookmarkStart w:id="161" w:name="_Toc195707076"/>
      <w:bookmarkStart w:id="162" w:name="_Toc203552480"/>
      <w:bookmarkStart w:id="163" w:name="_Toc203552679"/>
      <w:bookmarkStart w:id="164" w:name="_Toc203552816"/>
      <w:bookmarkStart w:id="165" w:name="_Toc203552999"/>
      <w:bookmarkStart w:id="166" w:name="_Toc222735969"/>
      <w:bookmarkStart w:id="167" w:name="_Toc222736020"/>
      <w:bookmarkStart w:id="168" w:name="_Toc222742116"/>
      <w:bookmarkStart w:id="169" w:name="_Toc224897160"/>
      <w:bookmarkStart w:id="170" w:name="_Toc225499846"/>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33F9D8B" w14:textId="77777777" w:rsidR="00C26E08" w:rsidRPr="00D83239" w:rsidRDefault="00C26E08" w:rsidP="00D83239">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lang w:eastAsia="sl-SI"/>
        </w:rPr>
      </w:pPr>
      <w:bookmarkStart w:id="171" w:name="_Toc126821512"/>
      <w:bookmarkStart w:id="172" w:name="_Toc160704632"/>
      <w:bookmarkStart w:id="173" w:name="_Toc161053812"/>
      <w:bookmarkStart w:id="174" w:name="_Toc161053856"/>
      <w:bookmarkStart w:id="175" w:name="_Toc163819697"/>
      <w:bookmarkStart w:id="176" w:name="_Toc164169681"/>
      <w:bookmarkStart w:id="177" w:name="_Toc164169737"/>
      <w:bookmarkStart w:id="178" w:name="_Toc164169781"/>
      <w:bookmarkStart w:id="179" w:name="_Toc164169971"/>
      <w:bookmarkStart w:id="180" w:name="_Toc164171636"/>
      <w:bookmarkStart w:id="181" w:name="_Toc164171748"/>
      <w:bookmarkStart w:id="182" w:name="_Toc193199785"/>
      <w:bookmarkStart w:id="183" w:name="_Toc195707077"/>
      <w:bookmarkStart w:id="184" w:name="_Toc203552481"/>
      <w:bookmarkStart w:id="185" w:name="_Toc203552680"/>
      <w:bookmarkStart w:id="186" w:name="_Toc203552817"/>
      <w:bookmarkStart w:id="187" w:name="_Toc203553000"/>
      <w:bookmarkStart w:id="188" w:name="_Toc222735970"/>
      <w:bookmarkStart w:id="189" w:name="_Toc222736021"/>
      <w:bookmarkStart w:id="190" w:name="_Toc222742117"/>
      <w:bookmarkStart w:id="191" w:name="_Toc224897161"/>
      <w:bookmarkStart w:id="192" w:name="_Toc22549984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676E0C" w14:textId="77777777" w:rsidR="00C26E08" w:rsidRPr="00D83239" w:rsidRDefault="00C26E08" w:rsidP="00D83239">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lang w:eastAsia="sl-SI"/>
        </w:rPr>
      </w:pPr>
      <w:bookmarkStart w:id="193" w:name="_Toc126821513"/>
      <w:bookmarkStart w:id="194" w:name="_Toc160704633"/>
      <w:bookmarkStart w:id="195" w:name="_Toc161053813"/>
      <w:bookmarkStart w:id="196" w:name="_Toc161053857"/>
      <w:bookmarkStart w:id="197" w:name="_Toc163819698"/>
      <w:bookmarkStart w:id="198" w:name="_Toc164169682"/>
      <w:bookmarkStart w:id="199" w:name="_Toc164169738"/>
      <w:bookmarkStart w:id="200" w:name="_Toc164169782"/>
      <w:bookmarkStart w:id="201" w:name="_Toc164169972"/>
      <w:bookmarkStart w:id="202" w:name="_Toc164171637"/>
      <w:bookmarkStart w:id="203" w:name="_Toc164171749"/>
      <w:bookmarkStart w:id="204" w:name="_Toc193199786"/>
      <w:bookmarkStart w:id="205" w:name="_Toc195707078"/>
      <w:bookmarkStart w:id="206" w:name="_Toc203552482"/>
      <w:bookmarkStart w:id="207" w:name="_Toc203552681"/>
      <w:bookmarkStart w:id="208" w:name="_Toc203552818"/>
      <w:bookmarkStart w:id="209" w:name="_Toc203553001"/>
      <w:bookmarkStart w:id="210" w:name="_Toc222735971"/>
      <w:bookmarkStart w:id="211" w:name="_Toc222736022"/>
      <w:bookmarkStart w:id="212" w:name="_Toc222742118"/>
      <w:bookmarkStart w:id="213" w:name="_Toc224897162"/>
      <w:bookmarkStart w:id="214" w:name="_Toc225499848"/>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592E0E9" w14:textId="77777777" w:rsidR="00C26E08" w:rsidRPr="00D83239" w:rsidRDefault="00C26E08" w:rsidP="00D83239">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lang w:eastAsia="sl-SI"/>
        </w:rPr>
      </w:pPr>
      <w:bookmarkStart w:id="215" w:name="_Toc126821514"/>
      <w:bookmarkStart w:id="216" w:name="_Toc160704634"/>
      <w:bookmarkStart w:id="217" w:name="_Toc161053814"/>
      <w:bookmarkStart w:id="218" w:name="_Toc161053858"/>
      <w:bookmarkStart w:id="219" w:name="_Toc163819699"/>
      <w:bookmarkStart w:id="220" w:name="_Toc164169683"/>
      <w:bookmarkStart w:id="221" w:name="_Toc164169739"/>
      <w:bookmarkStart w:id="222" w:name="_Toc164169783"/>
      <w:bookmarkStart w:id="223" w:name="_Toc164169973"/>
      <w:bookmarkStart w:id="224" w:name="_Toc164171638"/>
      <w:bookmarkStart w:id="225" w:name="_Toc164171750"/>
      <w:bookmarkStart w:id="226" w:name="_Toc193199787"/>
      <w:bookmarkStart w:id="227" w:name="_Toc195707079"/>
      <w:bookmarkStart w:id="228" w:name="_Toc203552483"/>
      <w:bookmarkStart w:id="229" w:name="_Toc203552682"/>
      <w:bookmarkStart w:id="230" w:name="_Toc203552819"/>
      <w:bookmarkStart w:id="231" w:name="_Toc203553002"/>
      <w:bookmarkStart w:id="232" w:name="_Toc222735972"/>
      <w:bookmarkStart w:id="233" w:name="_Toc222736023"/>
      <w:bookmarkStart w:id="234" w:name="_Toc222742119"/>
      <w:bookmarkStart w:id="235" w:name="_Toc224897163"/>
      <w:bookmarkStart w:id="236" w:name="_Toc225499849"/>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C2537E5" w14:textId="1F045116" w:rsidR="00696BF5" w:rsidRPr="00D83239" w:rsidRDefault="00286577" w:rsidP="00D83239">
      <w:pPr>
        <w:pStyle w:val="Naslov2"/>
        <w:spacing w:after="0" w:line="276" w:lineRule="auto"/>
        <w:jc w:val="both"/>
      </w:pPr>
      <w:bookmarkStart w:id="237" w:name="_Toc225499850"/>
      <w:r w:rsidRPr="00D83239">
        <w:t>Izvrševanje proračuna za leto</w:t>
      </w:r>
      <w:r w:rsidR="00130AE7" w:rsidRPr="00D83239">
        <w:t> </w:t>
      </w:r>
      <w:r w:rsidR="00627DFB" w:rsidRPr="00D83239">
        <w:t>202</w:t>
      </w:r>
      <w:r w:rsidR="00EC5EA9" w:rsidRPr="00D83239">
        <w:t>5</w:t>
      </w:r>
      <w:bookmarkEnd w:id="237"/>
    </w:p>
    <w:p w14:paraId="1BBF753E" w14:textId="77777777" w:rsidR="00696BF5" w:rsidRPr="00D83239" w:rsidRDefault="00696BF5" w:rsidP="00D83239">
      <w:pPr>
        <w:spacing w:after="0" w:line="276" w:lineRule="auto"/>
        <w:jc w:val="both"/>
        <w:rPr>
          <w:rFonts w:ascii="Arial" w:hAnsi="Arial" w:cs="Arial"/>
          <w:sz w:val="20"/>
          <w:szCs w:val="20"/>
          <w:highlight w:val="yellow"/>
          <w:lang w:eastAsia="sl-SI"/>
        </w:rPr>
      </w:pPr>
    </w:p>
    <w:p w14:paraId="4F7F1174" w14:textId="0DCD1AF9" w:rsidR="004C0434" w:rsidRPr="00D83239" w:rsidRDefault="00EC5EA9" w:rsidP="00D83239">
      <w:pPr>
        <w:autoSpaceDE w:val="0"/>
        <w:autoSpaceDN w:val="0"/>
        <w:adjustRightInd w:val="0"/>
        <w:spacing w:line="276" w:lineRule="auto"/>
        <w:jc w:val="both"/>
        <w:rPr>
          <w:rFonts w:ascii="Arial" w:hAnsi="Arial" w:cs="Arial"/>
          <w:sz w:val="20"/>
          <w:szCs w:val="20"/>
        </w:rPr>
      </w:pPr>
      <w:r w:rsidRPr="00D83239">
        <w:rPr>
          <w:rFonts w:ascii="Arial" w:hAnsi="Arial" w:cs="Arial"/>
          <w:sz w:val="20"/>
          <w:szCs w:val="20"/>
        </w:rPr>
        <w:t>M</w:t>
      </w:r>
      <w:r w:rsidR="00FA565F">
        <w:rPr>
          <w:rFonts w:ascii="Arial" w:hAnsi="Arial" w:cs="Arial"/>
          <w:sz w:val="20"/>
          <w:szCs w:val="20"/>
        </w:rPr>
        <w:t>NZ</w:t>
      </w:r>
      <w:r w:rsidRPr="00D83239">
        <w:rPr>
          <w:rFonts w:ascii="Arial" w:hAnsi="Arial" w:cs="Arial"/>
          <w:sz w:val="20"/>
          <w:szCs w:val="20"/>
        </w:rPr>
        <w:t xml:space="preserve"> z organoma v sestavi je bilo s sprejetjem proračuna v letu 2025 odobrenih </w:t>
      </w:r>
      <w:r w:rsidR="00941D16" w:rsidRPr="00D83239">
        <w:rPr>
          <w:rFonts w:ascii="Arial" w:hAnsi="Arial" w:cs="Arial"/>
          <w:sz w:val="20"/>
          <w:szCs w:val="20"/>
        </w:rPr>
        <w:t>skup</w:t>
      </w:r>
      <w:r w:rsidR="00941D16">
        <w:rPr>
          <w:rFonts w:ascii="Arial" w:hAnsi="Arial" w:cs="Arial"/>
          <w:sz w:val="20"/>
          <w:szCs w:val="20"/>
        </w:rPr>
        <w:t>no</w:t>
      </w:r>
      <w:r w:rsidR="00941D16" w:rsidRPr="00D83239">
        <w:rPr>
          <w:rFonts w:ascii="Arial" w:hAnsi="Arial" w:cs="Arial"/>
          <w:sz w:val="20"/>
          <w:szCs w:val="20"/>
        </w:rPr>
        <w:t xml:space="preserve"> </w:t>
      </w:r>
      <w:r w:rsidRPr="00D83239">
        <w:rPr>
          <w:rFonts w:ascii="Arial" w:hAnsi="Arial" w:cs="Arial"/>
          <w:sz w:val="20"/>
          <w:szCs w:val="20"/>
        </w:rPr>
        <w:t xml:space="preserve">570,6 milijona </w:t>
      </w:r>
      <w:r w:rsidR="00FA565F">
        <w:rPr>
          <w:rFonts w:ascii="Arial" w:hAnsi="Arial" w:cs="Arial"/>
          <w:sz w:val="20"/>
          <w:szCs w:val="20"/>
        </w:rPr>
        <w:t>evrov</w:t>
      </w:r>
      <w:r w:rsidRPr="00D83239">
        <w:rPr>
          <w:rFonts w:ascii="Arial" w:hAnsi="Arial" w:cs="Arial"/>
          <w:sz w:val="20"/>
          <w:szCs w:val="20"/>
        </w:rPr>
        <w:t xml:space="preserve"> pravic porabe. V okviru vseh razpoložljivih pravic porabe, ki znašajo 576,3 milijona </w:t>
      </w:r>
      <w:r w:rsidR="00FA565F">
        <w:rPr>
          <w:rFonts w:ascii="Arial" w:hAnsi="Arial" w:cs="Arial"/>
          <w:sz w:val="20"/>
          <w:szCs w:val="20"/>
        </w:rPr>
        <w:t>evrov</w:t>
      </w:r>
      <w:r w:rsidRPr="00D83239">
        <w:rPr>
          <w:rFonts w:ascii="Arial" w:hAnsi="Arial" w:cs="Arial"/>
          <w:sz w:val="20"/>
          <w:szCs w:val="20"/>
        </w:rPr>
        <w:t xml:space="preserve">, je bilo porabljenih 560,9 milijona </w:t>
      </w:r>
      <w:r w:rsidR="00FA565F">
        <w:rPr>
          <w:rFonts w:ascii="Arial" w:hAnsi="Arial" w:cs="Arial"/>
          <w:sz w:val="20"/>
          <w:szCs w:val="20"/>
        </w:rPr>
        <w:t>evrov</w:t>
      </w:r>
      <w:r w:rsidRPr="00D83239">
        <w:rPr>
          <w:rFonts w:ascii="Arial" w:hAnsi="Arial" w:cs="Arial"/>
          <w:sz w:val="20"/>
          <w:szCs w:val="20"/>
        </w:rPr>
        <w:t xml:space="preserve">. </w:t>
      </w:r>
      <w:r w:rsidR="00941D16">
        <w:rPr>
          <w:rFonts w:ascii="Arial" w:hAnsi="Arial" w:cs="Arial"/>
          <w:sz w:val="20"/>
          <w:szCs w:val="20"/>
        </w:rPr>
        <w:t>To je</w:t>
      </w:r>
      <w:r w:rsidRPr="00D83239">
        <w:rPr>
          <w:rFonts w:ascii="Arial" w:hAnsi="Arial" w:cs="Arial"/>
          <w:sz w:val="20"/>
          <w:szCs w:val="20"/>
        </w:rPr>
        <w:t xml:space="preserve"> 97 % porab</w:t>
      </w:r>
      <w:r w:rsidR="00941D16">
        <w:rPr>
          <w:rFonts w:ascii="Arial" w:hAnsi="Arial" w:cs="Arial"/>
          <w:sz w:val="20"/>
          <w:szCs w:val="20"/>
        </w:rPr>
        <w:t>e</w:t>
      </w:r>
      <w:r w:rsidRPr="00D83239">
        <w:rPr>
          <w:rFonts w:ascii="Arial" w:hAnsi="Arial" w:cs="Arial"/>
          <w:sz w:val="20"/>
          <w:szCs w:val="20"/>
        </w:rPr>
        <w:t xml:space="preserve"> razpoložljivih sredstev. V okviru integralnih sredstev je bilo za celotni organ razpoložljivih 543,1 milijona </w:t>
      </w:r>
      <w:r w:rsidR="00FA565F">
        <w:rPr>
          <w:rFonts w:ascii="Arial" w:hAnsi="Arial" w:cs="Arial"/>
          <w:sz w:val="20"/>
          <w:szCs w:val="20"/>
        </w:rPr>
        <w:t>evrov</w:t>
      </w:r>
      <w:r w:rsidRPr="00D83239">
        <w:rPr>
          <w:rFonts w:ascii="Arial" w:hAnsi="Arial" w:cs="Arial"/>
          <w:sz w:val="20"/>
          <w:szCs w:val="20"/>
        </w:rPr>
        <w:t xml:space="preserve"> pravic porabe. Porabljeno je bilo 542,7 milijona </w:t>
      </w:r>
      <w:r w:rsidR="00FA565F">
        <w:rPr>
          <w:rFonts w:ascii="Arial" w:hAnsi="Arial" w:cs="Arial"/>
          <w:sz w:val="20"/>
          <w:szCs w:val="20"/>
        </w:rPr>
        <w:t>evrov</w:t>
      </w:r>
      <w:r w:rsidRPr="00D83239">
        <w:rPr>
          <w:rFonts w:ascii="Arial" w:hAnsi="Arial" w:cs="Arial"/>
          <w:sz w:val="20"/>
          <w:szCs w:val="20"/>
        </w:rPr>
        <w:t xml:space="preserve">, kar </w:t>
      </w:r>
      <w:r w:rsidR="00941D16">
        <w:rPr>
          <w:rFonts w:ascii="Arial" w:hAnsi="Arial" w:cs="Arial"/>
          <w:sz w:val="20"/>
          <w:szCs w:val="20"/>
        </w:rPr>
        <w:t>je</w:t>
      </w:r>
      <w:r w:rsidR="00941D16" w:rsidRPr="00D83239">
        <w:rPr>
          <w:rFonts w:ascii="Arial" w:hAnsi="Arial" w:cs="Arial"/>
          <w:sz w:val="20"/>
          <w:szCs w:val="20"/>
        </w:rPr>
        <w:t xml:space="preserve"> </w:t>
      </w:r>
      <w:r w:rsidRPr="00D83239">
        <w:rPr>
          <w:rFonts w:ascii="Arial" w:hAnsi="Arial" w:cs="Arial"/>
          <w:sz w:val="20"/>
          <w:szCs w:val="20"/>
        </w:rPr>
        <w:t>100 % porab</w:t>
      </w:r>
      <w:r w:rsidR="00941D16">
        <w:rPr>
          <w:rFonts w:ascii="Arial" w:hAnsi="Arial" w:cs="Arial"/>
          <w:sz w:val="20"/>
          <w:szCs w:val="20"/>
        </w:rPr>
        <w:t>e</w:t>
      </w:r>
      <w:r w:rsidRPr="00D83239">
        <w:rPr>
          <w:rFonts w:ascii="Arial" w:hAnsi="Arial" w:cs="Arial"/>
          <w:sz w:val="20"/>
          <w:szCs w:val="20"/>
        </w:rPr>
        <w:t xml:space="preserve"> razpoložljivih sredstev, </w:t>
      </w:r>
      <w:r w:rsidR="00941D16">
        <w:rPr>
          <w:rFonts w:ascii="Arial" w:hAnsi="Arial" w:cs="Arial"/>
          <w:sz w:val="20"/>
          <w:szCs w:val="20"/>
        </w:rPr>
        <w:t xml:space="preserve">in to </w:t>
      </w:r>
      <w:r w:rsidRPr="00D83239">
        <w:rPr>
          <w:rFonts w:ascii="Arial" w:hAnsi="Arial" w:cs="Arial"/>
          <w:sz w:val="20"/>
          <w:szCs w:val="20"/>
        </w:rPr>
        <w:t>kljub temu, da je bilo oteženo izvrševanje (razmere na trgu, zamude dobav, dolgi postopki javnih naročil, neuspeli postopki, zagotavljanje sredstev za plače in zimski regres).</w:t>
      </w:r>
    </w:p>
    <w:tbl>
      <w:tblPr>
        <w:tblW w:w="9055" w:type="dxa"/>
        <w:tblInd w:w="-10" w:type="dxa"/>
        <w:tblCellMar>
          <w:left w:w="70" w:type="dxa"/>
          <w:right w:w="70" w:type="dxa"/>
        </w:tblCellMar>
        <w:tblLook w:val="04A0" w:firstRow="1" w:lastRow="0" w:firstColumn="1" w:lastColumn="0" w:noHBand="0" w:noVBand="1"/>
      </w:tblPr>
      <w:tblGrid>
        <w:gridCol w:w="564"/>
        <w:gridCol w:w="2262"/>
        <w:gridCol w:w="1560"/>
        <w:gridCol w:w="1417"/>
        <w:gridCol w:w="1463"/>
        <w:gridCol w:w="1789"/>
      </w:tblGrid>
      <w:tr w:rsidR="007B3C6F" w:rsidRPr="00D83239" w14:paraId="4EE7AE86" w14:textId="77777777" w:rsidTr="007B3C6F">
        <w:trPr>
          <w:trHeight w:val="596"/>
        </w:trPr>
        <w:tc>
          <w:tcPr>
            <w:tcW w:w="2835"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1136176C" w14:textId="51E09B4E" w:rsidR="00EC5EA9" w:rsidRPr="007B3C6F" w:rsidRDefault="00EC5EA9" w:rsidP="00D83239">
            <w:pPr>
              <w:spacing w:after="0" w:line="276" w:lineRule="auto"/>
              <w:jc w:val="both"/>
              <w:rPr>
                <w:rFonts w:ascii="Arial" w:eastAsia="Times New Roman" w:hAnsi="Arial" w:cs="Arial"/>
                <w:b/>
                <w:bCs/>
                <w:color w:val="000000"/>
                <w:sz w:val="20"/>
                <w:szCs w:val="20"/>
                <w:highlight w:val="lightGray"/>
                <w:lang w:eastAsia="sl-SI"/>
              </w:rPr>
            </w:pPr>
          </w:p>
        </w:tc>
        <w:tc>
          <w:tcPr>
            <w:tcW w:w="1560"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632D5310" w14:textId="7B7CA606" w:rsidR="00EC5EA9" w:rsidRPr="007B3C6F" w:rsidRDefault="004C2A55" w:rsidP="0066261A">
            <w:pPr>
              <w:spacing w:after="0" w:line="276" w:lineRule="auto"/>
              <w:rPr>
                <w:rFonts w:ascii="Arial" w:eastAsia="Times New Roman" w:hAnsi="Arial" w:cs="Arial"/>
                <w:b/>
                <w:bCs/>
                <w:color w:val="000000"/>
                <w:sz w:val="20"/>
                <w:szCs w:val="20"/>
                <w:highlight w:val="lightGray"/>
                <w:lang w:eastAsia="sl-SI"/>
              </w:rPr>
            </w:pPr>
            <w:r w:rsidRPr="007B3C6F">
              <w:rPr>
                <w:rFonts w:ascii="Arial" w:eastAsia="Times New Roman" w:hAnsi="Arial" w:cs="Arial"/>
                <w:b/>
                <w:bCs/>
                <w:color w:val="000000"/>
                <w:sz w:val="20"/>
                <w:szCs w:val="20"/>
                <w:highlight w:val="lightGray"/>
                <w:lang w:eastAsia="sl-SI"/>
              </w:rPr>
              <w:t>SPREJETI PRORAČUN</w:t>
            </w:r>
            <w:r w:rsidR="00EC5EA9" w:rsidRPr="007B3C6F">
              <w:rPr>
                <w:rFonts w:ascii="Arial" w:eastAsia="Times New Roman" w:hAnsi="Arial" w:cs="Arial"/>
                <w:b/>
                <w:bCs/>
                <w:color w:val="000000"/>
                <w:sz w:val="20"/>
                <w:szCs w:val="20"/>
                <w:highlight w:val="lightGray"/>
                <w:lang w:eastAsia="sl-SI"/>
              </w:rPr>
              <w:t xml:space="preserve"> 2025</w:t>
            </w:r>
          </w:p>
        </w:tc>
        <w:tc>
          <w:tcPr>
            <w:tcW w:w="1417"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5CD87BEE" w14:textId="3B15D842" w:rsidR="00EC5EA9" w:rsidRPr="007B3C6F" w:rsidRDefault="004C2A55" w:rsidP="0066261A">
            <w:pPr>
              <w:spacing w:after="0" w:line="276" w:lineRule="auto"/>
              <w:rPr>
                <w:rFonts w:ascii="Arial" w:eastAsia="Times New Roman" w:hAnsi="Arial" w:cs="Arial"/>
                <w:b/>
                <w:bCs/>
                <w:color w:val="000000"/>
                <w:sz w:val="20"/>
                <w:szCs w:val="20"/>
                <w:highlight w:val="lightGray"/>
                <w:lang w:eastAsia="sl-SI"/>
              </w:rPr>
            </w:pPr>
            <w:r w:rsidRPr="007B3C6F">
              <w:rPr>
                <w:rFonts w:ascii="Arial" w:eastAsia="Times New Roman" w:hAnsi="Arial" w:cs="Arial"/>
                <w:b/>
                <w:bCs/>
                <w:color w:val="000000"/>
                <w:sz w:val="20"/>
                <w:szCs w:val="20"/>
                <w:highlight w:val="lightGray"/>
                <w:lang w:eastAsia="sl-SI"/>
              </w:rPr>
              <w:t xml:space="preserve">VELJAVNI PRORAČUN </w:t>
            </w:r>
            <w:r w:rsidR="00EC5EA9" w:rsidRPr="007B3C6F">
              <w:rPr>
                <w:rFonts w:ascii="Arial" w:eastAsia="Times New Roman" w:hAnsi="Arial" w:cs="Arial"/>
                <w:b/>
                <w:bCs/>
                <w:color w:val="000000"/>
                <w:sz w:val="20"/>
                <w:szCs w:val="20"/>
                <w:highlight w:val="lightGray"/>
                <w:lang w:eastAsia="sl-SI"/>
              </w:rPr>
              <w:t>2025</w:t>
            </w:r>
          </w:p>
        </w:tc>
        <w:tc>
          <w:tcPr>
            <w:tcW w:w="1452"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7817419C" w14:textId="11EE230F" w:rsidR="00EC5EA9" w:rsidRPr="007B3C6F" w:rsidRDefault="004C2A55" w:rsidP="0066261A">
            <w:pPr>
              <w:spacing w:after="0" w:line="276" w:lineRule="auto"/>
              <w:rPr>
                <w:rFonts w:ascii="Arial" w:eastAsia="Times New Roman" w:hAnsi="Arial" w:cs="Arial"/>
                <w:b/>
                <w:bCs/>
                <w:color w:val="000000"/>
                <w:sz w:val="20"/>
                <w:szCs w:val="20"/>
                <w:highlight w:val="lightGray"/>
                <w:lang w:eastAsia="sl-SI"/>
              </w:rPr>
            </w:pPr>
            <w:r w:rsidRPr="007B3C6F">
              <w:rPr>
                <w:rFonts w:ascii="Arial" w:eastAsia="Times New Roman" w:hAnsi="Arial" w:cs="Arial"/>
                <w:b/>
                <w:bCs/>
                <w:color w:val="000000"/>
                <w:sz w:val="20"/>
                <w:szCs w:val="20"/>
                <w:highlight w:val="lightGray"/>
                <w:lang w:eastAsia="sl-SI"/>
              </w:rPr>
              <w:t>REALIZACIJA</w:t>
            </w:r>
            <w:r w:rsidR="00EC5EA9" w:rsidRPr="007B3C6F">
              <w:rPr>
                <w:rFonts w:ascii="Arial" w:eastAsia="Times New Roman" w:hAnsi="Arial" w:cs="Arial"/>
                <w:b/>
                <w:bCs/>
                <w:color w:val="000000"/>
                <w:sz w:val="20"/>
                <w:szCs w:val="20"/>
                <w:highlight w:val="lightGray"/>
                <w:lang w:eastAsia="sl-SI"/>
              </w:rPr>
              <w:t xml:space="preserve"> 2025</w:t>
            </w:r>
          </w:p>
        </w:tc>
        <w:tc>
          <w:tcPr>
            <w:tcW w:w="1791"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2F3CE9F2" w14:textId="36559B19" w:rsidR="00EC5EA9" w:rsidRPr="007B3C6F" w:rsidRDefault="004C2A55" w:rsidP="0066261A">
            <w:pPr>
              <w:spacing w:after="0" w:line="276" w:lineRule="auto"/>
              <w:rPr>
                <w:rFonts w:ascii="Arial" w:eastAsia="Times New Roman" w:hAnsi="Arial" w:cs="Arial"/>
                <w:b/>
                <w:bCs/>
                <w:color w:val="000000"/>
                <w:sz w:val="20"/>
                <w:szCs w:val="20"/>
                <w:highlight w:val="lightGray"/>
                <w:lang w:eastAsia="sl-SI"/>
              </w:rPr>
            </w:pPr>
            <w:r w:rsidRPr="007B3C6F">
              <w:rPr>
                <w:rFonts w:ascii="Arial" w:eastAsia="Times New Roman" w:hAnsi="Arial" w:cs="Arial"/>
                <w:b/>
                <w:bCs/>
                <w:color w:val="000000"/>
                <w:sz w:val="20"/>
                <w:szCs w:val="20"/>
                <w:highlight w:val="lightGray"/>
                <w:lang w:eastAsia="sl-SI"/>
              </w:rPr>
              <w:t>% REALIZACIJE</w:t>
            </w:r>
            <w:r w:rsidR="0066261A" w:rsidRPr="007B3C6F">
              <w:rPr>
                <w:rFonts w:ascii="Arial" w:eastAsia="Times New Roman" w:hAnsi="Arial" w:cs="Arial"/>
                <w:b/>
                <w:bCs/>
                <w:color w:val="000000"/>
                <w:sz w:val="20"/>
                <w:szCs w:val="20"/>
                <w:highlight w:val="lightGray"/>
                <w:lang w:eastAsia="sl-SI"/>
              </w:rPr>
              <w:t xml:space="preserve"> 2025 V VELJAVNEM PRORAČUNU</w:t>
            </w:r>
          </w:p>
        </w:tc>
      </w:tr>
      <w:tr w:rsidR="0066261A" w:rsidRPr="00D83239" w14:paraId="770454FF" w14:textId="77777777" w:rsidTr="0066261A">
        <w:trPr>
          <w:trHeight w:val="315"/>
        </w:trPr>
        <w:tc>
          <w:tcPr>
            <w:tcW w:w="565" w:type="dxa"/>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291F1AB4" w14:textId="77777777" w:rsidR="00EC5EA9" w:rsidRPr="007B3C6F" w:rsidRDefault="00EC5EA9" w:rsidP="00D83239">
            <w:pPr>
              <w:spacing w:after="0" w:line="276" w:lineRule="auto"/>
              <w:jc w:val="both"/>
              <w:rPr>
                <w:rFonts w:ascii="Arial" w:eastAsia="Times New Roman" w:hAnsi="Arial" w:cs="Arial"/>
                <w:b/>
                <w:bCs/>
                <w:color w:val="000000"/>
                <w:sz w:val="20"/>
                <w:szCs w:val="20"/>
                <w:highlight w:val="lightGray"/>
                <w:lang w:eastAsia="sl-SI"/>
              </w:rPr>
            </w:pPr>
            <w:r w:rsidRPr="007B3C6F">
              <w:rPr>
                <w:rFonts w:ascii="Arial" w:eastAsia="Times New Roman" w:hAnsi="Arial" w:cs="Arial"/>
                <w:b/>
                <w:bCs/>
                <w:color w:val="000000"/>
                <w:sz w:val="20"/>
                <w:szCs w:val="20"/>
                <w:highlight w:val="lightGray"/>
                <w:lang w:eastAsia="sl-SI"/>
              </w:rPr>
              <w:t>17</w:t>
            </w:r>
          </w:p>
        </w:tc>
        <w:tc>
          <w:tcPr>
            <w:tcW w:w="2270" w:type="dxa"/>
            <w:tcBorders>
              <w:top w:val="nil"/>
              <w:left w:val="nil"/>
              <w:bottom w:val="single" w:sz="8" w:space="0" w:color="000000"/>
              <w:right w:val="single" w:sz="8" w:space="0" w:color="000000"/>
            </w:tcBorders>
            <w:shd w:val="clear" w:color="auto" w:fill="D9D9D9" w:themeFill="background1" w:themeFillShade="D9"/>
            <w:vAlign w:val="center"/>
            <w:hideMark/>
          </w:tcPr>
          <w:p w14:paraId="295044EF" w14:textId="77777777" w:rsidR="00EC5EA9" w:rsidRPr="007B3C6F" w:rsidRDefault="00EC5EA9" w:rsidP="00D83239">
            <w:pPr>
              <w:spacing w:after="0" w:line="276" w:lineRule="auto"/>
              <w:jc w:val="both"/>
              <w:rPr>
                <w:rFonts w:ascii="Arial" w:eastAsia="Times New Roman" w:hAnsi="Arial" w:cs="Arial"/>
                <w:b/>
                <w:bCs/>
                <w:color w:val="000000"/>
                <w:sz w:val="20"/>
                <w:szCs w:val="20"/>
                <w:highlight w:val="lightGray"/>
                <w:lang w:eastAsia="sl-SI"/>
              </w:rPr>
            </w:pPr>
            <w:r w:rsidRPr="007B3C6F">
              <w:rPr>
                <w:rFonts w:ascii="Arial" w:eastAsia="Times New Roman" w:hAnsi="Arial" w:cs="Arial"/>
                <w:b/>
                <w:bCs/>
                <w:color w:val="000000"/>
                <w:sz w:val="20"/>
                <w:szCs w:val="20"/>
                <w:highlight w:val="lightGray"/>
                <w:lang w:eastAsia="sl-SI"/>
              </w:rPr>
              <w:t>MNZ</w:t>
            </w:r>
          </w:p>
        </w:tc>
        <w:tc>
          <w:tcPr>
            <w:tcW w:w="1560" w:type="dxa"/>
            <w:tcBorders>
              <w:top w:val="nil"/>
              <w:left w:val="nil"/>
              <w:bottom w:val="single" w:sz="8" w:space="0" w:color="000000"/>
              <w:right w:val="single" w:sz="8" w:space="0" w:color="000000"/>
            </w:tcBorders>
            <w:shd w:val="clear" w:color="auto" w:fill="D9D9D9" w:themeFill="background1" w:themeFillShade="D9"/>
            <w:vAlign w:val="center"/>
            <w:hideMark/>
          </w:tcPr>
          <w:p w14:paraId="07713AA0" w14:textId="77777777" w:rsidR="00EC5EA9" w:rsidRPr="007B3C6F" w:rsidRDefault="00EC5EA9" w:rsidP="00FA565F">
            <w:pPr>
              <w:spacing w:after="0" w:line="276" w:lineRule="auto"/>
              <w:jc w:val="right"/>
              <w:rPr>
                <w:rFonts w:ascii="Arial" w:eastAsia="Times New Roman" w:hAnsi="Arial" w:cs="Arial"/>
                <w:b/>
                <w:bCs/>
                <w:color w:val="000000"/>
                <w:sz w:val="20"/>
                <w:szCs w:val="20"/>
                <w:highlight w:val="lightGray"/>
                <w:lang w:eastAsia="sl-SI"/>
              </w:rPr>
            </w:pPr>
            <w:r w:rsidRPr="007B3C6F">
              <w:rPr>
                <w:rFonts w:ascii="Arial" w:eastAsia="Times New Roman" w:hAnsi="Arial" w:cs="Arial"/>
                <w:b/>
                <w:bCs/>
                <w:color w:val="000000"/>
                <w:sz w:val="20"/>
                <w:szCs w:val="20"/>
                <w:highlight w:val="lightGray"/>
                <w:lang w:eastAsia="sl-SI"/>
              </w:rPr>
              <w:t>570.626.979</w:t>
            </w:r>
          </w:p>
        </w:tc>
        <w:tc>
          <w:tcPr>
            <w:tcW w:w="1417" w:type="dxa"/>
            <w:tcBorders>
              <w:top w:val="nil"/>
              <w:left w:val="nil"/>
              <w:bottom w:val="single" w:sz="8" w:space="0" w:color="000000"/>
              <w:right w:val="single" w:sz="8" w:space="0" w:color="000000"/>
            </w:tcBorders>
            <w:shd w:val="clear" w:color="auto" w:fill="D9D9D9" w:themeFill="background1" w:themeFillShade="D9"/>
            <w:vAlign w:val="center"/>
            <w:hideMark/>
          </w:tcPr>
          <w:p w14:paraId="1DE2CFA3" w14:textId="77777777" w:rsidR="00EC5EA9" w:rsidRPr="007B3C6F" w:rsidRDefault="00EC5EA9" w:rsidP="00FA565F">
            <w:pPr>
              <w:spacing w:after="0" w:line="276" w:lineRule="auto"/>
              <w:jc w:val="right"/>
              <w:rPr>
                <w:rFonts w:ascii="Arial" w:eastAsia="Times New Roman" w:hAnsi="Arial" w:cs="Arial"/>
                <w:b/>
                <w:bCs/>
                <w:color w:val="000000"/>
                <w:sz w:val="20"/>
                <w:szCs w:val="20"/>
                <w:highlight w:val="lightGray"/>
                <w:lang w:eastAsia="sl-SI"/>
              </w:rPr>
            </w:pPr>
            <w:r w:rsidRPr="007B3C6F">
              <w:rPr>
                <w:rFonts w:ascii="Arial" w:eastAsia="Times New Roman" w:hAnsi="Arial" w:cs="Arial"/>
                <w:b/>
                <w:bCs/>
                <w:color w:val="000000"/>
                <w:sz w:val="20"/>
                <w:szCs w:val="20"/>
                <w:highlight w:val="lightGray"/>
                <w:lang w:eastAsia="sl-SI"/>
              </w:rPr>
              <w:t>576.251.559</w:t>
            </w:r>
          </w:p>
        </w:tc>
        <w:tc>
          <w:tcPr>
            <w:tcW w:w="1452" w:type="dxa"/>
            <w:tcBorders>
              <w:top w:val="nil"/>
              <w:left w:val="nil"/>
              <w:bottom w:val="single" w:sz="8" w:space="0" w:color="000000"/>
              <w:right w:val="single" w:sz="8" w:space="0" w:color="000000"/>
            </w:tcBorders>
            <w:shd w:val="clear" w:color="auto" w:fill="D9D9D9" w:themeFill="background1" w:themeFillShade="D9"/>
            <w:vAlign w:val="center"/>
            <w:hideMark/>
          </w:tcPr>
          <w:p w14:paraId="21446CF2" w14:textId="77777777" w:rsidR="00EC5EA9" w:rsidRPr="007B3C6F" w:rsidRDefault="00EC5EA9" w:rsidP="00FA565F">
            <w:pPr>
              <w:spacing w:after="0" w:line="276" w:lineRule="auto"/>
              <w:jc w:val="right"/>
              <w:rPr>
                <w:rFonts w:ascii="Arial" w:eastAsia="Times New Roman" w:hAnsi="Arial" w:cs="Arial"/>
                <w:b/>
                <w:bCs/>
                <w:color w:val="000000"/>
                <w:sz w:val="20"/>
                <w:szCs w:val="20"/>
                <w:highlight w:val="lightGray"/>
                <w:lang w:eastAsia="sl-SI"/>
              </w:rPr>
            </w:pPr>
            <w:r w:rsidRPr="007B3C6F">
              <w:rPr>
                <w:rFonts w:ascii="Arial" w:eastAsia="Times New Roman" w:hAnsi="Arial" w:cs="Arial"/>
                <w:b/>
                <w:bCs/>
                <w:color w:val="000000"/>
                <w:sz w:val="20"/>
                <w:szCs w:val="20"/>
                <w:highlight w:val="lightGray"/>
                <w:lang w:eastAsia="sl-SI"/>
              </w:rPr>
              <w:t>560.912.356</w:t>
            </w:r>
          </w:p>
        </w:tc>
        <w:tc>
          <w:tcPr>
            <w:tcW w:w="1791" w:type="dxa"/>
            <w:tcBorders>
              <w:top w:val="nil"/>
              <w:left w:val="nil"/>
              <w:bottom w:val="single" w:sz="8" w:space="0" w:color="000000"/>
              <w:right w:val="single" w:sz="8" w:space="0" w:color="000000"/>
            </w:tcBorders>
            <w:shd w:val="clear" w:color="auto" w:fill="D9D9D9" w:themeFill="background1" w:themeFillShade="D9"/>
            <w:vAlign w:val="center"/>
            <w:hideMark/>
          </w:tcPr>
          <w:p w14:paraId="59143363" w14:textId="7FE81A4C" w:rsidR="00EC5EA9" w:rsidRPr="007B3C6F" w:rsidRDefault="00EC5EA9" w:rsidP="00FA565F">
            <w:pPr>
              <w:spacing w:after="0" w:line="276" w:lineRule="auto"/>
              <w:jc w:val="right"/>
              <w:rPr>
                <w:rFonts w:ascii="Arial" w:eastAsia="Times New Roman" w:hAnsi="Arial" w:cs="Arial"/>
                <w:color w:val="000000"/>
                <w:sz w:val="20"/>
                <w:szCs w:val="20"/>
                <w:highlight w:val="lightGray"/>
                <w:lang w:eastAsia="sl-SI"/>
              </w:rPr>
            </w:pPr>
            <w:r w:rsidRPr="007B3C6F">
              <w:rPr>
                <w:rFonts w:ascii="Arial" w:eastAsia="Times New Roman" w:hAnsi="Arial" w:cs="Arial"/>
                <w:color w:val="000000"/>
                <w:sz w:val="20"/>
                <w:szCs w:val="20"/>
                <w:highlight w:val="lightGray"/>
                <w:lang w:eastAsia="sl-SI"/>
              </w:rPr>
              <w:t>97</w:t>
            </w:r>
            <w:r w:rsidR="00FA565F" w:rsidRPr="007B3C6F">
              <w:rPr>
                <w:rFonts w:ascii="Arial" w:eastAsia="Times New Roman" w:hAnsi="Arial" w:cs="Arial"/>
                <w:color w:val="000000"/>
                <w:sz w:val="20"/>
                <w:szCs w:val="20"/>
                <w:highlight w:val="lightGray"/>
                <w:lang w:eastAsia="sl-SI"/>
              </w:rPr>
              <w:t xml:space="preserve"> </w:t>
            </w:r>
            <w:r w:rsidRPr="007B3C6F">
              <w:rPr>
                <w:rFonts w:ascii="Arial" w:eastAsia="Times New Roman" w:hAnsi="Arial" w:cs="Arial"/>
                <w:color w:val="000000"/>
                <w:sz w:val="20"/>
                <w:szCs w:val="20"/>
                <w:highlight w:val="lightGray"/>
                <w:lang w:eastAsia="sl-SI"/>
              </w:rPr>
              <w:t>%</w:t>
            </w:r>
          </w:p>
        </w:tc>
      </w:tr>
      <w:tr w:rsidR="0066261A" w:rsidRPr="00D83239" w14:paraId="47E97076" w14:textId="77777777" w:rsidTr="0066261A">
        <w:trPr>
          <w:trHeight w:val="436"/>
        </w:trPr>
        <w:tc>
          <w:tcPr>
            <w:tcW w:w="565" w:type="dxa"/>
            <w:tcBorders>
              <w:top w:val="nil"/>
              <w:left w:val="single" w:sz="8" w:space="0" w:color="000000"/>
              <w:bottom w:val="single" w:sz="8" w:space="0" w:color="000000"/>
              <w:right w:val="single" w:sz="8" w:space="0" w:color="000000"/>
            </w:tcBorders>
            <w:shd w:val="clear" w:color="000000" w:fill="FFFFFF"/>
            <w:vAlign w:val="center"/>
            <w:hideMark/>
          </w:tcPr>
          <w:p w14:paraId="7C3DBA63" w14:textId="77777777" w:rsidR="00EC5EA9" w:rsidRPr="00D83239" w:rsidRDefault="00EC5EA9"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w:t>
            </w:r>
          </w:p>
        </w:tc>
        <w:tc>
          <w:tcPr>
            <w:tcW w:w="2270" w:type="dxa"/>
            <w:tcBorders>
              <w:top w:val="nil"/>
              <w:left w:val="nil"/>
              <w:bottom w:val="single" w:sz="8" w:space="0" w:color="000000"/>
              <w:right w:val="single" w:sz="8" w:space="0" w:color="000000"/>
            </w:tcBorders>
            <w:shd w:val="clear" w:color="000000" w:fill="FFFFFF"/>
            <w:vAlign w:val="center"/>
            <w:hideMark/>
          </w:tcPr>
          <w:p w14:paraId="67245CA0" w14:textId="77777777" w:rsidR="00EC5EA9" w:rsidRPr="00D83239" w:rsidRDefault="00EC5EA9" w:rsidP="0066261A">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Integralna sredstva</w:t>
            </w:r>
          </w:p>
        </w:tc>
        <w:tc>
          <w:tcPr>
            <w:tcW w:w="1560" w:type="dxa"/>
            <w:tcBorders>
              <w:top w:val="nil"/>
              <w:left w:val="nil"/>
              <w:bottom w:val="single" w:sz="8" w:space="0" w:color="000000"/>
              <w:right w:val="single" w:sz="8" w:space="0" w:color="000000"/>
            </w:tcBorders>
            <w:shd w:val="clear" w:color="000000" w:fill="FFFFFF"/>
            <w:noWrap/>
            <w:vAlign w:val="center"/>
            <w:hideMark/>
          </w:tcPr>
          <w:p w14:paraId="79025F48"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541.283.686</w:t>
            </w:r>
          </w:p>
        </w:tc>
        <w:tc>
          <w:tcPr>
            <w:tcW w:w="1417" w:type="dxa"/>
            <w:tcBorders>
              <w:top w:val="nil"/>
              <w:left w:val="nil"/>
              <w:bottom w:val="single" w:sz="8" w:space="0" w:color="000000"/>
              <w:right w:val="single" w:sz="8" w:space="0" w:color="000000"/>
            </w:tcBorders>
            <w:shd w:val="clear" w:color="000000" w:fill="FFFFFF"/>
            <w:noWrap/>
            <w:vAlign w:val="center"/>
            <w:hideMark/>
          </w:tcPr>
          <w:p w14:paraId="6B0E4257"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543.054.420</w:t>
            </w:r>
          </w:p>
        </w:tc>
        <w:tc>
          <w:tcPr>
            <w:tcW w:w="1452" w:type="dxa"/>
            <w:tcBorders>
              <w:top w:val="nil"/>
              <w:left w:val="nil"/>
              <w:bottom w:val="single" w:sz="8" w:space="0" w:color="000000"/>
              <w:right w:val="single" w:sz="8" w:space="0" w:color="000000"/>
            </w:tcBorders>
            <w:shd w:val="clear" w:color="000000" w:fill="FFFFFF"/>
            <w:noWrap/>
            <w:vAlign w:val="center"/>
            <w:hideMark/>
          </w:tcPr>
          <w:p w14:paraId="1D14071B"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542.731.846</w:t>
            </w:r>
          </w:p>
        </w:tc>
        <w:tc>
          <w:tcPr>
            <w:tcW w:w="1791" w:type="dxa"/>
            <w:tcBorders>
              <w:top w:val="nil"/>
              <w:left w:val="nil"/>
              <w:bottom w:val="single" w:sz="8" w:space="0" w:color="000000"/>
              <w:right w:val="single" w:sz="8" w:space="0" w:color="000000"/>
            </w:tcBorders>
            <w:shd w:val="clear" w:color="000000" w:fill="FFFFFF"/>
            <w:vAlign w:val="center"/>
            <w:hideMark/>
          </w:tcPr>
          <w:p w14:paraId="24616842" w14:textId="0645D60A"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100</w:t>
            </w:r>
            <w:r w:rsidR="00FA565F">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w:t>
            </w:r>
          </w:p>
        </w:tc>
      </w:tr>
      <w:tr w:rsidR="0066261A" w:rsidRPr="00D83239" w14:paraId="21702378" w14:textId="77777777" w:rsidTr="0066261A">
        <w:trPr>
          <w:trHeight w:val="436"/>
        </w:trPr>
        <w:tc>
          <w:tcPr>
            <w:tcW w:w="565" w:type="dxa"/>
            <w:tcBorders>
              <w:top w:val="nil"/>
              <w:left w:val="single" w:sz="8" w:space="0" w:color="000000"/>
              <w:bottom w:val="single" w:sz="8" w:space="0" w:color="000000"/>
              <w:right w:val="single" w:sz="8" w:space="0" w:color="000000"/>
            </w:tcBorders>
            <w:shd w:val="clear" w:color="000000" w:fill="FFFFFF"/>
            <w:vAlign w:val="center"/>
            <w:hideMark/>
          </w:tcPr>
          <w:p w14:paraId="618C3974" w14:textId="77777777" w:rsidR="00EC5EA9" w:rsidRPr="00D83239" w:rsidRDefault="00EC5EA9"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w:t>
            </w:r>
          </w:p>
        </w:tc>
        <w:tc>
          <w:tcPr>
            <w:tcW w:w="2270" w:type="dxa"/>
            <w:tcBorders>
              <w:top w:val="nil"/>
              <w:left w:val="nil"/>
              <w:bottom w:val="single" w:sz="8" w:space="0" w:color="000000"/>
              <w:right w:val="single" w:sz="8" w:space="0" w:color="000000"/>
            </w:tcBorders>
            <w:shd w:val="clear" w:color="000000" w:fill="FFFFFF"/>
            <w:vAlign w:val="center"/>
            <w:hideMark/>
          </w:tcPr>
          <w:p w14:paraId="5B850822" w14:textId="77777777" w:rsidR="00EC5EA9" w:rsidRPr="00D83239" w:rsidRDefault="00EC5EA9" w:rsidP="0066261A">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Namenska sredstva</w:t>
            </w:r>
          </w:p>
        </w:tc>
        <w:tc>
          <w:tcPr>
            <w:tcW w:w="1560" w:type="dxa"/>
            <w:tcBorders>
              <w:top w:val="nil"/>
              <w:left w:val="nil"/>
              <w:bottom w:val="single" w:sz="8" w:space="0" w:color="000000"/>
              <w:right w:val="single" w:sz="8" w:space="0" w:color="000000"/>
            </w:tcBorders>
            <w:shd w:val="clear" w:color="auto" w:fill="auto"/>
            <w:noWrap/>
            <w:vAlign w:val="center"/>
            <w:hideMark/>
          </w:tcPr>
          <w:p w14:paraId="1995D6E5"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4.416.790</w:t>
            </w:r>
          </w:p>
        </w:tc>
        <w:tc>
          <w:tcPr>
            <w:tcW w:w="1417" w:type="dxa"/>
            <w:tcBorders>
              <w:top w:val="nil"/>
              <w:left w:val="nil"/>
              <w:bottom w:val="single" w:sz="8" w:space="0" w:color="000000"/>
              <w:right w:val="single" w:sz="8" w:space="0" w:color="000000"/>
            </w:tcBorders>
            <w:shd w:val="clear" w:color="auto" w:fill="auto"/>
            <w:noWrap/>
            <w:vAlign w:val="center"/>
            <w:hideMark/>
          </w:tcPr>
          <w:p w14:paraId="2461E12A"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15.073.825</w:t>
            </w:r>
          </w:p>
        </w:tc>
        <w:tc>
          <w:tcPr>
            <w:tcW w:w="1452" w:type="dxa"/>
            <w:tcBorders>
              <w:top w:val="nil"/>
              <w:left w:val="nil"/>
              <w:bottom w:val="single" w:sz="8" w:space="0" w:color="000000"/>
              <w:right w:val="single" w:sz="8" w:space="0" w:color="000000"/>
            </w:tcBorders>
            <w:shd w:val="clear" w:color="auto" w:fill="auto"/>
            <w:noWrap/>
            <w:vAlign w:val="center"/>
            <w:hideMark/>
          </w:tcPr>
          <w:p w14:paraId="5A07D728"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5.317.035</w:t>
            </w:r>
          </w:p>
        </w:tc>
        <w:tc>
          <w:tcPr>
            <w:tcW w:w="1791" w:type="dxa"/>
            <w:tcBorders>
              <w:top w:val="nil"/>
              <w:left w:val="nil"/>
              <w:bottom w:val="single" w:sz="8" w:space="0" w:color="000000"/>
              <w:right w:val="single" w:sz="8" w:space="0" w:color="000000"/>
            </w:tcBorders>
            <w:shd w:val="clear" w:color="000000" w:fill="FFFFFF"/>
            <w:vAlign w:val="center"/>
            <w:hideMark/>
          </w:tcPr>
          <w:p w14:paraId="79D5FDA2" w14:textId="4030FDFF"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35</w:t>
            </w:r>
            <w:r w:rsidR="00FA565F">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w:t>
            </w:r>
          </w:p>
        </w:tc>
      </w:tr>
      <w:tr w:rsidR="0066261A" w:rsidRPr="00D83239" w14:paraId="34C3B5C7" w14:textId="77777777" w:rsidTr="0066261A">
        <w:trPr>
          <w:trHeight w:val="436"/>
        </w:trPr>
        <w:tc>
          <w:tcPr>
            <w:tcW w:w="565" w:type="dxa"/>
            <w:tcBorders>
              <w:top w:val="nil"/>
              <w:left w:val="single" w:sz="8" w:space="0" w:color="000000"/>
              <w:bottom w:val="single" w:sz="8" w:space="0" w:color="000000"/>
              <w:right w:val="single" w:sz="8" w:space="0" w:color="000000"/>
            </w:tcBorders>
            <w:shd w:val="clear" w:color="000000" w:fill="FFFFFF"/>
            <w:vAlign w:val="center"/>
            <w:hideMark/>
          </w:tcPr>
          <w:p w14:paraId="660D708F" w14:textId="77777777" w:rsidR="00EC5EA9" w:rsidRPr="00D83239" w:rsidRDefault="00EC5EA9"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3</w:t>
            </w:r>
          </w:p>
        </w:tc>
        <w:tc>
          <w:tcPr>
            <w:tcW w:w="2270" w:type="dxa"/>
            <w:tcBorders>
              <w:top w:val="nil"/>
              <w:left w:val="nil"/>
              <w:bottom w:val="single" w:sz="8" w:space="0" w:color="000000"/>
              <w:right w:val="single" w:sz="8" w:space="0" w:color="000000"/>
            </w:tcBorders>
            <w:shd w:val="clear" w:color="000000" w:fill="FFFFFF"/>
            <w:vAlign w:val="center"/>
            <w:hideMark/>
          </w:tcPr>
          <w:p w14:paraId="2CA4001B" w14:textId="77777777" w:rsidR="00EC5EA9" w:rsidRPr="00D83239" w:rsidRDefault="00EC5EA9" w:rsidP="0066261A">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Sredstva EU</w:t>
            </w:r>
          </w:p>
        </w:tc>
        <w:tc>
          <w:tcPr>
            <w:tcW w:w="1560" w:type="dxa"/>
            <w:tcBorders>
              <w:top w:val="nil"/>
              <w:left w:val="nil"/>
              <w:bottom w:val="single" w:sz="8" w:space="0" w:color="000000"/>
              <w:right w:val="single" w:sz="8" w:space="0" w:color="000000"/>
            </w:tcBorders>
            <w:shd w:val="clear" w:color="auto" w:fill="auto"/>
            <w:noWrap/>
            <w:vAlign w:val="center"/>
            <w:hideMark/>
          </w:tcPr>
          <w:p w14:paraId="2AA4E3B3"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20.459.844</w:t>
            </w:r>
          </w:p>
        </w:tc>
        <w:tc>
          <w:tcPr>
            <w:tcW w:w="1417" w:type="dxa"/>
            <w:tcBorders>
              <w:top w:val="nil"/>
              <w:left w:val="nil"/>
              <w:bottom w:val="single" w:sz="8" w:space="0" w:color="000000"/>
              <w:right w:val="single" w:sz="8" w:space="0" w:color="000000"/>
            </w:tcBorders>
            <w:shd w:val="clear" w:color="auto" w:fill="auto"/>
            <w:noWrap/>
            <w:vAlign w:val="center"/>
            <w:hideMark/>
          </w:tcPr>
          <w:p w14:paraId="12C02658"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16.092.013</w:t>
            </w:r>
          </w:p>
        </w:tc>
        <w:tc>
          <w:tcPr>
            <w:tcW w:w="1452" w:type="dxa"/>
            <w:tcBorders>
              <w:top w:val="nil"/>
              <w:left w:val="nil"/>
              <w:bottom w:val="single" w:sz="8" w:space="0" w:color="000000"/>
              <w:right w:val="single" w:sz="8" w:space="0" w:color="000000"/>
            </w:tcBorders>
            <w:shd w:val="clear" w:color="auto" w:fill="auto"/>
            <w:noWrap/>
            <w:vAlign w:val="center"/>
            <w:hideMark/>
          </w:tcPr>
          <w:p w14:paraId="708BA90D"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10.892.091</w:t>
            </w:r>
          </w:p>
        </w:tc>
        <w:tc>
          <w:tcPr>
            <w:tcW w:w="1791" w:type="dxa"/>
            <w:tcBorders>
              <w:top w:val="nil"/>
              <w:left w:val="nil"/>
              <w:bottom w:val="single" w:sz="8" w:space="0" w:color="000000"/>
              <w:right w:val="single" w:sz="8" w:space="0" w:color="000000"/>
            </w:tcBorders>
            <w:shd w:val="clear" w:color="000000" w:fill="FFFFFF"/>
            <w:vAlign w:val="center"/>
            <w:hideMark/>
          </w:tcPr>
          <w:p w14:paraId="38E14292" w14:textId="328CFA9A"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68</w:t>
            </w:r>
            <w:r w:rsidR="00FA565F">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w:t>
            </w:r>
          </w:p>
        </w:tc>
      </w:tr>
      <w:tr w:rsidR="0066261A" w:rsidRPr="00D83239" w14:paraId="110B8DF1" w14:textId="77777777" w:rsidTr="0066261A">
        <w:trPr>
          <w:trHeight w:val="436"/>
        </w:trPr>
        <w:tc>
          <w:tcPr>
            <w:tcW w:w="565" w:type="dxa"/>
            <w:tcBorders>
              <w:top w:val="nil"/>
              <w:left w:val="single" w:sz="8" w:space="0" w:color="000000"/>
              <w:bottom w:val="single" w:sz="8" w:space="0" w:color="000000"/>
              <w:right w:val="single" w:sz="8" w:space="0" w:color="000000"/>
            </w:tcBorders>
            <w:shd w:val="clear" w:color="000000" w:fill="FFFFFF"/>
            <w:vAlign w:val="center"/>
            <w:hideMark/>
          </w:tcPr>
          <w:p w14:paraId="53216BDB" w14:textId="77777777" w:rsidR="00EC5EA9" w:rsidRPr="00D83239" w:rsidRDefault="00EC5EA9" w:rsidP="00D83239">
            <w:pPr>
              <w:spacing w:after="0" w:line="276" w:lineRule="auto"/>
              <w:jc w:val="both"/>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4</w:t>
            </w:r>
          </w:p>
        </w:tc>
        <w:tc>
          <w:tcPr>
            <w:tcW w:w="2270" w:type="dxa"/>
            <w:tcBorders>
              <w:top w:val="nil"/>
              <w:left w:val="nil"/>
              <w:bottom w:val="single" w:sz="8" w:space="0" w:color="000000"/>
              <w:right w:val="single" w:sz="8" w:space="0" w:color="000000"/>
            </w:tcBorders>
            <w:shd w:val="clear" w:color="000000" w:fill="FFFFFF"/>
            <w:vAlign w:val="center"/>
            <w:hideMark/>
          </w:tcPr>
          <w:p w14:paraId="4433A539" w14:textId="77777777" w:rsidR="00EC5EA9" w:rsidRPr="00D83239" w:rsidRDefault="00EC5EA9" w:rsidP="0066261A">
            <w:pPr>
              <w:spacing w:after="0" w:line="276" w:lineRule="auto"/>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Integralna sredstva – slovenska udeležba</w:t>
            </w:r>
          </w:p>
        </w:tc>
        <w:tc>
          <w:tcPr>
            <w:tcW w:w="1560" w:type="dxa"/>
            <w:tcBorders>
              <w:top w:val="nil"/>
              <w:left w:val="nil"/>
              <w:bottom w:val="single" w:sz="8" w:space="0" w:color="000000"/>
              <w:right w:val="single" w:sz="8" w:space="0" w:color="000000"/>
            </w:tcBorders>
            <w:shd w:val="clear" w:color="auto" w:fill="auto"/>
            <w:noWrap/>
            <w:vAlign w:val="center"/>
            <w:hideMark/>
          </w:tcPr>
          <w:p w14:paraId="0C564E6E"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4.466.659</w:t>
            </w:r>
          </w:p>
        </w:tc>
        <w:tc>
          <w:tcPr>
            <w:tcW w:w="1417" w:type="dxa"/>
            <w:tcBorders>
              <w:top w:val="nil"/>
              <w:left w:val="nil"/>
              <w:bottom w:val="single" w:sz="8" w:space="0" w:color="000000"/>
              <w:right w:val="single" w:sz="8" w:space="0" w:color="000000"/>
            </w:tcBorders>
            <w:shd w:val="clear" w:color="auto" w:fill="auto"/>
            <w:noWrap/>
            <w:vAlign w:val="center"/>
            <w:hideMark/>
          </w:tcPr>
          <w:p w14:paraId="660B99D1"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2.031.300</w:t>
            </w:r>
          </w:p>
        </w:tc>
        <w:tc>
          <w:tcPr>
            <w:tcW w:w="1452" w:type="dxa"/>
            <w:tcBorders>
              <w:top w:val="nil"/>
              <w:left w:val="nil"/>
              <w:bottom w:val="single" w:sz="8" w:space="0" w:color="000000"/>
              <w:right w:val="single" w:sz="8" w:space="0" w:color="000000"/>
            </w:tcBorders>
            <w:shd w:val="clear" w:color="auto" w:fill="auto"/>
            <w:noWrap/>
            <w:vAlign w:val="center"/>
            <w:hideMark/>
          </w:tcPr>
          <w:p w14:paraId="6618C82E" w14:textId="77777777"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1.971.384</w:t>
            </w:r>
          </w:p>
        </w:tc>
        <w:tc>
          <w:tcPr>
            <w:tcW w:w="1791" w:type="dxa"/>
            <w:tcBorders>
              <w:top w:val="nil"/>
              <w:left w:val="nil"/>
              <w:bottom w:val="single" w:sz="8" w:space="0" w:color="000000"/>
              <w:right w:val="single" w:sz="8" w:space="0" w:color="000000"/>
            </w:tcBorders>
            <w:shd w:val="clear" w:color="000000" w:fill="FFFFFF"/>
            <w:vAlign w:val="center"/>
            <w:hideMark/>
          </w:tcPr>
          <w:p w14:paraId="5FC48412" w14:textId="6576AD0D" w:rsidR="00EC5EA9" w:rsidRPr="00D83239" w:rsidRDefault="00EC5EA9" w:rsidP="00FA565F">
            <w:pPr>
              <w:spacing w:after="0" w:line="276" w:lineRule="auto"/>
              <w:jc w:val="right"/>
              <w:rPr>
                <w:rFonts w:ascii="Arial" w:eastAsia="Times New Roman" w:hAnsi="Arial" w:cs="Arial"/>
                <w:color w:val="000000"/>
                <w:sz w:val="20"/>
                <w:szCs w:val="20"/>
                <w:lang w:eastAsia="sl-SI"/>
              </w:rPr>
            </w:pPr>
            <w:r w:rsidRPr="00D83239">
              <w:rPr>
                <w:rFonts w:ascii="Arial" w:eastAsia="Times New Roman" w:hAnsi="Arial" w:cs="Arial"/>
                <w:color w:val="000000"/>
                <w:sz w:val="20"/>
                <w:szCs w:val="20"/>
                <w:lang w:eastAsia="sl-SI"/>
              </w:rPr>
              <w:t>97</w:t>
            </w:r>
            <w:r w:rsidR="00FA565F">
              <w:rPr>
                <w:rFonts w:ascii="Arial" w:eastAsia="Times New Roman" w:hAnsi="Arial" w:cs="Arial"/>
                <w:color w:val="000000"/>
                <w:sz w:val="20"/>
                <w:szCs w:val="20"/>
                <w:lang w:eastAsia="sl-SI"/>
              </w:rPr>
              <w:t xml:space="preserve"> </w:t>
            </w:r>
            <w:r w:rsidRPr="00D83239">
              <w:rPr>
                <w:rFonts w:ascii="Arial" w:eastAsia="Times New Roman" w:hAnsi="Arial" w:cs="Arial"/>
                <w:color w:val="000000"/>
                <w:sz w:val="20"/>
                <w:szCs w:val="20"/>
                <w:lang w:eastAsia="sl-SI"/>
              </w:rPr>
              <w:t>%</w:t>
            </w:r>
          </w:p>
        </w:tc>
      </w:tr>
    </w:tbl>
    <w:p w14:paraId="20354B7A" w14:textId="77777777" w:rsidR="008D79F0" w:rsidRDefault="008D79F0" w:rsidP="00D83239">
      <w:pPr>
        <w:autoSpaceDE w:val="0"/>
        <w:autoSpaceDN w:val="0"/>
        <w:adjustRightInd w:val="0"/>
        <w:spacing w:after="0" w:line="276" w:lineRule="auto"/>
        <w:jc w:val="both"/>
        <w:rPr>
          <w:rFonts w:ascii="Arial" w:hAnsi="Arial" w:cs="Arial"/>
          <w:b/>
          <w:sz w:val="20"/>
          <w:szCs w:val="20"/>
        </w:rPr>
      </w:pPr>
    </w:p>
    <w:p w14:paraId="5ACBD43E" w14:textId="42E32CAA" w:rsidR="00EC5EA9" w:rsidRPr="00D83239" w:rsidRDefault="00EC5EA9"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b/>
          <w:sz w:val="20"/>
          <w:szCs w:val="20"/>
        </w:rPr>
        <w:t>Preglednica</w:t>
      </w:r>
      <w:r w:rsidRPr="00345662">
        <w:rPr>
          <w:rFonts w:ascii="Arial" w:hAnsi="Arial" w:cs="Arial"/>
          <w:sz w:val="20"/>
          <w:szCs w:val="20"/>
        </w:rPr>
        <w:t>:</w:t>
      </w:r>
      <w:r w:rsidRPr="00D83239">
        <w:rPr>
          <w:rFonts w:ascii="Arial" w:hAnsi="Arial" w:cs="Arial"/>
          <w:sz w:val="20"/>
          <w:szCs w:val="20"/>
        </w:rPr>
        <w:t xml:space="preserve"> Izvedba proračuna MNZ v letu 2025</w:t>
      </w:r>
    </w:p>
    <w:p w14:paraId="589A3A32" w14:textId="77777777" w:rsidR="00EC5EA9" w:rsidRPr="00D83239" w:rsidRDefault="00EC5EA9" w:rsidP="00D83239">
      <w:pPr>
        <w:spacing w:after="0" w:line="276" w:lineRule="auto"/>
        <w:jc w:val="both"/>
        <w:rPr>
          <w:rFonts w:ascii="Arial" w:hAnsi="Arial" w:cs="Arial"/>
          <w:sz w:val="20"/>
          <w:szCs w:val="20"/>
        </w:rPr>
      </w:pPr>
    </w:p>
    <w:p w14:paraId="2FB781AF" w14:textId="5065F2B8" w:rsidR="00EC5EA9" w:rsidRPr="00D83239" w:rsidRDefault="00EC5EA9" w:rsidP="00D83239">
      <w:pPr>
        <w:spacing w:line="276" w:lineRule="auto"/>
        <w:jc w:val="both"/>
        <w:rPr>
          <w:rFonts w:ascii="Arial" w:hAnsi="Arial" w:cs="Arial"/>
          <w:sz w:val="20"/>
          <w:szCs w:val="20"/>
        </w:rPr>
      </w:pPr>
      <w:r w:rsidRPr="00D83239">
        <w:rPr>
          <w:rFonts w:ascii="Arial" w:hAnsi="Arial" w:cs="Arial"/>
          <w:sz w:val="20"/>
          <w:szCs w:val="20"/>
        </w:rPr>
        <w:t xml:space="preserve">Proračun se je na integralnih sredstvih povišal predvsem na račun prerazporeditev za zagotavljanje primanjkljaja na področju stroškov dela in zimskega regresa, ki ga ni bilo mogoče načrtovati ob pripravi proračuna. Dodatne obremenitve proračuna je pomenilo nenačrtovano zagotavljanje sredstev za plačilo avansa za nakup helikopterjev HNMP in nadgradnje </w:t>
      </w:r>
      <w:r w:rsidRPr="00D83239">
        <w:rPr>
          <w:rFonts w:ascii="Arial" w:hAnsi="Arial" w:cs="Arial"/>
          <w:sz w:val="20"/>
          <w:szCs w:val="20"/>
          <w:shd w:val="clear" w:color="auto" w:fill="FFFFFF"/>
        </w:rPr>
        <w:t xml:space="preserve">sistema za nadzor elektronskih komunikacij </w:t>
      </w:r>
      <w:r w:rsidRPr="00D83239">
        <w:rPr>
          <w:rFonts w:ascii="Arial" w:hAnsi="Arial" w:cs="Arial"/>
          <w:sz w:val="20"/>
          <w:szCs w:val="20"/>
        </w:rPr>
        <w:t xml:space="preserve">(SNEK). Na namenskih sredstvih je MNZ na podlagi sklepa Vlade Republike Slovenije povišalo načrt za namen financiranja predvsem investicij, ki v proračun niso bile vključene, je pa bila njihova izvedba nujna. </w:t>
      </w:r>
    </w:p>
    <w:p w14:paraId="2DF6D12B" w14:textId="5F922B32" w:rsidR="00EC5EA9" w:rsidRPr="00D83239" w:rsidRDefault="00EC5EA9" w:rsidP="00D83239">
      <w:pPr>
        <w:spacing w:after="0" w:line="276" w:lineRule="auto"/>
        <w:jc w:val="both"/>
        <w:rPr>
          <w:rFonts w:ascii="Arial" w:hAnsi="Arial" w:cs="Arial"/>
          <w:b/>
          <w:sz w:val="20"/>
          <w:szCs w:val="20"/>
        </w:rPr>
      </w:pPr>
      <w:proofErr w:type="spellStart"/>
      <w:r w:rsidRPr="00D83239">
        <w:rPr>
          <w:rFonts w:ascii="Arial" w:hAnsi="Arial" w:cs="Arial"/>
          <w:b/>
          <w:sz w:val="20"/>
          <w:szCs w:val="20"/>
        </w:rPr>
        <w:t>Novouvrščeni</w:t>
      </w:r>
      <w:proofErr w:type="spellEnd"/>
      <w:r w:rsidRPr="00D83239">
        <w:rPr>
          <w:rFonts w:ascii="Arial" w:hAnsi="Arial" w:cs="Arial"/>
          <w:b/>
          <w:sz w:val="20"/>
          <w:szCs w:val="20"/>
        </w:rPr>
        <w:t xml:space="preserve"> ali ponovno uvrščeni projekti NRP med letom:</w:t>
      </w:r>
    </w:p>
    <w:p w14:paraId="70C33A1B" w14:textId="492CE556" w:rsidR="00EC5EA9" w:rsidRPr="00D83239" w:rsidRDefault="00EC5EA9" w:rsidP="00FE543C">
      <w:pPr>
        <w:pStyle w:val="Odstavekseznama"/>
        <w:numPr>
          <w:ilvl w:val="0"/>
          <w:numId w:val="17"/>
        </w:numPr>
        <w:spacing w:after="160"/>
        <w:ind w:left="426" w:hanging="426"/>
        <w:contextualSpacing/>
        <w:jc w:val="both"/>
        <w:rPr>
          <w:rFonts w:ascii="Arial" w:hAnsi="Arial" w:cs="Arial"/>
          <w:b/>
          <w:sz w:val="20"/>
          <w:szCs w:val="20"/>
        </w:rPr>
      </w:pPr>
      <w:r w:rsidRPr="00D83239">
        <w:rPr>
          <w:rFonts w:ascii="Arial" w:hAnsi="Arial" w:cs="Arial"/>
          <w:sz w:val="20"/>
          <w:szCs w:val="20"/>
        </w:rPr>
        <w:t>1714-21-0015 Rešitev prostorske problematike P</w:t>
      </w:r>
      <w:r w:rsidR="00FA565F">
        <w:rPr>
          <w:rFonts w:ascii="Arial" w:hAnsi="Arial" w:cs="Arial"/>
          <w:sz w:val="20"/>
          <w:szCs w:val="20"/>
        </w:rPr>
        <w:t>olicijske postaje</w:t>
      </w:r>
      <w:r w:rsidRPr="00D83239">
        <w:rPr>
          <w:rFonts w:ascii="Arial" w:hAnsi="Arial" w:cs="Arial"/>
          <w:sz w:val="20"/>
          <w:szCs w:val="20"/>
        </w:rPr>
        <w:t xml:space="preserve"> Ajdovščina</w:t>
      </w:r>
      <w:r w:rsidRPr="00D83239">
        <w:rPr>
          <w:rFonts w:ascii="Arial" w:hAnsi="Arial" w:cs="Arial"/>
          <w:iCs/>
          <w:sz w:val="20"/>
          <w:szCs w:val="20"/>
        </w:rPr>
        <w:t xml:space="preserve"> – projekt je bil ponovno uvrščen</w:t>
      </w:r>
    </w:p>
    <w:p w14:paraId="0C9915B3" w14:textId="2565B065" w:rsidR="00EC5EA9" w:rsidRPr="00D83239" w:rsidRDefault="00EC5EA9" w:rsidP="00FE543C">
      <w:pPr>
        <w:pStyle w:val="Odstavekseznama"/>
        <w:numPr>
          <w:ilvl w:val="0"/>
          <w:numId w:val="17"/>
        </w:numPr>
        <w:spacing w:after="160"/>
        <w:ind w:left="426" w:hanging="426"/>
        <w:contextualSpacing/>
        <w:jc w:val="both"/>
        <w:rPr>
          <w:rFonts w:ascii="Arial" w:hAnsi="Arial" w:cs="Arial"/>
          <w:sz w:val="20"/>
          <w:szCs w:val="20"/>
        </w:rPr>
      </w:pPr>
      <w:r w:rsidRPr="00D83239">
        <w:rPr>
          <w:rFonts w:ascii="Arial" w:hAnsi="Arial" w:cs="Arial"/>
          <w:iCs/>
          <w:sz w:val="20"/>
          <w:szCs w:val="20"/>
        </w:rPr>
        <w:t>1714-25-0012 Aplikacije za mednarodna policijska sodelovanja</w:t>
      </w:r>
    </w:p>
    <w:p w14:paraId="67E2191D" w14:textId="05900B16" w:rsidR="00EC5EA9" w:rsidRPr="00D83239" w:rsidRDefault="00EC5EA9" w:rsidP="00FE543C">
      <w:pPr>
        <w:pStyle w:val="Odstavekseznama"/>
        <w:numPr>
          <w:ilvl w:val="0"/>
          <w:numId w:val="17"/>
        </w:numPr>
        <w:spacing w:after="160"/>
        <w:ind w:left="426" w:hanging="426"/>
        <w:contextualSpacing/>
        <w:jc w:val="both"/>
        <w:rPr>
          <w:rFonts w:ascii="Arial" w:hAnsi="Arial" w:cs="Arial"/>
          <w:b/>
          <w:sz w:val="20"/>
          <w:szCs w:val="20"/>
        </w:rPr>
      </w:pPr>
      <w:r w:rsidRPr="00D83239">
        <w:rPr>
          <w:rFonts w:ascii="Arial" w:hAnsi="Arial" w:cs="Arial"/>
          <w:iCs/>
          <w:sz w:val="20"/>
          <w:szCs w:val="20"/>
        </w:rPr>
        <w:t>1714-25-0007 Prenova sanitarij objekt »DOM 2« Tacen</w:t>
      </w:r>
      <w:r w:rsidRPr="00D83239">
        <w:rPr>
          <w:rFonts w:ascii="Arial" w:hAnsi="Arial" w:cs="Arial"/>
          <w:bCs/>
          <w:iCs/>
          <w:sz w:val="20"/>
          <w:szCs w:val="20"/>
        </w:rPr>
        <w:t xml:space="preserve"> </w:t>
      </w:r>
    </w:p>
    <w:p w14:paraId="67EA6A5D" w14:textId="02061061" w:rsidR="00EC5EA9" w:rsidRPr="00D83239" w:rsidRDefault="00EC5EA9" w:rsidP="00FE543C">
      <w:pPr>
        <w:pStyle w:val="Odstavekseznama"/>
        <w:numPr>
          <w:ilvl w:val="0"/>
          <w:numId w:val="17"/>
        </w:numPr>
        <w:spacing w:after="160"/>
        <w:ind w:left="426" w:hanging="426"/>
        <w:contextualSpacing/>
        <w:jc w:val="both"/>
        <w:rPr>
          <w:rFonts w:ascii="Arial" w:hAnsi="Arial" w:cs="Arial"/>
          <w:b/>
          <w:sz w:val="20"/>
          <w:szCs w:val="20"/>
        </w:rPr>
      </w:pPr>
      <w:r w:rsidRPr="00D83239">
        <w:rPr>
          <w:rFonts w:ascii="Arial" w:hAnsi="Arial" w:cs="Arial"/>
          <w:iCs/>
          <w:sz w:val="20"/>
          <w:szCs w:val="20"/>
        </w:rPr>
        <w:t xml:space="preserve">1714-25-0008 </w:t>
      </w:r>
      <w:r w:rsidRPr="00D83239">
        <w:rPr>
          <w:rFonts w:ascii="Arial" w:hAnsi="Arial" w:cs="Arial"/>
          <w:bCs/>
          <w:sz w:val="20"/>
          <w:szCs w:val="20"/>
        </w:rPr>
        <w:t>Energetska obnova Policijske uprave Murska Sobota</w:t>
      </w:r>
    </w:p>
    <w:p w14:paraId="26FF6327" w14:textId="3DAF145B" w:rsidR="00EC5EA9" w:rsidRPr="00D83239" w:rsidRDefault="00EC5EA9" w:rsidP="00FE543C">
      <w:pPr>
        <w:pStyle w:val="Odstavekseznama"/>
        <w:numPr>
          <w:ilvl w:val="0"/>
          <w:numId w:val="17"/>
        </w:numPr>
        <w:spacing w:after="160"/>
        <w:ind w:left="426" w:hanging="426"/>
        <w:contextualSpacing/>
        <w:jc w:val="both"/>
        <w:rPr>
          <w:rFonts w:ascii="Arial" w:hAnsi="Arial" w:cs="Arial"/>
          <w:b/>
          <w:sz w:val="20"/>
          <w:szCs w:val="20"/>
        </w:rPr>
      </w:pPr>
      <w:r w:rsidRPr="00D83239">
        <w:rPr>
          <w:rFonts w:ascii="Arial" w:hAnsi="Arial" w:cs="Arial"/>
          <w:iCs/>
          <w:sz w:val="20"/>
          <w:szCs w:val="20"/>
        </w:rPr>
        <w:t xml:space="preserve">1714-25-0011 </w:t>
      </w:r>
      <w:r w:rsidRPr="00D83239">
        <w:rPr>
          <w:rFonts w:ascii="Arial" w:hAnsi="Arial" w:cs="Arial"/>
          <w:bCs/>
          <w:sz w:val="20"/>
          <w:szCs w:val="20"/>
        </w:rPr>
        <w:t>Sanacija strešne kritine – mejni prehod Šentilj</w:t>
      </w:r>
    </w:p>
    <w:p w14:paraId="2E8BA231" w14:textId="03867BD9" w:rsidR="00EC5EA9" w:rsidRPr="00D83239" w:rsidRDefault="00EC5EA9" w:rsidP="00FE543C">
      <w:pPr>
        <w:pStyle w:val="Odstavekseznama"/>
        <w:numPr>
          <w:ilvl w:val="0"/>
          <w:numId w:val="17"/>
        </w:numPr>
        <w:spacing w:after="160"/>
        <w:ind w:left="426" w:hanging="426"/>
        <w:contextualSpacing/>
        <w:jc w:val="both"/>
        <w:rPr>
          <w:rFonts w:ascii="Arial" w:hAnsi="Arial" w:cs="Arial"/>
          <w:b/>
          <w:sz w:val="20"/>
          <w:szCs w:val="20"/>
        </w:rPr>
      </w:pPr>
      <w:r w:rsidRPr="00D83239">
        <w:rPr>
          <w:rFonts w:ascii="Arial" w:hAnsi="Arial" w:cs="Arial"/>
          <w:iCs/>
          <w:sz w:val="20"/>
          <w:szCs w:val="20"/>
        </w:rPr>
        <w:t xml:space="preserve">1714-25-0014 Energetska obnova Trubarjeve </w:t>
      </w:r>
      <w:r w:rsidR="00FD61C7">
        <w:rPr>
          <w:rFonts w:ascii="Arial" w:hAnsi="Arial" w:cs="Arial"/>
          <w:iCs/>
          <w:sz w:val="20"/>
          <w:szCs w:val="20"/>
        </w:rPr>
        <w:t xml:space="preserve">ulice </w:t>
      </w:r>
      <w:r w:rsidRPr="00D83239">
        <w:rPr>
          <w:rFonts w:ascii="Arial" w:hAnsi="Arial" w:cs="Arial"/>
          <w:iCs/>
          <w:sz w:val="20"/>
          <w:szCs w:val="20"/>
        </w:rPr>
        <w:t>19 v Mariboru</w:t>
      </w:r>
    </w:p>
    <w:p w14:paraId="3DD9EF2B" w14:textId="701F1D28" w:rsidR="00EC5EA9" w:rsidRPr="00D83239" w:rsidRDefault="00EC5EA9" w:rsidP="00FE543C">
      <w:pPr>
        <w:pStyle w:val="Odstavekseznama"/>
        <w:numPr>
          <w:ilvl w:val="0"/>
          <w:numId w:val="17"/>
        </w:numPr>
        <w:spacing w:after="0"/>
        <w:ind w:left="426" w:hanging="426"/>
        <w:contextualSpacing/>
        <w:jc w:val="both"/>
        <w:rPr>
          <w:rFonts w:ascii="Arial" w:hAnsi="Arial" w:cs="Arial"/>
          <w:iCs/>
          <w:sz w:val="20"/>
          <w:szCs w:val="20"/>
        </w:rPr>
      </w:pPr>
      <w:r w:rsidRPr="00D83239">
        <w:rPr>
          <w:rFonts w:ascii="Arial" w:hAnsi="Arial" w:cs="Arial"/>
          <w:iCs/>
          <w:sz w:val="20"/>
          <w:szCs w:val="20"/>
        </w:rPr>
        <w:t xml:space="preserve">1714-25-0010 </w:t>
      </w:r>
      <w:proofErr w:type="spellStart"/>
      <w:r w:rsidRPr="00D83239">
        <w:rPr>
          <w:rFonts w:ascii="Arial" w:hAnsi="Arial" w:cs="Arial"/>
          <w:iCs/>
          <w:sz w:val="20"/>
          <w:szCs w:val="20"/>
        </w:rPr>
        <w:t>Twinning</w:t>
      </w:r>
      <w:proofErr w:type="spellEnd"/>
      <w:r w:rsidRPr="00D83239">
        <w:rPr>
          <w:rFonts w:ascii="Arial" w:hAnsi="Arial" w:cs="Arial"/>
          <w:iCs/>
          <w:sz w:val="20"/>
          <w:szCs w:val="20"/>
        </w:rPr>
        <w:t xml:space="preserve"> Črna </w:t>
      </w:r>
      <w:r w:rsidR="00C87C03">
        <w:rPr>
          <w:rFonts w:ascii="Arial" w:hAnsi="Arial" w:cs="Arial"/>
          <w:iCs/>
          <w:sz w:val="20"/>
          <w:szCs w:val="20"/>
        </w:rPr>
        <w:t>g</w:t>
      </w:r>
      <w:r w:rsidRPr="00D83239">
        <w:rPr>
          <w:rFonts w:ascii="Arial" w:hAnsi="Arial" w:cs="Arial"/>
          <w:iCs/>
          <w:sz w:val="20"/>
          <w:szCs w:val="20"/>
        </w:rPr>
        <w:t xml:space="preserve">ora </w:t>
      </w:r>
      <w:r w:rsidR="00AD3610">
        <w:rPr>
          <w:rFonts w:ascii="Arial" w:hAnsi="Arial" w:cs="Arial"/>
          <w:iCs/>
          <w:sz w:val="20"/>
          <w:szCs w:val="20"/>
        </w:rPr>
        <w:t>–</w:t>
      </w:r>
      <w:r w:rsidR="00AD3610" w:rsidRPr="00D83239">
        <w:rPr>
          <w:rFonts w:ascii="Arial" w:hAnsi="Arial" w:cs="Arial"/>
          <w:sz w:val="20"/>
          <w:szCs w:val="20"/>
        </w:rPr>
        <w:t xml:space="preserve"> </w:t>
      </w:r>
      <w:r w:rsidR="00C87C03">
        <w:rPr>
          <w:rFonts w:ascii="Arial" w:hAnsi="Arial" w:cs="Arial"/>
          <w:sz w:val="20"/>
          <w:szCs w:val="20"/>
        </w:rPr>
        <w:t>i</w:t>
      </w:r>
      <w:r w:rsidRPr="00D83239">
        <w:rPr>
          <w:rFonts w:ascii="Arial" w:hAnsi="Arial" w:cs="Arial"/>
          <w:sz w:val="20"/>
          <w:szCs w:val="20"/>
        </w:rPr>
        <w:t>ntegrirano upravljanje meja</w:t>
      </w:r>
    </w:p>
    <w:p w14:paraId="6CB91564" w14:textId="74AE7D17" w:rsidR="00EC5EA9" w:rsidRPr="00D83239" w:rsidRDefault="00EC5EA9" w:rsidP="00FE543C">
      <w:pPr>
        <w:pStyle w:val="Odstavekseznama"/>
        <w:numPr>
          <w:ilvl w:val="0"/>
          <w:numId w:val="17"/>
        </w:numPr>
        <w:spacing w:after="0"/>
        <w:ind w:left="426" w:hanging="426"/>
        <w:contextualSpacing/>
        <w:jc w:val="both"/>
        <w:rPr>
          <w:rFonts w:ascii="Arial" w:hAnsi="Arial" w:cs="Arial"/>
          <w:iCs/>
          <w:sz w:val="20"/>
          <w:szCs w:val="20"/>
        </w:rPr>
      </w:pPr>
      <w:r w:rsidRPr="00D83239">
        <w:rPr>
          <w:rFonts w:ascii="Arial" w:hAnsi="Arial" w:cs="Arial"/>
          <w:iCs/>
          <w:sz w:val="20"/>
          <w:szCs w:val="20"/>
        </w:rPr>
        <w:t xml:space="preserve">1714-25-0006 Prostori za vodnike službenih psov Novo mesto </w:t>
      </w:r>
    </w:p>
    <w:p w14:paraId="13769631" w14:textId="77777777" w:rsidR="00EC5EA9" w:rsidRPr="00D83239" w:rsidRDefault="00EC5EA9" w:rsidP="00FE543C">
      <w:pPr>
        <w:pStyle w:val="Odstavekseznama"/>
        <w:numPr>
          <w:ilvl w:val="0"/>
          <w:numId w:val="17"/>
        </w:numPr>
        <w:spacing w:after="0"/>
        <w:ind w:left="426" w:hanging="426"/>
        <w:contextualSpacing/>
        <w:jc w:val="both"/>
        <w:rPr>
          <w:rFonts w:ascii="Arial" w:hAnsi="Arial" w:cs="Arial"/>
          <w:iCs/>
          <w:sz w:val="20"/>
          <w:szCs w:val="20"/>
        </w:rPr>
      </w:pPr>
      <w:r w:rsidRPr="00D83239">
        <w:rPr>
          <w:rFonts w:ascii="Arial" w:hAnsi="Arial" w:cs="Arial"/>
          <w:iCs/>
          <w:sz w:val="20"/>
          <w:szCs w:val="20"/>
        </w:rPr>
        <w:t>1714-25-0005 Postavitev polnilnih postaj za vozila Policije</w:t>
      </w:r>
    </w:p>
    <w:p w14:paraId="476C88D4" w14:textId="77777777" w:rsidR="00EC5EA9" w:rsidRPr="00D83239" w:rsidRDefault="00EC5EA9" w:rsidP="00D83239">
      <w:pPr>
        <w:spacing w:after="0" w:line="276" w:lineRule="auto"/>
        <w:jc w:val="both"/>
        <w:rPr>
          <w:rFonts w:ascii="Arial" w:hAnsi="Arial" w:cs="Arial"/>
          <w:iCs/>
          <w:sz w:val="20"/>
          <w:szCs w:val="20"/>
        </w:rPr>
      </w:pPr>
    </w:p>
    <w:p w14:paraId="29C9FB3E" w14:textId="77777777"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rPr>
        <w:t>Podaljšanje projekta in spremenjena izhodiščna vrednost:</w:t>
      </w:r>
    </w:p>
    <w:p w14:paraId="44B84547" w14:textId="77777777" w:rsidR="00EC5EA9" w:rsidRPr="00D83239" w:rsidRDefault="00EC5EA9" w:rsidP="00FE543C">
      <w:pPr>
        <w:pStyle w:val="Odstavekseznama"/>
        <w:numPr>
          <w:ilvl w:val="0"/>
          <w:numId w:val="28"/>
        </w:numPr>
        <w:spacing w:after="0"/>
        <w:contextualSpacing/>
        <w:jc w:val="both"/>
        <w:rPr>
          <w:rFonts w:ascii="Arial" w:hAnsi="Arial" w:cs="Arial"/>
          <w:b/>
          <w:sz w:val="20"/>
          <w:szCs w:val="20"/>
        </w:rPr>
      </w:pPr>
      <w:r w:rsidRPr="00D83239">
        <w:rPr>
          <w:rFonts w:ascii="Arial" w:hAnsi="Arial" w:cs="Arial"/>
          <w:iCs/>
          <w:sz w:val="20"/>
          <w:szCs w:val="20"/>
        </w:rPr>
        <w:t>1714-25-0012 Aplikacije za mednarodna policijska sodelovanja</w:t>
      </w:r>
      <w:r w:rsidRPr="00D83239">
        <w:rPr>
          <w:rFonts w:ascii="Arial" w:hAnsi="Arial" w:cs="Arial"/>
          <w:b/>
          <w:sz w:val="20"/>
          <w:szCs w:val="20"/>
        </w:rPr>
        <w:t xml:space="preserve"> </w:t>
      </w:r>
    </w:p>
    <w:p w14:paraId="6C4680C5" w14:textId="134B0EF5" w:rsidR="00EC5EA9" w:rsidRPr="00D83239" w:rsidRDefault="00EC5EA9" w:rsidP="00FE543C">
      <w:pPr>
        <w:pStyle w:val="Odstavekseznama"/>
        <w:numPr>
          <w:ilvl w:val="0"/>
          <w:numId w:val="28"/>
        </w:numPr>
        <w:spacing w:after="0"/>
        <w:contextualSpacing/>
        <w:jc w:val="both"/>
        <w:rPr>
          <w:rFonts w:ascii="Arial" w:hAnsi="Arial" w:cs="Arial"/>
          <w:bCs/>
          <w:sz w:val="20"/>
          <w:szCs w:val="20"/>
        </w:rPr>
      </w:pPr>
      <w:r w:rsidRPr="00D83239">
        <w:rPr>
          <w:rFonts w:ascii="Arial" w:hAnsi="Arial" w:cs="Arial"/>
          <w:bCs/>
          <w:iCs/>
          <w:sz w:val="20"/>
          <w:szCs w:val="20"/>
        </w:rPr>
        <w:t xml:space="preserve">1714-20-0007 </w:t>
      </w:r>
      <w:r w:rsidRPr="00D83239">
        <w:rPr>
          <w:rFonts w:ascii="Arial" w:hAnsi="Arial" w:cs="Arial"/>
          <w:bCs/>
          <w:sz w:val="20"/>
          <w:szCs w:val="20"/>
          <w:shd w:val="clear" w:color="auto" w:fill="FFFFFF"/>
        </w:rPr>
        <w:t>Posebna tehnična sredstva Policija 2021</w:t>
      </w:r>
      <w:r w:rsidR="00AD3610">
        <w:rPr>
          <w:rFonts w:ascii="Arial" w:hAnsi="Arial" w:cs="Arial"/>
          <w:bCs/>
          <w:sz w:val="20"/>
          <w:szCs w:val="20"/>
          <w:shd w:val="clear" w:color="auto" w:fill="FFFFFF"/>
        </w:rPr>
        <w:t>–</w:t>
      </w:r>
      <w:r w:rsidRPr="00D83239">
        <w:rPr>
          <w:rFonts w:ascii="Arial" w:hAnsi="Arial" w:cs="Arial"/>
          <w:bCs/>
          <w:sz w:val="20"/>
          <w:szCs w:val="20"/>
          <w:shd w:val="clear" w:color="auto" w:fill="FFFFFF"/>
        </w:rPr>
        <w:t>2025</w:t>
      </w:r>
    </w:p>
    <w:p w14:paraId="67C6E672" w14:textId="554906E1" w:rsidR="00EC5EA9" w:rsidRPr="00D83239" w:rsidRDefault="00EC5EA9" w:rsidP="00FE543C">
      <w:pPr>
        <w:pStyle w:val="Odstavekseznama"/>
        <w:numPr>
          <w:ilvl w:val="0"/>
          <w:numId w:val="28"/>
        </w:numPr>
        <w:spacing w:after="0"/>
        <w:contextualSpacing/>
        <w:jc w:val="both"/>
        <w:rPr>
          <w:rFonts w:ascii="Arial" w:hAnsi="Arial" w:cs="Arial"/>
          <w:b/>
          <w:sz w:val="20"/>
          <w:szCs w:val="20"/>
        </w:rPr>
      </w:pPr>
      <w:r w:rsidRPr="00D83239">
        <w:rPr>
          <w:rFonts w:ascii="Arial" w:hAnsi="Arial" w:cs="Arial"/>
          <w:iCs/>
          <w:sz w:val="20"/>
          <w:szCs w:val="20"/>
        </w:rPr>
        <w:t>1714-20-0012 Investicijsko vzdrževanje stanovanj Policije 21</w:t>
      </w:r>
      <w:r w:rsidR="00AD3610">
        <w:rPr>
          <w:rFonts w:ascii="Arial" w:hAnsi="Arial" w:cs="Arial"/>
          <w:iCs/>
          <w:sz w:val="20"/>
          <w:szCs w:val="20"/>
        </w:rPr>
        <w:t>–</w:t>
      </w:r>
      <w:r w:rsidRPr="00D83239">
        <w:rPr>
          <w:rFonts w:ascii="Arial" w:hAnsi="Arial" w:cs="Arial"/>
          <w:iCs/>
          <w:sz w:val="20"/>
          <w:szCs w:val="20"/>
        </w:rPr>
        <w:t>25</w:t>
      </w:r>
    </w:p>
    <w:p w14:paraId="30EEEF7E" w14:textId="004F9B04" w:rsidR="00EC5EA9" w:rsidRPr="00D83239" w:rsidRDefault="00EC5EA9" w:rsidP="00FE543C">
      <w:pPr>
        <w:pStyle w:val="Odstavekseznama"/>
        <w:numPr>
          <w:ilvl w:val="0"/>
          <w:numId w:val="28"/>
        </w:numPr>
        <w:spacing w:after="0"/>
        <w:contextualSpacing/>
        <w:jc w:val="both"/>
        <w:rPr>
          <w:rFonts w:ascii="Arial" w:hAnsi="Arial" w:cs="Arial"/>
          <w:b/>
          <w:sz w:val="20"/>
          <w:szCs w:val="20"/>
        </w:rPr>
      </w:pPr>
      <w:r w:rsidRPr="00D83239">
        <w:rPr>
          <w:rFonts w:ascii="Arial" w:hAnsi="Arial" w:cs="Arial"/>
          <w:iCs/>
          <w:sz w:val="20"/>
          <w:szCs w:val="20"/>
        </w:rPr>
        <w:t>1714-21-0030 Zaščita podatkov</w:t>
      </w:r>
    </w:p>
    <w:p w14:paraId="08FA9065" w14:textId="5F241BF0" w:rsidR="00716F34" w:rsidRPr="00D83239" w:rsidRDefault="00716F34" w:rsidP="00D83239">
      <w:pPr>
        <w:spacing w:after="0" w:line="276" w:lineRule="auto"/>
        <w:contextualSpacing/>
        <w:jc w:val="both"/>
        <w:rPr>
          <w:rFonts w:ascii="Arial" w:hAnsi="Arial" w:cs="Arial"/>
          <w:b/>
          <w:sz w:val="20"/>
          <w:szCs w:val="20"/>
        </w:rPr>
      </w:pPr>
    </w:p>
    <w:p w14:paraId="596690DC" w14:textId="745206CA"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rPr>
        <w:t>Pripravljeno je bilo gradivo, ki pa ni bil</w:t>
      </w:r>
      <w:r w:rsidR="00FA565F">
        <w:rPr>
          <w:rFonts w:ascii="Arial" w:hAnsi="Arial" w:cs="Arial"/>
          <w:b/>
          <w:sz w:val="20"/>
          <w:szCs w:val="20"/>
        </w:rPr>
        <w:t xml:space="preserve">o </w:t>
      </w:r>
      <w:r w:rsidRPr="00D83239">
        <w:rPr>
          <w:rFonts w:ascii="Arial" w:hAnsi="Arial" w:cs="Arial"/>
          <w:b/>
          <w:sz w:val="20"/>
          <w:szCs w:val="20"/>
        </w:rPr>
        <w:t>obravnavano:</w:t>
      </w:r>
    </w:p>
    <w:p w14:paraId="4ED02AD4" w14:textId="6D99B8E8" w:rsidR="00EC5EA9" w:rsidRPr="00D83239" w:rsidRDefault="00EC5EA9" w:rsidP="00FE543C">
      <w:pPr>
        <w:pStyle w:val="Odstavekseznama"/>
        <w:numPr>
          <w:ilvl w:val="0"/>
          <w:numId w:val="18"/>
        </w:numPr>
        <w:autoSpaceDE w:val="0"/>
        <w:autoSpaceDN w:val="0"/>
        <w:adjustRightInd w:val="0"/>
        <w:spacing w:after="0"/>
        <w:ind w:left="426" w:hanging="426"/>
        <w:contextualSpacing/>
        <w:jc w:val="both"/>
        <w:rPr>
          <w:rFonts w:ascii="Arial" w:hAnsi="Arial" w:cs="Arial"/>
          <w:bCs/>
          <w:sz w:val="20"/>
          <w:szCs w:val="20"/>
        </w:rPr>
      </w:pPr>
      <w:proofErr w:type="spellStart"/>
      <w:r w:rsidRPr="00D83239">
        <w:rPr>
          <w:rFonts w:ascii="Arial" w:hAnsi="Arial" w:cs="Arial"/>
          <w:sz w:val="20"/>
          <w:szCs w:val="20"/>
        </w:rPr>
        <w:t>Novelacija</w:t>
      </w:r>
      <w:proofErr w:type="spellEnd"/>
      <w:r w:rsidRPr="00D83239">
        <w:rPr>
          <w:rFonts w:ascii="Arial" w:hAnsi="Arial" w:cs="Arial"/>
          <w:sz w:val="20"/>
          <w:szCs w:val="20"/>
        </w:rPr>
        <w:t xml:space="preserve"> investicijskega programa (</w:t>
      </w:r>
      <w:proofErr w:type="spellStart"/>
      <w:r w:rsidR="00AD3610">
        <w:rPr>
          <w:rFonts w:ascii="Arial" w:hAnsi="Arial" w:cs="Arial"/>
          <w:sz w:val="20"/>
          <w:szCs w:val="20"/>
        </w:rPr>
        <w:t>n</w:t>
      </w:r>
      <w:r w:rsidRPr="00D83239">
        <w:rPr>
          <w:rFonts w:ascii="Arial" w:hAnsi="Arial" w:cs="Arial"/>
          <w:sz w:val="20"/>
          <w:szCs w:val="20"/>
        </w:rPr>
        <w:t>ovelacija</w:t>
      </w:r>
      <w:proofErr w:type="spellEnd"/>
      <w:r w:rsidRPr="00D83239">
        <w:rPr>
          <w:rFonts w:ascii="Arial" w:hAnsi="Arial" w:cs="Arial"/>
          <w:sz w:val="20"/>
          <w:szCs w:val="20"/>
        </w:rPr>
        <w:t xml:space="preserve"> IP) za projekt </w:t>
      </w:r>
      <w:r w:rsidRPr="00D83239">
        <w:rPr>
          <w:rFonts w:ascii="Arial" w:hAnsi="Arial" w:cs="Arial"/>
          <w:bCs/>
          <w:sz w:val="20"/>
          <w:szCs w:val="20"/>
        </w:rPr>
        <w:t xml:space="preserve">Rešitev prostorske problematike </w:t>
      </w:r>
      <w:r w:rsidR="00FA565F">
        <w:rPr>
          <w:rFonts w:ascii="Arial" w:hAnsi="Arial" w:cs="Arial"/>
          <w:bCs/>
          <w:sz w:val="20"/>
          <w:szCs w:val="20"/>
        </w:rPr>
        <w:t>M</w:t>
      </w:r>
      <w:r w:rsidR="00FA565F" w:rsidRPr="00D83239">
        <w:rPr>
          <w:rFonts w:ascii="Arial" w:hAnsi="Arial" w:cs="Arial"/>
          <w:bCs/>
          <w:sz w:val="20"/>
          <w:szCs w:val="20"/>
        </w:rPr>
        <w:t xml:space="preserve">inistrstva za notranje zadeve, </w:t>
      </w:r>
      <w:r w:rsidR="00FA565F">
        <w:rPr>
          <w:rFonts w:ascii="Arial" w:hAnsi="Arial" w:cs="Arial"/>
          <w:bCs/>
          <w:sz w:val="20"/>
          <w:szCs w:val="20"/>
        </w:rPr>
        <w:t>I</w:t>
      </w:r>
      <w:r w:rsidR="00FA565F" w:rsidRPr="00D83239">
        <w:rPr>
          <w:rFonts w:ascii="Arial" w:hAnsi="Arial" w:cs="Arial"/>
          <w:bCs/>
          <w:sz w:val="20"/>
          <w:szCs w:val="20"/>
        </w:rPr>
        <w:t xml:space="preserve">nšpektorata </w:t>
      </w:r>
      <w:r w:rsidR="00FA565F">
        <w:rPr>
          <w:rFonts w:ascii="Arial" w:hAnsi="Arial" w:cs="Arial"/>
          <w:bCs/>
          <w:sz w:val="20"/>
          <w:szCs w:val="20"/>
        </w:rPr>
        <w:t>RS</w:t>
      </w:r>
      <w:r w:rsidR="00FA565F" w:rsidRPr="00D83239">
        <w:rPr>
          <w:rFonts w:ascii="Arial" w:hAnsi="Arial" w:cs="Arial"/>
          <w:bCs/>
          <w:sz w:val="20"/>
          <w:szCs w:val="20"/>
        </w:rPr>
        <w:t xml:space="preserve"> za notranje zadeve,</w:t>
      </w:r>
      <w:r w:rsidR="00EF1CB0">
        <w:rPr>
          <w:rFonts w:ascii="Arial" w:hAnsi="Arial" w:cs="Arial"/>
          <w:bCs/>
          <w:sz w:val="20"/>
          <w:szCs w:val="20"/>
        </w:rPr>
        <w:t xml:space="preserve"> GPU</w:t>
      </w:r>
      <w:r w:rsidR="00FA565F" w:rsidRPr="00D83239">
        <w:rPr>
          <w:rFonts w:ascii="Arial" w:hAnsi="Arial" w:cs="Arial"/>
          <w:bCs/>
          <w:sz w:val="20"/>
          <w:szCs w:val="20"/>
        </w:rPr>
        <w:t xml:space="preserve"> ter </w:t>
      </w:r>
      <w:r w:rsidR="00FA565F">
        <w:rPr>
          <w:rFonts w:ascii="Arial" w:hAnsi="Arial" w:cs="Arial"/>
          <w:bCs/>
          <w:sz w:val="20"/>
          <w:szCs w:val="20"/>
        </w:rPr>
        <w:t>P</w:t>
      </w:r>
      <w:r w:rsidR="00FA565F" w:rsidRPr="00D83239">
        <w:rPr>
          <w:rFonts w:ascii="Arial" w:hAnsi="Arial" w:cs="Arial"/>
          <w:bCs/>
          <w:sz w:val="20"/>
          <w:szCs w:val="20"/>
        </w:rPr>
        <w:t xml:space="preserve">olicijske uprave </w:t>
      </w:r>
      <w:r w:rsidR="00AD3610">
        <w:rPr>
          <w:rFonts w:ascii="Arial" w:hAnsi="Arial" w:cs="Arial"/>
          <w:bCs/>
          <w:sz w:val="20"/>
          <w:szCs w:val="20"/>
        </w:rPr>
        <w:t>L</w:t>
      </w:r>
      <w:r w:rsidR="00FA565F" w:rsidRPr="00D83239">
        <w:rPr>
          <w:rFonts w:ascii="Arial" w:hAnsi="Arial" w:cs="Arial"/>
          <w:bCs/>
          <w:sz w:val="20"/>
          <w:szCs w:val="20"/>
        </w:rPr>
        <w:t>jubljana</w:t>
      </w:r>
    </w:p>
    <w:p w14:paraId="2307D7DE" w14:textId="62ED6BE2" w:rsidR="00EC5EA9" w:rsidRPr="00D83239" w:rsidRDefault="00EC5EA9" w:rsidP="00FE543C">
      <w:pPr>
        <w:pStyle w:val="Odstavekseznama"/>
        <w:numPr>
          <w:ilvl w:val="0"/>
          <w:numId w:val="18"/>
        </w:numPr>
        <w:autoSpaceDE w:val="0"/>
        <w:autoSpaceDN w:val="0"/>
        <w:adjustRightInd w:val="0"/>
        <w:spacing w:after="0"/>
        <w:ind w:left="426" w:hanging="426"/>
        <w:contextualSpacing/>
        <w:jc w:val="both"/>
        <w:rPr>
          <w:rFonts w:ascii="Arial" w:hAnsi="Arial" w:cs="Arial"/>
          <w:bCs/>
          <w:sz w:val="20"/>
          <w:szCs w:val="20"/>
        </w:rPr>
      </w:pPr>
      <w:r w:rsidRPr="00D83239">
        <w:rPr>
          <w:rFonts w:ascii="Arial" w:hAnsi="Arial" w:cs="Arial"/>
          <w:bCs/>
          <w:iCs/>
          <w:sz w:val="20"/>
          <w:szCs w:val="20"/>
        </w:rPr>
        <w:t xml:space="preserve">1714-25-0013 </w:t>
      </w:r>
      <w:r w:rsidRPr="00D83239">
        <w:rPr>
          <w:rFonts w:ascii="Arial" w:hAnsi="Arial" w:cs="Arial"/>
          <w:bCs/>
          <w:sz w:val="20"/>
          <w:szCs w:val="20"/>
        </w:rPr>
        <w:t>Posodobitev obdelave tajnih podatkov</w:t>
      </w:r>
    </w:p>
    <w:p w14:paraId="7EF112BF" w14:textId="49509751" w:rsidR="00EC5EA9" w:rsidRPr="00D83239" w:rsidRDefault="00EC5EA9" w:rsidP="00FE543C">
      <w:pPr>
        <w:pStyle w:val="Odstavekseznama"/>
        <w:numPr>
          <w:ilvl w:val="0"/>
          <w:numId w:val="18"/>
        </w:numPr>
        <w:autoSpaceDE w:val="0"/>
        <w:autoSpaceDN w:val="0"/>
        <w:adjustRightInd w:val="0"/>
        <w:spacing w:after="0"/>
        <w:ind w:left="426" w:hanging="426"/>
        <w:contextualSpacing/>
        <w:jc w:val="both"/>
        <w:rPr>
          <w:rFonts w:ascii="Arial" w:hAnsi="Arial" w:cs="Arial"/>
          <w:bCs/>
          <w:sz w:val="20"/>
          <w:szCs w:val="20"/>
        </w:rPr>
      </w:pPr>
      <w:r w:rsidRPr="00D83239">
        <w:rPr>
          <w:rFonts w:ascii="Arial" w:hAnsi="Arial" w:cs="Arial"/>
          <w:bCs/>
          <w:sz w:val="20"/>
          <w:szCs w:val="20"/>
        </w:rPr>
        <w:t>1714-25-0009 Prostori za izravnalne ukrepe Koper in Nova Gorica</w:t>
      </w:r>
    </w:p>
    <w:p w14:paraId="016924F3" w14:textId="459F3234" w:rsidR="00EC5EA9" w:rsidRPr="00D83239" w:rsidRDefault="00EC5EA9" w:rsidP="00FE543C">
      <w:pPr>
        <w:pStyle w:val="Odstavekseznama"/>
        <w:numPr>
          <w:ilvl w:val="0"/>
          <w:numId w:val="18"/>
        </w:numPr>
        <w:autoSpaceDE w:val="0"/>
        <w:autoSpaceDN w:val="0"/>
        <w:adjustRightInd w:val="0"/>
        <w:spacing w:after="0"/>
        <w:ind w:left="426" w:hanging="426"/>
        <w:contextualSpacing/>
        <w:jc w:val="both"/>
        <w:rPr>
          <w:rFonts w:ascii="Arial" w:hAnsi="Arial" w:cs="Arial"/>
          <w:bCs/>
          <w:sz w:val="20"/>
          <w:szCs w:val="20"/>
        </w:rPr>
      </w:pPr>
      <w:r w:rsidRPr="00D83239">
        <w:rPr>
          <w:rFonts w:ascii="Arial" w:hAnsi="Arial" w:cs="Arial"/>
          <w:bCs/>
          <w:iCs/>
          <w:sz w:val="20"/>
          <w:szCs w:val="20"/>
        </w:rPr>
        <w:t xml:space="preserve">1714-21-0017 </w:t>
      </w:r>
      <w:r w:rsidRPr="00D83239">
        <w:rPr>
          <w:rFonts w:ascii="Arial" w:hAnsi="Arial" w:cs="Arial"/>
          <w:bCs/>
          <w:sz w:val="20"/>
          <w:szCs w:val="20"/>
          <w:shd w:val="clear" w:color="auto" w:fill="FFFFFF"/>
        </w:rPr>
        <w:t>Rešitev prostorske problematike P</w:t>
      </w:r>
      <w:r w:rsidR="00FA565F">
        <w:rPr>
          <w:rFonts w:ascii="Arial" w:hAnsi="Arial" w:cs="Arial"/>
          <w:bCs/>
          <w:sz w:val="20"/>
          <w:szCs w:val="20"/>
          <w:shd w:val="clear" w:color="auto" w:fill="FFFFFF"/>
        </w:rPr>
        <w:t>olicijske postaje</w:t>
      </w:r>
      <w:r w:rsidRPr="00D83239">
        <w:rPr>
          <w:rFonts w:ascii="Arial" w:hAnsi="Arial" w:cs="Arial"/>
          <w:bCs/>
          <w:sz w:val="20"/>
          <w:szCs w:val="20"/>
          <w:shd w:val="clear" w:color="auto" w:fill="FFFFFF"/>
        </w:rPr>
        <w:t xml:space="preserve"> Tolmin</w:t>
      </w:r>
    </w:p>
    <w:p w14:paraId="430BDEFA" w14:textId="77777777" w:rsidR="00D83239" w:rsidRDefault="00D83239" w:rsidP="00D83239">
      <w:pPr>
        <w:spacing w:after="0" w:line="276" w:lineRule="auto"/>
        <w:jc w:val="both"/>
        <w:rPr>
          <w:rFonts w:ascii="Arial" w:hAnsi="Arial" w:cs="Arial"/>
          <w:bCs/>
          <w:sz w:val="20"/>
          <w:szCs w:val="20"/>
        </w:rPr>
      </w:pPr>
    </w:p>
    <w:p w14:paraId="5AB8EA15" w14:textId="43EF0126" w:rsidR="00EC5EA9" w:rsidRPr="00D83239" w:rsidRDefault="00EC5EA9" w:rsidP="00D83239">
      <w:pPr>
        <w:spacing w:after="0" w:line="276" w:lineRule="auto"/>
        <w:jc w:val="both"/>
        <w:rPr>
          <w:rFonts w:ascii="Arial" w:hAnsi="Arial" w:cs="Arial"/>
          <w:b/>
          <w:sz w:val="20"/>
          <w:szCs w:val="20"/>
        </w:rPr>
      </w:pPr>
      <w:r w:rsidRPr="00D83239">
        <w:rPr>
          <w:rFonts w:ascii="Arial" w:hAnsi="Arial" w:cs="Arial"/>
          <w:b/>
          <w:sz w:val="20"/>
          <w:szCs w:val="20"/>
        </w:rPr>
        <w:t>Projekti, ki so bili odprti s proračunom 2026–2027:</w:t>
      </w:r>
    </w:p>
    <w:p w14:paraId="02F90C56" w14:textId="0359BC4F" w:rsidR="00EC5EA9" w:rsidRPr="00D83239" w:rsidRDefault="00EC5EA9" w:rsidP="00FE543C">
      <w:pPr>
        <w:pStyle w:val="Odstavekseznama"/>
        <w:numPr>
          <w:ilvl w:val="0"/>
          <w:numId w:val="19"/>
        </w:numPr>
        <w:ind w:left="426" w:hanging="284"/>
        <w:contextualSpacing/>
        <w:jc w:val="both"/>
        <w:rPr>
          <w:rFonts w:ascii="Arial" w:hAnsi="Arial" w:cs="Arial"/>
          <w:sz w:val="20"/>
          <w:szCs w:val="20"/>
        </w:rPr>
      </w:pPr>
      <w:r w:rsidRPr="00D83239">
        <w:rPr>
          <w:rFonts w:ascii="Arial" w:hAnsi="Arial" w:cs="Arial"/>
          <w:sz w:val="20"/>
          <w:szCs w:val="20"/>
        </w:rPr>
        <w:t>1714-26-0001 Energetska sanacija objekta »šola«, P</w:t>
      </w:r>
      <w:r w:rsidR="00FA565F">
        <w:rPr>
          <w:rFonts w:ascii="Arial" w:hAnsi="Arial" w:cs="Arial"/>
          <w:sz w:val="20"/>
          <w:szCs w:val="20"/>
        </w:rPr>
        <w:t>olicijska akademija</w:t>
      </w:r>
      <w:r w:rsidRPr="00D83239">
        <w:rPr>
          <w:rFonts w:ascii="Arial" w:hAnsi="Arial" w:cs="Arial"/>
          <w:sz w:val="20"/>
          <w:szCs w:val="20"/>
        </w:rPr>
        <w:t xml:space="preserve"> Tacen </w:t>
      </w:r>
    </w:p>
    <w:p w14:paraId="275AF784" w14:textId="69DE04F3" w:rsidR="00EC5EA9" w:rsidRPr="00D83239" w:rsidRDefault="00EC5EA9" w:rsidP="00FE543C">
      <w:pPr>
        <w:pStyle w:val="Odstavekseznama"/>
        <w:numPr>
          <w:ilvl w:val="0"/>
          <w:numId w:val="19"/>
        </w:numPr>
        <w:ind w:left="426" w:hanging="284"/>
        <w:contextualSpacing/>
        <w:jc w:val="both"/>
        <w:rPr>
          <w:rFonts w:ascii="Arial" w:hAnsi="Arial" w:cs="Arial"/>
          <w:sz w:val="20"/>
          <w:szCs w:val="20"/>
        </w:rPr>
      </w:pPr>
      <w:r w:rsidRPr="00D83239">
        <w:rPr>
          <w:rFonts w:ascii="Arial" w:hAnsi="Arial" w:cs="Arial"/>
          <w:sz w:val="20"/>
          <w:szCs w:val="20"/>
        </w:rPr>
        <w:t xml:space="preserve">1714-26-0004 </w:t>
      </w:r>
      <w:r w:rsidRPr="00D83239">
        <w:rPr>
          <w:rFonts w:ascii="Arial" w:hAnsi="Arial" w:cs="Arial"/>
          <w:bCs/>
          <w:sz w:val="20"/>
          <w:szCs w:val="20"/>
        </w:rPr>
        <w:t>K</w:t>
      </w:r>
      <w:r w:rsidRPr="00D83239">
        <w:rPr>
          <w:rFonts w:ascii="Arial" w:hAnsi="Arial" w:cs="Arial"/>
          <w:sz w:val="20"/>
          <w:szCs w:val="20"/>
        </w:rPr>
        <w:t>omunikacij</w:t>
      </w:r>
      <w:r w:rsidR="00AD3610">
        <w:rPr>
          <w:rFonts w:ascii="Arial" w:hAnsi="Arial" w:cs="Arial"/>
          <w:sz w:val="20"/>
          <w:szCs w:val="20"/>
        </w:rPr>
        <w:t>sk</w:t>
      </w:r>
      <w:r w:rsidRPr="00D83239">
        <w:rPr>
          <w:rFonts w:ascii="Arial" w:hAnsi="Arial" w:cs="Arial"/>
          <w:sz w:val="20"/>
          <w:szCs w:val="20"/>
        </w:rPr>
        <w:t>a oprema in elektronske naprave</w:t>
      </w:r>
    </w:p>
    <w:p w14:paraId="67D6463D" w14:textId="77777777" w:rsidR="00EC5EA9" w:rsidRPr="00D83239" w:rsidRDefault="00EC5EA9" w:rsidP="00FE543C">
      <w:pPr>
        <w:pStyle w:val="Odstavekseznama"/>
        <w:numPr>
          <w:ilvl w:val="0"/>
          <w:numId w:val="19"/>
        </w:numPr>
        <w:ind w:left="426" w:hanging="284"/>
        <w:contextualSpacing/>
        <w:jc w:val="both"/>
        <w:rPr>
          <w:rFonts w:ascii="Arial" w:hAnsi="Arial" w:cs="Arial"/>
          <w:sz w:val="20"/>
          <w:szCs w:val="20"/>
        </w:rPr>
      </w:pPr>
      <w:r w:rsidRPr="00D83239">
        <w:rPr>
          <w:rFonts w:ascii="Arial" w:hAnsi="Arial" w:cs="Arial"/>
          <w:sz w:val="20"/>
          <w:szCs w:val="20"/>
        </w:rPr>
        <w:t>1714-26-0003 Oprema za nadzor prometa – policija</w:t>
      </w:r>
    </w:p>
    <w:p w14:paraId="2251875A" w14:textId="77777777" w:rsidR="00EC5EA9" w:rsidRDefault="00EC5EA9" w:rsidP="00FA565F">
      <w:pPr>
        <w:pStyle w:val="Odstavekseznama"/>
        <w:numPr>
          <w:ilvl w:val="0"/>
          <w:numId w:val="19"/>
        </w:numPr>
        <w:spacing w:after="0"/>
        <w:ind w:left="426" w:hanging="284"/>
        <w:contextualSpacing/>
        <w:jc w:val="both"/>
        <w:rPr>
          <w:rFonts w:ascii="Arial" w:hAnsi="Arial" w:cs="Arial"/>
          <w:sz w:val="20"/>
          <w:szCs w:val="20"/>
        </w:rPr>
      </w:pPr>
      <w:r w:rsidRPr="00D83239">
        <w:rPr>
          <w:rFonts w:ascii="Arial" w:hAnsi="Arial" w:cs="Arial"/>
          <w:sz w:val="20"/>
          <w:szCs w:val="20"/>
        </w:rPr>
        <w:t>1714-26-0002 Sodelovanje na zunanjih mejah EU FRONTEX</w:t>
      </w:r>
    </w:p>
    <w:p w14:paraId="220963E6" w14:textId="77777777" w:rsidR="00FA565F" w:rsidRPr="00D83239" w:rsidRDefault="00FA565F" w:rsidP="00FA565F">
      <w:pPr>
        <w:pStyle w:val="Odstavekseznama"/>
        <w:spacing w:after="0"/>
        <w:ind w:left="426"/>
        <w:contextualSpacing/>
        <w:jc w:val="both"/>
        <w:rPr>
          <w:rFonts w:ascii="Arial" w:hAnsi="Arial" w:cs="Arial"/>
          <w:sz w:val="20"/>
          <w:szCs w:val="20"/>
        </w:rPr>
      </w:pPr>
    </w:p>
    <w:p w14:paraId="07F09ACD" w14:textId="609BD3F9" w:rsidR="00082517" w:rsidRPr="00D83239" w:rsidRDefault="007B327C" w:rsidP="00D83239">
      <w:pPr>
        <w:pStyle w:val="Naslov2"/>
        <w:spacing w:after="0" w:line="276" w:lineRule="auto"/>
        <w:jc w:val="both"/>
      </w:pPr>
      <w:bookmarkStart w:id="238" w:name="_Toc65591471"/>
      <w:bookmarkStart w:id="239" w:name="_Toc65651022"/>
      <w:bookmarkStart w:id="240" w:name="_Toc225499851"/>
      <w:r w:rsidRPr="00D83239">
        <w:t>Črpanje evropskih sredstev</w:t>
      </w:r>
      <w:bookmarkEnd w:id="238"/>
      <w:bookmarkEnd w:id="239"/>
      <w:bookmarkEnd w:id="240"/>
    </w:p>
    <w:p w14:paraId="551FD57E" w14:textId="77777777" w:rsidR="00E876AC" w:rsidRPr="00D83239" w:rsidRDefault="00E876AC" w:rsidP="00D83239">
      <w:pPr>
        <w:spacing w:after="0" w:line="276" w:lineRule="auto"/>
        <w:jc w:val="both"/>
        <w:rPr>
          <w:rFonts w:ascii="Arial" w:hAnsi="Arial" w:cs="Arial"/>
          <w:sz w:val="20"/>
          <w:szCs w:val="20"/>
          <w:highlight w:val="yellow"/>
          <w:lang w:eastAsia="sl-SI"/>
        </w:rPr>
      </w:pPr>
    </w:p>
    <w:p w14:paraId="561F4F89" w14:textId="3AD8F65E" w:rsidR="00CF25C3" w:rsidRPr="00D83239" w:rsidRDefault="00CF25C3" w:rsidP="00D83239">
      <w:pPr>
        <w:spacing w:after="0" w:line="276" w:lineRule="auto"/>
        <w:jc w:val="both"/>
        <w:rPr>
          <w:rFonts w:ascii="Arial" w:hAnsi="Arial" w:cs="Arial"/>
          <w:sz w:val="20"/>
          <w:szCs w:val="20"/>
        </w:rPr>
      </w:pPr>
      <w:bookmarkStart w:id="241" w:name="_Toc65591472"/>
      <w:bookmarkStart w:id="242" w:name="_Toc65651023"/>
      <w:r w:rsidRPr="00D83239">
        <w:rPr>
          <w:rFonts w:ascii="Arial" w:hAnsi="Arial" w:cs="Arial"/>
          <w:sz w:val="20"/>
          <w:szCs w:val="20"/>
        </w:rPr>
        <w:t xml:space="preserve">Cilj MNZ je zagotoviti optimalno črpanje evropskih sredstev s spremljanjem izvajanja projektov in prerazporeditvijo neporabljenih sredstev na nove projekte. Obdobje upravičenosti za izvedbo projektov Sklada za azil, migracije in vključevanje (AMIF) ter Sklada za notranjo varnost (SNV) finančnega okvira 2014–2020 se je zaključilo konec leta 2023, v letu 2024 so bili pripravljeni letni izkazi in implementacijska poročila, v letu 2025 </w:t>
      </w:r>
      <w:r w:rsidR="00FD1D0A">
        <w:rPr>
          <w:rFonts w:ascii="Arial" w:hAnsi="Arial" w:cs="Arial"/>
          <w:sz w:val="20"/>
          <w:szCs w:val="20"/>
        </w:rPr>
        <w:t>je</w:t>
      </w:r>
      <w:r w:rsidRPr="00D83239">
        <w:rPr>
          <w:rFonts w:ascii="Arial" w:hAnsi="Arial" w:cs="Arial"/>
          <w:sz w:val="20"/>
          <w:szCs w:val="20"/>
        </w:rPr>
        <w:t xml:space="preserve"> E</w:t>
      </w:r>
      <w:r w:rsidR="00FD1D0A">
        <w:rPr>
          <w:rFonts w:ascii="Arial" w:hAnsi="Arial" w:cs="Arial"/>
          <w:sz w:val="20"/>
          <w:szCs w:val="20"/>
        </w:rPr>
        <w:t>vropska komisija</w:t>
      </w:r>
      <w:r w:rsidRPr="00D83239">
        <w:rPr>
          <w:rFonts w:ascii="Arial" w:hAnsi="Arial" w:cs="Arial"/>
          <w:sz w:val="20"/>
          <w:szCs w:val="20"/>
        </w:rPr>
        <w:t xml:space="preserve"> potr</w:t>
      </w:r>
      <w:r w:rsidR="00FD1D0A">
        <w:rPr>
          <w:rFonts w:ascii="Arial" w:hAnsi="Arial" w:cs="Arial"/>
          <w:sz w:val="20"/>
          <w:szCs w:val="20"/>
        </w:rPr>
        <w:t>dila</w:t>
      </w:r>
      <w:r w:rsidRPr="00D83239">
        <w:rPr>
          <w:rFonts w:ascii="Arial" w:hAnsi="Arial" w:cs="Arial"/>
          <w:sz w:val="20"/>
          <w:szCs w:val="20"/>
        </w:rPr>
        <w:t xml:space="preserve"> zadnj</w:t>
      </w:r>
      <w:r w:rsidR="00FD1D0A">
        <w:rPr>
          <w:rFonts w:ascii="Arial" w:hAnsi="Arial" w:cs="Arial"/>
          <w:sz w:val="20"/>
          <w:szCs w:val="20"/>
        </w:rPr>
        <w:t>e</w:t>
      </w:r>
      <w:r w:rsidRPr="00D83239">
        <w:rPr>
          <w:rFonts w:ascii="Arial" w:hAnsi="Arial" w:cs="Arial"/>
          <w:sz w:val="20"/>
          <w:szCs w:val="20"/>
        </w:rPr>
        <w:t xml:space="preserve"> letn</w:t>
      </w:r>
      <w:r w:rsidR="00FD1D0A">
        <w:rPr>
          <w:rFonts w:ascii="Arial" w:hAnsi="Arial" w:cs="Arial"/>
          <w:sz w:val="20"/>
          <w:szCs w:val="20"/>
        </w:rPr>
        <w:t>e</w:t>
      </w:r>
      <w:r w:rsidRPr="00D83239">
        <w:rPr>
          <w:rFonts w:ascii="Arial" w:hAnsi="Arial" w:cs="Arial"/>
          <w:sz w:val="20"/>
          <w:szCs w:val="20"/>
        </w:rPr>
        <w:t xml:space="preserve"> izkaz</w:t>
      </w:r>
      <w:r w:rsidR="00FD1D0A">
        <w:rPr>
          <w:rFonts w:ascii="Arial" w:hAnsi="Arial" w:cs="Arial"/>
          <w:sz w:val="20"/>
          <w:szCs w:val="20"/>
        </w:rPr>
        <w:t>e</w:t>
      </w:r>
      <w:r w:rsidRPr="00D83239">
        <w:rPr>
          <w:rFonts w:ascii="Arial" w:hAnsi="Arial" w:cs="Arial"/>
          <w:sz w:val="20"/>
          <w:szCs w:val="20"/>
        </w:rPr>
        <w:t xml:space="preserve"> za AMIF.</w:t>
      </w:r>
    </w:p>
    <w:p w14:paraId="0A3B2ADE" w14:textId="77777777" w:rsidR="00CF25C3" w:rsidRPr="00D83239" w:rsidRDefault="00CF25C3" w:rsidP="00D83239">
      <w:pPr>
        <w:spacing w:after="0" w:line="276" w:lineRule="auto"/>
        <w:jc w:val="both"/>
        <w:rPr>
          <w:rFonts w:ascii="Arial" w:hAnsi="Arial" w:cs="Arial"/>
          <w:sz w:val="20"/>
          <w:szCs w:val="20"/>
        </w:rPr>
      </w:pPr>
    </w:p>
    <w:p w14:paraId="1AE82FF0" w14:textId="6A8267E5" w:rsidR="00CF25C3" w:rsidRPr="00D83239" w:rsidRDefault="00CF25C3" w:rsidP="00D83239">
      <w:pPr>
        <w:spacing w:after="0" w:line="276" w:lineRule="auto"/>
        <w:jc w:val="both"/>
        <w:rPr>
          <w:rFonts w:ascii="Arial" w:hAnsi="Arial" w:cs="Arial"/>
          <w:sz w:val="20"/>
          <w:szCs w:val="20"/>
        </w:rPr>
      </w:pPr>
      <w:r w:rsidRPr="00D83239">
        <w:rPr>
          <w:rFonts w:ascii="Arial" w:hAnsi="Arial" w:cs="Arial"/>
          <w:sz w:val="20"/>
          <w:szCs w:val="20"/>
        </w:rPr>
        <w:t>V letu 2025 je potekalo izvajanje projektov programskega obdobja 2021</w:t>
      </w:r>
      <w:r w:rsidR="00FD1D0A">
        <w:rPr>
          <w:rFonts w:ascii="Arial" w:hAnsi="Arial" w:cs="Arial"/>
          <w:sz w:val="20"/>
          <w:szCs w:val="20"/>
        </w:rPr>
        <w:t>–</w:t>
      </w:r>
      <w:r w:rsidRPr="00D83239">
        <w:rPr>
          <w:rFonts w:ascii="Arial" w:hAnsi="Arial" w:cs="Arial"/>
          <w:sz w:val="20"/>
          <w:szCs w:val="20"/>
        </w:rPr>
        <w:t xml:space="preserve">2027 v okviru AMIF, SNV ter </w:t>
      </w:r>
      <w:r w:rsidR="00FD1D0A">
        <w:rPr>
          <w:rFonts w:ascii="Arial" w:hAnsi="Arial" w:cs="Arial"/>
          <w:sz w:val="20"/>
          <w:szCs w:val="20"/>
        </w:rPr>
        <w:t>i</w:t>
      </w:r>
      <w:r w:rsidRPr="00D83239">
        <w:rPr>
          <w:rFonts w:ascii="Arial" w:hAnsi="Arial" w:cs="Arial"/>
          <w:sz w:val="20"/>
          <w:szCs w:val="20"/>
        </w:rPr>
        <w:t>nstrumenta za upravljanje meja in vizume (IUMV</w:t>
      </w:r>
      <w:r w:rsidR="00FA565F">
        <w:rPr>
          <w:rFonts w:ascii="Arial" w:hAnsi="Arial" w:cs="Arial"/>
          <w:sz w:val="20"/>
          <w:szCs w:val="20"/>
        </w:rPr>
        <w:t>)</w:t>
      </w:r>
      <w:r w:rsidRPr="00D83239">
        <w:rPr>
          <w:rFonts w:ascii="Arial" w:hAnsi="Arial" w:cs="Arial"/>
          <w:sz w:val="20"/>
          <w:szCs w:val="20"/>
        </w:rPr>
        <w:t xml:space="preserve">. V novembru 2025 </w:t>
      </w:r>
      <w:r w:rsidR="00FA565F">
        <w:rPr>
          <w:rFonts w:ascii="Arial" w:hAnsi="Arial" w:cs="Arial"/>
          <w:sz w:val="20"/>
          <w:szCs w:val="20"/>
        </w:rPr>
        <w:t>je MNZ od Evropske komisije</w:t>
      </w:r>
      <w:r w:rsidRPr="00D83239">
        <w:rPr>
          <w:rFonts w:ascii="Arial" w:hAnsi="Arial" w:cs="Arial"/>
          <w:sz w:val="20"/>
          <w:szCs w:val="20"/>
        </w:rPr>
        <w:t xml:space="preserve"> dobil</w:t>
      </w:r>
      <w:r w:rsidR="00FA565F">
        <w:rPr>
          <w:rFonts w:ascii="Arial" w:hAnsi="Arial" w:cs="Arial"/>
          <w:sz w:val="20"/>
          <w:szCs w:val="20"/>
        </w:rPr>
        <w:t>o</w:t>
      </w:r>
      <w:r w:rsidRPr="00D83239">
        <w:rPr>
          <w:rFonts w:ascii="Arial" w:hAnsi="Arial" w:cs="Arial"/>
          <w:sz w:val="20"/>
          <w:szCs w:val="20"/>
        </w:rPr>
        <w:t xml:space="preserve"> dodatna sredstva v okviru skladov za izvedbo projektov v okviru </w:t>
      </w:r>
      <w:r w:rsidR="006A446E">
        <w:rPr>
          <w:rFonts w:ascii="Arial" w:hAnsi="Arial" w:cs="Arial"/>
          <w:sz w:val="20"/>
          <w:szCs w:val="20"/>
        </w:rPr>
        <w:t>Evropskega pakta</w:t>
      </w:r>
      <w:r w:rsidRPr="00D83239">
        <w:rPr>
          <w:rFonts w:ascii="Arial" w:hAnsi="Arial" w:cs="Arial"/>
          <w:sz w:val="20"/>
          <w:szCs w:val="20"/>
        </w:rPr>
        <w:t xml:space="preserve"> o migracijah</w:t>
      </w:r>
      <w:r w:rsidR="006A446E">
        <w:rPr>
          <w:rFonts w:ascii="Arial" w:hAnsi="Arial" w:cs="Arial"/>
          <w:sz w:val="20"/>
          <w:szCs w:val="20"/>
        </w:rPr>
        <w:t xml:space="preserve"> in azilu</w:t>
      </w:r>
      <w:r w:rsidRPr="00D83239">
        <w:rPr>
          <w:rFonts w:ascii="Arial" w:hAnsi="Arial" w:cs="Arial"/>
          <w:sz w:val="20"/>
          <w:szCs w:val="20"/>
        </w:rPr>
        <w:t xml:space="preserve">. Skupna dodeljena sredstva v okviru AMIF so </w:t>
      </w:r>
      <w:r w:rsidR="00FD1D0A">
        <w:rPr>
          <w:rFonts w:ascii="Arial" w:hAnsi="Arial" w:cs="Arial"/>
          <w:sz w:val="20"/>
          <w:szCs w:val="20"/>
        </w:rPr>
        <w:t>z</w:t>
      </w:r>
      <w:r w:rsidRPr="00D83239">
        <w:rPr>
          <w:rFonts w:ascii="Arial" w:hAnsi="Arial" w:cs="Arial"/>
          <w:sz w:val="20"/>
          <w:szCs w:val="20"/>
        </w:rPr>
        <w:t>daj 76 mi</w:t>
      </w:r>
      <w:r w:rsidR="00FD1D0A">
        <w:rPr>
          <w:rFonts w:ascii="Arial" w:hAnsi="Arial" w:cs="Arial"/>
          <w:sz w:val="20"/>
          <w:szCs w:val="20"/>
        </w:rPr>
        <w:t>lijonov</w:t>
      </w:r>
      <w:r w:rsidRPr="00D83239">
        <w:rPr>
          <w:rFonts w:ascii="Arial" w:hAnsi="Arial" w:cs="Arial"/>
          <w:sz w:val="20"/>
          <w:szCs w:val="20"/>
        </w:rPr>
        <w:t xml:space="preserve"> </w:t>
      </w:r>
      <w:r w:rsidR="00FA565F">
        <w:rPr>
          <w:rFonts w:ascii="Arial" w:hAnsi="Arial" w:cs="Arial"/>
          <w:sz w:val="20"/>
          <w:szCs w:val="20"/>
        </w:rPr>
        <w:t>evrov</w:t>
      </w:r>
      <w:r w:rsidRPr="00D83239">
        <w:rPr>
          <w:rFonts w:ascii="Arial" w:hAnsi="Arial" w:cs="Arial"/>
          <w:sz w:val="20"/>
          <w:szCs w:val="20"/>
        </w:rPr>
        <w:t>, v okviru ISF 37,8</w:t>
      </w:r>
      <w:r w:rsidR="00FD1D0A">
        <w:rPr>
          <w:rFonts w:ascii="Arial" w:hAnsi="Arial" w:cs="Arial"/>
          <w:sz w:val="20"/>
          <w:szCs w:val="20"/>
        </w:rPr>
        <w:t> </w:t>
      </w:r>
      <w:r w:rsidRPr="00D83239">
        <w:rPr>
          <w:rFonts w:ascii="Arial" w:hAnsi="Arial" w:cs="Arial"/>
          <w:sz w:val="20"/>
          <w:szCs w:val="20"/>
        </w:rPr>
        <w:t>mi</w:t>
      </w:r>
      <w:r w:rsidR="00FD1D0A">
        <w:rPr>
          <w:rFonts w:ascii="Arial" w:hAnsi="Arial" w:cs="Arial"/>
          <w:sz w:val="20"/>
          <w:szCs w:val="20"/>
        </w:rPr>
        <w:t>lijona</w:t>
      </w:r>
      <w:r w:rsidRPr="00D83239">
        <w:rPr>
          <w:rFonts w:ascii="Arial" w:hAnsi="Arial" w:cs="Arial"/>
          <w:sz w:val="20"/>
          <w:szCs w:val="20"/>
        </w:rPr>
        <w:t xml:space="preserve"> </w:t>
      </w:r>
      <w:r w:rsidR="00FA565F">
        <w:rPr>
          <w:rFonts w:ascii="Arial" w:hAnsi="Arial" w:cs="Arial"/>
          <w:sz w:val="20"/>
          <w:szCs w:val="20"/>
        </w:rPr>
        <w:t>evrov</w:t>
      </w:r>
      <w:r w:rsidRPr="00D83239">
        <w:rPr>
          <w:rFonts w:ascii="Arial" w:hAnsi="Arial" w:cs="Arial"/>
          <w:sz w:val="20"/>
          <w:szCs w:val="20"/>
        </w:rPr>
        <w:t xml:space="preserve"> in v okviru IUMV 124,9 mi</w:t>
      </w:r>
      <w:r w:rsidR="00FD1D0A">
        <w:rPr>
          <w:rFonts w:ascii="Arial" w:hAnsi="Arial" w:cs="Arial"/>
          <w:sz w:val="20"/>
          <w:szCs w:val="20"/>
        </w:rPr>
        <w:t>lijona</w:t>
      </w:r>
      <w:r w:rsidRPr="00D83239">
        <w:rPr>
          <w:rFonts w:ascii="Arial" w:hAnsi="Arial" w:cs="Arial"/>
          <w:sz w:val="20"/>
          <w:szCs w:val="20"/>
        </w:rPr>
        <w:t xml:space="preserve"> </w:t>
      </w:r>
      <w:r w:rsidR="00FA565F">
        <w:rPr>
          <w:rFonts w:ascii="Arial" w:hAnsi="Arial" w:cs="Arial"/>
          <w:sz w:val="20"/>
          <w:szCs w:val="20"/>
        </w:rPr>
        <w:t>evrov</w:t>
      </w:r>
      <w:r w:rsidRPr="00D83239">
        <w:rPr>
          <w:rFonts w:ascii="Arial" w:hAnsi="Arial" w:cs="Arial"/>
          <w:sz w:val="20"/>
          <w:szCs w:val="20"/>
        </w:rPr>
        <w:t xml:space="preserve">. Upravičeno obdobje črpanja sredstev se </w:t>
      </w:r>
      <w:r w:rsidR="00FD1D0A">
        <w:rPr>
          <w:rFonts w:ascii="Arial" w:hAnsi="Arial" w:cs="Arial"/>
          <w:sz w:val="20"/>
          <w:szCs w:val="20"/>
        </w:rPr>
        <w:t>konča</w:t>
      </w:r>
      <w:r w:rsidRPr="00D83239">
        <w:rPr>
          <w:rFonts w:ascii="Arial" w:hAnsi="Arial" w:cs="Arial"/>
          <w:sz w:val="20"/>
          <w:szCs w:val="20"/>
        </w:rPr>
        <w:t xml:space="preserve"> 31. 12. 2029. </w:t>
      </w:r>
    </w:p>
    <w:p w14:paraId="5883C0E2" w14:textId="77777777" w:rsidR="00CF25C3" w:rsidRPr="00D83239" w:rsidRDefault="00CF25C3" w:rsidP="00D83239">
      <w:pPr>
        <w:spacing w:after="0" w:line="276" w:lineRule="auto"/>
        <w:jc w:val="both"/>
        <w:rPr>
          <w:rFonts w:ascii="Arial" w:hAnsi="Arial" w:cs="Arial"/>
          <w:sz w:val="20"/>
          <w:szCs w:val="20"/>
        </w:rPr>
      </w:pPr>
    </w:p>
    <w:p w14:paraId="518B8EDE" w14:textId="27D8BE58" w:rsidR="00CF25C3" w:rsidRPr="00D83239" w:rsidRDefault="00CF25C3" w:rsidP="00D83239">
      <w:pPr>
        <w:spacing w:after="0" w:line="276" w:lineRule="auto"/>
        <w:jc w:val="both"/>
        <w:rPr>
          <w:rFonts w:ascii="Arial" w:hAnsi="Arial" w:cs="Arial"/>
          <w:sz w:val="20"/>
          <w:szCs w:val="20"/>
        </w:rPr>
      </w:pPr>
      <w:r w:rsidRPr="00D83239">
        <w:rPr>
          <w:rFonts w:ascii="Arial" w:hAnsi="Arial" w:cs="Arial"/>
          <w:sz w:val="20"/>
          <w:szCs w:val="20"/>
        </w:rPr>
        <w:t>Za vse oddane projektne prijave so bile izdane odločitve o podpori, pregledana je bila večina predloženih zahtevkov za povračilo, pripravljeni so bili zahtevki za plačilo Evropski komisiji v okviru AMIF v višini 4,95 milijon</w:t>
      </w:r>
      <w:r w:rsidR="00FD1D0A">
        <w:rPr>
          <w:rFonts w:ascii="Arial" w:hAnsi="Arial" w:cs="Arial"/>
          <w:sz w:val="20"/>
          <w:szCs w:val="20"/>
        </w:rPr>
        <w:t>a</w:t>
      </w:r>
      <w:r w:rsidRPr="00D83239">
        <w:rPr>
          <w:rFonts w:ascii="Arial" w:hAnsi="Arial" w:cs="Arial"/>
          <w:sz w:val="20"/>
          <w:szCs w:val="20"/>
        </w:rPr>
        <w:t xml:space="preserve"> evrov (od tega za MNZ in policijo 0,52 milijona evrov), v okviru ISF 1,95 milijo</w:t>
      </w:r>
      <w:r w:rsidR="00FA565F">
        <w:rPr>
          <w:rFonts w:ascii="Arial" w:hAnsi="Arial" w:cs="Arial"/>
          <w:sz w:val="20"/>
          <w:szCs w:val="20"/>
        </w:rPr>
        <w:t>na</w:t>
      </w:r>
      <w:r w:rsidRPr="00D83239">
        <w:rPr>
          <w:rFonts w:ascii="Arial" w:hAnsi="Arial" w:cs="Arial"/>
          <w:sz w:val="20"/>
          <w:szCs w:val="20"/>
        </w:rPr>
        <w:t xml:space="preserve"> evrov (od tega za MNZ in policijo 1,95 milijona evrov) in v okviru IUMV 2,71 milijona evrov (od tega za MNZ in policijo 1,95 milijona evrov). </w:t>
      </w:r>
    </w:p>
    <w:p w14:paraId="71F4C2A5" w14:textId="77777777" w:rsidR="00CF25C3" w:rsidRPr="00D83239" w:rsidRDefault="00CF25C3" w:rsidP="00D83239">
      <w:pPr>
        <w:spacing w:after="0" w:line="276" w:lineRule="auto"/>
        <w:jc w:val="both"/>
        <w:rPr>
          <w:rFonts w:ascii="Arial" w:hAnsi="Arial" w:cs="Arial"/>
          <w:sz w:val="20"/>
          <w:szCs w:val="20"/>
        </w:rPr>
      </w:pPr>
    </w:p>
    <w:p w14:paraId="55DC38A3" w14:textId="4996F6D8" w:rsidR="00CF25C3" w:rsidRPr="00D83239" w:rsidRDefault="00CF25C3" w:rsidP="00D83239">
      <w:pPr>
        <w:spacing w:after="0" w:line="276" w:lineRule="auto"/>
        <w:jc w:val="both"/>
        <w:rPr>
          <w:rFonts w:ascii="Arial" w:hAnsi="Arial" w:cs="Arial"/>
          <w:sz w:val="20"/>
          <w:szCs w:val="20"/>
        </w:rPr>
      </w:pPr>
      <w:r w:rsidRPr="00D83239">
        <w:rPr>
          <w:rFonts w:ascii="Arial" w:hAnsi="Arial" w:cs="Arial"/>
          <w:sz w:val="20"/>
          <w:szCs w:val="20"/>
        </w:rPr>
        <w:t xml:space="preserve">V okviru </w:t>
      </w:r>
      <w:r w:rsidR="00FD1D0A">
        <w:rPr>
          <w:rFonts w:ascii="Arial" w:hAnsi="Arial" w:cs="Arial"/>
          <w:sz w:val="20"/>
          <w:szCs w:val="20"/>
        </w:rPr>
        <w:t>n</w:t>
      </w:r>
      <w:r w:rsidRPr="00D83239">
        <w:rPr>
          <w:rFonts w:ascii="Arial" w:hAnsi="Arial" w:cs="Arial"/>
          <w:sz w:val="20"/>
          <w:szCs w:val="20"/>
        </w:rPr>
        <w:t>ačrta za okrevanje in odpornost je bilo v letu 2025 v okviru projekta Digitalizacija notranje varnosti realiziranih 4,23 milijon</w:t>
      </w:r>
      <w:r w:rsidR="00FD1D0A">
        <w:rPr>
          <w:rFonts w:ascii="Arial" w:hAnsi="Arial" w:cs="Arial"/>
          <w:sz w:val="20"/>
          <w:szCs w:val="20"/>
        </w:rPr>
        <w:t>a</w:t>
      </w:r>
      <w:r w:rsidRPr="00D83239">
        <w:rPr>
          <w:rFonts w:ascii="Arial" w:hAnsi="Arial" w:cs="Arial"/>
          <w:sz w:val="20"/>
          <w:szCs w:val="20"/>
        </w:rPr>
        <w:t xml:space="preserve"> evrov. Do 31. 12. 2025 so bili izpo</w:t>
      </w:r>
      <w:r w:rsidR="00C87C03">
        <w:rPr>
          <w:rFonts w:ascii="Arial" w:hAnsi="Arial" w:cs="Arial"/>
          <w:sz w:val="20"/>
          <w:szCs w:val="20"/>
        </w:rPr>
        <w:t>l</w:t>
      </w:r>
      <w:r w:rsidRPr="00D83239">
        <w:rPr>
          <w:rFonts w:ascii="Arial" w:hAnsi="Arial" w:cs="Arial"/>
          <w:sz w:val="20"/>
          <w:szCs w:val="20"/>
        </w:rPr>
        <w:t xml:space="preserve">njeni vsi postavljeni mejniki. Upravičeno obdobje za črpanje sredstev se </w:t>
      </w:r>
      <w:r w:rsidR="00FD1D0A">
        <w:rPr>
          <w:rFonts w:ascii="Arial" w:hAnsi="Arial" w:cs="Arial"/>
          <w:sz w:val="20"/>
          <w:szCs w:val="20"/>
        </w:rPr>
        <w:t>konča</w:t>
      </w:r>
      <w:r w:rsidRPr="00D83239">
        <w:rPr>
          <w:rFonts w:ascii="Arial" w:hAnsi="Arial" w:cs="Arial"/>
          <w:sz w:val="20"/>
          <w:szCs w:val="20"/>
        </w:rPr>
        <w:t xml:space="preserve"> 30. 6. 2026.</w:t>
      </w:r>
    </w:p>
    <w:p w14:paraId="248E22CB" w14:textId="77777777" w:rsidR="009A64DC" w:rsidRPr="00D83239" w:rsidRDefault="009A64DC" w:rsidP="00D83239">
      <w:pPr>
        <w:spacing w:after="0" w:line="276" w:lineRule="auto"/>
        <w:jc w:val="both"/>
        <w:rPr>
          <w:rFonts w:ascii="Arial" w:hAnsi="Arial" w:cs="Arial"/>
          <w:sz w:val="20"/>
          <w:szCs w:val="20"/>
          <w:highlight w:val="yellow"/>
        </w:rPr>
      </w:pPr>
    </w:p>
    <w:p w14:paraId="547C7F55" w14:textId="4A413A88" w:rsidR="00696BF5" w:rsidRPr="00D83239" w:rsidRDefault="007B327C" w:rsidP="00D83239">
      <w:pPr>
        <w:pStyle w:val="Naslov2"/>
        <w:spacing w:after="0" w:line="276" w:lineRule="auto"/>
        <w:jc w:val="both"/>
      </w:pPr>
      <w:bookmarkStart w:id="243" w:name="_Toc225499852"/>
      <w:r w:rsidRPr="00D83239">
        <w:t>Kadrovski podatki</w:t>
      </w:r>
      <w:bookmarkEnd w:id="241"/>
      <w:bookmarkEnd w:id="242"/>
      <w:bookmarkEnd w:id="243"/>
    </w:p>
    <w:p w14:paraId="436F623A" w14:textId="77777777" w:rsidR="00696BF5" w:rsidRPr="00D83239" w:rsidRDefault="00696BF5" w:rsidP="00D83239">
      <w:pPr>
        <w:spacing w:after="0" w:line="276" w:lineRule="auto"/>
        <w:jc w:val="both"/>
        <w:rPr>
          <w:rFonts w:ascii="Arial" w:hAnsi="Arial" w:cs="Arial"/>
          <w:sz w:val="20"/>
          <w:szCs w:val="20"/>
          <w:highlight w:val="yellow"/>
          <w:lang w:eastAsia="sl-SI"/>
        </w:rPr>
      </w:pPr>
    </w:p>
    <w:p w14:paraId="59C4B18A" w14:textId="50191D22" w:rsidR="00CF25C3" w:rsidRPr="00D83239" w:rsidRDefault="00CF25C3" w:rsidP="00D83239">
      <w:pPr>
        <w:spacing w:after="0" w:line="276" w:lineRule="auto"/>
        <w:jc w:val="both"/>
        <w:rPr>
          <w:rFonts w:ascii="Arial" w:hAnsi="Arial" w:cs="Arial"/>
          <w:b/>
          <w:sz w:val="20"/>
          <w:szCs w:val="20"/>
        </w:rPr>
      </w:pPr>
      <w:r w:rsidRPr="00D83239">
        <w:rPr>
          <w:rFonts w:ascii="Arial" w:hAnsi="Arial" w:cs="Arial"/>
          <w:b/>
          <w:sz w:val="20"/>
          <w:szCs w:val="20"/>
        </w:rPr>
        <w:t>Izvajanje sistema certificiranja nacionalne poklicne kvalifikacije</w:t>
      </w:r>
      <w:r w:rsidR="00FD61C7">
        <w:rPr>
          <w:rFonts w:ascii="Arial" w:hAnsi="Arial" w:cs="Arial"/>
          <w:b/>
          <w:sz w:val="20"/>
          <w:szCs w:val="20"/>
        </w:rPr>
        <w:t xml:space="preserve"> (NPK)</w:t>
      </w:r>
      <w:r w:rsidRPr="00D83239">
        <w:rPr>
          <w:rFonts w:ascii="Arial" w:hAnsi="Arial" w:cs="Arial"/>
          <w:b/>
          <w:sz w:val="20"/>
          <w:szCs w:val="20"/>
        </w:rPr>
        <w:t xml:space="preserve"> policist</w:t>
      </w:r>
    </w:p>
    <w:p w14:paraId="69DBDA97" w14:textId="38744224" w:rsidR="00CF25C3" w:rsidRPr="00D83239" w:rsidRDefault="00CF25C3" w:rsidP="00D83239">
      <w:pPr>
        <w:spacing w:after="0" w:line="276" w:lineRule="auto"/>
        <w:jc w:val="both"/>
        <w:rPr>
          <w:rFonts w:ascii="Arial" w:hAnsi="Arial" w:cs="Arial"/>
          <w:b/>
          <w:sz w:val="20"/>
          <w:szCs w:val="20"/>
        </w:rPr>
      </w:pPr>
      <w:r w:rsidRPr="00D83239">
        <w:rPr>
          <w:rFonts w:ascii="Arial" w:hAnsi="Arial" w:cs="Arial"/>
          <w:sz w:val="20"/>
          <w:szCs w:val="20"/>
        </w:rPr>
        <w:t xml:space="preserve">V letu 2025 je bilo izvedenih 14 postopkov preverjanja in potrjevanja NPK </w:t>
      </w:r>
      <w:r w:rsidR="00FD1D0A">
        <w:rPr>
          <w:rFonts w:ascii="Arial" w:hAnsi="Arial" w:cs="Arial"/>
          <w:sz w:val="20"/>
          <w:szCs w:val="20"/>
        </w:rPr>
        <w:t>p</w:t>
      </w:r>
      <w:r w:rsidRPr="00D83239">
        <w:rPr>
          <w:rFonts w:ascii="Arial" w:hAnsi="Arial" w:cs="Arial"/>
          <w:sz w:val="20"/>
          <w:szCs w:val="20"/>
        </w:rPr>
        <w:t xml:space="preserve">olicist/policistka (izvajali so se vsak mesec razen julija in avgusta), na katere je bilo napotenih 155 policistov, od katerih jih je 141 uspešno pridobilo certifikat NPK </w:t>
      </w:r>
      <w:r w:rsidR="00FD1D0A">
        <w:rPr>
          <w:rFonts w:ascii="Arial" w:hAnsi="Arial" w:cs="Arial"/>
          <w:sz w:val="20"/>
          <w:szCs w:val="20"/>
        </w:rPr>
        <w:t>p</w:t>
      </w:r>
      <w:r w:rsidRPr="00D83239">
        <w:rPr>
          <w:rFonts w:ascii="Arial" w:hAnsi="Arial" w:cs="Arial"/>
          <w:sz w:val="20"/>
          <w:szCs w:val="20"/>
        </w:rPr>
        <w:t>olicist/policistka. Izvajanje postopkov se neprekinjeno nadaljuje v letu 2026.</w:t>
      </w:r>
    </w:p>
    <w:p w14:paraId="51129F2D" w14:textId="77777777" w:rsidR="00CF25C3" w:rsidRPr="00D83239" w:rsidRDefault="00CF25C3" w:rsidP="00D83239">
      <w:pPr>
        <w:spacing w:after="0" w:line="276" w:lineRule="auto"/>
        <w:jc w:val="both"/>
        <w:rPr>
          <w:rFonts w:ascii="Arial" w:hAnsi="Arial" w:cs="Arial"/>
          <w:b/>
          <w:sz w:val="20"/>
          <w:szCs w:val="20"/>
        </w:rPr>
      </w:pPr>
    </w:p>
    <w:p w14:paraId="52716BAC" w14:textId="135094DF" w:rsidR="00CF25C3" w:rsidRPr="00D83239" w:rsidRDefault="00CF25C3" w:rsidP="00D83239">
      <w:pPr>
        <w:spacing w:after="0" w:line="276" w:lineRule="auto"/>
        <w:jc w:val="both"/>
        <w:rPr>
          <w:rFonts w:ascii="Arial" w:hAnsi="Arial" w:cs="Arial"/>
          <w:b/>
          <w:sz w:val="20"/>
          <w:szCs w:val="20"/>
        </w:rPr>
      </w:pPr>
      <w:r w:rsidRPr="00D83239">
        <w:rPr>
          <w:rFonts w:ascii="Arial" w:hAnsi="Arial" w:cs="Arial"/>
          <w:b/>
          <w:sz w:val="20"/>
          <w:szCs w:val="20"/>
        </w:rPr>
        <w:t xml:space="preserve">Izvedba kadrovskega načrta </w:t>
      </w:r>
      <w:r w:rsidRPr="00345662">
        <w:rPr>
          <w:rFonts w:ascii="Arial" w:hAnsi="Arial" w:cs="Arial"/>
          <w:sz w:val="20"/>
          <w:szCs w:val="20"/>
        </w:rPr>
        <w:t>(</w:t>
      </w:r>
      <w:r w:rsidRPr="00D83239">
        <w:rPr>
          <w:rFonts w:ascii="Arial" w:hAnsi="Arial" w:cs="Arial"/>
          <w:sz w:val="20"/>
          <w:szCs w:val="20"/>
        </w:rPr>
        <w:t>KN)</w:t>
      </w:r>
    </w:p>
    <w:p w14:paraId="2321E9A8" w14:textId="59FBEE28" w:rsidR="00BF4616" w:rsidRPr="00D83239" w:rsidRDefault="00CF25C3" w:rsidP="00D83239">
      <w:pPr>
        <w:spacing w:line="276" w:lineRule="auto"/>
        <w:jc w:val="both"/>
        <w:rPr>
          <w:rFonts w:ascii="Arial" w:hAnsi="Arial" w:cs="Arial"/>
          <w:sz w:val="20"/>
          <w:szCs w:val="20"/>
        </w:rPr>
      </w:pPr>
      <w:r w:rsidRPr="00D83239">
        <w:rPr>
          <w:rFonts w:ascii="Arial" w:hAnsi="Arial" w:cs="Arial"/>
          <w:sz w:val="20"/>
          <w:szCs w:val="20"/>
        </w:rPr>
        <w:t xml:space="preserve">Na podlagi </w:t>
      </w:r>
      <w:r w:rsidR="00FD1D0A">
        <w:rPr>
          <w:rFonts w:ascii="Arial" w:hAnsi="Arial" w:cs="Arial"/>
          <w:sz w:val="20"/>
          <w:szCs w:val="20"/>
        </w:rPr>
        <w:t>s</w:t>
      </w:r>
      <w:r w:rsidRPr="00D83239">
        <w:rPr>
          <w:rFonts w:ascii="Arial" w:hAnsi="Arial" w:cs="Arial"/>
          <w:sz w:val="20"/>
          <w:szCs w:val="20"/>
        </w:rPr>
        <w:t>kupnega kadrovskega načrta (SKN) za leti 2024 in 2025 (</w:t>
      </w:r>
      <w:r w:rsidR="00BA2B78">
        <w:rPr>
          <w:rFonts w:ascii="Arial" w:hAnsi="Arial" w:cs="Arial"/>
          <w:sz w:val="20"/>
          <w:szCs w:val="20"/>
        </w:rPr>
        <w:t>s</w:t>
      </w:r>
      <w:r w:rsidRPr="00D83239">
        <w:rPr>
          <w:rFonts w:ascii="Arial" w:hAnsi="Arial" w:cs="Arial"/>
          <w:sz w:val="20"/>
          <w:szCs w:val="20"/>
        </w:rPr>
        <w:t xml:space="preserve">klep Vlade Republike Slovenije št. 10002-11/2023/6 z dne 26. septembra 2023, s spremembami) je bilo dovoljeno število zaposlitev v letu 2024 v MNZ 682 in v </w:t>
      </w:r>
      <w:r w:rsidR="00BA2B78">
        <w:rPr>
          <w:rFonts w:ascii="Arial" w:hAnsi="Arial" w:cs="Arial"/>
          <w:sz w:val="20"/>
          <w:szCs w:val="20"/>
        </w:rPr>
        <w:t>P</w:t>
      </w:r>
      <w:r w:rsidRPr="00D83239">
        <w:rPr>
          <w:rFonts w:ascii="Arial" w:hAnsi="Arial" w:cs="Arial"/>
          <w:sz w:val="20"/>
          <w:szCs w:val="20"/>
        </w:rPr>
        <w:t xml:space="preserve">oliciji 8.241, v letu 2025 pa v MNZ 688 in v </w:t>
      </w:r>
      <w:r w:rsidR="00BA2B78">
        <w:rPr>
          <w:rFonts w:ascii="Arial" w:hAnsi="Arial" w:cs="Arial"/>
          <w:sz w:val="20"/>
          <w:szCs w:val="20"/>
        </w:rPr>
        <w:t>P</w:t>
      </w:r>
      <w:r w:rsidRPr="00D83239">
        <w:rPr>
          <w:rFonts w:ascii="Arial" w:hAnsi="Arial" w:cs="Arial"/>
          <w:sz w:val="20"/>
          <w:szCs w:val="20"/>
        </w:rPr>
        <w:t>oliciji 8.254.</w:t>
      </w:r>
    </w:p>
    <w:tbl>
      <w:tblPr>
        <w:tblStyle w:val="Tabelamrea"/>
        <w:tblW w:w="0" w:type="auto"/>
        <w:tblLook w:val="04A0" w:firstRow="1" w:lastRow="0" w:firstColumn="1" w:lastColumn="0" w:noHBand="0" w:noVBand="1"/>
      </w:tblPr>
      <w:tblGrid>
        <w:gridCol w:w="1140"/>
        <w:gridCol w:w="717"/>
        <w:gridCol w:w="1471"/>
        <w:gridCol w:w="1772"/>
        <w:gridCol w:w="717"/>
        <w:gridCol w:w="1471"/>
        <w:gridCol w:w="1772"/>
      </w:tblGrid>
      <w:tr w:rsidR="00CF25C3" w:rsidRPr="00D83239" w14:paraId="51C61FDC" w14:textId="77777777" w:rsidTr="00BF4616">
        <w:trPr>
          <w:trHeight w:val="421"/>
        </w:trPr>
        <w:tc>
          <w:tcPr>
            <w:tcW w:w="0" w:type="auto"/>
            <w:shd w:val="clear" w:color="auto" w:fill="D9D9D9" w:themeFill="background1" w:themeFillShade="D9"/>
          </w:tcPr>
          <w:p w14:paraId="7E7A9581" w14:textId="77777777" w:rsidR="00CF25C3" w:rsidRPr="00D83239" w:rsidRDefault="00CF25C3" w:rsidP="00D83239">
            <w:pPr>
              <w:spacing w:line="276" w:lineRule="auto"/>
              <w:jc w:val="both"/>
              <w:rPr>
                <w:rFonts w:ascii="Arial" w:hAnsi="Arial" w:cs="Arial"/>
                <w:sz w:val="20"/>
                <w:szCs w:val="20"/>
              </w:rPr>
            </w:pPr>
          </w:p>
        </w:tc>
        <w:tc>
          <w:tcPr>
            <w:tcW w:w="0" w:type="auto"/>
            <w:gridSpan w:val="3"/>
            <w:shd w:val="clear" w:color="auto" w:fill="D9D9D9" w:themeFill="background1" w:themeFillShade="D9"/>
          </w:tcPr>
          <w:p w14:paraId="3FC67026" w14:textId="77777777" w:rsidR="00CF25C3" w:rsidRPr="00D83239" w:rsidRDefault="00CF25C3" w:rsidP="00D83239">
            <w:pPr>
              <w:spacing w:line="276" w:lineRule="auto"/>
              <w:jc w:val="center"/>
              <w:rPr>
                <w:rFonts w:ascii="Arial" w:hAnsi="Arial" w:cs="Arial"/>
                <w:b/>
                <w:sz w:val="20"/>
                <w:szCs w:val="20"/>
              </w:rPr>
            </w:pPr>
            <w:r w:rsidRPr="00D83239">
              <w:rPr>
                <w:rFonts w:ascii="Arial" w:hAnsi="Arial" w:cs="Arial"/>
                <w:b/>
                <w:sz w:val="20"/>
                <w:szCs w:val="20"/>
              </w:rPr>
              <w:t>31. 12. 2024</w:t>
            </w:r>
          </w:p>
        </w:tc>
        <w:tc>
          <w:tcPr>
            <w:tcW w:w="0" w:type="auto"/>
            <w:gridSpan w:val="3"/>
            <w:shd w:val="clear" w:color="auto" w:fill="D9D9D9" w:themeFill="background1" w:themeFillShade="D9"/>
          </w:tcPr>
          <w:p w14:paraId="3AC92611" w14:textId="77777777" w:rsidR="00CF25C3" w:rsidRPr="00D83239" w:rsidRDefault="00CF25C3" w:rsidP="00D83239">
            <w:pPr>
              <w:spacing w:line="276" w:lineRule="auto"/>
              <w:jc w:val="center"/>
              <w:rPr>
                <w:rFonts w:ascii="Arial" w:hAnsi="Arial" w:cs="Arial"/>
                <w:b/>
                <w:sz w:val="20"/>
                <w:szCs w:val="20"/>
              </w:rPr>
            </w:pPr>
            <w:r w:rsidRPr="00D83239">
              <w:rPr>
                <w:rFonts w:ascii="Arial" w:hAnsi="Arial" w:cs="Arial"/>
                <w:b/>
                <w:sz w:val="20"/>
                <w:szCs w:val="20"/>
              </w:rPr>
              <w:t>31. 12. 2025</w:t>
            </w:r>
          </w:p>
        </w:tc>
      </w:tr>
      <w:tr w:rsidR="00CF25C3" w:rsidRPr="00D83239" w14:paraId="0F5B6354" w14:textId="77777777" w:rsidTr="00BF4616">
        <w:trPr>
          <w:cantSplit/>
          <w:trHeight w:hRule="exact" w:val="561"/>
        </w:trPr>
        <w:tc>
          <w:tcPr>
            <w:tcW w:w="0" w:type="auto"/>
            <w:shd w:val="clear" w:color="auto" w:fill="D9D9D9" w:themeFill="background1" w:themeFillShade="D9"/>
          </w:tcPr>
          <w:p w14:paraId="38C111EA" w14:textId="77777777" w:rsidR="00CF25C3" w:rsidRPr="00D83239" w:rsidRDefault="00CF25C3" w:rsidP="00D83239">
            <w:pPr>
              <w:spacing w:line="276" w:lineRule="auto"/>
              <w:jc w:val="both"/>
              <w:rPr>
                <w:rFonts w:ascii="Arial" w:hAnsi="Arial" w:cs="Arial"/>
                <w:sz w:val="20"/>
                <w:szCs w:val="20"/>
              </w:rPr>
            </w:pPr>
          </w:p>
        </w:tc>
        <w:tc>
          <w:tcPr>
            <w:tcW w:w="0" w:type="auto"/>
            <w:shd w:val="clear" w:color="auto" w:fill="D9D9D9" w:themeFill="background1" w:themeFillShade="D9"/>
            <w:vAlign w:val="bottom"/>
          </w:tcPr>
          <w:p w14:paraId="61D9136D" w14:textId="77777777" w:rsidR="00CF25C3" w:rsidRPr="00D83239" w:rsidRDefault="00CF25C3" w:rsidP="00D83239">
            <w:pPr>
              <w:spacing w:line="276" w:lineRule="auto"/>
              <w:rPr>
                <w:rFonts w:ascii="Arial" w:hAnsi="Arial" w:cs="Arial"/>
                <w:b/>
                <w:sz w:val="20"/>
                <w:szCs w:val="20"/>
              </w:rPr>
            </w:pPr>
            <w:r w:rsidRPr="00D83239">
              <w:rPr>
                <w:rFonts w:ascii="Arial" w:hAnsi="Arial" w:cs="Arial"/>
                <w:b/>
                <w:sz w:val="20"/>
                <w:szCs w:val="20"/>
              </w:rPr>
              <w:t>KN</w:t>
            </w:r>
          </w:p>
        </w:tc>
        <w:tc>
          <w:tcPr>
            <w:tcW w:w="0" w:type="auto"/>
            <w:shd w:val="clear" w:color="auto" w:fill="D9D9D9" w:themeFill="background1" w:themeFillShade="D9"/>
            <w:vAlign w:val="bottom"/>
          </w:tcPr>
          <w:p w14:paraId="5FCB1922" w14:textId="77777777" w:rsidR="00CF25C3" w:rsidRPr="00D83239" w:rsidRDefault="00CF25C3" w:rsidP="00D83239">
            <w:pPr>
              <w:spacing w:line="276" w:lineRule="auto"/>
              <w:rPr>
                <w:rFonts w:ascii="Arial" w:hAnsi="Arial" w:cs="Arial"/>
                <w:b/>
                <w:sz w:val="20"/>
                <w:szCs w:val="20"/>
              </w:rPr>
            </w:pPr>
            <w:r w:rsidRPr="00D83239">
              <w:rPr>
                <w:rFonts w:ascii="Arial" w:hAnsi="Arial" w:cs="Arial"/>
                <w:b/>
                <w:sz w:val="20"/>
                <w:szCs w:val="20"/>
              </w:rPr>
              <w:t>Št. vseh zaposlenih</w:t>
            </w:r>
          </w:p>
        </w:tc>
        <w:tc>
          <w:tcPr>
            <w:tcW w:w="0" w:type="auto"/>
            <w:shd w:val="clear" w:color="auto" w:fill="D9D9D9" w:themeFill="background1" w:themeFillShade="D9"/>
            <w:vAlign w:val="bottom"/>
          </w:tcPr>
          <w:p w14:paraId="0D9013B5" w14:textId="77777777" w:rsidR="00CF25C3" w:rsidRPr="00D83239" w:rsidRDefault="00CF25C3" w:rsidP="00D83239">
            <w:pPr>
              <w:spacing w:line="276" w:lineRule="auto"/>
              <w:rPr>
                <w:rFonts w:ascii="Arial" w:hAnsi="Arial" w:cs="Arial"/>
                <w:b/>
                <w:sz w:val="20"/>
                <w:szCs w:val="20"/>
              </w:rPr>
            </w:pPr>
            <w:r w:rsidRPr="00D83239">
              <w:rPr>
                <w:rFonts w:ascii="Arial" w:hAnsi="Arial" w:cs="Arial"/>
                <w:b/>
                <w:sz w:val="20"/>
                <w:szCs w:val="20"/>
              </w:rPr>
              <w:t>Št. zaposlenih, ki štejejo v KN</w:t>
            </w:r>
          </w:p>
        </w:tc>
        <w:tc>
          <w:tcPr>
            <w:tcW w:w="0" w:type="auto"/>
            <w:shd w:val="clear" w:color="auto" w:fill="D9D9D9" w:themeFill="background1" w:themeFillShade="D9"/>
            <w:vAlign w:val="bottom"/>
          </w:tcPr>
          <w:p w14:paraId="6B50BEDF" w14:textId="77777777" w:rsidR="00CF25C3" w:rsidRPr="00D83239" w:rsidRDefault="00CF25C3" w:rsidP="00D83239">
            <w:pPr>
              <w:spacing w:line="276" w:lineRule="auto"/>
              <w:rPr>
                <w:rFonts w:ascii="Arial" w:hAnsi="Arial" w:cs="Arial"/>
                <w:b/>
                <w:sz w:val="20"/>
                <w:szCs w:val="20"/>
              </w:rPr>
            </w:pPr>
            <w:r w:rsidRPr="00D83239">
              <w:rPr>
                <w:rFonts w:ascii="Arial" w:hAnsi="Arial" w:cs="Arial"/>
                <w:b/>
                <w:sz w:val="20"/>
                <w:szCs w:val="20"/>
              </w:rPr>
              <w:t>KN</w:t>
            </w:r>
          </w:p>
        </w:tc>
        <w:tc>
          <w:tcPr>
            <w:tcW w:w="0" w:type="auto"/>
            <w:shd w:val="clear" w:color="auto" w:fill="D9D9D9" w:themeFill="background1" w:themeFillShade="D9"/>
            <w:vAlign w:val="bottom"/>
          </w:tcPr>
          <w:p w14:paraId="13B77317" w14:textId="77777777" w:rsidR="00CF25C3" w:rsidRPr="00D83239" w:rsidRDefault="00CF25C3" w:rsidP="00D83239">
            <w:pPr>
              <w:spacing w:line="276" w:lineRule="auto"/>
              <w:rPr>
                <w:rFonts w:ascii="Arial" w:hAnsi="Arial" w:cs="Arial"/>
                <w:b/>
                <w:sz w:val="20"/>
                <w:szCs w:val="20"/>
              </w:rPr>
            </w:pPr>
            <w:r w:rsidRPr="00D83239">
              <w:rPr>
                <w:rFonts w:ascii="Arial" w:hAnsi="Arial" w:cs="Arial"/>
                <w:b/>
                <w:sz w:val="20"/>
                <w:szCs w:val="20"/>
              </w:rPr>
              <w:t>Št. vseh zaposlenih</w:t>
            </w:r>
          </w:p>
        </w:tc>
        <w:tc>
          <w:tcPr>
            <w:tcW w:w="0" w:type="auto"/>
            <w:shd w:val="clear" w:color="auto" w:fill="D9D9D9" w:themeFill="background1" w:themeFillShade="D9"/>
            <w:vAlign w:val="bottom"/>
          </w:tcPr>
          <w:p w14:paraId="7FC6F96A" w14:textId="77777777" w:rsidR="00CF25C3" w:rsidRPr="00D83239" w:rsidRDefault="00CF25C3" w:rsidP="00D83239">
            <w:pPr>
              <w:spacing w:line="276" w:lineRule="auto"/>
              <w:rPr>
                <w:rFonts w:ascii="Arial" w:hAnsi="Arial" w:cs="Arial"/>
                <w:b/>
                <w:sz w:val="20"/>
                <w:szCs w:val="20"/>
              </w:rPr>
            </w:pPr>
            <w:r w:rsidRPr="00D83239">
              <w:rPr>
                <w:rFonts w:ascii="Arial" w:hAnsi="Arial" w:cs="Arial"/>
                <w:b/>
                <w:sz w:val="20"/>
                <w:szCs w:val="20"/>
              </w:rPr>
              <w:t>Št. zaposlenih, ki štejejo v KN</w:t>
            </w:r>
          </w:p>
        </w:tc>
      </w:tr>
      <w:tr w:rsidR="00CF25C3" w:rsidRPr="00D83239" w14:paraId="0722FA66" w14:textId="77777777" w:rsidTr="00BF4616">
        <w:trPr>
          <w:trHeight w:hRule="exact" w:val="454"/>
        </w:trPr>
        <w:tc>
          <w:tcPr>
            <w:tcW w:w="0" w:type="auto"/>
            <w:vAlign w:val="center"/>
          </w:tcPr>
          <w:p w14:paraId="3FFE3EE5" w14:textId="6BA86CA2" w:rsidR="00CF25C3" w:rsidRPr="00D83239" w:rsidRDefault="00CF25C3" w:rsidP="00D83239">
            <w:pPr>
              <w:spacing w:line="276" w:lineRule="auto"/>
              <w:jc w:val="both"/>
              <w:rPr>
                <w:rFonts w:ascii="Arial" w:hAnsi="Arial" w:cs="Arial"/>
                <w:b/>
                <w:sz w:val="20"/>
                <w:szCs w:val="20"/>
              </w:rPr>
            </w:pPr>
            <w:r w:rsidRPr="00D83239">
              <w:rPr>
                <w:rFonts w:ascii="Arial" w:hAnsi="Arial" w:cs="Arial"/>
                <w:b/>
                <w:sz w:val="20"/>
                <w:szCs w:val="20"/>
              </w:rPr>
              <w:t>MNZ</w:t>
            </w:r>
          </w:p>
        </w:tc>
        <w:tc>
          <w:tcPr>
            <w:tcW w:w="0" w:type="auto"/>
            <w:vAlign w:val="center"/>
          </w:tcPr>
          <w:p w14:paraId="17BFA592"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662</w:t>
            </w:r>
          </w:p>
        </w:tc>
        <w:tc>
          <w:tcPr>
            <w:tcW w:w="0" w:type="auto"/>
            <w:vAlign w:val="center"/>
          </w:tcPr>
          <w:p w14:paraId="2E3F855E"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633</w:t>
            </w:r>
          </w:p>
        </w:tc>
        <w:tc>
          <w:tcPr>
            <w:tcW w:w="0" w:type="auto"/>
            <w:vAlign w:val="center"/>
          </w:tcPr>
          <w:p w14:paraId="55EC2AE2"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614</w:t>
            </w:r>
          </w:p>
        </w:tc>
        <w:tc>
          <w:tcPr>
            <w:tcW w:w="0" w:type="auto"/>
            <w:vAlign w:val="center"/>
          </w:tcPr>
          <w:p w14:paraId="603601BB"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668</w:t>
            </w:r>
          </w:p>
        </w:tc>
        <w:tc>
          <w:tcPr>
            <w:tcW w:w="0" w:type="auto"/>
            <w:vAlign w:val="center"/>
          </w:tcPr>
          <w:p w14:paraId="12ED56C7"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626</w:t>
            </w:r>
          </w:p>
        </w:tc>
        <w:tc>
          <w:tcPr>
            <w:tcW w:w="0" w:type="auto"/>
            <w:vAlign w:val="center"/>
          </w:tcPr>
          <w:p w14:paraId="3626BCBA"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611</w:t>
            </w:r>
          </w:p>
        </w:tc>
      </w:tr>
      <w:tr w:rsidR="00CF25C3" w:rsidRPr="00D83239" w14:paraId="011418F2" w14:textId="77777777" w:rsidTr="00BF4616">
        <w:trPr>
          <w:trHeight w:hRule="exact" w:val="454"/>
        </w:trPr>
        <w:tc>
          <w:tcPr>
            <w:tcW w:w="0" w:type="auto"/>
            <w:vAlign w:val="center"/>
          </w:tcPr>
          <w:p w14:paraId="63ECD1D3" w14:textId="51A86782" w:rsidR="00CF25C3" w:rsidRPr="00D83239" w:rsidRDefault="00CF25C3" w:rsidP="00D83239">
            <w:pPr>
              <w:spacing w:line="276" w:lineRule="auto"/>
              <w:jc w:val="both"/>
              <w:rPr>
                <w:rFonts w:ascii="Arial" w:hAnsi="Arial" w:cs="Arial"/>
                <w:b/>
                <w:sz w:val="20"/>
                <w:szCs w:val="20"/>
              </w:rPr>
            </w:pPr>
            <w:r w:rsidRPr="00D83239">
              <w:rPr>
                <w:rFonts w:ascii="Arial" w:hAnsi="Arial" w:cs="Arial"/>
                <w:b/>
                <w:sz w:val="20"/>
                <w:szCs w:val="20"/>
              </w:rPr>
              <w:t>POLICIJA</w:t>
            </w:r>
          </w:p>
        </w:tc>
        <w:tc>
          <w:tcPr>
            <w:tcW w:w="0" w:type="auto"/>
            <w:vAlign w:val="center"/>
          </w:tcPr>
          <w:p w14:paraId="0F3A8364"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8.241</w:t>
            </w:r>
          </w:p>
        </w:tc>
        <w:tc>
          <w:tcPr>
            <w:tcW w:w="0" w:type="auto"/>
            <w:vAlign w:val="center"/>
          </w:tcPr>
          <w:p w14:paraId="52CF50D8"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7.899</w:t>
            </w:r>
          </w:p>
        </w:tc>
        <w:tc>
          <w:tcPr>
            <w:tcW w:w="0" w:type="auto"/>
            <w:vAlign w:val="center"/>
          </w:tcPr>
          <w:p w14:paraId="765D4D2D"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7.888</w:t>
            </w:r>
          </w:p>
        </w:tc>
        <w:tc>
          <w:tcPr>
            <w:tcW w:w="0" w:type="auto"/>
            <w:vAlign w:val="center"/>
          </w:tcPr>
          <w:p w14:paraId="7466A7F6"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8.254</w:t>
            </w:r>
          </w:p>
        </w:tc>
        <w:tc>
          <w:tcPr>
            <w:tcW w:w="0" w:type="auto"/>
            <w:vAlign w:val="center"/>
          </w:tcPr>
          <w:p w14:paraId="214688DF"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7.920</w:t>
            </w:r>
          </w:p>
        </w:tc>
        <w:tc>
          <w:tcPr>
            <w:tcW w:w="0" w:type="auto"/>
            <w:vAlign w:val="center"/>
          </w:tcPr>
          <w:p w14:paraId="29FD9A45"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7.907</w:t>
            </w:r>
          </w:p>
        </w:tc>
      </w:tr>
      <w:tr w:rsidR="00CF25C3" w:rsidRPr="00D83239" w14:paraId="39116050" w14:textId="77777777" w:rsidTr="00BF4616">
        <w:trPr>
          <w:trHeight w:hRule="exact" w:val="454"/>
        </w:trPr>
        <w:tc>
          <w:tcPr>
            <w:tcW w:w="0" w:type="auto"/>
            <w:vAlign w:val="center"/>
          </w:tcPr>
          <w:p w14:paraId="7B0DA126" w14:textId="336B6957" w:rsidR="00CF25C3" w:rsidRPr="00D83239" w:rsidRDefault="00CF25C3" w:rsidP="00D83239">
            <w:pPr>
              <w:spacing w:line="276" w:lineRule="auto"/>
              <w:jc w:val="both"/>
              <w:rPr>
                <w:rFonts w:ascii="Arial" w:hAnsi="Arial" w:cs="Arial"/>
                <w:b/>
                <w:sz w:val="20"/>
                <w:szCs w:val="20"/>
              </w:rPr>
            </w:pPr>
            <w:r w:rsidRPr="00D83239">
              <w:rPr>
                <w:rFonts w:ascii="Arial" w:hAnsi="Arial" w:cs="Arial"/>
                <w:b/>
                <w:sz w:val="20"/>
                <w:szCs w:val="20"/>
              </w:rPr>
              <w:t>IRSNZ</w:t>
            </w:r>
          </w:p>
        </w:tc>
        <w:tc>
          <w:tcPr>
            <w:tcW w:w="0" w:type="auto"/>
            <w:vAlign w:val="center"/>
          </w:tcPr>
          <w:p w14:paraId="54EC3992"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20</w:t>
            </w:r>
          </w:p>
        </w:tc>
        <w:tc>
          <w:tcPr>
            <w:tcW w:w="0" w:type="auto"/>
            <w:vAlign w:val="center"/>
          </w:tcPr>
          <w:p w14:paraId="05698AB5"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20</w:t>
            </w:r>
          </w:p>
        </w:tc>
        <w:tc>
          <w:tcPr>
            <w:tcW w:w="0" w:type="auto"/>
            <w:vAlign w:val="center"/>
          </w:tcPr>
          <w:p w14:paraId="3CFAEE1D"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20</w:t>
            </w:r>
          </w:p>
        </w:tc>
        <w:tc>
          <w:tcPr>
            <w:tcW w:w="0" w:type="auto"/>
            <w:vAlign w:val="center"/>
          </w:tcPr>
          <w:p w14:paraId="018D9665"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20</w:t>
            </w:r>
          </w:p>
        </w:tc>
        <w:tc>
          <w:tcPr>
            <w:tcW w:w="0" w:type="auto"/>
            <w:vAlign w:val="center"/>
          </w:tcPr>
          <w:p w14:paraId="2FCF5B96"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20</w:t>
            </w:r>
          </w:p>
        </w:tc>
        <w:tc>
          <w:tcPr>
            <w:tcW w:w="0" w:type="auto"/>
            <w:vAlign w:val="center"/>
          </w:tcPr>
          <w:p w14:paraId="40F95A7E" w14:textId="77777777" w:rsidR="00CF25C3" w:rsidRPr="00D83239" w:rsidRDefault="00CF25C3" w:rsidP="00D83239">
            <w:pPr>
              <w:spacing w:line="276" w:lineRule="auto"/>
              <w:jc w:val="right"/>
              <w:rPr>
                <w:rFonts w:ascii="Arial" w:hAnsi="Arial" w:cs="Arial"/>
                <w:sz w:val="20"/>
                <w:szCs w:val="20"/>
              </w:rPr>
            </w:pPr>
            <w:r w:rsidRPr="00D83239">
              <w:rPr>
                <w:rFonts w:ascii="Arial" w:hAnsi="Arial" w:cs="Arial"/>
                <w:sz w:val="20"/>
                <w:szCs w:val="20"/>
              </w:rPr>
              <w:t>20</w:t>
            </w:r>
          </w:p>
        </w:tc>
      </w:tr>
    </w:tbl>
    <w:p w14:paraId="245C7A45" w14:textId="77777777" w:rsidR="008D79F0" w:rsidRDefault="008D79F0" w:rsidP="00D83239">
      <w:pPr>
        <w:spacing w:after="0" w:line="276" w:lineRule="auto"/>
        <w:jc w:val="both"/>
        <w:rPr>
          <w:rFonts w:ascii="Arial" w:hAnsi="Arial" w:cs="Arial"/>
          <w:b/>
          <w:sz w:val="20"/>
          <w:szCs w:val="20"/>
        </w:rPr>
      </w:pPr>
    </w:p>
    <w:p w14:paraId="6AA8B89F" w14:textId="5BAA6E41" w:rsidR="00CF25C3" w:rsidRPr="00D83239" w:rsidRDefault="00CF25C3" w:rsidP="00D83239">
      <w:pPr>
        <w:spacing w:after="0" w:line="276" w:lineRule="auto"/>
        <w:jc w:val="both"/>
        <w:rPr>
          <w:rFonts w:ascii="Arial" w:hAnsi="Arial" w:cs="Arial"/>
          <w:sz w:val="20"/>
          <w:szCs w:val="20"/>
        </w:rPr>
      </w:pPr>
      <w:r w:rsidRPr="00D83239">
        <w:rPr>
          <w:rFonts w:ascii="Arial" w:hAnsi="Arial" w:cs="Arial"/>
          <w:b/>
          <w:sz w:val="20"/>
          <w:szCs w:val="20"/>
        </w:rPr>
        <w:t>Preglednica</w:t>
      </w:r>
      <w:r w:rsidRPr="00322E3B">
        <w:rPr>
          <w:rFonts w:ascii="Arial" w:hAnsi="Arial" w:cs="Arial"/>
          <w:sz w:val="20"/>
          <w:szCs w:val="20"/>
        </w:rPr>
        <w:t>:</w:t>
      </w:r>
      <w:r w:rsidRPr="00D83239">
        <w:rPr>
          <w:rFonts w:ascii="Arial" w:hAnsi="Arial" w:cs="Arial"/>
          <w:sz w:val="20"/>
          <w:szCs w:val="20"/>
        </w:rPr>
        <w:t xml:space="preserve"> Kadrovski načrt za leti 202</w:t>
      </w:r>
      <w:r w:rsidR="0099648B">
        <w:rPr>
          <w:rFonts w:ascii="Arial" w:hAnsi="Arial" w:cs="Arial"/>
          <w:sz w:val="20"/>
          <w:szCs w:val="20"/>
        </w:rPr>
        <w:t>4</w:t>
      </w:r>
      <w:r w:rsidRPr="00D83239">
        <w:rPr>
          <w:rFonts w:ascii="Arial" w:hAnsi="Arial" w:cs="Arial"/>
          <w:sz w:val="20"/>
          <w:szCs w:val="20"/>
        </w:rPr>
        <w:t xml:space="preserve"> in 202</w:t>
      </w:r>
      <w:r w:rsidR="0099648B">
        <w:rPr>
          <w:rFonts w:ascii="Arial" w:hAnsi="Arial" w:cs="Arial"/>
          <w:sz w:val="20"/>
          <w:szCs w:val="20"/>
        </w:rPr>
        <w:t>5</w:t>
      </w:r>
    </w:p>
    <w:p w14:paraId="65BFAA9D" w14:textId="77777777" w:rsidR="00CF25C3" w:rsidRPr="00D83239" w:rsidRDefault="00CF25C3" w:rsidP="00D83239">
      <w:pPr>
        <w:spacing w:after="0" w:line="276" w:lineRule="auto"/>
        <w:jc w:val="both"/>
        <w:rPr>
          <w:rFonts w:ascii="Arial" w:hAnsi="Arial" w:cs="Arial"/>
          <w:sz w:val="20"/>
          <w:szCs w:val="20"/>
        </w:rPr>
      </w:pPr>
    </w:p>
    <w:p w14:paraId="050136BC" w14:textId="77777777" w:rsidR="00CF25C3" w:rsidRPr="00D83239" w:rsidRDefault="00CF25C3" w:rsidP="00D83239">
      <w:pPr>
        <w:spacing w:line="276" w:lineRule="auto"/>
        <w:jc w:val="both"/>
        <w:rPr>
          <w:rFonts w:ascii="Arial" w:hAnsi="Arial" w:cs="Arial"/>
          <w:b/>
          <w:sz w:val="20"/>
          <w:szCs w:val="20"/>
        </w:rPr>
      </w:pPr>
      <w:r w:rsidRPr="00D83239">
        <w:rPr>
          <w:rFonts w:ascii="Arial" w:hAnsi="Arial" w:cs="Arial"/>
          <w:b/>
          <w:sz w:val="20"/>
          <w:szCs w:val="20"/>
        </w:rPr>
        <w:t>Sistemizacija in zasedba 2024–2025:</w:t>
      </w:r>
    </w:p>
    <w:tbl>
      <w:tblPr>
        <w:tblW w:w="0" w:type="auto"/>
        <w:tblLayout w:type="fixed"/>
        <w:tblCellMar>
          <w:left w:w="70" w:type="dxa"/>
          <w:right w:w="70" w:type="dxa"/>
        </w:tblCellMar>
        <w:tblLook w:val="04A0" w:firstRow="1" w:lastRow="0" w:firstColumn="1" w:lastColumn="0" w:noHBand="0" w:noVBand="1"/>
      </w:tblPr>
      <w:tblGrid>
        <w:gridCol w:w="1129"/>
        <w:gridCol w:w="2013"/>
        <w:gridCol w:w="1865"/>
        <w:gridCol w:w="2188"/>
        <w:gridCol w:w="1865"/>
      </w:tblGrid>
      <w:tr w:rsidR="00CF25C3" w:rsidRPr="00D83239" w14:paraId="53C8D85B" w14:textId="77777777" w:rsidTr="007B3C6F">
        <w:trPr>
          <w:trHeight w:val="273"/>
        </w:trPr>
        <w:tc>
          <w:tcPr>
            <w:tcW w:w="112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1A9D7AC7" w14:textId="77777777" w:rsidR="00CF25C3" w:rsidRPr="00D83239" w:rsidRDefault="00CF25C3" w:rsidP="00D83239">
            <w:pPr>
              <w:spacing w:line="276" w:lineRule="auto"/>
              <w:ind w:left="360"/>
              <w:jc w:val="both"/>
              <w:rPr>
                <w:rFonts w:ascii="Arial" w:eastAsia="Times New Roman" w:hAnsi="Arial" w:cs="Arial"/>
                <w:b/>
                <w:bCs/>
                <w:sz w:val="20"/>
                <w:szCs w:val="20"/>
                <w:lang w:eastAsia="sl-SI"/>
              </w:rPr>
            </w:pPr>
          </w:p>
        </w:tc>
        <w:tc>
          <w:tcPr>
            <w:tcW w:w="387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7BEBC7" w14:textId="77777777" w:rsidR="00CF25C3" w:rsidRPr="00D83239" w:rsidRDefault="00CF25C3" w:rsidP="00D83239">
            <w:pPr>
              <w:spacing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31. 12. 2024</w:t>
            </w:r>
          </w:p>
        </w:tc>
        <w:tc>
          <w:tcPr>
            <w:tcW w:w="405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B10EFB4" w14:textId="77777777" w:rsidR="00CF25C3" w:rsidRPr="00D83239" w:rsidRDefault="00CF25C3" w:rsidP="00D83239">
            <w:pPr>
              <w:spacing w:line="276" w:lineRule="auto"/>
              <w:jc w:val="center"/>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31. 12. 2025</w:t>
            </w:r>
          </w:p>
        </w:tc>
      </w:tr>
      <w:tr w:rsidR="00CF25C3" w:rsidRPr="00D83239" w14:paraId="675C5B57" w14:textId="77777777" w:rsidTr="007B3C6F">
        <w:trPr>
          <w:trHeight w:val="535"/>
        </w:trPr>
        <w:tc>
          <w:tcPr>
            <w:tcW w:w="112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B210096" w14:textId="77777777" w:rsidR="00CF25C3" w:rsidRPr="00D83239" w:rsidRDefault="00CF25C3" w:rsidP="00D83239">
            <w:pPr>
              <w:spacing w:line="276" w:lineRule="auto"/>
              <w:jc w:val="both"/>
              <w:rPr>
                <w:rFonts w:ascii="Arial" w:eastAsia="Times New Roman" w:hAnsi="Arial" w:cs="Arial"/>
                <w:b/>
                <w:bCs/>
                <w:sz w:val="20"/>
                <w:szCs w:val="20"/>
                <w:lang w:eastAsia="sl-SI"/>
              </w:rPr>
            </w:pPr>
          </w:p>
        </w:tc>
        <w:tc>
          <w:tcPr>
            <w:tcW w:w="2013" w:type="dxa"/>
            <w:tcBorders>
              <w:top w:val="nil"/>
              <w:left w:val="nil"/>
              <w:bottom w:val="single" w:sz="4" w:space="0" w:color="auto"/>
              <w:right w:val="single" w:sz="4" w:space="0" w:color="auto"/>
            </w:tcBorders>
            <w:shd w:val="clear" w:color="auto" w:fill="D9D9D9" w:themeFill="background1" w:themeFillShade="D9"/>
            <w:noWrap/>
            <w:vAlign w:val="center"/>
            <w:hideMark/>
          </w:tcPr>
          <w:p w14:paraId="1C20590E" w14:textId="77777777" w:rsidR="00CF25C3" w:rsidRPr="00D83239" w:rsidRDefault="00CF25C3" w:rsidP="00D83239">
            <w:pPr>
              <w:spacing w:line="276" w:lineRule="auto"/>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Sistemizirana del. mesta</w:t>
            </w:r>
          </w:p>
        </w:tc>
        <w:tc>
          <w:tcPr>
            <w:tcW w:w="1865" w:type="dxa"/>
            <w:tcBorders>
              <w:top w:val="nil"/>
              <w:left w:val="nil"/>
              <w:bottom w:val="single" w:sz="4" w:space="0" w:color="auto"/>
              <w:right w:val="single" w:sz="4" w:space="0" w:color="auto"/>
            </w:tcBorders>
            <w:shd w:val="clear" w:color="auto" w:fill="D9D9D9" w:themeFill="background1" w:themeFillShade="D9"/>
            <w:noWrap/>
            <w:vAlign w:val="center"/>
            <w:hideMark/>
          </w:tcPr>
          <w:p w14:paraId="20052A68" w14:textId="77777777" w:rsidR="00CF25C3" w:rsidRPr="00D83239" w:rsidRDefault="00CF25C3" w:rsidP="00D83239">
            <w:pPr>
              <w:spacing w:line="276" w:lineRule="auto"/>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Zasedena del. mesta</w:t>
            </w:r>
          </w:p>
        </w:tc>
        <w:tc>
          <w:tcPr>
            <w:tcW w:w="2188" w:type="dxa"/>
            <w:tcBorders>
              <w:top w:val="nil"/>
              <w:left w:val="nil"/>
              <w:bottom w:val="single" w:sz="4" w:space="0" w:color="auto"/>
              <w:right w:val="single" w:sz="4" w:space="0" w:color="auto"/>
            </w:tcBorders>
            <w:shd w:val="clear" w:color="auto" w:fill="D9D9D9" w:themeFill="background1" w:themeFillShade="D9"/>
            <w:noWrap/>
            <w:vAlign w:val="center"/>
            <w:hideMark/>
          </w:tcPr>
          <w:p w14:paraId="013893BA" w14:textId="77777777" w:rsidR="00CF25C3" w:rsidRPr="00D83239" w:rsidRDefault="00CF25C3" w:rsidP="00D83239">
            <w:pPr>
              <w:spacing w:line="276" w:lineRule="auto"/>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Sistemizirana del. mesta</w:t>
            </w:r>
          </w:p>
        </w:tc>
        <w:tc>
          <w:tcPr>
            <w:tcW w:w="1865" w:type="dxa"/>
            <w:tcBorders>
              <w:top w:val="nil"/>
              <w:left w:val="nil"/>
              <w:bottom w:val="single" w:sz="4" w:space="0" w:color="auto"/>
              <w:right w:val="single" w:sz="4" w:space="0" w:color="auto"/>
            </w:tcBorders>
            <w:shd w:val="clear" w:color="auto" w:fill="D9D9D9" w:themeFill="background1" w:themeFillShade="D9"/>
            <w:noWrap/>
            <w:vAlign w:val="center"/>
            <w:hideMark/>
          </w:tcPr>
          <w:p w14:paraId="72880608" w14:textId="77777777" w:rsidR="00CF25C3" w:rsidRPr="00D83239" w:rsidRDefault="00CF25C3" w:rsidP="00D83239">
            <w:pPr>
              <w:spacing w:line="276" w:lineRule="auto"/>
              <w:rPr>
                <w:rFonts w:ascii="Arial" w:eastAsia="Times New Roman" w:hAnsi="Arial" w:cs="Arial"/>
                <w:b/>
                <w:bCs/>
                <w:sz w:val="20"/>
                <w:szCs w:val="20"/>
                <w:lang w:eastAsia="sl-SI"/>
              </w:rPr>
            </w:pPr>
            <w:r w:rsidRPr="00D83239">
              <w:rPr>
                <w:rFonts w:ascii="Arial" w:eastAsia="Times New Roman" w:hAnsi="Arial" w:cs="Arial"/>
                <w:b/>
                <w:bCs/>
                <w:sz w:val="20"/>
                <w:szCs w:val="20"/>
                <w:lang w:eastAsia="sl-SI"/>
              </w:rPr>
              <w:t>Zasedena del. mesta</w:t>
            </w:r>
          </w:p>
        </w:tc>
      </w:tr>
      <w:tr w:rsidR="00CF25C3" w:rsidRPr="00D83239" w14:paraId="1E91B7C2" w14:textId="77777777" w:rsidTr="007B3C6F">
        <w:trPr>
          <w:trHeight w:val="25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D28F657" w14:textId="77777777" w:rsidR="00CF25C3" w:rsidRPr="00D83239" w:rsidRDefault="00CF25C3" w:rsidP="00D83239">
            <w:pPr>
              <w:spacing w:line="276" w:lineRule="auto"/>
              <w:jc w:val="both"/>
              <w:rPr>
                <w:rFonts w:ascii="Arial" w:eastAsia="Times New Roman" w:hAnsi="Arial" w:cs="Arial"/>
                <w:b/>
                <w:sz w:val="20"/>
                <w:szCs w:val="20"/>
                <w:lang w:eastAsia="sl-SI"/>
              </w:rPr>
            </w:pPr>
            <w:r w:rsidRPr="00D83239">
              <w:rPr>
                <w:rFonts w:ascii="Arial" w:eastAsia="Times New Roman" w:hAnsi="Arial" w:cs="Arial"/>
                <w:b/>
                <w:sz w:val="20"/>
                <w:szCs w:val="20"/>
                <w:lang w:eastAsia="sl-SI"/>
              </w:rPr>
              <w:t>MNZ</w:t>
            </w:r>
          </w:p>
        </w:tc>
        <w:tc>
          <w:tcPr>
            <w:tcW w:w="2013" w:type="dxa"/>
            <w:tcBorders>
              <w:top w:val="nil"/>
              <w:left w:val="nil"/>
              <w:bottom w:val="single" w:sz="4" w:space="0" w:color="auto"/>
              <w:right w:val="single" w:sz="4" w:space="0" w:color="auto"/>
            </w:tcBorders>
            <w:shd w:val="clear" w:color="auto" w:fill="auto"/>
            <w:noWrap/>
            <w:vAlign w:val="center"/>
            <w:hideMark/>
          </w:tcPr>
          <w:p w14:paraId="077F4A5D"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1.030</w:t>
            </w:r>
          </w:p>
        </w:tc>
        <w:tc>
          <w:tcPr>
            <w:tcW w:w="1865" w:type="dxa"/>
            <w:tcBorders>
              <w:top w:val="nil"/>
              <w:left w:val="nil"/>
              <w:bottom w:val="single" w:sz="4" w:space="0" w:color="auto"/>
              <w:right w:val="single" w:sz="4" w:space="0" w:color="auto"/>
            </w:tcBorders>
            <w:shd w:val="clear" w:color="auto" w:fill="auto"/>
            <w:noWrap/>
            <w:vAlign w:val="center"/>
            <w:hideMark/>
          </w:tcPr>
          <w:p w14:paraId="395494B2"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633</w:t>
            </w:r>
          </w:p>
        </w:tc>
        <w:tc>
          <w:tcPr>
            <w:tcW w:w="2188" w:type="dxa"/>
            <w:tcBorders>
              <w:top w:val="nil"/>
              <w:left w:val="nil"/>
              <w:bottom w:val="single" w:sz="4" w:space="0" w:color="auto"/>
              <w:right w:val="single" w:sz="4" w:space="0" w:color="auto"/>
            </w:tcBorders>
            <w:shd w:val="clear" w:color="auto" w:fill="auto"/>
            <w:noWrap/>
            <w:vAlign w:val="center"/>
          </w:tcPr>
          <w:p w14:paraId="7CD9525E"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1.072</w:t>
            </w:r>
          </w:p>
        </w:tc>
        <w:tc>
          <w:tcPr>
            <w:tcW w:w="1865" w:type="dxa"/>
            <w:tcBorders>
              <w:top w:val="nil"/>
              <w:left w:val="nil"/>
              <w:bottom w:val="single" w:sz="4" w:space="0" w:color="auto"/>
              <w:right w:val="single" w:sz="4" w:space="0" w:color="auto"/>
            </w:tcBorders>
            <w:shd w:val="clear" w:color="auto" w:fill="auto"/>
            <w:noWrap/>
            <w:vAlign w:val="center"/>
          </w:tcPr>
          <w:p w14:paraId="3839DAF5"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626</w:t>
            </w:r>
          </w:p>
        </w:tc>
      </w:tr>
      <w:tr w:rsidR="00CF25C3" w:rsidRPr="00D83239" w14:paraId="489778A1" w14:textId="77777777" w:rsidTr="007B3C6F">
        <w:trPr>
          <w:trHeight w:val="25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7433D48" w14:textId="77777777" w:rsidR="00CF25C3" w:rsidRPr="00D83239" w:rsidRDefault="00CF25C3" w:rsidP="00D83239">
            <w:pPr>
              <w:spacing w:line="276" w:lineRule="auto"/>
              <w:jc w:val="both"/>
              <w:rPr>
                <w:rFonts w:ascii="Arial" w:eastAsia="Times New Roman" w:hAnsi="Arial" w:cs="Arial"/>
                <w:b/>
                <w:sz w:val="20"/>
                <w:szCs w:val="20"/>
                <w:lang w:eastAsia="sl-SI"/>
              </w:rPr>
            </w:pPr>
            <w:r w:rsidRPr="00D83239">
              <w:rPr>
                <w:rFonts w:ascii="Arial" w:eastAsia="Times New Roman" w:hAnsi="Arial" w:cs="Arial"/>
                <w:b/>
                <w:sz w:val="20"/>
                <w:szCs w:val="20"/>
                <w:lang w:eastAsia="sl-SI"/>
              </w:rPr>
              <w:t>POLICIJA</w:t>
            </w:r>
          </w:p>
        </w:tc>
        <w:tc>
          <w:tcPr>
            <w:tcW w:w="2013" w:type="dxa"/>
            <w:tcBorders>
              <w:top w:val="nil"/>
              <w:left w:val="nil"/>
              <w:bottom w:val="single" w:sz="4" w:space="0" w:color="auto"/>
              <w:right w:val="single" w:sz="4" w:space="0" w:color="auto"/>
            </w:tcBorders>
            <w:shd w:val="clear" w:color="auto" w:fill="auto"/>
            <w:noWrap/>
            <w:vAlign w:val="center"/>
            <w:hideMark/>
          </w:tcPr>
          <w:p w14:paraId="4992C8A6"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11.257</w:t>
            </w:r>
          </w:p>
        </w:tc>
        <w:tc>
          <w:tcPr>
            <w:tcW w:w="1865" w:type="dxa"/>
            <w:tcBorders>
              <w:top w:val="nil"/>
              <w:left w:val="nil"/>
              <w:bottom w:val="single" w:sz="4" w:space="0" w:color="auto"/>
              <w:right w:val="single" w:sz="4" w:space="0" w:color="auto"/>
            </w:tcBorders>
            <w:shd w:val="clear" w:color="auto" w:fill="auto"/>
            <w:noWrap/>
            <w:vAlign w:val="center"/>
            <w:hideMark/>
          </w:tcPr>
          <w:p w14:paraId="1F286BD0"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7.899</w:t>
            </w:r>
          </w:p>
        </w:tc>
        <w:tc>
          <w:tcPr>
            <w:tcW w:w="2188" w:type="dxa"/>
            <w:tcBorders>
              <w:top w:val="nil"/>
              <w:left w:val="nil"/>
              <w:bottom w:val="single" w:sz="4" w:space="0" w:color="auto"/>
              <w:right w:val="single" w:sz="4" w:space="0" w:color="auto"/>
            </w:tcBorders>
            <w:shd w:val="clear" w:color="auto" w:fill="auto"/>
            <w:noWrap/>
            <w:vAlign w:val="center"/>
          </w:tcPr>
          <w:p w14:paraId="6CBCC66E"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11.373</w:t>
            </w:r>
          </w:p>
        </w:tc>
        <w:tc>
          <w:tcPr>
            <w:tcW w:w="1865" w:type="dxa"/>
            <w:tcBorders>
              <w:top w:val="nil"/>
              <w:left w:val="nil"/>
              <w:bottom w:val="single" w:sz="4" w:space="0" w:color="auto"/>
              <w:right w:val="single" w:sz="4" w:space="0" w:color="auto"/>
            </w:tcBorders>
            <w:shd w:val="clear" w:color="auto" w:fill="auto"/>
            <w:noWrap/>
            <w:vAlign w:val="center"/>
          </w:tcPr>
          <w:p w14:paraId="211548D3"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7.920</w:t>
            </w:r>
          </w:p>
        </w:tc>
      </w:tr>
      <w:tr w:rsidR="00CF25C3" w:rsidRPr="00D83239" w14:paraId="7AAB1294" w14:textId="77777777" w:rsidTr="007B3C6F">
        <w:trPr>
          <w:trHeight w:val="25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5FB983E" w14:textId="77777777" w:rsidR="00CF25C3" w:rsidRPr="00D83239" w:rsidRDefault="00CF25C3" w:rsidP="00D83239">
            <w:pPr>
              <w:spacing w:line="276" w:lineRule="auto"/>
              <w:jc w:val="both"/>
              <w:rPr>
                <w:rFonts w:ascii="Arial" w:eastAsia="Times New Roman" w:hAnsi="Arial" w:cs="Arial"/>
                <w:b/>
                <w:sz w:val="20"/>
                <w:szCs w:val="20"/>
                <w:lang w:eastAsia="sl-SI"/>
              </w:rPr>
            </w:pPr>
            <w:r w:rsidRPr="00D83239">
              <w:rPr>
                <w:rFonts w:ascii="Arial" w:eastAsia="Times New Roman" w:hAnsi="Arial" w:cs="Arial"/>
                <w:b/>
                <w:sz w:val="20"/>
                <w:szCs w:val="20"/>
                <w:lang w:eastAsia="sl-SI"/>
              </w:rPr>
              <w:t>IRSNZ</w:t>
            </w:r>
          </w:p>
        </w:tc>
        <w:tc>
          <w:tcPr>
            <w:tcW w:w="2013" w:type="dxa"/>
            <w:tcBorders>
              <w:top w:val="nil"/>
              <w:left w:val="nil"/>
              <w:bottom w:val="single" w:sz="4" w:space="0" w:color="auto"/>
              <w:right w:val="single" w:sz="4" w:space="0" w:color="auto"/>
            </w:tcBorders>
            <w:shd w:val="clear" w:color="auto" w:fill="auto"/>
            <w:noWrap/>
            <w:vAlign w:val="center"/>
            <w:hideMark/>
          </w:tcPr>
          <w:p w14:paraId="500C87F8"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30</w:t>
            </w:r>
          </w:p>
        </w:tc>
        <w:tc>
          <w:tcPr>
            <w:tcW w:w="1865" w:type="dxa"/>
            <w:tcBorders>
              <w:top w:val="nil"/>
              <w:left w:val="nil"/>
              <w:bottom w:val="single" w:sz="4" w:space="0" w:color="auto"/>
              <w:right w:val="single" w:sz="4" w:space="0" w:color="auto"/>
            </w:tcBorders>
            <w:shd w:val="clear" w:color="auto" w:fill="auto"/>
            <w:noWrap/>
            <w:vAlign w:val="center"/>
            <w:hideMark/>
          </w:tcPr>
          <w:p w14:paraId="0BC92245"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20</w:t>
            </w:r>
          </w:p>
        </w:tc>
        <w:tc>
          <w:tcPr>
            <w:tcW w:w="2188" w:type="dxa"/>
            <w:tcBorders>
              <w:top w:val="nil"/>
              <w:left w:val="nil"/>
              <w:bottom w:val="single" w:sz="4" w:space="0" w:color="auto"/>
              <w:right w:val="single" w:sz="4" w:space="0" w:color="auto"/>
            </w:tcBorders>
            <w:shd w:val="clear" w:color="auto" w:fill="auto"/>
            <w:noWrap/>
            <w:vAlign w:val="center"/>
          </w:tcPr>
          <w:p w14:paraId="3E345721"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30</w:t>
            </w:r>
          </w:p>
        </w:tc>
        <w:tc>
          <w:tcPr>
            <w:tcW w:w="1865" w:type="dxa"/>
            <w:tcBorders>
              <w:top w:val="nil"/>
              <w:left w:val="nil"/>
              <w:bottom w:val="single" w:sz="4" w:space="0" w:color="auto"/>
              <w:right w:val="single" w:sz="4" w:space="0" w:color="auto"/>
            </w:tcBorders>
            <w:shd w:val="clear" w:color="auto" w:fill="auto"/>
            <w:noWrap/>
            <w:vAlign w:val="center"/>
          </w:tcPr>
          <w:p w14:paraId="78FF7150" w14:textId="77777777" w:rsidR="00CF25C3" w:rsidRPr="00D83239" w:rsidRDefault="00CF25C3" w:rsidP="00D83239">
            <w:pPr>
              <w:spacing w:line="276" w:lineRule="auto"/>
              <w:jc w:val="right"/>
              <w:rPr>
                <w:rFonts w:ascii="Arial" w:eastAsia="Times New Roman" w:hAnsi="Arial" w:cs="Arial"/>
                <w:sz w:val="20"/>
                <w:szCs w:val="20"/>
                <w:lang w:eastAsia="sl-SI"/>
              </w:rPr>
            </w:pPr>
            <w:r w:rsidRPr="00D83239">
              <w:rPr>
                <w:rFonts w:ascii="Arial" w:eastAsia="Times New Roman" w:hAnsi="Arial" w:cs="Arial"/>
                <w:sz w:val="20"/>
                <w:szCs w:val="20"/>
                <w:lang w:eastAsia="sl-SI"/>
              </w:rPr>
              <w:t>20</w:t>
            </w:r>
          </w:p>
        </w:tc>
      </w:tr>
    </w:tbl>
    <w:p w14:paraId="1A504008" w14:textId="77777777" w:rsidR="008D79F0" w:rsidRDefault="008D79F0" w:rsidP="00D83239">
      <w:pPr>
        <w:spacing w:line="276" w:lineRule="auto"/>
        <w:jc w:val="both"/>
        <w:rPr>
          <w:rFonts w:ascii="Arial" w:hAnsi="Arial" w:cs="Arial"/>
          <w:b/>
          <w:sz w:val="20"/>
          <w:szCs w:val="20"/>
        </w:rPr>
      </w:pPr>
    </w:p>
    <w:p w14:paraId="56687901" w14:textId="1ECF5B8C" w:rsidR="00CF25C3" w:rsidRDefault="00CF25C3" w:rsidP="00D83239">
      <w:pPr>
        <w:spacing w:line="276" w:lineRule="auto"/>
        <w:jc w:val="both"/>
        <w:rPr>
          <w:rFonts w:ascii="Arial" w:hAnsi="Arial" w:cs="Arial"/>
          <w:sz w:val="20"/>
          <w:szCs w:val="20"/>
        </w:rPr>
      </w:pPr>
      <w:r w:rsidRPr="00D83239">
        <w:rPr>
          <w:rFonts w:ascii="Arial" w:hAnsi="Arial" w:cs="Arial"/>
          <w:b/>
          <w:sz w:val="20"/>
          <w:szCs w:val="20"/>
        </w:rPr>
        <w:t>Preglednica</w:t>
      </w:r>
      <w:r w:rsidRPr="00345662">
        <w:rPr>
          <w:rFonts w:ascii="Arial" w:hAnsi="Arial" w:cs="Arial"/>
          <w:sz w:val="20"/>
          <w:szCs w:val="20"/>
        </w:rPr>
        <w:t>:</w:t>
      </w:r>
      <w:r w:rsidRPr="00D83239">
        <w:rPr>
          <w:rFonts w:ascii="Arial" w:hAnsi="Arial" w:cs="Arial"/>
          <w:sz w:val="20"/>
          <w:szCs w:val="20"/>
        </w:rPr>
        <w:t xml:space="preserve"> Podatki o sistematizaciji in zasedbi del</w:t>
      </w:r>
      <w:r w:rsidR="008D79F0">
        <w:rPr>
          <w:rFonts w:ascii="Arial" w:hAnsi="Arial" w:cs="Arial"/>
          <w:sz w:val="20"/>
          <w:szCs w:val="20"/>
        </w:rPr>
        <w:t>ovnih mest v letih 2024 in 2025</w:t>
      </w:r>
    </w:p>
    <w:p w14:paraId="13F7C5BB" w14:textId="77777777" w:rsidR="008D79F0" w:rsidRPr="008D79F0" w:rsidRDefault="008D79F0" w:rsidP="00D83239">
      <w:pPr>
        <w:spacing w:line="276" w:lineRule="auto"/>
        <w:jc w:val="both"/>
        <w:rPr>
          <w:rFonts w:ascii="Arial" w:hAnsi="Arial" w:cs="Arial"/>
          <w:sz w:val="20"/>
          <w:szCs w:val="20"/>
        </w:rPr>
      </w:pPr>
    </w:p>
    <w:p w14:paraId="00F6FDE6" w14:textId="77777777" w:rsidR="00CF25C3" w:rsidRPr="00D83239" w:rsidRDefault="00CF25C3" w:rsidP="00D83239">
      <w:pPr>
        <w:pStyle w:val="Odstavekseznama"/>
        <w:spacing w:after="160"/>
        <w:ind w:left="0"/>
        <w:jc w:val="both"/>
        <w:rPr>
          <w:rFonts w:ascii="Arial" w:hAnsi="Arial" w:cs="Arial"/>
          <w:b/>
          <w:sz w:val="20"/>
          <w:szCs w:val="20"/>
        </w:rPr>
      </w:pPr>
      <w:r w:rsidRPr="00D83239">
        <w:rPr>
          <w:rFonts w:ascii="Arial" w:hAnsi="Arial" w:cs="Arial"/>
          <w:noProof/>
          <w:sz w:val="20"/>
          <w:szCs w:val="20"/>
          <w:lang w:eastAsia="sl-SI"/>
        </w:rPr>
        <w:drawing>
          <wp:inline distT="0" distB="0" distL="0" distR="0" wp14:anchorId="58767205" wp14:editId="59BFC8BA">
            <wp:extent cx="5063778" cy="2686114"/>
            <wp:effectExtent l="0" t="0" r="3810" b="0"/>
            <wp:docPr id="7" name="Grafikon 7">
              <a:extLst xmlns:a="http://schemas.openxmlformats.org/drawingml/2006/main">
                <a:ext uri="{FF2B5EF4-FFF2-40B4-BE49-F238E27FC236}">
                  <a16:creationId xmlns:a16="http://schemas.microsoft.com/office/drawing/2014/main" id="{C9ABE964-DC3A-4C98-B11C-1865F7A825F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FC2D393" w14:textId="77777777" w:rsidR="008D79F0" w:rsidRDefault="008D79F0" w:rsidP="00D83239">
      <w:pPr>
        <w:spacing w:after="0" w:line="276" w:lineRule="auto"/>
        <w:jc w:val="both"/>
        <w:rPr>
          <w:rFonts w:ascii="Arial" w:hAnsi="Arial" w:cs="Arial"/>
          <w:b/>
          <w:sz w:val="20"/>
          <w:szCs w:val="20"/>
        </w:rPr>
      </w:pPr>
    </w:p>
    <w:p w14:paraId="73E0EA44" w14:textId="68FC9ED9" w:rsidR="00CF25C3" w:rsidRPr="008D79F0" w:rsidRDefault="00CF25C3" w:rsidP="00D83239">
      <w:pPr>
        <w:spacing w:after="0" w:line="276" w:lineRule="auto"/>
        <w:jc w:val="both"/>
        <w:rPr>
          <w:rFonts w:ascii="Arial" w:hAnsi="Arial" w:cs="Arial"/>
          <w:sz w:val="20"/>
          <w:szCs w:val="20"/>
        </w:rPr>
      </w:pPr>
      <w:r w:rsidRPr="00D83239">
        <w:rPr>
          <w:rFonts w:ascii="Arial" w:hAnsi="Arial" w:cs="Arial"/>
          <w:b/>
          <w:sz w:val="20"/>
          <w:szCs w:val="20"/>
        </w:rPr>
        <w:t>Graf</w:t>
      </w:r>
      <w:r w:rsidR="00FD1D0A">
        <w:rPr>
          <w:rFonts w:ascii="Arial" w:hAnsi="Arial" w:cs="Arial"/>
          <w:b/>
          <w:sz w:val="20"/>
          <w:szCs w:val="20"/>
        </w:rPr>
        <w:t>ikon</w:t>
      </w:r>
      <w:r w:rsidRPr="00345662">
        <w:rPr>
          <w:rFonts w:ascii="Arial" w:hAnsi="Arial" w:cs="Arial"/>
          <w:sz w:val="20"/>
          <w:szCs w:val="20"/>
        </w:rPr>
        <w:t>:</w:t>
      </w:r>
      <w:r w:rsidRPr="00D83239">
        <w:rPr>
          <w:rFonts w:ascii="Arial" w:hAnsi="Arial" w:cs="Arial"/>
          <w:sz w:val="20"/>
          <w:szCs w:val="20"/>
        </w:rPr>
        <w:t xml:space="preserve"> Podatki o fluktuacij</w:t>
      </w:r>
      <w:r w:rsidR="008D79F0">
        <w:rPr>
          <w:rFonts w:ascii="Arial" w:hAnsi="Arial" w:cs="Arial"/>
          <w:sz w:val="20"/>
          <w:szCs w:val="20"/>
        </w:rPr>
        <w:t>i od 1. 1. 2025 do 31. 12. 2025</w:t>
      </w:r>
    </w:p>
    <w:p w14:paraId="7BE5E960" w14:textId="63B1C6BE" w:rsidR="001541A2" w:rsidRPr="00D83239" w:rsidRDefault="001541A2" w:rsidP="00D83239">
      <w:pPr>
        <w:spacing w:after="0" w:line="276" w:lineRule="auto"/>
        <w:jc w:val="both"/>
        <w:rPr>
          <w:rFonts w:ascii="Arial" w:hAnsi="Arial" w:cs="Arial"/>
          <w:b/>
          <w:sz w:val="20"/>
          <w:szCs w:val="20"/>
          <w:highlight w:val="yellow"/>
        </w:rPr>
      </w:pPr>
    </w:p>
    <w:p w14:paraId="3E36F904" w14:textId="77777777" w:rsidR="001541A2" w:rsidRPr="00D83239" w:rsidRDefault="001541A2" w:rsidP="00D83239">
      <w:pPr>
        <w:pStyle w:val="Naslov2"/>
        <w:spacing w:line="276" w:lineRule="auto"/>
        <w:jc w:val="both"/>
      </w:pPr>
      <w:bookmarkStart w:id="244" w:name="_Toc225499853"/>
      <w:r w:rsidRPr="00D83239">
        <w:t>Varnost in zdravje pri delu</w:t>
      </w:r>
      <w:bookmarkEnd w:id="244"/>
    </w:p>
    <w:p w14:paraId="4926A0B4" w14:textId="2ED090E6" w:rsidR="00CF25C3" w:rsidRPr="00D83239" w:rsidRDefault="00CF25C3" w:rsidP="00D83239">
      <w:pPr>
        <w:spacing w:after="0" w:line="276" w:lineRule="auto"/>
        <w:jc w:val="both"/>
        <w:rPr>
          <w:rFonts w:ascii="Arial" w:hAnsi="Arial" w:cs="Arial"/>
          <w:sz w:val="20"/>
          <w:szCs w:val="20"/>
        </w:rPr>
      </w:pPr>
      <w:r w:rsidRPr="00D83239">
        <w:rPr>
          <w:rFonts w:ascii="Arial" w:hAnsi="Arial" w:cs="Arial"/>
          <w:sz w:val="20"/>
          <w:szCs w:val="20"/>
        </w:rPr>
        <w:t xml:space="preserve">Na področju varnosti in zdravja pri delu so se izvajale obsežne aktivnosti, povezane z ocenjevanjem </w:t>
      </w:r>
      <w:r w:rsidRPr="00FD61C7">
        <w:rPr>
          <w:rFonts w:ascii="Arial" w:hAnsi="Arial" w:cs="Arial"/>
          <w:sz w:val="20"/>
          <w:szCs w:val="20"/>
        </w:rPr>
        <w:t>tveganja v skladu s Pravilnikom o zagotavljanju varnosti in zdravja delavce</w:t>
      </w:r>
      <w:r w:rsidR="00FD61C7" w:rsidRPr="00FD61C7">
        <w:rPr>
          <w:rFonts w:ascii="Arial" w:hAnsi="Arial" w:cs="Arial"/>
          <w:sz w:val="20"/>
          <w:szCs w:val="20"/>
        </w:rPr>
        <w:t>v pri ročnem premeščanju bremen.</w:t>
      </w:r>
      <w:r w:rsidRPr="00FD61C7">
        <w:rPr>
          <w:rFonts w:ascii="Arial" w:hAnsi="Arial" w:cs="Arial"/>
          <w:sz w:val="20"/>
          <w:szCs w:val="20"/>
        </w:rPr>
        <w:t xml:space="preserve"> Zajemale so pripravo meril za ocenjevanje tveganja pri ročnem premeščanju bremen v </w:t>
      </w:r>
      <w:r w:rsidR="003F50D5" w:rsidRPr="00FD61C7">
        <w:rPr>
          <w:rFonts w:ascii="Arial" w:hAnsi="Arial" w:cs="Arial"/>
          <w:sz w:val="20"/>
          <w:szCs w:val="20"/>
        </w:rPr>
        <w:t>MNZ</w:t>
      </w:r>
      <w:r w:rsidRPr="00FD61C7">
        <w:rPr>
          <w:rFonts w:ascii="Arial" w:hAnsi="Arial" w:cs="Arial"/>
          <w:sz w:val="20"/>
          <w:szCs w:val="20"/>
        </w:rPr>
        <w:t>, IRSNZ in</w:t>
      </w:r>
      <w:r w:rsidRPr="00D83239">
        <w:rPr>
          <w:rFonts w:ascii="Arial" w:hAnsi="Arial" w:cs="Arial"/>
          <w:sz w:val="20"/>
          <w:szCs w:val="20"/>
        </w:rPr>
        <w:t xml:space="preserve"> Policiji v skladu z navedenim pravilnikom, pripravo in izvedbo posvetovalnih sestankov s predstavniki sindikatov v zvezi z izvedenimi in načrtovanimi aktivnostmi za ocenjevanje tveganja pri ročnem premeščanju</w:t>
      </w:r>
      <w:r w:rsidR="00B9456F">
        <w:rPr>
          <w:rFonts w:ascii="Arial" w:hAnsi="Arial" w:cs="Arial"/>
          <w:sz w:val="20"/>
          <w:szCs w:val="20"/>
        </w:rPr>
        <w:t xml:space="preserve"> ter</w:t>
      </w:r>
      <w:r w:rsidRPr="00D83239">
        <w:rPr>
          <w:rFonts w:ascii="Arial" w:hAnsi="Arial" w:cs="Arial"/>
          <w:sz w:val="20"/>
          <w:szCs w:val="20"/>
        </w:rPr>
        <w:t xml:space="preserve"> posledičnih sprememb in dopolnitev </w:t>
      </w:r>
      <w:r w:rsidR="00B9456F">
        <w:rPr>
          <w:rFonts w:ascii="Arial" w:hAnsi="Arial" w:cs="Arial"/>
          <w:sz w:val="20"/>
          <w:szCs w:val="20"/>
        </w:rPr>
        <w:t>i</w:t>
      </w:r>
      <w:r w:rsidRPr="00D83239">
        <w:rPr>
          <w:rFonts w:ascii="Arial" w:hAnsi="Arial" w:cs="Arial"/>
          <w:sz w:val="20"/>
          <w:szCs w:val="20"/>
        </w:rPr>
        <w:t xml:space="preserve">zjave o varnosti z oceno tveganja v MNZ ter kontinuirano izvedbo aktivnosti na področju ocenjevanja tveganj pri ročnem premeščanju bremen, ki se nanašajo na pregled in popis delovnih procesov, povezanih z ročnim premeščanjem bremen po posameznih </w:t>
      </w:r>
      <w:r w:rsidR="00FD61C7">
        <w:rPr>
          <w:rFonts w:ascii="Arial" w:hAnsi="Arial" w:cs="Arial"/>
          <w:sz w:val="20"/>
          <w:szCs w:val="20"/>
        </w:rPr>
        <w:t>delovnih m</w:t>
      </w:r>
      <w:r w:rsidR="00FD61C7" w:rsidRPr="00FD61C7">
        <w:rPr>
          <w:rFonts w:ascii="Arial" w:hAnsi="Arial" w:cs="Arial"/>
          <w:sz w:val="20"/>
          <w:szCs w:val="20"/>
        </w:rPr>
        <w:t>estih.</w:t>
      </w:r>
      <w:r w:rsidRPr="00D83239">
        <w:rPr>
          <w:rFonts w:ascii="Arial" w:hAnsi="Arial" w:cs="Arial"/>
          <w:sz w:val="20"/>
          <w:szCs w:val="20"/>
        </w:rPr>
        <w:t xml:space="preserve"> Predlog prenovljenega besedila </w:t>
      </w:r>
      <w:r w:rsidR="00B9456F">
        <w:rPr>
          <w:rFonts w:ascii="Arial" w:hAnsi="Arial" w:cs="Arial"/>
          <w:sz w:val="20"/>
          <w:szCs w:val="20"/>
        </w:rPr>
        <w:t>i</w:t>
      </w:r>
      <w:r w:rsidRPr="00D83239">
        <w:rPr>
          <w:rFonts w:ascii="Arial" w:hAnsi="Arial" w:cs="Arial"/>
          <w:sz w:val="20"/>
          <w:szCs w:val="20"/>
        </w:rPr>
        <w:t xml:space="preserve">zjave o varnosti z oceno tveganja v MNZ je v zaključnem usklajevanju pripomb notranjih organizacijskih enot </w:t>
      </w:r>
      <w:r w:rsidR="003F50D5">
        <w:rPr>
          <w:rFonts w:ascii="Arial" w:hAnsi="Arial" w:cs="Arial"/>
          <w:sz w:val="20"/>
          <w:szCs w:val="20"/>
        </w:rPr>
        <w:t>MNZ</w:t>
      </w:r>
      <w:r w:rsidR="003F50D5" w:rsidRPr="00D83239">
        <w:rPr>
          <w:rFonts w:ascii="Arial" w:hAnsi="Arial" w:cs="Arial"/>
          <w:sz w:val="20"/>
          <w:szCs w:val="20"/>
        </w:rPr>
        <w:t xml:space="preserve"> </w:t>
      </w:r>
      <w:r w:rsidRPr="00D83239">
        <w:rPr>
          <w:rFonts w:ascii="Arial" w:hAnsi="Arial" w:cs="Arial"/>
          <w:sz w:val="20"/>
          <w:szCs w:val="20"/>
        </w:rPr>
        <w:t>in organov v sestavi, pred po</w:t>
      </w:r>
      <w:r w:rsidR="00B9456F">
        <w:rPr>
          <w:rFonts w:ascii="Arial" w:hAnsi="Arial" w:cs="Arial"/>
          <w:sz w:val="20"/>
          <w:szCs w:val="20"/>
        </w:rPr>
        <w:t>šilj</w:t>
      </w:r>
      <w:r w:rsidRPr="00D83239">
        <w:rPr>
          <w:rFonts w:ascii="Arial" w:hAnsi="Arial" w:cs="Arial"/>
          <w:sz w:val="20"/>
          <w:szCs w:val="20"/>
        </w:rPr>
        <w:t>anjem v podpis ministru pa bo poslan še v mnenje obema sindikatoma.</w:t>
      </w:r>
    </w:p>
    <w:p w14:paraId="69EFFB2B" w14:textId="77777777" w:rsidR="00CF25C3" w:rsidRPr="00D83239" w:rsidRDefault="00CF25C3" w:rsidP="00D83239">
      <w:pPr>
        <w:spacing w:after="0" w:line="276" w:lineRule="auto"/>
        <w:jc w:val="both"/>
        <w:rPr>
          <w:rFonts w:ascii="Arial" w:eastAsiaTheme="minorHAnsi" w:hAnsi="Arial" w:cs="Arial"/>
          <w:sz w:val="20"/>
          <w:szCs w:val="20"/>
        </w:rPr>
      </w:pPr>
    </w:p>
    <w:p w14:paraId="3683A266" w14:textId="66575C57" w:rsidR="00CF25C3" w:rsidRPr="00D83239" w:rsidRDefault="00CF25C3" w:rsidP="00D83239">
      <w:pPr>
        <w:spacing w:after="0" w:line="276" w:lineRule="auto"/>
        <w:jc w:val="both"/>
        <w:rPr>
          <w:rFonts w:ascii="Arial" w:hAnsi="Arial" w:cs="Arial"/>
          <w:sz w:val="20"/>
          <w:szCs w:val="20"/>
        </w:rPr>
      </w:pPr>
      <w:r w:rsidRPr="00D83239">
        <w:rPr>
          <w:rFonts w:ascii="Arial" w:eastAsiaTheme="minorHAnsi" w:hAnsi="Arial" w:cs="Arial"/>
          <w:sz w:val="20"/>
          <w:szCs w:val="20"/>
        </w:rPr>
        <w:t xml:space="preserve">Kot priloga </w:t>
      </w:r>
      <w:r w:rsidR="00B9456F">
        <w:rPr>
          <w:rFonts w:ascii="Arial" w:eastAsiaTheme="minorHAnsi" w:hAnsi="Arial" w:cs="Arial"/>
          <w:sz w:val="20"/>
          <w:szCs w:val="20"/>
        </w:rPr>
        <w:t>n</w:t>
      </w:r>
      <w:r w:rsidRPr="00D83239">
        <w:rPr>
          <w:rFonts w:ascii="Arial" w:eastAsiaTheme="minorHAnsi" w:hAnsi="Arial" w:cs="Arial"/>
          <w:sz w:val="20"/>
          <w:szCs w:val="20"/>
        </w:rPr>
        <w:t xml:space="preserve">ačrta preprečevanja </w:t>
      </w:r>
      <w:proofErr w:type="spellStart"/>
      <w:r w:rsidRPr="00D83239">
        <w:rPr>
          <w:rFonts w:ascii="Arial" w:eastAsiaTheme="minorHAnsi" w:hAnsi="Arial" w:cs="Arial"/>
          <w:sz w:val="20"/>
          <w:szCs w:val="20"/>
        </w:rPr>
        <w:t>legioneloz</w:t>
      </w:r>
      <w:proofErr w:type="spellEnd"/>
      <w:r w:rsidRPr="00D83239">
        <w:rPr>
          <w:rFonts w:ascii="Arial" w:eastAsiaTheme="minorHAnsi" w:hAnsi="Arial" w:cs="Arial"/>
          <w:sz w:val="20"/>
          <w:szCs w:val="20"/>
        </w:rPr>
        <w:t xml:space="preserve"> v internih vodovodnih napeljavah za P</w:t>
      </w:r>
      <w:r w:rsidR="00345662">
        <w:rPr>
          <w:rFonts w:ascii="Arial" w:eastAsiaTheme="minorHAnsi" w:hAnsi="Arial" w:cs="Arial"/>
          <w:sz w:val="20"/>
          <w:szCs w:val="20"/>
        </w:rPr>
        <w:t>olicijsko akademijo</w:t>
      </w:r>
      <w:r w:rsidRPr="00D83239">
        <w:rPr>
          <w:rFonts w:ascii="Arial" w:eastAsiaTheme="minorHAnsi" w:hAnsi="Arial" w:cs="Arial"/>
          <w:sz w:val="20"/>
          <w:szCs w:val="20"/>
        </w:rPr>
        <w:t xml:space="preserve"> Tacen je bil pripravljen program usposabljanja o problematiki </w:t>
      </w:r>
      <w:proofErr w:type="spellStart"/>
      <w:r w:rsidRPr="00D83239">
        <w:rPr>
          <w:rFonts w:ascii="Arial" w:eastAsiaTheme="minorHAnsi" w:hAnsi="Arial" w:cs="Arial"/>
          <w:sz w:val="20"/>
          <w:szCs w:val="20"/>
        </w:rPr>
        <w:t>legionel</w:t>
      </w:r>
      <w:proofErr w:type="spellEnd"/>
      <w:r w:rsidRPr="00D83239">
        <w:rPr>
          <w:rFonts w:ascii="Arial" w:eastAsiaTheme="minorHAnsi" w:hAnsi="Arial" w:cs="Arial"/>
          <w:sz w:val="20"/>
          <w:szCs w:val="20"/>
        </w:rPr>
        <w:t xml:space="preserve"> za odgovorne osebe in izvajalce načrta ukrepov. Zagotovljene so bile preiskave kemijskih škodljivosti v notranjem strelišču Policijske akademije Tacen in Nacionalnega forenzičnega laboratorija. Za notranje strelišče Policijske akademije Tacen je bil pripravljen predlog ukrepov in strokovnih podlag za izdelavo navodil za varno delo v notranjih streliščih, hkrati pa je bil za vse izpostavljene uslužbence policije, ki opravljajo delo v notranjih streliščih</w:t>
      </w:r>
      <w:r w:rsidR="003F50D5">
        <w:rPr>
          <w:rFonts w:ascii="Arial" w:eastAsiaTheme="minorHAnsi" w:hAnsi="Arial" w:cs="Arial"/>
          <w:sz w:val="20"/>
          <w:szCs w:val="20"/>
        </w:rPr>
        <w:t>,</w:t>
      </w:r>
      <w:r w:rsidRPr="00D83239">
        <w:rPr>
          <w:rFonts w:ascii="Arial" w:eastAsiaTheme="minorHAnsi" w:hAnsi="Arial" w:cs="Arial"/>
          <w:sz w:val="20"/>
          <w:szCs w:val="20"/>
        </w:rPr>
        <w:t xml:space="preserve"> zagotovljen tudi zdravstveni biološki monitoring. </w:t>
      </w:r>
    </w:p>
    <w:p w14:paraId="72F9ED9B" w14:textId="77777777" w:rsidR="00CF25C3" w:rsidRPr="00D83239" w:rsidRDefault="00CF25C3" w:rsidP="00D83239">
      <w:pPr>
        <w:spacing w:after="0" w:line="276" w:lineRule="auto"/>
        <w:jc w:val="both"/>
        <w:rPr>
          <w:rFonts w:ascii="Arial" w:hAnsi="Arial" w:cs="Arial"/>
          <w:sz w:val="20"/>
          <w:szCs w:val="20"/>
        </w:rPr>
      </w:pPr>
    </w:p>
    <w:p w14:paraId="791D493E" w14:textId="243CDE3B" w:rsidR="00CF25C3" w:rsidRPr="00345662" w:rsidRDefault="00CF25C3" w:rsidP="00D83239">
      <w:pPr>
        <w:spacing w:after="0" w:line="276" w:lineRule="auto"/>
        <w:jc w:val="both"/>
        <w:rPr>
          <w:rFonts w:ascii="Arial" w:hAnsi="Arial" w:cs="Arial"/>
          <w:color w:val="000000" w:themeColor="text1"/>
          <w:sz w:val="20"/>
          <w:szCs w:val="20"/>
        </w:rPr>
      </w:pPr>
      <w:r w:rsidRPr="00345662">
        <w:rPr>
          <w:rFonts w:ascii="Arial" w:hAnsi="Arial" w:cs="Arial"/>
          <w:sz w:val="20"/>
          <w:szCs w:val="20"/>
        </w:rPr>
        <w:t xml:space="preserve">V okviru izvajanja zdravstvenih ukrepov je bilo v letu 2025 izvedenih skupno 3.430 preventivnih zdravstvenih pregledov javnih uslužbencev, 1.203 v Službi za varnost in zdravje pri delu, </w:t>
      </w:r>
      <w:r w:rsidR="00345662" w:rsidRPr="00345662">
        <w:rPr>
          <w:rFonts w:ascii="Arial" w:hAnsi="Arial" w:cs="Arial"/>
          <w:sz w:val="20"/>
          <w:szCs w:val="20"/>
        </w:rPr>
        <w:t>A</w:t>
      </w:r>
      <w:r w:rsidRPr="00345662">
        <w:rPr>
          <w:rFonts w:ascii="Arial" w:hAnsi="Arial" w:cs="Arial"/>
          <w:sz w:val="20"/>
          <w:szCs w:val="20"/>
        </w:rPr>
        <w:t xml:space="preserve">mbulanti medicine dela, in 2.227 </w:t>
      </w:r>
      <w:r w:rsidRPr="00345662">
        <w:rPr>
          <w:rFonts w:ascii="Arial" w:hAnsi="Arial" w:cs="Arial"/>
          <w:color w:val="000000" w:themeColor="text1"/>
          <w:sz w:val="20"/>
          <w:szCs w:val="20"/>
        </w:rPr>
        <w:t xml:space="preserve">pri zunanjih pooblaščenih izvajalcih medicine dela. Višja klinična psihologa specialista sta v letu 2025 opravila 830 preventivnih psiholoških pregledov uslužbencev policije, 151 kontrolnih pregledov in 132 </w:t>
      </w:r>
      <w:r w:rsidRPr="00345662">
        <w:rPr>
          <w:rFonts w:ascii="Arial" w:hAnsi="Arial" w:cs="Arial"/>
          <w:sz w:val="20"/>
          <w:szCs w:val="20"/>
        </w:rPr>
        <w:t>klinično psiholoških obravnav, 10</w:t>
      </w:r>
      <w:r w:rsidRPr="00345662">
        <w:rPr>
          <w:rFonts w:ascii="Arial" w:hAnsi="Arial" w:cs="Arial"/>
          <w:color w:val="FF0000"/>
          <w:sz w:val="20"/>
          <w:szCs w:val="20"/>
        </w:rPr>
        <w:t xml:space="preserve"> </w:t>
      </w:r>
      <w:r w:rsidRPr="00345662">
        <w:rPr>
          <w:rFonts w:ascii="Arial" w:hAnsi="Arial" w:cs="Arial"/>
          <w:sz w:val="20"/>
          <w:szCs w:val="20"/>
        </w:rPr>
        <w:t>kriznih interve</w:t>
      </w:r>
      <w:r w:rsidRPr="00345662">
        <w:rPr>
          <w:rFonts w:ascii="Arial" w:hAnsi="Arial" w:cs="Arial"/>
          <w:color w:val="000000" w:themeColor="text1"/>
          <w:sz w:val="20"/>
          <w:szCs w:val="20"/>
        </w:rPr>
        <w:t xml:space="preserve">ncij ter 76 psihoterapevtskih </w:t>
      </w:r>
      <w:r w:rsidRPr="00345662">
        <w:rPr>
          <w:rFonts w:ascii="Arial" w:hAnsi="Arial" w:cs="Arial"/>
          <w:sz w:val="20"/>
          <w:szCs w:val="20"/>
        </w:rPr>
        <w:t xml:space="preserve">oziroma svetovalnih obravnav. Psihologom </w:t>
      </w:r>
      <w:r w:rsidR="00B9456F" w:rsidRPr="00345662">
        <w:rPr>
          <w:rFonts w:ascii="Arial" w:hAnsi="Arial" w:cs="Arial"/>
          <w:sz w:val="20"/>
          <w:szCs w:val="20"/>
        </w:rPr>
        <w:t>d</w:t>
      </w:r>
      <w:r w:rsidRPr="00345662">
        <w:rPr>
          <w:rFonts w:ascii="Arial" w:hAnsi="Arial" w:cs="Arial"/>
          <w:sz w:val="20"/>
          <w:szCs w:val="20"/>
        </w:rPr>
        <w:t xml:space="preserve">elovne skupine za psihološko pomoč in podporo sta nudila </w:t>
      </w:r>
      <w:r w:rsidRPr="00345662">
        <w:rPr>
          <w:rFonts w:ascii="Arial" w:hAnsi="Arial" w:cs="Arial"/>
          <w:color w:val="000000" w:themeColor="text1"/>
          <w:sz w:val="20"/>
          <w:szCs w:val="20"/>
        </w:rPr>
        <w:t xml:space="preserve">konzultacije ter zanje izvedla usposabljanje iz ocenjevanja psiholoških profilov. Na podlagi ankete o težavah in motnjah na področju spanja med policisti, ki so se udeležili preventivnih pregledov v </w:t>
      </w:r>
      <w:r w:rsidR="00B9456F" w:rsidRPr="00345662">
        <w:rPr>
          <w:rFonts w:ascii="Arial" w:hAnsi="Arial" w:cs="Arial"/>
          <w:color w:val="000000" w:themeColor="text1"/>
          <w:sz w:val="20"/>
          <w:szCs w:val="20"/>
        </w:rPr>
        <w:t>a</w:t>
      </w:r>
      <w:r w:rsidRPr="00345662">
        <w:rPr>
          <w:rFonts w:ascii="Arial" w:hAnsi="Arial" w:cs="Arial"/>
          <w:color w:val="000000" w:themeColor="text1"/>
          <w:sz w:val="20"/>
          <w:szCs w:val="20"/>
        </w:rPr>
        <w:t>mbulanti medicine dela, sta višja klinična psihologa specialista nadaljevala izvajanje ukrepov za preprečevanje in odpravljanje negativnih posledic dela v neenakomerno razporejenem delovnem času.</w:t>
      </w:r>
    </w:p>
    <w:p w14:paraId="738FCC20" w14:textId="281CF264" w:rsidR="00CF25C3" w:rsidRPr="00345662" w:rsidRDefault="00CF25C3" w:rsidP="00D83239">
      <w:pPr>
        <w:spacing w:after="0" w:line="276" w:lineRule="auto"/>
        <w:jc w:val="both"/>
        <w:rPr>
          <w:rFonts w:ascii="Arial" w:hAnsi="Arial" w:cs="Arial"/>
          <w:color w:val="000000" w:themeColor="text1"/>
          <w:sz w:val="20"/>
          <w:szCs w:val="20"/>
        </w:rPr>
      </w:pPr>
      <w:r w:rsidRPr="00345662">
        <w:rPr>
          <w:rFonts w:ascii="Arial" w:hAnsi="Arial" w:cs="Arial"/>
          <w:color w:val="000000" w:themeColor="text1"/>
          <w:sz w:val="20"/>
          <w:szCs w:val="20"/>
        </w:rPr>
        <w:t xml:space="preserve">Posebno pozornost namenjata zgodnjemu prepoznavanju, preprečevanju in obravnavi čezmernega uživanja alkohola. Višja klinična psihologa specialista sta poleg vključenosti v </w:t>
      </w:r>
      <w:r w:rsidR="00B9456F" w:rsidRPr="00345662">
        <w:rPr>
          <w:rFonts w:ascii="Arial" w:hAnsi="Arial" w:cs="Arial"/>
          <w:color w:val="000000" w:themeColor="text1"/>
          <w:sz w:val="20"/>
          <w:szCs w:val="20"/>
        </w:rPr>
        <w:t>d</w:t>
      </w:r>
      <w:r w:rsidRPr="00345662">
        <w:rPr>
          <w:rFonts w:ascii="Arial" w:hAnsi="Arial" w:cs="Arial"/>
          <w:color w:val="000000" w:themeColor="text1"/>
          <w:sz w:val="20"/>
          <w:szCs w:val="20"/>
        </w:rPr>
        <w:t xml:space="preserve">elovno skupino psihologov sodelovala tudi s psihologinjama Specialne enote in Uprave kriminalistične policije, pripravljala mnenja za Zdravstveno komisijo policije in bila vključena v redno </w:t>
      </w:r>
      <w:proofErr w:type="spellStart"/>
      <w:r w:rsidRPr="00345662">
        <w:rPr>
          <w:rFonts w:ascii="Arial" w:hAnsi="Arial" w:cs="Arial"/>
          <w:color w:val="000000" w:themeColor="text1"/>
          <w:sz w:val="20"/>
          <w:szCs w:val="20"/>
        </w:rPr>
        <w:t>supervizijo</w:t>
      </w:r>
      <w:proofErr w:type="spellEnd"/>
      <w:r w:rsidRPr="00345662">
        <w:rPr>
          <w:rFonts w:ascii="Arial" w:hAnsi="Arial" w:cs="Arial"/>
          <w:color w:val="000000" w:themeColor="text1"/>
          <w:sz w:val="20"/>
          <w:szCs w:val="20"/>
        </w:rPr>
        <w:t xml:space="preserve"> svojega dela.</w:t>
      </w:r>
    </w:p>
    <w:p w14:paraId="6E96EA86" w14:textId="77777777" w:rsidR="00CF25C3" w:rsidRPr="00345662" w:rsidRDefault="00CF25C3" w:rsidP="00D83239">
      <w:pPr>
        <w:spacing w:after="0" w:line="276" w:lineRule="auto"/>
        <w:jc w:val="both"/>
        <w:rPr>
          <w:rFonts w:ascii="Arial" w:hAnsi="Arial" w:cs="Arial"/>
          <w:sz w:val="20"/>
          <w:szCs w:val="20"/>
        </w:rPr>
      </w:pPr>
    </w:p>
    <w:p w14:paraId="2EAFFD1C" w14:textId="4E264E6E" w:rsidR="00CF25C3" w:rsidRPr="00D83239" w:rsidRDefault="00CF25C3" w:rsidP="00D83239">
      <w:pPr>
        <w:spacing w:after="0" w:line="276" w:lineRule="auto"/>
        <w:jc w:val="both"/>
        <w:rPr>
          <w:rFonts w:ascii="Arial" w:hAnsi="Arial" w:cs="Arial"/>
          <w:sz w:val="20"/>
          <w:szCs w:val="20"/>
        </w:rPr>
      </w:pPr>
      <w:r w:rsidRPr="00345662">
        <w:rPr>
          <w:rFonts w:ascii="Arial" w:hAnsi="Arial" w:cs="Arial"/>
          <w:sz w:val="20"/>
          <w:szCs w:val="20"/>
        </w:rPr>
        <w:t xml:space="preserve">Preventivno cepljenje je bilo izvedeno za 1.262 oseb (1.232 javnih uslužbencih MNZ in organov v sestavi ter 30 pomožnih policistov), in sicer v Službi za varnost in zdravje pri delu, </w:t>
      </w:r>
      <w:r w:rsidR="00345662" w:rsidRPr="00345662">
        <w:rPr>
          <w:rFonts w:ascii="Arial" w:hAnsi="Arial" w:cs="Arial"/>
          <w:sz w:val="20"/>
          <w:szCs w:val="20"/>
        </w:rPr>
        <w:t>A</w:t>
      </w:r>
      <w:r w:rsidRPr="00345662">
        <w:rPr>
          <w:rFonts w:ascii="Arial" w:hAnsi="Arial" w:cs="Arial"/>
          <w:sz w:val="20"/>
          <w:szCs w:val="20"/>
        </w:rPr>
        <w:t>mbulanti medicine dela, ali na terenu, za javne uslužbence, napotene na delo v tujino, pa je bilo cepljenje organizirano na Nacionalnem inštitutu za javno zdravje.</w:t>
      </w:r>
    </w:p>
    <w:p w14:paraId="308DDA56" w14:textId="77777777" w:rsidR="00CF25C3" w:rsidRPr="00D83239" w:rsidRDefault="00CF25C3" w:rsidP="00D83239">
      <w:pPr>
        <w:spacing w:after="0" w:line="276" w:lineRule="auto"/>
        <w:jc w:val="both"/>
        <w:rPr>
          <w:rFonts w:ascii="Arial" w:hAnsi="Arial" w:cs="Arial"/>
          <w:sz w:val="20"/>
          <w:szCs w:val="20"/>
        </w:rPr>
      </w:pPr>
    </w:p>
    <w:p w14:paraId="4CFDF3CD" w14:textId="2BF952EE" w:rsidR="00CF25C3" w:rsidRPr="00D83239" w:rsidRDefault="00CF25C3" w:rsidP="00D83239">
      <w:pPr>
        <w:spacing w:after="0" w:line="276" w:lineRule="auto"/>
        <w:jc w:val="both"/>
        <w:rPr>
          <w:rFonts w:ascii="Arial" w:hAnsi="Arial" w:cs="Arial"/>
          <w:sz w:val="20"/>
          <w:szCs w:val="20"/>
        </w:rPr>
      </w:pPr>
      <w:r w:rsidRPr="00D83239">
        <w:rPr>
          <w:rFonts w:ascii="Arial" w:hAnsi="Arial" w:cs="Arial"/>
          <w:sz w:val="20"/>
          <w:szCs w:val="20"/>
        </w:rPr>
        <w:t xml:space="preserve">Posodobljen je bil Program preprečevanja in obvladovanja okužb v Službi za varnost in zdravje pri delu, </w:t>
      </w:r>
      <w:r w:rsidR="00B9456F">
        <w:rPr>
          <w:rFonts w:ascii="Arial" w:hAnsi="Arial" w:cs="Arial"/>
          <w:sz w:val="20"/>
          <w:szCs w:val="20"/>
        </w:rPr>
        <w:t>a</w:t>
      </w:r>
      <w:r w:rsidRPr="00D83239">
        <w:rPr>
          <w:rFonts w:ascii="Arial" w:hAnsi="Arial" w:cs="Arial"/>
          <w:sz w:val="20"/>
          <w:szCs w:val="20"/>
        </w:rPr>
        <w:t>mbulanti medicine dela, s katerim so določeni strokovni, organizacijski in tehnični pogoji ter drugi ukrepi za zmanjšanje dejavnikov tveganja prenos</w:t>
      </w:r>
      <w:r w:rsidR="00B9456F">
        <w:rPr>
          <w:rFonts w:ascii="Arial" w:hAnsi="Arial" w:cs="Arial"/>
          <w:sz w:val="20"/>
          <w:szCs w:val="20"/>
        </w:rPr>
        <w:t>a</w:t>
      </w:r>
      <w:r w:rsidRPr="00D83239">
        <w:rPr>
          <w:rFonts w:ascii="Arial" w:hAnsi="Arial" w:cs="Arial"/>
          <w:sz w:val="20"/>
          <w:szCs w:val="20"/>
        </w:rPr>
        <w:t xml:space="preserve"> okužb pri opravljanju zdravstvene dejavnosti v navedeni ambulanti. </w:t>
      </w:r>
    </w:p>
    <w:p w14:paraId="457EE227" w14:textId="77777777" w:rsidR="00CF25C3" w:rsidRPr="00D83239" w:rsidRDefault="00CF25C3" w:rsidP="00D83239">
      <w:pPr>
        <w:spacing w:after="0" w:line="276" w:lineRule="auto"/>
        <w:jc w:val="both"/>
        <w:rPr>
          <w:rFonts w:ascii="Arial" w:hAnsi="Arial" w:cs="Arial"/>
          <w:sz w:val="20"/>
          <w:szCs w:val="20"/>
        </w:rPr>
      </w:pPr>
    </w:p>
    <w:p w14:paraId="2FB6D47A" w14:textId="0878F440" w:rsidR="00CF25C3" w:rsidRPr="00D83239" w:rsidRDefault="00CF25C3"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 xml:space="preserve">V zvezi s prilagoditvijo ukrepov na področju varstva pred požarom so bili izdelani oziroma prenovljeni požarni redi, požarni načrti in načrti evakuacije za objekte Službe generalnega direktorja policije, Policijskega orkestra in Uprave uniformirane policije, Specializirane enote za nadzor prometa na Vodnikovi </w:t>
      </w:r>
      <w:r w:rsidR="00FD61C7">
        <w:rPr>
          <w:rFonts w:ascii="Arial" w:hAnsi="Arial" w:cs="Arial"/>
          <w:sz w:val="20"/>
          <w:szCs w:val="20"/>
        </w:rPr>
        <w:t xml:space="preserve">cesti </w:t>
      </w:r>
      <w:r w:rsidRPr="00D83239">
        <w:rPr>
          <w:rFonts w:ascii="Arial" w:hAnsi="Arial" w:cs="Arial"/>
          <w:sz w:val="20"/>
          <w:szCs w:val="20"/>
        </w:rPr>
        <w:t xml:space="preserve">43 in 43a, Ljubljana, Policijske akademije Tacen na </w:t>
      </w:r>
      <w:proofErr w:type="spellStart"/>
      <w:r w:rsidRPr="00D83239">
        <w:rPr>
          <w:rFonts w:ascii="Arial" w:eastAsia="Arial" w:hAnsi="Arial" w:cs="Arial"/>
          <w:sz w:val="20"/>
          <w:szCs w:val="20"/>
        </w:rPr>
        <w:t>Rocenski</w:t>
      </w:r>
      <w:proofErr w:type="spellEnd"/>
      <w:r w:rsidRPr="00D83239">
        <w:rPr>
          <w:rFonts w:ascii="Arial" w:eastAsia="Arial" w:hAnsi="Arial" w:cs="Arial"/>
          <w:sz w:val="20"/>
          <w:szCs w:val="20"/>
        </w:rPr>
        <w:t xml:space="preserve"> cesti 56, Ljubljana</w:t>
      </w:r>
      <w:r w:rsidR="00F9077D">
        <w:rPr>
          <w:rFonts w:ascii="Arial" w:eastAsia="Arial" w:hAnsi="Arial" w:cs="Arial"/>
          <w:sz w:val="20"/>
          <w:szCs w:val="20"/>
        </w:rPr>
        <w:t xml:space="preserve"> </w:t>
      </w:r>
      <w:r w:rsidRPr="00D83239">
        <w:rPr>
          <w:rFonts w:ascii="Arial" w:eastAsia="Arial" w:hAnsi="Arial" w:cs="Arial"/>
          <w:sz w:val="20"/>
          <w:szCs w:val="20"/>
        </w:rPr>
        <w:t>Šmartno,</w:t>
      </w:r>
      <w:r w:rsidRPr="00D83239">
        <w:rPr>
          <w:rFonts w:ascii="Arial" w:hAnsi="Arial" w:cs="Arial"/>
          <w:sz w:val="20"/>
          <w:szCs w:val="20"/>
        </w:rPr>
        <w:t xml:space="preserve"> Nacionalnega forenzičnega laboratorija na Vodovodni </w:t>
      </w:r>
      <w:r w:rsidR="00FD61C7">
        <w:rPr>
          <w:rFonts w:ascii="Arial" w:hAnsi="Arial" w:cs="Arial"/>
          <w:sz w:val="20"/>
          <w:szCs w:val="20"/>
        </w:rPr>
        <w:t xml:space="preserve">cesti </w:t>
      </w:r>
      <w:r w:rsidRPr="00D83239">
        <w:rPr>
          <w:rFonts w:ascii="Arial" w:hAnsi="Arial" w:cs="Arial"/>
          <w:sz w:val="20"/>
          <w:szCs w:val="20"/>
        </w:rPr>
        <w:t>9</w:t>
      </w:r>
      <w:r w:rsidR="00FD61C7">
        <w:rPr>
          <w:rFonts w:ascii="Arial" w:hAnsi="Arial" w:cs="Arial"/>
          <w:sz w:val="20"/>
          <w:szCs w:val="20"/>
        </w:rPr>
        <w:t>5, Ljubljana, objekt MNZ</w:t>
      </w:r>
      <w:r w:rsidRPr="00D83239">
        <w:rPr>
          <w:rFonts w:ascii="Arial" w:hAnsi="Arial" w:cs="Arial"/>
          <w:sz w:val="20"/>
          <w:szCs w:val="20"/>
        </w:rPr>
        <w:t xml:space="preserve"> na Štefanovi</w:t>
      </w:r>
      <w:r w:rsidR="00FD61C7">
        <w:rPr>
          <w:rFonts w:ascii="Arial" w:hAnsi="Arial" w:cs="Arial"/>
          <w:sz w:val="20"/>
          <w:szCs w:val="20"/>
        </w:rPr>
        <w:t xml:space="preserve"> ulici</w:t>
      </w:r>
      <w:r w:rsidRPr="00D83239">
        <w:rPr>
          <w:rFonts w:ascii="Arial" w:hAnsi="Arial" w:cs="Arial"/>
          <w:sz w:val="20"/>
          <w:szCs w:val="20"/>
        </w:rPr>
        <w:t xml:space="preserve"> 2, Ljubljana, kompleks objektov s centralnim skladiščem in </w:t>
      </w:r>
      <w:proofErr w:type="spellStart"/>
      <w:r w:rsidRPr="00D83239">
        <w:rPr>
          <w:rFonts w:ascii="Arial" w:hAnsi="Arial" w:cs="Arial"/>
          <w:sz w:val="20"/>
          <w:szCs w:val="20"/>
        </w:rPr>
        <w:t>avtoparkom</w:t>
      </w:r>
      <w:proofErr w:type="spellEnd"/>
      <w:r w:rsidRPr="00D83239">
        <w:rPr>
          <w:rFonts w:ascii="Arial" w:hAnsi="Arial" w:cs="Arial"/>
          <w:sz w:val="20"/>
          <w:szCs w:val="20"/>
        </w:rPr>
        <w:t xml:space="preserve"> Direktorata za logistiko na Vodovodni </w:t>
      </w:r>
      <w:r w:rsidR="00FD61C7">
        <w:rPr>
          <w:rFonts w:ascii="Arial" w:hAnsi="Arial" w:cs="Arial"/>
          <w:sz w:val="20"/>
          <w:szCs w:val="20"/>
        </w:rPr>
        <w:t xml:space="preserve">cesti </w:t>
      </w:r>
      <w:r w:rsidRPr="00D83239">
        <w:rPr>
          <w:rFonts w:ascii="Arial" w:hAnsi="Arial" w:cs="Arial"/>
          <w:sz w:val="20"/>
          <w:szCs w:val="20"/>
        </w:rPr>
        <w:t>93a, Ljubljana</w:t>
      </w:r>
      <w:r w:rsidR="00B9456F">
        <w:rPr>
          <w:rFonts w:ascii="Arial" w:hAnsi="Arial" w:cs="Arial"/>
          <w:sz w:val="20"/>
          <w:szCs w:val="20"/>
        </w:rPr>
        <w:t>,</w:t>
      </w:r>
      <w:r w:rsidRPr="00D83239">
        <w:rPr>
          <w:rFonts w:ascii="Arial" w:hAnsi="Arial" w:cs="Arial"/>
          <w:sz w:val="20"/>
          <w:szCs w:val="20"/>
        </w:rPr>
        <w:t xml:space="preserve"> ter objekt C</w:t>
      </w:r>
      <w:r w:rsidR="00FD61C7">
        <w:rPr>
          <w:rFonts w:ascii="Arial" w:hAnsi="Arial" w:cs="Arial"/>
          <w:sz w:val="20"/>
          <w:szCs w:val="20"/>
        </w:rPr>
        <w:t>entra za varovanje in zaščito</w:t>
      </w:r>
      <w:r w:rsidRPr="00D83239">
        <w:rPr>
          <w:rFonts w:ascii="Arial" w:hAnsi="Arial" w:cs="Arial"/>
          <w:sz w:val="20"/>
          <w:szCs w:val="20"/>
        </w:rPr>
        <w:t xml:space="preserve">, </w:t>
      </w:r>
      <w:r w:rsidR="00FD61C7">
        <w:rPr>
          <w:rFonts w:ascii="Arial" w:hAnsi="Arial" w:cs="Arial"/>
          <w:sz w:val="20"/>
          <w:szCs w:val="20"/>
        </w:rPr>
        <w:t xml:space="preserve">Ulica </w:t>
      </w:r>
      <w:r w:rsidRPr="00D83239">
        <w:rPr>
          <w:rFonts w:ascii="Arial" w:hAnsi="Arial" w:cs="Arial"/>
          <w:sz w:val="20"/>
          <w:szCs w:val="20"/>
        </w:rPr>
        <w:t>Jožeta Jame 8, Ljubljana</w:t>
      </w:r>
      <w:r w:rsidR="00B9456F">
        <w:rPr>
          <w:rFonts w:ascii="Arial" w:hAnsi="Arial" w:cs="Arial"/>
          <w:sz w:val="20"/>
          <w:szCs w:val="20"/>
        </w:rPr>
        <w:t>,</w:t>
      </w:r>
      <w:r w:rsidRPr="00D83239">
        <w:rPr>
          <w:rFonts w:ascii="Arial" w:hAnsi="Arial" w:cs="Arial"/>
          <w:sz w:val="20"/>
          <w:szCs w:val="20"/>
        </w:rPr>
        <w:t xml:space="preserve"> in </w:t>
      </w:r>
      <w:r w:rsidR="00BF4B7E">
        <w:rPr>
          <w:rFonts w:ascii="Arial" w:hAnsi="Arial" w:cs="Arial"/>
          <w:sz w:val="20"/>
          <w:szCs w:val="20"/>
        </w:rPr>
        <w:t xml:space="preserve">za </w:t>
      </w:r>
      <w:r w:rsidRPr="00D83239">
        <w:rPr>
          <w:rFonts w:ascii="Arial" w:hAnsi="Arial" w:cs="Arial"/>
          <w:sz w:val="20"/>
          <w:szCs w:val="20"/>
        </w:rPr>
        <w:t>prostor Muzeja slovenske Policije, Kotnikova</w:t>
      </w:r>
      <w:r w:rsidR="00FD61C7">
        <w:rPr>
          <w:rFonts w:ascii="Arial" w:hAnsi="Arial" w:cs="Arial"/>
          <w:sz w:val="20"/>
          <w:szCs w:val="20"/>
        </w:rPr>
        <w:t xml:space="preserve"> ulica</w:t>
      </w:r>
      <w:r w:rsidRPr="00D83239">
        <w:rPr>
          <w:rFonts w:ascii="Arial" w:hAnsi="Arial" w:cs="Arial"/>
          <w:sz w:val="20"/>
          <w:szCs w:val="20"/>
        </w:rPr>
        <w:t xml:space="preserve"> 8a, Ljubljana.</w:t>
      </w:r>
    </w:p>
    <w:p w14:paraId="14020BCA" w14:textId="77777777" w:rsidR="00CF25C3" w:rsidRPr="00D83239" w:rsidRDefault="00CF25C3" w:rsidP="00D83239">
      <w:pPr>
        <w:spacing w:after="0" w:line="276" w:lineRule="auto"/>
        <w:jc w:val="both"/>
        <w:rPr>
          <w:rFonts w:ascii="Arial" w:eastAsia="Arial" w:hAnsi="Arial" w:cs="Arial"/>
          <w:color w:val="4F81BD" w:themeColor="accent1"/>
          <w:sz w:val="20"/>
          <w:szCs w:val="20"/>
        </w:rPr>
      </w:pPr>
    </w:p>
    <w:p w14:paraId="2D8AF217" w14:textId="4D24BC34" w:rsidR="00CF25C3" w:rsidRPr="00D83239" w:rsidRDefault="00CF25C3" w:rsidP="00D83239">
      <w:pPr>
        <w:spacing w:after="0" w:line="276" w:lineRule="auto"/>
        <w:jc w:val="both"/>
        <w:rPr>
          <w:rFonts w:ascii="Arial" w:hAnsi="Arial" w:cs="Arial"/>
          <w:sz w:val="20"/>
          <w:szCs w:val="20"/>
        </w:rPr>
      </w:pPr>
      <w:r w:rsidRPr="00D83239">
        <w:rPr>
          <w:rFonts w:ascii="Arial" w:hAnsi="Arial" w:cs="Arial"/>
          <w:sz w:val="20"/>
          <w:szCs w:val="20"/>
        </w:rPr>
        <w:t>Na področju varstva pred ionizirajočimi sevanji so na Institutu Jožef Stefan, pooblaščenem izvedencu varstva pred sevanji, izvajali redno odčitavanje osebnih in okolijskih dozimetrov ionizirajočega sevanja ter pregled</w:t>
      </w:r>
      <w:r w:rsidR="00B9456F">
        <w:rPr>
          <w:rFonts w:ascii="Arial" w:hAnsi="Arial" w:cs="Arial"/>
          <w:sz w:val="20"/>
          <w:szCs w:val="20"/>
        </w:rPr>
        <w:t>e</w:t>
      </w:r>
      <w:r w:rsidRPr="00D83239">
        <w:rPr>
          <w:rFonts w:ascii="Arial" w:hAnsi="Arial" w:cs="Arial"/>
          <w:sz w:val="20"/>
          <w:szCs w:val="20"/>
        </w:rPr>
        <w:t xml:space="preserve"> in meritve ionizirajočega sevanja na stacionarnem RTG-aparatu v času varovanja dneva odprtih vrat na sedežu predsednika Republike Slovenije ter drugih virov sevanja. Zagotovljene so bile redne meritve ionizirajočega sevanja pri poklicno izpostavljenih policistih, razvrščenih v razred B. Iz uporabe je bil umaknjen prenosni rentgenski aparat z evidenčno oznako RENO035</w:t>
      </w:r>
      <w:r w:rsidR="00B9456F">
        <w:rPr>
          <w:rFonts w:ascii="Arial" w:hAnsi="Arial" w:cs="Arial"/>
          <w:sz w:val="20"/>
          <w:szCs w:val="20"/>
        </w:rPr>
        <w:t>,</w:t>
      </w:r>
      <w:r w:rsidRPr="00D83239">
        <w:rPr>
          <w:rFonts w:ascii="Arial" w:hAnsi="Arial" w:cs="Arial"/>
          <w:sz w:val="20"/>
          <w:szCs w:val="20"/>
        </w:rPr>
        <w:t xml:space="preserve"> o čemer je bila obveščena tudi</w:t>
      </w:r>
      <w:r w:rsidRPr="00D83239">
        <w:rPr>
          <w:rFonts w:ascii="Arial" w:eastAsiaTheme="minorHAnsi" w:hAnsi="Arial" w:cs="Arial"/>
          <w:color w:val="000000"/>
          <w:sz w:val="20"/>
          <w:szCs w:val="20"/>
        </w:rPr>
        <w:t xml:space="preserve"> Uprava R</w:t>
      </w:r>
      <w:r w:rsidR="00B9456F">
        <w:rPr>
          <w:rFonts w:ascii="Arial" w:eastAsiaTheme="minorHAnsi" w:hAnsi="Arial" w:cs="Arial"/>
          <w:color w:val="000000"/>
          <w:sz w:val="20"/>
          <w:szCs w:val="20"/>
        </w:rPr>
        <w:t xml:space="preserve">epublike </w:t>
      </w:r>
      <w:r w:rsidRPr="00D83239">
        <w:rPr>
          <w:rFonts w:ascii="Arial" w:eastAsiaTheme="minorHAnsi" w:hAnsi="Arial" w:cs="Arial"/>
          <w:color w:val="000000"/>
          <w:sz w:val="20"/>
          <w:szCs w:val="20"/>
        </w:rPr>
        <w:t>S</w:t>
      </w:r>
      <w:r w:rsidR="00B9456F">
        <w:rPr>
          <w:rFonts w:ascii="Arial" w:eastAsiaTheme="minorHAnsi" w:hAnsi="Arial" w:cs="Arial"/>
          <w:color w:val="000000"/>
          <w:sz w:val="20"/>
          <w:szCs w:val="20"/>
        </w:rPr>
        <w:t>lovenije</w:t>
      </w:r>
      <w:r w:rsidRPr="00D83239">
        <w:rPr>
          <w:rFonts w:ascii="Arial" w:eastAsiaTheme="minorHAnsi" w:hAnsi="Arial" w:cs="Arial"/>
          <w:color w:val="000000"/>
          <w:sz w:val="20"/>
          <w:szCs w:val="20"/>
        </w:rPr>
        <w:t xml:space="preserve"> za jedrsko varnost</w:t>
      </w:r>
      <w:r w:rsidRPr="00D83239">
        <w:rPr>
          <w:rFonts w:ascii="Arial" w:hAnsi="Arial" w:cs="Arial"/>
          <w:sz w:val="20"/>
          <w:szCs w:val="20"/>
        </w:rPr>
        <w:t xml:space="preserve">. </w:t>
      </w:r>
    </w:p>
    <w:p w14:paraId="46762E8D" w14:textId="77777777" w:rsidR="00CF25C3" w:rsidRPr="00D83239" w:rsidRDefault="00CF25C3" w:rsidP="00D83239">
      <w:pPr>
        <w:spacing w:after="0" w:line="276" w:lineRule="auto"/>
        <w:jc w:val="both"/>
        <w:rPr>
          <w:rFonts w:ascii="Arial" w:eastAsia="Arial" w:hAnsi="Arial" w:cs="Arial"/>
          <w:color w:val="4F81BD" w:themeColor="accent1"/>
          <w:sz w:val="20"/>
          <w:szCs w:val="20"/>
        </w:rPr>
      </w:pPr>
    </w:p>
    <w:p w14:paraId="3EE4BB07" w14:textId="77777777" w:rsidR="00CF25C3" w:rsidRPr="00D83239" w:rsidRDefault="00CF25C3" w:rsidP="00D83239">
      <w:pPr>
        <w:spacing w:after="0" w:line="276" w:lineRule="auto"/>
        <w:jc w:val="both"/>
        <w:rPr>
          <w:rFonts w:ascii="Arial" w:hAnsi="Arial" w:cs="Arial"/>
          <w:sz w:val="20"/>
          <w:szCs w:val="20"/>
        </w:rPr>
      </w:pPr>
      <w:r w:rsidRPr="00D83239">
        <w:rPr>
          <w:rFonts w:ascii="Arial" w:hAnsi="Arial" w:cs="Arial"/>
          <w:sz w:val="20"/>
          <w:szCs w:val="20"/>
        </w:rPr>
        <w:t xml:space="preserve">Različnih usposabljanj in preverjanj usposobljenosti se je udeležilo 10.758 javnih uslužbencev, in sicer s področja varnosti in zdravja pri delu (4.942), varstva pred požarom (5.195), varstva pred sevanji (40) in prve pomoči (581). Skupno je bilo opravljenih tudi 843 ur zdravstvene zaščite za specifične potrebe policije na terenu (649 ur za Višjo policijsko šolo in 194 ur za potrebe različnih enot policije). </w:t>
      </w:r>
    </w:p>
    <w:p w14:paraId="67E7D348" w14:textId="77777777" w:rsidR="00CF25C3" w:rsidRPr="00D83239" w:rsidRDefault="00CF25C3" w:rsidP="00D83239">
      <w:pPr>
        <w:autoSpaceDE w:val="0"/>
        <w:autoSpaceDN w:val="0"/>
        <w:adjustRightInd w:val="0"/>
        <w:spacing w:after="0" w:line="276" w:lineRule="auto"/>
        <w:jc w:val="both"/>
        <w:rPr>
          <w:rFonts w:ascii="Arial" w:hAnsi="Arial" w:cs="Arial"/>
          <w:color w:val="4F81BD" w:themeColor="accent1"/>
          <w:sz w:val="20"/>
          <w:szCs w:val="20"/>
        </w:rPr>
      </w:pPr>
    </w:p>
    <w:p w14:paraId="43A165E5" w14:textId="6BD8F0B0" w:rsidR="00CF25C3" w:rsidRPr="00D83239" w:rsidRDefault="00CF25C3" w:rsidP="00D83239">
      <w:pPr>
        <w:spacing w:after="0" w:line="276" w:lineRule="auto"/>
        <w:jc w:val="both"/>
        <w:rPr>
          <w:rFonts w:ascii="Arial" w:hAnsi="Arial" w:cs="Arial"/>
          <w:sz w:val="20"/>
          <w:szCs w:val="20"/>
        </w:rPr>
      </w:pPr>
      <w:r w:rsidRPr="00D83239">
        <w:rPr>
          <w:rFonts w:ascii="Arial" w:hAnsi="Arial" w:cs="Arial"/>
          <w:sz w:val="20"/>
          <w:szCs w:val="20"/>
        </w:rPr>
        <w:t xml:space="preserve">V okviru postopkov javnih naročil je bilo za javne uslužbence, ki morajo na podlagi ugotovljenih nevarnosti iz ocen tveganj na delovnih mestih uporabljati osebno varovalno opremo za varovanje pred možnim nastankom nezgod oziroma bolezni, povezanih z delom, v letu 2025 dobavljenih 113 različnih kosov osebne varovalne opreme (delovna oblačila in obutev, oprema za varovanje pred padci z višine oziroma v globino, oprema za varovanje sluha, oprema za varovanje oči, oprema za varovanje glave, oprema za varovanje dihal, oprema za varovanje rok) v skupni vrednosti 292.266,05 </w:t>
      </w:r>
      <w:r w:rsidR="00B9456F">
        <w:rPr>
          <w:rFonts w:ascii="Arial" w:hAnsi="Arial" w:cs="Arial"/>
          <w:sz w:val="20"/>
          <w:szCs w:val="20"/>
        </w:rPr>
        <w:t>evra</w:t>
      </w:r>
      <w:r w:rsidRPr="00D83239">
        <w:rPr>
          <w:rFonts w:ascii="Arial" w:hAnsi="Arial" w:cs="Arial"/>
          <w:sz w:val="20"/>
          <w:szCs w:val="20"/>
        </w:rPr>
        <w:t xml:space="preserve">. V okviru javnega naročila za nabavo materiala in opreme za prvo pomoč za obdobje 2022–2025 je bila po izkazanih potrebah ob pripravi javnega naročila ter dodatnih nujnih potrebah enot izvedena nabava materiala in opreme za leto 2025. V letu 2025 ponovno ni uspelo javno naročilo za nakup reševalnega vozila Policije, s katerim bi se nadomestilo prejšnje reševalno vozilo, ki je bilo izločeno iz uporabe. Nabava novega je izjemno nujna, saj brez reševalnega vozila ni mogoče izvajati nekaterih nalog zdravstvene zaščite za specifične potrebe </w:t>
      </w:r>
      <w:r w:rsidR="00BF4B7E">
        <w:rPr>
          <w:rFonts w:ascii="Arial" w:hAnsi="Arial" w:cs="Arial"/>
          <w:sz w:val="20"/>
          <w:szCs w:val="20"/>
        </w:rPr>
        <w:t>p</w:t>
      </w:r>
      <w:r w:rsidRPr="00D83239">
        <w:rPr>
          <w:rFonts w:ascii="Arial" w:hAnsi="Arial" w:cs="Arial"/>
          <w:sz w:val="20"/>
          <w:szCs w:val="20"/>
        </w:rPr>
        <w:t>olicije na terenu, terenska cepljenja pa se izvajajo ob povečanem tveganju, saj ni mogoče izvajati prevozov morebitnih obolelih ali poškodovanih oseb.</w:t>
      </w:r>
    </w:p>
    <w:p w14:paraId="21CEDBE2" w14:textId="77777777" w:rsidR="00CF25C3" w:rsidRPr="00D83239" w:rsidRDefault="00CF25C3" w:rsidP="00D83239">
      <w:pPr>
        <w:autoSpaceDE w:val="0"/>
        <w:autoSpaceDN w:val="0"/>
        <w:adjustRightInd w:val="0"/>
        <w:spacing w:after="0" w:line="276" w:lineRule="auto"/>
        <w:jc w:val="both"/>
        <w:rPr>
          <w:rFonts w:ascii="Arial" w:hAnsi="Arial" w:cs="Arial"/>
          <w:sz w:val="20"/>
          <w:szCs w:val="20"/>
        </w:rPr>
      </w:pPr>
    </w:p>
    <w:p w14:paraId="17D630D7" w14:textId="77777777" w:rsidR="00CF25C3" w:rsidRPr="00D83239" w:rsidRDefault="00CF25C3" w:rsidP="00D83239">
      <w:pPr>
        <w:spacing w:after="0" w:line="276" w:lineRule="auto"/>
        <w:jc w:val="both"/>
        <w:rPr>
          <w:rFonts w:ascii="Arial" w:hAnsi="Arial" w:cs="Arial"/>
          <w:sz w:val="20"/>
          <w:szCs w:val="20"/>
        </w:rPr>
      </w:pPr>
      <w:r w:rsidRPr="00D83239">
        <w:rPr>
          <w:rFonts w:ascii="Arial" w:hAnsi="Arial" w:cs="Arial"/>
          <w:sz w:val="20"/>
          <w:szCs w:val="20"/>
        </w:rPr>
        <w:t>Urad za organizacijo in kadre je sodeloval v splošnih nadzorih na področju kadrovskih zadev, varnosti in zdravja pri delu ter varstva pred požarom v policiji (Policijska uprava Ljubljana in policijske postaje v njeni sestavi od 26. 5. 2025 do 20. 7. 2025).</w:t>
      </w:r>
    </w:p>
    <w:p w14:paraId="0F1C6361" w14:textId="77777777" w:rsidR="00CF25C3" w:rsidRPr="00D83239" w:rsidRDefault="00CF25C3" w:rsidP="00D83239">
      <w:pPr>
        <w:autoSpaceDE w:val="0"/>
        <w:autoSpaceDN w:val="0"/>
        <w:adjustRightInd w:val="0"/>
        <w:spacing w:after="0" w:line="276" w:lineRule="auto"/>
        <w:jc w:val="both"/>
        <w:rPr>
          <w:rFonts w:ascii="Arial" w:eastAsia="Arial" w:hAnsi="Arial" w:cs="Arial"/>
          <w:color w:val="4F81BD" w:themeColor="accent1"/>
          <w:sz w:val="20"/>
          <w:szCs w:val="20"/>
        </w:rPr>
      </w:pPr>
    </w:p>
    <w:p w14:paraId="4F1D275A" w14:textId="2A8F46D2" w:rsidR="00CF25C3" w:rsidRPr="00D83239" w:rsidRDefault="00CF25C3" w:rsidP="00D83239">
      <w:pPr>
        <w:spacing w:after="0" w:line="276" w:lineRule="auto"/>
        <w:jc w:val="both"/>
        <w:rPr>
          <w:rFonts w:ascii="Arial" w:hAnsi="Arial" w:cs="Arial"/>
          <w:sz w:val="20"/>
          <w:szCs w:val="20"/>
        </w:rPr>
      </w:pPr>
      <w:r w:rsidRPr="00D83239">
        <w:rPr>
          <w:rFonts w:ascii="Arial" w:hAnsi="Arial" w:cs="Arial"/>
          <w:sz w:val="20"/>
          <w:szCs w:val="20"/>
        </w:rPr>
        <w:t>V navedenem obdobju je bilo izveden</w:t>
      </w:r>
      <w:r w:rsidR="00B9456F">
        <w:rPr>
          <w:rFonts w:ascii="Arial" w:hAnsi="Arial" w:cs="Arial"/>
          <w:sz w:val="20"/>
          <w:szCs w:val="20"/>
        </w:rPr>
        <w:t>ih</w:t>
      </w:r>
      <w:r w:rsidRPr="00D83239">
        <w:rPr>
          <w:rFonts w:ascii="Arial" w:hAnsi="Arial" w:cs="Arial"/>
          <w:sz w:val="20"/>
          <w:szCs w:val="20"/>
        </w:rPr>
        <w:t xml:space="preserve"> več izrednih inšpekcijskih nadzorov Inšpektorata R</w:t>
      </w:r>
      <w:r w:rsidR="00B9456F">
        <w:rPr>
          <w:rFonts w:ascii="Arial" w:hAnsi="Arial" w:cs="Arial"/>
          <w:sz w:val="20"/>
          <w:szCs w:val="20"/>
        </w:rPr>
        <w:t xml:space="preserve">epublike </w:t>
      </w:r>
      <w:r w:rsidRPr="00D83239">
        <w:rPr>
          <w:rFonts w:ascii="Arial" w:hAnsi="Arial" w:cs="Arial"/>
          <w:sz w:val="20"/>
          <w:szCs w:val="20"/>
        </w:rPr>
        <w:t>S</w:t>
      </w:r>
      <w:r w:rsidR="00B9456F">
        <w:rPr>
          <w:rFonts w:ascii="Arial" w:hAnsi="Arial" w:cs="Arial"/>
          <w:sz w:val="20"/>
          <w:szCs w:val="20"/>
        </w:rPr>
        <w:t>lovenije</w:t>
      </w:r>
      <w:r w:rsidRPr="00D83239">
        <w:rPr>
          <w:rFonts w:ascii="Arial" w:hAnsi="Arial" w:cs="Arial"/>
          <w:sz w:val="20"/>
          <w:szCs w:val="20"/>
        </w:rPr>
        <w:t xml:space="preserve"> za delo na področju varnosti in zdravja pri delu ter Inšpektorata R</w:t>
      </w:r>
      <w:r w:rsidR="00B9456F">
        <w:rPr>
          <w:rFonts w:ascii="Arial" w:hAnsi="Arial" w:cs="Arial"/>
          <w:sz w:val="20"/>
          <w:szCs w:val="20"/>
        </w:rPr>
        <w:t xml:space="preserve">epublike </w:t>
      </w:r>
      <w:r w:rsidRPr="00D83239">
        <w:rPr>
          <w:rFonts w:ascii="Arial" w:hAnsi="Arial" w:cs="Arial"/>
          <w:sz w:val="20"/>
          <w:szCs w:val="20"/>
        </w:rPr>
        <w:t>S</w:t>
      </w:r>
      <w:r w:rsidR="00B9456F">
        <w:rPr>
          <w:rFonts w:ascii="Arial" w:hAnsi="Arial" w:cs="Arial"/>
          <w:sz w:val="20"/>
          <w:szCs w:val="20"/>
        </w:rPr>
        <w:t>lovenije</w:t>
      </w:r>
      <w:r w:rsidRPr="00D83239">
        <w:rPr>
          <w:rFonts w:ascii="Arial" w:hAnsi="Arial" w:cs="Arial"/>
          <w:sz w:val="20"/>
          <w:szCs w:val="20"/>
        </w:rPr>
        <w:t xml:space="preserve"> za varstvo pred naravnimi in drugimi nesrečami s področja varstva pred požarom, in sicer:</w:t>
      </w:r>
    </w:p>
    <w:p w14:paraId="2C7B7A7E" w14:textId="77777777" w:rsidR="00CF25C3" w:rsidRPr="00D83239" w:rsidRDefault="00CF25C3" w:rsidP="00FE543C">
      <w:pPr>
        <w:pStyle w:val="Odstavekseznama"/>
        <w:numPr>
          <w:ilvl w:val="0"/>
          <w:numId w:val="29"/>
        </w:numPr>
        <w:spacing w:after="0"/>
        <w:ind w:left="284" w:hanging="284"/>
        <w:contextualSpacing/>
        <w:jc w:val="both"/>
        <w:rPr>
          <w:rFonts w:ascii="Arial" w:hAnsi="Arial" w:cs="Arial"/>
          <w:sz w:val="20"/>
          <w:szCs w:val="20"/>
        </w:rPr>
      </w:pPr>
      <w:r w:rsidRPr="00D83239">
        <w:rPr>
          <w:rFonts w:ascii="Arial" w:hAnsi="Arial" w:cs="Arial"/>
          <w:sz w:val="20"/>
          <w:szCs w:val="20"/>
        </w:rPr>
        <w:t>27. 3. 2025 na področju varnosti in zdravja pri delu v Policijski upravi Nova Gorica, Policijski postaji Ajdovščina na Goriški cesti 16, Ajdovščina;</w:t>
      </w:r>
    </w:p>
    <w:p w14:paraId="1817029A" w14:textId="25D87CCD" w:rsidR="00CF25C3" w:rsidRPr="00D83239" w:rsidRDefault="00CF25C3" w:rsidP="00FE543C">
      <w:pPr>
        <w:pStyle w:val="Odstavekseznama"/>
        <w:numPr>
          <w:ilvl w:val="0"/>
          <w:numId w:val="29"/>
        </w:numPr>
        <w:spacing w:after="0"/>
        <w:ind w:left="284" w:hanging="284"/>
        <w:contextualSpacing/>
        <w:jc w:val="both"/>
        <w:rPr>
          <w:rFonts w:ascii="Arial" w:hAnsi="Arial" w:cs="Arial"/>
          <w:sz w:val="20"/>
          <w:szCs w:val="20"/>
        </w:rPr>
      </w:pPr>
      <w:r w:rsidRPr="00D83239">
        <w:rPr>
          <w:rFonts w:ascii="Arial" w:hAnsi="Arial" w:cs="Arial"/>
          <w:sz w:val="20"/>
          <w:szCs w:val="20"/>
        </w:rPr>
        <w:t xml:space="preserve">25. 8. 2025 </w:t>
      </w:r>
      <w:r w:rsidR="00B9456F">
        <w:rPr>
          <w:rFonts w:ascii="Arial" w:hAnsi="Arial" w:cs="Arial"/>
          <w:sz w:val="20"/>
          <w:szCs w:val="20"/>
        </w:rPr>
        <w:t>na</w:t>
      </w:r>
      <w:r w:rsidR="00B9456F" w:rsidRPr="00D83239">
        <w:rPr>
          <w:rFonts w:ascii="Arial" w:hAnsi="Arial" w:cs="Arial"/>
          <w:sz w:val="20"/>
          <w:szCs w:val="20"/>
        </w:rPr>
        <w:t xml:space="preserve"> </w:t>
      </w:r>
      <w:r w:rsidRPr="00D83239">
        <w:rPr>
          <w:rFonts w:ascii="Arial" w:hAnsi="Arial" w:cs="Arial"/>
          <w:sz w:val="20"/>
          <w:szCs w:val="20"/>
        </w:rPr>
        <w:t>področj</w:t>
      </w:r>
      <w:r w:rsidR="00B9456F">
        <w:rPr>
          <w:rFonts w:ascii="Arial" w:hAnsi="Arial" w:cs="Arial"/>
          <w:sz w:val="20"/>
          <w:szCs w:val="20"/>
        </w:rPr>
        <w:t>u</w:t>
      </w:r>
      <w:r w:rsidRPr="00D83239">
        <w:rPr>
          <w:rFonts w:ascii="Arial" w:hAnsi="Arial" w:cs="Arial"/>
          <w:sz w:val="20"/>
          <w:szCs w:val="20"/>
        </w:rPr>
        <w:t xml:space="preserve"> varstva pred požarom v Upravi uniformirane policije, Sektorju prometne policije, Specializirani enoti na nadzor prometa na Vodnikovi cesti 43a, Ljubljana, ter v Službi generalnega direktorja policije, Policijskem orkestru v </w:t>
      </w:r>
      <w:r w:rsidR="00F9077D">
        <w:rPr>
          <w:rFonts w:ascii="Arial" w:hAnsi="Arial" w:cs="Arial"/>
          <w:sz w:val="20"/>
          <w:szCs w:val="20"/>
        </w:rPr>
        <w:t>u</w:t>
      </w:r>
      <w:r w:rsidRPr="00D83239">
        <w:rPr>
          <w:rFonts w:ascii="Arial" w:hAnsi="Arial" w:cs="Arial"/>
          <w:sz w:val="20"/>
          <w:szCs w:val="20"/>
        </w:rPr>
        <w:t xml:space="preserve">pravni stavbi – stavba A in </w:t>
      </w:r>
      <w:r w:rsidR="000B6F84">
        <w:rPr>
          <w:rFonts w:ascii="Arial" w:hAnsi="Arial" w:cs="Arial"/>
          <w:sz w:val="20"/>
          <w:szCs w:val="20"/>
        </w:rPr>
        <w:t xml:space="preserve">na </w:t>
      </w:r>
      <w:r w:rsidRPr="00D83239">
        <w:rPr>
          <w:rFonts w:ascii="Arial" w:hAnsi="Arial" w:cs="Arial"/>
          <w:sz w:val="20"/>
          <w:szCs w:val="20"/>
        </w:rPr>
        <w:t>Galetovem gradu na Vodnikovi cesti 43, Ljubljana;</w:t>
      </w:r>
    </w:p>
    <w:p w14:paraId="45CB84B8" w14:textId="77777777" w:rsidR="00CF25C3" w:rsidRPr="00D83239" w:rsidRDefault="00CF25C3" w:rsidP="00FE543C">
      <w:pPr>
        <w:pStyle w:val="Odstavekseznama"/>
        <w:numPr>
          <w:ilvl w:val="0"/>
          <w:numId w:val="29"/>
        </w:numPr>
        <w:spacing w:after="0"/>
        <w:ind w:left="284" w:hanging="284"/>
        <w:contextualSpacing/>
        <w:jc w:val="both"/>
        <w:rPr>
          <w:rFonts w:ascii="Arial" w:hAnsi="Arial" w:cs="Arial"/>
          <w:sz w:val="20"/>
          <w:szCs w:val="20"/>
        </w:rPr>
      </w:pPr>
      <w:r w:rsidRPr="00D83239">
        <w:rPr>
          <w:rFonts w:ascii="Arial" w:hAnsi="Arial" w:cs="Arial"/>
          <w:sz w:val="20"/>
          <w:szCs w:val="20"/>
        </w:rPr>
        <w:t>26. 8. 2025 na področju varnosti in zdravja pri delu v Upravi uniformirane policije, Sektorju prometne policije, Specializirani enoti na nadzor prometa na Vodnikovi cesti 43a, Ljubljana;</w:t>
      </w:r>
    </w:p>
    <w:p w14:paraId="2BAF5838" w14:textId="1C253DA6" w:rsidR="00CF25C3" w:rsidRPr="00D83239" w:rsidRDefault="00CF25C3" w:rsidP="00FE543C">
      <w:pPr>
        <w:pStyle w:val="Odstavekseznama"/>
        <w:numPr>
          <w:ilvl w:val="0"/>
          <w:numId w:val="29"/>
        </w:numPr>
        <w:spacing w:after="0"/>
        <w:ind w:left="284" w:hanging="284"/>
        <w:contextualSpacing/>
        <w:jc w:val="both"/>
        <w:rPr>
          <w:rFonts w:ascii="Arial" w:hAnsi="Arial" w:cs="Arial"/>
          <w:sz w:val="20"/>
          <w:szCs w:val="20"/>
        </w:rPr>
      </w:pPr>
      <w:r w:rsidRPr="00D83239">
        <w:rPr>
          <w:rFonts w:ascii="Arial" w:eastAsia="Arial" w:hAnsi="Arial" w:cs="Arial"/>
          <w:sz w:val="20"/>
          <w:szCs w:val="20"/>
        </w:rPr>
        <w:t xml:space="preserve">27. 8. 2025 </w:t>
      </w:r>
      <w:r w:rsidR="00F9077D">
        <w:rPr>
          <w:rFonts w:ascii="Arial" w:hAnsi="Arial" w:cs="Arial"/>
          <w:sz w:val="20"/>
          <w:szCs w:val="20"/>
        </w:rPr>
        <w:t>na</w:t>
      </w:r>
      <w:r w:rsidR="00F9077D" w:rsidRPr="00D83239">
        <w:rPr>
          <w:rFonts w:ascii="Arial" w:hAnsi="Arial" w:cs="Arial"/>
          <w:sz w:val="20"/>
          <w:szCs w:val="20"/>
        </w:rPr>
        <w:t xml:space="preserve"> </w:t>
      </w:r>
      <w:r w:rsidRPr="00D83239">
        <w:rPr>
          <w:rFonts w:ascii="Arial" w:hAnsi="Arial" w:cs="Arial"/>
          <w:sz w:val="20"/>
          <w:szCs w:val="20"/>
        </w:rPr>
        <w:t>področj</w:t>
      </w:r>
      <w:r w:rsidR="00F9077D">
        <w:rPr>
          <w:rFonts w:ascii="Arial" w:hAnsi="Arial" w:cs="Arial"/>
          <w:sz w:val="20"/>
          <w:szCs w:val="20"/>
        </w:rPr>
        <w:t>u</w:t>
      </w:r>
      <w:r w:rsidRPr="00D83239">
        <w:rPr>
          <w:rFonts w:ascii="Arial" w:hAnsi="Arial" w:cs="Arial"/>
          <w:sz w:val="20"/>
          <w:szCs w:val="20"/>
        </w:rPr>
        <w:t xml:space="preserve"> varstva pred požarom </w:t>
      </w:r>
      <w:r w:rsidRPr="00D83239">
        <w:rPr>
          <w:rFonts w:ascii="Arial" w:eastAsia="Arial" w:hAnsi="Arial" w:cs="Arial"/>
          <w:sz w:val="20"/>
          <w:szCs w:val="20"/>
        </w:rPr>
        <w:t xml:space="preserve">v prostorih </w:t>
      </w:r>
      <w:r w:rsidR="00F9077D">
        <w:rPr>
          <w:rFonts w:ascii="Arial" w:eastAsia="Arial" w:hAnsi="Arial" w:cs="Arial"/>
          <w:sz w:val="20"/>
          <w:szCs w:val="20"/>
        </w:rPr>
        <w:t>nekdanj</w:t>
      </w:r>
      <w:r w:rsidRPr="00D83239">
        <w:rPr>
          <w:rFonts w:ascii="Arial" w:eastAsia="Arial" w:hAnsi="Arial" w:cs="Arial"/>
          <w:sz w:val="20"/>
          <w:szCs w:val="20"/>
        </w:rPr>
        <w:t>ega mejnega prehoda Obrežje, objekt 33;</w:t>
      </w:r>
    </w:p>
    <w:p w14:paraId="00D819DD" w14:textId="64FF42BB" w:rsidR="00CF25C3" w:rsidRPr="00D83239" w:rsidRDefault="00CF25C3" w:rsidP="00FE543C">
      <w:pPr>
        <w:pStyle w:val="Odstavekseznama"/>
        <w:numPr>
          <w:ilvl w:val="0"/>
          <w:numId w:val="29"/>
        </w:numPr>
        <w:spacing w:after="0"/>
        <w:ind w:left="284" w:hanging="284"/>
        <w:contextualSpacing/>
        <w:jc w:val="both"/>
        <w:rPr>
          <w:rFonts w:ascii="Arial" w:hAnsi="Arial" w:cs="Arial"/>
          <w:sz w:val="20"/>
          <w:szCs w:val="20"/>
        </w:rPr>
      </w:pPr>
      <w:r w:rsidRPr="00D83239">
        <w:rPr>
          <w:rFonts w:ascii="Arial" w:hAnsi="Arial" w:cs="Arial"/>
          <w:sz w:val="20"/>
          <w:szCs w:val="20"/>
        </w:rPr>
        <w:t xml:space="preserve">16. 10. 2025 </w:t>
      </w:r>
      <w:r w:rsidR="00F9077D">
        <w:rPr>
          <w:rFonts w:ascii="Arial" w:hAnsi="Arial" w:cs="Arial"/>
          <w:sz w:val="20"/>
          <w:szCs w:val="20"/>
        </w:rPr>
        <w:t>na</w:t>
      </w:r>
      <w:r w:rsidR="00F9077D" w:rsidRPr="00D83239">
        <w:rPr>
          <w:rFonts w:ascii="Arial" w:hAnsi="Arial" w:cs="Arial"/>
          <w:sz w:val="20"/>
          <w:szCs w:val="20"/>
        </w:rPr>
        <w:t xml:space="preserve"> </w:t>
      </w:r>
      <w:r w:rsidRPr="00D83239">
        <w:rPr>
          <w:rFonts w:ascii="Arial" w:hAnsi="Arial" w:cs="Arial"/>
          <w:sz w:val="20"/>
          <w:szCs w:val="20"/>
        </w:rPr>
        <w:t>področj</w:t>
      </w:r>
      <w:r w:rsidR="00F9077D">
        <w:rPr>
          <w:rFonts w:ascii="Arial" w:hAnsi="Arial" w:cs="Arial"/>
          <w:sz w:val="20"/>
          <w:szCs w:val="20"/>
        </w:rPr>
        <w:t>u</w:t>
      </w:r>
      <w:r w:rsidR="0086247D">
        <w:rPr>
          <w:rFonts w:ascii="Arial" w:hAnsi="Arial" w:cs="Arial"/>
          <w:sz w:val="20"/>
          <w:szCs w:val="20"/>
        </w:rPr>
        <w:t xml:space="preserve"> varstva pred požarom na</w:t>
      </w:r>
      <w:r w:rsidRPr="00D83239">
        <w:rPr>
          <w:rFonts w:ascii="Arial" w:hAnsi="Arial" w:cs="Arial"/>
          <w:sz w:val="20"/>
          <w:szCs w:val="20"/>
        </w:rPr>
        <w:t xml:space="preserve"> Štefanovi ulici 2, Ljubljana;</w:t>
      </w:r>
    </w:p>
    <w:p w14:paraId="7D64EBA1" w14:textId="687F5C14" w:rsidR="00CF25C3" w:rsidRPr="00D83239" w:rsidRDefault="00CF25C3" w:rsidP="00FE543C">
      <w:pPr>
        <w:pStyle w:val="Odstavekseznama"/>
        <w:numPr>
          <w:ilvl w:val="0"/>
          <w:numId w:val="29"/>
        </w:numPr>
        <w:spacing w:after="0"/>
        <w:ind w:left="284" w:hanging="284"/>
        <w:contextualSpacing/>
        <w:jc w:val="both"/>
        <w:rPr>
          <w:rFonts w:ascii="Arial" w:hAnsi="Arial" w:cs="Arial"/>
          <w:sz w:val="20"/>
          <w:szCs w:val="20"/>
        </w:rPr>
      </w:pPr>
      <w:r w:rsidRPr="00D83239">
        <w:rPr>
          <w:rFonts w:ascii="Arial" w:hAnsi="Arial" w:cs="Arial"/>
          <w:sz w:val="20"/>
          <w:szCs w:val="20"/>
        </w:rPr>
        <w:t>4. 11. 2025 na področj</w:t>
      </w:r>
      <w:r w:rsidR="0086247D">
        <w:rPr>
          <w:rFonts w:ascii="Arial" w:hAnsi="Arial" w:cs="Arial"/>
          <w:sz w:val="20"/>
          <w:szCs w:val="20"/>
        </w:rPr>
        <w:t>u varnosti in zdravja pri delu na</w:t>
      </w:r>
      <w:r w:rsidRPr="00D83239">
        <w:rPr>
          <w:rFonts w:ascii="Arial" w:hAnsi="Arial" w:cs="Arial"/>
          <w:sz w:val="20"/>
          <w:szCs w:val="20"/>
        </w:rPr>
        <w:t xml:space="preserve"> Štefanovi ulici 2, Ljubljana</w:t>
      </w:r>
      <w:r w:rsidR="00F9077D">
        <w:rPr>
          <w:rFonts w:ascii="Arial" w:hAnsi="Arial" w:cs="Arial"/>
          <w:sz w:val="20"/>
          <w:szCs w:val="20"/>
        </w:rPr>
        <w:t>;</w:t>
      </w:r>
    </w:p>
    <w:p w14:paraId="2F9CE4C6" w14:textId="3AACF88C" w:rsidR="00716F34" w:rsidRPr="00D83239" w:rsidRDefault="00CF25C3" w:rsidP="00FE543C">
      <w:pPr>
        <w:pStyle w:val="Odstavekseznama"/>
        <w:numPr>
          <w:ilvl w:val="0"/>
          <w:numId w:val="29"/>
        </w:numPr>
        <w:spacing w:after="0"/>
        <w:ind w:left="284" w:hanging="284"/>
        <w:contextualSpacing/>
        <w:jc w:val="both"/>
        <w:rPr>
          <w:rFonts w:ascii="Arial" w:hAnsi="Arial" w:cs="Arial"/>
          <w:sz w:val="20"/>
          <w:szCs w:val="20"/>
        </w:rPr>
      </w:pPr>
      <w:r w:rsidRPr="00D83239">
        <w:rPr>
          <w:rFonts w:ascii="Arial" w:hAnsi="Arial" w:cs="Arial"/>
          <w:sz w:val="20"/>
          <w:szCs w:val="20"/>
        </w:rPr>
        <w:t xml:space="preserve">4. 12. 2024 </w:t>
      </w:r>
      <w:r w:rsidR="00F9077D">
        <w:rPr>
          <w:rFonts w:ascii="Arial" w:hAnsi="Arial" w:cs="Arial"/>
          <w:sz w:val="20"/>
          <w:szCs w:val="20"/>
        </w:rPr>
        <w:t>na</w:t>
      </w:r>
      <w:r w:rsidR="00F9077D" w:rsidRPr="00D83239">
        <w:rPr>
          <w:rFonts w:ascii="Arial" w:hAnsi="Arial" w:cs="Arial"/>
          <w:sz w:val="20"/>
          <w:szCs w:val="20"/>
        </w:rPr>
        <w:t xml:space="preserve"> </w:t>
      </w:r>
      <w:r w:rsidRPr="00D83239">
        <w:rPr>
          <w:rFonts w:ascii="Arial" w:hAnsi="Arial" w:cs="Arial"/>
          <w:sz w:val="20"/>
          <w:szCs w:val="20"/>
        </w:rPr>
        <w:t>področj</w:t>
      </w:r>
      <w:r w:rsidR="00F9077D">
        <w:rPr>
          <w:rFonts w:ascii="Arial" w:hAnsi="Arial" w:cs="Arial"/>
          <w:sz w:val="20"/>
          <w:szCs w:val="20"/>
        </w:rPr>
        <w:t>u</w:t>
      </w:r>
      <w:r w:rsidRPr="00D83239">
        <w:rPr>
          <w:rFonts w:ascii="Arial" w:hAnsi="Arial" w:cs="Arial"/>
          <w:sz w:val="20"/>
          <w:szCs w:val="20"/>
        </w:rPr>
        <w:t xml:space="preserve"> varstva pred požarom v Policijski akademiji na </w:t>
      </w:r>
      <w:proofErr w:type="spellStart"/>
      <w:r w:rsidRPr="00D83239">
        <w:rPr>
          <w:rFonts w:ascii="Arial" w:hAnsi="Arial" w:cs="Arial"/>
          <w:sz w:val="20"/>
          <w:szCs w:val="20"/>
        </w:rPr>
        <w:t>Rocenski</w:t>
      </w:r>
      <w:proofErr w:type="spellEnd"/>
      <w:r w:rsidRPr="00D83239">
        <w:rPr>
          <w:rFonts w:ascii="Arial" w:hAnsi="Arial" w:cs="Arial"/>
          <w:sz w:val="20"/>
          <w:szCs w:val="20"/>
        </w:rPr>
        <w:t xml:space="preserve"> cesti 56 (objekt šola), Ljubljana</w:t>
      </w:r>
      <w:r w:rsidR="00F9077D">
        <w:rPr>
          <w:rFonts w:ascii="Arial" w:hAnsi="Arial" w:cs="Arial"/>
          <w:sz w:val="20"/>
          <w:szCs w:val="20"/>
        </w:rPr>
        <w:t xml:space="preserve"> </w:t>
      </w:r>
      <w:r w:rsidRPr="00D83239">
        <w:rPr>
          <w:rFonts w:ascii="Arial" w:hAnsi="Arial" w:cs="Arial"/>
          <w:sz w:val="20"/>
          <w:szCs w:val="20"/>
        </w:rPr>
        <w:t>Šmartno</w:t>
      </w:r>
      <w:r w:rsidR="00F9077D">
        <w:rPr>
          <w:rFonts w:ascii="Arial" w:hAnsi="Arial" w:cs="Arial"/>
          <w:sz w:val="20"/>
          <w:szCs w:val="20"/>
        </w:rPr>
        <w:t>;</w:t>
      </w:r>
    </w:p>
    <w:p w14:paraId="41A1EE85" w14:textId="454CA92E" w:rsidR="00716F34" w:rsidRPr="00D83239" w:rsidRDefault="00CF25C3" w:rsidP="00FE543C">
      <w:pPr>
        <w:pStyle w:val="Odstavekseznama"/>
        <w:numPr>
          <w:ilvl w:val="0"/>
          <w:numId w:val="29"/>
        </w:numPr>
        <w:spacing w:after="0"/>
        <w:ind w:left="284" w:hanging="284"/>
        <w:contextualSpacing/>
        <w:jc w:val="both"/>
        <w:rPr>
          <w:rFonts w:ascii="Arial" w:hAnsi="Arial" w:cs="Arial"/>
          <w:sz w:val="20"/>
          <w:szCs w:val="20"/>
        </w:rPr>
      </w:pPr>
      <w:r w:rsidRPr="00D83239">
        <w:rPr>
          <w:rFonts w:ascii="Arial" w:hAnsi="Arial" w:cs="Arial"/>
          <w:sz w:val="20"/>
          <w:szCs w:val="20"/>
        </w:rPr>
        <w:t xml:space="preserve">10. 12. 2025 </w:t>
      </w:r>
      <w:r w:rsidR="00F9077D">
        <w:rPr>
          <w:rFonts w:ascii="Arial" w:hAnsi="Arial" w:cs="Arial"/>
          <w:sz w:val="20"/>
          <w:szCs w:val="20"/>
        </w:rPr>
        <w:t>na</w:t>
      </w:r>
      <w:r w:rsidR="00F9077D" w:rsidRPr="00D83239">
        <w:rPr>
          <w:rFonts w:ascii="Arial" w:hAnsi="Arial" w:cs="Arial"/>
          <w:sz w:val="20"/>
          <w:szCs w:val="20"/>
        </w:rPr>
        <w:t xml:space="preserve"> </w:t>
      </w:r>
      <w:r w:rsidRPr="00D83239">
        <w:rPr>
          <w:rFonts w:ascii="Arial" w:hAnsi="Arial" w:cs="Arial"/>
          <w:sz w:val="20"/>
          <w:szCs w:val="20"/>
        </w:rPr>
        <w:t>področj</w:t>
      </w:r>
      <w:r w:rsidR="00F9077D">
        <w:rPr>
          <w:rFonts w:ascii="Arial" w:hAnsi="Arial" w:cs="Arial"/>
          <w:sz w:val="20"/>
          <w:szCs w:val="20"/>
        </w:rPr>
        <w:t>u</w:t>
      </w:r>
      <w:r w:rsidRPr="00D83239">
        <w:rPr>
          <w:rFonts w:ascii="Arial" w:hAnsi="Arial" w:cs="Arial"/>
          <w:sz w:val="20"/>
          <w:szCs w:val="20"/>
        </w:rPr>
        <w:t xml:space="preserve"> varstva pred požarom v Policijski upravi Novo mesto, Policijski postaji Krško.</w:t>
      </w:r>
    </w:p>
    <w:p w14:paraId="36C7A9DA" w14:textId="77777777" w:rsidR="00716F34" w:rsidRPr="00D83239" w:rsidRDefault="00716F34" w:rsidP="00D83239">
      <w:pPr>
        <w:spacing w:after="0" w:line="276" w:lineRule="auto"/>
        <w:contextualSpacing/>
        <w:jc w:val="both"/>
        <w:rPr>
          <w:rFonts w:ascii="Arial" w:hAnsi="Arial" w:cs="Arial"/>
          <w:sz w:val="20"/>
          <w:szCs w:val="20"/>
        </w:rPr>
      </w:pPr>
    </w:p>
    <w:p w14:paraId="4C44FE8B" w14:textId="3F9D44EF" w:rsidR="00CF25C3" w:rsidRPr="00D83239" w:rsidRDefault="00CF25C3" w:rsidP="00D83239">
      <w:pPr>
        <w:spacing w:after="0" w:line="276" w:lineRule="auto"/>
        <w:contextualSpacing/>
        <w:jc w:val="both"/>
        <w:rPr>
          <w:rFonts w:ascii="Arial" w:hAnsi="Arial" w:cs="Arial"/>
          <w:sz w:val="20"/>
          <w:szCs w:val="20"/>
        </w:rPr>
      </w:pPr>
      <w:r w:rsidRPr="00D83239">
        <w:rPr>
          <w:rFonts w:ascii="Arial" w:eastAsia="Arial" w:hAnsi="Arial" w:cs="Arial"/>
          <w:sz w:val="20"/>
          <w:szCs w:val="20"/>
        </w:rPr>
        <w:t>Redni inšpekcijski pregled je 29. 8. 2025 opravila inšpektorica Zdravstvenega inšpektorata R</w:t>
      </w:r>
      <w:r w:rsidR="00F9077D">
        <w:rPr>
          <w:rFonts w:ascii="Arial" w:eastAsia="Arial" w:hAnsi="Arial" w:cs="Arial"/>
          <w:sz w:val="20"/>
          <w:szCs w:val="20"/>
        </w:rPr>
        <w:t xml:space="preserve">epublike </w:t>
      </w:r>
      <w:r w:rsidRPr="00D83239">
        <w:rPr>
          <w:rFonts w:ascii="Arial" w:eastAsia="Arial" w:hAnsi="Arial" w:cs="Arial"/>
          <w:sz w:val="20"/>
          <w:szCs w:val="20"/>
        </w:rPr>
        <w:t>S</w:t>
      </w:r>
      <w:r w:rsidR="00F9077D">
        <w:rPr>
          <w:rFonts w:ascii="Arial" w:eastAsia="Arial" w:hAnsi="Arial" w:cs="Arial"/>
          <w:sz w:val="20"/>
          <w:szCs w:val="20"/>
        </w:rPr>
        <w:t>lovenije</w:t>
      </w:r>
      <w:r w:rsidRPr="00D83239">
        <w:rPr>
          <w:rFonts w:ascii="Arial" w:eastAsia="Arial" w:hAnsi="Arial" w:cs="Arial"/>
          <w:sz w:val="20"/>
          <w:szCs w:val="20"/>
        </w:rPr>
        <w:t xml:space="preserve"> v Uradu za organizacijo in kadre, Službi za varnost in zdravje pri delu, </w:t>
      </w:r>
      <w:r w:rsidR="00345662">
        <w:rPr>
          <w:rFonts w:ascii="Arial" w:eastAsia="Arial" w:hAnsi="Arial" w:cs="Arial"/>
          <w:sz w:val="20"/>
          <w:szCs w:val="20"/>
        </w:rPr>
        <w:t>A</w:t>
      </w:r>
      <w:r w:rsidRPr="00D83239">
        <w:rPr>
          <w:rFonts w:ascii="Arial" w:eastAsia="Arial" w:hAnsi="Arial" w:cs="Arial"/>
          <w:sz w:val="20"/>
          <w:szCs w:val="20"/>
        </w:rPr>
        <w:t>mbulanti medicine dela</w:t>
      </w:r>
      <w:r w:rsidR="00F9077D">
        <w:rPr>
          <w:rFonts w:ascii="Arial" w:eastAsia="Arial" w:hAnsi="Arial" w:cs="Arial"/>
          <w:sz w:val="20"/>
          <w:szCs w:val="20"/>
        </w:rPr>
        <w:t>,</w:t>
      </w:r>
      <w:r w:rsidRPr="00D83239">
        <w:rPr>
          <w:rFonts w:ascii="Arial" w:eastAsia="Arial" w:hAnsi="Arial" w:cs="Arial"/>
          <w:sz w:val="20"/>
          <w:szCs w:val="20"/>
        </w:rPr>
        <w:t xml:space="preserve"> na Kotnikovi ulici 8a, Ljubljana.</w:t>
      </w:r>
    </w:p>
    <w:p w14:paraId="0332F30E" w14:textId="764E2033" w:rsidR="001541A2" w:rsidRPr="00D83239" w:rsidRDefault="001541A2" w:rsidP="00D83239">
      <w:pPr>
        <w:pStyle w:val="Naslov2"/>
        <w:numPr>
          <w:ilvl w:val="0"/>
          <w:numId w:val="0"/>
        </w:numPr>
        <w:spacing w:line="276" w:lineRule="auto"/>
        <w:jc w:val="both"/>
        <w:rPr>
          <w:rStyle w:val="st"/>
          <w:highlight w:val="yellow"/>
        </w:rPr>
      </w:pPr>
    </w:p>
    <w:p w14:paraId="27E387FA" w14:textId="1090199A" w:rsidR="00693369" w:rsidRPr="00D83239" w:rsidRDefault="00563420" w:rsidP="00D83239">
      <w:pPr>
        <w:pStyle w:val="Naslov2"/>
        <w:spacing w:after="0" w:line="276" w:lineRule="auto"/>
        <w:jc w:val="both"/>
        <w:rPr>
          <w:rStyle w:val="st"/>
        </w:rPr>
      </w:pPr>
      <w:bookmarkStart w:id="245" w:name="_Toc225499854"/>
      <w:r w:rsidRPr="00D83239">
        <w:rPr>
          <w:rStyle w:val="st"/>
        </w:rPr>
        <w:t>Področje sodnih sporov in odškodninskih zahtevkov</w:t>
      </w:r>
      <w:bookmarkEnd w:id="245"/>
    </w:p>
    <w:p w14:paraId="676A85C6" w14:textId="77777777" w:rsidR="00CC1375" w:rsidRPr="00D83239" w:rsidRDefault="00CC1375" w:rsidP="00D83239">
      <w:pPr>
        <w:spacing w:after="0" w:line="276" w:lineRule="auto"/>
        <w:jc w:val="both"/>
        <w:rPr>
          <w:rFonts w:ascii="Arial" w:hAnsi="Arial" w:cs="Arial"/>
          <w:sz w:val="20"/>
          <w:szCs w:val="20"/>
          <w:highlight w:val="yellow"/>
        </w:rPr>
      </w:pPr>
    </w:p>
    <w:p w14:paraId="431CEE7C" w14:textId="3EF9257C" w:rsidR="00CF25C3" w:rsidRPr="00D83239" w:rsidRDefault="00CF25C3" w:rsidP="00FA565F">
      <w:pPr>
        <w:spacing w:after="0" w:line="276" w:lineRule="auto"/>
        <w:jc w:val="both"/>
        <w:rPr>
          <w:rFonts w:ascii="Arial" w:hAnsi="Arial" w:cs="Arial"/>
          <w:sz w:val="20"/>
          <w:szCs w:val="20"/>
        </w:rPr>
      </w:pPr>
      <w:r w:rsidRPr="00D83239">
        <w:rPr>
          <w:rFonts w:ascii="Arial" w:hAnsi="Arial" w:cs="Arial"/>
          <w:sz w:val="20"/>
          <w:szCs w:val="20"/>
        </w:rPr>
        <w:t xml:space="preserve">Na področju </w:t>
      </w:r>
      <w:r w:rsidRPr="00D83239">
        <w:rPr>
          <w:rFonts w:ascii="Arial" w:hAnsi="Arial" w:cs="Arial"/>
          <w:b/>
          <w:sz w:val="20"/>
          <w:szCs w:val="20"/>
        </w:rPr>
        <w:t>reševanja civilnih in upravnih sodnih sporov</w:t>
      </w:r>
      <w:r w:rsidRPr="00D83239">
        <w:rPr>
          <w:rFonts w:ascii="Arial" w:hAnsi="Arial" w:cs="Arial"/>
          <w:sz w:val="20"/>
          <w:szCs w:val="20"/>
        </w:rPr>
        <w:t xml:space="preserve"> je bilo v letu 2025 v </w:t>
      </w:r>
      <w:r w:rsidRPr="00D83239">
        <w:rPr>
          <w:rFonts w:ascii="Arial" w:eastAsiaTheme="majorEastAsia" w:hAnsi="Arial" w:cs="Arial"/>
          <w:sz w:val="20"/>
          <w:szCs w:val="20"/>
        </w:rPr>
        <w:t xml:space="preserve">obravnavi 238 sodnih sporov (civilnopravnih sporov in sporov pred upravnim sodiščem). </w:t>
      </w:r>
      <w:r w:rsidRPr="00D83239">
        <w:rPr>
          <w:rFonts w:ascii="Arial" w:hAnsi="Arial" w:cs="Arial"/>
          <w:sz w:val="20"/>
          <w:szCs w:val="20"/>
        </w:rPr>
        <w:t xml:space="preserve">Na rednih sodiščih so bili obravnavani gospodarski spori, odškodninski spori, spori zaradi </w:t>
      </w:r>
      <w:proofErr w:type="spellStart"/>
      <w:r w:rsidRPr="00D83239">
        <w:rPr>
          <w:rFonts w:ascii="Arial" w:hAnsi="Arial" w:cs="Arial"/>
          <w:sz w:val="20"/>
          <w:szCs w:val="20"/>
        </w:rPr>
        <w:t>mobinga</w:t>
      </w:r>
      <w:proofErr w:type="spellEnd"/>
      <w:r w:rsidRPr="00D83239">
        <w:rPr>
          <w:rFonts w:ascii="Arial" w:hAnsi="Arial" w:cs="Arial"/>
          <w:sz w:val="20"/>
          <w:szCs w:val="20"/>
        </w:rPr>
        <w:t xml:space="preserve"> na delovnem mestu, spori zaradi odškodnin iz delovnopravnih razmerij, spori iz najemnih razmerij, izvršb, stečajnih postopkov in sporov, povezanih s problematiko odškodnin za razlaščene nepremičnine na mejnih prehodih. </w:t>
      </w:r>
      <w:r w:rsidRPr="00D83239">
        <w:rPr>
          <w:rFonts w:ascii="Arial" w:eastAsiaTheme="majorEastAsia" w:hAnsi="Arial" w:cs="Arial"/>
          <w:sz w:val="20"/>
          <w:szCs w:val="20"/>
        </w:rPr>
        <w:t xml:space="preserve">Aktualnih ostaja tudi še 6 odprtih sodnih sporov izbrisanih </w:t>
      </w:r>
      <w:r w:rsidR="00F9077D">
        <w:rPr>
          <w:rFonts w:ascii="Arial" w:eastAsiaTheme="majorEastAsia" w:hAnsi="Arial" w:cs="Arial"/>
          <w:sz w:val="20"/>
          <w:szCs w:val="20"/>
        </w:rPr>
        <w:t>in</w:t>
      </w:r>
      <w:r w:rsidR="00F9077D" w:rsidRPr="00D83239">
        <w:rPr>
          <w:rFonts w:ascii="Arial" w:eastAsiaTheme="majorEastAsia" w:hAnsi="Arial" w:cs="Arial"/>
          <w:sz w:val="20"/>
          <w:szCs w:val="20"/>
        </w:rPr>
        <w:t xml:space="preserve"> </w:t>
      </w:r>
      <w:r w:rsidRPr="00D83239">
        <w:rPr>
          <w:rFonts w:ascii="Arial" w:eastAsiaTheme="majorEastAsia" w:hAnsi="Arial" w:cs="Arial"/>
          <w:sz w:val="20"/>
          <w:szCs w:val="20"/>
        </w:rPr>
        <w:t>44 sodnih sporov</w:t>
      </w:r>
      <w:r w:rsidRPr="00D83239">
        <w:rPr>
          <w:rFonts w:ascii="Arial" w:eastAsiaTheme="majorEastAsia" w:hAnsi="Arial" w:cs="Arial"/>
          <w:b/>
          <w:sz w:val="20"/>
          <w:szCs w:val="20"/>
        </w:rPr>
        <w:t xml:space="preserve"> </w:t>
      </w:r>
      <w:r w:rsidRPr="00D83239">
        <w:rPr>
          <w:rFonts w:ascii="Arial" w:hAnsi="Arial" w:cs="Arial"/>
          <w:sz w:val="20"/>
          <w:szCs w:val="20"/>
        </w:rPr>
        <w:t xml:space="preserve">protestnikov </w:t>
      </w:r>
      <w:r w:rsidR="00F9077D">
        <w:rPr>
          <w:rFonts w:ascii="Arial" w:hAnsi="Arial" w:cs="Arial"/>
          <w:sz w:val="20"/>
          <w:szCs w:val="20"/>
        </w:rPr>
        <w:t xml:space="preserve">s </w:t>
      </w:r>
      <w:r w:rsidRPr="00D83239">
        <w:rPr>
          <w:rFonts w:ascii="Arial" w:hAnsi="Arial" w:cs="Arial"/>
          <w:sz w:val="20"/>
          <w:szCs w:val="20"/>
        </w:rPr>
        <w:t xml:space="preserve">shoda 5. 10. 2021 v Ljubljani. </w:t>
      </w:r>
    </w:p>
    <w:p w14:paraId="53EFCB7A" w14:textId="77777777" w:rsidR="00FA565F" w:rsidRDefault="00FA565F" w:rsidP="00FA565F">
      <w:pPr>
        <w:spacing w:after="0" w:line="276" w:lineRule="auto"/>
        <w:jc w:val="both"/>
        <w:rPr>
          <w:rFonts w:ascii="Arial" w:hAnsi="Arial" w:cs="Arial"/>
          <w:sz w:val="20"/>
          <w:szCs w:val="20"/>
        </w:rPr>
      </w:pPr>
    </w:p>
    <w:p w14:paraId="3F8E67CF" w14:textId="771FDE89" w:rsidR="00CF25C3" w:rsidRPr="00D83239" w:rsidRDefault="00CF25C3" w:rsidP="00FA565F">
      <w:pPr>
        <w:spacing w:after="0" w:line="276" w:lineRule="auto"/>
        <w:jc w:val="both"/>
        <w:rPr>
          <w:rFonts w:ascii="Arial" w:hAnsi="Arial" w:cs="Arial"/>
          <w:sz w:val="20"/>
          <w:szCs w:val="20"/>
        </w:rPr>
      </w:pPr>
      <w:r w:rsidRPr="00D83239">
        <w:rPr>
          <w:rFonts w:ascii="Arial" w:hAnsi="Arial" w:cs="Arial"/>
          <w:sz w:val="20"/>
          <w:szCs w:val="20"/>
        </w:rPr>
        <w:t>Na področju upravnih sporov s področja obravnave tujcev (dovolitev zadrževanja tujcev, zavrnitve tujcev na meji, omejitev gibanja v centru za tujce, podaljšanje omejitve gibanja in preizkusa utemeljenosti omejitve gibanja) je bilo v letu 2025 obravnavanih 33 upravnih sporov, od tega je bilo rešenih 17, v obravnavi pa ostaja š</w:t>
      </w:r>
      <w:r w:rsidR="00D83239">
        <w:rPr>
          <w:rFonts w:ascii="Arial" w:hAnsi="Arial" w:cs="Arial"/>
          <w:sz w:val="20"/>
          <w:szCs w:val="20"/>
        </w:rPr>
        <w:t xml:space="preserve">e 16 nerešenih sodnih sporov. </w:t>
      </w:r>
    </w:p>
    <w:p w14:paraId="03722718" w14:textId="77777777" w:rsidR="00FA565F" w:rsidRDefault="00FA565F" w:rsidP="00D83239">
      <w:pPr>
        <w:spacing w:after="0" w:line="276" w:lineRule="auto"/>
        <w:rPr>
          <w:rFonts w:ascii="Arial" w:hAnsi="Arial" w:cs="Arial"/>
          <w:b/>
          <w:sz w:val="20"/>
          <w:szCs w:val="20"/>
        </w:rPr>
      </w:pPr>
    </w:p>
    <w:p w14:paraId="55314C23" w14:textId="1ACE0140" w:rsidR="00CF25C3" w:rsidRPr="00345662" w:rsidRDefault="00CF25C3" w:rsidP="00D83239">
      <w:pPr>
        <w:spacing w:after="0" w:line="276" w:lineRule="auto"/>
        <w:rPr>
          <w:rFonts w:ascii="Arial" w:hAnsi="Arial" w:cs="Arial"/>
          <w:sz w:val="20"/>
          <w:szCs w:val="20"/>
        </w:rPr>
      </w:pPr>
      <w:r w:rsidRPr="00345662">
        <w:rPr>
          <w:rFonts w:ascii="Arial" w:hAnsi="Arial" w:cs="Arial"/>
          <w:b/>
          <w:sz w:val="20"/>
          <w:szCs w:val="20"/>
        </w:rPr>
        <w:t>Pred E</w:t>
      </w:r>
      <w:r w:rsidR="00FA565F" w:rsidRPr="00345662">
        <w:rPr>
          <w:rFonts w:ascii="Arial" w:hAnsi="Arial" w:cs="Arial"/>
          <w:b/>
          <w:sz w:val="20"/>
          <w:szCs w:val="20"/>
        </w:rPr>
        <w:t xml:space="preserve">vropskim sodiščem za človekove pravice </w:t>
      </w:r>
      <w:r w:rsidR="00FA565F" w:rsidRPr="00345662">
        <w:rPr>
          <w:rFonts w:ascii="Arial" w:hAnsi="Arial" w:cs="Arial"/>
          <w:bCs/>
          <w:sz w:val="20"/>
          <w:szCs w:val="20"/>
        </w:rPr>
        <w:t>(ESČP)</w:t>
      </w:r>
      <w:r w:rsidRPr="00345662">
        <w:rPr>
          <w:rFonts w:ascii="Arial" w:hAnsi="Arial" w:cs="Arial"/>
          <w:bCs/>
          <w:sz w:val="20"/>
          <w:szCs w:val="20"/>
        </w:rPr>
        <w:t xml:space="preserve"> </w:t>
      </w:r>
      <w:r w:rsidR="00FA565F" w:rsidRPr="00345662">
        <w:rPr>
          <w:rFonts w:ascii="Arial" w:hAnsi="Arial" w:cs="Arial"/>
          <w:bCs/>
          <w:sz w:val="20"/>
          <w:szCs w:val="20"/>
        </w:rPr>
        <w:t>je</w:t>
      </w:r>
      <w:r w:rsidR="00FA565F" w:rsidRPr="00345662">
        <w:rPr>
          <w:rFonts w:ascii="Arial" w:hAnsi="Arial" w:cs="Arial"/>
          <w:sz w:val="20"/>
          <w:szCs w:val="20"/>
        </w:rPr>
        <w:t xml:space="preserve"> MNZ </w:t>
      </w:r>
      <w:r w:rsidRPr="00345662">
        <w:rPr>
          <w:rFonts w:ascii="Arial" w:hAnsi="Arial" w:cs="Arial"/>
          <w:sz w:val="20"/>
          <w:szCs w:val="20"/>
        </w:rPr>
        <w:t>prejel</w:t>
      </w:r>
      <w:r w:rsidR="00FA565F" w:rsidRPr="00345662">
        <w:rPr>
          <w:rFonts w:ascii="Arial" w:hAnsi="Arial" w:cs="Arial"/>
          <w:sz w:val="20"/>
          <w:szCs w:val="20"/>
        </w:rPr>
        <w:t>o</w:t>
      </w:r>
      <w:r w:rsidRPr="00345662">
        <w:rPr>
          <w:rFonts w:ascii="Arial" w:hAnsi="Arial" w:cs="Arial"/>
          <w:sz w:val="20"/>
          <w:szCs w:val="20"/>
        </w:rPr>
        <w:t xml:space="preserve"> v obravnavo dve novi pritožbi zoper R</w:t>
      </w:r>
      <w:r w:rsidR="00F9077D" w:rsidRPr="00345662">
        <w:rPr>
          <w:rFonts w:ascii="Arial" w:hAnsi="Arial" w:cs="Arial"/>
          <w:sz w:val="20"/>
          <w:szCs w:val="20"/>
        </w:rPr>
        <w:t xml:space="preserve">epubliko </w:t>
      </w:r>
      <w:r w:rsidRPr="00345662">
        <w:rPr>
          <w:rFonts w:ascii="Arial" w:hAnsi="Arial" w:cs="Arial"/>
          <w:sz w:val="20"/>
          <w:szCs w:val="20"/>
        </w:rPr>
        <w:t>S</w:t>
      </w:r>
      <w:r w:rsidR="00F9077D" w:rsidRPr="00345662">
        <w:rPr>
          <w:rFonts w:ascii="Arial" w:hAnsi="Arial" w:cs="Arial"/>
          <w:sz w:val="20"/>
          <w:szCs w:val="20"/>
        </w:rPr>
        <w:t>lovenijo</w:t>
      </w:r>
      <w:r w:rsidR="00FA565F" w:rsidRPr="00345662">
        <w:rPr>
          <w:rFonts w:ascii="Arial" w:hAnsi="Arial" w:cs="Arial"/>
          <w:sz w:val="20"/>
          <w:szCs w:val="20"/>
        </w:rPr>
        <w:t>,</w:t>
      </w:r>
      <w:r w:rsidRPr="00345662">
        <w:rPr>
          <w:rFonts w:ascii="Arial" w:hAnsi="Arial" w:cs="Arial"/>
          <w:sz w:val="20"/>
          <w:szCs w:val="20"/>
        </w:rPr>
        <w:t xml:space="preserve"> in sicer: </w:t>
      </w:r>
    </w:p>
    <w:p w14:paraId="1C5AA5AB" w14:textId="6F248DE2" w:rsidR="00CF25C3" w:rsidRPr="00345662" w:rsidRDefault="00CF25C3" w:rsidP="00345662">
      <w:pPr>
        <w:pStyle w:val="Odstavekseznama"/>
        <w:numPr>
          <w:ilvl w:val="0"/>
          <w:numId w:val="30"/>
        </w:numPr>
        <w:spacing w:after="0"/>
        <w:jc w:val="both"/>
        <w:rPr>
          <w:rFonts w:ascii="Arial" w:hAnsi="Arial" w:cs="Arial"/>
          <w:sz w:val="20"/>
          <w:szCs w:val="20"/>
          <w14:ligatures w14:val="standardContextual"/>
        </w:rPr>
      </w:pPr>
      <w:r w:rsidRPr="00345662">
        <w:rPr>
          <w:rFonts w:ascii="Arial" w:hAnsi="Arial" w:cs="Arial"/>
          <w:sz w:val="20"/>
          <w:szCs w:val="20"/>
        </w:rPr>
        <w:t>p</w:t>
      </w:r>
      <w:r w:rsidRPr="00345662">
        <w:rPr>
          <w:rFonts w:ascii="Arial" w:hAnsi="Arial" w:cs="Arial"/>
          <w:sz w:val="20"/>
          <w:szCs w:val="20"/>
          <w14:ligatures w14:val="standardContextual"/>
        </w:rPr>
        <w:t>ritožb</w:t>
      </w:r>
      <w:r w:rsidR="003919B7" w:rsidRPr="00345662">
        <w:rPr>
          <w:rFonts w:ascii="Arial" w:hAnsi="Arial" w:cs="Arial"/>
          <w:sz w:val="20"/>
          <w:szCs w:val="20"/>
          <w14:ligatures w14:val="standardContextual"/>
        </w:rPr>
        <w:t>o</w:t>
      </w:r>
      <w:r w:rsidRPr="00345662">
        <w:rPr>
          <w:rFonts w:ascii="Arial" w:hAnsi="Arial" w:cs="Arial"/>
          <w:sz w:val="20"/>
          <w:szCs w:val="20"/>
          <w14:ligatures w14:val="standardContextual"/>
        </w:rPr>
        <w:t xml:space="preserve"> izbrisanih iz </w:t>
      </w:r>
      <w:r w:rsidR="0030280B" w:rsidRPr="00345662">
        <w:rPr>
          <w:rFonts w:ascii="Arial" w:hAnsi="Arial" w:cs="Arial"/>
          <w:sz w:val="20"/>
          <w:szCs w:val="20"/>
          <w14:ligatures w14:val="standardContextual"/>
        </w:rPr>
        <w:t>R</w:t>
      </w:r>
      <w:r w:rsidRPr="00345662">
        <w:rPr>
          <w:rFonts w:ascii="Arial" w:hAnsi="Arial" w:cs="Arial"/>
          <w:sz w:val="20"/>
          <w:szCs w:val="20"/>
          <w14:ligatures w14:val="standardContextual"/>
        </w:rPr>
        <w:t>egistra stalnega prebivalstva zaradi nem</w:t>
      </w:r>
      <w:r w:rsidR="00D83239" w:rsidRPr="00345662">
        <w:rPr>
          <w:rFonts w:ascii="Arial" w:hAnsi="Arial" w:cs="Arial"/>
          <w:sz w:val="20"/>
          <w:szCs w:val="20"/>
          <w14:ligatures w14:val="standardContextual"/>
        </w:rPr>
        <w:t xml:space="preserve">ogočih pogojev za pridobitev </w:t>
      </w:r>
      <w:r w:rsidRPr="00345662">
        <w:rPr>
          <w:rFonts w:ascii="Arial" w:hAnsi="Arial" w:cs="Arial"/>
          <w:sz w:val="20"/>
          <w:szCs w:val="20"/>
          <w14:ligatures w14:val="standardContextual"/>
        </w:rPr>
        <w:t xml:space="preserve">državljanstva in nepravične </w:t>
      </w:r>
      <w:r w:rsidRPr="00345662">
        <w:rPr>
          <w:rFonts w:ascii="Arial" w:eastAsiaTheme="minorHAnsi" w:hAnsi="Arial" w:cs="Arial"/>
          <w:sz w:val="20"/>
          <w:szCs w:val="20"/>
        </w:rPr>
        <w:t>sheme odškodnin</w:t>
      </w:r>
      <w:r w:rsidR="00F9077D" w:rsidRPr="00345662">
        <w:rPr>
          <w:rFonts w:ascii="Arial" w:eastAsiaTheme="minorHAnsi" w:hAnsi="Arial" w:cs="Arial"/>
          <w:sz w:val="20"/>
          <w:szCs w:val="20"/>
        </w:rPr>
        <w:t>,</w:t>
      </w:r>
      <w:r w:rsidRPr="00345662">
        <w:rPr>
          <w:rFonts w:ascii="Arial" w:eastAsiaTheme="minorHAnsi" w:hAnsi="Arial" w:cs="Arial"/>
          <w:sz w:val="20"/>
          <w:szCs w:val="20"/>
        </w:rPr>
        <w:t xml:space="preserve"> vzpostavljene z </w:t>
      </w:r>
      <w:r w:rsidR="00345662" w:rsidRPr="00345662">
        <w:rPr>
          <w:rFonts w:ascii="Arial" w:eastAsiaTheme="minorHAnsi" w:hAnsi="Arial" w:cs="Arial"/>
          <w:sz w:val="20"/>
          <w:szCs w:val="20"/>
        </w:rPr>
        <w:t>Zakonom o povračilu škode osebam, ki so bile izbrisane iz registra stalnega prebivalstva</w:t>
      </w:r>
      <w:r w:rsidR="00F9077D" w:rsidRPr="00345662">
        <w:rPr>
          <w:rFonts w:ascii="Arial" w:eastAsiaTheme="minorHAnsi" w:hAnsi="Arial" w:cs="Arial"/>
          <w:sz w:val="20"/>
          <w:szCs w:val="20"/>
        </w:rPr>
        <w:t>,</w:t>
      </w:r>
    </w:p>
    <w:p w14:paraId="72335531" w14:textId="384CFFA6" w:rsidR="00CF25C3" w:rsidRPr="00D83239" w:rsidRDefault="00CF25C3" w:rsidP="00FE543C">
      <w:pPr>
        <w:pStyle w:val="Odstavekseznama"/>
        <w:numPr>
          <w:ilvl w:val="0"/>
          <w:numId w:val="30"/>
        </w:numPr>
        <w:spacing w:after="0"/>
        <w:jc w:val="both"/>
        <w:rPr>
          <w:rFonts w:ascii="Arial" w:hAnsi="Arial" w:cs="Arial"/>
          <w:sz w:val="20"/>
          <w:szCs w:val="20"/>
        </w:rPr>
      </w:pPr>
      <w:r w:rsidRPr="00D83239">
        <w:rPr>
          <w:rFonts w:ascii="Arial" w:hAnsi="Arial" w:cs="Arial"/>
          <w:sz w:val="20"/>
          <w:szCs w:val="20"/>
        </w:rPr>
        <w:t>pritožb</w:t>
      </w:r>
      <w:r w:rsidR="003919B7">
        <w:rPr>
          <w:rFonts w:ascii="Arial" w:hAnsi="Arial" w:cs="Arial"/>
          <w:sz w:val="20"/>
          <w:szCs w:val="20"/>
        </w:rPr>
        <w:t>o</w:t>
      </w:r>
      <w:r w:rsidRPr="00D83239">
        <w:rPr>
          <w:rFonts w:ascii="Arial" w:hAnsi="Arial" w:cs="Arial"/>
          <w:sz w:val="20"/>
          <w:szCs w:val="20"/>
        </w:rPr>
        <w:t xml:space="preserve"> zaradi kršitve pravice do spoštovanja družin</w:t>
      </w:r>
      <w:r w:rsidR="00D83239" w:rsidRPr="00D83239">
        <w:rPr>
          <w:rFonts w:ascii="Arial" w:hAnsi="Arial" w:cs="Arial"/>
          <w:sz w:val="20"/>
          <w:szCs w:val="20"/>
        </w:rPr>
        <w:t xml:space="preserve">skega in zasebnega življenja v </w:t>
      </w:r>
      <w:r w:rsidRPr="00D83239">
        <w:rPr>
          <w:rFonts w:ascii="Arial" w:hAnsi="Arial" w:cs="Arial"/>
          <w:sz w:val="20"/>
          <w:szCs w:val="20"/>
        </w:rPr>
        <w:t>postopkih mednarodne zaščite</w:t>
      </w:r>
      <w:r w:rsidR="00D83239">
        <w:rPr>
          <w:rFonts w:ascii="Arial" w:hAnsi="Arial" w:cs="Arial"/>
          <w:sz w:val="20"/>
          <w:szCs w:val="20"/>
        </w:rPr>
        <w:t>.</w:t>
      </w:r>
    </w:p>
    <w:p w14:paraId="64943B72" w14:textId="77777777" w:rsidR="00FA565F" w:rsidRDefault="00FA565F" w:rsidP="00FA565F">
      <w:pPr>
        <w:spacing w:after="0" w:line="276" w:lineRule="auto"/>
        <w:jc w:val="both"/>
        <w:rPr>
          <w:rFonts w:ascii="Arial" w:hAnsi="Arial" w:cs="Arial"/>
          <w:b/>
          <w:sz w:val="20"/>
          <w:szCs w:val="20"/>
        </w:rPr>
      </w:pPr>
    </w:p>
    <w:p w14:paraId="6F4267B2" w14:textId="731415C6" w:rsidR="00CF25C3" w:rsidRPr="00D83239" w:rsidRDefault="00CF25C3" w:rsidP="00FA565F">
      <w:pPr>
        <w:spacing w:after="0" w:line="276" w:lineRule="auto"/>
        <w:jc w:val="both"/>
        <w:rPr>
          <w:rFonts w:ascii="Arial" w:hAnsi="Arial" w:cs="Arial"/>
          <w:sz w:val="20"/>
          <w:szCs w:val="20"/>
        </w:rPr>
      </w:pPr>
      <w:r w:rsidRPr="00D83239">
        <w:rPr>
          <w:rFonts w:ascii="Arial" w:hAnsi="Arial" w:cs="Arial"/>
          <w:b/>
          <w:sz w:val="20"/>
          <w:szCs w:val="20"/>
        </w:rPr>
        <w:t>Na področju reševanja odškodninskih zahtevkov</w:t>
      </w:r>
      <w:r w:rsidRPr="00D83239">
        <w:rPr>
          <w:rFonts w:ascii="Arial" w:hAnsi="Arial" w:cs="Arial"/>
          <w:sz w:val="20"/>
          <w:szCs w:val="20"/>
        </w:rPr>
        <w:t xml:space="preserve"> je bilo v letu 2025 v reševanju 324 primerov odškodninskih zahtevkov (156 novih primerov in 168 zahtevkov iz preteklih let). Gre za vložene odškodninske zahtevke uslužbencev, ki jim je škoda nastala na delu ali v zvezi z delom, ter zahtevke tretjih oseb, ki jim je bila povzročena škoda. </w:t>
      </w:r>
    </w:p>
    <w:p w14:paraId="6190FFD0" w14:textId="77777777" w:rsidR="00CF25C3" w:rsidRPr="00D83239" w:rsidRDefault="00CF25C3" w:rsidP="00D83239">
      <w:pPr>
        <w:pStyle w:val="Brezrazmikov"/>
        <w:spacing w:line="276" w:lineRule="auto"/>
        <w:jc w:val="both"/>
        <w:rPr>
          <w:rFonts w:ascii="Arial" w:hAnsi="Arial" w:cs="Arial"/>
          <w:b/>
          <w:sz w:val="20"/>
          <w:szCs w:val="20"/>
          <w:u w:val="single"/>
        </w:rPr>
      </w:pPr>
    </w:p>
    <w:p w14:paraId="6DBC2904" w14:textId="5C228D07" w:rsidR="00CF25C3" w:rsidRPr="00D83239" w:rsidRDefault="00CF25C3" w:rsidP="00D83239">
      <w:pPr>
        <w:pStyle w:val="Brezrazmikov"/>
        <w:spacing w:line="276" w:lineRule="auto"/>
        <w:jc w:val="both"/>
        <w:rPr>
          <w:rFonts w:ascii="Arial" w:hAnsi="Arial" w:cs="Arial"/>
          <w:b/>
          <w:sz w:val="20"/>
          <w:szCs w:val="20"/>
        </w:rPr>
      </w:pPr>
      <w:r w:rsidRPr="00D83239">
        <w:rPr>
          <w:rFonts w:ascii="Arial" w:hAnsi="Arial" w:cs="Arial"/>
          <w:b/>
          <w:sz w:val="20"/>
          <w:szCs w:val="20"/>
        </w:rPr>
        <w:t>Pravno svetovalno delo in pravna pomoč organizacijskim</w:t>
      </w:r>
      <w:r w:rsidR="00D83239">
        <w:rPr>
          <w:rFonts w:ascii="Arial" w:hAnsi="Arial" w:cs="Arial"/>
          <w:b/>
          <w:sz w:val="20"/>
          <w:szCs w:val="20"/>
        </w:rPr>
        <w:t xml:space="preserve"> enotam </w:t>
      </w:r>
      <w:r w:rsidR="003919B7">
        <w:rPr>
          <w:rFonts w:ascii="Arial" w:hAnsi="Arial" w:cs="Arial"/>
          <w:b/>
          <w:sz w:val="20"/>
          <w:szCs w:val="20"/>
        </w:rPr>
        <w:t xml:space="preserve">MNZ </w:t>
      </w:r>
      <w:r w:rsidR="00D83239">
        <w:rPr>
          <w:rFonts w:ascii="Arial" w:hAnsi="Arial" w:cs="Arial"/>
          <w:b/>
          <w:sz w:val="20"/>
          <w:szCs w:val="20"/>
        </w:rPr>
        <w:t>in Policije</w:t>
      </w:r>
    </w:p>
    <w:p w14:paraId="667E65A1" w14:textId="62B7CCC7" w:rsidR="00CF25C3" w:rsidRPr="00D83239" w:rsidRDefault="00CF25C3" w:rsidP="00D83239">
      <w:pPr>
        <w:pStyle w:val="Brezrazmikov"/>
        <w:spacing w:line="276" w:lineRule="auto"/>
        <w:jc w:val="both"/>
        <w:rPr>
          <w:rFonts w:ascii="Arial" w:hAnsi="Arial" w:cs="Arial"/>
          <w:sz w:val="20"/>
          <w:szCs w:val="20"/>
        </w:rPr>
      </w:pPr>
      <w:r w:rsidRPr="00D83239">
        <w:rPr>
          <w:rFonts w:ascii="Arial" w:hAnsi="Arial" w:cs="Arial"/>
          <w:sz w:val="20"/>
          <w:szCs w:val="20"/>
        </w:rPr>
        <w:t>Tudi v letu 2025 je bilo</w:t>
      </w:r>
      <w:r w:rsidR="00345662">
        <w:rPr>
          <w:rFonts w:ascii="Arial" w:hAnsi="Arial" w:cs="Arial"/>
          <w:sz w:val="20"/>
          <w:szCs w:val="20"/>
        </w:rPr>
        <w:t xml:space="preserve"> </w:t>
      </w:r>
      <w:r w:rsidRPr="00D83239">
        <w:rPr>
          <w:rFonts w:ascii="Arial" w:hAnsi="Arial" w:cs="Arial"/>
          <w:sz w:val="20"/>
          <w:szCs w:val="20"/>
        </w:rPr>
        <w:t xml:space="preserve">v okviru svetovalnega dela in pravne pomoči organizacijskim enotam </w:t>
      </w:r>
      <w:r w:rsidR="003919B7">
        <w:rPr>
          <w:rFonts w:ascii="Arial" w:hAnsi="Arial" w:cs="Arial"/>
          <w:sz w:val="20"/>
          <w:szCs w:val="20"/>
        </w:rPr>
        <w:t>MNZ</w:t>
      </w:r>
      <w:r w:rsidR="003919B7" w:rsidRPr="00D83239">
        <w:rPr>
          <w:rFonts w:ascii="Arial" w:hAnsi="Arial" w:cs="Arial"/>
          <w:sz w:val="20"/>
          <w:szCs w:val="20"/>
        </w:rPr>
        <w:t xml:space="preserve"> </w:t>
      </w:r>
      <w:r w:rsidR="00F9077D">
        <w:rPr>
          <w:rFonts w:ascii="Arial" w:hAnsi="Arial" w:cs="Arial"/>
          <w:sz w:val="20"/>
          <w:szCs w:val="20"/>
        </w:rPr>
        <w:t>in</w:t>
      </w:r>
      <w:r w:rsidR="00F9077D" w:rsidRPr="00D83239">
        <w:rPr>
          <w:rFonts w:ascii="Arial" w:hAnsi="Arial" w:cs="Arial"/>
          <w:sz w:val="20"/>
          <w:szCs w:val="20"/>
        </w:rPr>
        <w:t xml:space="preserve"> </w:t>
      </w:r>
      <w:r w:rsidRPr="00D83239">
        <w:rPr>
          <w:rFonts w:ascii="Arial" w:hAnsi="Arial" w:cs="Arial"/>
          <w:sz w:val="20"/>
          <w:szCs w:val="20"/>
        </w:rPr>
        <w:t>Policije na različnih področjih pripravljen</w:t>
      </w:r>
      <w:r w:rsidR="00F9077D">
        <w:rPr>
          <w:rFonts w:ascii="Arial" w:hAnsi="Arial" w:cs="Arial"/>
          <w:sz w:val="20"/>
          <w:szCs w:val="20"/>
        </w:rPr>
        <w:t>ih</w:t>
      </w:r>
      <w:r w:rsidRPr="00D83239">
        <w:rPr>
          <w:rFonts w:ascii="Arial" w:hAnsi="Arial" w:cs="Arial"/>
          <w:sz w:val="20"/>
          <w:szCs w:val="20"/>
        </w:rPr>
        <w:t xml:space="preserve"> 127 pravnih mnenj ter 837 svetovanj pri pregledu pogodb.</w:t>
      </w:r>
    </w:p>
    <w:p w14:paraId="1A0DAFFA" w14:textId="77777777" w:rsidR="00CF25C3" w:rsidRPr="00D83239" w:rsidRDefault="00CF25C3" w:rsidP="00D83239">
      <w:pPr>
        <w:pStyle w:val="Brezrazmikov"/>
        <w:spacing w:line="276" w:lineRule="auto"/>
        <w:jc w:val="both"/>
        <w:rPr>
          <w:rFonts w:ascii="Arial" w:hAnsi="Arial" w:cs="Arial"/>
          <w:sz w:val="20"/>
          <w:szCs w:val="20"/>
        </w:rPr>
      </w:pPr>
    </w:p>
    <w:p w14:paraId="1A24BF2C" w14:textId="721D6225" w:rsidR="00CF25C3" w:rsidRPr="00D83239" w:rsidRDefault="00CF25C3" w:rsidP="00D83239">
      <w:pPr>
        <w:pStyle w:val="Brezrazmikov"/>
        <w:spacing w:line="276" w:lineRule="auto"/>
        <w:jc w:val="both"/>
        <w:rPr>
          <w:rFonts w:ascii="Arial" w:hAnsi="Arial" w:cs="Arial"/>
          <w:sz w:val="20"/>
          <w:szCs w:val="20"/>
        </w:rPr>
      </w:pPr>
      <w:r w:rsidRPr="00D83239">
        <w:rPr>
          <w:rFonts w:ascii="Arial" w:hAnsi="Arial" w:cs="Arial"/>
          <w:sz w:val="20"/>
          <w:szCs w:val="20"/>
        </w:rPr>
        <w:t>V letu 2025 je bilo obravnavanih tudi 44 zahtev po Zakonu o dostopu do informacij javnega značaja ter 23 pritožb tujcev zoper odločbe, ki jih je na prvi stopnji izdala Policija.</w:t>
      </w:r>
    </w:p>
    <w:p w14:paraId="0EC6BB0D" w14:textId="77777777" w:rsidR="00CF25C3" w:rsidRPr="00D83239" w:rsidRDefault="00CF25C3" w:rsidP="00D83239">
      <w:pPr>
        <w:pStyle w:val="Brezrazmikov"/>
        <w:spacing w:line="276" w:lineRule="auto"/>
        <w:jc w:val="both"/>
        <w:rPr>
          <w:rFonts w:ascii="Arial" w:hAnsi="Arial" w:cs="Arial"/>
          <w:sz w:val="20"/>
          <w:szCs w:val="20"/>
        </w:rPr>
      </w:pPr>
    </w:p>
    <w:p w14:paraId="7902A0CF" w14:textId="1445393E" w:rsidR="00CF25C3" w:rsidRPr="00D83239" w:rsidRDefault="00CF25C3" w:rsidP="00D83239">
      <w:pPr>
        <w:pStyle w:val="Brezrazmikov"/>
        <w:spacing w:line="276" w:lineRule="auto"/>
        <w:jc w:val="both"/>
        <w:rPr>
          <w:rFonts w:ascii="Arial" w:hAnsi="Arial" w:cs="Arial"/>
          <w:sz w:val="20"/>
          <w:szCs w:val="20"/>
        </w:rPr>
      </w:pPr>
      <w:r w:rsidRPr="00D83239">
        <w:rPr>
          <w:rFonts w:ascii="Arial" w:hAnsi="Arial" w:cs="Arial"/>
          <w:sz w:val="20"/>
          <w:szCs w:val="20"/>
        </w:rPr>
        <w:t>Izvajala se je tudi pravna pomoč strokovnim službam MNZ in Policije pri pripravi novel predpisov in notranjih aktov (</w:t>
      </w:r>
      <w:proofErr w:type="spellStart"/>
      <w:r w:rsidRPr="00D83239">
        <w:rPr>
          <w:rFonts w:ascii="Arial" w:hAnsi="Arial" w:cs="Arial"/>
          <w:sz w:val="20"/>
          <w:szCs w:val="20"/>
        </w:rPr>
        <w:t>ZODPol</w:t>
      </w:r>
      <w:proofErr w:type="spellEnd"/>
      <w:r w:rsidRPr="00D83239">
        <w:rPr>
          <w:rFonts w:ascii="Arial" w:hAnsi="Arial" w:cs="Arial"/>
          <w:sz w:val="20"/>
          <w:szCs w:val="20"/>
        </w:rPr>
        <w:t xml:space="preserve">, </w:t>
      </w:r>
      <w:r w:rsidR="00345662" w:rsidRPr="00345662">
        <w:rPr>
          <w:rFonts w:ascii="Arial" w:hAnsi="Arial" w:cs="Arial"/>
          <w:sz w:val="20"/>
          <w:szCs w:val="20"/>
        </w:rPr>
        <w:t>Zakon o nalogah in pooblastilih policije</w:t>
      </w:r>
      <w:r w:rsidRPr="00D83239">
        <w:rPr>
          <w:rFonts w:ascii="Arial" w:hAnsi="Arial" w:cs="Arial"/>
          <w:sz w:val="20"/>
          <w:szCs w:val="20"/>
        </w:rPr>
        <w:t>, ZTuj-2, Stanovanjski pravilnik, Navodilo o izobraževanju, usposabljanju in izpolnjevanju v policiji, vzpostavitev nacionalnega sistema vstopa in izstopa, politike informacijske varnosti v MNZ)</w:t>
      </w:r>
      <w:r w:rsidR="00B01268">
        <w:rPr>
          <w:rFonts w:ascii="Arial" w:hAnsi="Arial" w:cs="Arial"/>
          <w:sz w:val="20"/>
          <w:szCs w:val="20"/>
        </w:rPr>
        <w:t>.</w:t>
      </w:r>
    </w:p>
    <w:p w14:paraId="74E02327" w14:textId="77777777" w:rsidR="00CF25C3" w:rsidRPr="00D83239" w:rsidRDefault="00CF25C3" w:rsidP="00FA565F">
      <w:pPr>
        <w:spacing w:after="0" w:line="276" w:lineRule="auto"/>
        <w:jc w:val="both"/>
        <w:rPr>
          <w:rFonts w:ascii="Arial" w:hAnsi="Arial" w:cs="Arial"/>
          <w:sz w:val="20"/>
          <w:szCs w:val="20"/>
        </w:rPr>
      </w:pPr>
    </w:p>
    <w:p w14:paraId="140A6CF9" w14:textId="6D816E4D" w:rsidR="00CF25C3" w:rsidRPr="00D83239" w:rsidRDefault="00CF25C3" w:rsidP="0086247D">
      <w:pPr>
        <w:spacing w:after="0" w:line="276" w:lineRule="auto"/>
        <w:jc w:val="both"/>
        <w:rPr>
          <w:rFonts w:ascii="Arial" w:hAnsi="Arial" w:cs="Arial"/>
          <w:sz w:val="20"/>
          <w:szCs w:val="20"/>
        </w:rPr>
      </w:pPr>
      <w:r w:rsidRPr="00D83239">
        <w:rPr>
          <w:rFonts w:ascii="Arial" w:eastAsiaTheme="minorHAnsi" w:hAnsi="Arial" w:cs="Arial"/>
          <w:iCs/>
          <w:sz w:val="20"/>
          <w:szCs w:val="20"/>
        </w:rPr>
        <w:t xml:space="preserve">Na področju </w:t>
      </w:r>
      <w:r w:rsidRPr="00D83239">
        <w:rPr>
          <w:rFonts w:ascii="Arial" w:eastAsiaTheme="minorHAnsi" w:hAnsi="Arial" w:cs="Arial"/>
          <w:b/>
          <w:bCs/>
          <w:iCs/>
          <w:sz w:val="20"/>
          <w:szCs w:val="20"/>
        </w:rPr>
        <w:t>sistema MOPED-DOCS</w:t>
      </w:r>
      <w:r w:rsidRPr="00D83239">
        <w:rPr>
          <w:rFonts w:ascii="Arial" w:eastAsiaTheme="minorHAnsi" w:hAnsi="Arial" w:cs="Arial"/>
          <w:iCs/>
          <w:sz w:val="20"/>
          <w:szCs w:val="20"/>
        </w:rPr>
        <w:t xml:space="preserve"> sta se izvajala redni pregled novosti na področju direktiv in drugih pravnih aktov EU in obveščanje pristojnih služb o teh novostih.</w:t>
      </w:r>
      <w:r w:rsidR="00D83239">
        <w:rPr>
          <w:rFonts w:ascii="Arial" w:hAnsi="Arial" w:cs="Arial"/>
          <w:sz w:val="20"/>
          <w:szCs w:val="20"/>
        </w:rPr>
        <w:t xml:space="preserve"> </w:t>
      </w:r>
    </w:p>
    <w:p w14:paraId="2A297D25" w14:textId="77777777" w:rsidR="0086247D" w:rsidRDefault="0086247D" w:rsidP="00D83239">
      <w:pPr>
        <w:spacing w:after="0" w:line="276" w:lineRule="auto"/>
        <w:jc w:val="both"/>
        <w:rPr>
          <w:rFonts w:ascii="Arial" w:eastAsiaTheme="minorHAnsi" w:hAnsi="Arial" w:cs="Arial"/>
          <w:b/>
          <w:bCs/>
          <w:sz w:val="20"/>
          <w:szCs w:val="20"/>
        </w:rPr>
      </w:pPr>
    </w:p>
    <w:p w14:paraId="6F03524A" w14:textId="7E51FB7A" w:rsidR="00CF25C3" w:rsidRPr="00D83239" w:rsidRDefault="00CF25C3" w:rsidP="00D83239">
      <w:pPr>
        <w:spacing w:after="0" w:line="276" w:lineRule="auto"/>
        <w:jc w:val="both"/>
        <w:rPr>
          <w:rFonts w:ascii="Arial" w:hAnsi="Arial" w:cs="Arial"/>
          <w:sz w:val="20"/>
          <w:szCs w:val="20"/>
        </w:rPr>
      </w:pPr>
      <w:r w:rsidRPr="00D83239">
        <w:rPr>
          <w:rFonts w:ascii="Arial" w:eastAsiaTheme="minorHAnsi" w:hAnsi="Arial" w:cs="Arial"/>
          <w:b/>
          <w:bCs/>
          <w:sz w:val="20"/>
          <w:szCs w:val="20"/>
        </w:rPr>
        <w:t>Stanje prenosa direktiv v pravni red R</w:t>
      </w:r>
      <w:r w:rsidR="00B01268">
        <w:rPr>
          <w:rFonts w:ascii="Arial" w:eastAsiaTheme="minorHAnsi" w:hAnsi="Arial" w:cs="Arial"/>
          <w:b/>
          <w:bCs/>
          <w:sz w:val="20"/>
          <w:szCs w:val="20"/>
        </w:rPr>
        <w:t xml:space="preserve">epublike </w:t>
      </w:r>
      <w:r w:rsidRPr="00D83239">
        <w:rPr>
          <w:rFonts w:ascii="Arial" w:eastAsiaTheme="minorHAnsi" w:hAnsi="Arial" w:cs="Arial"/>
          <w:b/>
          <w:bCs/>
          <w:sz w:val="20"/>
          <w:szCs w:val="20"/>
        </w:rPr>
        <w:t>S</w:t>
      </w:r>
      <w:r w:rsidR="00B01268">
        <w:rPr>
          <w:rFonts w:ascii="Arial" w:eastAsiaTheme="minorHAnsi" w:hAnsi="Arial" w:cs="Arial"/>
          <w:b/>
          <w:bCs/>
          <w:sz w:val="20"/>
          <w:szCs w:val="20"/>
        </w:rPr>
        <w:t>lovenije</w:t>
      </w:r>
      <w:r w:rsidRPr="00D83239">
        <w:rPr>
          <w:rFonts w:ascii="Arial" w:eastAsiaTheme="minorHAnsi" w:hAnsi="Arial" w:cs="Arial"/>
          <w:b/>
          <w:bCs/>
          <w:sz w:val="20"/>
          <w:szCs w:val="20"/>
        </w:rPr>
        <w:t xml:space="preserve"> in odprtih postopkov ugotavljanja kršitev prava EU</w:t>
      </w:r>
    </w:p>
    <w:p w14:paraId="6D78C5CF" w14:textId="4A3B6FFF" w:rsidR="00CF25C3" w:rsidRPr="00D83239" w:rsidRDefault="00CF25C3" w:rsidP="00FA565F">
      <w:pPr>
        <w:spacing w:after="0" w:line="276" w:lineRule="auto"/>
        <w:jc w:val="both"/>
        <w:rPr>
          <w:rFonts w:ascii="Arial" w:hAnsi="Arial" w:cs="Arial"/>
          <w:sz w:val="20"/>
          <w:szCs w:val="20"/>
        </w:rPr>
      </w:pPr>
      <w:r w:rsidRPr="00D83239">
        <w:rPr>
          <w:rFonts w:ascii="Arial" w:hAnsi="Arial" w:cs="Arial"/>
          <w:sz w:val="20"/>
          <w:szCs w:val="20"/>
        </w:rPr>
        <w:t>Na področju ugotavljanja kršitev prava EU je Republika Slovenija, MNZ</w:t>
      </w:r>
      <w:r w:rsidR="00B01268">
        <w:rPr>
          <w:rFonts w:ascii="Arial" w:hAnsi="Arial" w:cs="Arial"/>
          <w:sz w:val="20"/>
          <w:szCs w:val="20"/>
        </w:rPr>
        <w:t>,</w:t>
      </w:r>
      <w:r w:rsidRPr="00D83239">
        <w:rPr>
          <w:rFonts w:ascii="Arial" w:hAnsi="Arial" w:cs="Arial"/>
          <w:sz w:val="20"/>
          <w:szCs w:val="20"/>
        </w:rPr>
        <w:t xml:space="preserve"> 31. 1. 2025 prejela uradni opomin zaradi </w:t>
      </w:r>
      <w:proofErr w:type="spellStart"/>
      <w:r w:rsidRPr="00D83239">
        <w:rPr>
          <w:rFonts w:ascii="Arial" w:hAnsi="Arial" w:cs="Arial"/>
          <w:sz w:val="20"/>
          <w:szCs w:val="20"/>
        </w:rPr>
        <w:t>nenotifikacije</w:t>
      </w:r>
      <w:proofErr w:type="spellEnd"/>
      <w:r w:rsidRPr="00D83239">
        <w:rPr>
          <w:rFonts w:ascii="Arial" w:hAnsi="Arial" w:cs="Arial"/>
          <w:sz w:val="20"/>
          <w:szCs w:val="20"/>
        </w:rPr>
        <w:t xml:space="preserve"> predpisov za prenos Direktive (EU) 2023/977 Evropskega parlamenta in Sveta z dne 10. maja 2023 o izmenjavi informacij med organi preprečevanja, odkrivanja in preiskovanja kaznivih dejanj držav članic ter razveljavitvi Okvirnega sklepa Sveta 2006/960/PNZ v pravni red Republike Slovenije (kršitev št. 2025/0104) </w:t>
      </w:r>
      <w:r w:rsidR="0086247D">
        <w:rPr>
          <w:rFonts w:ascii="Arial" w:hAnsi="Arial" w:cs="Arial"/>
          <w:sz w:val="20"/>
          <w:szCs w:val="20"/>
        </w:rPr>
        <w:t>in 11. 12. 2025 uradni opomin Evropske komisije</w:t>
      </w:r>
      <w:r w:rsidRPr="00D83239">
        <w:rPr>
          <w:rFonts w:ascii="Arial" w:hAnsi="Arial" w:cs="Arial"/>
          <w:sz w:val="20"/>
          <w:szCs w:val="20"/>
        </w:rPr>
        <w:t xml:space="preserve"> zaradi neustreznega prenosa Direktive (EU) 2021/555 Evropskega parlamenta in Sveta z dne 24. marca 2021 o nadzoru nabave in posedovanja orožja (kodificirano besedilo) v pravni red Republike Slovenije (kršitev št.</w:t>
      </w:r>
      <w:r w:rsidR="00B01268">
        <w:rPr>
          <w:rFonts w:ascii="Arial" w:hAnsi="Arial" w:cs="Arial"/>
          <w:sz w:val="20"/>
          <w:szCs w:val="20"/>
        </w:rPr>
        <w:t> </w:t>
      </w:r>
      <w:r w:rsidRPr="00D83239">
        <w:rPr>
          <w:rFonts w:ascii="Arial" w:hAnsi="Arial" w:cs="Arial"/>
          <w:sz w:val="20"/>
          <w:szCs w:val="20"/>
        </w:rPr>
        <w:t xml:space="preserve">2025/2193). </w:t>
      </w:r>
    </w:p>
    <w:p w14:paraId="3D066E14" w14:textId="41FE0B6C" w:rsidR="00C91C5B" w:rsidRPr="00D83239" w:rsidRDefault="00C91C5B" w:rsidP="00D83239">
      <w:pPr>
        <w:spacing w:after="0" w:line="276" w:lineRule="auto"/>
        <w:jc w:val="both"/>
        <w:rPr>
          <w:rFonts w:ascii="Arial" w:hAnsi="Arial" w:cs="Arial"/>
          <w:sz w:val="20"/>
          <w:szCs w:val="20"/>
          <w:highlight w:val="yellow"/>
        </w:rPr>
      </w:pPr>
    </w:p>
    <w:p w14:paraId="7A221995" w14:textId="790A4951" w:rsidR="00E92E78" w:rsidRPr="00D83239" w:rsidRDefault="00265B7A" w:rsidP="00D83239">
      <w:pPr>
        <w:pStyle w:val="Naslov2"/>
        <w:spacing w:after="0" w:line="276" w:lineRule="auto"/>
        <w:jc w:val="both"/>
      </w:pPr>
      <w:bookmarkStart w:id="246" w:name="_Toc225499855"/>
      <w:r w:rsidRPr="00D83239">
        <w:t>P</w:t>
      </w:r>
      <w:r w:rsidR="00CF5E90" w:rsidRPr="00D83239">
        <w:t>revajanj</w:t>
      </w:r>
      <w:r w:rsidRPr="00D83239">
        <w:t xml:space="preserve">e </w:t>
      </w:r>
      <w:r w:rsidR="00CF5E90" w:rsidRPr="00D83239">
        <w:t>in tolmačenj</w:t>
      </w:r>
      <w:r w:rsidRPr="00D83239">
        <w:t>e</w:t>
      </w:r>
      <w:bookmarkStart w:id="247" w:name="_Toc326563871"/>
      <w:bookmarkStart w:id="248" w:name="_Toc350355034"/>
      <w:bookmarkStart w:id="249" w:name="_Toc414526136"/>
      <w:bookmarkEnd w:id="246"/>
    </w:p>
    <w:p w14:paraId="1AAB979F" w14:textId="77777777" w:rsidR="00C91C5B" w:rsidRPr="00D83239" w:rsidRDefault="00C91C5B" w:rsidP="00D83239">
      <w:pPr>
        <w:spacing w:after="0" w:line="276" w:lineRule="auto"/>
        <w:jc w:val="both"/>
        <w:rPr>
          <w:rFonts w:ascii="Arial" w:hAnsi="Arial" w:cs="Arial"/>
          <w:sz w:val="20"/>
          <w:szCs w:val="20"/>
          <w:highlight w:val="yellow"/>
          <w:lang w:eastAsia="sl-SI"/>
        </w:rPr>
      </w:pPr>
    </w:p>
    <w:p w14:paraId="213CD6B6" w14:textId="2EC97D12" w:rsidR="00CF25C3" w:rsidRPr="00D83239" w:rsidRDefault="0099648B" w:rsidP="00D83239">
      <w:pPr>
        <w:spacing w:line="276" w:lineRule="auto"/>
        <w:jc w:val="both"/>
        <w:rPr>
          <w:rFonts w:ascii="Arial" w:hAnsi="Arial" w:cs="Arial"/>
          <w:sz w:val="20"/>
          <w:szCs w:val="20"/>
          <w:lang w:eastAsia="sl-SI"/>
        </w:rPr>
      </w:pPr>
      <w:r>
        <w:rPr>
          <w:rFonts w:ascii="Arial" w:hAnsi="Arial" w:cs="Arial"/>
          <w:sz w:val="20"/>
          <w:szCs w:val="20"/>
        </w:rPr>
        <w:t xml:space="preserve">V letu 2025 je bilo oddanih </w:t>
      </w:r>
      <w:r w:rsidR="00CF25C3" w:rsidRPr="00D83239">
        <w:rPr>
          <w:rFonts w:ascii="Arial" w:hAnsi="Arial" w:cs="Arial"/>
          <w:sz w:val="20"/>
          <w:szCs w:val="20"/>
        </w:rPr>
        <w:t>1.530 zahtevkov</w:t>
      </w:r>
      <w:r w:rsidR="00CF25C3" w:rsidRPr="00D83239">
        <w:rPr>
          <w:rFonts w:ascii="Arial" w:hAnsi="Arial" w:cs="Arial"/>
          <w:b/>
          <w:bCs/>
          <w:sz w:val="20"/>
          <w:szCs w:val="20"/>
        </w:rPr>
        <w:t xml:space="preserve"> </w:t>
      </w:r>
      <w:r w:rsidR="00CF25C3" w:rsidRPr="00D83239">
        <w:rPr>
          <w:rFonts w:ascii="Arial" w:hAnsi="Arial" w:cs="Arial"/>
          <w:sz w:val="20"/>
          <w:szCs w:val="20"/>
        </w:rPr>
        <w:t xml:space="preserve">za prevajalske, </w:t>
      </w:r>
      <w:proofErr w:type="spellStart"/>
      <w:r w:rsidR="00CF25C3" w:rsidRPr="00D83239">
        <w:rPr>
          <w:rFonts w:ascii="Arial" w:hAnsi="Arial" w:cs="Arial"/>
          <w:sz w:val="20"/>
          <w:szCs w:val="20"/>
        </w:rPr>
        <w:t>tolmaške</w:t>
      </w:r>
      <w:proofErr w:type="spellEnd"/>
      <w:r w:rsidR="00CF25C3" w:rsidRPr="00D83239">
        <w:rPr>
          <w:rFonts w:ascii="Arial" w:hAnsi="Arial" w:cs="Arial"/>
          <w:sz w:val="20"/>
          <w:szCs w:val="20"/>
        </w:rPr>
        <w:t xml:space="preserve"> in lektorske storitve</w:t>
      </w:r>
      <w:r w:rsidR="00CF25C3" w:rsidRPr="00D83239">
        <w:rPr>
          <w:rFonts w:ascii="Arial" w:hAnsi="Arial" w:cs="Arial"/>
          <w:sz w:val="20"/>
          <w:szCs w:val="20"/>
          <w:lang w:eastAsia="sl-SI"/>
        </w:rPr>
        <w:t xml:space="preserve">. </w:t>
      </w:r>
    </w:p>
    <w:p w14:paraId="3605C754" w14:textId="56F9A5DC" w:rsidR="00CF25C3" w:rsidRPr="00D83239" w:rsidRDefault="00CF25C3" w:rsidP="00D83239">
      <w:pPr>
        <w:spacing w:line="276" w:lineRule="auto"/>
        <w:jc w:val="both"/>
        <w:rPr>
          <w:rFonts w:ascii="Arial" w:hAnsi="Arial" w:cs="Arial"/>
          <w:sz w:val="20"/>
          <w:szCs w:val="20"/>
          <w:lang w:eastAsia="sl-SI"/>
        </w:rPr>
      </w:pPr>
      <w:r w:rsidRPr="00D83239">
        <w:rPr>
          <w:rFonts w:ascii="Arial" w:hAnsi="Arial" w:cs="Arial"/>
          <w:sz w:val="20"/>
          <w:szCs w:val="20"/>
        </w:rPr>
        <w:t xml:space="preserve">Prevajala so se besedila, ki so jih v prevod poslale notranje organizacijske enote MNZ, Policije in IRSNZ. Besedila z ministrskimi vsebinami so se nanašala predvsem na mednarodno sodelovanje, sodelovanje z institucijami ali telesi EU, letno poročanje, sporočila za javnost, dokumentacijo iz </w:t>
      </w:r>
      <w:proofErr w:type="spellStart"/>
      <w:r w:rsidRPr="00D83239">
        <w:rPr>
          <w:rFonts w:ascii="Arial" w:hAnsi="Arial" w:cs="Arial"/>
          <w:sz w:val="20"/>
          <w:szCs w:val="20"/>
        </w:rPr>
        <w:t>javnonaročniških</w:t>
      </w:r>
      <w:proofErr w:type="spellEnd"/>
      <w:r w:rsidRPr="00D83239">
        <w:rPr>
          <w:rFonts w:ascii="Arial" w:hAnsi="Arial" w:cs="Arial"/>
          <w:sz w:val="20"/>
          <w:szCs w:val="20"/>
        </w:rPr>
        <w:t xml:space="preserve"> postopkov i</w:t>
      </w:r>
      <w:r w:rsidR="00B01268">
        <w:rPr>
          <w:rFonts w:ascii="Arial" w:hAnsi="Arial" w:cs="Arial"/>
          <w:sz w:val="20"/>
          <w:szCs w:val="20"/>
        </w:rPr>
        <w:t>n drugo</w:t>
      </w:r>
      <w:r w:rsidRPr="00D83239">
        <w:rPr>
          <w:rFonts w:ascii="Arial" w:hAnsi="Arial" w:cs="Arial"/>
          <w:sz w:val="20"/>
          <w:szCs w:val="20"/>
        </w:rPr>
        <w:t xml:space="preserve">. Za Policijo so bila prevedena besedila iz predkazenskih in </w:t>
      </w:r>
      <w:proofErr w:type="spellStart"/>
      <w:r w:rsidRPr="00D83239">
        <w:rPr>
          <w:rFonts w:ascii="Arial" w:hAnsi="Arial" w:cs="Arial"/>
          <w:sz w:val="20"/>
          <w:szCs w:val="20"/>
        </w:rPr>
        <w:t>prekrškovnih</w:t>
      </w:r>
      <w:proofErr w:type="spellEnd"/>
      <w:r w:rsidRPr="00D83239">
        <w:rPr>
          <w:rFonts w:ascii="Arial" w:hAnsi="Arial" w:cs="Arial"/>
          <w:sz w:val="20"/>
          <w:szCs w:val="20"/>
        </w:rPr>
        <w:t xml:space="preserve"> postopkov ter mednarodno pravno pomoč, dokumentacija, zasežena v predkazenskih postopkih, evropski preiskovalni nalogi, odredbe za zavarovanje podatkov, vabila, govori, vprašalniki, poročila, brošure, navodila, opomniki, zapisniki, uradni zaznamki, tabele</w:t>
      </w:r>
      <w:r w:rsidR="00B01268">
        <w:rPr>
          <w:rFonts w:ascii="Arial" w:hAnsi="Arial" w:cs="Arial"/>
          <w:sz w:val="20"/>
          <w:szCs w:val="20"/>
        </w:rPr>
        <w:t xml:space="preserve"> oziroma preglednice</w:t>
      </w:r>
      <w:r w:rsidRPr="00D83239">
        <w:rPr>
          <w:rFonts w:ascii="Arial" w:hAnsi="Arial" w:cs="Arial"/>
          <w:sz w:val="20"/>
          <w:szCs w:val="20"/>
        </w:rPr>
        <w:t>, sodna in pravna pisanja, priročniki i</w:t>
      </w:r>
      <w:r w:rsidR="00B01268">
        <w:rPr>
          <w:rFonts w:ascii="Arial" w:hAnsi="Arial" w:cs="Arial"/>
          <w:sz w:val="20"/>
          <w:szCs w:val="20"/>
        </w:rPr>
        <w:t>n drugo</w:t>
      </w:r>
      <w:r w:rsidRPr="00D83239">
        <w:rPr>
          <w:rFonts w:ascii="Arial" w:hAnsi="Arial" w:cs="Arial"/>
          <w:sz w:val="20"/>
          <w:szCs w:val="20"/>
        </w:rPr>
        <w:t xml:space="preserve">. Uslužbenci </w:t>
      </w:r>
      <w:r w:rsidR="00345662">
        <w:rPr>
          <w:rFonts w:ascii="Arial" w:hAnsi="Arial" w:cs="Arial"/>
          <w:sz w:val="20"/>
          <w:szCs w:val="20"/>
        </w:rPr>
        <w:t>MNZ</w:t>
      </w:r>
      <w:r w:rsidRPr="00D83239">
        <w:rPr>
          <w:rFonts w:ascii="Arial" w:hAnsi="Arial" w:cs="Arial"/>
          <w:sz w:val="20"/>
          <w:szCs w:val="20"/>
        </w:rPr>
        <w:t xml:space="preserve"> besedila prevajajo v obe smeri in pokrivajo naslednje jezike: angleščina, nemščina, italijanščina, francoščina. Po potrebi opravijo tudi </w:t>
      </w:r>
      <w:proofErr w:type="spellStart"/>
      <w:r w:rsidRPr="00D83239">
        <w:rPr>
          <w:rFonts w:ascii="Arial" w:hAnsi="Arial" w:cs="Arial"/>
          <w:sz w:val="20"/>
          <w:szCs w:val="20"/>
        </w:rPr>
        <w:t>predprevajalska</w:t>
      </w:r>
      <w:proofErr w:type="spellEnd"/>
      <w:r w:rsidRPr="00D83239">
        <w:rPr>
          <w:rFonts w:ascii="Arial" w:hAnsi="Arial" w:cs="Arial"/>
          <w:sz w:val="20"/>
          <w:szCs w:val="20"/>
        </w:rPr>
        <w:t xml:space="preserve"> opravila ali uredijo že prevedena besedila. </w:t>
      </w:r>
      <w:r w:rsidRPr="00D83239">
        <w:rPr>
          <w:rFonts w:ascii="Arial" w:eastAsia="Aptos" w:hAnsi="Arial" w:cs="Arial"/>
          <w:kern w:val="2"/>
          <w:sz w:val="20"/>
          <w:szCs w:val="20"/>
        </w:rPr>
        <w:t xml:space="preserve">V naročilo zunanjim izvajalcem ali v izvedbo z notranjimi prevajalci </w:t>
      </w:r>
      <w:r w:rsidR="00345662">
        <w:rPr>
          <w:rFonts w:ascii="Arial" w:eastAsia="Aptos" w:hAnsi="Arial" w:cs="Arial"/>
          <w:kern w:val="2"/>
          <w:sz w:val="20"/>
          <w:szCs w:val="20"/>
        </w:rPr>
        <w:t xml:space="preserve">je bilo prejetih </w:t>
      </w:r>
      <w:r w:rsidRPr="00D83239">
        <w:rPr>
          <w:rFonts w:ascii="Arial" w:eastAsia="Aptos" w:hAnsi="Arial" w:cs="Arial"/>
          <w:kern w:val="2"/>
          <w:sz w:val="20"/>
          <w:szCs w:val="20"/>
        </w:rPr>
        <w:t xml:space="preserve">približno 17.200 prevajalskih strani besedil, od tega so notranji prevajalci prevedli 8.500 prevajalskih strani. </w:t>
      </w:r>
    </w:p>
    <w:p w14:paraId="16BCB8BC" w14:textId="76C7C1BA" w:rsidR="00CF25C3" w:rsidRPr="00D83239" w:rsidRDefault="00345662" w:rsidP="00D83239">
      <w:pPr>
        <w:spacing w:line="276" w:lineRule="auto"/>
        <w:jc w:val="both"/>
        <w:rPr>
          <w:rFonts w:ascii="Arial" w:hAnsi="Arial" w:cs="Arial"/>
          <w:sz w:val="20"/>
          <w:szCs w:val="20"/>
          <w:lang w:eastAsia="sl-SI"/>
        </w:rPr>
      </w:pPr>
      <w:r>
        <w:rPr>
          <w:rFonts w:ascii="Arial" w:eastAsia="Aptos" w:hAnsi="Arial" w:cs="Arial"/>
          <w:kern w:val="2"/>
          <w:sz w:val="20"/>
          <w:szCs w:val="20"/>
        </w:rPr>
        <w:t>Javni uslužbenci MNZ</w:t>
      </w:r>
      <w:r w:rsidR="00CF25C3" w:rsidRPr="00D83239">
        <w:rPr>
          <w:rFonts w:ascii="Arial" w:eastAsia="Aptos" w:hAnsi="Arial" w:cs="Arial"/>
          <w:kern w:val="2"/>
          <w:sz w:val="20"/>
          <w:szCs w:val="20"/>
        </w:rPr>
        <w:t xml:space="preserve"> </w:t>
      </w:r>
      <w:r>
        <w:rPr>
          <w:rFonts w:ascii="Arial" w:eastAsia="Aptos" w:hAnsi="Arial" w:cs="Arial"/>
          <w:kern w:val="2"/>
          <w:sz w:val="20"/>
          <w:szCs w:val="20"/>
        </w:rPr>
        <w:t>so</w:t>
      </w:r>
      <w:r w:rsidR="00CF25C3" w:rsidRPr="00D83239">
        <w:rPr>
          <w:rFonts w:ascii="Arial" w:eastAsia="Aptos" w:hAnsi="Arial" w:cs="Arial"/>
          <w:kern w:val="2"/>
          <w:sz w:val="20"/>
          <w:szCs w:val="20"/>
        </w:rPr>
        <w:t xml:space="preserve"> skupaj z zunanjimi izvajalci opravil</w:t>
      </w:r>
      <w:r>
        <w:rPr>
          <w:rFonts w:ascii="Arial" w:eastAsia="Aptos" w:hAnsi="Arial" w:cs="Arial"/>
          <w:kern w:val="2"/>
          <w:sz w:val="20"/>
          <w:szCs w:val="20"/>
        </w:rPr>
        <w:t>i</w:t>
      </w:r>
      <w:r w:rsidR="00CF25C3" w:rsidRPr="00D83239">
        <w:rPr>
          <w:rFonts w:ascii="Arial" w:eastAsia="Aptos" w:hAnsi="Arial" w:cs="Arial"/>
          <w:kern w:val="2"/>
          <w:sz w:val="20"/>
          <w:szCs w:val="20"/>
        </w:rPr>
        <w:t xml:space="preserve"> 238 ur tolmačen</w:t>
      </w:r>
      <w:r w:rsidR="00D95494">
        <w:rPr>
          <w:rFonts w:ascii="Arial" w:eastAsia="Aptos" w:hAnsi="Arial" w:cs="Arial"/>
          <w:kern w:val="2"/>
          <w:sz w:val="20"/>
          <w:szCs w:val="20"/>
        </w:rPr>
        <w:t>ja na najvišji ravni, od tega je bilo z notranjimi tolmači zagotovljenih</w:t>
      </w:r>
      <w:r w:rsidR="00CF25C3" w:rsidRPr="00D83239">
        <w:rPr>
          <w:rFonts w:ascii="Arial" w:eastAsia="Aptos" w:hAnsi="Arial" w:cs="Arial"/>
          <w:kern w:val="2"/>
          <w:sz w:val="20"/>
          <w:szCs w:val="20"/>
        </w:rPr>
        <w:t xml:space="preserve"> kar 107 ur tolmačenja. </w:t>
      </w:r>
      <w:r w:rsidR="00CF25C3" w:rsidRPr="00D83239">
        <w:rPr>
          <w:rFonts w:ascii="Arial" w:hAnsi="Arial" w:cs="Arial"/>
          <w:sz w:val="20"/>
          <w:szCs w:val="20"/>
          <w:lang w:eastAsia="sl-SI"/>
        </w:rPr>
        <w:t>Storitve konsekutivnega in simultanega tolmačenja so bile zagotovljene za potrebe sestankov in srečanj ministra ali njegovih delegacij z notranjimi ministri in delegacijami ali veleposlaniki drugih držav. V ta obseg spada tolmačenje v okviru medresorskega sodelovanja v komisiji za mejo (z Republiko Avstrijo in Italijansko repub</w:t>
      </w:r>
      <w:r w:rsidR="002721D0">
        <w:rPr>
          <w:rFonts w:ascii="Arial" w:hAnsi="Arial" w:cs="Arial"/>
          <w:sz w:val="20"/>
          <w:szCs w:val="20"/>
          <w:lang w:eastAsia="sl-SI"/>
        </w:rPr>
        <w:t>liko), tolmačenje na konferenci</w:t>
      </w:r>
      <w:r w:rsidR="00CF25C3" w:rsidRPr="00D83239">
        <w:rPr>
          <w:rFonts w:ascii="Arial" w:hAnsi="Arial" w:cs="Arial"/>
          <w:sz w:val="20"/>
          <w:szCs w:val="20"/>
          <w:lang w:eastAsia="sl-SI"/>
        </w:rPr>
        <w:t>, na bilateralnih sestankih generalnega direktorja policije, na senatih ob pritožbah zoper delo policistov, tolmačenje na konferencah o preiskovanju različnih vrst kriminalitete, sejah S</w:t>
      </w:r>
      <w:r w:rsidR="00B009C0">
        <w:rPr>
          <w:rFonts w:ascii="Arial" w:hAnsi="Arial" w:cs="Arial"/>
          <w:sz w:val="20"/>
          <w:szCs w:val="20"/>
          <w:lang w:eastAsia="sl-SI"/>
        </w:rPr>
        <w:t>lužbe za evropska sredstva</w:t>
      </w:r>
      <w:r w:rsidR="00CF25C3" w:rsidRPr="00D83239">
        <w:rPr>
          <w:rFonts w:ascii="Arial" w:hAnsi="Arial" w:cs="Arial"/>
          <w:sz w:val="20"/>
          <w:szCs w:val="20"/>
          <w:lang w:eastAsia="sl-SI"/>
        </w:rPr>
        <w:t xml:space="preserve"> i</w:t>
      </w:r>
      <w:r w:rsidR="00B01268">
        <w:rPr>
          <w:rFonts w:ascii="Arial" w:hAnsi="Arial" w:cs="Arial"/>
          <w:sz w:val="20"/>
          <w:szCs w:val="20"/>
          <w:lang w:eastAsia="sl-SI"/>
        </w:rPr>
        <w:t>n tako dalje</w:t>
      </w:r>
      <w:r w:rsidR="00CF25C3" w:rsidRPr="00D83239">
        <w:rPr>
          <w:rFonts w:ascii="Arial" w:hAnsi="Arial" w:cs="Arial"/>
          <w:sz w:val="20"/>
          <w:szCs w:val="20"/>
          <w:lang w:eastAsia="sl-SI"/>
        </w:rPr>
        <w:t xml:space="preserve">. </w:t>
      </w:r>
      <w:r w:rsidR="00B01268">
        <w:rPr>
          <w:rFonts w:ascii="Arial" w:hAnsi="Arial" w:cs="Arial"/>
          <w:sz w:val="20"/>
          <w:szCs w:val="20"/>
          <w:lang w:eastAsia="sl-SI"/>
        </w:rPr>
        <w:t>O</w:t>
      </w:r>
      <w:r w:rsidR="00CF25C3" w:rsidRPr="00D83239">
        <w:rPr>
          <w:rFonts w:ascii="Arial" w:hAnsi="Arial" w:cs="Arial"/>
          <w:sz w:val="20"/>
          <w:szCs w:val="20"/>
          <w:lang w:eastAsia="sl-SI"/>
        </w:rPr>
        <w:t>bseg tolmačenja je leta 2025 p</w:t>
      </w:r>
      <w:r w:rsidR="00B01268">
        <w:rPr>
          <w:rFonts w:ascii="Arial" w:hAnsi="Arial" w:cs="Arial"/>
          <w:sz w:val="20"/>
          <w:szCs w:val="20"/>
          <w:lang w:eastAsia="sl-SI"/>
        </w:rPr>
        <w:t>ovečala</w:t>
      </w:r>
      <w:r w:rsidR="00CF25C3" w:rsidRPr="00D83239">
        <w:rPr>
          <w:rFonts w:ascii="Arial" w:hAnsi="Arial" w:cs="Arial"/>
          <w:sz w:val="20"/>
          <w:szCs w:val="20"/>
          <w:lang w:eastAsia="sl-SI"/>
        </w:rPr>
        <w:t xml:space="preserve"> izvedba </w:t>
      </w:r>
      <w:r w:rsidR="00B01268">
        <w:rPr>
          <w:rFonts w:ascii="Arial" w:hAnsi="Arial" w:cs="Arial"/>
          <w:sz w:val="20"/>
          <w:szCs w:val="20"/>
          <w:lang w:eastAsia="sl-SI"/>
        </w:rPr>
        <w:t>s</w:t>
      </w:r>
      <w:r w:rsidR="00CF25C3" w:rsidRPr="00D83239">
        <w:rPr>
          <w:rFonts w:ascii="Arial" w:hAnsi="Arial" w:cs="Arial"/>
          <w:sz w:val="20"/>
          <w:szCs w:val="20"/>
          <w:lang w:eastAsia="sl-SI"/>
        </w:rPr>
        <w:t xml:space="preserve">chengenske evalvacije na terenu (mejna policija, Brnik, Luka Koper, upravne enote).  </w:t>
      </w:r>
    </w:p>
    <w:p w14:paraId="6107C841" w14:textId="1B9C13D9" w:rsidR="00CF25C3" w:rsidRPr="00D83239" w:rsidRDefault="00CF25C3"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 xml:space="preserve">Storitve lektoriranja (vladna gradiva, letna in druga poročila ter publikacije) </w:t>
      </w:r>
      <w:r w:rsidR="00D95494">
        <w:rPr>
          <w:rFonts w:ascii="Arial" w:hAnsi="Arial" w:cs="Arial"/>
          <w:sz w:val="20"/>
          <w:szCs w:val="20"/>
          <w:lang w:eastAsia="sl-SI"/>
        </w:rPr>
        <w:t xml:space="preserve">je MNZ </w:t>
      </w:r>
      <w:r w:rsidRPr="00D83239">
        <w:rPr>
          <w:rFonts w:ascii="Arial" w:hAnsi="Arial" w:cs="Arial"/>
          <w:sz w:val="20"/>
          <w:szCs w:val="20"/>
          <w:lang w:eastAsia="sl-SI"/>
        </w:rPr>
        <w:t xml:space="preserve">v letu 2025 </w:t>
      </w:r>
      <w:proofErr w:type="spellStart"/>
      <w:r w:rsidRPr="00D83239">
        <w:rPr>
          <w:rFonts w:ascii="Arial" w:hAnsi="Arial" w:cs="Arial"/>
          <w:sz w:val="20"/>
          <w:szCs w:val="20"/>
          <w:lang w:eastAsia="sl-SI"/>
        </w:rPr>
        <w:t>zagotavljali</w:t>
      </w:r>
      <w:r w:rsidR="00D95494">
        <w:rPr>
          <w:rFonts w:ascii="Arial" w:hAnsi="Arial" w:cs="Arial"/>
          <w:sz w:val="20"/>
          <w:szCs w:val="20"/>
          <w:lang w:eastAsia="sl-SI"/>
        </w:rPr>
        <w:t>o</w:t>
      </w:r>
      <w:proofErr w:type="spellEnd"/>
      <w:r w:rsidRPr="00D83239">
        <w:rPr>
          <w:rFonts w:ascii="Arial" w:hAnsi="Arial" w:cs="Arial"/>
          <w:sz w:val="20"/>
          <w:szCs w:val="20"/>
          <w:lang w:eastAsia="sl-SI"/>
        </w:rPr>
        <w:t xml:space="preserve"> večinoma s pomočjo Sektorja za prevajanje G</w:t>
      </w:r>
      <w:r w:rsidR="00D95494">
        <w:rPr>
          <w:rFonts w:ascii="Arial" w:hAnsi="Arial" w:cs="Arial"/>
          <w:sz w:val="20"/>
          <w:szCs w:val="20"/>
          <w:lang w:eastAsia="sl-SI"/>
        </w:rPr>
        <w:t>eneralnega sekretariata vlade</w:t>
      </w:r>
      <w:r w:rsidRPr="00D83239">
        <w:rPr>
          <w:rFonts w:ascii="Arial" w:hAnsi="Arial" w:cs="Arial"/>
          <w:sz w:val="20"/>
          <w:szCs w:val="20"/>
          <w:lang w:eastAsia="sl-SI"/>
        </w:rPr>
        <w:t>, lektoriranih je bilo približno 4.000 strani v slovenskem, angleškem in nemškem jeziku.</w:t>
      </w:r>
    </w:p>
    <w:p w14:paraId="029A5C27" w14:textId="77777777" w:rsidR="00CF25C3" w:rsidRPr="00D83239" w:rsidRDefault="00CF25C3" w:rsidP="00D83239">
      <w:pPr>
        <w:autoSpaceDE w:val="0"/>
        <w:autoSpaceDN w:val="0"/>
        <w:adjustRightInd w:val="0"/>
        <w:spacing w:after="0" w:line="276" w:lineRule="auto"/>
        <w:jc w:val="both"/>
        <w:rPr>
          <w:rFonts w:ascii="Arial" w:hAnsi="Arial" w:cs="Arial"/>
          <w:sz w:val="20"/>
          <w:szCs w:val="20"/>
          <w:lang w:eastAsia="sl-SI"/>
        </w:rPr>
      </w:pPr>
    </w:p>
    <w:p w14:paraId="571146F5" w14:textId="77777777" w:rsidR="00D95494" w:rsidRDefault="00B009C0" w:rsidP="00D95494">
      <w:pPr>
        <w:spacing w:after="0" w:line="276" w:lineRule="auto"/>
        <w:jc w:val="both"/>
        <w:rPr>
          <w:rFonts w:ascii="Arial" w:hAnsi="Arial" w:cs="Arial"/>
          <w:sz w:val="20"/>
          <w:szCs w:val="20"/>
          <w:lang w:eastAsia="sl-SI"/>
        </w:rPr>
      </w:pPr>
      <w:r>
        <w:rPr>
          <w:rFonts w:ascii="Arial" w:hAnsi="Arial" w:cs="Arial"/>
          <w:sz w:val="20"/>
          <w:szCs w:val="20"/>
          <w:lang w:eastAsia="sl-SI"/>
        </w:rPr>
        <w:t>MNZ</w:t>
      </w:r>
      <w:r w:rsidR="00CF25C3" w:rsidRPr="00D83239">
        <w:rPr>
          <w:rFonts w:ascii="Arial" w:hAnsi="Arial" w:cs="Arial"/>
          <w:sz w:val="20"/>
          <w:szCs w:val="20"/>
          <w:lang w:eastAsia="sl-SI"/>
        </w:rPr>
        <w:t xml:space="preserve"> je tudi v letu 2025 sodeloval</w:t>
      </w:r>
      <w:r>
        <w:rPr>
          <w:rFonts w:ascii="Arial" w:hAnsi="Arial" w:cs="Arial"/>
          <w:sz w:val="20"/>
          <w:szCs w:val="20"/>
          <w:lang w:eastAsia="sl-SI"/>
        </w:rPr>
        <w:t>o</w:t>
      </w:r>
      <w:r w:rsidR="00CF25C3" w:rsidRPr="00D83239">
        <w:rPr>
          <w:rFonts w:ascii="Arial" w:hAnsi="Arial" w:cs="Arial"/>
          <w:sz w:val="20"/>
          <w:szCs w:val="20"/>
          <w:lang w:eastAsia="sl-SI"/>
        </w:rPr>
        <w:t xml:space="preserve"> pri pisanju definicij gesel in zagotavljanju tujejezičnih ustreznikov za Kriminalistični terminološki slovar, ki nastaja pod okriljem Terminološke sekcije Inštituta za slovenski jezik Frana Ramovša ZRC SAZU v sodelovanju s Fakulteto za varnostne vede</w:t>
      </w:r>
      <w:r w:rsidR="00B01268">
        <w:rPr>
          <w:rFonts w:ascii="Arial" w:hAnsi="Arial" w:cs="Arial"/>
          <w:sz w:val="20"/>
          <w:szCs w:val="20"/>
          <w:lang w:eastAsia="sl-SI"/>
        </w:rPr>
        <w:t xml:space="preserve"> Univerze v Mariboru</w:t>
      </w:r>
      <w:r w:rsidR="00CF25C3" w:rsidRPr="00D83239">
        <w:rPr>
          <w:rFonts w:ascii="Arial" w:hAnsi="Arial" w:cs="Arial"/>
          <w:sz w:val="20"/>
          <w:szCs w:val="20"/>
          <w:lang w:eastAsia="sl-SI"/>
        </w:rPr>
        <w:t xml:space="preserve">, Policijo in Nacionalnim forenzičnim laboratorijem. </w:t>
      </w:r>
      <w:r w:rsidR="001545E9">
        <w:rPr>
          <w:rFonts w:ascii="Arial" w:hAnsi="Arial" w:cs="Arial"/>
          <w:sz w:val="20"/>
          <w:szCs w:val="20"/>
          <w:lang w:eastAsia="sl-SI"/>
        </w:rPr>
        <w:t>P</w:t>
      </w:r>
      <w:r w:rsidR="00CF25C3" w:rsidRPr="00D83239">
        <w:rPr>
          <w:rFonts w:ascii="Arial" w:hAnsi="Arial" w:cs="Arial"/>
          <w:sz w:val="20"/>
          <w:szCs w:val="20"/>
          <w:lang w:eastAsia="sl-SI"/>
        </w:rPr>
        <w:t xml:space="preserve">revajalci </w:t>
      </w:r>
      <w:r w:rsidR="001545E9">
        <w:rPr>
          <w:rFonts w:ascii="Arial" w:hAnsi="Arial" w:cs="Arial"/>
          <w:sz w:val="20"/>
          <w:szCs w:val="20"/>
          <w:lang w:eastAsia="sl-SI"/>
        </w:rPr>
        <w:t>MNZ</w:t>
      </w:r>
      <w:r w:rsidR="00CF25C3" w:rsidRPr="00D83239">
        <w:rPr>
          <w:rFonts w:ascii="Arial" w:hAnsi="Arial" w:cs="Arial"/>
          <w:sz w:val="20"/>
          <w:szCs w:val="20"/>
          <w:lang w:eastAsia="sl-SI"/>
        </w:rPr>
        <w:t xml:space="preserve"> so področni strokovnjaki za terminologijo in sodelujejo s sorodnimi službami iz evropskih institucij.</w:t>
      </w:r>
    </w:p>
    <w:p w14:paraId="4C08EAD1" w14:textId="77777777" w:rsidR="00D95494" w:rsidRDefault="00D95494" w:rsidP="00D95494">
      <w:pPr>
        <w:spacing w:after="0" w:line="276" w:lineRule="auto"/>
        <w:jc w:val="both"/>
        <w:rPr>
          <w:rFonts w:ascii="Arial" w:hAnsi="Arial" w:cs="Arial"/>
          <w:sz w:val="20"/>
          <w:szCs w:val="20"/>
          <w:lang w:eastAsia="sl-SI"/>
        </w:rPr>
      </w:pPr>
    </w:p>
    <w:p w14:paraId="58AD6F14" w14:textId="73E5A572" w:rsidR="00CF25C3" w:rsidRPr="00D83239" w:rsidRDefault="00B009C0" w:rsidP="00D95494">
      <w:pPr>
        <w:spacing w:after="0" w:line="276" w:lineRule="auto"/>
        <w:jc w:val="both"/>
        <w:rPr>
          <w:rFonts w:ascii="Arial" w:hAnsi="Arial" w:cs="Arial"/>
          <w:sz w:val="20"/>
          <w:szCs w:val="20"/>
          <w:lang w:eastAsia="sl-SI"/>
        </w:rPr>
      </w:pPr>
      <w:r w:rsidRPr="00B009C0">
        <w:rPr>
          <w:rFonts w:ascii="Arial" w:hAnsi="Arial" w:cs="Arial"/>
          <w:sz w:val="20"/>
          <w:szCs w:val="20"/>
          <w:lang w:eastAsia="sl-SI"/>
        </w:rPr>
        <w:t xml:space="preserve">Za izvajanje storitev prevajanja in konferenčnega tolmačenja za potrebe MNZ, GPU, IRSNZ ter za potrebe policijskega tolmačenja na terenu so bili sklenjeni okvirni sporazumi. MNZ je skrbnik približno 100 okvirnih sporazumov, ki se izvajajo za potrebe MNZ in organov v sestavi. Pripravljene so bile tudi strokovne podlage za predloge za nabavo in naročila za </w:t>
      </w:r>
      <w:proofErr w:type="spellStart"/>
      <w:r w:rsidRPr="00B009C0">
        <w:rPr>
          <w:rFonts w:ascii="Arial" w:hAnsi="Arial" w:cs="Arial"/>
          <w:sz w:val="20"/>
          <w:szCs w:val="20"/>
          <w:lang w:eastAsia="sl-SI"/>
        </w:rPr>
        <w:t>tolmaško</w:t>
      </w:r>
      <w:proofErr w:type="spellEnd"/>
      <w:r w:rsidRPr="00B009C0">
        <w:rPr>
          <w:rFonts w:ascii="Arial" w:hAnsi="Arial" w:cs="Arial"/>
          <w:sz w:val="20"/>
          <w:szCs w:val="20"/>
          <w:lang w:eastAsia="sl-SI"/>
        </w:rPr>
        <w:t xml:space="preserve"> opremo, serijske publikacije in nadomestno pogodbo s prevajalsko agencijo. Zagotovljene so bile tudi storitve sodnih prevodov.</w:t>
      </w:r>
      <w:r w:rsidR="00CF25C3" w:rsidRPr="00D83239">
        <w:rPr>
          <w:rFonts w:ascii="Arial" w:hAnsi="Arial" w:cs="Arial"/>
          <w:sz w:val="20"/>
          <w:szCs w:val="20"/>
          <w:lang w:eastAsia="sl-SI"/>
        </w:rPr>
        <w:t xml:space="preserve"> </w:t>
      </w:r>
    </w:p>
    <w:p w14:paraId="7EC7B8C5" w14:textId="77777777" w:rsidR="00D95494" w:rsidRDefault="00D95494" w:rsidP="00D83239">
      <w:pPr>
        <w:autoSpaceDE w:val="0"/>
        <w:autoSpaceDN w:val="0"/>
        <w:adjustRightInd w:val="0"/>
        <w:spacing w:after="0" w:line="276" w:lineRule="auto"/>
        <w:jc w:val="both"/>
        <w:rPr>
          <w:rFonts w:ascii="Arial" w:hAnsi="Arial" w:cs="Arial"/>
          <w:b/>
          <w:bCs/>
          <w:color w:val="000000"/>
          <w:sz w:val="20"/>
          <w:szCs w:val="20"/>
          <w:lang w:eastAsia="sl-SI"/>
        </w:rPr>
      </w:pPr>
    </w:p>
    <w:p w14:paraId="108B2D9B" w14:textId="0CA70717" w:rsidR="00CF25C3" w:rsidRPr="00D83239" w:rsidRDefault="00CF25C3" w:rsidP="00D83239">
      <w:pPr>
        <w:autoSpaceDE w:val="0"/>
        <w:autoSpaceDN w:val="0"/>
        <w:adjustRightInd w:val="0"/>
        <w:spacing w:after="0" w:line="276" w:lineRule="auto"/>
        <w:jc w:val="both"/>
        <w:rPr>
          <w:rFonts w:ascii="Arial" w:hAnsi="Arial" w:cs="Arial"/>
          <w:b/>
          <w:bCs/>
          <w:color w:val="000000"/>
          <w:sz w:val="20"/>
          <w:szCs w:val="20"/>
          <w:lang w:eastAsia="sl-SI"/>
        </w:rPr>
      </w:pPr>
      <w:r w:rsidRPr="00D83239">
        <w:rPr>
          <w:rFonts w:ascii="Arial" w:hAnsi="Arial" w:cs="Arial"/>
          <w:b/>
          <w:bCs/>
          <w:color w:val="000000"/>
          <w:sz w:val="20"/>
          <w:szCs w:val="20"/>
          <w:lang w:eastAsia="sl-SI"/>
        </w:rPr>
        <w:t xml:space="preserve">Izvajanje storitev specialne knjižnice: izposoja, medknjižnična izposoja, izdelava retrospektivnih poizvedb, izdelava bibliografij, inventura, redni odpis </w:t>
      </w:r>
    </w:p>
    <w:p w14:paraId="466156E5" w14:textId="743B0D00" w:rsidR="00CF25C3" w:rsidRPr="00D83239" w:rsidRDefault="00CF25C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V letu 2025 je bilo obdelanih 411 bibliografskih zapisov različnega knjižničnega gradiva. Nabav</w:t>
      </w:r>
      <w:r w:rsidR="00B009C0">
        <w:rPr>
          <w:rFonts w:ascii="Arial" w:hAnsi="Arial" w:cs="Arial"/>
          <w:color w:val="000000"/>
          <w:sz w:val="20"/>
          <w:szCs w:val="20"/>
          <w:lang w:eastAsia="sl-SI"/>
        </w:rPr>
        <w:t>ljenih je bilo</w:t>
      </w:r>
      <w:r w:rsidR="00D95494">
        <w:rPr>
          <w:rFonts w:ascii="Arial" w:hAnsi="Arial" w:cs="Arial"/>
          <w:color w:val="000000"/>
          <w:sz w:val="20"/>
          <w:szCs w:val="20"/>
          <w:lang w:eastAsia="sl-SI"/>
        </w:rPr>
        <w:t xml:space="preserve"> </w:t>
      </w:r>
      <w:r w:rsidRPr="00D83239">
        <w:rPr>
          <w:rFonts w:ascii="Arial" w:hAnsi="Arial" w:cs="Arial"/>
          <w:color w:val="000000"/>
          <w:sz w:val="20"/>
          <w:szCs w:val="20"/>
          <w:lang w:eastAsia="sl-SI"/>
        </w:rPr>
        <w:t>168 monografskih publikacij, 22 tujih in 20 slovenskih naslovov strokovnih revij. Izdelanih je bilo 14 retrospektivnih poizvedb in 36 bibliografij. Specialna knjižnica ima 648 članov.</w:t>
      </w:r>
    </w:p>
    <w:p w14:paraId="7B5213BB" w14:textId="77777777" w:rsidR="00D83239" w:rsidRDefault="00D83239" w:rsidP="00D83239">
      <w:pPr>
        <w:autoSpaceDE w:val="0"/>
        <w:autoSpaceDN w:val="0"/>
        <w:adjustRightInd w:val="0"/>
        <w:spacing w:after="0" w:line="276" w:lineRule="auto"/>
        <w:jc w:val="both"/>
        <w:rPr>
          <w:rFonts w:ascii="Arial" w:hAnsi="Arial" w:cs="Arial"/>
          <w:color w:val="000000"/>
          <w:sz w:val="20"/>
          <w:szCs w:val="20"/>
          <w:lang w:eastAsia="sl-SI"/>
        </w:rPr>
      </w:pPr>
    </w:p>
    <w:p w14:paraId="1F4F62E3" w14:textId="52C32BBC" w:rsidR="00CF25C3" w:rsidRPr="00D83239" w:rsidRDefault="00CF25C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Opravljenih je bilo 2.753 iskanj po različnih podatkovnih zbirkah in priprav</w:t>
      </w:r>
      <w:r w:rsidR="00D95494">
        <w:rPr>
          <w:rFonts w:ascii="Arial" w:hAnsi="Arial" w:cs="Arial"/>
          <w:color w:val="000000"/>
          <w:sz w:val="20"/>
          <w:szCs w:val="20"/>
          <w:lang w:eastAsia="sl-SI"/>
        </w:rPr>
        <w:t>ljenih 7.137 izpisov iz COBISS</w:t>
      </w:r>
      <w:r w:rsidRPr="00D83239">
        <w:rPr>
          <w:rFonts w:ascii="Arial" w:hAnsi="Arial" w:cs="Arial"/>
          <w:color w:val="000000"/>
          <w:sz w:val="20"/>
          <w:szCs w:val="20"/>
          <w:lang w:eastAsia="sl-SI"/>
        </w:rPr>
        <w:t>. Pos</w:t>
      </w:r>
      <w:r w:rsidR="00B01268">
        <w:rPr>
          <w:rFonts w:ascii="Arial" w:hAnsi="Arial" w:cs="Arial"/>
          <w:color w:val="000000"/>
          <w:sz w:val="20"/>
          <w:szCs w:val="20"/>
          <w:lang w:eastAsia="sl-SI"/>
        </w:rPr>
        <w:t>l</w:t>
      </w:r>
      <w:r w:rsidRPr="00D83239">
        <w:rPr>
          <w:rFonts w:ascii="Arial" w:hAnsi="Arial" w:cs="Arial"/>
          <w:color w:val="000000"/>
          <w:sz w:val="20"/>
          <w:szCs w:val="20"/>
          <w:lang w:eastAsia="sl-SI"/>
        </w:rPr>
        <w:t>anih je bilo 2.342 različnih informacij. Izposojen</w:t>
      </w:r>
      <w:r w:rsidR="00B01268">
        <w:rPr>
          <w:rFonts w:ascii="Arial" w:hAnsi="Arial" w:cs="Arial"/>
          <w:color w:val="000000"/>
          <w:sz w:val="20"/>
          <w:szCs w:val="20"/>
          <w:lang w:eastAsia="sl-SI"/>
        </w:rPr>
        <w:t>ih</w:t>
      </w:r>
      <w:r w:rsidRPr="00D83239">
        <w:rPr>
          <w:rFonts w:ascii="Arial" w:hAnsi="Arial" w:cs="Arial"/>
          <w:color w:val="000000"/>
          <w:sz w:val="20"/>
          <w:szCs w:val="20"/>
          <w:lang w:eastAsia="sl-SI"/>
        </w:rPr>
        <w:t xml:space="preserve"> je bilo 2.772 enot knjižničnega gradiva iz lastnega fonda in 13 enot prek medknjižnične izposoje.</w:t>
      </w:r>
    </w:p>
    <w:p w14:paraId="50644EF5" w14:textId="77777777" w:rsidR="00D83239" w:rsidRDefault="00D83239" w:rsidP="00D83239">
      <w:pPr>
        <w:autoSpaceDE w:val="0"/>
        <w:autoSpaceDN w:val="0"/>
        <w:adjustRightInd w:val="0"/>
        <w:spacing w:after="0" w:line="276" w:lineRule="auto"/>
        <w:jc w:val="both"/>
        <w:rPr>
          <w:rFonts w:ascii="Arial" w:hAnsi="Arial" w:cs="Arial"/>
          <w:color w:val="000000"/>
          <w:sz w:val="20"/>
          <w:szCs w:val="20"/>
          <w:lang w:eastAsia="sl-SI"/>
        </w:rPr>
      </w:pPr>
    </w:p>
    <w:p w14:paraId="4391742F" w14:textId="7AC771C3" w:rsidR="00CF25C3" w:rsidRPr="00D83239" w:rsidRDefault="00CF25C3" w:rsidP="0078067A">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 xml:space="preserve">Izveden je bil odpis uničenih in zastarelih publikacij. Opravljena je bila inventura knjižnega gradiva in pripravljeno poročilo za inventurno komisijo.  </w:t>
      </w:r>
    </w:p>
    <w:p w14:paraId="416F1919" w14:textId="42351E7B" w:rsidR="00C91C5B" w:rsidRPr="00D83239" w:rsidRDefault="00C91C5B" w:rsidP="00D83239">
      <w:pPr>
        <w:spacing w:after="0" w:line="276" w:lineRule="auto"/>
        <w:jc w:val="both"/>
        <w:rPr>
          <w:rFonts w:ascii="Arial" w:hAnsi="Arial" w:cs="Arial"/>
          <w:sz w:val="20"/>
          <w:szCs w:val="20"/>
          <w:highlight w:val="yellow"/>
          <w:lang w:eastAsia="sl-SI"/>
        </w:rPr>
      </w:pPr>
    </w:p>
    <w:p w14:paraId="2655CBFB" w14:textId="58BE719C" w:rsidR="006708DD" w:rsidRPr="00D83239" w:rsidRDefault="000B51CB" w:rsidP="00D83239">
      <w:pPr>
        <w:pStyle w:val="Naslov2"/>
        <w:spacing w:after="0" w:line="276" w:lineRule="auto"/>
        <w:jc w:val="both"/>
      </w:pPr>
      <w:bookmarkStart w:id="250" w:name="_Toc225499856"/>
      <w:r w:rsidRPr="00D83239">
        <w:t>Komuniciranje z javnostmi</w:t>
      </w:r>
      <w:bookmarkEnd w:id="250"/>
    </w:p>
    <w:p w14:paraId="353B9812" w14:textId="56F99764" w:rsidR="009A76F7" w:rsidRPr="00D83239" w:rsidRDefault="009A76F7" w:rsidP="00D83239">
      <w:pPr>
        <w:spacing w:after="0" w:line="276" w:lineRule="auto"/>
        <w:jc w:val="both"/>
        <w:rPr>
          <w:rFonts w:ascii="Arial" w:hAnsi="Arial" w:cs="Arial"/>
          <w:sz w:val="20"/>
          <w:szCs w:val="20"/>
          <w:highlight w:val="yellow"/>
          <w:lang w:eastAsia="sl-SI"/>
        </w:rPr>
      </w:pPr>
    </w:p>
    <w:p w14:paraId="66477CF7" w14:textId="1ED06FCC" w:rsidR="00CF25C3" w:rsidRPr="00D83239" w:rsidRDefault="0099648B" w:rsidP="00D83239">
      <w:pPr>
        <w:autoSpaceDE w:val="0"/>
        <w:autoSpaceDN w:val="0"/>
        <w:adjustRightInd w:val="0"/>
        <w:spacing w:after="0" w:line="276" w:lineRule="auto"/>
        <w:jc w:val="both"/>
        <w:rPr>
          <w:rFonts w:ascii="Arial" w:hAnsi="Arial" w:cs="Arial"/>
          <w:color w:val="000000"/>
          <w:sz w:val="20"/>
          <w:szCs w:val="20"/>
          <w:lang w:eastAsia="sl-SI"/>
        </w:rPr>
      </w:pPr>
      <w:r>
        <w:rPr>
          <w:rFonts w:ascii="Arial" w:hAnsi="Arial" w:cs="Arial"/>
          <w:color w:val="000000"/>
          <w:sz w:val="20"/>
          <w:szCs w:val="20"/>
          <w:lang w:eastAsia="sl-SI"/>
        </w:rPr>
        <w:t>MNZ</w:t>
      </w:r>
      <w:r w:rsidR="00CF25C3" w:rsidRPr="00D83239">
        <w:rPr>
          <w:rFonts w:ascii="Arial" w:hAnsi="Arial" w:cs="Arial"/>
          <w:color w:val="000000"/>
          <w:sz w:val="20"/>
          <w:szCs w:val="20"/>
          <w:lang w:eastAsia="sl-SI"/>
        </w:rPr>
        <w:t xml:space="preserve"> je v letu 2025 komuniciral</w:t>
      </w:r>
      <w:r>
        <w:rPr>
          <w:rFonts w:ascii="Arial" w:hAnsi="Arial" w:cs="Arial"/>
          <w:color w:val="000000"/>
          <w:sz w:val="20"/>
          <w:szCs w:val="20"/>
          <w:lang w:eastAsia="sl-SI"/>
        </w:rPr>
        <w:t>o</w:t>
      </w:r>
      <w:r w:rsidR="00CF25C3" w:rsidRPr="00D83239">
        <w:rPr>
          <w:rFonts w:ascii="Arial" w:hAnsi="Arial" w:cs="Arial"/>
          <w:color w:val="000000"/>
          <w:sz w:val="20"/>
          <w:szCs w:val="20"/>
          <w:lang w:eastAsia="sl-SI"/>
        </w:rPr>
        <w:t xml:space="preserve"> z zunanjo (domačo in tujo) </w:t>
      </w:r>
      <w:r w:rsidR="00271B75">
        <w:rPr>
          <w:rFonts w:ascii="Arial" w:hAnsi="Arial" w:cs="Arial"/>
          <w:color w:val="000000"/>
          <w:sz w:val="20"/>
          <w:szCs w:val="20"/>
          <w:lang w:eastAsia="sl-SI"/>
        </w:rPr>
        <w:t>ter</w:t>
      </w:r>
      <w:r w:rsidR="00CF25C3" w:rsidRPr="00D83239">
        <w:rPr>
          <w:rFonts w:ascii="Arial" w:hAnsi="Arial" w:cs="Arial"/>
          <w:color w:val="000000"/>
          <w:sz w:val="20"/>
          <w:szCs w:val="20"/>
          <w:lang w:eastAsia="sl-SI"/>
        </w:rPr>
        <w:t xml:space="preserve"> notranjo javnostjo o temah </w:t>
      </w:r>
      <w:r w:rsidR="00A07F47">
        <w:rPr>
          <w:rFonts w:ascii="Arial" w:hAnsi="Arial" w:cs="Arial"/>
          <w:color w:val="000000"/>
          <w:sz w:val="20"/>
          <w:szCs w:val="20"/>
          <w:lang w:eastAsia="sl-SI"/>
        </w:rPr>
        <w:t>s svojega</w:t>
      </w:r>
      <w:r w:rsidR="00271B75">
        <w:rPr>
          <w:rFonts w:ascii="Arial" w:hAnsi="Arial" w:cs="Arial"/>
          <w:color w:val="000000"/>
          <w:sz w:val="20"/>
          <w:szCs w:val="20"/>
          <w:lang w:eastAsia="sl-SI"/>
        </w:rPr>
        <w:t xml:space="preserve"> </w:t>
      </w:r>
      <w:r w:rsidR="00CF25C3" w:rsidRPr="00D83239">
        <w:rPr>
          <w:rFonts w:ascii="Arial" w:hAnsi="Arial" w:cs="Arial"/>
          <w:color w:val="000000"/>
          <w:sz w:val="20"/>
          <w:szCs w:val="20"/>
          <w:lang w:eastAsia="sl-SI"/>
        </w:rPr>
        <w:t>delovnega področja. Obveščanje je potekalo v okviru ustaljenih oblik komuniciranja, kot so sporočila za javnost, novinarske konference, izjave za javnost, odgovori na vprašanja novinarjev in občanov. P</w:t>
      </w:r>
      <w:r w:rsidR="008F4E76">
        <w:rPr>
          <w:rFonts w:ascii="Arial" w:hAnsi="Arial" w:cs="Arial"/>
          <w:color w:val="000000"/>
          <w:sz w:val="20"/>
          <w:szCs w:val="20"/>
          <w:lang w:eastAsia="sl-SI"/>
        </w:rPr>
        <w:t>oleg tega</w:t>
      </w:r>
      <w:r w:rsidR="00CF25C3" w:rsidRPr="00D83239">
        <w:rPr>
          <w:rFonts w:ascii="Arial" w:hAnsi="Arial" w:cs="Arial"/>
          <w:color w:val="000000"/>
          <w:sz w:val="20"/>
          <w:szCs w:val="20"/>
          <w:lang w:eastAsia="sl-SI"/>
        </w:rPr>
        <w:t xml:space="preserve"> </w:t>
      </w:r>
      <w:r>
        <w:rPr>
          <w:rFonts w:ascii="Arial" w:hAnsi="Arial" w:cs="Arial"/>
          <w:color w:val="000000"/>
          <w:sz w:val="20"/>
          <w:szCs w:val="20"/>
          <w:lang w:eastAsia="sl-SI"/>
        </w:rPr>
        <w:t>je MNZ</w:t>
      </w:r>
      <w:r w:rsidR="00CF25C3" w:rsidRPr="00D83239">
        <w:rPr>
          <w:rFonts w:ascii="Arial" w:hAnsi="Arial" w:cs="Arial"/>
          <w:color w:val="000000"/>
          <w:sz w:val="20"/>
          <w:szCs w:val="20"/>
          <w:lang w:eastAsia="sl-SI"/>
        </w:rPr>
        <w:t xml:space="preserve"> skrbe</w:t>
      </w:r>
      <w:r>
        <w:rPr>
          <w:rFonts w:ascii="Arial" w:hAnsi="Arial" w:cs="Arial"/>
          <w:color w:val="000000"/>
          <w:sz w:val="20"/>
          <w:szCs w:val="20"/>
          <w:lang w:eastAsia="sl-SI"/>
        </w:rPr>
        <w:t>l</w:t>
      </w:r>
      <w:r w:rsidR="00271B75">
        <w:rPr>
          <w:rFonts w:ascii="Arial" w:hAnsi="Arial" w:cs="Arial"/>
          <w:color w:val="000000"/>
          <w:sz w:val="20"/>
          <w:szCs w:val="20"/>
          <w:lang w:eastAsia="sl-SI"/>
        </w:rPr>
        <w:t>o</w:t>
      </w:r>
      <w:r w:rsidR="00CF25C3" w:rsidRPr="00D83239">
        <w:rPr>
          <w:rFonts w:ascii="Arial" w:hAnsi="Arial" w:cs="Arial"/>
          <w:color w:val="000000"/>
          <w:sz w:val="20"/>
          <w:szCs w:val="20"/>
          <w:lang w:eastAsia="sl-SI"/>
        </w:rPr>
        <w:t xml:space="preserve"> za pripravo in objavljanje novic na </w:t>
      </w:r>
      <w:r>
        <w:rPr>
          <w:rFonts w:ascii="Arial" w:hAnsi="Arial" w:cs="Arial"/>
          <w:color w:val="000000"/>
          <w:sz w:val="20"/>
          <w:szCs w:val="20"/>
          <w:lang w:eastAsia="sl-SI"/>
        </w:rPr>
        <w:t xml:space="preserve">svoji </w:t>
      </w:r>
      <w:r w:rsidR="00CF25C3" w:rsidRPr="00D83239">
        <w:rPr>
          <w:rFonts w:ascii="Arial" w:hAnsi="Arial" w:cs="Arial"/>
          <w:color w:val="000000"/>
          <w:sz w:val="20"/>
          <w:szCs w:val="20"/>
          <w:lang w:eastAsia="sl-SI"/>
        </w:rPr>
        <w:t xml:space="preserve">spletni strani, intranetu in družbenih omrežjih. Dnevno so </w:t>
      </w:r>
      <w:r w:rsidR="00271B75">
        <w:rPr>
          <w:rFonts w:ascii="Arial" w:hAnsi="Arial" w:cs="Arial"/>
          <w:color w:val="000000"/>
          <w:sz w:val="20"/>
          <w:szCs w:val="20"/>
          <w:lang w:eastAsia="sl-SI"/>
        </w:rPr>
        <w:t xml:space="preserve">se </w:t>
      </w:r>
      <w:r w:rsidR="00CF25C3" w:rsidRPr="00D83239">
        <w:rPr>
          <w:rFonts w:ascii="Arial" w:hAnsi="Arial" w:cs="Arial"/>
          <w:color w:val="000000"/>
          <w:sz w:val="20"/>
          <w:szCs w:val="20"/>
          <w:lang w:eastAsia="sl-SI"/>
        </w:rPr>
        <w:t>spremljali odziv</w:t>
      </w:r>
      <w:r w:rsidR="00271B75">
        <w:rPr>
          <w:rFonts w:ascii="Arial" w:hAnsi="Arial" w:cs="Arial"/>
          <w:color w:val="000000"/>
          <w:sz w:val="20"/>
          <w:szCs w:val="20"/>
          <w:lang w:eastAsia="sl-SI"/>
        </w:rPr>
        <w:t>i</w:t>
      </w:r>
      <w:r w:rsidR="00CF25C3" w:rsidRPr="00D83239">
        <w:rPr>
          <w:rFonts w:ascii="Arial" w:hAnsi="Arial" w:cs="Arial"/>
          <w:color w:val="000000"/>
          <w:sz w:val="20"/>
          <w:szCs w:val="20"/>
          <w:lang w:eastAsia="sl-SI"/>
        </w:rPr>
        <w:t xml:space="preserve"> domačih in tujih medijev, odziv</w:t>
      </w:r>
      <w:r w:rsidR="00271B75">
        <w:rPr>
          <w:rFonts w:ascii="Arial" w:hAnsi="Arial" w:cs="Arial"/>
          <w:color w:val="000000"/>
          <w:sz w:val="20"/>
          <w:szCs w:val="20"/>
          <w:lang w:eastAsia="sl-SI"/>
        </w:rPr>
        <w:t>i</w:t>
      </w:r>
      <w:r w:rsidR="00CF25C3" w:rsidRPr="00D83239">
        <w:rPr>
          <w:rFonts w:ascii="Arial" w:hAnsi="Arial" w:cs="Arial"/>
          <w:color w:val="000000"/>
          <w:sz w:val="20"/>
          <w:szCs w:val="20"/>
          <w:lang w:eastAsia="sl-SI"/>
        </w:rPr>
        <w:t xml:space="preserve"> na družbenih omrežjih ter pripravljal</w:t>
      </w:r>
      <w:r w:rsidR="00271B75">
        <w:rPr>
          <w:rFonts w:ascii="Arial" w:hAnsi="Arial" w:cs="Arial"/>
          <w:color w:val="000000"/>
          <w:sz w:val="20"/>
          <w:szCs w:val="20"/>
          <w:lang w:eastAsia="sl-SI"/>
        </w:rPr>
        <w:t>e</w:t>
      </w:r>
      <w:r w:rsidR="00CF25C3" w:rsidRPr="00D83239">
        <w:rPr>
          <w:rFonts w:ascii="Arial" w:hAnsi="Arial" w:cs="Arial"/>
          <w:color w:val="000000"/>
          <w:sz w:val="20"/>
          <w:szCs w:val="20"/>
          <w:lang w:eastAsia="sl-SI"/>
        </w:rPr>
        <w:t xml:space="preserve"> in izvajal</w:t>
      </w:r>
      <w:r w:rsidR="00271B75">
        <w:rPr>
          <w:rFonts w:ascii="Arial" w:hAnsi="Arial" w:cs="Arial"/>
          <w:color w:val="000000"/>
          <w:sz w:val="20"/>
          <w:szCs w:val="20"/>
          <w:lang w:eastAsia="sl-SI"/>
        </w:rPr>
        <w:t>e</w:t>
      </w:r>
      <w:r w:rsidR="00CF25C3" w:rsidRPr="00D83239">
        <w:rPr>
          <w:rFonts w:ascii="Arial" w:hAnsi="Arial" w:cs="Arial"/>
          <w:color w:val="000000"/>
          <w:sz w:val="20"/>
          <w:szCs w:val="20"/>
          <w:lang w:eastAsia="sl-SI"/>
        </w:rPr>
        <w:t xml:space="preserve"> medijske dejavnosti. </w:t>
      </w:r>
      <w:r>
        <w:rPr>
          <w:rFonts w:ascii="Arial" w:hAnsi="Arial" w:cs="Arial"/>
          <w:color w:val="000000"/>
          <w:sz w:val="20"/>
          <w:szCs w:val="20"/>
          <w:lang w:eastAsia="sl-SI"/>
        </w:rPr>
        <w:t>Zagotovljen</w:t>
      </w:r>
      <w:r w:rsidR="00271B75">
        <w:rPr>
          <w:rFonts w:ascii="Arial" w:hAnsi="Arial" w:cs="Arial"/>
          <w:color w:val="000000"/>
          <w:sz w:val="20"/>
          <w:szCs w:val="20"/>
          <w:lang w:eastAsia="sl-SI"/>
        </w:rPr>
        <w:t>e</w:t>
      </w:r>
      <w:r>
        <w:rPr>
          <w:rFonts w:ascii="Arial" w:hAnsi="Arial" w:cs="Arial"/>
          <w:color w:val="000000"/>
          <w:sz w:val="20"/>
          <w:szCs w:val="20"/>
          <w:lang w:eastAsia="sl-SI"/>
        </w:rPr>
        <w:t xml:space="preserve"> s</w:t>
      </w:r>
      <w:r w:rsidR="00271B75">
        <w:rPr>
          <w:rFonts w:ascii="Arial" w:hAnsi="Arial" w:cs="Arial"/>
          <w:color w:val="000000"/>
          <w:sz w:val="20"/>
          <w:szCs w:val="20"/>
          <w:lang w:eastAsia="sl-SI"/>
        </w:rPr>
        <w:t>o</w:t>
      </w:r>
      <w:r>
        <w:rPr>
          <w:rFonts w:ascii="Arial" w:hAnsi="Arial" w:cs="Arial"/>
          <w:color w:val="000000"/>
          <w:sz w:val="20"/>
          <w:szCs w:val="20"/>
          <w:lang w:eastAsia="sl-SI"/>
        </w:rPr>
        <w:t xml:space="preserve"> bil</w:t>
      </w:r>
      <w:r w:rsidR="00271B75">
        <w:rPr>
          <w:rFonts w:ascii="Arial" w:hAnsi="Arial" w:cs="Arial"/>
          <w:color w:val="000000"/>
          <w:sz w:val="20"/>
          <w:szCs w:val="20"/>
          <w:lang w:eastAsia="sl-SI"/>
        </w:rPr>
        <w:t>e</w:t>
      </w:r>
      <w:r>
        <w:rPr>
          <w:rFonts w:ascii="Arial" w:hAnsi="Arial" w:cs="Arial"/>
          <w:color w:val="000000"/>
          <w:sz w:val="20"/>
          <w:szCs w:val="20"/>
          <w:lang w:eastAsia="sl-SI"/>
        </w:rPr>
        <w:t xml:space="preserve"> tudi</w:t>
      </w:r>
      <w:r w:rsidR="00271B75">
        <w:rPr>
          <w:rFonts w:ascii="Arial" w:hAnsi="Arial" w:cs="Arial"/>
          <w:color w:val="000000"/>
          <w:sz w:val="20"/>
          <w:szCs w:val="20"/>
          <w:lang w:eastAsia="sl-SI"/>
        </w:rPr>
        <w:t xml:space="preserve"> </w:t>
      </w:r>
      <w:r w:rsidR="00CF25C3" w:rsidRPr="00D83239">
        <w:rPr>
          <w:rFonts w:ascii="Arial" w:hAnsi="Arial" w:cs="Arial"/>
          <w:color w:val="000000"/>
          <w:sz w:val="20"/>
          <w:szCs w:val="20"/>
          <w:lang w:eastAsia="sl-SI"/>
        </w:rPr>
        <w:t>komunikacijsk</w:t>
      </w:r>
      <w:r>
        <w:rPr>
          <w:rFonts w:ascii="Arial" w:hAnsi="Arial" w:cs="Arial"/>
          <w:color w:val="000000"/>
          <w:sz w:val="20"/>
          <w:szCs w:val="20"/>
          <w:lang w:eastAsia="sl-SI"/>
        </w:rPr>
        <w:t>a</w:t>
      </w:r>
      <w:r w:rsidR="00CF25C3" w:rsidRPr="00D83239">
        <w:rPr>
          <w:rFonts w:ascii="Arial" w:hAnsi="Arial" w:cs="Arial"/>
          <w:color w:val="000000"/>
          <w:sz w:val="20"/>
          <w:szCs w:val="20"/>
          <w:lang w:eastAsia="sl-SI"/>
        </w:rPr>
        <w:t xml:space="preserve"> podpor</w:t>
      </w:r>
      <w:r>
        <w:rPr>
          <w:rFonts w:ascii="Arial" w:hAnsi="Arial" w:cs="Arial"/>
          <w:color w:val="000000"/>
          <w:sz w:val="20"/>
          <w:szCs w:val="20"/>
          <w:lang w:eastAsia="sl-SI"/>
        </w:rPr>
        <w:t>a</w:t>
      </w:r>
      <w:r w:rsidR="00CF25C3" w:rsidRPr="00D83239">
        <w:rPr>
          <w:rFonts w:ascii="Arial" w:hAnsi="Arial" w:cs="Arial"/>
          <w:color w:val="000000"/>
          <w:sz w:val="20"/>
          <w:szCs w:val="20"/>
          <w:lang w:eastAsia="sl-SI"/>
        </w:rPr>
        <w:t xml:space="preserve"> dejavnostim vseh organizacijskih enot MNZ in IRSNZ</w:t>
      </w:r>
      <w:r w:rsidR="00D1088E">
        <w:rPr>
          <w:rFonts w:ascii="Arial" w:hAnsi="Arial" w:cs="Arial"/>
          <w:color w:val="000000"/>
          <w:sz w:val="20"/>
          <w:szCs w:val="20"/>
          <w:lang w:eastAsia="sl-SI"/>
        </w:rPr>
        <w:t xml:space="preserve"> </w:t>
      </w:r>
      <w:r w:rsidR="001545E9">
        <w:rPr>
          <w:rFonts w:ascii="Arial" w:hAnsi="Arial" w:cs="Arial"/>
          <w:color w:val="000000"/>
          <w:sz w:val="20"/>
          <w:szCs w:val="20"/>
          <w:lang w:eastAsia="sl-SI"/>
        </w:rPr>
        <w:t>ter</w:t>
      </w:r>
      <w:r w:rsidR="00CF25C3" w:rsidRPr="00D83239">
        <w:rPr>
          <w:rFonts w:ascii="Arial" w:hAnsi="Arial" w:cs="Arial"/>
          <w:color w:val="000000"/>
          <w:sz w:val="20"/>
          <w:szCs w:val="20"/>
          <w:lang w:eastAsia="sl-SI"/>
        </w:rPr>
        <w:t xml:space="preserve"> organizacij</w:t>
      </w:r>
      <w:r>
        <w:rPr>
          <w:rFonts w:ascii="Arial" w:hAnsi="Arial" w:cs="Arial"/>
          <w:color w:val="000000"/>
          <w:sz w:val="20"/>
          <w:szCs w:val="20"/>
          <w:lang w:eastAsia="sl-SI"/>
        </w:rPr>
        <w:t>a</w:t>
      </w:r>
      <w:r w:rsidR="00271B75">
        <w:rPr>
          <w:rFonts w:ascii="Arial" w:hAnsi="Arial" w:cs="Arial"/>
          <w:color w:val="000000"/>
          <w:sz w:val="20"/>
          <w:szCs w:val="20"/>
          <w:lang w:eastAsia="sl-SI"/>
        </w:rPr>
        <w:t xml:space="preserve"> </w:t>
      </w:r>
      <w:r w:rsidR="001545E9">
        <w:rPr>
          <w:rFonts w:ascii="Arial" w:hAnsi="Arial" w:cs="Arial"/>
          <w:color w:val="000000"/>
          <w:sz w:val="20"/>
          <w:szCs w:val="20"/>
          <w:lang w:eastAsia="sl-SI"/>
        </w:rPr>
        <w:t>in</w:t>
      </w:r>
      <w:r w:rsidR="00CF25C3" w:rsidRPr="00D83239">
        <w:rPr>
          <w:rFonts w:ascii="Arial" w:hAnsi="Arial" w:cs="Arial"/>
          <w:color w:val="000000"/>
          <w:sz w:val="20"/>
          <w:szCs w:val="20"/>
          <w:lang w:eastAsia="sl-SI"/>
        </w:rPr>
        <w:t xml:space="preserve"> izvedb</w:t>
      </w:r>
      <w:r w:rsidR="00271B75">
        <w:rPr>
          <w:rFonts w:ascii="Arial" w:hAnsi="Arial" w:cs="Arial"/>
          <w:color w:val="000000"/>
          <w:sz w:val="20"/>
          <w:szCs w:val="20"/>
          <w:lang w:eastAsia="sl-SI"/>
        </w:rPr>
        <w:t>a</w:t>
      </w:r>
      <w:r w:rsidR="00CF25C3" w:rsidRPr="00D83239">
        <w:rPr>
          <w:rFonts w:ascii="Arial" w:hAnsi="Arial" w:cs="Arial"/>
          <w:color w:val="000000"/>
          <w:sz w:val="20"/>
          <w:szCs w:val="20"/>
          <w:lang w:eastAsia="sl-SI"/>
        </w:rPr>
        <w:t xml:space="preserve"> protokolarnih in drugih dogodkov (na primer posvetov, konferenc in podobno). </w:t>
      </w:r>
    </w:p>
    <w:p w14:paraId="5F91FD59" w14:textId="77777777" w:rsidR="00CF25C3" w:rsidRPr="00D83239" w:rsidRDefault="00CF25C3" w:rsidP="00D83239">
      <w:pPr>
        <w:autoSpaceDE w:val="0"/>
        <w:autoSpaceDN w:val="0"/>
        <w:adjustRightInd w:val="0"/>
        <w:spacing w:after="0" w:line="276" w:lineRule="auto"/>
        <w:jc w:val="both"/>
        <w:rPr>
          <w:rFonts w:ascii="Arial" w:hAnsi="Arial" w:cs="Arial"/>
          <w:color w:val="000000"/>
          <w:sz w:val="20"/>
          <w:szCs w:val="20"/>
          <w:lang w:eastAsia="sl-SI"/>
        </w:rPr>
      </w:pPr>
    </w:p>
    <w:p w14:paraId="7EB13591" w14:textId="77777777" w:rsidR="00CF25C3" w:rsidRPr="00D83239" w:rsidRDefault="00CF25C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Pri komuniciranju z zunanjo in notranjo javnostjo so v letu 2025 najbolj izstopala naslednja delovna področja MNZ: migracije, tujska zakonodaja, vzpostavitev ponovnega začasnega nadzora na notranji schengenski meji s Hrvaško in Madžarsko ter nadzori nad delom policije in izdane usmeritve. Posebna pozornost je bila namenjena komunikacijskim dejavnostim o romski tematiki in obravnavi vseh vrst nasilja.</w:t>
      </w:r>
    </w:p>
    <w:p w14:paraId="6F60EDA4" w14:textId="77777777" w:rsidR="00CF25C3" w:rsidRPr="00D83239" w:rsidRDefault="00CF25C3" w:rsidP="00D83239">
      <w:pPr>
        <w:autoSpaceDE w:val="0"/>
        <w:autoSpaceDN w:val="0"/>
        <w:adjustRightInd w:val="0"/>
        <w:spacing w:after="0" w:line="276" w:lineRule="auto"/>
        <w:jc w:val="both"/>
        <w:rPr>
          <w:rFonts w:ascii="Arial" w:hAnsi="Arial" w:cs="Arial"/>
          <w:color w:val="000000"/>
          <w:sz w:val="20"/>
          <w:szCs w:val="20"/>
          <w:lang w:eastAsia="sl-SI"/>
        </w:rPr>
      </w:pPr>
    </w:p>
    <w:p w14:paraId="7489910E" w14:textId="370DCEE4" w:rsidR="00CF25C3" w:rsidRPr="00D83239" w:rsidRDefault="00CF25C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 xml:space="preserve">Ključni cilj </w:t>
      </w:r>
      <w:r w:rsidR="00D1088E">
        <w:rPr>
          <w:rFonts w:ascii="Arial" w:hAnsi="Arial" w:cs="Arial"/>
          <w:color w:val="000000"/>
          <w:sz w:val="20"/>
          <w:szCs w:val="20"/>
          <w:lang w:eastAsia="sl-SI"/>
        </w:rPr>
        <w:t>na področju komuniciranja z javnostmi</w:t>
      </w:r>
      <w:r w:rsidR="00271B75">
        <w:rPr>
          <w:rFonts w:ascii="Arial" w:hAnsi="Arial" w:cs="Arial"/>
          <w:color w:val="000000"/>
          <w:sz w:val="20"/>
          <w:szCs w:val="20"/>
          <w:lang w:eastAsia="sl-SI"/>
        </w:rPr>
        <w:t xml:space="preserve"> </w:t>
      </w:r>
      <w:r w:rsidRPr="00D83239">
        <w:rPr>
          <w:rFonts w:ascii="Arial" w:hAnsi="Arial" w:cs="Arial"/>
          <w:color w:val="000000"/>
          <w:sz w:val="20"/>
          <w:szCs w:val="20"/>
          <w:lang w:eastAsia="sl-SI"/>
        </w:rPr>
        <w:t>je bil tudi v letu 2025 zagotoviti pravočasno, celovito in jasno komuniciranje o delu in novostih z delovnega področja MNZ.</w:t>
      </w:r>
    </w:p>
    <w:p w14:paraId="5C8EB641" w14:textId="77777777" w:rsidR="00CF25C3" w:rsidRPr="00D83239" w:rsidRDefault="00CF25C3" w:rsidP="00D83239">
      <w:pPr>
        <w:autoSpaceDE w:val="0"/>
        <w:autoSpaceDN w:val="0"/>
        <w:adjustRightInd w:val="0"/>
        <w:spacing w:after="0" w:line="276" w:lineRule="auto"/>
        <w:jc w:val="both"/>
        <w:rPr>
          <w:rFonts w:ascii="Arial" w:hAnsi="Arial" w:cs="Arial"/>
          <w:color w:val="000000"/>
          <w:sz w:val="20"/>
          <w:szCs w:val="20"/>
          <w:lang w:eastAsia="sl-SI"/>
        </w:rPr>
      </w:pPr>
    </w:p>
    <w:p w14:paraId="69F2B24E" w14:textId="77777777" w:rsidR="00CF25C3" w:rsidRPr="00D83239" w:rsidRDefault="00CF25C3" w:rsidP="00D83239">
      <w:pPr>
        <w:autoSpaceDE w:val="0"/>
        <w:autoSpaceDN w:val="0"/>
        <w:adjustRightInd w:val="0"/>
        <w:spacing w:after="0" w:line="276" w:lineRule="auto"/>
        <w:jc w:val="both"/>
        <w:rPr>
          <w:rFonts w:ascii="Arial" w:hAnsi="Arial" w:cs="Arial"/>
          <w:color w:val="000000"/>
          <w:sz w:val="20"/>
          <w:szCs w:val="20"/>
          <w:lang w:eastAsia="sl-SI"/>
        </w:rPr>
      </w:pPr>
      <w:r w:rsidRPr="00D83239">
        <w:rPr>
          <w:rFonts w:ascii="Arial" w:hAnsi="Arial" w:cs="Arial"/>
          <w:color w:val="000000"/>
          <w:sz w:val="20"/>
          <w:szCs w:val="20"/>
          <w:lang w:eastAsia="sl-SI"/>
        </w:rPr>
        <w:t>Statistični podatki ključnih nalog SOJ v letu 2025:</w:t>
      </w:r>
    </w:p>
    <w:p w14:paraId="1EAF3A3F" w14:textId="0D0AACB3" w:rsidR="00CF25C3" w:rsidRPr="00D83239" w:rsidRDefault="00CF25C3" w:rsidP="00FE543C">
      <w:pPr>
        <w:pStyle w:val="Odstavekseznama"/>
        <w:numPr>
          <w:ilvl w:val="0"/>
          <w:numId w:val="31"/>
        </w:numPr>
        <w:autoSpaceDE w:val="0"/>
        <w:autoSpaceDN w:val="0"/>
        <w:adjustRightInd w:val="0"/>
        <w:spacing w:after="0"/>
        <w:jc w:val="both"/>
        <w:rPr>
          <w:rFonts w:ascii="Arial" w:hAnsi="Arial" w:cs="Arial"/>
          <w:color w:val="000000"/>
          <w:sz w:val="20"/>
          <w:szCs w:val="20"/>
          <w:lang w:eastAsia="sl-SI"/>
        </w:rPr>
      </w:pPr>
      <w:r w:rsidRPr="00D83239">
        <w:rPr>
          <w:rFonts w:ascii="Arial" w:hAnsi="Arial" w:cs="Arial"/>
          <w:color w:val="000000"/>
          <w:sz w:val="20"/>
          <w:szCs w:val="20"/>
          <w:lang w:eastAsia="sl-SI"/>
        </w:rPr>
        <w:t>tedenske napovedi in komunikacijski načrti: 36,</w:t>
      </w:r>
    </w:p>
    <w:p w14:paraId="435A498B" w14:textId="447CD928" w:rsidR="00CF25C3" w:rsidRPr="00D83239" w:rsidRDefault="00CF25C3" w:rsidP="00FE543C">
      <w:pPr>
        <w:pStyle w:val="Odstavekseznama"/>
        <w:numPr>
          <w:ilvl w:val="0"/>
          <w:numId w:val="31"/>
        </w:numPr>
        <w:autoSpaceDE w:val="0"/>
        <w:autoSpaceDN w:val="0"/>
        <w:adjustRightInd w:val="0"/>
        <w:spacing w:after="0"/>
        <w:jc w:val="both"/>
        <w:rPr>
          <w:rFonts w:ascii="Arial" w:hAnsi="Arial" w:cs="Arial"/>
          <w:color w:val="000000"/>
          <w:sz w:val="20"/>
          <w:szCs w:val="20"/>
          <w:lang w:eastAsia="sl-SI"/>
        </w:rPr>
      </w:pPr>
      <w:r w:rsidRPr="00D83239">
        <w:rPr>
          <w:rFonts w:ascii="Arial" w:hAnsi="Arial" w:cs="Arial"/>
          <w:color w:val="000000"/>
          <w:sz w:val="20"/>
          <w:szCs w:val="20"/>
          <w:lang w:eastAsia="sl-SI"/>
        </w:rPr>
        <w:t>sporočila za javnost in objave novic na spletni strani, vabila medijem: 395,</w:t>
      </w:r>
    </w:p>
    <w:p w14:paraId="79C43E59" w14:textId="5634C894" w:rsidR="00CF25C3" w:rsidRPr="00D83239" w:rsidRDefault="00CF25C3" w:rsidP="00FE543C">
      <w:pPr>
        <w:pStyle w:val="Odstavekseznama"/>
        <w:numPr>
          <w:ilvl w:val="0"/>
          <w:numId w:val="31"/>
        </w:numPr>
        <w:autoSpaceDE w:val="0"/>
        <w:autoSpaceDN w:val="0"/>
        <w:adjustRightInd w:val="0"/>
        <w:spacing w:after="0"/>
        <w:jc w:val="both"/>
        <w:rPr>
          <w:rFonts w:ascii="Arial" w:hAnsi="Arial" w:cs="Arial"/>
          <w:color w:val="000000"/>
          <w:sz w:val="20"/>
          <w:szCs w:val="20"/>
          <w:lang w:eastAsia="sl-SI"/>
        </w:rPr>
      </w:pPr>
      <w:r w:rsidRPr="00D83239">
        <w:rPr>
          <w:rFonts w:ascii="Arial" w:hAnsi="Arial" w:cs="Arial"/>
          <w:color w:val="000000"/>
          <w:sz w:val="20"/>
          <w:szCs w:val="20"/>
          <w:lang w:eastAsia="sl-SI"/>
        </w:rPr>
        <w:t>objave na družbenih omrežjih (Facebook in X): 741,</w:t>
      </w:r>
    </w:p>
    <w:p w14:paraId="7898C8E6" w14:textId="40438C63" w:rsidR="00CF25C3" w:rsidRPr="00D83239" w:rsidRDefault="00CF25C3" w:rsidP="00FE543C">
      <w:pPr>
        <w:pStyle w:val="Odstavekseznama"/>
        <w:numPr>
          <w:ilvl w:val="0"/>
          <w:numId w:val="31"/>
        </w:numPr>
        <w:autoSpaceDE w:val="0"/>
        <w:autoSpaceDN w:val="0"/>
        <w:adjustRightInd w:val="0"/>
        <w:spacing w:after="0"/>
        <w:jc w:val="both"/>
        <w:rPr>
          <w:rFonts w:ascii="Arial" w:hAnsi="Arial" w:cs="Arial"/>
          <w:color w:val="000000"/>
          <w:sz w:val="20"/>
          <w:szCs w:val="20"/>
          <w:lang w:eastAsia="sl-SI"/>
        </w:rPr>
      </w:pPr>
      <w:r w:rsidRPr="00D83239">
        <w:rPr>
          <w:rFonts w:ascii="Arial" w:hAnsi="Arial" w:cs="Arial"/>
          <w:color w:val="000000"/>
          <w:sz w:val="20"/>
          <w:szCs w:val="20"/>
          <w:lang w:eastAsia="sl-SI"/>
        </w:rPr>
        <w:t>odgovori na novinarska vprašanja, popravki, intervjuji: 671,</w:t>
      </w:r>
    </w:p>
    <w:p w14:paraId="3923204C" w14:textId="65AB20E8" w:rsidR="00D83239" w:rsidRPr="00D83239" w:rsidRDefault="00CF25C3" w:rsidP="00FE543C">
      <w:pPr>
        <w:pStyle w:val="Odstavekseznama"/>
        <w:numPr>
          <w:ilvl w:val="0"/>
          <w:numId w:val="31"/>
        </w:numPr>
        <w:autoSpaceDE w:val="0"/>
        <w:autoSpaceDN w:val="0"/>
        <w:adjustRightInd w:val="0"/>
        <w:spacing w:after="0"/>
        <w:jc w:val="both"/>
        <w:rPr>
          <w:rFonts w:ascii="Arial" w:hAnsi="Arial" w:cs="Arial"/>
          <w:color w:val="000000"/>
          <w:sz w:val="20"/>
          <w:szCs w:val="20"/>
          <w:lang w:eastAsia="sl-SI"/>
        </w:rPr>
      </w:pPr>
      <w:r w:rsidRPr="00D83239">
        <w:rPr>
          <w:rFonts w:ascii="Arial" w:hAnsi="Arial" w:cs="Arial"/>
          <w:color w:val="000000"/>
          <w:sz w:val="20"/>
          <w:szCs w:val="20"/>
          <w:lang w:eastAsia="sl-SI"/>
        </w:rPr>
        <w:t>odgovori na vprašanja občanov (</w:t>
      </w:r>
      <w:r w:rsidR="00D83239" w:rsidRPr="00D83239">
        <w:rPr>
          <w:rFonts w:ascii="Arial" w:hAnsi="Arial" w:cs="Arial"/>
          <w:color w:val="000000"/>
          <w:sz w:val="20"/>
          <w:szCs w:val="20"/>
          <w:lang w:eastAsia="sl-SI"/>
        </w:rPr>
        <w:t>e-pošta, družbena omrežja): 63,</w:t>
      </w:r>
    </w:p>
    <w:p w14:paraId="72543778" w14:textId="22C9F75B" w:rsidR="00CF25C3" w:rsidRPr="00D83239" w:rsidRDefault="00CF25C3" w:rsidP="00FE543C">
      <w:pPr>
        <w:pStyle w:val="Odstavekseznama"/>
        <w:numPr>
          <w:ilvl w:val="0"/>
          <w:numId w:val="31"/>
        </w:numPr>
        <w:autoSpaceDE w:val="0"/>
        <w:autoSpaceDN w:val="0"/>
        <w:adjustRightInd w:val="0"/>
        <w:spacing w:after="0"/>
        <w:jc w:val="both"/>
        <w:rPr>
          <w:rFonts w:ascii="Arial" w:hAnsi="Arial" w:cs="Arial"/>
          <w:color w:val="000000"/>
          <w:sz w:val="20"/>
          <w:szCs w:val="20"/>
          <w:lang w:eastAsia="sl-SI"/>
        </w:rPr>
      </w:pPr>
      <w:r w:rsidRPr="00D83239">
        <w:rPr>
          <w:rFonts w:ascii="Arial" w:hAnsi="Arial" w:cs="Arial"/>
          <w:color w:val="000000"/>
          <w:sz w:val="20"/>
          <w:szCs w:val="20"/>
          <w:lang w:eastAsia="sl-SI"/>
        </w:rPr>
        <w:t>govori, poslanice, zahvale, voščila: 47.</w:t>
      </w:r>
    </w:p>
    <w:p w14:paraId="619E381E" w14:textId="46DEAB86" w:rsidR="009A76F7" w:rsidRPr="00D83239" w:rsidRDefault="009A76F7" w:rsidP="00D83239">
      <w:pPr>
        <w:spacing w:after="0" w:line="276" w:lineRule="auto"/>
        <w:jc w:val="both"/>
        <w:rPr>
          <w:rFonts w:ascii="Arial" w:hAnsi="Arial" w:cs="Arial"/>
          <w:sz w:val="20"/>
          <w:szCs w:val="20"/>
          <w:lang w:eastAsia="sl-SI"/>
        </w:rPr>
      </w:pPr>
    </w:p>
    <w:p w14:paraId="74185BC3" w14:textId="03D96434" w:rsidR="00310F1D" w:rsidRPr="00D83239" w:rsidRDefault="009B17EC" w:rsidP="00D83239">
      <w:pPr>
        <w:pStyle w:val="Naslov1"/>
        <w:spacing w:after="0" w:line="276" w:lineRule="auto"/>
        <w:jc w:val="both"/>
        <w:rPr>
          <w:color w:val="auto"/>
        </w:rPr>
      </w:pPr>
      <w:bookmarkStart w:id="251" w:name="_Toc225499857"/>
      <w:bookmarkEnd w:id="247"/>
      <w:bookmarkEnd w:id="248"/>
      <w:bookmarkEnd w:id="249"/>
      <w:r w:rsidRPr="00D83239">
        <w:rPr>
          <w:color w:val="auto"/>
        </w:rPr>
        <w:t>Projekti, namenjeni večji učinkovitosti dela M</w:t>
      </w:r>
      <w:r w:rsidR="003E68AE" w:rsidRPr="00D83239">
        <w:rPr>
          <w:color w:val="auto"/>
        </w:rPr>
        <w:t>inistrstva za notranje zadeve</w:t>
      </w:r>
      <w:bookmarkEnd w:id="251"/>
    </w:p>
    <w:p w14:paraId="1EB43B44" w14:textId="77777777" w:rsidR="00BA1F48" w:rsidRPr="00D83239" w:rsidRDefault="00BA1F48" w:rsidP="00D83239">
      <w:pPr>
        <w:spacing w:after="0" w:line="276" w:lineRule="auto"/>
        <w:jc w:val="both"/>
        <w:rPr>
          <w:rFonts w:ascii="Arial" w:hAnsi="Arial" w:cs="Arial"/>
          <w:sz w:val="20"/>
          <w:szCs w:val="20"/>
        </w:rPr>
      </w:pPr>
    </w:p>
    <w:p w14:paraId="72D2E0CD" w14:textId="77777777" w:rsidR="007A117A" w:rsidRPr="00D83239" w:rsidRDefault="007A117A" w:rsidP="00D83239">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lang w:eastAsia="sl-SI"/>
        </w:rPr>
      </w:pPr>
      <w:bookmarkStart w:id="252" w:name="_Toc160704641"/>
      <w:bookmarkStart w:id="253" w:name="_Toc161053822"/>
      <w:bookmarkStart w:id="254" w:name="_Toc161053866"/>
      <w:bookmarkStart w:id="255" w:name="_Toc163819707"/>
      <w:bookmarkStart w:id="256" w:name="_Toc164169691"/>
      <w:bookmarkStart w:id="257" w:name="_Toc164169747"/>
      <w:bookmarkStart w:id="258" w:name="_Toc164169791"/>
      <w:bookmarkStart w:id="259" w:name="_Toc164169981"/>
      <w:bookmarkStart w:id="260" w:name="_Toc164171646"/>
      <w:bookmarkStart w:id="261" w:name="_Toc164171758"/>
      <w:bookmarkStart w:id="262" w:name="_Toc193199796"/>
      <w:bookmarkStart w:id="263" w:name="_Toc195707089"/>
      <w:bookmarkStart w:id="264" w:name="_Toc203552493"/>
      <w:bookmarkStart w:id="265" w:name="_Toc203552692"/>
      <w:bookmarkStart w:id="266" w:name="_Toc203552829"/>
      <w:bookmarkStart w:id="267" w:name="_Toc203553011"/>
      <w:bookmarkStart w:id="268" w:name="_Toc222735982"/>
      <w:bookmarkStart w:id="269" w:name="_Toc222736032"/>
      <w:bookmarkStart w:id="270" w:name="_Toc222742128"/>
      <w:bookmarkStart w:id="271" w:name="_Toc224897172"/>
      <w:bookmarkStart w:id="272" w:name="_Toc225499858"/>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0F7F249" w14:textId="712CFBC6" w:rsidR="007A117A" w:rsidRPr="00D83239" w:rsidRDefault="007A117A" w:rsidP="00D83239">
      <w:pPr>
        <w:pStyle w:val="Naslov2"/>
        <w:spacing w:after="0" w:line="276" w:lineRule="auto"/>
        <w:jc w:val="both"/>
      </w:pPr>
      <w:bookmarkStart w:id="273" w:name="_Toc225499859"/>
      <w:r w:rsidRPr="00D83239">
        <w:t>Projekti digitalizacije in informatizacije</w:t>
      </w:r>
      <w:bookmarkEnd w:id="273"/>
    </w:p>
    <w:p w14:paraId="2B560A77" w14:textId="3504C99C" w:rsidR="00653B9D" w:rsidRPr="00D83239" w:rsidRDefault="00653B9D" w:rsidP="00D83239">
      <w:pPr>
        <w:tabs>
          <w:tab w:val="left" w:pos="2811"/>
        </w:tabs>
        <w:spacing w:after="0" w:line="276" w:lineRule="auto"/>
        <w:jc w:val="both"/>
        <w:rPr>
          <w:rFonts w:ascii="Arial" w:hAnsi="Arial" w:cs="Arial"/>
          <w:sz w:val="20"/>
          <w:szCs w:val="20"/>
          <w:highlight w:val="yellow"/>
        </w:rPr>
      </w:pPr>
    </w:p>
    <w:p w14:paraId="2DEC59C3" w14:textId="77777777" w:rsidR="006263C1" w:rsidRPr="00D83239" w:rsidRDefault="006263C1" w:rsidP="00D83239">
      <w:pPr>
        <w:autoSpaceDE w:val="0"/>
        <w:autoSpaceDN w:val="0"/>
        <w:adjustRightInd w:val="0"/>
        <w:spacing w:after="0" w:line="276" w:lineRule="auto"/>
        <w:jc w:val="both"/>
        <w:rPr>
          <w:rFonts w:ascii="Arial" w:hAnsi="Arial" w:cs="Arial"/>
          <w:sz w:val="20"/>
          <w:szCs w:val="20"/>
        </w:rPr>
      </w:pPr>
      <w:r w:rsidRPr="00D83239">
        <w:rPr>
          <w:rFonts w:ascii="Arial" w:hAnsi="Arial" w:cs="Arial"/>
          <w:b/>
          <w:sz w:val="20"/>
          <w:szCs w:val="20"/>
        </w:rPr>
        <w:t>Izboljšave informacijskega okolja in procesov</w:t>
      </w:r>
    </w:p>
    <w:p w14:paraId="5F3C5C10" w14:textId="39F5ADF2" w:rsidR="006263C1" w:rsidRPr="00D83239" w:rsidRDefault="006263C1"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 xml:space="preserve">V letu 2025 so se v informacijskem okolju MNZ nadaljevale predvsem aktivnosti za </w:t>
      </w:r>
      <w:r w:rsidR="000D135B">
        <w:rPr>
          <w:rFonts w:ascii="Arial" w:hAnsi="Arial" w:cs="Arial"/>
          <w:sz w:val="20"/>
          <w:szCs w:val="20"/>
          <w:lang w:eastAsia="sl-SI"/>
        </w:rPr>
        <w:t>krepitev</w:t>
      </w:r>
      <w:r w:rsidR="000D135B" w:rsidRPr="00D83239">
        <w:rPr>
          <w:rFonts w:ascii="Arial" w:hAnsi="Arial" w:cs="Arial"/>
          <w:sz w:val="20"/>
          <w:szCs w:val="20"/>
          <w:lang w:eastAsia="sl-SI"/>
        </w:rPr>
        <w:t xml:space="preserve"> </w:t>
      </w:r>
      <w:r w:rsidRPr="00D83239">
        <w:rPr>
          <w:rFonts w:ascii="Arial" w:hAnsi="Arial" w:cs="Arial"/>
          <w:sz w:val="20"/>
          <w:szCs w:val="20"/>
          <w:lang w:eastAsia="sl-SI"/>
        </w:rPr>
        <w:t>informacijske varnosti in zagotavljanje neprekinjenega delovanja:</w:t>
      </w:r>
    </w:p>
    <w:p w14:paraId="29A4C3EE" w14:textId="3A7A57EF" w:rsidR="006263C1" w:rsidRPr="00D83239" w:rsidRDefault="006263C1" w:rsidP="00FE543C">
      <w:pPr>
        <w:pStyle w:val="Odstavekseznama"/>
        <w:numPr>
          <w:ilvl w:val="0"/>
          <w:numId w:val="32"/>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 xml:space="preserve">izvedla se je zamenjava </w:t>
      </w:r>
      <w:r w:rsidR="00CF0B43">
        <w:rPr>
          <w:rFonts w:ascii="Arial" w:hAnsi="Arial" w:cs="Arial"/>
          <w:sz w:val="20"/>
          <w:szCs w:val="20"/>
          <w:lang w:eastAsia="sl-SI"/>
        </w:rPr>
        <w:t>več kot</w:t>
      </w:r>
      <w:r w:rsidR="00CF0B43" w:rsidRPr="00D83239">
        <w:rPr>
          <w:rFonts w:ascii="Arial" w:hAnsi="Arial" w:cs="Arial"/>
          <w:sz w:val="20"/>
          <w:szCs w:val="20"/>
          <w:lang w:eastAsia="sl-SI"/>
        </w:rPr>
        <w:t xml:space="preserve"> </w:t>
      </w:r>
      <w:r w:rsidRPr="00D83239">
        <w:rPr>
          <w:rFonts w:ascii="Arial" w:hAnsi="Arial" w:cs="Arial"/>
          <w:sz w:val="20"/>
          <w:szCs w:val="20"/>
          <w:lang w:eastAsia="sl-SI"/>
        </w:rPr>
        <w:t>150 prenosnih računalnikov z namenom omogoč</w:t>
      </w:r>
      <w:r w:rsidR="00CF0B43">
        <w:rPr>
          <w:rFonts w:ascii="Arial" w:hAnsi="Arial" w:cs="Arial"/>
          <w:sz w:val="20"/>
          <w:szCs w:val="20"/>
          <w:lang w:eastAsia="sl-SI"/>
        </w:rPr>
        <w:t>a</w:t>
      </w:r>
      <w:r w:rsidRPr="00D83239">
        <w:rPr>
          <w:rFonts w:ascii="Arial" w:hAnsi="Arial" w:cs="Arial"/>
          <w:sz w:val="20"/>
          <w:szCs w:val="20"/>
          <w:lang w:eastAsia="sl-SI"/>
        </w:rPr>
        <w:t>nja njihove ustrezne vključitve v nadzorovano strežniško okolje (uporaba že rabljenih in novih prenosnikov),</w:t>
      </w:r>
    </w:p>
    <w:p w14:paraId="30FD4D71" w14:textId="5842B47C" w:rsidR="006263C1" w:rsidRPr="00D83239" w:rsidRDefault="006263C1" w:rsidP="00FE543C">
      <w:pPr>
        <w:pStyle w:val="Odstavekseznama"/>
        <w:numPr>
          <w:ilvl w:val="0"/>
          <w:numId w:val="32"/>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 xml:space="preserve">tehnični skrbniki sistemov so izvedli dva </w:t>
      </w:r>
      <w:r w:rsidR="00CF0B43">
        <w:rPr>
          <w:rFonts w:ascii="Arial" w:hAnsi="Arial" w:cs="Arial"/>
          <w:sz w:val="20"/>
          <w:szCs w:val="20"/>
          <w:lang w:eastAsia="sl-SI"/>
        </w:rPr>
        <w:t xml:space="preserve">načrtovana </w:t>
      </w:r>
      <w:r w:rsidRPr="00D83239">
        <w:rPr>
          <w:rFonts w:ascii="Arial" w:hAnsi="Arial" w:cs="Arial"/>
          <w:sz w:val="20"/>
          <w:szCs w:val="20"/>
          <w:lang w:eastAsia="sl-SI"/>
        </w:rPr>
        <w:t>test</w:t>
      </w:r>
      <w:r w:rsidR="00CF0B43">
        <w:rPr>
          <w:rFonts w:ascii="Arial" w:hAnsi="Arial" w:cs="Arial"/>
          <w:sz w:val="20"/>
          <w:szCs w:val="20"/>
          <w:lang w:eastAsia="sl-SI"/>
        </w:rPr>
        <w:t>a</w:t>
      </w:r>
      <w:r w:rsidRPr="00D83239">
        <w:rPr>
          <w:rFonts w:ascii="Arial" w:hAnsi="Arial" w:cs="Arial"/>
          <w:sz w:val="20"/>
          <w:szCs w:val="20"/>
          <w:lang w:eastAsia="sl-SI"/>
        </w:rPr>
        <w:t xml:space="preserve"> neprekinjenega poslovanja </w:t>
      </w:r>
      <w:r w:rsidR="00CF0B43">
        <w:rPr>
          <w:rFonts w:ascii="Arial" w:hAnsi="Arial" w:cs="Arial"/>
          <w:sz w:val="20"/>
          <w:szCs w:val="20"/>
          <w:lang w:eastAsia="sl-SI"/>
        </w:rPr>
        <w:t xml:space="preserve">od predvidenih treh </w:t>
      </w:r>
      <w:r w:rsidRPr="00D83239">
        <w:rPr>
          <w:rFonts w:ascii="Arial" w:hAnsi="Arial" w:cs="Arial"/>
          <w:sz w:val="20"/>
          <w:szCs w:val="20"/>
          <w:lang w:eastAsia="sl-SI"/>
        </w:rPr>
        <w:t>in posodobili oceno tveganj za IKT opremo,</w:t>
      </w:r>
    </w:p>
    <w:p w14:paraId="0090A293" w14:textId="77777777" w:rsidR="006263C1" w:rsidRPr="00D83239" w:rsidRDefault="006263C1" w:rsidP="00FE543C">
      <w:pPr>
        <w:pStyle w:val="Odstavekseznama"/>
        <w:numPr>
          <w:ilvl w:val="0"/>
          <w:numId w:val="32"/>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pripravljene so bile strokovne podlage in izpeljano javno naročilo za sistem varnega upravljanja mobilnih naprav ter za vzdrževanje centralne strežniške in mrežne opreme,</w:t>
      </w:r>
    </w:p>
    <w:p w14:paraId="47B98F8F" w14:textId="2B1965F1" w:rsidR="006263C1" w:rsidRPr="00D83239" w:rsidRDefault="006263C1" w:rsidP="00FE543C">
      <w:pPr>
        <w:pStyle w:val="Odstavekseznama"/>
        <w:numPr>
          <w:ilvl w:val="0"/>
          <w:numId w:val="32"/>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izvajalo se je varnostno posodabljanje strežnikov, mrežnih komponent in osebnih naprav zaposlenih</w:t>
      </w:r>
      <w:r w:rsidR="00C02E5F">
        <w:rPr>
          <w:rFonts w:ascii="Arial" w:hAnsi="Arial" w:cs="Arial"/>
          <w:sz w:val="20"/>
          <w:szCs w:val="20"/>
          <w:lang w:eastAsia="sl-SI"/>
        </w:rPr>
        <w:t>,</w:t>
      </w:r>
      <w:r w:rsidRPr="00D83239">
        <w:rPr>
          <w:rFonts w:ascii="Arial" w:hAnsi="Arial" w:cs="Arial"/>
          <w:sz w:val="20"/>
          <w:szCs w:val="20"/>
          <w:lang w:eastAsia="sl-SI"/>
        </w:rPr>
        <w:t xml:space="preserve"> in sicer redno mesečno ter ob objavi ranljivosti, </w:t>
      </w:r>
    </w:p>
    <w:p w14:paraId="34C53698" w14:textId="1212D1B1" w:rsidR="006263C1" w:rsidRPr="00D83239" w:rsidRDefault="006263C1" w:rsidP="00FE543C">
      <w:pPr>
        <w:pStyle w:val="Odstavekseznama"/>
        <w:numPr>
          <w:ilvl w:val="0"/>
          <w:numId w:val="32"/>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 xml:space="preserve">izvedena je bila nadgradnja operacijskih sistemov in programske opreme, za katere proizvajalci v bližnji prihodnosti ne zagotavljajo več varnostnih posodobitev (stare verzije sistemov </w:t>
      </w:r>
      <w:r w:rsidR="00C02E5F" w:rsidRPr="00D83239">
        <w:rPr>
          <w:rFonts w:ascii="Arial" w:hAnsi="Arial" w:cs="Arial"/>
          <w:sz w:val="20"/>
          <w:szCs w:val="20"/>
          <w:lang w:eastAsia="sl-SI"/>
        </w:rPr>
        <w:t xml:space="preserve">Linux </w:t>
      </w:r>
      <w:r w:rsidRPr="00D83239">
        <w:rPr>
          <w:rFonts w:ascii="Arial" w:hAnsi="Arial" w:cs="Arial"/>
          <w:sz w:val="20"/>
          <w:szCs w:val="20"/>
          <w:lang w:eastAsia="sl-SI"/>
        </w:rPr>
        <w:t>za dokumentni sistem in elektronsko pošto, nadgradnja verzije Microsoft Office, Windows 10, Lotus Notes),</w:t>
      </w:r>
    </w:p>
    <w:p w14:paraId="0CCC3BC4" w14:textId="73D70CCC" w:rsidR="006263C1" w:rsidRPr="00D83239" w:rsidRDefault="006263C1" w:rsidP="00FE543C">
      <w:pPr>
        <w:pStyle w:val="Odstavekseznama"/>
        <w:numPr>
          <w:ilvl w:val="0"/>
          <w:numId w:val="32"/>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izvedla se je posodobitev sistemske opreme na večjem številu komponent omrežne opreme</w:t>
      </w:r>
      <w:r w:rsidR="00FA565F">
        <w:rPr>
          <w:rFonts w:ascii="Arial" w:hAnsi="Arial" w:cs="Arial"/>
          <w:sz w:val="20"/>
          <w:szCs w:val="20"/>
          <w:lang w:eastAsia="sl-SI"/>
        </w:rPr>
        <w:t>,</w:t>
      </w:r>
    </w:p>
    <w:p w14:paraId="121D79D1" w14:textId="77777777" w:rsidR="006263C1" w:rsidRPr="00D83239" w:rsidRDefault="006263C1" w:rsidP="00FE543C">
      <w:pPr>
        <w:pStyle w:val="Odstavekseznama"/>
        <w:numPr>
          <w:ilvl w:val="0"/>
          <w:numId w:val="32"/>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izvedle so se spremembe v mrežni segmentaciji in v priključitvi uporabnikov na segmente,</w:t>
      </w:r>
    </w:p>
    <w:p w14:paraId="0FD6EF77" w14:textId="77777777" w:rsidR="006263C1" w:rsidRPr="00D83239" w:rsidRDefault="006263C1" w:rsidP="00FE543C">
      <w:pPr>
        <w:pStyle w:val="Odstavekseznama"/>
        <w:numPr>
          <w:ilvl w:val="0"/>
          <w:numId w:val="32"/>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v omrežje MNZ se je vključil del zaposlenih MNZ, ki so bili prej na omrežju Policije,</w:t>
      </w:r>
    </w:p>
    <w:p w14:paraId="43AD65F9" w14:textId="26B1AA64" w:rsidR="006263C1" w:rsidRPr="00D83239" w:rsidRDefault="006263C1" w:rsidP="00FE543C">
      <w:pPr>
        <w:pStyle w:val="Odstavekseznama"/>
        <w:numPr>
          <w:ilvl w:val="0"/>
          <w:numId w:val="32"/>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povezave videokonfe</w:t>
      </w:r>
      <w:r w:rsidR="002F34D9">
        <w:rPr>
          <w:rFonts w:ascii="Arial" w:hAnsi="Arial" w:cs="Arial"/>
          <w:sz w:val="20"/>
          <w:szCs w:val="20"/>
          <w:lang w:eastAsia="sl-SI"/>
        </w:rPr>
        <w:t>re</w:t>
      </w:r>
      <w:r w:rsidRPr="00D83239">
        <w:rPr>
          <w:rFonts w:ascii="Arial" w:hAnsi="Arial" w:cs="Arial"/>
          <w:sz w:val="20"/>
          <w:szCs w:val="20"/>
          <w:lang w:eastAsia="sl-SI"/>
        </w:rPr>
        <w:t>nčnih sistemov so se izključile iz omrežja MNZ</w:t>
      </w:r>
      <w:r w:rsidR="00FA565F">
        <w:rPr>
          <w:rFonts w:ascii="Arial" w:hAnsi="Arial" w:cs="Arial"/>
          <w:sz w:val="20"/>
          <w:szCs w:val="20"/>
          <w:lang w:eastAsia="sl-SI"/>
        </w:rPr>
        <w:t>.</w:t>
      </w:r>
    </w:p>
    <w:p w14:paraId="6E2DCEB5" w14:textId="77777777" w:rsidR="006263C1" w:rsidRPr="00D83239" w:rsidRDefault="006263C1" w:rsidP="00D83239">
      <w:pPr>
        <w:pStyle w:val="Odstavekseznama"/>
        <w:autoSpaceDE w:val="0"/>
        <w:autoSpaceDN w:val="0"/>
        <w:adjustRightInd w:val="0"/>
        <w:spacing w:after="0"/>
        <w:ind w:left="720"/>
        <w:jc w:val="both"/>
        <w:rPr>
          <w:rFonts w:ascii="Arial" w:hAnsi="Arial" w:cs="Arial"/>
          <w:sz w:val="20"/>
          <w:szCs w:val="20"/>
          <w:lang w:eastAsia="sl-SI"/>
        </w:rPr>
      </w:pPr>
    </w:p>
    <w:p w14:paraId="6E5FDA01" w14:textId="205DBA61" w:rsidR="006263C1" w:rsidRPr="00D83239" w:rsidRDefault="006263C1"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 xml:space="preserve">Za </w:t>
      </w:r>
      <w:r w:rsidR="00C02E5F">
        <w:rPr>
          <w:rFonts w:ascii="Arial" w:hAnsi="Arial" w:cs="Arial"/>
          <w:sz w:val="20"/>
          <w:szCs w:val="20"/>
          <w:lang w:eastAsia="sl-SI"/>
        </w:rPr>
        <w:t>evidentira</w:t>
      </w:r>
      <w:r w:rsidRPr="00D83239">
        <w:rPr>
          <w:rFonts w:ascii="Arial" w:hAnsi="Arial" w:cs="Arial"/>
          <w:sz w:val="20"/>
          <w:szCs w:val="20"/>
          <w:lang w:eastAsia="sl-SI"/>
        </w:rPr>
        <w:t xml:space="preserve">nje in spremljanje poteka reševanja zahtev uporabnikov po IKT pomoči je v letu 2025 prišlo v elektronski predal IKT pomoči </w:t>
      </w:r>
      <w:r w:rsidR="00C02E5F">
        <w:rPr>
          <w:rFonts w:ascii="Arial" w:hAnsi="Arial" w:cs="Arial"/>
          <w:sz w:val="20"/>
          <w:szCs w:val="20"/>
          <w:lang w:eastAsia="sl-SI"/>
        </w:rPr>
        <w:t>približno</w:t>
      </w:r>
      <w:r w:rsidR="00C02E5F" w:rsidRPr="00D83239">
        <w:rPr>
          <w:rFonts w:ascii="Arial" w:hAnsi="Arial" w:cs="Arial"/>
          <w:sz w:val="20"/>
          <w:szCs w:val="20"/>
          <w:lang w:eastAsia="sl-SI"/>
        </w:rPr>
        <w:t xml:space="preserve"> </w:t>
      </w:r>
      <w:r w:rsidRPr="00D83239">
        <w:rPr>
          <w:rFonts w:ascii="Arial" w:hAnsi="Arial" w:cs="Arial"/>
          <w:sz w:val="20"/>
          <w:szCs w:val="20"/>
          <w:lang w:eastAsia="sl-SI"/>
        </w:rPr>
        <w:t>4</w:t>
      </w:r>
      <w:r w:rsidR="00FA565F">
        <w:rPr>
          <w:rFonts w:ascii="Arial" w:hAnsi="Arial" w:cs="Arial"/>
          <w:sz w:val="20"/>
          <w:szCs w:val="20"/>
          <w:lang w:eastAsia="sl-SI"/>
        </w:rPr>
        <w:t>.</w:t>
      </w:r>
      <w:r w:rsidRPr="00D83239">
        <w:rPr>
          <w:rFonts w:ascii="Arial" w:hAnsi="Arial" w:cs="Arial"/>
          <w:sz w:val="20"/>
          <w:szCs w:val="20"/>
          <w:lang w:eastAsia="sl-SI"/>
        </w:rPr>
        <w:t xml:space="preserve">700 zahtevkov. Zahtevki se nanašajo na menjavo delovnih postaj, prenosnikov, periferne opreme, prijavo nedelovanja osnovnih komponent (MS Office, Lotus Notes, podpisovanje ipd.) in ne vključujejo zahtevkov, ki se nanašajo na varnostne dogodke ali specifične aplikacije. </w:t>
      </w:r>
      <w:r w:rsidR="00C02E5F">
        <w:rPr>
          <w:rFonts w:ascii="Arial" w:hAnsi="Arial" w:cs="Arial"/>
          <w:sz w:val="20"/>
          <w:szCs w:val="20"/>
          <w:lang w:eastAsia="sl-SI"/>
        </w:rPr>
        <w:t>Š</w:t>
      </w:r>
      <w:r w:rsidRPr="00D83239">
        <w:rPr>
          <w:rFonts w:ascii="Arial" w:hAnsi="Arial" w:cs="Arial"/>
          <w:sz w:val="20"/>
          <w:szCs w:val="20"/>
          <w:lang w:eastAsia="sl-SI"/>
        </w:rPr>
        <w:t xml:space="preserve">tevilni uporabniki </w:t>
      </w:r>
      <w:r w:rsidR="00C02E5F">
        <w:rPr>
          <w:rFonts w:ascii="Arial" w:hAnsi="Arial" w:cs="Arial"/>
          <w:sz w:val="20"/>
          <w:szCs w:val="20"/>
          <w:lang w:eastAsia="sl-SI"/>
        </w:rPr>
        <w:t>š</w:t>
      </w:r>
      <w:r w:rsidR="00C02E5F" w:rsidRPr="00D83239">
        <w:rPr>
          <w:rFonts w:ascii="Arial" w:hAnsi="Arial" w:cs="Arial"/>
          <w:sz w:val="20"/>
          <w:szCs w:val="20"/>
          <w:lang w:eastAsia="sl-SI"/>
        </w:rPr>
        <w:t>e vedno</w:t>
      </w:r>
      <w:r w:rsidR="00C02E5F">
        <w:rPr>
          <w:rFonts w:ascii="Arial" w:hAnsi="Arial" w:cs="Arial"/>
          <w:sz w:val="20"/>
          <w:szCs w:val="20"/>
          <w:lang w:eastAsia="sl-SI"/>
        </w:rPr>
        <w:t xml:space="preserve"> sporoč</w:t>
      </w:r>
      <w:r w:rsidRPr="00D83239">
        <w:rPr>
          <w:rFonts w:ascii="Arial" w:hAnsi="Arial" w:cs="Arial"/>
          <w:sz w:val="20"/>
          <w:szCs w:val="20"/>
          <w:lang w:eastAsia="sl-SI"/>
        </w:rPr>
        <w:t xml:space="preserve">ajo napake tudi </w:t>
      </w:r>
      <w:r w:rsidR="00C02E5F">
        <w:rPr>
          <w:rFonts w:ascii="Arial" w:hAnsi="Arial" w:cs="Arial"/>
          <w:sz w:val="20"/>
          <w:szCs w:val="20"/>
          <w:lang w:eastAsia="sl-SI"/>
        </w:rPr>
        <w:t>po</w:t>
      </w:r>
      <w:r w:rsidR="00C02E5F" w:rsidRPr="00D83239">
        <w:rPr>
          <w:rFonts w:ascii="Arial" w:hAnsi="Arial" w:cs="Arial"/>
          <w:sz w:val="20"/>
          <w:szCs w:val="20"/>
          <w:lang w:eastAsia="sl-SI"/>
        </w:rPr>
        <w:t xml:space="preserve"> </w:t>
      </w:r>
      <w:r w:rsidRPr="00D83239">
        <w:rPr>
          <w:rFonts w:ascii="Arial" w:hAnsi="Arial" w:cs="Arial"/>
          <w:sz w:val="20"/>
          <w:szCs w:val="20"/>
          <w:lang w:eastAsia="sl-SI"/>
        </w:rPr>
        <w:t>telefon</w:t>
      </w:r>
      <w:r w:rsidR="00C02E5F">
        <w:rPr>
          <w:rFonts w:ascii="Arial" w:hAnsi="Arial" w:cs="Arial"/>
          <w:sz w:val="20"/>
          <w:szCs w:val="20"/>
          <w:lang w:eastAsia="sl-SI"/>
        </w:rPr>
        <w:t xml:space="preserve">u </w:t>
      </w:r>
      <w:r w:rsidRPr="00D83239">
        <w:rPr>
          <w:rFonts w:ascii="Arial" w:hAnsi="Arial" w:cs="Arial"/>
          <w:sz w:val="20"/>
          <w:szCs w:val="20"/>
          <w:lang w:eastAsia="sl-SI"/>
        </w:rPr>
        <w:t>ali zahtevke po p</w:t>
      </w:r>
      <w:r w:rsidR="009433E0">
        <w:rPr>
          <w:rFonts w:ascii="Arial" w:hAnsi="Arial" w:cs="Arial"/>
          <w:sz w:val="20"/>
          <w:szCs w:val="20"/>
          <w:lang w:eastAsia="sl-SI"/>
        </w:rPr>
        <w:t>omoči predložijo posameznikom iz</w:t>
      </w:r>
      <w:r w:rsidRPr="00D83239">
        <w:rPr>
          <w:rFonts w:ascii="Arial" w:hAnsi="Arial" w:cs="Arial"/>
          <w:sz w:val="20"/>
          <w:szCs w:val="20"/>
          <w:lang w:eastAsia="sl-SI"/>
        </w:rPr>
        <w:t xml:space="preserve"> strokovnih služb. </w:t>
      </w:r>
    </w:p>
    <w:p w14:paraId="6E3B5A10" w14:textId="77777777" w:rsidR="006263C1" w:rsidRPr="00D83239" w:rsidRDefault="006263C1" w:rsidP="00D83239">
      <w:pPr>
        <w:pStyle w:val="Odstavekseznama"/>
        <w:autoSpaceDE w:val="0"/>
        <w:autoSpaceDN w:val="0"/>
        <w:adjustRightInd w:val="0"/>
        <w:spacing w:after="0"/>
        <w:ind w:left="0"/>
        <w:jc w:val="both"/>
        <w:rPr>
          <w:rFonts w:ascii="Arial" w:hAnsi="Arial" w:cs="Arial"/>
          <w:sz w:val="20"/>
          <w:szCs w:val="20"/>
          <w:lang w:eastAsia="sl-SI"/>
        </w:rPr>
      </w:pPr>
    </w:p>
    <w:p w14:paraId="75FB01D5" w14:textId="5B2FB06E" w:rsidR="006263C1" w:rsidRPr="00D83239" w:rsidRDefault="006263C1" w:rsidP="00D83239">
      <w:pPr>
        <w:pStyle w:val="Odstavekseznama"/>
        <w:autoSpaceDE w:val="0"/>
        <w:autoSpaceDN w:val="0"/>
        <w:adjustRightInd w:val="0"/>
        <w:spacing w:after="0"/>
        <w:ind w:left="0"/>
        <w:jc w:val="both"/>
        <w:rPr>
          <w:rFonts w:ascii="Arial" w:hAnsi="Arial" w:cs="Arial"/>
          <w:sz w:val="20"/>
          <w:szCs w:val="20"/>
          <w:lang w:eastAsia="sl-SI"/>
        </w:rPr>
      </w:pPr>
      <w:r w:rsidRPr="00D83239">
        <w:rPr>
          <w:rFonts w:ascii="Arial" w:hAnsi="Arial" w:cs="Arial"/>
          <w:sz w:val="20"/>
          <w:szCs w:val="20"/>
          <w:lang w:eastAsia="sl-SI"/>
        </w:rPr>
        <w:t>Nekateri ukrepi in reševanje zahtevkov se zaradi pomanjkanja kadrov izvajajo počasneje, kot bi bilo treb</w:t>
      </w:r>
      <w:r w:rsidR="00C02E5F">
        <w:rPr>
          <w:rFonts w:ascii="Arial" w:hAnsi="Arial" w:cs="Arial"/>
          <w:sz w:val="20"/>
          <w:szCs w:val="20"/>
          <w:lang w:eastAsia="sl-SI"/>
        </w:rPr>
        <w:t>a</w:t>
      </w:r>
      <w:r w:rsidRPr="00D83239">
        <w:rPr>
          <w:rFonts w:ascii="Arial" w:hAnsi="Arial" w:cs="Arial"/>
          <w:sz w:val="20"/>
          <w:szCs w:val="20"/>
          <w:lang w:eastAsia="sl-SI"/>
        </w:rPr>
        <w:t xml:space="preserve"> za zagotavljanje zadostne ravni varnosti in izpolnjevanja zahtev za neprekinjeno poslovanje. V zaostanku </w:t>
      </w:r>
      <w:r w:rsidR="00C02E5F">
        <w:rPr>
          <w:rFonts w:ascii="Arial" w:hAnsi="Arial" w:cs="Arial"/>
          <w:sz w:val="20"/>
          <w:szCs w:val="20"/>
          <w:lang w:eastAsia="sl-SI"/>
        </w:rPr>
        <w:t>z načrti</w:t>
      </w:r>
      <w:r w:rsidRPr="00D83239">
        <w:rPr>
          <w:rFonts w:ascii="Arial" w:hAnsi="Arial" w:cs="Arial"/>
          <w:sz w:val="20"/>
          <w:szCs w:val="20"/>
          <w:lang w:eastAsia="sl-SI"/>
        </w:rPr>
        <w:t xml:space="preserve"> se izvajajo tudi notranje presoje informacijske varnosti in testi neprekinjenega poslovanja. Uspešno in v skladu z metodologijo je bila posodobljena analiza tveganj IKT opreme podatkovnega centra in opreme MNZ do </w:t>
      </w:r>
      <w:r w:rsidR="00C02E5F">
        <w:rPr>
          <w:rFonts w:ascii="Arial" w:hAnsi="Arial" w:cs="Arial"/>
          <w:sz w:val="20"/>
          <w:szCs w:val="20"/>
          <w:lang w:eastAsia="sl-SI"/>
        </w:rPr>
        <w:t>ravni</w:t>
      </w:r>
      <w:r w:rsidR="00C02E5F" w:rsidRPr="00D83239">
        <w:rPr>
          <w:rFonts w:ascii="Arial" w:hAnsi="Arial" w:cs="Arial"/>
          <w:sz w:val="20"/>
          <w:szCs w:val="20"/>
          <w:lang w:eastAsia="sl-SI"/>
        </w:rPr>
        <w:t xml:space="preserve"> </w:t>
      </w:r>
      <w:r w:rsidRPr="00D83239">
        <w:rPr>
          <w:rFonts w:ascii="Arial" w:hAnsi="Arial" w:cs="Arial"/>
          <w:sz w:val="20"/>
          <w:szCs w:val="20"/>
          <w:lang w:eastAsia="sl-SI"/>
        </w:rPr>
        <w:t xml:space="preserve">operacijskih sistemov.  </w:t>
      </w:r>
    </w:p>
    <w:p w14:paraId="3982497B" w14:textId="77777777" w:rsidR="006263C1" w:rsidRPr="00D83239" w:rsidRDefault="006263C1" w:rsidP="00D83239">
      <w:pPr>
        <w:pStyle w:val="Odstavekseznama"/>
        <w:autoSpaceDE w:val="0"/>
        <w:autoSpaceDN w:val="0"/>
        <w:adjustRightInd w:val="0"/>
        <w:spacing w:after="0"/>
        <w:ind w:left="0"/>
        <w:jc w:val="both"/>
        <w:rPr>
          <w:rFonts w:ascii="Arial" w:hAnsi="Arial" w:cs="Arial"/>
          <w:sz w:val="20"/>
          <w:szCs w:val="20"/>
          <w:lang w:eastAsia="sl-SI"/>
        </w:rPr>
      </w:pPr>
    </w:p>
    <w:p w14:paraId="5649CC53" w14:textId="6E25CBE2" w:rsidR="006263C1" w:rsidRPr="00D83239" w:rsidRDefault="006263C1"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Izvajal</w:t>
      </w:r>
      <w:r w:rsidR="00C02E5F">
        <w:rPr>
          <w:rFonts w:ascii="Arial" w:hAnsi="Arial" w:cs="Arial"/>
          <w:sz w:val="20"/>
          <w:szCs w:val="20"/>
          <w:lang w:eastAsia="sl-SI"/>
        </w:rPr>
        <w:t>a</w:t>
      </w:r>
      <w:r w:rsidRPr="00D83239">
        <w:rPr>
          <w:rFonts w:ascii="Arial" w:hAnsi="Arial" w:cs="Arial"/>
          <w:sz w:val="20"/>
          <w:szCs w:val="20"/>
          <w:lang w:eastAsia="sl-SI"/>
        </w:rPr>
        <w:t xml:space="preserve"> </w:t>
      </w:r>
      <w:r w:rsidR="00C02E5F">
        <w:rPr>
          <w:rFonts w:ascii="Arial" w:hAnsi="Arial" w:cs="Arial"/>
          <w:sz w:val="20"/>
          <w:szCs w:val="20"/>
          <w:lang w:eastAsia="sl-SI"/>
        </w:rPr>
        <w:t xml:space="preserve">sta </w:t>
      </w:r>
      <w:r w:rsidRPr="00D83239">
        <w:rPr>
          <w:rFonts w:ascii="Arial" w:hAnsi="Arial" w:cs="Arial"/>
          <w:sz w:val="20"/>
          <w:szCs w:val="20"/>
          <w:lang w:eastAsia="sl-SI"/>
        </w:rPr>
        <w:t>se nadgrajevanje in menjava IKT opreme in povezav:</w:t>
      </w:r>
    </w:p>
    <w:p w14:paraId="6830616B" w14:textId="3B0B82EE" w:rsidR="006263C1" w:rsidRPr="00D83239" w:rsidRDefault="006263C1" w:rsidP="00FE543C">
      <w:pPr>
        <w:pStyle w:val="Odstavekseznama"/>
        <w:numPr>
          <w:ilvl w:val="0"/>
          <w:numId w:val="33"/>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na strežnišk</w:t>
      </w:r>
      <w:r w:rsidR="00C02E5F">
        <w:rPr>
          <w:rFonts w:ascii="Arial" w:hAnsi="Arial" w:cs="Arial"/>
          <w:sz w:val="20"/>
          <w:szCs w:val="20"/>
          <w:lang w:eastAsia="sl-SI"/>
        </w:rPr>
        <w:t>i ravni</w:t>
      </w:r>
      <w:r w:rsidRPr="00D83239">
        <w:rPr>
          <w:rFonts w:ascii="Arial" w:hAnsi="Arial" w:cs="Arial"/>
          <w:sz w:val="20"/>
          <w:szCs w:val="20"/>
          <w:lang w:eastAsia="sl-SI"/>
        </w:rPr>
        <w:t xml:space="preserve"> so bile nadgrajene diskovne kapacitete zaradi naraščanja obsega digitalnih gradiv</w:t>
      </w:r>
      <w:r w:rsidR="00FA565F">
        <w:rPr>
          <w:rFonts w:ascii="Arial" w:hAnsi="Arial" w:cs="Arial"/>
          <w:sz w:val="20"/>
          <w:szCs w:val="20"/>
          <w:lang w:eastAsia="sl-SI"/>
        </w:rPr>
        <w:t>,</w:t>
      </w:r>
    </w:p>
    <w:p w14:paraId="23163AD6" w14:textId="77777777" w:rsidR="006263C1" w:rsidRPr="00D83239" w:rsidRDefault="006263C1" w:rsidP="00FE543C">
      <w:pPr>
        <w:pStyle w:val="Odstavekseznama"/>
        <w:numPr>
          <w:ilvl w:val="0"/>
          <w:numId w:val="33"/>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zaradi dotrajanosti so bili nabavljeni MFERAC strežniki,</w:t>
      </w:r>
    </w:p>
    <w:p w14:paraId="26DBEBFA" w14:textId="77777777" w:rsidR="006263C1" w:rsidRPr="00D83239" w:rsidRDefault="006263C1" w:rsidP="00FE543C">
      <w:pPr>
        <w:pStyle w:val="Odstavekseznama"/>
        <w:numPr>
          <w:ilvl w:val="0"/>
          <w:numId w:val="33"/>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dograjene in na novo vzpostavljene so bile povezave do lokacij zaposlenih MNZ,</w:t>
      </w:r>
    </w:p>
    <w:p w14:paraId="5DF88D31" w14:textId="43AAB89B" w:rsidR="006263C1" w:rsidRPr="00D83239" w:rsidRDefault="006263C1" w:rsidP="00FE543C">
      <w:pPr>
        <w:pStyle w:val="Odstavekseznama"/>
        <w:numPr>
          <w:ilvl w:val="0"/>
          <w:numId w:val="33"/>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 xml:space="preserve">zamenjale so se okvarjene in dotrajane osebne naprave zaposlenih (delovne postaje, prenosni računalniki, </w:t>
      </w:r>
      <w:r w:rsidR="002F34D9" w:rsidRPr="00D83239">
        <w:rPr>
          <w:rFonts w:ascii="Arial" w:hAnsi="Arial" w:cs="Arial"/>
          <w:sz w:val="20"/>
          <w:szCs w:val="20"/>
          <w:lang w:eastAsia="sl-SI"/>
        </w:rPr>
        <w:t>optični čitalniki</w:t>
      </w:r>
      <w:r w:rsidRPr="00D83239">
        <w:rPr>
          <w:rFonts w:ascii="Arial" w:hAnsi="Arial" w:cs="Arial"/>
          <w:sz w:val="20"/>
          <w:szCs w:val="20"/>
          <w:lang w:eastAsia="sl-SI"/>
        </w:rPr>
        <w:t xml:space="preserve">, tiskalniki in </w:t>
      </w:r>
      <w:proofErr w:type="spellStart"/>
      <w:r w:rsidRPr="00D83239">
        <w:rPr>
          <w:rFonts w:ascii="Arial" w:hAnsi="Arial" w:cs="Arial"/>
          <w:sz w:val="20"/>
          <w:szCs w:val="20"/>
          <w:lang w:eastAsia="sl-SI"/>
        </w:rPr>
        <w:t>multifunkcijske</w:t>
      </w:r>
      <w:proofErr w:type="spellEnd"/>
      <w:r w:rsidRPr="00D83239">
        <w:rPr>
          <w:rFonts w:ascii="Arial" w:hAnsi="Arial" w:cs="Arial"/>
          <w:sz w:val="20"/>
          <w:szCs w:val="20"/>
          <w:lang w:eastAsia="sl-SI"/>
        </w:rPr>
        <w:t xml:space="preserve"> naprave),</w:t>
      </w:r>
    </w:p>
    <w:p w14:paraId="6D56F7DC" w14:textId="2C279AC8" w:rsidR="006263C1" w:rsidRPr="000D1093" w:rsidRDefault="006263C1" w:rsidP="000D1093">
      <w:pPr>
        <w:pStyle w:val="Odstavekseznama"/>
        <w:numPr>
          <w:ilvl w:val="0"/>
          <w:numId w:val="33"/>
        </w:numPr>
        <w:autoSpaceDE w:val="0"/>
        <w:autoSpaceDN w:val="0"/>
        <w:adjustRightInd w:val="0"/>
        <w:spacing w:after="0"/>
        <w:jc w:val="both"/>
        <w:rPr>
          <w:rFonts w:ascii="Arial" w:hAnsi="Arial" w:cs="Arial"/>
          <w:sz w:val="20"/>
          <w:szCs w:val="20"/>
          <w:lang w:eastAsia="sl-SI"/>
        </w:rPr>
      </w:pPr>
      <w:r w:rsidRPr="00D83239">
        <w:rPr>
          <w:rFonts w:ascii="Arial" w:hAnsi="Arial" w:cs="Arial"/>
          <w:sz w:val="20"/>
          <w:szCs w:val="20"/>
          <w:lang w:eastAsia="sl-SI"/>
        </w:rPr>
        <w:t xml:space="preserve">na višje verzije so se posodobili sistemi za </w:t>
      </w:r>
      <w:proofErr w:type="spellStart"/>
      <w:r w:rsidRPr="00D83239">
        <w:rPr>
          <w:rFonts w:ascii="Arial" w:hAnsi="Arial" w:cs="Arial"/>
          <w:sz w:val="20"/>
          <w:szCs w:val="20"/>
          <w:lang w:eastAsia="sl-SI"/>
        </w:rPr>
        <w:t>virtualizacijo</w:t>
      </w:r>
      <w:proofErr w:type="spellEnd"/>
      <w:r w:rsidRPr="00D83239">
        <w:rPr>
          <w:rFonts w:ascii="Arial" w:hAnsi="Arial" w:cs="Arial"/>
          <w:sz w:val="20"/>
          <w:szCs w:val="20"/>
          <w:lang w:eastAsia="sl-SI"/>
        </w:rPr>
        <w:t>, nadzor ter zbiranje varnostnih dogodkov.</w:t>
      </w:r>
    </w:p>
    <w:p w14:paraId="3C6F94A1" w14:textId="3F3BE535" w:rsidR="006263C1" w:rsidRPr="00D83239" w:rsidRDefault="006263C1"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Na mrežn</w:t>
      </w:r>
      <w:r w:rsidR="00C02E5F">
        <w:rPr>
          <w:rFonts w:ascii="Arial" w:hAnsi="Arial" w:cs="Arial"/>
          <w:sz w:val="20"/>
          <w:szCs w:val="20"/>
          <w:lang w:eastAsia="sl-SI"/>
        </w:rPr>
        <w:t>i ravni</w:t>
      </w:r>
      <w:r w:rsidRPr="00D83239">
        <w:rPr>
          <w:rFonts w:ascii="Arial" w:hAnsi="Arial" w:cs="Arial"/>
          <w:sz w:val="20"/>
          <w:szCs w:val="20"/>
          <w:lang w:eastAsia="sl-SI"/>
        </w:rPr>
        <w:t xml:space="preserve"> se </w:t>
      </w:r>
      <w:r w:rsidR="009433E0">
        <w:rPr>
          <w:rFonts w:ascii="Arial" w:hAnsi="Arial" w:cs="Arial"/>
          <w:sz w:val="20"/>
          <w:szCs w:val="20"/>
          <w:lang w:eastAsia="sl-SI"/>
        </w:rPr>
        <w:t xml:space="preserve">je </w:t>
      </w:r>
      <w:r w:rsidR="00C02E5F">
        <w:rPr>
          <w:rFonts w:ascii="Arial" w:hAnsi="Arial" w:cs="Arial"/>
          <w:sz w:val="20"/>
          <w:szCs w:val="20"/>
          <w:lang w:eastAsia="sl-SI"/>
        </w:rPr>
        <w:t>pokaza</w:t>
      </w:r>
      <w:r w:rsidRPr="00D83239">
        <w:rPr>
          <w:rFonts w:ascii="Arial" w:hAnsi="Arial" w:cs="Arial"/>
          <w:sz w:val="20"/>
          <w:szCs w:val="20"/>
          <w:lang w:eastAsia="sl-SI"/>
        </w:rPr>
        <w:t xml:space="preserve">la problematika zagotavljanja neprekinjenega poslovanja zaradi dotrajanosti mrežne opreme na </w:t>
      </w:r>
      <w:proofErr w:type="spellStart"/>
      <w:r w:rsidRPr="00D83239">
        <w:rPr>
          <w:rFonts w:ascii="Arial" w:hAnsi="Arial" w:cs="Arial"/>
          <w:sz w:val="20"/>
          <w:szCs w:val="20"/>
          <w:lang w:eastAsia="sl-SI"/>
        </w:rPr>
        <w:t>Litostrojski</w:t>
      </w:r>
      <w:proofErr w:type="spellEnd"/>
      <w:r w:rsidRPr="00D83239">
        <w:rPr>
          <w:rFonts w:ascii="Arial" w:hAnsi="Arial" w:cs="Arial"/>
          <w:sz w:val="20"/>
          <w:szCs w:val="20"/>
          <w:lang w:eastAsia="sl-SI"/>
        </w:rPr>
        <w:t xml:space="preserve"> </w:t>
      </w:r>
      <w:r w:rsidR="00E5008A">
        <w:rPr>
          <w:rFonts w:ascii="Arial" w:hAnsi="Arial" w:cs="Arial"/>
          <w:sz w:val="20"/>
          <w:szCs w:val="20"/>
          <w:lang w:eastAsia="sl-SI"/>
        </w:rPr>
        <w:t xml:space="preserve">cesti </w:t>
      </w:r>
      <w:r w:rsidRPr="00D83239">
        <w:rPr>
          <w:rFonts w:ascii="Arial" w:hAnsi="Arial" w:cs="Arial"/>
          <w:sz w:val="20"/>
          <w:szCs w:val="20"/>
          <w:lang w:eastAsia="sl-SI"/>
        </w:rPr>
        <w:t>54, ki je v lasti najemodajalca. Tehnično-strokovnim službam MNZ je bilo sporočeno, da bo mrežna oprema prenesena iz lastništva najemodajalca v lastništvo MNZ</w:t>
      </w:r>
      <w:r w:rsidR="00C02E5F">
        <w:rPr>
          <w:rFonts w:ascii="Arial" w:hAnsi="Arial" w:cs="Arial"/>
          <w:sz w:val="20"/>
          <w:szCs w:val="20"/>
          <w:lang w:eastAsia="sl-SI"/>
        </w:rPr>
        <w:t>,</w:t>
      </w:r>
      <w:r w:rsidRPr="00D83239">
        <w:rPr>
          <w:rFonts w:ascii="Arial" w:hAnsi="Arial" w:cs="Arial"/>
          <w:sz w:val="20"/>
          <w:szCs w:val="20"/>
          <w:lang w:eastAsia="sl-SI"/>
        </w:rPr>
        <w:t xml:space="preserve"> s čimer problematika dotrajanih stikal na </w:t>
      </w:r>
      <w:proofErr w:type="spellStart"/>
      <w:r w:rsidRPr="00D83239">
        <w:rPr>
          <w:rFonts w:ascii="Arial" w:hAnsi="Arial" w:cs="Arial"/>
          <w:sz w:val="20"/>
          <w:szCs w:val="20"/>
          <w:lang w:eastAsia="sl-SI"/>
        </w:rPr>
        <w:t>Litostrojski</w:t>
      </w:r>
      <w:proofErr w:type="spellEnd"/>
      <w:r w:rsidRPr="00D83239">
        <w:rPr>
          <w:rFonts w:ascii="Arial" w:hAnsi="Arial" w:cs="Arial"/>
          <w:sz w:val="20"/>
          <w:szCs w:val="20"/>
          <w:lang w:eastAsia="sl-SI"/>
        </w:rPr>
        <w:t xml:space="preserve"> </w:t>
      </w:r>
      <w:r w:rsidR="00E5008A">
        <w:rPr>
          <w:rFonts w:ascii="Arial" w:hAnsi="Arial" w:cs="Arial"/>
          <w:sz w:val="20"/>
          <w:szCs w:val="20"/>
          <w:lang w:eastAsia="sl-SI"/>
        </w:rPr>
        <w:t xml:space="preserve">cesti </w:t>
      </w:r>
      <w:r w:rsidRPr="00D83239">
        <w:rPr>
          <w:rFonts w:ascii="Arial" w:hAnsi="Arial" w:cs="Arial"/>
          <w:sz w:val="20"/>
          <w:szCs w:val="20"/>
          <w:lang w:eastAsia="sl-SI"/>
        </w:rPr>
        <w:t>54 preide v reševanje na MNZ. Tehnično</w:t>
      </w:r>
      <w:r w:rsidR="00C02E5F">
        <w:rPr>
          <w:rFonts w:ascii="Arial" w:hAnsi="Arial" w:cs="Arial"/>
          <w:sz w:val="20"/>
          <w:szCs w:val="20"/>
          <w:lang w:eastAsia="sl-SI"/>
        </w:rPr>
        <w:t>-</w:t>
      </w:r>
      <w:r w:rsidRPr="00D83239">
        <w:rPr>
          <w:rFonts w:ascii="Arial" w:hAnsi="Arial" w:cs="Arial"/>
          <w:sz w:val="20"/>
          <w:szCs w:val="20"/>
          <w:lang w:eastAsia="sl-SI"/>
        </w:rPr>
        <w:t xml:space="preserve">strokovna služba je </w:t>
      </w:r>
      <w:r w:rsidR="00C02E5F">
        <w:rPr>
          <w:rFonts w:ascii="Arial" w:hAnsi="Arial" w:cs="Arial"/>
          <w:sz w:val="20"/>
          <w:szCs w:val="20"/>
          <w:lang w:eastAsia="sl-SI"/>
        </w:rPr>
        <w:t>začela</w:t>
      </w:r>
      <w:r w:rsidRPr="00D83239">
        <w:rPr>
          <w:rFonts w:ascii="Arial" w:hAnsi="Arial" w:cs="Arial"/>
          <w:sz w:val="20"/>
          <w:szCs w:val="20"/>
          <w:lang w:eastAsia="sl-SI"/>
        </w:rPr>
        <w:t xml:space="preserve"> priprav</w:t>
      </w:r>
      <w:r w:rsidR="00C02E5F">
        <w:rPr>
          <w:rFonts w:ascii="Arial" w:hAnsi="Arial" w:cs="Arial"/>
          <w:sz w:val="20"/>
          <w:szCs w:val="20"/>
          <w:lang w:eastAsia="sl-SI"/>
        </w:rPr>
        <w:t>o</w:t>
      </w:r>
      <w:r w:rsidRPr="00D83239">
        <w:rPr>
          <w:rFonts w:ascii="Arial" w:hAnsi="Arial" w:cs="Arial"/>
          <w:sz w:val="20"/>
          <w:szCs w:val="20"/>
          <w:lang w:eastAsia="sl-SI"/>
        </w:rPr>
        <w:t xml:space="preserve"> strokovnih podlag za najnujnejšo menjavo glavnih stikal na </w:t>
      </w:r>
      <w:proofErr w:type="spellStart"/>
      <w:r w:rsidRPr="00D83239">
        <w:rPr>
          <w:rFonts w:ascii="Arial" w:hAnsi="Arial" w:cs="Arial"/>
          <w:sz w:val="20"/>
          <w:szCs w:val="20"/>
          <w:lang w:eastAsia="sl-SI"/>
        </w:rPr>
        <w:t>Litostrojski</w:t>
      </w:r>
      <w:proofErr w:type="spellEnd"/>
      <w:r w:rsidR="00E5008A">
        <w:rPr>
          <w:rFonts w:ascii="Arial" w:hAnsi="Arial" w:cs="Arial"/>
          <w:sz w:val="20"/>
          <w:szCs w:val="20"/>
          <w:lang w:eastAsia="sl-SI"/>
        </w:rPr>
        <w:t xml:space="preserve"> cesti</w:t>
      </w:r>
      <w:r w:rsidRPr="00D83239">
        <w:rPr>
          <w:rFonts w:ascii="Arial" w:hAnsi="Arial" w:cs="Arial"/>
          <w:sz w:val="20"/>
          <w:szCs w:val="20"/>
          <w:lang w:eastAsia="sl-SI"/>
        </w:rPr>
        <w:t xml:space="preserve"> 54. </w:t>
      </w:r>
    </w:p>
    <w:p w14:paraId="1FA5B8EF" w14:textId="77777777" w:rsidR="006263C1" w:rsidRPr="00D83239" w:rsidRDefault="006263C1" w:rsidP="00D83239">
      <w:pPr>
        <w:autoSpaceDE w:val="0"/>
        <w:autoSpaceDN w:val="0"/>
        <w:adjustRightInd w:val="0"/>
        <w:spacing w:after="0" w:line="276" w:lineRule="auto"/>
        <w:jc w:val="both"/>
        <w:rPr>
          <w:rFonts w:ascii="Arial" w:hAnsi="Arial" w:cs="Arial"/>
          <w:sz w:val="20"/>
          <w:szCs w:val="20"/>
          <w:lang w:eastAsia="sl-SI"/>
        </w:rPr>
      </w:pPr>
    </w:p>
    <w:p w14:paraId="33B47780" w14:textId="0E6D4F86" w:rsidR="006263C1" w:rsidRPr="0078067A" w:rsidRDefault="006263C1" w:rsidP="00D83239">
      <w:pPr>
        <w:autoSpaceDE w:val="0"/>
        <w:autoSpaceDN w:val="0"/>
        <w:adjustRightInd w:val="0"/>
        <w:spacing w:after="0" w:line="276" w:lineRule="auto"/>
        <w:jc w:val="both"/>
        <w:rPr>
          <w:rFonts w:ascii="Arial" w:hAnsi="Arial" w:cs="Arial"/>
          <w:sz w:val="20"/>
          <w:szCs w:val="20"/>
          <w:lang w:eastAsia="sl-SI"/>
        </w:rPr>
      </w:pPr>
      <w:r w:rsidRPr="0078067A">
        <w:rPr>
          <w:rFonts w:ascii="Arial" w:hAnsi="Arial" w:cs="Arial"/>
          <w:sz w:val="20"/>
          <w:szCs w:val="20"/>
          <w:lang w:eastAsia="sl-SI"/>
        </w:rPr>
        <w:t xml:space="preserve">Pripravljeno je bilo </w:t>
      </w:r>
      <w:r w:rsidRPr="0078067A">
        <w:rPr>
          <w:rFonts w:ascii="Arial" w:hAnsi="Arial" w:cs="Arial"/>
          <w:b/>
          <w:sz w:val="20"/>
          <w:szCs w:val="20"/>
          <w:lang w:eastAsia="sl-SI"/>
        </w:rPr>
        <w:t>tes</w:t>
      </w:r>
      <w:r w:rsidR="00E5008A">
        <w:rPr>
          <w:rFonts w:ascii="Arial" w:hAnsi="Arial" w:cs="Arial"/>
          <w:b/>
          <w:sz w:val="20"/>
          <w:szCs w:val="20"/>
          <w:lang w:eastAsia="sl-SI"/>
        </w:rPr>
        <w:t>tno in produkcijsko okolje za informacijski sitem</w:t>
      </w:r>
      <w:r w:rsidRPr="0078067A">
        <w:rPr>
          <w:rFonts w:ascii="Arial" w:hAnsi="Arial" w:cs="Arial"/>
          <w:b/>
          <w:sz w:val="20"/>
          <w:szCs w:val="20"/>
          <w:lang w:eastAsia="sl-SI"/>
        </w:rPr>
        <w:t xml:space="preserve"> MUZA.</w:t>
      </w:r>
      <w:r w:rsidRPr="0078067A">
        <w:rPr>
          <w:rFonts w:ascii="Arial" w:hAnsi="Arial" w:cs="Arial"/>
          <w:sz w:val="20"/>
          <w:szCs w:val="20"/>
          <w:lang w:eastAsia="sl-SI"/>
        </w:rPr>
        <w:t xml:space="preserve"> Uporabniki so med testiranjem ugotovili potrebe po prilagoditvah, ki so potrebne zaradi zakonodajnih </w:t>
      </w:r>
      <w:r w:rsidR="005B1B0C">
        <w:rPr>
          <w:rFonts w:ascii="Arial" w:hAnsi="Arial" w:cs="Arial"/>
          <w:sz w:val="20"/>
          <w:szCs w:val="20"/>
          <w:lang w:eastAsia="sl-SI"/>
        </w:rPr>
        <w:t>posebnosti</w:t>
      </w:r>
      <w:r w:rsidR="005B1B0C" w:rsidRPr="0078067A">
        <w:rPr>
          <w:rFonts w:ascii="Arial" w:hAnsi="Arial" w:cs="Arial"/>
          <w:sz w:val="20"/>
          <w:szCs w:val="20"/>
          <w:lang w:eastAsia="sl-SI"/>
        </w:rPr>
        <w:t xml:space="preserve"> </w:t>
      </w:r>
      <w:r w:rsidRPr="0078067A">
        <w:rPr>
          <w:rFonts w:ascii="Arial" w:hAnsi="Arial" w:cs="Arial"/>
          <w:sz w:val="20"/>
          <w:szCs w:val="20"/>
          <w:lang w:eastAsia="sl-SI"/>
        </w:rPr>
        <w:t>dela Policije. Odpravljajo se tehnične težave pri sinhronizaciji izmenjav podatkov med Ministrstvom za digitalno preobrazbo in MNZ.</w:t>
      </w:r>
    </w:p>
    <w:p w14:paraId="2D5938B3" w14:textId="77777777" w:rsidR="006263C1" w:rsidRPr="00D83239" w:rsidRDefault="006263C1" w:rsidP="00D83239">
      <w:pPr>
        <w:autoSpaceDE w:val="0"/>
        <w:autoSpaceDN w:val="0"/>
        <w:adjustRightInd w:val="0"/>
        <w:spacing w:after="0" w:line="276" w:lineRule="auto"/>
        <w:jc w:val="both"/>
        <w:rPr>
          <w:rFonts w:ascii="Arial" w:hAnsi="Arial" w:cs="Arial"/>
          <w:sz w:val="20"/>
          <w:szCs w:val="20"/>
          <w:lang w:eastAsia="sl-SI"/>
        </w:rPr>
      </w:pPr>
    </w:p>
    <w:p w14:paraId="52E104A4" w14:textId="38441A81" w:rsidR="006263C1" w:rsidRPr="00D83239" w:rsidRDefault="006263C1"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 xml:space="preserve">MNZ ima vzpostavljen sistem varne e-hrambe, za </w:t>
      </w:r>
      <w:r w:rsidR="005B1B0C">
        <w:rPr>
          <w:rFonts w:ascii="Arial" w:hAnsi="Arial" w:cs="Arial"/>
          <w:sz w:val="20"/>
          <w:szCs w:val="20"/>
          <w:lang w:eastAsia="sl-SI"/>
        </w:rPr>
        <w:t>izboljšanje</w:t>
      </w:r>
      <w:r w:rsidR="005B1B0C" w:rsidRPr="00D83239">
        <w:rPr>
          <w:rFonts w:ascii="Arial" w:hAnsi="Arial" w:cs="Arial"/>
          <w:sz w:val="20"/>
          <w:szCs w:val="20"/>
          <w:lang w:eastAsia="sl-SI"/>
        </w:rPr>
        <w:t xml:space="preserve"> </w:t>
      </w:r>
      <w:r w:rsidRPr="00D83239">
        <w:rPr>
          <w:rFonts w:ascii="Arial" w:hAnsi="Arial" w:cs="Arial"/>
          <w:sz w:val="20"/>
          <w:szCs w:val="20"/>
          <w:lang w:eastAsia="sl-SI"/>
        </w:rPr>
        <w:t>odpornosti sistema pa bo</w:t>
      </w:r>
      <w:r w:rsidR="005B1B0C">
        <w:rPr>
          <w:rFonts w:ascii="Arial" w:hAnsi="Arial" w:cs="Arial"/>
          <w:sz w:val="20"/>
          <w:szCs w:val="20"/>
          <w:lang w:eastAsia="sl-SI"/>
        </w:rPr>
        <w:t>sta</w:t>
      </w:r>
      <w:r w:rsidRPr="00D83239">
        <w:rPr>
          <w:rFonts w:ascii="Arial" w:hAnsi="Arial" w:cs="Arial"/>
          <w:sz w:val="20"/>
          <w:szCs w:val="20"/>
          <w:lang w:eastAsia="sl-SI"/>
        </w:rPr>
        <w:t xml:space="preserve"> potrebna nadgradnja kapacitet povezav in zmogljivosti na rezervni lokaciji ter zmanjšanje številnih tveganj na lokaciji primarnega podatkovnega centra. V zvez</w:t>
      </w:r>
      <w:r w:rsidR="00E5008A">
        <w:rPr>
          <w:rFonts w:ascii="Arial" w:hAnsi="Arial" w:cs="Arial"/>
          <w:sz w:val="20"/>
          <w:szCs w:val="20"/>
          <w:lang w:eastAsia="sl-SI"/>
        </w:rPr>
        <w:t>i s tem so bile v 2025 izvedene</w:t>
      </w:r>
      <w:r w:rsidRPr="00D83239">
        <w:rPr>
          <w:rFonts w:ascii="Arial" w:hAnsi="Arial" w:cs="Arial"/>
          <w:sz w:val="20"/>
          <w:szCs w:val="20"/>
          <w:lang w:eastAsia="sl-SI"/>
        </w:rPr>
        <w:t xml:space="preserve"> potrebne aktivnosti tehnično</w:t>
      </w:r>
      <w:r w:rsidR="005B1B0C">
        <w:rPr>
          <w:rFonts w:ascii="Arial" w:hAnsi="Arial" w:cs="Arial"/>
          <w:sz w:val="20"/>
          <w:szCs w:val="20"/>
          <w:lang w:eastAsia="sl-SI"/>
        </w:rPr>
        <w:t>-</w:t>
      </w:r>
      <w:r w:rsidRPr="00D83239">
        <w:rPr>
          <w:rFonts w:ascii="Arial" w:hAnsi="Arial" w:cs="Arial"/>
          <w:sz w:val="20"/>
          <w:szCs w:val="20"/>
          <w:lang w:eastAsia="sl-SI"/>
        </w:rPr>
        <w:t>strokovnih služb.</w:t>
      </w:r>
    </w:p>
    <w:p w14:paraId="1D7BEAB6" w14:textId="77777777" w:rsidR="006263C1" w:rsidRPr="00D83239" w:rsidRDefault="006263C1" w:rsidP="00D83239">
      <w:pPr>
        <w:autoSpaceDE w:val="0"/>
        <w:autoSpaceDN w:val="0"/>
        <w:adjustRightInd w:val="0"/>
        <w:spacing w:after="0" w:line="276" w:lineRule="auto"/>
        <w:jc w:val="both"/>
        <w:rPr>
          <w:rFonts w:ascii="Arial" w:hAnsi="Arial" w:cs="Arial"/>
          <w:sz w:val="20"/>
          <w:szCs w:val="20"/>
          <w:lang w:eastAsia="sl-SI"/>
        </w:rPr>
      </w:pPr>
    </w:p>
    <w:p w14:paraId="35E80782" w14:textId="77777777" w:rsidR="006263C1" w:rsidRPr="00D83239" w:rsidRDefault="006263C1"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sz w:val="20"/>
          <w:szCs w:val="20"/>
          <w:lang w:eastAsia="sl-SI"/>
        </w:rPr>
        <w:t xml:space="preserve">V letu 2025 so se izvajala pilotna testiranja MS Exchange za elektronsko pošto. Testiranj je bilo manj od predvidenih zaradi zakasnitve z nabavami orodij za migracijo in zakasnitve nabave sistema za upravljanje mobilnih naprav. </w:t>
      </w:r>
    </w:p>
    <w:p w14:paraId="2174D354" w14:textId="77777777" w:rsidR="006263C1" w:rsidRPr="00D83239" w:rsidRDefault="006263C1" w:rsidP="00D83239">
      <w:pPr>
        <w:autoSpaceDE w:val="0"/>
        <w:autoSpaceDN w:val="0"/>
        <w:adjustRightInd w:val="0"/>
        <w:spacing w:after="0" w:line="276" w:lineRule="auto"/>
        <w:jc w:val="both"/>
        <w:rPr>
          <w:rFonts w:ascii="Arial" w:hAnsi="Arial" w:cs="Arial"/>
          <w:b/>
          <w:bCs/>
          <w:sz w:val="20"/>
          <w:szCs w:val="20"/>
          <w:lang w:eastAsia="sl-SI"/>
        </w:rPr>
      </w:pPr>
    </w:p>
    <w:p w14:paraId="56D868B3" w14:textId="77777777" w:rsidR="00FA565F" w:rsidRDefault="006263C1" w:rsidP="00D83239">
      <w:pPr>
        <w:autoSpaceDE w:val="0"/>
        <w:autoSpaceDN w:val="0"/>
        <w:adjustRightInd w:val="0"/>
        <w:spacing w:after="0" w:line="276" w:lineRule="auto"/>
        <w:jc w:val="both"/>
        <w:rPr>
          <w:rFonts w:ascii="Arial" w:hAnsi="Arial" w:cs="Arial"/>
          <w:b/>
          <w:bCs/>
          <w:sz w:val="20"/>
          <w:szCs w:val="20"/>
          <w:lang w:eastAsia="sl-SI"/>
        </w:rPr>
      </w:pPr>
      <w:r w:rsidRPr="00D83239">
        <w:rPr>
          <w:rFonts w:ascii="Arial" w:hAnsi="Arial" w:cs="Arial"/>
          <w:b/>
          <w:bCs/>
          <w:sz w:val="20"/>
          <w:szCs w:val="20"/>
          <w:lang w:eastAsia="sl-SI"/>
        </w:rPr>
        <w:t xml:space="preserve">MS </w:t>
      </w:r>
      <w:proofErr w:type="spellStart"/>
      <w:r w:rsidRPr="00D83239">
        <w:rPr>
          <w:rFonts w:ascii="Arial" w:hAnsi="Arial" w:cs="Arial"/>
          <w:b/>
          <w:bCs/>
          <w:sz w:val="20"/>
          <w:szCs w:val="20"/>
          <w:lang w:eastAsia="sl-SI"/>
        </w:rPr>
        <w:t>Sharepoint</w:t>
      </w:r>
      <w:proofErr w:type="spellEnd"/>
    </w:p>
    <w:p w14:paraId="2AF1B5CF" w14:textId="5AD13E1C" w:rsidR="006263C1" w:rsidRPr="00FA565F" w:rsidRDefault="006263C1" w:rsidP="00D83239">
      <w:pPr>
        <w:autoSpaceDE w:val="0"/>
        <w:autoSpaceDN w:val="0"/>
        <w:adjustRightInd w:val="0"/>
        <w:spacing w:after="0" w:line="276" w:lineRule="auto"/>
        <w:jc w:val="both"/>
        <w:rPr>
          <w:rFonts w:ascii="Arial" w:hAnsi="Arial" w:cs="Arial"/>
          <w:b/>
          <w:bCs/>
          <w:sz w:val="20"/>
          <w:szCs w:val="20"/>
          <w:lang w:eastAsia="sl-SI"/>
        </w:rPr>
      </w:pPr>
      <w:r w:rsidRPr="00D83239">
        <w:rPr>
          <w:rFonts w:ascii="Arial" w:hAnsi="Arial" w:cs="Arial"/>
          <w:sz w:val="20"/>
          <w:szCs w:val="20"/>
          <w:lang w:eastAsia="sl-SI"/>
        </w:rPr>
        <w:t>Za skupno delo na dokumenti</w:t>
      </w:r>
      <w:r w:rsidR="00F21AB1">
        <w:rPr>
          <w:rFonts w:ascii="Arial" w:hAnsi="Arial" w:cs="Arial"/>
          <w:sz w:val="20"/>
          <w:szCs w:val="20"/>
          <w:lang w:eastAsia="sl-SI"/>
        </w:rPr>
        <w:t>h</w:t>
      </w:r>
      <w:r w:rsidRPr="00D83239">
        <w:rPr>
          <w:rFonts w:ascii="Arial" w:hAnsi="Arial" w:cs="Arial"/>
          <w:sz w:val="20"/>
          <w:szCs w:val="20"/>
          <w:lang w:eastAsia="sl-SI"/>
        </w:rPr>
        <w:t xml:space="preserve"> MNZ </w:t>
      </w:r>
      <w:r w:rsidR="00F21AB1">
        <w:rPr>
          <w:rFonts w:ascii="Arial" w:hAnsi="Arial" w:cs="Arial"/>
          <w:sz w:val="20"/>
          <w:szCs w:val="20"/>
          <w:lang w:eastAsia="sl-SI"/>
        </w:rPr>
        <w:t>in</w:t>
      </w:r>
      <w:r w:rsidR="00F21AB1" w:rsidRPr="00D83239">
        <w:rPr>
          <w:rFonts w:ascii="Arial" w:hAnsi="Arial" w:cs="Arial"/>
          <w:sz w:val="20"/>
          <w:szCs w:val="20"/>
          <w:lang w:eastAsia="sl-SI"/>
        </w:rPr>
        <w:t xml:space="preserve"> </w:t>
      </w:r>
      <w:r w:rsidRPr="00D83239">
        <w:rPr>
          <w:rFonts w:ascii="Arial" w:hAnsi="Arial" w:cs="Arial"/>
          <w:sz w:val="20"/>
          <w:szCs w:val="20"/>
          <w:lang w:eastAsia="sl-SI"/>
        </w:rPr>
        <w:t xml:space="preserve">organov v sestavi je bil vzpostavljen MS </w:t>
      </w:r>
      <w:proofErr w:type="spellStart"/>
      <w:r w:rsidRPr="00D83239">
        <w:rPr>
          <w:rFonts w:ascii="Arial" w:hAnsi="Arial" w:cs="Arial"/>
          <w:sz w:val="20"/>
          <w:szCs w:val="20"/>
          <w:lang w:eastAsia="sl-SI"/>
        </w:rPr>
        <w:t>Sharepoint</w:t>
      </w:r>
      <w:proofErr w:type="spellEnd"/>
      <w:r w:rsidRPr="00D83239">
        <w:rPr>
          <w:rFonts w:ascii="Arial" w:hAnsi="Arial" w:cs="Arial"/>
          <w:sz w:val="20"/>
          <w:szCs w:val="20"/>
          <w:lang w:eastAsia="sl-SI"/>
        </w:rPr>
        <w:t xml:space="preserve"> na strežnikih v upravljanju MNZ (do </w:t>
      </w:r>
      <w:r w:rsidR="00F21AB1">
        <w:rPr>
          <w:rFonts w:ascii="Arial" w:hAnsi="Arial" w:cs="Arial"/>
          <w:sz w:val="20"/>
          <w:szCs w:val="20"/>
          <w:lang w:eastAsia="sl-SI"/>
        </w:rPr>
        <w:t>z</w:t>
      </w:r>
      <w:r w:rsidRPr="00D83239">
        <w:rPr>
          <w:rFonts w:ascii="Arial" w:hAnsi="Arial" w:cs="Arial"/>
          <w:sz w:val="20"/>
          <w:szCs w:val="20"/>
          <w:lang w:eastAsia="sl-SI"/>
        </w:rPr>
        <w:t xml:space="preserve">daj </w:t>
      </w:r>
      <w:r w:rsidR="000D05FC">
        <w:rPr>
          <w:rFonts w:ascii="Arial" w:hAnsi="Arial" w:cs="Arial"/>
          <w:sz w:val="20"/>
          <w:szCs w:val="20"/>
          <w:lang w:eastAsia="sl-SI"/>
        </w:rPr>
        <w:t xml:space="preserve">je bila </w:t>
      </w:r>
      <w:r w:rsidRPr="00D83239">
        <w:rPr>
          <w:rFonts w:ascii="Arial" w:hAnsi="Arial" w:cs="Arial"/>
          <w:sz w:val="20"/>
          <w:szCs w:val="20"/>
          <w:lang w:eastAsia="sl-SI"/>
        </w:rPr>
        <w:t xml:space="preserve">v uporabi le oblačna storitev na strežnikih </w:t>
      </w:r>
      <w:r w:rsidR="00F21AB1">
        <w:rPr>
          <w:rFonts w:ascii="Arial" w:hAnsi="Arial" w:cs="Arial"/>
          <w:sz w:val="20"/>
          <w:szCs w:val="20"/>
          <w:lang w:eastAsia="sl-SI"/>
        </w:rPr>
        <w:t>zunaj</w:t>
      </w:r>
      <w:r w:rsidR="00F21AB1" w:rsidRPr="00D83239">
        <w:rPr>
          <w:rFonts w:ascii="Arial" w:hAnsi="Arial" w:cs="Arial"/>
          <w:sz w:val="20"/>
          <w:szCs w:val="20"/>
          <w:lang w:eastAsia="sl-SI"/>
        </w:rPr>
        <w:t xml:space="preserve"> </w:t>
      </w:r>
      <w:r w:rsidRPr="00D83239">
        <w:rPr>
          <w:rFonts w:ascii="Arial" w:hAnsi="Arial" w:cs="Arial"/>
          <w:sz w:val="20"/>
          <w:szCs w:val="20"/>
          <w:lang w:eastAsia="sl-SI"/>
        </w:rPr>
        <w:t>MNZ). Izvedeni sta bili dve usposabljanji in pripravljena</w:t>
      </w:r>
      <w:r w:rsidR="00F21AB1">
        <w:rPr>
          <w:rFonts w:ascii="Arial" w:hAnsi="Arial" w:cs="Arial"/>
          <w:sz w:val="20"/>
          <w:szCs w:val="20"/>
          <w:lang w:eastAsia="sl-SI"/>
        </w:rPr>
        <w:t xml:space="preserve"> so bila</w:t>
      </w:r>
      <w:r w:rsidRPr="00D83239">
        <w:rPr>
          <w:rFonts w:ascii="Arial" w:hAnsi="Arial" w:cs="Arial"/>
          <w:sz w:val="20"/>
          <w:szCs w:val="20"/>
          <w:lang w:eastAsia="sl-SI"/>
        </w:rPr>
        <w:t xml:space="preserve"> uporabniška navodila. Na tej platformi </w:t>
      </w:r>
      <w:r w:rsidR="00271B75">
        <w:rPr>
          <w:rFonts w:ascii="Arial" w:hAnsi="Arial" w:cs="Arial"/>
          <w:sz w:val="20"/>
          <w:szCs w:val="20"/>
          <w:lang w:eastAsia="sl-SI"/>
        </w:rPr>
        <w:t>MNZ</w:t>
      </w:r>
      <w:r w:rsidRPr="00D83239">
        <w:rPr>
          <w:rFonts w:ascii="Arial" w:hAnsi="Arial" w:cs="Arial"/>
          <w:sz w:val="20"/>
          <w:szCs w:val="20"/>
          <w:lang w:eastAsia="sl-SI"/>
        </w:rPr>
        <w:t xml:space="preserve"> </w:t>
      </w:r>
      <w:r w:rsidR="00F21AB1">
        <w:rPr>
          <w:rFonts w:ascii="Arial" w:hAnsi="Arial" w:cs="Arial"/>
          <w:sz w:val="20"/>
          <w:szCs w:val="20"/>
          <w:lang w:eastAsia="sl-SI"/>
        </w:rPr>
        <w:t>za</w:t>
      </w:r>
      <w:r w:rsidRPr="00D83239">
        <w:rPr>
          <w:rFonts w:ascii="Arial" w:hAnsi="Arial" w:cs="Arial"/>
          <w:sz w:val="20"/>
          <w:szCs w:val="20"/>
          <w:lang w:eastAsia="sl-SI"/>
        </w:rPr>
        <w:t>čenja vzpostavljati tudi oglasno desko – intranet.</w:t>
      </w:r>
    </w:p>
    <w:p w14:paraId="108438CA" w14:textId="77777777" w:rsidR="00CA3B97" w:rsidRDefault="00CA3B97" w:rsidP="00CA3B97">
      <w:pPr>
        <w:autoSpaceDE w:val="0"/>
        <w:autoSpaceDN w:val="0"/>
        <w:adjustRightInd w:val="0"/>
        <w:spacing w:after="0" w:line="276" w:lineRule="auto"/>
        <w:jc w:val="both"/>
        <w:rPr>
          <w:rFonts w:ascii="Arial" w:hAnsi="Arial" w:cs="Arial"/>
          <w:b/>
          <w:color w:val="0070C0"/>
          <w:sz w:val="20"/>
          <w:szCs w:val="20"/>
          <w:lang w:eastAsia="sl-SI"/>
        </w:rPr>
      </w:pPr>
    </w:p>
    <w:p w14:paraId="190C466A" w14:textId="634AEBD0" w:rsidR="00CA3B97" w:rsidRPr="00FA565F" w:rsidRDefault="00CA3B97" w:rsidP="00CA3B9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FA565F">
        <w:rPr>
          <w:rFonts w:ascii="Arial" w:hAnsi="Arial" w:cs="Arial"/>
          <w:sz w:val="20"/>
          <w:szCs w:val="20"/>
        </w:rPr>
        <w:t xml:space="preserve">Izvajala se je tehnološka </w:t>
      </w:r>
      <w:r w:rsidRPr="00FA565F">
        <w:rPr>
          <w:rFonts w:ascii="Arial" w:hAnsi="Arial" w:cs="Arial"/>
          <w:b/>
          <w:sz w:val="20"/>
          <w:szCs w:val="20"/>
        </w:rPr>
        <w:t xml:space="preserve">prenova informacijskega sistema </w:t>
      </w:r>
      <w:r w:rsidRPr="00FA565F">
        <w:rPr>
          <w:rFonts w:ascii="Arial" w:hAnsi="Arial" w:cs="Arial"/>
          <w:b/>
          <w:bCs/>
          <w:sz w:val="20"/>
          <w:szCs w:val="20"/>
        </w:rPr>
        <w:t xml:space="preserve">za vodenje evidenc ter upravnih in </w:t>
      </w:r>
      <w:proofErr w:type="spellStart"/>
      <w:r w:rsidRPr="00FA565F">
        <w:rPr>
          <w:rFonts w:ascii="Arial" w:hAnsi="Arial" w:cs="Arial"/>
          <w:b/>
          <w:bCs/>
          <w:sz w:val="20"/>
          <w:szCs w:val="20"/>
        </w:rPr>
        <w:t>prekrškovnih</w:t>
      </w:r>
      <w:proofErr w:type="spellEnd"/>
      <w:r w:rsidRPr="00FA565F">
        <w:rPr>
          <w:rFonts w:ascii="Arial" w:hAnsi="Arial" w:cs="Arial"/>
          <w:b/>
          <w:bCs/>
          <w:sz w:val="20"/>
          <w:szCs w:val="20"/>
        </w:rPr>
        <w:t xml:space="preserve"> postopkov</w:t>
      </w:r>
      <w:r w:rsidRPr="00FA565F">
        <w:rPr>
          <w:rFonts w:ascii="Arial" w:hAnsi="Arial" w:cs="Arial"/>
          <w:bCs/>
          <w:sz w:val="20"/>
          <w:szCs w:val="20"/>
        </w:rPr>
        <w:t xml:space="preserve"> </w:t>
      </w:r>
      <w:r w:rsidRPr="00FA565F">
        <w:rPr>
          <w:rFonts w:ascii="Arial" w:hAnsi="Arial" w:cs="Arial"/>
          <w:sz w:val="20"/>
          <w:szCs w:val="20"/>
        </w:rPr>
        <w:t>(EUPP) za podporo poslovnim procesom v Direktoratu za policijo in varnostne naloge, IRSNZ ter U</w:t>
      </w:r>
      <w:r w:rsidR="009240A6">
        <w:rPr>
          <w:rFonts w:ascii="Arial" w:hAnsi="Arial" w:cs="Arial"/>
          <w:sz w:val="20"/>
          <w:szCs w:val="20"/>
        </w:rPr>
        <w:t>radu za organizacijo in kadre</w:t>
      </w:r>
      <w:r w:rsidRPr="00FA565F">
        <w:rPr>
          <w:rFonts w:ascii="Arial" w:hAnsi="Arial" w:cs="Arial"/>
          <w:sz w:val="20"/>
          <w:szCs w:val="20"/>
        </w:rPr>
        <w:t xml:space="preserve">. Izvedenih je bilo več procesnih in funkcionalnih nadgradenj. Oblikovana so bila izhodišča za novo vzdrževalno pogodbo. </w:t>
      </w:r>
    </w:p>
    <w:p w14:paraId="577CC830" w14:textId="77777777" w:rsidR="00BB2CE8" w:rsidRPr="00D83239" w:rsidRDefault="00BB2CE8" w:rsidP="00D83239">
      <w:pPr>
        <w:tabs>
          <w:tab w:val="left" w:pos="2811"/>
        </w:tabs>
        <w:spacing w:after="0" w:line="276" w:lineRule="auto"/>
        <w:jc w:val="both"/>
        <w:rPr>
          <w:rFonts w:ascii="Arial" w:hAnsi="Arial" w:cs="Arial"/>
          <w:b/>
          <w:sz w:val="20"/>
          <w:szCs w:val="20"/>
          <w:highlight w:val="yellow"/>
        </w:rPr>
      </w:pPr>
    </w:p>
    <w:p w14:paraId="6918BFB6" w14:textId="4A186310" w:rsidR="00BB2CE8" w:rsidRPr="00D83239" w:rsidRDefault="00BB2CE8" w:rsidP="00D83239">
      <w:pPr>
        <w:autoSpaceDE w:val="0"/>
        <w:autoSpaceDN w:val="0"/>
        <w:adjustRightInd w:val="0"/>
        <w:spacing w:after="0" w:line="276" w:lineRule="auto"/>
        <w:jc w:val="both"/>
        <w:rPr>
          <w:rFonts w:ascii="Arial" w:hAnsi="Arial" w:cs="Arial"/>
          <w:sz w:val="20"/>
          <w:szCs w:val="20"/>
          <w:lang w:eastAsia="sl-SI"/>
        </w:rPr>
      </w:pPr>
      <w:r w:rsidRPr="00D83239">
        <w:rPr>
          <w:rFonts w:ascii="Arial" w:hAnsi="Arial" w:cs="Arial"/>
          <w:bCs/>
          <w:sz w:val="20"/>
          <w:szCs w:val="20"/>
          <w:lang w:eastAsia="sl-SI"/>
        </w:rPr>
        <w:t>V letu 2025 se je nadaljevala tudi prenova</w:t>
      </w:r>
      <w:r w:rsidRPr="00D83239">
        <w:rPr>
          <w:rFonts w:ascii="Arial" w:hAnsi="Arial" w:cs="Arial"/>
          <w:b/>
          <w:bCs/>
          <w:sz w:val="20"/>
          <w:szCs w:val="20"/>
          <w:lang w:eastAsia="sl-SI"/>
        </w:rPr>
        <w:t xml:space="preserve"> informacijske podpore poslovnemu procesu razporeditve obveznikov Ministrstva za notranje zadeve z organoma v sestavi na delovno dolžnost</w:t>
      </w:r>
      <w:r w:rsidRPr="00D83239">
        <w:rPr>
          <w:rFonts w:ascii="Arial" w:hAnsi="Arial" w:cs="Arial"/>
          <w:bCs/>
          <w:sz w:val="20"/>
          <w:szCs w:val="20"/>
          <w:lang w:eastAsia="sl-SI"/>
        </w:rPr>
        <w:t xml:space="preserve">. </w:t>
      </w:r>
      <w:r w:rsidRPr="00D83239">
        <w:rPr>
          <w:rFonts w:ascii="Arial" w:hAnsi="Arial" w:cs="Arial"/>
          <w:sz w:val="20"/>
          <w:szCs w:val="20"/>
          <w:lang w:eastAsia="sl-SI"/>
        </w:rPr>
        <w:t xml:space="preserve">Poslovni proces razporeditve obveznikov Ministrstva za notranje zadeve z organoma v sestavi na delovno dolžnost se kot sestavni del obrambnega načrtovanja izvaja na podlagi določb Zakona o obrambi, Uredbe o obrambnem načrtovanju ter Uredbe o kriterijih za razporejanje državljanov. Evidenca obveznikov se vodi skladno z Zakonom o organiziranosti in delu v policiji. V letu 2022 je bil na podlagi popisa in analize izvajanja obravnavanega poslovnega procesa izdelan predlog za nadgradnjo </w:t>
      </w:r>
      <w:r w:rsidR="00E5008A">
        <w:rPr>
          <w:rFonts w:ascii="Arial" w:hAnsi="Arial" w:cs="Arial"/>
          <w:sz w:val="20"/>
          <w:szCs w:val="20"/>
          <w:lang w:eastAsia="sl-SI"/>
        </w:rPr>
        <w:t xml:space="preserve">informacijskega </w:t>
      </w:r>
      <w:r w:rsidRPr="00D83239">
        <w:rPr>
          <w:rFonts w:ascii="Arial" w:hAnsi="Arial" w:cs="Arial"/>
          <w:sz w:val="20"/>
          <w:szCs w:val="20"/>
          <w:lang w:eastAsia="sl-SI"/>
        </w:rPr>
        <w:t>sistema MFERAC, ki je bil v proučitev in mnenje pos</w:t>
      </w:r>
      <w:r w:rsidR="001635FB">
        <w:rPr>
          <w:rFonts w:ascii="Arial" w:hAnsi="Arial" w:cs="Arial"/>
          <w:sz w:val="20"/>
          <w:szCs w:val="20"/>
          <w:lang w:eastAsia="sl-SI"/>
        </w:rPr>
        <w:t>l</w:t>
      </w:r>
      <w:r w:rsidRPr="00D83239">
        <w:rPr>
          <w:rFonts w:ascii="Arial" w:hAnsi="Arial" w:cs="Arial"/>
          <w:sz w:val="20"/>
          <w:szCs w:val="20"/>
          <w:lang w:eastAsia="sl-SI"/>
        </w:rPr>
        <w:t>an pristojnemu Ministrstvu za finance. Predlog se nanaša na vzpostavitev poenotene sistemske informacijske rešitve za izvajanje poslovnega procesa v</w:t>
      </w:r>
      <w:r w:rsidR="00E5008A">
        <w:rPr>
          <w:rFonts w:ascii="Arial" w:hAnsi="Arial" w:cs="Arial"/>
          <w:sz w:val="20"/>
          <w:szCs w:val="20"/>
          <w:lang w:eastAsia="sl-SI"/>
        </w:rPr>
        <w:t xml:space="preserve"> MNZ</w:t>
      </w:r>
      <w:r w:rsidRPr="00D83239">
        <w:rPr>
          <w:rFonts w:ascii="Arial" w:hAnsi="Arial" w:cs="Arial"/>
          <w:sz w:val="20"/>
          <w:szCs w:val="20"/>
          <w:lang w:eastAsia="sl-SI"/>
        </w:rPr>
        <w:t xml:space="preserve"> z organoma v sestavi. V njem so izpostavljene tudi ključne prednosti in pridobitve, ki se nanašajo tako na delovanje MNZ kot tudi širše na raven celotne državne uprave. Po odločitvi Ministrstva za finance bo predlog uvrščen v načrt prihodnjih nadgradenj </w:t>
      </w:r>
      <w:r w:rsidR="00E5008A">
        <w:rPr>
          <w:rFonts w:ascii="Arial" w:hAnsi="Arial" w:cs="Arial"/>
          <w:sz w:val="20"/>
          <w:szCs w:val="20"/>
          <w:lang w:eastAsia="sl-SI"/>
        </w:rPr>
        <w:t xml:space="preserve">informacijskega </w:t>
      </w:r>
      <w:r w:rsidRPr="00D83239">
        <w:rPr>
          <w:rFonts w:ascii="Arial" w:hAnsi="Arial" w:cs="Arial"/>
          <w:sz w:val="20"/>
          <w:szCs w:val="20"/>
          <w:lang w:eastAsia="sl-SI"/>
        </w:rPr>
        <w:t xml:space="preserve">sistema MFERAC. Glede na dinamiko prenove sistema v okviru projekta MFERAC05 tudi v letu 2025 </w:t>
      </w:r>
      <w:r w:rsidR="00957EA5">
        <w:rPr>
          <w:rFonts w:ascii="Arial" w:hAnsi="Arial" w:cs="Arial"/>
          <w:sz w:val="20"/>
          <w:szCs w:val="20"/>
          <w:lang w:eastAsia="sl-SI"/>
        </w:rPr>
        <w:t>MNZ</w:t>
      </w:r>
      <w:r w:rsidR="00957EA5" w:rsidRPr="00D83239">
        <w:rPr>
          <w:rFonts w:ascii="Arial" w:hAnsi="Arial" w:cs="Arial"/>
          <w:sz w:val="20"/>
          <w:szCs w:val="20"/>
          <w:lang w:eastAsia="sl-SI"/>
        </w:rPr>
        <w:t xml:space="preserve"> </w:t>
      </w:r>
      <w:r w:rsidRPr="00D83239">
        <w:rPr>
          <w:rFonts w:ascii="Arial" w:hAnsi="Arial" w:cs="Arial"/>
          <w:sz w:val="20"/>
          <w:szCs w:val="20"/>
          <w:lang w:eastAsia="sl-SI"/>
        </w:rPr>
        <w:t>še ni bilo pozvano k nadaljnjim aktivnostim za pripravo podrobnejših vsebinskih zahtev predlagane nadgradnje sistema.</w:t>
      </w:r>
    </w:p>
    <w:p w14:paraId="5E214286" w14:textId="77777777" w:rsidR="00EC5EA9" w:rsidRPr="00D83239" w:rsidRDefault="00EC5EA9" w:rsidP="00D8323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highlight w:val="yellow"/>
        </w:rPr>
      </w:pPr>
    </w:p>
    <w:p w14:paraId="2BB9174E" w14:textId="040C1228" w:rsidR="00EC5EA9" w:rsidRPr="009028B2" w:rsidRDefault="005F76F3" w:rsidP="00D8323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r w:rsidRPr="009028B2">
        <w:rPr>
          <w:rFonts w:ascii="Arial" w:hAnsi="Arial" w:cs="Arial"/>
          <w:b/>
          <w:sz w:val="20"/>
          <w:szCs w:val="20"/>
        </w:rPr>
        <w:t>Projekt MFERAC05</w:t>
      </w:r>
    </w:p>
    <w:p w14:paraId="7A7EE1CB" w14:textId="1881AB8B" w:rsidR="000D05FC" w:rsidRPr="00D83239" w:rsidRDefault="000D05FC" w:rsidP="000D05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9E369D">
        <w:rPr>
          <w:rFonts w:ascii="Arial" w:hAnsi="Arial" w:cs="Arial"/>
          <w:sz w:val="20"/>
          <w:szCs w:val="20"/>
        </w:rPr>
        <w:t>Informacijski sistem MFERAC je prenovljen na spletni vmesnik.</w:t>
      </w:r>
      <w:r w:rsidRPr="009E369D">
        <w:rPr>
          <w:rFonts w:ascii="Arial" w:hAnsi="Arial" w:cs="Arial"/>
          <w:color w:val="FF0000"/>
          <w:sz w:val="20"/>
          <w:szCs w:val="20"/>
        </w:rPr>
        <w:t xml:space="preserve"> </w:t>
      </w:r>
      <w:r w:rsidRPr="009E369D">
        <w:rPr>
          <w:rFonts w:ascii="Arial" w:hAnsi="Arial" w:cs="Arial"/>
          <w:sz w:val="20"/>
          <w:szCs w:val="20"/>
        </w:rPr>
        <w:t>Vzpostavljeno</w:t>
      </w:r>
      <w:r w:rsidRPr="00D83239">
        <w:rPr>
          <w:rFonts w:ascii="Arial" w:hAnsi="Arial" w:cs="Arial"/>
          <w:sz w:val="20"/>
          <w:szCs w:val="20"/>
        </w:rPr>
        <w:t xml:space="preserve"> je bilo strežniško okolje za predelano aplikacijo, poteka pa postopno uvajanje vseh uporabnikov MNZ z organoma v sestavi. Konec leta 2025 je bilo v informacijskem sistemu MFERAC05 1</w:t>
      </w:r>
      <w:r w:rsidR="00DB40C0">
        <w:rPr>
          <w:rFonts w:ascii="Arial" w:hAnsi="Arial" w:cs="Arial"/>
          <w:sz w:val="20"/>
          <w:szCs w:val="20"/>
        </w:rPr>
        <w:t>.</w:t>
      </w:r>
      <w:r w:rsidRPr="00D83239">
        <w:rPr>
          <w:rFonts w:ascii="Arial" w:hAnsi="Arial" w:cs="Arial"/>
          <w:sz w:val="20"/>
          <w:szCs w:val="20"/>
        </w:rPr>
        <w:t xml:space="preserve">300 aktivnih uporabnikov (MFERAC05 zdaj zajema tako finančno, računovodsko </w:t>
      </w:r>
      <w:r w:rsidR="00821A99">
        <w:rPr>
          <w:rFonts w:ascii="Arial" w:hAnsi="Arial" w:cs="Arial"/>
          <w:sz w:val="20"/>
          <w:szCs w:val="20"/>
        </w:rPr>
        <w:t>in</w:t>
      </w:r>
      <w:r w:rsidRPr="00D83239">
        <w:rPr>
          <w:rFonts w:ascii="Arial" w:hAnsi="Arial" w:cs="Arial"/>
          <w:sz w:val="20"/>
          <w:szCs w:val="20"/>
        </w:rPr>
        <w:t xml:space="preserve"> kadrovsko področje).</w:t>
      </w:r>
    </w:p>
    <w:p w14:paraId="3A38077D" w14:textId="5136EF7A" w:rsidR="00EC5EA9" w:rsidRPr="00D83239" w:rsidRDefault="00EC5EA9" w:rsidP="00D8323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p>
    <w:p w14:paraId="128407AD" w14:textId="4268A4D0" w:rsidR="00EC5EA9" w:rsidRPr="00D83239" w:rsidRDefault="00EC5EA9" w:rsidP="00D83239">
      <w:pPr>
        <w:autoSpaceDE w:val="0"/>
        <w:autoSpaceDN w:val="0"/>
        <w:adjustRightInd w:val="0"/>
        <w:spacing w:after="0" w:line="276" w:lineRule="auto"/>
        <w:jc w:val="both"/>
        <w:rPr>
          <w:rFonts w:ascii="Arial" w:eastAsiaTheme="minorHAnsi" w:hAnsi="Arial" w:cs="Arial"/>
          <w:sz w:val="20"/>
          <w:szCs w:val="20"/>
        </w:rPr>
      </w:pPr>
      <w:r w:rsidRPr="00D83239">
        <w:rPr>
          <w:rFonts w:ascii="Arial" w:eastAsiaTheme="minorHAnsi" w:hAnsi="Arial" w:cs="Arial"/>
          <w:sz w:val="20"/>
          <w:szCs w:val="20"/>
        </w:rPr>
        <w:t xml:space="preserve">V letu 2025 se (razen nekaterih poročil in šifrantov) zaključuje tudi prehod na področju kadrovskih evidenc in v pretežni meri tudi na področju obračuna plač, prenova na računovodskem področju pa je v teku. Dinamika prehoda je odvisna od dinamike prenove </w:t>
      </w:r>
      <w:r w:rsidR="00DB40C0">
        <w:rPr>
          <w:rFonts w:ascii="Arial" w:eastAsiaTheme="minorHAnsi" w:hAnsi="Arial" w:cs="Arial"/>
          <w:sz w:val="20"/>
          <w:szCs w:val="20"/>
        </w:rPr>
        <w:t>informacijskega sistema</w:t>
      </w:r>
      <w:r w:rsidRPr="00D83239">
        <w:rPr>
          <w:rFonts w:ascii="Arial" w:eastAsiaTheme="minorHAnsi" w:hAnsi="Arial" w:cs="Arial"/>
          <w:sz w:val="20"/>
          <w:szCs w:val="20"/>
        </w:rPr>
        <w:t xml:space="preserve"> MFERAC, ki jo vodi Ministrstvo za finance. </w:t>
      </w:r>
      <w:r w:rsidR="00821A99">
        <w:rPr>
          <w:rFonts w:ascii="Arial" w:eastAsiaTheme="minorHAnsi" w:hAnsi="Arial" w:cs="Arial"/>
          <w:sz w:val="20"/>
          <w:szCs w:val="20"/>
        </w:rPr>
        <w:t>Prenos</w:t>
      </w:r>
      <w:r w:rsidR="00821A99" w:rsidRPr="00D83239">
        <w:rPr>
          <w:rFonts w:ascii="Arial" w:eastAsiaTheme="minorHAnsi" w:hAnsi="Arial" w:cs="Arial"/>
          <w:sz w:val="20"/>
          <w:szCs w:val="20"/>
        </w:rPr>
        <w:t xml:space="preserve"> </w:t>
      </w:r>
      <w:r w:rsidRPr="00D83239">
        <w:rPr>
          <w:rFonts w:ascii="Arial" w:eastAsiaTheme="minorHAnsi" w:hAnsi="Arial" w:cs="Arial"/>
          <w:sz w:val="20"/>
          <w:szCs w:val="20"/>
        </w:rPr>
        <w:t xml:space="preserve">zakonskih sprememb v informacijski sistem MFERAC se izvaja izključno v prenovljenem </w:t>
      </w:r>
      <w:r w:rsidR="00DB40C0">
        <w:rPr>
          <w:rFonts w:ascii="Arial" w:eastAsiaTheme="minorHAnsi" w:hAnsi="Arial" w:cs="Arial"/>
          <w:sz w:val="20"/>
          <w:szCs w:val="20"/>
        </w:rPr>
        <w:t>informacijskem sistemu</w:t>
      </w:r>
      <w:r w:rsidR="00821A99">
        <w:rPr>
          <w:rFonts w:ascii="Arial" w:eastAsiaTheme="minorHAnsi" w:hAnsi="Arial" w:cs="Arial"/>
          <w:sz w:val="20"/>
          <w:szCs w:val="20"/>
        </w:rPr>
        <w:t> </w:t>
      </w:r>
      <w:r w:rsidRPr="00D83239">
        <w:rPr>
          <w:rFonts w:ascii="Arial" w:eastAsiaTheme="minorHAnsi" w:hAnsi="Arial" w:cs="Arial"/>
          <w:sz w:val="20"/>
          <w:szCs w:val="20"/>
        </w:rPr>
        <w:t>MFERAC.</w:t>
      </w:r>
    </w:p>
    <w:p w14:paraId="6E273357" w14:textId="77777777" w:rsidR="00EC5EA9" w:rsidRPr="00D83239" w:rsidRDefault="00EC5EA9" w:rsidP="00D83239">
      <w:pPr>
        <w:autoSpaceDE w:val="0"/>
        <w:autoSpaceDN w:val="0"/>
        <w:adjustRightInd w:val="0"/>
        <w:spacing w:after="0" w:line="276" w:lineRule="auto"/>
        <w:jc w:val="both"/>
        <w:rPr>
          <w:rFonts w:ascii="Arial" w:eastAsiaTheme="minorHAnsi" w:hAnsi="Arial" w:cs="Arial"/>
          <w:sz w:val="20"/>
          <w:szCs w:val="20"/>
        </w:rPr>
      </w:pPr>
    </w:p>
    <w:p w14:paraId="70E972FC" w14:textId="6D39EE07" w:rsidR="00EC5EA9" w:rsidRPr="00D83239" w:rsidRDefault="00EC5EA9" w:rsidP="00D8323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 xml:space="preserve">V letu 2021 se je začela in v letu 2025 nadaljevala uvedba nove funkcionalnosti predložitve plačilnih list delojemalcem v elektronski obliki, ki so dostopne na spletni strani storitve </w:t>
      </w:r>
      <w:r w:rsidR="00DB40C0">
        <w:rPr>
          <w:rFonts w:ascii="Arial" w:hAnsi="Arial" w:cs="Arial"/>
          <w:sz w:val="20"/>
          <w:szCs w:val="20"/>
        </w:rPr>
        <w:t>informacijski sistem</w:t>
      </w:r>
      <w:r w:rsidRPr="00D83239">
        <w:rPr>
          <w:rFonts w:ascii="Arial" w:hAnsi="Arial" w:cs="Arial"/>
          <w:sz w:val="20"/>
          <w:szCs w:val="20"/>
        </w:rPr>
        <w:t xml:space="preserve"> MFERAC – Osebni portal, vzpostavljeni v ločenem omrežju MNZ. Stran storitev </w:t>
      </w:r>
      <w:r w:rsidR="00DB40C0">
        <w:rPr>
          <w:rFonts w:ascii="Arial" w:hAnsi="Arial" w:cs="Arial"/>
          <w:sz w:val="20"/>
          <w:szCs w:val="20"/>
        </w:rPr>
        <w:t>informacijskega sistema</w:t>
      </w:r>
      <w:r w:rsidRPr="00D83239">
        <w:rPr>
          <w:rFonts w:ascii="Arial" w:hAnsi="Arial" w:cs="Arial"/>
          <w:sz w:val="20"/>
          <w:szCs w:val="20"/>
        </w:rPr>
        <w:t xml:space="preserve"> MFERAC – Osebni portal je namenjena elektronski vročitvi dokumentov in pregledu podatkov, ki se pripravljajo v MFERAC. Za dostop do Osebnega portala (tudi do elektronske plačilne liste) mora imeti javni uslužbenec veljavno </w:t>
      </w:r>
      <w:proofErr w:type="spellStart"/>
      <w:r w:rsidRPr="00D83239">
        <w:rPr>
          <w:rFonts w:ascii="Arial" w:hAnsi="Arial" w:cs="Arial"/>
          <w:sz w:val="20"/>
          <w:szCs w:val="20"/>
        </w:rPr>
        <w:t>avtentikacijo</w:t>
      </w:r>
      <w:proofErr w:type="spellEnd"/>
      <w:r w:rsidRPr="00D83239">
        <w:rPr>
          <w:rFonts w:ascii="Arial" w:hAnsi="Arial" w:cs="Arial"/>
          <w:sz w:val="20"/>
          <w:szCs w:val="20"/>
        </w:rPr>
        <w:t xml:space="preserve"> SI-PASS, za prijavo pa kvalificirano digitalno potrdilo ali </w:t>
      </w:r>
      <w:proofErr w:type="spellStart"/>
      <w:r w:rsidRPr="00D83239">
        <w:rPr>
          <w:rFonts w:ascii="Arial" w:hAnsi="Arial" w:cs="Arial"/>
          <w:sz w:val="20"/>
          <w:szCs w:val="20"/>
        </w:rPr>
        <w:t>smsPASS</w:t>
      </w:r>
      <w:proofErr w:type="spellEnd"/>
      <w:r w:rsidRPr="00D83239">
        <w:rPr>
          <w:rFonts w:ascii="Arial" w:hAnsi="Arial" w:cs="Arial"/>
          <w:sz w:val="20"/>
          <w:szCs w:val="20"/>
        </w:rPr>
        <w:t xml:space="preserve">, po novem je mogoč dostop tudi z osebno izkaznico in čitalnikom ali mobilno aplikacijo </w:t>
      </w:r>
      <w:proofErr w:type="spellStart"/>
      <w:r w:rsidRPr="00D83239">
        <w:rPr>
          <w:rFonts w:ascii="Arial" w:hAnsi="Arial" w:cs="Arial"/>
          <w:sz w:val="20"/>
          <w:szCs w:val="20"/>
        </w:rPr>
        <w:t>eOsebna</w:t>
      </w:r>
      <w:proofErr w:type="spellEnd"/>
      <w:r w:rsidRPr="00D83239">
        <w:rPr>
          <w:rFonts w:ascii="Arial" w:hAnsi="Arial" w:cs="Arial"/>
          <w:sz w:val="20"/>
          <w:szCs w:val="20"/>
        </w:rPr>
        <w:t xml:space="preserve">. Uvedba, dostop in vročanje elektronskih plačilnih list so pomembni za zagotavljanje racionalnosti poslovanja (znižanje materialnih stroškov tiskanja dokumentov, </w:t>
      </w:r>
      <w:proofErr w:type="spellStart"/>
      <w:r w:rsidRPr="00D83239">
        <w:rPr>
          <w:rFonts w:ascii="Arial" w:hAnsi="Arial" w:cs="Arial"/>
          <w:sz w:val="20"/>
          <w:szCs w:val="20"/>
        </w:rPr>
        <w:t>eHramba</w:t>
      </w:r>
      <w:proofErr w:type="spellEnd"/>
      <w:r w:rsidRPr="00D83239">
        <w:rPr>
          <w:rFonts w:ascii="Arial" w:hAnsi="Arial" w:cs="Arial"/>
          <w:sz w:val="20"/>
          <w:szCs w:val="20"/>
        </w:rPr>
        <w:t>, prihranek časa zaradi dostave tiskanih dokumentov, osebni pristop itd.). Konec leta 2025 je bilo registriranih že 4</w:t>
      </w:r>
      <w:r w:rsidR="00E5008A">
        <w:rPr>
          <w:rFonts w:ascii="Arial" w:hAnsi="Arial" w:cs="Arial"/>
          <w:sz w:val="20"/>
          <w:szCs w:val="20"/>
        </w:rPr>
        <w:t>.</w:t>
      </w:r>
      <w:r w:rsidRPr="00D83239">
        <w:rPr>
          <w:rFonts w:ascii="Arial" w:hAnsi="Arial" w:cs="Arial"/>
          <w:sz w:val="20"/>
          <w:szCs w:val="20"/>
        </w:rPr>
        <w:t>200 javnih uslužbencev, ki so se odločili za prijavo na Osebni portal oziroma njegovo uporabo.</w:t>
      </w:r>
    </w:p>
    <w:p w14:paraId="46ED1A6B" w14:textId="77777777" w:rsidR="00EC5EA9" w:rsidRPr="00D83239" w:rsidRDefault="00EC5EA9" w:rsidP="00D8323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p>
    <w:p w14:paraId="111B51DE" w14:textId="5D539345" w:rsidR="00EC5EA9" w:rsidRPr="00D83239" w:rsidRDefault="00EC5EA9" w:rsidP="00D8323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D83239">
        <w:rPr>
          <w:rFonts w:ascii="Arial" w:hAnsi="Arial" w:cs="Arial"/>
          <w:b/>
          <w:sz w:val="20"/>
          <w:szCs w:val="20"/>
        </w:rPr>
        <w:t xml:space="preserve">Izvedba prehoda na elektronsko izmenjavo podatkov v zvezi s povračili izplačil bolniških nadomestil </w:t>
      </w:r>
      <w:r w:rsidRPr="00D83239">
        <w:rPr>
          <w:rFonts w:ascii="Arial" w:hAnsi="Arial" w:cs="Arial"/>
          <w:sz w:val="20"/>
          <w:szCs w:val="20"/>
        </w:rPr>
        <w:t>(</w:t>
      </w:r>
      <w:proofErr w:type="spellStart"/>
      <w:r w:rsidRPr="00D83239">
        <w:rPr>
          <w:rFonts w:ascii="Arial" w:hAnsi="Arial" w:cs="Arial"/>
          <w:sz w:val="20"/>
          <w:szCs w:val="20"/>
        </w:rPr>
        <w:t>eNDM</w:t>
      </w:r>
      <w:proofErr w:type="spellEnd"/>
      <w:r w:rsidRPr="00D83239">
        <w:rPr>
          <w:rFonts w:ascii="Arial" w:hAnsi="Arial" w:cs="Arial"/>
          <w:sz w:val="20"/>
          <w:szCs w:val="20"/>
        </w:rPr>
        <w:t>)</w:t>
      </w:r>
    </w:p>
    <w:p w14:paraId="602060B4" w14:textId="6B8F3DE5" w:rsidR="00EC5EA9" w:rsidRPr="00D83239" w:rsidRDefault="00EC5EA9" w:rsidP="00D8323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rPr>
        <w:t>S 1. 1. 2023 je Z</w:t>
      </w:r>
      <w:r w:rsidR="00DB40C0">
        <w:rPr>
          <w:rFonts w:ascii="Arial" w:hAnsi="Arial" w:cs="Arial"/>
          <w:sz w:val="20"/>
          <w:szCs w:val="20"/>
        </w:rPr>
        <w:t>avod za zdravstveno zavarovanje Slovenije</w:t>
      </w:r>
      <w:r w:rsidRPr="00D83239">
        <w:rPr>
          <w:rFonts w:ascii="Arial" w:hAnsi="Arial" w:cs="Arial"/>
          <w:sz w:val="20"/>
          <w:szCs w:val="20"/>
        </w:rPr>
        <w:t xml:space="preserve"> uvedel obvezno elektronsko vlaganje </w:t>
      </w:r>
      <w:proofErr w:type="spellStart"/>
      <w:r w:rsidRPr="00D83239">
        <w:rPr>
          <w:rFonts w:ascii="Arial" w:hAnsi="Arial" w:cs="Arial"/>
          <w:sz w:val="20"/>
          <w:szCs w:val="20"/>
        </w:rPr>
        <w:t>eNDM</w:t>
      </w:r>
      <w:proofErr w:type="spellEnd"/>
      <w:r w:rsidRPr="00D83239">
        <w:rPr>
          <w:rFonts w:ascii="Arial" w:hAnsi="Arial" w:cs="Arial"/>
          <w:sz w:val="20"/>
          <w:szCs w:val="20"/>
        </w:rPr>
        <w:t xml:space="preserve"> (Pravila obveznega zdravstvenega zavarovanja). Aplikacija za vodenje odsotnosti javnih uslužbencev policije (</w:t>
      </w:r>
      <w:proofErr w:type="spellStart"/>
      <w:r w:rsidRPr="00D83239">
        <w:rPr>
          <w:rFonts w:ascii="Arial" w:hAnsi="Arial" w:cs="Arial"/>
          <w:sz w:val="20"/>
          <w:szCs w:val="20"/>
        </w:rPr>
        <w:t>ISPPure</w:t>
      </w:r>
      <w:proofErr w:type="spellEnd"/>
      <w:r w:rsidRPr="00D83239">
        <w:rPr>
          <w:rFonts w:ascii="Arial" w:hAnsi="Arial" w:cs="Arial"/>
          <w:sz w:val="20"/>
          <w:szCs w:val="20"/>
        </w:rPr>
        <w:t>), v kateri so obračunski podatki za obračun in izplačilo plač, ne razpolaga s podatkom o številki e</w:t>
      </w:r>
      <w:r w:rsidR="002F34D9">
        <w:rPr>
          <w:rFonts w:ascii="Arial" w:hAnsi="Arial" w:cs="Arial"/>
          <w:sz w:val="20"/>
          <w:szCs w:val="20"/>
        </w:rPr>
        <w:t>-b</w:t>
      </w:r>
      <w:r w:rsidRPr="00D83239">
        <w:rPr>
          <w:rFonts w:ascii="Arial" w:hAnsi="Arial" w:cs="Arial"/>
          <w:sz w:val="20"/>
          <w:szCs w:val="20"/>
        </w:rPr>
        <w:t>olniškega lista (</w:t>
      </w:r>
      <w:proofErr w:type="spellStart"/>
      <w:r w:rsidRPr="00D83239">
        <w:rPr>
          <w:rFonts w:ascii="Arial" w:hAnsi="Arial" w:cs="Arial"/>
          <w:sz w:val="20"/>
          <w:szCs w:val="20"/>
        </w:rPr>
        <w:t>eBol</w:t>
      </w:r>
      <w:proofErr w:type="spellEnd"/>
      <w:r w:rsidRPr="00D83239">
        <w:rPr>
          <w:rFonts w:ascii="Arial" w:hAnsi="Arial" w:cs="Arial"/>
          <w:sz w:val="20"/>
          <w:szCs w:val="20"/>
        </w:rPr>
        <w:t xml:space="preserve">), aplikacija za obračun stroškov dela v sklopu </w:t>
      </w:r>
      <w:r w:rsidR="00DB40C0">
        <w:rPr>
          <w:rFonts w:ascii="Arial" w:hAnsi="Arial" w:cs="Arial"/>
          <w:sz w:val="20"/>
          <w:szCs w:val="20"/>
        </w:rPr>
        <w:t>informacijskega sistema</w:t>
      </w:r>
      <w:r w:rsidR="00E5008A">
        <w:rPr>
          <w:rFonts w:ascii="Arial" w:hAnsi="Arial" w:cs="Arial"/>
          <w:sz w:val="20"/>
          <w:szCs w:val="20"/>
        </w:rPr>
        <w:t xml:space="preserve"> </w:t>
      </w:r>
      <w:r w:rsidRPr="00D83239">
        <w:rPr>
          <w:rFonts w:ascii="Arial" w:hAnsi="Arial" w:cs="Arial"/>
          <w:sz w:val="20"/>
          <w:szCs w:val="20"/>
        </w:rPr>
        <w:t xml:space="preserve">MFERAC pa ne omogoča evidentiranja odsotnosti za javne uslužbence policije, ki svoje delo opravljajo po razporedu. Navedeno povzroča veliko dodatnih ročnih aktivnosti pri pripravi </w:t>
      </w:r>
      <w:proofErr w:type="spellStart"/>
      <w:r w:rsidRPr="00D83239">
        <w:rPr>
          <w:rFonts w:ascii="Arial" w:hAnsi="Arial" w:cs="Arial"/>
          <w:sz w:val="20"/>
          <w:szCs w:val="20"/>
        </w:rPr>
        <w:t>eNDM</w:t>
      </w:r>
      <w:proofErr w:type="spellEnd"/>
      <w:r w:rsidRPr="00D83239">
        <w:rPr>
          <w:rFonts w:ascii="Arial" w:hAnsi="Arial" w:cs="Arial"/>
          <w:sz w:val="20"/>
          <w:szCs w:val="20"/>
        </w:rPr>
        <w:t xml:space="preserve">, v katerem je obvezen podatek tako številka </w:t>
      </w:r>
      <w:proofErr w:type="spellStart"/>
      <w:r w:rsidRPr="00D83239">
        <w:rPr>
          <w:rFonts w:ascii="Arial" w:hAnsi="Arial" w:cs="Arial"/>
          <w:sz w:val="20"/>
          <w:szCs w:val="20"/>
        </w:rPr>
        <w:t>eBol</w:t>
      </w:r>
      <w:proofErr w:type="spellEnd"/>
      <w:r w:rsidRPr="00D83239">
        <w:rPr>
          <w:rFonts w:ascii="Arial" w:hAnsi="Arial" w:cs="Arial"/>
          <w:sz w:val="20"/>
          <w:szCs w:val="20"/>
        </w:rPr>
        <w:t xml:space="preserve"> kot tudi informacija o posebnem delovnem koledarju, kadar gre za javne uslužbence, ki svoje delo opravljajo po razporedu. Zaradi velikega števila ročnih aktivnosti (prepisovanja podatkov, naknadnih kontrol ipd.) se postopki izvajajo z zamikom, ki je večji od običajnega. V tekočem letu se na podlagi prejetih refundacij znižuje poraba na plačnih postavkah – zaradi zamika pri pripravi </w:t>
      </w:r>
      <w:proofErr w:type="spellStart"/>
      <w:r w:rsidRPr="00D83239">
        <w:rPr>
          <w:rFonts w:ascii="Arial" w:hAnsi="Arial" w:cs="Arial"/>
          <w:sz w:val="20"/>
          <w:szCs w:val="20"/>
        </w:rPr>
        <w:t>eNDM</w:t>
      </w:r>
      <w:proofErr w:type="spellEnd"/>
      <w:r w:rsidRPr="00D83239">
        <w:rPr>
          <w:rFonts w:ascii="Arial" w:hAnsi="Arial" w:cs="Arial"/>
          <w:sz w:val="20"/>
          <w:szCs w:val="20"/>
        </w:rPr>
        <w:t xml:space="preserve"> je zato poraba na plačnih postavkah višja, kot bi bila, če bi se lahko </w:t>
      </w:r>
      <w:proofErr w:type="spellStart"/>
      <w:r w:rsidRPr="00D83239">
        <w:rPr>
          <w:rFonts w:ascii="Arial" w:hAnsi="Arial" w:cs="Arial"/>
          <w:sz w:val="20"/>
          <w:szCs w:val="20"/>
        </w:rPr>
        <w:t>eNDM</w:t>
      </w:r>
      <w:proofErr w:type="spellEnd"/>
      <w:r w:rsidRPr="00D83239">
        <w:rPr>
          <w:rFonts w:ascii="Arial" w:hAnsi="Arial" w:cs="Arial"/>
          <w:sz w:val="20"/>
          <w:szCs w:val="20"/>
        </w:rPr>
        <w:t xml:space="preserve"> pripravljali brez dodatnih ročnih aktivnosti, večja pa je tudi možnost napak.</w:t>
      </w:r>
    </w:p>
    <w:p w14:paraId="552AB5ED" w14:textId="77777777" w:rsidR="00EC5EA9" w:rsidRPr="00D83239" w:rsidRDefault="00EC5EA9" w:rsidP="00D8323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1C99B944" w14:textId="150BA46C" w:rsidR="00EC5EA9" w:rsidRPr="00D83239" w:rsidRDefault="00EC5EA9" w:rsidP="00E5008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trike/>
          <w:sz w:val="20"/>
          <w:szCs w:val="20"/>
        </w:rPr>
      </w:pPr>
      <w:r w:rsidRPr="00D83239">
        <w:rPr>
          <w:rFonts w:ascii="Arial" w:hAnsi="Arial" w:cs="Arial"/>
          <w:sz w:val="20"/>
          <w:szCs w:val="20"/>
        </w:rPr>
        <w:t xml:space="preserve">V letu 2025 je bila vzpostavljena izmenjava </w:t>
      </w:r>
      <w:proofErr w:type="spellStart"/>
      <w:r w:rsidRPr="00D83239">
        <w:rPr>
          <w:rFonts w:ascii="Arial" w:hAnsi="Arial" w:cs="Arial"/>
          <w:sz w:val="20"/>
          <w:szCs w:val="20"/>
        </w:rPr>
        <w:t>eBol</w:t>
      </w:r>
      <w:proofErr w:type="spellEnd"/>
      <w:r w:rsidRPr="00D83239">
        <w:rPr>
          <w:rFonts w:ascii="Arial" w:hAnsi="Arial" w:cs="Arial"/>
          <w:sz w:val="20"/>
          <w:szCs w:val="20"/>
        </w:rPr>
        <w:t xml:space="preserve"> z MFERAC in izveden prehod na oddajo </w:t>
      </w:r>
      <w:proofErr w:type="spellStart"/>
      <w:r w:rsidRPr="00D83239">
        <w:rPr>
          <w:rFonts w:ascii="Arial" w:hAnsi="Arial" w:cs="Arial"/>
          <w:sz w:val="20"/>
          <w:szCs w:val="20"/>
        </w:rPr>
        <w:t>eNDM</w:t>
      </w:r>
      <w:proofErr w:type="spellEnd"/>
      <w:r w:rsidRPr="00D83239">
        <w:rPr>
          <w:rFonts w:ascii="Arial" w:hAnsi="Arial" w:cs="Arial"/>
          <w:sz w:val="20"/>
          <w:szCs w:val="20"/>
        </w:rPr>
        <w:t xml:space="preserve"> neposredno iz MFERAC, ki pa še ni optimalno prilagojen in </w:t>
      </w:r>
      <w:r w:rsidR="00BB05EC">
        <w:rPr>
          <w:rFonts w:ascii="Arial" w:hAnsi="Arial" w:cs="Arial"/>
          <w:sz w:val="20"/>
          <w:szCs w:val="20"/>
        </w:rPr>
        <w:t xml:space="preserve">zato </w:t>
      </w:r>
      <w:r w:rsidRPr="00D83239">
        <w:rPr>
          <w:rFonts w:ascii="Arial" w:hAnsi="Arial" w:cs="Arial"/>
          <w:sz w:val="20"/>
          <w:szCs w:val="20"/>
        </w:rPr>
        <w:t xml:space="preserve">prihaja tudi do sistemskih težav. Matična računovodstva zato prejemajo opozorila, da v aplikaciji za obračun stroškov dela v okviru MFERAC uvožene podatke iz ISPP ročno dopolnjujejo/povezujejo s številko </w:t>
      </w:r>
      <w:proofErr w:type="spellStart"/>
      <w:r w:rsidRPr="00D83239">
        <w:rPr>
          <w:rFonts w:ascii="Arial" w:hAnsi="Arial" w:cs="Arial"/>
          <w:sz w:val="20"/>
          <w:szCs w:val="20"/>
        </w:rPr>
        <w:t>eBol</w:t>
      </w:r>
      <w:proofErr w:type="spellEnd"/>
      <w:r w:rsidRPr="00D83239">
        <w:rPr>
          <w:rFonts w:ascii="Arial" w:hAnsi="Arial" w:cs="Arial"/>
          <w:sz w:val="20"/>
          <w:szCs w:val="20"/>
        </w:rPr>
        <w:t xml:space="preserve">, kar je pogoj za izvedbo obračuna stroškov dela. </w:t>
      </w:r>
    </w:p>
    <w:p w14:paraId="5DF0ABB4" w14:textId="77777777" w:rsidR="00E5008A" w:rsidRDefault="00E5008A" w:rsidP="00CA3B9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p>
    <w:p w14:paraId="1F8EA23F" w14:textId="4334DC35" w:rsidR="00CA3B97" w:rsidRPr="00D83239" w:rsidRDefault="00CA3B97" w:rsidP="00CA3B9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r w:rsidRPr="00D83239">
        <w:rPr>
          <w:rFonts w:ascii="Arial" w:hAnsi="Arial" w:cs="Arial"/>
          <w:b/>
          <w:sz w:val="20"/>
          <w:szCs w:val="20"/>
        </w:rPr>
        <w:t>Matične številke – e</w:t>
      </w:r>
      <w:r w:rsidR="002F34D9">
        <w:rPr>
          <w:rFonts w:ascii="Arial" w:hAnsi="Arial" w:cs="Arial"/>
          <w:b/>
          <w:sz w:val="20"/>
          <w:szCs w:val="20"/>
        </w:rPr>
        <w:t>-r</w:t>
      </w:r>
      <w:r w:rsidRPr="00D83239">
        <w:rPr>
          <w:rFonts w:ascii="Arial" w:hAnsi="Arial" w:cs="Arial"/>
          <w:b/>
          <w:sz w:val="20"/>
          <w:szCs w:val="20"/>
        </w:rPr>
        <w:t>ačuni</w:t>
      </w:r>
    </w:p>
    <w:p w14:paraId="0CFE9F43" w14:textId="02772828" w:rsidR="00EC5EA9" w:rsidRPr="00D83239" w:rsidRDefault="00EC5EA9" w:rsidP="00D83239">
      <w:pPr>
        <w:pStyle w:val="ZADEVA"/>
        <w:tabs>
          <w:tab w:val="clear" w:pos="1701"/>
          <w:tab w:val="left" w:pos="0"/>
        </w:tabs>
        <w:spacing w:line="276" w:lineRule="auto"/>
        <w:ind w:left="0" w:firstLine="0"/>
        <w:jc w:val="both"/>
        <w:rPr>
          <w:rFonts w:cs="Arial"/>
          <w:b w:val="0"/>
          <w:szCs w:val="20"/>
          <w:lang w:val="sl-SI"/>
        </w:rPr>
      </w:pPr>
      <w:r w:rsidRPr="00D83239">
        <w:rPr>
          <w:rFonts w:cs="Arial"/>
          <w:b w:val="0"/>
          <w:szCs w:val="20"/>
          <w:lang w:val="sl-SI"/>
        </w:rPr>
        <w:t xml:space="preserve">V letu 2024 je MNZ z dopisom obvestilo vse poslovne partnerje, da je z uvedbo </w:t>
      </w:r>
      <w:r w:rsidR="002F34D9">
        <w:rPr>
          <w:rFonts w:cs="Arial"/>
          <w:b w:val="0"/>
          <w:szCs w:val="20"/>
          <w:lang w:val="sl-SI"/>
        </w:rPr>
        <w:t xml:space="preserve">aplikacije </w:t>
      </w:r>
      <w:proofErr w:type="spellStart"/>
      <w:r w:rsidRPr="00D83239">
        <w:rPr>
          <w:rFonts w:cs="Arial"/>
          <w:b w:val="0"/>
          <w:szCs w:val="20"/>
          <w:lang w:val="sl-SI"/>
        </w:rPr>
        <w:t>eRačun</w:t>
      </w:r>
      <w:proofErr w:type="spellEnd"/>
      <w:r w:rsidRPr="00D83239">
        <w:rPr>
          <w:rFonts w:cs="Arial"/>
          <w:b w:val="0"/>
          <w:szCs w:val="20"/>
          <w:lang w:val="sl-SI"/>
        </w:rPr>
        <w:t xml:space="preserve"> v pogodbah dodalo referenčno številko kupca, kar pa v praksi ne deluje dovolj učinkovito, saj imajo izdajatelji računov težave pri pripravi in ustrezni navedbi tega podatka. Za ustreznejše razvrščanje in usmerjanje prejetih e</w:t>
      </w:r>
      <w:r w:rsidR="002F34D9">
        <w:rPr>
          <w:rFonts w:cs="Arial"/>
          <w:b w:val="0"/>
          <w:szCs w:val="20"/>
          <w:lang w:val="sl-SI"/>
        </w:rPr>
        <w:t>-r</w:t>
      </w:r>
      <w:r w:rsidRPr="00D83239">
        <w:rPr>
          <w:rFonts w:cs="Arial"/>
          <w:b w:val="0"/>
          <w:szCs w:val="20"/>
          <w:lang w:val="sl-SI"/>
        </w:rPr>
        <w:t>ačunov je MNZ zato posodobilo informacijski sistem in s tem omo</w:t>
      </w:r>
      <w:r w:rsidR="00BB05EC">
        <w:rPr>
          <w:rFonts w:cs="Arial"/>
          <w:b w:val="0"/>
          <w:szCs w:val="20"/>
          <w:lang w:val="sl-SI"/>
        </w:rPr>
        <w:t>go</w:t>
      </w:r>
      <w:r w:rsidRPr="00D83239">
        <w:rPr>
          <w:rFonts w:cs="Arial"/>
          <w:b w:val="0"/>
          <w:szCs w:val="20"/>
          <w:lang w:val="sl-SI"/>
        </w:rPr>
        <w:t>čilo prejemanje računov posameznim policijskim upravam in G</w:t>
      </w:r>
      <w:r w:rsidR="008F5CA6">
        <w:rPr>
          <w:rFonts w:cs="Arial"/>
          <w:b w:val="0"/>
          <w:szCs w:val="20"/>
          <w:lang w:val="sl-SI"/>
        </w:rPr>
        <w:t>PU</w:t>
      </w:r>
      <w:r w:rsidRPr="00D83239">
        <w:rPr>
          <w:rFonts w:cs="Arial"/>
          <w:b w:val="0"/>
          <w:szCs w:val="20"/>
          <w:lang w:val="sl-SI"/>
        </w:rPr>
        <w:t xml:space="preserve">, ki imajo isto davčno številko, na podlagi njihove matične številke. Hkrati pri razvrščanju in usmerjanju MNZ ugotavlja, da nekateri izdajatelji računov polja pravna podlaga (pogodba, naročilnica ipd.) ne izpolnjujejo pravilno, zato bodo tudi na tej ravni v prihodnosti izvedeni poostreni nadzori, </w:t>
      </w:r>
      <w:r w:rsidR="00BB05EC">
        <w:rPr>
          <w:rFonts w:cs="Arial"/>
          <w:b w:val="0"/>
          <w:szCs w:val="20"/>
          <w:lang w:val="sl-SI"/>
        </w:rPr>
        <w:t>ki j</w:t>
      </w:r>
      <w:r w:rsidR="00BB05EC" w:rsidRPr="00D83239">
        <w:rPr>
          <w:rFonts w:cs="Arial"/>
          <w:b w:val="0"/>
          <w:szCs w:val="20"/>
          <w:lang w:val="sl-SI"/>
        </w:rPr>
        <w:t xml:space="preserve">ih </w:t>
      </w:r>
      <w:r w:rsidRPr="00D83239">
        <w:rPr>
          <w:rFonts w:cs="Arial"/>
          <w:b w:val="0"/>
          <w:szCs w:val="20"/>
          <w:lang w:val="sl-SI"/>
        </w:rPr>
        <w:t>bodo v določenem delu tudi avtomatizira</w:t>
      </w:r>
      <w:r w:rsidR="00BB05EC">
        <w:rPr>
          <w:rFonts w:cs="Arial"/>
          <w:b w:val="0"/>
          <w:szCs w:val="20"/>
          <w:lang w:val="sl-SI"/>
        </w:rPr>
        <w:t>l</w:t>
      </w:r>
      <w:r w:rsidRPr="00D83239">
        <w:rPr>
          <w:rFonts w:cs="Arial"/>
          <w:b w:val="0"/>
          <w:szCs w:val="20"/>
          <w:lang w:val="sl-SI"/>
        </w:rPr>
        <w:t>i. MNZ je izdajatelje računov tudi opozorilo, da so priloge računa lahko datoteke v skupni velikosti do največ 25</w:t>
      </w:r>
      <w:r w:rsidR="00EB29F0">
        <w:rPr>
          <w:rFonts w:cs="Arial"/>
          <w:b w:val="0"/>
          <w:szCs w:val="20"/>
          <w:lang w:val="sl-SI"/>
        </w:rPr>
        <w:t> </w:t>
      </w:r>
      <w:r w:rsidRPr="00D83239">
        <w:rPr>
          <w:rFonts w:cs="Arial"/>
          <w:b w:val="0"/>
          <w:szCs w:val="20"/>
          <w:lang w:val="sl-SI"/>
        </w:rPr>
        <w:t xml:space="preserve">MB. Če gre za večjo količino podatkov v prilogah računa, jih je treba odložiti v odložišče velikih datotek. Skupno število znakov v naslovu vseh prilog je lahko največ 128. Če je skupna dolžina znakov v naslovu vseh prilog večja, je treba priloge priložiti v stisnjeni mapi, tako imenovani »ZIP-datoteki«, ki jo omogoča operacijski sistem MS Windows. Avtomatske blokade za zavračanje e-računov, ki nimajo navedene prave matične številke oziroma je sploh nimajo navedene, so razvite in pripravljene za </w:t>
      </w:r>
      <w:r w:rsidR="00BB05EC">
        <w:rPr>
          <w:rFonts w:cs="Arial"/>
          <w:b w:val="0"/>
          <w:szCs w:val="20"/>
          <w:lang w:val="sl-SI"/>
        </w:rPr>
        <w:t>uvedbo</w:t>
      </w:r>
      <w:r w:rsidR="00BB05EC" w:rsidRPr="00D83239">
        <w:rPr>
          <w:rFonts w:cs="Arial"/>
          <w:b w:val="0"/>
          <w:szCs w:val="20"/>
          <w:lang w:val="sl-SI"/>
        </w:rPr>
        <w:t xml:space="preserve"> </w:t>
      </w:r>
      <w:r w:rsidRPr="00D83239">
        <w:rPr>
          <w:rFonts w:cs="Arial"/>
          <w:b w:val="0"/>
          <w:szCs w:val="20"/>
          <w:lang w:val="sl-SI"/>
        </w:rPr>
        <w:t xml:space="preserve">na MNZ. V letu 2026 bodo </w:t>
      </w:r>
      <w:r w:rsidR="00BB05EC">
        <w:rPr>
          <w:rFonts w:cs="Arial"/>
          <w:b w:val="0"/>
          <w:szCs w:val="20"/>
          <w:lang w:val="sl-SI"/>
        </w:rPr>
        <w:t>uvede</w:t>
      </w:r>
      <w:r w:rsidRPr="00D83239">
        <w:rPr>
          <w:rFonts w:cs="Arial"/>
          <w:b w:val="0"/>
          <w:szCs w:val="20"/>
          <w:lang w:val="sl-SI"/>
        </w:rPr>
        <w:t>ne in nastavljene za uporabo.</w:t>
      </w:r>
    </w:p>
    <w:p w14:paraId="7DF3AA4A" w14:textId="77777777" w:rsidR="00CA3B97" w:rsidRDefault="00CA3B97" w:rsidP="009028B2">
      <w:pPr>
        <w:autoSpaceDE w:val="0"/>
        <w:autoSpaceDN w:val="0"/>
        <w:adjustRightInd w:val="0"/>
        <w:spacing w:after="0" w:line="276" w:lineRule="auto"/>
        <w:jc w:val="both"/>
        <w:rPr>
          <w:rFonts w:ascii="Arial" w:hAnsi="Arial" w:cs="Arial"/>
          <w:sz w:val="20"/>
          <w:szCs w:val="20"/>
          <w:lang w:eastAsia="sl-SI"/>
        </w:rPr>
      </w:pPr>
    </w:p>
    <w:p w14:paraId="3260554E" w14:textId="3EE2227D" w:rsidR="006263C1" w:rsidRDefault="006263C1" w:rsidP="009028B2">
      <w:pPr>
        <w:autoSpaceDE w:val="0"/>
        <w:autoSpaceDN w:val="0"/>
        <w:adjustRightInd w:val="0"/>
        <w:spacing w:after="0" w:line="276" w:lineRule="auto"/>
        <w:jc w:val="both"/>
        <w:rPr>
          <w:rFonts w:ascii="Arial" w:hAnsi="Arial" w:cs="Arial"/>
          <w:sz w:val="20"/>
          <w:szCs w:val="20"/>
        </w:rPr>
      </w:pPr>
      <w:r w:rsidRPr="00D83239">
        <w:rPr>
          <w:rFonts w:ascii="Arial" w:hAnsi="Arial" w:cs="Arial"/>
          <w:sz w:val="20"/>
          <w:szCs w:val="20"/>
          <w:lang w:eastAsia="sl-SI"/>
        </w:rPr>
        <w:t xml:space="preserve">V okviru projekta </w:t>
      </w:r>
      <w:r w:rsidRPr="008F5CA6">
        <w:rPr>
          <w:rFonts w:ascii="Arial" w:hAnsi="Arial" w:cs="Arial"/>
          <w:b/>
          <w:bCs/>
          <w:sz w:val="20"/>
          <w:szCs w:val="20"/>
          <w:lang w:eastAsia="sl-SI"/>
        </w:rPr>
        <w:t>Digitalizacije dokumentarnega gradiva MNZ</w:t>
      </w:r>
      <w:r w:rsidRPr="00D83239">
        <w:rPr>
          <w:rFonts w:ascii="Arial" w:hAnsi="Arial" w:cs="Arial"/>
          <w:sz w:val="20"/>
          <w:szCs w:val="20"/>
          <w:lang w:eastAsia="sl-SI"/>
        </w:rPr>
        <w:t xml:space="preserve">, ki se financira iz sredstev </w:t>
      </w:r>
      <w:r w:rsidR="00BB05EC">
        <w:rPr>
          <w:rFonts w:ascii="Arial" w:hAnsi="Arial" w:cs="Arial"/>
          <w:sz w:val="20"/>
          <w:szCs w:val="20"/>
          <w:lang w:eastAsia="sl-SI"/>
        </w:rPr>
        <w:t>n</w:t>
      </w:r>
      <w:r w:rsidRPr="00D83239">
        <w:rPr>
          <w:rFonts w:ascii="Arial" w:hAnsi="Arial" w:cs="Arial"/>
          <w:sz w:val="20"/>
          <w:szCs w:val="20"/>
          <w:lang w:eastAsia="sl-SI"/>
        </w:rPr>
        <w:t xml:space="preserve">ačrta za okrevanje in odpornost (NOO), je bila v letu 2025 dokončana nadgradnja informacijskega sistema in pridobljen certifikat </w:t>
      </w:r>
      <w:r w:rsidRPr="00D83239">
        <w:rPr>
          <w:rFonts w:ascii="Arial" w:hAnsi="Arial" w:cs="Arial"/>
          <w:sz w:val="20"/>
          <w:szCs w:val="20"/>
        </w:rPr>
        <w:t xml:space="preserve">št. e-ARS za programsko opremo SPIS-4, verzija SPIS4MNZ 7.11 z dodatno komponento </w:t>
      </w:r>
      <w:proofErr w:type="spellStart"/>
      <w:r w:rsidRPr="00D83239">
        <w:rPr>
          <w:rFonts w:ascii="Arial" w:hAnsi="Arial" w:cs="Arial"/>
          <w:sz w:val="20"/>
          <w:szCs w:val="20"/>
        </w:rPr>
        <w:t>Event</w:t>
      </w:r>
      <w:proofErr w:type="spellEnd"/>
      <w:r w:rsidRPr="00D83239">
        <w:rPr>
          <w:rFonts w:ascii="Arial" w:hAnsi="Arial" w:cs="Arial"/>
          <w:sz w:val="20"/>
          <w:szCs w:val="20"/>
        </w:rPr>
        <w:t xml:space="preserve"> </w:t>
      </w:r>
      <w:proofErr w:type="spellStart"/>
      <w:r w:rsidRPr="00D83239">
        <w:rPr>
          <w:rFonts w:ascii="Arial" w:hAnsi="Arial" w:cs="Arial"/>
          <w:sz w:val="20"/>
          <w:szCs w:val="20"/>
        </w:rPr>
        <w:t>Track</w:t>
      </w:r>
      <w:proofErr w:type="spellEnd"/>
      <w:r w:rsidRPr="00D83239">
        <w:rPr>
          <w:rFonts w:ascii="Arial" w:hAnsi="Arial" w:cs="Arial"/>
          <w:sz w:val="20"/>
          <w:szCs w:val="20"/>
        </w:rPr>
        <w:t xml:space="preserve"> 3.0, številka odločbe 3822-25/2024-3341-11, 20. 2. 2025. </w:t>
      </w:r>
      <w:r w:rsidR="00BB05EC">
        <w:rPr>
          <w:rFonts w:ascii="Arial" w:hAnsi="Arial" w:cs="Arial"/>
          <w:sz w:val="20"/>
          <w:szCs w:val="20"/>
        </w:rPr>
        <w:t>S</w:t>
      </w:r>
      <w:r w:rsidRPr="00D83239">
        <w:rPr>
          <w:rFonts w:ascii="Arial" w:hAnsi="Arial" w:cs="Arial"/>
          <w:sz w:val="20"/>
          <w:szCs w:val="20"/>
        </w:rPr>
        <w:t xml:space="preserve">prejeta </w:t>
      </w:r>
      <w:r w:rsidR="00BB05EC">
        <w:rPr>
          <w:rFonts w:ascii="Arial" w:hAnsi="Arial" w:cs="Arial"/>
          <w:sz w:val="20"/>
          <w:szCs w:val="20"/>
        </w:rPr>
        <w:t xml:space="preserve">so bila tudi </w:t>
      </w:r>
      <w:r w:rsidRPr="00D83239">
        <w:rPr>
          <w:rFonts w:ascii="Arial" w:hAnsi="Arial" w:cs="Arial"/>
          <w:sz w:val="20"/>
          <w:szCs w:val="20"/>
        </w:rPr>
        <w:t xml:space="preserve">Notranja pravila MNZ, številka 007-217/2025/5, 17. 7. 2025, ki se uporabljajo od 1. 1. 2026 in </w:t>
      </w:r>
      <w:r w:rsidR="00BB05EC">
        <w:rPr>
          <w:rFonts w:ascii="Arial" w:hAnsi="Arial" w:cs="Arial"/>
          <w:sz w:val="20"/>
          <w:szCs w:val="20"/>
        </w:rPr>
        <w:t xml:space="preserve">so bila </w:t>
      </w:r>
      <w:r w:rsidRPr="00D83239">
        <w:rPr>
          <w:rFonts w:ascii="Arial" w:hAnsi="Arial" w:cs="Arial"/>
          <w:sz w:val="20"/>
          <w:szCs w:val="20"/>
        </w:rPr>
        <w:t>potrjena s strani Arhiva R</w:t>
      </w:r>
      <w:r w:rsidR="00BB05EC">
        <w:rPr>
          <w:rFonts w:ascii="Arial" w:hAnsi="Arial" w:cs="Arial"/>
          <w:sz w:val="20"/>
          <w:szCs w:val="20"/>
        </w:rPr>
        <w:t xml:space="preserve">epublike </w:t>
      </w:r>
      <w:r w:rsidRPr="00D83239">
        <w:rPr>
          <w:rFonts w:ascii="Arial" w:hAnsi="Arial" w:cs="Arial"/>
          <w:sz w:val="20"/>
          <w:szCs w:val="20"/>
        </w:rPr>
        <w:t>S</w:t>
      </w:r>
      <w:r w:rsidR="00BB05EC">
        <w:rPr>
          <w:rFonts w:ascii="Arial" w:hAnsi="Arial" w:cs="Arial"/>
          <w:sz w:val="20"/>
          <w:szCs w:val="20"/>
        </w:rPr>
        <w:t>lovenije</w:t>
      </w:r>
      <w:r w:rsidRPr="00D83239">
        <w:rPr>
          <w:rFonts w:ascii="Arial" w:hAnsi="Arial" w:cs="Arial"/>
          <w:sz w:val="20"/>
          <w:szCs w:val="20"/>
        </w:rPr>
        <w:t xml:space="preserve"> z odločbo številka 3820-18/2024-3341-16, 18. 7. 2025. Digitalizacija dokumentarnega gradiva je aktivno potekala </w:t>
      </w:r>
      <w:r w:rsidR="00BB05EC">
        <w:rPr>
          <w:rFonts w:ascii="Arial" w:hAnsi="Arial" w:cs="Arial"/>
          <w:sz w:val="20"/>
          <w:szCs w:val="20"/>
        </w:rPr>
        <w:t>vse</w:t>
      </w:r>
      <w:r w:rsidRPr="00D83239">
        <w:rPr>
          <w:rFonts w:ascii="Arial" w:hAnsi="Arial" w:cs="Arial"/>
          <w:sz w:val="20"/>
          <w:szCs w:val="20"/>
        </w:rPr>
        <w:t xml:space="preserve"> leto in se zaključila v decembru 2025. Digitalizirali smo 13.000</w:t>
      </w:r>
      <w:r w:rsidR="00BB05EC">
        <w:rPr>
          <w:rFonts w:ascii="Arial" w:hAnsi="Arial" w:cs="Arial"/>
          <w:sz w:val="20"/>
          <w:szCs w:val="20"/>
        </w:rPr>
        <w:t>.</w:t>
      </w:r>
      <w:r w:rsidRPr="00D83239">
        <w:rPr>
          <w:rFonts w:ascii="Arial" w:hAnsi="Arial" w:cs="Arial"/>
          <w:sz w:val="20"/>
          <w:szCs w:val="20"/>
        </w:rPr>
        <w:t xml:space="preserve">000 </w:t>
      </w:r>
      <w:r w:rsidR="009028B2">
        <w:rPr>
          <w:rFonts w:ascii="Arial" w:hAnsi="Arial" w:cs="Arial"/>
          <w:sz w:val="20"/>
          <w:szCs w:val="20"/>
        </w:rPr>
        <w:t xml:space="preserve">strani dokumentarnega gradiva. </w:t>
      </w:r>
    </w:p>
    <w:p w14:paraId="4BBA93EE" w14:textId="4FC9DFE9" w:rsidR="008F5CA6" w:rsidRDefault="008F5CA6" w:rsidP="008F5CA6">
      <w:pPr>
        <w:autoSpaceDE w:val="0"/>
        <w:autoSpaceDN w:val="0"/>
        <w:adjustRightInd w:val="0"/>
        <w:spacing w:after="0" w:line="276" w:lineRule="auto"/>
        <w:jc w:val="both"/>
        <w:rPr>
          <w:rFonts w:ascii="Arial" w:hAnsi="Arial" w:cs="Arial"/>
          <w:b/>
          <w:bCs/>
          <w:color w:val="0070C0"/>
          <w:sz w:val="20"/>
          <w:szCs w:val="20"/>
          <w:lang w:eastAsia="sl-SI"/>
        </w:rPr>
      </w:pPr>
    </w:p>
    <w:p w14:paraId="10FDAADB" w14:textId="5A798379" w:rsidR="008F5CA6" w:rsidRPr="008F5CA6" w:rsidRDefault="008F5CA6" w:rsidP="008F5CA6">
      <w:pPr>
        <w:autoSpaceDE w:val="0"/>
        <w:autoSpaceDN w:val="0"/>
        <w:adjustRightInd w:val="0"/>
        <w:spacing w:after="0" w:line="276" w:lineRule="auto"/>
        <w:jc w:val="both"/>
        <w:rPr>
          <w:rFonts w:ascii="Arial" w:hAnsi="Arial" w:cs="Arial"/>
          <w:b/>
          <w:bCs/>
          <w:sz w:val="20"/>
          <w:szCs w:val="20"/>
          <w:lang w:eastAsia="sl-SI"/>
        </w:rPr>
      </w:pPr>
      <w:r w:rsidRPr="008F5CA6">
        <w:rPr>
          <w:rFonts w:ascii="Arial" w:hAnsi="Arial" w:cs="Arial"/>
          <w:b/>
          <w:bCs/>
          <w:sz w:val="20"/>
          <w:szCs w:val="20"/>
          <w:lang w:eastAsia="sl-SI"/>
        </w:rPr>
        <w:t>Posodobitev iskalnika po arhivu</w:t>
      </w:r>
    </w:p>
    <w:p w14:paraId="6E905292" w14:textId="77777777" w:rsidR="008F5CA6" w:rsidRPr="008F5CA6" w:rsidRDefault="008F5CA6" w:rsidP="008F5CA6">
      <w:pPr>
        <w:autoSpaceDE w:val="0"/>
        <w:autoSpaceDN w:val="0"/>
        <w:adjustRightInd w:val="0"/>
        <w:spacing w:after="0" w:line="276" w:lineRule="auto"/>
        <w:jc w:val="both"/>
        <w:rPr>
          <w:rFonts w:ascii="Arial" w:hAnsi="Arial" w:cs="Arial"/>
          <w:sz w:val="20"/>
          <w:szCs w:val="20"/>
        </w:rPr>
      </w:pPr>
      <w:r w:rsidRPr="008F5CA6">
        <w:rPr>
          <w:rFonts w:ascii="Arial" w:hAnsi="Arial" w:cs="Arial"/>
          <w:sz w:val="20"/>
          <w:szCs w:val="20"/>
        </w:rPr>
        <w:t xml:space="preserve">Izvedena je bila posodobitev aplikacije in prenos podatkov aplikacije za iskanje po arhivu. Posodobitev je omogočila funkcionalne prilagoditve in ugasnitev varnostno spornih zastarelih komponent. </w:t>
      </w:r>
    </w:p>
    <w:p w14:paraId="6D773373" w14:textId="77777777" w:rsidR="008F5CA6" w:rsidRPr="008F5CA6" w:rsidRDefault="008F5CA6" w:rsidP="009028B2">
      <w:pPr>
        <w:autoSpaceDE w:val="0"/>
        <w:autoSpaceDN w:val="0"/>
        <w:adjustRightInd w:val="0"/>
        <w:spacing w:after="0" w:line="276" w:lineRule="auto"/>
        <w:jc w:val="both"/>
        <w:rPr>
          <w:rFonts w:ascii="Arial" w:hAnsi="Arial" w:cs="Arial"/>
          <w:sz w:val="20"/>
          <w:szCs w:val="20"/>
        </w:rPr>
      </w:pPr>
    </w:p>
    <w:p w14:paraId="4628026A" w14:textId="710DEEE4" w:rsidR="00CA3B97" w:rsidRPr="008F5CA6" w:rsidRDefault="00CA3B97" w:rsidP="00CA3B97">
      <w:pPr>
        <w:autoSpaceDE w:val="0"/>
        <w:autoSpaceDN w:val="0"/>
        <w:adjustRightInd w:val="0"/>
        <w:spacing w:after="0" w:line="276" w:lineRule="auto"/>
        <w:jc w:val="both"/>
        <w:rPr>
          <w:rFonts w:ascii="Arial" w:hAnsi="Arial" w:cs="Arial"/>
          <w:b/>
          <w:bCs/>
          <w:sz w:val="20"/>
          <w:szCs w:val="20"/>
          <w:lang w:eastAsia="sl-SI"/>
        </w:rPr>
      </w:pPr>
      <w:r w:rsidRPr="008F5CA6">
        <w:rPr>
          <w:rFonts w:ascii="Arial" w:hAnsi="Arial" w:cs="Arial"/>
          <w:b/>
          <w:bCs/>
          <w:sz w:val="20"/>
          <w:szCs w:val="20"/>
          <w:lang w:eastAsia="sl-SI"/>
        </w:rPr>
        <w:t>MIGRA III in M</w:t>
      </w:r>
      <w:r w:rsidR="00BB05EC">
        <w:rPr>
          <w:rFonts w:ascii="Arial" w:hAnsi="Arial" w:cs="Arial"/>
          <w:b/>
          <w:bCs/>
          <w:sz w:val="20"/>
          <w:szCs w:val="20"/>
          <w:lang w:eastAsia="sl-SI"/>
        </w:rPr>
        <w:t>IGRA</w:t>
      </w:r>
      <w:r w:rsidRPr="008F5CA6">
        <w:rPr>
          <w:rFonts w:ascii="Arial" w:hAnsi="Arial" w:cs="Arial"/>
          <w:b/>
          <w:bCs/>
          <w:sz w:val="20"/>
          <w:szCs w:val="20"/>
          <w:lang w:eastAsia="sl-SI"/>
        </w:rPr>
        <w:t xml:space="preserve"> II</w:t>
      </w:r>
    </w:p>
    <w:p w14:paraId="28A9E9B0" w14:textId="08DEC65F" w:rsidR="00CA3B97" w:rsidRPr="008F5CA6" w:rsidRDefault="00CA3B97" w:rsidP="009028B2">
      <w:pPr>
        <w:autoSpaceDE w:val="0"/>
        <w:autoSpaceDN w:val="0"/>
        <w:adjustRightInd w:val="0"/>
        <w:spacing w:after="0" w:line="276" w:lineRule="auto"/>
        <w:jc w:val="both"/>
        <w:rPr>
          <w:rFonts w:ascii="Arial" w:hAnsi="Arial" w:cs="Arial"/>
          <w:sz w:val="20"/>
          <w:szCs w:val="20"/>
        </w:rPr>
      </w:pPr>
      <w:r w:rsidRPr="008F5CA6">
        <w:rPr>
          <w:rFonts w:ascii="Arial" w:hAnsi="Arial" w:cs="Arial"/>
          <w:sz w:val="20"/>
          <w:szCs w:val="20"/>
          <w:lang w:eastAsia="sl-SI"/>
        </w:rPr>
        <w:t>V letu 2025 s</w:t>
      </w:r>
      <w:r w:rsidR="002F34D9">
        <w:rPr>
          <w:rFonts w:ascii="Arial" w:hAnsi="Arial" w:cs="Arial"/>
          <w:sz w:val="20"/>
          <w:szCs w:val="20"/>
          <w:lang w:eastAsia="sl-SI"/>
        </w:rPr>
        <w:t>o</w:t>
      </w:r>
      <w:r w:rsidRPr="008F5CA6">
        <w:rPr>
          <w:rFonts w:ascii="Arial" w:hAnsi="Arial" w:cs="Arial"/>
          <w:sz w:val="20"/>
          <w:szCs w:val="20"/>
          <w:lang w:eastAsia="sl-SI"/>
        </w:rPr>
        <w:t xml:space="preserve"> se izvajale nadgradnje sistema M</w:t>
      </w:r>
      <w:r w:rsidR="00BB05EC">
        <w:rPr>
          <w:rFonts w:ascii="Arial" w:hAnsi="Arial" w:cs="Arial"/>
          <w:sz w:val="20"/>
          <w:szCs w:val="20"/>
          <w:lang w:eastAsia="sl-SI"/>
        </w:rPr>
        <w:t>IGRA</w:t>
      </w:r>
      <w:r w:rsidRPr="008F5CA6">
        <w:rPr>
          <w:rFonts w:ascii="Arial" w:hAnsi="Arial" w:cs="Arial"/>
          <w:sz w:val="20"/>
          <w:szCs w:val="20"/>
          <w:lang w:eastAsia="sl-SI"/>
        </w:rPr>
        <w:t xml:space="preserve"> za vodenje evidence za podporo črpanju evropskih sredstev. </w:t>
      </w:r>
      <w:r w:rsidR="008F5CA6" w:rsidRPr="008F5CA6">
        <w:rPr>
          <w:rFonts w:ascii="Arial" w:hAnsi="Arial" w:cs="Arial"/>
          <w:sz w:val="20"/>
          <w:szCs w:val="20"/>
          <w:lang w:eastAsia="sl-SI"/>
        </w:rPr>
        <w:t>N</w:t>
      </w:r>
      <w:r w:rsidRPr="008F5CA6">
        <w:rPr>
          <w:rFonts w:ascii="Arial" w:hAnsi="Arial" w:cs="Arial"/>
          <w:sz w:val="20"/>
          <w:szCs w:val="20"/>
          <w:lang w:eastAsia="sl-SI"/>
        </w:rPr>
        <w:t>adgradn</w:t>
      </w:r>
      <w:r w:rsidR="00BB05EC">
        <w:rPr>
          <w:rFonts w:ascii="Arial" w:hAnsi="Arial" w:cs="Arial"/>
          <w:sz w:val="20"/>
          <w:szCs w:val="20"/>
          <w:lang w:eastAsia="sl-SI"/>
        </w:rPr>
        <w:t>j</w:t>
      </w:r>
      <w:r w:rsidRPr="008F5CA6">
        <w:rPr>
          <w:rFonts w:ascii="Arial" w:hAnsi="Arial" w:cs="Arial"/>
          <w:sz w:val="20"/>
          <w:szCs w:val="20"/>
          <w:lang w:eastAsia="sl-SI"/>
        </w:rPr>
        <w:t>e so bile potrebne za izpolnitev zahtev poročanja in evidentiranja črpanja evropskih sredstev. Začela se je priprava strokovnih podlag za javno naročilo ob izteku pogodbe.</w:t>
      </w:r>
    </w:p>
    <w:p w14:paraId="700343D5" w14:textId="10D0937C" w:rsidR="00C60ECA" w:rsidRPr="00D83239" w:rsidRDefault="00C60ECA" w:rsidP="00D83239">
      <w:pPr>
        <w:pStyle w:val="Opredelitev"/>
        <w:spacing w:before="0" w:after="0" w:line="276" w:lineRule="auto"/>
        <w:rPr>
          <w:b w:val="0"/>
          <w:color w:val="auto"/>
          <w:highlight w:val="yellow"/>
        </w:rPr>
      </w:pPr>
    </w:p>
    <w:p w14:paraId="61E56B03" w14:textId="2B15B162" w:rsidR="00695CD8" w:rsidRPr="009028B2" w:rsidRDefault="009B17EC" w:rsidP="00D83239">
      <w:pPr>
        <w:pStyle w:val="Naslov2"/>
        <w:spacing w:after="0" w:line="276" w:lineRule="auto"/>
        <w:jc w:val="both"/>
      </w:pPr>
      <w:bookmarkStart w:id="274" w:name="_Toc225499860"/>
      <w:r w:rsidRPr="009028B2">
        <w:t xml:space="preserve">Sodelovanje pri raziskovalni dejavnosti v okviru </w:t>
      </w:r>
      <w:r w:rsidR="007A117A" w:rsidRPr="009028B2">
        <w:t>ciljnih raziskovalnih projektov</w:t>
      </w:r>
      <w:bookmarkEnd w:id="274"/>
    </w:p>
    <w:p w14:paraId="43EA3902" w14:textId="1B04E5F7" w:rsidR="00653B9D" w:rsidRPr="00D83239" w:rsidRDefault="00653B9D" w:rsidP="00D83239">
      <w:pPr>
        <w:spacing w:after="0" w:line="276" w:lineRule="auto"/>
        <w:jc w:val="both"/>
        <w:rPr>
          <w:rFonts w:ascii="Arial" w:hAnsi="Arial" w:cs="Arial"/>
          <w:bCs/>
          <w:sz w:val="20"/>
          <w:szCs w:val="20"/>
          <w:highlight w:val="yellow"/>
        </w:rPr>
      </w:pPr>
    </w:p>
    <w:p w14:paraId="61959E60" w14:textId="1AD8672E" w:rsidR="00BB2CE8" w:rsidRPr="00D83239" w:rsidRDefault="00BB2CE8" w:rsidP="00D83239">
      <w:pPr>
        <w:spacing w:after="0" w:line="276" w:lineRule="auto"/>
        <w:jc w:val="both"/>
        <w:rPr>
          <w:rFonts w:ascii="Arial" w:hAnsi="Arial" w:cs="Arial"/>
          <w:bCs/>
          <w:sz w:val="20"/>
          <w:szCs w:val="20"/>
        </w:rPr>
      </w:pPr>
      <w:r w:rsidRPr="00D83239">
        <w:rPr>
          <w:rFonts w:ascii="Arial" w:hAnsi="Arial" w:cs="Arial"/>
          <w:bCs/>
          <w:sz w:val="20"/>
          <w:szCs w:val="20"/>
        </w:rPr>
        <w:t xml:space="preserve">V letu 2025 se je nadaljevalo sodelovanje pri raziskovalni dejavnosti v okviru dveh ciljnih raziskovalnih projektov, ki jih sofinancira </w:t>
      </w:r>
      <w:r w:rsidR="00EB29F0">
        <w:rPr>
          <w:rFonts w:ascii="Arial" w:hAnsi="Arial" w:cs="Arial"/>
          <w:bCs/>
          <w:sz w:val="20"/>
          <w:szCs w:val="20"/>
        </w:rPr>
        <w:t>MNZ</w:t>
      </w:r>
      <w:r w:rsidRPr="00D83239">
        <w:rPr>
          <w:rFonts w:ascii="Arial" w:hAnsi="Arial" w:cs="Arial"/>
          <w:bCs/>
          <w:sz w:val="20"/>
          <w:szCs w:val="20"/>
        </w:rPr>
        <w:t>. Projekt, ki je bil izbran na razpisu Javne agencije za raziskovalno dejavnost R</w:t>
      </w:r>
      <w:r w:rsidR="00BB05EC">
        <w:rPr>
          <w:rFonts w:ascii="Arial" w:hAnsi="Arial" w:cs="Arial"/>
          <w:bCs/>
          <w:sz w:val="20"/>
          <w:szCs w:val="20"/>
        </w:rPr>
        <w:t xml:space="preserve">epublike </w:t>
      </w:r>
      <w:r w:rsidRPr="00D83239">
        <w:rPr>
          <w:rFonts w:ascii="Arial" w:hAnsi="Arial" w:cs="Arial"/>
          <w:bCs/>
          <w:sz w:val="20"/>
          <w:szCs w:val="20"/>
        </w:rPr>
        <w:t>S</w:t>
      </w:r>
      <w:r w:rsidR="00BB05EC">
        <w:rPr>
          <w:rFonts w:ascii="Arial" w:hAnsi="Arial" w:cs="Arial"/>
          <w:bCs/>
          <w:sz w:val="20"/>
          <w:szCs w:val="20"/>
        </w:rPr>
        <w:t>lovenije</w:t>
      </w:r>
      <w:r w:rsidRPr="00D83239">
        <w:rPr>
          <w:rFonts w:ascii="Arial" w:hAnsi="Arial" w:cs="Arial"/>
          <w:bCs/>
          <w:sz w:val="20"/>
          <w:szCs w:val="20"/>
        </w:rPr>
        <w:t xml:space="preserve"> »CRP 2023«</w:t>
      </w:r>
      <w:r w:rsidR="00BB05EC">
        <w:rPr>
          <w:rFonts w:ascii="Arial" w:hAnsi="Arial" w:cs="Arial"/>
          <w:bCs/>
          <w:sz w:val="20"/>
          <w:szCs w:val="20"/>
        </w:rPr>
        <w:t>,</w:t>
      </w:r>
      <w:r w:rsidRPr="00D83239">
        <w:rPr>
          <w:rFonts w:ascii="Arial" w:hAnsi="Arial" w:cs="Arial"/>
          <w:bCs/>
          <w:sz w:val="20"/>
          <w:szCs w:val="20"/>
        </w:rPr>
        <w:t xml:space="preserve"> se je zaključil, nadaljeval se je projekt, ki je bil izbran na razpisu »CRP 2024«.</w:t>
      </w:r>
    </w:p>
    <w:p w14:paraId="43E9B8E5" w14:textId="77777777" w:rsidR="00BB2CE8" w:rsidRPr="00D83239" w:rsidRDefault="00BB2CE8" w:rsidP="00D83239">
      <w:pPr>
        <w:spacing w:after="0" w:line="276" w:lineRule="auto"/>
        <w:jc w:val="both"/>
        <w:rPr>
          <w:rFonts w:ascii="Arial" w:hAnsi="Arial" w:cs="Arial"/>
          <w:bCs/>
          <w:sz w:val="20"/>
          <w:szCs w:val="20"/>
        </w:rPr>
      </w:pPr>
    </w:p>
    <w:p w14:paraId="7D891682" w14:textId="264A64FF" w:rsidR="000D05FC" w:rsidRPr="00D83239" w:rsidRDefault="000D05FC" w:rsidP="000D05FC">
      <w:pPr>
        <w:pStyle w:val="Opredelitev"/>
        <w:spacing w:before="0" w:after="0" w:line="276" w:lineRule="auto"/>
        <w:rPr>
          <w:b w:val="0"/>
          <w:bCs/>
        </w:rPr>
      </w:pPr>
      <w:r w:rsidRPr="00D83239">
        <w:rPr>
          <w:b w:val="0"/>
        </w:rPr>
        <w:t xml:space="preserve">Na razpisu </w:t>
      </w:r>
      <w:r w:rsidRPr="00D83239">
        <w:rPr>
          <w:b w:val="0"/>
          <w:bCs/>
        </w:rPr>
        <w:t>Javne agencije za raziskovalno dejavnost R</w:t>
      </w:r>
      <w:r w:rsidR="00BB05EC">
        <w:rPr>
          <w:b w:val="0"/>
          <w:bCs/>
        </w:rPr>
        <w:t xml:space="preserve">epublike </w:t>
      </w:r>
      <w:r w:rsidRPr="00D83239">
        <w:rPr>
          <w:b w:val="0"/>
          <w:bCs/>
        </w:rPr>
        <w:t>S</w:t>
      </w:r>
      <w:r w:rsidR="00BB05EC">
        <w:rPr>
          <w:b w:val="0"/>
          <w:bCs/>
        </w:rPr>
        <w:t>lovenije</w:t>
      </w:r>
      <w:r w:rsidRPr="00D83239">
        <w:rPr>
          <w:b w:val="0"/>
          <w:bCs/>
        </w:rPr>
        <w:t xml:space="preserve"> »CRP 2023« je bil na predlog </w:t>
      </w:r>
      <w:r w:rsidR="00EB29F0">
        <w:rPr>
          <w:b w:val="0"/>
          <w:bCs/>
        </w:rPr>
        <w:t>MNZ</w:t>
      </w:r>
      <w:r w:rsidR="00EB29F0" w:rsidRPr="00D83239">
        <w:rPr>
          <w:b w:val="0"/>
          <w:bCs/>
        </w:rPr>
        <w:t xml:space="preserve"> </w:t>
      </w:r>
      <w:r w:rsidRPr="00D83239">
        <w:rPr>
          <w:b w:val="0"/>
          <w:bCs/>
        </w:rPr>
        <w:t xml:space="preserve">uvrščen ciljni raziskovalni projekt </w:t>
      </w:r>
      <w:r w:rsidRPr="00D83239">
        <w:t>Model strateškega načrtovanja, ki vključuje vodenje s cilji in poslovno odličnost pri zagotavljanju notranje varnosti</w:t>
      </w:r>
      <w:r w:rsidR="002F34D9">
        <w:t>,</w:t>
      </w:r>
      <w:r w:rsidRPr="00D83239">
        <w:t xml:space="preserve"> ter njegova implementacija</w:t>
      </w:r>
      <w:r w:rsidRPr="00D83239">
        <w:rPr>
          <w:b w:val="0"/>
        </w:rPr>
        <w:t>.</w:t>
      </w:r>
      <w:r w:rsidRPr="00D83239">
        <w:rPr>
          <w:b w:val="0"/>
          <w:bCs/>
        </w:rPr>
        <w:t xml:space="preserve"> </w:t>
      </w:r>
      <w:r w:rsidRPr="00D83239">
        <w:rPr>
          <w:b w:val="0"/>
        </w:rPr>
        <w:t>V letu 2025 so bile izvedene projektne aktivnosti, ki so bile zaradi razlogov na strani izvajalca z ane</w:t>
      </w:r>
      <w:r w:rsidR="002F34D9">
        <w:rPr>
          <w:b w:val="0"/>
        </w:rPr>
        <w:t>k</w:t>
      </w:r>
      <w:r w:rsidRPr="00D83239">
        <w:rPr>
          <w:b w:val="0"/>
        </w:rPr>
        <w:t>som k pogodbi prenesene iz leta 2024, in vse preostale aktivnosti iz programa dela. S tem je bil projekt</w:t>
      </w:r>
      <w:r w:rsidRPr="00D83239">
        <w:rPr>
          <w:b w:val="0"/>
          <w:bCs/>
        </w:rPr>
        <w:t xml:space="preserve"> uspešno zaključen, njegovi rezultati pa so bili predstavljeni na kolegiju ministra za notranje zadeve. </w:t>
      </w:r>
      <w:r>
        <w:rPr>
          <w:b w:val="0"/>
          <w:bCs/>
        </w:rPr>
        <w:t>Z r</w:t>
      </w:r>
      <w:r w:rsidRPr="00D83239">
        <w:rPr>
          <w:b w:val="0"/>
          <w:bCs/>
        </w:rPr>
        <w:t xml:space="preserve">ezultati projekta </w:t>
      </w:r>
      <w:r>
        <w:rPr>
          <w:b w:val="0"/>
          <w:bCs/>
        </w:rPr>
        <w:t>je bil</w:t>
      </w:r>
      <w:r w:rsidRPr="00D83239">
        <w:rPr>
          <w:b w:val="0"/>
          <w:bCs/>
        </w:rPr>
        <w:t xml:space="preserve"> opredel</w:t>
      </w:r>
      <w:r>
        <w:rPr>
          <w:b w:val="0"/>
          <w:bCs/>
        </w:rPr>
        <w:t>jen</w:t>
      </w:r>
      <w:r w:rsidRPr="00D83239">
        <w:rPr>
          <w:b w:val="0"/>
          <w:bCs/>
        </w:rPr>
        <w:t xml:space="preserve"> celovit</w:t>
      </w:r>
      <w:r w:rsidR="00BB05EC">
        <w:rPr>
          <w:b w:val="0"/>
          <w:bCs/>
        </w:rPr>
        <w:t>i</w:t>
      </w:r>
      <w:r w:rsidRPr="00D83239">
        <w:rPr>
          <w:b w:val="0"/>
          <w:bCs/>
        </w:rPr>
        <w:t xml:space="preserve"> upravljavski mehanizem, ki materializira konceptualno ogrodje modela uspešnosti, kakovosti in učinkovitosti v praktično, primerljivo in odločitveno orodje za celotn</w:t>
      </w:r>
      <w:r w:rsidR="00BB05EC">
        <w:rPr>
          <w:b w:val="0"/>
          <w:bCs/>
        </w:rPr>
        <w:t>i</w:t>
      </w:r>
      <w:r w:rsidRPr="00D83239">
        <w:rPr>
          <w:b w:val="0"/>
          <w:bCs/>
        </w:rPr>
        <w:t xml:space="preserve"> sistem notranje varnosti oziroma ga pretvori v merljiv</w:t>
      </w:r>
      <w:r w:rsidR="00BB05EC">
        <w:rPr>
          <w:b w:val="0"/>
          <w:bCs/>
        </w:rPr>
        <w:t>i</w:t>
      </w:r>
      <w:r w:rsidRPr="00D83239">
        <w:rPr>
          <w:b w:val="0"/>
          <w:bCs/>
        </w:rPr>
        <w:t xml:space="preserve"> instrument na aplikativni ravni delovanja policije, </w:t>
      </w:r>
      <w:proofErr w:type="spellStart"/>
      <w:r w:rsidR="00DB40C0">
        <w:rPr>
          <w:b w:val="0"/>
          <w:bCs/>
        </w:rPr>
        <w:t>MNZ</w:t>
      </w:r>
      <w:r w:rsidRPr="00D83239">
        <w:rPr>
          <w:b w:val="0"/>
          <w:bCs/>
        </w:rPr>
        <w:t>e</w:t>
      </w:r>
      <w:proofErr w:type="spellEnd"/>
      <w:r w:rsidRPr="00D83239">
        <w:rPr>
          <w:b w:val="0"/>
          <w:bCs/>
        </w:rPr>
        <w:t>, občinskih redarstev in Sveta za nacionalno varnost (SNAV). Vladi R</w:t>
      </w:r>
      <w:r w:rsidR="00BB05EC">
        <w:rPr>
          <w:b w:val="0"/>
          <w:bCs/>
        </w:rPr>
        <w:t xml:space="preserve">epublike </w:t>
      </w:r>
      <w:r w:rsidRPr="00D83239">
        <w:rPr>
          <w:b w:val="0"/>
          <w:bCs/>
        </w:rPr>
        <w:t>S</w:t>
      </w:r>
      <w:r w:rsidR="00BB05EC">
        <w:rPr>
          <w:b w:val="0"/>
          <w:bCs/>
        </w:rPr>
        <w:t>lovenije</w:t>
      </w:r>
      <w:r w:rsidRPr="00D83239">
        <w:rPr>
          <w:b w:val="0"/>
          <w:bCs/>
        </w:rPr>
        <w:t xml:space="preserve">, državnemu sekretarju za nacionalno varnost v </w:t>
      </w:r>
      <w:r w:rsidR="00BB05EC">
        <w:rPr>
          <w:b w:val="0"/>
          <w:bCs/>
        </w:rPr>
        <w:t>k</w:t>
      </w:r>
      <w:r w:rsidRPr="00D83239">
        <w:rPr>
          <w:b w:val="0"/>
          <w:bCs/>
        </w:rPr>
        <w:t xml:space="preserve">abinetu predsednika vlade ter SNAV daje jasne, </w:t>
      </w:r>
      <w:proofErr w:type="spellStart"/>
      <w:r w:rsidRPr="00D83239">
        <w:rPr>
          <w:b w:val="0"/>
          <w:bCs/>
        </w:rPr>
        <w:t>nadinstitucionalne</w:t>
      </w:r>
      <w:proofErr w:type="spellEnd"/>
      <w:r w:rsidRPr="00D83239">
        <w:rPr>
          <w:b w:val="0"/>
          <w:bCs/>
        </w:rPr>
        <w:t xml:space="preserve"> signale, vzvode za hitre korekcije ter strukturna varovala integritete in zmogljivosti organov notranje varnosti.   </w:t>
      </w:r>
    </w:p>
    <w:p w14:paraId="0F3172EA" w14:textId="77777777" w:rsidR="000D05FC" w:rsidRPr="00D83239" w:rsidRDefault="000D05FC" w:rsidP="000D05FC">
      <w:pPr>
        <w:pStyle w:val="Opredelitev"/>
        <w:spacing w:before="0" w:after="0" w:line="276" w:lineRule="auto"/>
        <w:rPr>
          <w:b w:val="0"/>
          <w:bCs/>
        </w:rPr>
      </w:pPr>
    </w:p>
    <w:p w14:paraId="67BD4941" w14:textId="0AE9CAF0" w:rsidR="000D05FC" w:rsidRPr="00B514AA" w:rsidRDefault="000D05FC" w:rsidP="000D05FC">
      <w:pPr>
        <w:pStyle w:val="Opredelitev"/>
        <w:spacing w:before="0" w:after="0" w:line="276" w:lineRule="auto"/>
        <w:rPr>
          <w:b w:val="0"/>
        </w:rPr>
      </w:pPr>
      <w:r w:rsidRPr="00D83239">
        <w:rPr>
          <w:b w:val="0"/>
          <w:bCs/>
        </w:rPr>
        <w:t>Na podlagi skupnega predloga MNZ, Policije, Ministrstva za javno upravo in Ministrstva za obrambo je bil na razpisu Javne agencije za raziskovalno dejavnost R</w:t>
      </w:r>
      <w:r w:rsidR="00BB05EC">
        <w:rPr>
          <w:b w:val="0"/>
          <w:bCs/>
        </w:rPr>
        <w:t xml:space="preserve">epublike </w:t>
      </w:r>
      <w:r w:rsidRPr="00D83239">
        <w:rPr>
          <w:b w:val="0"/>
          <w:bCs/>
        </w:rPr>
        <w:t>S</w:t>
      </w:r>
      <w:r w:rsidR="00BB05EC">
        <w:rPr>
          <w:b w:val="0"/>
          <w:bCs/>
        </w:rPr>
        <w:t>lovenije</w:t>
      </w:r>
      <w:r w:rsidRPr="00D83239">
        <w:rPr>
          <w:b w:val="0"/>
          <w:bCs/>
        </w:rPr>
        <w:t xml:space="preserve"> »CRP 2024« izbran projekt </w:t>
      </w:r>
      <w:r w:rsidRPr="00D83239">
        <w:rPr>
          <w:bCs/>
        </w:rPr>
        <w:t xml:space="preserve">MONSOON </w:t>
      </w:r>
      <w:r w:rsidR="00BB05EC">
        <w:rPr>
          <w:bCs/>
        </w:rPr>
        <w:t>–</w:t>
      </w:r>
      <w:r w:rsidR="00BB05EC" w:rsidRPr="00D83239">
        <w:rPr>
          <w:bCs/>
        </w:rPr>
        <w:t xml:space="preserve"> </w:t>
      </w:r>
      <w:r w:rsidRPr="00D83239">
        <w:rPr>
          <w:bCs/>
        </w:rPr>
        <w:t>Razvoj modela in prototipa tehnične rešitve za obvladovanje varnostnih pojavov na lokalni ravni</w:t>
      </w:r>
      <w:r w:rsidRPr="00D83239">
        <w:rPr>
          <w:b w:val="0"/>
          <w:bCs/>
        </w:rPr>
        <w:t>. V okviru projekta, katerega namen je županom in drugim odločevalcem na občinski ravni ponuditi informatiziran</w:t>
      </w:r>
      <w:r w:rsidR="003B5546">
        <w:rPr>
          <w:b w:val="0"/>
          <w:bCs/>
        </w:rPr>
        <w:t>i</w:t>
      </w:r>
      <w:r w:rsidRPr="00D83239">
        <w:rPr>
          <w:b w:val="0"/>
          <w:bCs/>
        </w:rPr>
        <w:t xml:space="preserve"> model za predvidevanje in načrtovanje pravočasnih odzivov na varnostne pojave, ki ogrožajo ljudi v lokalnih skupnostih, vključno z ilegalnimi migracijami, epidemijami in naravnimi nesrečami, je bilo v letu 2025 okvirno opredeljeno ocenjevanje varnostnih pojavov v lokalnih skupnostih z njihovo vlogo in potrebami pri njihovem napovedovanju in obvladovanju ter izdelan teoret</w:t>
      </w:r>
      <w:r>
        <w:rPr>
          <w:b w:val="0"/>
          <w:bCs/>
        </w:rPr>
        <w:t>ski</w:t>
      </w:r>
      <w:r w:rsidRPr="00D83239">
        <w:rPr>
          <w:b w:val="0"/>
          <w:bCs/>
        </w:rPr>
        <w:t xml:space="preserve"> okvir obvladovanja varnostnih pojavov v lokalni skupnosti. </w:t>
      </w:r>
    </w:p>
    <w:p w14:paraId="1C3367C7" w14:textId="77777777" w:rsidR="000D05FC" w:rsidRDefault="000D05FC" w:rsidP="00D83239">
      <w:pPr>
        <w:pStyle w:val="Opredelitev"/>
        <w:spacing w:before="0" w:after="0" w:line="276" w:lineRule="auto"/>
        <w:rPr>
          <w:b w:val="0"/>
        </w:rPr>
      </w:pPr>
    </w:p>
    <w:sectPr w:rsidR="000D05FC" w:rsidSect="00BF4616">
      <w:footerReference w:type="default" r:id="rId26"/>
      <w:pgSz w:w="11906" w:h="16838" w:code="9"/>
      <w:pgMar w:top="1418" w:right="1418" w:bottom="1418" w:left="1418" w:header="709" w:footer="60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F48D6" w14:textId="77777777" w:rsidR="00A376CA" w:rsidRDefault="00A376CA" w:rsidP="00185694">
      <w:pPr>
        <w:spacing w:after="0" w:line="240" w:lineRule="auto"/>
      </w:pPr>
      <w:r>
        <w:separator/>
      </w:r>
    </w:p>
  </w:endnote>
  <w:endnote w:type="continuationSeparator" w:id="0">
    <w:p w14:paraId="22CAA627" w14:textId="77777777" w:rsidR="00A376CA" w:rsidRDefault="00A376CA" w:rsidP="0018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ヒラギノ角ゴ Pro W3">
    <w:altName w:val="Yu Gothic UI"/>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CF73" w14:textId="6F346454" w:rsidR="00FD61C7" w:rsidRPr="000539D5" w:rsidRDefault="00FD61C7" w:rsidP="00040894">
    <w:pPr>
      <w:pStyle w:val="Noga"/>
      <w:tabs>
        <w:tab w:val="clear" w:pos="4536"/>
        <w:tab w:val="clear" w:pos="9072"/>
        <w:tab w:val="center" w:pos="4535"/>
        <w:tab w:val="right" w:pos="9070"/>
      </w:tabs>
      <w:rPr>
        <w:rFonts w:ascii="Arial" w:hAnsi="Arial" w:cs="Arial"/>
        <w:sz w:val="20"/>
        <w:szCs w:val="20"/>
      </w:rPr>
    </w:pPr>
    <w:r>
      <w:tab/>
    </w:r>
    <w:sdt>
      <w:sdtPr>
        <w:id w:val="-1160468091"/>
        <w:docPartObj>
          <w:docPartGallery w:val="Page Numbers (Bottom of Page)"/>
          <w:docPartUnique/>
        </w:docPartObj>
      </w:sdtPr>
      <w:sdtEndPr>
        <w:rPr>
          <w:rFonts w:ascii="Arial" w:hAnsi="Arial" w:cs="Arial"/>
          <w:sz w:val="20"/>
          <w:szCs w:val="20"/>
        </w:rPr>
      </w:sdtEndPr>
      <w:sdtContent>
        <w:r w:rsidRPr="000539D5">
          <w:rPr>
            <w:rFonts w:ascii="Arial" w:hAnsi="Arial" w:cs="Arial"/>
            <w:sz w:val="20"/>
            <w:szCs w:val="20"/>
          </w:rPr>
          <w:fldChar w:fldCharType="begin"/>
        </w:r>
        <w:r w:rsidRPr="000539D5">
          <w:rPr>
            <w:rFonts w:ascii="Arial" w:hAnsi="Arial" w:cs="Arial"/>
            <w:sz w:val="20"/>
            <w:szCs w:val="20"/>
          </w:rPr>
          <w:instrText>PAGE   \* MERGEFORMAT</w:instrText>
        </w:r>
        <w:r w:rsidRPr="000539D5">
          <w:rPr>
            <w:rFonts w:ascii="Arial" w:hAnsi="Arial" w:cs="Arial"/>
            <w:sz w:val="20"/>
            <w:szCs w:val="20"/>
          </w:rPr>
          <w:fldChar w:fldCharType="separate"/>
        </w:r>
        <w:r w:rsidR="00D405E9">
          <w:rPr>
            <w:rFonts w:ascii="Arial" w:hAnsi="Arial" w:cs="Arial"/>
            <w:noProof/>
            <w:sz w:val="20"/>
            <w:szCs w:val="20"/>
          </w:rPr>
          <w:t>3</w:t>
        </w:r>
        <w:r w:rsidRPr="000539D5">
          <w:rPr>
            <w:rFonts w:ascii="Arial" w:hAnsi="Arial" w:cs="Arial"/>
            <w:sz w:val="20"/>
            <w:szCs w:val="20"/>
          </w:rPr>
          <w:fldChar w:fldCharType="end"/>
        </w:r>
      </w:sdtContent>
    </w:sdt>
    <w:r>
      <w:rPr>
        <w:rFonts w:ascii="Arial" w:hAnsi="Arial" w:cs="Arial"/>
        <w:sz w:val="20"/>
        <w:szCs w:val="20"/>
      </w:rPr>
      <w:tab/>
    </w:r>
  </w:p>
  <w:p w14:paraId="3B1A5BA7" w14:textId="1B5C1894" w:rsidR="00FD61C7" w:rsidRDefault="00FD61C7" w:rsidP="0026017C">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6174" w14:textId="77777777" w:rsidR="00A376CA" w:rsidRDefault="00A376CA" w:rsidP="00185694">
      <w:pPr>
        <w:spacing w:after="0" w:line="240" w:lineRule="auto"/>
      </w:pPr>
      <w:r>
        <w:separator/>
      </w:r>
    </w:p>
  </w:footnote>
  <w:footnote w:type="continuationSeparator" w:id="0">
    <w:p w14:paraId="1F93F757" w14:textId="77777777" w:rsidR="00A376CA" w:rsidRDefault="00A376CA" w:rsidP="00185694">
      <w:pPr>
        <w:spacing w:after="0" w:line="240" w:lineRule="auto"/>
      </w:pPr>
      <w:r>
        <w:continuationSeparator/>
      </w:r>
    </w:p>
  </w:footnote>
  <w:footnote w:id="1">
    <w:p w14:paraId="061151EC" w14:textId="77777777" w:rsidR="00FD61C7" w:rsidRPr="00E72DB7" w:rsidRDefault="00FD61C7" w:rsidP="00DB29C1">
      <w:pPr>
        <w:pStyle w:val="Sprotnaopomba-besedilo"/>
        <w:rPr>
          <w:rFonts w:ascii="Arial" w:hAnsi="Arial" w:cs="Arial"/>
          <w:sz w:val="18"/>
          <w:szCs w:val="18"/>
        </w:rPr>
      </w:pPr>
      <w:r w:rsidRPr="00E72DB7">
        <w:rPr>
          <w:rStyle w:val="Sprotnaopomba-sklic"/>
          <w:rFonts w:ascii="Arial" w:hAnsi="Arial" w:cs="Arial"/>
          <w:sz w:val="18"/>
          <w:szCs w:val="18"/>
        </w:rPr>
        <w:footnoteRef/>
      </w:r>
      <w:r w:rsidRPr="00E72DB7">
        <w:rPr>
          <w:rFonts w:ascii="Arial" w:hAnsi="Arial" w:cs="Arial"/>
          <w:sz w:val="18"/>
          <w:szCs w:val="18"/>
        </w:rPr>
        <w:t xml:space="preserve"> V oklepaju so prikazani primerjalni podatki za leto 20</w:t>
      </w:r>
      <w:r>
        <w:rPr>
          <w:rFonts w:ascii="Arial" w:hAnsi="Arial" w:cs="Arial"/>
          <w:sz w:val="18"/>
          <w:szCs w:val="18"/>
        </w:rPr>
        <w:t>24</w:t>
      </w:r>
      <w:r w:rsidRPr="00E72DB7">
        <w:rPr>
          <w:rFonts w:ascii="Arial" w:hAnsi="Arial" w:cs="Arial"/>
          <w:sz w:val="18"/>
          <w:szCs w:val="18"/>
        </w:rPr>
        <w:t>.</w:t>
      </w:r>
    </w:p>
  </w:footnote>
  <w:footnote w:id="2">
    <w:p w14:paraId="6E94D0DD" w14:textId="77777777" w:rsidR="00FD61C7" w:rsidRDefault="00FD61C7" w:rsidP="00DB29C1">
      <w:pPr>
        <w:spacing w:after="0" w:line="240" w:lineRule="auto"/>
        <w:ind w:left="227" w:hanging="227"/>
        <w:jc w:val="both"/>
      </w:pPr>
      <w:r w:rsidRPr="00195D18">
        <w:rPr>
          <w:rStyle w:val="Sprotnaopomba-sklic"/>
          <w:rFonts w:ascii="Arial" w:hAnsi="Arial" w:cs="Arial"/>
          <w:sz w:val="16"/>
          <w:szCs w:val="16"/>
        </w:rPr>
        <w:footnoteRef/>
      </w:r>
      <w:r w:rsidRPr="00195D18">
        <w:rPr>
          <w:rFonts w:ascii="Arial" w:hAnsi="Arial" w:cs="Arial"/>
          <w:sz w:val="16"/>
          <w:szCs w:val="16"/>
        </w:rPr>
        <w:t xml:space="preserve"> </w:t>
      </w:r>
      <w:r>
        <w:rPr>
          <w:rFonts w:ascii="Arial" w:hAnsi="Arial" w:cs="Arial"/>
          <w:sz w:val="16"/>
          <w:szCs w:val="16"/>
        </w:rPr>
        <w:tab/>
      </w:r>
      <w:r w:rsidRPr="00773D58">
        <w:rPr>
          <w:rFonts w:ascii="Arial" w:hAnsi="Arial" w:cs="Arial"/>
          <w:sz w:val="18"/>
          <w:szCs w:val="18"/>
        </w:rPr>
        <w:t>Letna nihanja pri varnostnem preverjanju tujih državljanov so posledica okoliščine, da se obdobni remont v jedrski elektrarni Krško izvaja vsakih 18 mesecev. Ponovni remont je načrtovan v letu 2027, ko se bo povečalo število zahtevkov za varnostno preverjanje.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9C8DC04"/>
    <w:lvl w:ilvl="0">
      <w:numFmt w:val="bullet"/>
      <w:lvlText w:val="*"/>
      <w:lvlJc w:val="left"/>
    </w:lvl>
  </w:abstractNum>
  <w:abstractNum w:abstractNumId="1" w15:restartNumberingAfterBreak="0">
    <w:nsid w:val="07B96588"/>
    <w:multiLevelType w:val="hybridMultilevel"/>
    <w:tmpl w:val="ADCE4EF2"/>
    <w:lvl w:ilvl="0" w:tplc="67B63AE6">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81376A0"/>
    <w:multiLevelType w:val="hybridMultilevel"/>
    <w:tmpl w:val="A792F66C"/>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 w15:restartNumberingAfterBreak="0">
    <w:nsid w:val="09E140A2"/>
    <w:multiLevelType w:val="multilevel"/>
    <w:tmpl w:val="716A829C"/>
    <w:lvl w:ilvl="0">
      <w:start w:val="1"/>
      <w:numFmt w:val="decimal"/>
      <w:pStyle w:val="Naslov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EC4480"/>
    <w:multiLevelType w:val="multilevel"/>
    <w:tmpl w:val="257675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B63328"/>
    <w:multiLevelType w:val="multilevel"/>
    <w:tmpl w:val="68BC9544"/>
    <w:lvl w:ilvl="0">
      <w:start w:val="1"/>
      <w:numFmt w:val="decimal"/>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1D904F64"/>
    <w:multiLevelType w:val="hybridMultilevel"/>
    <w:tmpl w:val="E08E3716"/>
    <w:lvl w:ilvl="0" w:tplc="67B63AE6">
      <w:start w:val="1"/>
      <w:numFmt w:val="bullet"/>
      <w:lvlText w:val=""/>
      <w:lvlJc w:val="left"/>
      <w:pPr>
        <w:ind w:left="360" w:hanging="360"/>
      </w:pPr>
      <w:rPr>
        <w:rFonts w:ascii="Symbol" w:hAnsi="Symbol" w:hint="default"/>
      </w:rPr>
    </w:lvl>
    <w:lvl w:ilvl="1" w:tplc="AE8235E0">
      <w:numFmt w:val="bullet"/>
      <w:lvlText w:val="·"/>
      <w:lvlJc w:val="left"/>
      <w:pPr>
        <w:ind w:left="1425" w:hanging="705"/>
      </w:pPr>
      <w:rPr>
        <w:rFonts w:ascii="Arial" w:eastAsia="Calibr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4A74354"/>
    <w:multiLevelType w:val="hybridMultilevel"/>
    <w:tmpl w:val="7C5C4B6E"/>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5FD153C"/>
    <w:multiLevelType w:val="hybridMultilevel"/>
    <w:tmpl w:val="91F25FB2"/>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6302EA7"/>
    <w:multiLevelType w:val="hybridMultilevel"/>
    <w:tmpl w:val="FE28C7AA"/>
    <w:lvl w:ilvl="0" w:tplc="70AC0FF6">
      <w:start w:val="1"/>
      <w:numFmt w:val="bullet"/>
      <w:lvlText w:val=""/>
      <w:lvlJc w:val="left"/>
      <w:pPr>
        <w:ind w:left="773" w:hanging="360"/>
      </w:pPr>
      <w:rPr>
        <w:rFonts w:ascii="Symbol" w:hAnsi="Symbol" w:hint="default"/>
      </w:rPr>
    </w:lvl>
    <w:lvl w:ilvl="1" w:tplc="04240003" w:tentative="1">
      <w:start w:val="1"/>
      <w:numFmt w:val="bullet"/>
      <w:lvlText w:val="o"/>
      <w:lvlJc w:val="left"/>
      <w:pPr>
        <w:ind w:left="1493" w:hanging="360"/>
      </w:pPr>
      <w:rPr>
        <w:rFonts w:ascii="Courier New" w:hAnsi="Courier New" w:cs="Courier New" w:hint="default"/>
      </w:rPr>
    </w:lvl>
    <w:lvl w:ilvl="2" w:tplc="04240005" w:tentative="1">
      <w:start w:val="1"/>
      <w:numFmt w:val="bullet"/>
      <w:lvlText w:val=""/>
      <w:lvlJc w:val="left"/>
      <w:pPr>
        <w:ind w:left="2213" w:hanging="360"/>
      </w:pPr>
      <w:rPr>
        <w:rFonts w:ascii="Wingdings" w:hAnsi="Wingdings" w:hint="default"/>
      </w:rPr>
    </w:lvl>
    <w:lvl w:ilvl="3" w:tplc="04240001" w:tentative="1">
      <w:start w:val="1"/>
      <w:numFmt w:val="bullet"/>
      <w:lvlText w:val=""/>
      <w:lvlJc w:val="left"/>
      <w:pPr>
        <w:ind w:left="2933" w:hanging="360"/>
      </w:pPr>
      <w:rPr>
        <w:rFonts w:ascii="Symbol" w:hAnsi="Symbol" w:hint="default"/>
      </w:rPr>
    </w:lvl>
    <w:lvl w:ilvl="4" w:tplc="04240003" w:tentative="1">
      <w:start w:val="1"/>
      <w:numFmt w:val="bullet"/>
      <w:lvlText w:val="o"/>
      <w:lvlJc w:val="left"/>
      <w:pPr>
        <w:ind w:left="3653" w:hanging="360"/>
      </w:pPr>
      <w:rPr>
        <w:rFonts w:ascii="Courier New" w:hAnsi="Courier New" w:cs="Courier New" w:hint="default"/>
      </w:rPr>
    </w:lvl>
    <w:lvl w:ilvl="5" w:tplc="04240005" w:tentative="1">
      <w:start w:val="1"/>
      <w:numFmt w:val="bullet"/>
      <w:lvlText w:val=""/>
      <w:lvlJc w:val="left"/>
      <w:pPr>
        <w:ind w:left="4373" w:hanging="360"/>
      </w:pPr>
      <w:rPr>
        <w:rFonts w:ascii="Wingdings" w:hAnsi="Wingdings" w:hint="default"/>
      </w:rPr>
    </w:lvl>
    <w:lvl w:ilvl="6" w:tplc="04240001" w:tentative="1">
      <w:start w:val="1"/>
      <w:numFmt w:val="bullet"/>
      <w:lvlText w:val=""/>
      <w:lvlJc w:val="left"/>
      <w:pPr>
        <w:ind w:left="5093" w:hanging="360"/>
      </w:pPr>
      <w:rPr>
        <w:rFonts w:ascii="Symbol" w:hAnsi="Symbol" w:hint="default"/>
      </w:rPr>
    </w:lvl>
    <w:lvl w:ilvl="7" w:tplc="04240003" w:tentative="1">
      <w:start w:val="1"/>
      <w:numFmt w:val="bullet"/>
      <w:lvlText w:val="o"/>
      <w:lvlJc w:val="left"/>
      <w:pPr>
        <w:ind w:left="5813" w:hanging="360"/>
      </w:pPr>
      <w:rPr>
        <w:rFonts w:ascii="Courier New" w:hAnsi="Courier New" w:cs="Courier New" w:hint="default"/>
      </w:rPr>
    </w:lvl>
    <w:lvl w:ilvl="8" w:tplc="04240005" w:tentative="1">
      <w:start w:val="1"/>
      <w:numFmt w:val="bullet"/>
      <w:lvlText w:val=""/>
      <w:lvlJc w:val="left"/>
      <w:pPr>
        <w:ind w:left="6533" w:hanging="360"/>
      </w:pPr>
      <w:rPr>
        <w:rFonts w:ascii="Wingdings" w:hAnsi="Wingdings" w:hint="default"/>
      </w:rPr>
    </w:lvl>
  </w:abstractNum>
  <w:abstractNum w:abstractNumId="10" w15:restartNumberingAfterBreak="0">
    <w:nsid w:val="28FF03CC"/>
    <w:multiLevelType w:val="hybridMultilevel"/>
    <w:tmpl w:val="9AD69730"/>
    <w:lvl w:ilvl="0" w:tplc="299CC0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077911"/>
    <w:multiLevelType w:val="hybridMultilevel"/>
    <w:tmpl w:val="F86A8F0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D">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155D96"/>
    <w:multiLevelType w:val="multilevel"/>
    <w:tmpl w:val="37F4D9DA"/>
    <w:lvl w:ilvl="0">
      <w:numFmt w:val="bullet"/>
      <w:lvlText w:val="-"/>
      <w:lvlJc w:val="left"/>
      <w:pPr>
        <w:ind w:left="0" w:hanging="360"/>
      </w:pPr>
      <w:rPr>
        <w:rFonts w:ascii="Arial" w:eastAsia="Calibri" w:hAnsi="Arial" w:cs="Arial"/>
      </w:rPr>
    </w:lvl>
    <w:lvl w:ilvl="1">
      <w:numFmt w:val="bullet"/>
      <w:lvlText w:val="·"/>
      <w:lvlJc w:val="left"/>
      <w:pPr>
        <w:ind w:left="1065" w:hanging="705"/>
      </w:pPr>
      <w:rPr>
        <w:rFonts w:ascii="Arial" w:eastAsia="Calibri" w:hAnsi="Arial" w:cs="Arial"/>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13" w15:restartNumberingAfterBreak="0">
    <w:nsid w:val="2F051BBC"/>
    <w:multiLevelType w:val="hybridMultilevel"/>
    <w:tmpl w:val="9CDE7360"/>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2244E71"/>
    <w:multiLevelType w:val="hybridMultilevel"/>
    <w:tmpl w:val="49F46F8C"/>
    <w:lvl w:ilvl="0" w:tplc="67B63AE6">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5204E19"/>
    <w:multiLevelType w:val="hybridMultilevel"/>
    <w:tmpl w:val="12325D3A"/>
    <w:lvl w:ilvl="0" w:tplc="67B63AE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C070DC1"/>
    <w:multiLevelType w:val="hybridMultilevel"/>
    <w:tmpl w:val="A4E2F8BC"/>
    <w:lvl w:ilvl="0" w:tplc="67B63AE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DEB2545"/>
    <w:multiLevelType w:val="hybridMultilevel"/>
    <w:tmpl w:val="1696C8DC"/>
    <w:lvl w:ilvl="0" w:tplc="67B63AE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1AD5EB1"/>
    <w:multiLevelType w:val="hybridMultilevel"/>
    <w:tmpl w:val="08AC291E"/>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6371CB"/>
    <w:multiLevelType w:val="hybridMultilevel"/>
    <w:tmpl w:val="773240F4"/>
    <w:lvl w:ilvl="0" w:tplc="299CC04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3D54695"/>
    <w:multiLevelType w:val="hybridMultilevel"/>
    <w:tmpl w:val="204A0A9A"/>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5B004C"/>
    <w:multiLevelType w:val="hybridMultilevel"/>
    <w:tmpl w:val="4D82D09E"/>
    <w:lvl w:ilvl="0" w:tplc="D8A6F628">
      <w:start w:val="1000"/>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8BC6D4A"/>
    <w:multiLevelType w:val="hybridMultilevel"/>
    <w:tmpl w:val="EFC62128"/>
    <w:lvl w:ilvl="0" w:tplc="67B63AE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9E566A7"/>
    <w:multiLevelType w:val="hybridMultilevel"/>
    <w:tmpl w:val="7FECEFC6"/>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C98798C"/>
    <w:multiLevelType w:val="hybridMultilevel"/>
    <w:tmpl w:val="5EB82C00"/>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F505073"/>
    <w:multiLevelType w:val="hybridMultilevel"/>
    <w:tmpl w:val="0C185854"/>
    <w:lvl w:ilvl="0" w:tplc="67B63AE6">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D">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0C249C8"/>
    <w:multiLevelType w:val="hybridMultilevel"/>
    <w:tmpl w:val="5FC458EC"/>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CA53F32"/>
    <w:multiLevelType w:val="hybridMultilevel"/>
    <w:tmpl w:val="2ECA5378"/>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2087832"/>
    <w:multiLevelType w:val="hybridMultilevel"/>
    <w:tmpl w:val="AAB680DE"/>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2213DD9"/>
    <w:multiLevelType w:val="hybridMultilevel"/>
    <w:tmpl w:val="CAC8D118"/>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4FC31BF"/>
    <w:multiLevelType w:val="hybridMultilevel"/>
    <w:tmpl w:val="63E6FFB6"/>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8650465"/>
    <w:multiLevelType w:val="hybridMultilevel"/>
    <w:tmpl w:val="ECB8CE64"/>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FD8607B"/>
    <w:multiLevelType w:val="hybridMultilevel"/>
    <w:tmpl w:val="0D501D84"/>
    <w:lvl w:ilvl="0" w:tplc="67B63AE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338465676">
    <w:abstractNumId w:val="5"/>
  </w:num>
  <w:num w:numId="2" w16cid:durableId="2122799990">
    <w:abstractNumId w:val="14"/>
  </w:num>
  <w:num w:numId="3" w16cid:durableId="2091191304">
    <w:abstractNumId w:val="3"/>
  </w:num>
  <w:num w:numId="4" w16cid:durableId="1026905349">
    <w:abstractNumId w:val="2"/>
  </w:num>
  <w:num w:numId="5" w16cid:durableId="1762338955">
    <w:abstractNumId w:val="11"/>
  </w:num>
  <w:num w:numId="6" w16cid:durableId="453985101">
    <w:abstractNumId w:val="32"/>
  </w:num>
  <w:num w:numId="7" w16cid:durableId="522210281">
    <w:abstractNumId w:val="31"/>
  </w:num>
  <w:num w:numId="8" w16cid:durableId="762532286">
    <w:abstractNumId w:val="13"/>
  </w:num>
  <w:num w:numId="9" w16cid:durableId="1844278821">
    <w:abstractNumId w:val="16"/>
  </w:num>
  <w:num w:numId="10" w16cid:durableId="1306816084">
    <w:abstractNumId w:val="20"/>
  </w:num>
  <w:num w:numId="11" w16cid:durableId="776562491">
    <w:abstractNumId w:val="30"/>
  </w:num>
  <w:num w:numId="12" w16cid:durableId="1587685171">
    <w:abstractNumId w:val="29"/>
  </w:num>
  <w:num w:numId="13" w16cid:durableId="982664182">
    <w:abstractNumId w:val="6"/>
  </w:num>
  <w:num w:numId="14" w16cid:durableId="203098189">
    <w:abstractNumId w:val="27"/>
  </w:num>
  <w:num w:numId="15" w16cid:durableId="1077632831">
    <w:abstractNumId w:val="26"/>
  </w:num>
  <w:num w:numId="16" w16cid:durableId="428938238">
    <w:abstractNumId w:val="1"/>
  </w:num>
  <w:num w:numId="17" w16cid:durableId="1842348605">
    <w:abstractNumId w:val="18"/>
  </w:num>
  <w:num w:numId="18" w16cid:durableId="1867056501">
    <w:abstractNumId w:val="15"/>
  </w:num>
  <w:num w:numId="19" w16cid:durableId="830872545">
    <w:abstractNumId w:val="22"/>
  </w:num>
  <w:num w:numId="20" w16cid:durableId="1128360494">
    <w:abstractNumId w:val="23"/>
  </w:num>
  <w:num w:numId="21" w16cid:durableId="1434745672">
    <w:abstractNumId w:val="21"/>
  </w:num>
  <w:num w:numId="22" w16cid:durableId="1688210553">
    <w:abstractNumId w:val="5"/>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6149726">
    <w:abstractNumId w:val="4"/>
  </w:num>
  <w:num w:numId="24" w16cid:durableId="1880242424">
    <w:abstractNumId w:val="12"/>
  </w:num>
  <w:num w:numId="25" w16cid:durableId="1002513196">
    <w:abstractNumId w:val="0"/>
    <w:lvlOverride w:ilvl="0">
      <w:lvl w:ilvl="0">
        <w:numFmt w:val="bullet"/>
        <w:lvlText w:val=""/>
        <w:legacy w:legacy="1" w:legacySpace="0" w:legacyIndent="0"/>
        <w:lvlJc w:val="left"/>
        <w:rPr>
          <w:rFonts w:ascii="Symbol" w:hAnsi="Symbol" w:hint="default"/>
          <w:sz w:val="22"/>
        </w:rPr>
      </w:lvl>
    </w:lvlOverride>
  </w:num>
  <w:num w:numId="26" w16cid:durableId="196160396">
    <w:abstractNumId w:val="19"/>
  </w:num>
  <w:num w:numId="27" w16cid:durableId="321082189">
    <w:abstractNumId w:val="10"/>
  </w:num>
  <w:num w:numId="28" w16cid:durableId="802115743">
    <w:abstractNumId w:val="24"/>
  </w:num>
  <w:num w:numId="29" w16cid:durableId="1328285834">
    <w:abstractNumId w:val="9"/>
  </w:num>
  <w:num w:numId="30" w16cid:durableId="1824421129">
    <w:abstractNumId w:val="7"/>
  </w:num>
  <w:num w:numId="31" w16cid:durableId="1258907317">
    <w:abstractNumId w:val="8"/>
  </w:num>
  <w:num w:numId="32" w16cid:durableId="180899031">
    <w:abstractNumId w:val="25"/>
  </w:num>
  <w:num w:numId="33" w16cid:durableId="2130079590">
    <w:abstractNumId w:val="28"/>
  </w:num>
  <w:num w:numId="34" w16cid:durableId="619341927">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it-IT" w:vendorID="64" w:dllVersion="6" w:nlCheck="1" w:checkStyle="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94"/>
    <w:rsid w:val="00000049"/>
    <w:rsid w:val="000004BF"/>
    <w:rsid w:val="00001364"/>
    <w:rsid w:val="00001779"/>
    <w:rsid w:val="000029D2"/>
    <w:rsid w:val="0000327C"/>
    <w:rsid w:val="00004009"/>
    <w:rsid w:val="0000532B"/>
    <w:rsid w:val="0000694D"/>
    <w:rsid w:val="0000752C"/>
    <w:rsid w:val="00010266"/>
    <w:rsid w:val="00010E23"/>
    <w:rsid w:val="0001283C"/>
    <w:rsid w:val="000128DC"/>
    <w:rsid w:val="00014BAB"/>
    <w:rsid w:val="000171A8"/>
    <w:rsid w:val="00017AF0"/>
    <w:rsid w:val="0002039C"/>
    <w:rsid w:val="00020834"/>
    <w:rsid w:val="00020C29"/>
    <w:rsid w:val="00021428"/>
    <w:rsid w:val="0002178C"/>
    <w:rsid w:val="00021E53"/>
    <w:rsid w:val="00021E73"/>
    <w:rsid w:val="0002248E"/>
    <w:rsid w:val="00022760"/>
    <w:rsid w:val="000248D4"/>
    <w:rsid w:val="000249BC"/>
    <w:rsid w:val="00024DD1"/>
    <w:rsid w:val="00025A1F"/>
    <w:rsid w:val="00026A89"/>
    <w:rsid w:val="00027F8E"/>
    <w:rsid w:val="00030350"/>
    <w:rsid w:val="00031F81"/>
    <w:rsid w:val="00032233"/>
    <w:rsid w:val="000330D3"/>
    <w:rsid w:val="0003318C"/>
    <w:rsid w:val="00036CCB"/>
    <w:rsid w:val="0004071C"/>
    <w:rsid w:val="00040771"/>
    <w:rsid w:val="000407AE"/>
    <w:rsid w:val="00040894"/>
    <w:rsid w:val="000410F3"/>
    <w:rsid w:val="00042D37"/>
    <w:rsid w:val="000451A7"/>
    <w:rsid w:val="000463B8"/>
    <w:rsid w:val="000477E2"/>
    <w:rsid w:val="00052F4E"/>
    <w:rsid w:val="000537A3"/>
    <w:rsid w:val="000539D5"/>
    <w:rsid w:val="000542E2"/>
    <w:rsid w:val="000616D0"/>
    <w:rsid w:val="00063CA5"/>
    <w:rsid w:val="0006722F"/>
    <w:rsid w:val="000677BE"/>
    <w:rsid w:val="0007147A"/>
    <w:rsid w:val="000714F3"/>
    <w:rsid w:val="00072B79"/>
    <w:rsid w:val="00072FEA"/>
    <w:rsid w:val="0007345D"/>
    <w:rsid w:val="00076868"/>
    <w:rsid w:val="000804D1"/>
    <w:rsid w:val="0008188F"/>
    <w:rsid w:val="00081D64"/>
    <w:rsid w:val="00081EEE"/>
    <w:rsid w:val="000823FE"/>
    <w:rsid w:val="0008247A"/>
    <w:rsid w:val="00082517"/>
    <w:rsid w:val="00082DDF"/>
    <w:rsid w:val="0008431E"/>
    <w:rsid w:val="00085767"/>
    <w:rsid w:val="00085BA7"/>
    <w:rsid w:val="00086963"/>
    <w:rsid w:val="00090200"/>
    <w:rsid w:val="00090839"/>
    <w:rsid w:val="00090D24"/>
    <w:rsid w:val="00093941"/>
    <w:rsid w:val="000A21F0"/>
    <w:rsid w:val="000A278E"/>
    <w:rsid w:val="000A2B5D"/>
    <w:rsid w:val="000A364E"/>
    <w:rsid w:val="000A372B"/>
    <w:rsid w:val="000A4F1B"/>
    <w:rsid w:val="000A59A9"/>
    <w:rsid w:val="000A5A2B"/>
    <w:rsid w:val="000A628E"/>
    <w:rsid w:val="000A73CA"/>
    <w:rsid w:val="000B115B"/>
    <w:rsid w:val="000B1BAF"/>
    <w:rsid w:val="000B29FC"/>
    <w:rsid w:val="000B4DC0"/>
    <w:rsid w:val="000B51CB"/>
    <w:rsid w:val="000B544A"/>
    <w:rsid w:val="000B6F84"/>
    <w:rsid w:val="000B7ED6"/>
    <w:rsid w:val="000C3182"/>
    <w:rsid w:val="000C379A"/>
    <w:rsid w:val="000C4B3A"/>
    <w:rsid w:val="000C51F0"/>
    <w:rsid w:val="000C5C46"/>
    <w:rsid w:val="000C5EF6"/>
    <w:rsid w:val="000D0033"/>
    <w:rsid w:val="000D05FC"/>
    <w:rsid w:val="000D1093"/>
    <w:rsid w:val="000D129D"/>
    <w:rsid w:val="000D135B"/>
    <w:rsid w:val="000D1E27"/>
    <w:rsid w:val="000D1E97"/>
    <w:rsid w:val="000D3EA8"/>
    <w:rsid w:val="000D61D3"/>
    <w:rsid w:val="000D623B"/>
    <w:rsid w:val="000D676B"/>
    <w:rsid w:val="000E0812"/>
    <w:rsid w:val="000E1C82"/>
    <w:rsid w:val="000E3094"/>
    <w:rsid w:val="000E5C9C"/>
    <w:rsid w:val="000E60A5"/>
    <w:rsid w:val="000E6FEE"/>
    <w:rsid w:val="000E7330"/>
    <w:rsid w:val="000F0978"/>
    <w:rsid w:val="000F0BE8"/>
    <w:rsid w:val="000F159B"/>
    <w:rsid w:val="000F18C3"/>
    <w:rsid w:val="000F3E31"/>
    <w:rsid w:val="000F4335"/>
    <w:rsid w:val="000F47F3"/>
    <w:rsid w:val="000F50D9"/>
    <w:rsid w:val="000F59AA"/>
    <w:rsid w:val="000F7AB0"/>
    <w:rsid w:val="0010021C"/>
    <w:rsid w:val="00100459"/>
    <w:rsid w:val="001004C7"/>
    <w:rsid w:val="0010073D"/>
    <w:rsid w:val="001021D1"/>
    <w:rsid w:val="0010416C"/>
    <w:rsid w:val="0010456A"/>
    <w:rsid w:val="00105474"/>
    <w:rsid w:val="00110676"/>
    <w:rsid w:val="00112392"/>
    <w:rsid w:val="001129D5"/>
    <w:rsid w:val="00114907"/>
    <w:rsid w:val="00116002"/>
    <w:rsid w:val="00116BD2"/>
    <w:rsid w:val="001223A8"/>
    <w:rsid w:val="001245BE"/>
    <w:rsid w:val="00125A6A"/>
    <w:rsid w:val="00125C1C"/>
    <w:rsid w:val="00130AE7"/>
    <w:rsid w:val="00131325"/>
    <w:rsid w:val="00133771"/>
    <w:rsid w:val="00135E33"/>
    <w:rsid w:val="0013762D"/>
    <w:rsid w:val="001378D5"/>
    <w:rsid w:val="0014052E"/>
    <w:rsid w:val="00140FE7"/>
    <w:rsid w:val="001414A8"/>
    <w:rsid w:val="00141D17"/>
    <w:rsid w:val="00141F18"/>
    <w:rsid w:val="00142B2C"/>
    <w:rsid w:val="00144A2E"/>
    <w:rsid w:val="00146225"/>
    <w:rsid w:val="00150524"/>
    <w:rsid w:val="001505AC"/>
    <w:rsid w:val="0015158D"/>
    <w:rsid w:val="00151652"/>
    <w:rsid w:val="00153B1F"/>
    <w:rsid w:val="001541A2"/>
    <w:rsid w:val="001545E9"/>
    <w:rsid w:val="0015510C"/>
    <w:rsid w:val="0015512A"/>
    <w:rsid w:val="00155D9C"/>
    <w:rsid w:val="001564AE"/>
    <w:rsid w:val="00161085"/>
    <w:rsid w:val="001635FB"/>
    <w:rsid w:val="0016396C"/>
    <w:rsid w:val="0016470B"/>
    <w:rsid w:val="00165462"/>
    <w:rsid w:val="0016597A"/>
    <w:rsid w:val="00166ADF"/>
    <w:rsid w:val="00170064"/>
    <w:rsid w:val="0017172F"/>
    <w:rsid w:val="00171B51"/>
    <w:rsid w:val="001728A0"/>
    <w:rsid w:val="001728C8"/>
    <w:rsid w:val="00177EC3"/>
    <w:rsid w:val="001815CB"/>
    <w:rsid w:val="00181654"/>
    <w:rsid w:val="001834F2"/>
    <w:rsid w:val="0018370C"/>
    <w:rsid w:val="00184035"/>
    <w:rsid w:val="00185694"/>
    <w:rsid w:val="001858BE"/>
    <w:rsid w:val="00185EC5"/>
    <w:rsid w:val="001866E1"/>
    <w:rsid w:val="00187347"/>
    <w:rsid w:val="0018777B"/>
    <w:rsid w:val="0019074A"/>
    <w:rsid w:val="001921C0"/>
    <w:rsid w:val="00195D18"/>
    <w:rsid w:val="001A0205"/>
    <w:rsid w:val="001A0AAD"/>
    <w:rsid w:val="001A22ED"/>
    <w:rsid w:val="001A243A"/>
    <w:rsid w:val="001A2CF8"/>
    <w:rsid w:val="001A3C2D"/>
    <w:rsid w:val="001A3E96"/>
    <w:rsid w:val="001A5DBE"/>
    <w:rsid w:val="001A7135"/>
    <w:rsid w:val="001A7368"/>
    <w:rsid w:val="001A7394"/>
    <w:rsid w:val="001B0878"/>
    <w:rsid w:val="001B0FB9"/>
    <w:rsid w:val="001B1BB7"/>
    <w:rsid w:val="001B1F59"/>
    <w:rsid w:val="001B3539"/>
    <w:rsid w:val="001B483B"/>
    <w:rsid w:val="001B5634"/>
    <w:rsid w:val="001B674A"/>
    <w:rsid w:val="001B71B8"/>
    <w:rsid w:val="001B7A31"/>
    <w:rsid w:val="001C651D"/>
    <w:rsid w:val="001C6579"/>
    <w:rsid w:val="001C6D21"/>
    <w:rsid w:val="001C70FC"/>
    <w:rsid w:val="001D0247"/>
    <w:rsid w:val="001D0715"/>
    <w:rsid w:val="001D0FB1"/>
    <w:rsid w:val="001D2776"/>
    <w:rsid w:val="001D2DD6"/>
    <w:rsid w:val="001D478C"/>
    <w:rsid w:val="001D47F1"/>
    <w:rsid w:val="001D49F7"/>
    <w:rsid w:val="001D57E4"/>
    <w:rsid w:val="001D787D"/>
    <w:rsid w:val="001E01C9"/>
    <w:rsid w:val="001E11D4"/>
    <w:rsid w:val="001E198B"/>
    <w:rsid w:val="001E28E0"/>
    <w:rsid w:val="001E2A30"/>
    <w:rsid w:val="001E3BB2"/>
    <w:rsid w:val="001E53BE"/>
    <w:rsid w:val="001E652B"/>
    <w:rsid w:val="001E72F2"/>
    <w:rsid w:val="001E7B17"/>
    <w:rsid w:val="001E7CF5"/>
    <w:rsid w:val="001F13C3"/>
    <w:rsid w:val="001F35F3"/>
    <w:rsid w:val="001F4A23"/>
    <w:rsid w:val="001F4E2D"/>
    <w:rsid w:val="001F5B19"/>
    <w:rsid w:val="001F66FD"/>
    <w:rsid w:val="002001C4"/>
    <w:rsid w:val="0020448D"/>
    <w:rsid w:val="00210C32"/>
    <w:rsid w:val="0021112B"/>
    <w:rsid w:val="00212741"/>
    <w:rsid w:val="00220413"/>
    <w:rsid w:val="00226DD0"/>
    <w:rsid w:val="00231FDF"/>
    <w:rsid w:val="00233676"/>
    <w:rsid w:val="002340FD"/>
    <w:rsid w:val="00234182"/>
    <w:rsid w:val="00235F7D"/>
    <w:rsid w:val="002363FD"/>
    <w:rsid w:val="00236FD1"/>
    <w:rsid w:val="0023701E"/>
    <w:rsid w:val="00237D24"/>
    <w:rsid w:val="00245440"/>
    <w:rsid w:val="00245B54"/>
    <w:rsid w:val="00246680"/>
    <w:rsid w:val="00246D19"/>
    <w:rsid w:val="00247683"/>
    <w:rsid w:val="00247F77"/>
    <w:rsid w:val="002512E0"/>
    <w:rsid w:val="0025150B"/>
    <w:rsid w:val="00251C1C"/>
    <w:rsid w:val="00253FEA"/>
    <w:rsid w:val="0025447F"/>
    <w:rsid w:val="002562C5"/>
    <w:rsid w:val="00256586"/>
    <w:rsid w:val="00257BA5"/>
    <w:rsid w:val="0026017C"/>
    <w:rsid w:val="002623F6"/>
    <w:rsid w:val="0026498C"/>
    <w:rsid w:val="00265424"/>
    <w:rsid w:val="002655F9"/>
    <w:rsid w:val="00265B7A"/>
    <w:rsid w:val="00265B93"/>
    <w:rsid w:val="002677AD"/>
    <w:rsid w:val="00267B5A"/>
    <w:rsid w:val="00270107"/>
    <w:rsid w:val="002713AC"/>
    <w:rsid w:val="002714C2"/>
    <w:rsid w:val="00271994"/>
    <w:rsid w:val="00271B75"/>
    <w:rsid w:val="002721D0"/>
    <w:rsid w:val="00273242"/>
    <w:rsid w:val="0027329F"/>
    <w:rsid w:val="00273A0A"/>
    <w:rsid w:val="00280725"/>
    <w:rsid w:val="00283F78"/>
    <w:rsid w:val="00284A7D"/>
    <w:rsid w:val="002853AC"/>
    <w:rsid w:val="00286577"/>
    <w:rsid w:val="00287167"/>
    <w:rsid w:val="002905DF"/>
    <w:rsid w:val="002912A8"/>
    <w:rsid w:val="002921CA"/>
    <w:rsid w:val="0029275F"/>
    <w:rsid w:val="002960A9"/>
    <w:rsid w:val="00296C1C"/>
    <w:rsid w:val="00296C26"/>
    <w:rsid w:val="002A06B7"/>
    <w:rsid w:val="002A1B2B"/>
    <w:rsid w:val="002A680D"/>
    <w:rsid w:val="002A7034"/>
    <w:rsid w:val="002B0325"/>
    <w:rsid w:val="002B4062"/>
    <w:rsid w:val="002B4A50"/>
    <w:rsid w:val="002B5183"/>
    <w:rsid w:val="002C208E"/>
    <w:rsid w:val="002C324C"/>
    <w:rsid w:val="002C5615"/>
    <w:rsid w:val="002C6569"/>
    <w:rsid w:val="002D237A"/>
    <w:rsid w:val="002D3FF4"/>
    <w:rsid w:val="002D453B"/>
    <w:rsid w:val="002D4CE0"/>
    <w:rsid w:val="002D6462"/>
    <w:rsid w:val="002D70EF"/>
    <w:rsid w:val="002D7CDB"/>
    <w:rsid w:val="002E17FD"/>
    <w:rsid w:val="002E4430"/>
    <w:rsid w:val="002E5CFA"/>
    <w:rsid w:val="002E69BE"/>
    <w:rsid w:val="002E71D3"/>
    <w:rsid w:val="002E75FB"/>
    <w:rsid w:val="002E7F82"/>
    <w:rsid w:val="002F0853"/>
    <w:rsid w:val="002F1AC9"/>
    <w:rsid w:val="002F24D6"/>
    <w:rsid w:val="002F34D9"/>
    <w:rsid w:val="002F36F0"/>
    <w:rsid w:val="002F6D97"/>
    <w:rsid w:val="00302655"/>
    <w:rsid w:val="0030280B"/>
    <w:rsid w:val="003045D6"/>
    <w:rsid w:val="003049C7"/>
    <w:rsid w:val="00304ACF"/>
    <w:rsid w:val="003054D4"/>
    <w:rsid w:val="00305FE7"/>
    <w:rsid w:val="0030695C"/>
    <w:rsid w:val="00307048"/>
    <w:rsid w:val="00310457"/>
    <w:rsid w:val="00310EBA"/>
    <w:rsid w:val="00310F1D"/>
    <w:rsid w:val="0031275E"/>
    <w:rsid w:val="0031405E"/>
    <w:rsid w:val="003148EA"/>
    <w:rsid w:val="0031492F"/>
    <w:rsid w:val="00314CD1"/>
    <w:rsid w:val="00315DD5"/>
    <w:rsid w:val="00316D6F"/>
    <w:rsid w:val="00317770"/>
    <w:rsid w:val="00320F67"/>
    <w:rsid w:val="00322E3B"/>
    <w:rsid w:val="00323E52"/>
    <w:rsid w:val="00325F64"/>
    <w:rsid w:val="00326969"/>
    <w:rsid w:val="0032769E"/>
    <w:rsid w:val="003302C4"/>
    <w:rsid w:val="00331614"/>
    <w:rsid w:val="003322FF"/>
    <w:rsid w:val="0033242B"/>
    <w:rsid w:val="00333C89"/>
    <w:rsid w:val="00335045"/>
    <w:rsid w:val="00336668"/>
    <w:rsid w:val="0034123D"/>
    <w:rsid w:val="00341FFA"/>
    <w:rsid w:val="00342556"/>
    <w:rsid w:val="003426EC"/>
    <w:rsid w:val="00344CC4"/>
    <w:rsid w:val="00345662"/>
    <w:rsid w:val="00345CB0"/>
    <w:rsid w:val="003474EC"/>
    <w:rsid w:val="00350517"/>
    <w:rsid w:val="00351F7F"/>
    <w:rsid w:val="0035372E"/>
    <w:rsid w:val="00355250"/>
    <w:rsid w:val="00357217"/>
    <w:rsid w:val="00362AB1"/>
    <w:rsid w:val="00363921"/>
    <w:rsid w:val="0036410F"/>
    <w:rsid w:val="00364A9E"/>
    <w:rsid w:val="00365E89"/>
    <w:rsid w:val="003671C0"/>
    <w:rsid w:val="00374597"/>
    <w:rsid w:val="00376BDA"/>
    <w:rsid w:val="00377B5F"/>
    <w:rsid w:val="00377F1C"/>
    <w:rsid w:val="0038119F"/>
    <w:rsid w:val="00386944"/>
    <w:rsid w:val="00386A8C"/>
    <w:rsid w:val="003872F7"/>
    <w:rsid w:val="003919B7"/>
    <w:rsid w:val="00392988"/>
    <w:rsid w:val="003929B2"/>
    <w:rsid w:val="00395560"/>
    <w:rsid w:val="00395D79"/>
    <w:rsid w:val="00395E4A"/>
    <w:rsid w:val="003A0B33"/>
    <w:rsid w:val="003A3D81"/>
    <w:rsid w:val="003A4158"/>
    <w:rsid w:val="003A4FFA"/>
    <w:rsid w:val="003A531B"/>
    <w:rsid w:val="003A5747"/>
    <w:rsid w:val="003A5C5C"/>
    <w:rsid w:val="003A5F48"/>
    <w:rsid w:val="003A6E7C"/>
    <w:rsid w:val="003B04AF"/>
    <w:rsid w:val="003B0958"/>
    <w:rsid w:val="003B0E8E"/>
    <w:rsid w:val="003B15DE"/>
    <w:rsid w:val="003B5546"/>
    <w:rsid w:val="003B5EE8"/>
    <w:rsid w:val="003B5F13"/>
    <w:rsid w:val="003B6824"/>
    <w:rsid w:val="003B7D14"/>
    <w:rsid w:val="003C0F33"/>
    <w:rsid w:val="003C2314"/>
    <w:rsid w:val="003C2696"/>
    <w:rsid w:val="003C4165"/>
    <w:rsid w:val="003C5407"/>
    <w:rsid w:val="003C5D73"/>
    <w:rsid w:val="003C6B53"/>
    <w:rsid w:val="003D0A3D"/>
    <w:rsid w:val="003D1907"/>
    <w:rsid w:val="003D22B6"/>
    <w:rsid w:val="003D2624"/>
    <w:rsid w:val="003D3FC4"/>
    <w:rsid w:val="003D4C90"/>
    <w:rsid w:val="003E1B2F"/>
    <w:rsid w:val="003E4732"/>
    <w:rsid w:val="003E68AE"/>
    <w:rsid w:val="003F380E"/>
    <w:rsid w:val="003F41BC"/>
    <w:rsid w:val="003F50D5"/>
    <w:rsid w:val="003F5DF2"/>
    <w:rsid w:val="00400D23"/>
    <w:rsid w:val="00401D4D"/>
    <w:rsid w:val="0040214A"/>
    <w:rsid w:val="00402E21"/>
    <w:rsid w:val="004033E5"/>
    <w:rsid w:val="00403E32"/>
    <w:rsid w:val="004046C7"/>
    <w:rsid w:val="00404A3E"/>
    <w:rsid w:val="00406E20"/>
    <w:rsid w:val="004107D7"/>
    <w:rsid w:val="00411229"/>
    <w:rsid w:val="004115F1"/>
    <w:rsid w:val="0041345B"/>
    <w:rsid w:val="00414905"/>
    <w:rsid w:val="00422572"/>
    <w:rsid w:val="0042548D"/>
    <w:rsid w:val="00432C2E"/>
    <w:rsid w:val="00432D2E"/>
    <w:rsid w:val="0043326A"/>
    <w:rsid w:val="004345CF"/>
    <w:rsid w:val="00440504"/>
    <w:rsid w:val="00441181"/>
    <w:rsid w:val="0044164B"/>
    <w:rsid w:val="0044187E"/>
    <w:rsid w:val="004418E1"/>
    <w:rsid w:val="00441CEA"/>
    <w:rsid w:val="00442FC3"/>
    <w:rsid w:val="00445A72"/>
    <w:rsid w:val="0044744E"/>
    <w:rsid w:val="004507FE"/>
    <w:rsid w:val="00452990"/>
    <w:rsid w:val="00453136"/>
    <w:rsid w:val="00453ADC"/>
    <w:rsid w:val="00455C3E"/>
    <w:rsid w:val="00456C12"/>
    <w:rsid w:val="00457A86"/>
    <w:rsid w:val="00460C6D"/>
    <w:rsid w:val="0046178C"/>
    <w:rsid w:val="00461E98"/>
    <w:rsid w:val="00462E9D"/>
    <w:rsid w:val="00464726"/>
    <w:rsid w:val="00464E59"/>
    <w:rsid w:val="00465120"/>
    <w:rsid w:val="00465A8D"/>
    <w:rsid w:val="00465FD0"/>
    <w:rsid w:val="0047241C"/>
    <w:rsid w:val="00473633"/>
    <w:rsid w:val="00474918"/>
    <w:rsid w:val="00474D14"/>
    <w:rsid w:val="00474ED6"/>
    <w:rsid w:val="00477D7F"/>
    <w:rsid w:val="00481848"/>
    <w:rsid w:val="00486CB9"/>
    <w:rsid w:val="00486E53"/>
    <w:rsid w:val="00494846"/>
    <w:rsid w:val="00495EB0"/>
    <w:rsid w:val="004966FE"/>
    <w:rsid w:val="0049711C"/>
    <w:rsid w:val="0049743D"/>
    <w:rsid w:val="0049798C"/>
    <w:rsid w:val="004A03A9"/>
    <w:rsid w:val="004A061B"/>
    <w:rsid w:val="004A07E2"/>
    <w:rsid w:val="004A27DB"/>
    <w:rsid w:val="004A2A3B"/>
    <w:rsid w:val="004A31BD"/>
    <w:rsid w:val="004A3544"/>
    <w:rsid w:val="004B07FF"/>
    <w:rsid w:val="004B09E9"/>
    <w:rsid w:val="004B43B5"/>
    <w:rsid w:val="004B45F0"/>
    <w:rsid w:val="004B5A2F"/>
    <w:rsid w:val="004C042A"/>
    <w:rsid w:val="004C0434"/>
    <w:rsid w:val="004C0FB6"/>
    <w:rsid w:val="004C1B2F"/>
    <w:rsid w:val="004C1C6D"/>
    <w:rsid w:val="004C20FB"/>
    <w:rsid w:val="004C2268"/>
    <w:rsid w:val="004C2A55"/>
    <w:rsid w:val="004C30E5"/>
    <w:rsid w:val="004C499F"/>
    <w:rsid w:val="004C54F5"/>
    <w:rsid w:val="004C5D3B"/>
    <w:rsid w:val="004C6CDA"/>
    <w:rsid w:val="004C7196"/>
    <w:rsid w:val="004C76FC"/>
    <w:rsid w:val="004D0FCE"/>
    <w:rsid w:val="004D2F85"/>
    <w:rsid w:val="004D705D"/>
    <w:rsid w:val="004E17DD"/>
    <w:rsid w:val="004E182A"/>
    <w:rsid w:val="004E2888"/>
    <w:rsid w:val="004E5DA3"/>
    <w:rsid w:val="004E636F"/>
    <w:rsid w:val="004E7D0B"/>
    <w:rsid w:val="004F12C2"/>
    <w:rsid w:val="004F174D"/>
    <w:rsid w:val="004F3C5B"/>
    <w:rsid w:val="004F538C"/>
    <w:rsid w:val="004F53FF"/>
    <w:rsid w:val="004F61B6"/>
    <w:rsid w:val="004F6DC1"/>
    <w:rsid w:val="004F759F"/>
    <w:rsid w:val="0050204A"/>
    <w:rsid w:val="00503CC2"/>
    <w:rsid w:val="0050603A"/>
    <w:rsid w:val="00511FFC"/>
    <w:rsid w:val="00516C90"/>
    <w:rsid w:val="0051741C"/>
    <w:rsid w:val="00517DF2"/>
    <w:rsid w:val="0052309D"/>
    <w:rsid w:val="0052366F"/>
    <w:rsid w:val="00525777"/>
    <w:rsid w:val="00530452"/>
    <w:rsid w:val="005318D4"/>
    <w:rsid w:val="00532974"/>
    <w:rsid w:val="0053431A"/>
    <w:rsid w:val="00535444"/>
    <w:rsid w:val="00546255"/>
    <w:rsid w:val="00546445"/>
    <w:rsid w:val="00546798"/>
    <w:rsid w:val="00546F0A"/>
    <w:rsid w:val="00551060"/>
    <w:rsid w:val="00551D92"/>
    <w:rsid w:val="005532C7"/>
    <w:rsid w:val="005544B1"/>
    <w:rsid w:val="005545B6"/>
    <w:rsid w:val="0055536E"/>
    <w:rsid w:val="0055613D"/>
    <w:rsid w:val="00557A39"/>
    <w:rsid w:val="00561A47"/>
    <w:rsid w:val="00561D83"/>
    <w:rsid w:val="00562AB7"/>
    <w:rsid w:val="00563420"/>
    <w:rsid w:val="00563B1B"/>
    <w:rsid w:val="00564AF1"/>
    <w:rsid w:val="00564D24"/>
    <w:rsid w:val="00565296"/>
    <w:rsid w:val="005654EE"/>
    <w:rsid w:val="00565D09"/>
    <w:rsid w:val="00565DE1"/>
    <w:rsid w:val="00565FDB"/>
    <w:rsid w:val="005661EF"/>
    <w:rsid w:val="00573566"/>
    <w:rsid w:val="00573FD4"/>
    <w:rsid w:val="00577CC3"/>
    <w:rsid w:val="0058000A"/>
    <w:rsid w:val="00580CB3"/>
    <w:rsid w:val="00583CBB"/>
    <w:rsid w:val="0058505B"/>
    <w:rsid w:val="005850E9"/>
    <w:rsid w:val="005864E6"/>
    <w:rsid w:val="005877C3"/>
    <w:rsid w:val="0059048E"/>
    <w:rsid w:val="00590945"/>
    <w:rsid w:val="00590E45"/>
    <w:rsid w:val="00591841"/>
    <w:rsid w:val="00592A0C"/>
    <w:rsid w:val="00592B3E"/>
    <w:rsid w:val="00592E00"/>
    <w:rsid w:val="0059342D"/>
    <w:rsid w:val="005A024A"/>
    <w:rsid w:val="005A2F55"/>
    <w:rsid w:val="005B1B0C"/>
    <w:rsid w:val="005B2961"/>
    <w:rsid w:val="005B44EF"/>
    <w:rsid w:val="005B5543"/>
    <w:rsid w:val="005B6049"/>
    <w:rsid w:val="005C051B"/>
    <w:rsid w:val="005C25B4"/>
    <w:rsid w:val="005C407D"/>
    <w:rsid w:val="005C4F25"/>
    <w:rsid w:val="005C52CE"/>
    <w:rsid w:val="005C6850"/>
    <w:rsid w:val="005C7634"/>
    <w:rsid w:val="005D1A90"/>
    <w:rsid w:val="005D2EB5"/>
    <w:rsid w:val="005D4F96"/>
    <w:rsid w:val="005D5C0B"/>
    <w:rsid w:val="005D686D"/>
    <w:rsid w:val="005E0026"/>
    <w:rsid w:val="005E0375"/>
    <w:rsid w:val="005E209B"/>
    <w:rsid w:val="005E2ABF"/>
    <w:rsid w:val="005E4278"/>
    <w:rsid w:val="005E4F25"/>
    <w:rsid w:val="005E5B56"/>
    <w:rsid w:val="005E5EBD"/>
    <w:rsid w:val="005E71E9"/>
    <w:rsid w:val="005F1C78"/>
    <w:rsid w:val="005F1CDB"/>
    <w:rsid w:val="005F2936"/>
    <w:rsid w:val="005F39E7"/>
    <w:rsid w:val="005F4A19"/>
    <w:rsid w:val="005F4C80"/>
    <w:rsid w:val="005F5489"/>
    <w:rsid w:val="005F5690"/>
    <w:rsid w:val="005F7559"/>
    <w:rsid w:val="005F76F3"/>
    <w:rsid w:val="00604098"/>
    <w:rsid w:val="00604C66"/>
    <w:rsid w:val="006053D0"/>
    <w:rsid w:val="006060A3"/>
    <w:rsid w:val="00606F2E"/>
    <w:rsid w:val="006070C9"/>
    <w:rsid w:val="00607629"/>
    <w:rsid w:val="00607F3F"/>
    <w:rsid w:val="006103B3"/>
    <w:rsid w:val="006104A8"/>
    <w:rsid w:val="006106E9"/>
    <w:rsid w:val="006109CF"/>
    <w:rsid w:val="00613455"/>
    <w:rsid w:val="00614EFB"/>
    <w:rsid w:val="006166A4"/>
    <w:rsid w:val="00616C47"/>
    <w:rsid w:val="00623C0C"/>
    <w:rsid w:val="0062446A"/>
    <w:rsid w:val="0062481B"/>
    <w:rsid w:val="006263C1"/>
    <w:rsid w:val="00627241"/>
    <w:rsid w:val="00627532"/>
    <w:rsid w:val="00627DFB"/>
    <w:rsid w:val="00631010"/>
    <w:rsid w:val="0063205A"/>
    <w:rsid w:val="00632E5D"/>
    <w:rsid w:val="00635A2F"/>
    <w:rsid w:val="00636290"/>
    <w:rsid w:val="006377E2"/>
    <w:rsid w:val="006378F8"/>
    <w:rsid w:val="00637CFA"/>
    <w:rsid w:val="00641CF3"/>
    <w:rsid w:val="00641FCC"/>
    <w:rsid w:val="00641FEA"/>
    <w:rsid w:val="0065292D"/>
    <w:rsid w:val="00653B9D"/>
    <w:rsid w:val="0065403B"/>
    <w:rsid w:val="00657616"/>
    <w:rsid w:val="00657CBF"/>
    <w:rsid w:val="00660704"/>
    <w:rsid w:val="00660739"/>
    <w:rsid w:val="00660945"/>
    <w:rsid w:val="00660EEB"/>
    <w:rsid w:val="00660F71"/>
    <w:rsid w:val="006618B7"/>
    <w:rsid w:val="0066261A"/>
    <w:rsid w:val="006632BA"/>
    <w:rsid w:val="0066394B"/>
    <w:rsid w:val="00664201"/>
    <w:rsid w:val="00665224"/>
    <w:rsid w:val="006656AA"/>
    <w:rsid w:val="00666592"/>
    <w:rsid w:val="006708DD"/>
    <w:rsid w:val="00670A02"/>
    <w:rsid w:val="00670EF4"/>
    <w:rsid w:val="00673EDC"/>
    <w:rsid w:val="006740EA"/>
    <w:rsid w:val="00674627"/>
    <w:rsid w:val="006811E5"/>
    <w:rsid w:val="00681BE0"/>
    <w:rsid w:val="0068271E"/>
    <w:rsid w:val="00687629"/>
    <w:rsid w:val="00687CDB"/>
    <w:rsid w:val="006918A7"/>
    <w:rsid w:val="00693369"/>
    <w:rsid w:val="006950E1"/>
    <w:rsid w:val="00695140"/>
    <w:rsid w:val="00695CD8"/>
    <w:rsid w:val="00695D04"/>
    <w:rsid w:val="00696297"/>
    <w:rsid w:val="00696BF5"/>
    <w:rsid w:val="00697DBF"/>
    <w:rsid w:val="006A0F9D"/>
    <w:rsid w:val="006A16BF"/>
    <w:rsid w:val="006A446E"/>
    <w:rsid w:val="006A567C"/>
    <w:rsid w:val="006A5ED1"/>
    <w:rsid w:val="006A642E"/>
    <w:rsid w:val="006A7B32"/>
    <w:rsid w:val="006B1328"/>
    <w:rsid w:val="006B2B30"/>
    <w:rsid w:val="006B34F5"/>
    <w:rsid w:val="006B3C34"/>
    <w:rsid w:val="006B4247"/>
    <w:rsid w:val="006B58C9"/>
    <w:rsid w:val="006B5ABF"/>
    <w:rsid w:val="006B5BEA"/>
    <w:rsid w:val="006C0884"/>
    <w:rsid w:val="006C1AA4"/>
    <w:rsid w:val="006C257D"/>
    <w:rsid w:val="006C29BD"/>
    <w:rsid w:val="006C2CA0"/>
    <w:rsid w:val="006C3255"/>
    <w:rsid w:val="006C4663"/>
    <w:rsid w:val="006C4B80"/>
    <w:rsid w:val="006C4BBD"/>
    <w:rsid w:val="006C4C60"/>
    <w:rsid w:val="006C5039"/>
    <w:rsid w:val="006C6CCA"/>
    <w:rsid w:val="006C7B3E"/>
    <w:rsid w:val="006C7F1B"/>
    <w:rsid w:val="006D083E"/>
    <w:rsid w:val="006D1752"/>
    <w:rsid w:val="006D1EEA"/>
    <w:rsid w:val="006D4072"/>
    <w:rsid w:val="006D495D"/>
    <w:rsid w:val="006D63BA"/>
    <w:rsid w:val="006D715B"/>
    <w:rsid w:val="006E13DD"/>
    <w:rsid w:val="006E4973"/>
    <w:rsid w:val="006E7EDA"/>
    <w:rsid w:val="006F4287"/>
    <w:rsid w:val="006F5551"/>
    <w:rsid w:val="006F6068"/>
    <w:rsid w:val="007006D3"/>
    <w:rsid w:val="0070101C"/>
    <w:rsid w:val="00701846"/>
    <w:rsid w:val="00702363"/>
    <w:rsid w:val="007028D6"/>
    <w:rsid w:val="00703BFF"/>
    <w:rsid w:val="00711C4D"/>
    <w:rsid w:val="00712379"/>
    <w:rsid w:val="00712610"/>
    <w:rsid w:val="00712C8C"/>
    <w:rsid w:val="007132C8"/>
    <w:rsid w:val="007142FC"/>
    <w:rsid w:val="00715519"/>
    <w:rsid w:val="00716BD6"/>
    <w:rsid w:val="00716F34"/>
    <w:rsid w:val="007171E8"/>
    <w:rsid w:val="00721952"/>
    <w:rsid w:val="0072233B"/>
    <w:rsid w:val="00723F60"/>
    <w:rsid w:val="00732F81"/>
    <w:rsid w:val="007351C2"/>
    <w:rsid w:val="00735357"/>
    <w:rsid w:val="0073545E"/>
    <w:rsid w:val="007404FB"/>
    <w:rsid w:val="0074144B"/>
    <w:rsid w:val="00741518"/>
    <w:rsid w:val="00741953"/>
    <w:rsid w:val="00741EC0"/>
    <w:rsid w:val="007443C5"/>
    <w:rsid w:val="00750E0E"/>
    <w:rsid w:val="00751D2F"/>
    <w:rsid w:val="00753E77"/>
    <w:rsid w:val="00756D5E"/>
    <w:rsid w:val="00757EB1"/>
    <w:rsid w:val="00760F34"/>
    <w:rsid w:val="00761B08"/>
    <w:rsid w:val="007623E1"/>
    <w:rsid w:val="007639CD"/>
    <w:rsid w:val="00764EE5"/>
    <w:rsid w:val="00765525"/>
    <w:rsid w:val="007657AE"/>
    <w:rsid w:val="007673FC"/>
    <w:rsid w:val="00770F5F"/>
    <w:rsid w:val="00770FD1"/>
    <w:rsid w:val="0077194D"/>
    <w:rsid w:val="00773B16"/>
    <w:rsid w:val="00773D58"/>
    <w:rsid w:val="0077546D"/>
    <w:rsid w:val="00775CD1"/>
    <w:rsid w:val="0077602C"/>
    <w:rsid w:val="0077642C"/>
    <w:rsid w:val="00777539"/>
    <w:rsid w:val="00777834"/>
    <w:rsid w:val="0078067A"/>
    <w:rsid w:val="00780C38"/>
    <w:rsid w:val="00780C91"/>
    <w:rsid w:val="00780CD6"/>
    <w:rsid w:val="00782F91"/>
    <w:rsid w:val="00783B1A"/>
    <w:rsid w:val="00784897"/>
    <w:rsid w:val="00786E30"/>
    <w:rsid w:val="00787716"/>
    <w:rsid w:val="00787E91"/>
    <w:rsid w:val="00791D1F"/>
    <w:rsid w:val="0079347D"/>
    <w:rsid w:val="00795293"/>
    <w:rsid w:val="00797C81"/>
    <w:rsid w:val="007A041D"/>
    <w:rsid w:val="007A077B"/>
    <w:rsid w:val="007A117A"/>
    <w:rsid w:val="007A11F5"/>
    <w:rsid w:val="007A12D1"/>
    <w:rsid w:val="007A23DF"/>
    <w:rsid w:val="007A2AA0"/>
    <w:rsid w:val="007A3AD0"/>
    <w:rsid w:val="007A3C7F"/>
    <w:rsid w:val="007A47BF"/>
    <w:rsid w:val="007A4B71"/>
    <w:rsid w:val="007A53D1"/>
    <w:rsid w:val="007A5A26"/>
    <w:rsid w:val="007A5FD1"/>
    <w:rsid w:val="007B1DAE"/>
    <w:rsid w:val="007B28C6"/>
    <w:rsid w:val="007B3154"/>
    <w:rsid w:val="007B327C"/>
    <w:rsid w:val="007B35FE"/>
    <w:rsid w:val="007B3670"/>
    <w:rsid w:val="007B3903"/>
    <w:rsid w:val="007B393E"/>
    <w:rsid w:val="007B3A3E"/>
    <w:rsid w:val="007B3C6F"/>
    <w:rsid w:val="007B3D1F"/>
    <w:rsid w:val="007B3FD2"/>
    <w:rsid w:val="007B4CAF"/>
    <w:rsid w:val="007B5BA0"/>
    <w:rsid w:val="007C07F4"/>
    <w:rsid w:val="007C2EED"/>
    <w:rsid w:val="007C4616"/>
    <w:rsid w:val="007C583D"/>
    <w:rsid w:val="007D1501"/>
    <w:rsid w:val="007D157C"/>
    <w:rsid w:val="007D3371"/>
    <w:rsid w:val="007D4420"/>
    <w:rsid w:val="007D614E"/>
    <w:rsid w:val="007E1714"/>
    <w:rsid w:val="007E21DA"/>
    <w:rsid w:val="007E2EB2"/>
    <w:rsid w:val="007E6DEE"/>
    <w:rsid w:val="007E7135"/>
    <w:rsid w:val="007E73DC"/>
    <w:rsid w:val="007E790D"/>
    <w:rsid w:val="007E7C7F"/>
    <w:rsid w:val="007F0783"/>
    <w:rsid w:val="007F20F2"/>
    <w:rsid w:val="007F49AD"/>
    <w:rsid w:val="007F544C"/>
    <w:rsid w:val="00800513"/>
    <w:rsid w:val="00800593"/>
    <w:rsid w:val="008024B7"/>
    <w:rsid w:val="00802972"/>
    <w:rsid w:val="00803485"/>
    <w:rsid w:val="008043B9"/>
    <w:rsid w:val="0080642D"/>
    <w:rsid w:val="0080686C"/>
    <w:rsid w:val="00806ADD"/>
    <w:rsid w:val="008073FA"/>
    <w:rsid w:val="008101C4"/>
    <w:rsid w:val="00810780"/>
    <w:rsid w:val="00811514"/>
    <w:rsid w:val="008138D1"/>
    <w:rsid w:val="00813DA7"/>
    <w:rsid w:val="00813E5D"/>
    <w:rsid w:val="0081547B"/>
    <w:rsid w:val="008203E8"/>
    <w:rsid w:val="00821A99"/>
    <w:rsid w:val="008239D0"/>
    <w:rsid w:val="0082467C"/>
    <w:rsid w:val="00825E45"/>
    <w:rsid w:val="00826A1B"/>
    <w:rsid w:val="00826BE2"/>
    <w:rsid w:val="00827C46"/>
    <w:rsid w:val="008306E3"/>
    <w:rsid w:val="008318A1"/>
    <w:rsid w:val="00834AD4"/>
    <w:rsid w:val="00836006"/>
    <w:rsid w:val="00840109"/>
    <w:rsid w:val="00842DF6"/>
    <w:rsid w:val="00843C09"/>
    <w:rsid w:val="00844965"/>
    <w:rsid w:val="008467A9"/>
    <w:rsid w:val="00851660"/>
    <w:rsid w:val="0085377D"/>
    <w:rsid w:val="0085702C"/>
    <w:rsid w:val="00857DD0"/>
    <w:rsid w:val="00860A54"/>
    <w:rsid w:val="0086159F"/>
    <w:rsid w:val="00861F9D"/>
    <w:rsid w:val="0086200C"/>
    <w:rsid w:val="00862156"/>
    <w:rsid w:val="008623A3"/>
    <w:rsid w:val="0086247D"/>
    <w:rsid w:val="00862A24"/>
    <w:rsid w:val="0086341D"/>
    <w:rsid w:val="00864FC1"/>
    <w:rsid w:val="00865626"/>
    <w:rsid w:val="00865CBF"/>
    <w:rsid w:val="00865DD7"/>
    <w:rsid w:val="008678B7"/>
    <w:rsid w:val="008714B1"/>
    <w:rsid w:val="00871F18"/>
    <w:rsid w:val="00872224"/>
    <w:rsid w:val="0087437A"/>
    <w:rsid w:val="008756F1"/>
    <w:rsid w:val="00876A4D"/>
    <w:rsid w:val="0087768D"/>
    <w:rsid w:val="00880D36"/>
    <w:rsid w:val="008829E2"/>
    <w:rsid w:val="00884204"/>
    <w:rsid w:val="00885A4A"/>
    <w:rsid w:val="008866D7"/>
    <w:rsid w:val="00891AEB"/>
    <w:rsid w:val="00893656"/>
    <w:rsid w:val="008942C4"/>
    <w:rsid w:val="0089453F"/>
    <w:rsid w:val="00894B12"/>
    <w:rsid w:val="00896369"/>
    <w:rsid w:val="008A0556"/>
    <w:rsid w:val="008A0DC4"/>
    <w:rsid w:val="008A4499"/>
    <w:rsid w:val="008A5738"/>
    <w:rsid w:val="008A599F"/>
    <w:rsid w:val="008A605E"/>
    <w:rsid w:val="008A6DA3"/>
    <w:rsid w:val="008A746A"/>
    <w:rsid w:val="008B074E"/>
    <w:rsid w:val="008B091D"/>
    <w:rsid w:val="008B1378"/>
    <w:rsid w:val="008B31CC"/>
    <w:rsid w:val="008B3C62"/>
    <w:rsid w:val="008B3F3E"/>
    <w:rsid w:val="008B4A7F"/>
    <w:rsid w:val="008B56C8"/>
    <w:rsid w:val="008B5CD6"/>
    <w:rsid w:val="008B7A3C"/>
    <w:rsid w:val="008C3E4D"/>
    <w:rsid w:val="008C3FC3"/>
    <w:rsid w:val="008C4CFD"/>
    <w:rsid w:val="008C635E"/>
    <w:rsid w:val="008D108C"/>
    <w:rsid w:val="008D24BA"/>
    <w:rsid w:val="008D2926"/>
    <w:rsid w:val="008D3D50"/>
    <w:rsid w:val="008D3F61"/>
    <w:rsid w:val="008D4235"/>
    <w:rsid w:val="008D5E89"/>
    <w:rsid w:val="008D6446"/>
    <w:rsid w:val="008D6C70"/>
    <w:rsid w:val="008D79F0"/>
    <w:rsid w:val="008D7A58"/>
    <w:rsid w:val="008E0BFA"/>
    <w:rsid w:val="008E1007"/>
    <w:rsid w:val="008E22CA"/>
    <w:rsid w:val="008E24D4"/>
    <w:rsid w:val="008E26A9"/>
    <w:rsid w:val="008E4C92"/>
    <w:rsid w:val="008E5803"/>
    <w:rsid w:val="008E5EBE"/>
    <w:rsid w:val="008E60B9"/>
    <w:rsid w:val="008F231A"/>
    <w:rsid w:val="008F23D6"/>
    <w:rsid w:val="008F3500"/>
    <w:rsid w:val="008F48C7"/>
    <w:rsid w:val="008F4E3C"/>
    <w:rsid w:val="008F4E76"/>
    <w:rsid w:val="008F5CA6"/>
    <w:rsid w:val="008F6AEC"/>
    <w:rsid w:val="00902586"/>
    <w:rsid w:val="009028B2"/>
    <w:rsid w:val="0090399B"/>
    <w:rsid w:val="00904692"/>
    <w:rsid w:val="009057A4"/>
    <w:rsid w:val="00907D19"/>
    <w:rsid w:val="00910F13"/>
    <w:rsid w:val="009112E1"/>
    <w:rsid w:val="00911567"/>
    <w:rsid w:val="00914908"/>
    <w:rsid w:val="0091581E"/>
    <w:rsid w:val="009168CF"/>
    <w:rsid w:val="00916CF7"/>
    <w:rsid w:val="009177C2"/>
    <w:rsid w:val="00920286"/>
    <w:rsid w:val="00920C9C"/>
    <w:rsid w:val="00921F8E"/>
    <w:rsid w:val="00923338"/>
    <w:rsid w:val="00923607"/>
    <w:rsid w:val="009240A6"/>
    <w:rsid w:val="00925808"/>
    <w:rsid w:val="0092703D"/>
    <w:rsid w:val="0092753D"/>
    <w:rsid w:val="00931F5F"/>
    <w:rsid w:val="00932E92"/>
    <w:rsid w:val="00933F94"/>
    <w:rsid w:val="00934061"/>
    <w:rsid w:val="00934334"/>
    <w:rsid w:val="009354F7"/>
    <w:rsid w:val="00935925"/>
    <w:rsid w:val="00935AE4"/>
    <w:rsid w:val="00935B15"/>
    <w:rsid w:val="00936D2A"/>
    <w:rsid w:val="00940A0F"/>
    <w:rsid w:val="00940AF7"/>
    <w:rsid w:val="00941D16"/>
    <w:rsid w:val="009429A4"/>
    <w:rsid w:val="00942AF1"/>
    <w:rsid w:val="009433E0"/>
    <w:rsid w:val="00944C67"/>
    <w:rsid w:val="009454A7"/>
    <w:rsid w:val="00946991"/>
    <w:rsid w:val="0094769F"/>
    <w:rsid w:val="00947962"/>
    <w:rsid w:val="009512D6"/>
    <w:rsid w:val="00952501"/>
    <w:rsid w:val="00954BCE"/>
    <w:rsid w:val="0095627C"/>
    <w:rsid w:val="00957EA5"/>
    <w:rsid w:val="0096244A"/>
    <w:rsid w:val="00962EF7"/>
    <w:rsid w:val="0096382C"/>
    <w:rsid w:val="009657F4"/>
    <w:rsid w:val="009672E3"/>
    <w:rsid w:val="00967871"/>
    <w:rsid w:val="009703BB"/>
    <w:rsid w:val="009712B4"/>
    <w:rsid w:val="009714DB"/>
    <w:rsid w:val="00971CBA"/>
    <w:rsid w:val="00971D2C"/>
    <w:rsid w:val="00972F2A"/>
    <w:rsid w:val="0097302B"/>
    <w:rsid w:val="00973180"/>
    <w:rsid w:val="0097385D"/>
    <w:rsid w:val="00974425"/>
    <w:rsid w:val="0097478F"/>
    <w:rsid w:val="00974F16"/>
    <w:rsid w:val="009761EE"/>
    <w:rsid w:val="0097766D"/>
    <w:rsid w:val="009808AC"/>
    <w:rsid w:val="009826F0"/>
    <w:rsid w:val="009832E4"/>
    <w:rsid w:val="00983F40"/>
    <w:rsid w:val="00984A19"/>
    <w:rsid w:val="009914AD"/>
    <w:rsid w:val="0099623A"/>
    <w:rsid w:val="009962E7"/>
    <w:rsid w:val="0099648B"/>
    <w:rsid w:val="00997178"/>
    <w:rsid w:val="009A0061"/>
    <w:rsid w:val="009A084C"/>
    <w:rsid w:val="009A0D6A"/>
    <w:rsid w:val="009A5A77"/>
    <w:rsid w:val="009A5F9D"/>
    <w:rsid w:val="009A64DC"/>
    <w:rsid w:val="009A6CC1"/>
    <w:rsid w:val="009A766C"/>
    <w:rsid w:val="009A76F7"/>
    <w:rsid w:val="009B17EC"/>
    <w:rsid w:val="009B187E"/>
    <w:rsid w:val="009B203A"/>
    <w:rsid w:val="009B25EC"/>
    <w:rsid w:val="009B2CC6"/>
    <w:rsid w:val="009B4857"/>
    <w:rsid w:val="009B6B9F"/>
    <w:rsid w:val="009C00C7"/>
    <w:rsid w:val="009C073A"/>
    <w:rsid w:val="009C29CA"/>
    <w:rsid w:val="009C46FF"/>
    <w:rsid w:val="009C51CB"/>
    <w:rsid w:val="009C64B6"/>
    <w:rsid w:val="009C6C49"/>
    <w:rsid w:val="009C6E59"/>
    <w:rsid w:val="009D0E01"/>
    <w:rsid w:val="009D27BF"/>
    <w:rsid w:val="009D4554"/>
    <w:rsid w:val="009D5AD5"/>
    <w:rsid w:val="009D5C5A"/>
    <w:rsid w:val="009D5FC4"/>
    <w:rsid w:val="009D7CDE"/>
    <w:rsid w:val="009E0BBF"/>
    <w:rsid w:val="009E1866"/>
    <w:rsid w:val="009E2969"/>
    <w:rsid w:val="009E3005"/>
    <w:rsid w:val="009E3844"/>
    <w:rsid w:val="009E38EB"/>
    <w:rsid w:val="009E567E"/>
    <w:rsid w:val="009F01F8"/>
    <w:rsid w:val="009F0BFA"/>
    <w:rsid w:val="009F0CF8"/>
    <w:rsid w:val="009F337C"/>
    <w:rsid w:val="009F4940"/>
    <w:rsid w:val="009F5F8B"/>
    <w:rsid w:val="009F6315"/>
    <w:rsid w:val="009F66BB"/>
    <w:rsid w:val="00A0162B"/>
    <w:rsid w:val="00A04ABC"/>
    <w:rsid w:val="00A06A9B"/>
    <w:rsid w:val="00A078E2"/>
    <w:rsid w:val="00A07F47"/>
    <w:rsid w:val="00A1011A"/>
    <w:rsid w:val="00A10405"/>
    <w:rsid w:val="00A10905"/>
    <w:rsid w:val="00A10BB7"/>
    <w:rsid w:val="00A12D79"/>
    <w:rsid w:val="00A13309"/>
    <w:rsid w:val="00A135C4"/>
    <w:rsid w:val="00A14477"/>
    <w:rsid w:val="00A16294"/>
    <w:rsid w:val="00A173B5"/>
    <w:rsid w:val="00A17426"/>
    <w:rsid w:val="00A17806"/>
    <w:rsid w:val="00A17960"/>
    <w:rsid w:val="00A17A2B"/>
    <w:rsid w:val="00A20110"/>
    <w:rsid w:val="00A211E1"/>
    <w:rsid w:val="00A21573"/>
    <w:rsid w:val="00A22B7D"/>
    <w:rsid w:val="00A23986"/>
    <w:rsid w:val="00A24539"/>
    <w:rsid w:val="00A2472A"/>
    <w:rsid w:val="00A25564"/>
    <w:rsid w:val="00A255C3"/>
    <w:rsid w:val="00A26CA4"/>
    <w:rsid w:val="00A27D44"/>
    <w:rsid w:val="00A30788"/>
    <w:rsid w:val="00A3096C"/>
    <w:rsid w:val="00A31154"/>
    <w:rsid w:val="00A32272"/>
    <w:rsid w:val="00A32304"/>
    <w:rsid w:val="00A32F2E"/>
    <w:rsid w:val="00A335CB"/>
    <w:rsid w:val="00A33C58"/>
    <w:rsid w:val="00A358BF"/>
    <w:rsid w:val="00A36085"/>
    <w:rsid w:val="00A376CA"/>
    <w:rsid w:val="00A409AF"/>
    <w:rsid w:val="00A415D5"/>
    <w:rsid w:val="00A423E5"/>
    <w:rsid w:val="00A4376E"/>
    <w:rsid w:val="00A4385A"/>
    <w:rsid w:val="00A4439F"/>
    <w:rsid w:val="00A44A61"/>
    <w:rsid w:val="00A44B92"/>
    <w:rsid w:val="00A47F99"/>
    <w:rsid w:val="00A50C4A"/>
    <w:rsid w:val="00A513F8"/>
    <w:rsid w:val="00A51A6D"/>
    <w:rsid w:val="00A52188"/>
    <w:rsid w:val="00A5273F"/>
    <w:rsid w:val="00A5362E"/>
    <w:rsid w:val="00A54C1A"/>
    <w:rsid w:val="00A54F72"/>
    <w:rsid w:val="00A57698"/>
    <w:rsid w:val="00A57AF3"/>
    <w:rsid w:val="00A57B3A"/>
    <w:rsid w:val="00A64AD5"/>
    <w:rsid w:val="00A662FF"/>
    <w:rsid w:val="00A70F3C"/>
    <w:rsid w:val="00A71C09"/>
    <w:rsid w:val="00A72202"/>
    <w:rsid w:val="00A7716B"/>
    <w:rsid w:val="00A77A83"/>
    <w:rsid w:val="00A80A82"/>
    <w:rsid w:val="00A82ED5"/>
    <w:rsid w:val="00A832F2"/>
    <w:rsid w:val="00A8420E"/>
    <w:rsid w:val="00A84A67"/>
    <w:rsid w:val="00A87139"/>
    <w:rsid w:val="00A87219"/>
    <w:rsid w:val="00A872AE"/>
    <w:rsid w:val="00A91968"/>
    <w:rsid w:val="00A92D78"/>
    <w:rsid w:val="00A92F50"/>
    <w:rsid w:val="00A943D3"/>
    <w:rsid w:val="00A95930"/>
    <w:rsid w:val="00A96930"/>
    <w:rsid w:val="00A96F53"/>
    <w:rsid w:val="00AA21EC"/>
    <w:rsid w:val="00AA3C08"/>
    <w:rsid w:val="00AA76FF"/>
    <w:rsid w:val="00AA7CF9"/>
    <w:rsid w:val="00AB1289"/>
    <w:rsid w:val="00AB2690"/>
    <w:rsid w:val="00AB6E96"/>
    <w:rsid w:val="00AB70AD"/>
    <w:rsid w:val="00AB7571"/>
    <w:rsid w:val="00AB780A"/>
    <w:rsid w:val="00AC11F3"/>
    <w:rsid w:val="00AC134B"/>
    <w:rsid w:val="00AC15BC"/>
    <w:rsid w:val="00AC1C23"/>
    <w:rsid w:val="00AC4BD9"/>
    <w:rsid w:val="00AC502A"/>
    <w:rsid w:val="00AC5711"/>
    <w:rsid w:val="00AC5C43"/>
    <w:rsid w:val="00AC6680"/>
    <w:rsid w:val="00AD1667"/>
    <w:rsid w:val="00AD3610"/>
    <w:rsid w:val="00AD37CE"/>
    <w:rsid w:val="00AD533F"/>
    <w:rsid w:val="00AD5573"/>
    <w:rsid w:val="00AD59AB"/>
    <w:rsid w:val="00AD6074"/>
    <w:rsid w:val="00AD6744"/>
    <w:rsid w:val="00AD69EB"/>
    <w:rsid w:val="00AE1C29"/>
    <w:rsid w:val="00AE1E68"/>
    <w:rsid w:val="00AE1EF9"/>
    <w:rsid w:val="00AE37F6"/>
    <w:rsid w:val="00AE41C1"/>
    <w:rsid w:val="00AE4264"/>
    <w:rsid w:val="00AE7CD5"/>
    <w:rsid w:val="00AF19F2"/>
    <w:rsid w:val="00AF2811"/>
    <w:rsid w:val="00AF3574"/>
    <w:rsid w:val="00AF3BD9"/>
    <w:rsid w:val="00AF3FE3"/>
    <w:rsid w:val="00AF4188"/>
    <w:rsid w:val="00AF4A0C"/>
    <w:rsid w:val="00AF524B"/>
    <w:rsid w:val="00AF5B41"/>
    <w:rsid w:val="00AF67FE"/>
    <w:rsid w:val="00AF7CC1"/>
    <w:rsid w:val="00B009C0"/>
    <w:rsid w:val="00B01268"/>
    <w:rsid w:val="00B0262A"/>
    <w:rsid w:val="00B02664"/>
    <w:rsid w:val="00B02B37"/>
    <w:rsid w:val="00B04061"/>
    <w:rsid w:val="00B040AB"/>
    <w:rsid w:val="00B0467B"/>
    <w:rsid w:val="00B057F7"/>
    <w:rsid w:val="00B05B94"/>
    <w:rsid w:val="00B0706E"/>
    <w:rsid w:val="00B10076"/>
    <w:rsid w:val="00B11536"/>
    <w:rsid w:val="00B1329D"/>
    <w:rsid w:val="00B1631B"/>
    <w:rsid w:val="00B17882"/>
    <w:rsid w:val="00B20FD6"/>
    <w:rsid w:val="00B22E59"/>
    <w:rsid w:val="00B23084"/>
    <w:rsid w:val="00B2323E"/>
    <w:rsid w:val="00B354D9"/>
    <w:rsid w:val="00B4088A"/>
    <w:rsid w:val="00B4129C"/>
    <w:rsid w:val="00B4492F"/>
    <w:rsid w:val="00B460AE"/>
    <w:rsid w:val="00B470C8"/>
    <w:rsid w:val="00B475E1"/>
    <w:rsid w:val="00B51316"/>
    <w:rsid w:val="00B514AA"/>
    <w:rsid w:val="00B5289B"/>
    <w:rsid w:val="00B542C1"/>
    <w:rsid w:val="00B54516"/>
    <w:rsid w:val="00B5619C"/>
    <w:rsid w:val="00B60BBD"/>
    <w:rsid w:val="00B60EBD"/>
    <w:rsid w:val="00B61C3D"/>
    <w:rsid w:val="00B61E93"/>
    <w:rsid w:val="00B624A4"/>
    <w:rsid w:val="00B64306"/>
    <w:rsid w:val="00B658A0"/>
    <w:rsid w:val="00B717A5"/>
    <w:rsid w:val="00B720DC"/>
    <w:rsid w:val="00B7232F"/>
    <w:rsid w:val="00B72713"/>
    <w:rsid w:val="00B72ABD"/>
    <w:rsid w:val="00B74BD9"/>
    <w:rsid w:val="00B75880"/>
    <w:rsid w:val="00B77D8D"/>
    <w:rsid w:val="00B80458"/>
    <w:rsid w:val="00B80D9D"/>
    <w:rsid w:val="00B82CF3"/>
    <w:rsid w:val="00B84443"/>
    <w:rsid w:val="00B84AC3"/>
    <w:rsid w:val="00B85B88"/>
    <w:rsid w:val="00B86999"/>
    <w:rsid w:val="00B90B42"/>
    <w:rsid w:val="00B90EF2"/>
    <w:rsid w:val="00B919E8"/>
    <w:rsid w:val="00B9360A"/>
    <w:rsid w:val="00B94001"/>
    <w:rsid w:val="00B9456F"/>
    <w:rsid w:val="00B946A9"/>
    <w:rsid w:val="00B950CD"/>
    <w:rsid w:val="00B95350"/>
    <w:rsid w:val="00B95461"/>
    <w:rsid w:val="00B96B61"/>
    <w:rsid w:val="00B96B97"/>
    <w:rsid w:val="00BA0FE7"/>
    <w:rsid w:val="00BA1F48"/>
    <w:rsid w:val="00BA27ED"/>
    <w:rsid w:val="00BA29B0"/>
    <w:rsid w:val="00BA2B78"/>
    <w:rsid w:val="00BA36C3"/>
    <w:rsid w:val="00BA376F"/>
    <w:rsid w:val="00BA5155"/>
    <w:rsid w:val="00BA5475"/>
    <w:rsid w:val="00BA59D0"/>
    <w:rsid w:val="00BA7525"/>
    <w:rsid w:val="00BA7799"/>
    <w:rsid w:val="00BA7871"/>
    <w:rsid w:val="00BB05EC"/>
    <w:rsid w:val="00BB2AFC"/>
    <w:rsid w:val="00BB2CE8"/>
    <w:rsid w:val="00BB30FD"/>
    <w:rsid w:val="00BB346C"/>
    <w:rsid w:val="00BB71EA"/>
    <w:rsid w:val="00BB7A0A"/>
    <w:rsid w:val="00BC0875"/>
    <w:rsid w:val="00BC0EFC"/>
    <w:rsid w:val="00BC1DD4"/>
    <w:rsid w:val="00BD03D0"/>
    <w:rsid w:val="00BD03D2"/>
    <w:rsid w:val="00BD1648"/>
    <w:rsid w:val="00BD1A78"/>
    <w:rsid w:val="00BD2A5C"/>
    <w:rsid w:val="00BD2C22"/>
    <w:rsid w:val="00BD341C"/>
    <w:rsid w:val="00BD47E0"/>
    <w:rsid w:val="00BD4B95"/>
    <w:rsid w:val="00BD567F"/>
    <w:rsid w:val="00BD5D81"/>
    <w:rsid w:val="00BD6C59"/>
    <w:rsid w:val="00BD72BA"/>
    <w:rsid w:val="00BD73EA"/>
    <w:rsid w:val="00BE045C"/>
    <w:rsid w:val="00BE46AE"/>
    <w:rsid w:val="00BE571C"/>
    <w:rsid w:val="00BE76CE"/>
    <w:rsid w:val="00BF1476"/>
    <w:rsid w:val="00BF1D69"/>
    <w:rsid w:val="00BF4616"/>
    <w:rsid w:val="00BF4B7E"/>
    <w:rsid w:val="00BF7C0B"/>
    <w:rsid w:val="00C02E5F"/>
    <w:rsid w:val="00C03455"/>
    <w:rsid w:val="00C0608A"/>
    <w:rsid w:val="00C06D6F"/>
    <w:rsid w:val="00C07719"/>
    <w:rsid w:val="00C10BD2"/>
    <w:rsid w:val="00C10E1C"/>
    <w:rsid w:val="00C10E88"/>
    <w:rsid w:val="00C113F4"/>
    <w:rsid w:val="00C116E2"/>
    <w:rsid w:val="00C12FF0"/>
    <w:rsid w:val="00C145B8"/>
    <w:rsid w:val="00C159B0"/>
    <w:rsid w:val="00C16026"/>
    <w:rsid w:val="00C160F6"/>
    <w:rsid w:val="00C205D4"/>
    <w:rsid w:val="00C22FF1"/>
    <w:rsid w:val="00C23950"/>
    <w:rsid w:val="00C26E08"/>
    <w:rsid w:val="00C33AD2"/>
    <w:rsid w:val="00C34BCE"/>
    <w:rsid w:val="00C34F8F"/>
    <w:rsid w:val="00C35988"/>
    <w:rsid w:val="00C3676E"/>
    <w:rsid w:val="00C41FE1"/>
    <w:rsid w:val="00C424F2"/>
    <w:rsid w:val="00C434A3"/>
    <w:rsid w:val="00C436EC"/>
    <w:rsid w:val="00C4392C"/>
    <w:rsid w:val="00C4442B"/>
    <w:rsid w:val="00C5046D"/>
    <w:rsid w:val="00C50931"/>
    <w:rsid w:val="00C50C6A"/>
    <w:rsid w:val="00C5154C"/>
    <w:rsid w:val="00C51F1E"/>
    <w:rsid w:val="00C55B61"/>
    <w:rsid w:val="00C5622B"/>
    <w:rsid w:val="00C56C37"/>
    <w:rsid w:val="00C56FA5"/>
    <w:rsid w:val="00C60ECA"/>
    <w:rsid w:val="00C625A8"/>
    <w:rsid w:val="00C630D8"/>
    <w:rsid w:val="00C6406F"/>
    <w:rsid w:val="00C71D59"/>
    <w:rsid w:val="00C72B26"/>
    <w:rsid w:val="00C73184"/>
    <w:rsid w:val="00C74098"/>
    <w:rsid w:val="00C75511"/>
    <w:rsid w:val="00C77E54"/>
    <w:rsid w:val="00C8025C"/>
    <w:rsid w:val="00C8061C"/>
    <w:rsid w:val="00C80938"/>
    <w:rsid w:val="00C814D6"/>
    <w:rsid w:val="00C82482"/>
    <w:rsid w:val="00C82FA6"/>
    <w:rsid w:val="00C83065"/>
    <w:rsid w:val="00C83663"/>
    <w:rsid w:val="00C83891"/>
    <w:rsid w:val="00C87C03"/>
    <w:rsid w:val="00C87F97"/>
    <w:rsid w:val="00C901D9"/>
    <w:rsid w:val="00C909D9"/>
    <w:rsid w:val="00C90C33"/>
    <w:rsid w:val="00C91352"/>
    <w:rsid w:val="00C91C5B"/>
    <w:rsid w:val="00C92CAE"/>
    <w:rsid w:val="00C9330E"/>
    <w:rsid w:val="00C94228"/>
    <w:rsid w:val="00C944AD"/>
    <w:rsid w:val="00C95B3B"/>
    <w:rsid w:val="00C95DCE"/>
    <w:rsid w:val="00CA12FD"/>
    <w:rsid w:val="00CA2F0A"/>
    <w:rsid w:val="00CA3B97"/>
    <w:rsid w:val="00CA5D09"/>
    <w:rsid w:val="00CB0E7B"/>
    <w:rsid w:val="00CB1CD5"/>
    <w:rsid w:val="00CB2725"/>
    <w:rsid w:val="00CB286E"/>
    <w:rsid w:val="00CB4123"/>
    <w:rsid w:val="00CB4469"/>
    <w:rsid w:val="00CB5841"/>
    <w:rsid w:val="00CC1375"/>
    <w:rsid w:val="00CC31AB"/>
    <w:rsid w:val="00CC5A9F"/>
    <w:rsid w:val="00CC5EDF"/>
    <w:rsid w:val="00CC63C8"/>
    <w:rsid w:val="00CC668C"/>
    <w:rsid w:val="00CC6786"/>
    <w:rsid w:val="00CC6C83"/>
    <w:rsid w:val="00CC7AFB"/>
    <w:rsid w:val="00CD0A87"/>
    <w:rsid w:val="00CD1FC1"/>
    <w:rsid w:val="00CD42BF"/>
    <w:rsid w:val="00CD455D"/>
    <w:rsid w:val="00CD7C36"/>
    <w:rsid w:val="00CE1ACE"/>
    <w:rsid w:val="00CE2BCB"/>
    <w:rsid w:val="00CE2C77"/>
    <w:rsid w:val="00CE440E"/>
    <w:rsid w:val="00CE568E"/>
    <w:rsid w:val="00CE5A5B"/>
    <w:rsid w:val="00CE7259"/>
    <w:rsid w:val="00CE77C5"/>
    <w:rsid w:val="00CF031E"/>
    <w:rsid w:val="00CF08FB"/>
    <w:rsid w:val="00CF0B43"/>
    <w:rsid w:val="00CF25C3"/>
    <w:rsid w:val="00CF268F"/>
    <w:rsid w:val="00CF5E90"/>
    <w:rsid w:val="00CF6BE8"/>
    <w:rsid w:val="00CF6F90"/>
    <w:rsid w:val="00CF74D7"/>
    <w:rsid w:val="00CF7810"/>
    <w:rsid w:val="00CF78BC"/>
    <w:rsid w:val="00D00266"/>
    <w:rsid w:val="00D00B1F"/>
    <w:rsid w:val="00D04440"/>
    <w:rsid w:val="00D04A11"/>
    <w:rsid w:val="00D052CB"/>
    <w:rsid w:val="00D10874"/>
    <w:rsid w:val="00D1088E"/>
    <w:rsid w:val="00D11443"/>
    <w:rsid w:val="00D12CC2"/>
    <w:rsid w:val="00D14DE4"/>
    <w:rsid w:val="00D15351"/>
    <w:rsid w:val="00D157E7"/>
    <w:rsid w:val="00D17F7E"/>
    <w:rsid w:val="00D21529"/>
    <w:rsid w:val="00D216C9"/>
    <w:rsid w:val="00D22FDB"/>
    <w:rsid w:val="00D23059"/>
    <w:rsid w:val="00D2372F"/>
    <w:rsid w:val="00D23D12"/>
    <w:rsid w:val="00D23FC7"/>
    <w:rsid w:val="00D2424D"/>
    <w:rsid w:val="00D24FA6"/>
    <w:rsid w:val="00D2528E"/>
    <w:rsid w:val="00D263DD"/>
    <w:rsid w:val="00D26963"/>
    <w:rsid w:val="00D26B0D"/>
    <w:rsid w:val="00D3037E"/>
    <w:rsid w:val="00D31B54"/>
    <w:rsid w:val="00D3211C"/>
    <w:rsid w:val="00D32B74"/>
    <w:rsid w:val="00D3490F"/>
    <w:rsid w:val="00D35A27"/>
    <w:rsid w:val="00D35C92"/>
    <w:rsid w:val="00D37761"/>
    <w:rsid w:val="00D405E9"/>
    <w:rsid w:val="00D41B82"/>
    <w:rsid w:val="00D43278"/>
    <w:rsid w:val="00D439A2"/>
    <w:rsid w:val="00D43D3C"/>
    <w:rsid w:val="00D44011"/>
    <w:rsid w:val="00D4553E"/>
    <w:rsid w:val="00D45931"/>
    <w:rsid w:val="00D45C99"/>
    <w:rsid w:val="00D464A8"/>
    <w:rsid w:val="00D46B82"/>
    <w:rsid w:val="00D4717A"/>
    <w:rsid w:val="00D5173C"/>
    <w:rsid w:val="00D529D2"/>
    <w:rsid w:val="00D52C3E"/>
    <w:rsid w:val="00D53740"/>
    <w:rsid w:val="00D54064"/>
    <w:rsid w:val="00D54FAC"/>
    <w:rsid w:val="00D55EF6"/>
    <w:rsid w:val="00D55F40"/>
    <w:rsid w:val="00D5756F"/>
    <w:rsid w:val="00D578B2"/>
    <w:rsid w:val="00D608A9"/>
    <w:rsid w:val="00D609C0"/>
    <w:rsid w:val="00D60AD7"/>
    <w:rsid w:val="00D60FC8"/>
    <w:rsid w:val="00D63E60"/>
    <w:rsid w:val="00D64043"/>
    <w:rsid w:val="00D65C01"/>
    <w:rsid w:val="00D66211"/>
    <w:rsid w:val="00D70637"/>
    <w:rsid w:val="00D71710"/>
    <w:rsid w:val="00D740A2"/>
    <w:rsid w:val="00D750EB"/>
    <w:rsid w:val="00D8059D"/>
    <w:rsid w:val="00D8181D"/>
    <w:rsid w:val="00D81EAD"/>
    <w:rsid w:val="00D83239"/>
    <w:rsid w:val="00D85A5F"/>
    <w:rsid w:val="00D85BA3"/>
    <w:rsid w:val="00D8691C"/>
    <w:rsid w:val="00D908A3"/>
    <w:rsid w:val="00D9340E"/>
    <w:rsid w:val="00D9364D"/>
    <w:rsid w:val="00D942C3"/>
    <w:rsid w:val="00D95494"/>
    <w:rsid w:val="00D9764D"/>
    <w:rsid w:val="00DA2320"/>
    <w:rsid w:val="00DA4CBA"/>
    <w:rsid w:val="00DA5289"/>
    <w:rsid w:val="00DA750A"/>
    <w:rsid w:val="00DA7739"/>
    <w:rsid w:val="00DA7D75"/>
    <w:rsid w:val="00DB045A"/>
    <w:rsid w:val="00DB056D"/>
    <w:rsid w:val="00DB0F60"/>
    <w:rsid w:val="00DB22A6"/>
    <w:rsid w:val="00DB29C1"/>
    <w:rsid w:val="00DB357B"/>
    <w:rsid w:val="00DB3CE6"/>
    <w:rsid w:val="00DB40C0"/>
    <w:rsid w:val="00DB5EBF"/>
    <w:rsid w:val="00DB6AD1"/>
    <w:rsid w:val="00DC02C6"/>
    <w:rsid w:val="00DC0E4C"/>
    <w:rsid w:val="00DC13E9"/>
    <w:rsid w:val="00DC1CCC"/>
    <w:rsid w:val="00DC324B"/>
    <w:rsid w:val="00DC3960"/>
    <w:rsid w:val="00DC41F4"/>
    <w:rsid w:val="00DC5AE4"/>
    <w:rsid w:val="00DC6B16"/>
    <w:rsid w:val="00DD5C36"/>
    <w:rsid w:val="00DD65B7"/>
    <w:rsid w:val="00DD71C5"/>
    <w:rsid w:val="00DD7817"/>
    <w:rsid w:val="00DD7E25"/>
    <w:rsid w:val="00DE155E"/>
    <w:rsid w:val="00DE1578"/>
    <w:rsid w:val="00DE298A"/>
    <w:rsid w:val="00DE3CEA"/>
    <w:rsid w:val="00DE44D0"/>
    <w:rsid w:val="00DE4747"/>
    <w:rsid w:val="00DE5A08"/>
    <w:rsid w:val="00DE7254"/>
    <w:rsid w:val="00DF0D65"/>
    <w:rsid w:val="00DF1086"/>
    <w:rsid w:val="00DF164B"/>
    <w:rsid w:val="00DF1CFD"/>
    <w:rsid w:val="00DF28B1"/>
    <w:rsid w:val="00DF29B5"/>
    <w:rsid w:val="00DF3C90"/>
    <w:rsid w:val="00DF4515"/>
    <w:rsid w:val="00DF4838"/>
    <w:rsid w:val="00DF4FAE"/>
    <w:rsid w:val="00DF54FF"/>
    <w:rsid w:val="00DF59DB"/>
    <w:rsid w:val="00DF6A61"/>
    <w:rsid w:val="00DF6FB2"/>
    <w:rsid w:val="00DF7968"/>
    <w:rsid w:val="00E0081A"/>
    <w:rsid w:val="00E00D3E"/>
    <w:rsid w:val="00E03464"/>
    <w:rsid w:val="00E037FB"/>
    <w:rsid w:val="00E047EE"/>
    <w:rsid w:val="00E076A3"/>
    <w:rsid w:val="00E07B09"/>
    <w:rsid w:val="00E07E46"/>
    <w:rsid w:val="00E11566"/>
    <w:rsid w:val="00E11FEC"/>
    <w:rsid w:val="00E12109"/>
    <w:rsid w:val="00E12955"/>
    <w:rsid w:val="00E133D1"/>
    <w:rsid w:val="00E15010"/>
    <w:rsid w:val="00E1732B"/>
    <w:rsid w:val="00E17569"/>
    <w:rsid w:val="00E2146B"/>
    <w:rsid w:val="00E258A5"/>
    <w:rsid w:val="00E26EB5"/>
    <w:rsid w:val="00E271A1"/>
    <w:rsid w:val="00E334A4"/>
    <w:rsid w:val="00E349AB"/>
    <w:rsid w:val="00E355D4"/>
    <w:rsid w:val="00E35F27"/>
    <w:rsid w:val="00E35F5B"/>
    <w:rsid w:val="00E36597"/>
    <w:rsid w:val="00E36D30"/>
    <w:rsid w:val="00E37596"/>
    <w:rsid w:val="00E37BD0"/>
    <w:rsid w:val="00E37E91"/>
    <w:rsid w:val="00E40FE6"/>
    <w:rsid w:val="00E422D9"/>
    <w:rsid w:val="00E42630"/>
    <w:rsid w:val="00E42FB5"/>
    <w:rsid w:val="00E5008A"/>
    <w:rsid w:val="00E50273"/>
    <w:rsid w:val="00E50D27"/>
    <w:rsid w:val="00E52011"/>
    <w:rsid w:val="00E5298B"/>
    <w:rsid w:val="00E53005"/>
    <w:rsid w:val="00E533E8"/>
    <w:rsid w:val="00E55793"/>
    <w:rsid w:val="00E55EBD"/>
    <w:rsid w:val="00E60BB1"/>
    <w:rsid w:val="00E61D06"/>
    <w:rsid w:val="00E63B3B"/>
    <w:rsid w:val="00E6709D"/>
    <w:rsid w:val="00E675F4"/>
    <w:rsid w:val="00E70281"/>
    <w:rsid w:val="00E71C1F"/>
    <w:rsid w:val="00E72152"/>
    <w:rsid w:val="00E736CD"/>
    <w:rsid w:val="00E73D47"/>
    <w:rsid w:val="00E745B2"/>
    <w:rsid w:val="00E762E6"/>
    <w:rsid w:val="00E76AFC"/>
    <w:rsid w:val="00E77F16"/>
    <w:rsid w:val="00E8001C"/>
    <w:rsid w:val="00E8160E"/>
    <w:rsid w:val="00E81A5B"/>
    <w:rsid w:val="00E83C6D"/>
    <w:rsid w:val="00E847F2"/>
    <w:rsid w:val="00E84A2D"/>
    <w:rsid w:val="00E85C13"/>
    <w:rsid w:val="00E86CE9"/>
    <w:rsid w:val="00E876AC"/>
    <w:rsid w:val="00E9002A"/>
    <w:rsid w:val="00E908B4"/>
    <w:rsid w:val="00E91DA5"/>
    <w:rsid w:val="00E92E78"/>
    <w:rsid w:val="00E92FE6"/>
    <w:rsid w:val="00E92FF2"/>
    <w:rsid w:val="00E9549E"/>
    <w:rsid w:val="00E95EA8"/>
    <w:rsid w:val="00E973F6"/>
    <w:rsid w:val="00EA1488"/>
    <w:rsid w:val="00EA45EB"/>
    <w:rsid w:val="00EA4E9B"/>
    <w:rsid w:val="00EA537C"/>
    <w:rsid w:val="00EA62B5"/>
    <w:rsid w:val="00EA6488"/>
    <w:rsid w:val="00EA72E0"/>
    <w:rsid w:val="00EA7627"/>
    <w:rsid w:val="00EA79DE"/>
    <w:rsid w:val="00EB046F"/>
    <w:rsid w:val="00EB05B0"/>
    <w:rsid w:val="00EB1B0F"/>
    <w:rsid w:val="00EB1C4C"/>
    <w:rsid w:val="00EB29F0"/>
    <w:rsid w:val="00EB35BF"/>
    <w:rsid w:val="00EB3A4C"/>
    <w:rsid w:val="00EB4852"/>
    <w:rsid w:val="00EB4ABD"/>
    <w:rsid w:val="00EB5C76"/>
    <w:rsid w:val="00EB606B"/>
    <w:rsid w:val="00EC030E"/>
    <w:rsid w:val="00EC214F"/>
    <w:rsid w:val="00EC25AD"/>
    <w:rsid w:val="00EC26CA"/>
    <w:rsid w:val="00EC5E7D"/>
    <w:rsid w:val="00EC5EA9"/>
    <w:rsid w:val="00EC7D2B"/>
    <w:rsid w:val="00ED1C61"/>
    <w:rsid w:val="00ED2EBA"/>
    <w:rsid w:val="00ED4AEA"/>
    <w:rsid w:val="00ED4E32"/>
    <w:rsid w:val="00ED51C3"/>
    <w:rsid w:val="00ED67E1"/>
    <w:rsid w:val="00ED7864"/>
    <w:rsid w:val="00ED7D91"/>
    <w:rsid w:val="00EE0099"/>
    <w:rsid w:val="00EE055D"/>
    <w:rsid w:val="00EE5641"/>
    <w:rsid w:val="00EE71FC"/>
    <w:rsid w:val="00EF1CB0"/>
    <w:rsid w:val="00EF35DE"/>
    <w:rsid w:val="00EF3DF9"/>
    <w:rsid w:val="00EF3FB4"/>
    <w:rsid w:val="00EF483C"/>
    <w:rsid w:val="00EF5A28"/>
    <w:rsid w:val="00F0095F"/>
    <w:rsid w:val="00F01A1E"/>
    <w:rsid w:val="00F035B9"/>
    <w:rsid w:val="00F04D87"/>
    <w:rsid w:val="00F06D07"/>
    <w:rsid w:val="00F10E36"/>
    <w:rsid w:val="00F1143E"/>
    <w:rsid w:val="00F13202"/>
    <w:rsid w:val="00F139AD"/>
    <w:rsid w:val="00F13B6F"/>
    <w:rsid w:val="00F143EB"/>
    <w:rsid w:val="00F14D58"/>
    <w:rsid w:val="00F15600"/>
    <w:rsid w:val="00F15AC2"/>
    <w:rsid w:val="00F16A17"/>
    <w:rsid w:val="00F16ED9"/>
    <w:rsid w:val="00F17183"/>
    <w:rsid w:val="00F176A7"/>
    <w:rsid w:val="00F1793F"/>
    <w:rsid w:val="00F215A3"/>
    <w:rsid w:val="00F21AB1"/>
    <w:rsid w:val="00F24617"/>
    <w:rsid w:val="00F24A9A"/>
    <w:rsid w:val="00F24DE4"/>
    <w:rsid w:val="00F2573A"/>
    <w:rsid w:val="00F25D77"/>
    <w:rsid w:val="00F31DF5"/>
    <w:rsid w:val="00F37A12"/>
    <w:rsid w:val="00F37EB6"/>
    <w:rsid w:val="00F400EE"/>
    <w:rsid w:val="00F40A8E"/>
    <w:rsid w:val="00F428DE"/>
    <w:rsid w:val="00F43AD8"/>
    <w:rsid w:val="00F4430E"/>
    <w:rsid w:val="00F46F10"/>
    <w:rsid w:val="00F5059F"/>
    <w:rsid w:val="00F55391"/>
    <w:rsid w:val="00F55C8F"/>
    <w:rsid w:val="00F564E8"/>
    <w:rsid w:val="00F605E0"/>
    <w:rsid w:val="00F61920"/>
    <w:rsid w:val="00F65DB8"/>
    <w:rsid w:val="00F65E50"/>
    <w:rsid w:val="00F67488"/>
    <w:rsid w:val="00F7132A"/>
    <w:rsid w:val="00F71F8C"/>
    <w:rsid w:val="00F7200D"/>
    <w:rsid w:val="00F720E0"/>
    <w:rsid w:val="00F721AE"/>
    <w:rsid w:val="00F743C7"/>
    <w:rsid w:val="00F756E0"/>
    <w:rsid w:val="00F766C8"/>
    <w:rsid w:val="00F829B5"/>
    <w:rsid w:val="00F8339C"/>
    <w:rsid w:val="00F85381"/>
    <w:rsid w:val="00F85721"/>
    <w:rsid w:val="00F85BA2"/>
    <w:rsid w:val="00F9008E"/>
    <w:rsid w:val="00F9077D"/>
    <w:rsid w:val="00F911DB"/>
    <w:rsid w:val="00F914F2"/>
    <w:rsid w:val="00F92851"/>
    <w:rsid w:val="00F9477F"/>
    <w:rsid w:val="00F96F3F"/>
    <w:rsid w:val="00FA01DA"/>
    <w:rsid w:val="00FA2219"/>
    <w:rsid w:val="00FA2CEB"/>
    <w:rsid w:val="00FA404D"/>
    <w:rsid w:val="00FA4FA6"/>
    <w:rsid w:val="00FA513C"/>
    <w:rsid w:val="00FA565F"/>
    <w:rsid w:val="00FA62E4"/>
    <w:rsid w:val="00FA76F8"/>
    <w:rsid w:val="00FB0CFD"/>
    <w:rsid w:val="00FB1A45"/>
    <w:rsid w:val="00FB1ADC"/>
    <w:rsid w:val="00FB2211"/>
    <w:rsid w:val="00FB53E0"/>
    <w:rsid w:val="00FB541B"/>
    <w:rsid w:val="00FB58E1"/>
    <w:rsid w:val="00FB7E3F"/>
    <w:rsid w:val="00FC5707"/>
    <w:rsid w:val="00FC6FD6"/>
    <w:rsid w:val="00FC7CAB"/>
    <w:rsid w:val="00FC7F0B"/>
    <w:rsid w:val="00FD0516"/>
    <w:rsid w:val="00FD1265"/>
    <w:rsid w:val="00FD1D0A"/>
    <w:rsid w:val="00FD3131"/>
    <w:rsid w:val="00FD38AB"/>
    <w:rsid w:val="00FD5164"/>
    <w:rsid w:val="00FD5E3C"/>
    <w:rsid w:val="00FD61C7"/>
    <w:rsid w:val="00FE1974"/>
    <w:rsid w:val="00FE28D4"/>
    <w:rsid w:val="00FE3131"/>
    <w:rsid w:val="00FE390C"/>
    <w:rsid w:val="00FE3D30"/>
    <w:rsid w:val="00FE4E55"/>
    <w:rsid w:val="00FE543C"/>
    <w:rsid w:val="00FE721A"/>
    <w:rsid w:val="00FF03A5"/>
    <w:rsid w:val="00FF0A74"/>
    <w:rsid w:val="00FF0BED"/>
    <w:rsid w:val="00FF1567"/>
    <w:rsid w:val="00FF2E4A"/>
    <w:rsid w:val="00FF5849"/>
    <w:rsid w:val="00FF5A91"/>
    <w:rsid w:val="00FF65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B492CC"/>
  <w15:docId w15:val="{05C238AA-6C00-4015-BD34-EC03C060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5694"/>
    <w:pPr>
      <w:spacing w:after="160" w:line="259" w:lineRule="auto"/>
    </w:pPr>
    <w:rPr>
      <w:lang w:eastAsia="en-US"/>
    </w:rPr>
  </w:style>
  <w:style w:type="paragraph" w:styleId="Naslov1">
    <w:name w:val="heading 1"/>
    <w:basedOn w:val="Navaden"/>
    <w:next w:val="Navaden"/>
    <w:link w:val="Naslov1Znak"/>
    <w:qFormat/>
    <w:locked/>
    <w:rsid w:val="00286577"/>
    <w:pPr>
      <w:keepNext/>
      <w:keepLines/>
      <w:numPr>
        <w:numId w:val="3"/>
      </w:numPr>
      <w:tabs>
        <w:tab w:val="left" w:pos="567"/>
      </w:tabs>
      <w:spacing w:line="260" w:lineRule="exact"/>
      <w:contextualSpacing/>
      <w:outlineLvl w:val="0"/>
    </w:pPr>
    <w:rPr>
      <w:rFonts w:ascii="Arial" w:eastAsiaTheme="majorEastAsia" w:hAnsi="Arial" w:cs="Arial"/>
      <w:b/>
      <w:color w:val="365F91" w:themeColor="accent1" w:themeShade="BF"/>
      <w:sz w:val="20"/>
      <w:szCs w:val="20"/>
    </w:rPr>
  </w:style>
  <w:style w:type="paragraph" w:styleId="Naslov2">
    <w:name w:val="heading 2"/>
    <w:basedOn w:val="Navaden"/>
    <w:next w:val="Navaden"/>
    <w:link w:val="Naslov2Znak"/>
    <w:uiPriority w:val="99"/>
    <w:qFormat/>
    <w:rsid w:val="00286577"/>
    <w:pPr>
      <w:keepNext/>
      <w:numPr>
        <w:ilvl w:val="1"/>
        <w:numId w:val="1"/>
      </w:numPr>
      <w:tabs>
        <w:tab w:val="left" w:pos="567"/>
      </w:tabs>
      <w:spacing w:line="260" w:lineRule="exact"/>
      <w:contextualSpacing/>
      <w:outlineLvl w:val="1"/>
    </w:pPr>
    <w:rPr>
      <w:rFonts w:ascii="Arial" w:eastAsia="Times New Roman" w:hAnsi="Arial" w:cs="Arial"/>
      <w:b/>
      <w:bCs/>
      <w:iCs/>
      <w:sz w:val="20"/>
      <w:szCs w:val="20"/>
      <w:lang w:eastAsia="sl-SI"/>
    </w:rPr>
  </w:style>
  <w:style w:type="paragraph" w:styleId="Naslov3">
    <w:name w:val="heading 3"/>
    <w:basedOn w:val="Navaden"/>
    <w:next w:val="Navaden"/>
    <w:link w:val="Naslov3Znak"/>
    <w:uiPriority w:val="99"/>
    <w:qFormat/>
    <w:rsid w:val="009A766C"/>
    <w:pPr>
      <w:keepNext/>
      <w:keepLines/>
      <w:numPr>
        <w:ilvl w:val="2"/>
        <w:numId w:val="1"/>
      </w:numPr>
      <w:tabs>
        <w:tab w:val="left" w:pos="567"/>
      </w:tabs>
      <w:spacing w:before="40" w:after="0"/>
      <w:outlineLvl w:val="2"/>
    </w:pPr>
    <w:rPr>
      <w:rFonts w:ascii="Arial" w:eastAsia="Times New Roman" w:hAnsi="Arial"/>
      <w:b/>
      <w:sz w:val="24"/>
      <w:szCs w:val="24"/>
    </w:rPr>
  </w:style>
  <w:style w:type="paragraph" w:styleId="Naslov4">
    <w:name w:val="heading 4"/>
    <w:basedOn w:val="Navaden"/>
    <w:next w:val="Navaden"/>
    <w:link w:val="Naslov4Znak"/>
    <w:semiHidden/>
    <w:unhideWhenUsed/>
    <w:qFormat/>
    <w:locked/>
    <w:rsid w:val="00C8093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semiHidden/>
    <w:unhideWhenUsed/>
    <w:qFormat/>
    <w:locked/>
    <w:rsid w:val="00C8093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semiHidden/>
    <w:unhideWhenUsed/>
    <w:qFormat/>
    <w:locked/>
    <w:rsid w:val="00C8093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semiHidden/>
    <w:unhideWhenUsed/>
    <w:qFormat/>
    <w:locked/>
    <w:rsid w:val="00C8093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semiHidden/>
    <w:unhideWhenUsed/>
    <w:qFormat/>
    <w:locked/>
    <w:rsid w:val="00C809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locked/>
    <w:rsid w:val="00C809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286577"/>
    <w:rPr>
      <w:rFonts w:ascii="Arial" w:eastAsia="Times New Roman" w:hAnsi="Arial" w:cs="Arial"/>
      <w:b/>
      <w:bCs/>
      <w:iCs/>
      <w:sz w:val="20"/>
      <w:szCs w:val="20"/>
    </w:rPr>
  </w:style>
  <w:style w:type="character" w:customStyle="1" w:styleId="Naslov3Znak">
    <w:name w:val="Naslov 3 Znak"/>
    <w:basedOn w:val="Privzetapisavaodstavka"/>
    <w:link w:val="Naslov3"/>
    <w:uiPriority w:val="99"/>
    <w:locked/>
    <w:rsid w:val="009A766C"/>
    <w:rPr>
      <w:rFonts w:ascii="Arial" w:eastAsia="Times New Roman" w:hAnsi="Arial"/>
      <w:b/>
      <w:sz w:val="24"/>
      <w:szCs w:val="24"/>
      <w:lang w:eastAsia="en-US"/>
    </w:rPr>
  </w:style>
  <w:style w:type="paragraph" w:customStyle="1" w:styleId="Default">
    <w:name w:val="Default"/>
    <w:uiPriority w:val="99"/>
    <w:rsid w:val="00185694"/>
    <w:pPr>
      <w:autoSpaceDE w:val="0"/>
      <w:autoSpaceDN w:val="0"/>
      <w:adjustRightInd w:val="0"/>
    </w:pPr>
    <w:rPr>
      <w:rFonts w:ascii="Verdana" w:eastAsia="Times New Roman" w:hAnsi="Verdana" w:cs="Verdana"/>
      <w:color w:val="000000"/>
      <w:sz w:val="24"/>
      <w:szCs w:val="24"/>
    </w:rPr>
  </w:style>
  <w:style w:type="paragraph" w:styleId="Besedilooblaka">
    <w:name w:val="Balloon Text"/>
    <w:basedOn w:val="Navaden"/>
    <w:link w:val="BesedilooblakaZnak"/>
    <w:uiPriority w:val="99"/>
    <w:semiHidden/>
    <w:rsid w:val="0018569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185694"/>
    <w:rPr>
      <w:rFonts w:ascii="Segoe UI" w:hAnsi="Segoe UI" w:cs="Segoe UI"/>
      <w:sz w:val="18"/>
      <w:szCs w:val="18"/>
    </w:rPr>
  </w:style>
  <w:style w:type="paragraph" w:styleId="Odstavekseznama">
    <w:name w:val="List Paragraph"/>
    <w:aliases w:val="ne-puščica,Tabela - prazna vrstica,Odstavek seznama_IP,Seznam_IP_1,naslov 1,List Paragraph compact,Normal bullet 2,Paragraphe de liste 2,Reference list,Bullet list,Numbered List,1st level - Bullet List Paragraph,Lettre d'introduction,K1"/>
    <w:basedOn w:val="Navaden"/>
    <w:link w:val="OdstavekseznamaZnak"/>
    <w:uiPriority w:val="34"/>
    <w:qFormat/>
    <w:rsid w:val="00185694"/>
    <w:pPr>
      <w:spacing w:after="200" w:line="276" w:lineRule="auto"/>
      <w:ind w:left="708"/>
    </w:pPr>
  </w:style>
  <w:style w:type="character" w:customStyle="1" w:styleId="st">
    <w:name w:val="st"/>
    <w:rsid w:val="00185694"/>
  </w:style>
  <w:style w:type="character" w:styleId="Poudarek">
    <w:name w:val="Emphasis"/>
    <w:basedOn w:val="Privzetapisavaodstavka"/>
    <w:uiPriority w:val="20"/>
    <w:qFormat/>
    <w:rsid w:val="00185694"/>
    <w:rPr>
      <w:rFonts w:cs="Times New Roman"/>
      <w:i/>
    </w:rPr>
  </w:style>
  <w:style w:type="character" w:customStyle="1" w:styleId="jlqj4b">
    <w:name w:val="jlqj4b"/>
    <w:uiPriority w:val="99"/>
    <w:rsid w:val="00185694"/>
  </w:style>
  <w:style w:type="paragraph" w:customStyle="1" w:styleId="Desno">
    <w:name w:val="Desno"/>
    <w:basedOn w:val="Navaden"/>
    <w:uiPriority w:val="99"/>
    <w:rsid w:val="00185694"/>
    <w:pPr>
      <w:spacing w:before="120" w:after="120" w:line="240" w:lineRule="auto"/>
      <w:jc w:val="both"/>
    </w:pPr>
    <w:rPr>
      <w:rFonts w:ascii="Arial" w:eastAsia="Times New Roman" w:hAnsi="Arial" w:cs="Arial"/>
      <w:sz w:val="18"/>
      <w:szCs w:val="18"/>
      <w:lang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
    <w:basedOn w:val="Navaden"/>
    <w:link w:val="Sprotnaopomba-besediloZnak"/>
    <w:uiPriority w:val="99"/>
    <w:semiHidden/>
    <w:rsid w:val="00185694"/>
    <w:pPr>
      <w:spacing w:after="0" w:line="240" w:lineRule="auto"/>
    </w:pPr>
    <w:rPr>
      <w:sz w:val="20"/>
      <w:szCs w:val="20"/>
    </w:rPr>
  </w:style>
  <w:style w:type="character" w:customStyle="1" w:styleId="Sprotnaopomba-besediloZnak">
    <w:name w:val="Sprotna opomba - besedilo Znak"/>
    <w:aliases w:val="Sprotna opomba - besedilo Znak1 Char Znak1,Sprotna opomba - besedilo Znak Znak Char Znak1,Znak Znak Znak Char Znak1,Znak Znak Znak Znak Znak Znak Znak Char Znak1,Znak Znak1 Char Znak1,????? ?????? ???? Znak"/>
    <w:basedOn w:val="Privzetapisavaodstavka"/>
    <w:link w:val="Sprotnaopomba-besedilo"/>
    <w:uiPriority w:val="99"/>
    <w:semiHidden/>
    <w:locked/>
    <w:rsid w:val="00185694"/>
    <w:rPr>
      <w:rFonts w:ascii="Calibri" w:hAnsi="Calibri" w:cs="Times New Roman"/>
      <w:sz w:val="20"/>
      <w:szCs w:val="20"/>
    </w:rPr>
  </w:style>
  <w:style w:type="character" w:styleId="Sprotnaopomba-sklic">
    <w:name w:val="footnote reference"/>
    <w:basedOn w:val="Privzetapisavaodstavka"/>
    <w:uiPriority w:val="99"/>
    <w:semiHidden/>
    <w:rsid w:val="00185694"/>
    <w:rPr>
      <w:rFonts w:cs="Times New Roman"/>
      <w:vertAlign w:val="superscript"/>
    </w:rPr>
  </w:style>
  <w:style w:type="paragraph" w:customStyle="1" w:styleId="Opredelitev">
    <w:name w:val="Opredelitev"/>
    <w:basedOn w:val="Navaden"/>
    <w:uiPriority w:val="99"/>
    <w:rsid w:val="00185694"/>
    <w:pPr>
      <w:spacing w:before="120" w:after="120" w:line="240" w:lineRule="auto"/>
      <w:jc w:val="both"/>
    </w:pPr>
    <w:rPr>
      <w:rFonts w:ascii="Arial" w:hAnsi="Arial" w:cs="Arial"/>
      <w:b/>
      <w:color w:val="000000"/>
      <w:sz w:val="20"/>
      <w:szCs w:val="20"/>
      <w:lang w:eastAsia="sl-SI"/>
    </w:rPr>
  </w:style>
  <w:style w:type="paragraph" w:styleId="Glava">
    <w:name w:val="header"/>
    <w:basedOn w:val="Navaden"/>
    <w:link w:val="GlavaZnak"/>
    <w:uiPriority w:val="99"/>
    <w:rsid w:val="00604098"/>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604098"/>
    <w:rPr>
      <w:rFonts w:ascii="Calibri" w:hAnsi="Calibri" w:cs="Times New Roman"/>
    </w:rPr>
  </w:style>
  <w:style w:type="paragraph" w:styleId="Noga">
    <w:name w:val="footer"/>
    <w:basedOn w:val="Navaden"/>
    <w:link w:val="NogaZnak"/>
    <w:uiPriority w:val="99"/>
    <w:rsid w:val="00D60FC8"/>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D60FC8"/>
    <w:rPr>
      <w:rFonts w:cs="Times New Roman"/>
    </w:rPr>
  </w:style>
  <w:style w:type="character" w:styleId="Pripombasklic">
    <w:name w:val="annotation reference"/>
    <w:aliases w:val="Naslov 1 Znak2,Komentar - sklic1"/>
    <w:basedOn w:val="Privzetapisavaodstavka"/>
    <w:uiPriority w:val="99"/>
    <w:qFormat/>
    <w:rsid w:val="008B1378"/>
    <w:rPr>
      <w:rFonts w:cs="Times New Roman"/>
      <w:sz w:val="16"/>
      <w:szCs w:val="16"/>
    </w:rPr>
  </w:style>
  <w:style w:type="paragraph" w:styleId="Pripombabesedilo">
    <w:name w:val="annotation text"/>
    <w:aliases w:val="Komentar - besedilo1"/>
    <w:basedOn w:val="Navaden"/>
    <w:link w:val="PripombabesediloZnak"/>
    <w:uiPriority w:val="99"/>
    <w:qFormat/>
    <w:rsid w:val="008B1378"/>
    <w:rPr>
      <w:sz w:val="20"/>
      <w:szCs w:val="20"/>
    </w:rPr>
  </w:style>
  <w:style w:type="character" w:customStyle="1" w:styleId="PripombabesediloZnak">
    <w:name w:val="Pripomba – besedilo Znak"/>
    <w:aliases w:val="Komentar - besedilo1 Znak"/>
    <w:basedOn w:val="Privzetapisavaodstavka"/>
    <w:link w:val="Pripombabesedilo"/>
    <w:uiPriority w:val="99"/>
    <w:qFormat/>
    <w:locked/>
    <w:rsid w:val="00591841"/>
    <w:rPr>
      <w:rFonts w:cs="Times New Roman"/>
      <w:sz w:val="20"/>
      <w:szCs w:val="20"/>
      <w:lang w:eastAsia="en-US"/>
    </w:rPr>
  </w:style>
  <w:style w:type="paragraph" w:styleId="Zadevapripombe">
    <w:name w:val="annotation subject"/>
    <w:basedOn w:val="Pripombabesedilo"/>
    <w:next w:val="Pripombabesedilo"/>
    <w:link w:val="ZadevapripombeZnak"/>
    <w:uiPriority w:val="99"/>
    <w:semiHidden/>
    <w:rsid w:val="008B1378"/>
    <w:rPr>
      <w:b/>
      <w:bCs/>
    </w:rPr>
  </w:style>
  <w:style w:type="character" w:customStyle="1" w:styleId="ZadevapripombeZnak">
    <w:name w:val="Zadeva pripombe Znak"/>
    <w:basedOn w:val="PripombabesediloZnak"/>
    <w:link w:val="Zadevapripombe"/>
    <w:uiPriority w:val="99"/>
    <w:semiHidden/>
    <w:locked/>
    <w:rsid w:val="00591841"/>
    <w:rPr>
      <w:rFonts w:cs="Times New Roman"/>
      <w:b/>
      <w:bCs/>
      <w:sz w:val="20"/>
      <w:szCs w:val="20"/>
      <w:lang w:eastAsia="en-US"/>
    </w:rPr>
  </w:style>
  <w:style w:type="character" w:customStyle="1" w:styleId="Sprotnaopomba-besediloZnak1CharZnak">
    <w:name w:val="Sprotna opomba - besedilo Znak1 Char Znak"/>
    <w:aliases w:val="Sprotna opomba - besedilo Znak Znak Char Znak,Znak Znak Znak Char Znak,Znak Znak Znak Znak Znak Znak Znak Char Znak,Znak Znak1 Char Znak,Znak Znak Znak Znak Znak Znak1 Char Znak,????? ?????? ???? Znak Znak"/>
    <w:uiPriority w:val="99"/>
    <w:rsid w:val="006918A7"/>
  </w:style>
  <w:style w:type="table" w:styleId="Tabelaseznam3poudarek5">
    <w:name w:val="List Table 3 Accent 5"/>
    <w:basedOn w:val="Navadnatabela"/>
    <w:uiPriority w:val="48"/>
    <w:rsid w:val="00971D2C"/>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styleId="Navadensplet">
    <w:name w:val="Normal (Web)"/>
    <w:basedOn w:val="Navaden"/>
    <w:uiPriority w:val="99"/>
    <w:unhideWhenUsed/>
    <w:rsid w:val="00EE564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1Znak">
    <w:name w:val="Naslov 1 Znak"/>
    <w:basedOn w:val="Privzetapisavaodstavka"/>
    <w:link w:val="Naslov1"/>
    <w:rsid w:val="00286577"/>
    <w:rPr>
      <w:rFonts w:ascii="Arial" w:eastAsiaTheme="majorEastAsia" w:hAnsi="Arial" w:cs="Arial"/>
      <w:b/>
      <w:color w:val="365F91" w:themeColor="accent1" w:themeShade="BF"/>
      <w:sz w:val="20"/>
      <w:szCs w:val="20"/>
      <w:lang w:eastAsia="en-US"/>
    </w:rPr>
  </w:style>
  <w:style w:type="paragraph" w:styleId="Kazalovsebine2">
    <w:name w:val="toc 2"/>
    <w:basedOn w:val="Navaden"/>
    <w:next w:val="Navaden"/>
    <w:autoRedefine/>
    <w:uiPriority w:val="39"/>
    <w:locked/>
    <w:rsid w:val="00E271A1"/>
    <w:pPr>
      <w:tabs>
        <w:tab w:val="left" w:pos="660"/>
        <w:tab w:val="right" w:pos="9060"/>
      </w:tabs>
      <w:spacing w:after="0" w:line="276" w:lineRule="auto"/>
    </w:pPr>
    <w:rPr>
      <w:rFonts w:asciiTheme="minorHAnsi" w:hAnsiTheme="minorHAnsi"/>
      <w:b/>
      <w:bCs/>
      <w:sz w:val="20"/>
      <w:szCs w:val="20"/>
    </w:rPr>
  </w:style>
  <w:style w:type="character" w:customStyle="1" w:styleId="Naslov4Znak">
    <w:name w:val="Naslov 4 Znak"/>
    <w:basedOn w:val="Privzetapisavaodstavka"/>
    <w:link w:val="Naslov4"/>
    <w:semiHidden/>
    <w:rsid w:val="00C80938"/>
    <w:rPr>
      <w:rFonts w:asciiTheme="majorHAnsi" w:eastAsiaTheme="majorEastAsia" w:hAnsiTheme="majorHAnsi" w:cstheme="majorBidi"/>
      <w:i/>
      <w:iCs/>
      <w:color w:val="365F91" w:themeColor="accent1" w:themeShade="BF"/>
      <w:lang w:eastAsia="en-US"/>
    </w:rPr>
  </w:style>
  <w:style w:type="character" w:customStyle="1" w:styleId="Naslov5Znak">
    <w:name w:val="Naslov 5 Znak"/>
    <w:basedOn w:val="Privzetapisavaodstavka"/>
    <w:link w:val="Naslov5"/>
    <w:semiHidden/>
    <w:rsid w:val="00C80938"/>
    <w:rPr>
      <w:rFonts w:asciiTheme="majorHAnsi" w:eastAsiaTheme="majorEastAsia" w:hAnsiTheme="majorHAnsi" w:cstheme="majorBidi"/>
      <w:color w:val="365F91" w:themeColor="accent1" w:themeShade="BF"/>
      <w:lang w:eastAsia="en-US"/>
    </w:rPr>
  </w:style>
  <w:style w:type="character" w:customStyle="1" w:styleId="Naslov6Znak">
    <w:name w:val="Naslov 6 Znak"/>
    <w:basedOn w:val="Privzetapisavaodstavka"/>
    <w:link w:val="Naslov6"/>
    <w:semiHidden/>
    <w:rsid w:val="00C80938"/>
    <w:rPr>
      <w:rFonts w:asciiTheme="majorHAnsi" w:eastAsiaTheme="majorEastAsia" w:hAnsiTheme="majorHAnsi" w:cstheme="majorBidi"/>
      <w:color w:val="243F60" w:themeColor="accent1" w:themeShade="7F"/>
      <w:lang w:eastAsia="en-US"/>
    </w:rPr>
  </w:style>
  <w:style w:type="character" w:customStyle="1" w:styleId="Naslov7Znak">
    <w:name w:val="Naslov 7 Znak"/>
    <w:basedOn w:val="Privzetapisavaodstavka"/>
    <w:link w:val="Naslov7"/>
    <w:semiHidden/>
    <w:rsid w:val="00C80938"/>
    <w:rPr>
      <w:rFonts w:asciiTheme="majorHAnsi" w:eastAsiaTheme="majorEastAsia" w:hAnsiTheme="majorHAnsi" w:cstheme="majorBidi"/>
      <w:i/>
      <w:iCs/>
      <w:color w:val="243F60" w:themeColor="accent1" w:themeShade="7F"/>
      <w:lang w:eastAsia="en-US"/>
    </w:rPr>
  </w:style>
  <w:style w:type="character" w:customStyle="1" w:styleId="Naslov8Znak">
    <w:name w:val="Naslov 8 Znak"/>
    <w:basedOn w:val="Privzetapisavaodstavka"/>
    <w:link w:val="Naslov8"/>
    <w:semiHidden/>
    <w:rsid w:val="00C80938"/>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semiHidden/>
    <w:rsid w:val="00C80938"/>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365E89"/>
    <w:pPr>
      <w:numPr>
        <w:numId w:val="0"/>
      </w:numPr>
      <w:tabs>
        <w:tab w:val="clear" w:pos="567"/>
      </w:tabs>
      <w:spacing w:before="240"/>
      <w:outlineLvl w:val="9"/>
    </w:pPr>
    <w:rPr>
      <w:rFonts w:asciiTheme="majorHAnsi" w:hAnsiTheme="majorHAnsi"/>
      <w:b w:val="0"/>
      <w:sz w:val="32"/>
      <w:lang w:eastAsia="sl-SI"/>
    </w:rPr>
  </w:style>
  <w:style w:type="paragraph" w:styleId="Kazalovsebine1">
    <w:name w:val="toc 1"/>
    <w:basedOn w:val="Navaden"/>
    <w:next w:val="Navaden"/>
    <w:autoRedefine/>
    <w:uiPriority w:val="39"/>
    <w:locked/>
    <w:rsid w:val="00CC6C83"/>
    <w:pPr>
      <w:tabs>
        <w:tab w:val="left" w:pos="440"/>
        <w:tab w:val="right" w:pos="9060"/>
      </w:tabs>
      <w:spacing w:after="0" w:line="480" w:lineRule="auto"/>
      <w:jc w:val="both"/>
    </w:pPr>
    <w:rPr>
      <w:rFonts w:asciiTheme="majorHAnsi" w:hAnsiTheme="majorHAnsi"/>
      <w:b/>
      <w:bCs/>
      <w:caps/>
      <w:sz w:val="24"/>
      <w:szCs w:val="24"/>
    </w:rPr>
  </w:style>
  <w:style w:type="character" w:styleId="Hiperpovezava">
    <w:name w:val="Hyperlink"/>
    <w:basedOn w:val="Privzetapisavaodstavka"/>
    <w:uiPriority w:val="99"/>
    <w:unhideWhenUsed/>
    <w:rsid w:val="00365E89"/>
    <w:rPr>
      <w:color w:val="0000FF" w:themeColor="hyperlink"/>
      <w:u w:val="single"/>
    </w:rPr>
  </w:style>
  <w:style w:type="paragraph" w:styleId="Kazalovsebine3">
    <w:name w:val="toc 3"/>
    <w:basedOn w:val="Navaden"/>
    <w:next w:val="Navaden"/>
    <w:autoRedefine/>
    <w:uiPriority w:val="39"/>
    <w:locked/>
    <w:rsid w:val="000D623B"/>
    <w:pPr>
      <w:spacing w:after="0"/>
      <w:ind w:left="220"/>
    </w:pPr>
    <w:rPr>
      <w:rFonts w:asciiTheme="minorHAnsi" w:hAnsiTheme="minorHAnsi"/>
      <w:sz w:val="20"/>
      <w:szCs w:val="20"/>
    </w:rPr>
  </w:style>
  <w:style w:type="paragraph" w:customStyle="1" w:styleId="bodytext">
    <w:name w:val="bodytext"/>
    <w:basedOn w:val="Navaden"/>
    <w:rsid w:val="00C77E5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tlid-translation">
    <w:name w:val="tlid-translation"/>
    <w:rsid w:val="00C77E54"/>
  </w:style>
  <w:style w:type="table" w:styleId="Tabelamrea">
    <w:name w:val="Table Grid"/>
    <w:basedOn w:val="Navadnatabela"/>
    <w:locked/>
    <w:rsid w:val="0002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e-puščica Znak,Tabela - prazna vrstica Znak,Odstavek seznama_IP Znak,Seznam_IP_1 Znak,naslov 1 Znak,List Paragraph compact Znak,Normal bullet 2 Znak,Paragraphe de liste 2 Znak,Reference list Znak,Bullet list Znak,K1 Znak"/>
    <w:link w:val="Odstavekseznama"/>
    <w:uiPriority w:val="34"/>
    <w:qFormat/>
    <w:locked/>
    <w:rsid w:val="007C07F4"/>
    <w:rPr>
      <w:lang w:eastAsia="en-US"/>
    </w:rPr>
  </w:style>
  <w:style w:type="paragraph" w:customStyle="1" w:styleId="datumtevilka">
    <w:name w:val="datum številka"/>
    <w:basedOn w:val="Navaden"/>
    <w:qFormat/>
    <w:rsid w:val="007C07F4"/>
    <w:pPr>
      <w:tabs>
        <w:tab w:val="left" w:pos="1701"/>
      </w:tabs>
      <w:spacing w:after="0" w:line="260" w:lineRule="exact"/>
    </w:pPr>
    <w:rPr>
      <w:rFonts w:ascii="Arial" w:eastAsia="Times New Roman" w:hAnsi="Arial"/>
      <w:sz w:val="20"/>
      <w:szCs w:val="20"/>
      <w:lang w:eastAsia="sl-SI"/>
    </w:rPr>
  </w:style>
  <w:style w:type="paragraph" w:customStyle="1" w:styleId="Odstavekseznama2">
    <w:name w:val="Odstavek seznama2"/>
    <w:basedOn w:val="Navaden"/>
    <w:rsid w:val="00341FFA"/>
    <w:pPr>
      <w:ind w:left="720"/>
      <w:contextualSpacing/>
    </w:pPr>
    <w:rPr>
      <w:rFonts w:eastAsia="Times New Roman"/>
    </w:rPr>
  </w:style>
  <w:style w:type="character" w:customStyle="1" w:styleId="subcontenttextbold2">
    <w:name w:val="subcontenttextbold2"/>
    <w:rsid w:val="00486E53"/>
    <w:rPr>
      <w:b/>
      <w:bCs/>
      <w:color w:val="000000"/>
    </w:rPr>
  </w:style>
  <w:style w:type="paragraph" w:customStyle="1" w:styleId="alineazaodstavkom1">
    <w:name w:val="alineazaodstavkom1"/>
    <w:basedOn w:val="Navaden"/>
    <w:rsid w:val="00486E53"/>
    <w:pPr>
      <w:spacing w:after="0" w:line="240" w:lineRule="auto"/>
      <w:ind w:left="425" w:hanging="425"/>
      <w:jc w:val="both"/>
    </w:pPr>
    <w:rPr>
      <w:rFonts w:ascii="Arial" w:eastAsia="Times New Roman" w:hAnsi="Arial" w:cs="Arial"/>
      <w:lang w:eastAsia="sl-SI"/>
    </w:rPr>
  </w:style>
  <w:style w:type="character" w:styleId="Krepko">
    <w:name w:val="Strong"/>
    <w:basedOn w:val="Privzetapisavaodstavka"/>
    <w:qFormat/>
    <w:locked/>
    <w:rsid w:val="009B17EC"/>
    <w:rPr>
      <w:b/>
      <w:bCs/>
    </w:rPr>
  </w:style>
  <w:style w:type="paragraph" w:styleId="Revizija">
    <w:name w:val="Revision"/>
    <w:hidden/>
    <w:uiPriority w:val="99"/>
    <w:semiHidden/>
    <w:rsid w:val="00660F71"/>
    <w:rPr>
      <w:lang w:eastAsia="en-US"/>
    </w:rPr>
  </w:style>
  <w:style w:type="paragraph" w:customStyle="1" w:styleId="ZADEVA">
    <w:name w:val="ZADEVA"/>
    <w:basedOn w:val="Navaden"/>
    <w:qFormat/>
    <w:rsid w:val="005318D4"/>
    <w:pPr>
      <w:tabs>
        <w:tab w:val="left" w:pos="1701"/>
      </w:tabs>
      <w:spacing w:after="0" w:line="260" w:lineRule="exact"/>
      <w:ind w:left="1701" w:hanging="1701"/>
    </w:pPr>
    <w:rPr>
      <w:rFonts w:ascii="Arial" w:eastAsia="Times New Roman" w:hAnsi="Arial"/>
      <w:b/>
      <w:sz w:val="20"/>
      <w:szCs w:val="24"/>
      <w:lang w:val="it-IT"/>
    </w:rPr>
  </w:style>
  <w:style w:type="paragraph" w:styleId="Brezrazmikov">
    <w:name w:val="No Spacing"/>
    <w:uiPriority w:val="1"/>
    <w:qFormat/>
    <w:rsid w:val="00E2146B"/>
    <w:rPr>
      <w:kern w:val="2"/>
      <w:lang w:eastAsia="en-US"/>
    </w:rPr>
  </w:style>
  <w:style w:type="paragraph" w:customStyle="1" w:styleId="Standard">
    <w:name w:val="Standard"/>
    <w:rsid w:val="00FC7CAB"/>
    <w:pPr>
      <w:suppressAutoHyphens/>
      <w:autoSpaceDN w:val="0"/>
      <w:spacing w:after="200" w:line="276" w:lineRule="auto"/>
      <w:textAlignment w:val="baseline"/>
    </w:pPr>
    <w:rPr>
      <w:rFonts w:cs="Calibri"/>
      <w:lang w:eastAsia="zh-CN" w:bidi="hi-IN"/>
    </w:rPr>
  </w:style>
  <w:style w:type="paragraph" w:styleId="Kazalovsebine4">
    <w:name w:val="toc 4"/>
    <w:basedOn w:val="Navaden"/>
    <w:next w:val="Navaden"/>
    <w:autoRedefine/>
    <w:locked/>
    <w:rsid w:val="00040894"/>
    <w:pPr>
      <w:spacing w:after="0"/>
      <w:ind w:left="440"/>
    </w:pPr>
    <w:rPr>
      <w:rFonts w:asciiTheme="minorHAnsi" w:hAnsiTheme="minorHAnsi"/>
      <w:sz w:val="20"/>
      <w:szCs w:val="20"/>
    </w:rPr>
  </w:style>
  <w:style w:type="paragraph" w:styleId="Kazalovsebine5">
    <w:name w:val="toc 5"/>
    <w:basedOn w:val="Navaden"/>
    <w:next w:val="Navaden"/>
    <w:autoRedefine/>
    <w:locked/>
    <w:rsid w:val="00040894"/>
    <w:pPr>
      <w:spacing w:after="0"/>
      <w:ind w:left="660"/>
    </w:pPr>
    <w:rPr>
      <w:rFonts w:asciiTheme="minorHAnsi" w:hAnsiTheme="minorHAnsi"/>
      <w:sz w:val="20"/>
      <w:szCs w:val="20"/>
    </w:rPr>
  </w:style>
  <w:style w:type="paragraph" w:styleId="Kazalovsebine6">
    <w:name w:val="toc 6"/>
    <w:basedOn w:val="Navaden"/>
    <w:next w:val="Navaden"/>
    <w:autoRedefine/>
    <w:locked/>
    <w:rsid w:val="00040894"/>
    <w:pPr>
      <w:spacing w:after="0"/>
      <w:ind w:left="880"/>
    </w:pPr>
    <w:rPr>
      <w:rFonts w:asciiTheme="minorHAnsi" w:hAnsiTheme="minorHAnsi"/>
      <w:sz w:val="20"/>
      <w:szCs w:val="20"/>
    </w:rPr>
  </w:style>
  <w:style w:type="paragraph" w:styleId="Kazalovsebine7">
    <w:name w:val="toc 7"/>
    <w:basedOn w:val="Navaden"/>
    <w:next w:val="Navaden"/>
    <w:autoRedefine/>
    <w:locked/>
    <w:rsid w:val="00040894"/>
    <w:pPr>
      <w:spacing w:after="0"/>
      <w:ind w:left="1100"/>
    </w:pPr>
    <w:rPr>
      <w:rFonts w:asciiTheme="minorHAnsi" w:hAnsiTheme="minorHAnsi"/>
      <w:sz w:val="20"/>
      <w:szCs w:val="20"/>
    </w:rPr>
  </w:style>
  <w:style w:type="paragraph" w:styleId="Kazalovsebine8">
    <w:name w:val="toc 8"/>
    <w:basedOn w:val="Navaden"/>
    <w:next w:val="Navaden"/>
    <w:autoRedefine/>
    <w:locked/>
    <w:rsid w:val="00040894"/>
    <w:pPr>
      <w:spacing w:after="0"/>
      <w:ind w:left="1320"/>
    </w:pPr>
    <w:rPr>
      <w:rFonts w:asciiTheme="minorHAnsi" w:hAnsiTheme="minorHAnsi"/>
      <w:sz w:val="20"/>
      <w:szCs w:val="20"/>
    </w:rPr>
  </w:style>
  <w:style w:type="paragraph" w:styleId="Kazalovsebine9">
    <w:name w:val="toc 9"/>
    <w:basedOn w:val="Navaden"/>
    <w:next w:val="Navaden"/>
    <w:autoRedefine/>
    <w:locked/>
    <w:rsid w:val="00040894"/>
    <w:pPr>
      <w:spacing w:after="0"/>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1096">
      <w:bodyDiv w:val="1"/>
      <w:marLeft w:val="0"/>
      <w:marRight w:val="0"/>
      <w:marTop w:val="0"/>
      <w:marBottom w:val="0"/>
      <w:divBdr>
        <w:top w:val="none" w:sz="0" w:space="0" w:color="auto"/>
        <w:left w:val="none" w:sz="0" w:space="0" w:color="auto"/>
        <w:bottom w:val="none" w:sz="0" w:space="0" w:color="auto"/>
        <w:right w:val="none" w:sz="0" w:space="0" w:color="auto"/>
      </w:divBdr>
    </w:div>
    <w:div w:id="521407112">
      <w:bodyDiv w:val="1"/>
      <w:marLeft w:val="0"/>
      <w:marRight w:val="0"/>
      <w:marTop w:val="0"/>
      <w:marBottom w:val="0"/>
      <w:divBdr>
        <w:top w:val="none" w:sz="0" w:space="0" w:color="auto"/>
        <w:left w:val="none" w:sz="0" w:space="0" w:color="auto"/>
        <w:bottom w:val="none" w:sz="0" w:space="0" w:color="auto"/>
        <w:right w:val="none" w:sz="0" w:space="0" w:color="auto"/>
      </w:divBdr>
    </w:div>
    <w:div w:id="1620260990">
      <w:bodyDiv w:val="1"/>
      <w:marLeft w:val="0"/>
      <w:marRight w:val="0"/>
      <w:marTop w:val="0"/>
      <w:marBottom w:val="0"/>
      <w:divBdr>
        <w:top w:val="none" w:sz="0" w:space="0" w:color="auto"/>
        <w:left w:val="none" w:sz="0" w:space="0" w:color="auto"/>
        <w:bottom w:val="none" w:sz="0" w:space="0" w:color="auto"/>
        <w:right w:val="none" w:sz="0" w:space="0" w:color="auto"/>
      </w:divBdr>
    </w:div>
    <w:div w:id="1903246206">
      <w:bodyDiv w:val="1"/>
      <w:marLeft w:val="0"/>
      <w:marRight w:val="0"/>
      <w:marTop w:val="0"/>
      <w:marBottom w:val="0"/>
      <w:divBdr>
        <w:top w:val="none" w:sz="0" w:space="0" w:color="auto"/>
        <w:left w:val="none" w:sz="0" w:space="0" w:color="auto"/>
        <w:bottom w:val="none" w:sz="0" w:space="0" w:color="auto"/>
        <w:right w:val="none" w:sz="0" w:space="0" w:color="auto"/>
      </w:divBdr>
    </w:div>
    <w:div w:id="1937597164">
      <w:marLeft w:val="0"/>
      <w:marRight w:val="0"/>
      <w:marTop w:val="0"/>
      <w:marBottom w:val="0"/>
      <w:divBdr>
        <w:top w:val="none" w:sz="0" w:space="0" w:color="auto"/>
        <w:left w:val="none" w:sz="0" w:space="0" w:color="auto"/>
        <w:bottom w:val="none" w:sz="0" w:space="0" w:color="auto"/>
        <w:right w:val="none" w:sz="0" w:space="0" w:color="auto"/>
      </w:divBdr>
    </w:div>
    <w:div w:id="1937597165">
      <w:marLeft w:val="0"/>
      <w:marRight w:val="0"/>
      <w:marTop w:val="0"/>
      <w:marBottom w:val="0"/>
      <w:divBdr>
        <w:top w:val="none" w:sz="0" w:space="0" w:color="auto"/>
        <w:left w:val="none" w:sz="0" w:space="0" w:color="auto"/>
        <w:bottom w:val="none" w:sz="0" w:space="0" w:color="auto"/>
        <w:right w:val="none" w:sz="0" w:space="0" w:color="auto"/>
      </w:divBdr>
    </w:div>
    <w:div w:id="1937597166">
      <w:marLeft w:val="0"/>
      <w:marRight w:val="0"/>
      <w:marTop w:val="0"/>
      <w:marBottom w:val="0"/>
      <w:divBdr>
        <w:top w:val="none" w:sz="0" w:space="0" w:color="auto"/>
        <w:left w:val="none" w:sz="0" w:space="0" w:color="auto"/>
        <w:bottom w:val="none" w:sz="0" w:space="0" w:color="auto"/>
        <w:right w:val="none" w:sz="0" w:space="0" w:color="auto"/>
      </w:divBdr>
    </w:div>
    <w:div w:id="20312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grizold\Downloads\Odlocanje-v-postopkih-za-priznanje-mednarodne-zascite-podatki-za-december-2025.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grizold\RT4D_001_ja&#353;a.xls"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grizold\RT4D_001_ja&#353;a.xls"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grizold\RT4D_001_ja&#353;a.xls"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D:\MFERAC%20IZVOZI\prihodi%20in%20odhodi%202025%2017.XLS"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mnz.sigov.si\dfs\vol5\CLIENT\CRP\arhcrpm2\Upo\LETO%202024\STATISTIKA\LETNO%20PORO&#268;ILO%202024\tortice%20in%20dele&#382;i\CRP%20mese&#269;no%202024-2011_Ro&#269;no%20posredovanje_stat.xls"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3" Type="http://schemas.openxmlformats.org/officeDocument/2006/relationships/oleObject" Target="file:///\\mnz.sigov.si\dfs\Users\ivaknap\Moji%20dokumenti\IVA\DRU&#352;TVA\&#352;t.%20dru&#353;tev%20po%20skupini-statistika-grafi.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mnz.sigov.si\dfs\Users\ivaknap\Moji%20dokumenti\IVA\DRU&#352;TVA\&#352;t.%20dru&#353;tev%20po%20skupini-statistika-grafi.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mnz.sigov.si\dfs\Users\ivaknap\Moji%20dokumenti\IVA\POL.%20STRANKE\PV-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812777766868921E-2"/>
          <c:y val="5.6879494158793294E-2"/>
          <c:w val="0.90710848643919506"/>
          <c:h val="0.66998656417947755"/>
        </c:manualLayout>
      </c:layout>
      <c:lineChart>
        <c:grouping val="standard"/>
        <c:varyColors val="0"/>
        <c:ser>
          <c:idx val="0"/>
          <c:order val="0"/>
          <c:tx>
            <c:strRef>
              <c:f>List1!$B$1</c:f>
              <c:strCache>
                <c:ptCount val="1"/>
                <c:pt idx="0">
                  <c:v>Število vloženih pritožb</c:v>
                </c:pt>
              </c:strCache>
            </c:strRef>
          </c:tx>
          <c:spPr>
            <a:ln w="22225" cap="rnd" cmpd="sng" algn="ctr">
              <a:solidFill>
                <a:schemeClr val="accent1"/>
              </a:solidFill>
              <a:round/>
            </a:ln>
            <a:effectLst/>
          </c:spPr>
          <c:marker>
            <c:symbol val="none"/>
          </c:marker>
          <c:dLbls>
            <c:dLbl>
              <c:idx val="0"/>
              <c:layout>
                <c:manualLayout>
                  <c:x val="-3.6595369608649668E-2"/>
                  <c:y val="-3.8884486334283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F1-4E46-AF9C-F496DA968FA2}"/>
                </c:ext>
              </c:extLst>
            </c:dLbl>
            <c:dLbl>
              <c:idx val="1"/>
              <c:layout>
                <c:manualLayout>
                  <c:x val="-5.8983429310142201E-2"/>
                  <c:y val="-2.8612183648350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F1-4E46-AF9C-F496DA968FA2}"/>
                </c:ext>
              </c:extLst>
            </c:dLbl>
            <c:dLbl>
              <c:idx val="2"/>
              <c:layout>
                <c:manualLayout>
                  <c:x val="-3.4107807419594939E-2"/>
                  <c:y val="-3.60293828367813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F1-4E46-AF9C-F496DA968FA2}"/>
                </c:ext>
              </c:extLst>
            </c:dLbl>
            <c:dLbl>
              <c:idx val="3"/>
              <c:layout>
                <c:manualLayout>
                  <c:x val="-3.1884475261487834E-2"/>
                  <c:y val="-4.91567890202161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F1-4E46-AF9C-F496DA968FA2}"/>
                </c:ext>
              </c:extLst>
            </c:dLbl>
            <c:dLbl>
              <c:idx val="4"/>
              <c:layout>
                <c:manualLayout>
                  <c:x val="-3.908293179770439E-2"/>
                  <c:y val="-3.48812715327072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F1-4E46-AF9C-F496DA968FA2}"/>
                </c:ext>
              </c:extLst>
            </c:dLbl>
            <c:dLbl>
              <c:idx val="5"/>
              <c:layout>
                <c:manualLayout>
                  <c:x val="-3.9819798644572413E-2"/>
                  <c:y val="-4.28265524625267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F1-4E46-AF9C-F496DA968FA2}"/>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List1!$A$2:$A$7</c:f>
              <c:numCache>
                <c:formatCode>General</c:formatCode>
                <c:ptCount val="6"/>
                <c:pt idx="0">
                  <c:v>2020</c:v>
                </c:pt>
                <c:pt idx="1">
                  <c:v>2021</c:v>
                </c:pt>
                <c:pt idx="2">
                  <c:v>2022</c:v>
                </c:pt>
                <c:pt idx="3">
                  <c:v>2023</c:v>
                </c:pt>
                <c:pt idx="4">
                  <c:v>2024</c:v>
                </c:pt>
                <c:pt idx="5">
                  <c:v>2025</c:v>
                </c:pt>
              </c:numCache>
            </c:numRef>
          </c:cat>
          <c:val>
            <c:numRef>
              <c:f>List1!$B$2:$B$7</c:f>
              <c:numCache>
                <c:formatCode>General</c:formatCode>
                <c:ptCount val="6"/>
                <c:pt idx="0">
                  <c:v>466</c:v>
                </c:pt>
                <c:pt idx="1">
                  <c:v>476</c:v>
                </c:pt>
                <c:pt idx="2">
                  <c:v>542</c:v>
                </c:pt>
                <c:pt idx="3">
                  <c:v>470</c:v>
                </c:pt>
                <c:pt idx="4">
                  <c:v>521</c:v>
                </c:pt>
                <c:pt idx="5">
                  <c:v>475</c:v>
                </c:pt>
              </c:numCache>
            </c:numRef>
          </c:val>
          <c:smooth val="1"/>
          <c:extLst>
            <c:ext xmlns:c16="http://schemas.microsoft.com/office/drawing/2014/chart" uri="{C3380CC4-5D6E-409C-BE32-E72D297353CC}">
              <c16:uniqueId val="{00000006-44F1-4E46-AF9C-F496DA968FA2}"/>
            </c:ext>
          </c:extLst>
        </c:ser>
        <c:ser>
          <c:idx val="1"/>
          <c:order val="1"/>
          <c:tx>
            <c:strRef>
              <c:f>List1!$C$1</c:f>
              <c:strCache>
                <c:ptCount val="1"/>
                <c:pt idx="0">
                  <c:v>Število opravljenih sej senata</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List1!$A$2:$A$7</c:f>
              <c:numCache>
                <c:formatCode>General</c:formatCode>
                <c:ptCount val="6"/>
                <c:pt idx="0">
                  <c:v>2020</c:v>
                </c:pt>
                <c:pt idx="1">
                  <c:v>2021</c:v>
                </c:pt>
                <c:pt idx="2">
                  <c:v>2022</c:v>
                </c:pt>
                <c:pt idx="3">
                  <c:v>2023</c:v>
                </c:pt>
                <c:pt idx="4">
                  <c:v>2024</c:v>
                </c:pt>
                <c:pt idx="5">
                  <c:v>2025</c:v>
                </c:pt>
              </c:numCache>
            </c:numRef>
          </c:cat>
          <c:val>
            <c:numRef>
              <c:f>List1!$C$2:$C$7</c:f>
              <c:numCache>
                <c:formatCode>General</c:formatCode>
                <c:ptCount val="6"/>
                <c:pt idx="0">
                  <c:v>60</c:v>
                </c:pt>
                <c:pt idx="1">
                  <c:v>66</c:v>
                </c:pt>
                <c:pt idx="2">
                  <c:v>46</c:v>
                </c:pt>
                <c:pt idx="3">
                  <c:v>58</c:v>
                </c:pt>
                <c:pt idx="4">
                  <c:v>52</c:v>
                </c:pt>
                <c:pt idx="5">
                  <c:v>52</c:v>
                </c:pt>
              </c:numCache>
            </c:numRef>
          </c:val>
          <c:smooth val="0"/>
          <c:extLst>
            <c:ext xmlns:c16="http://schemas.microsoft.com/office/drawing/2014/chart" uri="{C3380CC4-5D6E-409C-BE32-E72D297353CC}">
              <c16:uniqueId val="{00000007-44F1-4E46-AF9C-F496DA968FA2}"/>
            </c:ext>
          </c:extLst>
        </c:ser>
        <c:ser>
          <c:idx val="2"/>
          <c:order val="2"/>
          <c:tx>
            <c:strRef>
              <c:f>List1!$D$1</c:f>
              <c:strCache>
                <c:ptCount val="1"/>
                <c:pt idx="0">
                  <c:v>Število utemeljenih pritožb na seji senata</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List1!$A$2:$A$7</c:f>
              <c:numCache>
                <c:formatCode>General</c:formatCode>
                <c:ptCount val="6"/>
                <c:pt idx="0">
                  <c:v>2020</c:v>
                </c:pt>
                <c:pt idx="1">
                  <c:v>2021</c:v>
                </c:pt>
                <c:pt idx="2">
                  <c:v>2022</c:v>
                </c:pt>
                <c:pt idx="3">
                  <c:v>2023</c:v>
                </c:pt>
                <c:pt idx="4">
                  <c:v>2024</c:v>
                </c:pt>
                <c:pt idx="5">
                  <c:v>2025</c:v>
                </c:pt>
              </c:numCache>
            </c:numRef>
          </c:cat>
          <c:val>
            <c:numRef>
              <c:f>List1!$D$2:$D$7</c:f>
              <c:numCache>
                <c:formatCode>General</c:formatCode>
                <c:ptCount val="6"/>
                <c:pt idx="0">
                  <c:v>10</c:v>
                </c:pt>
                <c:pt idx="1">
                  <c:v>13</c:v>
                </c:pt>
                <c:pt idx="2">
                  <c:v>12</c:v>
                </c:pt>
                <c:pt idx="3">
                  <c:v>11</c:v>
                </c:pt>
                <c:pt idx="4">
                  <c:v>15</c:v>
                </c:pt>
                <c:pt idx="5">
                  <c:v>15</c:v>
                </c:pt>
              </c:numCache>
            </c:numRef>
          </c:val>
          <c:smooth val="0"/>
          <c:extLst>
            <c:ext xmlns:c16="http://schemas.microsoft.com/office/drawing/2014/chart" uri="{C3380CC4-5D6E-409C-BE32-E72D297353CC}">
              <c16:uniqueId val="{00000008-44F1-4E46-AF9C-F496DA968FA2}"/>
            </c:ext>
          </c:extLst>
        </c:ser>
        <c:ser>
          <c:idx val="3"/>
          <c:order val="3"/>
          <c:tx>
            <c:strRef>
              <c:f>List1!$E$1</c:f>
              <c:strCache>
                <c:ptCount val="1"/>
                <c:pt idx="0">
                  <c:v>Število rešenih pritožb</c:v>
                </c:pt>
              </c:strCache>
            </c:strRef>
          </c:tx>
          <c:spPr>
            <a:ln w="22225" cap="rnd" cmpd="sng" algn="ctr">
              <a:solidFill>
                <a:schemeClr val="accent4"/>
              </a:solidFill>
              <a:round/>
            </a:ln>
            <a:effectLst/>
          </c:spPr>
          <c:marker>
            <c:symbol val="none"/>
          </c:marker>
          <c:dLbls>
            <c:dLbl>
              <c:idx val="0"/>
              <c:layout>
                <c:manualLayout>
                  <c:x val="-3.4817792963481524E-2"/>
                  <c:y val="2.38095238095238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F1-4E46-AF9C-F496DA968FA2}"/>
                </c:ext>
              </c:extLst>
            </c:dLbl>
            <c:dLbl>
              <c:idx val="1"/>
              <c:layout>
                <c:manualLayout>
                  <c:x val="-3.6719545456491677E-2"/>
                  <c:y val="5.32783402074740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F1-4E46-AF9C-F496DA968FA2}"/>
                </c:ext>
              </c:extLst>
            </c:dLbl>
            <c:dLbl>
              <c:idx val="2"/>
              <c:layout>
                <c:manualLayout>
                  <c:x val="-3.9819798644572413E-2"/>
                  <c:y val="4.56816559600285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F1-4E46-AF9C-F496DA968FA2}"/>
                </c:ext>
              </c:extLst>
            </c:dLbl>
            <c:dLbl>
              <c:idx val="3"/>
              <c:layout>
                <c:manualLayout>
                  <c:x val="-3.9819798644572413E-2"/>
                  <c:y val="2.5695931477516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4F1-4E46-AF9C-F496DA968FA2}"/>
                </c:ext>
              </c:extLst>
            </c:dLbl>
            <c:dLbl>
              <c:idx val="4"/>
              <c:layout>
                <c:manualLayout>
                  <c:x val="-3.9819798644572503E-2"/>
                  <c:y val="3.4261241970021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4F1-4E46-AF9C-F496DA968FA2}"/>
                </c:ext>
              </c:extLst>
            </c:dLbl>
            <c:dLbl>
              <c:idx val="5"/>
              <c:layout>
                <c:manualLayout>
                  <c:x val="-3.7332236455517684E-2"/>
                  <c:y val="3.4261241970021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4F1-4E46-AF9C-F496DA968FA2}"/>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List1!$A$2:$A$7</c:f>
              <c:numCache>
                <c:formatCode>General</c:formatCode>
                <c:ptCount val="6"/>
                <c:pt idx="0">
                  <c:v>2020</c:v>
                </c:pt>
                <c:pt idx="1">
                  <c:v>2021</c:v>
                </c:pt>
                <c:pt idx="2">
                  <c:v>2022</c:v>
                </c:pt>
                <c:pt idx="3">
                  <c:v>2023</c:v>
                </c:pt>
                <c:pt idx="4">
                  <c:v>2024</c:v>
                </c:pt>
                <c:pt idx="5">
                  <c:v>2025</c:v>
                </c:pt>
              </c:numCache>
            </c:numRef>
          </c:cat>
          <c:val>
            <c:numRef>
              <c:f>List1!$E$2:$E$7</c:f>
              <c:numCache>
                <c:formatCode>General</c:formatCode>
                <c:ptCount val="6"/>
                <c:pt idx="0">
                  <c:v>358</c:v>
                </c:pt>
                <c:pt idx="1">
                  <c:v>456</c:v>
                </c:pt>
                <c:pt idx="2">
                  <c:v>515</c:v>
                </c:pt>
                <c:pt idx="3">
                  <c:v>465</c:v>
                </c:pt>
                <c:pt idx="4">
                  <c:v>501</c:v>
                </c:pt>
                <c:pt idx="5">
                  <c:v>457</c:v>
                </c:pt>
              </c:numCache>
            </c:numRef>
          </c:val>
          <c:smooth val="0"/>
          <c:extLst>
            <c:ext xmlns:c16="http://schemas.microsoft.com/office/drawing/2014/chart" uri="{C3380CC4-5D6E-409C-BE32-E72D297353CC}">
              <c16:uniqueId val="{0000000F-44F1-4E46-AF9C-F496DA968FA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92669120"/>
        <c:axId val="292543040"/>
      </c:lineChart>
      <c:catAx>
        <c:axId val="2926691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2543040"/>
        <c:crosses val="autoZero"/>
        <c:auto val="1"/>
        <c:lblAlgn val="ctr"/>
        <c:lblOffset val="100"/>
        <c:noMultiLvlLbl val="0"/>
      </c:catAx>
      <c:valAx>
        <c:axId val="292543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266912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i="0" u="none" strike="noStrike" baseline="0">
                <a:effectLst/>
              </a:rPr>
              <a:t>Število prošenj za mednarodno zaščito </a:t>
            </a:r>
            <a:endParaRPr lang="sl-SI"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spPr>
            <a:solidFill>
              <a:srgbClr val="0070C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List1!$F$12:$M$12</c:f>
              <c:numCache>
                <c:formatCode>General</c:formatCode>
                <c:ptCount val="8"/>
                <c:pt idx="0">
                  <c:v>2018</c:v>
                </c:pt>
                <c:pt idx="1">
                  <c:v>2019</c:v>
                </c:pt>
                <c:pt idx="2">
                  <c:v>2020</c:v>
                </c:pt>
                <c:pt idx="3">
                  <c:v>2021</c:v>
                </c:pt>
                <c:pt idx="4">
                  <c:v>2022</c:v>
                </c:pt>
                <c:pt idx="5">
                  <c:v>2023</c:v>
                </c:pt>
                <c:pt idx="6">
                  <c:v>2024</c:v>
                </c:pt>
                <c:pt idx="7">
                  <c:v>2025</c:v>
                </c:pt>
              </c:numCache>
            </c:numRef>
          </c:cat>
          <c:val>
            <c:numRef>
              <c:f>List1!$F$13:$M$13</c:f>
              <c:numCache>
                <c:formatCode>General</c:formatCode>
                <c:ptCount val="8"/>
                <c:pt idx="0">
                  <c:v>2875</c:v>
                </c:pt>
                <c:pt idx="1">
                  <c:v>3821</c:v>
                </c:pt>
                <c:pt idx="2">
                  <c:v>3548</c:v>
                </c:pt>
                <c:pt idx="3">
                  <c:v>5301</c:v>
                </c:pt>
                <c:pt idx="4">
                  <c:v>6787</c:v>
                </c:pt>
                <c:pt idx="5">
                  <c:v>7261</c:v>
                </c:pt>
                <c:pt idx="6">
                  <c:v>5634</c:v>
                </c:pt>
                <c:pt idx="7">
                  <c:v>4172</c:v>
                </c:pt>
              </c:numCache>
            </c:numRef>
          </c:val>
          <c:extLst>
            <c:ext xmlns:c16="http://schemas.microsoft.com/office/drawing/2014/chart" uri="{C3380CC4-5D6E-409C-BE32-E72D297353CC}">
              <c16:uniqueId val="{00000000-5B4A-452A-A4D4-FBAA94C58C1D}"/>
            </c:ext>
          </c:extLst>
        </c:ser>
        <c:dLbls>
          <c:showLegendKey val="0"/>
          <c:showVal val="0"/>
          <c:showCatName val="0"/>
          <c:showSerName val="0"/>
          <c:showPercent val="0"/>
          <c:showBubbleSize val="0"/>
        </c:dLbls>
        <c:gapWidth val="219"/>
        <c:overlap val="-27"/>
        <c:axId val="293679120"/>
        <c:axId val="293683824"/>
      </c:barChart>
      <c:catAx>
        <c:axId val="29367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3683824"/>
        <c:crosses val="autoZero"/>
        <c:auto val="1"/>
        <c:lblAlgn val="ctr"/>
        <c:lblOffset val="100"/>
        <c:noMultiLvlLbl val="0"/>
      </c:catAx>
      <c:valAx>
        <c:axId val="293683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3679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sl-S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t>Prošnje za mednarodno</a:t>
            </a:r>
            <a:r>
              <a:rPr lang="sl-SI" sz="1000" b="1" baseline="0"/>
              <a:t> zaščito - d</a:t>
            </a:r>
            <a:r>
              <a:rPr lang="sl-SI" sz="1000" b="1"/>
              <a:t>ržave</a:t>
            </a:r>
            <a:r>
              <a:rPr lang="sl-SI" sz="1000" b="1" baseline="0"/>
              <a:t> izvora</a:t>
            </a:r>
            <a:endParaRPr lang="sl-SI"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274-48E9-AB5D-B6C4E9C3892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274-48E9-AB5D-B6C4E9C3892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274-48E9-AB5D-B6C4E9C3892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274-48E9-AB5D-B6C4E9C38927}"/>
              </c:ext>
            </c:extLst>
          </c:dPt>
          <c:dLbls>
            <c:dLbl>
              <c:idx val="0"/>
              <c:tx>
                <c:rich>
                  <a:bodyPr/>
                  <a:lstStyle/>
                  <a:p>
                    <a:fld id="{73E51A16-EA63-45E8-88DD-3B67BAC9136E}" type="VALUE">
                      <a:rPr lang="en-US"/>
                      <a:pPr/>
                      <a:t>[VREDNOST]</a:t>
                    </a:fld>
                    <a:r>
                      <a:rPr lang="en-US"/>
                      <a:t>; </a:t>
                    </a:r>
                    <a:fld id="{7FA51089-251E-44C8-B44F-6A00E23C5829}" type="PERCENTAGE">
                      <a:rPr lang="en-US"/>
                      <a:pPr/>
                      <a:t>[ODSTOTEK]</a:t>
                    </a:fld>
                    <a:endParaRPr lang="en-US"/>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274-48E9-AB5D-B6C4E9C38927}"/>
                </c:ext>
              </c:extLst>
            </c:dLbl>
            <c:dLbl>
              <c:idx val="1"/>
              <c:tx>
                <c:rich>
                  <a:bodyPr/>
                  <a:lstStyle/>
                  <a:p>
                    <a:fld id="{FB795FEE-17A1-472A-9FFE-F7044E363539}" type="VALUE">
                      <a:rPr lang="en-US"/>
                      <a:pPr/>
                      <a:t>[VREDNOST]</a:t>
                    </a:fld>
                    <a:r>
                      <a:rPr lang="en-US"/>
                      <a:t>; </a:t>
                    </a:r>
                    <a:fld id="{BC4B7C30-673A-4295-A20C-B0192BF05D72}" type="PERCENTAGE">
                      <a:rPr lang="en-US"/>
                      <a:pPr/>
                      <a:t>[ODSTOTEK]</a:t>
                    </a:fld>
                    <a:endParaRPr lang="en-US"/>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274-48E9-AB5D-B6C4E9C38927}"/>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List1!$G$13:$G$16</c:f>
              <c:strCache>
                <c:ptCount val="4"/>
                <c:pt idx="0">
                  <c:v>Maroko</c:v>
                </c:pt>
                <c:pt idx="1">
                  <c:v>Egipt</c:v>
                </c:pt>
                <c:pt idx="2">
                  <c:v>Alžirija</c:v>
                </c:pt>
                <c:pt idx="3">
                  <c:v>Preostale prošnje</c:v>
                </c:pt>
              </c:strCache>
            </c:strRef>
          </c:cat>
          <c:val>
            <c:numRef>
              <c:f>List1!$H$13:$H$16</c:f>
              <c:numCache>
                <c:formatCode>General</c:formatCode>
                <c:ptCount val="4"/>
                <c:pt idx="0">
                  <c:v>2496</c:v>
                </c:pt>
                <c:pt idx="1">
                  <c:v>348</c:v>
                </c:pt>
                <c:pt idx="2">
                  <c:v>317</c:v>
                </c:pt>
                <c:pt idx="3">
                  <c:v>1011</c:v>
                </c:pt>
              </c:numCache>
            </c:numRef>
          </c:val>
          <c:extLst>
            <c:ext xmlns:c16="http://schemas.microsoft.com/office/drawing/2014/chart" uri="{C3380CC4-5D6E-409C-BE32-E72D297353CC}">
              <c16:uniqueId val="{00000008-D274-48E9-AB5D-B6C4E9C38927}"/>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i="0" u="none" strike="noStrike" baseline="0">
                <a:solidFill>
                  <a:sysClr val="windowText" lastClr="000000"/>
                </a:solidFill>
                <a:effectLst/>
                <a:latin typeface="Arial" panose="020B0604020202020204" pitchFamily="34" charset="0"/>
                <a:cs typeface="Arial" panose="020B0604020202020204" pitchFamily="34" charset="0"/>
              </a:rPr>
              <a:t>Struktura rešenih prošenj za mednarodno zaščito </a:t>
            </a:r>
            <a:endParaRPr lang="sl-SI"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F51-4898-BE4D-1FF28A19112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F51-4898-BE4D-1FF28A19112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F51-4898-BE4D-1FF28A19112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F51-4898-BE4D-1FF28A191127}"/>
              </c:ext>
            </c:extLst>
          </c:dPt>
          <c:dLbls>
            <c:dLbl>
              <c:idx val="0"/>
              <c:layout>
                <c:manualLayout>
                  <c:x val="-4.5897877223178431E-2"/>
                  <c:y val="0"/>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F51-4898-BE4D-1FF28A191127}"/>
                </c:ext>
              </c:extLst>
            </c:dLbl>
            <c:dLbl>
              <c:idx val="1"/>
              <c:layout>
                <c:manualLayout>
                  <c:x val="-9.1795754446357698E-3"/>
                  <c:y val="-4.995004995004995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F51-4898-BE4D-1FF28A1911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List2!$A$2:$A$5</c:f>
              <c:strCache>
                <c:ptCount val="4"/>
                <c:pt idx="0">
                  <c:v>Ugodeno</c:v>
                </c:pt>
                <c:pt idx="1">
                  <c:v>Zavrnjeno</c:v>
                </c:pt>
                <c:pt idx="2">
                  <c:v>Ustavitev</c:v>
                </c:pt>
                <c:pt idx="3">
                  <c:v>Zavrženo</c:v>
                </c:pt>
              </c:strCache>
            </c:strRef>
          </c:cat>
          <c:val>
            <c:numRef>
              <c:f>List2!$B$2:$B$5</c:f>
              <c:numCache>
                <c:formatCode>General</c:formatCode>
                <c:ptCount val="4"/>
                <c:pt idx="0">
                  <c:v>71</c:v>
                </c:pt>
                <c:pt idx="1">
                  <c:v>154</c:v>
                </c:pt>
                <c:pt idx="2">
                  <c:v>2464</c:v>
                </c:pt>
                <c:pt idx="3">
                  <c:v>1670</c:v>
                </c:pt>
              </c:numCache>
            </c:numRef>
          </c:val>
          <c:extLst>
            <c:ext xmlns:c16="http://schemas.microsoft.com/office/drawing/2014/chart" uri="{C3380CC4-5D6E-409C-BE32-E72D297353CC}">
              <c16:uniqueId val="{00000008-CF51-4898-BE4D-1FF28A191127}"/>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i="0" u="none" strike="noStrike" baseline="0">
                <a:solidFill>
                  <a:sysClr val="windowText" lastClr="000000"/>
                </a:solidFill>
                <a:effectLst/>
              </a:rPr>
              <a:t>Število posameznih vrst veljavnih dovoljenj za prebivanje </a:t>
            </a:r>
            <a:endParaRPr lang="sl-SI"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28E-4050-8DB7-E9F056B9ABE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28E-4050-8DB7-E9F056B9ABE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28E-4050-8DB7-E9F056B9ABE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28E-4050-8DB7-E9F056B9ABE2}"/>
              </c:ext>
            </c:extLst>
          </c:dPt>
          <c:dLbls>
            <c:dLbl>
              <c:idx val="0"/>
              <c:dLblPos val="out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28E-4050-8DB7-E9F056B9ABE2}"/>
                </c:ext>
              </c:extLst>
            </c:dLbl>
            <c:dLbl>
              <c:idx val="1"/>
              <c:dLblPos val="out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28E-4050-8DB7-E9F056B9ABE2}"/>
                </c:ext>
              </c:extLst>
            </c:dLbl>
            <c:dLbl>
              <c:idx val="2"/>
              <c:dLblPos val="out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28E-4050-8DB7-E9F056B9ABE2}"/>
                </c:ext>
              </c:extLst>
            </c:dLbl>
            <c:dLbl>
              <c:idx val="3"/>
              <c:dLblPos val="out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28E-4050-8DB7-E9F056B9ABE2}"/>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List1!$A$1:$D$1</c:f>
              <c:strCache>
                <c:ptCount val="4"/>
                <c:pt idx="0">
                  <c:v>Dovoljenje za stalno prebivanje</c:v>
                </c:pt>
                <c:pt idx="1">
                  <c:v>Potrdilo o prijavi stalnega prebivanja za državljane EU</c:v>
                </c:pt>
                <c:pt idx="2">
                  <c:v>Dovoljenje za začasno prebivanje</c:v>
                </c:pt>
                <c:pt idx="3">
                  <c:v>Potrdilo prijavi prebivanja za državljane EU</c:v>
                </c:pt>
              </c:strCache>
            </c:strRef>
          </c:cat>
          <c:val>
            <c:numRef>
              <c:f>List1!$A$2:$D$2</c:f>
              <c:numCache>
                <c:formatCode>#,##0</c:formatCode>
                <c:ptCount val="4"/>
                <c:pt idx="0">
                  <c:v>146209</c:v>
                </c:pt>
                <c:pt idx="1">
                  <c:v>15310</c:v>
                </c:pt>
                <c:pt idx="2">
                  <c:v>89252</c:v>
                </c:pt>
                <c:pt idx="3">
                  <c:v>15784</c:v>
                </c:pt>
              </c:numCache>
            </c:numRef>
          </c:val>
          <c:extLst>
            <c:ext xmlns:c16="http://schemas.microsoft.com/office/drawing/2014/chart" uri="{C3380CC4-5D6E-409C-BE32-E72D297353CC}">
              <c16:uniqueId val="{00000008-228E-4050-8DB7-E9F056B9ABE2}"/>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sl-SI"/>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00" b="1" i="0" u="none" strike="noStrike" baseline="0">
                <a:solidFill>
                  <a:sysClr val="windowText" lastClr="000000"/>
                </a:solidFill>
                <a:effectLst/>
                <a:latin typeface="Arial" panose="020B0604020202020204" pitchFamily="34" charset="0"/>
                <a:cs typeface="Arial" panose="020B0604020202020204" pitchFamily="34" charset="0"/>
              </a:rPr>
              <a:t>Števila izdanih dovoljenj za začasno prebivanje oz. potrdil o prijavi prebivanja</a:t>
            </a:r>
            <a:endParaRPr lang="sl-SI"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spPr>
            <a:solidFill>
              <a:srgbClr val="0070C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List2!$C$13:$C$17</c:f>
              <c:strCache>
                <c:ptCount val="5"/>
                <c:pt idx="0">
                  <c:v>Dovoljenje za prvo začasno prebivanje</c:v>
                </c:pt>
                <c:pt idx="1">
                  <c:v>Nadaljnje dovoljenje za začasno prebivanje</c:v>
                </c:pt>
                <c:pt idx="2">
                  <c:v>Podaljšanje dovoljenja za začasno prebivanje </c:v>
                </c:pt>
                <c:pt idx="3">
                  <c:v>Potrdilo o prijavi prebivanja za državljana EU</c:v>
                </c:pt>
                <c:pt idx="4">
                  <c:v>Obnova potrdila o prijavi prebivanja</c:v>
                </c:pt>
              </c:strCache>
            </c:strRef>
          </c:cat>
          <c:val>
            <c:numRef>
              <c:f>List2!$D$13:$D$17</c:f>
              <c:numCache>
                <c:formatCode>General</c:formatCode>
                <c:ptCount val="5"/>
                <c:pt idx="0">
                  <c:v>24916</c:v>
                </c:pt>
                <c:pt idx="1">
                  <c:v>3237</c:v>
                </c:pt>
                <c:pt idx="2">
                  <c:v>51443</c:v>
                </c:pt>
                <c:pt idx="3">
                  <c:v>5481</c:v>
                </c:pt>
                <c:pt idx="4">
                  <c:v>1101</c:v>
                </c:pt>
              </c:numCache>
            </c:numRef>
          </c:val>
          <c:extLst>
            <c:ext xmlns:c16="http://schemas.microsoft.com/office/drawing/2014/chart" uri="{C3380CC4-5D6E-409C-BE32-E72D297353CC}">
              <c16:uniqueId val="{00000000-9A25-40D2-8AA7-9D2947FE7B9A}"/>
            </c:ext>
          </c:extLst>
        </c:ser>
        <c:dLbls>
          <c:showLegendKey val="0"/>
          <c:showVal val="0"/>
          <c:showCatName val="0"/>
          <c:showSerName val="0"/>
          <c:showPercent val="0"/>
          <c:showBubbleSize val="0"/>
        </c:dLbls>
        <c:gapWidth val="219"/>
        <c:overlap val="-27"/>
        <c:axId val="428035712"/>
        <c:axId val="428029048"/>
      </c:barChart>
      <c:catAx>
        <c:axId val="42803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428029048"/>
        <c:crosses val="autoZero"/>
        <c:auto val="1"/>
        <c:lblAlgn val="ctr"/>
        <c:lblOffset val="100"/>
        <c:noMultiLvlLbl val="0"/>
      </c:catAx>
      <c:valAx>
        <c:axId val="428029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42803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List3!$D$35</c:f>
              <c:strCache>
                <c:ptCount val="1"/>
                <c:pt idx="0">
                  <c:v>Število izdanih prvih dovoljenj za začasno prebivanje</c:v>
                </c:pt>
              </c:strCache>
            </c:strRef>
          </c:tx>
          <c:spPr>
            <a:solidFill>
              <a:srgbClr val="0070C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List3!$E$34:$L$34</c:f>
              <c:numCache>
                <c:formatCode>General</c:formatCode>
                <c:ptCount val="8"/>
                <c:pt idx="0">
                  <c:v>2018</c:v>
                </c:pt>
                <c:pt idx="1">
                  <c:v>2019</c:v>
                </c:pt>
                <c:pt idx="2">
                  <c:v>2020</c:v>
                </c:pt>
                <c:pt idx="3">
                  <c:v>2021</c:v>
                </c:pt>
                <c:pt idx="4">
                  <c:v>2022</c:v>
                </c:pt>
                <c:pt idx="5">
                  <c:v>2023</c:v>
                </c:pt>
                <c:pt idx="6">
                  <c:v>2024</c:v>
                </c:pt>
                <c:pt idx="7">
                  <c:v>2025</c:v>
                </c:pt>
              </c:numCache>
            </c:numRef>
          </c:cat>
          <c:val>
            <c:numRef>
              <c:f>List3!$E$35:$L$35</c:f>
              <c:numCache>
                <c:formatCode>General</c:formatCode>
                <c:ptCount val="8"/>
                <c:pt idx="0">
                  <c:v>31072</c:v>
                </c:pt>
                <c:pt idx="1">
                  <c:v>34267</c:v>
                </c:pt>
                <c:pt idx="2">
                  <c:v>20430</c:v>
                </c:pt>
                <c:pt idx="3">
                  <c:v>28863</c:v>
                </c:pt>
                <c:pt idx="4">
                  <c:v>33085</c:v>
                </c:pt>
                <c:pt idx="5">
                  <c:v>30961</c:v>
                </c:pt>
                <c:pt idx="6">
                  <c:v>26500</c:v>
                </c:pt>
                <c:pt idx="7">
                  <c:v>24916</c:v>
                </c:pt>
              </c:numCache>
            </c:numRef>
          </c:val>
          <c:extLst>
            <c:ext xmlns:c16="http://schemas.microsoft.com/office/drawing/2014/chart" uri="{C3380CC4-5D6E-409C-BE32-E72D297353CC}">
              <c16:uniqueId val="{00000000-4F89-48BC-BF78-E4AD1E8279E2}"/>
            </c:ext>
          </c:extLst>
        </c:ser>
        <c:dLbls>
          <c:showLegendKey val="0"/>
          <c:showVal val="0"/>
          <c:showCatName val="0"/>
          <c:showSerName val="0"/>
          <c:showPercent val="0"/>
          <c:showBubbleSize val="0"/>
        </c:dLbls>
        <c:gapWidth val="219"/>
        <c:overlap val="-27"/>
        <c:axId val="428029440"/>
        <c:axId val="428033360"/>
      </c:barChart>
      <c:catAx>
        <c:axId val="42802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428033360"/>
        <c:crosses val="autoZero"/>
        <c:auto val="1"/>
        <c:lblAlgn val="ctr"/>
        <c:lblOffset val="100"/>
        <c:noMultiLvlLbl val="0"/>
      </c:catAx>
      <c:valAx>
        <c:axId val="428033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428029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latin typeface="Arial" panose="020B0604020202020204" pitchFamily="34" charset="0"/>
                <a:cs typeface="Arial" panose="020B0604020202020204" pitchFamily="34" charset="0"/>
              </a:rPr>
              <a:t>Prva </a:t>
            </a:r>
            <a:r>
              <a:rPr lang="sl-SI" sz="1000" b="1" i="0" u="none" strike="noStrike" baseline="0">
                <a:effectLst/>
              </a:rPr>
              <a:t>dovoljenja za prebivanje </a:t>
            </a:r>
            <a:r>
              <a:rPr lang="sl-SI" sz="1000" b="1" i="0" u="none" strike="noStrike" baseline="0">
                <a:effectLst/>
                <a:latin typeface="Calibri" panose="020F0502020204030204" pitchFamily="34" charset="0"/>
                <a:cs typeface="Calibri" panose="020F0502020204030204" pitchFamily="34" charset="0"/>
              </a:rPr>
              <a:t>–</a:t>
            </a:r>
            <a:r>
              <a:rPr lang="sl-SI" sz="1000" b="1" i="0" u="none" strike="noStrike" baseline="0">
                <a:effectLst/>
              </a:rPr>
              <a:t> države izvora</a:t>
            </a:r>
            <a:r>
              <a:rPr lang="sl-SI" sz="1000" b="1" baseline="0">
                <a:solidFill>
                  <a:sysClr val="windowText" lastClr="000000"/>
                </a:solidFill>
                <a:latin typeface="Arial" panose="020B0604020202020204" pitchFamily="34" charset="0"/>
                <a:cs typeface="Arial" panose="020B0604020202020204" pitchFamily="34" charset="0"/>
              </a:rPr>
              <a:t> </a:t>
            </a:r>
            <a:endParaRPr lang="sl-SI"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EB5-41E1-8943-041698638D3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EB5-41E1-8943-041698638D3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EB5-41E1-8943-041698638D3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EB5-41E1-8943-041698638D35}"/>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List5!$C$7:$C$10</c:f>
              <c:strCache>
                <c:ptCount val="4"/>
                <c:pt idx="0">
                  <c:v>Bosna in Hercegovina</c:v>
                </c:pt>
                <c:pt idx="1">
                  <c:v>Srbija</c:v>
                </c:pt>
                <c:pt idx="2">
                  <c:v>Kosovo</c:v>
                </c:pt>
                <c:pt idx="3">
                  <c:v>Preostala izdana prva dovoljenja za začasno prebivanje</c:v>
                </c:pt>
              </c:strCache>
            </c:strRef>
          </c:cat>
          <c:val>
            <c:numRef>
              <c:f>List5!$D$7:$D$10</c:f>
              <c:numCache>
                <c:formatCode>General</c:formatCode>
                <c:ptCount val="4"/>
                <c:pt idx="0">
                  <c:v>6460</c:v>
                </c:pt>
                <c:pt idx="1">
                  <c:v>4535</c:v>
                </c:pt>
                <c:pt idx="2">
                  <c:v>3450</c:v>
                </c:pt>
                <c:pt idx="3">
                  <c:v>10471</c:v>
                </c:pt>
              </c:numCache>
            </c:numRef>
          </c:val>
          <c:extLst>
            <c:ext xmlns:c16="http://schemas.microsoft.com/office/drawing/2014/chart" uri="{C3380CC4-5D6E-409C-BE32-E72D297353CC}">
              <c16:uniqueId val="{00000008-9EB5-41E1-8943-041698638D35}"/>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latin typeface="Arial" panose="020B0604020202020204" pitchFamily="34" charset="0"/>
                <a:cs typeface="Arial" panose="020B0604020202020204" pitchFamily="34" charset="0"/>
              </a:rPr>
              <a:t>Fluktuacija</a:t>
            </a:r>
            <a:r>
              <a:rPr lang="sl-SI" sz="1000" b="1" baseline="0">
                <a:solidFill>
                  <a:sysClr val="windowText" lastClr="000000"/>
                </a:solidFill>
                <a:latin typeface="Arial" panose="020B0604020202020204" pitchFamily="34" charset="0"/>
                <a:cs typeface="Arial" panose="020B0604020202020204" pitchFamily="34" charset="0"/>
              </a:rPr>
              <a:t> 2025</a:t>
            </a:r>
            <a:endParaRPr lang="sl-SI"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List1!$L$5</c:f>
              <c:strCache>
                <c:ptCount val="1"/>
                <c:pt idx="0">
                  <c:v>PRIHODI</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List1!$K$6:$K$8</c:f>
              <c:strCache>
                <c:ptCount val="3"/>
                <c:pt idx="0">
                  <c:v>MINISTRSTVO ZA NOTRANJE ZADEVE</c:v>
                </c:pt>
                <c:pt idx="1">
                  <c:v>POLICIJA</c:v>
                </c:pt>
                <c:pt idx="2">
                  <c:v>INŠPEKTORAT RS ZA NOTRANJE ZADEVE</c:v>
                </c:pt>
              </c:strCache>
            </c:strRef>
          </c:cat>
          <c:val>
            <c:numRef>
              <c:f>List1!$L$6:$L$8</c:f>
              <c:numCache>
                <c:formatCode>General</c:formatCode>
                <c:ptCount val="3"/>
                <c:pt idx="0">
                  <c:v>55</c:v>
                </c:pt>
                <c:pt idx="1">
                  <c:v>360</c:v>
                </c:pt>
                <c:pt idx="2">
                  <c:v>0</c:v>
                </c:pt>
              </c:numCache>
            </c:numRef>
          </c:val>
          <c:extLst>
            <c:ext xmlns:c16="http://schemas.microsoft.com/office/drawing/2014/chart" uri="{C3380CC4-5D6E-409C-BE32-E72D297353CC}">
              <c16:uniqueId val="{00000000-A6BF-4724-8F68-2E5830EAB387}"/>
            </c:ext>
          </c:extLst>
        </c:ser>
        <c:ser>
          <c:idx val="1"/>
          <c:order val="1"/>
          <c:tx>
            <c:strRef>
              <c:f>List1!$M$5</c:f>
              <c:strCache>
                <c:ptCount val="1"/>
                <c:pt idx="0">
                  <c:v>ODHODI</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List1!$K$6:$K$8</c:f>
              <c:strCache>
                <c:ptCount val="3"/>
                <c:pt idx="0">
                  <c:v>MINISTRSTVO ZA NOTRANJE ZADEVE</c:v>
                </c:pt>
                <c:pt idx="1">
                  <c:v>POLICIJA</c:v>
                </c:pt>
                <c:pt idx="2">
                  <c:v>INŠPEKTORAT RS ZA NOTRANJE ZADEVE</c:v>
                </c:pt>
              </c:strCache>
            </c:strRef>
          </c:cat>
          <c:val>
            <c:numRef>
              <c:f>List1!$M$6:$M$8</c:f>
              <c:numCache>
                <c:formatCode>General</c:formatCode>
                <c:ptCount val="3"/>
                <c:pt idx="0">
                  <c:v>65</c:v>
                </c:pt>
                <c:pt idx="1">
                  <c:v>366</c:v>
                </c:pt>
                <c:pt idx="2">
                  <c:v>0</c:v>
                </c:pt>
              </c:numCache>
            </c:numRef>
          </c:val>
          <c:extLst>
            <c:ext xmlns:c16="http://schemas.microsoft.com/office/drawing/2014/chart" uri="{C3380CC4-5D6E-409C-BE32-E72D297353CC}">
              <c16:uniqueId val="{00000001-A6BF-4724-8F68-2E5830EAB387}"/>
            </c:ext>
          </c:extLst>
        </c:ser>
        <c:dLbls>
          <c:dLblPos val="outEnd"/>
          <c:showLegendKey val="0"/>
          <c:showVal val="1"/>
          <c:showCatName val="0"/>
          <c:showSerName val="0"/>
          <c:showPercent val="0"/>
          <c:showBubbleSize val="0"/>
        </c:dLbls>
        <c:gapWidth val="219"/>
        <c:overlap val="-27"/>
        <c:axId val="428036104"/>
        <c:axId val="428030224"/>
      </c:barChart>
      <c:catAx>
        <c:axId val="428036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428030224"/>
        <c:crosses val="autoZero"/>
        <c:auto val="1"/>
        <c:lblAlgn val="ctr"/>
        <c:lblOffset val="100"/>
        <c:noMultiLvlLbl val="0"/>
      </c:catAx>
      <c:valAx>
        <c:axId val="42803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42803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Število izdanih izkaznic nadzornikom na smučiščih</a:t>
            </a:r>
          </a:p>
        </c:rich>
      </c:tx>
      <c:layout>
        <c:manualLayout>
          <c:xMode val="edge"/>
          <c:yMode val="edge"/>
          <c:x val="0.18651802188092825"/>
          <c:y val="3.0888030888030889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spPr>
            <a:solidFill>
              <a:srgbClr val="0070C0"/>
            </a:solidFill>
            <a:ln>
              <a:solidFill>
                <a:srgbClr val="0070C0"/>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List1!$B$3:$B$8</c:f>
              <c:numCache>
                <c:formatCode>General</c:formatCode>
                <c:ptCount val="6"/>
                <c:pt idx="0">
                  <c:v>2020</c:v>
                </c:pt>
                <c:pt idx="1">
                  <c:v>2021</c:v>
                </c:pt>
                <c:pt idx="2">
                  <c:v>2022</c:v>
                </c:pt>
                <c:pt idx="3">
                  <c:v>2023</c:v>
                </c:pt>
                <c:pt idx="4">
                  <c:v>2024</c:v>
                </c:pt>
                <c:pt idx="5">
                  <c:v>2025</c:v>
                </c:pt>
              </c:numCache>
            </c:numRef>
          </c:cat>
          <c:val>
            <c:numRef>
              <c:f>List1!$C$3:$C$8</c:f>
              <c:numCache>
                <c:formatCode>General</c:formatCode>
                <c:ptCount val="6"/>
                <c:pt idx="0">
                  <c:v>67</c:v>
                </c:pt>
                <c:pt idx="1">
                  <c:v>50</c:v>
                </c:pt>
                <c:pt idx="2">
                  <c:v>74</c:v>
                </c:pt>
                <c:pt idx="3">
                  <c:v>60</c:v>
                </c:pt>
                <c:pt idx="4">
                  <c:v>67</c:v>
                </c:pt>
                <c:pt idx="5">
                  <c:v>71</c:v>
                </c:pt>
              </c:numCache>
            </c:numRef>
          </c:val>
          <c:extLst>
            <c:ext xmlns:c16="http://schemas.microsoft.com/office/drawing/2014/chart" uri="{C3380CC4-5D6E-409C-BE32-E72D297353CC}">
              <c16:uniqueId val="{00000000-0F50-4604-B7AC-37DC4AB01870}"/>
            </c:ext>
          </c:extLst>
        </c:ser>
        <c:dLbls>
          <c:showLegendKey val="0"/>
          <c:showVal val="0"/>
          <c:showCatName val="0"/>
          <c:showSerName val="0"/>
          <c:showPercent val="0"/>
          <c:showBubbleSize val="0"/>
        </c:dLbls>
        <c:gapWidth val="219"/>
        <c:overlap val="-27"/>
        <c:axId val="292636424"/>
        <c:axId val="292076952"/>
      </c:barChart>
      <c:catAx>
        <c:axId val="292636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2076952"/>
        <c:crosses val="autoZero"/>
        <c:auto val="1"/>
        <c:lblAlgn val="ctr"/>
        <c:lblOffset val="100"/>
        <c:noMultiLvlLbl val="0"/>
      </c:catAx>
      <c:valAx>
        <c:axId val="292076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2636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a:pPr>
            <a:r>
              <a:rPr lang="sl-SI" sz="1000" b="1"/>
              <a:t>Ročne poizvedbe v letu 2025: 7.571 vlog in 18.446 posredovanih oseb </a:t>
            </a:r>
          </a:p>
        </c:rich>
      </c:tx>
      <c:overlay val="0"/>
    </c:title>
    <c:autoTitleDeleted val="0"/>
    <c:plotArea>
      <c:layout>
        <c:manualLayout>
          <c:layoutTarget val="inner"/>
          <c:xMode val="edge"/>
          <c:yMode val="edge"/>
          <c:x val="7.3847059440150631E-2"/>
          <c:y val="0.24121536891221931"/>
          <c:w val="0.90335756417544577"/>
          <c:h val="0.64280475357247013"/>
        </c:manualLayout>
      </c:layout>
      <c:barChart>
        <c:barDir val="col"/>
        <c:grouping val="clustered"/>
        <c:varyColors val="0"/>
        <c:ser>
          <c:idx val="0"/>
          <c:order val="0"/>
          <c:tx>
            <c:strRef>
              <c:f>'Ročno posredovanje'!$R$40</c:f>
              <c:strCache>
                <c:ptCount val="1"/>
                <c:pt idx="0">
                  <c:v>Rešenih vlog</c:v>
                </c:pt>
              </c:strCache>
            </c:strRef>
          </c:tx>
          <c:spPr>
            <a:solidFill>
              <a:srgbClr val="0070C0"/>
            </a:solidFill>
            <a:ln>
              <a:solidFill>
                <a:srgbClr val="0070C0"/>
              </a:solidFill>
            </a:ln>
          </c:spPr>
          <c:invertIfNegative val="0"/>
          <c:dLbls>
            <c:spPr>
              <a:noFill/>
              <a:ln w="25400">
                <a:noFill/>
              </a:ln>
            </c:spPr>
            <c:txPr>
              <a:bodyPr/>
              <a:lstStyle/>
              <a:p>
                <a:pPr>
                  <a:defRPr>
                    <a:solidFill>
                      <a:sysClr val="windowText" lastClr="000000"/>
                    </a:solidFill>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'Ročno posredovanje'!$S$40:$AD$40</c:f>
              <c:numCache>
                <c:formatCode>General</c:formatCode>
                <c:ptCount val="12"/>
                <c:pt idx="0">
                  <c:v>706</c:v>
                </c:pt>
                <c:pt idx="1">
                  <c:v>694</c:v>
                </c:pt>
                <c:pt idx="2">
                  <c:v>738</c:v>
                </c:pt>
                <c:pt idx="3">
                  <c:v>628</c:v>
                </c:pt>
                <c:pt idx="4">
                  <c:v>601</c:v>
                </c:pt>
                <c:pt idx="5">
                  <c:v>626</c:v>
                </c:pt>
                <c:pt idx="6">
                  <c:v>558</c:v>
                </c:pt>
                <c:pt idx="7">
                  <c:v>497</c:v>
                </c:pt>
                <c:pt idx="8">
                  <c:v>641</c:v>
                </c:pt>
                <c:pt idx="9">
                  <c:v>726</c:v>
                </c:pt>
                <c:pt idx="10">
                  <c:v>563</c:v>
                </c:pt>
                <c:pt idx="11">
                  <c:v>593</c:v>
                </c:pt>
              </c:numCache>
            </c:numRef>
          </c:val>
          <c:extLst>
            <c:ext xmlns:c16="http://schemas.microsoft.com/office/drawing/2014/chart" uri="{C3380CC4-5D6E-409C-BE32-E72D297353CC}">
              <c16:uniqueId val="{00000000-EE79-4BBA-9729-D9993F320133}"/>
            </c:ext>
          </c:extLst>
        </c:ser>
        <c:ser>
          <c:idx val="1"/>
          <c:order val="1"/>
          <c:tx>
            <c:strRef>
              <c:f>'Ročno posredovanje'!$R$41</c:f>
              <c:strCache>
                <c:ptCount val="1"/>
                <c:pt idx="0">
                  <c:v>Število oseb</c:v>
                </c:pt>
              </c:strCache>
            </c:strRef>
          </c:tx>
          <c:spPr>
            <a:solidFill>
              <a:srgbClr val="F79646">
                <a:lumMod val="75000"/>
              </a:srgbClr>
            </a:solidFill>
          </c:spPr>
          <c:invertIfNegative val="0"/>
          <c:dLbls>
            <c:spPr>
              <a:noFill/>
              <a:ln w="25400">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'Ročno posredovanje'!$S$41:$AD$41</c:f>
              <c:numCache>
                <c:formatCode>#,##0</c:formatCode>
                <c:ptCount val="12"/>
                <c:pt idx="0">
                  <c:v>1683</c:v>
                </c:pt>
                <c:pt idx="1">
                  <c:v>1687</c:v>
                </c:pt>
                <c:pt idx="2">
                  <c:v>1468</c:v>
                </c:pt>
                <c:pt idx="3">
                  <c:v>1251</c:v>
                </c:pt>
                <c:pt idx="4">
                  <c:v>1941</c:v>
                </c:pt>
                <c:pt idx="5">
                  <c:v>2161</c:v>
                </c:pt>
                <c:pt idx="6">
                  <c:v>1386</c:v>
                </c:pt>
                <c:pt idx="7">
                  <c:v>1228</c:v>
                </c:pt>
                <c:pt idx="8">
                  <c:v>1318</c:v>
                </c:pt>
                <c:pt idx="9">
                  <c:v>1757</c:v>
                </c:pt>
                <c:pt idx="10">
                  <c:v>1210</c:v>
                </c:pt>
                <c:pt idx="11">
                  <c:v>1356</c:v>
                </c:pt>
              </c:numCache>
            </c:numRef>
          </c:val>
          <c:extLst>
            <c:ext xmlns:c16="http://schemas.microsoft.com/office/drawing/2014/chart" uri="{C3380CC4-5D6E-409C-BE32-E72D297353CC}">
              <c16:uniqueId val="{00000001-EE79-4BBA-9729-D9993F320133}"/>
            </c:ext>
          </c:extLst>
        </c:ser>
        <c:dLbls>
          <c:showLegendKey val="0"/>
          <c:showVal val="0"/>
          <c:showCatName val="0"/>
          <c:showSerName val="0"/>
          <c:showPercent val="0"/>
          <c:showBubbleSize val="0"/>
        </c:dLbls>
        <c:gapWidth val="150"/>
        <c:axId val="292050728"/>
        <c:axId val="292051904"/>
      </c:barChart>
      <c:catAx>
        <c:axId val="292050728"/>
        <c:scaling>
          <c:orientation val="minMax"/>
        </c:scaling>
        <c:delete val="0"/>
        <c:axPos val="b"/>
        <c:numFmt formatCode="General" sourceLinked="1"/>
        <c:majorTickMark val="out"/>
        <c:minorTickMark val="none"/>
        <c:tickLblPos val="nextTo"/>
        <c:txPr>
          <a:bodyPr rot="0" vert="horz"/>
          <a:lstStyle/>
          <a:p>
            <a:pPr>
              <a:defRPr/>
            </a:pPr>
            <a:endParaRPr lang="sl-SI"/>
          </a:p>
        </c:txPr>
        <c:crossAx val="292051904"/>
        <c:crosses val="autoZero"/>
        <c:auto val="1"/>
        <c:lblAlgn val="ctr"/>
        <c:lblOffset val="100"/>
        <c:noMultiLvlLbl val="0"/>
      </c:catAx>
      <c:valAx>
        <c:axId val="292051904"/>
        <c:scaling>
          <c:orientation val="minMax"/>
        </c:scaling>
        <c:delete val="0"/>
        <c:axPos val="l"/>
        <c:majorGridlines/>
        <c:numFmt formatCode="#,##0" sourceLinked="0"/>
        <c:majorTickMark val="out"/>
        <c:minorTickMark val="none"/>
        <c:tickLblPos val="nextTo"/>
        <c:txPr>
          <a:bodyPr rot="0" vert="horz"/>
          <a:lstStyle/>
          <a:p>
            <a:pPr>
              <a:defRPr/>
            </a:pPr>
            <a:endParaRPr lang="sl-SI"/>
          </a:p>
        </c:txPr>
        <c:crossAx val="292050728"/>
        <c:crosses val="autoZero"/>
        <c:crossBetween val="between"/>
      </c:valAx>
      <c:spPr>
        <a:noFill/>
        <a:ln w="25400">
          <a:noFill/>
        </a:ln>
      </c:spPr>
    </c:plotArea>
    <c:legend>
      <c:legendPos val="r"/>
      <c:layout>
        <c:manualLayout>
          <c:xMode val="edge"/>
          <c:yMode val="edge"/>
          <c:x val="0.2751738447247567"/>
          <c:y val="0.14839199818500087"/>
          <c:w val="0.44215674733183036"/>
          <c:h val="0.12113856457597974"/>
        </c:manualLayout>
      </c:layout>
      <c:overlay val="0"/>
    </c:legend>
    <c:plotVisOnly val="1"/>
    <c:dispBlanksAs val="gap"/>
    <c:showDLblsOverMax val="0"/>
  </c:chart>
  <c:txPr>
    <a:bodyPr/>
    <a:lstStyle/>
    <a:p>
      <a:pPr>
        <a:defRPr sz="1000" b="0" i="0" u="none" strike="noStrike" baseline="0">
          <a:solidFill>
            <a:srgbClr val="000000"/>
          </a:solidFill>
          <a:latin typeface="Arial" panose="020B0604020202020204" pitchFamily="34" charset="0"/>
          <a:ea typeface="Calibri"/>
          <a:cs typeface="Arial" panose="020B0604020202020204" pitchFamily="34" charset="0"/>
        </a:defRPr>
      </a:pPr>
      <a:endParaRPr lang="sl-SI"/>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l-SI" sz="1000"/>
              <a:t>Določitev EMŠO v letu 2025</a:t>
            </a:r>
            <a:r>
              <a:rPr lang="sl-SI" sz="1000" baseline="0"/>
              <a:t> </a:t>
            </a:r>
            <a:r>
              <a:rPr lang="sl-SI" sz="1000"/>
              <a:t>po institucijah</a:t>
            </a:r>
          </a:p>
        </c:rich>
      </c:tx>
      <c:layout>
        <c:manualLayout>
          <c:xMode val="edge"/>
          <c:yMode val="edge"/>
          <c:x val="0.25025460440840047"/>
          <c:y val="2.432457324875060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589E-471D-B201-CCCB1D23BB0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589E-471D-B201-CCCB1D23BB0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589E-471D-B201-CCCB1D23BB0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589E-471D-B201-CCCB1D23BB0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589E-471D-B201-CCCB1D23BB0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589E-471D-B201-CCCB1D23BB0C}"/>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589E-471D-B201-CCCB1D23BB0C}"/>
              </c:ext>
            </c:extLst>
          </c:dPt>
          <c:dLbls>
            <c:dLbl>
              <c:idx val="0"/>
              <c:layout>
                <c:manualLayout>
                  <c:x val="-0.16812841104924986"/>
                  <c:y val="0.10288956654984599"/>
                </c:manualLayout>
              </c:layout>
              <c:tx>
                <c:rich>
                  <a:bodyPr/>
                  <a:lstStyle/>
                  <a:p>
                    <a:r>
                      <a:rPr lang="en-US" sz="900" b="1" baseline="0"/>
                      <a:t>TEHNIČNI PREGLEDI; </a:t>
                    </a:r>
                    <a:fld id="{6BEC9323-618B-415B-9B58-2DE8752ED426}" type="VALUE">
                      <a:rPr lang="en-US" sz="900" b="1" baseline="0"/>
                      <a:pPr/>
                      <a:t>[VREDNOST]</a:t>
                    </a:fld>
                    <a:r>
                      <a:rPr lang="en-US" sz="900" b="1" baseline="0"/>
                      <a:t>; </a:t>
                    </a:r>
                    <a:fld id="{4AED1630-A896-4869-BE2D-37DCED56474C}" type="PERCENTAGE">
                      <a:rPr lang="en-US" sz="900" b="1" baseline="0"/>
                      <a:pPr/>
                      <a:t>[ODSTOTEK]</a:t>
                    </a:fld>
                    <a:endParaRPr lang="en-US" sz="900" b="1"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6068196141706135"/>
                      <c:h val="0.11716019601596044"/>
                    </c:manualLayout>
                  </c15:layout>
                  <c15:dlblFieldTable/>
                  <c15:showDataLabelsRange val="1"/>
                </c:ext>
                <c:ext xmlns:c16="http://schemas.microsoft.com/office/drawing/2014/chart" uri="{C3380CC4-5D6E-409C-BE32-E72D297353CC}">
                  <c16:uniqueId val="{00000001-589E-471D-B201-CCCB1D23BB0C}"/>
                </c:ext>
              </c:extLst>
            </c:dLbl>
            <c:dLbl>
              <c:idx val="1"/>
              <c:layout>
                <c:manualLayout>
                  <c:x val="-7.0468193179438413E-4"/>
                  <c:y val="-7.4122100344393371E-2"/>
                </c:manualLayout>
              </c:layout>
              <c:tx>
                <c:rich>
                  <a:bodyPr/>
                  <a:lstStyle/>
                  <a:p>
                    <a:r>
                      <a:rPr lang="en-US" sz="900" b="1" baseline="0"/>
                      <a:t>ZAVOD ZA ZAPOSLOVANJE; </a:t>
                    </a:r>
                    <a:fld id="{754D0831-0B49-4824-B594-D6D9065C501A}" type="VALUE">
                      <a:rPr lang="en-US" sz="900" b="1" baseline="0"/>
                      <a:pPr/>
                      <a:t>[VREDNOST]</a:t>
                    </a:fld>
                    <a:r>
                      <a:rPr lang="en-US" sz="900" b="1" baseline="0"/>
                      <a:t>; </a:t>
                    </a:r>
                    <a:fld id="{580D1E2D-E642-41A8-9750-154751EF5C8D}" type="PERCENTAGE">
                      <a:rPr lang="en-US" sz="900" b="1" baseline="0"/>
                      <a:pPr/>
                      <a:t>[ODSTOTEK]</a:t>
                    </a:fld>
                    <a:endParaRPr lang="en-US" sz="900" b="1"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7244639463603554"/>
                      <c:h val="0.10843373493975904"/>
                    </c:manualLayout>
                  </c15:layout>
                  <c15:dlblFieldTable/>
                  <c15:showDataLabelsRange val="1"/>
                </c:ext>
                <c:ext xmlns:c16="http://schemas.microsoft.com/office/drawing/2014/chart" uri="{C3380CC4-5D6E-409C-BE32-E72D297353CC}">
                  <c16:uniqueId val="{00000003-589E-471D-B201-CCCB1D23BB0C}"/>
                </c:ext>
              </c:extLst>
            </c:dLbl>
            <c:dLbl>
              <c:idx val="2"/>
              <c:layout>
                <c:manualLayout>
                  <c:x val="-7.5259481638192769E-3"/>
                  <c:y val="5.9142050885257841E-2"/>
                </c:manualLayout>
              </c:layout>
              <c:tx>
                <c:rich>
                  <a:bodyPr/>
                  <a:lstStyle/>
                  <a:p>
                    <a:r>
                      <a:rPr lang="en-US" baseline="0"/>
                      <a:t>ZAVOD ZA POKOJNINSKO IN INV. ZAVAROVANJE; </a:t>
                    </a:r>
                    <a:fld id="{64B7AA48-036D-4239-9D84-DF6F983F5306}" type="VALUE">
                      <a:rPr lang="en-US" baseline="0"/>
                      <a:pPr/>
                      <a:t>[VREDNOST]</a:t>
                    </a:fld>
                    <a:r>
                      <a:rPr lang="en-US" baseline="0"/>
                      <a:t>; </a:t>
                    </a:r>
                    <a:fld id="{18A0B35C-ABF6-4382-BE7E-CA3C61A8558D}" type="PERCENTAGE">
                      <a:rPr lang="en-US" baseline="0"/>
                      <a:pPr/>
                      <a:t>[ODSTOTEK]</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33710114531930596"/>
                      <c:h val="0.13597256990275058"/>
                    </c:manualLayout>
                  </c15:layout>
                  <c15:dlblFieldTable/>
                  <c15:showDataLabelsRange val="1"/>
                </c:ext>
                <c:ext xmlns:c16="http://schemas.microsoft.com/office/drawing/2014/chart" uri="{C3380CC4-5D6E-409C-BE32-E72D297353CC}">
                  <c16:uniqueId val="{00000005-589E-471D-B201-CCCB1D23BB0C}"/>
                </c:ext>
              </c:extLst>
            </c:dLbl>
            <c:dLbl>
              <c:idx val="3"/>
              <c:layout>
                <c:manualLayout>
                  <c:x val="-2.9489509593433164E-2"/>
                  <c:y val="4.9452915206408446E-2"/>
                </c:manualLayout>
              </c:layout>
              <c:tx>
                <c:rich>
                  <a:bodyPr/>
                  <a:lstStyle/>
                  <a:p>
                    <a:r>
                      <a:rPr lang="en-US" baseline="0"/>
                      <a:t>INST. VZGOJE, IZOBR. IN ŠTUDIJA; </a:t>
                    </a:r>
                    <a:fld id="{36F8C43B-7FDC-4997-876E-A6A9D16420F4}" type="VALUE">
                      <a:rPr lang="en-US" baseline="0"/>
                      <a:pPr/>
                      <a:t>[VREDNOST]</a:t>
                    </a:fld>
                    <a:r>
                      <a:rPr lang="en-US" baseline="0"/>
                      <a:t>; </a:t>
                    </a:r>
                    <a:fld id="{0DF991C2-BEB9-4189-B646-387EEE587460}" type="PERCENTAGE">
                      <a:rPr lang="en-US" baseline="0"/>
                      <a:pPr/>
                      <a:t>[ODSTOTEK]</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6517044545587187"/>
                      <c:h val="0.13080895008605853"/>
                    </c:manualLayout>
                  </c15:layout>
                  <c15:dlblFieldTable/>
                  <c15:showDataLabelsRange val="1"/>
                </c:ext>
                <c:ext xmlns:c16="http://schemas.microsoft.com/office/drawing/2014/chart" uri="{C3380CC4-5D6E-409C-BE32-E72D297353CC}">
                  <c16:uniqueId val="{00000007-589E-471D-B201-CCCB1D23BB0C}"/>
                </c:ext>
              </c:extLst>
            </c:dLbl>
            <c:dLbl>
              <c:idx val="4"/>
              <c:layout>
                <c:manualLayout>
                  <c:x val="-0.15795373648032476"/>
                  <c:y val="-0.17745728564481345"/>
                </c:manualLayout>
              </c:layout>
              <c:tx>
                <c:rich>
                  <a:bodyPr/>
                  <a:lstStyle/>
                  <a:p>
                    <a:fld id="{E73B3324-B411-422D-A56D-C4C70F64D68A}" type="CELLRANGE">
                      <a:rPr lang="en-US" baseline="0"/>
                      <a:pPr/>
                      <a:t>[OBSEG CELIC]</a:t>
                    </a:fld>
                    <a:r>
                      <a:rPr lang="en-US" baseline="0"/>
                      <a:t>; </a:t>
                    </a:r>
                    <a:fld id="{53E11DA6-2634-4CCB-A4E0-021DAD549F7A}" type="VALUE">
                      <a:rPr lang="en-US" baseline="0"/>
                      <a:pPr/>
                      <a:t>[VREDNOST]</a:t>
                    </a:fld>
                    <a:r>
                      <a:rPr lang="en-US" baseline="0"/>
                      <a:t>; </a:t>
                    </a:r>
                    <a:fld id="{9523E0EE-3B38-4655-A4E6-D2E2104C3A76}" type="PERCENTAGE">
                      <a:rPr lang="en-US" baseline="0"/>
                      <a:pPr/>
                      <a:t>[ODSTOTEK]</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589E-471D-B201-CCCB1D23BB0C}"/>
                </c:ext>
              </c:extLst>
            </c:dLbl>
            <c:dLbl>
              <c:idx val="5"/>
              <c:tx>
                <c:rich>
                  <a:bodyPr/>
                  <a:lstStyle/>
                  <a:p>
                    <a:fld id="{AE0044EC-2D0C-4545-B178-2953AE47F338}" type="CELLRANGE">
                      <a:rPr lang="sl-SI"/>
                      <a:pPr/>
                      <a:t>[OBSEG CELIC]</a:t>
                    </a:fld>
                    <a:r>
                      <a:rPr lang="sl-SI" baseline="0"/>
                      <a:t>; </a:t>
                    </a:r>
                    <a:fld id="{5B330680-32F9-4205-9E92-6B3A21407707}" type="VALUE">
                      <a:rPr lang="sl-SI" baseline="0"/>
                      <a:pPr/>
                      <a:t>[VREDNOST]</a:t>
                    </a:fld>
                    <a:r>
                      <a:rPr lang="sl-SI" baseline="0"/>
                      <a:t>; </a:t>
                    </a:r>
                    <a:fld id="{2FEB9924-C470-42F0-B8D6-4D3651D07A42}" type="PERCENTAGE">
                      <a:rPr lang="sl-SI" baseline="0"/>
                      <a:pPr/>
                      <a:t>[ODSTOTEK]</a:t>
                    </a:fld>
                    <a:endParaRPr lang="sl-SI" baseline="0"/>
                  </a:p>
                </c:rich>
              </c:tx>
              <c:dLblPos val="inEnd"/>
              <c:showLegendKey val="0"/>
              <c:showVal val="1"/>
              <c:showCatName val="0"/>
              <c:showSerName val="0"/>
              <c:showPercent val="1"/>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589E-471D-B201-CCCB1D23BB0C}"/>
                </c:ext>
              </c:extLst>
            </c:dLbl>
            <c:dLbl>
              <c:idx val="6"/>
              <c:tx>
                <c:rich>
                  <a:bodyPr/>
                  <a:lstStyle/>
                  <a:p>
                    <a:r>
                      <a:rPr lang="en-US" sz="900" b="1" baseline="0"/>
                      <a:t>UPRAVNE ENOTE; </a:t>
                    </a:r>
                    <a:fld id="{51BBEDB4-BB34-4A4F-BC79-E8663B3A35D5}" type="VALUE">
                      <a:rPr lang="en-US" sz="900" b="1" baseline="0"/>
                      <a:pPr/>
                      <a:t>[VREDNOST]</a:t>
                    </a:fld>
                    <a:r>
                      <a:rPr lang="en-US" sz="900" b="1" baseline="0"/>
                      <a:t>; </a:t>
                    </a:r>
                    <a:fld id="{40EB1C18-BD17-4E2E-AE70-1A8BDEEB4FC9}" type="PERCENTAGE">
                      <a:rPr lang="en-US" sz="900" b="1" baseline="0"/>
                      <a:pPr/>
                      <a:t>[ODSTOTEK]</a:t>
                    </a:fld>
                    <a:endParaRPr lang="en-US" sz="900" b="1" baseline="0"/>
                  </a:p>
                </c:rich>
              </c:tx>
              <c:dLblPos val="inEnd"/>
              <c:showLegendKey val="0"/>
              <c:showVal val="1"/>
              <c:showCatName val="0"/>
              <c:showSerName val="0"/>
              <c:showPercent val="1"/>
              <c:showBubbleSize val="0"/>
              <c:extLst>
                <c:ext xmlns:c15="http://schemas.microsoft.com/office/drawing/2012/chart" uri="{CE6537A1-D6FC-4f65-9D91-7224C49458BB}">
                  <c15:layout>
                    <c:manualLayout>
                      <c:w val="0.24195132842152267"/>
                      <c:h val="0.12908777969018934"/>
                    </c:manualLayout>
                  </c15:layout>
                  <c15:dlblFieldTable/>
                  <c15:showDataLabelsRange val="1"/>
                </c:ext>
                <c:ext xmlns:c16="http://schemas.microsoft.com/office/drawing/2014/chart" uri="{C3380CC4-5D6E-409C-BE32-E72D297353CC}">
                  <c16:uniqueId val="{0000000D-589E-471D-B201-CCCB1D23BB0C}"/>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Sheet1!$A$1:$A$7</c:f>
              <c:strCache>
                <c:ptCount val="7"/>
                <c:pt idx="0">
                  <c:v>TP</c:v>
                </c:pt>
                <c:pt idx="1">
                  <c:v>ZRSZ</c:v>
                </c:pt>
                <c:pt idx="2">
                  <c:v>ZPIZ</c:v>
                </c:pt>
                <c:pt idx="3">
                  <c:v>MIZŠ+MVZT</c:v>
                </c:pt>
                <c:pt idx="4">
                  <c:v>MNZ</c:v>
                </c:pt>
                <c:pt idx="5">
                  <c:v>PORODNIŠNICE</c:v>
                </c:pt>
                <c:pt idx="6">
                  <c:v>UE</c:v>
                </c:pt>
              </c:strCache>
            </c:strRef>
          </c:cat>
          <c:val>
            <c:numRef>
              <c:f>Sheet1!$B$1:$B$7</c:f>
              <c:numCache>
                <c:formatCode>#,##0</c:formatCode>
                <c:ptCount val="7"/>
                <c:pt idx="0">
                  <c:v>9668</c:v>
                </c:pt>
                <c:pt idx="1">
                  <c:v>511</c:v>
                </c:pt>
                <c:pt idx="2">
                  <c:v>3480</c:v>
                </c:pt>
                <c:pt idx="3">
                  <c:v>8858</c:v>
                </c:pt>
                <c:pt idx="4">
                  <c:v>15021</c:v>
                </c:pt>
                <c:pt idx="5">
                  <c:v>17642</c:v>
                </c:pt>
                <c:pt idx="6">
                  <c:v>27147</c:v>
                </c:pt>
              </c:numCache>
            </c:numRef>
          </c:val>
          <c:extLst>
            <c:ext xmlns:c15="http://schemas.microsoft.com/office/drawing/2012/chart" uri="{02D57815-91ED-43cb-92C2-25804820EDAC}">
              <c15:datalabelsRange>
                <c15:f>Sheet1!$A$1:$A$7</c15:f>
                <c15:dlblRangeCache>
                  <c:ptCount val="7"/>
                  <c:pt idx="0">
                    <c:v>TP</c:v>
                  </c:pt>
                  <c:pt idx="1">
                    <c:v>ZRSZ</c:v>
                  </c:pt>
                  <c:pt idx="2">
                    <c:v>ZPIZ</c:v>
                  </c:pt>
                  <c:pt idx="3">
                    <c:v>MIZŠ+MVZT</c:v>
                  </c:pt>
                  <c:pt idx="4">
                    <c:v>MNZ</c:v>
                  </c:pt>
                  <c:pt idx="5">
                    <c:v>PORODNIŠNICE</c:v>
                  </c:pt>
                  <c:pt idx="6">
                    <c:v>UE</c:v>
                  </c:pt>
                </c15:dlblRangeCache>
              </c15:datalabelsRange>
            </c:ext>
            <c:ext xmlns:c16="http://schemas.microsoft.com/office/drawing/2014/chart" uri="{C3380CC4-5D6E-409C-BE32-E72D297353CC}">
              <c16:uniqueId val="{0000000E-589E-471D-B201-CCCB1D23BB0C}"/>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sl-SI"/>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Pridobitev državljanstva po redni naturalizaciji 2025</a:t>
            </a:r>
          </a:p>
        </c:rich>
      </c:tx>
      <c:layout>
        <c:manualLayout>
          <c:xMode val="edge"/>
          <c:yMode val="edge"/>
          <c:x val="0.15494203849518812"/>
          <c:y val="2.777777777777777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List1!$B$1</c:f>
              <c:strCache>
                <c:ptCount val="1"/>
                <c:pt idx="0">
                  <c:v>2025</c:v>
                </c:pt>
              </c:strCache>
            </c:strRef>
          </c:tx>
          <c:spPr>
            <a:solidFill>
              <a:schemeClr val="accent1"/>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0-C48D-4C2D-BD80-B9FD58CE676D}"/>
              </c:ext>
            </c:extLst>
          </c:dPt>
          <c:dLbls>
            <c:dLbl>
              <c:idx val="1"/>
              <c:layout>
                <c:manualLayout>
                  <c:x val="-2.0738825280032566E-17"/>
                  <c:y val="-3.06412781790326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C3-441B-AA74-3468E6606892}"/>
                </c:ext>
              </c:extLst>
            </c:dLbl>
            <c:dLbl>
              <c:idx val="3"/>
              <c:layout>
                <c:manualLayout>
                  <c:x val="-4.1477650560065132E-17"/>
                  <c:y val="-3.5018603633180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C3-441B-AA74-3468E6606892}"/>
                </c:ext>
              </c:extLst>
            </c:dLbl>
            <c:dLbl>
              <c:idx val="4"/>
              <c:layout>
                <c:manualLayout>
                  <c:x val="0"/>
                  <c:y val="-2.188662727073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C3-441B-AA74-3468E6606892}"/>
                </c:ext>
              </c:extLst>
            </c:dLbl>
            <c:dLbl>
              <c:idx val="5"/>
              <c:layout>
                <c:manualLayout>
                  <c:x val="-4.5248868778280547E-3"/>
                  <c:y val="-3.9395929087327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C3-441B-AA74-3468E6606892}"/>
                </c:ext>
              </c:extLst>
            </c:dLbl>
            <c:dLbl>
              <c:idx val="6"/>
              <c:layout>
                <c:manualLayout>
                  <c:x val="-9.0497737556561909E-3"/>
                  <c:y val="-2.188662727073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C3-441B-AA74-3468E6606892}"/>
                </c:ext>
              </c:extLst>
            </c:dLbl>
            <c:dLbl>
              <c:idx val="7"/>
              <c:layout>
                <c:manualLayout>
                  <c:x val="-9.0497737556561909E-3"/>
                  <c:y val="-8.75465090829503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C3-441B-AA74-3468E6606892}"/>
                </c:ext>
              </c:extLst>
            </c:dLbl>
            <c:dLbl>
              <c:idx val="8"/>
              <c:layout>
                <c:manualLayout>
                  <c:x val="-9.0497737556561909E-3"/>
                  <c:y val="-2.62639527248851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C3-441B-AA74-3468E6606892}"/>
                </c:ext>
              </c:extLst>
            </c:dLbl>
            <c:dLbl>
              <c:idx val="9"/>
              <c:layout>
                <c:manualLayout>
                  <c:x val="-9.0497737556561094E-3"/>
                  <c:y val="-1.7509301816590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8C3-441B-AA74-3468E6606892}"/>
                </c:ext>
              </c:extLst>
            </c:dLbl>
            <c:dLbl>
              <c:idx val="10"/>
              <c:layout>
                <c:manualLayout>
                  <c:x val="-6.7873303167422473E-3"/>
                  <c:y val="-3.5018603633180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8C3-441B-AA74-3468E66068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List1!$A$2:$A$12</c:f>
              <c:strCache>
                <c:ptCount val="11"/>
                <c:pt idx="0">
                  <c:v>BIH</c:v>
                </c:pt>
                <c:pt idx="1">
                  <c:v>S. Makedonija</c:v>
                </c:pt>
                <c:pt idx="2">
                  <c:v>Kosovo</c:v>
                </c:pt>
                <c:pt idx="3">
                  <c:v>Srbija</c:v>
                </c:pt>
                <c:pt idx="4">
                  <c:v>Rusija</c:v>
                </c:pt>
                <c:pt idx="5">
                  <c:v>Bolgarija</c:v>
                </c:pt>
                <c:pt idx="6">
                  <c:v>Hrvaška</c:v>
                </c:pt>
                <c:pt idx="7">
                  <c:v>Italija</c:v>
                </c:pt>
                <c:pt idx="8">
                  <c:v>Ukrajina</c:v>
                </c:pt>
                <c:pt idx="9">
                  <c:v>Argentina</c:v>
                </c:pt>
                <c:pt idx="10">
                  <c:v>Ostali</c:v>
                </c:pt>
              </c:strCache>
            </c:strRef>
          </c:cat>
          <c:val>
            <c:numRef>
              <c:f>List1!$B$2:$B$12</c:f>
              <c:numCache>
                <c:formatCode>General</c:formatCode>
                <c:ptCount val="11"/>
                <c:pt idx="0">
                  <c:v>966</c:v>
                </c:pt>
                <c:pt idx="1">
                  <c:v>295</c:v>
                </c:pt>
                <c:pt idx="2">
                  <c:v>278</c:v>
                </c:pt>
                <c:pt idx="3">
                  <c:v>215</c:v>
                </c:pt>
                <c:pt idx="4">
                  <c:v>61</c:v>
                </c:pt>
                <c:pt idx="5">
                  <c:v>34</c:v>
                </c:pt>
                <c:pt idx="6">
                  <c:v>26</c:v>
                </c:pt>
                <c:pt idx="7">
                  <c:v>25</c:v>
                </c:pt>
                <c:pt idx="8">
                  <c:v>23</c:v>
                </c:pt>
                <c:pt idx="9">
                  <c:v>12</c:v>
                </c:pt>
                <c:pt idx="10">
                  <c:v>154</c:v>
                </c:pt>
              </c:numCache>
            </c:numRef>
          </c:val>
          <c:extLst>
            <c:ext xmlns:c16="http://schemas.microsoft.com/office/drawing/2014/chart" uri="{C3380CC4-5D6E-409C-BE32-E72D297353CC}">
              <c16:uniqueId val="{00000000-FCB2-41EE-ADD0-50775653EE6B}"/>
            </c:ext>
          </c:extLst>
        </c:ser>
        <c:ser>
          <c:idx val="1"/>
          <c:order val="1"/>
          <c:tx>
            <c:strRef>
              <c:f>List1!$C$1</c:f>
              <c:strCache>
                <c:ptCount val="1"/>
                <c:pt idx="0">
                  <c:v>2024</c:v>
                </c:pt>
              </c:strCache>
            </c:strRef>
          </c:tx>
          <c:spPr>
            <a:solidFill>
              <a:srgbClr val="F79646">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List1!$A$2:$A$12</c:f>
              <c:strCache>
                <c:ptCount val="11"/>
                <c:pt idx="0">
                  <c:v>BIH</c:v>
                </c:pt>
                <c:pt idx="1">
                  <c:v>S. Makedonija</c:v>
                </c:pt>
                <c:pt idx="2">
                  <c:v>Kosovo</c:v>
                </c:pt>
                <c:pt idx="3">
                  <c:v>Srbija</c:v>
                </c:pt>
                <c:pt idx="4">
                  <c:v>Rusija</c:v>
                </c:pt>
                <c:pt idx="5">
                  <c:v>Bolgarija</c:v>
                </c:pt>
                <c:pt idx="6">
                  <c:v>Hrvaška</c:v>
                </c:pt>
                <c:pt idx="7">
                  <c:v>Italija</c:v>
                </c:pt>
                <c:pt idx="8">
                  <c:v>Ukrajina</c:v>
                </c:pt>
                <c:pt idx="9">
                  <c:v>Argentina</c:v>
                </c:pt>
                <c:pt idx="10">
                  <c:v>Ostali</c:v>
                </c:pt>
              </c:strCache>
            </c:strRef>
          </c:cat>
          <c:val>
            <c:numRef>
              <c:f>List1!$C$2:$C$12</c:f>
              <c:numCache>
                <c:formatCode>General</c:formatCode>
                <c:ptCount val="11"/>
                <c:pt idx="0">
                  <c:v>775</c:v>
                </c:pt>
                <c:pt idx="1">
                  <c:v>272</c:v>
                </c:pt>
                <c:pt idx="2">
                  <c:v>199</c:v>
                </c:pt>
                <c:pt idx="3">
                  <c:v>193</c:v>
                </c:pt>
                <c:pt idx="4">
                  <c:v>45</c:v>
                </c:pt>
                <c:pt idx="5">
                  <c:v>35</c:v>
                </c:pt>
                <c:pt idx="6">
                  <c:v>43</c:v>
                </c:pt>
                <c:pt idx="7">
                  <c:v>16</c:v>
                </c:pt>
                <c:pt idx="8">
                  <c:v>25</c:v>
                </c:pt>
                <c:pt idx="9">
                  <c:v>18</c:v>
                </c:pt>
                <c:pt idx="10">
                  <c:v>152</c:v>
                </c:pt>
              </c:numCache>
            </c:numRef>
          </c:val>
          <c:extLst>
            <c:ext xmlns:c16="http://schemas.microsoft.com/office/drawing/2014/chart" uri="{C3380CC4-5D6E-409C-BE32-E72D297353CC}">
              <c16:uniqueId val="{00000001-FCB2-41EE-ADD0-50775653EE6B}"/>
            </c:ext>
          </c:extLst>
        </c:ser>
        <c:dLbls>
          <c:showLegendKey val="0"/>
          <c:showVal val="0"/>
          <c:showCatName val="0"/>
          <c:showSerName val="0"/>
          <c:showPercent val="0"/>
          <c:showBubbleSize val="0"/>
        </c:dLbls>
        <c:gapWidth val="219"/>
        <c:overlap val="-27"/>
        <c:axId val="293681080"/>
        <c:axId val="293685000"/>
      </c:barChart>
      <c:catAx>
        <c:axId val="29368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3685000"/>
        <c:crosses val="autoZero"/>
        <c:auto val="1"/>
        <c:lblAlgn val="ctr"/>
        <c:lblOffset val="100"/>
        <c:noMultiLvlLbl val="0"/>
      </c:catAx>
      <c:valAx>
        <c:axId val="293685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368108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Pridobitev državljanstva po izredni naturalizaciji 2025</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List1!$B$1</c:f>
              <c:strCache>
                <c:ptCount val="1"/>
                <c:pt idx="0">
                  <c:v>2025</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List1!$A$2:$A$8</c:f>
              <c:strCache>
                <c:ptCount val="6"/>
                <c:pt idx="0">
                  <c:v>Srbija</c:v>
                </c:pt>
                <c:pt idx="1">
                  <c:v>S. Makedonija</c:v>
                </c:pt>
                <c:pt idx="2">
                  <c:v>Italija</c:v>
                </c:pt>
                <c:pt idx="3">
                  <c:v>Argentina</c:v>
                </c:pt>
                <c:pt idx="4">
                  <c:v>BIH</c:v>
                </c:pt>
                <c:pt idx="5">
                  <c:v>Ostali</c:v>
                </c:pt>
              </c:strCache>
            </c:strRef>
          </c:cat>
          <c:val>
            <c:numRef>
              <c:f>List1!$B$2:$B$8</c:f>
              <c:numCache>
                <c:formatCode>General</c:formatCode>
                <c:ptCount val="7"/>
                <c:pt idx="0">
                  <c:v>77</c:v>
                </c:pt>
                <c:pt idx="1">
                  <c:v>36</c:v>
                </c:pt>
                <c:pt idx="2">
                  <c:v>34</c:v>
                </c:pt>
                <c:pt idx="3">
                  <c:v>29</c:v>
                </c:pt>
                <c:pt idx="4">
                  <c:v>25</c:v>
                </c:pt>
                <c:pt idx="5">
                  <c:v>115</c:v>
                </c:pt>
              </c:numCache>
            </c:numRef>
          </c:val>
          <c:extLst>
            <c:ext xmlns:c16="http://schemas.microsoft.com/office/drawing/2014/chart" uri="{C3380CC4-5D6E-409C-BE32-E72D297353CC}">
              <c16:uniqueId val="{00000000-8D5D-48ED-B565-F5F17F3E8B46}"/>
            </c:ext>
          </c:extLst>
        </c:ser>
        <c:ser>
          <c:idx val="1"/>
          <c:order val="1"/>
          <c:tx>
            <c:strRef>
              <c:f>List1!$C$1</c:f>
              <c:strCache>
                <c:ptCount val="1"/>
                <c:pt idx="0">
                  <c:v>2024</c:v>
                </c:pt>
              </c:strCache>
            </c:strRef>
          </c:tx>
          <c:spPr>
            <a:solidFill>
              <a:srgbClr val="F79646">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List1!$A$2:$A$8</c:f>
              <c:strCache>
                <c:ptCount val="6"/>
                <c:pt idx="0">
                  <c:v>Srbija</c:v>
                </c:pt>
                <c:pt idx="1">
                  <c:v>S. Makedonija</c:v>
                </c:pt>
                <c:pt idx="2">
                  <c:v>Italija</c:v>
                </c:pt>
                <c:pt idx="3">
                  <c:v>Argentina</c:v>
                </c:pt>
                <c:pt idx="4">
                  <c:v>BIH</c:v>
                </c:pt>
                <c:pt idx="5">
                  <c:v>Ostali</c:v>
                </c:pt>
              </c:strCache>
            </c:strRef>
          </c:cat>
          <c:val>
            <c:numRef>
              <c:f>List1!$C$2:$C$8</c:f>
              <c:numCache>
                <c:formatCode>General</c:formatCode>
                <c:ptCount val="7"/>
                <c:pt idx="0">
                  <c:v>73</c:v>
                </c:pt>
                <c:pt idx="1">
                  <c:v>20</c:v>
                </c:pt>
                <c:pt idx="2">
                  <c:v>19</c:v>
                </c:pt>
                <c:pt idx="3">
                  <c:v>17</c:v>
                </c:pt>
                <c:pt idx="4">
                  <c:v>11</c:v>
                </c:pt>
                <c:pt idx="5">
                  <c:v>89</c:v>
                </c:pt>
              </c:numCache>
            </c:numRef>
          </c:val>
          <c:extLst>
            <c:ext xmlns:c16="http://schemas.microsoft.com/office/drawing/2014/chart" uri="{C3380CC4-5D6E-409C-BE32-E72D297353CC}">
              <c16:uniqueId val="{00000001-8D5D-48ED-B565-F5F17F3E8B46}"/>
            </c:ext>
          </c:extLst>
        </c:ser>
        <c:dLbls>
          <c:showLegendKey val="0"/>
          <c:showVal val="0"/>
          <c:showCatName val="0"/>
          <c:showSerName val="0"/>
          <c:showPercent val="0"/>
          <c:showBubbleSize val="0"/>
        </c:dLbls>
        <c:gapWidth val="219"/>
        <c:overlap val="-27"/>
        <c:axId val="293680296"/>
        <c:axId val="293682648"/>
      </c:barChart>
      <c:catAx>
        <c:axId val="293680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3682648"/>
        <c:crosses val="autoZero"/>
        <c:auto val="1"/>
        <c:lblAlgn val="ctr"/>
        <c:lblOffset val="100"/>
        <c:noMultiLvlLbl val="0"/>
      </c:catAx>
      <c:valAx>
        <c:axId val="293682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293680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latin typeface="Arial" panose="020B0604020202020204" pitchFamily="34" charset="0"/>
                <a:cs typeface="Arial" panose="020B0604020202020204" pitchFamily="34" charset="0"/>
              </a:rPr>
              <a:t>Število kosov orožja (fizične osebe), za katere je izdan orožni list</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pieChart>
        <c:varyColors val="1"/>
        <c:ser>
          <c:idx val="0"/>
          <c:order val="0"/>
          <c:tx>
            <c:strRef>
              <c:f>List2!$B$102</c:f>
              <c:strCache>
                <c:ptCount val="1"/>
                <c:pt idx="0">
                  <c:v>Število kosov orožja (fizične osebe)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CB-40C9-9410-EE4CE9CCDEF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CB-40C9-9410-EE4CE9CCDEF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CB-40C9-9410-EE4CE9CCDEF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1"/>
              <c:showBubbleSize val="0"/>
              <c:extLst>
                <c:ext xmlns:c16="http://schemas.microsoft.com/office/drawing/2014/chart" uri="{C3380CC4-5D6E-409C-BE32-E72D297353CC}">
                  <c16:uniqueId val="{00000001-74CB-40C9-9410-EE4CE9CCDEF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1"/>
              <c:showBubbleSize val="0"/>
              <c:extLst>
                <c:ext xmlns:c16="http://schemas.microsoft.com/office/drawing/2014/chart" uri="{C3380CC4-5D6E-409C-BE32-E72D297353CC}">
                  <c16:uniqueId val="{00000003-74CB-40C9-9410-EE4CE9CCDEF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1"/>
              <c:showBubbleSize val="0"/>
              <c:extLst>
                <c:ext xmlns:c16="http://schemas.microsoft.com/office/drawing/2014/chart" uri="{C3380CC4-5D6E-409C-BE32-E72D297353CC}">
                  <c16:uniqueId val="{00000005-74CB-40C9-9410-EE4CE9CCDEF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List2!$A$103:$A$105</c:f>
              <c:strCache>
                <c:ptCount val="3"/>
                <c:pt idx="0">
                  <c:v>lov</c:v>
                </c:pt>
                <c:pt idx="1">
                  <c:v>šport</c:v>
                </c:pt>
                <c:pt idx="2">
                  <c:v>varnost </c:v>
                </c:pt>
              </c:strCache>
            </c:strRef>
          </c:cat>
          <c:val>
            <c:numRef>
              <c:f>List2!$B$103:$B$105</c:f>
              <c:numCache>
                <c:formatCode>#,##0</c:formatCode>
                <c:ptCount val="3"/>
                <c:pt idx="0">
                  <c:v>80716</c:v>
                </c:pt>
                <c:pt idx="1">
                  <c:v>18659</c:v>
                </c:pt>
                <c:pt idx="2">
                  <c:v>6148</c:v>
                </c:pt>
              </c:numCache>
            </c:numRef>
          </c:val>
          <c:extLst>
            <c:ext xmlns:c16="http://schemas.microsoft.com/office/drawing/2014/chart" uri="{C3380CC4-5D6E-409C-BE32-E72D297353CC}">
              <c16:uniqueId val="{00000006-74CB-40C9-9410-EE4CE9CCDEF4}"/>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t>Število izdanih dovoljenj za uvoz, izvoz, prenos, tranzit eksplozivov, streliva in pirotehničnih izdelkov</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List4!$B$49</c:f>
              <c:strCache>
                <c:ptCount val="1"/>
                <c:pt idx="0">
                  <c:v>Število izdanih dovoljenj za uvoz, izvoz, prenos…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List4!$A$50:$A$60</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List4!$B$50:$B$60</c:f>
              <c:numCache>
                <c:formatCode>General</c:formatCode>
                <c:ptCount val="11"/>
                <c:pt idx="0">
                  <c:v>506</c:v>
                </c:pt>
                <c:pt idx="1">
                  <c:v>670</c:v>
                </c:pt>
                <c:pt idx="2">
                  <c:v>764</c:v>
                </c:pt>
                <c:pt idx="3">
                  <c:v>661</c:v>
                </c:pt>
                <c:pt idx="4">
                  <c:v>707</c:v>
                </c:pt>
                <c:pt idx="5">
                  <c:v>858</c:v>
                </c:pt>
                <c:pt idx="6">
                  <c:v>914</c:v>
                </c:pt>
                <c:pt idx="7">
                  <c:v>892</c:v>
                </c:pt>
                <c:pt idx="8">
                  <c:v>934</c:v>
                </c:pt>
                <c:pt idx="9">
                  <c:v>1041</c:v>
                </c:pt>
                <c:pt idx="10">
                  <c:v>947</c:v>
                </c:pt>
              </c:numCache>
            </c:numRef>
          </c:val>
          <c:extLst>
            <c:ext xmlns:c16="http://schemas.microsoft.com/office/drawing/2014/chart" uri="{C3380CC4-5D6E-409C-BE32-E72D297353CC}">
              <c16:uniqueId val="{00000000-34BC-4103-BA6F-B7FAD58E184F}"/>
            </c:ext>
          </c:extLst>
        </c:ser>
        <c:dLbls>
          <c:dLblPos val="outEnd"/>
          <c:showLegendKey val="0"/>
          <c:showVal val="1"/>
          <c:showCatName val="0"/>
          <c:showSerName val="0"/>
          <c:showPercent val="0"/>
          <c:showBubbleSize val="0"/>
        </c:dLbls>
        <c:gapWidth val="219"/>
        <c:overlap val="-27"/>
        <c:axId val="293682256"/>
        <c:axId val="293681864"/>
      </c:barChart>
      <c:catAx>
        <c:axId val="29368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3681864"/>
        <c:crosses val="autoZero"/>
        <c:auto val="1"/>
        <c:lblAlgn val="ctr"/>
        <c:lblOffset val="100"/>
        <c:noMultiLvlLbl val="0"/>
      </c:catAx>
      <c:valAx>
        <c:axId val="293681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3682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t>Število vpisanih in izbrisanih strank po letih</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List1!$B$1</c:f>
              <c:strCache>
                <c:ptCount val="1"/>
                <c:pt idx="0">
                  <c:v>ŠT. VPISANIH PS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List1!$A$2:$A$33</c:f>
              <c:numCache>
                <c:formatCode>General</c:formatCode>
                <c:ptCount val="3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pt idx="30">
                  <c:v>2024</c:v>
                </c:pt>
                <c:pt idx="31">
                  <c:v>2025</c:v>
                </c:pt>
              </c:numCache>
            </c:numRef>
          </c:cat>
          <c:val>
            <c:numRef>
              <c:f>List1!$B$2:$B$33</c:f>
              <c:numCache>
                <c:formatCode>General</c:formatCode>
                <c:ptCount val="32"/>
                <c:pt idx="0">
                  <c:v>19</c:v>
                </c:pt>
                <c:pt idx="1">
                  <c:v>7</c:v>
                </c:pt>
                <c:pt idx="2">
                  <c:v>11</c:v>
                </c:pt>
                <c:pt idx="4">
                  <c:v>1</c:v>
                </c:pt>
                <c:pt idx="6">
                  <c:v>5</c:v>
                </c:pt>
                <c:pt idx="8">
                  <c:v>4</c:v>
                </c:pt>
                <c:pt idx="9">
                  <c:v>1</c:v>
                </c:pt>
                <c:pt idx="10">
                  <c:v>3</c:v>
                </c:pt>
                <c:pt idx="12">
                  <c:v>18</c:v>
                </c:pt>
                <c:pt idx="13">
                  <c:v>4</c:v>
                </c:pt>
                <c:pt idx="14">
                  <c:v>2</c:v>
                </c:pt>
                <c:pt idx="15">
                  <c:v>3</c:v>
                </c:pt>
                <c:pt idx="16">
                  <c:v>14</c:v>
                </c:pt>
                <c:pt idx="17">
                  <c:v>4</c:v>
                </c:pt>
                <c:pt idx="18">
                  <c:v>1</c:v>
                </c:pt>
                <c:pt idx="19">
                  <c:v>5</c:v>
                </c:pt>
                <c:pt idx="20">
                  <c:v>13</c:v>
                </c:pt>
                <c:pt idx="22">
                  <c:v>2</c:v>
                </c:pt>
                <c:pt idx="23">
                  <c:v>4</c:v>
                </c:pt>
                <c:pt idx="24">
                  <c:v>16</c:v>
                </c:pt>
                <c:pt idx="25">
                  <c:v>1</c:v>
                </c:pt>
                <c:pt idx="27">
                  <c:v>6</c:v>
                </c:pt>
                <c:pt idx="28">
                  <c:v>7</c:v>
                </c:pt>
                <c:pt idx="29">
                  <c:v>0</c:v>
                </c:pt>
                <c:pt idx="30">
                  <c:v>5</c:v>
                </c:pt>
                <c:pt idx="31">
                  <c:v>6</c:v>
                </c:pt>
              </c:numCache>
            </c:numRef>
          </c:val>
          <c:extLst>
            <c:ext xmlns:c16="http://schemas.microsoft.com/office/drawing/2014/chart" uri="{C3380CC4-5D6E-409C-BE32-E72D297353CC}">
              <c16:uniqueId val="{00000000-BECB-4926-9236-1D6EA85075B3}"/>
            </c:ext>
          </c:extLst>
        </c:ser>
        <c:ser>
          <c:idx val="1"/>
          <c:order val="1"/>
          <c:tx>
            <c:strRef>
              <c:f>List1!$C$1</c:f>
              <c:strCache>
                <c:ptCount val="1"/>
                <c:pt idx="0">
                  <c:v>ŠT. IZBRISANIH PS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List1!$A$2:$A$33</c:f>
              <c:numCache>
                <c:formatCode>General</c:formatCode>
                <c:ptCount val="3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pt idx="30">
                  <c:v>2024</c:v>
                </c:pt>
                <c:pt idx="31">
                  <c:v>2025</c:v>
                </c:pt>
              </c:numCache>
            </c:numRef>
          </c:cat>
          <c:val>
            <c:numRef>
              <c:f>List1!$C$2:$C$33</c:f>
              <c:numCache>
                <c:formatCode>General</c:formatCode>
                <c:ptCount val="32"/>
                <c:pt idx="1">
                  <c:v>5</c:v>
                </c:pt>
                <c:pt idx="6">
                  <c:v>3</c:v>
                </c:pt>
                <c:pt idx="7">
                  <c:v>1</c:v>
                </c:pt>
                <c:pt idx="9">
                  <c:v>3</c:v>
                </c:pt>
                <c:pt idx="10">
                  <c:v>1</c:v>
                </c:pt>
                <c:pt idx="11">
                  <c:v>1</c:v>
                </c:pt>
                <c:pt idx="13">
                  <c:v>2</c:v>
                </c:pt>
                <c:pt idx="14">
                  <c:v>1</c:v>
                </c:pt>
                <c:pt idx="16">
                  <c:v>2</c:v>
                </c:pt>
                <c:pt idx="17">
                  <c:v>2</c:v>
                </c:pt>
                <c:pt idx="18">
                  <c:v>1</c:v>
                </c:pt>
                <c:pt idx="19">
                  <c:v>1</c:v>
                </c:pt>
                <c:pt idx="20">
                  <c:v>7</c:v>
                </c:pt>
                <c:pt idx="21">
                  <c:v>1</c:v>
                </c:pt>
                <c:pt idx="22">
                  <c:v>1</c:v>
                </c:pt>
                <c:pt idx="23">
                  <c:v>2</c:v>
                </c:pt>
                <c:pt idx="24">
                  <c:v>4</c:v>
                </c:pt>
                <c:pt idx="25">
                  <c:v>11</c:v>
                </c:pt>
                <c:pt idx="26">
                  <c:v>1</c:v>
                </c:pt>
                <c:pt idx="27">
                  <c:v>3</c:v>
                </c:pt>
                <c:pt idx="28">
                  <c:v>2</c:v>
                </c:pt>
                <c:pt idx="29">
                  <c:v>8</c:v>
                </c:pt>
                <c:pt idx="30">
                  <c:v>8</c:v>
                </c:pt>
                <c:pt idx="31">
                  <c:v>3</c:v>
                </c:pt>
              </c:numCache>
            </c:numRef>
          </c:val>
          <c:extLst>
            <c:ext xmlns:c16="http://schemas.microsoft.com/office/drawing/2014/chart" uri="{C3380CC4-5D6E-409C-BE32-E72D297353CC}">
              <c16:uniqueId val="{00000001-BECB-4926-9236-1D6EA85075B3}"/>
            </c:ext>
          </c:extLst>
        </c:ser>
        <c:dLbls>
          <c:dLblPos val="outEnd"/>
          <c:showLegendKey val="0"/>
          <c:showVal val="1"/>
          <c:showCatName val="0"/>
          <c:showSerName val="0"/>
          <c:showPercent val="0"/>
          <c:showBubbleSize val="0"/>
        </c:dLbls>
        <c:gapWidth val="219"/>
        <c:overlap val="-27"/>
        <c:axId val="293679512"/>
        <c:axId val="293681472"/>
      </c:barChart>
      <c:catAx>
        <c:axId val="293679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3681472"/>
        <c:crosses val="autoZero"/>
        <c:auto val="1"/>
        <c:lblAlgn val="ctr"/>
        <c:lblOffset val="100"/>
        <c:noMultiLvlLbl val="0"/>
      </c:catAx>
      <c:valAx>
        <c:axId val="293681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3679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F453A5-618D-41BC-A863-0A14ED5E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70</Pages>
  <Words>30696</Words>
  <Characters>174970</Characters>
  <Application>Microsoft Office Word</Application>
  <DocSecurity>0</DocSecurity>
  <Lines>1458</Lines>
  <Paragraphs>410</Paragraphs>
  <ScaleCrop>false</ScaleCrop>
  <HeadingPairs>
    <vt:vector size="2" baseType="variant">
      <vt:variant>
        <vt:lpstr>Naslov</vt:lpstr>
      </vt:variant>
      <vt:variant>
        <vt:i4>1</vt:i4>
      </vt:variant>
    </vt:vector>
  </HeadingPairs>
  <TitlesOfParts>
    <vt:vector size="1" baseType="lpstr">
      <vt:lpstr>Štefanova ulica 2, 1501 Ljubljana</vt:lpstr>
    </vt:vector>
  </TitlesOfParts>
  <Company>MNZ</Company>
  <LinksUpToDate>false</LinksUpToDate>
  <CharactersWithSpaces>205256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Štefanova ulica 2, 1501 Ljubljana</dc:title>
  <dc:subject/>
  <dc:creator>Uporabnik sistema Windows</dc:creator>
  <cp:keywords/>
  <dc:description/>
  <cp:lastModifiedBy>Sabina Langus Boc</cp:lastModifiedBy>
  <cp:revision>3</cp:revision>
  <cp:lastPrinted>2025-07-16T07:47:00Z</cp:lastPrinted>
  <dcterms:created xsi:type="dcterms:W3CDTF">2026-04-01T10:46:00Z</dcterms:created>
  <dcterms:modified xsi:type="dcterms:W3CDTF">2026-04-01T10:53:00Z</dcterms:modified>
</cp:coreProperties>
</file>