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077D" w14:textId="6ED8D409" w:rsidR="00590E45" w:rsidRPr="00A335CB" w:rsidRDefault="00DD5C36" w:rsidP="005D1A90">
      <w:pPr>
        <w:spacing w:after="0" w:line="276" w:lineRule="auto"/>
        <w:jc w:val="both"/>
        <w:rPr>
          <w:rFonts w:ascii="Arial" w:hAnsi="Arial" w:cs="Arial"/>
          <w:b/>
          <w:sz w:val="20"/>
          <w:szCs w:val="20"/>
        </w:rPr>
      </w:pPr>
      <w:r w:rsidRPr="00A335CB">
        <w:rPr>
          <w:rFonts w:ascii="Arial" w:hAnsi="Arial" w:cs="Arial"/>
          <w:noProof/>
          <w:sz w:val="20"/>
          <w:szCs w:val="20"/>
          <w:lang w:eastAsia="sl-SI"/>
        </w:rPr>
        <w:drawing>
          <wp:anchor distT="0" distB="0" distL="114300" distR="114300" simplePos="0" relativeHeight="251657728" behindDoc="1" locked="0" layoutInCell="1" allowOverlap="1" wp14:anchorId="26409A64" wp14:editId="2089EFCF">
            <wp:simplePos x="0" y="0"/>
            <wp:positionH relativeFrom="page">
              <wp:posOffset>790434</wp:posOffset>
            </wp:positionH>
            <wp:positionV relativeFrom="page">
              <wp:posOffset>896620</wp:posOffset>
            </wp:positionV>
            <wp:extent cx="2814955" cy="312420"/>
            <wp:effectExtent l="0" t="0" r="4445"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p>
    <w:p w14:paraId="26532B44" w14:textId="77777777" w:rsidR="00590E45" w:rsidRPr="00A335CB" w:rsidRDefault="00590E45" w:rsidP="005D1A90">
      <w:pPr>
        <w:spacing w:after="0" w:line="276" w:lineRule="auto"/>
        <w:jc w:val="both"/>
        <w:rPr>
          <w:rFonts w:ascii="Arial" w:hAnsi="Arial" w:cs="Arial"/>
          <w:b/>
          <w:sz w:val="20"/>
          <w:szCs w:val="20"/>
        </w:rPr>
      </w:pPr>
    </w:p>
    <w:p w14:paraId="52870E44" w14:textId="02115AE6" w:rsidR="00590E45" w:rsidRPr="00A335CB" w:rsidRDefault="00590E45" w:rsidP="005D1A90">
      <w:pPr>
        <w:pStyle w:val="Glava"/>
        <w:tabs>
          <w:tab w:val="left" w:pos="5112"/>
        </w:tabs>
        <w:spacing w:line="276" w:lineRule="auto"/>
        <w:ind w:firstLine="284"/>
        <w:jc w:val="both"/>
        <w:rPr>
          <w:rFonts w:ascii="Arial" w:hAnsi="Arial" w:cs="Arial"/>
          <w:sz w:val="20"/>
          <w:szCs w:val="20"/>
        </w:rPr>
      </w:pPr>
      <w:r w:rsidRPr="00A335CB">
        <w:rPr>
          <w:rFonts w:ascii="Arial" w:hAnsi="Arial" w:cs="Arial"/>
          <w:sz w:val="20"/>
          <w:szCs w:val="20"/>
        </w:rPr>
        <w:t xml:space="preserve"> </w:t>
      </w:r>
    </w:p>
    <w:p w14:paraId="223B1B60" w14:textId="77777777" w:rsidR="00590E45" w:rsidRPr="00A335CB" w:rsidRDefault="00590E45" w:rsidP="005D1A90">
      <w:pPr>
        <w:spacing w:after="0" w:line="276" w:lineRule="auto"/>
        <w:jc w:val="both"/>
        <w:rPr>
          <w:rFonts w:ascii="Arial" w:hAnsi="Arial" w:cs="Arial"/>
          <w:sz w:val="20"/>
          <w:szCs w:val="20"/>
        </w:rPr>
      </w:pPr>
    </w:p>
    <w:p w14:paraId="458FDD2C" w14:textId="36BF5735" w:rsidR="0003318C" w:rsidRPr="00A335CB" w:rsidRDefault="0003318C" w:rsidP="005D1A90">
      <w:pPr>
        <w:spacing w:after="0" w:line="276" w:lineRule="auto"/>
        <w:jc w:val="both"/>
        <w:rPr>
          <w:rFonts w:ascii="Arial" w:hAnsi="Arial" w:cs="Arial"/>
          <w:sz w:val="20"/>
          <w:szCs w:val="20"/>
        </w:rPr>
      </w:pPr>
    </w:p>
    <w:p w14:paraId="658159E1" w14:textId="77777777" w:rsidR="0003318C" w:rsidRPr="00A335CB" w:rsidRDefault="0003318C" w:rsidP="005D1A90">
      <w:pPr>
        <w:spacing w:after="0" w:line="276" w:lineRule="auto"/>
        <w:jc w:val="both"/>
        <w:rPr>
          <w:rFonts w:ascii="Arial" w:hAnsi="Arial" w:cs="Arial"/>
          <w:sz w:val="20"/>
          <w:szCs w:val="20"/>
        </w:rPr>
      </w:pPr>
    </w:p>
    <w:p w14:paraId="0DD62199" w14:textId="77777777" w:rsidR="00590E45" w:rsidRPr="00A335CB" w:rsidRDefault="00590E45" w:rsidP="005D1A90">
      <w:pPr>
        <w:spacing w:after="0" w:line="276" w:lineRule="auto"/>
        <w:jc w:val="both"/>
        <w:rPr>
          <w:rFonts w:ascii="Arial" w:hAnsi="Arial" w:cs="Arial"/>
          <w:sz w:val="20"/>
          <w:szCs w:val="20"/>
        </w:rPr>
      </w:pPr>
    </w:p>
    <w:p w14:paraId="6AD3AFBD" w14:textId="77777777" w:rsidR="00590E45" w:rsidRPr="00A335CB" w:rsidRDefault="00590E45" w:rsidP="005D1A90">
      <w:pPr>
        <w:spacing w:after="0" w:line="276" w:lineRule="auto"/>
        <w:jc w:val="both"/>
        <w:rPr>
          <w:rFonts w:ascii="Arial" w:hAnsi="Arial" w:cs="Arial"/>
          <w:sz w:val="20"/>
          <w:szCs w:val="20"/>
        </w:rPr>
      </w:pPr>
    </w:p>
    <w:p w14:paraId="5609D899" w14:textId="52DD4318" w:rsidR="00590E45" w:rsidRPr="00A335CB" w:rsidRDefault="00590E45" w:rsidP="005D1A90">
      <w:pPr>
        <w:spacing w:after="0" w:line="276" w:lineRule="auto"/>
        <w:jc w:val="both"/>
        <w:rPr>
          <w:rFonts w:ascii="Arial" w:hAnsi="Arial" w:cs="Arial"/>
          <w:sz w:val="20"/>
          <w:szCs w:val="20"/>
        </w:rPr>
      </w:pPr>
    </w:p>
    <w:p w14:paraId="5E164556" w14:textId="75480B15" w:rsidR="009C073A" w:rsidRPr="00A335CB" w:rsidRDefault="009C073A" w:rsidP="005D1A90">
      <w:pPr>
        <w:spacing w:after="0" w:line="276" w:lineRule="auto"/>
        <w:jc w:val="both"/>
        <w:rPr>
          <w:rFonts w:ascii="Arial" w:hAnsi="Arial" w:cs="Arial"/>
          <w:sz w:val="20"/>
          <w:szCs w:val="20"/>
        </w:rPr>
      </w:pPr>
    </w:p>
    <w:p w14:paraId="67DE2D99" w14:textId="77777777" w:rsidR="009C073A" w:rsidRPr="00A335CB" w:rsidRDefault="009C073A" w:rsidP="005D1A90">
      <w:pPr>
        <w:spacing w:after="0" w:line="276" w:lineRule="auto"/>
        <w:jc w:val="both"/>
        <w:rPr>
          <w:rFonts w:ascii="Arial" w:hAnsi="Arial" w:cs="Arial"/>
          <w:sz w:val="20"/>
          <w:szCs w:val="20"/>
        </w:rPr>
      </w:pPr>
    </w:p>
    <w:p w14:paraId="4CA748D5" w14:textId="62524AAC" w:rsidR="00D63E60"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Številka: 0101-60/2025</w:t>
      </w:r>
      <w:r w:rsidR="0016597A">
        <w:rPr>
          <w:rFonts w:ascii="Arial" w:hAnsi="Arial" w:cs="Arial"/>
          <w:sz w:val="20"/>
          <w:szCs w:val="20"/>
        </w:rPr>
        <w:t>/6</w:t>
      </w:r>
    </w:p>
    <w:p w14:paraId="48A1F396" w14:textId="085D5577" w:rsidR="00D63E60" w:rsidRPr="00A335CB" w:rsidRDefault="00456C12" w:rsidP="005D1A90">
      <w:pPr>
        <w:spacing w:after="0" w:line="276" w:lineRule="auto"/>
        <w:jc w:val="both"/>
        <w:rPr>
          <w:rFonts w:ascii="Arial" w:hAnsi="Arial" w:cs="Arial"/>
          <w:sz w:val="20"/>
          <w:szCs w:val="20"/>
        </w:rPr>
      </w:pPr>
      <w:r w:rsidRPr="00A335CB">
        <w:rPr>
          <w:rFonts w:ascii="Arial" w:hAnsi="Arial" w:cs="Arial"/>
          <w:sz w:val="20"/>
          <w:szCs w:val="20"/>
        </w:rPr>
        <w:t>Datum</w:t>
      </w:r>
      <w:r w:rsidR="001E01C9" w:rsidRPr="00A335CB">
        <w:rPr>
          <w:rFonts w:ascii="Arial" w:hAnsi="Arial" w:cs="Arial"/>
          <w:sz w:val="20"/>
          <w:szCs w:val="20"/>
        </w:rPr>
        <w:t xml:space="preserve">: </w:t>
      </w:r>
      <w:r w:rsidR="00A27D44" w:rsidRPr="00A335CB">
        <w:rPr>
          <w:rFonts w:ascii="Arial" w:hAnsi="Arial" w:cs="Arial"/>
          <w:sz w:val="20"/>
          <w:szCs w:val="20"/>
        </w:rPr>
        <w:t>april 2025</w:t>
      </w:r>
    </w:p>
    <w:p w14:paraId="52C757FF" w14:textId="77777777" w:rsidR="00590E45" w:rsidRPr="00A335CB" w:rsidRDefault="00590E45" w:rsidP="005D1A90">
      <w:pPr>
        <w:spacing w:after="0" w:line="276" w:lineRule="auto"/>
        <w:jc w:val="both"/>
        <w:rPr>
          <w:rFonts w:ascii="Arial" w:hAnsi="Arial" w:cs="Arial"/>
          <w:sz w:val="20"/>
          <w:szCs w:val="20"/>
        </w:rPr>
      </w:pPr>
    </w:p>
    <w:p w14:paraId="4487B97D" w14:textId="77777777" w:rsidR="00590E45" w:rsidRPr="00A335CB" w:rsidRDefault="00590E45" w:rsidP="005D1A90">
      <w:pPr>
        <w:spacing w:after="0" w:line="276" w:lineRule="auto"/>
        <w:jc w:val="both"/>
        <w:rPr>
          <w:rFonts w:ascii="Arial" w:hAnsi="Arial" w:cs="Arial"/>
          <w:sz w:val="20"/>
          <w:szCs w:val="20"/>
        </w:rPr>
      </w:pPr>
    </w:p>
    <w:p w14:paraId="25E3C0CF" w14:textId="18D76A23" w:rsidR="00590E45" w:rsidRPr="00A335CB" w:rsidRDefault="00590E45" w:rsidP="005D1A90">
      <w:pPr>
        <w:spacing w:after="0" w:line="276" w:lineRule="auto"/>
        <w:jc w:val="both"/>
        <w:rPr>
          <w:rFonts w:ascii="Arial" w:hAnsi="Arial" w:cs="Arial"/>
          <w:sz w:val="20"/>
          <w:szCs w:val="20"/>
        </w:rPr>
      </w:pPr>
    </w:p>
    <w:p w14:paraId="1B0F8EDE" w14:textId="4E6F144C" w:rsidR="00116002" w:rsidRPr="00A335CB" w:rsidRDefault="00116002" w:rsidP="005D1A90">
      <w:pPr>
        <w:spacing w:after="0" w:line="276" w:lineRule="auto"/>
        <w:jc w:val="both"/>
        <w:rPr>
          <w:rFonts w:ascii="Arial" w:hAnsi="Arial" w:cs="Arial"/>
          <w:sz w:val="20"/>
          <w:szCs w:val="20"/>
        </w:rPr>
      </w:pPr>
    </w:p>
    <w:p w14:paraId="166A9981" w14:textId="77777777" w:rsidR="00116002" w:rsidRPr="00A335CB" w:rsidRDefault="00116002" w:rsidP="005D1A90">
      <w:pPr>
        <w:spacing w:after="0" w:line="276" w:lineRule="auto"/>
        <w:jc w:val="both"/>
        <w:rPr>
          <w:rFonts w:ascii="Arial" w:hAnsi="Arial" w:cs="Arial"/>
          <w:sz w:val="20"/>
          <w:szCs w:val="20"/>
        </w:rPr>
      </w:pPr>
    </w:p>
    <w:p w14:paraId="4DF80071" w14:textId="77777777" w:rsidR="00116002" w:rsidRPr="00A335CB" w:rsidRDefault="00116002" w:rsidP="005D1A90">
      <w:pPr>
        <w:spacing w:after="0" w:line="276" w:lineRule="auto"/>
        <w:jc w:val="both"/>
        <w:rPr>
          <w:rFonts w:ascii="Arial" w:hAnsi="Arial" w:cs="Arial"/>
          <w:sz w:val="20"/>
          <w:szCs w:val="20"/>
        </w:rPr>
      </w:pPr>
    </w:p>
    <w:p w14:paraId="2D689B38" w14:textId="77777777" w:rsidR="00590E45" w:rsidRPr="00A335CB" w:rsidRDefault="00590E45" w:rsidP="005D1A90">
      <w:pPr>
        <w:spacing w:after="0" w:line="276" w:lineRule="auto"/>
        <w:jc w:val="both"/>
        <w:rPr>
          <w:rFonts w:ascii="Arial" w:hAnsi="Arial" w:cs="Arial"/>
          <w:sz w:val="20"/>
          <w:szCs w:val="20"/>
        </w:rPr>
      </w:pPr>
    </w:p>
    <w:p w14:paraId="21177AE7" w14:textId="77777777" w:rsidR="00590E45" w:rsidRPr="00A335CB" w:rsidRDefault="00590E45" w:rsidP="005D1A90">
      <w:pPr>
        <w:spacing w:after="0" w:line="276" w:lineRule="auto"/>
        <w:jc w:val="both"/>
        <w:rPr>
          <w:rFonts w:ascii="Arial" w:hAnsi="Arial" w:cs="Arial"/>
          <w:sz w:val="20"/>
          <w:szCs w:val="20"/>
        </w:rPr>
      </w:pPr>
    </w:p>
    <w:p w14:paraId="1CD2B54E" w14:textId="77777777" w:rsidR="00590E45" w:rsidRPr="00A335CB" w:rsidRDefault="00590E45" w:rsidP="005D1A90">
      <w:pPr>
        <w:spacing w:after="0" w:line="276" w:lineRule="auto"/>
        <w:jc w:val="both"/>
        <w:rPr>
          <w:rFonts w:ascii="Arial" w:hAnsi="Arial" w:cs="Arial"/>
          <w:sz w:val="20"/>
          <w:szCs w:val="20"/>
        </w:rPr>
      </w:pPr>
    </w:p>
    <w:p w14:paraId="5A822C74" w14:textId="77777777" w:rsidR="00590E45" w:rsidRPr="00A335CB" w:rsidRDefault="00590E45" w:rsidP="005D1A90">
      <w:pPr>
        <w:spacing w:after="0" w:line="276" w:lineRule="auto"/>
        <w:jc w:val="both"/>
        <w:rPr>
          <w:rFonts w:ascii="Arial" w:hAnsi="Arial" w:cs="Arial"/>
          <w:sz w:val="20"/>
          <w:szCs w:val="20"/>
        </w:rPr>
      </w:pPr>
    </w:p>
    <w:p w14:paraId="4EF0440B" w14:textId="77777777" w:rsidR="00590E45" w:rsidRPr="00A335CB" w:rsidRDefault="00590E45" w:rsidP="005D1A90">
      <w:pPr>
        <w:spacing w:after="0" w:line="276" w:lineRule="auto"/>
        <w:jc w:val="both"/>
        <w:rPr>
          <w:rFonts w:ascii="Arial" w:hAnsi="Arial" w:cs="Arial"/>
          <w:sz w:val="20"/>
          <w:szCs w:val="20"/>
        </w:rPr>
      </w:pPr>
    </w:p>
    <w:p w14:paraId="726F3508" w14:textId="77777777" w:rsidR="00590E45" w:rsidRPr="00A335CB" w:rsidRDefault="00590E45" w:rsidP="005D1A90">
      <w:pPr>
        <w:spacing w:after="0" w:line="276" w:lineRule="auto"/>
        <w:jc w:val="both"/>
        <w:rPr>
          <w:rFonts w:ascii="Arial" w:hAnsi="Arial" w:cs="Arial"/>
          <w:sz w:val="20"/>
          <w:szCs w:val="20"/>
        </w:rPr>
      </w:pPr>
    </w:p>
    <w:p w14:paraId="2F526859" w14:textId="77777777" w:rsidR="00590E45" w:rsidRPr="00A335CB" w:rsidRDefault="00590E45" w:rsidP="005D1A90">
      <w:pPr>
        <w:spacing w:after="0" w:line="276" w:lineRule="auto"/>
        <w:jc w:val="center"/>
        <w:rPr>
          <w:rFonts w:ascii="Arial" w:hAnsi="Arial" w:cs="Arial"/>
          <w:sz w:val="32"/>
          <w:szCs w:val="32"/>
        </w:rPr>
      </w:pPr>
    </w:p>
    <w:p w14:paraId="0779DC4D" w14:textId="77777777" w:rsidR="00590E45" w:rsidRPr="00A335CB" w:rsidRDefault="00590E45" w:rsidP="005D1A90">
      <w:pPr>
        <w:spacing w:after="0" w:line="276" w:lineRule="auto"/>
        <w:jc w:val="center"/>
        <w:rPr>
          <w:rFonts w:ascii="Arial" w:hAnsi="Arial" w:cs="Arial"/>
          <w:b/>
          <w:sz w:val="32"/>
          <w:szCs w:val="32"/>
        </w:rPr>
      </w:pPr>
    </w:p>
    <w:p w14:paraId="690531C3" w14:textId="7341954E" w:rsidR="00590E45" w:rsidRPr="00A335CB" w:rsidRDefault="00590E45" w:rsidP="005D1A90">
      <w:pPr>
        <w:spacing w:after="0" w:line="276" w:lineRule="auto"/>
        <w:jc w:val="center"/>
        <w:rPr>
          <w:rFonts w:ascii="Arial" w:hAnsi="Arial" w:cs="Arial"/>
          <w:b/>
          <w:sz w:val="32"/>
          <w:szCs w:val="32"/>
        </w:rPr>
      </w:pPr>
      <w:r w:rsidRPr="00A335CB">
        <w:rPr>
          <w:rFonts w:ascii="Arial" w:hAnsi="Arial" w:cs="Arial"/>
          <w:b/>
          <w:sz w:val="32"/>
          <w:szCs w:val="32"/>
        </w:rPr>
        <w:t>POROČILO O DELU MNZ V LETU 202</w:t>
      </w:r>
      <w:r w:rsidR="00653B9D" w:rsidRPr="00A335CB">
        <w:rPr>
          <w:rFonts w:ascii="Arial" w:hAnsi="Arial" w:cs="Arial"/>
          <w:b/>
          <w:sz w:val="32"/>
          <w:szCs w:val="32"/>
        </w:rPr>
        <w:t>4</w:t>
      </w:r>
    </w:p>
    <w:p w14:paraId="2514CB16" w14:textId="49D89AC2" w:rsidR="00590E45" w:rsidRPr="00A335CB" w:rsidRDefault="00590E45" w:rsidP="005D1A90">
      <w:pPr>
        <w:spacing w:after="0" w:line="276" w:lineRule="auto"/>
        <w:jc w:val="both"/>
        <w:rPr>
          <w:rFonts w:ascii="Arial" w:hAnsi="Arial" w:cs="Arial"/>
          <w:b/>
          <w:i/>
          <w:sz w:val="20"/>
          <w:szCs w:val="20"/>
        </w:rPr>
      </w:pPr>
    </w:p>
    <w:p w14:paraId="29BFD5A0" w14:textId="77777777" w:rsidR="00590E45" w:rsidRPr="00A335CB" w:rsidRDefault="00590E45" w:rsidP="005D1A90">
      <w:pPr>
        <w:spacing w:after="0" w:line="276" w:lineRule="auto"/>
        <w:jc w:val="both"/>
        <w:rPr>
          <w:rFonts w:ascii="Arial" w:hAnsi="Arial" w:cs="Arial"/>
          <w:b/>
          <w:i/>
          <w:sz w:val="20"/>
          <w:szCs w:val="20"/>
        </w:rPr>
      </w:pPr>
    </w:p>
    <w:p w14:paraId="3F7316CE" w14:textId="77777777" w:rsidR="00590E45" w:rsidRPr="00A335CB" w:rsidRDefault="00590E45" w:rsidP="005D1A90">
      <w:pPr>
        <w:spacing w:after="0" w:line="276" w:lineRule="auto"/>
        <w:jc w:val="both"/>
        <w:rPr>
          <w:rFonts w:ascii="Arial" w:hAnsi="Arial" w:cs="Arial"/>
          <w:b/>
          <w:sz w:val="20"/>
          <w:szCs w:val="20"/>
        </w:rPr>
      </w:pPr>
    </w:p>
    <w:p w14:paraId="3D3EBD75" w14:textId="77777777" w:rsidR="00590E45" w:rsidRPr="00A335CB" w:rsidRDefault="00590E45" w:rsidP="005D1A90">
      <w:pPr>
        <w:spacing w:after="0" w:line="276" w:lineRule="auto"/>
        <w:jc w:val="both"/>
        <w:rPr>
          <w:rFonts w:ascii="Arial" w:hAnsi="Arial" w:cs="Arial"/>
          <w:b/>
          <w:sz w:val="20"/>
          <w:szCs w:val="20"/>
        </w:rPr>
      </w:pPr>
    </w:p>
    <w:p w14:paraId="2AF700C8" w14:textId="77777777" w:rsidR="00590E45" w:rsidRPr="00A335CB" w:rsidRDefault="00590E45" w:rsidP="005D1A90">
      <w:pPr>
        <w:spacing w:after="0" w:line="276" w:lineRule="auto"/>
        <w:jc w:val="both"/>
        <w:rPr>
          <w:rFonts w:ascii="Arial" w:hAnsi="Arial" w:cs="Arial"/>
          <w:b/>
          <w:sz w:val="20"/>
          <w:szCs w:val="20"/>
        </w:rPr>
      </w:pPr>
    </w:p>
    <w:p w14:paraId="60E5B2E0" w14:textId="77777777" w:rsidR="00590E45" w:rsidRPr="00A335CB" w:rsidRDefault="00590E45" w:rsidP="005D1A90">
      <w:pPr>
        <w:spacing w:after="0" w:line="276" w:lineRule="auto"/>
        <w:jc w:val="both"/>
        <w:rPr>
          <w:rFonts w:ascii="Arial" w:hAnsi="Arial" w:cs="Arial"/>
          <w:b/>
          <w:sz w:val="20"/>
          <w:szCs w:val="20"/>
        </w:rPr>
      </w:pPr>
    </w:p>
    <w:p w14:paraId="670C1A62" w14:textId="77777777" w:rsidR="00590E45" w:rsidRPr="00A335CB" w:rsidRDefault="00590E45" w:rsidP="005D1A90">
      <w:pPr>
        <w:spacing w:after="0" w:line="276" w:lineRule="auto"/>
        <w:jc w:val="both"/>
        <w:rPr>
          <w:rFonts w:ascii="Arial" w:hAnsi="Arial" w:cs="Arial"/>
          <w:b/>
          <w:sz w:val="20"/>
          <w:szCs w:val="20"/>
        </w:rPr>
      </w:pPr>
    </w:p>
    <w:p w14:paraId="565D07BA" w14:textId="77777777" w:rsidR="00590E45" w:rsidRPr="00A335CB" w:rsidRDefault="00590E45" w:rsidP="005D1A90">
      <w:pPr>
        <w:spacing w:after="0" w:line="276" w:lineRule="auto"/>
        <w:jc w:val="both"/>
        <w:rPr>
          <w:rFonts w:ascii="Arial" w:hAnsi="Arial" w:cs="Arial"/>
          <w:b/>
          <w:sz w:val="20"/>
          <w:szCs w:val="20"/>
        </w:rPr>
      </w:pPr>
    </w:p>
    <w:p w14:paraId="49FE5A83" w14:textId="77777777" w:rsidR="00590E45" w:rsidRPr="00A335CB" w:rsidRDefault="00590E45" w:rsidP="005D1A90">
      <w:pPr>
        <w:spacing w:after="0" w:line="276" w:lineRule="auto"/>
        <w:jc w:val="both"/>
        <w:rPr>
          <w:rFonts w:ascii="Arial" w:hAnsi="Arial" w:cs="Arial"/>
          <w:b/>
          <w:sz w:val="20"/>
          <w:szCs w:val="20"/>
        </w:rPr>
      </w:pPr>
    </w:p>
    <w:p w14:paraId="3DE33BAA" w14:textId="2B3A47AA" w:rsidR="00590E45" w:rsidRPr="00A335CB" w:rsidRDefault="00590E45" w:rsidP="005D1A90">
      <w:pPr>
        <w:spacing w:after="0" w:line="276" w:lineRule="auto"/>
        <w:jc w:val="both"/>
        <w:rPr>
          <w:rFonts w:ascii="Arial" w:hAnsi="Arial" w:cs="Arial"/>
          <w:b/>
          <w:sz w:val="20"/>
          <w:szCs w:val="20"/>
        </w:rPr>
      </w:pPr>
    </w:p>
    <w:p w14:paraId="75DC0F4F" w14:textId="783B3279" w:rsidR="00116002" w:rsidRPr="00A335CB" w:rsidRDefault="00116002" w:rsidP="005D1A90">
      <w:pPr>
        <w:spacing w:after="0" w:line="276" w:lineRule="auto"/>
        <w:jc w:val="both"/>
        <w:rPr>
          <w:rFonts w:ascii="Arial" w:hAnsi="Arial" w:cs="Arial"/>
          <w:b/>
          <w:sz w:val="20"/>
          <w:szCs w:val="20"/>
        </w:rPr>
      </w:pPr>
    </w:p>
    <w:p w14:paraId="120C39BB" w14:textId="77777777" w:rsidR="00116002" w:rsidRPr="00A335CB" w:rsidRDefault="00116002" w:rsidP="005D1A90">
      <w:pPr>
        <w:spacing w:after="0" w:line="276" w:lineRule="auto"/>
        <w:jc w:val="both"/>
        <w:rPr>
          <w:rFonts w:ascii="Arial" w:hAnsi="Arial" w:cs="Arial"/>
          <w:b/>
          <w:sz w:val="20"/>
          <w:szCs w:val="20"/>
        </w:rPr>
      </w:pPr>
    </w:p>
    <w:p w14:paraId="5174CE0F" w14:textId="77777777" w:rsidR="00590E45" w:rsidRPr="00A335CB" w:rsidRDefault="00590E45" w:rsidP="005D1A90">
      <w:pPr>
        <w:spacing w:after="0" w:line="276" w:lineRule="auto"/>
        <w:jc w:val="both"/>
        <w:rPr>
          <w:rFonts w:ascii="Arial" w:hAnsi="Arial" w:cs="Arial"/>
          <w:b/>
          <w:sz w:val="20"/>
          <w:szCs w:val="20"/>
        </w:rPr>
      </w:pPr>
    </w:p>
    <w:p w14:paraId="09120578" w14:textId="77777777" w:rsidR="00590E45" w:rsidRPr="00A335CB" w:rsidRDefault="00590E45" w:rsidP="005D1A90">
      <w:pPr>
        <w:spacing w:after="0" w:line="276" w:lineRule="auto"/>
        <w:jc w:val="both"/>
        <w:rPr>
          <w:rFonts w:ascii="Arial" w:hAnsi="Arial" w:cs="Arial"/>
          <w:b/>
          <w:sz w:val="20"/>
          <w:szCs w:val="20"/>
        </w:rPr>
      </w:pPr>
    </w:p>
    <w:p w14:paraId="13689547" w14:textId="77777777" w:rsidR="00590E45" w:rsidRPr="00A335CB" w:rsidRDefault="00590E45" w:rsidP="005D1A90">
      <w:pPr>
        <w:spacing w:after="0" w:line="276" w:lineRule="auto"/>
        <w:jc w:val="both"/>
        <w:rPr>
          <w:rFonts w:ascii="Arial" w:hAnsi="Arial" w:cs="Arial"/>
          <w:b/>
          <w:sz w:val="20"/>
          <w:szCs w:val="20"/>
        </w:rPr>
      </w:pPr>
    </w:p>
    <w:p w14:paraId="2E337F9D" w14:textId="77777777" w:rsidR="00590E45" w:rsidRPr="00A335CB" w:rsidRDefault="00590E45" w:rsidP="005D1A90">
      <w:pPr>
        <w:spacing w:after="0" w:line="276" w:lineRule="auto"/>
        <w:jc w:val="both"/>
        <w:rPr>
          <w:rFonts w:ascii="Arial" w:hAnsi="Arial" w:cs="Arial"/>
          <w:b/>
          <w:sz w:val="20"/>
          <w:szCs w:val="20"/>
        </w:rPr>
      </w:pPr>
    </w:p>
    <w:p w14:paraId="08B37411" w14:textId="117539A8" w:rsidR="00590E45" w:rsidRPr="00A335CB" w:rsidRDefault="00116002" w:rsidP="005D1A90">
      <w:pPr>
        <w:tabs>
          <w:tab w:val="left" w:pos="5670"/>
        </w:tabs>
        <w:spacing w:after="0" w:line="276" w:lineRule="auto"/>
        <w:ind w:left="5664"/>
        <w:jc w:val="both"/>
        <w:rPr>
          <w:rFonts w:ascii="Arial" w:hAnsi="Arial" w:cs="Arial"/>
          <w:sz w:val="20"/>
          <w:szCs w:val="20"/>
        </w:rPr>
      </w:pPr>
      <w:r w:rsidRPr="00A335CB">
        <w:rPr>
          <w:rFonts w:ascii="Arial" w:hAnsi="Arial" w:cs="Arial"/>
          <w:sz w:val="20"/>
          <w:szCs w:val="20"/>
        </w:rPr>
        <w:tab/>
      </w:r>
    </w:p>
    <w:p w14:paraId="133A30D2" w14:textId="1042FFDD" w:rsidR="00590E45" w:rsidRPr="00A335CB" w:rsidRDefault="00590E45" w:rsidP="005D1A90">
      <w:pPr>
        <w:spacing w:after="0" w:line="276" w:lineRule="auto"/>
        <w:jc w:val="both"/>
        <w:rPr>
          <w:rFonts w:ascii="Arial" w:hAnsi="Arial" w:cs="Arial"/>
          <w:b/>
          <w:sz w:val="20"/>
          <w:szCs w:val="20"/>
        </w:rPr>
      </w:pPr>
    </w:p>
    <w:p w14:paraId="755E8B03" w14:textId="0E4AFA6F" w:rsidR="00040894" w:rsidRPr="00A335CB" w:rsidRDefault="00040894" w:rsidP="005D1A90">
      <w:pPr>
        <w:spacing w:after="0" w:line="276" w:lineRule="auto"/>
        <w:jc w:val="both"/>
        <w:rPr>
          <w:rFonts w:ascii="Arial" w:hAnsi="Arial" w:cs="Arial"/>
          <w:b/>
          <w:sz w:val="20"/>
          <w:szCs w:val="20"/>
        </w:rPr>
      </w:pPr>
    </w:p>
    <w:p w14:paraId="6D763330" w14:textId="77777777" w:rsidR="00040894" w:rsidRPr="00A335CB" w:rsidRDefault="00040894" w:rsidP="005D1A90">
      <w:pPr>
        <w:spacing w:after="0" w:line="276" w:lineRule="auto"/>
        <w:jc w:val="both"/>
        <w:rPr>
          <w:rFonts w:ascii="Arial" w:hAnsi="Arial" w:cs="Arial"/>
          <w:b/>
          <w:sz w:val="20"/>
          <w:szCs w:val="20"/>
        </w:rPr>
      </w:pPr>
    </w:p>
    <w:p w14:paraId="3A6FB431" w14:textId="77777777" w:rsidR="00590E45" w:rsidRPr="00A335CB" w:rsidRDefault="00590E45" w:rsidP="005D1A90">
      <w:pPr>
        <w:spacing w:after="0" w:line="276" w:lineRule="auto"/>
        <w:jc w:val="both"/>
        <w:rPr>
          <w:rFonts w:ascii="Arial" w:hAnsi="Arial" w:cs="Arial"/>
          <w:b/>
          <w:sz w:val="20"/>
          <w:szCs w:val="20"/>
        </w:rPr>
      </w:pPr>
    </w:p>
    <w:p w14:paraId="165C6620" w14:textId="50B2BC83" w:rsidR="00590E45" w:rsidRPr="00A335CB" w:rsidRDefault="00590E45" w:rsidP="005D1A90">
      <w:pPr>
        <w:spacing w:after="0" w:line="276" w:lineRule="auto"/>
        <w:jc w:val="both"/>
        <w:rPr>
          <w:rFonts w:ascii="Arial" w:hAnsi="Arial" w:cs="Arial"/>
          <w:sz w:val="20"/>
          <w:szCs w:val="20"/>
        </w:rPr>
      </w:pPr>
    </w:p>
    <w:sdt>
      <w:sdtPr>
        <w:rPr>
          <w:rFonts w:ascii="Arial" w:eastAsia="Calibri" w:hAnsi="Arial" w:cs="Times New Roman"/>
          <w:color w:val="auto"/>
          <w:sz w:val="20"/>
          <w:szCs w:val="22"/>
          <w:lang w:eastAsia="en-US"/>
        </w:rPr>
        <w:id w:val="2059507911"/>
        <w:docPartObj>
          <w:docPartGallery w:val="Table of Contents"/>
          <w:docPartUnique/>
        </w:docPartObj>
      </w:sdtPr>
      <w:sdtEndPr>
        <w:rPr>
          <w:b/>
          <w:bCs/>
        </w:rPr>
      </w:sdtEndPr>
      <w:sdtContent>
        <w:p w14:paraId="64153551" w14:textId="77777777" w:rsidR="006E7EDA" w:rsidRPr="000B1BAF" w:rsidRDefault="006E7EDA" w:rsidP="006E7EDA">
          <w:pPr>
            <w:pStyle w:val="NaslovTOC"/>
            <w:spacing w:before="0" w:after="0" w:line="276" w:lineRule="auto"/>
            <w:rPr>
              <w:rFonts w:ascii="Arial" w:hAnsi="Arial"/>
              <w:b/>
              <w:color w:val="auto"/>
              <w:sz w:val="20"/>
            </w:rPr>
          </w:pPr>
          <w:r w:rsidRPr="000B1BAF">
            <w:rPr>
              <w:rFonts w:ascii="Arial" w:hAnsi="Arial"/>
              <w:b/>
              <w:color w:val="auto"/>
              <w:sz w:val="20"/>
            </w:rPr>
            <w:t>Vsebina</w:t>
          </w:r>
        </w:p>
        <w:p w14:paraId="1CAB4BAE" w14:textId="77777777" w:rsidR="006E7EDA" w:rsidRPr="000B1BAF" w:rsidRDefault="006E7EDA" w:rsidP="006E7EDA">
          <w:pPr>
            <w:spacing w:after="0" w:line="276" w:lineRule="auto"/>
            <w:rPr>
              <w:rFonts w:ascii="Arial" w:hAnsi="Arial" w:cs="Arial"/>
              <w:sz w:val="20"/>
              <w:szCs w:val="20"/>
              <w:lang w:eastAsia="sl-SI"/>
            </w:rPr>
          </w:pPr>
        </w:p>
        <w:p w14:paraId="08CF2AAA" w14:textId="77B0B8F8" w:rsidR="000B1BAF" w:rsidRPr="000B1BAF" w:rsidRDefault="006E7EDA">
          <w:pPr>
            <w:pStyle w:val="Kazalovsebine1"/>
            <w:rPr>
              <w:rFonts w:ascii="Arial" w:eastAsiaTheme="minorEastAsia" w:hAnsi="Arial" w:cs="Arial"/>
              <w:b w:val="0"/>
              <w:bCs w:val="0"/>
              <w:caps w:val="0"/>
              <w:noProof/>
              <w:sz w:val="20"/>
              <w:szCs w:val="20"/>
              <w:lang w:eastAsia="sl-SI"/>
            </w:rPr>
          </w:pPr>
          <w:r w:rsidRPr="000B1BAF">
            <w:rPr>
              <w:rFonts w:ascii="Arial" w:hAnsi="Arial" w:cs="Arial"/>
              <w:sz w:val="20"/>
              <w:szCs w:val="20"/>
            </w:rPr>
            <w:fldChar w:fldCharType="begin"/>
          </w:r>
          <w:r w:rsidRPr="000B1BAF">
            <w:rPr>
              <w:rFonts w:ascii="Arial" w:hAnsi="Arial" w:cs="Arial"/>
              <w:sz w:val="20"/>
              <w:szCs w:val="20"/>
            </w:rPr>
            <w:instrText xml:space="preserve"> TOC \o "1-3" \h \z \u </w:instrText>
          </w:r>
          <w:r w:rsidRPr="000B1BAF">
            <w:rPr>
              <w:rFonts w:ascii="Arial" w:hAnsi="Arial" w:cs="Arial"/>
              <w:sz w:val="20"/>
              <w:szCs w:val="20"/>
            </w:rPr>
            <w:fldChar w:fldCharType="separate"/>
          </w:r>
          <w:hyperlink w:anchor="_Toc203552968" w:history="1">
            <w:r w:rsidR="000B1BAF" w:rsidRPr="000B1BAF">
              <w:rPr>
                <w:rStyle w:val="Hiperpovezava"/>
                <w:rFonts w:ascii="Arial" w:hAnsi="Arial" w:cs="Arial"/>
                <w:noProof/>
                <w:sz w:val="20"/>
                <w:szCs w:val="20"/>
              </w:rPr>
              <w:t>1</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Splošno</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_Toc203552968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3</w:t>
            </w:r>
            <w:r w:rsidR="000B1BAF" w:rsidRPr="000B1BAF">
              <w:rPr>
                <w:rFonts w:ascii="Arial" w:hAnsi="Arial" w:cs="Arial"/>
                <w:noProof/>
                <w:webHidden/>
                <w:sz w:val="20"/>
                <w:szCs w:val="20"/>
              </w:rPr>
              <w:fldChar w:fldCharType="end"/>
            </w:r>
          </w:hyperlink>
        </w:p>
        <w:p w14:paraId="0EA4674B" w14:textId="26FAFCCF"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69" w:history="1">
            <w:r w:rsidR="000B1BAF" w:rsidRPr="000B1BAF">
              <w:rPr>
                <w:rStyle w:val="Hiperpovezava"/>
                <w:rFonts w:ascii="Arial" w:hAnsi="Arial" w:cs="Arial"/>
                <w:noProof/>
                <w:sz w:val="20"/>
                <w:szCs w:val="20"/>
              </w:rPr>
              <w:t>2</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Naloge za zagotavljanje javne varnosti v državi</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_Toc203552969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4</w:t>
            </w:r>
            <w:r w:rsidR="000B1BAF" w:rsidRPr="000B1BAF">
              <w:rPr>
                <w:rFonts w:ascii="Arial" w:hAnsi="Arial" w:cs="Arial"/>
                <w:noProof/>
                <w:webHidden/>
                <w:sz w:val="20"/>
                <w:szCs w:val="20"/>
              </w:rPr>
              <w:fldChar w:fldCharType="end"/>
            </w:r>
          </w:hyperlink>
        </w:p>
        <w:p w14:paraId="541B702D" w14:textId="646B7BE3"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70" w:history="1">
            <w:r w:rsidR="000B1BAF" w:rsidRPr="000B1BAF">
              <w:rPr>
                <w:rStyle w:val="Hiperpovezava"/>
                <w:rFonts w:ascii="Arial" w:hAnsi="Arial" w:cs="Arial"/>
                <w:noProof/>
                <w:sz w:val="20"/>
                <w:szCs w:val="20"/>
              </w:rPr>
              <w:t>3</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Usmerjanje in nadzor nad delom policije ter reševanje pritožb zoper policiste</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_Toc203552970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6</w:t>
            </w:r>
            <w:r w:rsidR="000B1BAF" w:rsidRPr="000B1BAF">
              <w:rPr>
                <w:rFonts w:ascii="Arial" w:hAnsi="Arial" w:cs="Arial"/>
                <w:noProof/>
                <w:webHidden/>
                <w:sz w:val="20"/>
                <w:szCs w:val="20"/>
              </w:rPr>
              <w:fldChar w:fldCharType="end"/>
            </w:r>
          </w:hyperlink>
        </w:p>
        <w:p w14:paraId="3BAB5693" w14:textId="685C8E76"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71" w:history="1">
            <w:r w:rsidR="000B1BAF" w:rsidRPr="000B1BAF">
              <w:rPr>
                <w:rStyle w:val="Hiperpovezava"/>
                <w:rFonts w:ascii="Arial" w:hAnsi="Arial" w:cs="Arial"/>
                <w:noProof/>
                <w:sz w:val="20"/>
                <w:szCs w:val="20"/>
              </w:rPr>
              <w:t>4</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Zakonito in učinkovito opravljanje upravnih in drugih nalog v pristojnosti Ministrstva za notranje zadeve</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_Toc203552971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9</w:t>
            </w:r>
            <w:r w:rsidR="000B1BAF" w:rsidRPr="000B1BAF">
              <w:rPr>
                <w:rFonts w:ascii="Arial" w:hAnsi="Arial" w:cs="Arial"/>
                <w:noProof/>
                <w:webHidden/>
                <w:sz w:val="20"/>
                <w:szCs w:val="20"/>
              </w:rPr>
              <w:fldChar w:fldCharType="end"/>
            </w:r>
          </w:hyperlink>
        </w:p>
        <w:p w14:paraId="37251248" w14:textId="383551CB" w:rsidR="000B1BAF" w:rsidRPr="000B1BAF" w:rsidRDefault="00000000">
          <w:pPr>
            <w:pStyle w:val="Kazalovsebine2"/>
            <w:rPr>
              <w:rFonts w:ascii="Arial" w:eastAsiaTheme="minorEastAsia" w:hAnsi="Arial" w:cs="Arial"/>
              <w:b w:val="0"/>
              <w:bCs w:val="0"/>
              <w:noProof/>
              <w:lang w:eastAsia="sl-SI"/>
            </w:rPr>
          </w:pPr>
          <w:hyperlink w:anchor="_Toc203552976" w:history="1">
            <w:r w:rsidR="000B1BAF" w:rsidRPr="000B1BAF">
              <w:rPr>
                <w:rStyle w:val="Hiperpovezava"/>
                <w:rFonts w:ascii="Arial" w:hAnsi="Arial" w:cs="Arial"/>
                <w:noProof/>
              </w:rPr>
              <w:t>4.1</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Področje zasebnega varovanja, detektivske dejavnosti, varnosti na smučiščih in občinskega redarstva</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_Toc203552976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9</w:t>
            </w:r>
            <w:r w:rsidR="000B1BAF" w:rsidRPr="000B1BAF">
              <w:rPr>
                <w:rFonts w:ascii="Arial" w:hAnsi="Arial" w:cs="Arial"/>
                <w:noProof/>
                <w:webHidden/>
              </w:rPr>
              <w:fldChar w:fldCharType="end"/>
            </w:r>
          </w:hyperlink>
        </w:p>
        <w:p w14:paraId="243B1592" w14:textId="52336824" w:rsidR="000B1BAF" w:rsidRPr="000B1BAF" w:rsidRDefault="00000000">
          <w:pPr>
            <w:pStyle w:val="Kazalovsebine2"/>
            <w:rPr>
              <w:rFonts w:ascii="Arial" w:eastAsiaTheme="minorEastAsia" w:hAnsi="Arial" w:cs="Arial"/>
              <w:b w:val="0"/>
              <w:bCs w:val="0"/>
              <w:noProof/>
              <w:lang w:eastAsia="sl-SI"/>
            </w:rPr>
          </w:pPr>
          <w:hyperlink w:anchor="_Toc203552977" w:history="1">
            <w:r w:rsidR="000B1BAF" w:rsidRPr="000B1BAF">
              <w:rPr>
                <w:rStyle w:val="Hiperpovezava"/>
                <w:rFonts w:ascii="Arial" w:hAnsi="Arial" w:cs="Arial"/>
                <w:noProof/>
              </w:rPr>
              <w:t>4.2</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Varovanje in obravnavanje tajnih podatkov</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_Toc203552977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11</w:t>
            </w:r>
            <w:r w:rsidR="000B1BAF" w:rsidRPr="000B1BAF">
              <w:rPr>
                <w:rFonts w:ascii="Arial" w:hAnsi="Arial" w:cs="Arial"/>
                <w:noProof/>
                <w:webHidden/>
              </w:rPr>
              <w:fldChar w:fldCharType="end"/>
            </w:r>
          </w:hyperlink>
        </w:p>
        <w:p w14:paraId="09B74B79" w14:textId="3BB63C37" w:rsidR="000B1BAF" w:rsidRPr="000B1BAF" w:rsidRDefault="00000000">
          <w:pPr>
            <w:pStyle w:val="Kazalovsebine2"/>
            <w:rPr>
              <w:rFonts w:ascii="Arial" w:eastAsiaTheme="minorEastAsia" w:hAnsi="Arial" w:cs="Arial"/>
              <w:b w:val="0"/>
              <w:bCs w:val="0"/>
              <w:noProof/>
              <w:lang w:eastAsia="sl-SI"/>
            </w:rPr>
          </w:pPr>
          <w:hyperlink w:anchor="_Toc203552978" w:history="1">
            <w:r w:rsidR="000B1BAF" w:rsidRPr="000B1BAF">
              <w:rPr>
                <w:rStyle w:val="Hiperpovezava"/>
                <w:rFonts w:ascii="Arial" w:hAnsi="Arial" w:cs="Arial"/>
                <w:noProof/>
              </w:rPr>
              <w:t>4.3</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Dvig varnostne kulture pri obravnavanju in varovanju tajnih in osebnih podatkov v Ministrstvu za notranje zadeve</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_Toc203552978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14</w:t>
            </w:r>
            <w:r w:rsidR="000B1BAF" w:rsidRPr="000B1BAF">
              <w:rPr>
                <w:rFonts w:ascii="Arial" w:hAnsi="Arial" w:cs="Arial"/>
                <w:noProof/>
                <w:webHidden/>
              </w:rPr>
              <w:fldChar w:fldCharType="end"/>
            </w:r>
          </w:hyperlink>
        </w:p>
        <w:p w14:paraId="57D714BB" w14:textId="45446E14" w:rsidR="000B1BAF" w:rsidRPr="000B1BAF" w:rsidRDefault="00000000">
          <w:pPr>
            <w:pStyle w:val="Kazalovsebine2"/>
            <w:rPr>
              <w:rFonts w:ascii="Arial" w:eastAsiaTheme="minorEastAsia" w:hAnsi="Arial" w:cs="Arial"/>
              <w:b w:val="0"/>
              <w:bCs w:val="0"/>
              <w:noProof/>
              <w:lang w:eastAsia="sl-SI"/>
            </w:rPr>
          </w:pPr>
          <w:hyperlink w:anchor="_Toc203552979" w:history="1">
            <w:r w:rsidR="000B1BAF" w:rsidRPr="000B1BAF">
              <w:rPr>
                <w:rStyle w:val="Hiperpovezava"/>
                <w:rFonts w:ascii="Arial" w:hAnsi="Arial" w:cs="Arial"/>
                <w:noProof/>
              </w:rPr>
              <w:t>4.4</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Varnostno načrtovanje in preverjanje tujih državljanov po Zakonu o varstvu pred ionizirajočimi sevanji in jedrski varnosti</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_Toc203552979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15</w:t>
            </w:r>
            <w:r w:rsidR="000B1BAF" w:rsidRPr="000B1BAF">
              <w:rPr>
                <w:rFonts w:ascii="Arial" w:hAnsi="Arial" w:cs="Arial"/>
                <w:noProof/>
                <w:webHidden/>
              </w:rPr>
              <w:fldChar w:fldCharType="end"/>
            </w:r>
          </w:hyperlink>
        </w:p>
        <w:p w14:paraId="7143377A" w14:textId="45B97C4E" w:rsidR="000B1BAF" w:rsidRPr="000B1BAF" w:rsidRDefault="00000000">
          <w:pPr>
            <w:pStyle w:val="Kazalovsebine2"/>
            <w:rPr>
              <w:rFonts w:ascii="Arial" w:eastAsiaTheme="minorEastAsia" w:hAnsi="Arial" w:cs="Arial"/>
              <w:b w:val="0"/>
              <w:bCs w:val="0"/>
              <w:noProof/>
              <w:lang w:eastAsia="sl-SI"/>
            </w:rPr>
          </w:pPr>
          <w:hyperlink w:anchor="_Toc203552980" w:history="1">
            <w:r w:rsidR="000B1BAF" w:rsidRPr="000B1BAF">
              <w:rPr>
                <w:rStyle w:val="Hiperpovezava"/>
                <w:rFonts w:ascii="Arial" w:hAnsi="Arial" w:cs="Arial"/>
                <w:noProof/>
              </w:rPr>
              <w:t>4.5</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Upravne notranje zadeve</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_Toc203552980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18</w:t>
            </w:r>
            <w:r w:rsidR="000B1BAF" w:rsidRPr="000B1BAF">
              <w:rPr>
                <w:rFonts w:ascii="Arial" w:hAnsi="Arial" w:cs="Arial"/>
                <w:noProof/>
                <w:webHidden/>
              </w:rPr>
              <w:fldChar w:fldCharType="end"/>
            </w:r>
          </w:hyperlink>
        </w:p>
        <w:p w14:paraId="3AB43297" w14:textId="4C00FE80"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1" w:history="1">
            <w:r w:rsidR="000B1BAF" w:rsidRPr="000B1BAF">
              <w:rPr>
                <w:rStyle w:val="Hiperpovezava"/>
                <w:rFonts w:ascii="Arial" w:hAnsi="Arial" w:cs="Arial"/>
                <w:noProof/>
              </w:rPr>
              <w:t>4.5.1</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Zagotavljanje podatkov iz centralnega registra prebivalstva</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_Toc203552981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18</w:t>
            </w:r>
            <w:r w:rsidR="000B1BAF" w:rsidRPr="000B1BAF">
              <w:rPr>
                <w:rFonts w:ascii="Arial" w:hAnsi="Arial" w:cs="Arial"/>
                <w:noProof/>
                <w:webHidden/>
              </w:rPr>
              <w:fldChar w:fldCharType="end"/>
            </w:r>
          </w:hyperlink>
        </w:p>
        <w:p w14:paraId="2E059AA8" w14:textId="21CFAA8E"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2" w:history="1">
            <w:r w:rsidR="000B1BAF" w:rsidRPr="000B1BAF">
              <w:rPr>
                <w:rStyle w:val="Hiperpovezava"/>
                <w:rFonts w:ascii="Arial" w:hAnsi="Arial" w:cs="Arial"/>
                <w:noProof/>
                <w:lang w:eastAsia="sl-SI"/>
              </w:rPr>
              <w:t>4.5.2</w:t>
            </w:r>
            <w:r w:rsidR="000B1BAF" w:rsidRPr="000B1BAF">
              <w:rPr>
                <w:rFonts w:ascii="Arial" w:eastAsiaTheme="minorEastAsia" w:hAnsi="Arial" w:cs="Arial"/>
                <w:noProof/>
                <w:lang w:eastAsia="sl-SI"/>
              </w:rPr>
              <w:tab/>
            </w:r>
            <w:r w:rsidR="000B1BAF" w:rsidRPr="000B1BAF">
              <w:rPr>
                <w:rStyle w:val="Hiperpovezava"/>
                <w:rFonts w:ascii="Arial" w:hAnsi="Arial" w:cs="Arial"/>
                <w:noProof/>
                <w:lang w:eastAsia="sl-SI"/>
              </w:rPr>
              <w:t>Urejanje zaznamkov v zvezi z odvzeto volilno pravico</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_Toc203552982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21</w:t>
            </w:r>
            <w:r w:rsidR="000B1BAF" w:rsidRPr="000B1BAF">
              <w:rPr>
                <w:rFonts w:ascii="Arial" w:hAnsi="Arial" w:cs="Arial"/>
                <w:noProof/>
                <w:webHidden/>
              </w:rPr>
              <w:fldChar w:fldCharType="end"/>
            </w:r>
          </w:hyperlink>
        </w:p>
        <w:p w14:paraId="280AE3AB" w14:textId="368805D8"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3" w:history="1">
            <w:r w:rsidR="000B1BAF" w:rsidRPr="000B1BAF">
              <w:rPr>
                <w:rStyle w:val="Hiperpovezava"/>
                <w:rFonts w:ascii="Arial" w:hAnsi="Arial" w:cs="Arial"/>
                <w:noProof/>
              </w:rPr>
              <w:t>4.5.3</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Aktivnosti v času volitev v Evropski parlament</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_Toc203552983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21</w:t>
            </w:r>
            <w:r w:rsidR="000B1BAF" w:rsidRPr="000B1BAF">
              <w:rPr>
                <w:rFonts w:ascii="Arial" w:hAnsi="Arial" w:cs="Arial"/>
                <w:noProof/>
                <w:webHidden/>
              </w:rPr>
              <w:fldChar w:fldCharType="end"/>
            </w:r>
          </w:hyperlink>
        </w:p>
        <w:p w14:paraId="44CCD948" w14:textId="2783F6AF"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4" w:history="1">
            <w:r w:rsidR="000B1BAF" w:rsidRPr="000B1BAF">
              <w:rPr>
                <w:rStyle w:val="Hiperpovezava"/>
                <w:rFonts w:ascii="Arial" w:hAnsi="Arial" w:cs="Arial"/>
                <w:noProof/>
              </w:rPr>
              <w:t>4.5.4</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Implementacija novele Zakona o centralnem registru prebivalstva</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_Toc203552984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22</w:t>
            </w:r>
            <w:r w:rsidR="000B1BAF" w:rsidRPr="000B1BAF">
              <w:rPr>
                <w:rFonts w:ascii="Arial" w:hAnsi="Arial" w:cs="Arial"/>
                <w:noProof/>
                <w:webHidden/>
              </w:rPr>
              <w:fldChar w:fldCharType="end"/>
            </w:r>
          </w:hyperlink>
        </w:p>
        <w:p w14:paraId="01B887E9" w14:textId="40C2938B"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5" w:history="1">
            <w:r w:rsidR="000B1BAF" w:rsidRPr="000B1BAF">
              <w:rPr>
                <w:rStyle w:val="Hiperpovezava"/>
                <w:rFonts w:ascii="Arial" w:hAnsi="Arial" w:cs="Arial"/>
                <w:noProof/>
              </w:rPr>
              <w:t>4.5.5</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Širitev uporabe elektronske prijave in odjave prebivališč</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_Toc203552985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22</w:t>
            </w:r>
            <w:r w:rsidR="000B1BAF" w:rsidRPr="000B1BAF">
              <w:rPr>
                <w:rFonts w:ascii="Arial" w:hAnsi="Arial" w:cs="Arial"/>
                <w:noProof/>
                <w:webHidden/>
              </w:rPr>
              <w:fldChar w:fldCharType="end"/>
            </w:r>
          </w:hyperlink>
        </w:p>
        <w:p w14:paraId="1F42A693" w14:textId="23DAC5E1"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6" w:history="1">
            <w:r w:rsidR="000B1BAF" w:rsidRPr="000B1BAF">
              <w:rPr>
                <w:rStyle w:val="Hiperpovezava"/>
                <w:rFonts w:ascii="Arial" w:hAnsi="Arial" w:cs="Arial"/>
                <w:noProof/>
              </w:rPr>
              <w:t>4.5.6</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Drugi pomembnejši podatki s področja registracije prebivalstva in javnih listin</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_Toc203552986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23</w:t>
            </w:r>
            <w:r w:rsidR="000B1BAF" w:rsidRPr="000B1BAF">
              <w:rPr>
                <w:rFonts w:ascii="Arial" w:hAnsi="Arial" w:cs="Arial"/>
                <w:noProof/>
                <w:webHidden/>
              </w:rPr>
              <w:fldChar w:fldCharType="end"/>
            </w:r>
          </w:hyperlink>
        </w:p>
        <w:p w14:paraId="5AFD2055" w14:textId="07E0AF6D"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7" w:history="1">
            <w:r w:rsidR="000B1BAF" w:rsidRPr="000B1BAF">
              <w:rPr>
                <w:rStyle w:val="Hiperpovezava"/>
                <w:rFonts w:ascii="Arial" w:hAnsi="Arial" w:cs="Arial"/>
                <w:noProof/>
              </w:rPr>
              <w:t>4.5.7</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Pridobitev državljanstva</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_Toc203552987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26</w:t>
            </w:r>
            <w:r w:rsidR="000B1BAF" w:rsidRPr="000B1BAF">
              <w:rPr>
                <w:rFonts w:ascii="Arial" w:hAnsi="Arial" w:cs="Arial"/>
                <w:noProof/>
                <w:webHidden/>
              </w:rPr>
              <w:fldChar w:fldCharType="end"/>
            </w:r>
          </w:hyperlink>
        </w:p>
        <w:p w14:paraId="3BCE3FEF" w14:textId="66FE4605"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8" w:history="1">
            <w:r w:rsidR="000B1BAF" w:rsidRPr="000B1BAF">
              <w:rPr>
                <w:rStyle w:val="Hiperpovezava"/>
                <w:rFonts w:ascii="Arial" w:hAnsi="Arial" w:cs="Arial"/>
                <w:noProof/>
              </w:rPr>
              <w:t>4.5.8</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Področje orožja</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_Toc203552988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27</w:t>
            </w:r>
            <w:r w:rsidR="000B1BAF" w:rsidRPr="000B1BAF">
              <w:rPr>
                <w:rFonts w:ascii="Arial" w:hAnsi="Arial" w:cs="Arial"/>
                <w:noProof/>
                <w:webHidden/>
              </w:rPr>
              <w:fldChar w:fldCharType="end"/>
            </w:r>
          </w:hyperlink>
        </w:p>
        <w:p w14:paraId="7277929B" w14:textId="467E39ED" w:rsidR="000B1BAF" w:rsidRPr="000B1BAF" w:rsidRDefault="00000000">
          <w:pPr>
            <w:pStyle w:val="Kazalovsebine3"/>
            <w:tabs>
              <w:tab w:val="left" w:pos="880"/>
              <w:tab w:val="right" w:pos="9060"/>
            </w:tabs>
            <w:rPr>
              <w:rFonts w:ascii="Arial" w:eastAsiaTheme="minorEastAsia" w:hAnsi="Arial" w:cs="Arial"/>
              <w:noProof/>
              <w:lang w:eastAsia="sl-SI"/>
            </w:rPr>
          </w:pPr>
          <w:hyperlink w:anchor="_Toc203552989" w:history="1">
            <w:r w:rsidR="000B1BAF" w:rsidRPr="000B1BAF">
              <w:rPr>
                <w:rStyle w:val="Hiperpovezava"/>
                <w:rFonts w:ascii="Arial" w:hAnsi="Arial" w:cs="Arial"/>
                <w:noProof/>
                <w:lang w:eastAsia="sl-SI"/>
              </w:rPr>
              <w:t>4.5.9</w:t>
            </w:r>
            <w:r w:rsidR="000B1BAF" w:rsidRPr="000B1BAF">
              <w:rPr>
                <w:rFonts w:ascii="Arial" w:eastAsiaTheme="minorEastAsia" w:hAnsi="Arial" w:cs="Arial"/>
                <w:noProof/>
                <w:lang w:eastAsia="sl-SI"/>
              </w:rPr>
              <w:tab/>
            </w:r>
            <w:r w:rsidR="000B1BAF" w:rsidRPr="000B1BAF">
              <w:rPr>
                <w:rStyle w:val="Hiperpovezava"/>
                <w:rFonts w:ascii="Arial" w:hAnsi="Arial" w:cs="Arial"/>
                <w:noProof/>
                <w:lang w:eastAsia="sl-SI"/>
              </w:rPr>
              <w:t>Področje eksplozivov</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_Toc203552989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28</w:t>
            </w:r>
            <w:r w:rsidR="000B1BAF" w:rsidRPr="000B1BAF">
              <w:rPr>
                <w:rFonts w:ascii="Arial" w:hAnsi="Arial" w:cs="Arial"/>
                <w:noProof/>
                <w:webHidden/>
              </w:rPr>
              <w:fldChar w:fldCharType="end"/>
            </w:r>
          </w:hyperlink>
        </w:p>
        <w:p w14:paraId="70403BE4" w14:textId="3913DA9F" w:rsidR="000B1BAF" w:rsidRPr="000B1BAF" w:rsidRDefault="00000000">
          <w:pPr>
            <w:pStyle w:val="Kazalovsebine3"/>
            <w:tabs>
              <w:tab w:val="left" w:pos="1100"/>
              <w:tab w:val="right" w:pos="9060"/>
            </w:tabs>
            <w:rPr>
              <w:rFonts w:ascii="Arial" w:eastAsiaTheme="minorEastAsia" w:hAnsi="Arial" w:cs="Arial"/>
              <w:noProof/>
              <w:lang w:eastAsia="sl-SI"/>
            </w:rPr>
          </w:pPr>
          <w:hyperlink w:anchor="_Toc203552990" w:history="1">
            <w:r w:rsidR="000B1BAF" w:rsidRPr="000B1BAF">
              <w:rPr>
                <w:rStyle w:val="Hiperpovezava"/>
                <w:rFonts w:ascii="Arial" w:hAnsi="Arial" w:cs="Arial"/>
                <w:noProof/>
              </w:rPr>
              <w:t>4.5.10</w:t>
            </w:r>
            <w:r w:rsidR="000B1BAF" w:rsidRPr="000B1BAF">
              <w:rPr>
                <w:rFonts w:ascii="Arial" w:eastAsiaTheme="minorEastAsia" w:hAnsi="Arial" w:cs="Arial"/>
                <w:noProof/>
                <w:lang w:eastAsia="sl-SI"/>
              </w:rPr>
              <w:tab/>
            </w:r>
            <w:r w:rsidR="000B1BAF" w:rsidRPr="000B1BAF">
              <w:rPr>
                <w:rStyle w:val="Hiperpovezava"/>
                <w:rFonts w:ascii="Arial" w:hAnsi="Arial" w:cs="Arial"/>
                <w:noProof/>
              </w:rPr>
              <w:t>Področje društev, javnih zbiranj in političnih strank</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_Toc203552990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29</w:t>
            </w:r>
            <w:r w:rsidR="000B1BAF" w:rsidRPr="000B1BAF">
              <w:rPr>
                <w:rFonts w:ascii="Arial" w:hAnsi="Arial" w:cs="Arial"/>
                <w:noProof/>
                <w:webHidden/>
              </w:rPr>
              <w:fldChar w:fldCharType="end"/>
            </w:r>
          </w:hyperlink>
        </w:p>
        <w:p w14:paraId="6B469622" w14:textId="04710DDE" w:rsidR="000B1BAF" w:rsidRPr="000B1BAF" w:rsidRDefault="00000000">
          <w:pPr>
            <w:pStyle w:val="Kazalovsebine3"/>
            <w:tabs>
              <w:tab w:val="left" w:pos="1100"/>
              <w:tab w:val="right" w:pos="9060"/>
            </w:tabs>
            <w:rPr>
              <w:rFonts w:ascii="Arial" w:eastAsiaTheme="minorEastAsia" w:hAnsi="Arial" w:cs="Arial"/>
              <w:noProof/>
              <w:lang w:eastAsia="sl-SI"/>
            </w:rPr>
          </w:pPr>
          <w:hyperlink w:anchor="_Toc203552991" w:history="1">
            <w:r w:rsidR="000B1BAF" w:rsidRPr="000B1BAF">
              <w:rPr>
                <w:rStyle w:val="Hiperpovezava"/>
                <w:rFonts w:ascii="Arial" w:hAnsi="Arial" w:cs="Arial"/>
                <w:noProof/>
              </w:rPr>
              <w:t>4.5.11</w:t>
            </w:r>
            <w:r w:rsidR="000B1BAF" w:rsidRPr="000B1BAF">
              <w:rPr>
                <w:rFonts w:ascii="Arial" w:eastAsiaTheme="minorEastAsia" w:hAnsi="Arial" w:cs="Arial"/>
                <w:noProof/>
                <w:lang w:eastAsia="sl-SI"/>
              </w:rPr>
              <w:tab/>
            </w:r>
            <w:r w:rsidR="000B1BAF" w:rsidRPr="000B1BAF">
              <w:rPr>
                <w:rStyle w:val="Hiperpovezava"/>
                <w:rFonts w:ascii="Arial" w:hAnsi="Arial" w:cs="Arial"/>
                <w:noProof/>
                <w:lang w:eastAsia="sl-SI"/>
              </w:rPr>
              <w:t>Informacijski sistem upravnih notranjih zadev (ISUNZ)</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_Toc203552991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30</w:t>
            </w:r>
            <w:r w:rsidR="000B1BAF" w:rsidRPr="000B1BAF">
              <w:rPr>
                <w:rFonts w:ascii="Arial" w:hAnsi="Arial" w:cs="Arial"/>
                <w:noProof/>
                <w:webHidden/>
              </w:rPr>
              <w:fldChar w:fldCharType="end"/>
            </w:r>
          </w:hyperlink>
        </w:p>
        <w:p w14:paraId="0DFA7D62" w14:textId="7383AF35" w:rsidR="000B1BAF" w:rsidRPr="000B1BAF" w:rsidRDefault="00000000">
          <w:pPr>
            <w:pStyle w:val="Kazalovsebine3"/>
            <w:tabs>
              <w:tab w:val="left" w:pos="1100"/>
              <w:tab w:val="right" w:pos="9060"/>
            </w:tabs>
            <w:rPr>
              <w:rFonts w:ascii="Arial" w:eastAsiaTheme="minorEastAsia" w:hAnsi="Arial" w:cs="Arial"/>
              <w:noProof/>
              <w:lang w:eastAsia="sl-SI"/>
            </w:rPr>
          </w:pPr>
          <w:hyperlink w:anchor="_Toc203552992" w:history="1">
            <w:r w:rsidR="000B1BAF" w:rsidRPr="000B1BAF">
              <w:rPr>
                <w:rStyle w:val="Hiperpovezava"/>
                <w:rFonts w:ascii="Arial" w:eastAsiaTheme="majorEastAsia" w:hAnsi="Arial" w:cs="Arial"/>
                <w:noProof/>
              </w:rPr>
              <w:t>4.5.12</w:t>
            </w:r>
            <w:r w:rsidR="000B1BAF" w:rsidRPr="000B1BAF">
              <w:rPr>
                <w:rFonts w:ascii="Arial" w:eastAsiaTheme="minorEastAsia" w:hAnsi="Arial" w:cs="Arial"/>
                <w:noProof/>
                <w:lang w:eastAsia="sl-SI"/>
              </w:rPr>
              <w:tab/>
            </w:r>
            <w:r w:rsidR="000B1BAF" w:rsidRPr="000B1BAF">
              <w:rPr>
                <w:rStyle w:val="Hiperpovezava"/>
                <w:rFonts w:ascii="Arial" w:eastAsiaTheme="majorEastAsia" w:hAnsi="Arial" w:cs="Arial"/>
                <w:noProof/>
              </w:rPr>
              <w:t>Druge aktivnosti na področju upravnih notranjih zadev v letu 2024</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_Toc203552992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32</w:t>
            </w:r>
            <w:r w:rsidR="000B1BAF" w:rsidRPr="000B1BAF">
              <w:rPr>
                <w:rFonts w:ascii="Arial" w:hAnsi="Arial" w:cs="Arial"/>
                <w:noProof/>
                <w:webHidden/>
              </w:rPr>
              <w:fldChar w:fldCharType="end"/>
            </w:r>
          </w:hyperlink>
        </w:p>
        <w:p w14:paraId="5DA8C2C9" w14:textId="097ED7FC"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93" w:history="1">
            <w:r w:rsidR="000B1BAF" w:rsidRPr="000B1BAF">
              <w:rPr>
                <w:rStyle w:val="Hiperpovezava"/>
                <w:rFonts w:ascii="Arial" w:hAnsi="Arial" w:cs="Arial"/>
                <w:noProof/>
                <w:sz w:val="20"/>
                <w:szCs w:val="20"/>
              </w:rPr>
              <w:t>5</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Upravljanje migracij</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_Toc203552993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32</w:t>
            </w:r>
            <w:r w:rsidR="000B1BAF" w:rsidRPr="000B1BAF">
              <w:rPr>
                <w:rFonts w:ascii="Arial" w:hAnsi="Arial" w:cs="Arial"/>
                <w:noProof/>
                <w:webHidden/>
                <w:sz w:val="20"/>
                <w:szCs w:val="20"/>
              </w:rPr>
              <w:fldChar w:fldCharType="end"/>
            </w:r>
          </w:hyperlink>
        </w:p>
        <w:p w14:paraId="2E457CFA" w14:textId="7D645614"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94" w:history="1">
            <w:r w:rsidR="000B1BAF" w:rsidRPr="000B1BAF">
              <w:rPr>
                <w:rStyle w:val="Hiperpovezava"/>
                <w:rFonts w:ascii="Arial" w:hAnsi="Arial" w:cs="Arial"/>
                <w:noProof/>
                <w:sz w:val="20"/>
                <w:szCs w:val="20"/>
              </w:rPr>
              <w:t>6</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Proaktivno in kredibilno mednarodno dvo- in večstransko sodelovanje</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_Toc203552994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40</w:t>
            </w:r>
            <w:r w:rsidR="000B1BAF" w:rsidRPr="000B1BAF">
              <w:rPr>
                <w:rFonts w:ascii="Arial" w:hAnsi="Arial" w:cs="Arial"/>
                <w:noProof/>
                <w:webHidden/>
                <w:sz w:val="20"/>
                <w:szCs w:val="20"/>
              </w:rPr>
              <w:fldChar w:fldCharType="end"/>
            </w:r>
          </w:hyperlink>
        </w:p>
        <w:p w14:paraId="3AD84223" w14:textId="0247482C"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95" w:history="1">
            <w:r w:rsidR="000B1BAF" w:rsidRPr="000B1BAF">
              <w:rPr>
                <w:rStyle w:val="Hiperpovezava"/>
                <w:rFonts w:ascii="Arial" w:hAnsi="Arial" w:cs="Arial"/>
                <w:noProof/>
                <w:sz w:val="20"/>
                <w:szCs w:val="20"/>
              </w:rPr>
              <w:t>7</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Preprečevanje in boj proti trgovini z ljudmi</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_Toc203552995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43</w:t>
            </w:r>
            <w:r w:rsidR="000B1BAF" w:rsidRPr="000B1BAF">
              <w:rPr>
                <w:rFonts w:ascii="Arial" w:hAnsi="Arial" w:cs="Arial"/>
                <w:noProof/>
                <w:webHidden/>
                <w:sz w:val="20"/>
                <w:szCs w:val="20"/>
              </w:rPr>
              <w:fldChar w:fldCharType="end"/>
            </w:r>
          </w:hyperlink>
        </w:p>
        <w:p w14:paraId="156DFEDA" w14:textId="71FD550C"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96" w:history="1">
            <w:r w:rsidR="000B1BAF" w:rsidRPr="000B1BAF">
              <w:rPr>
                <w:rStyle w:val="Hiperpovezava"/>
                <w:rFonts w:ascii="Arial" w:hAnsi="Arial" w:cs="Arial"/>
                <w:noProof/>
                <w:sz w:val="20"/>
                <w:szCs w:val="20"/>
              </w:rPr>
              <w:t>8</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Zagotavljanje pogojev za delo Ministrstva za notranje zadeve, policije in Inšpektorata Republike Slovenije za notranje zadeve</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_Toc203552996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45</w:t>
            </w:r>
            <w:r w:rsidR="000B1BAF" w:rsidRPr="000B1BAF">
              <w:rPr>
                <w:rFonts w:ascii="Arial" w:hAnsi="Arial" w:cs="Arial"/>
                <w:noProof/>
                <w:webHidden/>
                <w:sz w:val="20"/>
                <w:szCs w:val="20"/>
              </w:rPr>
              <w:fldChar w:fldCharType="end"/>
            </w:r>
          </w:hyperlink>
        </w:p>
        <w:p w14:paraId="37D6A545" w14:textId="10009643"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2997" w:history="1">
            <w:r w:rsidR="000B1BAF" w:rsidRPr="000B1BAF">
              <w:rPr>
                <w:rStyle w:val="Hiperpovezava"/>
                <w:rFonts w:ascii="Arial" w:hAnsi="Arial" w:cs="Arial"/>
                <w:noProof/>
                <w:sz w:val="20"/>
                <w:szCs w:val="20"/>
              </w:rPr>
              <w:t>9</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Podatki o proračunu Ministrstva za notranje zadeve, kadrovski podatki, pravne zadeve in druge dejavnosti</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_Toc203552997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50</w:t>
            </w:r>
            <w:r w:rsidR="000B1BAF" w:rsidRPr="000B1BAF">
              <w:rPr>
                <w:rFonts w:ascii="Arial" w:hAnsi="Arial" w:cs="Arial"/>
                <w:noProof/>
                <w:webHidden/>
                <w:sz w:val="20"/>
                <w:szCs w:val="20"/>
              </w:rPr>
              <w:fldChar w:fldCharType="end"/>
            </w:r>
          </w:hyperlink>
        </w:p>
        <w:p w14:paraId="408F2B1F" w14:textId="3F738746" w:rsidR="000B1BAF" w:rsidRPr="000B1BAF" w:rsidRDefault="00000000">
          <w:pPr>
            <w:pStyle w:val="Kazalovsebine2"/>
            <w:rPr>
              <w:rFonts w:ascii="Arial" w:eastAsiaTheme="minorEastAsia" w:hAnsi="Arial" w:cs="Arial"/>
              <w:b w:val="0"/>
              <w:bCs w:val="0"/>
              <w:noProof/>
              <w:lang w:eastAsia="sl-SI"/>
            </w:rPr>
          </w:pPr>
          <w:hyperlink w:anchor="_Toc203553003" w:history="1">
            <w:r w:rsidR="000B1BAF" w:rsidRPr="000B1BAF">
              <w:rPr>
                <w:rStyle w:val="Hiperpovezava"/>
                <w:rFonts w:ascii="Arial" w:hAnsi="Arial" w:cs="Arial"/>
                <w:noProof/>
              </w:rPr>
              <w:t>9.1</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Izvrševanje proračuna za leto 2024</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_Toc203553003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50</w:t>
            </w:r>
            <w:r w:rsidR="000B1BAF" w:rsidRPr="000B1BAF">
              <w:rPr>
                <w:rFonts w:ascii="Arial" w:hAnsi="Arial" w:cs="Arial"/>
                <w:noProof/>
                <w:webHidden/>
              </w:rPr>
              <w:fldChar w:fldCharType="end"/>
            </w:r>
          </w:hyperlink>
        </w:p>
        <w:p w14:paraId="4F76230C" w14:textId="3EDEAE13" w:rsidR="000B1BAF" w:rsidRPr="000B1BAF" w:rsidRDefault="00000000">
          <w:pPr>
            <w:pStyle w:val="Kazalovsebine2"/>
            <w:rPr>
              <w:rFonts w:ascii="Arial" w:eastAsiaTheme="minorEastAsia" w:hAnsi="Arial" w:cs="Arial"/>
              <w:b w:val="0"/>
              <w:bCs w:val="0"/>
              <w:noProof/>
              <w:lang w:eastAsia="sl-SI"/>
            </w:rPr>
          </w:pPr>
          <w:hyperlink w:anchor="_Toc203553004" w:history="1">
            <w:r w:rsidR="000B1BAF" w:rsidRPr="000B1BAF">
              <w:rPr>
                <w:rStyle w:val="Hiperpovezava"/>
                <w:rFonts w:ascii="Arial" w:hAnsi="Arial" w:cs="Arial"/>
                <w:noProof/>
              </w:rPr>
              <w:t>9.2</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Črpanje evropskih sredstev</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_Toc203553004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52</w:t>
            </w:r>
            <w:r w:rsidR="000B1BAF" w:rsidRPr="000B1BAF">
              <w:rPr>
                <w:rFonts w:ascii="Arial" w:hAnsi="Arial" w:cs="Arial"/>
                <w:noProof/>
                <w:webHidden/>
              </w:rPr>
              <w:fldChar w:fldCharType="end"/>
            </w:r>
          </w:hyperlink>
        </w:p>
        <w:p w14:paraId="022B5496" w14:textId="57B2A86C" w:rsidR="000B1BAF" w:rsidRPr="000B1BAF" w:rsidRDefault="00000000">
          <w:pPr>
            <w:pStyle w:val="Kazalovsebine2"/>
            <w:rPr>
              <w:rFonts w:ascii="Arial" w:eastAsiaTheme="minorEastAsia" w:hAnsi="Arial" w:cs="Arial"/>
              <w:b w:val="0"/>
              <w:bCs w:val="0"/>
              <w:noProof/>
              <w:lang w:eastAsia="sl-SI"/>
            </w:rPr>
          </w:pPr>
          <w:hyperlink w:anchor="_Toc203553005" w:history="1">
            <w:r w:rsidR="000B1BAF" w:rsidRPr="000B1BAF">
              <w:rPr>
                <w:rStyle w:val="Hiperpovezava"/>
                <w:rFonts w:ascii="Arial" w:hAnsi="Arial" w:cs="Arial"/>
                <w:noProof/>
              </w:rPr>
              <w:t>9.3</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Kadrovski podatki</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_Toc203553005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52</w:t>
            </w:r>
            <w:r w:rsidR="000B1BAF" w:rsidRPr="000B1BAF">
              <w:rPr>
                <w:rFonts w:ascii="Arial" w:hAnsi="Arial" w:cs="Arial"/>
                <w:noProof/>
                <w:webHidden/>
              </w:rPr>
              <w:fldChar w:fldCharType="end"/>
            </w:r>
          </w:hyperlink>
        </w:p>
        <w:p w14:paraId="5358AE12" w14:textId="5D7954FC" w:rsidR="000B1BAF" w:rsidRPr="000B1BAF" w:rsidRDefault="00000000">
          <w:pPr>
            <w:pStyle w:val="Kazalovsebine2"/>
            <w:rPr>
              <w:rFonts w:ascii="Arial" w:eastAsiaTheme="minorEastAsia" w:hAnsi="Arial" w:cs="Arial"/>
              <w:b w:val="0"/>
              <w:bCs w:val="0"/>
              <w:noProof/>
              <w:lang w:eastAsia="sl-SI"/>
            </w:rPr>
          </w:pPr>
          <w:hyperlink w:anchor="_Toc203553006" w:history="1">
            <w:r w:rsidR="000B1BAF" w:rsidRPr="000B1BAF">
              <w:rPr>
                <w:rStyle w:val="Hiperpovezava"/>
                <w:rFonts w:ascii="Arial" w:hAnsi="Arial" w:cs="Arial"/>
                <w:noProof/>
              </w:rPr>
              <w:t>9.4</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Varnost in zdravje pri delu</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_Toc203553006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53</w:t>
            </w:r>
            <w:r w:rsidR="000B1BAF" w:rsidRPr="000B1BAF">
              <w:rPr>
                <w:rFonts w:ascii="Arial" w:hAnsi="Arial" w:cs="Arial"/>
                <w:noProof/>
                <w:webHidden/>
              </w:rPr>
              <w:fldChar w:fldCharType="end"/>
            </w:r>
          </w:hyperlink>
        </w:p>
        <w:p w14:paraId="0C1ACF7F" w14:textId="27ED6CC5" w:rsidR="000B1BAF" w:rsidRPr="000B1BAF" w:rsidRDefault="00000000">
          <w:pPr>
            <w:pStyle w:val="Kazalovsebine2"/>
            <w:rPr>
              <w:rFonts w:ascii="Arial" w:eastAsiaTheme="minorEastAsia" w:hAnsi="Arial" w:cs="Arial"/>
              <w:b w:val="0"/>
              <w:bCs w:val="0"/>
              <w:noProof/>
              <w:lang w:eastAsia="sl-SI"/>
            </w:rPr>
          </w:pPr>
          <w:hyperlink w:anchor="_Toc203553007" w:history="1">
            <w:r w:rsidR="000B1BAF" w:rsidRPr="000B1BAF">
              <w:rPr>
                <w:rStyle w:val="Hiperpovezava"/>
                <w:rFonts w:ascii="Arial" w:hAnsi="Arial" w:cs="Arial"/>
                <w:noProof/>
              </w:rPr>
              <w:t>9.5</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Področje sodnih sporov in odškodninskih zahtevkov</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_Toc203553007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55</w:t>
            </w:r>
            <w:r w:rsidR="000B1BAF" w:rsidRPr="000B1BAF">
              <w:rPr>
                <w:rFonts w:ascii="Arial" w:hAnsi="Arial" w:cs="Arial"/>
                <w:noProof/>
                <w:webHidden/>
              </w:rPr>
              <w:fldChar w:fldCharType="end"/>
            </w:r>
          </w:hyperlink>
        </w:p>
        <w:p w14:paraId="7B96F547" w14:textId="77599220" w:rsidR="000B1BAF" w:rsidRPr="000B1BAF" w:rsidRDefault="00000000">
          <w:pPr>
            <w:pStyle w:val="Kazalovsebine2"/>
            <w:rPr>
              <w:rFonts w:ascii="Arial" w:eastAsiaTheme="minorEastAsia" w:hAnsi="Arial" w:cs="Arial"/>
              <w:b w:val="0"/>
              <w:bCs w:val="0"/>
              <w:noProof/>
              <w:lang w:eastAsia="sl-SI"/>
            </w:rPr>
          </w:pPr>
          <w:hyperlink w:anchor="_Toc203553008" w:history="1">
            <w:r w:rsidR="000B1BAF" w:rsidRPr="000B1BAF">
              <w:rPr>
                <w:rStyle w:val="Hiperpovezava"/>
                <w:rFonts w:ascii="Arial" w:hAnsi="Arial" w:cs="Arial"/>
                <w:noProof/>
              </w:rPr>
              <w:t>9.6</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Prevajanje in tolmačenje</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_Toc203553008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55</w:t>
            </w:r>
            <w:r w:rsidR="000B1BAF" w:rsidRPr="000B1BAF">
              <w:rPr>
                <w:rFonts w:ascii="Arial" w:hAnsi="Arial" w:cs="Arial"/>
                <w:noProof/>
                <w:webHidden/>
              </w:rPr>
              <w:fldChar w:fldCharType="end"/>
            </w:r>
          </w:hyperlink>
        </w:p>
        <w:p w14:paraId="694CA332" w14:textId="58C07950" w:rsidR="000B1BAF" w:rsidRPr="000B1BAF" w:rsidRDefault="00000000">
          <w:pPr>
            <w:pStyle w:val="Kazalovsebine2"/>
            <w:rPr>
              <w:rFonts w:ascii="Arial" w:eastAsiaTheme="minorEastAsia" w:hAnsi="Arial" w:cs="Arial"/>
              <w:b w:val="0"/>
              <w:bCs w:val="0"/>
              <w:noProof/>
              <w:lang w:eastAsia="sl-SI"/>
            </w:rPr>
          </w:pPr>
          <w:hyperlink w:anchor="_Toc203553009" w:history="1">
            <w:r w:rsidR="000B1BAF" w:rsidRPr="000B1BAF">
              <w:rPr>
                <w:rStyle w:val="Hiperpovezava"/>
                <w:rFonts w:ascii="Arial" w:hAnsi="Arial" w:cs="Arial"/>
                <w:noProof/>
              </w:rPr>
              <w:t>9.7</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Komuniciranje z javnostmi</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_Toc203553009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56</w:t>
            </w:r>
            <w:r w:rsidR="000B1BAF" w:rsidRPr="000B1BAF">
              <w:rPr>
                <w:rFonts w:ascii="Arial" w:hAnsi="Arial" w:cs="Arial"/>
                <w:noProof/>
                <w:webHidden/>
              </w:rPr>
              <w:fldChar w:fldCharType="end"/>
            </w:r>
          </w:hyperlink>
        </w:p>
        <w:p w14:paraId="3C1D9F7D" w14:textId="3510B033" w:rsidR="000B1BAF" w:rsidRPr="000B1BAF" w:rsidRDefault="00000000">
          <w:pPr>
            <w:pStyle w:val="Kazalovsebine1"/>
            <w:rPr>
              <w:rFonts w:ascii="Arial" w:eastAsiaTheme="minorEastAsia" w:hAnsi="Arial" w:cs="Arial"/>
              <w:b w:val="0"/>
              <w:bCs w:val="0"/>
              <w:caps w:val="0"/>
              <w:noProof/>
              <w:sz w:val="20"/>
              <w:szCs w:val="20"/>
              <w:lang w:eastAsia="sl-SI"/>
            </w:rPr>
          </w:pPr>
          <w:hyperlink w:anchor="_Toc203553010" w:history="1">
            <w:r w:rsidR="000B1BAF" w:rsidRPr="000B1BAF">
              <w:rPr>
                <w:rStyle w:val="Hiperpovezava"/>
                <w:rFonts w:ascii="Arial" w:hAnsi="Arial" w:cs="Arial"/>
                <w:noProof/>
                <w:sz w:val="20"/>
                <w:szCs w:val="20"/>
              </w:rPr>
              <w:t>10</w:t>
            </w:r>
            <w:r w:rsidR="000B1BAF" w:rsidRPr="000B1BAF">
              <w:rPr>
                <w:rFonts w:ascii="Arial" w:eastAsiaTheme="minorEastAsia" w:hAnsi="Arial" w:cs="Arial"/>
                <w:b w:val="0"/>
                <w:bCs w:val="0"/>
                <w:caps w:val="0"/>
                <w:noProof/>
                <w:sz w:val="20"/>
                <w:szCs w:val="20"/>
                <w:lang w:eastAsia="sl-SI"/>
              </w:rPr>
              <w:tab/>
            </w:r>
            <w:r w:rsidR="000B1BAF" w:rsidRPr="000B1BAF">
              <w:rPr>
                <w:rStyle w:val="Hiperpovezava"/>
                <w:rFonts w:ascii="Arial" w:hAnsi="Arial" w:cs="Arial"/>
                <w:noProof/>
                <w:sz w:val="20"/>
                <w:szCs w:val="20"/>
              </w:rPr>
              <w:t>Projekti, namenjeni večji učinkovitosti dela Ministrstva za notranje zadeve</w:t>
            </w:r>
            <w:r w:rsidR="000B1BAF" w:rsidRPr="000B1BAF">
              <w:rPr>
                <w:rFonts w:ascii="Arial" w:hAnsi="Arial" w:cs="Arial"/>
                <w:noProof/>
                <w:webHidden/>
                <w:sz w:val="20"/>
                <w:szCs w:val="20"/>
              </w:rPr>
              <w:tab/>
            </w:r>
            <w:r w:rsidR="000B1BAF" w:rsidRPr="000B1BAF">
              <w:rPr>
                <w:rFonts w:ascii="Arial" w:hAnsi="Arial" w:cs="Arial"/>
                <w:noProof/>
                <w:webHidden/>
                <w:sz w:val="20"/>
                <w:szCs w:val="20"/>
              </w:rPr>
              <w:fldChar w:fldCharType="begin"/>
            </w:r>
            <w:r w:rsidR="000B1BAF" w:rsidRPr="000B1BAF">
              <w:rPr>
                <w:rFonts w:ascii="Arial" w:hAnsi="Arial" w:cs="Arial"/>
                <w:noProof/>
                <w:webHidden/>
                <w:sz w:val="20"/>
                <w:szCs w:val="20"/>
              </w:rPr>
              <w:instrText xml:space="preserve"> PAGEREF _Toc203553010 \h </w:instrText>
            </w:r>
            <w:r w:rsidR="000B1BAF" w:rsidRPr="000B1BAF">
              <w:rPr>
                <w:rFonts w:ascii="Arial" w:hAnsi="Arial" w:cs="Arial"/>
                <w:noProof/>
                <w:webHidden/>
                <w:sz w:val="20"/>
                <w:szCs w:val="20"/>
              </w:rPr>
            </w:r>
            <w:r w:rsidR="000B1BAF" w:rsidRPr="000B1BAF">
              <w:rPr>
                <w:rFonts w:ascii="Arial" w:hAnsi="Arial" w:cs="Arial"/>
                <w:noProof/>
                <w:webHidden/>
                <w:sz w:val="20"/>
                <w:szCs w:val="20"/>
              </w:rPr>
              <w:fldChar w:fldCharType="separate"/>
            </w:r>
            <w:r w:rsidR="00E17569">
              <w:rPr>
                <w:rFonts w:ascii="Arial" w:hAnsi="Arial" w:cs="Arial"/>
                <w:noProof/>
                <w:webHidden/>
                <w:sz w:val="20"/>
                <w:szCs w:val="20"/>
              </w:rPr>
              <w:t>57</w:t>
            </w:r>
            <w:r w:rsidR="000B1BAF" w:rsidRPr="000B1BAF">
              <w:rPr>
                <w:rFonts w:ascii="Arial" w:hAnsi="Arial" w:cs="Arial"/>
                <w:noProof/>
                <w:webHidden/>
                <w:sz w:val="20"/>
                <w:szCs w:val="20"/>
              </w:rPr>
              <w:fldChar w:fldCharType="end"/>
            </w:r>
          </w:hyperlink>
        </w:p>
        <w:p w14:paraId="577C4E95" w14:textId="46D52EA2" w:rsidR="000B1BAF" w:rsidRPr="000B1BAF" w:rsidRDefault="00000000">
          <w:pPr>
            <w:pStyle w:val="Kazalovsebine2"/>
            <w:rPr>
              <w:rFonts w:ascii="Arial" w:eastAsiaTheme="minorEastAsia" w:hAnsi="Arial" w:cs="Arial"/>
              <w:b w:val="0"/>
              <w:bCs w:val="0"/>
              <w:noProof/>
              <w:lang w:eastAsia="sl-SI"/>
            </w:rPr>
          </w:pPr>
          <w:hyperlink w:anchor="_Toc203553012" w:history="1">
            <w:r w:rsidR="000B1BAF" w:rsidRPr="000B1BAF">
              <w:rPr>
                <w:rStyle w:val="Hiperpovezava"/>
                <w:rFonts w:ascii="Arial" w:hAnsi="Arial" w:cs="Arial"/>
                <w:noProof/>
              </w:rPr>
              <w:t>10.1</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Projekti digitalizacije in informatizacije</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_Toc203553012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57</w:t>
            </w:r>
            <w:r w:rsidR="000B1BAF" w:rsidRPr="000B1BAF">
              <w:rPr>
                <w:rFonts w:ascii="Arial" w:hAnsi="Arial" w:cs="Arial"/>
                <w:noProof/>
                <w:webHidden/>
              </w:rPr>
              <w:fldChar w:fldCharType="end"/>
            </w:r>
          </w:hyperlink>
        </w:p>
        <w:p w14:paraId="56DF919B" w14:textId="4C761913" w:rsidR="000B1BAF" w:rsidRPr="000B1BAF" w:rsidRDefault="00000000">
          <w:pPr>
            <w:pStyle w:val="Kazalovsebine2"/>
            <w:rPr>
              <w:rFonts w:ascii="Arial" w:eastAsiaTheme="minorEastAsia" w:hAnsi="Arial" w:cs="Arial"/>
              <w:b w:val="0"/>
              <w:bCs w:val="0"/>
              <w:noProof/>
              <w:lang w:eastAsia="sl-SI"/>
            </w:rPr>
          </w:pPr>
          <w:hyperlink w:anchor="_Toc203553013" w:history="1">
            <w:r w:rsidR="000B1BAF" w:rsidRPr="000B1BAF">
              <w:rPr>
                <w:rStyle w:val="Hiperpovezava"/>
                <w:rFonts w:ascii="Arial" w:hAnsi="Arial" w:cs="Arial"/>
                <w:noProof/>
              </w:rPr>
              <w:t>10.2</w:t>
            </w:r>
            <w:r w:rsidR="000B1BAF" w:rsidRPr="000B1BAF">
              <w:rPr>
                <w:rFonts w:ascii="Arial" w:eastAsiaTheme="minorEastAsia" w:hAnsi="Arial" w:cs="Arial"/>
                <w:b w:val="0"/>
                <w:bCs w:val="0"/>
                <w:noProof/>
                <w:lang w:eastAsia="sl-SI"/>
              </w:rPr>
              <w:tab/>
            </w:r>
            <w:r w:rsidR="000B1BAF" w:rsidRPr="000B1BAF">
              <w:rPr>
                <w:rStyle w:val="Hiperpovezava"/>
                <w:rFonts w:ascii="Arial" w:hAnsi="Arial" w:cs="Arial"/>
                <w:noProof/>
              </w:rPr>
              <w:t>Sodelovanje pri raziskovalni dejavnosti v okviru ciljnih raziskovalnih projektov</w:t>
            </w:r>
            <w:r w:rsidR="000B1BAF" w:rsidRPr="000B1BAF">
              <w:rPr>
                <w:rFonts w:ascii="Arial" w:hAnsi="Arial" w:cs="Arial"/>
                <w:noProof/>
                <w:webHidden/>
              </w:rPr>
              <w:tab/>
            </w:r>
            <w:r w:rsidR="000B1BAF" w:rsidRPr="000B1BAF">
              <w:rPr>
                <w:rFonts w:ascii="Arial" w:hAnsi="Arial" w:cs="Arial"/>
                <w:noProof/>
                <w:webHidden/>
              </w:rPr>
              <w:fldChar w:fldCharType="begin"/>
            </w:r>
            <w:r w:rsidR="000B1BAF" w:rsidRPr="000B1BAF">
              <w:rPr>
                <w:rFonts w:ascii="Arial" w:hAnsi="Arial" w:cs="Arial"/>
                <w:noProof/>
                <w:webHidden/>
              </w:rPr>
              <w:instrText xml:space="preserve"> PAGEREF _Toc203553013 \h </w:instrText>
            </w:r>
            <w:r w:rsidR="000B1BAF" w:rsidRPr="000B1BAF">
              <w:rPr>
                <w:rFonts w:ascii="Arial" w:hAnsi="Arial" w:cs="Arial"/>
                <w:noProof/>
                <w:webHidden/>
              </w:rPr>
            </w:r>
            <w:r w:rsidR="000B1BAF" w:rsidRPr="000B1BAF">
              <w:rPr>
                <w:rFonts w:ascii="Arial" w:hAnsi="Arial" w:cs="Arial"/>
                <w:noProof/>
                <w:webHidden/>
              </w:rPr>
              <w:fldChar w:fldCharType="separate"/>
            </w:r>
            <w:r w:rsidR="00E17569">
              <w:rPr>
                <w:rFonts w:ascii="Arial" w:hAnsi="Arial" w:cs="Arial"/>
                <w:noProof/>
                <w:webHidden/>
              </w:rPr>
              <w:t>60</w:t>
            </w:r>
            <w:r w:rsidR="000B1BAF" w:rsidRPr="000B1BAF">
              <w:rPr>
                <w:rFonts w:ascii="Arial" w:hAnsi="Arial" w:cs="Arial"/>
                <w:noProof/>
                <w:webHidden/>
              </w:rPr>
              <w:fldChar w:fldCharType="end"/>
            </w:r>
          </w:hyperlink>
        </w:p>
        <w:p w14:paraId="3F11EE7F" w14:textId="52CC75C7" w:rsidR="006E7EDA" w:rsidRPr="00A335CB" w:rsidRDefault="006E7EDA" w:rsidP="006E7EDA">
          <w:pPr>
            <w:spacing w:after="0" w:line="276" w:lineRule="auto"/>
            <w:rPr>
              <w:rFonts w:ascii="Arial" w:hAnsi="Arial" w:cs="Arial"/>
              <w:b/>
              <w:bCs/>
              <w:caps/>
              <w:sz w:val="20"/>
              <w:szCs w:val="20"/>
            </w:rPr>
          </w:pPr>
          <w:r w:rsidRPr="000B1BAF">
            <w:rPr>
              <w:rFonts w:ascii="Arial" w:hAnsi="Arial" w:cs="Arial"/>
              <w:b/>
              <w:bCs/>
              <w:caps/>
              <w:sz w:val="20"/>
              <w:szCs w:val="20"/>
            </w:rPr>
            <w:fldChar w:fldCharType="end"/>
          </w:r>
        </w:p>
      </w:sdtContent>
    </w:sdt>
    <w:p w14:paraId="71C68887" w14:textId="77777777" w:rsidR="00590E45" w:rsidRPr="00A335CB" w:rsidRDefault="00590E45" w:rsidP="005D1A90">
      <w:pPr>
        <w:spacing w:after="0" w:line="276" w:lineRule="auto"/>
        <w:jc w:val="both"/>
        <w:rPr>
          <w:rFonts w:ascii="Arial" w:hAnsi="Arial" w:cs="Arial"/>
          <w:sz w:val="20"/>
          <w:szCs w:val="20"/>
        </w:rPr>
      </w:pPr>
    </w:p>
    <w:p w14:paraId="65861FC4" w14:textId="6E493EEE" w:rsidR="00A211E1" w:rsidRDefault="00A211E1" w:rsidP="005D1A90">
      <w:pPr>
        <w:spacing w:line="276" w:lineRule="auto"/>
        <w:rPr>
          <w:rFonts w:ascii="Arial" w:hAnsi="Arial" w:cs="Arial"/>
        </w:rPr>
      </w:pPr>
      <w:bookmarkStart w:id="0" w:name="_Toc65651002"/>
      <w:bookmarkStart w:id="1" w:name="_Toc65591451"/>
    </w:p>
    <w:p w14:paraId="0B00267A" w14:textId="1066BC42" w:rsidR="000B1BAF" w:rsidRDefault="000B1BAF" w:rsidP="005D1A90">
      <w:pPr>
        <w:spacing w:line="276" w:lineRule="auto"/>
        <w:rPr>
          <w:rFonts w:ascii="Arial" w:hAnsi="Arial" w:cs="Arial"/>
        </w:rPr>
      </w:pPr>
    </w:p>
    <w:p w14:paraId="5050F1D6" w14:textId="77777777" w:rsidR="000B1BAF" w:rsidRPr="00A335CB" w:rsidRDefault="000B1BAF" w:rsidP="005D1A90">
      <w:pPr>
        <w:spacing w:line="276" w:lineRule="auto"/>
        <w:rPr>
          <w:rFonts w:ascii="Arial" w:hAnsi="Arial" w:cs="Arial"/>
        </w:rPr>
      </w:pPr>
    </w:p>
    <w:p w14:paraId="355C01B6" w14:textId="01E1A121" w:rsidR="00590E45" w:rsidRPr="00A335CB" w:rsidRDefault="00141F18" w:rsidP="005D1A90">
      <w:pPr>
        <w:pStyle w:val="Naslov1"/>
        <w:spacing w:after="0" w:line="276" w:lineRule="auto"/>
        <w:jc w:val="both"/>
        <w:rPr>
          <w:color w:val="auto"/>
        </w:rPr>
      </w:pPr>
      <w:bookmarkStart w:id="2" w:name="_Toc203552968"/>
      <w:r w:rsidRPr="00A335CB">
        <w:rPr>
          <w:color w:val="auto"/>
        </w:rPr>
        <w:t>S</w:t>
      </w:r>
      <w:r w:rsidR="00590E45" w:rsidRPr="00A335CB">
        <w:rPr>
          <w:color w:val="auto"/>
        </w:rPr>
        <w:t>plošno</w:t>
      </w:r>
      <w:bookmarkEnd w:id="0"/>
      <w:bookmarkEnd w:id="1"/>
      <w:bookmarkEnd w:id="2"/>
    </w:p>
    <w:p w14:paraId="7FE207DA" w14:textId="77777777" w:rsidR="00641FEA" w:rsidRPr="00A335CB" w:rsidRDefault="00641FEA" w:rsidP="005D1A90">
      <w:pPr>
        <w:spacing w:after="0" w:line="276" w:lineRule="auto"/>
        <w:rPr>
          <w:rFonts w:ascii="Arial" w:hAnsi="Arial" w:cs="Arial"/>
          <w:sz w:val="20"/>
          <w:szCs w:val="20"/>
        </w:rPr>
      </w:pPr>
    </w:p>
    <w:p w14:paraId="1D182461" w14:textId="33345773" w:rsidR="00931F5F" w:rsidRPr="00A335CB" w:rsidRDefault="00931F5F" w:rsidP="005D1A90">
      <w:pPr>
        <w:spacing w:after="0" w:line="276" w:lineRule="auto"/>
        <w:jc w:val="both"/>
        <w:rPr>
          <w:rFonts w:ascii="Arial" w:hAnsi="Arial" w:cs="Arial"/>
          <w:sz w:val="20"/>
          <w:szCs w:val="20"/>
        </w:rPr>
      </w:pPr>
      <w:r w:rsidRPr="00A335CB">
        <w:rPr>
          <w:rFonts w:ascii="Arial" w:hAnsi="Arial" w:cs="Arial"/>
          <w:sz w:val="20"/>
          <w:szCs w:val="20"/>
        </w:rPr>
        <w:t xml:space="preserve">Temeljno </w:t>
      </w:r>
      <w:r w:rsidRPr="00A335CB">
        <w:rPr>
          <w:rFonts w:ascii="Arial" w:hAnsi="Arial" w:cs="Arial"/>
          <w:b/>
          <w:sz w:val="20"/>
          <w:szCs w:val="20"/>
        </w:rPr>
        <w:t xml:space="preserve">poslanstvo </w:t>
      </w:r>
      <w:r w:rsidRPr="00A335CB">
        <w:rPr>
          <w:rFonts w:ascii="Arial" w:hAnsi="Arial" w:cs="Arial"/>
          <w:sz w:val="20"/>
          <w:szCs w:val="20"/>
        </w:rPr>
        <w:t>Ministrstva za notranje zadeve (</w:t>
      </w:r>
      <w:r w:rsidR="00B5619C" w:rsidRPr="00A335CB">
        <w:rPr>
          <w:rFonts w:ascii="Arial" w:hAnsi="Arial" w:cs="Arial"/>
          <w:sz w:val="20"/>
          <w:szCs w:val="20"/>
        </w:rPr>
        <w:t xml:space="preserve">v nadaljnjem besedilu: </w:t>
      </w:r>
      <w:r w:rsidRPr="00A335CB">
        <w:rPr>
          <w:rFonts w:ascii="Arial" w:hAnsi="Arial" w:cs="Arial"/>
          <w:sz w:val="20"/>
          <w:szCs w:val="20"/>
        </w:rPr>
        <w:t>MNZ) je zagotavljanje varnosti v državi, in sicer z delovanjem na področjih javne varnosti in policije, upravnih notranjih zadev, migracij in naturalizacije tujcev.</w:t>
      </w:r>
    </w:p>
    <w:p w14:paraId="45534616" w14:textId="77777777" w:rsidR="00931F5F" w:rsidRPr="00A335CB" w:rsidRDefault="00931F5F" w:rsidP="005D1A90">
      <w:pPr>
        <w:spacing w:after="0" w:line="276" w:lineRule="auto"/>
        <w:jc w:val="both"/>
        <w:rPr>
          <w:rFonts w:ascii="Arial" w:hAnsi="Arial" w:cs="Arial"/>
          <w:sz w:val="20"/>
          <w:szCs w:val="20"/>
        </w:rPr>
      </w:pPr>
    </w:p>
    <w:p w14:paraId="67EAED39" w14:textId="77777777" w:rsidR="003B5F13" w:rsidRPr="00A335CB" w:rsidRDefault="003B5F13" w:rsidP="005D1A90">
      <w:pPr>
        <w:spacing w:after="0" w:line="276" w:lineRule="auto"/>
        <w:jc w:val="both"/>
        <w:rPr>
          <w:rFonts w:ascii="Arial" w:hAnsi="Arial" w:cs="Arial"/>
          <w:sz w:val="20"/>
          <w:szCs w:val="20"/>
        </w:rPr>
      </w:pPr>
      <w:r w:rsidRPr="00A335CB">
        <w:rPr>
          <w:rFonts w:ascii="Arial" w:hAnsi="Arial" w:cs="Arial"/>
          <w:b/>
          <w:sz w:val="20"/>
          <w:szCs w:val="20"/>
        </w:rPr>
        <w:t>Vrednote</w:t>
      </w:r>
      <w:r w:rsidRPr="00A335CB">
        <w:rPr>
          <w:rFonts w:ascii="Arial" w:hAnsi="Arial" w:cs="Arial"/>
          <w:sz w:val="20"/>
          <w:szCs w:val="20"/>
        </w:rPr>
        <w:t xml:space="preserve"> zaposlenih v MNZ so spoštovanje pravne države in človekovih pravic, sodelovanje in spoštljiv odnos do ljudi, stalno izboljševanje in inovativnost ter prepričanje, da le sistemsko usmerjana in nadzorovana policija ter drugi varnostni subjekti zagotavljajo visoko stopnjo varnosti ljudi in človekovih pravic.</w:t>
      </w:r>
    </w:p>
    <w:p w14:paraId="6DB766FA" w14:textId="7AD288E1" w:rsidR="00653B9D" w:rsidRPr="00A335CB" w:rsidRDefault="00653B9D" w:rsidP="005D1A90">
      <w:pPr>
        <w:spacing w:after="0" w:line="276" w:lineRule="auto"/>
        <w:jc w:val="both"/>
        <w:rPr>
          <w:rFonts w:ascii="Arial" w:hAnsi="Arial" w:cs="Arial"/>
          <w:sz w:val="20"/>
          <w:szCs w:val="20"/>
        </w:rPr>
      </w:pPr>
    </w:p>
    <w:p w14:paraId="2FF66EFF" w14:textId="224F5CAE" w:rsidR="00653B9D" w:rsidRPr="00A335CB" w:rsidRDefault="00F13B6F" w:rsidP="005D1A90">
      <w:pPr>
        <w:spacing w:after="0" w:line="276" w:lineRule="auto"/>
        <w:jc w:val="both"/>
        <w:rPr>
          <w:rFonts w:ascii="Arial" w:hAnsi="Arial" w:cs="Arial"/>
          <w:sz w:val="20"/>
          <w:szCs w:val="20"/>
        </w:rPr>
      </w:pPr>
      <w:r w:rsidRPr="00A335CB">
        <w:rPr>
          <w:rFonts w:ascii="Arial" w:hAnsi="Arial" w:cs="Arial"/>
          <w:sz w:val="20"/>
          <w:szCs w:val="20"/>
        </w:rPr>
        <w:t>Delovanje MNZ</w:t>
      </w:r>
      <w:r w:rsidR="00653B9D" w:rsidRPr="00A335CB">
        <w:rPr>
          <w:rFonts w:ascii="Arial" w:hAnsi="Arial" w:cs="Arial"/>
          <w:sz w:val="20"/>
          <w:szCs w:val="20"/>
        </w:rPr>
        <w:t xml:space="preserve"> na </w:t>
      </w:r>
      <w:proofErr w:type="spellStart"/>
      <w:r w:rsidR="00653B9D" w:rsidRPr="00A335CB">
        <w:rPr>
          <w:rFonts w:ascii="Arial" w:hAnsi="Arial" w:cs="Arial"/>
          <w:sz w:val="20"/>
          <w:szCs w:val="20"/>
        </w:rPr>
        <w:t>obrambnovarnostnem</w:t>
      </w:r>
      <w:proofErr w:type="spellEnd"/>
      <w:r w:rsidR="00653B9D" w:rsidRPr="00A335CB">
        <w:rPr>
          <w:rFonts w:ascii="Arial" w:hAnsi="Arial" w:cs="Arial"/>
          <w:sz w:val="20"/>
          <w:szCs w:val="20"/>
        </w:rPr>
        <w:t xml:space="preserve"> področju so tudi v letu 2024 zaznamovale </w:t>
      </w:r>
      <w:r w:rsidR="00653B9D" w:rsidRPr="00A335CB">
        <w:rPr>
          <w:rFonts w:ascii="Arial" w:hAnsi="Arial" w:cs="Arial"/>
          <w:b/>
          <w:sz w:val="20"/>
          <w:szCs w:val="20"/>
        </w:rPr>
        <w:t>vojne v mednarodnem varnostnem okolju</w:t>
      </w:r>
      <w:r w:rsidR="00653B9D" w:rsidRPr="00A335CB">
        <w:rPr>
          <w:rFonts w:ascii="Arial" w:hAnsi="Arial" w:cs="Arial"/>
          <w:sz w:val="20"/>
          <w:szCs w:val="20"/>
        </w:rPr>
        <w:t xml:space="preserve">, zlasti v Ukrajini in na Bližnjem vzhodu. Večina </w:t>
      </w:r>
      <w:r w:rsidR="00660945">
        <w:rPr>
          <w:rFonts w:ascii="Arial" w:hAnsi="Arial" w:cs="Arial"/>
          <w:sz w:val="20"/>
          <w:szCs w:val="20"/>
        </w:rPr>
        <w:t>državnih</w:t>
      </w:r>
      <w:r w:rsidR="0087437A">
        <w:rPr>
          <w:rFonts w:ascii="Arial" w:hAnsi="Arial" w:cs="Arial"/>
          <w:sz w:val="20"/>
          <w:szCs w:val="20"/>
        </w:rPr>
        <w:t xml:space="preserve"> ukrepov</w:t>
      </w:r>
      <w:r w:rsidR="00660945" w:rsidRPr="00A335CB">
        <w:rPr>
          <w:rFonts w:ascii="Arial" w:hAnsi="Arial" w:cs="Arial"/>
          <w:sz w:val="20"/>
          <w:szCs w:val="20"/>
        </w:rPr>
        <w:t xml:space="preserve"> </w:t>
      </w:r>
      <w:r w:rsidR="00653B9D" w:rsidRPr="00A335CB">
        <w:rPr>
          <w:rFonts w:ascii="Arial" w:hAnsi="Arial" w:cs="Arial"/>
          <w:sz w:val="20"/>
          <w:szCs w:val="20"/>
        </w:rPr>
        <w:t xml:space="preserve">in ukrepov </w:t>
      </w:r>
      <w:r w:rsidR="0087437A">
        <w:rPr>
          <w:rFonts w:ascii="Arial" w:hAnsi="Arial" w:cs="Arial"/>
          <w:sz w:val="20"/>
          <w:szCs w:val="20"/>
        </w:rPr>
        <w:t xml:space="preserve">Nata za </w:t>
      </w:r>
      <w:r w:rsidR="0087437A" w:rsidRPr="00A335CB">
        <w:rPr>
          <w:rFonts w:ascii="Arial" w:hAnsi="Arial" w:cs="Arial"/>
          <w:sz w:val="20"/>
          <w:szCs w:val="20"/>
        </w:rPr>
        <w:t>krizn</w:t>
      </w:r>
      <w:r w:rsidR="0087437A">
        <w:rPr>
          <w:rFonts w:ascii="Arial" w:hAnsi="Arial" w:cs="Arial"/>
          <w:sz w:val="20"/>
          <w:szCs w:val="20"/>
        </w:rPr>
        <w:t>o</w:t>
      </w:r>
      <w:r w:rsidR="0087437A" w:rsidRPr="00A335CB">
        <w:rPr>
          <w:rFonts w:ascii="Arial" w:hAnsi="Arial" w:cs="Arial"/>
          <w:sz w:val="20"/>
          <w:szCs w:val="20"/>
        </w:rPr>
        <w:t xml:space="preserve"> odzivanj</w:t>
      </w:r>
      <w:r w:rsidR="0087437A">
        <w:rPr>
          <w:rFonts w:ascii="Arial" w:hAnsi="Arial" w:cs="Arial"/>
          <w:sz w:val="20"/>
          <w:szCs w:val="20"/>
        </w:rPr>
        <w:t>e</w:t>
      </w:r>
      <w:r w:rsidR="00653B9D" w:rsidRPr="00A335CB">
        <w:rPr>
          <w:rFonts w:ascii="Arial" w:hAnsi="Arial" w:cs="Arial"/>
          <w:sz w:val="20"/>
          <w:szCs w:val="20"/>
        </w:rPr>
        <w:t>, ki so se zaradi vojne v Ukrajini na ravni države izvajali od februarja 2022 dalje, je ostalo v veljavi. Prek kontaktne točke v Republiki Sloveniji, vzpostavljeni na Ministrstvu za obrambo (</w:t>
      </w:r>
      <w:r w:rsidRPr="00A335CB">
        <w:rPr>
          <w:rFonts w:ascii="Arial" w:hAnsi="Arial" w:cs="Arial"/>
          <w:sz w:val="20"/>
          <w:szCs w:val="20"/>
        </w:rPr>
        <w:t xml:space="preserve">v nadaljnjem besedilu: </w:t>
      </w:r>
      <w:r w:rsidR="00653B9D" w:rsidRPr="00A335CB">
        <w:rPr>
          <w:rFonts w:ascii="Arial" w:hAnsi="Arial" w:cs="Arial"/>
          <w:sz w:val="20"/>
          <w:szCs w:val="20"/>
        </w:rPr>
        <w:t xml:space="preserve">MORS), je </w:t>
      </w:r>
      <w:r w:rsidR="00EC7D2B">
        <w:rPr>
          <w:rFonts w:ascii="Arial" w:hAnsi="Arial" w:cs="Arial"/>
          <w:sz w:val="20"/>
          <w:szCs w:val="20"/>
        </w:rPr>
        <w:t>v letu</w:t>
      </w:r>
      <w:r w:rsidR="00653B9D" w:rsidRPr="00A335CB">
        <w:rPr>
          <w:rFonts w:ascii="Arial" w:hAnsi="Arial" w:cs="Arial"/>
          <w:sz w:val="20"/>
          <w:szCs w:val="20"/>
        </w:rPr>
        <w:t xml:space="preserve"> 2024 potekalo redno poročanje </w:t>
      </w:r>
      <w:r w:rsidR="0087437A">
        <w:rPr>
          <w:rFonts w:ascii="Arial" w:hAnsi="Arial" w:cs="Arial"/>
          <w:sz w:val="20"/>
          <w:szCs w:val="20"/>
        </w:rPr>
        <w:t>Nata</w:t>
      </w:r>
      <w:r w:rsidR="0087437A" w:rsidRPr="00A335CB">
        <w:rPr>
          <w:rFonts w:ascii="Arial" w:hAnsi="Arial" w:cs="Arial"/>
          <w:sz w:val="20"/>
          <w:szCs w:val="20"/>
        </w:rPr>
        <w:t xml:space="preserve"> </w:t>
      </w:r>
      <w:r w:rsidR="00653B9D" w:rsidRPr="00A335CB">
        <w:rPr>
          <w:rFonts w:ascii="Arial" w:hAnsi="Arial" w:cs="Arial"/>
          <w:sz w:val="20"/>
          <w:szCs w:val="20"/>
        </w:rPr>
        <w:t>o stanju civilne pripravljen</w:t>
      </w:r>
      <w:r w:rsidRPr="00A335CB">
        <w:rPr>
          <w:rFonts w:ascii="Arial" w:hAnsi="Arial" w:cs="Arial"/>
          <w:sz w:val="20"/>
          <w:szCs w:val="20"/>
        </w:rPr>
        <w:t>osti iz pristojnosti MNZ</w:t>
      </w:r>
      <w:r w:rsidR="00653B9D" w:rsidRPr="00A335CB">
        <w:rPr>
          <w:rFonts w:ascii="Arial" w:hAnsi="Arial" w:cs="Arial"/>
          <w:sz w:val="20"/>
          <w:szCs w:val="20"/>
        </w:rPr>
        <w:t xml:space="preserve"> in organov v s</w:t>
      </w:r>
      <w:r w:rsidRPr="00A335CB">
        <w:rPr>
          <w:rFonts w:ascii="Arial" w:hAnsi="Arial" w:cs="Arial"/>
          <w:sz w:val="20"/>
          <w:szCs w:val="20"/>
        </w:rPr>
        <w:t>estavi. Predstavniki MNZ</w:t>
      </w:r>
      <w:r w:rsidR="00653B9D" w:rsidRPr="00A335CB">
        <w:rPr>
          <w:rFonts w:ascii="Arial" w:hAnsi="Arial" w:cs="Arial"/>
          <w:sz w:val="20"/>
          <w:szCs w:val="20"/>
        </w:rPr>
        <w:t xml:space="preserve"> so januarja 2024 sodelovali na bilateralnem srečanju</w:t>
      </w:r>
      <w:r w:rsidR="0087437A">
        <w:rPr>
          <w:rFonts w:ascii="Arial" w:hAnsi="Arial" w:cs="Arial"/>
          <w:sz w:val="20"/>
          <w:szCs w:val="20"/>
        </w:rPr>
        <w:t xml:space="preserve"> Nata</w:t>
      </w:r>
      <w:r w:rsidR="00653B9D" w:rsidRPr="00A335CB">
        <w:rPr>
          <w:rFonts w:ascii="Arial" w:hAnsi="Arial" w:cs="Arial"/>
          <w:sz w:val="20"/>
          <w:szCs w:val="20"/>
        </w:rPr>
        <w:t xml:space="preserve">, na katerem visoki predstavniki zveze vsaki dve leti preverjajo uresničevanje zahtev in zavez držav članic </w:t>
      </w:r>
      <w:r w:rsidR="0087437A">
        <w:rPr>
          <w:rFonts w:ascii="Arial" w:hAnsi="Arial" w:cs="Arial"/>
          <w:sz w:val="20"/>
          <w:szCs w:val="20"/>
        </w:rPr>
        <w:t>Nata</w:t>
      </w:r>
      <w:r w:rsidR="00653B9D" w:rsidRPr="00A335CB">
        <w:rPr>
          <w:rFonts w:ascii="Arial" w:hAnsi="Arial" w:cs="Arial"/>
          <w:sz w:val="20"/>
          <w:szCs w:val="20"/>
        </w:rPr>
        <w:t xml:space="preserve">, v </w:t>
      </w:r>
      <w:r w:rsidR="00E36597">
        <w:rPr>
          <w:rFonts w:ascii="Arial" w:hAnsi="Arial" w:cs="Arial"/>
          <w:sz w:val="20"/>
          <w:szCs w:val="20"/>
        </w:rPr>
        <w:t>tem</w:t>
      </w:r>
      <w:r w:rsidR="00E36597" w:rsidRPr="00A335CB">
        <w:rPr>
          <w:rFonts w:ascii="Arial" w:hAnsi="Arial" w:cs="Arial"/>
          <w:sz w:val="20"/>
          <w:szCs w:val="20"/>
        </w:rPr>
        <w:t xml:space="preserve"> </w:t>
      </w:r>
      <w:r w:rsidR="00653B9D" w:rsidRPr="00A335CB">
        <w:rPr>
          <w:rFonts w:ascii="Arial" w:hAnsi="Arial" w:cs="Arial"/>
          <w:sz w:val="20"/>
          <w:szCs w:val="20"/>
        </w:rPr>
        <w:t>primeru s področja civilne pripravljenosti in odpornosti.</w:t>
      </w:r>
    </w:p>
    <w:p w14:paraId="6E7ED2FE" w14:textId="58D5BD72" w:rsidR="00653B9D" w:rsidRPr="00A335CB" w:rsidRDefault="00653B9D" w:rsidP="005D1A90">
      <w:pPr>
        <w:spacing w:after="0" w:line="276" w:lineRule="auto"/>
        <w:jc w:val="both"/>
        <w:rPr>
          <w:rFonts w:ascii="Arial" w:hAnsi="Arial" w:cs="Arial"/>
          <w:sz w:val="20"/>
          <w:szCs w:val="20"/>
        </w:rPr>
      </w:pPr>
    </w:p>
    <w:p w14:paraId="23043DFD" w14:textId="6CD580E3" w:rsidR="007C07F4" w:rsidRPr="00A335CB" w:rsidRDefault="00931F5F" w:rsidP="005D1A90">
      <w:pPr>
        <w:spacing w:after="0" w:line="276" w:lineRule="auto"/>
        <w:jc w:val="both"/>
        <w:rPr>
          <w:rFonts w:ascii="Arial" w:hAnsi="Arial" w:cs="Arial"/>
          <w:sz w:val="20"/>
          <w:szCs w:val="20"/>
        </w:rPr>
      </w:pPr>
      <w:r w:rsidRPr="00A335CB">
        <w:rPr>
          <w:rFonts w:ascii="Arial" w:hAnsi="Arial" w:cs="Arial"/>
          <w:sz w:val="20"/>
          <w:szCs w:val="20"/>
        </w:rPr>
        <w:t>MNZ je v letu</w:t>
      </w:r>
      <w:r w:rsidR="00660F71" w:rsidRPr="00A335CB">
        <w:rPr>
          <w:rFonts w:ascii="Arial" w:hAnsi="Arial" w:cs="Arial"/>
          <w:sz w:val="20"/>
          <w:szCs w:val="20"/>
        </w:rPr>
        <w:t> </w:t>
      </w:r>
      <w:r w:rsidR="004C7196" w:rsidRPr="00A335CB">
        <w:rPr>
          <w:rFonts w:ascii="Arial" w:hAnsi="Arial" w:cs="Arial"/>
          <w:sz w:val="20"/>
          <w:szCs w:val="20"/>
        </w:rPr>
        <w:t>2024</w:t>
      </w:r>
      <w:r w:rsidRPr="00A335CB">
        <w:rPr>
          <w:rFonts w:ascii="Arial" w:hAnsi="Arial" w:cs="Arial"/>
          <w:sz w:val="20"/>
          <w:szCs w:val="20"/>
        </w:rPr>
        <w:t xml:space="preserve"> </w:t>
      </w:r>
      <w:r w:rsidR="004966FE" w:rsidRPr="00A335CB">
        <w:rPr>
          <w:rFonts w:ascii="Arial" w:hAnsi="Arial" w:cs="Arial"/>
          <w:b/>
          <w:sz w:val="20"/>
          <w:szCs w:val="20"/>
        </w:rPr>
        <w:t xml:space="preserve">opravljalo </w:t>
      </w:r>
      <w:r w:rsidRPr="00A335CB">
        <w:rPr>
          <w:rFonts w:ascii="Arial" w:hAnsi="Arial" w:cs="Arial"/>
          <w:b/>
          <w:sz w:val="20"/>
          <w:szCs w:val="20"/>
        </w:rPr>
        <w:t>naloge</w:t>
      </w:r>
      <w:r w:rsidR="000B51CB" w:rsidRPr="00A335CB">
        <w:rPr>
          <w:rFonts w:ascii="Arial" w:hAnsi="Arial" w:cs="Arial"/>
          <w:sz w:val="20"/>
          <w:szCs w:val="20"/>
        </w:rPr>
        <w:t xml:space="preserve"> usmerjanja, nadziranja in reševanja</w:t>
      </w:r>
      <w:r w:rsidRPr="00A335CB">
        <w:rPr>
          <w:rFonts w:ascii="Arial" w:hAnsi="Arial" w:cs="Arial"/>
          <w:sz w:val="20"/>
          <w:szCs w:val="20"/>
        </w:rPr>
        <w:t xml:space="preserve"> pritožb zoper</w:t>
      </w:r>
      <w:r w:rsidR="000B51CB" w:rsidRPr="00A335CB">
        <w:rPr>
          <w:rFonts w:ascii="Arial" w:hAnsi="Arial" w:cs="Arial"/>
          <w:sz w:val="20"/>
          <w:szCs w:val="20"/>
        </w:rPr>
        <w:t xml:space="preserve"> delo policije ter naloge na področju zasebnega varovanja, detektivske dejavnosti, varnosti na s</w:t>
      </w:r>
      <w:r w:rsidR="004E5DA3">
        <w:rPr>
          <w:rFonts w:ascii="Arial" w:hAnsi="Arial" w:cs="Arial"/>
          <w:sz w:val="20"/>
          <w:szCs w:val="20"/>
        </w:rPr>
        <w:t xml:space="preserve">mučiščih, občinskega redarstva, </w:t>
      </w:r>
      <w:r w:rsidR="004E5DA3" w:rsidRPr="004E5DA3">
        <w:rPr>
          <w:rFonts w:ascii="Arial" w:hAnsi="Arial" w:cs="Arial"/>
          <w:sz w:val="20"/>
          <w:szCs w:val="20"/>
        </w:rPr>
        <w:t xml:space="preserve">informacijske varnosti in upravljanja s podatki, vključno z </w:t>
      </w:r>
      <w:r w:rsidR="004E5DA3">
        <w:rPr>
          <w:rFonts w:ascii="Arial" w:hAnsi="Arial" w:cs="Arial"/>
          <w:sz w:val="20"/>
          <w:szCs w:val="20"/>
        </w:rPr>
        <w:t>varstvom</w:t>
      </w:r>
      <w:r w:rsidR="000B51CB" w:rsidRPr="00A335CB">
        <w:rPr>
          <w:rFonts w:ascii="Arial" w:hAnsi="Arial" w:cs="Arial"/>
          <w:sz w:val="20"/>
          <w:szCs w:val="20"/>
        </w:rPr>
        <w:t xml:space="preserve"> tajnih podatkov, varnostnega načrtovanja ter </w:t>
      </w:r>
      <w:r w:rsidR="000B51CB" w:rsidRPr="002912A8">
        <w:rPr>
          <w:rFonts w:ascii="Arial" w:hAnsi="Arial" w:cs="Arial"/>
          <w:sz w:val="20"/>
          <w:szCs w:val="20"/>
        </w:rPr>
        <w:t>sistemsko normativne</w:t>
      </w:r>
      <w:r w:rsidR="000B51CB" w:rsidRPr="00A335CB">
        <w:rPr>
          <w:rFonts w:ascii="Arial" w:hAnsi="Arial" w:cs="Arial"/>
          <w:sz w:val="20"/>
          <w:szCs w:val="20"/>
        </w:rPr>
        <w:t xml:space="preserve"> in analitske dejavnosti s področja dela policije in drugih varnostnih subjektov. Zagotavljalo je učinkovito in strokovno opravljanje </w:t>
      </w:r>
      <w:r w:rsidRPr="00A335CB">
        <w:rPr>
          <w:rFonts w:ascii="Arial" w:hAnsi="Arial" w:cs="Arial"/>
          <w:sz w:val="20"/>
          <w:szCs w:val="20"/>
        </w:rPr>
        <w:t>upravnih nalog na področju migracij in naturalizacije tujcev, izdaje potovalnih dokumentov, izvedbe volilnih opravil, pošiljanja podatkov iz centralnega registra prebivalstva, vodenja osebnega statusa v matičnem registru, prijave prebivališča, pridobitve drž</w:t>
      </w:r>
      <w:r w:rsidR="00777834" w:rsidRPr="00A335CB">
        <w:rPr>
          <w:rFonts w:ascii="Arial" w:hAnsi="Arial" w:cs="Arial"/>
          <w:sz w:val="20"/>
          <w:szCs w:val="20"/>
        </w:rPr>
        <w:t xml:space="preserve">avljanstva Republike Slovenije, društev, registracije </w:t>
      </w:r>
      <w:r w:rsidRPr="00A335CB">
        <w:rPr>
          <w:rFonts w:ascii="Arial" w:hAnsi="Arial" w:cs="Arial"/>
          <w:sz w:val="20"/>
          <w:szCs w:val="20"/>
        </w:rPr>
        <w:t>političnih strank, javnih</w:t>
      </w:r>
      <w:r w:rsidR="000B51CB" w:rsidRPr="00A335CB">
        <w:rPr>
          <w:rFonts w:ascii="Arial" w:hAnsi="Arial" w:cs="Arial"/>
          <w:sz w:val="20"/>
          <w:szCs w:val="20"/>
        </w:rPr>
        <w:t xml:space="preserve"> zbiranj, orožja in eksploziva.</w:t>
      </w:r>
    </w:p>
    <w:p w14:paraId="21F4BE35" w14:textId="06F4E24B" w:rsidR="004C7196" w:rsidRPr="00A335CB" w:rsidRDefault="004C7196" w:rsidP="005D1A90">
      <w:pPr>
        <w:spacing w:after="0" w:line="276" w:lineRule="auto"/>
        <w:jc w:val="both"/>
        <w:rPr>
          <w:rFonts w:ascii="Arial" w:hAnsi="Arial" w:cs="Arial"/>
          <w:sz w:val="20"/>
          <w:szCs w:val="20"/>
        </w:rPr>
      </w:pPr>
    </w:p>
    <w:p w14:paraId="3FFBD5CB" w14:textId="7CB0B3F5" w:rsidR="004C7196" w:rsidRPr="00A335CB" w:rsidRDefault="004C7196" w:rsidP="005D1A90">
      <w:pPr>
        <w:spacing w:after="0" w:line="276" w:lineRule="auto"/>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varstva pred naravnimi in drugimi nesrečami</w:t>
      </w:r>
      <w:r w:rsidRPr="00A335CB">
        <w:rPr>
          <w:rFonts w:ascii="Arial" w:hAnsi="Arial" w:cs="Arial"/>
          <w:sz w:val="20"/>
          <w:szCs w:val="20"/>
        </w:rPr>
        <w:t xml:space="preserve"> so potekale številne aktivnosti, ki so se nanašale zlasti na posodobitev načrtov zaščite in reševanja ter s tem povezanih dokumentov.</w:t>
      </w:r>
    </w:p>
    <w:p w14:paraId="33EA34D6" w14:textId="4C0B0D36" w:rsidR="00AF5B41" w:rsidRPr="00A335CB" w:rsidRDefault="00AF5B41" w:rsidP="005D1A90">
      <w:pPr>
        <w:spacing w:after="0" w:line="276" w:lineRule="auto"/>
        <w:jc w:val="both"/>
        <w:rPr>
          <w:rFonts w:ascii="Arial" w:hAnsi="Arial" w:cs="Arial"/>
          <w:sz w:val="20"/>
          <w:szCs w:val="20"/>
        </w:rPr>
      </w:pPr>
    </w:p>
    <w:p w14:paraId="48A44BA8" w14:textId="6BFFB2D7" w:rsidR="00AF5B41" w:rsidRPr="00A335CB" w:rsidRDefault="00931F5F" w:rsidP="001B0FB9">
      <w:pPr>
        <w:spacing w:after="0" w:line="276" w:lineRule="auto"/>
        <w:jc w:val="both"/>
        <w:rPr>
          <w:rFonts w:ascii="Arial" w:hAnsi="Arial" w:cs="Arial"/>
          <w:sz w:val="20"/>
          <w:szCs w:val="20"/>
        </w:rPr>
      </w:pPr>
      <w:r w:rsidRPr="00A335CB">
        <w:rPr>
          <w:rFonts w:ascii="Arial" w:hAnsi="Arial" w:cs="Arial"/>
          <w:sz w:val="20"/>
          <w:szCs w:val="20"/>
        </w:rPr>
        <w:t>K zagotavljanju</w:t>
      </w:r>
      <w:r w:rsidR="00AF5B41" w:rsidRPr="00A335CB">
        <w:rPr>
          <w:rFonts w:ascii="Arial" w:hAnsi="Arial" w:cs="Arial"/>
          <w:sz w:val="20"/>
          <w:szCs w:val="20"/>
        </w:rPr>
        <w:t xml:space="preserve"> javne varnosti, dobrososedskih odnosov in upravljanja migracij je </w:t>
      </w:r>
      <w:r w:rsidR="00342556" w:rsidRPr="00A335CB">
        <w:rPr>
          <w:rFonts w:ascii="Arial" w:hAnsi="Arial" w:cs="Arial"/>
          <w:sz w:val="20"/>
          <w:szCs w:val="20"/>
        </w:rPr>
        <w:t xml:space="preserve">MNZ prispevalo z </w:t>
      </w:r>
      <w:r w:rsidR="00342556" w:rsidRPr="00A335CB">
        <w:rPr>
          <w:rFonts w:ascii="Arial" w:hAnsi="Arial" w:cs="Arial"/>
          <w:b/>
          <w:sz w:val="20"/>
          <w:szCs w:val="20"/>
        </w:rPr>
        <w:t xml:space="preserve">izvajanjem številnih </w:t>
      </w:r>
      <w:r w:rsidR="004966FE" w:rsidRPr="00A335CB">
        <w:rPr>
          <w:rFonts w:ascii="Arial" w:hAnsi="Arial" w:cs="Arial"/>
          <w:b/>
          <w:sz w:val="20"/>
          <w:szCs w:val="20"/>
        </w:rPr>
        <w:t xml:space="preserve">dejavnosti </w:t>
      </w:r>
      <w:r w:rsidR="00342556" w:rsidRPr="00A335CB">
        <w:rPr>
          <w:rFonts w:ascii="Arial" w:hAnsi="Arial" w:cs="Arial"/>
          <w:b/>
          <w:sz w:val="20"/>
          <w:szCs w:val="20"/>
        </w:rPr>
        <w:t>na področju mednarodnega sodelovanja</w:t>
      </w:r>
      <w:r w:rsidR="00AF5B41" w:rsidRPr="00A335CB">
        <w:rPr>
          <w:rFonts w:ascii="Arial" w:hAnsi="Arial" w:cs="Arial"/>
          <w:sz w:val="20"/>
          <w:szCs w:val="20"/>
        </w:rPr>
        <w:t xml:space="preserve"> na dvostranski, regionalni </w:t>
      </w:r>
      <w:r w:rsidR="00465FD0" w:rsidRPr="00A335CB">
        <w:rPr>
          <w:rFonts w:ascii="Arial" w:hAnsi="Arial" w:cs="Arial"/>
          <w:sz w:val="20"/>
          <w:szCs w:val="20"/>
        </w:rPr>
        <w:t xml:space="preserve">in </w:t>
      </w:r>
      <w:r w:rsidR="00342556" w:rsidRPr="00A335CB">
        <w:rPr>
          <w:rFonts w:ascii="Arial" w:hAnsi="Arial" w:cs="Arial"/>
          <w:sz w:val="20"/>
          <w:szCs w:val="20"/>
        </w:rPr>
        <w:t xml:space="preserve">večstranski ravni. </w:t>
      </w:r>
      <w:r w:rsidR="00141D17">
        <w:rPr>
          <w:rFonts w:ascii="Arial" w:hAnsi="Arial" w:cs="Arial"/>
          <w:sz w:val="20"/>
          <w:szCs w:val="20"/>
        </w:rPr>
        <w:t>P</w:t>
      </w:r>
      <w:r w:rsidR="00AF5B41" w:rsidRPr="00A335CB">
        <w:rPr>
          <w:rFonts w:ascii="Arial" w:hAnsi="Arial" w:cs="Arial"/>
          <w:sz w:val="20"/>
          <w:szCs w:val="20"/>
        </w:rPr>
        <w:t>omembno je</w:t>
      </w:r>
      <w:r w:rsidR="00141D17">
        <w:rPr>
          <w:rFonts w:ascii="Arial" w:hAnsi="Arial" w:cs="Arial"/>
          <w:sz w:val="20"/>
          <w:szCs w:val="20"/>
        </w:rPr>
        <w:t xml:space="preserve"> predvsem</w:t>
      </w:r>
      <w:r w:rsidR="00AF5B41" w:rsidRPr="00A335CB">
        <w:rPr>
          <w:rFonts w:ascii="Arial" w:hAnsi="Arial" w:cs="Arial"/>
          <w:sz w:val="20"/>
          <w:szCs w:val="20"/>
        </w:rPr>
        <w:t xml:space="preserve"> </w:t>
      </w:r>
      <w:r w:rsidR="00465FD0" w:rsidRPr="00A335CB">
        <w:rPr>
          <w:rFonts w:ascii="Arial" w:hAnsi="Arial" w:cs="Arial"/>
          <w:sz w:val="20"/>
          <w:szCs w:val="20"/>
        </w:rPr>
        <w:t xml:space="preserve">dejavno </w:t>
      </w:r>
      <w:r w:rsidR="00AF5B41" w:rsidRPr="00A335CB">
        <w:rPr>
          <w:rFonts w:ascii="Arial" w:hAnsi="Arial" w:cs="Arial"/>
          <w:sz w:val="20"/>
          <w:szCs w:val="20"/>
        </w:rPr>
        <w:t>delovanje v okviru Evropske unije (</w:t>
      </w:r>
      <w:r w:rsidR="00F13B6F" w:rsidRPr="00A335CB">
        <w:rPr>
          <w:rFonts w:ascii="Arial" w:hAnsi="Arial" w:cs="Arial"/>
          <w:sz w:val="20"/>
          <w:szCs w:val="20"/>
        </w:rPr>
        <w:t xml:space="preserve">v nadaljnjem besedilu: </w:t>
      </w:r>
      <w:r w:rsidR="00AF5B41" w:rsidRPr="00A335CB">
        <w:rPr>
          <w:rFonts w:ascii="Arial" w:hAnsi="Arial" w:cs="Arial"/>
          <w:sz w:val="20"/>
          <w:szCs w:val="20"/>
        </w:rPr>
        <w:t xml:space="preserve">EU), saj </w:t>
      </w:r>
      <w:r w:rsidR="00465FD0" w:rsidRPr="00A335CB">
        <w:rPr>
          <w:rFonts w:ascii="Arial" w:hAnsi="Arial" w:cs="Arial"/>
          <w:sz w:val="20"/>
          <w:szCs w:val="20"/>
        </w:rPr>
        <w:t xml:space="preserve">sta </w:t>
      </w:r>
      <w:r w:rsidR="00AF5B41" w:rsidRPr="00A335CB">
        <w:rPr>
          <w:rFonts w:ascii="Arial" w:hAnsi="Arial" w:cs="Arial"/>
          <w:sz w:val="20"/>
          <w:szCs w:val="20"/>
        </w:rPr>
        <w:t>oblikovanje zakonodaje in sodelovanje na področju notranjih zadev ključn</w:t>
      </w:r>
      <w:r w:rsidR="00465FD0" w:rsidRPr="00A335CB">
        <w:rPr>
          <w:rFonts w:ascii="Arial" w:hAnsi="Arial" w:cs="Arial"/>
          <w:sz w:val="20"/>
          <w:szCs w:val="20"/>
        </w:rPr>
        <w:t>a</w:t>
      </w:r>
      <w:r w:rsidR="00AF5B41" w:rsidRPr="00A335CB">
        <w:rPr>
          <w:rFonts w:ascii="Arial" w:hAnsi="Arial" w:cs="Arial"/>
          <w:sz w:val="20"/>
          <w:szCs w:val="20"/>
        </w:rPr>
        <w:t xml:space="preserve"> za zagotavljanj</w:t>
      </w:r>
      <w:r w:rsidR="009703BB" w:rsidRPr="00A335CB">
        <w:rPr>
          <w:rFonts w:ascii="Arial" w:hAnsi="Arial" w:cs="Arial"/>
          <w:sz w:val="20"/>
          <w:szCs w:val="20"/>
        </w:rPr>
        <w:t>e stabilnega in varnega okolja.</w:t>
      </w:r>
    </w:p>
    <w:p w14:paraId="1E4218FC" w14:textId="77777777" w:rsidR="001B0FB9" w:rsidRPr="00A335CB" w:rsidRDefault="001B0FB9" w:rsidP="001B0FB9">
      <w:pPr>
        <w:spacing w:after="0" w:line="276" w:lineRule="auto"/>
        <w:jc w:val="both"/>
        <w:rPr>
          <w:rFonts w:ascii="Arial" w:hAnsi="Arial" w:cs="Arial"/>
          <w:sz w:val="20"/>
          <w:szCs w:val="20"/>
        </w:rPr>
      </w:pPr>
    </w:p>
    <w:p w14:paraId="15E95F28" w14:textId="3F36C6B2" w:rsidR="003D1907" w:rsidRPr="00A335CB" w:rsidRDefault="009429A4" w:rsidP="001B0FB9">
      <w:pPr>
        <w:spacing w:after="0" w:line="276" w:lineRule="auto"/>
        <w:jc w:val="both"/>
        <w:rPr>
          <w:rFonts w:ascii="Arial" w:hAnsi="Arial" w:cs="Arial"/>
          <w:sz w:val="20"/>
          <w:szCs w:val="20"/>
        </w:rPr>
      </w:pPr>
      <w:r w:rsidRPr="00A335CB">
        <w:rPr>
          <w:rFonts w:ascii="Arial" w:hAnsi="Arial" w:cs="Arial"/>
          <w:sz w:val="20"/>
          <w:szCs w:val="20"/>
        </w:rPr>
        <w:t xml:space="preserve">MNZ je skrbelo za koordinacijo </w:t>
      </w:r>
      <w:r w:rsidR="004966FE" w:rsidRPr="00A335CB">
        <w:rPr>
          <w:rFonts w:ascii="Arial" w:hAnsi="Arial" w:cs="Arial"/>
          <w:sz w:val="20"/>
          <w:szCs w:val="20"/>
        </w:rPr>
        <w:t xml:space="preserve">dejavnosti </w:t>
      </w:r>
      <w:r w:rsidRPr="00A335CB">
        <w:rPr>
          <w:rFonts w:ascii="Arial" w:hAnsi="Arial" w:cs="Arial"/>
          <w:sz w:val="20"/>
          <w:szCs w:val="20"/>
        </w:rPr>
        <w:t>na področju preprečevanja trgovine z ljudmi in boja proti njej na ravni države ter zagotavljalo izvajanje programov pomoči žrtvam trgovanja.</w:t>
      </w:r>
    </w:p>
    <w:p w14:paraId="33717B06" w14:textId="77777777" w:rsidR="001B0FB9" w:rsidRPr="00A335CB" w:rsidRDefault="001B0FB9" w:rsidP="001B0FB9">
      <w:pPr>
        <w:spacing w:after="0" w:line="276" w:lineRule="auto"/>
        <w:jc w:val="both"/>
        <w:rPr>
          <w:rFonts w:ascii="Arial" w:hAnsi="Arial" w:cs="Arial"/>
          <w:sz w:val="20"/>
          <w:szCs w:val="20"/>
        </w:rPr>
      </w:pPr>
    </w:p>
    <w:p w14:paraId="2017988D" w14:textId="30751C1F" w:rsidR="0007345D" w:rsidRPr="00A335CB" w:rsidRDefault="00024DD1"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Pri komuniciranju z zunanjo in notranjo javnostjo so v letu 2024 najbolj izstopala nasled</w:t>
      </w:r>
      <w:r w:rsidR="00F13B6F" w:rsidRPr="00A335CB">
        <w:rPr>
          <w:rFonts w:ascii="Arial" w:hAnsi="Arial" w:cs="Arial"/>
          <w:sz w:val="20"/>
          <w:szCs w:val="20"/>
          <w:lang w:eastAsia="sl-SI"/>
        </w:rPr>
        <w:t>nja delovna področja MNZ</w:t>
      </w:r>
      <w:r w:rsidRPr="00A335CB">
        <w:rPr>
          <w:rFonts w:ascii="Arial" w:hAnsi="Arial" w:cs="Arial"/>
          <w:sz w:val="20"/>
          <w:szCs w:val="20"/>
          <w:lang w:eastAsia="sl-SI"/>
        </w:rPr>
        <w:t>: migracije, tujska zakonodaja, vzpostavitev ponovnega začasnega nadzora na notranji schengenski meji s Hrvaško in Madžarsko, romska tematika ter nadzori nad delom policije in izdane</w:t>
      </w:r>
      <w:r w:rsidR="00F13B6F" w:rsidRPr="00A335CB">
        <w:rPr>
          <w:rFonts w:ascii="Arial" w:hAnsi="Arial" w:cs="Arial"/>
          <w:sz w:val="20"/>
          <w:szCs w:val="20"/>
          <w:lang w:eastAsia="sl-SI"/>
        </w:rPr>
        <w:t xml:space="preserve"> usmeritve. Posebna pozornost</w:t>
      </w:r>
      <w:r w:rsidRPr="00A335CB">
        <w:rPr>
          <w:rFonts w:ascii="Arial" w:hAnsi="Arial" w:cs="Arial"/>
          <w:sz w:val="20"/>
          <w:szCs w:val="20"/>
          <w:lang w:eastAsia="sl-SI"/>
        </w:rPr>
        <w:t xml:space="preserve"> je bila namenjena obravnavi vseh vrst nasilja (nasilje v družini, </w:t>
      </w:r>
      <w:proofErr w:type="spellStart"/>
      <w:r w:rsidRPr="00A335CB">
        <w:rPr>
          <w:rFonts w:ascii="Arial" w:hAnsi="Arial" w:cs="Arial"/>
          <w:sz w:val="20"/>
          <w:szCs w:val="20"/>
          <w:lang w:eastAsia="sl-SI"/>
        </w:rPr>
        <w:t>femicid</w:t>
      </w:r>
      <w:proofErr w:type="spellEnd"/>
      <w:r w:rsidRPr="00A335CB">
        <w:rPr>
          <w:rFonts w:ascii="Arial" w:hAnsi="Arial" w:cs="Arial"/>
          <w:sz w:val="20"/>
          <w:szCs w:val="20"/>
          <w:lang w:eastAsia="sl-SI"/>
        </w:rPr>
        <w:t xml:space="preserve">, spolne zlorabe žensk in otrok, </w:t>
      </w:r>
      <w:proofErr w:type="spellStart"/>
      <w:r w:rsidRPr="00A335CB">
        <w:rPr>
          <w:rFonts w:ascii="Arial" w:hAnsi="Arial" w:cs="Arial"/>
          <w:sz w:val="20"/>
          <w:szCs w:val="20"/>
          <w:lang w:eastAsia="sl-SI"/>
        </w:rPr>
        <w:t>medvrstniško</w:t>
      </w:r>
      <w:proofErr w:type="spellEnd"/>
      <w:r w:rsidRPr="00A335CB">
        <w:rPr>
          <w:rFonts w:ascii="Arial" w:hAnsi="Arial" w:cs="Arial"/>
          <w:sz w:val="20"/>
          <w:szCs w:val="20"/>
          <w:lang w:eastAsia="sl-SI"/>
        </w:rPr>
        <w:t xml:space="preserve"> nasilje</w:t>
      </w:r>
      <w:r w:rsidR="00F13B6F" w:rsidRPr="00A335CB">
        <w:rPr>
          <w:rFonts w:ascii="Arial" w:hAnsi="Arial" w:cs="Arial"/>
          <w:sz w:val="20"/>
          <w:szCs w:val="20"/>
          <w:lang w:eastAsia="sl-SI"/>
        </w:rPr>
        <w:t>)</w:t>
      </w:r>
      <w:r w:rsidRPr="00A335CB">
        <w:rPr>
          <w:rFonts w:ascii="Arial" w:hAnsi="Arial" w:cs="Arial"/>
          <w:sz w:val="20"/>
          <w:szCs w:val="20"/>
          <w:lang w:eastAsia="sl-SI"/>
        </w:rPr>
        <w:t xml:space="preserve">. </w:t>
      </w:r>
    </w:p>
    <w:p w14:paraId="39EC2B6B" w14:textId="47BA93A8" w:rsidR="00DC6B16" w:rsidRPr="00A335CB" w:rsidRDefault="00DC6B16" w:rsidP="005D1A90">
      <w:pPr>
        <w:spacing w:after="0" w:line="276" w:lineRule="auto"/>
        <w:jc w:val="both"/>
        <w:rPr>
          <w:rFonts w:ascii="Arial" w:hAnsi="Arial" w:cs="Arial"/>
          <w:sz w:val="20"/>
          <w:szCs w:val="20"/>
        </w:rPr>
      </w:pPr>
    </w:p>
    <w:p w14:paraId="74F41268" w14:textId="180A4C8A" w:rsidR="00DC6B16" w:rsidRPr="00A335CB" w:rsidRDefault="00DC6B16" w:rsidP="001B0FB9">
      <w:pPr>
        <w:spacing w:after="0" w:line="276" w:lineRule="auto"/>
        <w:jc w:val="both"/>
        <w:rPr>
          <w:rFonts w:ascii="Arial" w:hAnsi="Arial" w:cs="Arial"/>
          <w:sz w:val="20"/>
          <w:szCs w:val="20"/>
        </w:rPr>
      </w:pPr>
      <w:r w:rsidRPr="00A335CB">
        <w:rPr>
          <w:rFonts w:ascii="Arial" w:hAnsi="Arial" w:cs="Arial"/>
          <w:sz w:val="20"/>
          <w:szCs w:val="20"/>
        </w:rPr>
        <w:t xml:space="preserve">MNZ se je v okviru </w:t>
      </w:r>
      <w:r w:rsidRPr="00A335CB">
        <w:rPr>
          <w:rFonts w:ascii="Arial" w:hAnsi="Arial" w:cs="Arial"/>
          <w:b/>
          <w:sz w:val="20"/>
          <w:szCs w:val="20"/>
        </w:rPr>
        <w:t>sodelovanja z drugimi državnimi institucijam</w:t>
      </w:r>
      <w:r w:rsidRPr="00A335CB">
        <w:rPr>
          <w:rFonts w:ascii="Arial" w:hAnsi="Arial" w:cs="Arial"/>
          <w:sz w:val="20"/>
          <w:szCs w:val="20"/>
        </w:rPr>
        <w:t>i udeleževalo številnih sklicanih sej delovnih teles in plenarnih zasedanj v Državnem zboru Republike Slovenije in v Državnem svet</w:t>
      </w:r>
      <w:r w:rsidR="00F13B6F" w:rsidRPr="00A335CB">
        <w:rPr>
          <w:rFonts w:ascii="Arial" w:hAnsi="Arial" w:cs="Arial"/>
          <w:sz w:val="20"/>
          <w:szCs w:val="20"/>
        </w:rPr>
        <w:t>u Republike Slovenije, če</w:t>
      </w:r>
      <w:r w:rsidRPr="00A335CB">
        <w:rPr>
          <w:rFonts w:ascii="Arial" w:hAnsi="Arial" w:cs="Arial"/>
          <w:sz w:val="20"/>
          <w:szCs w:val="20"/>
        </w:rPr>
        <w:t xml:space="preserve"> so bile obravnavane za</w:t>
      </w:r>
      <w:r w:rsidR="00F13B6F" w:rsidRPr="00A335CB">
        <w:rPr>
          <w:rFonts w:ascii="Arial" w:hAnsi="Arial" w:cs="Arial"/>
          <w:sz w:val="20"/>
          <w:szCs w:val="20"/>
        </w:rPr>
        <w:t>deve iz pristojnosti MNZ</w:t>
      </w:r>
      <w:r w:rsidRPr="00A335CB">
        <w:rPr>
          <w:rFonts w:ascii="Arial" w:hAnsi="Arial" w:cs="Arial"/>
          <w:sz w:val="20"/>
          <w:szCs w:val="20"/>
        </w:rPr>
        <w:t>. Med obravnavanimi predlogi so bili tako zakoni in drugi akti, ki jih je predlagala Vlada Republike Slovenije, kot tudi zakoni, ki so jih predlagali poslanci in so se nanašali na pristojnost</w:t>
      </w:r>
      <w:r w:rsidR="00F13B6F" w:rsidRPr="00A335CB">
        <w:rPr>
          <w:rFonts w:ascii="Arial" w:hAnsi="Arial" w:cs="Arial"/>
          <w:sz w:val="20"/>
          <w:szCs w:val="20"/>
        </w:rPr>
        <w:t>i MNZ</w:t>
      </w:r>
      <w:r w:rsidRPr="00A335CB">
        <w:rPr>
          <w:rFonts w:ascii="Arial" w:hAnsi="Arial" w:cs="Arial"/>
          <w:sz w:val="20"/>
          <w:szCs w:val="20"/>
        </w:rPr>
        <w:t xml:space="preserve">. </w:t>
      </w:r>
    </w:p>
    <w:p w14:paraId="2EBA52CF" w14:textId="77777777" w:rsidR="008E24D4" w:rsidRDefault="008E24D4" w:rsidP="00FE1974">
      <w:pPr>
        <w:autoSpaceDE w:val="0"/>
        <w:autoSpaceDN w:val="0"/>
        <w:adjustRightInd w:val="0"/>
        <w:spacing w:after="0" w:line="276" w:lineRule="auto"/>
        <w:jc w:val="both"/>
        <w:rPr>
          <w:rFonts w:ascii="Arial" w:hAnsi="Arial" w:cs="Arial"/>
          <w:sz w:val="20"/>
          <w:szCs w:val="20"/>
        </w:rPr>
      </w:pPr>
    </w:p>
    <w:p w14:paraId="14205E1D" w14:textId="796D6321" w:rsidR="00FE1974" w:rsidRPr="00A335CB" w:rsidRDefault="00FE1974" w:rsidP="00FE1974">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 xml:space="preserve">V letu 2024 je MNZ </w:t>
      </w:r>
      <w:r w:rsidRPr="00FE1974">
        <w:rPr>
          <w:rFonts w:ascii="Arial" w:hAnsi="Arial" w:cs="Arial"/>
          <w:b/>
          <w:sz w:val="20"/>
          <w:szCs w:val="20"/>
        </w:rPr>
        <w:t>vodilo več medresorskih in vladnih delovnih skupin</w:t>
      </w:r>
      <w:r w:rsidRPr="00A335CB">
        <w:rPr>
          <w:rFonts w:ascii="Arial" w:hAnsi="Arial" w:cs="Arial"/>
          <w:sz w:val="20"/>
          <w:szCs w:val="20"/>
        </w:rPr>
        <w:t xml:space="preserve"> na področju varovanja, migracij, boja proti t</w:t>
      </w:r>
      <w:r w:rsidR="008E24D4">
        <w:rPr>
          <w:rFonts w:ascii="Arial" w:hAnsi="Arial" w:cs="Arial"/>
          <w:sz w:val="20"/>
          <w:szCs w:val="20"/>
        </w:rPr>
        <w:t xml:space="preserve">rgovini z ljudmi, preprečevanja in zatiranja </w:t>
      </w:r>
      <w:r w:rsidRPr="00A335CB">
        <w:rPr>
          <w:rFonts w:ascii="Arial" w:hAnsi="Arial" w:cs="Arial"/>
          <w:sz w:val="20"/>
          <w:szCs w:val="20"/>
        </w:rPr>
        <w:t>kriminalitete, upravljanja meja</w:t>
      </w:r>
      <w:r>
        <w:rPr>
          <w:rFonts w:ascii="Arial" w:hAnsi="Arial" w:cs="Arial"/>
          <w:sz w:val="20"/>
          <w:szCs w:val="20"/>
        </w:rPr>
        <w:t>, romske problematike</w:t>
      </w:r>
      <w:r w:rsidRPr="00A335CB">
        <w:rPr>
          <w:rFonts w:ascii="Arial" w:hAnsi="Arial" w:cs="Arial"/>
          <w:sz w:val="20"/>
          <w:szCs w:val="20"/>
        </w:rPr>
        <w:t> itd.</w:t>
      </w:r>
    </w:p>
    <w:p w14:paraId="496B91A1" w14:textId="77777777" w:rsidR="00FE1974" w:rsidRDefault="00FE1974" w:rsidP="001B0FB9">
      <w:pPr>
        <w:spacing w:after="0" w:line="276" w:lineRule="auto"/>
        <w:jc w:val="both"/>
        <w:rPr>
          <w:rFonts w:ascii="Arial" w:hAnsi="Arial" w:cs="Arial"/>
          <w:sz w:val="20"/>
          <w:szCs w:val="20"/>
        </w:rPr>
      </w:pPr>
    </w:p>
    <w:p w14:paraId="2D9AB5A5" w14:textId="3F76BE33" w:rsidR="001B0FB9" w:rsidRPr="00A335CB" w:rsidRDefault="00E36597" w:rsidP="001B0FB9">
      <w:pPr>
        <w:spacing w:after="0" w:line="276" w:lineRule="auto"/>
        <w:jc w:val="both"/>
        <w:rPr>
          <w:rFonts w:ascii="Arial" w:hAnsi="Arial" w:cs="Arial"/>
          <w:sz w:val="20"/>
          <w:szCs w:val="20"/>
        </w:rPr>
      </w:pPr>
      <w:r>
        <w:rPr>
          <w:rFonts w:ascii="Arial" w:hAnsi="Arial" w:cs="Arial"/>
          <w:sz w:val="20"/>
          <w:szCs w:val="20"/>
        </w:rPr>
        <w:t>Omeniti</w:t>
      </w:r>
      <w:r w:rsidRPr="00A335CB">
        <w:rPr>
          <w:rFonts w:ascii="Arial" w:hAnsi="Arial" w:cs="Arial"/>
          <w:sz w:val="20"/>
          <w:szCs w:val="20"/>
        </w:rPr>
        <w:t xml:space="preserve"> </w:t>
      </w:r>
      <w:r w:rsidR="007657AE" w:rsidRPr="00A335CB">
        <w:rPr>
          <w:rFonts w:ascii="Arial" w:hAnsi="Arial" w:cs="Arial"/>
          <w:sz w:val="20"/>
          <w:szCs w:val="20"/>
        </w:rPr>
        <w:t>je treba tudi sodelovanje MNZ</w:t>
      </w:r>
      <w:r w:rsidR="00DC6B16" w:rsidRPr="00A335CB">
        <w:rPr>
          <w:rFonts w:ascii="Arial" w:hAnsi="Arial" w:cs="Arial"/>
          <w:sz w:val="20"/>
          <w:szCs w:val="20"/>
        </w:rPr>
        <w:t xml:space="preserve"> na številnih sejah</w:t>
      </w:r>
      <w:r w:rsidR="007657AE" w:rsidRPr="00A335CB">
        <w:rPr>
          <w:rFonts w:ascii="Arial" w:hAnsi="Arial" w:cs="Arial"/>
          <w:sz w:val="20"/>
          <w:szCs w:val="20"/>
        </w:rPr>
        <w:t>,</w:t>
      </w:r>
      <w:r w:rsidR="00DC6B16" w:rsidRPr="00A335CB">
        <w:rPr>
          <w:rFonts w:ascii="Arial" w:hAnsi="Arial" w:cs="Arial"/>
          <w:sz w:val="20"/>
          <w:szCs w:val="20"/>
        </w:rPr>
        <w:t xml:space="preserve"> na katerih so bile obravnavane teme</w:t>
      </w:r>
      <w:r w:rsidR="007657AE" w:rsidRPr="00A335CB">
        <w:rPr>
          <w:rFonts w:ascii="Arial" w:hAnsi="Arial" w:cs="Arial"/>
          <w:sz w:val="20"/>
          <w:szCs w:val="20"/>
        </w:rPr>
        <w:t>,</w:t>
      </w:r>
      <w:r w:rsidR="00DC6B16" w:rsidRPr="00A335CB">
        <w:rPr>
          <w:rFonts w:ascii="Arial" w:hAnsi="Arial" w:cs="Arial"/>
          <w:sz w:val="20"/>
          <w:szCs w:val="20"/>
        </w:rPr>
        <w:t xml:space="preserve"> vezane na vzpostavitev začasnih azilnih kapacitet, preprečevanje mladoletniškega nasilja, romsko problematiko in problematiko izgubl</w:t>
      </w:r>
      <w:r w:rsidR="001B0FB9" w:rsidRPr="00A335CB">
        <w:rPr>
          <w:rFonts w:ascii="Arial" w:hAnsi="Arial" w:cs="Arial"/>
          <w:sz w:val="20"/>
          <w:szCs w:val="20"/>
        </w:rPr>
        <w:t xml:space="preserve">jenih oziroma ukradenih otrok. </w:t>
      </w:r>
    </w:p>
    <w:p w14:paraId="2EBD9C6A" w14:textId="77777777" w:rsidR="001B0FB9" w:rsidRPr="00A335CB" w:rsidRDefault="001B0FB9" w:rsidP="001B0FB9">
      <w:pPr>
        <w:spacing w:after="0" w:line="276" w:lineRule="auto"/>
        <w:jc w:val="both"/>
        <w:rPr>
          <w:rFonts w:ascii="Arial" w:hAnsi="Arial" w:cs="Arial"/>
          <w:sz w:val="20"/>
          <w:szCs w:val="20"/>
        </w:rPr>
      </w:pPr>
    </w:p>
    <w:p w14:paraId="5A2368A0" w14:textId="677CCEFB" w:rsidR="001B0FB9" w:rsidRPr="00A335CB" w:rsidRDefault="007657AE" w:rsidP="001B0FB9">
      <w:pPr>
        <w:spacing w:after="0" w:line="276" w:lineRule="auto"/>
        <w:jc w:val="both"/>
        <w:rPr>
          <w:rFonts w:ascii="Arial" w:hAnsi="Arial" w:cs="Arial"/>
          <w:sz w:val="20"/>
          <w:szCs w:val="20"/>
        </w:rPr>
      </w:pPr>
      <w:r w:rsidRPr="00A335CB">
        <w:rPr>
          <w:rFonts w:ascii="Arial" w:hAnsi="Arial" w:cs="Arial"/>
          <w:sz w:val="20"/>
          <w:szCs w:val="20"/>
        </w:rPr>
        <w:t>MNZ</w:t>
      </w:r>
      <w:r w:rsidR="00DC6B16" w:rsidRPr="00A335CB">
        <w:rPr>
          <w:rFonts w:ascii="Arial" w:hAnsi="Arial" w:cs="Arial"/>
          <w:sz w:val="20"/>
          <w:szCs w:val="20"/>
        </w:rPr>
        <w:t xml:space="preserve"> je pripravilo številne odgovore oziroma sodelovalo pri pripravi odgovorov na poslanska vprašanja, ki so bila naslovljena na Vlado Republike Slovenije in dodeljena v priprav</w:t>
      </w:r>
      <w:r w:rsidRPr="00A335CB">
        <w:rPr>
          <w:rFonts w:ascii="Arial" w:hAnsi="Arial" w:cs="Arial"/>
          <w:sz w:val="20"/>
          <w:szCs w:val="20"/>
        </w:rPr>
        <w:t>o MNZ</w:t>
      </w:r>
      <w:r w:rsidR="00DC6B16" w:rsidRPr="00A335CB">
        <w:rPr>
          <w:rFonts w:ascii="Arial" w:hAnsi="Arial" w:cs="Arial"/>
          <w:sz w:val="20"/>
          <w:szCs w:val="20"/>
        </w:rPr>
        <w:t xml:space="preserve"> kot nosilcu oziroma sodelujočemu ministrstvu. </w:t>
      </w:r>
    </w:p>
    <w:p w14:paraId="626BE561" w14:textId="77777777" w:rsidR="001B0FB9" w:rsidRPr="00A335CB" w:rsidRDefault="001B0FB9" w:rsidP="001B0FB9">
      <w:pPr>
        <w:spacing w:after="0" w:line="276" w:lineRule="auto"/>
        <w:jc w:val="both"/>
        <w:rPr>
          <w:rFonts w:ascii="Arial" w:hAnsi="Arial" w:cs="Arial"/>
          <w:sz w:val="20"/>
          <w:szCs w:val="20"/>
        </w:rPr>
      </w:pPr>
    </w:p>
    <w:p w14:paraId="6FE34823" w14:textId="0E77438E" w:rsidR="00DC6B16" w:rsidRPr="00A335CB" w:rsidRDefault="00DC6B16" w:rsidP="001B0FB9">
      <w:pPr>
        <w:spacing w:after="0" w:line="276" w:lineRule="auto"/>
        <w:jc w:val="both"/>
        <w:rPr>
          <w:rFonts w:ascii="Arial" w:hAnsi="Arial" w:cs="Arial"/>
          <w:sz w:val="20"/>
          <w:szCs w:val="20"/>
        </w:rPr>
      </w:pPr>
      <w:r w:rsidRPr="00A335CB">
        <w:rPr>
          <w:rFonts w:ascii="Arial" w:hAnsi="Arial" w:cs="Arial"/>
          <w:sz w:val="20"/>
          <w:szCs w:val="20"/>
        </w:rPr>
        <w:t xml:space="preserve">Minister za notranje zadeve Boštjan Poklukar je v letu 2024 odgovoril na 141 pisnih poslanskih vprašanj, </w:t>
      </w:r>
      <w:r w:rsidR="00141D17">
        <w:rPr>
          <w:rFonts w:ascii="Arial" w:hAnsi="Arial" w:cs="Arial"/>
          <w:sz w:val="20"/>
          <w:szCs w:val="20"/>
        </w:rPr>
        <w:t>devet</w:t>
      </w:r>
      <w:r w:rsidR="00141D17" w:rsidRPr="00A335CB">
        <w:rPr>
          <w:rFonts w:ascii="Arial" w:hAnsi="Arial" w:cs="Arial"/>
          <w:sz w:val="20"/>
          <w:szCs w:val="20"/>
        </w:rPr>
        <w:t xml:space="preserve"> </w:t>
      </w:r>
      <w:r w:rsidRPr="00A335CB">
        <w:rPr>
          <w:rFonts w:ascii="Arial" w:hAnsi="Arial" w:cs="Arial"/>
          <w:sz w:val="20"/>
          <w:szCs w:val="20"/>
        </w:rPr>
        <w:t xml:space="preserve">pisnih poslanskih pobud ter 18 ustnih poslanskih vprašanj, ki so bila naslovljena osebno nanj. </w:t>
      </w:r>
    </w:p>
    <w:p w14:paraId="67CD3737" w14:textId="77777777" w:rsidR="001B0FB9" w:rsidRPr="00A335CB" w:rsidRDefault="001B0FB9" w:rsidP="001B0FB9">
      <w:pPr>
        <w:spacing w:after="0" w:line="276" w:lineRule="auto"/>
        <w:jc w:val="both"/>
        <w:rPr>
          <w:rFonts w:ascii="Arial" w:hAnsi="Arial" w:cs="Arial"/>
          <w:sz w:val="20"/>
          <w:szCs w:val="20"/>
        </w:rPr>
      </w:pPr>
    </w:p>
    <w:p w14:paraId="77CAC3AF" w14:textId="77777777" w:rsidR="00935AE4" w:rsidRDefault="00DC6B16" w:rsidP="00FE1974">
      <w:pPr>
        <w:spacing w:after="0" w:line="276" w:lineRule="auto"/>
        <w:jc w:val="both"/>
        <w:rPr>
          <w:rFonts w:ascii="Arial" w:hAnsi="Arial" w:cs="Arial"/>
          <w:sz w:val="20"/>
          <w:szCs w:val="20"/>
        </w:rPr>
      </w:pPr>
      <w:r w:rsidRPr="00A335CB">
        <w:rPr>
          <w:rFonts w:ascii="Arial" w:hAnsi="Arial" w:cs="Arial"/>
          <w:sz w:val="20"/>
          <w:szCs w:val="20"/>
        </w:rPr>
        <w:t xml:space="preserve">Poslanska vprašanja so se najpogosteje nanašala na zagotavljanje varnosti, kadrovsko problematiko v </w:t>
      </w:r>
      <w:r w:rsidR="00141D17">
        <w:rPr>
          <w:rFonts w:ascii="Arial" w:hAnsi="Arial" w:cs="Arial"/>
          <w:sz w:val="20"/>
          <w:szCs w:val="20"/>
        </w:rPr>
        <w:t>p</w:t>
      </w:r>
      <w:r w:rsidR="00141D17" w:rsidRPr="00A335CB">
        <w:rPr>
          <w:rFonts w:ascii="Arial" w:hAnsi="Arial" w:cs="Arial"/>
          <w:sz w:val="20"/>
          <w:szCs w:val="20"/>
        </w:rPr>
        <w:t>oliciji</w:t>
      </w:r>
      <w:r w:rsidRPr="00A335CB">
        <w:rPr>
          <w:rFonts w:ascii="Arial" w:hAnsi="Arial" w:cs="Arial"/>
          <w:sz w:val="20"/>
          <w:szCs w:val="20"/>
        </w:rPr>
        <w:t xml:space="preserve">, imenovanje generalnega direktorja policije, ureditev helikopterske nujne medicinske pomoči in izgradnjo nastanitvenih centrov za nezakonite migrante. </w:t>
      </w:r>
    </w:p>
    <w:p w14:paraId="50DEBBEC" w14:textId="77777777" w:rsidR="00935AE4" w:rsidRDefault="00935AE4" w:rsidP="00FE1974">
      <w:pPr>
        <w:spacing w:after="0" w:line="276" w:lineRule="auto"/>
        <w:jc w:val="both"/>
        <w:rPr>
          <w:rFonts w:ascii="Arial" w:hAnsi="Arial" w:cs="Arial"/>
          <w:sz w:val="20"/>
          <w:szCs w:val="20"/>
        </w:rPr>
      </w:pPr>
    </w:p>
    <w:p w14:paraId="3A5F930A" w14:textId="04D5CB50" w:rsidR="00935AE4" w:rsidRPr="00565FDB" w:rsidRDefault="00DC6B16" w:rsidP="00565FDB">
      <w:pPr>
        <w:spacing w:after="0" w:line="276" w:lineRule="auto"/>
        <w:jc w:val="both"/>
        <w:rPr>
          <w:rFonts w:ascii="Arial" w:hAnsi="Arial" w:cs="Arial"/>
          <w:sz w:val="20"/>
          <w:szCs w:val="20"/>
        </w:rPr>
      </w:pPr>
      <w:r w:rsidRPr="00A335CB">
        <w:rPr>
          <w:rFonts w:ascii="Arial" w:hAnsi="Arial" w:cs="Arial"/>
          <w:sz w:val="20"/>
          <w:szCs w:val="20"/>
        </w:rPr>
        <w:t>Večina omenjenih tem je bila vključena tudi v interpelacijo o delu in odgovornosti ministra za notranje zadev</w:t>
      </w:r>
      <w:r w:rsidR="007657AE" w:rsidRPr="00A335CB">
        <w:rPr>
          <w:rFonts w:ascii="Arial" w:hAnsi="Arial" w:cs="Arial"/>
          <w:sz w:val="20"/>
          <w:szCs w:val="20"/>
        </w:rPr>
        <w:t>e</w:t>
      </w:r>
      <w:r w:rsidRPr="00A335CB">
        <w:rPr>
          <w:rFonts w:ascii="Arial" w:hAnsi="Arial" w:cs="Arial"/>
          <w:sz w:val="20"/>
          <w:szCs w:val="20"/>
        </w:rPr>
        <w:t xml:space="preserve"> Boštjana Poklukarja, ki jo je na začetku decembra 2024 vložila skupina petintridesetih poslank in poslancev Državnega zbora Republike Slovenije s prvopodpis</w:t>
      </w:r>
      <w:r w:rsidR="001B0FB9" w:rsidRPr="00A335CB">
        <w:rPr>
          <w:rFonts w:ascii="Arial" w:hAnsi="Arial" w:cs="Arial"/>
          <w:sz w:val="20"/>
          <w:szCs w:val="20"/>
        </w:rPr>
        <w:t>anim Janezom Ciglerjem Kraljem.</w:t>
      </w:r>
      <w:r w:rsidR="00565FDB">
        <w:rPr>
          <w:rFonts w:ascii="Arial" w:hAnsi="Arial" w:cs="Arial"/>
          <w:sz w:val="20"/>
          <w:szCs w:val="20"/>
        </w:rPr>
        <w:t xml:space="preserve"> </w:t>
      </w:r>
      <w:r w:rsidR="00935AE4" w:rsidRPr="00565FDB">
        <w:rPr>
          <w:rFonts w:ascii="Arial" w:hAnsi="Arial" w:cs="Arial"/>
          <w:sz w:val="20"/>
          <w:szCs w:val="20"/>
        </w:rPr>
        <w:t>Minister je vse očitke iz vložene interpelacije zavrnil in interpelacija ni bila izglasovana.</w:t>
      </w:r>
    </w:p>
    <w:p w14:paraId="55DEDC0A" w14:textId="4F69969A" w:rsidR="00085BA7" w:rsidRPr="00A335CB" w:rsidRDefault="00085BA7" w:rsidP="005D1A90">
      <w:pPr>
        <w:autoSpaceDE w:val="0"/>
        <w:autoSpaceDN w:val="0"/>
        <w:adjustRightInd w:val="0"/>
        <w:spacing w:after="0" w:line="276" w:lineRule="auto"/>
        <w:jc w:val="both"/>
        <w:rPr>
          <w:rFonts w:ascii="Arial" w:hAnsi="Arial" w:cs="Arial"/>
          <w:sz w:val="20"/>
          <w:szCs w:val="20"/>
        </w:rPr>
      </w:pPr>
    </w:p>
    <w:p w14:paraId="30F3FC4D" w14:textId="639C0F08" w:rsidR="00D740A2" w:rsidRPr="00A335CB" w:rsidRDefault="00590E45" w:rsidP="005D1A90">
      <w:pPr>
        <w:pStyle w:val="Naslov1"/>
        <w:spacing w:after="0" w:line="276" w:lineRule="auto"/>
        <w:jc w:val="both"/>
        <w:rPr>
          <w:color w:val="auto"/>
        </w:rPr>
      </w:pPr>
      <w:bookmarkStart w:id="3" w:name="_Toc65591455"/>
      <w:bookmarkStart w:id="4" w:name="_Toc65651006"/>
      <w:bookmarkStart w:id="5" w:name="_Toc203552969"/>
      <w:r w:rsidRPr="00A335CB">
        <w:rPr>
          <w:color w:val="auto"/>
        </w:rPr>
        <w:t>Naloge za zagotavljanje javne varnosti v državi</w:t>
      </w:r>
      <w:bookmarkEnd w:id="3"/>
      <w:bookmarkEnd w:id="4"/>
      <w:bookmarkEnd w:id="5"/>
    </w:p>
    <w:p w14:paraId="76FA5F07" w14:textId="2C303836" w:rsidR="00653B9D" w:rsidRPr="00A335CB" w:rsidRDefault="00653B9D" w:rsidP="005D1A90">
      <w:pPr>
        <w:spacing w:after="0" w:line="276" w:lineRule="auto"/>
        <w:jc w:val="both"/>
        <w:rPr>
          <w:rFonts w:ascii="Arial" w:hAnsi="Arial" w:cs="Arial"/>
          <w:sz w:val="20"/>
          <w:szCs w:val="20"/>
        </w:rPr>
      </w:pPr>
    </w:p>
    <w:p w14:paraId="198A4FCE" w14:textId="05C5458C" w:rsidR="00653B9D" w:rsidRPr="00A335CB" w:rsidRDefault="00741EC0" w:rsidP="005D1A90">
      <w:pPr>
        <w:spacing w:after="0" w:line="276" w:lineRule="auto"/>
        <w:jc w:val="both"/>
        <w:rPr>
          <w:rFonts w:ascii="Arial" w:hAnsi="Arial" w:cs="Arial"/>
          <w:sz w:val="20"/>
          <w:szCs w:val="20"/>
        </w:rPr>
      </w:pPr>
      <w:r w:rsidRPr="00A335CB">
        <w:rPr>
          <w:rFonts w:ascii="Arial" w:hAnsi="Arial" w:cs="Arial"/>
          <w:sz w:val="20"/>
          <w:szCs w:val="20"/>
        </w:rPr>
        <w:t>MNZ</w:t>
      </w:r>
      <w:r w:rsidR="00653B9D" w:rsidRPr="00A335CB">
        <w:rPr>
          <w:rFonts w:ascii="Arial" w:hAnsi="Arial" w:cs="Arial"/>
          <w:sz w:val="20"/>
          <w:szCs w:val="20"/>
        </w:rPr>
        <w:t xml:space="preserve"> je skrbelo za sistemsko in strateško urejanje zadev </w:t>
      </w:r>
      <w:r w:rsidR="00660945">
        <w:rPr>
          <w:rFonts w:ascii="Arial" w:hAnsi="Arial" w:cs="Arial"/>
          <w:sz w:val="20"/>
          <w:szCs w:val="20"/>
        </w:rPr>
        <w:t>državne</w:t>
      </w:r>
      <w:r w:rsidR="00660945" w:rsidRPr="00A335CB">
        <w:rPr>
          <w:rFonts w:ascii="Arial" w:hAnsi="Arial" w:cs="Arial"/>
          <w:sz w:val="20"/>
          <w:szCs w:val="20"/>
        </w:rPr>
        <w:t xml:space="preserve"> </w:t>
      </w:r>
      <w:r w:rsidR="00653B9D" w:rsidRPr="00A335CB">
        <w:rPr>
          <w:rFonts w:ascii="Arial" w:hAnsi="Arial" w:cs="Arial"/>
          <w:sz w:val="20"/>
          <w:szCs w:val="20"/>
        </w:rPr>
        <w:t xml:space="preserve">varnosti ter uresničevanje politik za </w:t>
      </w:r>
      <w:r w:rsidR="00653B9D" w:rsidRPr="00A335CB">
        <w:rPr>
          <w:rFonts w:ascii="Arial" w:hAnsi="Arial" w:cs="Arial"/>
          <w:b/>
          <w:sz w:val="20"/>
          <w:szCs w:val="20"/>
        </w:rPr>
        <w:t>zagotavljanje notranje varnosti Republike Slovenije in EU</w:t>
      </w:r>
      <w:r w:rsidR="00653B9D" w:rsidRPr="00A335CB">
        <w:rPr>
          <w:rFonts w:ascii="Arial" w:hAnsi="Arial" w:cs="Arial"/>
          <w:sz w:val="20"/>
          <w:szCs w:val="20"/>
        </w:rPr>
        <w:t>.</w:t>
      </w:r>
      <w:r w:rsidR="00653B9D" w:rsidRPr="00A335CB">
        <w:rPr>
          <w:rFonts w:ascii="Arial" w:hAnsi="Arial" w:cs="Arial"/>
          <w:b/>
          <w:sz w:val="20"/>
          <w:szCs w:val="20"/>
        </w:rPr>
        <w:t xml:space="preserve"> </w:t>
      </w:r>
      <w:r w:rsidR="00653B9D" w:rsidRPr="00A335CB">
        <w:rPr>
          <w:rFonts w:ascii="Arial" w:hAnsi="Arial" w:cs="Arial"/>
          <w:sz w:val="20"/>
          <w:szCs w:val="20"/>
        </w:rPr>
        <w:t>Velik del aktivnosti na tem področju v letu 2024 je bil povezan z odzivanjem na aktualne razmere v mednarodnem okolju (</w:t>
      </w:r>
      <w:r w:rsidR="00AD69EB">
        <w:rPr>
          <w:rFonts w:ascii="Arial" w:hAnsi="Arial" w:cs="Arial"/>
          <w:sz w:val="20"/>
          <w:szCs w:val="20"/>
        </w:rPr>
        <w:t xml:space="preserve">z </w:t>
      </w:r>
      <w:r w:rsidR="00653B9D" w:rsidRPr="00A335CB">
        <w:rPr>
          <w:rFonts w:ascii="Arial" w:hAnsi="Arial" w:cs="Arial"/>
          <w:sz w:val="20"/>
          <w:szCs w:val="20"/>
        </w:rPr>
        <w:t xml:space="preserve">vojnama na Bližnjem vzhodu in Ukrajini ter priznanjem Palestine) in </w:t>
      </w:r>
      <w:r w:rsidR="00AD69EB">
        <w:rPr>
          <w:rFonts w:ascii="Arial" w:hAnsi="Arial" w:cs="Arial"/>
          <w:sz w:val="20"/>
          <w:szCs w:val="20"/>
        </w:rPr>
        <w:t xml:space="preserve">s </w:t>
      </w:r>
      <w:r w:rsidR="00653B9D" w:rsidRPr="00A335CB">
        <w:rPr>
          <w:rFonts w:ascii="Arial" w:hAnsi="Arial" w:cs="Arial"/>
          <w:sz w:val="20"/>
          <w:szCs w:val="20"/>
        </w:rPr>
        <w:t xml:space="preserve">krepitvijo </w:t>
      </w:r>
      <w:r w:rsidR="00660945">
        <w:rPr>
          <w:rFonts w:ascii="Arial" w:hAnsi="Arial" w:cs="Arial"/>
          <w:sz w:val="20"/>
          <w:szCs w:val="20"/>
        </w:rPr>
        <w:t>državne</w:t>
      </w:r>
      <w:r w:rsidR="00660945" w:rsidRPr="00A335CB">
        <w:rPr>
          <w:rFonts w:ascii="Arial" w:hAnsi="Arial" w:cs="Arial"/>
          <w:sz w:val="20"/>
          <w:szCs w:val="20"/>
        </w:rPr>
        <w:t xml:space="preserve"> </w:t>
      </w:r>
      <w:r w:rsidR="00653B9D" w:rsidRPr="00A335CB">
        <w:rPr>
          <w:rFonts w:ascii="Arial" w:hAnsi="Arial" w:cs="Arial"/>
          <w:sz w:val="20"/>
          <w:szCs w:val="20"/>
        </w:rPr>
        <w:t xml:space="preserve">odpornosti </w:t>
      </w:r>
      <w:r w:rsidR="00AD69EB">
        <w:rPr>
          <w:rFonts w:ascii="Arial" w:hAnsi="Arial" w:cs="Arial"/>
          <w:sz w:val="20"/>
          <w:szCs w:val="20"/>
        </w:rPr>
        <w:t>proti</w:t>
      </w:r>
      <w:r w:rsidR="00AD69EB" w:rsidRPr="00A335CB">
        <w:rPr>
          <w:rFonts w:ascii="Arial" w:hAnsi="Arial" w:cs="Arial"/>
          <w:sz w:val="20"/>
          <w:szCs w:val="20"/>
        </w:rPr>
        <w:t xml:space="preserve"> grožnj</w:t>
      </w:r>
      <w:r w:rsidR="00AD69EB">
        <w:rPr>
          <w:rFonts w:ascii="Arial" w:hAnsi="Arial" w:cs="Arial"/>
          <w:sz w:val="20"/>
          <w:szCs w:val="20"/>
        </w:rPr>
        <w:t>am</w:t>
      </w:r>
      <w:r w:rsidR="00AD69EB" w:rsidRPr="00A335CB">
        <w:rPr>
          <w:rFonts w:ascii="Arial" w:hAnsi="Arial" w:cs="Arial"/>
          <w:sz w:val="20"/>
          <w:szCs w:val="20"/>
        </w:rPr>
        <w:t xml:space="preserve"> </w:t>
      </w:r>
      <w:r w:rsidR="00653B9D" w:rsidRPr="00A335CB">
        <w:rPr>
          <w:rFonts w:ascii="Arial" w:hAnsi="Arial" w:cs="Arial"/>
          <w:sz w:val="20"/>
          <w:szCs w:val="20"/>
        </w:rPr>
        <w:t xml:space="preserve">sodobnega časa. MNZ je bilo v vlogi upravitelja obrambnega načrta odgovorno za koordinacijo in izvajanje aktivnosti, ki sta mu jih v zvezi s tem naložila vlada in upravitelj obrambnega načrta države, ki je ministrstvo, pristojno za obrambo. Potekala so številna medresorska usklajevanja aktivnosti, nalog in ukrepov. Pripravljali so se elementi ocen ogroženosti na različnih področjih in ocenjevali trendi hibridnih groženj. Izvedene so bile tudi strateško pomembne </w:t>
      </w:r>
      <w:r w:rsidR="00660945">
        <w:rPr>
          <w:rFonts w:ascii="Arial" w:hAnsi="Arial" w:cs="Arial"/>
          <w:sz w:val="20"/>
          <w:szCs w:val="20"/>
        </w:rPr>
        <w:t>državne</w:t>
      </w:r>
      <w:r w:rsidR="00653B9D" w:rsidRPr="00A335CB">
        <w:rPr>
          <w:rFonts w:ascii="Arial" w:hAnsi="Arial" w:cs="Arial"/>
          <w:sz w:val="20"/>
          <w:szCs w:val="20"/>
        </w:rPr>
        <w:t>, vaje</w:t>
      </w:r>
      <w:r w:rsidR="0087437A">
        <w:rPr>
          <w:rFonts w:ascii="Arial" w:hAnsi="Arial" w:cs="Arial"/>
          <w:sz w:val="20"/>
          <w:szCs w:val="20"/>
        </w:rPr>
        <w:t xml:space="preserve"> EU in Nata</w:t>
      </w:r>
      <w:r w:rsidR="00653B9D" w:rsidRPr="00A335CB">
        <w:rPr>
          <w:rFonts w:ascii="Arial" w:hAnsi="Arial" w:cs="Arial"/>
          <w:sz w:val="20"/>
          <w:szCs w:val="20"/>
        </w:rPr>
        <w:t xml:space="preserve"> s področja kriznega upravljanja ter kibernetske varnosti.</w:t>
      </w:r>
    </w:p>
    <w:p w14:paraId="5F588FC8" w14:textId="77777777" w:rsidR="00653B9D" w:rsidRPr="00A335CB" w:rsidRDefault="00653B9D" w:rsidP="005D1A90">
      <w:pPr>
        <w:spacing w:after="0" w:line="276" w:lineRule="auto"/>
        <w:jc w:val="both"/>
        <w:rPr>
          <w:rFonts w:ascii="Arial" w:hAnsi="Arial" w:cs="Arial"/>
          <w:sz w:val="20"/>
          <w:szCs w:val="20"/>
        </w:rPr>
      </w:pPr>
    </w:p>
    <w:p w14:paraId="3609BAE1" w14:textId="0133F4FF" w:rsidR="007657AE" w:rsidRPr="00A335CB" w:rsidRDefault="007657AE" w:rsidP="00773B16">
      <w:pPr>
        <w:shd w:val="clear" w:color="auto" w:fill="FFFFFF" w:themeFill="background1"/>
        <w:spacing w:after="0"/>
        <w:rPr>
          <w:b/>
        </w:rPr>
      </w:pPr>
      <w:r w:rsidRPr="00A335CB">
        <w:rPr>
          <w:b/>
        </w:rPr>
        <w:t>Normativna dejavnost</w:t>
      </w:r>
    </w:p>
    <w:p w14:paraId="5268136F" w14:textId="0A7F78CB"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S področja </w:t>
      </w:r>
      <w:r w:rsidRPr="00A335CB">
        <w:rPr>
          <w:rFonts w:ascii="Arial" w:hAnsi="Arial" w:cs="Arial"/>
          <w:b/>
          <w:sz w:val="20"/>
          <w:szCs w:val="20"/>
        </w:rPr>
        <w:t>policije in drugih varnostnih nalog</w:t>
      </w:r>
      <w:r w:rsidR="007657AE" w:rsidRPr="00A335CB">
        <w:rPr>
          <w:rFonts w:ascii="Arial" w:hAnsi="Arial" w:cs="Arial"/>
          <w:sz w:val="20"/>
          <w:szCs w:val="20"/>
        </w:rPr>
        <w:t xml:space="preserve"> je MNZ</w:t>
      </w:r>
      <w:r w:rsidRPr="00A335CB">
        <w:rPr>
          <w:rFonts w:ascii="Arial" w:hAnsi="Arial" w:cs="Arial"/>
          <w:sz w:val="20"/>
          <w:szCs w:val="20"/>
        </w:rPr>
        <w:t xml:space="preserve"> pripravilo predlog novega </w:t>
      </w:r>
      <w:r w:rsidRPr="00A335CB">
        <w:rPr>
          <w:rFonts w:ascii="Arial" w:hAnsi="Arial" w:cs="Arial"/>
          <w:b/>
          <w:sz w:val="20"/>
          <w:szCs w:val="20"/>
        </w:rPr>
        <w:t xml:space="preserve">Zakona o detektivski dejavnosti </w:t>
      </w:r>
      <w:r w:rsidRPr="00A335CB">
        <w:rPr>
          <w:rFonts w:ascii="Arial" w:hAnsi="Arial" w:cs="Arial"/>
          <w:sz w:val="20"/>
          <w:szCs w:val="20"/>
        </w:rPr>
        <w:t xml:space="preserve">(Uradni list RS, št. 95/24), ki se uporablja od 8. </w:t>
      </w:r>
      <w:r w:rsidR="00AD69EB">
        <w:rPr>
          <w:rFonts w:ascii="Arial" w:hAnsi="Arial" w:cs="Arial"/>
          <w:sz w:val="20"/>
          <w:szCs w:val="20"/>
        </w:rPr>
        <w:t>decembra</w:t>
      </w:r>
      <w:r w:rsidRPr="00A335CB">
        <w:rPr>
          <w:rFonts w:ascii="Arial" w:hAnsi="Arial" w:cs="Arial"/>
          <w:sz w:val="20"/>
          <w:szCs w:val="20"/>
        </w:rPr>
        <w:t xml:space="preserve"> 2024. Zakon je celovito uredil detektivsko dejavnost, povečal zaščito pravic strank ter </w:t>
      </w:r>
      <w:r w:rsidR="00AD69EB" w:rsidRPr="00A335CB">
        <w:rPr>
          <w:rFonts w:ascii="Arial" w:hAnsi="Arial" w:cs="Arial"/>
          <w:sz w:val="20"/>
          <w:szCs w:val="20"/>
        </w:rPr>
        <w:t>preglednost</w:t>
      </w:r>
      <w:r w:rsidRPr="00A335CB">
        <w:rPr>
          <w:rFonts w:ascii="Arial" w:hAnsi="Arial" w:cs="Arial"/>
          <w:sz w:val="20"/>
          <w:szCs w:val="20"/>
        </w:rPr>
        <w:t xml:space="preserve"> in odgovornost pri izvajanju dejavnosti. Zakon ureja dopustne oblike dela detektivov, nadgrajuje pogoje za fizične in pravne osebe za opravljanje detektivske dejavnosti, določa </w:t>
      </w:r>
      <w:proofErr w:type="spellStart"/>
      <w:r w:rsidRPr="00A335CB">
        <w:rPr>
          <w:rFonts w:ascii="Arial" w:hAnsi="Arial" w:cs="Arial"/>
          <w:sz w:val="20"/>
          <w:szCs w:val="20"/>
        </w:rPr>
        <w:t>konstitutivnost</w:t>
      </w:r>
      <w:proofErr w:type="spellEnd"/>
      <w:r w:rsidRPr="00A335CB">
        <w:rPr>
          <w:rFonts w:ascii="Arial" w:hAnsi="Arial" w:cs="Arial"/>
          <w:sz w:val="20"/>
          <w:szCs w:val="20"/>
        </w:rPr>
        <w:t xml:space="preserve"> vpisa in izbrisa detektivov, detektivov podjetnikov in detektivskih družb v evidenco detektivov oziroma evidenco detektivskih družb. Celoviteje ureja pristojnosti, organizacijo in delovanje zbornice, nadgrajuje ureditev strokovnega nadzora nad delom detektivov, disciplinsko odgovornost detektivov, njihovo varnostno preverjanje, mirovanje statusa in posameznih upravičenj detektiva. Ureja tudi postopek pritožb zoper delo detektivov in krepi inšpekcijski nadzor nad izvajanjem določb zakona. </w:t>
      </w:r>
    </w:p>
    <w:p w14:paraId="7DBE5A05" w14:textId="77777777" w:rsidR="00653B9D" w:rsidRPr="00A335CB" w:rsidRDefault="00653B9D" w:rsidP="005D1A90">
      <w:pPr>
        <w:spacing w:after="0" w:line="276" w:lineRule="auto"/>
        <w:jc w:val="both"/>
        <w:rPr>
          <w:rFonts w:ascii="Arial" w:hAnsi="Arial" w:cs="Arial"/>
          <w:sz w:val="20"/>
          <w:szCs w:val="20"/>
        </w:rPr>
      </w:pPr>
    </w:p>
    <w:p w14:paraId="0A9063B6" w14:textId="5749C455" w:rsidR="00653B9D" w:rsidRPr="00A335CB" w:rsidRDefault="007657AE" w:rsidP="005D1A90">
      <w:pPr>
        <w:spacing w:after="0" w:line="276" w:lineRule="auto"/>
        <w:jc w:val="both"/>
        <w:rPr>
          <w:rFonts w:ascii="Arial" w:eastAsia="Times New Roman" w:hAnsi="Arial" w:cs="Arial"/>
          <w:iCs/>
          <w:sz w:val="20"/>
          <w:szCs w:val="20"/>
        </w:rPr>
      </w:pPr>
      <w:r w:rsidRPr="00A335CB">
        <w:rPr>
          <w:rFonts w:ascii="Arial" w:eastAsia="Times New Roman" w:hAnsi="Arial" w:cs="Arial"/>
          <w:iCs/>
          <w:sz w:val="20"/>
          <w:szCs w:val="20"/>
        </w:rPr>
        <w:t>V MNZ</w:t>
      </w:r>
      <w:r w:rsidR="00653B9D" w:rsidRPr="00A335CB">
        <w:rPr>
          <w:rFonts w:ascii="Arial" w:eastAsia="Times New Roman" w:hAnsi="Arial" w:cs="Arial"/>
          <w:iCs/>
          <w:sz w:val="20"/>
          <w:szCs w:val="20"/>
        </w:rPr>
        <w:t xml:space="preserve"> je bil pripravljen tudi predlog </w:t>
      </w:r>
      <w:r w:rsidR="00653B9D" w:rsidRPr="00A335CB">
        <w:rPr>
          <w:rFonts w:ascii="Arial" w:eastAsia="Times New Roman" w:hAnsi="Arial" w:cs="Arial"/>
          <w:b/>
          <w:iCs/>
          <w:sz w:val="20"/>
          <w:szCs w:val="20"/>
        </w:rPr>
        <w:t>Zakona o spremembah in dopolnitvah Zakona o nadzoru državne meje</w:t>
      </w:r>
      <w:r w:rsidR="00653B9D" w:rsidRPr="00A335CB">
        <w:rPr>
          <w:rFonts w:ascii="Arial" w:eastAsia="Times New Roman" w:hAnsi="Arial" w:cs="Arial"/>
          <w:iCs/>
          <w:sz w:val="20"/>
          <w:szCs w:val="20"/>
        </w:rPr>
        <w:t xml:space="preserve"> (Uradni list RS, št. 112/24), ki je bil sprejet 27. 12. 2024 in se uporablja od 11. 1. 2025 dalje. Novela zakona je namenjena uskladitvi zakonodaje glede na to, da policija s 1.</w:t>
      </w:r>
      <w:r w:rsidR="00AD69EB">
        <w:rPr>
          <w:rFonts w:ascii="Arial" w:eastAsia="Times New Roman" w:hAnsi="Arial" w:cs="Arial"/>
          <w:iCs/>
          <w:sz w:val="20"/>
          <w:szCs w:val="20"/>
        </w:rPr>
        <w:t> januarjem</w:t>
      </w:r>
      <w:r w:rsidR="00653B9D" w:rsidRPr="00A335CB">
        <w:rPr>
          <w:rFonts w:ascii="Arial" w:eastAsia="Times New Roman" w:hAnsi="Arial" w:cs="Arial"/>
          <w:iCs/>
          <w:sz w:val="20"/>
          <w:szCs w:val="20"/>
        </w:rPr>
        <w:t xml:space="preserve"> 2023 ne izvaja več mejne kontrole na kopenskih mejah s sosednjimi državami in da je uveden začasni ponovni nadzor na notranjih mejah Republike Slovenije z Republiko Hrvaško in Madžarsko. Prav tako se nanaša na upravljanje nepremičnin na območju nekdanjih mejnih prehodov, in sicer le na tiste, ki so nujne za opravljanje nalog iz pristojnosti policije ter s tem povezano zmanjšanje stroškov iz naslova upravljanja nepremičnin. Nadgrajen je tudi normativni okvir za opravljanje policijskih nalog in izvajanje policijskih pooblastil pri nadzoru državne meje.</w:t>
      </w:r>
    </w:p>
    <w:p w14:paraId="604DF430" w14:textId="77777777" w:rsidR="00653B9D" w:rsidRPr="00A335CB" w:rsidRDefault="00653B9D" w:rsidP="005D1A90">
      <w:pPr>
        <w:spacing w:after="0" w:line="276" w:lineRule="auto"/>
        <w:jc w:val="both"/>
        <w:rPr>
          <w:rFonts w:ascii="Arial" w:eastAsia="Times New Roman" w:hAnsi="Arial" w:cs="Arial"/>
          <w:iCs/>
          <w:sz w:val="20"/>
          <w:szCs w:val="20"/>
        </w:rPr>
      </w:pPr>
      <w:r w:rsidRPr="00A335CB">
        <w:rPr>
          <w:rFonts w:ascii="Arial" w:hAnsi="Arial" w:cs="Arial"/>
          <w:sz w:val="20"/>
          <w:szCs w:val="20"/>
        </w:rPr>
        <w:t xml:space="preserve"> </w:t>
      </w:r>
    </w:p>
    <w:p w14:paraId="244286F9" w14:textId="43FDE0BF"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Na ravni podz</w:t>
      </w:r>
      <w:r w:rsidR="00A64AD5" w:rsidRPr="00A335CB">
        <w:rPr>
          <w:rFonts w:ascii="Arial" w:hAnsi="Arial" w:cs="Arial"/>
          <w:sz w:val="20"/>
          <w:szCs w:val="20"/>
        </w:rPr>
        <w:t>akonski</w:t>
      </w:r>
      <w:r w:rsidR="00AD69EB">
        <w:rPr>
          <w:rFonts w:ascii="Arial" w:hAnsi="Arial" w:cs="Arial"/>
          <w:sz w:val="20"/>
          <w:szCs w:val="20"/>
        </w:rPr>
        <w:t>h</w:t>
      </w:r>
      <w:r w:rsidR="00A64AD5" w:rsidRPr="00A335CB">
        <w:rPr>
          <w:rFonts w:ascii="Arial" w:hAnsi="Arial" w:cs="Arial"/>
          <w:sz w:val="20"/>
          <w:szCs w:val="20"/>
        </w:rPr>
        <w:t xml:space="preserve"> predpisov je MNZ</w:t>
      </w:r>
      <w:r w:rsidRPr="00A335CB">
        <w:rPr>
          <w:rFonts w:ascii="Arial" w:hAnsi="Arial" w:cs="Arial"/>
          <w:sz w:val="20"/>
          <w:szCs w:val="20"/>
        </w:rPr>
        <w:t xml:space="preserve"> </w:t>
      </w:r>
      <w:r w:rsidR="00AD69EB">
        <w:rPr>
          <w:rFonts w:ascii="Arial" w:hAnsi="Arial" w:cs="Arial"/>
          <w:sz w:val="20"/>
          <w:szCs w:val="20"/>
        </w:rPr>
        <w:t>začelo pripravljati</w:t>
      </w:r>
      <w:r w:rsidRPr="00A335CB">
        <w:rPr>
          <w:rFonts w:ascii="Arial" w:hAnsi="Arial" w:cs="Arial"/>
          <w:sz w:val="20"/>
          <w:szCs w:val="20"/>
        </w:rPr>
        <w:t>:</w:t>
      </w:r>
    </w:p>
    <w:p w14:paraId="2740B84E" w14:textId="12E82B33"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posodobit</w:t>
      </w:r>
      <w:r w:rsidR="00AD69EB">
        <w:rPr>
          <w:rFonts w:ascii="Arial" w:hAnsi="Arial" w:cs="Arial"/>
          <w:sz w:val="20"/>
          <w:szCs w:val="20"/>
        </w:rPr>
        <w:t>e</w:t>
      </w:r>
      <w:r w:rsidRPr="00A335CB">
        <w:rPr>
          <w:rFonts w:ascii="Arial" w:hAnsi="Arial" w:cs="Arial"/>
          <w:sz w:val="20"/>
          <w:szCs w:val="20"/>
        </w:rPr>
        <w:t xml:space="preserve">v Pravilnika o izvajanju zakona o detektivski dejavnosti (z rokom sprejetja 18 mesecev od uveljavitve novega zakona) in </w:t>
      </w:r>
    </w:p>
    <w:p w14:paraId="78EB4480" w14:textId="6FCE0CE1" w:rsidR="00653B9D" w:rsidRPr="00A335CB" w:rsidRDefault="00AD69EB"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Uredb</w:t>
      </w:r>
      <w:r>
        <w:rPr>
          <w:rFonts w:ascii="Arial" w:hAnsi="Arial" w:cs="Arial"/>
          <w:sz w:val="20"/>
          <w:szCs w:val="20"/>
        </w:rPr>
        <w:t>o</w:t>
      </w:r>
      <w:r w:rsidRPr="00A335CB">
        <w:rPr>
          <w:rFonts w:ascii="Arial" w:hAnsi="Arial" w:cs="Arial"/>
          <w:sz w:val="20"/>
          <w:szCs w:val="20"/>
        </w:rPr>
        <w:t xml:space="preserve"> </w:t>
      </w:r>
      <w:r w:rsidR="00653B9D" w:rsidRPr="00A335CB">
        <w:rPr>
          <w:rFonts w:ascii="Arial" w:hAnsi="Arial" w:cs="Arial"/>
          <w:sz w:val="20"/>
          <w:szCs w:val="20"/>
        </w:rPr>
        <w:t>o finančnem nadomestilu občinam zaradi uvedbe začasnega ponovnega nadzora na notranjih mejah (z rokom sprejetja v februarju 2025).</w:t>
      </w:r>
    </w:p>
    <w:p w14:paraId="74AFDD3B" w14:textId="77777777" w:rsidR="00653B9D" w:rsidRPr="00A335CB" w:rsidRDefault="00653B9D" w:rsidP="005D1A90">
      <w:pPr>
        <w:spacing w:after="0" w:line="276" w:lineRule="auto"/>
        <w:ind w:left="426" w:hanging="426"/>
        <w:jc w:val="both"/>
        <w:rPr>
          <w:rFonts w:ascii="Arial" w:hAnsi="Arial" w:cs="Arial"/>
          <w:sz w:val="20"/>
          <w:szCs w:val="20"/>
        </w:rPr>
      </w:pPr>
    </w:p>
    <w:p w14:paraId="19C70EA8" w14:textId="15F45E5C" w:rsidR="00653B9D" w:rsidRPr="00A335CB" w:rsidRDefault="00A64AD5" w:rsidP="005D1A90">
      <w:pPr>
        <w:spacing w:after="0" w:line="276" w:lineRule="auto"/>
        <w:jc w:val="both"/>
        <w:rPr>
          <w:rFonts w:ascii="Arial" w:eastAsia="Times New Roman" w:hAnsi="Arial" w:cs="Arial"/>
          <w:sz w:val="20"/>
          <w:szCs w:val="20"/>
        </w:rPr>
      </w:pPr>
      <w:r w:rsidRPr="00A335CB">
        <w:rPr>
          <w:rFonts w:ascii="Arial" w:hAnsi="Arial" w:cs="Arial"/>
          <w:bCs/>
          <w:sz w:val="20"/>
          <w:szCs w:val="20"/>
        </w:rPr>
        <w:t>V letu 2024 je MNZ</w:t>
      </w:r>
      <w:r w:rsidR="00653B9D" w:rsidRPr="00A335CB">
        <w:rPr>
          <w:rFonts w:ascii="Arial" w:hAnsi="Arial" w:cs="Arial"/>
          <w:bCs/>
          <w:sz w:val="20"/>
          <w:szCs w:val="20"/>
        </w:rPr>
        <w:t xml:space="preserve"> nadaljevalo pripravo </w:t>
      </w:r>
      <w:r w:rsidR="00653B9D" w:rsidRPr="00A335CB">
        <w:rPr>
          <w:rFonts w:ascii="Arial" w:hAnsi="Arial" w:cs="Arial"/>
          <w:sz w:val="20"/>
          <w:szCs w:val="20"/>
        </w:rPr>
        <w:t xml:space="preserve">osnutka predloga </w:t>
      </w:r>
      <w:r w:rsidR="00653B9D" w:rsidRPr="00A335CB">
        <w:rPr>
          <w:rFonts w:ascii="Arial" w:hAnsi="Arial" w:cs="Arial"/>
          <w:b/>
          <w:sz w:val="20"/>
          <w:szCs w:val="20"/>
        </w:rPr>
        <w:t>Zakona o spremembah in dopolnitvah Zakona o organiziranosti in delu v policiji</w:t>
      </w:r>
      <w:r w:rsidR="0034123D">
        <w:rPr>
          <w:rFonts w:ascii="Arial" w:hAnsi="Arial" w:cs="Arial"/>
          <w:sz w:val="20"/>
          <w:szCs w:val="20"/>
        </w:rPr>
        <w:t>.</w:t>
      </w:r>
    </w:p>
    <w:p w14:paraId="0489FE01" w14:textId="77777777" w:rsidR="00653B9D" w:rsidRPr="00A335CB" w:rsidRDefault="00653B9D" w:rsidP="005D1A90">
      <w:pPr>
        <w:spacing w:after="0" w:line="276" w:lineRule="auto"/>
        <w:jc w:val="both"/>
        <w:rPr>
          <w:rFonts w:ascii="Arial" w:eastAsia="Times New Roman" w:hAnsi="Arial" w:cs="Arial"/>
          <w:sz w:val="20"/>
          <w:szCs w:val="20"/>
        </w:rPr>
      </w:pPr>
    </w:p>
    <w:p w14:paraId="3CE21DF7" w14:textId="0012D330" w:rsidR="00653B9D" w:rsidRPr="00A335CB" w:rsidRDefault="00653B9D"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 xml:space="preserve">Pripravljen je bil predlog </w:t>
      </w:r>
      <w:r w:rsidRPr="00A335CB">
        <w:rPr>
          <w:rFonts w:ascii="Arial" w:hAnsi="Arial" w:cs="Arial"/>
          <w:b/>
          <w:sz w:val="20"/>
          <w:szCs w:val="20"/>
        </w:rPr>
        <w:t xml:space="preserve">Zakona o spremembah in dopolnitvah Zakona o nalogah in pooblastilih policije </w:t>
      </w:r>
      <w:r w:rsidRPr="00A335CB">
        <w:rPr>
          <w:rFonts w:ascii="Arial" w:hAnsi="Arial" w:cs="Arial"/>
          <w:sz w:val="20"/>
          <w:szCs w:val="20"/>
        </w:rPr>
        <w:t>(</w:t>
      </w:r>
      <w:proofErr w:type="spellStart"/>
      <w:r w:rsidRPr="00A335CB">
        <w:rPr>
          <w:rFonts w:ascii="Arial" w:hAnsi="Arial" w:cs="Arial"/>
          <w:sz w:val="20"/>
          <w:szCs w:val="20"/>
        </w:rPr>
        <w:t>ZNPPol</w:t>
      </w:r>
      <w:proofErr w:type="spellEnd"/>
      <w:r w:rsidRPr="00A335CB">
        <w:rPr>
          <w:rFonts w:ascii="Arial" w:hAnsi="Arial" w:cs="Arial"/>
          <w:sz w:val="20"/>
          <w:szCs w:val="20"/>
        </w:rPr>
        <w:t xml:space="preserve">), ki je bil v zadnjem tromesečju 2024 </w:t>
      </w:r>
      <w:r w:rsidR="00670EF4">
        <w:rPr>
          <w:rFonts w:ascii="Arial" w:hAnsi="Arial" w:cs="Arial"/>
          <w:sz w:val="20"/>
          <w:szCs w:val="20"/>
        </w:rPr>
        <w:t>predložen</w:t>
      </w:r>
      <w:r w:rsidR="00670EF4" w:rsidRPr="00A335CB">
        <w:rPr>
          <w:rFonts w:ascii="Arial" w:hAnsi="Arial" w:cs="Arial"/>
          <w:sz w:val="20"/>
          <w:szCs w:val="20"/>
        </w:rPr>
        <w:t xml:space="preserve"> </w:t>
      </w:r>
      <w:r w:rsidRPr="00A335CB">
        <w:rPr>
          <w:rFonts w:ascii="Arial" w:hAnsi="Arial" w:cs="Arial"/>
          <w:sz w:val="20"/>
          <w:szCs w:val="20"/>
        </w:rPr>
        <w:t>v postopek v Državni zbor R</w:t>
      </w:r>
      <w:r w:rsidR="007E21DA" w:rsidRPr="00A335CB">
        <w:rPr>
          <w:rFonts w:ascii="Arial" w:hAnsi="Arial" w:cs="Arial"/>
          <w:sz w:val="20"/>
          <w:szCs w:val="20"/>
        </w:rPr>
        <w:t xml:space="preserve">epublike </w:t>
      </w:r>
      <w:r w:rsidRPr="00A335CB">
        <w:rPr>
          <w:rFonts w:ascii="Arial" w:hAnsi="Arial" w:cs="Arial"/>
          <w:sz w:val="20"/>
          <w:szCs w:val="20"/>
        </w:rPr>
        <w:t>S</w:t>
      </w:r>
      <w:r w:rsidR="007E21DA" w:rsidRPr="00A335CB">
        <w:rPr>
          <w:rFonts w:ascii="Arial" w:hAnsi="Arial" w:cs="Arial"/>
          <w:sz w:val="20"/>
          <w:szCs w:val="20"/>
        </w:rPr>
        <w:t>lovenije</w:t>
      </w:r>
      <w:r w:rsidRPr="00A335CB">
        <w:rPr>
          <w:rFonts w:ascii="Arial" w:hAnsi="Arial" w:cs="Arial"/>
          <w:sz w:val="20"/>
          <w:szCs w:val="20"/>
        </w:rPr>
        <w:t xml:space="preserve">. </w:t>
      </w:r>
    </w:p>
    <w:p w14:paraId="49A47003"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p>
    <w:p w14:paraId="2F38FDBB" w14:textId="1BCAC906"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Predlog zakona </w:t>
      </w:r>
      <w:r w:rsidRPr="00A335CB">
        <w:rPr>
          <w:rFonts w:ascii="Arial" w:hAnsi="Arial" w:cs="Arial"/>
          <w:sz w:val="20"/>
          <w:szCs w:val="20"/>
        </w:rPr>
        <w:t>se vsebinsko nanaša na</w:t>
      </w:r>
      <w:r w:rsidRPr="00A335CB">
        <w:rPr>
          <w:rFonts w:ascii="Arial" w:hAnsi="Arial" w:cs="Arial"/>
          <w:sz w:val="20"/>
          <w:szCs w:val="20"/>
          <w:lang w:eastAsia="sl-SI"/>
        </w:rPr>
        <w:t>:</w:t>
      </w:r>
    </w:p>
    <w:p w14:paraId="386AC600" w14:textId="6D3C82D8"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uskladitev s pravom Evropske </w:t>
      </w:r>
      <w:r w:rsidR="000249BC">
        <w:rPr>
          <w:rFonts w:ascii="Arial" w:hAnsi="Arial" w:cs="Arial"/>
          <w:sz w:val="20"/>
          <w:szCs w:val="20"/>
        </w:rPr>
        <w:t>u</w:t>
      </w:r>
      <w:r w:rsidR="000249BC" w:rsidRPr="00A335CB">
        <w:rPr>
          <w:rFonts w:ascii="Arial" w:hAnsi="Arial" w:cs="Arial"/>
          <w:sz w:val="20"/>
          <w:szCs w:val="20"/>
        </w:rPr>
        <w:t>nije</w:t>
      </w:r>
      <w:r w:rsidRPr="00A335CB">
        <w:rPr>
          <w:rFonts w:ascii="Arial" w:hAnsi="Arial" w:cs="Arial"/>
          <w:sz w:val="20"/>
          <w:szCs w:val="20"/>
        </w:rPr>
        <w:t>, in sicer z:</w:t>
      </w:r>
    </w:p>
    <w:p w14:paraId="733ACA62" w14:textId="77777777" w:rsidR="00653B9D" w:rsidRPr="00A335CB" w:rsidRDefault="00653B9D" w:rsidP="005D1A90">
      <w:pPr>
        <w:pStyle w:val="Odstavekseznama"/>
        <w:numPr>
          <w:ilvl w:val="0"/>
          <w:numId w:val="16"/>
        </w:numPr>
        <w:spacing w:after="0"/>
        <w:jc w:val="both"/>
        <w:rPr>
          <w:rFonts w:ascii="Arial" w:hAnsi="Arial" w:cs="Arial"/>
          <w:sz w:val="20"/>
          <w:szCs w:val="20"/>
        </w:rPr>
      </w:pPr>
      <w:r w:rsidRPr="00A335CB">
        <w:rPr>
          <w:rFonts w:ascii="Arial" w:hAnsi="Arial" w:cs="Arial"/>
          <w:sz w:val="20"/>
          <w:szCs w:val="20"/>
        </w:rPr>
        <w:t xml:space="preserve">Direktivo (EU) 2023/977, ki vsebuje določbe za izmenjavo informacij med organi kazenskega pregona držav članic zaradi preprečevanja, odkrivanja in preiskovanja kaznivih dejanj, </w:t>
      </w:r>
    </w:p>
    <w:p w14:paraId="31731062" w14:textId="77777777" w:rsidR="00653B9D" w:rsidRPr="00A335CB" w:rsidRDefault="00653B9D" w:rsidP="005D1A90">
      <w:pPr>
        <w:pStyle w:val="Odstavekseznama"/>
        <w:numPr>
          <w:ilvl w:val="0"/>
          <w:numId w:val="16"/>
        </w:numPr>
        <w:spacing w:after="0"/>
        <w:jc w:val="both"/>
        <w:rPr>
          <w:rFonts w:ascii="Arial" w:hAnsi="Arial" w:cs="Arial"/>
          <w:sz w:val="20"/>
          <w:szCs w:val="20"/>
        </w:rPr>
      </w:pPr>
      <w:r w:rsidRPr="00A335CB">
        <w:rPr>
          <w:rFonts w:ascii="Arial" w:hAnsi="Arial" w:cs="Arial"/>
          <w:sz w:val="20"/>
          <w:szCs w:val="20"/>
        </w:rPr>
        <w:t>Uredbo (EU) 2018/1862, ki izboljšuje in razširja uporabo Schengenskega informacijskega sistema (SIS) za sodelovanje med policijskimi in pravosodnimi organi,</w:t>
      </w:r>
    </w:p>
    <w:p w14:paraId="26483FF8" w14:textId="23F82A8B" w:rsidR="00653B9D" w:rsidRPr="00A335CB" w:rsidRDefault="00653B9D" w:rsidP="005D1A90">
      <w:pPr>
        <w:pStyle w:val="Odstavekseznama"/>
        <w:numPr>
          <w:ilvl w:val="0"/>
          <w:numId w:val="16"/>
        </w:numPr>
        <w:spacing w:after="0"/>
        <w:jc w:val="both"/>
        <w:rPr>
          <w:rFonts w:ascii="Arial" w:hAnsi="Arial" w:cs="Arial"/>
          <w:sz w:val="20"/>
          <w:szCs w:val="20"/>
        </w:rPr>
      </w:pPr>
      <w:r w:rsidRPr="00A335CB">
        <w:rPr>
          <w:rFonts w:ascii="Arial" w:hAnsi="Arial" w:cs="Arial"/>
          <w:sz w:val="20"/>
          <w:szCs w:val="20"/>
        </w:rPr>
        <w:t xml:space="preserve">Uredbo (EU) 2019/817, ki </w:t>
      </w:r>
      <w:r w:rsidR="000249BC">
        <w:rPr>
          <w:rFonts w:ascii="Arial" w:hAnsi="Arial" w:cs="Arial"/>
          <w:sz w:val="20"/>
          <w:szCs w:val="20"/>
        </w:rPr>
        <w:t>obravnava</w:t>
      </w:r>
      <w:r w:rsidR="000249BC" w:rsidRPr="00A335CB">
        <w:rPr>
          <w:rFonts w:ascii="Arial" w:hAnsi="Arial" w:cs="Arial"/>
          <w:sz w:val="20"/>
          <w:szCs w:val="20"/>
        </w:rPr>
        <w:t xml:space="preserve"> </w:t>
      </w:r>
      <w:r w:rsidRPr="00A335CB">
        <w:rPr>
          <w:rFonts w:ascii="Arial" w:hAnsi="Arial" w:cs="Arial"/>
          <w:sz w:val="20"/>
          <w:szCs w:val="20"/>
        </w:rPr>
        <w:t xml:space="preserve">mejno kontrolo, nezakonito priseljevanje ter teroristična in druga huda kazniva dejanja, </w:t>
      </w:r>
    </w:p>
    <w:p w14:paraId="3CCAC1B2" w14:textId="77777777" w:rsidR="00653B9D" w:rsidRPr="00A335CB" w:rsidRDefault="00653B9D" w:rsidP="005D1A90">
      <w:pPr>
        <w:pStyle w:val="Odstavekseznama"/>
        <w:numPr>
          <w:ilvl w:val="0"/>
          <w:numId w:val="16"/>
        </w:numPr>
        <w:spacing w:after="0"/>
        <w:jc w:val="both"/>
        <w:rPr>
          <w:rFonts w:ascii="Arial" w:hAnsi="Arial" w:cs="Arial"/>
          <w:sz w:val="20"/>
          <w:szCs w:val="20"/>
        </w:rPr>
      </w:pPr>
      <w:r w:rsidRPr="00A335CB">
        <w:rPr>
          <w:rFonts w:ascii="Arial" w:hAnsi="Arial" w:cs="Arial"/>
          <w:sz w:val="20"/>
          <w:szCs w:val="20"/>
        </w:rPr>
        <w:t>Uredbo (EU) 2018/1240, ki določa vzpostavitev nacionalne enote ETIAS (Evropski sistem za potovalne informacije in odobritve);</w:t>
      </w:r>
    </w:p>
    <w:p w14:paraId="7D4770AE" w14:textId="77777777" w:rsidR="00A64AD5"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uskladitev s sodbo Sodišča Evropske unije, št. C-817/19 z dne 21. junija 2022, </w:t>
      </w:r>
      <w:r w:rsidRPr="00A335CB">
        <w:rPr>
          <w:rFonts w:ascii="Arial" w:hAnsi="Arial" w:cs="Arial"/>
          <w:sz w:val="20"/>
          <w:szCs w:val="20"/>
          <w:lang w:eastAsia="sl-SI"/>
        </w:rPr>
        <w:t xml:space="preserve">da sistem, vzpostavljen z Direktivo 2016/681/EU, </w:t>
      </w:r>
      <w:r w:rsidRPr="00A335CB">
        <w:rPr>
          <w:rFonts w:ascii="Arial" w:hAnsi="Arial" w:cs="Arial"/>
          <w:bCs/>
          <w:sz w:val="20"/>
          <w:szCs w:val="20"/>
          <w:lang w:eastAsia="sl-SI"/>
        </w:rPr>
        <w:t>lahko zajema le jasno opredeljive in omejene informacije, ki so povezane z opravljenim letom in zadevnim potnikom</w:t>
      </w:r>
      <w:r w:rsidRPr="00A335CB">
        <w:rPr>
          <w:rFonts w:ascii="Arial" w:hAnsi="Arial" w:cs="Arial"/>
          <w:sz w:val="20"/>
          <w:szCs w:val="20"/>
        </w:rPr>
        <w:t>;</w:t>
      </w:r>
    </w:p>
    <w:p w14:paraId="5E624269" w14:textId="77777777" w:rsidR="00A64AD5"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uskladitev z odločbo Ustavnega sodišča RS, št. Up-26/19-31, U-I-227/19-22, ki je v postopku za oceno ustavnosti presojalo ureditev ukrepa prepovedi približevanja določeni osebi, kraju in območju po 60. in 61. členu </w:t>
      </w:r>
      <w:proofErr w:type="spellStart"/>
      <w:r w:rsidRPr="00A335CB">
        <w:rPr>
          <w:rFonts w:ascii="Arial" w:hAnsi="Arial" w:cs="Arial"/>
          <w:sz w:val="20"/>
          <w:szCs w:val="20"/>
        </w:rPr>
        <w:t>ZNPPol</w:t>
      </w:r>
      <w:proofErr w:type="spellEnd"/>
      <w:r w:rsidRPr="00A335CB">
        <w:rPr>
          <w:rFonts w:ascii="Arial" w:hAnsi="Arial" w:cs="Arial"/>
          <w:sz w:val="20"/>
          <w:szCs w:val="20"/>
        </w:rPr>
        <w:t>;</w:t>
      </w:r>
    </w:p>
    <w:p w14:paraId="44041F25" w14:textId="77777777" w:rsidR="00A64AD5"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zahtevo Informacijskega pooblaščenca za oceno ustavnosti 129. člena </w:t>
      </w:r>
      <w:proofErr w:type="spellStart"/>
      <w:r w:rsidRPr="00A335CB">
        <w:rPr>
          <w:rFonts w:ascii="Arial" w:hAnsi="Arial" w:cs="Arial"/>
          <w:sz w:val="20"/>
          <w:szCs w:val="20"/>
        </w:rPr>
        <w:t>ZNPPol</w:t>
      </w:r>
      <w:proofErr w:type="spellEnd"/>
      <w:r w:rsidRPr="00A335CB">
        <w:rPr>
          <w:rFonts w:ascii="Arial" w:hAnsi="Arial" w:cs="Arial"/>
          <w:sz w:val="20"/>
          <w:szCs w:val="20"/>
        </w:rPr>
        <w:t>, ki jo Ustavno sodišče Republike Slovenije vodi pod opr. št. U-I-9/24, in sicer glede nesorazmernosti rokov hrambe v evidenci kaznivih dejanj;</w:t>
      </w:r>
    </w:p>
    <w:p w14:paraId="4402E26E" w14:textId="16E344EE"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učinkovitejše delovanje policije pri opravljanju nalog, ki izhajajo iz njenih temeljnih zakonskih obveznosti</w:t>
      </w:r>
      <w:r w:rsidR="000249BC">
        <w:rPr>
          <w:rFonts w:ascii="Arial" w:hAnsi="Arial" w:cs="Arial"/>
          <w:sz w:val="20"/>
          <w:szCs w:val="20"/>
        </w:rPr>
        <w:t>,</w:t>
      </w:r>
      <w:r w:rsidRPr="00A335CB">
        <w:rPr>
          <w:rFonts w:ascii="Arial" w:hAnsi="Arial" w:cs="Arial"/>
          <w:sz w:val="20"/>
          <w:szCs w:val="20"/>
        </w:rPr>
        <w:t xml:space="preserve"> in pri zaščiti žrtev nasilja.</w:t>
      </w:r>
    </w:p>
    <w:p w14:paraId="3DB55FC4" w14:textId="77777777" w:rsidR="00653B9D" w:rsidRPr="00A335CB" w:rsidRDefault="00653B9D" w:rsidP="005D1A90">
      <w:pPr>
        <w:spacing w:after="0" w:line="276" w:lineRule="auto"/>
        <w:jc w:val="both"/>
        <w:rPr>
          <w:rFonts w:ascii="Arial" w:hAnsi="Arial" w:cs="Arial"/>
          <w:sz w:val="20"/>
          <w:szCs w:val="20"/>
          <w:highlight w:val="yellow"/>
        </w:rPr>
      </w:pPr>
    </w:p>
    <w:p w14:paraId="7227B8D1" w14:textId="26CEADC4" w:rsidR="00653B9D" w:rsidRPr="00A335CB" w:rsidRDefault="00653B9D" w:rsidP="005D1A90">
      <w:pPr>
        <w:autoSpaceDE w:val="0"/>
        <w:autoSpaceDN w:val="0"/>
        <w:adjustRightInd w:val="0"/>
        <w:spacing w:after="0" w:line="276" w:lineRule="auto"/>
        <w:contextualSpacing/>
        <w:jc w:val="both"/>
        <w:rPr>
          <w:rFonts w:ascii="Arial" w:hAnsi="Arial" w:cs="Arial"/>
          <w:sz w:val="20"/>
          <w:szCs w:val="20"/>
        </w:rPr>
      </w:pPr>
      <w:r w:rsidRPr="00A335CB">
        <w:rPr>
          <w:rFonts w:ascii="Arial" w:hAnsi="Arial" w:cs="Arial"/>
          <w:sz w:val="20"/>
          <w:szCs w:val="20"/>
        </w:rPr>
        <w:t>Na Ministrstvo za pravosodje so bile v sodelovanju z G</w:t>
      </w:r>
      <w:r w:rsidR="00741EC0" w:rsidRPr="00A335CB">
        <w:rPr>
          <w:rFonts w:ascii="Arial" w:hAnsi="Arial" w:cs="Arial"/>
          <w:sz w:val="20"/>
          <w:szCs w:val="20"/>
        </w:rPr>
        <w:t xml:space="preserve">eneralno policijsko upravo </w:t>
      </w:r>
      <w:r w:rsidRPr="002912A8">
        <w:rPr>
          <w:rFonts w:ascii="Arial" w:hAnsi="Arial" w:cs="Arial"/>
          <w:sz w:val="20"/>
          <w:szCs w:val="20"/>
        </w:rPr>
        <w:t>naslovljene</w:t>
      </w:r>
      <w:r w:rsidRPr="00A335CB">
        <w:rPr>
          <w:rFonts w:ascii="Arial" w:hAnsi="Arial" w:cs="Arial"/>
          <w:sz w:val="20"/>
          <w:szCs w:val="20"/>
        </w:rPr>
        <w:t xml:space="preserve"> tudi pobude za spremembe in dopolnitve </w:t>
      </w:r>
      <w:r w:rsidRPr="00A335CB">
        <w:rPr>
          <w:rFonts w:ascii="Arial" w:hAnsi="Arial" w:cs="Arial"/>
          <w:b/>
          <w:sz w:val="20"/>
          <w:szCs w:val="20"/>
        </w:rPr>
        <w:t>Zakona o kazenskem postopku</w:t>
      </w:r>
      <w:r w:rsidRPr="00A335CB">
        <w:rPr>
          <w:rFonts w:ascii="Arial" w:hAnsi="Arial" w:cs="Arial"/>
          <w:sz w:val="20"/>
          <w:szCs w:val="20"/>
        </w:rPr>
        <w:t xml:space="preserve">. </w:t>
      </w:r>
    </w:p>
    <w:p w14:paraId="78EA293A" w14:textId="77777777" w:rsidR="00653B9D" w:rsidRPr="00A335CB" w:rsidRDefault="00653B9D" w:rsidP="005D1A90">
      <w:pPr>
        <w:autoSpaceDE w:val="0"/>
        <w:autoSpaceDN w:val="0"/>
        <w:adjustRightInd w:val="0"/>
        <w:spacing w:after="0" w:line="276" w:lineRule="auto"/>
        <w:contextualSpacing/>
        <w:jc w:val="both"/>
        <w:rPr>
          <w:rFonts w:ascii="Arial" w:hAnsi="Arial" w:cs="Arial"/>
          <w:sz w:val="20"/>
          <w:szCs w:val="20"/>
        </w:rPr>
      </w:pPr>
    </w:p>
    <w:p w14:paraId="0F1EE70C" w14:textId="31BBC292" w:rsidR="00653B9D" w:rsidRPr="00A335CB" w:rsidRDefault="00653B9D" w:rsidP="005D1A90">
      <w:pPr>
        <w:autoSpaceDE w:val="0"/>
        <w:autoSpaceDN w:val="0"/>
        <w:adjustRightInd w:val="0"/>
        <w:spacing w:after="0" w:line="276" w:lineRule="auto"/>
        <w:contextualSpacing/>
        <w:jc w:val="both"/>
        <w:rPr>
          <w:rFonts w:ascii="Arial" w:hAnsi="Arial" w:cs="Arial"/>
          <w:sz w:val="20"/>
          <w:szCs w:val="20"/>
        </w:rPr>
      </w:pPr>
      <w:r w:rsidRPr="00A335CB">
        <w:rPr>
          <w:rFonts w:ascii="Arial" w:hAnsi="Arial" w:cs="Arial"/>
          <w:sz w:val="20"/>
          <w:szCs w:val="20"/>
        </w:rPr>
        <w:t>Uslužbenci MNZ so v letu 2024 sodelovali v naslednjih delovnih skupinah s področja normativne in analitske dejavnosti:</w:t>
      </w:r>
    </w:p>
    <w:p w14:paraId="2F925D93" w14:textId="77777777"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medresorska delovna skupina za proučitev sprememb in dopolnitev Zakona o prekrških, </w:t>
      </w:r>
    </w:p>
    <w:p w14:paraId="1D1C9C4F" w14:textId="77777777"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medresorska delovna skupina za uvedbo e-poslovanja in kazenskega spisa, </w:t>
      </w:r>
    </w:p>
    <w:p w14:paraId="6DA5363F" w14:textId="0284E6F9"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medresorska delovna skupina za zakonske spremembe na področju odvzema premoženja nezakonitega izvora,</w:t>
      </w:r>
    </w:p>
    <w:p w14:paraId="761F0DE3" w14:textId="77777777"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medresorska delovna skupina za varnost pravosodnih funkcionarjev,  </w:t>
      </w:r>
    </w:p>
    <w:p w14:paraId="2064B92C" w14:textId="77777777"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delovna skupina za obravnavo antisemitizma ter </w:t>
      </w:r>
    </w:p>
    <w:p w14:paraId="3E811FEE" w14:textId="2A970F4E" w:rsidR="00641FEA" w:rsidRDefault="00653B9D" w:rsidP="00E77F16">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analitska delovna skupina za merjenje učinkovitosti policijskih enot.</w:t>
      </w:r>
    </w:p>
    <w:p w14:paraId="0032F576" w14:textId="77777777" w:rsidR="008E24D4" w:rsidRPr="00E77F16" w:rsidRDefault="008E24D4" w:rsidP="008E24D4">
      <w:pPr>
        <w:pStyle w:val="Odstavekseznama"/>
        <w:spacing w:after="0"/>
        <w:ind w:left="426"/>
        <w:jc w:val="both"/>
        <w:rPr>
          <w:rFonts w:ascii="Arial" w:hAnsi="Arial" w:cs="Arial"/>
          <w:sz w:val="20"/>
          <w:szCs w:val="20"/>
        </w:rPr>
      </w:pPr>
    </w:p>
    <w:p w14:paraId="2531D166" w14:textId="6A484659" w:rsidR="004C7196" w:rsidRPr="00A335CB" w:rsidRDefault="00590E45" w:rsidP="005D1A90">
      <w:pPr>
        <w:pStyle w:val="Naslov1"/>
        <w:spacing w:after="0" w:line="276" w:lineRule="auto"/>
        <w:jc w:val="both"/>
        <w:rPr>
          <w:color w:val="auto"/>
        </w:rPr>
      </w:pPr>
      <w:bookmarkStart w:id="6" w:name="_Toc65591456"/>
      <w:bookmarkStart w:id="7" w:name="_Toc65651007"/>
      <w:bookmarkStart w:id="8" w:name="_Toc203552970"/>
      <w:r w:rsidRPr="00A335CB">
        <w:rPr>
          <w:color w:val="auto"/>
        </w:rPr>
        <w:t xml:space="preserve">Usmerjanje in nadzor nad delom policije ter </w:t>
      </w:r>
      <w:r w:rsidR="007C07F4" w:rsidRPr="00A335CB">
        <w:rPr>
          <w:color w:val="auto"/>
        </w:rPr>
        <w:t>reševanje pritožb zoper policiste</w:t>
      </w:r>
      <w:bookmarkEnd w:id="6"/>
      <w:bookmarkEnd w:id="7"/>
      <w:bookmarkEnd w:id="8"/>
    </w:p>
    <w:p w14:paraId="71BFBF36" w14:textId="77777777" w:rsidR="004C7196" w:rsidRPr="00A335CB" w:rsidRDefault="004C7196" w:rsidP="005D1A90">
      <w:pPr>
        <w:spacing w:after="0" w:line="276" w:lineRule="auto"/>
        <w:rPr>
          <w:rFonts w:ascii="Arial" w:hAnsi="Arial" w:cs="Arial"/>
          <w:sz w:val="20"/>
          <w:szCs w:val="20"/>
        </w:rPr>
      </w:pPr>
    </w:p>
    <w:p w14:paraId="3804F492" w14:textId="67E3EDC0" w:rsidR="00653B9D" w:rsidRPr="00A335CB" w:rsidRDefault="00653B9D" w:rsidP="005D1A90">
      <w:pPr>
        <w:spacing w:after="0" w:line="276" w:lineRule="auto"/>
        <w:jc w:val="both"/>
        <w:rPr>
          <w:rFonts w:ascii="Arial" w:eastAsia="ヒラギノ角ゴ Pro W3" w:hAnsi="Arial" w:cs="Arial"/>
          <w:sz w:val="20"/>
          <w:szCs w:val="20"/>
        </w:rPr>
      </w:pPr>
      <w:r w:rsidRPr="00A335CB">
        <w:rPr>
          <w:rFonts w:ascii="Arial" w:hAnsi="Arial" w:cs="Arial"/>
          <w:sz w:val="20"/>
          <w:szCs w:val="20"/>
        </w:rPr>
        <w:t xml:space="preserve">Usmerjanje in nadzor policije sta potekala učinkovito in objektivno. </w:t>
      </w:r>
      <w:r w:rsidRPr="00A335CB">
        <w:rPr>
          <w:rFonts w:ascii="Arial" w:eastAsia="ヒラギノ角ゴ Pro W3" w:hAnsi="Arial" w:cs="Arial"/>
          <w:sz w:val="20"/>
          <w:szCs w:val="20"/>
        </w:rPr>
        <w:t>Opravljene so bile vse načrtovane nal</w:t>
      </w:r>
      <w:r w:rsidR="007E21DA" w:rsidRPr="00A335CB">
        <w:rPr>
          <w:rFonts w:ascii="Arial" w:eastAsia="ヒラギノ角ゴ Pro W3" w:hAnsi="Arial" w:cs="Arial"/>
          <w:sz w:val="20"/>
          <w:szCs w:val="20"/>
        </w:rPr>
        <w:t>oge iz programa dela MNZ</w:t>
      </w:r>
      <w:r w:rsidRPr="00A335CB">
        <w:rPr>
          <w:rFonts w:ascii="Arial" w:eastAsia="ヒラギノ角ゴ Pro W3" w:hAnsi="Arial" w:cs="Arial"/>
          <w:sz w:val="20"/>
          <w:szCs w:val="20"/>
        </w:rPr>
        <w:t xml:space="preserve">, načrtovani nadzori iz letnega načrta nadzorov pa so bili v pretežni meri </w:t>
      </w:r>
      <w:r w:rsidR="00670EF4">
        <w:rPr>
          <w:rFonts w:ascii="Arial" w:eastAsia="ヒラギノ角ゴ Pro W3" w:hAnsi="Arial" w:cs="Arial"/>
          <w:sz w:val="20"/>
          <w:szCs w:val="20"/>
        </w:rPr>
        <w:t>izvedeni</w:t>
      </w:r>
      <w:r w:rsidRPr="00A335CB">
        <w:rPr>
          <w:rFonts w:ascii="Arial" w:eastAsia="ヒラギノ角ゴ Pro W3" w:hAnsi="Arial" w:cs="Arial"/>
          <w:sz w:val="20"/>
          <w:szCs w:val="20"/>
        </w:rPr>
        <w:t>.</w:t>
      </w:r>
    </w:p>
    <w:p w14:paraId="312744E1" w14:textId="77777777" w:rsidR="00653B9D" w:rsidRPr="00A335CB" w:rsidRDefault="00653B9D" w:rsidP="005D1A90">
      <w:pPr>
        <w:spacing w:after="0" w:line="276" w:lineRule="auto"/>
        <w:jc w:val="both"/>
        <w:rPr>
          <w:rFonts w:ascii="Arial" w:hAnsi="Arial" w:cs="Arial"/>
          <w:sz w:val="20"/>
          <w:szCs w:val="20"/>
          <w:highlight w:val="yellow"/>
        </w:rPr>
      </w:pPr>
      <w:r w:rsidRPr="00A335CB">
        <w:rPr>
          <w:rFonts w:ascii="Arial" w:eastAsia="ヒラギノ角ゴ Pro W3" w:hAnsi="Arial" w:cs="Arial"/>
          <w:sz w:val="20"/>
          <w:szCs w:val="20"/>
          <w:highlight w:val="yellow"/>
        </w:rPr>
        <w:t xml:space="preserve"> </w:t>
      </w:r>
    </w:p>
    <w:p w14:paraId="4A8A3C49" w14:textId="139A8210" w:rsidR="00653B9D" w:rsidRPr="00A335CB" w:rsidRDefault="00653B9D" w:rsidP="005D1A90">
      <w:pPr>
        <w:spacing w:after="0" w:line="276" w:lineRule="auto"/>
        <w:jc w:val="both"/>
        <w:rPr>
          <w:rFonts w:ascii="Arial" w:hAnsi="Arial" w:cs="Arial"/>
          <w:sz w:val="20"/>
          <w:szCs w:val="20"/>
        </w:rPr>
      </w:pPr>
      <w:r w:rsidRPr="00A335CB">
        <w:rPr>
          <w:rFonts w:ascii="Arial" w:hAnsi="Arial" w:cs="Arial"/>
          <w:b/>
          <w:sz w:val="20"/>
          <w:szCs w:val="20"/>
        </w:rPr>
        <w:t>Usmerjanje policije</w:t>
      </w:r>
      <w:r w:rsidRPr="00A335CB">
        <w:rPr>
          <w:rFonts w:ascii="Arial" w:hAnsi="Arial" w:cs="Arial"/>
          <w:sz w:val="20"/>
          <w:szCs w:val="20"/>
        </w:rPr>
        <w:t xml:space="preserve"> pomeni sistematično in načrtno dajanje splošnih ali </w:t>
      </w:r>
      <w:r w:rsidR="00E36597">
        <w:rPr>
          <w:rFonts w:ascii="Arial" w:hAnsi="Arial" w:cs="Arial"/>
          <w:sz w:val="20"/>
          <w:szCs w:val="20"/>
        </w:rPr>
        <w:t>jasnih</w:t>
      </w:r>
      <w:r w:rsidR="00E36597" w:rsidRPr="00A335CB">
        <w:rPr>
          <w:rFonts w:ascii="Arial" w:hAnsi="Arial" w:cs="Arial"/>
          <w:sz w:val="20"/>
          <w:szCs w:val="20"/>
        </w:rPr>
        <w:t xml:space="preserve"> </w:t>
      </w:r>
      <w:r w:rsidRPr="00A335CB">
        <w:rPr>
          <w:rFonts w:ascii="Arial" w:hAnsi="Arial" w:cs="Arial"/>
          <w:sz w:val="20"/>
          <w:szCs w:val="20"/>
        </w:rPr>
        <w:t xml:space="preserve">napotil za opravljanje nalog s ciljem izpolnjevanja temeljnega poslanstva policije. Minister daje policiji temeljne (srednjeročne), letne in posamične usmeritve za izvajanje njenih nalog. Usmeritve vsebujejo tudi roke, do kdaj je treba opraviti določene naloge, in zahtevo, da policija o </w:t>
      </w:r>
      <w:r w:rsidR="00670EF4">
        <w:rPr>
          <w:rFonts w:ascii="Arial" w:hAnsi="Arial" w:cs="Arial"/>
          <w:sz w:val="20"/>
          <w:szCs w:val="20"/>
        </w:rPr>
        <w:t>izvedbi</w:t>
      </w:r>
      <w:r w:rsidR="00670EF4" w:rsidRPr="00A335CB">
        <w:rPr>
          <w:rFonts w:ascii="Arial" w:hAnsi="Arial" w:cs="Arial"/>
          <w:sz w:val="20"/>
          <w:szCs w:val="20"/>
        </w:rPr>
        <w:t xml:space="preserve"> </w:t>
      </w:r>
      <w:r w:rsidRPr="00A335CB">
        <w:rPr>
          <w:rFonts w:ascii="Arial" w:hAnsi="Arial" w:cs="Arial"/>
          <w:sz w:val="20"/>
          <w:szCs w:val="20"/>
        </w:rPr>
        <w:t xml:space="preserve">poroča ministru. </w:t>
      </w:r>
    </w:p>
    <w:p w14:paraId="3437A07A" w14:textId="77777777" w:rsidR="00653B9D" w:rsidRPr="00A335CB" w:rsidRDefault="00653B9D" w:rsidP="005D1A90">
      <w:pPr>
        <w:spacing w:after="0" w:line="276" w:lineRule="auto"/>
        <w:jc w:val="both"/>
        <w:rPr>
          <w:rFonts w:ascii="Arial" w:hAnsi="Arial" w:cs="Arial"/>
          <w:sz w:val="20"/>
          <w:szCs w:val="20"/>
        </w:rPr>
      </w:pPr>
    </w:p>
    <w:p w14:paraId="3786A6A0" w14:textId="1A3EAF72"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V letu 2024 so bile pripravljene in izdane usmeritve za pripravo letnega načrta dela policije v letu 2025 </w:t>
      </w:r>
      <w:r w:rsidR="007E21DA" w:rsidRPr="00A335CB">
        <w:rPr>
          <w:rFonts w:ascii="Arial" w:hAnsi="Arial" w:cs="Arial"/>
          <w:sz w:val="20"/>
          <w:szCs w:val="20"/>
        </w:rPr>
        <w:t xml:space="preserve">ter šest posamičnih usmeritev. </w:t>
      </w:r>
      <w:r w:rsidRPr="00A335CB">
        <w:rPr>
          <w:rFonts w:ascii="Arial" w:hAnsi="Arial" w:cs="Arial"/>
          <w:bCs/>
          <w:sz w:val="20"/>
          <w:szCs w:val="24"/>
        </w:rPr>
        <w:t>Posamične usmeritve so se nanašale na:</w:t>
      </w:r>
    </w:p>
    <w:p w14:paraId="43B30C03" w14:textId="77777777" w:rsidR="00653B9D" w:rsidRPr="00A335CB" w:rsidRDefault="00653B9D" w:rsidP="005D1A90">
      <w:pPr>
        <w:pStyle w:val="Odstavekseznama"/>
        <w:numPr>
          <w:ilvl w:val="0"/>
          <w:numId w:val="2"/>
        </w:numPr>
        <w:spacing w:after="0"/>
        <w:ind w:left="426" w:hanging="426"/>
        <w:contextualSpacing/>
        <w:jc w:val="both"/>
        <w:rPr>
          <w:rFonts w:ascii="Arial" w:hAnsi="Arial" w:cs="Arial"/>
          <w:sz w:val="20"/>
          <w:szCs w:val="20"/>
        </w:rPr>
      </w:pPr>
      <w:r w:rsidRPr="00A335CB">
        <w:rPr>
          <w:rFonts w:ascii="Arial" w:hAnsi="Arial" w:cs="Arial"/>
          <w:sz w:val="20"/>
          <w:szCs w:val="20"/>
        </w:rPr>
        <w:t>odpravo v nadzoru ugotovljenih pomanjkljivosti nad postopki policije pri privedbi oseb;</w:t>
      </w:r>
    </w:p>
    <w:p w14:paraId="46E0984B" w14:textId="297C56A9" w:rsidR="00653B9D" w:rsidRPr="00A335CB" w:rsidRDefault="00653B9D" w:rsidP="005D1A90">
      <w:pPr>
        <w:pStyle w:val="Odstavekseznama"/>
        <w:numPr>
          <w:ilvl w:val="0"/>
          <w:numId w:val="2"/>
        </w:numPr>
        <w:spacing w:after="0"/>
        <w:ind w:left="426" w:hanging="426"/>
        <w:contextualSpacing/>
        <w:jc w:val="both"/>
        <w:rPr>
          <w:rFonts w:ascii="Arial" w:hAnsi="Arial" w:cs="Arial"/>
          <w:sz w:val="20"/>
          <w:szCs w:val="20"/>
        </w:rPr>
      </w:pPr>
      <w:r w:rsidRPr="00A335CB">
        <w:rPr>
          <w:rFonts w:ascii="Arial" w:hAnsi="Arial" w:cs="Arial"/>
          <w:sz w:val="20"/>
          <w:szCs w:val="20"/>
        </w:rPr>
        <w:t xml:space="preserve">odpravo v nadzoru ugotovljenih pomanjkljivosti nad delom policije v zvezi </w:t>
      </w:r>
      <w:r w:rsidR="00721952">
        <w:rPr>
          <w:rFonts w:ascii="Arial" w:hAnsi="Arial" w:cs="Arial"/>
          <w:sz w:val="20"/>
          <w:szCs w:val="20"/>
        </w:rPr>
        <w:t>z možnimi</w:t>
      </w:r>
      <w:r w:rsidRPr="00A335CB">
        <w:rPr>
          <w:rFonts w:ascii="Arial" w:hAnsi="Arial" w:cs="Arial"/>
          <w:sz w:val="20"/>
          <w:szCs w:val="20"/>
        </w:rPr>
        <w:t xml:space="preserve"> grožnjami nasilja v šolah;</w:t>
      </w:r>
    </w:p>
    <w:p w14:paraId="313F60D8" w14:textId="77777777" w:rsidR="00653B9D" w:rsidRPr="00A335CB" w:rsidRDefault="00653B9D" w:rsidP="005D1A90">
      <w:pPr>
        <w:pStyle w:val="Odstavekseznama"/>
        <w:numPr>
          <w:ilvl w:val="0"/>
          <w:numId w:val="2"/>
        </w:numPr>
        <w:spacing w:after="0"/>
        <w:ind w:left="426" w:hanging="426"/>
        <w:contextualSpacing/>
        <w:jc w:val="both"/>
        <w:rPr>
          <w:rFonts w:ascii="Arial" w:hAnsi="Arial" w:cs="Arial"/>
          <w:sz w:val="20"/>
          <w:szCs w:val="20"/>
        </w:rPr>
      </w:pPr>
      <w:r w:rsidRPr="00A335CB">
        <w:rPr>
          <w:rFonts w:ascii="Arial" w:hAnsi="Arial" w:cs="Arial"/>
          <w:sz w:val="20"/>
          <w:szCs w:val="20"/>
        </w:rPr>
        <w:t>odpravo v nadzoru ugotovljenih pomanjkljivosti nad izvajanjem policijskih nalog in pooblastil v Centru za varovanje in zaščito;</w:t>
      </w:r>
    </w:p>
    <w:p w14:paraId="67731203" w14:textId="77777777" w:rsidR="00653B9D" w:rsidRPr="00A335CB" w:rsidRDefault="00653B9D" w:rsidP="005D1A90">
      <w:pPr>
        <w:pStyle w:val="Odstavekseznama"/>
        <w:numPr>
          <w:ilvl w:val="0"/>
          <w:numId w:val="2"/>
        </w:numPr>
        <w:spacing w:after="0"/>
        <w:ind w:left="426" w:hanging="426"/>
        <w:contextualSpacing/>
        <w:jc w:val="both"/>
        <w:rPr>
          <w:rFonts w:ascii="Arial" w:hAnsi="Arial" w:cs="Arial"/>
          <w:sz w:val="20"/>
          <w:szCs w:val="20"/>
        </w:rPr>
      </w:pPr>
      <w:r w:rsidRPr="00A335CB">
        <w:rPr>
          <w:rFonts w:ascii="Arial" w:hAnsi="Arial" w:cs="Arial"/>
          <w:sz w:val="20"/>
          <w:szCs w:val="20"/>
        </w:rPr>
        <w:t>opravljanje policijskih nalog na športnih prireditvah;</w:t>
      </w:r>
    </w:p>
    <w:p w14:paraId="4486EB3C" w14:textId="77777777" w:rsidR="00653B9D" w:rsidRPr="00A335CB" w:rsidRDefault="00653B9D" w:rsidP="005D1A90">
      <w:pPr>
        <w:pStyle w:val="Odstavekseznama"/>
        <w:numPr>
          <w:ilvl w:val="0"/>
          <w:numId w:val="2"/>
        </w:numPr>
        <w:spacing w:after="0"/>
        <w:ind w:left="426" w:hanging="426"/>
        <w:contextualSpacing/>
        <w:jc w:val="both"/>
        <w:rPr>
          <w:rFonts w:ascii="Arial" w:hAnsi="Arial" w:cs="Arial"/>
          <w:sz w:val="20"/>
          <w:szCs w:val="20"/>
        </w:rPr>
      </w:pPr>
      <w:r w:rsidRPr="00A335CB">
        <w:rPr>
          <w:rFonts w:ascii="Arial" w:hAnsi="Arial" w:cs="Arial"/>
          <w:sz w:val="20"/>
          <w:szCs w:val="20"/>
        </w:rPr>
        <w:t>opravljanje policijskih nalog v času božično-novoletnih praznikov ter</w:t>
      </w:r>
    </w:p>
    <w:p w14:paraId="06FB3717" w14:textId="77777777" w:rsidR="00653B9D" w:rsidRPr="00A335CB" w:rsidRDefault="00653B9D" w:rsidP="005D1A90">
      <w:pPr>
        <w:pStyle w:val="Odstavekseznama"/>
        <w:numPr>
          <w:ilvl w:val="0"/>
          <w:numId w:val="2"/>
        </w:numPr>
        <w:spacing w:after="0"/>
        <w:ind w:left="426" w:hanging="426"/>
        <w:contextualSpacing/>
        <w:jc w:val="both"/>
        <w:rPr>
          <w:rFonts w:ascii="Arial" w:hAnsi="Arial" w:cs="Arial"/>
          <w:sz w:val="20"/>
          <w:szCs w:val="20"/>
        </w:rPr>
      </w:pPr>
      <w:r w:rsidRPr="00A335CB">
        <w:rPr>
          <w:rFonts w:ascii="Arial" w:hAnsi="Arial" w:cs="Arial"/>
          <w:sz w:val="20"/>
          <w:szCs w:val="20"/>
        </w:rPr>
        <w:t>reorganizacijo Centra za varovanje in zaščito.</w:t>
      </w:r>
    </w:p>
    <w:p w14:paraId="6E7D1C1C" w14:textId="77777777" w:rsidR="00653B9D" w:rsidRPr="00A335CB" w:rsidRDefault="00653B9D" w:rsidP="005D1A90">
      <w:pPr>
        <w:tabs>
          <w:tab w:val="left" w:pos="2520"/>
        </w:tabs>
        <w:spacing w:after="0" w:line="276" w:lineRule="auto"/>
        <w:jc w:val="both"/>
        <w:rPr>
          <w:rFonts w:ascii="Arial" w:hAnsi="Arial" w:cs="Arial"/>
          <w:bCs/>
          <w:sz w:val="20"/>
          <w:szCs w:val="20"/>
          <w:highlight w:val="yellow"/>
        </w:rPr>
      </w:pPr>
    </w:p>
    <w:p w14:paraId="50AC4533" w14:textId="77777777" w:rsidR="00653B9D" w:rsidRPr="00A335CB" w:rsidRDefault="00653B9D" w:rsidP="005D1A90">
      <w:pPr>
        <w:spacing w:after="0" w:line="276" w:lineRule="auto"/>
        <w:jc w:val="both"/>
        <w:rPr>
          <w:rFonts w:ascii="Arial" w:hAnsi="Arial" w:cs="Arial"/>
          <w:bCs/>
          <w:strike/>
          <w:sz w:val="20"/>
          <w:szCs w:val="20"/>
        </w:rPr>
      </w:pPr>
      <w:r w:rsidRPr="00A335CB">
        <w:rPr>
          <w:rFonts w:ascii="Arial" w:hAnsi="Arial" w:cs="Arial"/>
          <w:bCs/>
          <w:sz w:val="20"/>
          <w:szCs w:val="20"/>
        </w:rPr>
        <w:t xml:space="preserve">Spremljanje uresničevanja letnih usmeritev je potekalo na podlagi poročil in analiz policije, letnega in polletnega poročila o delu policije, načrta dela policije, problemskih poročil ter ugotovitev iz letnih pogovorov z vodstvi organizacijskih enot na državni in regijski ravni. </w:t>
      </w:r>
    </w:p>
    <w:p w14:paraId="7BE78612" w14:textId="77777777" w:rsidR="00653B9D" w:rsidRPr="00A335CB" w:rsidRDefault="00653B9D" w:rsidP="005D1A90">
      <w:pPr>
        <w:spacing w:after="0" w:line="276" w:lineRule="auto"/>
        <w:jc w:val="both"/>
        <w:rPr>
          <w:rFonts w:ascii="Arial" w:hAnsi="Arial" w:cs="Arial"/>
          <w:sz w:val="20"/>
          <w:szCs w:val="20"/>
        </w:rPr>
      </w:pPr>
    </w:p>
    <w:p w14:paraId="39B7D17B" w14:textId="15DF1D13" w:rsidR="009832E4" w:rsidRDefault="00653B9D" w:rsidP="008A746A">
      <w:pPr>
        <w:tabs>
          <w:tab w:val="left" w:pos="2520"/>
        </w:tabs>
        <w:spacing w:after="0" w:line="276" w:lineRule="auto"/>
        <w:jc w:val="both"/>
        <w:rPr>
          <w:rFonts w:ascii="Arial" w:hAnsi="Arial" w:cs="Arial"/>
          <w:bCs/>
          <w:sz w:val="20"/>
          <w:szCs w:val="20"/>
        </w:rPr>
      </w:pPr>
      <w:r w:rsidRPr="00A335CB">
        <w:rPr>
          <w:rFonts w:ascii="Arial" w:hAnsi="Arial" w:cs="Arial"/>
          <w:b/>
          <w:sz w:val="20"/>
          <w:szCs w:val="20"/>
        </w:rPr>
        <w:t>Nadzor nad delom policije</w:t>
      </w:r>
      <w:r w:rsidRPr="00A335CB">
        <w:rPr>
          <w:rFonts w:ascii="Arial" w:hAnsi="Arial" w:cs="Arial"/>
          <w:sz w:val="20"/>
          <w:szCs w:val="20"/>
        </w:rPr>
        <w:t xml:space="preserve"> je potekal v obliki rednih, ponovnih in izrednih nadzorov. Z načrtom </w:t>
      </w:r>
      <w:r w:rsidRPr="00A335CB">
        <w:rPr>
          <w:rFonts w:ascii="Arial" w:hAnsi="Arial" w:cs="Arial"/>
          <w:bCs/>
          <w:sz w:val="20"/>
          <w:szCs w:val="20"/>
        </w:rPr>
        <w:t xml:space="preserve">nadzorov za leto 2024 so bili načrtovani trije redni in ponovni nadzor nad delom policije. Poleg tega sta bila </w:t>
      </w:r>
      <w:r w:rsidR="000249BC" w:rsidRPr="00A335CB">
        <w:rPr>
          <w:rFonts w:ascii="Arial" w:hAnsi="Arial" w:cs="Arial"/>
          <w:bCs/>
          <w:sz w:val="20"/>
          <w:szCs w:val="20"/>
        </w:rPr>
        <w:t>lani</w:t>
      </w:r>
      <w:r w:rsidRPr="00A335CB">
        <w:rPr>
          <w:rFonts w:ascii="Arial" w:hAnsi="Arial" w:cs="Arial"/>
          <w:bCs/>
          <w:sz w:val="20"/>
          <w:szCs w:val="20"/>
        </w:rPr>
        <w:t xml:space="preserve"> odrejena in izvedena tudi dva izredna nadzora. Zaradi izvedbe izrednih nadzorov je bil redni nadzor nad preverjanjem zakonitosti in strokovnosti uporabe prisilnih sredstev, kadar ni imenovana komisija, preklican. Izvajanje nadzorov je bilo namenjeno preverjanju zakonitosti in strokovnosti dela ter spoštovanju varstva človekovih pravic in temeljnih svoboščin pri opravljanju nalog policije in u</w:t>
      </w:r>
      <w:r w:rsidR="009832E4">
        <w:rPr>
          <w:rFonts w:ascii="Arial" w:hAnsi="Arial" w:cs="Arial"/>
          <w:bCs/>
          <w:sz w:val="20"/>
          <w:szCs w:val="20"/>
        </w:rPr>
        <w:t>porabi policijskih pooblastil.</w:t>
      </w:r>
    </w:p>
    <w:p w14:paraId="2B6B1754" w14:textId="419FA7FE" w:rsidR="009832E4" w:rsidRDefault="009832E4" w:rsidP="008A746A">
      <w:pPr>
        <w:tabs>
          <w:tab w:val="left" w:pos="2520"/>
        </w:tabs>
        <w:spacing w:after="0" w:line="276" w:lineRule="auto"/>
        <w:jc w:val="both"/>
        <w:rPr>
          <w:rFonts w:ascii="Arial" w:hAnsi="Arial" w:cs="Arial"/>
          <w:bCs/>
          <w:sz w:val="20"/>
          <w:szCs w:val="20"/>
        </w:rPr>
      </w:pPr>
    </w:p>
    <w:p w14:paraId="24FC96D6" w14:textId="6E18D933" w:rsidR="009832E4" w:rsidRDefault="009832E4" w:rsidP="008A746A">
      <w:pPr>
        <w:tabs>
          <w:tab w:val="left" w:pos="2520"/>
        </w:tabs>
        <w:spacing w:after="0" w:line="276" w:lineRule="auto"/>
        <w:jc w:val="both"/>
        <w:rPr>
          <w:rFonts w:ascii="Arial" w:hAnsi="Arial" w:cs="Arial"/>
          <w:bCs/>
          <w:sz w:val="20"/>
          <w:szCs w:val="20"/>
        </w:rPr>
      </w:pPr>
    </w:p>
    <w:p w14:paraId="4A51687F" w14:textId="71647C63" w:rsidR="009832E4" w:rsidRDefault="009832E4" w:rsidP="008A746A">
      <w:pPr>
        <w:tabs>
          <w:tab w:val="left" w:pos="2520"/>
        </w:tabs>
        <w:spacing w:after="0" w:line="276" w:lineRule="auto"/>
        <w:jc w:val="both"/>
        <w:rPr>
          <w:rFonts w:ascii="Arial" w:hAnsi="Arial" w:cs="Arial"/>
          <w:bCs/>
          <w:sz w:val="20"/>
          <w:szCs w:val="20"/>
        </w:rPr>
      </w:pPr>
    </w:p>
    <w:p w14:paraId="3704CBFD" w14:textId="2CBF57D0" w:rsidR="009832E4" w:rsidRDefault="009832E4" w:rsidP="008A746A">
      <w:pPr>
        <w:tabs>
          <w:tab w:val="left" w:pos="2520"/>
        </w:tabs>
        <w:spacing w:after="0" w:line="276" w:lineRule="auto"/>
        <w:jc w:val="both"/>
        <w:rPr>
          <w:rFonts w:ascii="Arial" w:hAnsi="Arial" w:cs="Arial"/>
          <w:bCs/>
          <w:sz w:val="20"/>
          <w:szCs w:val="20"/>
        </w:rPr>
      </w:pPr>
    </w:p>
    <w:p w14:paraId="439888A6" w14:textId="2635596C" w:rsidR="009832E4" w:rsidRDefault="009832E4" w:rsidP="008A746A">
      <w:pPr>
        <w:tabs>
          <w:tab w:val="left" w:pos="2520"/>
        </w:tabs>
        <w:spacing w:after="0" w:line="276" w:lineRule="auto"/>
        <w:jc w:val="both"/>
        <w:rPr>
          <w:rFonts w:ascii="Arial" w:hAnsi="Arial" w:cs="Arial"/>
          <w:bCs/>
          <w:sz w:val="20"/>
          <w:szCs w:val="20"/>
        </w:rPr>
      </w:pPr>
    </w:p>
    <w:p w14:paraId="67B4486B" w14:textId="1388B62D" w:rsidR="009832E4" w:rsidRDefault="009832E4" w:rsidP="008A746A">
      <w:pPr>
        <w:tabs>
          <w:tab w:val="left" w:pos="2520"/>
        </w:tabs>
        <w:spacing w:after="0" w:line="276" w:lineRule="auto"/>
        <w:jc w:val="both"/>
        <w:rPr>
          <w:rFonts w:ascii="Arial" w:hAnsi="Arial" w:cs="Arial"/>
          <w:bCs/>
          <w:sz w:val="20"/>
          <w:szCs w:val="20"/>
        </w:rPr>
      </w:pPr>
    </w:p>
    <w:p w14:paraId="7EC185A1" w14:textId="094C5586" w:rsidR="009832E4" w:rsidRDefault="009832E4" w:rsidP="008A746A">
      <w:pPr>
        <w:tabs>
          <w:tab w:val="left" w:pos="2520"/>
        </w:tabs>
        <w:spacing w:after="0" w:line="276" w:lineRule="auto"/>
        <w:jc w:val="both"/>
        <w:rPr>
          <w:rFonts w:ascii="Arial" w:hAnsi="Arial" w:cs="Arial"/>
          <w:bCs/>
          <w:sz w:val="20"/>
          <w:szCs w:val="20"/>
        </w:rPr>
      </w:pPr>
    </w:p>
    <w:p w14:paraId="5079B7FE" w14:textId="5DB10D07" w:rsidR="009832E4" w:rsidRDefault="009832E4" w:rsidP="008A746A">
      <w:pPr>
        <w:tabs>
          <w:tab w:val="left" w:pos="2520"/>
        </w:tabs>
        <w:spacing w:after="0" w:line="276" w:lineRule="auto"/>
        <w:jc w:val="both"/>
        <w:rPr>
          <w:rFonts w:ascii="Arial" w:hAnsi="Arial" w:cs="Arial"/>
          <w:bCs/>
          <w:sz w:val="20"/>
          <w:szCs w:val="20"/>
        </w:rPr>
      </w:pPr>
    </w:p>
    <w:p w14:paraId="6C4DB14A" w14:textId="161E766F" w:rsidR="009832E4" w:rsidRDefault="009832E4" w:rsidP="008A746A">
      <w:pPr>
        <w:tabs>
          <w:tab w:val="left" w:pos="2520"/>
        </w:tabs>
        <w:spacing w:after="0" w:line="276" w:lineRule="auto"/>
        <w:jc w:val="both"/>
        <w:rPr>
          <w:rFonts w:ascii="Arial" w:hAnsi="Arial" w:cs="Arial"/>
          <w:bCs/>
          <w:sz w:val="20"/>
          <w:szCs w:val="20"/>
        </w:rPr>
      </w:pPr>
    </w:p>
    <w:p w14:paraId="29B22BEF" w14:textId="59733E7C" w:rsidR="009832E4" w:rsidRDefault="009832E4" w:rsidP="008A746A">
      <w:pPr>
        <w:tabs>
          <w:tab w:val="left" w:pos="2520"/>
        </w:tabs>
        <w:spacing w:after="0" w:line="276" w:lineRule="auto"/>
        <w:jc w:val="both"/>
        <w:rPr>
          <w:rFonts w:ascii="Arial" w:hAnsi="Arial" w:cs="Arial"/>
          <w:bCs/>
          <w:sz w:val="20"/>
          <w:szCs w:val="20"/>
        </w:rPr>
      </w:pPr>
    </w:p>
    <w:p w14:paraId="3530EEAB" w14:textId="65E118F2" w:rsidR="009832E4" w:rsidRDefault="009832E4" w:rsidP="008A746A">
      <w:pPr>
        <w:tabs>
          <w:tab w:val="left" w:pos="2520"/>
        </w:tabs>
        <w:spacing w:after="0" w:line="276" w:lineRule="auto"/>
        <w:jc w:val="both"/>
        <w:rPr>
          <w:rFonts w:ascii="Arial" w:hAnsi="Arial" w:cs="Arial"/>
          <w:bCs/>
          <w:sz w:val="20"/>
          <w:szCs w:val="20"/>
        </w:rPr>
      </w:pPr>
    </w:p>
    <w:p w14:paraId="0786E6D7" w14:textId="77777777" w:rsidR="009832E4" w:rsidRPr="00A335CB" w:rsidRDefault="009832E4" w:rsidP="008A746A">
      <w:pPr>
        <w:tabs>
          <w:tab w:val="left" w:pos="2520"/>
        </w:tabs>
        <w:spacing w:after="0" w:line="276" w:lineRule="auto"/>
        <w:jc w:val="both"/>
        <w:rPr>
          <w:rFonts w:ascii="Arial" w:hAnsi="Arial" w:cs="Arial"/>
          <w:bCs/>
          <w:sz w:val="20"/>
          <w:szCs w:val="20"/>
        </w:rPr>
      </w:pPr>
    </w:p>
    <w:tbl>
      <w:tblPr>
        <w:tblW w:w="8222" w:type="dxa"/>
        <w:tblLayout w:type="fixed"/>
        <w:tblCellMar>
          <w:left w:w="70" w:type="dxa"/>
          <w:right w:w="70" w:type="dxa"/>
        </w:tblCellMar>
        <w:tblLook w:val="0000" w:firstRow="0" w:lastRow="0" w:firstColumn="0" w:lastColumn="0" w:noHBand="0" w:noVBand="0"/>
      </w:tblPr>
      <w:tblGrid>
        <w:gridCol w:w="588"/>
        <w:gridCol w:w="7634"/>
      </w:tblGrid>
      <w:tr w:rsidR="00BD47E0" w:rsidRPr="00A335CB" w14:paraId="6D828A31" w14:textId="77777777" w:rsidTr="00090839">
        <w:trPr>
          <w:trHeight w:hRule="exact" w:val="425"/>
        </w:trPr>
        <w:tc>
          <w:tcPr>
            <w:tcW w:w="588" w:type="dxa"/>
            <w:tcBorders>
              <w:bottom w:val="single" w:sz="4" w:space="0" w:color="auto"/>
            </w:tcBorders>
            <w:noWrap/>
            <w:vAlign w:val="center"/>
          </w:tcPr>
          <w:p w14:paraId="233D5F1D" w14:textId="77777777" w:rsidR="00653B9D" w:rsidRPr="00A335CB" w:rsidRDefault="00653B9D" w:rsidP="005D1A90">
            <w:pPr>
              <w:spacing w:after="80" w:line="276" w:lineRule="auto"/>
              <w:rPr>
                <w:rFonts w:ascii="Arial" w:hAnsi="Arial" w:cs="Arial"/>
                <w:bCs/>
                <w:sz w:val="20"/>
                <w:szCs w:val="20"/>
              </w:rPr>
            </w:pPr>
            <w:r w:rsidRPr="00A335CB">
              <w:rPr>
                <w:rFonts w:ascii="Arial" w:hAnsi="Arial" w:cs="Arial"/>
                <w:bCs/>
                <w:sz w:val="20"/>
                <w:szCs w:val="20"/>
              </w:rPr>
              <w:br w:type="page"/>
            </w:r>
          </w:p>
          <w:p w14:paraId="04768E6A" w14:textId="77777777" w:rsidR="00653B9D" w:rsidRPr="00A335CB" w:rsidRDefault="00653B9D" w:rsidP="005D1A90">
            <w:pPr>
              <w:spacing w:after="80" w:line="276" w:lineRule="auto"/>
              <w:rPr>
                <w:rFonts w:ascii="Arial" w:hAnsi="Arial" w:cs="Arial"/>
                <w:bCs/>
                <w:sz w:val="20"/>
                <w:szCs w:val="20"/>
              </w:rPr>
            </w:pPr>
          </w:p>
          <w:p w14:paraId="534238CC" w14:textId="77777777" w:rsidR="00653B9D" w:rsidRPr="00A335CB" w:rsidRDefault="00653B9D" w:rsidP="005D1A90">
            <w:pPr>
              <w:spacing w:after="80" w:line="276" w:lineRule="auto"/>
              <w:rPr>
                <w:rFonts w:ascii="Arial" w:hAnsi="Arial" w:cs="Arial"/>
              </w:rPr>
            </w:pPr>
            <w:r w:rsidRPr="00A335CB">
              <w:rPr>
                <w:rFonts w:ascii="Arial" w:hAnsi="Arial" w:cs="Arial"/>
              </w:rPr>
              <w:br w:type="page"/>
            </w:r>
          </w:p>
          <w:p w14:paraId="2E89BE1B" w14:textId="77777777" w:rsidR="00653B9D" w:rsidRPr="00A335CB" w:rsidRDefault="00653B9D" w:rsidP="005D1A90">
            <w:pPr>
              <w:spacing w:after="80" w:line="276" w:lineRule="auto"/>
              <w:rPr>
                <w:rFonts w:ascii="Arial" w:hAnsi="Arial" w:cs="Arial"/>
                <w:sz w:val="20"/>
                <w:szCs w:val="20"/>
              </w:rPr>
            </w:pPr>
            <w:r w:rsidRPr="00A335CB">
              <w:rPr>
                <w:rFonts w:ascii="Arial" w:hAnsi="Arial" w:cs="Arial"/>
              </w:rPr>
              <w:br w:type="page"/>
            </w:r>
          </w:p>
        </w:tc>
        <w:tc>
          <w:tcPr>
            <w:tcW w:w="7634" w:type="dxa"/>
            <w:tcBorders>
              <w:bottom w:val="single" w:sz="4" w:space="0" w:color="auto"/>
            </w:tcBorders>
            <w:noWrap/>
            <w:vAlign w:val="center"/>
          </w:tcPr>
          <w:p w14:paraId="754EDD09" w14:textId="77777777" w:rsidR="00653B9D" w:rsidRPr="00A335CB" w:rsidRDefault="00653B9D" w:rsidP="005D1A90">
            <w:pPr>
              <w:spacing w:before="60" w:after="60" w:line="276" w:lineRule="auto"/>
              <w:jc w:val="center"/>
              <w:rPr>
                <w:rFonts w:ascii="Arial" w:hAnsi="Arial" w:cs="Arial"/>
                <w:b/>
                <w:sz w:val="20"/>
                <w:szCs w:val="20"/>
              </w:rPr>
            </w:pPr>
            <w:r w:rsidRPr="00A335CB">
              <w:rPr>
                <w:rFonts w:ascii="Arial" w:hAnsi="Arial" w:cs="Arial"/>
                <w:b/>
                <w:sz w:val="20"/>
                <w:szCs w:val="20"/>
              </w:rPr>
              <w:t>Redni nadzor</w:t>
            </w:r>
          </w:p>
        </w:tc>
      </w:tr>
      <w:tr w:rsidR="00BD47E0" w:rsidRPr="00A335CB" w14:paraId="6017B807" w14:textId="77777777" w:rsidTr="00090839">
        <w:trPr>
          <w:trHeight w:hRule="exact" w:val="425"/>
        </w:trPr>
        <w:tc>
          <w:tcPr>
            <w:tcW w:w="588" w:type="dxa"/>
            <w:tcBorders>
              <w:top w:val="single" w:sz="4" w:space="0" w:color="auto"/>
              <w:left w:val="single" w:sz="4" w:space="0" w:color="auto"/>
              <w:bottom w:val="single" w:sz="4" w:space="0" w:color="auto"/>
              <w:right w:val="single" w:sz="4" w:space="0" w:color="auto"/>
            </w:tcBorders>
            <w:noWrap/>
            <w:vAlign w:val="center"/>
          </w:tcPr>
          <w:p w14:paraId="43FC779B" w14:textId="77777777" w:rsidR="00653B9D" w:rsidRPr="00A335CB" w:rsidRDefault="00653B9D" w:rsidP="005D1A90">
            <w:pPr>
              <w:spacing w:before="40" w:afterLines="40" w:after="96" w:line="276" w:lineRule="auto"/>
              <w:jc w:val="center"/>
              <w:rPr>
                <w:rFonts w:ascii="Arial" w:hAnsi="Arial" w:cs="Arial"/>
                <w:sz w:val="20"/>
                <w:szCs w:val="20"/>
              </w:rPr>
            </w:pPr>
            <w:r w:rsidRPr="00A335CB">
              <w:rPr>
                <w:rFonts w:ascii="Arial" w:hAnsi="Arial" w:cs="Arial"/>
                <w:sz w:val="20"/>
                <w:szCs w:val="20"/>
              </w:rPr>
              <w:t>1.</w:t>
            </w:r>
          </w:p>
        </w:tc>
        <w:tc>
          <w:tcPr>
            <w:tcW w:w="7634" w:type="dxa"/>
            <w:tcBorders>
              <w:top w:val="single" w:sz="4" w:space="0" w:color="auto"/>
              <w:left w:val="nil"/>
              <w:bottom w:val="single" w:sz="4" w:space="0" w:color="auto"/>
              <w:right w:val="single" w:sz="4" w:space="0" w:color="auto"/>
            </w:tcBorders>
            <w:vAlign w:val="center"/>
          </w:tcPr>
          <w:p w14:paraId="47854E40" w14:textId="77777777" w:rsidR="00653B9D" w:rsidRPr="00A335CB" w:rsidRDefault="00653B9D" w:rsidP="005D1A90">
            <w:pPr>
              <w:spacing w:before="60" w:after="60" w:line="276" w:lineRule="auto"/>
              <w:jc w:val="both"/>
              <w:rPr>
                <w:rFonts w:ascii="Arial" w:hAnsi="Arial" w:cs="Arial"/>
                <w:iCs/>
                <w:sz w:val="20"/>
                <w:szCs w:val="20"/>
              </w:rPr>
            </w:pPr>
            <w:r w:rsidRPr="00A335CB">
              <w:rPr>
                <w:rFonts w:ascii="Arial" w:hAnsi="Arial" w:cs="Arial"/>
                <w:iCs/>
                <w:sz w:val="20"/>
                <w:szCs w:val="20"/>
              </w:rPr>
              <w:t>Uporaba sredstev za prisilno ustavljanje prevoznih sredstev</w:t>
            </w:r>
          </w:p>
        </w:tc>
      </w:tr>
      <w:tr w:rsidR="00BD47E0" w:rsidRPr="00A335CB" w14:paraId="5F381E4B" w14:textId="77777777" w:rsidTr="00090839">
        <w:trPr>
          <w:trHeight w:hRule="exact" w:val="643"/>
        </w:trPr>
        <w:tc>
          <w:tcPr>
            <w:tcW w:w="588" w:type="dxa"/>
            <w:tcBorders>
              <w:top w:val="single" w:sz="4" w:space="0" w:color="auto"/>
              <w:left w:val="single" w:sz="4" w:space="0" w:color="auto"/>
              <w:bottom w:val="single" w:sz="4" w:space="0" w:color="auto"/>
              <w:right w:val="single" w:sz="4" w:space="0" w:color="auto"/>
            </w:tcBorders>
            <w:noWrap/>
            <w:vAlign w:val="center"/>
          </w:tcPr>
          <w:p w14:paraId="08FBC907" w14:textId="77777777" w:rsidR="00653B9D" w:rsidRPr="00A335CB" w:rsidRDefault="00653B9D" w:rsidP="005D1A90">
            <w:pPr>
              <w:spacing w:before="40" w:afterLines="40" w:after="96" w:line="276" w:lineRule="auto"/>
              <w:jc w:val="center"/>
              <w:rPr>
                <w:rFonts w:ascii="Arial" w:hAnsi="Arial" w:cs="Arial"/>
                <w:sz w:val="20"/>
                <w:szCs w:val="20"/>
              </w:rPr>
            </w:pPr>
            <w:r w:rsidRPr="00A335CB">
              <w:rPr>
                <w:rFonts w:ascii="Arial" w:hAnsi="Arial" w:cs="Arial"/>
                <w:sz w:val="20"/>
                <w:szCs w:val="20"/>
              </w:rPr>
              <w:t>2.</w:t>
            </w:r>
          </w:p>
        </w:tc>
        <w:tc>
          <w:tcPr>
            <w:tcW w:w="7634" w:type="dxa"/>
            <w:tcBorders>
              <w:top w:val="single" w:sz="4" w:space="0" w:color="auto"/>
              <w:left w:val="nil"/>
              <w:bottom w:val="single" w:sz="4" w:space="0" w:color="auto"/>
              <w:right w:val="single" w:sz="4" w:space="0" w:color="auto"/>
            </w:tcBorders>
            <w:vAlign w:val="center"/>
          </w:tcPr>
          <w:p w14:paraId="3E5BB4E9" w14:textId="7914C52B" w:rsidR="00653B9D" w:rsidRPr="00A335CB" w:rsidRDefault="00653B9D" w:rsidP="005D1A90">
            <w:pPr>
              <w:spacing w:before="60" w:after="60" w:line="276" w:lineRule="auto"/>
              <w:jc w:val="both"/>
              <w:rPr>
                <w:rFonts w:ascii="Arial" w:hAnsi="Arial" w:cs="Arial"/>
                <w:iCs/>
                <w:sz w:val="20"/>
                <w:szCs w:val="20"/>
              </w:rPr>
            </w:pPr>
            <w:r w:rsidRPr="00A335CB">
              <w:rPr>
                <w:rFonts w:ascii="Arial" w:hAnsi="Arial" w:cs="Arial"/>
                <w:sz w:val="20"/>
                <w:szCs w:val="20"/>
              </w:rPr>
              <w:t>Poslovanje policije s prejetimi ovadbami, dopolnjevanje ovadb in evidentiranje</w:t>
            </w:r>
            <w:r w:rsidR="002912A8">
              <w:rPr>
                <w:rFonts w:ascii="Arial" w:hAnsi="Arial" w:cs="Arial"/>
                <w:sz w:val="20"/>
                <w:szCs w:val="20"/>
              </w:rPr>
              <w:t xml:space="preserve"> </w:t>
            </w:r>
            <w:r w:rsidRPr="00A335CB">
              <w:rPr>
                <w:rFonts w:ascii="Arial" w:hAnsi="Arial" w:cs="Arial"/>
                <w:sz w:val="20"/>
                <w:szCs w:val="20"/>
              </w:rPr>
              <w:t>kaznivih dejanj</w:t>
            </w:r>
          </w:p>
        </w:tc>
      </w:tr>
      <w:tr w:rsidR="00BD47E0" w:rsidRPr="00A335CB" w14:paraId="7F904A71" w14:textId="77777777" w:rsidTr="00090839">
        <w:trPr>
          <w:trHeight w:hRule="exact" w:val="424"/>
        </w:trPr>
        <w:tc>
          <w:tcPr>
            <w:tcW w:w="588" w:type="dxa"/>
            <w:tcBorders>
              <w:bottom w:val="single" w:sz="4" w:space="0" w:color="auto"/>
            </w:tcBorders>
            <w:noWrap/>
            <w:vAlign w:val="center"/>
          </w:tcPr>
          <w:p w14:paraId="06EF0050" w14:textId="77777777" w:rsidR="00653B9D" w:rsidRPr="00A335CB" w:rsidRDefault="00653B9D" w:rsidP="005D1A90">
            <w:pPr>
              <w:spacing w:before="40" w:afterLines="40" w:after="96" w:line="276" w:lineRule="auto"/>
              <w:jc w:val="center"/>
              <w:rPr>
                <w:rFonts w:ascii="Arial" w:hAnsi="Arial" w:cs="Arial"/>
                <w:sz w:val="20"/>
                <w:szCs w:val="20"/>
              </w:rPr>
            </w:pPr>
          </w:p>
        </w:tc>
        <w:tc>
          <w:tcPr>
            <w:tcW w:w="7634" w:type="dxa"/>
            <w:tcBorders>
              <w:bottom w:val="single" w:sz="4" w:space="0" w:color="auto"/>
            </w:tcBorders>
            <w:noWrap/>
            <w:vAlign w:val="center"/>
          </w:tcPr>
          <w:p w14:paraId="19EBA11B" w14:textId="77777777" w:rsidR="00653B9D" w:rsidRPr="00A335CB" w:rsidRDefault="00653B9D" w:rsidP="005D1A90">
            <w:pPr>
              <w:spacing w:before="60" w:after="60" w:line="276" w:lineRule="auto"/>
              <w:jc w:val="center"/>
              <w:rPr>
                <w:rFonts w:ascii="Arial" w:hAnsi="Arial" w:cs="Arial"/>
                <w:b/>
                <w:sz w:val="20"/>
                <w:szCs w:val="20"/>
              </w:rPr>
            </w:pPr>
            <w:r w:rsidRPr="00A335CB">
              <w:rPr>
                <w:rFonts w:ascii="Arial" w:hAnsi="Arial" w:cs="Arial"/>
                <w:b/>
                <w:sz w:val="20"/>
                <w:szCs w:val="20"/>
              </w:rPr>
              <w:t>Ponovni nadzor</w:t>
            </w:r>
          </w:p>
        </w:tc>
      </w:tr>
      <w:tr w:rsidR="00BD47E0" w:rsidRPr="00A335CB" w14:paraId="0E9C8739" w14:textId="77777777" w:rsidTr="00090839">
        <w:trPr>
          <w:trHeight w:hRule="exact" w:val="428"/>
        </w:trPr>
        <w:tc>
          <w:tcPr>
            <w:tcW w:w="588" w:type="dxa"/>
            <w:tcBorders>
              <w:top w:val="single" w:sz="4" w:space="0" w:color="auto"/>
              <w:left w:val="single" w:sz="4" w:space="0" w:color="auto"/>
              <w:bottom w:val="single" w:sz="4" w:space="0" w:color="auto"/>
              <w:right w:val="single" w:sz="4" w:space="0" w:color="auto"/>
            </w:tcBorders>
            <w:noWrap/>
            <w:vAlign w:val="center"/>
          </w:tcPr>
          <w:p w14:paraId="5D84D5BF" w14:textId="77777777" w:rsidR="00653B9D" w:rsidRPr="00A335CB" w:rsidRDefault="00653B9D" w:rsidP="005D1A90">
            <w:pPr>
              <w:spacing w:before="40" w:afterLines="40" w:after="96" w:line="276" w:lineRule="auto"/>
              <w:jc w:val="center"/>
              <w:rPr>
                <w:rFonts w:ascii="Arial" w:hAnsi="Arial" w:cs="Arial"/>
                <w:sz w:val="20"/>
                <w:szCs w:val="20"/>
              </w:rPr>
            </w:pPr>
            <w:r w:rsidRPr="00A335CB">
              <w:rPr>
                <w:rFonts w:ascii="Arial" w:hAnsi="Arial" w:cs="Arial"/>
                <w:sz w:val="20"/>
                <w:szCs w:val="20"/>
              </w:rPr>
              <w:t>1.</w:t>
            </w:r>
          </w:p>
        </w:tc>
        <w:tc>
          <w:tcPr>
            <w:tcW w:w="7634" w:type="dxa"/>
            <w:tcBorders>
              <w:top w:val="single" w:sz="4" w:space="0" w:color="auto"/>
              <w:left w:val="single" w:sz="4" w:space="0" w:color="auto"/>
              <w:bottom w:val="single" w:sz="4" w:space="0" w:color="auto"/>
              <w:right w:val="single" w:sz="4" w:space="0" w:color="auto"/>
            </w:tcBorders>
            <w:noWrap/>
            <w:vAlign w:val="center"/>
          </w:tcPr>
          <w:p w14:paraId="4C08F49A" w14:textId="77777777" w:rsidR="00653B9D" w:rsidRPr="00A335CB" w:rsidRDefault="00653B9D" w:rsidP="005D1A90">
            <w:pPr>
              <w:spacing w:before="60" w:after="60" w:line="276" w:lineRule="auto"/>
              <w:jc w:val="both"/>
              <w:rPr>
                <w:rFonts w:ascii="Arial" w:hAnsi="Arial" w:cs="Arial"/>
                <w:b/>
                <w:sz w:val="20"/>
                <w:szCs w:val="20"/>
              </w:rPr>
            </w:pPr>
            <w:r w:rsidRPr="00A335CB">
              <w:rPr>
                <w:rFonts w:ascii="Arial" w:hAnsi="Arial" w:cs="Arial"/>
                <w:iCs/>
                <w:sz w:val="20"/>
                <w:szCs w:val="20"/>
              </w:rPr>
              <w:t>Preiskava kaznivih dejanj nasilja v družini</w:t>
            </w:r>
          </w:p>
        </w:tc>
      </w:tr>
      <w:tr w:rsidR="00BD47E0" w:rsidRPr="00A335CB" w14:paraId="34C3EFF0" w14:textId="77777777" w:rsidTr="00090839">
        <w:trPr>
          <w:trHeight w:hRule="exact" w:val="443"/>
        </w:trPr>
        <w:tc>
          <w:tcPr>
            <w:tcW w:w="588" w:type="dxa"/>
            <w:tcBorders>
              <w:bottom w:val="single" w:sz="4" w:space="0" w:color="auto"/>
            </w:tcBorders>
            <w:noWrap/>
            <w:vAlign w:val="center"/>
          </w:tcPr>
          <w:p w14:paraId="25FC4FEE" w14:textId="77777777" w:rsidR="00653B9D" w:rsidRPr="00A335CB" w:rsidRDefault="00653B9D" w:rsidP="005D1A90">
            <w:pPr>
              <w:spacing w:before="40" w:afterLines="40" w:after="96" w:line="276" w:lineRule="auto"/>
              <w:jc w:val="center"/>
              <w:rPr>
                <w:rFonts w:ascii="Arial" w:hAnsi="Arial" w:cs="Arial"/>
                <w:sz w:val="20"/>
                <w:szCs w:val="20"/>
              </w:rPr>
            </w:pPr>
          </w:p>
        </w:tc>
        <w:tc>
          <w:tcPr>
            <w:tcW w:w="7634" w:type="dxa"/>
            <w:tcBorders>
              <w:bottom w:val="single" w:sz="4" w:space="0" w:color="auto"/>
            </w:tcBorders>
            <w:noWrap/>
            <w:vAlign w:val="center"/>
          </w:tcPr>
          <w:p w14:paraId="5B93161B" w14:textId="77777777" w:rsidR="00653B9D" w:rsidRPr="00A335CB" w:rsidRDefault="00653B9D" w:rsidP="005D1A90">
            <w:pPr>
              <w:spacing w:before="60" w:after="60" w:line="276" w:lineRule="auto"/>
              <w:jc w:val="center"/>
              <w:rPr>
                <w:rFonts w:ascii="Arial" w:hAnsi="Arial" w:cs="Arial"/>
                <w:b/>
                <w:sz w:val="20"/>
                <w:szCs w:val="20"/>
              </w:rPr>
            </w:pPr>
            <w:r w:rsidRPr="00A335CB">
              <w:rPr>
                <w:rFonts w:ascii="Arial" w:hAnsi="Arial" w:cs="Arial"/>
                <w:b/>
                <w:sz w:val="20"/>
                <w:szCs w:val="20"/>
              </w:rPr>
              <w:t>Izredni nadzor</w:t>
            </w:r>
          </w:p>
        </w:tc>
      </w:tr>
      <w:tr w:rsidR="00BD47E0" w:rsidRPr="00A335CB" w14:paraId="6E8FBF18" w14:textId="77777777" w:rsidTr="00090839">
        <w:trPr>
          <w:trHeight w:hRule="exact" w:val="416"/>
        </w:trPr>
        <w:tc>
          <w:tcPr>
            <w:tcW w:w="588" w:type="dxa"/>
            <w:tcBorders>
              <w:top w:val="single" w:sz="4" w:space="0" w:color="auto"/>
              <w:left w:val="single" w:sz="4" w:space="0" w:color="auto"/>
              <w:bottom w:val="single" w:sz="4" w:space="0" w:color="auto"/>
              <w:right w:val="single" w:sz="4" w:space="0" w:color="auto"/>
            </w:tcBorders>
            <w:noWrap/>
            <w:vAlign w:val="center"/>
          </w:tcPr>
          <w:p w14:paraId="5BD893C4" w14:textId="77777777" w:rsidR="00653B9D" w:rsidRPr="00A335CB" w:rsidRDefault="00653B9D" w:rsidP="005D1A90">
            <w:pPr>
              <w:spacing w:before="40" w:afterLines="40" w:after="96" w:line="276" w:lineRule="auto"/>
              <w:jc w:val="center"/>
              <w:rPr>
                <w:rFonts w:ascii="Arial" w:hAnsi="Arial" w:cs="Arial"/>
                <w:sz w:val="20"/>
                <w:szCs w:val="20"/>
              </w:rPr>
            </w:pPr>
            <w:r w:rsidRPr="00A335CB">
              <w:rPr>
                <w:rFonts w:ascii="Arial" w:hAnsi="Arial" w:cs="Arial"/>
                <w:sz w:val="20"/>
                <w:szCs w:val="20"/>
              </w:rPr>
              <w:t>1.</w:t>
            </w:r>
          </w:p>
        </w:tc>
        <w:tc>
          <w:tcPr>
            <w:tcW w:w="7634" w:type="dxa"/>
            <w:tcBorders>
              <w:top w:val="single" w:sz="4" w:space="0" w:color="auto"/>
              <w:left w:val="nil"/>
              <w:bottom w:val="single" w:sz="4" w:space="0" w:color="auto"/>
              <w:right w:val="single" w:sz="4" w:space="0" w:color="auto"/>
            </w:tcBorders>
            <w:vAlign w:val="center"/>
          </w:tcPr>
          <w:p w14:paraId="1EA9AE48" w14:textId="77777777" w:rsidR="00653B9D" w:rsidRPr="00A335CB" w:rsidRDefault="00653B9D" w:rsidP="005D1A90">
            <w:pPr>
              <w:spacing w:before="60" w:after="60" w:line="276" w:lineRule="auto"/>
              <w:jc w:val="both"/>
              <w:rPr>
                <w:rFonts w:ascii="Arial" w:hAnsi="Arial" w:cs="Arial"/>
                <w:iCs/>
                <w:sz w:val="20"/>
                <w:szCs w:val="20"/>
              </w:rPr>
            </w:pPr>
            <w:r w:rsidRPr="00A335CB">
              <w:rPr>
                <w:rFonts w:ascii="Arial" w:hAnsi="Arial" w:cs="Arial"/>
                <w:iCs/>
                <w:sz w:val="20"/>
                <w:szCs w:val="20"/>
              </w:rPr>
              <w:t>Izvajanje policijskih nalog in pooblastil v Centru za varovanje in zaščito</w:t>
            </w:r>
          </w:p>
        </w:tc>
      </w:tr>
      <w:tr w:rsidR="00BD47E0" w:rsidRPr="00A335CB" w14:paraId="62771CA8" w14:textId="77777777" w:rsidTr="00090839">
        <w:trPr>
          <w:trHeight w:hRule="exact" w:val="422"/>
        </w:trPr>
        <w:tc>
          <w:tcPr>
            <w:tcW w:w="588" w:type="dxa"/>
            <w:tcBorders>
              <w:top w:val="single" w:sz="4" w:space="0" w:color="auto"/>
              <w:left w:val="single" w:sz="4" w:space="0" w:color="auto"/>
              <w:bottom w:val="single" w:sz="4" w:space="0" w:color="auto"/>
              <w:right w:val="single" w:sz="4" w:space="0" w:color="auto"/>
            </w:tcBorders>
            <w:noWrap/>
            <w:vAlign w:val="center"/>
          </w:tcPr>
          <w:p w14:paraId="1BA2EBBD" w14:textId="77777777" w:rsidR="00653B9D" w:rsidRPr="00A335CB" w:rsidRDefault="00653B9D" w:rsidP="005D1A90">
            <w:pPr>
              <w:spacing w:before="40" w:afterLines="40" w:after="96" w:line="276" w:lineRule="auto"/>
              <w:jc w:val="center"/>
              <w:rPr>
                <w:rFonts w:ascii="Arial" w:hAnsi="Arial" w:cs="Arial"/>
                <w:sz w:val="20"/>
                <w:szCs w:val="20"/>
              </w:rPr>
            </w:pPr>
            <w:r w:rsidRPr="00A335CB">
              <w:rPr>
                <w:rFonts w:ascii="Arial" w:hAnsi="Arial" w:cs="Arial"/>
                <w:sz w:val="20"/>
                <w:szCs w:val="20"/>
              </w:rPr>
              <w:t>2.</w:t>
            </w:r>
          </w:p>
        </w:tc>
        <w:tc>
          <w:tcPr>
            <w:tcW w:w="7634" w:type="dxa"/>
            <w:tcBorders>
              <w:top w:val="single" w:sz="4" w:space="0" w:color="auto"/>
              <w:left w:val="nil"/>
              <w:bottom w:val="single" w:sz="4" w:space="0" w:color="auto"/>
              <w:right w:val="single" w:sz="4" w:space="0" w:color="auto"/>
            </w:tcBorders>
            <w:vAlign w:val="center"/>
          </w:tcPr>
          <w:p w14:paraId="543A7A6A" w14:textId="2CDCEFB8" w:rsidR="00653B9D" w:rsidRPr="00A335CB" w:rsidRDefault="00653B9D" w:rsidP="005D1A90">
            <w:pPr>
              <w:spacing w:before="60" w:after="60" w:line="276" w:lineRule="auto"/>
              <w:jc w:val="both"/>
              <w:rPr>
                <w:rFonts w:ascii="Arial" w:hAnsi="Arial" w:cs="Arial"/>
                <w:iCs/>
                <w:sz w:val="20"/>
                <w:szCs w:val="20"/>
              </w:rPr>
            </w:pPr>
            <w:r w:rsidRPr="00A335CB">
              <w:rPr>
                <w:rFonts w:ascii="Arial" w:hAnsi="Arial" w:cs="Arial"/>
                <w:iCs/>
                <w:sz w:val="20"/>
                <w:szCs w:val="20"/>
              </w:rPr>
              <w:t xml:space="preserve">Delo policije v zvezi </w:t>
            </w:r>
            <w:r w:rsidR="00721952">
              <w:rPr>
                <w:rFonts w:ascii="Arial" w:hAnsi="Arial" w:cs="Arial"/>
                <w:iCs/>
                <w:sz w:val="20"/>
                <w:szCs w:val="20"/>
              </w:rPr>
              <w:t>z možnimi</w:t>
            </w:r>
            <w:r w:rsidRPr="00A335CB">
              <w:rPr>
                <w:rFonts w:ascii="Arial" w:hAnsi="Arial" w:cs="Arial"/>
                <w:iCs/>
                <w:sz w:val="20"/>
                <w:szCs w:val="20"/>
              </w:rPr>
              <w:t xml:space="preserve"> grožnjami z nasiljem v šolah</w:t>
            </w:r>
          </w:p>
        </w:tc>
      </w:tr>
    </w:tbl>
    <w:p w14:paraId="0E93454E" w14:textId="29566E95" w:rsidR="00653B9D" w:rsidRPr="00A335CB" w:rsidRDefault="00653B9D" w:rsidP="005D1A90">
      <w:pPr>
        <w:spacing w:before="80" w:after="0" w:line="276" w:lineRule="auto"/>
        <w:rPr>
          <w:rFonts w:ascii="Arial" w:hAnsi="Arial" w:cs="Arial"/>
          <w:sz w:val="20"/>
          <w:szCs w:val="20"/>
        </w:rPr>
      </w:pPr>
      <w:r w:rsidRPr="00A335CB">
        <w:rPr>
          <w:rFonts w:ascii="Arial" w:hAnsi="Arial" w:cs="Arial"/>
          <w:b/>
          <w:sz w:val="20"/>
          <w:szCs w:val="20"/>
        </w:rPr>
        <w:t>Preglednica</w:t>
      </w:r>
      <w:r w:rsidRPr="0034123D">
        <w:rPr>
          <w:rFonts w:ascii="Arial" w:hAnsi="Arial" w:cs="Arial"/>
          <w:sz w:val="20"/>
          <w:szCs w:val="20"/>
        </w:rPr>
        <w:t xml:space="preserve">: </w:t>
      </w:r>
      <w:r w:rsidR="0034123D" w:rsidRPr="0034123D">
        <w:rPr>
          <w:rFonts w:ascii="Arial" w:hAnsi="Arial" w:cs="Arial"/>
          <w:sz w:val="20"/>
          <w:szCs w:val="20"/>
        </w:rPr>
        <w:t>V</w:t>
      </w:r>
      <w:r w:rsidRPr="0034123D">
        <w:rPr>
          <w:rFonts w:ascii="Arial" w:hAnsi="Arial" w:cs="Arial"/>
          <w:sz w:val="20"/>
          <w:szCs w:val="20"/>
        </w:rPr>
        <w:t>sebina</w:t>
      </w:r>
      <w:r w:rsidRPr="00A335CB">
        <w:rPr>
          <w:rFonts w:ascii="Arial" w:hAnsi="Arial" w:cs="Arial"/>
          <w:sz w:val="20"/>
          <w:szCs w:val="20"/>
        </w:rPr>
        <w:t xml:space="preserve"> opravljenih nadzorov nad delom policije v letu 2024</w:t>
      </w:r>
    </w:p>
    <w:p w14:paraId="70B0CE3C" w14:textId="77777777" w:rsidR="009832E4" w:rsidRDefault="009832E4" w:rsidP="005D1A90">
      <w:pPr>
        <w:spacing w:after="0" w:line="276" w:lineRule="auto"/>
        <w:jc w:val="both"/>
        <w:rPr>
          <w:rFonts w:ascii="Arial" w:hAnsi="Arial" w:cs="Arial"/>
          <w:sz w:val="20"/>
          <w:szCs w:val="20"/>
        </w:rPr>
      </w:pPr>
    </w:p>
    <w:p w14:paraId="3B00E211" w14:textId="5B914FD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Pri nadzorih, opravljenih v letu 2024, je treba posebej </w:t>
      </w:r>
      <w:r w:rsidR="00E36597">
        <w:rPr>
          <w:rFonts w:ascii="Arial" w:hAnsi="Arial" w:cs="Arial"/>
          <w:sz w:val="20"/>
          <w:szCs w:val="20"/>
        </w:rPr>
        <w:t>omeniti</w:t>
      </w:r>
      <w:r w:rsidR="00E36597" w:rsidRPr="00A335CB">
        <w:rPr>
          <w:rFonts w:ascii="Arial" w:hAnsi="Arial" w:cs="Arial"/>
          <w:sz w:val="20"/>
          <w:szCs w:val="20"/>
        </w:rPr>
        <w:t xml:space="preserve"> </w:t>
      </w:r>
      <w:r w:rsidRPr="00A335CB">
        <w:rPr>
          <w:rFonts w:ascii="Arial" w:hAnsi="Arial" w:cs="Arial"/>
          <w:sz w:val="20"/>
          <w:szCs w:val="20"/>
        </w:rPr>
        <w:t xml:space="preserve">izredni nadzor nad delom policije v zvezi </w:t>
      </w:r>
      <w:r w:rsidR="00721952">
        <w:rPr>
          <w:rFonts w:ascii="Arial" w:hAnsi="Arial" w:cs="Arial"/>
          <w:sz w:val="20"/>
          <w:szCs w:val="20"/>
        </w:rPr>
        <w:t>z možno</w:t>
      </w:r>
      <w:r w:rsidRPr="00A335CB">
        <w:rPr>
          <w:rFonts w:ascii="Arial" w:hAnsi="Arial" w:cs="Arial"/>
          <w:sz w:val="20"/>
          <w:szCs w:val="20"/>
        </w:rPr>
        <w:t xml:space="preserve"> grožnjo nasilja v šolah. Ta je razkril številne nepravilnosti in pomanjkljivosti, ki se odražajo v nedoslednem spoštovanju zakonskih predpisov in internih aktov policije. </w:t>
      </w:r>
      <w:r w:rsidR="00E36597">
        <w:rPr>
          <w:rFonts w:ascii="Arial" w:hAnsi="Arial" w:cs="Arial"/>
          <w:sz w:val="20"/>
          <w:szCs w:val="20"/>
        </w:rPr>
        <w:t>Omeniti</w:t>
      </w:r>
      <w:r w:rsidR="00E36597" w:rsidRPr="00A335CB">
        <w:rPr>
          <w:rFonts w:ascii="Arial" w:hAnsi="Arial" w:cs="Arial"/>
          <w:sz w:val="20"/>
          <w:szCs w:val="20"/>
        </w:rPr>
        <w:t xml:space="preserve"> </w:t>
      </w:r>
      <w:r w:rsidRPr="00A335CB">
        <w:rPr>
          <w:rFonts w:ascii="Arial" w:hAnsi="Arial" w:cs="Arial"/>
          <w:sz w:val="20"/>
          <w:szCs w:val="20"/>
        </w:rPr>
        <w:t>je treba tudi izredni nadzor nad izvajanjem policijskih nalog in pooblastil v Centru za varovanje in zaščito</w:t>
      </w:r>
      <w:r w:rsidRPr="00A335CB">
        <w:rPr>
          <w:rFonts w:ascii="Arial" w:hAnsi="Arial" w:cs="Arial"/>
          <w:sz w:val="20"/>
          <w:szCs w:val="20"/>
          <w:lang w:eastAsia="sl-SI"/>
        </w:rPr>
        <w:t xml:space="preserve">, ki je opozoril na </w:t>
      </w:r>
      <w:r w:rsidRPr="00A335CB">
        <w:rPr>
          <w:rFonts w:ascii="Arial" w:eastAsia="Times New Roman" w:hAnsi="Arial" w:cs="Arial"/>
          <w:sz w:val="20"/>
          <w:szCs w:val="20"/>
        </w:rPr>
        <w:t>pomanjkljivosti in nepravilnosti pri varovanju določenih oseb in objektov. Poleg tega je nadzor</w:t>
      </w:r>
      <w:r w:rsidRPr="00A335CB">
        <w:rPr>
          <w:rFonts w:ascii="Arial" w:hAnsi="Arial" w:cs="Arial"/>
          <w:sz w:val="20"/>
          <w:szCs w:val="20"/>
          <w:lang w:eastAsia="sl-SI"/>
        </w:rPr>
        <w:t xml:space="preserve"> odprl tudi nekatera širša sistemska vprašanja, ki so zahtevala nadaljnjo obravnavo</w:t>
      </w:r>
      <w:r w:rsidRPr="00A335CB">
        <w:rPr>
          <w:rFonts w:ascii="Arial" w:hAnsi="Arial" w:cs="Arial"/>
          <w:sz w:val="20"/>
          <w:szCs w:val="20"/>
        </w:rPr>
        <w:t>.</w:t>
      </w:r>
    </w:p>
    <w:p w14:paraId="2BED83D6" w14:textId="77777777" w:rsidR="00653B9D" w:rsidRPr="00A335CB" w:rsidRDefault="00653B9D" w:rsidP="005D1A90">
      <w:pPr>
        <w:tabs>
          <w:tab w:val="left" w:pos="2520"/>
        </w:tabs>
        <w:spacing w:after="0" w:line="276" w:lineRule="auto"/>
        <w:jc w:val="both"/>
        <w:rPr>
          <w:rFonts w:ascii="Arial" w:hAnsi="Arial" w:cs="Arial"/>
          <w:bCs/>
          <w:sz w:val="20"/>
          <w:szCs w:val="20"/>
        </w:rPr>
      </w:pPr>
    </w:p>
    <w:p w14:paraId="51E78487" w14:textId="1497E134" w:rsidR="00653B9D" w:rsidRPr="00A335CB" w:rsidRDefault="000249BC" w:rsidP="005D1A90">
      <w:pPr>
        <w:tabs>
          <w:tab w:val="left" w:pos="2520"/>
          <w:tab w:val="left" w:pos="9070"/>
        </w:tabs>
        <w:spacing w:after="0" w:line="276" w:lineRule="auto"/>
        <w:jc w:val="both"/>
        <w:rPr>
          <w:rFonts w:ascii="Arial" w:hAnsi="Arial" w:cs="Arial"/>
          <w:bCs/>
          <w:sz w:val="20"/>
          <w:szCs w:val="20"/>
        </w:rPr>
      </w:pPr>
      <w:r>
        <w:rPr>
          <w:rFonts w:ascii="Arial" w:hAnsi="Arial" w:cs="Arial"/>
          <w:bCs/>
          <w:sz w:val="20"/>
          <w:szCs w:val="20"/>
        </w:rPr>
        <w:t>Prav tako</w:t>
      </w:r>
      <w:r w:rsidR="00AD5573" w:rsidRPr="00A335CB">
        <w:rPr>
          <w:rFonts w:ascii="Arial" w:hAnsi="Arial" w:cs="Arial"/>
          <w:bCs/>
          <w:sz w:val="20"/>
          <w:szCs w:val="20"/>
        </w:rPr>
        <w:t xml:space="preserve"> je enota MNZ</w:t>
      </w:r>
      <w:r w:rsidR="00653B9D" w:rsidRPr="00A335CB">
        <w:rPr>
          <w:rFonts w:ascii="Arial" w:hAnsi="Arial" w:cs="Arial"/>
          <w:bCs/>
          <w:sz w:val="20"/>
          <w:szCs w:val="20"/>
        </w:rPr>
        <w:t xml:space="preserve">, pristojna za usmerjanje in nadzor policije, od policije zahtevala pojasnila v primerih, ko je bilo ukrepanje policije odmevno v javnosti ali pa so prve ugotovitve kazale na določene nepravilnosti. V letu 2024 je bilo policiji v skladu z določbami Pravilnika o usmerjanju in nadzoru policije poslanih </w:t>
      </w:r>
      <w:r w:rsidR="00653B9D" w:rsidRPr="00A335CB">
        <w:rPr>
          <w:rFonts w:ascii="Arial" w:hAnsi="Arial" w:cs="Arial"/>
          <w:b/>
          <w:bCs/>
          <w:sz w:val="20"/>
          <w:szCs w:val="20"/>
        </w:rPr>
        <w:t>14 zahtev za poročanje</w:t>
      </w:r>
      <w:r w:rsidR="00653B9D" w:rsidRPr="00A335CB">
        <w:rPr>
          <w:rFonts w:ascii="Arial" w:hAnsi="Arial" w:cs="Arial"/>
          <w:bCs/>
          <w:sz w:val="20"/>
          <w:szCs w:val="20"/>
        </w:rPr>
        <w:t xml:space="preserve">, ki pomenijo posredno obliko nadzora nad policijo. Po prejetih poročilih je bila opravljena presoja zakonitosti in strokovnosti izvajanja določene naloge ali uporabe pooblastil policista. V petih zadevah so bila pripravljena strokovna mnenja, medtem ko bodo </w:t>
      </w:r>
      <w:r w:rsidR="00721952">
        <w:rPr>
          <w:rFonts w:ascii="Arial" w:hAnsi="Arial" w:cs="Arial"/>
          <w:bCs/>
          <w:sz w:val="20"/>
          <w:szCs w:val="20"/>
        </w:rPr>
        <w:t>pre</w:t>
      </w:r>
      <w:r w:rsidR="00653B9D" w:rsidRPr="00A335CB">
        <w:rPr>
          <w:rFonts w:ascii="Arial" w:hAnsi="Arial" w:cs="Arial"/>
          <w:bCs/>
          <w:sz w:val="20"/>
          <w:szCs w:val="20"/>
        </w:rPr>
        <w:t>ostale zadeve zaključene v letu 2025. Poleg tega je bilo z mnenji zaključenih še</w:t>
      </w:r>
      <w:r w:rsidR="00653B9D" w:rsidRPr="00A335CB">
        <w:rPr>
          <w:rFonts w:ascii="Arial" w:hAnsi="Arial" w:cs="Arial"/>
          <w:b/>
          <w:bCs/>
          <w:sz w:val="20"/>
          <w:szCs w:val="20"/>
        </w:rPr>
        <w:t xml:space="preserve"> </w:t>
      </w:r>
      <w:r w:rsidR="00653B9D" w:rsidRPr="00A335CB">
        <w:rPr>
          <w:rFonts w:ascii="Arial" w:hAnsi="Arial" w:cs="Arial"/>
          <w:bCs/>
          <w:sz w:val="20"/>
          <w:szCs w:val="20"/>
        </w:rPr>
        <w:t>sedem zadev, za katere so bile zahteve za poročanje policiji poslan</w:t>
      </w:r>
      <w:r w:rsidR="00AD5573" w:rsidRPr="00A335CB">
        <w:rPr>
          <w:rFonts w:ascii="Arial" w:hAnsi="Arial" w:cs="Arial"/>
          <w:bCs/>
          <w:sz w:val="20"/>
          <w:szCs w:val="20"/>
        </w:rPr>
        <w:t>e v letu 2023. Enota MNZ</w:t>
      </w:r>
      <w:r w:rsidR="00653B9D" w:rsidRPr="00A335CB">
        <w:rPr>
          <w:rFonts w:ascii="Arial" w:hAnsi="Arial" w:cs="Arial"/>
          <w:bCs/>
          <w:sz w:val="20"/>
          <w:szCs w:val="20"/>
        </w:rPr>
        <w:t xml:space="preserve">, pristojna za usmerjanje in nadzor policije, je v okviru svojih pristojnosti ocenila tudi </w:t>
      </w:r>
      <w:r w:rsidR="00653B9D" w:rsidRPr="00A335CB">
        <w:rPr>
          <w:rFonts w:ascii="Arial" w:hAnsi="Arial" w:cs="Arial"/>
          <w:b/>
          <w:bCs/>
          <w:sz w:val="20"/>
          <w:szCs w:val="20"/>
        </w:rPr>
        <w:t>devet poročil policijskih komisij</w:t>
      </w:r>
      <w:r w:rsidR="00653B9D" w:rsidRPr="00A335CB">
        <w:rPr>
          <w:rFonts w:ascii="Arial" w:hAnsi="Arial" w:cs="Arial"/>
          <w:bCs/>
          <w:sz w:val="20"/>
          <w:szCs w:val="20"/>
        </w:rPr>
        <w:t xml:space="preserve"> </w:t>
      </w:r>
      <w:r w:rsidR="00653B9D" w:rsidRPr="00A335CB">
        <w:rPr>
          <w:rFonts w:ascii="Arial" w:hAnsi="Arial" w:cs="Arial"/>
          <w:b/>
          <w:bCs/>
          <w:sz w:val="20"/>
          <w:szCs w:val="20"/>
        </w:rPr>
        <w:t>za oceno zakonitosti postopkov pri uporabi prisilnih sredstev</w:t>
      </w:r>
      <w:r w:rsidR="00653B9D" w:rsidRPr="00A335CB">
        <w:rPr>
          <w:rFonts w:ascii="Arial" w:hAnsi="Arial" w:cs="Arial"/>
          <w:bCs/>
          <w:sz w:val="20"/>
          <w:szCs w:val="20"/>
        </w:rPr>
        <w:t>.</w:t>
      </w:r>
    </w:p>
    <w:p w14:paraId="39D41C70" w14:textId="77777777" w:rsidR="00653B9D" w:rsidRPr="00A335CB" w:rsidRDefault="00653B9D" w:rsidP="005D1A90">
      <w:pPr>
        <w:tabs>
          <w:tab w:val="left" w:pos="2520"/>
          <w:tab w:val="left" w:pos="9070"/>
        </w:tabs>
        <w:spacing w:after="0" w:line="276" w:lineRule="auto"/>
        <w:jc w:val="both"/>
        <w:rPr>
          <w:rFonts w:ascii="Arial" w:hAnsi="Arial" w:cs="Arial"/>
          <w:bCs/>
          <w:sz w:val="20"/>
          <w:szCs w:val="20"/>
        </w:rPr>
      </w:pPr>
    </w:p>
    <w:p w14:paraId="1953D606" w14:textId="21A75777" w:rsidR="00653B9D" w:rsidRPr="00A335CB" w:rsidRDefault="00653B9D" w:rsidP="005D1A90">
      <w:pPr>
        <w:tabs>
          <w:tab w:val="left" w:pos="9070"/>
        </w:tabs>
        <w:spacing w:after="0" w:line="276" w:lineRule="auto"/>
        <w:jc w:val="both"/>
        <w:rPr>
          <w:rFonts w:ascii="Arial" w:hAnsi="Arial" w:cs="Arial"/>
          <w:sz w:val="20"/>
          <w:szCs w:val="20"/>
        </w:rPr>
      </w:pPr>
      <w:r w:rsidRPr="00A335CB">
        <w:rPr>
          <w:rFonts w:ascii="Arial" w:hAnsi="Arial" w:cs="Arial"/>
          <w:sz w:val="20"/>
          <w:szCs w:val="20"/>
        </w:rPr>
        <w:t xml:space="preserve">MNZ po uradni dolžnosti pred iztekom trimesečne </w:t>
      </w:r>
      <w:r w:rsidRPr="00A335CB">
        <w:rPr>
          <w:rFonts w:ascii="Arial" w:hAnsi="Arial" w:cs="Arial"/>
          <w:b/>
          <w:sz w:val="20"/>
          <w:szCs w:val="20"/>
        </w:rPr>
        <w:t>omejitve gibanja tujcu</w:t>
      </w:r>
      <w:r w:rsidRPr="00A335CB">
        <w:rPr>
          <w:rFonts w:ascii="Arial" w:hAnsi="Arial" w:cs="Arial"/>
          <w:sz w:val="20"/>
          <w:szCs w:val="20"/>
        </w:rPr>
        <w:t xml:space="preserve"> v Centru za tujce po 79.a členu Zakona o tujcih preverja utemeljenost omejitve gibanja. Na tej pravni podlagi je e</w:t>
      </w:r>
      <w:r w:rsidR="00AD5573" w:rsidRPr="00A335CB">
        <w:rPr>
          <w:rFonts w:ascii="Arial" w:hAnsi="Arial" w:cs="Arial"/>
          <w:bCs/>
          <w:sz w:val="20"/>
          <w:szCs w:val="20"/>
        </w:rPr>
        <w:t>nota MNZ</w:t>
      </w:r>
      <w:r w:rsidRPr="00A335CB">
        <w:rPr>
          <w:rFonts w:ascii="Arial" w:hAnsi="Arial" w:cs="Arial"/>
          <w:bCs/>
          <w:sz w:val="20"/>
          <w:szCs w:val="20"/>
        </w:rPr>
        <w:t>, pristojna za usmerjanje in nadzor policije,</w:t>
      </w:r>
      <w:r w:rsidRPr="00A335CB">
        <w:rPr>
          <w:rFonts w:ascii="Arial" w:hAnsi="Arial" w:cs="Arial"/>
          <w:sz w:val="20"/>
          <w:szCs w:val="20"/>
        </w:rPr>
        <w:t xml:space="preserve"> v letu 2024 preverjala </w:t>
      </w:r>
      <w:r w:rsidR="000249BC">
        <w:rPr>
          <w:rFonts w:ascii="Arial" w:hAnsi="Arial" w:cs="Arial"/>
          <w:sz w:val="20"/>
          <w:szCs w:val="20"/>
        </w:rPr>
        <w:t>deset</w:t>
      </w:r>
      <w:r w:rsidR="000249BC" w:rsidRPr="00A335CB">
        <w:rPr>
          <w:rFonts w:ascii="Arial" w:hAnsi="Arial" w:cs="Arial"/>
          <w:sz w:val="20"/>
          <w:szCs w:val="20"/>
        </w:rPr>
        <w:t xml:space="preserve"> </w:t>
      </w:r>
      <w:r w:rsidRPr="00A335CB">
        <w:rPr>
          <w:rFonts w:ascii="Arial" w:hAnsi="Arial" w:cs="Arial"/>
          <w:sz w:val="20"/>
          <w:szCs w:val="20"/>
        </w:rPr>
        <w:t>tovrstnih postopkov in izdala ustrezne upravne akte.</w:t>
      </w:r>
    </w:p>
    <w:p w14:paraId="404655C8" w14:textId="77777777" w:rsidR="00653B9D" w:rsidRPr="00A335CB" w:rsidRDefault="00653B9D" w:rsidP="005D1A90">
      <w:pPr>
        <w:tabs>
          <w:tab w:val="left" w:pos="2520"/>
          <w:tab w:val="left" w:pos="9070"/>
        </w:tabs>
        <w:spacing w:after="0" w:line="276" w:lineRule="auto"/>
        <w:jc w:val="both"/>
        <w:rPr>
          <w:rFonts w:ascii="Arial" w:hAnsi="Arial" w:cs="Arial"/>
          <w:sz w:val="20"/>
          <w:szCs w:val="20"/>
        </w:rPr>
      </w:pPr>
    </w:p>
    <w:p w14:paraId="6555BCEF"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Oblika nadzora nad policijo je tudi sistem</w:t>
      </w:r>
      <w:r w:rsidRPr="00A335CB">
        <w:rPr>
          <w:rFonts w:ascii="Arial" w:hAnsi="Arial" w:cs="Arial"/>
          <w:b/>
          <w:sz w:val="20"/>
          <w:szCs w:val="20"/>
        </w:rPr>
        <w:t xml:space="preserve"> reševanja pritožb posameznikov zoper delo policistov</w:t>
      </w:r>
      <w:r w:rsidRPr="00A335CB">
        <w:rPr>
          <w:rFonts w:ascii="Arial" w:hAnsi="Arial" w:cs="Arial"/>
          <w:sz w:val="20"/>
          <w:szCs w:val="20"/>
        </w:rPr>
        <w:t xml:space="preserve">. V pritožbenem postopku se zagotavlja neodvisno, nepristransko, strokovno in kakovostno reševanje pritožb zoper delo policistov. </w:t>
      </w:r>
    </w:p>
    <w:p w14:paraId="253E1084"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p>
    <w:p w14:paraId="590C5CD0" w14:textId="22890C72" w:rsidR="00653B9D" w:rsidRDefault="00653B9D" w:rsidP="005D1A90">
      <w:pPr>
        <w:tabs>
          <w:tab w:val="left" w:pos="2520"/>
        </w:tabs>
        <w:spacing w:after="0" w:line="276" w:lineRule="auto"/>
        <w:jc w:val="both"/>
        <w:rPr>
          <w:rFonts w:ascii="Arial" w:hAnsi="Arial" w:cs="Arial"/>
          <w:sz w:val="20"/>
          <w:szCs w:val="20"/>
        </w:rPr>
      </w:pPr>
      <w:r w:rsidRPr="00A335CB">
        <w:rPr>
          <w:rFonts w:ascii="Arial" w:hAnsi="Arial" w:cs="Arial"/>
          <w:sz w:val="20"/>
          <w:szCs w:val="20"/>
        </w:rPr>
        <w:t xml:space="preserve">Pritožbeni postopek se izvaja na dveh ravneh, in sicer v pomiritvenem postopku (I. stopnja) ali na senatu (II. stopnja). Pomiritveni postopek je razgovor vodje policijske enote, </w:t>
      </w:r>
      <w:r w:rsidR="00EA537C">
        <w:rPr>
          <w:rFonts w:ascii="Arial" w:hAnsi="Arial" w:cs="Arial"/>
          <w:sz w:val="20"/>
          <w:szCs w:val="20"/>
        </w:rPr>
        <w:t>v katero</w:t>
      </w:r>
      <w:r w:rsidR="00EA537C" w:rsidRPr="00A335CB">
        <w:rPr>
          <w:rFonts w:ascii="Arial" w:hAnsi="Arial" w:cs="Arial"/>
          <w:sz w:val="20"/>
          <w:szCs w:val="20"/>
        </w:rPr>
        <w:t xml:space="preserve"> </w:t>
      </w:r>
      <w:r w:rsidRPr="00A335CB">
        <w:rPr>
          <w:rFonts w:ascii="Arial" w:hAnsi="Arial" w:cs="Arial"/>
          <w:sz w:val="20"/>
          <w:szCs w:val="20"/>
        </w:rPr>
        <w:t>je razporejen policist, zoper katerega je vložena pritožba, s pritožnikom. Na II. stopnji se utemeljenost pritožbe preso</w:t>
      </w:r>
      <w:r w:rsidR="00AD5573" w:rsidRPr="00A335CB">
        <w:rPr>
          <w:rFonts w:ascii="Arial" w:hAnsi="Arial" w:cs="Arial"/>
          <w:sz w:val="20"/>
          <w:szCs w:val="20"/>
        </w:rPr>
        <w:t>ja na senatu, ki ga sestavljajo</w:t>
      </w:r>
      <w:r w:rsidRPr="00A335CB">
        <w:rPr>
          <w:rFonts w:ascii="Arial" w:hAnsi="Arial" w:cs="Arial"/>
          <w:sz w:val="20"/>
          <w:szCs w:val="20"/>
        </w:rPr>
        <w:t xml:space="preserve"> pooblaščenec ministra kot vodja senata in dva predstavnika javnosti kot člana senata. Z vključitvijo dveh predstavnikov javnosti v pritožbeni postopek je zagotovljen učinkovit neposreden državljanski nadzor nad delom policije.</w:t>
      </w:r>
    </w:p>
    <w:p w14:paraId="7EAF43FB" w14:textId="2F997D93" w:rsidR="009832E4" w:rsidRDefault="009832E4" w:rsidP="005D1A90">
      <w:pPr>
        <w:tabs>
          <w:tab w:val="left" w:pos="2520"/>
        </w:tabs>
        <w:spacing w:after="0" w:line="276" w:lineRule="auto"/>
        <w:jc w:val="both"/>
        <w:rPr>
          <w:rFonts w:ascii="Arial" w:hAnsi="Arial" w:cs="Arial"/>
          <w:sz w:val="20"/>
          <w:szCs w:val="20"/>
        </w:rPr>
      </w:pPr>
    </w:p>
    <w:p w14:paraId="2E734D9D" w14:textId="2A85C6F5" w:rsidR="009832E4" w:rsidRDefault="009832E4" w:rsidP="005D1A90">
      <w:pPr>
        <w:tabs>
          <w:tab w:val="left" w:pos="2520"/>
        </w:tabs>
        <w:spacing w:after="0" w:line="276" w:lineRule="auto"/>
        <w:jc w:val="both"/>
        <w:rPr>
          <w:rFonts w:ascii="Arial" w:hAnsi="Arial" w:cs="Arial"/>
          <w:sz w:val="20"/>
          <w:szCs w:val="20"/>
        </w:rPr>
      </w:pPr>
    </w:p>
    <w:p w14:paraId="692E68A9" w14:textId="5C46176C" w:rsidR="009832E4" w:rsidRDefault="009832E4" w:rsidP="005D1A90">
      <w:pPr>
        <w:tabs>
          <w:tab w:val="left" w:pos="2520"/>
        </w:tabs>
        <w:spacing w:after="0" w:line="276" w:lineRule="auto"/>
        <w:jc w:val="both"/>
        <w:rPr>
          <w:rFonts w:ascii="Arial" w:hAnsi="Arial" w:cs="Arial"/>
          <w:sz w:val="20"/>
          <w:szCs w:val="20"/>
        </w:rPr>
      </w:pPr>
    </w:p>
    <w:p w14:paraId="274EA640" w14:textId="7A8FBF22" w:rsidR="009832E4" w:rsidRPr="00A335CB" w:rsidRDefault="009832E4" w:rsidP="005D1A90">
      <w:pPr>
        <w:tabs>
          <w:tab w:val="left" w:pos="2520"/>
        </w:tabs>
        <w:spacing w:after="0" w:line="276" w:lineRule="auto"/>
        <w:jc w:val="both"/>
        <w:rPr>
          <w:rFonts w:ascii="Arial" w:hAnsi="Arial" w:cs="Arial"/>
          <w:sz w:val="20"/>
          <w:szCs w:val="20"/>
        </w:rPr>
      </w:pPr>
    </w:p>
    <w:p w14:paraId="4A516EA1" w14:textId="04BB0D61" w:rsidR="00653B9D" w:rsidRPr="00A335CB" w:rsidRDefault="00090839" w:rsidP="005D1A90">
      <w:pPr>
        <w:tabs>
          <w:tab w:val="left" w:pos="2520"/>
        </w:tabs>
        <w:spacing w:after="120" w:line="276" w:lineRule="auto"/>
        <w:jc w:val="both"/>
        <w:rPr>
          <w:rFonts w:ascii="Arial" w:hAnsi="Arial" w:cs="Arial"/>
          <w:bCs/>
          <w:sz w:val="20"/>
          <w:szCs w:val="20"/>
          <w:highlight w:val="yellow"/>
        </w:rPr>
      </w:pPr>
      <w:r w:rsidRPr="00A335CB">
        <w:rPr>
          <w:rFonts w:ascii="Arial" w:hAnsi="Arial" w:cs="Arial"/>
          <w:noProof/>
          <w:highlight w:val="yellow"/>
          <w:lang w:eastAsia="sl-SI"/>
        </w:rPr>
        <w:drawing>
          <wp:inline distT="0" distB="0" distL="0" distR="0" wp14:anchorId="62682D85" wp14:editId="1B95F9C0">
            <wp:extent cx="5287510" cy="2575335"/>
            <wp:effectExtent l="0" t="0" r="8890" b="15875"/>
            <wp:docPr id="26" name="Grafikon 5" descr="Graf s stolpci prikazuje število vloženih pritožb, število opravljenih sej senata in število utemeljenih pritožb na seji senata, in sicer v letih, 2020, 2021, 2022, 2023 in 20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F85C1D" w14:textId="14BE965C" w:rsidR="00653B9D" w:rsidRPr="00A335CB" w:rsidRDefault="00653B9D" w:rsidP="005D1A90">
      <w:pPr>
        <w:spacing w:before="80" w:after="0" w:line="276" w:lineRule="auto"/>
        <w:rPr>
          <w:rFonts w:ascii="Arial" w:hAnsi="Arial" w:cs="Arial"/>
          <w:bCs/>
          <w:iCs/>
          <w:sz w:val="20"/>
          <w:szCs w:val="20"/>
        </w:rPr>
      </w:pPr>
      <w:r w:rsidRPr="00A335CB">
        <w:rPr>
          <w:rFonts w:ascii="Arial" w:hAnsi="Arial" w:cs="Arial"/>
          <w:b/>
          <w:sz w:val="20"/>
          <w:szCs w:val="20"/>
        </w:rPr>
        <w:t>Graf</w:t>
      </w:r>
      <w:r w:rsidRPr="00A335CB">
        <w:rPr>
          <w:rFonts w:ascii="Arial" w:hAnsi="Arial" w:cs="Arial"/>
          <w:bCs/>
          <w:iCs/>
          <w:sz w:val="20"/>
          <w:szCs w:val="20"/>
        </w:rPr>
        <w:t>: Pritožbeni postopki v obdobju 2020–2024</w:t>
      </w:r>
    </w:p>
    <w:p w14:paraId="51FC52B1" w14:textId="77777777" w:rsidR="00090839" w:rsidRPr="00A335CB" w:rsidRDefault="00090839" w:rsidP="005D1A90">
      <w:pPr>
        <w:pStyle w:val="datumtevilka"/>
        <w:spacing w:line="276" w:lineRule="auto"/>
        <w:jc w:val="both"/>
        <w:rPr>
          <w:rFonts w:cs="Arial"/>
        </w:rPr>
      </w:pPr>
    </w:p>
    <w:p w14:paraId="3BF2B96D" w14:textId="621215CF" w:rsidR="00653B9D" w:rsidRPr="00A335CB" w:rsidRDefault="00653B9D" w:rsidP="005D1A90">
      <w:pPr>
        <w:pStyle w:val="datumtevilka"/>
        <w:spacing w:line="276" w:lineRule="auto"/>
        <w:jc w:val="both"/>
        <w:rPr>
          <w:rFonts w:cs="Arial"/>
        </w:rPr>
      </w:pPr>
      <w:r w:rsidRPr="00A335CB">
        <w:rPr>
          <w:rFonts w:cs="Arial"/>
        </w:rPr>
        <w:t>V letu 2024 so bila izvedena strokovna usposabljanja izpopolnjevanja s področja reševanj</w:t>
      </w:r>
      <w:r w:rsidR="00984A19" w:rsidRPr="00A335CB">
        <w:rPr>
          <w:rFonts w:cs="Arial"/>
        </w:rPr>
        <w:t>a pritožb in nadzora MNZ</w:t>
      </w:r>
      <w:r w:rsidRPr="00A335CB">
        <w:rPr>
          <w:rFonts w:cs="Arial"/>
        </w:rPr>
        <w:t xml:space="preserve"> nad delovanjem policije. Izpopolnjevanje je bilo namenjeno uslužbencem policije, ki so že zadolženi za reševanje pritožb zoper policiste, usposabljanje pa tistim, ki so šele prevzeli naloge s tega </w:t>
      </w:r>
      <w:r w:rsidR="00984A19" w:rsidRPr="00A335CB">
        <w:rPr>
          <w:rFonts w:cs="Arial"/>
        </w:rPr>
        <w:t xml:space="preserve">področja. Usposabljanj in </w:t>
      </w:r>
      <w:r w:rsidRPr="00A335CB">
        <w:rPr>
          <w:rFonts w:cs="Arial"/>
        </w:rPr>
        <w:t>izpopolnjevanj se je udeležilo skupaj 313 uslužbencev policije, tako iz policijskih uprav kot iz Generalne policijske uprave.</w:t>
      </w:r>
    </w:p>
    <w:p w14:paraId="69C04BDC" w14:textId="77777777" w:rsidR="00653B9D" w:rsidRPr="00A335CB" w:rsidRDefault="00653B9D" w:rsidP="005D1A90">
      <w:pPr>
        <w:pStyle w:val="datumtevilka"/>
        <w:spacing w:line="276" w:lineRule="auto"/>
        <w:jc w:val="both"/>
        <w:rPr>
          <w:rFonts w:cs="Arial"/>
        </w:rPr>
      </w:pPr>
    </w:p>
    <w:p w14:paraId="3D626CAD" w14:textId="3F0689BD" w:rsidR="00653B9D" w:rsidRPr="00A335CB" w:rsidRDefault="00984A19" w:rsidP="008A746A">
      <w:pPr>
        <w:pStyle w:val="datumtevilka"/>
        <w:spacing w:line="276" w:lineRule="auto"/>
        <w:jc w:val="both"/>
        <w:rPr>
          <w:rFonts w:cs="Arial"/>
        </w:rPr>
      </w:pPr>
      <w:r w:rsidRPr="00A335CB">
        <w:rPr>
          <w:rFonts w:cs="Arial"/>
        </w:rPr>
        <w:t>MNZ</w:t>
      </w:r>
      <w:r w:rsidR="00653B9D" w:rsidRPr="00A335CB">
        <w:rPr>
          <w:rFonts w:cs="Arial"/>
        </w:rPr>
        <w:t xml:space="preserve"> tudi v prihodnje načrtuje obdobna usposabljanja oziroma izpopolnjevanja policistov, namenjena pridobitvi oziroma poglabljanju znanj s področja reševanja pritožb, s poudarkom na pomiritvenih postopkih, pridobitvi teoretičnih znanj o reševanju konfliktov ter pridobitvi praktičnih izkušenj za izvajanje pritožbenega postopka s predstavitvijo študije, analize in rešitve posameznega primera.</w:t>
      </w:r>
      <w:r w:rsidR="008A746A" w:rsidRPr="00A335CB">
        <w:rPr>
          <w:rFonts w:cs="Arial"/>
        </w:rPr>
        <w:t xml:space="preserve"> </w:t>
      </w:r>
    </w:p>
    <w:p w14:paraId="03EFEF49" w14:textId="77777777" w:rsidR="00653B9D" w:rsidRPr="00A335CB" w:rsidRDefault="00653B9D" w:rsidP="005D1A90">
      <w:pPr>
        <w:tabs>
          <w:tab w:val="left" w:pos="2520"/>
        </w:tabs>
        <w:spacing w:after="0" w:line="276" w:lineRule="auto"/>
        <w:jc w:val="both"/>
        <w:rPr>
          <w:rFonts w:ascii="Arial" w:hAnsi="Arial" w:cs="Arial"/>
          <w:sz w:val="20"/>
          <w:szCs w:val="20"/>
        </w:rPr>
      </w:pPr>
    </w:p>
    <w:tbl>
      <w:tblPr>
        <w:tblStyle w:val="Tabelamrea"/>
        <w:tblW w:w="9067" w:type="dxa"/>
        <w:tblLook w:val="01E0" w:firstRow="1" w:lastRow="1" w:firstColumn="1" w:lastColumn="1" w:noHBand="0" w:noVBand="0"/>
      </w:tblPr>
      <w:tblGrid>
        <w:gridCol w:w="544"/>
        <w:gridCol w:w="4303"/>
        <w:gridCol w:w="844"/>
        <w:gridCol w:w="844"/>
        <w:gridCol w:w="844"/>
        <w:gridCol w:w="844"/>
        <w:gridCol w:w="844"/>
      </w:tblGrid>
      <w:tr w:rsidR="00EF6EA3" w:rsidRPr="00A335CB" w14:paraId="57E512F6" w14:textId="77777777" w:rsidTr="00FA1B82">
        <w:trPr>
          <w:trHeight w:val="306"/>
        </w:trPr>
        <w:tc>
          <w:tcPr>
            <w:tcW w:w="4847" w:type="dxa"/>
            <w:gridSpan w:val="2"/>
            <w:shd w:val="clear" w:color="auto" w:fill="D9D9D9" w:themeFill="background1" w:themeFillShade="D9"/>
          </w:tcPr>
          <w:p w14:paraId="26BB6D1B" w14:textId="0FEF2829" w:rsidR="00EF6EA3" w:rsidRPr="00A335CB" w:rsidRDefault="00EF6EA3" w:rsidP="005D1A90">
            <w:pPr>
              <w:spacing w:before="80" w:after="80" w:line="276" w:lineRule="auto"/>
              <w:jc w:val="center"/>
              <w:rPr>
                <w:rFonts w:ascii="Arial" w:hAnsi="Arial" w:cs="Arial"/>
                <w:b/>
                <w:sz w:val="20"/>
                <w:szCs w:val="20"/>
              </w:rPr>
            </w:pPr>
            <w:r w:rsidRPr="00A335CB">
              <w:rPr>
                <w:rFonts w:ascii="Arial" w:hAnsi="Arial" w:cs="Arial"/>
                <w:b/>
                <w:sz w:val="20"/>
                <w:szCs w:val="20"/>
              </w:rPr>
              <w:t>Vrsta postopka</w:t>
            </w:r>
          </w:p>
        </w:tc>
        <w:tc>
          <w:tcPr>
            <w:tcW w:w="844" w:type="dxa"/>
            <w:shd w:val="clear" w:color="auto" w:fill="D9D9D9" w:themeFill="background1" w:themeFillShade="D9"/>
          </w:tcPr>
          <w:p w14:paraId="7F557760" w14:textId="77777777" w:rsidR="00EF6EA3" w:rsidRPr="00A335CB" w:rsidRDefault="00EF6EA3" w:rsidP="005D1A90">
            <w:pPr>
              <w:spacing w:before="80" w:after="80" w:line="276" w:lineRule="auto"/>
              <w:jc w:val="center"/>
              <w:rPr>
                <w:rFonts w:ascii="Arial" w:hAnsi="Arial" w:cs="Arial"/>
                <w:b/>
                <w:sz w:val="20"/>
                <w:szCs w:val="20"/>
              </w:rPr>
            </w:pPr>
            <w:r w:rsidRPr="00A335CB">
              <w:rPr>
                <w:rFonts w:ascii="Arial" w:hAnsi="Arial" w:cs="Arial"/>
                <w:b/>
                <w:sz w:val="20"/>
                <w:szCs w:val="20"/>
              </w:rPr>
              <w:t>2020</w:t>
            </w:r>
          </w:p>
        </w:tc>
        <w:tc>
          <w:tcPr>
            <w:tcW w:w="844" w:type="dxa"/>
            <w:shd w:val="clear" w:color="auto" w:fill="D9D9D9" w:themeFill="background1" w:themeFillShade="D9"/>
          </w:tcPr>
          <w:p w14:paraId="0CD1A486" w14:textId="77777777" w:rsidR="00EF6EA3" w:rsidRPr="00A335CB" w:rsidRDefault="00EF6EA3" w:rsidP="005D1A90">
            <w:pPr>
              <w:spacing w:before="80" w:after="80" w:line="276" w:lineRule="auto"/>
              <w:jc w:val="center"/>
              <w:rPr>
                <w:rFonts w:ascii="Arial" w:hAnsi="Arial" w:cs="Arial"/>
                <w:b/>
                <w:sz w:val="20"/>
                <w:szCs w:val="20"/>
              </w:rPr>
            </w:pPr>
            <w:r w:rsidRPr="00A335CB">
              <w:rPr>
                <w:rFonts w:ascii="Arial" w:hAnsi="Arial" w:cs="Arial"/>
                <w:b/>
                <w:sz w:val="20"/>
                <w:szCs w:val="20"/>
              </w:rPr>
              <w:t>2021</w:t>
            </w:r>
          </w:p>
        </w:tc>
        <w:tc>
          <w:tcPr>
            <w:tcW w:w="844" w:type="dxa"/>
            <w:shd w:val="clear" w:color="auto" w:fill="D9D9D9" w:themeFill="background1" w:themeFillShade="D9"/>
          </w:tcPr>
          <w:p w14:paraId="61A16BE3" w14:textId="77777777" w:rsidR="00EF6EA3" w:rsidRPr="00A335CB" w:rsidRDefault="00EF6EA3" w:rsidP="005D1A90">
            <w:pPr>
              <w:spacing w:before="80" w:after="80" w:line="276" w:lineRule="auto"/>
              <w:jc w:val="center"/>
              <w:rPr>
                <w:rFonts w:ascii="Arial" w:hAnsi="Arial" w:cs="Arial"/>
                <w:b/>
                <w:sz w:val="20"/>
                <w:szCs w:val="20"/>
              </w:rPr>
            </w:pPr>
            <w:r w:rsidRPr="00A335CB">
              <w:rPr>
                <w:rFonts w:ascii="Arial" w:hAnsi="Arial" w:cs="Arial"/>
                <w:b/>
                <w:sz w:val="20"/>
                <w:szCs w:val="20"/>
              </w:rPr>
              <w:t>2022</w:t>
            </w:r>
          </w:p>
        </w:tc>
        <w:tc>
          <w:tcPr>
            <w:tcW w:w="844" w:type="dxa"/>
            <w:shd w:val="clear" w:color="auto" w:fill="D9D9D9" w:themeFill="background1" w:themeFillShade="D9"/>
          </w:tcPr>
          <w:p w14:paraId="08B4E10C" w14:textId="77777777" w:rsidR="00EF6EA3" w:rsidRPr="00A335CB" w:rsidRDefault="00EF6EA3" w:rsidP="005D1A90">
            <w:pPr>
              <w:spacing w:before="80" w:after="80" w:line="276" w:lineRule="auto"/>
              <w:jc w:val="center"/>
              <w:rPr>
                <w:rFonts w:ascii="Arial" w:hAnsi="Arial" w:cs="Arial"/>
                <w:b/>
                <w:sz w:val="20"/>
                <w:szCs w:val="20"/>
              </w:rPr>
            </w:pPr>
            <w:r w:rsidRPr="00A335CB">
              <w:rPr>
                <w:rFonts w:ascii="Arial" w:hAnsi="Arial" w:cs="Arial"/>
                <w:b/>
                <w:sz w:val="20"/>
                <w:szCs w:val="20"/>
              </w:rPr>
              <w:t>2023</w:t>
            </w:r>
          </w:p>
        </w:tc>
        <w:tc>
          <w:tcPr>
            <w:tcW w:w="844" w:type="dxa"/>
            <w:shd w:val="clear" w:color="auto" w:fill="D9D9D9" w:themeFill="background1" w:themeFillShade="D9"/>
          </w:tcPr>
          <w:p w14:paraId="1E2A4D52" w14:textId="77777777" w:rsidR="00EF6EA3" w:rsidRPr="00A335CB" w:rsidRDefault="00EF6EA3" w:rsidP="005D1A90">
            <w:pPr>
              <w:spacing w:before="80" w:after="80" w:line="276" w:lineRule="auto"/>
              <w:jc w:val="center"/>
              <w:rPr>
                <w:rFonts w:ascii="Arial" w:hAnsi="Arial" w:cs="Arial"/>
                <w:b/>
                <w:sz w:val="20"/>
                <w:szCs w:val="20"/>
              </w:rPr>
            </w:pPr>
            <w:r w:rsidRPr="00A335CB">
              <w:rPr>
                <w:rFonts w:ascii="Arial" w:hAnsi="Arial" w:cs="Arial"/>
                <w:b/>
                <w:sz w:val="20"/>
                <w:szCs w:val="20"/>
              </w:rPr>
              <w:t>2024</w:t>
            </w:r>
          </w:p>
        </w:tc>
      </w:tr>
      <w:tr w:rsidR="00BD47E0" w:rsidRPr="00A335CB" w14:paraId="3813A921" w14:textId="77777777" w:rsidTr="00EF6EA3">
        <w:trPr>
          <w:trHeight w:val="306"/>
        </w:trPr>
        <w:tc>
          <w:tcPr>
            <w:tcW w:w="544" w:type="dxa"/>
          </w:tcPr>
          <w:p w14:paraId="0A154ED9"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A</w:t>
            </w:r>
          </w:p>
        </w:tc>
        <w:tc>
          <w:tcPr>
            <w:tcW w:w="4303" w:type="dxa"/>
          </w:tcPr>
          <w:p w14:paraId="6E7E8863" w14:textId="77777777" w:rsidR="00653B9D" w:rsidRPr="00A335CB" w:rsidRDefault="00653B9D" w:rsidP="005D1A90">
            <w:pPr>
              <w:spacing w:before="120" w:after="120" w:line="276" w:lineRule="auto"/>
              <w:rPr>
                <w:rFonts w:ascii="Arial" w:hAnsi="Arial" w:cs="Arial"/>
                <w:sz w:val="20"/>
                <w:szCs w:val="20"/>
              </w:rPr>
            </w:pPr>
            <w:r w:rsidRPr="00A335CB">
              <w:rPr>
                <w:rFonts w:ascii="Arial" w:hAnsi="Arial" w:cs="Arial"/>
                <w:sz w:val="20"/>
                <w:szCs w:val="20"/>
              </w:rPr>
              <w:t>Pomiritveni postopki</w:t>
            </w:r>
          </w:p>
        </w:tc>
        <w:tc>
          <w:tcPr>
            <w:tcW w:w="844" w:type="dxa"/>
          </w:tcPr>
          <w:p w14:paraId="07432897"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167</w:t>
            </w:r>
          </w:p>
        </w:tc>
        <w:tc>
          <w:tcPr>
            <w:tcW w:w="844" w:type="dxa"/>
          </w:tcPr>
          <w:p w14:paraId="3678EE9D"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164</w:t>
            </w:r>
          </w:p>
        </w:tc>
        <w:tc>
          <w:tcPr>
            <w:tcW w:w="844" w:type="dxa"/>
          </w:tcPr>
          <w:p w14:paraId="5866DAFE"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121</w:t>
            </w:r>
          </w:p>
        </w:tc>
        <w:tc>
          <w:tcPr>
            <w:tcW w:w="844" w:type="dxa"/>
          </w:tcPr>
          <w:p w14:paraId="7CEC39EE"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128</w:t>
            </w:r>
          </w:p>
        </w:tc>
        <w:tc>
          <w:tcPr>
            <w:tcW w:w="844" w:type="dxa"/>
          </w:tcPr>
          <w:p w14:paraId="0D7762BD"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89</w:t>
            </w:r>
          </w:p>
        </w:tc>
      </w:tr>
      <w:tr w:rsidR="00BD47E0" w:rsidRPr="00A335CB" w14:paraId="19830A62" w14:textId="77777777" w:rsidTr="00EF6EA3">
        <w:trPr>
          <w:trHeight w:val="284"/>
        </w:trPr>
        <w:tc>
          <w:tcPr>
            <w:tcW w:w="544" w:type="dxa"/>
          </w:tcPr>
          <w:p w14:paraId="654C20DE"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A1</w:t>
            </w:r>
          </w:p>
        </w:tc>
        <w:tc>
          <w:tcPr>
            <w:tcW w:w="4303" w:type="dxa"/>
          </w:tcPr>
          <w:p w14:paraId="3495C23C" w14:textId="633DACAD" w:rsidR="00653B9D" w:rsidRPr="00A335CB" w:rsidRDefault="004507FE" w:rsidP="005D1A90">
            <w:pPr>
              <w:spacing w:before="120" w:after="120" w:line="276" w:lineRule="auto"/>
              <w:rPr>
                <w:rFonts w:ascii="Arial" w:hAnsi="Arial" w:cs="Arial"/>
                <w:sz w:val="20"/>
                <w:szCs w:val="20"/>
              </w:rPr>
            </w:pPr>
            <w:r>
              <w:rPr>
                <w:rFonts w:ascii="Arial" w:hAnsi="Arial" w:cs="Arial"/>
                <w:sz w:val="20"/>
                <w:szCs w:val="20"/>
              </w:rPr>
              <w:t>–</w:t>
            </w:r>
            <w:r w:rsidRPr="00A335CB">
              <w:rPr>
                <w:rFonts w:ascii="Arial" w:hAnsi="Arial" w:cs="Arial"/>
                <w:sz w:val="20"/>
                <w:szCs w:val="20"/>
              </w:rPr>
              <w:t xml:space="preserve"> </w:t>
            </w:r>
            <w:r w:rsidR="00653B9D" w:rsidRPr="00A335CB">
              <w:rPr>
                <w:rFonts w:ascii="Arial" w:hAnsi="Arial" w:cs="Arial"/>
                <w:sz w:val="20"/>
                <w:szCs w:val="20"/>
              </w:rPr>
              <w:t xml:space="preserve">uspešno zaključeni (150/5 </w:t>
            </w:r>
            <w:proofErr w:type="spellStart"/>
            <w:r w:rsidR="00653B9D" w:rsidRPr="00A335CB">
              <w:rPr>
                <w:rFonts w:ascii="Arial" w:hAnsi="Arial" w:cs="Arial"/>
                <w:sz w:val="20"/>
                <w:szCs w:val="20"/>
              </w:rPr>
              <w:t>ZNPPol</w:t>
            </w:r>
            <w:proofErr w:type="spellEnd"/>
            <w:r w:rsidR="00653B9D" w:rsidRPr="00A335CB">
              <w:rPr>
                <w:rFonts w:ascii="Arial" w:hAnsi="Arial" w:cs="Arial"/>
                <w:sz w:val="20"/>
                <w:szCs w:val="20"/>
              </w:rPr>
              <w:t>)</w:t>
            </w:r>
          </w:p>
        </w:tc>
        <w:tc>
          <w:tcPr>
            <w:tcW w:w="844" w:type="dxa"/>
          </w:tcPr>
          <w:p w14:paraId="70494C9D"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83</w:t>
            </w:r>
          </w:p>
        </w:tc>
        <w:tc>
          <w:tcPr>
            <w:tcW w:w="844" w:type="dxa"/>
          </w:tcPr>
          <w:p w14:paraId="470D148D"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76</w:t>
            </w:r>
          </w:p>
        </w:tc>
        <w:tc>
          <w:tcPr>
            <w:tcW w:w="844" w:type="dxa"/>
          </w:tcPr>
          <w:p w14:paraId="5BDA4641"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59</w:t>
            </w:r>
          </w:p>
        </w:tc>
        <w:tc>
          <w:tcPr>
            <w:tcW w:w="844" w:type="dxa"/>
          </w:tcPr>
          <w:p w14:paraId="5FC60E11"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56</w:t>
            </w:r>
          </w:p>
        </w:tc>
        <w:tc>
          <w:tcPr>
            <w:tcW w:w="844" w:type="dxa"/>
          </w:tcPr>
          <w:p w14:paraId="4C1695F1"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64</w:t>
            </w:r>
          </w:p>
        </w:tc>
      </w:tr>
      <w:tr w:rsidR="00BD47E0" w:rsidRPr="00A335CB" w14:paraId="4F400903" w14:textId="77777777" w:rsidTr="00EF6EA3">
        <w:trPr>
          <w:trHeight w:val="306"/>
        </w:trPr>
        <w:tc>
          <w:tcPr>
            <w:tcW w:w="544" w:type="dxa"/>
          </w:tcPr>
          <w:p w14:paraId="5331FE2F"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A2</w:t>
            </w:r>
          </w:p>
        </w:tc>
        <w:tc>
          <w:tcPr>
            <w:tcW w:w="4303" w:type="dxa"/>
          </w:tcPr>
          <w:p w14:paraId="3FF12DD6" w14:textId="50165079" w:rsidR="00653B9D" w:rsidRPr="00A335CB" w:rsidRDefault="00653B9D" w:rsidP="005D1A90">
            <w:pPr>
              <w:spacing w:before="120" w:after="120" w:line="276" w:lineRule="auto"/>
              <w:rPr>
                <w:rFonts w:ascii="Arial" w:hAnsi="Arial" w:cs="Arial"/>
                <w:sz w:val="20"/>
                <w:szCs w:val="20"/>
              </w:rPr>
            </w:pPr>
            <w:r w:rsidRPr="00A335CB">
              <w:rPr>
                <w:rFonts w:ascii="Arial" w:hAnsi="Arial" w:cs="Arial"/>
                <w:sz w:val="20"/>
                <w:szCs w:val="20"/>
              </w:rPr>
              <w:t xml:space="preserve">... ravnanje policistov, </w:t>
            </w:r>
            <w:r w:rsidR="004507FE">
              <w:rPr>
                <w:rFonts w:ascii="Arial" w:hAnsi="Arial" w:cs="Arial"/>
                <w:sz w:val="20"/>
                <w:szCs w:val="20"/>
              </w:rPr>
              <w:t>ki ni v skladu</w:t>
            </w:r>
            <w:r w:rsidR="004507FE" w:rsidRPr="00A335CB">
              <w:rPr>
                <w:rFonts w:ascii="Arial" w:hAnsi="Arial" w:cs="Arial"/>
                <w:sz w:val="20"/>
                <w:szCs w:val="20"/>
              </w:rPr>
              <w:t xml:space="preserve"> </w:t>
            </w:r>
            <w:r w:rsidRPr="00A335CB">
              <w:rPr>
                <w:rFonts w:ascii="Arial" w:hAnsi="Arial" w:cs="Arial"/>
                <w:sz w:val="20"/>
                <w:szCs w:val="20"/>
              </w:rPr>
              <w:t>s predpisi</w:t>
            </w:r>
          </w:p>
        </w:tc>
        <w:tc>
          <w:tcPr>
            <w:tcW w:w="844" w:type="dxa"/>
          </w:tcPr>
          <w:p w14:paraId="22783FA3"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14</w:t>
            </w:r>
          </w:p>
        </w:tc>
        <w:tc>
          <w:tcPr>
            <w:tcW w:w="844" w:type="dxa"/>
          </w:tcPr>
          <w:p w14:paraId="7A2E2255"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14</w:t>
            </w:r>
          </w:p>
        </w:tc>
        <w:tc>
          <w:tcPr>
            <w:tcW w:w="844" w:type="dxa"/>
          </w:tcPr>
          <w:p w14:paraId="56E81A14"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10</w:t>
            </w:r>
          </w:p>
        </w:tc>
        <w:tc>
          <w:tcPr>
            <w:tcW w:w="844" w:type="dxa"/>
          </w:tcPr>
          <w:p w14:paraId="213D4D34"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12</w:t>
            </w:r>
          </w:p>
        </w:tc>
        <w:tc>
          <w:tcPr>
            <w:tcW w:w="844" w:type="dxa"/>
          </w:tcPr>
          <w:p w14:paraId="47C798DC"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17</w:t>
            </w:r>
          </w:p>
        </w:tc>
      </w:tr>
      <w:tr w:rsidR="00BD47E0" w:rsidRPr="00A335CB" w14:paraId="5F03C649" w14:textId="77777777" w:rsidTr="00EF6EA3">
        <w:trPr>
          <w:trHeight w:val="306"/>
        </w:trPr>
        <w:tc>
          <w:tcPr>
            <w:tcW w:w="544" w:type="dxa"/>
          </w:tcPr>
          <w:p w14:paraId="66A690CE"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B</w:t>
            </w:r>
          </w:p>
        </w:tc>
        <w:tc>
          <w:tcPr>
            <w:tcW w:w="4303" w:type="dxa"/>
          </w:tcPr>
          <w:p w14:paraId="1F0E0B13" w14:textId="77777777" w:rsidR="00653B9D" w:rsidRPr="00A335CB" w:rsidRDefault="00653B9D" w:rsidP="005D1A90">
            <w:pPr>
              <w:spacing w:before="120" w:after="120" w:line="276" w:lineRule="auto"/>
              <w:rPr>
                <w:rFonts w:ascii="Arial" w:hAnsi="Arial" w:cs="Arial"/>
                <w:sz w:val="20"/>
                <w:szCs w:val="20"/>
              </w:rPr>
            </w:pPr>
            <w:r w:rsidRPr="00A335CB">
              <w:rPr>
                <w:rFonts w:ascii="Arial" w:hAnsi="Arial" w:cs="Arial"/>
                <w:sz w:val="20"/>
                <w:szCs w:val="20"/>
              </w:rPr>
              <w:t>Senati</w:t>
            </w:r>
          </w:p>
        </w:tc>
        <w:tc>
          <w:tcPr>
            <w:tcW w:w="844" w:type="dxa"/>
          </w:tcPr>
          <w:p w14:paraId="78CBA261"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60</w:t>
            </w:r>
          </w:p>
        </w:tc>
        <w:tc>
          <w:tcPr>
            <w:tcW w:w="844" w:type="dxa"/>
          </w:tcPr>
          <w:p w14:paraId="37215235"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66</w:t>
            </w:r>
          </w:p>
        </w:tc>
        <w:tc>
          <w:tcPr>
            <w:tcW w:w="844" w:type="dxa"/>
          </w:tcPr>
          <w:p w14:paraId="145B958C"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46</w:t>
            </w:r>
          </w:p>
        </w:tc>
        <w:tc>
          <w:tcPr>
            <w:tcW w:w="844" w:type="dxa"/>
          </w:tcPr>
          <w:p w14:paraId="1884CA9E"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58</w:t>
            </w:r>
          </w:p>
        </w:tc>
        <w:tc>
          <w:tcPr>
            <w:tcW w:w="844" w:type="dxa"/>
          </w:tcPr>
          <w:p w14:paraId="395DD010"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52</w:t>
            </w:r>
          </w:p>
        </w:tc>
      </w:tr>
      <w:tr w:rsidR="00BD47E0" w:rsidRPr="00A335CB" w14:paraId="599E799D" w14:textId="77777777" w:rsidTr="00EF6EA3">
        <w:trPr>
          <w:trHeight w:val="306"/>
        </w:trPr>
        <w:tc>
          <w:tcPr>
            <w:tcW w:w="544" w:type="dxa"/>
          </w:tcPr>
          <w:p w14:paraId="2EDABB82"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B1</w:t>
            </w:r>
          </w:p>
        </w:tc>
        <w:tc>
          <w:tcPr>
            <w:tcW w:w="4303" w:type="dxa"/>
          </w:tcPr>
          <w:p w14:paraId="18582DAA" w14:textId="031A13D1" w:rsidR="00653B9D" w:rsidRPr="00A335CB" w:rsidRDefault="004507FE" w:rsidP="005D1A90">
            <w:pPr>
              <w:spacing w:before="120" w:after="120" w:line="276" w:lineRule="auto"/>
              <w:rPr>
                <w:rFonts w:ascii="Arial" w:hAnsi="Arial" w:cs="Arial"/>
                <w:sz w:val="20"/>
                <w:szCs w:val="20"/>
              </w:rPr>
            </w:pPr>
            <w:r>
              <w:rPr>
                <w:rFonts w:ascii="Arial" w:hAnsi="Arial" w:cs="Arial"/>
                <w:sz w:val="20"/>
                <w:szCs w:val="20"/>
              </w:rPr>
              <w:t>–</w:t>
            </w:r>
            <w:r w:rsidRPr="00A335CB">
              <w:rPr>
                <w:rFonts w:ascii="Arial" w:hAnsi="Arial" w:cs="Arial"/>
                <w:sz w:val="20"/>
                <w:szCs w:val="20"/>
              </w:rPr>
              <w:t xml:space="preserve"> </w:t>
            </w:r>
            <w:r w:rsidR="00653B9D" w:rsidRPr="00A335CB">
              <w:rPr>
                <w:rFonts w:ascii="Arial" w:hAnsi="Arial" w:cs="Arial"/>
                <w:sz w:val="20"/>
                <w:szCs w:val="20"/>
              </w:rPr>
              <w:t xml:space="preserve">neuspešno zaključeni pomiritveni postopki (148/3 </w:t>
            </w:r>
            <w:proofErr w:type="spellStart"/>
            <w:r w:rsidR="00653B9D" w:rsidRPr="00A335CB">
              <w:rPr>
                <w:rFonts w:ascii="Arial" w:hAnsi="Arial" w:cs="Arial"/>
                <w:sz w:val="20"/>
                <w:szCs w:val="20"/>
              </w:rPr>
              <w:t>ZNPPol</w:t>
            </w:r>
            <w:proofErr w:type="spellEnd"/>
            <w:r w:rsidR="00653B9D" w:rsidRPr="00A335CB">
              <w:rPr>
                <w:rFonts w:ascii="Arial" w:hAnsi="Arial" w:cs="Arial"/>
                <w:sz w:val="20"/>
                <w:szCs w:val="20"/>
              </w:rPr>
              <w:t>)</w:t>
            </w:r>
          </w:p>
        </w:tc>
        <w:tc>
          <w:tcPr>
            <w:tcW w:w="844" w:type="dxa"/>
          </w:tcPr>
          <w:p w14:paraId="09DC9885"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27</w:t>
            </w:r>
          </w:p>
        </w:tc>
        <w:tc>
          <w:tcPr>
            <w:tcW w:w="844" w:type="dxa"/>
          </w:tcPr>
          <w:p w14:paraId="6ED3DDE9"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29</w:t>
            </w:r>
          </w:p>
        </w:tc>
        <w:tc>
          <w:tcPr>
            <w:tcW w:w="844" w:type="dxa"/>
          </w:tcPr>
          <w:p w14:paraId="50F52B4E"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21</w:t>
            </w:r>
          </w:p>
        </w:tc>
        <w:tc>
          <w:tcPr>
            <w:tcW w:w="844" w:type="dxa"/>
          </w:tcPr>
          <w:p w14:paraId="688B2C52"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31</w:t>
            </w:r>
          </w:p>
        </w:tc>
        <w:tc>
          <w:tcPr>
            <w:tcW w:w="844" w:type="dxa"/>
          </w:tcPr>
          <w:p w14:paraId="3E302F97"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23</w:t>
            </w:r>
          </w:p>
        </w:tc>
      </w:tr>
      <w:tr w:rsidR="00BD47E0" w:rsidRPr="00A335CB" w14:paraId="5675ADCD" w14:textId="77777777" w:rsidTr="00EF6EA3">
        <w:trPr>
          <w:trHeight w:val="306"/>
        </w:trPr>
        <w:tc>
          <w:tcPr>
            <w:tcW w:w="544" w:type="dxa"/>
          </w:tcPr>
          <w:p w14:paraId="2FAC59FF"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B2</w:t>
            </w:r>
          </w:p>
        </w:tc>
        <w:tc>
          <w:tcPr>
            <w:tcW w:w="4303" w:type="dxa"/>
          </w:tcPr>
          <w:p w14:paraId="02055CF0" w14:textId="1A76F4F2" w:rsidR="00653B9D" w:rsidRPr="00A335CB" w:rsidRDefault="004507FE" w:rsidP="005D1A90">
            <w:pPr>
              <w:spacing w:before="120" w:after="120" w:line="276" w:lineRule="auto"/>
              <w:rPr>
                <w:rFonts w:ascii="Arial" w:hAnsi="Arial" w:cs="Arial"/>
                <w:sz w:val="20"/>
                <w:szCs w:val="20"/>
              </w:rPr>
            </w:pPr>
            <w:r>
              <w:rPr>
                <w:rFonts w:ascii="Arial" w:hAnsi="Arial" w:cs="Arial"/>
                <w:sz w:val="20"/>
                <w:szCs w:val="20"/>
              </w:rPr>
              <w:t>–</w:t>
            </w:r>
            <w:r w:rsidRPr="00A335CB">
              <w:rPr>
                <w:rFonts w:ascii="Arial" w:hAnsi="Arial" w:cs="Arial"/>
                <w:sz w:val="20"/>
                <w:szCs w:val="20"/>
              </w:rPr>
              <w:t xml:space="preserve"> </w:t>
            </w:r>
            <w:r w:rsidR="00653B9D" w:rsidRPr="00A335CB">
              <w:rPr>
                <w:rFonts w:ascii="Arial" w:hAnsi="Arial" w:cs="Arial"/>
                <w:sz w:val="20"/>
                <w:szCs w:val="20"/>
              </w:rPr>
              <w:t xml:space="preserve">neposredna obravnava pred senatom (148/4 </w:t>
            </w:r>
            <w:proofErr w:type="spellStart"/>
            <w:r w:rsidR="00653B9D" w:rsidRPr="00A335CB">
              <w:rPr>
                <w:rFonts w:ascii="Arial" w:hAnsi="Arial" w:cs="Arial"/>
                <w:sz w:val="20"/>
                <w:szCs w:val="20"/>
              </w:rPr>
              <w:t>ZNPPol</w:t>
            </w:r>
            <w:proofErr w:type="spellEnd"/>
            <w:r w:rsidR="00653B9D" w:rsidRPr="00A335CB">
              <w:rPr>
                <w:rFonts w:ascii="Arial" w:hAnsi="Arial" w:cs="Arial"/>
                <w:sz w:val="20"/>
                <w:szCs w:val="20"/>
              </w:rPr>
              <w:t>)</w:t>
            </w:r>
          </w:p>
        </w:tc>
        <w:tc>
          <w:tcPr>
            <w:tcW w:w="844" w:type="dxa"/>
          </w:tcPr>
          <w:p w14:paraId="22CB19BD"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33</w:t>
            </w:r>
          </w:p>
        </w:tc>
        <w:tc>
          <w:tcPr>
            <w:tcW w:w="844" w:type="dxa"/>
          </w:tcPr>
          <w:p w14:paraId="64A72421"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37</w:t>
            </w:r>
          </w:p>
        </w:tc>
        <w:tc>
          <w:tcPr>
            <w:tcW w:w="844" w:type="dxa"/>
          </w:tcPr>
          <w:p w14:paraId="7B21E6DE"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25</w:t>
            </w:r>
          </w:p>
        </w:tc>
        <w:tc>
          <w:tcPr>
            <w:tcW w:w="844" w:type="dxa"/>
          </w:tcPr>
          <w:p w14:paraId="5EA2CD87"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27</w:t>
            </w:r>
          </w:p>
        </w:tc>
        <w:tc>
          <w:tcPr>
            <w:tcW w:w="844" w:type="dxa"/>
          </w:tcPr>
          <w:p w14:paraId="26B3B00D"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29</w:t>
            </w:r>
          </w:p>
        </w:tc>
      </w:tr>
      <w:tr w:rsidR="00BD47E0" w:rsidRPr="00A335CB" w14:paraId="63C304D0" w14:textId="77777777" w:rsidTr="00EF6EA3">
        <w:trPr>
          <w:trHeight w:val="306"/>
        </w:trPr>
        <w:tc>
          <w:tcPr>
            <w:tcW w:w="544" w:type="dxa"/>
          </w:tcPr>
          <w:p w14:paraId="7B996B75"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B3</w:t>
            </w:r>
          </w:p>
        </w:tc>
        <w:tc>
          <w:tcPr>
            <w:tcW w:w="4303" w:type="dxa"/>
          </w:tcPr>
          <w:p w14:paraId="47BC6D7A" w14:textId="77777777" w:rsidR="00653B9D" w:rsidRPr="00A335CB" w:rsidRDefault="00653B9D" w:rsidP="005D1A90">
            <w:pPr>
              <w:spacing w:before="120" w:after="120" w:line="276" w:lineRule="auto"/>
              <w:rPr>
                <w:rFonts w:ascii="Arial" w:hAnsi="Arial" w:cs="Arial"/>
                <w:sz w:val="20"/>
                <w:szCs w:val="20"/>
              </w:rPr>
            </w:pPr>
            <w:r w:rsidRPr="00A335CB">
              <w:rPr>
                <w:rFonts w:ascii="Arial" w:hAnsi="Arial" w:cs="Arial"/>
                <w:sz w:val="20"/>
                <w:szCs w:val="20"/>
              </w:rPr>
              <w:t>... utemeljene pritožbe, obravnavane pred senatom</w:t>
            </w:r>
          </w:p>
        </w:tc>
        <w:tc>
          <w:tcPr>
            <w:tcW w:w="844" w:type="dxa"/>
          </w:tcPr>
          <w:p w14:paraId="22C0B278"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10</w:t>
            </w:r>
          </w:p>
        </w:tc>
        <w:tc>
          <w:tcPr>
            <w:tcW w:w="844" w:type="dxa"/>
          </w:tcPr>
          <w:p w14:paraId="558B7491"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13</w:t>
            </w:r>
          </w:p>
        </w:tc>
        <w:tc>
          <w:tcPr>
            <w:tcW w:w="844" w:type="dxa"/>
          </w:tcPr>
          <w:p w14:paraId="6203C9BF"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12</w:t>
            </w:r>
          </w:p>
        </w:tc>
        <w:tc>
          <w:tcPr>
            <w:tcW w:w="844" w:type="dxa"/>
          </w:tcPr>
          <w:p w14:paraId="465F93E1"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11</w:t>
            </w:r>
          </w:p>
        </w:tc>
        <w:tc>
          <w:tcPr>
            <w:tcW w:w="844" w:type="dxa"/>
          </w:tcPr>
          <w:p w14:paraId="5BB9035E"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15</w:t>
            </w:r>
          </w:p>
        </w:tc>
      </w:tr>
      <w:tr w:rsidR="00BD47E0" w:rsidRPr="00A335CB" w14:paraId="08069967" w14:textId="77777777" w:rsidTr="00EF6EA3">
        <w:trPr>
          <w:trHeight w:val="306"/>
        </w:trPr>
        <w:tc>
          <w:tcPr>
            <w:tcW w:w="544" w:type="dxa"/>
          </w:tcPr>
          <w:p w14:paraId="4B9C8D55"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C</w:t>
            </w:r>
          </w:p>
        </w:tc>
        <w:tc>
          <w:tcPr>
            <w:tcW w:w="4303" w:type="dxa"/>
          </w:tcPr>
          <w:p w14:paraId="4FE6D3B0" w14:textId="77777777" w:rsidR="00653B9D" w:rsidRPr="00A335CB" w:rsidRDefault="00653B9D" w:rsidP="005D1A90">
            <w:pPr>
              <w:spacing w:before="120" w:after="120" w:line="276" w:lineRule="auto"/>
              <w:rPr>
                <w:rFonts w:ascii="Arial" w:hAnsi="Arial" w:cs="Arial"/>
                <w:sz w:val="20"/>
                <w:szCs w:val="20"/>
              </w:rPr>
            </w:pPr>
            <w:r w:rsidRPr="00A335CB">
              <w:rPr>
                <w:rFonts w:ascii="Arial" w:hAnsi="Arial" w:cs="Arial"/>
                <w:sz w:val="20"/>
                <w:szCs w:val="20"/>
              </w:rPr>
              <w:t>Zaključek brez obravnave</w:t>
            </w:r>
          </w:p>
        </w:tc>
        <w:tc>
          <w:tcPr>
            <w:tcW w:w="844" w:type="dxa"/>
          </w:tcPr>
          <w:p w14:paraId="6553F0A9"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233</w:t>
            </w:r>
          </w:p>
        </w:tc>
        <w:tc>
          <w:tcPr>
            <w:tcW w:w="844" w:type="dxa"/>
          </w:tcPr>
          <w:p w14:paraId="6044688C"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250</w:t>
            </w:r>
          </w:p>
        </w:tc>
        <w:tc>
          <w:tcPr>
            <w:tcW w:w="844" w:type="dxa"/>
          </w:tcPr>
          <w:p w14:paraId="3B6BA4F1" w14:textId="77777777" w:rsidR="00653B9D" w:rsidRPr="00A335CB" w:rsidRDefault="00653B9D" w:rsidP="005D1A90">
            <w:pPr>
              <w:spacing w:before="120" w:after="120" w:line="276" w:lineRule="auto"/>
              <w:jc w:val="center"/>
              <w:rPr>
                <w:rFonts w:ascii="Arial" w:hAnsi="Arial" w:cs="Arial"/>
                <w:sz w:val="20"/>
                <w:szCs w:val="20"/>
              </w:rPr>
            </w:pPr>
            <w:r w:rsidRPr="00A335CB">
              <w:rPr>
                <w:rFonts w:ascii="Arial" w:hAnsi="Arial" w:cs="Arial"/>
                <w:sz w:val="20"/>
                <w:szCs w:val="20"/>
              </w:rPr>
              <w:t>330</w:t>
            </w:r>
          </w:p>
        </w:tc>
        <w:tc>
          <w:tcPr>
            <w:tcW w:w="844" w:type="dxa"/>
          </w:tcPr>
          <w:p w14:paraId="2BA3827A"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sz w:val="20"/>
                <w:szCs w:val="20"/>
              </w:rPr>
              <w:t>298</w:t>
            </w:r>
          </w:p>
        </w:tc>
        <w:tc>
          <w:tcPr>
            <w:tcW w:w="844" w:type="dxa"/>
          </w:tcPr>
          <w:p w14:paraId="3AD13C64"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357</w:t>
            </w:r>
          </w:p>
        </w:tc>
      </w:tr>
      <w:tr w:rsidR="00BD47E0" w:rsidRPr="00A335CB" w14:paraId="05CB6157" w14:textId="77777777" w:rsidTr="00EF6EA3">
        <w:trPr>
          <w:trHeight w:val="306"/>
        </w:trPr>
        <w:tc>
          <w:tcPr>
            <w:tcW w:w="544" w:type="dxa"/>
          </w:tcPr>
          <w:p w14:paraId="0037CC6E"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D</w:t>
            </w:r>
          </w:p>
        </w:tc>
        <w:tc>
          <w:tcPr>
            <w:tcW w:w="4303" w:type="dxa"/>
          </w:tcPr>
          <w:p w14:paraId="77AA3A6D" w14:textId="77777777" w:rsidR="00653B9D" w:rsidRPr="00A335CB" w:rsidRDefault="00653B9D" w:rsidP="005D1A90">
            <w:pPr>
              <w:spacing w:before="120" w:after="120" w:line="276" w:lineRule="auto"/>
              <w:rPr>
                <w:rFonts w:ascii="Arial" w:hAnsi="Arial" w:cs="Arial"/>
                <w:b/>
                <w:sz w:val="20"/>
                <w:szCs w:val="20"/>
              </w:rPr>
            </w:pPr>
            <w:r w:rsidRPr="00A335CB">
              <w:rPr>
                <w:rFonts w:ascii="Arial" w:hAnsi="Arial" w:cs="Arial"/>
                <w:b/>
                <w:sz w:val="20"/>
                <w:szCs w:val="20"/>
              </w:rPr>
              <w:t>SKUPAJ rešenih pritožb (D = A + B2 + C)</w:t>
            </w:r>
          </w:p>
        </w:tc>
        <w:tc>
          <w:tcPr>
            <w:tcW w:w="844" w:type="dxa"/>
          </w:tcPr>
          <w:p w14:paraId="589056B7"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433</w:t>
            </w:r>
          </w:p>
        </w:tc>
        <w:tc>
          <w:tcPr>
            <w:tcW w:w="844" w:type="dxa"/>
          </w:tcPr>
          <w:p w14:paraId="345BA118"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451</w:t>
            </w:r>
          </w:p>
        </w:tc>
        <w:tc>
          <w:tcPr>
            <w:tcW w:w="844" w:type="dxa"/>
          </w:tcPr>
          <w:p w14:paraId="3A3FDDCD"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476</w:t>
            </w:r>
          </w:p>
        </w:tc>
        <w:tc>
          <w:tcPr>
            <w:tcW w:w="844" w:type="dxa"/>
          </w:tcPr>
          <w:p w14:paraId="3F2CD146"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453</w:t>
            </w:r>
          </w:p>
        </w:tc>
        <w:tc>
          <w:tcPr>
            <w:tcW w:w="844" w:type="dxa"/>
          </w:tcPr>
          <w:p w14:paraId="35652F11" w14:textId="77777777" w:rsidR="00653B9D" w:rsidRPr="00A335CB" w:rsidRDefault="00653B9D" w:rsidP="005D1A90">
            <w:pPr>
              <w:spacing w:before="120" w:after="120" w:line="276" w:lineRule="auto"/>
              <w:jc w:val="center"/>
              <w:rPr>
                <w:rFonts w:ascii="Arial" w:hAnsi="Arial" w:cs="Arial"/>
                <w:b/>
                <w:sz w:val="20"/>
                <w:szCs w:val="20"/>
              </w:rPr>
            </w:pPr>
            <w:r w:rsidRPr="00A335CB">
              <w:rPr>
                <w:rFonts w:ascii="Arial" w:hAnsi="Arial" w:cs="Arial"/>
                <w:b/>
                <w:sz w:val="20"/>
                <w:szCs w:val="20"/>
              </w:rPr>
              <w:t>475</w:t>
            </w:r>
          </w:p>
        </w:tc>
      </w:tr>
    </w:tbl>
    <w:p w14:paraId="666208FD" w14:textId="77777777" w:rsidR="00653B9D" w:rsidRPr="00A335CB" w:rsidRDefault="00653B9D" w:rsidP="005C25B4">
      <w:pPr>
        <w:spacing w:before="80" w:after="0" w:line="276" w:lineRule="auto"/>
        <w:jc w:val="both"/>
        <w:rPr>
          <w:rFonts w:ascii="Arial" w:hAnsi="Arial" w:cs="Arial"/>
          <w:b/>
          <w:sz w:val="20"/>
          <w:szCs w:val="20"/>
        </w:rPr>
      </w:pPr>
      <w:r w:rsidRPr="00A335CB">
        <w:rPr>
          <w:rFonts w:ascii="Arial" w:hAnsi="Arial" w:cs="Arial"/>
          <w:b/>
          <w:sz w:val="20"/>
          <w:szCs w:val="20"/>
        </w:rPr>
        <w:t>Preglednica</w:t>
      </w:r>
      <w:r w:rsidRPr="00A335CB">
        <w:rPr>
          <w:rFonts w:ascii="Arial" w:hAnsi="Arial" w:cs="Arial"/>
          <w:sz w:val="20"/>
          <w:szCs w:val="20"/>
        </w:rPr>
        <w:t>: Rešene pritožbe zoper policiste glede na način reševanja</w:t>
      </w:r>
    </w:p>
    <w:p w14:paraId="45CAB89B" w14:textId="096EA15B" w:rsidR="00653B9D" w:rsidRPr="00A335CB" w:rsidRDefault="00653B9D" w:rsidP="005D1A90">
      <w:pPr>
        <w:tabs>
          <w:tab w:val="left" w:pos="2520"/>
        </w:tabs>
        <w:spacing w:after="0" w:line="276" w:lineRule="auto"/>
        <w:jc w:val="both"/>
        <w:rPr>
          <w:rFonts w:ascii="Arial" w:hAnsi="Arial" w:cs="Arial"/>
          <w:sz w:val="20"/>
          <w:szCs w:val="20"/>
        </w:rPr>
      </w:pPr>
      <w:r w:rsidRPr="00A335CB">
        <w:rPr>
          <w:rFonts w:ascii="Arial" w:hAnsi="Arial" w:cs="Arial"/>
          <w:sz w:val="20"/>
          <w:szCs w:val="20"/>
        </w:rPr>
        <w:t>Delo na področju reševanja pritožb zoper policiste je tudi v letu 2024 potekalo v znamenju prizadevanja za izboljšanje kakovosti vseh faz pritožbenega postopka ter čim bolj neodvisno, strokovno in objektivno reševanje pritožb. V letu 2024 je bilo vloženih več pritožb (508) kot leto pred tem (466). Po drugi strani je bilo manj senatov (52) kot leto prej (58). Precej je upadlo število pomiritvenih postopkov (s 128 na 89), povečalo pa se je število odstopov od pritožb. Delež uspešno rešenih pomiritvenih postopkov se je povečal s 43,8</w:t>
      </w:r>
      <w:r w:rsidR="004507FE">
        <w:rPr>
          <w:rFonts w:ascii="Arial" w:hAnsi="Arial" w:cs="Arial"/>
          <w:sz w:val="20"/>
          <w:szCs w:val="20"/>
        </w:rPr>
        <w:t> </w:t>
      </w:r>
      <w:r w:rsidRPr="00A335CB">
        <w:rPr>
          <w:rFonts w:ascii="Arial" w:hAnsi="Arial" w:cs="Arial"/>
          <w:sz w:val="20"/>
          <w:szCs w:val="20"/>
        </w:rPr>
        <w:t>% na 71,9</w:t>
      </w:r>
      <w:r w:rsidR="004507FE">
        <w:rPr>
          <w:rFonts w:ascii="Arial" w:hAnsi="Arial" w:cs="Arial"/>
          <w:sz w:val="20"/>
          <w:szCs w:val="20"/>
        </w:rPr>
        <w:t> </w:t>
      </w:r>
      <w:r w:rsidRPr="00A335CB">
        <w:rPr>
          <w:rFonts w:ascii="Arial" w:hAnsi="Arial" w:cs="Arial"/>
          <w:sz w:val="20"/>
          <w:szCs w:val="20"/>
        </w:rPr>
        <w:t xml:space="preserve">%, kar je med drugim rezultat usposabljanja in izpopolnjevanja vodij pomiritvenih postopkov ter opravljenih monitoringov pomiritvenih postopkov s strani pooblaščencev ministra. </w:t>
      </w:r>
    </w:p>
    <w:p w14:paraId="0D18DE5D" w14:textId="77777777" w:rsidR="00653B9D" w:rsidRPr="00A335CB" w:rsidRDefault="00653B9D" w:rsidP="005D1A90">
      <w:pPr>
        <w:tabs>
          <w:tab w:val="left" w:pos="2520"/>
        </w:tabs>
        <w:spacing w:after="0" w:line="276" w:lineRule="auto"/>
        <w:jc w:val="both"/>
        <w:rPr>
          <w:rFonts w:ascii="Arial" w:hAnsi="Arial" w:cs="Arial"/>
          <w:sz w:val="20"/>
          <w:szCs w:val="20"/>
        </w:rPr>
      </w:pPr>
    </w:p>
    <w:p w14:paraId="0E175747" w14:textId="59CB7F99" w:rsidR="00653B9D" w:rsidRPr="00A335CB" w:rsidRDefault="00653B9D" w:rsidP="005D1A90">
      <w:pPr>
        <w:tabs>
          <w:tab w:val="left" w:pos="2520"/>
        </w:tabs>
        <w:spacing w:after="0" w:line="276" w:lineRule="auto"/>
        <w:jc w:val="both"/>
        <w:rPr>
          <w:rFonts w:ascii="Arial" w:hAnsi="Arial" w:cs="Arial"/>
          <w:sz w:val="20"/>
          <w:szCs w:val="20"/>
        </w:rPr>
      </w:pPr>
      <w:r w:rsidRPr="00A335CB">
        <w:rPr>
          <w:rFonts w:ascii="Arial" w:hAnsi="Arial" w:cs="Arial"/>
          <w:sz w:val="20"/>
          <w:szCs w:val="20"/>
        </w:rPr>
        <w:t xml:space="preserve">Pooblaščenci ministra so bili v letu </w:t>
      </w:r>
      <w:r w:rsidR="0034123D">
        <w:rPr>
          <w:rFonts w:ascii="Arial" w:hAnsi="Arial" w:cs="Arial"/>
          <w:sz w:val="20"/>
          <w:szCs w:val="20"/>
        </w:rPr>
        <w:t xml:space="preserve">2024 </w:t>
      </w:r>
      <w:r w:rsidRPr="00A335CB">
        <w:rPr>
          <w:rFonts w:ascii="Arial" w:hAnsi="Arial" w:cs="Arial"/>
          <w:sz w:val="20"/>
          <w:szCs w:val="20"/>
        </w:rPr>
        <w:t>pogosteje prisotni na pomiritvenih postopkih. Monitoringe so izvedli pri 43</w:t>
      </w:r>
      <w:r w:rsidR="004507FE">
        <w:rPr>
          <w:rFonts w:ascii="Arial" w:hAnsi="Arial" w:cs="Arial"/>
          <w:sz w:val="20"/>
          <w:szCs w:val="20"/>
        </w:rPr>
        <w:t> </w:t>
      </w:r>
      <w:r w:rsidRPr="00A335CB">
        <w:rPr>
          <w:rFonts w:ascii="Arial" w:hAnsi="Arial" w:cs="Arial"/>
          <w:sz w:val="20"/>
          <w:szCs w:val="20"/>
        </w:rPr>
        <w:t>% pomiritvenih postopkov. Delež primerov na sejah senata, ko so naloge poročevalca opravljali pooblaščenci ministra</w:t>
      </w:r>
      <w:r w:rsidR="001B0878" w:rsidRPr="00A335CB">
        <w:rPr>
          <w:rFonts w:ascii="Arial" w:hAnsi="Arial" w:cs="Arial"/>
          <w:sz w:val="20"/>
          <w:szCs w:val="20"/>
        </w:rPr>
        <w:t>,</w:t>
      </w:r>
      <w:r w:rsidRPr="00A335CB">
        <w:rPr>
          <w:rFonts w:ascii="Arial" w:hAnsi="Arial" w:cs="Arial"/>
          <w:sz w:val="20"/>
          <w:szCs w:val="20"/>
        </w:rPr>
        <w:t xml:space="preserve"> se je v primerjavi s p</w:t>
      </w:r>
      <w:r w:rsidR="0034123D">
        <w:rPr>
          <w:rFonts w:ascii="Arial" w:hAnsi="Arial" w:cs="Arial"/>
          <w:sz w:val="20"/>
          <w:szCs w:val="20"/>
        </w:rPr>
        <w:t>redhodnim letom zmanjšal.</w:t>
      </w:r>
    </w:p>
    <w:p w14:paraId="307BE8D4" w14:textId="77777777" w:rsidR="00653B9D" w:rsidRPr="00A335CB" w:rsidRDefault="00653B9D" w:rsidP="005D1A90">
      <w:pPr>
        <w:tabs>
          <w:tab w:val="left" w:pos="2520"/>
        </w:tabs>
        <w:spacing w:after="0" w:line="276" w:lineRule="auto"/>
        <w:jc w:val="both"/>
        <w:rPr>
          <w:rFonts w:ascii="Arial" w:hAnsi="Arial" w:cs="Arial"/>
          <w:sz w:val="20"/>
          <w:szCs w:val="20"/>
        </w:rPr>
      </w:pPr>
    </w:p>
    <w:p w14:paraId="1C9FE309" w14:textId="76A1BD21" w:rsidR="00653B9D" w:rsidRPr="00A335CB" w:rsidRDefault="001B0878" w:rsidP="005D1A90">
      <w:pPr>
        <w:tabs>
          <w:tab w:val="left" w:pos="2520"/>
        </w:tabs>
        <w:spacing w:after="0" w:line="276" w:lineRule="auto"/>
        <w:jc w:val="both"/>
        <w:rPr>
          <w:rFonts w:ascii="Arial" w:hAnsi="Arial" w:cs="Arial"/>
          <w:sz w:val="20"/>
          <w:szCs w:val="20"/>
        </w:rPr>
      </w:pPr>
      <w:r w:rsidRPr="00A335CB">
        <w:rPr>
          <w:rFonts w:ascii="Arial" w:hAnsi="Arial" w:cs="Arial"/>
          <w:sz w:val="20"/>
          <w:szCs w:val="20"/>
        </w:rPr>
        <w:t xml:space="preserve">Strokovnjaki </w:t>
      </w:r>
      <w:r w:rsidR="00653B9D" w:rsidRPr="00A335CB">
        <w:rPr>
          <w:rFonts w:ascii="Arial" w:hAnsi="Arial" w:cs="Arial"/>
          <w:sz w:val="20"/>
          <w:szCs w:val="20"/>
        </w:rPr>
        <w:t xml:space="preserve">DPDVN redno spremljajo in analizirajo utemeljene pritožbe, obravnavane na sejah senatov. Število utemeljenih pritožb zoper delo policistov se je v letu 2024 povečalo z 11 na 15. Ob ugotovljenem povečanju je bila opravljena analiza utemeljenih pritožb, namenjena odpravi sistemskih nepravilnosti pri opravljanju policijskih nalog. </w:t>
      </w:r>
    </w:p>
    <w:p w14:paraId="751BCBB4" w14:textId="77777777" w:rsidR="003426EC" w:rsidRDefault="003426EC" w:rsidP="005D1A90">
      <w:pPr>
        <w:tabs>
          <w:tab w:val="left" w:pos="2520"/>
        </w:tabs>
        <w:spacing w:after="0" w:line="276" w:lineRule="auto"/>
        <w:jc w:val="both"/>
        <w:rPr>
          <w:rFonts w:ascii="Arial" w:hAnsi="Arial" w:cs="Arial"/>
          <w:sz w:val="20"/>
          <w:szCs w:val="20"/>
        </w:rPr>
      </w:pPr>
    </w:p>
    <w:p w14:paraId="5396FCAC" w14:textId="49BD1001" w:rsidR="00653B9D" w:rsidRPr="00A335CB" w:rsidRDefault="00653B9D" w:rsidP="005D1A90">
      <w:pPr>
        <w:tabs>
          <w:tab w:val="left" w:pos="2520"/>
        </w:tabs>
        <w:spacing w:after="0" w:line="276" w:lineRule="auto"/>
        <w:jc w:val="both"/>
        <w:rPr>
          <w:rFonts w:ascii="Arial" w:hAnsi="Arial" w:cs="Arial"/>
          <w:sz w:val="20"/>
          <w:szCs w:val="20"/>
        </w:rPr>
      </w:pPr>
      <w:r w:rsidRPr="00A335CB">
        <w:rPr>
          <w:rFonts w:ascii="Arial" w:hAnsi="Arial" w:cs="Arial"/>
          <w:sz w:val="20"/>
          <w:szCs w:val="20"/>
        </w:rPr>
        <w:t>V letu 2024 je bilo imenovanih 116 novih predstavnikov javno</w:t>
      </w:r>
      <w:r w:rsidR="001B0878" w:rsidRPr="00A335CB">
        <w:rPr>
          <w:rFonts w:ascii="Arial" w:hAnsi="Arial" w:cs="Arial"/>
          <w:sz w:val="20"/>
          <w:szCs w:val="20"/>
        </w:rPr>
        <w:t>sti v pritožbenih senatih MNZ</w:t>
      </w:r>
      <w:r w:rsidRPr="00A335CB">
        <w:rPr>
          <w:rFonts w:ascii="Arial" w:hAnsi="Arial" w:cs="Arial"/>
          <w:sz w:val="20"/>
          <w:szCs w:val="20"/>
        </w:rPr>
        <w:t>. Predstavnike javnosti na predlog lokalnih skupnosti ter nevladnih organizacij na podlagi 145. člena Zakona o nalogah in pooblastilih policije imenuje in razrešuje minister za notranje zadeve, in sicer za obdobje štirih let.</w:t>
      </w:r>
    </w:p>
    <w:p w14:paraId="71D31557" w14:textId="77777777" w:rsidR="00641FEA" w:rsidRPr="00A335CB" w:rsidRDefault="00641FEA" w:rsidP="005D1A90">
      <w:pPr>
        <w:tabs>
          <w:tab w:val="left" w:pos="2520"/>
        </w:tabs>
        <w:spacing w:after="0" w:line="276" w:lineRule="auto"/>
        <w:jc w:val="both"/>
        <w:rPr>
          <w:rFonts w:ascii="Arial" w:hAnsi="Arial" w:cs="Arial"/>
          <w:sz w:val="20"/>
          <w:szCs w:val="20"/>
        </w:rPr>
      </w:pPr>
    </w:p>
    <w:p w14:paraId="75A08B29" w14:textId="7ED8B5ED" w:rsidR="00286577" w:rsidRPr="00A335CB" w:rsidRDefault="00590E45" w:rsidP="005D1A90">
      <w:pPr>
        <w:pStyle w:val="Naslov1"/>
        <w:spacing w:after="0" w:line="276" w:lineRule="auto"/>
        <w:jc w:val="both"/>
        <w:rPr>
          <w:color w:val="auto"/>
        </w:rPr>
      </w:pPr>
      <w:bookmarkStart w:id="9" w:name="_Toc65591459"/>
      <w:bookmarkStart w:id="10" w:name="_Toc65651010"/>
      <w:bookmarkStart w:id="11" w:name="_Toc203552971"/>
      <w:r w:rsidRPr="00A335CB">
        <w:rPr>
          <w:color w:val="auto"/>
        </w:rPr>
        <w:t xml:space="preserve">Zakonito in učinkovito opravljanje upravnih </w:t>
      </w:r>
      <w:r w:rsidR="00341FFA" w:rsidRPr="00A335CB">
        <w:rPr>
          <w:color w:val="auto"/>
        </w:rPr>
        <w:t xml:space="preserve">in drugih </w:t>
      </w:r>
      <w:r w:rsidR="00921F8E" w:rsidRPr="00A335CB">
        <w:rPr>
          <w:color w:val="auto"/>
        </w:rPr>
        <w:t>nalog v</w:t>
      </w:r>
      <w:r w:rsidRPr="00A335CB">
        <w:rPr>
          <w:color w:val="auto"/>
        </w:rPr>
        <w:t xml:space="preserve"> pristojnosti M</w:t>
      </w:r>
      <w:bookmarkStart w:id="12" w:name="_Toc65591460"/>
      <w:bookmarkStart w:id="13" w:name="_Toc65651011"/>
      <w:bookmarkEnd w:id="9"/>
      <w:bookmarkEnd w:id="10"/>
      <w:r w:rsidR="00A17960" w:rsidRPr="00A335CB">
        <w:rPr>
          <w:color w:val="auto"/>
        </w:rPr>
        <w:t>inistrstva za notranje zadeve</w:t>
      </w:r>
      <w:bookmarkEnd w:id="11"/>
    </w:p>
    <w:p w14:paraId="7D7FE18E" w14:textId="720FA2D6" w:rsidR="00286577" w:rsidRPr="00ED51C3" w:rsidRDefault="00286577" w:rsidP="00ED51C3">
      <w:pPr>
        <w:pStyle w:val="Odstavekseznama"/>
        <w:keepNext/>
        <w:tabs>
          <w:tab w:val="left" w:pos="567"/>
        </w:tabs>
        <w:spacing w:after="160"/>
        <w:ind w:left="576"/>
        <w:contextualSpacing/>
        <w:jc w:val="both"/>
        <w:outlineLvl w:val="1"/>
        <w:rPr>
          <w:b/>
          <w:bCs/>
          <w:iCs/>
        </w:rPr>
      </w:pPr>
      <w:bookmarkStart w:id="14" w:name="_Toc126821496"/>
      <w:bookmarkStart w:id="15" w:name="_Toc160704606"/>
      <w:bookmarkStart w:id="16" w:name="_Toc161053786"/>
      <w:bookmarkStart w:id="17" w:name="_Toc161053830"/>
      <w:bookmarkStart w:id="18" w:name="_Toc163819671"/>
      <w:bookmarkStart w:id="19" w:name="_Toc164169655"/>
      <w:bookmarkStart w:id="20" w:name="_Toc164169711"/>
      <w:bookmarkStart w:id="21" w:name="_Toc164169755"/>
      <w:bookmarkStart w:id="22" w:name="_Toc164169945"/>
      <w:bookmarkStart w:id="23" w:name="_Toc164171610"/>
      <w:bookmarkStart w:id="24" w:name="_Toc164171722"/>
      <w:bookmarkStart w:id="25" w:name="_Toc193199756"/>
      <w:bookmarkStart w:id="26" w:name="_Toc195707049"/>
      <w:bookmarkStart w:id="27" w:name="_Toc203552453"/>
      <w:bookmarkStart w:id="28" w:name="_Toc12682149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48FEFE9" w14:textId="77777777" w:rsidR="00ED51C3" w:rsidRPr="00ED51C3" w:rsidRDefault="00ED51C3" w:rsidP="00ED51C3">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29" w:name="_Toc126821498"/>
      <w:bookmarkStart w:id="30" w:name="_Toc160704608"/>
      <w:bookmarkStart w:id="31" w:name="_Toc161053788"/>
      <w:bookmarkStart w:id="32" w:name="_Toc161053832"/>
      <w:bookmarkStart w:id="33" w:name="_Toc163819673"/>
      <w:bookmarkStart w:id="34" w:name="_Toc164169657"/>
      <w:bookmarkStart w:id="35" w:name="_Toc164169713"/>
      <w:bookmarkStart w:id="36" w:name="_Toc164169757"/>
      <w:bookmarkStart w:id="37" w:name="_Toc164169947"/>
      <w:bookmarkStart w:id="38" w:name="_Toc164171612"/>
      <w:bookmarkStart w:id="39" w:name="_Toc164171724"/>
      <w:bookmarkStart w:id="40" w:name="_Toc193199758"/>
      <w:bookmarkStart w:id="41" w:name="_Toc195707051"/>
      <w:bookmarkStart w:id="42" w:name="_Toc203552455"/>
      <w:bookmarkStart w:id="43" w:name="_Toc203552651"/>
      <w:bookmarkStart w:id="44" w:name="_Toc203552788"/>
      <w:bookmarkStart w:id="45" w:name="_Toc20355297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DE46C41" w14:textId="77777777" w:rsidR="00ED51C3" w:rsidRPr="00ED51C3" w:rsidRDefault="00ED51C3" w:rsidP="00ED51C3">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46" w:name="_Toc203552652"/>
      <w:bookmarkStart w:id="47" w:name="_Toc203552789"/>
      <w:bookmarkStart w:id="48" w:name="_Toc203552973"/>
      <w:bookmarkEnd w:id="46"/>
      <w:bookmarkEnd w:id="47"/>
      <w:bookmarkEnd w:id="48"/>
    </w:p>
    <w:p w14:paraId="77F81E2E" w14:textId="77777777" w:rsidR="00ED51C3" w:rsidRPr="00ED51C3" w:rsidRDefault="00ED51C3" w:rsidP="00ED51C3">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49" w:name="_Toc203552653"/>
      <w:bookmarkStart w:id="50" w:name="_Toc203552790"/>
      <w:bookmarkStart w:id="51" w:name="_Toc203552974"/>
      <w:bookmarkEnd w:id="49"/>
      <w:bookmarkEnd w:id="50"/>
      <w:bookmarkEnd w:id="51"/>
    </w:p>
    <w:p w14:paraId="25ECB38E" w14:textId="77777777" w:rsidR="00ED51C3" w:rsidRPr="00ED51C3" w:rsidRDefault="00ED51C3" w:rsidP="00ED51C3">
      <w:pPr>
        <w:pStyle w:val="Odstavekseznama"/>
        <w:keepNext/>
        <w:numPr>
          <w:ilvl w:val="0"/>
          <w:numId w:val="1"/>
        </w:numPr>
        <w:tabs>
          <w:tab w:val="left" w:pos="567"/>
        </w:tabs>
        <w:spacing w:after="0"/>
        <w:contextualSpacing/>
        <w:jc w:val="both"/>
        <w:outlineLvl w:val="1"/>
        <w:rPr>
          <w:rFonts w:ascii="Arial" w:eastAsia="Times New Roman" w:hAnsi="Arial" w:cs="Arial"/>
          <w:b/>
          <w:bCs/>
          <w:iCs/>
          <w:vanish/>
          <w:sz w:val="20"/>
          <w:szCs w:val="20"/>
          <w:lang w:eastAsia="sl-SI"/>
        </w:rPr>
      </w:pPr>
      <w:bookmarkStart w:id="52" w:name="_Toc203552654"/>
      <w:bookmarkStart w:id="53" w:name="_Toc203552791"/>
      <w:bookmarkStart w:id="54" w:name="_Toc203552975"/>
      <w:bookmarkEnd w:id="52"/>
      <w:bookmarkEnd w:id="53"/>
      <w:bookmarkEnd w:id="54"/>
    </w:p>
    <w:p w14:paraId="22415B7C" w14:textId="04AAC24D" w:rsidR="00590E45" w:rsidRPr="00A335CB" w:rsidRDefault="00590E45" w:rsidP="00474ED6">
      <w:pPr>
        <w:pStyle w:val="Naslov2"/>
        <w:spacing w:after="0"/>
      </w:pPr>
      <w:bookmarkStart w:id="55" w:name="_Toc203552976"/>
      <w:r w:rsidRPr="00A335CB">
        <w:t>Področje zasebnega varovanja, detektivske dejavnosti, varnosti na smučiščih in občinskega redarstva</w:t>
      </w:r>
      <w:bookmarkEnd w:id="12"/>
      <w:bookmarkEnd w:id="13"/>
      <w:bookmarkEnd w:id="55"/>
    </w:p>
    <w:p w14:paraId="176CF8E7" w14:textId="10AA3A67" w:rsidR="00653B9D" w:rsidRPr="00A335CB" w:rsidRDefault="00653B9D" w:rsidP="005D1A90">
      <w:pPr>
        <w:spacing w:after="0" w:line="276" w:lineRule="auto"/>
        <w:jc w:val="both"/>
        <w:rPr>
          <w:rFonts w:ascii="Arial" w:hAnsi="Arial" w:cs="Arial"/>
          <w:sz w:val="20"/>
          <w:szCs w:val="20"/>
        </w:rPr>
      </w:pPr>
    </w:p>
    <w:p w14:paraId="3886755D" w14:textId="77777777" w:rsidR="002677AD" w:rsidRPr="00A335CB" w:rsidRDefault="002677AD" w:rsidP="002677AD">
      <w:pPr>
        <w:tabs>
          <w:tab w:val="left" w:pos="2520"/>
        </w:tabs>
        <w:spacing w:after="0" w:line="260" w:lineRule="exact"/>
        <w:jc w:val="both"/>
        <w:rPr>
          <w:rFonts w:ascii="Arial" w:hAnsi="Arial" w:cs="Arial"/>
          <w:sz w:val="20"/>
          <w:szCs w:val="20"/>
        </w:rPr>
      </w:pPr>
      <w:r w:rsidRPr="00A335CB">
        <w:rPr>
          <w:rFonts w:ascii="Arial" w:hAnsi="Arial" w:cs="Arial"/>
          <w:sz w:val="20"/>
          <w:szCs w:val="20"/>
        </w:rPr>
        <w:t xml:space="preserve">V letu 2024 so bile vse redne naloge s področja zasebnega varstva, varnosti na smučiščih in občinskega redarstva iz pristojnosti ministrstva opravljene pravočasno. </w:t>
      </w:r>
    </w:p>
    <w:p w14:paraId="195155CB" w14:textId="77777777" w:rsidR="002677AD" w:rsidRPr="00A335CB" w:rsidRDefault="002677AD" w:rsidP="002677AD">
      <w:pPr>
        <w:tabs>
          <w:tab w:val="left" w:pos="2520"/>
        </w:tabs>
        <w:spacing w:after="0" w:line="260" w:lineRule="exact"/>
        <w:jc w:val="both"/>
        <w:rPr>
          <w:rFonts w:ascii="Arial" w:hAnsi="Arial" w:cs="Arial"/>
          <w:sz w:val="20"/>
          <w:szCs w:val="20"/>
        </w:rPr>
      </w:pPr>
    </w:p>
    <w:p w14:paraId="6054FA87" w14:textId="2AC2985E" w:rsidR="002677AD" w:rsidRPr="00A335CB" w:rsidRDefault="002677AD" w:rsidP="002677AD">
      <w:pPr>
        <w:tabs>
          <w:tab w:val="left" w:pos="2520"/>
        </w:tabs>
        <w:spacing w:after="0" w:line="260" w:lineRule="exact"/>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zasebnega varovanja</w:t>
      </w:r>
      <w:r w:rsidRPr="00A335CB">
        <w:rPr>
          <w:rFonts w:ascii="Arial" w:hAnsi="Arial" w:cs="Arial"/>
          <w:sz w:val="20"/>
          <w:szCs w:val="20"/>
        </w:rPr>
        <w:t xml:space="preserve"> </w:t>
      </w:r>
      <w:r w:rsidR="00020834" w:rsidRPr="00A335CB">
        <w:rPr>
          <w:rFonts w:ascii="Arial" w:hAnsi="Arial" w:cs="Arial"/>
          <w:sz w:val="20"/>
          <w:szCs w:val="20"/>
        </w:rPr>
        <w:t>je MNZ</w:t>
      </w:r>
      <w:r w:rsidRPr="00A335CB">
        <w:rPr>
          <w:rFonts w:ascii="Arial" w:hAnsi="Arial" w:cs="Arial"/>
          <w:sz w:val="20"/>
          <w:szCs w:val="20"/>
        </w:rPr>
        <w:t xml:space="preserve"> nadaljevalo racionalizacijo postopkov izdajanja službenih izkaznic varnostnemu osebju. Skupaj z Ministrstvom za javno upravo</w:t>
      </w:r>
      <w:r w:rsidR="00020834" w:rsidRPr="00A335CB">
        <w:rPr>
          <w:rFonts w:ascii="Arial" w:hAnsi="Arial" w:cs="Arial"/>
          <w:sz w:val="20"/>
          <w:szCs w:val="20"/>
        </w:rPr>
        <w:t xml:space="preserve"> (v nadaljnjem besedilu: MJU)</w:t>
      </w:r>
      <w:r w:rsidRPr="00A335CB">
        <w:rPr>
          <w:rFonts w:ascii="Arial" w:hAnsi="Arial" w:cs="Arial"/>
          <w:sz w:val="20"/>
          <w:szCs w:val="20"/>
        </w:rPr>
        <w:t xml:space="preserve"> se je nadaljeval tudi razvoj aplikacije za elektronsko oddajanje vlog za izdajo izkaznic varnostnega osebja. V fazi razvoja je bila aplikacija, ki bo poenostavila plačilo pristojbin z</w:t>
      </w:r>
      <w:r w:rsidR="00020834" w:rsidRPr="00A335CB">
        <w:rPr>
          <w:rFonts w:ascii="Arial" w:hAnsi="Arial" w:cs="Arial"/>
          <w:sz w:val="20"/>
          <w:szCs w:val="20"/>
        </w:rPr>
        <w:t>a izdajo izkaznic, pri čemer je MNZ</w:t>
      </w:r>
      <w:r w:rsidRPr="00A335CB">
        <w:rPr>
          <w:rFonts w:ascii="Arial" w:hAnsi="Arial" w:cs="Arial"/>
          <w:sz w:val="20"/>
          <w:szCs w:val="20"/>
        </w:rPr>
        <w:t xml:space="preserve"> vključeno v pilotni projekt Ministrstva za digitalno preobrazbo</w:t>
      </w:r>
      <w:r w:rsidR="00020834" w:rsidRPr="00A335CB">
        <w:rPr>
          <w:rFonts w:ascii="Arial" w:hAnsi="Arial" w:cs="Arial"/>
          <w:sz w:val="20"/>
          <w:szCs w:val="20"/>
        </w:rPr>
        <w:t xml:space="preserve"> (v nadaljnjem besedilu: MDP)</w:t>
      </w:r>
      <w:r w:rsidRPr="00A335CB">
        <w:rPr>
          <w:rFonts w:ascii="Arial" w:hAnsi="Arial" w:cs="Arial"/>
          <w:sz w:val="20"/>
          <w:szCs w:val="20"/>
        </w:rPr>
        <w:t xml:space="preserve">. Nadaljevala se je tudi optimizacija informacijskega sistema za vodenje evidenc ter upravnih in </w:t>
      </w:r>
      <w:proofErr w:type="spellStart"/>
      <w:r w:rsidRPr="00A335CB">
        <w:rPr>
          <w:rFonts w:ascii="Arial" w:hAnsi="Arial" w:cs="Arial"/>
          <w:sz w:val="20"/>
          <w:szCs w:val="20"/>
        </w:rPr>
        <w:t>prekrškovnih</w:t>
      </w:r>
      <w:proofErr w:type="spellEnd"/>
      <w:r w:rsidRPr="00A335CB">
        <w:rPr>
          <w:rFonts w:ascii="Arial" w:hAnsi="Arial" w:cs="Arial"/>
          <w:sz w:val="20"/>
          <w:szCs w:val="20"/>
        </w:rPr>
        <w:t xml:space="preserve"> posto</w:t>
      </w:r>
      <w:r w:rsidR="00020834" w:rsidRPr="00A335CB">
        <w:rPr>
          <w:rFonts w:ascii="Arial" w:hAnsi="Arial" w:cs="Arial"/>
          <w:sz w:val="20"/>
          <w:szCs w:val="20"/>
        </w:rPr>
        <w:t xml:space="preserve">pkov </w:t>
      </w:r>
      <w:r w:rsidR="004507FE">
        <w:rPr>
          <w:rFonts w:ascii="Arial" w:hAnsi="Arial" w:cs="Arial"/>
          <w:sz w:val="20"/>
          <w:szCs w:val="20"/>
        </w:rPr>
        <w:t>–</w:t>
      </w:r>
      <w:r w:rsidR="004507FE" w:rsidRPr="00A335CB">
        <w:rPr>
          <w:rFonts w:ascii="Arial" w:hAnsi="Arial" w:cs="Arial"/>
          <w:sz w:val="20"/>
          <w:szCs w:val="20"/>
        </w:rPr>
        <w:t xml:space="preserve"> </w:t>
      </w:r>
      <w:r w:rsidR="00020834" w:rsidRPr="00A335CB">
        <w:rPr>
          <w:rFonts w:ascii="Arial" w:hAnsi="Arial" w:cs="Arial"/>
          <w:sz w:val="20"/>
          <w:szCs w:val="20"/>
        </w:rPr>
        <w:t>EUPP v MNZ in Inšpektoratu Republike Slovenije za notranje zadeve (v nadaljnjem besedilu: IRSNZ), s či</w:t>
      </w:r>
      <w:r w:rsidRPr="00A335CB">
        <w:rPr>
          <w:rFonts w:ascii="Arial" w:hAnsi="Arial" w:cs="Arial"/>
          <w:sz w:val="20"/>
          <w:szCs w:val="20"/>
        </w:rPr>
        <w:t>mer bo dodatno zmanjšano tveganje za napake pri vodenju upravnih postopkov.</w:t>
      </w:r>
    </w:p>
    <w:p w14:paraId="371BE635" w14:textId="77777777" w:rsidR="002677AD" w:rsidRPr="00A335CB" w:rsidRDefault="002677AD" w:rsidP="002677AD">
      <w:pPr>
        <w:tabs>
          <w:tab w:val="left" w:pos="2520"/>
        </w:tabs>
        <w:spacing w:after="0" w:line="260" w:lineRule="exact"/>
        <w:jc w:val="both"/>
        <w:rPr>
          <w:rFonts w:ascii="Arial" w:hAnsi="Arial" w:cs="Arial"/>
          <w:sz w:val="20"/>
          <w:szCs w:val="20"/>
          <w:highlight w:val="yellow"/>
        </w:rPr>
      </w:pPr>
    </w:p>
    <w:p w14:paraId="445B5EF0" w14:textId="443D3CB7" w:rsidR="002677AD" w:rsidRPr="00A335CB" w:rsidRDefault="002677AD" w:rsidP="002677AD">
      <w:pPr>
        <w:tabs>
          <w:tab w:val="left" w:pos="2520"/>
        </w:tabs>
        <w:spacing w:after="0" w:line="260" w:lineRule="exact"/>
        <w:jc w:val="both"/>
        <w:rPr>
          <w:rFonts w:ascii="Arial" w:hAnsi="Arial" w:cs="Arial"/>
          <w:sz w:val="20"/>
          <w:szCs w:val="20"/>
        </w:rPr>
      </w:pPr>
      <w:r w:rsidRPr="00A335CB">
        <w:rPr>
          <w:rFonts w:ascii="Arial" w:hAnsi="Arial" w:cs="Arial"/>
          <w:sz w:val="20"/>
          <w:szCs w:val="20"/>
        </w:rPr>
        <w:t xml:space="preserve">V letu 2024 </w:t>
      </w:r>
      <w:r w:rsidR="004507FE" w:rsidRPr="00A335CB">
        <w:rPr>
          <w:rFonts w:ascii="Arial" w:hAnsi="Arial" w:cs="Arial"/>
          <w:sz w:val="20"/>
          <w:szCs w:val="20"/>
        </w:rPr>
        <w:t>s</w:t>
      </w:r>
      <w:r w:rsidR="004507FE">
        <w:rPr>
          <w:rFonts w:ascii="Arial" w:hAnsi="Arial" w:cs="Arial"/>
          <w:sz w:val="20"/>
          <w:szCs w:val="20"/>
        </w:rPr>
        <w:t>ta</w:t>
      </w:r>
      <w:r w:rsidR="004507FE" w:rsidRPr="00A335CB">
        <w:rPr>
          <w:rFonts w:ascii="Arial" w:hAnsi="Arial" w:cs="Arial"/>
          <w:sz w:val="20"/>
          <w:szCs w:val="20"/>
        </w:rPr>
        <w:t xml:space="preserve"> </w:t>
      </w:r>
      <w:r w:rsidR="004507FE">
        <w:rPr>
          <w:rFonts w:ascii="Arial" w:hAnsi="Arial" w:cs="Arial"/>
          <w:sz w:val="20"/>
          <w:szCs w:val="20"/>
        </w:rPr>
        <w:t>s</w:t>
      </w:r>
      <w:r w:rsidRPr="00A335CB">
        <w:rPr>
          <w:rFonts w:ascii="Arial" w:hAnsi="Arial" w:cs="Arial"/>
          <w:sz w:val="20"/>
          <w:szCs w:val="20"/>
        </w:rPr>
        <w:t xml:space="preserve">e </w:t>
      </w:r>
      <w:r w:rsidR="004507FE" w:rsidRPr="00A335CB">
        <w:rPr>
          <w:rFonts w:ascii="Arial" w:hAnsi="Arial" w:cs="Arial"/>
          <w:sz w:val="20"/>
          <w:szCs w:val="20"/>
        </w:rPr>
        <w:t>nadaljeval</w:t>
      </w:r>
      <w:r w:rsidR="004507FE">
        <w:rPr>
          <w:rFonts w:ascii="Arial" w:hAnsi="Arial" w:cs="Arial"/>
          <w:sz w:val="20"/>
          <w:szCs w:val="20"/>
        </w:rPr>
        <w:t>a</w:t>
      </w:r>
      <w:r w:rsidR="004507FE" w:rsidRPr="00A335CB">
        <w:rPr>
          <w:rFonts w:ascii="Arial" w:hAnsi="Arial" w:cs="Arial"/>
          <w:sz w:val="20"/>
          <w:szCs w:val="20"/>
        </w:rPr>
        <w:t xml:space="preserve"> </w:t>
      </w:r>
      <w:r w:rsidRPr="00A335CB">
        <w:rPr>
          <w:rFonts w:ascii="Arial" w:hAnsi="Arial" w:cs="Arial"/>
          <w:sz w:val="20"/>
          <w:szCs w:val="20"/>
        </w:rPr>
        <w:t xml:space="preserve">izvajanje nalog in nudenje pomoči drugim ministrstvom in organizacijam pri izvajanju Uredbe o obveznem organiziranju varovanja, pri čemer je </w:t>
      </w:r>
      <w:r w:rsidR="00020834" w:rsidRPr="00A335CB">
        <w:rPr>
          <w:rFonts w:ascii="Arial" w:hAnsi="Arial" w:cs="Arial"/>
          <w:sz w:val="20"/>
          <w:szCs w:val="20"/>
        </w:rPr>
        <w:t>MNZ</w:t>
      </w:r>
      <w:r w:rsidRPr="00A335CB">
        <w:rPr>
          <w:rFonts w:ascii="Arial" w:hAnsi="Arial" w:cs="Arial"/>
          <w:sz w:val="20"/>
          <w:szCs w:val="20"/>
        </w:rPr>
        <w:t xml:space="preserve"> spremljalo uvajanje varnostne dokumentacije zavezancev. </w:t>
      </w:r>
    </w:p>
    <w:p w14:paraId="0055F54F" w14:textId="77777777" w:rsidR="002677AD" w:rsidRPr="00A335CB" w:rsidRDefault="002677AD" w:rsidP="002677AD">
      <w:pPr>
        <w:tabs>
          <w:tab w:val="left" w:pos="2520"/>
        </w:tabs>
        <w:spacing w:after="0" w:line="260" w:lineRule="exact"/>
        <w:jc w:val="both"/>
        <w:rPr>
          <w:rFonts w:ascii="Arial" w:hAnsi="Arial" w:cs="Arial"/>
          <w:sz w:val="20"/>
          <w:szCs w:val="20"/>
          <w:highlight w:val="yellow"/>
        </w:rPr>
      </w:pPr>
    </w:p>
    <w:p w14:paraId="7CB07C30" w14:textId="2293050E" w:rsidR="002677AD" w:rsidRDefault="002677AD" w:rsidP="002677AD">
      <w:pPr>
        <w:tabs>
          <w:tab w:val="left" w:pos="2520"/>
        </w:tabs>
        <w:spacing w:after="0" w:line="260" w:lineRule="exact"/>
        <w:jc w:val="both"/>
        <w:rPr>
          <w:rFonts w:ascii="Arial" w:hAnsi="Arial" w:cs="Arial"/>
          <w:sz w:val="20"/>
          <w:szCs w:val="20"/>
        </w:rPr>
      </w:pPr>
      <w:r w:rsidRPr="00A335CB">
        <w:rPr>
          <w:rFonts w:ascii="Arial" w:hAnsi="Arial" w:cs="Arial"/>
          <w:sz w:val="20"/>
          <w:szCs w:val="20"/>
        </w:rPr>
        <w:t xml:space="preserve">V letu 2024 se je </w:t>
      </w:r>
      <w:r w:rsidR="004507FE">
        <w:rPr>
          <w:rFonts w:ascii="Arial" w:hAnsi="Arial" w:cs="Arial"/>
          <w:sz w:val="20"/>
          <w:szCs w:val="20"/>
        </w:rPr>
        <w:t>zaključil</w:t>
      </w:r>
      <w:r w:rsidR="004507FE" w:rsidRPr="00A335CB">
        <w:rPr>
          <w:rFonts w:ascii="Arial" w:hAnsi="Arial" w:cs="Arial"/>
          <w:sz w:val="20"/>
          <w:szCs w:val="20"/>
        </w:rPr>
        <w:t xml:space="preserve"> </w:t>
      </w:r>
      <w:r w:rsidRPr="00A335CB">
        <w:rPr>
          <w:rFonts w:ascii="Arial" w:hAnsi="Arial" w:cs="Arial"/>
          <w:sz w:val="20"/>
          <w:szCs w:val="20"/>
        </w:rPr>
        <w:t>projekt »Ustreznost in nadaljnji razvoj sistemske ureditve zasebnega varovanja in področnega strokovnega interesnega združevanja v RS«, ki je bil na predlog MNZ izbran na razpisu ciljnih raziskovalnih projektov v letu 2022.</w:t>
      </w:r>
    </w:p>
    <w:p w14:paraId="7D35A01B" w14:textId="64CF1E5B" w:rsidR="00CA2F0A" w:rsidRDefault="00CA2F0A" w:rsidP="002677AD">
      <w:pPr>
        <w:tabs>
          <w:tab w:val="left" w:pos="2520"/>
        </w:tabs>
        <w:spacing w:after="0" w:line="260" w:lineRule="exact"/>
        <w:jc w:val="both"/>
        <w:rPr>
          <w:rFonts w:ascii="Arial" w:hAnsi="Arial" w:cs="Arial"/>
          <w:sz w:val="20"/>
          <w:szCs w:val="20"/>
        </w:rPr>
      </w:pPr>
    </w:p>
    <w:p w14:paraId="78CC8343" w14:textId="34171403" w:rsidR="00CA2F0A" w:rsidRDefault="00CA2F0A" w:rsidP="002677AD">
      <w:pPr>
        <w:tabs>
          <w:tab w:val="left" w:pos="2520"/>
        </w:tabs>
        <w:spacing w:after="0" w:line="260" w:lineRule="exact"/>
        <w:jc w:val="both"/>
        <w:rPr>
          <w:rFonts w:ascii="Arial" w:hAnsi="Arial" w:cs="Arial"/>
          <w:sz w:val="20"/>
          <w:szCs w:val="20"/>
        </w:rPr>
      </w:pPr>
    </w:p>
    <w:p w14:paraId="746798A5" w14:textId="4769A092" w:rsidR="00CA2F0A" w:rsidRDefault="00CA2F0A" w:rsidP="002677AD">
      <w:pPr>
        <w:tabs>
          <w:tab w:val="left" w:pos="2520"/>
        </w:tabs>
        <w:spacing w:after="0" w:line="260" w:lineRule="exact"/>
        <w:jc w:val="both"/>
        <w:rPr>
          <w:rFonts w:ascii="Arial" w:hAnsi="Arial" w:cs="Arial"/>
          <w:sz w:val="20"/>
          <w:szCs w:val="20"/>
        </w:rPr>
      </w:pPr>
    </w:p>
    <w:p w14:paraId="3A41DA94" w14:textId="77777777" w:rsidR="00CA2F0A" w:rsidRPr="00A335CB" w:rsidRDefault="00CA2F0A" w:rsidP="002677AD">
      <w:pPr>
        <w:tabs>
          <w:tab w:val="left" w:pos="2520"/>
        </w:tabs>
        <w:spacing w:after="0" w:line="260" w:lineRule="exact"/>
        <w:jc w:val="both"/>
        <w:rPr>
          <w:rFonts w:ascii="Arial" w:hAnsi="Arial" w:cs="Arial"/>
          <w:sz w:val="20"/>
          <w:szCs w:val="20"/>
        </w:rPr>
      </w:pPr>
    </w:p>
    <w:p w14:paraId="23C26076" w14:textId="19E4E25D" w:rsidR="002677AD" w:rsidRPr="00A335CB" w:rsidRDefault="002677AD" w:rsidP="002677AD">
      <w:pPr>
        <w:tabs>
          <w:tab w:val="left" w:pos="2520"/>
        </w:tabs>
        <w:spacing w:after="0" w:line="260" w:lineRule="exact"/>
        <w:jc w:val="both"/>
        <w:rPr>
          <w:rFonts w:ascii="Arial" w:hAnsi="Arial" w:cs="Arial"/>
          <w:sz w:val="20"/>
          <w:szCs w:val="20"/>
          <w:highlight w:val="yellow"/>
        </w:rPr>
      </w:pPr>
    </w:p>
    <w:tbl>
      <w:tblPr>
        <w:tblW w:w="8262" w:type="dxa"/>
        <w:tblLayout w:type="fixed"/>
        <w:tblCellMar>
          <w:left w:w="70" w:type="dxa"/>
          <w:right w:w="70" w:type="dxa"/>
        </w:tblCellMar>
        <w:tblLook w:val="00A0" w:firstRow="1" w:lastRow="0" w:firstColumn="1" w:lastColumn="0" w:noHBand="0" w:noVBand="0"/>
      </w:tblPr>
      <w:tblGrid>
        <w:gridCol w:w="5022"/>
        <w:gridCol w:w="648"/>
        <w:gridCol w:w="648"/>
        <w:gridCol w:w="648"/>
        <w:gridCol w:w="648"/>
        <w:gridCol w:w="648"/>
      </w:tblGrid>
      <w:tr w:rsidR="002677AD" w:rsidRPr="00A335CB" w14:paraId="134ECB2D" w14:textId="77777777" w:rsidTr="008A746A">
        <w:trPr>
          <w:trHeight w:val="253"/>
        </w:trPr>
        <w:tc>
          <w:tcPr>
            <w:tcW w:w="502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2FB5A18" w14:textId="097A723C" w:rsidR="002677AD" w:rsidRPr="00A335CB" w:rsidRDefault="002677AD" w:rsidP="007657AE">
            <w:pPr>
              <w:autoSpaceDE w:val="0"/>
              <w:autoSpaceDN w:val="0"/>
              <w:adjustRightInd w:val="0"/>
              <w:spacing w:before="80" w:after="80" w:line="240" w:lineRule="auto"/>
              <w:jc w:val="both"/>
              <w:rPr>
                <w:rFonts w:ascii="Arial" w:hAnsi="Arial" w:cs="Arial"/>
                <w:b/>
                <w:bCs/>
                <w:color w:val="000000"/>
                <w:sz w:val="20"/>
                <w:szCs w:val="20"/>
                <w:lang w:eastAsia="sl-SI"/>
              </w:rPr>
            </w:pPr>
            <w:r w:rsidRPr="00A335CB">
              <w:rPr>
                <w:rFonts w:ascii="Arial" w:hAnsi="Arial" w:cs="Arial"/>
                <w:b/>
                <w:bCs/>
                <w:color w:val="000000"/>
                <w:sz w:val="20"/>
                <w:szCs w:val="20"/>
                <w:lang w:eastAsia="sl-SI"/>
              </w:rPr>
              <w:t>Vrsta licenc/dovoljenj</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BC32A5"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2020</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1EFBB62"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2021</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4F47777"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2022</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197FA67"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2023</w:t>
            </w:r>
          </w:p>
        </w:tc>
        <w:tc>
          <w:tcPr>
            <w:tcW w:w="6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E6E2A04"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2024</w:t>
            </w:r>
          </w:p>
        </w:tc>
      </w:tr>
      <w:tr w:rsidR="002677AD" w:rsidRPr="00A335CB" w14:paraId="7AD00F20" w14:textId="77777777" w:rsidTr="008A746A">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50D52A3B" w14:textId="77777777" w:rsidR="002677AD" w:rsidRPr="00A335CB" w:rsidRDefault="002677AD" w:rsidP="007657AE">
            <w:pPr>
              <w:autoSpaceDE w:val="0"/>
              <w:autoSpaceDN w:val="0"/>
              <w:adjustRightInd w:val="0"/>
              <w:spacing w:before="80" w:after="80" w:line="240" w:lineRule="auto"/>
              <w:jc w:val="both"/>
              <w:rPr>
                <w:rFonts w:ascii="Arial" w:hAnsi="Arial" w:cs="Arial"/>
                <w:color w:val="000000"/>
                <w:sz w:val="20"/>
                <w:szCs w:val="20"/>
                <w:lang w:eastAsia="sl-SI"/>
              </w:rPr>
            </w:pPr>
            <w:r w:rsidRPr="00A335CB">
              <w:rPr>
                <w:rFonts w:ascii="Arial" w:hAnsi="Arial" w:cs="Arial"/>
                <w:color w:val="000000"/>
                <w:sz w:val="20"/>
                <w:szCs w:val="20"/>
                <w:lang w:eastAsia="sl-SI"/>
              </w:rPr>
              <w:t>Število izdanih licenc podjetjem</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C1EBB5"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21</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567C432A"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13</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782975E0"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29</w:t>
            </w:r>
          </w:p>
        </w:tc>
        <w:tc>
          <w:tcPr>
            <w:tcW w:w="648" w:type="dxa"/>
            <w:tcBorders>
              <w:top w:val="single" w:sz="6" w:space="0" w:color="000000"/>
              <w:left w:val="single" w:sz="6" w:space="0" w:color="000000"/>
              <w:bottom w:val="single" w:sz="6" w:space="0" w:color="000000"/>
              <w:right w:val="single" w:sz="6" w:space="0" w:color="000000"/>
            </w:tcBorders>
          </w:tcPr>
          <w:p w14:paraId="699C077C"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22</w:t>
            </w:r>
          </w:p>
        </w:tc>
        <w:tc>
          <w:tcPr>
            <w:tcW w:w="648" w:type="dxa"/>
            <w:tcBorders>
              <w:top w:val="single" w:sz="6" w:space="0" w:color="000000"/>
              <w:left w:val="single" w:sz="6" w:space="0" w:color="000000"/>
              <w:bottom w:val="single" w:sz="6" w:space="0" w:color="000000"/>
              <w:right w:val="single" w:sz="6" w:space="0" w:color="000000"/>
            </w:tcBorders>
          </w:tcPr>
          <w:p w14:paraId="21D81CA8"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35</w:t>
            </w:r>
          </w:p>
        </w:tc>
      </w:tr>
      <w:tr w:rsidR="002677AD" w:rsidRPr="00A335CB" w14:paraId="3F6DF907" w14:textId="77777777" w:rsidTr="008A746A">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1AE14460" w14:textId="77777777" w:rsidR="002677AD" w:rsidRPr="00A335CB" w:rsidRDefault="002677AD" w:rsidP="007657AE">
            <w:pPr>
              <w:autoSpaceDE w:val="0"/>
              <w:autoSpaceDN w:val="0"/>
              <w:adjustRightInd w:val="0"/>
              <w:spacing w:before="80" w:after="80" w:line="240" w:lineRule="auto"/>
              <w:jc w:val="both"/>
              <w:rPr>
                <w:rFonts w:ascii="Arial" w:hAnsi="Arial" w:cs="Arial"/>
                <w:color w:val="000000"/>
                <w:sz w:val="20"/>
                <w:szCs w:val="20"/>
                <w:lang w:eastAsia="sl-SI"/>
              </w:rPr>
            </w:pPr>
            <w:r w:rsidRPr="00A335CB">
              <w:rPr>
                <w:rFonts w:ascii="Arial" w:hAnsi="Arial" w:cs="Arial"/>
                <w:color w:val="000000"/>
                <w:sz w:val="20"/>
                <w:szCs w:val="20"/>
                <w:lang w:eastAsia="sl-SI"/>
              </w:rPr>
              <w:t>Število izdanih izkaznic varnostnikom</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08D331"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860</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209AE11C"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785</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70BAAEA2"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811</w:t>
            </w:r>
          </w:p>
        </w:tc>
        <w:tc>
          <w:tcPr>
            <w:tcW w:w="648" w:type="dxa"/>
            <w:tcBorders>
              <w:top w:val="single" w:sz="6" w:space="0" w:color="000000"/>
              <w:left w:val="single" w:sz="6" w:space="0" w:color="000000"/>
              <w:bottom w:val="single" w:sz="6" w:space="0" w:color="000000"/>
              <w:right w:val="single" w:sz="6" w:space="0" w:color="000000"/>
            </w:tcBorders>
          </w:tcPr>
          <w:p w14:paraId="44CA7749"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849</w:t>
            </w:r>
          </w:p>
        </w:tc>
        <w:tc>
          <w:tcPr>
            <w:tcW w:w="648" w:type="dxa"/>
            <w:tcBorders>
              <w:top w:val="single" w:sz="6" w:space="0" w:color="000000"/>
              <w:left w:val="single" w:sz="6" w:space="0" w:color="000000"/>
              <w:bottom w:val="single" w:sz="6" w:space="0" w:color="000000"/>
              <w:right w:val="single" w:sz="6" w:space="0" w:color="000000"/>
            </w:tcBorders>
          </w:tcPr>
          <w:p w14:paraId="264EFDDE"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941</w:t>
            </w:r>
          </w:p>
        </w:tc>
      </w:tr>
      <w:tr w:rsidR="002677AD" w:rsidRPr="00A335CB" w14:paraId="2EF4FF81" w14:textId="77777777" w:rsidTr="008A746A">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78F7510A" w14:textId="77777777" w:rsidR="002677AD" w:rsidRPr="00A335CB" w:rsidRDefault="002677AD" w:rsidP="008A746A">
            <w:pPr>
              <w:autoSpaceDE w:val="0"/>
              <w:autoSpaceDN w:val="0"/>
              <w:adjustRightInd w:val="0"/>
              <w:spacing w:before="80" w:after="80" w:line="240" w:lineRule="auto"/>
              <w:rPr>
                <w:rFonts w:ascii="Arial" w:hAnsi="Arial" w:cs="Arial"/>
                <w:color w:val="000000"/>
                <w:sz w:val="20"/>
                <w:szCs w:val="20"/>
                <w:lang w:eastAsia="sl-SI"/>
              </w:rPr>
            </w:pPr>
            <w:r w:rsidRPr="00A335CB">
              <w:rPr>
                <w:rFonts w:ascii="Arial" w:hAnsi="Arial" w:cs="Arial"/>
                <w:color w:val="000000"/>
                <w:sz w:val="20"/>
                <w:szCs w:val="20"/>
                <w:lang w:eastAsia="sl-SI"/>
              </w:rPr>
              <w:t>Število potrdil o vpisu v evidenco internega varovanja</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ECE21F"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14AB91E9"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1</w:t>
            </w:r>
          </w:p>
        </w:tc>
        <w:tc>
          <w:tcPr>
            <w:tcW w:w="648" w:type="dxa"/>
            <w:tcBorders>
              <w:top w:val="single" w:sz="6" w:space="0" w:color="000000"/>
              <w:left w:val="single" w:sz="6" w:space="0" w:color="000000"/>
              <w:bottom w:val="single" w:sz="6" w:space="0" w:color="000000"/>
              <w:right w:val="single" w:sz="6" w:space="0" w:color="000000"/>
            </w:tcBorders>
            <w:shd w:val="clear" w:color="auto" w:fill="auto"/>
          </w:tcPr>
          <w:p w14:paraId="15095889"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tcPr>
          <w:p w14:paraId="22963EC9"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tcPr>
          <w:p w14:paraId="78F375A4"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0</w:t>
            </w:r>
          </w:p>
        </w:tc>
      </w:tr>
      <w:tr w:rsidR="002677AD" w:rsidRPr="00A335CB" w14:paraId="772863BF" w14:textId="77777777" w:rsidTr="008A746A">
        <w:trPr>
          <w:trHeight w:val="253"/>
        </w:trPr>
        <w:tc>
          <w:tcPr>
            <w:tcW w:w="5022" w:type="dxa"/>
            <w:tcBorders>
              <w:top w:val="single" w:sz="6" w:space="0" w:color="000000"/>
              <w:left w:val="single" w:sz="6" w:space="0" w:color="000000"/>
              <w:bottom w:val="single" w:sz="6" w:space="0" w:color="000000"/>
              <w:right w:val="single" w:sz="6" w:space="0" w:color="000000"/>
            </w:tcBorders>
            <w:vAlign w:val="center"/>
          </w:tcPr>
          <w:p w14:paraId="07FAB323" w14:textId="11D3BAD8" w:rsidR="002677AD" w:rsidRPr="00A335CB" w:rsidRDefault="002677AD" w:rsidP="007657AE">
            <w:pPr>
              <w:keepNext/>
              <w:keepLines/>
              <w:autoSpaceDE w:val="0"/>
              <w:autoSpaceDN w:val="0"/>
              <w:adjustRightInd w:val="0"/>
              <w:spacing w:before="80" w:after="80" w:line="240" w:lineRule="auto"/>
              <w:rPr>
                <w:rFonts w:ascii="Arial" w:hAnsi="Arial" w:cs="Arial"/>
                <w:color w:val="000000"/>
                <w:sz w:val="20"/>
                <w:szCs w:val="20"/>
                <w:lang w:eastAsia="sl-SI"/>
              </w:rPr>
            </w:pPr>
            <w:r w:rsidRPr="00A335CB">
              <w:rPr>
                <w:rFonts w:ascii="Arial" w:hAnsi="Arial" w:cs="Arial"/>
                <w:color w:val="000000"/>
                <w:sz w:val="20"/>
                <w:szCs w:val="20"/>
                <w:lang w:eastAsia="sl-SI"/>
              </w:rPr>
              <w:t xml:space="preserve">Število dovoljenj za opravljanje čezmejnega profesionalnega prevoza </w:t>
            </w:r>
            <w:r w:rsidR="0087437A" w:rsidRPr="00A335CB">
              <w:rPr>
                <w:rFonts w:ascii="Arial" w:hAnsi="Arial" w:cs="Arial"/>
                <w:color w:val="000000"/>
                <w:sz w:val="20"/>
                <w:szCs w:val="20"/>
                <w:lang w:eastAsia="sl-SI"/>
              </w:rPr>
              <w:t>evrske</w:t>
            </w:r>
            <w:r w:rsidRPr="00A335CB">
              <w:rPr>
                <w:rFonts w:ascii="Arial" w:hAnsi="Arial" w:cs="Arial"/>
                <w:color w:val="000000"/>
                <w:sz w:val="20"/>
                <w:szCs w:val="20"/>
                <w:lang w:eastAsia="sl-SI"/>
              </w:rPr>
              <w:t xml:space="preserve"> gotovine po cesti med državami članicami </w:t>
            </w:r>
            <w:proofErr w:type="spellStart"/>
            <w:r w:rsidRPr="00A335CB">
              <w:rPr>
                <w:rFonts w:ascii="Arial" w:hAnsi="Arial" w:cs="Arial"/>
                <w:color w:val="000000"/>
                <w:sz w:val="20"/>
                <w:szCs w:val="20"/>
                <w:lang w:eastAsia="sl-SI"/>
              </w:rPr>
              <w:t>evroobmočja</w:t>
            </w:r>
            <w:proofErr w:type="spellEnd"/>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B6ECD4"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A853CF"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A42162"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vAlign w:val="center"/>
          </w:tcPr>
          <w:p w14:paraId="6EA1B019"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0</w:t>
            </w:r>
          </w:p>
        </w:tc>
        <w:tc>
          <w:tcPr>
            <w:tcW w:w="648" w:type="dxa"/>
            <w:tcBorders>
              <w:top w:val="single" w:sz="6" w:space="0" w:color="000000"/>
              <w:left w:val="single" w:sz="6" w:space="0" w:color="000000"/>
              <w:bottom w:val="single" w:sz="6" w:space="0" w:color="000000"/>
              <w:right w:val="single" w:sz="6" w:space="0" w:color="000000"/>
            </w:tcBorders>
            <w:vAlign w:val="center"/>
          </w:tcPr>
          <w:p w14:paraId="4BEDA6E4"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1</w:t>
            </w:r>
          </w:p>
        </w:tc>
      </w:tr>
    </w:tbl>
    <w:p w14:paraId="63879E4E" w14:textId="518106E2" w:rsidR="002677AD" w:rsidRPr="00A335CB" w:rsidRDefault="002677AD" w:rsidP="005C25B4">
      <w:pPr>
        <w:spacing w:before="80" w:after="0" w:line="260" w:lineRule="exact"/>
        <w:jc w:val="both"/>
        <w:rPr>
          <w:rFonts w:ascii="Arial" w:hAnsi="Arial" w:cs="Arial"/>
          <w:sz w:val="20"/>
          <w:szCs w:val="20"/>
        </w:rPr>
      </w:pPr>
      <w:r w:rsidRPr="00A335CB">
        <w:rPr>
          <w:rFonts w:ascii="Arial" w:hAnsi="Arial" w:cs="Arial"/>
          <w:b/>
          <w:color w:val="000000"/>
          <w:sz w:val="20"/>
          <w:szCs w:val="20"/>
        </w:rPr>
        <w:t>Preglednica:</w:t>
      </w:r>
      <w:r w:rsidRPr="00A335CB">
        <w:rPr>
          <w:rFonts w:ascii="Arial" w:hAnsi="Arial" w:cs="Arial"/>
          <w:sz w:val="20"/>
          <w:szCs w:val="20"/>
        </w:rPr>
        <w:t xml:space="preserve"> Izdane licence, službene izkaznice, potrdila in dovo</w:t>
      </w:r>
      <w:r w:rsidR="005C25B4" w:rsidRPr="00A335CB">
        <w:rPr>
          <w:rFonts w:ascii="Arial" w:hAnsi="Arial" w:cs="Arial"/>
          <w:sz w:val="20"/>
          <w:szCs w:val="20"/>
        </w:rPr>
        <w:t xml:space="preserve">ljenja za opravljanje zasebnega </w:t>
      </w:r>
      <w:r w:rsidRPr="00A335CB">
        <w:rPr>
          <w:rFonts w:ascii="Arial" w:hAnsi="Arial" w:cs="Arial"/>
          <w:sz w:val="20"/>
          <w:szCs w:val="20"/>
        </w:rPr>
        <w:t>varovanja</w:t>
      </w:r>
    </w:p>
    <w:p w14:paraId="64D1035B" w14:textId="77777777" w:rsidR="002677AD" w:rsidRPr="00A335CB" w:rsidRDefault="002677AD" w:rsidP="005C25B4">
      <w:pPr>
        <w:tabs>
          <w:tab w:val="left" w:pos="2520"/>
        </w:tabs>
        <w:spacing w:after="0" w:line="260" w:lineRule="exact"/>
        <w:rPr>
          <w:rFonts w:ascii="Arial" w:hAnsi="Arial" w:cs="Arial"/>
          <w:sz w:val="20"/>
          <w:szCs w:val="20"/>
          <w:highlight w:val="yellow"/>
        </w:rPr>
      </w:pPr>
      <w:r w:rsidRPr="00A335CB">
        <w:rPr>
          <w:rFonts w:ascii="Arial" w:hAnsi="Arial" w:cs="Arial"/>
          <w:sz w:val="20"/>
          <w:szCs w:val="20"/>
          <w:highlight w:val="yellow"/>
        </w:rPr>
        <w:t xml:space="preserve"> </w:t>
      </w:r>
    </w:p>
    <w:p w14:paraId="417A9EEA" w14:textId="383DFFB9" w:rsidR="002677AD" w:rsidRDefault="00020834" w:rsidP="002677AD">
      <w:pPr>
        <w:tabs>
          <w:tab w:val="left" w:pos="2520"/>
        </w:tabs>
        <w:spacing w:after="0" w:line="260" w:lineRule="exact"/>
        <w:jc w:val="both"/>
        <w:rPr>
          <w:rFonts w:ascii="Arial" w:hAnsi="Arial" w:cs="Arial"/>
          <w:sz w:val="20"/>
          <w:szCs w:val="20"/>
        </w:rPr>
      </w:pPr>
      <w:r w:rsidRPr="00A335CB">
        <w:rPr>
          <w:rFonts w:ascii="Arial" w:hAnsi="Arial" w:cs="Arial"/>
          <w:sz w:val="20"/>
          <w:szCs w:val="20"/>
        </w:rPr>
        <w:t>MNZ</w:t>
      </w:r>
      <w:r w:rsidR="002677AD" w:rsidRPr="00A335CB">
        <w:rPr>
          <w:rFonts w:ascii="Arial" w:hAnsi="Arial" w:cs="Arial"/>
          <w:sz w:val="20"/>
          <w:szCs w:val="20"/>
        </w:rPr>
        <w:t xml:space="preserve"> je v okviru zakonskih pristojnosti na področju </w:t>
      </w:r>
      <w:r w:rsidR="002677AD" w:rsidRPr="00A335CB">
        <w:rPr>
          <w:rFonts w:ascii="Arial" w:hAnsi="Arial" w:cs="Arial"/>
          <w:b/>
          <w:sz w:val="20"/>
          <w:szCs w:val="20"/>
        </w:rPr>
        <w:t>detektivske dejavnosti</w:t>
      </w:r>
      <w:r w:rsidR="002677AD" w:rsidRPr="00A335CB">
        <w:rPr>
          <w:rFonts w:ascii="Arial" w:hAnsi="Arial" w:cs="Arial"/>
          <w:sz w:val="20"/>
          <w:szCs w:val="20"/>
        </w:rPr>
        <w:t xml:space="preserve"> spremljalo delovanje Detektivske zbornice Slovenije. </w:t>
      </w:r>
    </w:p>
    <w:p w14:paraId="182F3D38" w14:textId="07532550" w:rsidR="002677AD" w:rsidRPr="00A335CB" w:rsidRDefault="002677AD" w:rsidP="002677AD">
      <w:pPr>
        <w:tabs>
          <w:tab w:val="left" w:pos="2520"/>
        </w:tabs>
        <w:spacing w:after="0" w:line="260" w:lineRule="exact"/>
        <w:jc w:val="both"/>
        <w:rPr>
          <w:rFonts w:ascii="Arial" w:hAnsi="Arial" w:cs="Arial"/>
          <w:sz w:val="20"/>
          <w:szCs w:val="20"/>
          <w:highlight w:val="yellow"/>
        </w:rPr>
      </w:pPr>
    </w:p>
    <w:tbl>
      <w:tblPr>
        <w:tblW w:w="8405" w:type="dxa"/>
        <w:tblLayout w:type="fixed"/>
        <w:tblCellMar>
          <w:left w:w="70" w:type="dxa"/>
          <w:right w:w="70" w:type="dxa"/>
        </w:tblCellMar>
        <w:tblLook w:val="00A0" w:firstRow="1" w:lastRow="0" w:firstColumn="1" w:lastColumn="0" w:noHBand="0" w:noVBand="0"/>
      </w:tblPr>
      <w:tblGrid>
        <w:gridCol w:w="5100"/>
        <w:gridCol w:w="661"/>
        <w:gridCol w:w="661"/>
        <w:gridCol w:w="661"/>
        <w:gridCol w:w="661"/>
        <w:gridCol w:w="661"/>
      </w:tblGrid>
      <w:tr w:rsidR="002677AD" w:rsidRPr="00A335CB" w14:paraId="51D82C93" w14:textId="77777777" w:rsidTr="008A746A">
        <w:trPr>
          <w:trHeight w:val="254"/>
        </w:trPr>
        <w:tc>
          <w:tcPr>
            <w:tcW w:w="5100"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674C4863" w14:textId="3D7BC145" w:rsidR="002677AD" w:rsidRPr="00A335CB" w:rsidRDefault="002677AD" w:rsidP="007657AE">
            <w:pPr>
              <w:autoSpaceDE w:val="0"/>
              <w:autoSpaceDN w:val="0"/>
              <w:adjustRightInd w:val="0"/>
              <w:spacing w:before="80" w:after="80" w:line="240" w:lineRule="auto"/>
              <w:jc w:val="both"/>
              <w:rPr>
                <w:rFonts w:ascii="Arial" w:hAnsi="Arial" w:cs="Arial"/>
                <w:b/>
                <w:bCs/>
                <w:color w:val="000000"/>
                <w:sz w:val="20"/>
                <w:szCs w:val="20"/>
                <w:lang w:eastAsia="sl-SI"/>
              </w:rPr>
            </w:pPr>
            <w:r w:rsidRPr="00A335CB">
              <w:rPr>
                <w:rFonts w:ascii="Arial" w:hAnsi="Arial" w:cs="Arial"/>
                <w:b/>
                <w:bCs/>
                <w:color w:val="000000"/>
                <w:sz w:val="20"/>
                <w:szCs w:val="20"/>
                <w:lang w:eastAsia="sl-SI"/>
              </w:rPr>
              <w:t>Vrsta/izid postopka</w:t>
            </w:r>
          </w:p>
        </w:tc>
        <w:tc>
          <w:tcPr>
            <w:tcW w:w="661"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7481DCE5"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2020</w:t>
            </w:r>
          </w:p>
        </w:tc>
        <w:tc>
          <w:tcPr>
            <w:tcW w:w="661"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350442B7"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2021</w:t>
            </w:r>
          </w:p>
        </w:tc>
        <w:tc>
          <w:tcPr>
            <w:tcW w:w="661"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7F803454"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2022</w:t>
            </w:r>
          </w:p>
        </w:tc>
        <w:tc>
          <w:tcPr>
            <w:tcW w:w="661" w:type="dxa"/>
            <w:tcBorders>
              <w:top w:val="single" w:sz="6" w:space="0" w:color="000000"/>
              <w:left w:val="single" w:sz="6" w:space="0" w:color="000000"/>
              <w:bottom w:val="single" w:sz="6" w:space="0" w:color="000000"/>
              <w:right w:val="single" w:sz="6" w:space="0" w:color="000000"/>
            </w:tcBorders>
            <w:shd w:val="clear" w:color="auto" w:fill="E1E1E1"/>
          </w:tcPr>
          <w:p w14:paraId="74647026"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2023</w:t>
            </w:r>
          </w:p>
        </w:tc>
        <w:tc>
          <w:tcPr>
            <w:tcW w:w="661" w:type="dxa"/>
            <w:tcBorders>
              <w:top w:val="single" w:sz="6" w:space="0" w:color="000000"/>
              <w:left w:val="single" w:sz="6" w:space="0" w:color="000000"/>
              <w:bottom w:val="single" w:sz="6" w:space="0" w:color="000000"/>
              <w:right w:val="single" w:sz="6" w:space="0" w:color="000000"/>
            </w:tcBorders>
            <w:shd w:val="clear" w:color="auto" w:fill="E1E1E1"/>
          </w:tcPr>
          <w:p w14:paraId="4C2F68E6" w14:textId="77777777" w:rsidR="002677AD" w:rsidRPr="00A335CB" w:rsidRDefault="002677AD" w:rsidP="007657AE">
            <w:pPr>
              <w:autoSpaceDE w:val="0"/>
              <w:autoSpaceDN w:val="0"/>
              <w:adjustRightInd w:val="0"/>
              <w:spacing w:before="80" w:after="80" w:line="240" w:lineRule="auto"/>
              <w:jc w:val="center"/>
              <w:rPr>
                <w:rFonts w:ascii="Arial" w:hAnsi="Arial" w:cs="Arial"/>
                <w:b/>
                <w:bCs/>
                <w:color w:val="000000"/>
                <w:sz w:val="20"/>
                <w:szCs w:val="20"/>
                <w:lang w:eastAsia="sl-SI"/>
              </w:rPr>
            </w:pPr>
            <w:r w:rsidRPr="00A335CB">
              <w:rPr>
                <w:rFonts w:ascii="Arial" w:hAnsi="Arial" w:cs="Arial"/>
                <w:b/>
                <w:bCs/>
                <w:color w:val="000000"/>
                <w:sz w:val="20"/>
                <w:szCs w:val="20"/>
                <w:lang w:eastAsia="sl-SI"/>
              </w:rPr>
              <w:t>2024</w:t>
            </w:r>
          </w:p>
        </w:tc>
      </w:tr>
      <w:tr w:rsidR="002677AD" w:rsidRPr="00A335CB" w14:paraId="364E3160" w14:textId="77777777" w:rsidTr="008A746A">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6D32E841" w14:textId="77777777" w:rsidR="002677AD" w:rsidRPr="00A335CB" w:rsidRDefault="002677AD" w:rsidP="007657AE">
            <w:pPr>
              <w:autoSpaceDE w:val="0"/>
              <w:autoSpaceDN w:val="0"/>
              <w:adjustRightInd w:val="0"/>
              <w:spacing w:before="80" w:after="80" w:line="240" w:lineRule="auto"/>
              <w:rPr>
                <w:rFonts w:ascii="Arial" w:hAnsi="Arial" w:cs="Arial"/>
                <w:color w:val="000000"/>
                <w:sz w:val="20"/>
                <w:szCs w:val="20"/>
                <w:lang w:eastAsia="sl-SI"/>
              </w:rPr>
            </w:pPr>
            <w:r w:rsidRPr="00A335CB">
              <w:rPr>
                <w:rFonts w:ascii="Arial" w:hAnsi="Arial" w:cs="Arial"/>
                <w:color w:val="000000"/>
                <w:sz w:val="20"/>
                <w:szCs w:val="20"/>
                <w:lang w:eastAsia="sl-SI"/>
              </w:rPr>
              <w:t>Varnostno preverjanje kandidatov za detektive</w:t>
            </w:r>
          </w:p>
        </w:tc>
        <w:tc>
          <w:tcPr>
            <w:tcW w:w="661" w:type="dxa"/>
            <w:tcBorders>
              <w:top w:val="single" w:sz="6" w:space="0" w:color="000000"/>
              <w:left w:val="single" w:sz="6" w:space="0" w:color="000000"/>
              <w:bottom w:val="single" w:sz="6" w:space="0" w:color="000000"/>
              <w:right w:val="single" w:sz="6" w:space="0" w:color="000000"/>
            </w:tcBorders>
            <w:vAlign w:val="center"/>
          </w:tcPr>
          <w:p w14:paraId="5504F22F"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9</w:t>
            </w:r>
          </w:p>
        </w:tc>
        <w:tc>
          <w:tcPr>
            <w:tcW w:w="661" w:type="dxa"/>
            <w:tcBorders>
              <w:top w:val="single" w:sz="6" w:space="0" w:color="000000"/>
              <w:left w:val="single" w:sz="6" w:space="0" w:color="000000"/>
              <w:bottom w:val="single" w:sz="6" w:space="0" w:color="000000"/>
              <w:right w:val="single" w:sz="6" w:space="0" w:color="000000"/>
            </w:tcBorders>
            <w:vAlign w:val="center"/>
          </w:tcPr>
          <w:p w14:paraId="39CBD68E"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10</w:t>
            </w:r>
          </w:p>
        </w:tc>
        <w:tc>
          <w:tcPr>
            <w:tcW w:w="661" w:type="dxa"/>
            <w:tcBorders>
              <w:top w:val="single" w:sz="6" w:space="0" w:color="000000"/>
              <w:left w:val="single" w:sz="6" w:space="0" w:color="000000"/>
              <w:bottom w:val="single" w:sz="6" w:space="0" w:color="000000"/>
              <w:right w:val="single" w:sz="6" w:space="0" w:color="000000"/>
            </w:tcBorders>
            <w:vAlign w:val="center"/>
          </w:tcPr>
          <w:p w14:paraId="5BF2EB7D"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7</w:t>
            </w:r>
          </w:p>
        </w:tc>
        <w:tc>
          <w:tcPr>
            <w:tcW w:w="661" w:type="dxa"/>
            <w:tcBorders>
              <w:top w:val="single" w:sz="6" w:space="0" w:color="000000"/>
              <w:left w:val="single" w:sz="6" w:space="0" w:color="000000"/>
              <w:bottom w:val="single" w:sz="6" w:space="0" w:color="000000"/>
              <w:right w:val="single" w:sz="6" w:space="0" w:color="000000"/>
            </w:tcBorders>
          </w:tcPr>
          <w:p w14:paraId="1140F574"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8</w:t>
            </w:r>
          </w:p>
        </w:tc>
        <w:tc>
          <w:tcPr>
            <w:tcW w:w="661" w:type="dxa"/>
            <w:tcBorders>
              <w:top w:val="single" w:sz="6" w:space="0" w:color="000000"/>
              <w:left w:val="single" w:sz="6" w:space="0" w:color="000000"/>
              <w:bottom w:val="single" w:sz="6" w:space="0" w:color="000000"/>
              <w:right w:val="single" w:sz="6" w:space="0" w:color="000000"/>
            </w:tcBorders>
          </w:tcPr>
          <w:p w14:paraId="04150ADB"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5</w:t>
            </w:r>
          </w:p>
        </w:tc>
      </w:tr>
      <w:tr w:rsidR="002677AD" w:rsidRPr="00A335CB" w14:paraId="5EF936E6" w14:textId="77777777" w:rsidTr="008A746A">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70C90417" w14:textId="77777777" w:rsidR="002677AD" w:rsidRPr="00A335CB" w:rsidRDefault="002677AD" w:rsidP="007657AE">
            <w:pPr>
              <w:autoSpaceDE w:val="0"/>
              <w:autoSpaceDN w:val="0"/>
              <w:adjustRightInd w:val="0"/>
              <w:spacing w:before="80" w:after="80" w:line="240" w:lineRule="auto"/>
              <w:rPr>
                <w:rFonts w:ascii="Arial" w:hAnsi="Arial" w:cs="Arial"/>
                <w:color w:val="000000"/>
                <w:sz w:val="20"/>
                <w:szCs w:val="20"/>
                <w:lang w:eastAsia="sl-SI"/>
              </w:rPr>
            </w:pPr>
            <w:r w:rsidRPr="00A335CB">
              <w:rPr>
                <w:rFonts w:ascii="Arial" w:hAnsi="Arial" w:cs="Arial"/>
                <w:color w:val="000000"/>
                <w:sz w:val="20"/>
                <w:szCs w:val="20"/>
                <w:lang w:eastAsia="sl-SI"/>
              </w:rPr>
              <w:t xml:space="preserve">Ogledi prostorov – dodatna registracija nosilcev javnega pooblastila </w:t>
            </w:r>
          </w:p>
        </w:tc>
        <w:tc>
          <w:tcPr>
            <w:tcW w:w="661" w:type="dxa"/>
            <w:tcBorders>
              <w:top w:val="single" w:sz="6" w:space="0" w:color="000000"/>
              <w:left w:val="single" w:sz="6" w:space="0" w:color="000000"/>
              <w:bottom w:val="single" w:sz="6" w:space="0" w:color="000000"/>
              <w:right w:val="single" w:sz="6" w:space="0" w:color="000000"/>
            </w:tcBorders>
            <w:vAlign w:val="center"/>
          </w:tcPr>
          <w:p w14:paraId="6AAEECD9"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1</w:t>
            </w:r>
          </w:p>
        </w:tc>
        <w:tc>
          <w:tcPr>
            <w:tcW w:w="661" w:type="dxa"/>
            <w:tcBorders>
              <w:top w:val="single" w:sz="6" w:space="0" w:color="000000"/>
              <w:left w:val="single" w:sz="6" w:space="0" w:color="000000"/>
              <w:bottom w:val="single" w:sz="6" w:space="0" w:color="000000"/>
              <w:right w:val="single" w:sz="6" w:space="0" w:color="000000"/>
            </w:tcBorders>
            <w:vAlign w:val="center"/>
          </w:tcPr>
          <w:p w14:paraId="53C142D5"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1</w:t>
            </w:r>
          </w:p>
        </w:tc>
        <w:tc>
          <w:tcPr>
            <w:tcW w:w="661" w:type="dxa"/>
            <w:tcBorders>
              <w:top w:val="single" w:sz="6" w:space="0" w:color="000000"/>
              <w:left w:val="single" w:sz="6" w:space="0" w:color="000000"/>
              <w:bottom w:val="single" w:sz="6" w:space="0" w:color="000000"/>
              <w:right w:val="single" w:sz="6" w:space="0" w:color="000000"/>
            </w:tcBorders>
            <w:vAlign w:val="center"/>
          </w:tcPr>
          <w:p w14:paraId="382DC4D7"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3</w:t>
            </w:r>
          </w:p>
        </w:tc>
        <w:tc>
          <w:tcPr>
            <w:tcW w:w="661" w:type="dxa"/>
            <w:tcBorders>
              <w:top w:val="single" w:sz="6" w:space="0" w:color="000000"/>
              <w:left w:val="single" w:sz="6" w:space="0" w:color="000000"/>
              <w:bottom w:val="single" w:sz="6" w:space="0" w:color="000000"/>
              <w:right w:val="single" w:sz="6" w:space="0" w:color="000000"/>
            </w:tcBorders>
            <w:vAlign w:val="center"/>
          </w:tcPr>
          <w:p w14:paraId="4EE52F51"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4</w:t>
            </w:r>
          </w:p>
        </w:tc>
        <w:tc>
          <w:tcPr>
            <w:tcW w:w="661" w:type="dxa"/>
            <w:tcBorders>
              <w:top w:val="single" w:sz="6" w:space="0" w:color="000000"/>
              <w:left w:val="single" w:sz="6" w:space="0" w:color="000000"/>
              <w:bottom w:val="single" w:sz="6" w:space="0" w:color="000000"/>
              <w:right w:val="single" w:sz="6" w:space="0" w:color="000000"/>
            </w:tcBorders>
            <w:vAlign w:val="center"/>
          </w:tcPr>
          <w:p w14:paraId="49550DA4"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4</w:t>
            </w:r>
          </w:p>
        </w:tc>
      </w:tr>
      <w:tr w:rsidR="002677AD" w:rsidRPr="00A335CB" w14:paraId="6133F444" w14:textId="77777777" w:rsidTr="008A746A">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19BC0C18" w14:textId="77777777" w:rsidR="002677AD" w:rsidRPr="00A335CB" w:rsidRDefault="002677AD" w:rsidP="007657AE">
            <w:pPr>
              <w:autoSpaceDE w:val="0"/>
              <w:autoSpaceDN w:val="0"/>
              <w:adjustRightInd w:val="0"/>
              <w:spacing w:before="80" w:after="80" w:line="240" w:lineRule="auto"/>
              <w:rPr>
                <w:rFonts w:ascii="Arial" w:hAnsi="Arial" w:cs="Arial"/>
                <w:color w:val="000000"/>
                <w:sz w:val="20"/>
                <w:szCs w:val="20"/>
                <w:lang w:eastAsia="sl-SI"/>
              </w:rPr>
            </w:pPr>
            <w:r w:rsidRPr="00A335CB">
              <w:rPr>
                <w:rFonts w:ascii="Arial" w:hAnsi="Arial" w:cs="Arial"/>
                <w:color w:val="000000"/>
                <w:sz w:val="20"/>
                <w:szCs w:val="20"/>
                <w:lang w:eastAsia="sl-SI"/>
              </w:rPr>
              <w:t>Soglasje za sklep vlade po Uredbi o obveznem organiziranju varovanja</w:t>
            </w:r>
          </w:p>
        </w:tc>
        <w:tc>
          <w:tcPr>
            <w:tcW w:w="661" w:type="dxa"/>
            <w:tcBorders>
              <w:top w:val="single" w:sz="6" w:space="0" w:color="000000"/>
              <w:left w:val="single" w:sz="6" w:space="0" w:color="000000"/>
              <w:bottom w:val="single" w:sz="6" w:space="0" w:color="000000"/>
              <w:right w:val="single" w:sz="6" w:space="0" w:color="000000"/>
            </w:tcBorders>
            <w:vAlign w:val="center"/>
          </w:tcPr>
          <w:p w14:paraId="5E28B5D4"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2</w:t>
            </w:r>
          </w:p>
        </w:tc>
        <w:tc>
          <w:tcPr>
            <w:tcW w:w="661" w:type="dxa"/>
            <w:tcBorders>
              <w:top w:val="single" w:sz="6" w:space="0" w:color="000000"/>
              <w:left w:val="single" w:sz="6" w:space="0" w:color="000000"/>
              <w:bottom w:val="single" w:sz="6" w:space="0" w:color="000000"/>
              <w:right w:val="single" w:sz="6" w:space="0" w:color="000000"/>
            </w:tcBorders>
            <w:vAlign w:val="center"/>
          </w:tcPr>
          <w:p w14:paraId="5AD4804C"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33</w:t>
            </w:r>
          </w:p>
        </w:tc>
        <w:tc>
          <w:tcPr>
            <w:tcW w:w="661" w:type="dxa"/>
            <w:tcBorders>
              <w:top w:val="single" w:sz="6" w:space="0" w:color="000000"/>
              <w:left w:val="single" w:sz="6" w:space="0" w:color="000000"/>
              <w:bottom w:val="single" w:sz="6" w:space="0" w:color="000000"/>
              <w:right w:val="single" w:sz="6" w:space="0" w:color="000000"/>
            </w:tcBorders>
            <w:vAlign w:val="center"/>
          </w:tcPr>
          <w:p w14:paraId="254ACE3C"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0</w:t>
            </w:r>
          </w:p>
        </w:tc>
        <w:tc>
          <w:tcPr>
            <w:tcW w:w="661" w:type="dxa"/>
            <w:tcBorders>
              <w:top w:val="single" w:sz="6" w:space="0" w:color="000000"/>
              <w:left w:val="single" w:sz="6" w:space="0" w:color="000000"/>
              <w:bottom w:val="single" w:sz="6" w:space="0" w:color="000000"/>
              <w:right w:val="single" w:sz="6" w:space="0" w:color="000000"/>
            </w:tcBorders>
            <w:vAlign w:val="center"/>
          </w:tcPr>
          <w:p w14:paraId="41D6997B"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0</w:t>
            </w:r>
          </w:p>
        </w:tc>
        <w:tc>
          <w:tcPr>
            <w:tcW w:w="661" w:type="dxa"/>
            <w:tcBorders>
              <w:top w:val="single" w:sz="6" w:space="0" w:color="000000"/>
              <w:left w:val="single" w:sz="6" w:space="0" w:color="000000"/>
              <w:bottom w:val="single" w:sz="6" w:space="0" w:color="000000"/>
              <w:right w:val="single" w:sz="6" w:space="0" w:color="000000"/>
            </w:tcBorders>
            <w:vAlign w:val="center"/>
          </w:tcPr>
          <w:p w14:paraId="60CADAAC"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2</w:t>
            </w:r>
          </w:p>
        </w:tc>
      </w:tr>
      <w:tr w:rsidR="002677AD" w:rsidRPr="00A335CB" w14:paraId="18550962" w14:textId="77777777" w:rsidTr="008A746A">
        <w:trPr>
          <w:trHeight w:val="254"/>
        </w:trPr>
        <w:tc>
          <w:tcPr>
            <w:tcW w:w="5100" w:type="dxa"/>
            <w:tcBorders>
              <w:top w:val="single" w:sz="6" w:space="0" w:color="000000"/>
              <w:left w:val="single" w:sz="6" w:space="0" w:color="000000"/>
              <w:bottom w:val="single" w:sz="6" w:space="0" w:color="000000"/>
              <w:right w:val="single" w:sz="6" w:space="0" w:color="000000"/>
            </w:tcBorders>
            <w:vAlign w:val="center"/>
          </w:tcPr>
          <w:p w14:paraId="212EB13E" w14:textId="77777777" w:rsidR="002677AD" w:rsidRPr="00A335CB" w:rsidRDefault="002677AD" w:rsidP="007657AE">
            <w:pPr>
              <w:autoSpaceDE w:val="0"/>
              <w:autoSpaceDN w:val="0"/>
              <w:adjustRightInd w:val="0"/>
              <w:spacing w:before="80" w:after="80" w:line="240" w:lineRule="auto"/>
              <w:rPr>
                <w:rFonts w:ascii="Arial" w:hAnsi="Arial" w:cs="Arial"/>
                <w:color w:val="000000"/>
                <w:sz w:val="20"/>
                <w:szCs w:val="20"/>
                <w:lang w:eastAsia="sl-SI"/>
              </w:rPr>
            </w:pPr>
            <w:r w:rsidRPr="00A335CB">
              <w:rPr>
                <w:rFonts w:ascii="Arial" w:hAnsi="Arial" w:cs="Arial"/>
                <w:color w:val="000000"/>
                <w:sz w:val="20"/>
                <w:szCs w:val="20"/>
                <w:lang w:eastAsia="sl-SI"/>
              </w:rPr>
              <w:t>Število pozivov za deponiranje službenih izkaznic</w:t>
            </w:r>
          </w:p>
        </w:tc>
        <w:tc>
          <w:tcPr>
            <w:tcW w:w="661" w:type="dxa"/>
            <w:tcBorders>
              <w:top w:val="single" w:sz="6" w:space="0" w:color="000000"/>
              <w:left w:val="single" w:sz="6" w:space="0" w:color="000000"/>
              <w:bottom w:val="single" w:sz="6" w:space="0" w:color="000000"/>
              <w:right w:val="single" w:sz="6" w:space="0" w:color="000000"/>
            </w:tcBorders>
            <w:vAlign w:val="center"/>
          </w:tcPr>
          <w:p w14:paraId="17525784"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429</w:t>
            </w:r>
          </w:p>
        </w:tc>
        <w:tc>
          <w:tcPr>
            <w:tcW w:w="661" w:type="dxa"/>
            <w:tcBorders>
              <w:top w:val="single" w:sz="6" w:space="0" w:color="000000"/>
              <w:left w:val="single" w:sz="6" w:space="0" w:color="000000"/>
              <w:bottom w:val="single" w:sz="6" w:space="0" w:color="000000"/>
              <w:right w:val="single" w:sz="6" w:space="0" w:color="000000"/>
            </w:tcBorders>
            <w:vAlign w:val="center"/>
          </w:tcPr>
          <w:p w14:paraId="4CF41B13"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381</w:t>
            </w:r>
          </w:p>
        </w:tc>
        <w:tc>
          <w:tcPr>
            <w:tcW w:w="661" w:type="dxa"/>
            <w:tcBorders>
              <w:top w:val="single" w:sz="6" w:space="0" w:color="000000"/>
              <w:left w:val="single" w:sz="6" w:space="0" w:color="000000"/>
              <w:bottom w:val="single" w:sz="6" w:space="0" w:color="000000"/>
              <w:right w:val="single" w:sz="6" w:space="0" w:color="000000"/>
            </w:tcBorders>
            <w:vAlign w:val="center"/>
          </w:tcPr>
          <w:p w14:paraId="4BBF839D"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color w:val="000000"/>
                <w:sz w:val="20"/>
                <w:szCs w:val="20"/>
                <w:lang w:eastAsia="sl-SI"/>
              </w:rPr>
              <w:t>379</w:t>
            </w:r>
          </w:p>
        </w:tc>
        <w:tc>
          <w:tcPr>
            <w:tcW w:w="661" w:type="dxa"/>
            <w:tcBorders>
              <w:top w:val="single" w:sz="6" w:space="0" w:color="000000"/>
              <w:left w:val="single" w:sz="6" w:space="0" w:color="000000"/>
              <w:bottom w:val="single" w:sz="6" w:space="0" w:color="000000"/>
              <w:right w:val="single" w:sz="6" w:space="0" w:color="000000"/>
            </w:tcBorders>
          </w:tcPr>
          <w:p w14:paraId="0D290477" w14:textId="77777777" w:rsidR="002677AD" w:rsidRPr="00A335CB" w:rsidRDefault="002677AD" w:rsidP="007657AE">
            <w:pPr>
              <w:autoSpaceDE w:val="0"/>
              <w:autoSpaceDN w:val="0"/>
              <w:adjustRightInd w:val="0"/>
              <w:spacing w:before="80" w:after="80" w:line="240" w:lineRule="auto"/>
              <w:jc w:val="center"/>
              <w:rPr>
                <w:rFonts w:ascii="Arial" w:hAnsi="Arial" w:cs="Arial"/>
                <w:color w:val="000000"/>
                <w:sz w:val="20"/>
                <w:szCs w:val="20"/>
                <w:lang w:eastAsia="sl-SI"/>
              </w:rPr>
            </w:pPr>
            <w:r w:rsidRPr="00A335CB">
              <w:rPr>
                <w:rFonts w:ascii="Arial" w:hAnsi="Arial" w:cs="Arial"/>
                <w:sz w:val="20"/>
                <w:szCs w:val="20"/>
                <w:lang w:eastAsia="sl-SI"/>
              </w:rPr>
              <w:t>257</w:t>
            </w:r>
          </w:p>
        </w:tc>
        <w:tc>
          <w:tcPr>
            <w:tcW w:w="661" w:type="dxa"/>
            <w:tcBorders>
              <w:top w:val="single" w:sz="6" w:space="0" w:color="000000"/>
              <w:left w:val="single" w:sz="6" w:space="0" w:color="000000"/>
              <w:bottom w:val="single" w:sz="6" w:space="0" w:color="000000"/>
              <w:right w:val="single" w:sz="6" w:space="0" w:color="000000"/>
            </w:tcBorders>
          </w:tcPr>
          <w:p w14:paraId="799D0851" w14:textId="77777777" w:rsidR="002677AD" w:rsidRPr="00A335CB" w:rsidRDefault="002677AD" w:rsidP="007657AE">
            <w:pPr>
              <w:autoSpaceDE w:val="0"/>
              <w:autoSpaceDN w:val="0"/>
              <w:adjustRightInd w:val="0"/>
              <w:spacing w:before="80" w:after="80" w:line="240" w:lineRule="auto"/>
              <w:jc w:val="center"/>
              <w:rPr>
                <w:rFonts w:ascii="Arial" w:hAnsi="Arial" w:cs="Arial"/>
                <w:sz w:val="20"/>
                <w:szCs w:val="20"/>
                <w:lang w:eastAsia="sl-SI"/>
              </w:rPr>
            </w:pPr>
            <w:r w:rsidRPr="00A335CB">
              <w:rPr>
                <w:rFonts w:ascii="Arial" w:hAnsi="Arial" w:cs="Arial"/>
                <w:sz w:val="20"/>
                <w:szCs w:val="20"/>
                <w:lang w:eastAsia="sl-SI"/>
              </w:rPr>
              <w:t>37</w:t>
            </w:r>
          </w:p>
        </w:tc>
      </w:tr>
    </w:tbl>
    <w:p w14:paraId="20120270" w14:textId="4FB24F1B" w:rsidR="002677AD" w:rsidRPr="00A335CB" w:rsidRDefault="002677AD" w:rsidP="005C25B4">
      <w:pPr>
        <w:spacing w:beforeLines="80" w:before="192" w:after="0" w:line="240" w:lineRule="auto"/>
        <w:jc w:val="both"/>
        <w:rPr>
          <w:rFonts w:ascii="Arial" w:hAnsi="Arial" w:cs="Arial"/>
          <w:sz w:val="20"/>
          <w:szCs w:val="20"/>
        </w:rPr>
      </w:pPr>
      <w:r w:rsidRPr="00A335CB">
        <w:rPr>
          <w:rFonts w:ascii="Arial" w:hAnsi="Arial" w:cs="Arial"/>
          <w:b/>
          <w:sz w:val="20"/>
          <w:szCs w:val="20"/>
        </w:rPr>
        <w:t>Preglednica</w:t>
      </w:r>
      <w:r w:rsidRPr="00A335CB">
        <w:rPr>
          <w:rFonts w:ascii="Arial" w:hAnsi="Arial" w:cs="Arial"/>
          <w:sz w:val="20"/>
          <w:szCs w:val="20"/>
        </w:rPr>
        <w:t>: Število upravnih postopkov s področja zasebnega varovanja, nadzornikov na smučišču in</w:t>
      </w:r>
      <w:r w:rsidR="005C25B4" w:rsidRPr="00A335CB">
        <w:rPr>
          <w:rFonts w:ascii="Arial" w:hAnsi="Arial" w:cs="Arial"/>
          <w:sz w:val="20"/>
          <w:szCs w:val="20"/>
        </w:rPr>
        <w:t xml:space="preserve"> </w:t>
      </w:r>
      <w:r w:rsidRPr="00A335CB">
        <w:rPr>
          <w:rFonts w:ascii="Arial" w:hAnsi="Arial" w:cs="Arial"/>
          <w:sz w:val="20"/>
          <w:szCs w:val="20"/>
        </w:rPr>
        <w:t>detektivske dejavnosti</w:t>
      </w:r>
    </w:p>
    <w:p w14:paraId="6DF4418D" w14:textId="77777777" w:rsidR="002677AD" w:rsidRPr="00A335CB" w:rsidRDefault="002677AD" w:rsidP="002677AD">
      <w:pPr>
        <w:tabs>
          <w:tab w:val="left" w:pos="2520"/>
        </w:tabs>
        <w:spacing w:after="0" w:line="260" w:lineRule="exact"/>
        <w:jc w:val="both"/>
        <w:rPr>
          <w:rFonts w:ascii="Arial" w:hAnsi="Arial" w:cs="Arial"/>
          <w:sz w:val="20"/>
          <w:szCs w:val="20"/>
        </w:rPr>
      </w:pPr>
    </w:p>
    <w:p w14:paraId="43FF7B01" w14:textId="5F9AC509" w:rsidR="002677AD" w:rsidRPr="00E23FCC" w:rsidRDefault="00E23FCC" w:rsidP="00E23FCC">
      <w:pPr>
        <w:tabs>
          <w:tab w:val="left" w:pos="2520"/>
        </w:tabs>
        <w:spacing w:after="0" w:line="260" w:lineRule="exact"/>
        <w:jc w:val="both"/>
        <w:rPr>
          <w:rFonts w:ascii="Arial" w:hAnsi="Arial" w:cs="Arial"/>
          <w:sz w:val="20"/>
          <w:szCs w:val="20"/>
        </w:rPr>
      </w:pPr>
      <w:r w:rsidRPr="00A335CB">
        <w:rPr>
          <w:rFonts w:ascii="Arial" w:hAnsi="Arial" w:cs="Arial"/>
          <w:noProof/>
          <w:sz w:val="20"/>
          <w:szCs w:val="20"/>
          <w:lang w:eastAsia="sl-SI"/>
        </w:rPr>
        <w:drawing>
          <wp:anchor distT="0" distB="0" distL="114300" distR="114300" simplePos="0" relativeHeight="251658752" behindDoc="0" locked="0" layoutInCell="1" allowOverlap="1" wp14:anchorId="119E78BB" wp14:editId="7E856C5A">
            <wp:simplePos x="0" y="0"/>
            <wp:positionH relativeFrom="column">
              <wp:posOffset>19913</wp:posOffset>
            </wp:positionH>
            <wp:positionV relativeFrom="paragraph">
              <wp:posOffset>622477</wp:posOffset>
            </wp:positionV>
            <wp:extent cx="4131093" cy="2415993"/>
            <wp:effectExtent l="0" t="0" r="3175" b="3810"/>
            <wp:wrapTopAndBottom/>
            <wp:docPr id="7" name="Slik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1093" cy="2415993"/>
                    </a:xfrm>
                    <a:prstGeom prst="rect">
                      <a:avLst/>
                    </a:prstGeom>
                    <a:noFill/>
                  </pic:spPr>
                </pic:pic>
              </a:graphicData>
            </a:graphic>
          </wp:anchor>
        </w:drawing>
      </w:r>
      <w:r w:rsidR="002677AD" w:rsidRPr="00A335CB">
        <w:rPr>
          <w:rFonts w:ascii="Arial" w:hAnsi="Arial" w:cs="Arial"/>
          <w:sz w:val="20"/>
          <w:szCs w:val="20"/>
        </w:rPr>
        <w:t xml:space="preserve">Na področju </w:t>
      </w:r>
      <w:r w:rsidR="002677AD" w:rsidRPr="00A335CB">
        <w:rPr>
          <w:rFonts w:ascii="Arial" w:hAnsi="Arial" w:cs="Arial"/>
          <w:b/>
          <w:sz w:val="20"/>
          <w:szCs w:val="20"/>
        </w:rPr>
        <w:t>zagotavljanja varnosti na smučiščih</w:t>
      </w:r>
      <w:r w:rsidR="00020834" w:rsidRPr="00A335CB">
        <w:rPr>
          <w:rFonts w:ascii="Arial" w:hAnsi="Arial" w:cs="Arial"/>
          <w:sz w:val="20"/>
          <w:szCs w:val="20"/>
        </w:rPr>
        <w:t xml:space="preserve"> so uslužbenci MNZ</w:t>
      </w:r>
      <w:r w:rsidR="002677AD" w:rsidRPr="00A335CB">
        <w:rPr>
          <w:rFonts w:ascii="Arial" w:hAnsi="Arial" w:cs="Arial"/>
          <w:sz w:val="20"/>
          <w:szCs w:val="20"/>
        </w:rPr>
        <w:t xml:space="preserve"> nudili strokovno pomoč pri usposabljanju nadzornikov na smučišču na Policijski akademiji in sodelovali v komisijah za preizkus znanja nadzornikov.</w:t>
      </w:r>
    </w:p>
    <w:p w14:paraId="3B1EADDB" w14:textId="30E288BE" w:rsidR="002677AD" w:rsidRDefault="002677AD" w:rsidP="005C25B4">
      <w:pPr>
        <w:tabs>
          <w:tab w:val="left" w:pos="2520"/>
        </w:tabs>
        <w:spacing w:before="80" w:after="0" w:line="260" w:lineRule="exact"/>
        <w:jc w:val="both"/>
        <w:rPr>
          <w:rFonts w:ascii="Arial" w:hAnsi="Arial" w:cs="Arial"/>
          <w:sz w:val="20"/>
          <w:szCs w:val="20"/>
        </w:rPr>
      </w:pPr>
      <w:r w:rsidRPr="00A335CB">
        <w:rPr>
          <w:rFonts w:ascii="Arial" w:hAnsi="Arial" w:cs="Arial"/>
          <w:b/>
          <w:color w:val="000000"/>
          <w:sz w:val="20"/>
          <w:szCs w:val="20"/>
        </w:rPr>
        <w:t>Graf</w:t>
      </w:r>
      <w:r w:rsidRPr="00A335CB">
        <w:rPr>
          <w:rFonts w:ascii="Arial" w:hAnsi="Arial" w:cs="Arial"/>
          <w:sz w:val="20"/>
          <w:szCs w:val="20"/>
        </w:rPr>
        <w:t>: Izdane službene izkaznice nadzornikom na smučišču</w:t>
      </w:r>
    </w:p>
    <w:p w14:paraId="253B644D" w14:textId="2E20E634" w:rsidR="00CA2F0A" w:rsidRDefault="00CA2F0A" w:rsidP="005C25B4">
      <w:pPr>
        <w:tabs>
          <w:tab w:val="left" w:pos="2520"/>
        </w:tabs>
        <w:spacing w:before="80" w:after="0" w:line="260" w:lineRule="exact"/>
        <w:jc w:val="both"/>
        <w:rPr>
          <w:rFonts w:ascii="Arial" w:hAnsi="Arial" w:cs="Arial"/>
          <w:sz w:val="20"/>
          <w:szCs w:val="20"/>
        </w:rPr>
      </w:pPr>
    </w:p>
    <w:p w14:paraId="3F2C1729" w14:textId="0F2E9194" w:rsidR="00CA2F0A" w:rsidRPr="00A335CB" w:rsidRDefault="00CA2F0A" w:rsidP="005C25B4">
      <w:pPr>
        <w:tabs>
          <w:tab w:val="left" w:pos="2520"/>
        </w:tabs>
        <w:spacing w:before="80" w:after="0" w:line="260" w:lineRule="exact"/>
        <w:jc w:val="both"/>
        <w:rPr>
          <w:rFonts w:ascii="Arial" w:hAnsi="Arial" w:cs="Arial"/>
          <w:sz w:val="20"/>
          <w:szCs w:val="20"/>
        </w:rPr>
      </w:pPr>
    </w:p>
    <w:p w14:paraId="0EB8E520" w14:textId="4B34E6CE" w:rsidR="00AC4BD9" w:rsidRPr="00A335CB" w:rsidRDefault="00AC4BD9" w:rsidP="005D1A90">
      <w:pPr>
        <w:tabs>
          <w:tab w:val="left" w:pos="2520"/>
        </w:tabs>
        <w:spacing w:after="0" w:line="276" w:lineRule="auto"/>
        <w:jc w:val="both"/>
        <w:rPr>
          <w:rFonts w:ascii="Arial" w:hAnsi="Arial" w:cs="Arial"/>
          <w:sz w:val="20"/>
          <w:szCs w:val="20"/>
          <w:highlight w:val="green"/>
        </w:rPr>
      </w:pPr>
    </w:p>
    <w:p w14:paraId="7485CB4E" w14:textId="1A5CA858" w:rsidR="00020834" w:rsidRPr="00A335CB" w:rsidRDefault="00341FFA" w:rsidP="00020834">
      <w:pPr>
        <w:pStyle w:val="Naslov2"/>
        <w:spacing w:after="0" w:line="276" w:lineRule="auto"/>
        <w:jc w:val="both"/>
      </w:pPr>
      <w:bookmarkStart w:id="56" w:name="_Toc203552977"/>
      <w:r w:rsidRPr="00A335CB">
        <w:t>Varovanje in obravnavanje tajnih podatkov</w:t>
      </w:r>
      <w:bookmarkEnd w:id="56"/>
      <w:r w:rsidRPr="00A335CB">
        <w:t xml:space="preserve"> </w:t>
      </w:r>
    </w:p>
    <w:p w14:paraId="465D1585" w14:textId="79255F72" w:rsidR="00020834" w:rsidRPr="00A335CB" w:rsidRDefault="00020834" w:rsidP="005D1A90">
      <w:pPr>
        <w:pStyle w:val="Desno"/>
        <w:spacing w:before="0" w:after="0" w:line="276" w:lineRule="auto"/>
        <w:rPr>
          <w:rFonts w:eastAsia="Calibri"/>
          <w:sz w:val="20"/>
          <w:szCs w:val="20"/>
        </w:rPr>
      </w:pPr>
    </w:p>
    <w:p w14:paraId="4018AC49" w14:textId="407BAA74" w:rsidR="005318D4" w:rsidRPr="00A335CB" w:rsidRDefault="005318D4" w:rsidP="005D1A90">
      <w:pPr>
        <w:pStyle w:val="Desno"/>
        <w:spacing w:before="0" w:after="0" w:line="276" w:lineRule="auto"/>
        <w:rPr>
          <w:b/>
          <w:sz w:val="20"/>
          <w:szCs w:val="20"/>
        </w:rPr>
      </w:pPr>
      <w:r w:rsidRPr="00A335CB">
        <w:rPr>
          <w:b/>
          <w:sz w:val="20"/>
          <w:szCs w:val="20"/>
        </w:rPr>
        <w:t>Izdajanje dovoljenj za dostop do tajnih podatkov</w:t>
      </w:r>
    </w:p>
    <w:p w14:paraId="01F8D3B4" w14:textId="3F83FC85" w:rsidR="00653B9D" w:rsidRPr="00A335CB" w:rsidRDefault="00653B9D" w:rsidP="005D1A90">
      <w:pPr>
        <w:spacing w:after="0" w:line="276" w:lineRule="auto"/>
        <w:jc w:val="both"/>
        <w:rPr>
          <w:rFonts w:ascii="Arial" w:hAnsi="Arial" w:cs="Arial"/>
          <w:sz w:val="20"/>
          <w:szCs w:val="20"/>
          <w:lang w:eastAsia="sl-SI"/>
        </w:rPr>
      </w:pPr>
      <w:r w:rsidRPr="00A335CB">
        <w:rPr>
          <w:rFonts w:ascii="Arial" w:hAnsi="Arial" w:cs="Arial"/>
          <w:sz w:val="20"/>
          <w:szCs w:val="20"/>
          <w:lang w:eastAsia="sl-SI"/>
        </w:rPr>
        <w:t>Na področju dovoljenj za dostop do tajnih podatkov je bilo v letu 2024 uvedenih 4.532 (1.816)</w:t>
      </w:r>
      <w:r w:rsidRPr="00A335CB">
        <w:rPr>
          <w:rStyle w:val="Sprotnaopomba-sklic"/>
          <w:rFonts w:ascii="Arial" w:hAnsi="Arial" w:cs="Arial"/>
          <w:sz w:val="20"/>
          <w:szCs w:val="20"/>
          <w:lang w:eastAsia="sl-SI"/>
        </w:rPr>
        <w:footnoteReference w:id="1"/>
      </w:r>
      <w:r w:rsidRPr="00A335CB">
        <w:rPr>
          <w:rFonts w:ascii="Arial" w:hAnsi="Arial" w:cs="Arial"/>
          <w:sz w:val="20"/>
          <w:szCs w:val="20"/>
          <w:lang w:eastAsia="sl-SI"/>
        </w:rPr>
        <w:t xml:space="preserve"> postopkov varnostnih preverjanj </w:t>
      </w:r>
      <w:r w:rsidRPr="00A335CB">
        <w:rPr>
          <w:rFonts w:ascii="Arial" w:hAnsi="Arial" w:cs="Arial"/>
          <w:sz w:val="20"/>
          <w:szCs w:val="20"/>
          <w:u w:val="single"/>
          <w:lang w:eastAsia="sl-SI"/>
        </w:rPr>
        <w:t>za fizične osebe</w:t>
      </w:r>
      <w:r w:rsidRPr="00A335CB">
        <w:rPr>
          <w:rFonts w:ascii="Arial" w:hAnsi="Arial" w:cs="Arial"/>
          <w:sz w:val="20"/>
          <w:szCs w:val="20"/>
          <w:lang w:eastAsia="sl-SI"/>
        </w:rPr>
        <w:t xml:space="preserve"> ali za 149,6</w:t>
      </w:r>
      <w:r w:rsidR="00020834" w:rsidRPr="00A335CB">
        <w:rPr>
          <w:rFonts w:ascii="Arial" w:hAnsi="Arial" w:cs="Arial"/>
          <w:sz w:val="20"/>
          <w:szCs w:val="20"/>
          <w:lang w:eastAsia="sl-SI"/>
        </w:rPr>
        <w:t xml:space="preserve"> </w:t>
      </w:r>
      <w:r w:rsidRPr="00A335CB">
        <w:rPr>
          <w:rFonts w:ascii="Arial" w:hAnsi="Arial" w:cs="Arial"/>
          <w:sz w:val="20"/>
          <w:szCs w:val="20"/>
          <w:lang w:eastAsia="sl-SI"/>
        </w:rPr>
        <w:t xml:space="preserve">% več kot leto pred tem. Razlog za povečanje je obdobno izdajanje novih dovoljenj za dostop do tajnih podatkov osebam, </w:t>
      </w:r>
      <w:r w:rsidR="004507FE" w:rsidRPr="00A335CB">
        <w:rPr>
          <w:rFonts w:ascii="Arial" w:hAnsi="Arial" w:cs="Arial"/>
          <w:sz w:val="20"/>
          <w:szCs w:val="20"/>
          <w:lang w:eastAsia="sl-SI"/>
        </w:rPr>
        <w:t>ki so jim</w:t>
      </w:r>
      <w:r w:rsidRPr="00A335CB">
        <w:rPr>
          <w:rFonts w:ascii="Arial" w:hAnsi="Arial" w:cs="Arial"/>
          <w:sz w:val="20"/>
          <w:szCs w:val="20"/>
          <w:lang w:eastAsia="sl-SI"/>
        </w:rPr>
        <w:t xml:space="preserve"> stara potekla. Postopki so s</w:t>
      </w:r>
      <w:r w:rsidR="00A832F2">
        <w:rPr>
          <w:rFonts w:ascii="Arial" w:hAnsi="Arial" w:cs="Arial"/>
          <w:sz w:val="20"/>
          <w:szCs w:val="20"/>
          <w:lang w:eastAsia="sl-SI"/>
        </w:rPr>
        <w:t>e nanašali na:</w:t>
      </w:r>
    </w:p>
    <w:p w14:paraId="41DE6134" w14:textId="77777777" w:rsidR="00653B9D" w:rsidRPr="00A335CB" w:rsidRDefault="00653B9D" w:rsidP="005D1A90">
      <w:pPr>
        <w:pStyle w:val="Odstavekseznama"/>
        <w:numPr>
          <w:ilvl w:val="0"/>
          <w:numId w:val="17"/>
        </w:numPr>
        <w:spacing w:after="0"/>
        <w:ind w:left="426" w:hanging="426"/>
        <w:rPr>
          <w:rFonts w:ascii="Arial" w:hAnsi="Arial" w:cs="Arial"/>
          <w:sz w:val="20"/>
          <w:szCs w:val="20"/>
        </w:rPr>
      </w:pPr>
      <w:r w:rsidRPr="00A335CB">
        <w:rPr>
          <w:rFonts w:ascii="Arial" w:hAnsi="Arial" w:cs="Arial"/>
          <w:sz w:val="20"/>
          <w:szCs w:val="20"/>
        </w:rPr>
        <w:t>114 (92) novih dovoljenj stopnje STROGO TAJNO,</w:t>
      </w:r>
    </w:p>
    <w:p w14:paraId="0B43E64E" w14:textId="77777777" w:rsidR="00653B9D" w:rsidRPr="00A335CB" w:rsidRDefault="00653B9D" w:rsidP="005D1A90">
      <w:pPr>
        <w:pStyle w:val="Odstavekseznama"/>
        <w:numPr>
          <w:ilvl w:val="0"/>
          <w:numId w:val="17"/>
        </w:numPr>
        <w:spacing w:after="0"/>
        <w:ind w:left="426" w:hanging="426"/>
        <w:rPr>
          <w:rFonts w:ascii="Arial" w:hAnsi="Arial" w:cs="Arial"/>
          <w:sz w:val="20"/>
          <w:szCs w:val="20"/>
        </w:rPr>
      </w:pPr>
      <w:r w:rsidRPr="00A335CB">
        <w:rPr>
          <w:rFonts w:ascii="Arial" w:hAnsi="Arial" w:cs="Arial"/>
          <w:sz w:val="20"/>
          <w:szCs w:val="20"/>
        </w:rPr>
        <w:t>1.051 (782) novih dovoljenj stopnje TAJNO,</w:t>
      </w:r>
    </w:p>
    <w:p w14:paraId="46E703B8" w14:textId="137B167A" w:rsidR="00653B9D" w:rsidRPr="00A335CB" w:rsidRDefault="00653B9D" w:rsidP="005D1A90">
      <w:pPr>
        <w:pStyle w:val="Odstavekseznama"/>
        <w:numPr>
          <w:ilvl w:val="0"/>
          <w:numId w:val="17"/>
        </w:numPr>
        <w:spacing w:after="0"/>
        <w:ind w:left="426" w:hanging="426"/>
        <w:rPr>
          <w:rFonts w:ascii="Arial" w:hAnsi="Arial" w:cs="Arial"/>
          <w:sz w:val="20"/>
          <w:szCs w:val="20"/>
        </w:rPr>
      </w:pPr>
      <w:r w:rsidRPr="00A335CB">
        <w:rPr>
          <w:rFonts w:ascii="Arial" w:hAnsi="Arial" w:cs="Arial"/>
          <w:sz w:val="20"/>
          <w:szCs w:val="20"/>
        </w:rPr>
        <w:t>3.263 (851) novih dovoljenj stopnje ZAUPNO,</w:t>
      </w:r>
    </w:p>
    <w:p w14:paraId="27868B54" w14:textId="77777777" w:rsidR="00653B9D" w:rsidRPr="00A335CB" w:rsidRDefault="00653B9D" w:rsidP="005D1A90">
      <w:pPr>
        <w:pStyle w:val="Odstavekseznama"/>
        <w:numPr>
          <w:ilvl w:val="0"/>
          <w:numId w:val="17"/>
        </w:numPr>
        <w:spacing w:after="0"/>
        <w:ind w:left="426" w:hanging="426"/>
        <w:rPr>
          <w:rFonts w:ascii="Arial" w:hAnsi="Arial" w:cs="Arial"/>
          <w:sz w:val="20"/>
          <w:szCs w:val="20"/>
        </w:rPr>
      </w:pPr>
      <w:r w:rsidRPr="00A335CB">
        <w:rPr>
          <w:rFonts w:ascii="Arial" w:hAnsi="Arial" w:cs="Arial"/>
          <w:sz w:val="20"/>
          <w:szCs w:val="20"/>
        </w:rPr>
        <w:t>26 (20) postopkov za spremembo osebnega imena,</w:t>
      </w:r>
    </w:p>
    <w:p w14:paraId="6F9BD50D" w14:textId="77777777" w:rsidR="00653B9D" w:rsidRPr="00A335CB" w:rsidRDefault="00653B9D" w:rsidP="005D1A90">
      <w:pPr>
        <w:pStyle w:val="Odstavekseznama"/>
        <w:numPr>
          <w:ilvl w:val="0"/>
          <w:numId w:val="17"/>
        </w:numPr>
        <w:spacing w:after="0"/>
        <w:ind w:left="426" w:hanging="426"/>
        <w:rPr>
          <w:rFonts w:ascii="Arial" w:hAnsi="Arial" w:cs="Arial"/>
          <w:sz w:val="20"/>
          <w:szCs w:val="20"/>
        </w:rPr>
      </w:pPr>
      <w:r w:rsidRPr="00A335CB">
        <w:rPr>
          <w:rFonts w:ascii="Arial" w:hAnsi="Arial" w:cs="Arial"/>
          <w:sz w:val="20"/>
          <w:szCs w:val="20"/>
        </w:rPr>
        <w:t>11 (35) postopkov potrditve veljavnosti dovoljenja,</w:t>
      </w:r>
    </w:p>
    <w:p w14:paraId="48495520" w14:textId="5BE26DCF" w:rsidR="00653B9D" w:rsidRPr="00A335CB" w:rsidRDefault="00653B9D" w:rsidP="005D1A90">
      <w:pPr>
        <w:pStyle w:val="Odstavekseznama"/>
        <w:numPr>
          <w:ilvl w:val="0"/>
          <w:numId w:val="17"/>
        </w:numPr>
        <w:spacing w:after="0"/>
        <w:ind w:left="426" w:hanging="426"/>
        <w:rPr>
          <w:rFonts w:ascii="Arial" w:hAnsi="Arial" w:cs="Arial"/>
          <w:sz w:val="20"/>
          <w:szCs w:val="20"/>
        </w:rPr>
      </w:pPr>
      <w:r w:rsidRPr="00A335CB">
        <w:rPr>
          <w:rFonts w:ascii="Arial" w:hAnsi="Arial" w:cs="Arial"/>
          <w:sz w:val="20"/>
          <w:szCs w:val="20"/>
        </w:rPr>
        <w:t>67 (0) postopkov za enkratn</w:t>
      </w:r>
      <w:r w:rsidR="004507FE">
        <w:rPr>
          <w:rFonts w:ascii="Arial" w:hAnsi="Arial" w:cs="Arial"/>
          <w:sz w:val="20"/>
          <w:szCs w:val="20"/>
        </w:rPr>
        <w:t>i</w:t>
      </w:r>
      <w:r w:rsidRPr="00A335CB">
        <w:rPr>
          <w:rFonts w:ascii="Arial" w:hAnsi="Arial" w:cs="Arial"/>
          <w:sz w:val="20"/>
          <w:szCs w:val="20"/>
        </w:rPr>
        <w:t xml:space="preserve"> dostop.</w:t>
      </w:r>
    </w:p>
    <w:p w14:paraId="40537AC7" w14:textId="45439B8E" w:rsidR="00653B9D" w:rsidRPr="00A335CB" w:rsidRDefault="00653B9D" w:rsidP="005D1A90">
      <w:pPr>
        <w:spacing w:after="0" w:line="276" w:lineRule="auto"/>
        <w:jc w:val="both"/>
        <w:rPr>
          <w:rFonts w:ascii="Arial" w:hAnsi="Arial" w:cs="Arial"/>
          <w:sz w:val="20"/>
          <w:szCs w:val="20"/>
          <w:lang w:eastAsia="sl-SI"/>
        </w:rPr>
      </w:pPr>
    </w:p>
    <w:p w14:paraId="30715DBF" w14:textId="1550B3F5" w:rsidR="005C25B4" w:rsidRDefault="00653B9D" w:rsidP="00A173B5">
      <w:pPr>
        <w:spacing w:after="0" w:line="276" w:lineRule="auto"/>
        <w:jc w:val="both"/>
        <w:rPr>
          <w:rFonts w:ascii="Arial" w:hAnsi="Arial" w:cs="Arial"/>
          <w:sz w:val="20"/>
          <w:szCs w:val="20"/>
          <w:lang w:eastAsia="sl-SI"/>
        </w:rPr>
      </w:pPr>
      <w:r w:rsidRPr="00A335CB">
        <w:rPr>
          <w:rFonts w:ascii="Arial" w:hAnsi="Arial" w:cs="Arial"/>
          <w:sz w:val="20"/>
          <w:szCs w:val="20"/>
          <w:lang w:eastAsia="sl-SI"/>
        </w:rPr>
        <w:t>Od 4.532 uvedenih postopkov je bilo fizičnim osebam izdanih 4.012 (1.580) novih dovoljenj, 70 (28) postopkov je bi</w:t>
      </w:r>
      <w:r w:rsidR="000616D0" w:rsidRPr="00A335CB">
        <w:rPr>
          <w:rFonts w:ascii="Arial" w:hAnsi="Arial" w:cs="Arial"/>
          <w:sz w:val="20"/>
          <w:szCs w:val="20"/>
          <w:lang w:eastAsia="sl-SI"/>
        </w:rPr>
        <w:t>lo ustavljenih, 1 (12) postopek je bil zavržen</w:t>
      </w:r>
      <w:r w:rsidRPr="00A335CB">
        <w:rPr>
          <w:rFonts w:ascii="Arial" w:hAnsi="Arial" w:cs="Arial"/>
          <w:sz w:val="20"/>
          <w:szCs w:val="20"/>
          <w:lang w:eastAsia="sl-SI"/>
        </w:rPr>
        <w:t>, 439 postopkov pa je bilo konec leta 2024 še v reševanju.</w:t>
      </w:r>
    </w:p>
    <w:p w14:paraId="7335B89C" w14:textId="5A04760A" w:rsidR="005C25B4" w:rsidRPr="00A335CB" w:rsidRDefault="005C25B4" w:rsidP="005D1A90">
      <w:pPr>
        <w:tabs>
          <w:tab w:val="left" w:pos="2520"/>
        </w:tabs>
        <w:spacing w:after="120" w:line="276" w:lineRule="auto"/>
        <w:jc w:val="both"/>
        <w:rPr>
          <w:rFonts w:ascii="Arial" w:hAnsi="Arial" w:cs="Arial"/>
          <w:sz w:val="20"/>
          <w:szCs w:val="20"/>
          <w:highlight w:val="yellow"/>
        </w:rPr>
      </w:pPr>
    </w:p>
    <w:tbl>
      <w:tblPr>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6"/>
        <w:gridCol w:w="641"/>
        <w:gridCol w:w="641"/>
        <w:gridCol w:w="641"/>
        <w:gridCol w:w="641"/>
        <w:gridCol w:w="693"/>
        <w:gridCol w:w="641"/>
      </w:tblGrid>
      <w:tr w:rsidR="00BD47E0" w:rsidRPr="00A335CB" w14:paraId="0E10F0BB" w14:textId="77777777" w:rsidTr="00090839">
        <w:trPr>
          <w:trHeight w:val="420"/>
        </w:trPr>
        <w:tc>
          <w:tcPr>
            <w:tcW w:w="3516" w:type="dxa"/>
            <w:shd w:val="clear" w:color="auto" w:fill="E6E6E6"/>
            <w:noWrap/>
            <w:vAlign w:val="center"/>
          </w:tcPr>
          <w:p w14:paraId="3E6FF44B" w14:textId="77777777" w:rsidR="00653B9D" w:rsidRPr="00A335CB" w:rsidRDefault="00653B9D" w:rsidP="005D1A90">
            <w:pPr>
              <w:spacing w:before="80" w:after="80" w:line="276" w:lineRule="auto"/>
              <w:rPr>
                <w:rFonts w:ascii="Arial" w:hAnsi="Arial" w:cs="Arial"/>
                <w:b/>
                <w:sz w:val="20"/>
                <w:szCs w:val="20"/>
              </w:rPr>
            </w:pPr>
            <w:r w:rsidRPr="00A335CB">
              <w:rPr>
                <w:rFonts w:ascii="Arial" w:hAnsi="Arial" w:cs="Arial"/>
                <w:b/>
                <w:sz w:val="20"/>
                <w:szCs w:val="20"/>
              </w:rPr>
              <w:t>Leto</w:t>
            </w:r>
          </w:p>
        </w:tc>
        <w:tc>
          <w:tcPr>
            <w:tcW w:w="639" w:type="dxa"/>
            <w:shd w:val="clear" w:color="auto" w:fill="E6E6E6"/>
            <w:vAlign w:val="center"/>
          </w:tcPr>
          <w:p w14:paraId="67FBB949"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2019</w:t>
            </w:r>
          </w:p>
        </w:tc>
        <w:tc>
          <w:tcPr>
            <w:tcW w:w="638" w:type="dxa"/>
            <w:shd w:val="clear" w:color="auto" w:fill="E6E6E6"/>
            <w:vAlign w:val="center"/>
          </w:tcPr>
          <w:p w14:paraId="3F000FC5"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2020</w:t>
            </w:r>
          </w:p>
        </w:tc>
        <w:tc>
          <w:tcPr>
            <w:tcW w:w="638" w:type="dxa"/>
            <w:shd w:val="clear" w:color="auto" w:fill="E6E6E6"/>
            <w:vAlign w:val="center"/>
          </w:tcPr>
          <w:p w14:paraId="0069C1C7"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2021</w:t>
            </w:r>
          </w:p>
        </w:tc>
        <w:tc>
          <w:tcPr>
            <w:tcW w:w="638" w:type="dxa"/>
            <w:shd w:val="clear" w:color="auto" w:fill="E6E6E6"/>
            <w:vAlign w:val="center"/>
          </w:tcPr>
          <w:p w14:paraId="743B8E29"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2022</w:t>
            </w:r>
          </w:p>
        </w:tc>
        <w:tc>
          <w:tcPr>
            <w:tcW w:w="730" w:type="dxa"/>
            <w:shd w:val="clear" w:color="auto" w:fill="E6E6E6"/>
          </w:tcPr>
          <w:p w14:paraId="2BC9B4CE"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2023</w:t>
            </w:r>
          </w:p>
        </w:tc>
        <w:tc>
          <w:tcPr>
            <w:tcW w:w="615" w:type="dxa"/>
            <w:shd w:val="clear" w:color="auto" w:fill="E6E6E6"/>
          </w:tcPr>
          <w:p w14:paraId="742A1913"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2024</w:t>
            </w:r>
          </w:p>
        </w:tc>
      </w:tr>
      <w:tr w:rsidR="00BD47E0" w:rsidRPr="00A335CB" w14:paraId="06D2CFEC" w14:textId="77777777" w:rsidTr="00090839">
        <w:trPr>
          <w:trHeight w:val="420"/>
        </w:trPr>
        <w:tc>
          <w:tcPr>
            <w:tcW w:w="3516" w:type="dxa"/>
            <w:noWrap/>
            <w:vAlign w:val="center"/>
          </w:tcPr>
          <w:p w14:paraId="3AEFEF1B"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Predlogi za izdajo dovoljenja</w:t>
            </w:r>
          </w:p>
        </w:tc>
        <w:tc>
          <w:tcPr>
            <w:tcW w:w="639" w:type="dxa"/>
            <w:vAlign w:val="center"/>
          </w:tcPr>
          <w:p w14:paraId="21B4A8F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2.019</w:t>
            </w:r>
          </w:p>
        </w:tc>
        <w:tc>
          <w:tcPr>
            <w:tcW w:w="638" w:type="dxa"/>
            <w:vAlign w:val="center"/>
          </w:tcPr>
          <w:p w14:paraId="2AC3C50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1.608</w:t>
            </w:r>
          </w:p>
        </w:tc>
        <w:tc>
          <w:tcPr>
            <w:tcW w:w="638" w:type="dxa"/>
            <w:vAlign w:val="center"/>
          </w:tcPr>
          <w:p w14:paraId="3369A21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1.671</w:t>
            </w:r>
          </w:p>
        </w:tc>
        <w:tc>
          <w:tcPr>
            <w:tcW w:w="638" w:type="dxa"/>
            <w:vAlign w:val="bottom"/>
          </w:tcPr>
          <w:p w14:paraId="767B0C76"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1.414</w:t>
            </w:r>
          </w:p>
        </w:tc>
        <w:tc>
          <w:tcPr>
            <w:tcW w:w="730" w:type="dxa"/>
          </w:tcPr>
          <w:p w14:paraId="699A0419"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1.816</w:t>
            </w:r>
          </w:p>
        </w:tc>
        <w:tc>
          <w:tcPr>
            <w:tcW w:w="615" w:type="dxa"/>
          </w:tcPr>
          <w:p w14:paraId="549C2F63" w14:textId="77777777" w:rsidR="00653B9D" w:rsidRPr="00A335CB" w:rsidDel="00622477"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4.532</w:t>
            </w:r>
          </w:p>
        </w:tc>
      </w:tr>
      <w:tr w:rsidR="00BD47E0" w:rsidRPr="00A335CB" w14:paraId="60142E99" w14:textId="77777777" w:rsidTr="00090839">
        <w:trPr>
          <w:trHeight w:val="420"/>
        </w:trPr>
        <w:tc>
          <w:tcPr>
            <w:tcW w:w="3516" w:type="dxa"/>
            <w:shd w:val="clear" w:color="auto" w:fill="E6E6E6"/>
            <w:vAlign w:val="center"/>
          </w:tcPr>
          <w:p w14:paraId="607F33E0" w14:textId="77777777" w:rsidR="00653B9D" w:rsidRPr="00A335CB" w:rsidRDefault="00653B9D" w:rsidP="005D1A90">
            <w:pPr>
              <w:spacing w:before="80" w:after="80" w:line="276" w:lineRule="auto"/>
              <w:rPr>
                <w:rFonts w:ascii="Arial" w:hAnsi="Arial" w:cs="Arial"/>
                <w:bCs/>
                <w:sz w:val="20"/>
                <w:szCs w:val="20"/>
              </w:rPr>
            </w:pPr>
            <w:r w:rsidRPr="00A335CB">
              <w:rPr>
                <w:rFonts w:ascii="Arial" w:hAnsi="Arial" w:cs="Arial"/>
                <w:bCs/>
                <w:sz w:val="20"/>
                <w:szCs w:val="20"/>
              </w:rPr>
              <w:t>Izdana dovoljenja – skupaj</w:t>
            </w:r>
          </w:p>
        </w:tc>
        <w:tc>
          <w:tcPr>
            <w:tcW w:w="639" w:type="dxa"/>
            <w:shd w:val="clear" w:color="auto" w:fill="E6E6E6"/>
            <w:vAlign w:val="center"/>
          </w:tcPr>
          <w:p w14:paraId="0AF5F97C"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2.010</w:t>
            </w:r>
          </w:p>
        </w:tc>
        <w:tc>
          <w:tcPr>
            <w:tcW w:w="638" w:type="dxa"/>
            <w:shd w:val="clear" w:color="auto" w:fill="E6E6E6"/>
            <w:vAlign w:val="center"/>
          </w:tcPr>
          <w:p w14:paraId="1970CD1C"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1.561</w:t>
            </w:r>
          </w:p>
        </w:tc>
        <w:tc>
          <w:tcPr>
            <w:tcW w:w="638" w:type="dxa"/>
            <w:shd w:val="clear" w:color="auto" w:fill="E6E6E6"/>
            <w:vAlign w:val="center"/>
          </w:tcPr>
          <w:p w14:paraId="17797474"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1.368</w:t>
            </w:r>
          </w:p>
        </w:tc>
        <w:tc>
          <w:tcPr>
            <w:tcW w:w="638" w:type="dxa"/>
            <w:shd w:val="clear" w:color="auto" w:fill="E6E6E6"/>
            <w:vAlign w:val="bottom"/>
          </w:tcPr>
          <w:p w14:paraId="29755258"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1.252</w:t>
            </w:r>
          </w:p>
        </w:tc>
        <w:tc>
          <w:tcPr>
            <w:tcW w:w="730" w:type="dxa"/>
            <w:shd w:val="clear" w:color="auto" w:fill="E6E6E6"/>
          </w:tcPr>
          <w:p w14:paraId="14E4C965"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1.580</w:t>
            </w:r>
          </w:p>
        </w:tc>
        <w:tc>
          <w:tcPr>
            <w:tcW w:w="615" w:type="dxa"/>
            <w:shd w:val="clear" w:color="auto" w:fill="E6E6E6"/>
          </w:tcPr>
          <w:p w14:paraId="280EEFD9" w14:textId="77777777" w:rsidR="00653B9D" w:rsidRPr="00A335CB" w:rsidDel="00622477"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4.012</w:t>
            </w:r>
          </w:p>
        </w:tc>
      </w:tr>
      <w:tr w:rsidR="00BD47E0" w:rsidRPr="00A335CB" w14:paraId="1D410A49" w14:textId="77777777" w:rsidTr="00090839">
        <w:trPr>
          <w:trHeight w:val="420"/>
        </w:trPr>
        <w:tc>
          <w:tcPr>
            <w:tcW w:w="3516" w:type="dxa"/>
            <w:shd w:val="clear" w:color="auto" w:fill="FFFFFF"/>
            <w:vAlign w:val="center"/>
          </w:tcPr>
          <w:p w14:paraId="014C8A76"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Strogo tajno</w:t>
            </w:r>
          </w:p>
        </w:tc>
        <w:tc>
          <w:tcPr>
            <w:tcW w:w="639" w:type="dxa"/>
            <w:shd w:val="clear" w:color="auto" w:fill="FFFFFF"/>
            <w:vAlign w:val="center"/>
          </w:tcPr>
          <w:p w14:paraId="70689367"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93</w:t>
            </w:r>
          </w:p>
        </w:tc>
        <w:tc>
          <w:tcPr>
            <w:tcW w:w="638" w:type="dxa"/>
            <w:shd w:val="clear" w:color="auto" w:fill="FFFFFF"/>
            <w:vAlign w:val="center"/>
          </w:tcPr>
          <w:p w14:paraId="76EBBBA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79</w:t>
            </w:r>
          </w:p>
        </w:tc>
        <w:tc>
          <w:tcPr>
            <w:tcW w:w="638" w:type="dxa"/>
            <w:shd w:val="clear" w:color="auto" w:fill="FFFFFF"/>
            <w:vAlign w:val="center"/>
          </w:tcPr>
          <w:p w14:paraId="4C8A9D9B"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100</w:t>
            </w:r>
          </w:p>
        </w:tc>
        <w:tc>
          <w:tcPr>
            <w:tcW w:w="638" w:type="dxa"/>
            <w:shd w:val="clear" w:color="auto" w:fill="FFFFFF"/>
            <w:vAlign w:val="bottom"/>
          </w:tcPr>
          <w:p w14:paraId="7CCD161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76</w:t>
            </w:r>
          </w:p>
        </w:tc>
        <w:tc>
          <w:tcPr>
            <w:tcW w:w="730" w:type="dxa"/>
            <w:shd w:val="clear" w:color="auto" w:fill="FFFFFF"/>
          </w:tcPr>
          <w:p w14:paraId="62D5D8A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92</w:t>
            </w:r>
          </w:p>
        </w:tc>
        <w:tc>
          <w:tcPr>
            <w:tcW w:w="615" w:type="dxa"/>
            <w:shd w:val="clear" w:color="auto" w:fill="FFFFFF"/>
          </w:tcPr>
          <w:p w14:paraId="40E49BF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114</w:t>
            </w:r>
          </w:p>
        </w:tc>
      </w:tr>
      <w:tr w:rsidR="00BD47E0" w:rsidRPr="00A335CB" w14:paraId="2DCE89E9" w14:textId="77777777" w:rsidTr="00090839">
        <w:trPr>
          <w:trHeight w:val="420"/>
        </w:trPr>
        <w:tc>
          <w:tcPr>
            <w:tcW w:w="3516" w:type="dxa"/>
            <w:shd w:val="clear" w:color="auto" w:fill="FFFFFF"/>
            <w:vAlign w:val="center"/>
          </w:tcPr>
          <w:p w14:paraId="63345009"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Tajno</w:t>
            </w:r>
          </w:p>
        </w:tc>
        <w:tc>
          <w:tcPr>
            <w:tcW w:w="639" w:type="dxa"/>
            <w:shd w:val="clear" w:color="auto" w:fill="FFFFFF"/>
            <w:vAlign w:val="center"/>
          </w:tcPr>
          <w:p w14:paraId="68EF47F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881</w:t>
            </w:r>
          </w:p>
        </w:tc>
        <w:tc>
          <w:tcPr>
            <w:tcW w:w="638" w:type="dxa"/>
            <w:shd w:val="clear" w:color="auto" w:fill="FFFFFF"/>
            <w:vAlign w:val="center"/>
          </w:tcPr>
          <w:p w14:paraId="3EA9327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708</w:t>
            </w:r>
          </w:p>
        </w:tc>
        <w:tc>
          <w:tcPr>
            <w:tcW w:w="638" w:type="dxa"/>
            <w:shd w:val="clear" w:color="auto" w:fill="FFFFFF"/>
            <w:vAlign w:val="center"/>
          </w:tcPr>
          <w:p w14:paraId="7C00CCB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754</w:t>
            </w:r>
          </w:p>
        </w:tc>
        <w:tc>
          <w:tcPr>
            <w:tcW w:w="638" w:type="dxa"/>
            <w:shd w:val="clear" w:color="auto" w:fill="FFFFFF"/>
            <w:vAlign w:val="bottom"/>
          </w:tcPr>
          <w:p w14:paraId="45BBC854"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769</w:t>
            </w:r>
          </w:p>
        </w:tc>
        <w:tc>
          <w:tcPr>
            <w:tcW w:w="730" w:type="dxa"/>
            <w:shd w:val="clear" w:color="auto" w:fill="FFFFFF"/>
          </w:tcPr>
          <w:p w14:paraId="50010B9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782</w:t>
            </w:r>
          </w:p>
        </w:tc>
        <w:tc>
          <w:tcPr>
            <w:tcW w:w="615" w:type="dxa"/>
            <w:shd w:val="clear" w:color="auto" w:fill="FFFFFF"/>
          </w:tcPr>
          <w:p w14:paraId="532782B7"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1.051</w:t>
            </w:r>
          </w:p>
        </w:tc>
      </w:tr>
      <w:tr w:rsidR="00BD47E0" w:rsidRPr="00A335CB" w14:paraId="32238E1E" w14:textId="77777777" w:rsidTr="00090839">
        <w:trPr>
          <w:trHeight w:val="420"/>
        </w:trPr>
        <w:tc>
          <w:tcPr>
            <w:tcW w:w="3516" w:type="dxa"/>
            <w:shd w:val="clear" w:color="auto" w:fill="FFFFFF"/>
            <w:vAlign w:val="center"/>
          </w:tcPr>
          <w:p w14:paraId="678D8AE8"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Zaupno</w:t>
            </w:r>
          </w:p>
        </w:tc>
        <w:tc>
          <w:tcPr>
            <w:tcW w:w="639" w:type="dxa"/>
            <w:shd w:val="clear" w:color="auto" w:fill="FFFFFF"/>
            <w:vAlign w:val="center"/>
          </w:tcPr>
          <w:p w14:paraId="3C16C94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949</w:t>
            </w:r>
          </w:p>
        </w:tc>
        <w:tc>
          <w:tcPr>
            <w:tcW w:w="638" w:type="dxa"/>
            <w:shd w:val="clear" w:color="auto" w:fill="FFFFFF"/>
            <w:vAlign w:val="center"/>
          </w:tcPr>
          <w:p w14:paraId="5133E728"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774</w:t>
            </w:r>
          </w:p>
        </w:tc>
        <w:tc>
          <w:tcPr>
            <w:tcW w:w="638" w:type="dxa"/>
            <w:shd w:val="clear" w:color="auto" w:fill="FFFFFF"/>
            <w:vAlign w:val="center"/>
          </w:tcPr>
          <w:p w14:paraId="4F37BEE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700</w:t>
            </w:r>
          </w:p>
        </w:tc>
        <w:tc>
          <w:tcPr>
            <w:tcW w:w="638" w:type="dxa"/>
            <w:shd w:val="clear" w:color="auto" w:fill="FFFFFF"/>
            <w:vAlign w:val="bottom"/>
          </w:tcPr>
          <w:p w14:paraId="28A26CF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491</w:t>
            </w:r>
          </w:p>
        </w:tc>
        <w:tc>
          <w:tcPr>
            <w:tcW w:w="730" w:type="dxa"/>
            <w:shd w:val="clear" w:color="auto" w:fill="FFFFFF"/>
          </w:tcPr>
          <w:p w14:paraId="7A3A440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851</w:t>
            </w:r>
          </w:p>
        </w:tc>
        <w:tc>
          <w:tcPr>
            <w:tcW w:w="615" w:type="dxa"/>
            <w:shd w:val="clear" w:color="auto" w:fill="FFFFFF"/>
          </w:tcPr>
          <w:p w14:paraId="2850784B"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3.263</w:t>
            </w:r>
          </w:p>
        </w:tc>
      </w:tr>
      <w:tr w:rsidR="00BD47E0" w:rsidRPr="00A335CB" w14:paraId="3B317A38" w14:textId="77777777" w:rsidTr="00090839">
        <w:trPr>
          <w:trHeight w:val="420"/>
        </w:trPr>
        <w:tc>
          <w:tcPr>
            <w:tcW w:w="3516" w:type="dxa"/>
            <w:shd w:val="clear" w:color="auto" w:fill="FFFFFF"/>
            <w:vAlign w:val="center"/>
          </w:tcPr>
          <w:p w14:paraId="190FE992"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Zavrnitev izdaje dovoljenja</w:t>
            </w:r>
          </w:p>
        </w:tc>
        <w:tc>
          <w:tcPr>
            <w:tcW w:w="639" w:type="dxa"/>
            <w:shd w:val="clear" w:color="auto" w:fill="FFFFFF"/>
            <w:vAlign w:val="center"/>
          </w:tcPr>
          <w:p w14:paraId="1280434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38" w:type="dxa"/>
            <w:shd w:val="clear" w:color="auto" w:fill="FFFFFF"/>
            <w:vAlign w:val="center"/>
          </w:tcPr>
          <w:p w14:paraId="5DA0FDD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638" w:type="dxa"/>
            <w:shd w:val="clear" w:color="auto" w:fill="FFFFFF"/>
            <w:vAlign w:val="center"/>
          </w:tcPr>
          <w:p w14:paraId="0435EF4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638" w:type="dxa"/>
            <w:shd w:val="clear" w:color="auto" w:fill="FFFFFF"/>
            <w:vAlign w:val="bottom"/>
          </w:tcPr>
          <w:p w14:paraId="242A358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730" w:type="dxa"/>
            <w:shd w:val="clear" w:color="auto" w:fill="FFFFFF"/>
          </w:tcPr>
          <w:p w14:paraId="0254BD7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15" w:type="dxa"/>
            <w:shd w:val="clear" w:color="auto" w:fill="FFFFFF"/>
          </w:tcPr>
          <w:p w14:paraId="07F41E0C"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r>
      <w:tr w:rsidR="00BD47E0" w:rsidRPr="00A335CB" w14:paraId="26652ABE" w14:textId="77777777" w:rsidTr="00090839">
        <w:trPr>
          <w:trHeight w:val="420"/>
        </w:trPr>
        <w:tc>
          <w:tcPr>
            <w:tcW w:w="3516" w:type="dxa"/>
            <w:shd w:val="clear" w:color="auto" w:fill="FFFFFF"/>
            <w:vAlign w:val="center"/>
          </w:tcPr>
          <w:p w14:paraId="742A883A"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Zavrženi predlogi</w:t>
            </w:r>
          </w:p>
        </w:tc>
        <w:tc>
          <w:tcPr>
            <w:tcW w:w="639" w:type="dxa"/>
            <w:shd w:val="clear" w:color="auto" w:fill="FFFFFF"/>
            <w:vAlign w:val="center"/>
          </w:tcPr>
          <w:p w14:paraId="1EB91E7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17</w:t>
            </w:r>
          </w:p>
        </w:tc>
        <w:tc>
          <w:tcPr>
            <w:tcW w:w="638" w:type="dxa"/>
            <w:shd w:val="clear" w:color="auto" w:fill="FFFFFF"/>
            <w:vAlign w:val="center"/>
          </w:tcPr>
          <w:p w14:paraId="3ED1BB2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c>
          <w:tcPr>
            <w:tcW w:w="638" w:type="dxa"/>
            <w:shd w:val="clear" w:color="auto" w:fill="FFFFFF"/>
            <w:vAlign w:val="center"/>
          </w:tcPr>
          <w:p w14:paraId="0F069D4B"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w:t>
            </w:r>
          </w:p>
        </w:tc>
        <w:tc>
          <w:tcPr>
            <w:tcW w:w="638" w:type="dxa"/>
            <w:shd w:val="clear" w:color="auto" w:fill="FFFFFF"/>
            <w:vAlign w:val="bottom"/>
          </w:tcPr>
          <w:p w14:paraId="0BCD07F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w:t>
            </w:r>
          </w:p>
        </w:tc>
        <w:tc>
          <w:tcPr>
            <w:tcW w:w="730" w:type="dxa"/>
            <w:shd w:val="clear" w:color="auto" w:fill="FFFFFF"/>
          </w:tcPr>
          <w:p w14:paraId="53B7274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12</w:t>
            </w:r>
          </w:p>
        </w:tc>
        <w:tc>
          <w:tcPr>
            <w:tcW w:w="615" w:type="dxa"/>
            <w:shd w:val="clear" w:color="auto" w:fill="FFFFFF"/>
          </w:tcPr>
          <w:p w14:paraId="346BCB5B"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11</w:t>
            </w:r>
          </w:p>
        </w:tc>
      </w:tr>
      <w:tr w:rsidR="00BD47E0" w:rsidRPr="00A335CB" w14:paraId="601BF071" w14:textId="77777777" w:rsidTr="00090839">
        <w:trPr>
          <w:trHeight w:val="420"/>
        </w:trPr>
        <w:tc>
          <w:tcPr>
            <w:tcW w:w="3516" w:type="dxa"/>
            <w:shd w:val="clear" w:color="auto" w:fill="FFFFFF"/>
            <w:vAlign w:val="center"/>
          </w:tcPr>
          <w:p w14:paraId="122575D8"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Tožba na zavrnilno odločbo</w:t>
            </w:r>
          </w:p>
        </w:tc>
        <w:tc>
          <w:tcPr>
            <w:tcW w:w="639" w:type="dxa"/>
            <w:shd w:val="clear" w:color="auto" w:fill="FFFFFF"/>
            <w:vAlign w:val="center"/>
          </w:tcPr>
          <w:p w14:paraId="4226A98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38" w:type="dxa"/>
            <w:shd w:val="clear" w:color="auto" w:fill="FFFFFF"/>
            <w:vAlign w:val="center"/>
          </w:tcPr>
          <w:p w14:paraId="604158A8"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38" w:type="dxa"/>
            <w:shd w:val="clear" w:color="auto" w:fill="FFFFFF"/>
            <w:vAlign w:val="center"/>
          </w:tcPr>
          <w:p w14:paraId="45F317F9"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638" w:type="dxa"/>
            <w:shd w:val="clear" w:color="auto" w:fill="FFFFFF"/>
            <w:vAlign w:val="bottom"/>
          </w:tcPr>
          <w:p w14:paraId="19EB775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30" w:type="dxa"/>
            <w:shd w:val="clear" w:color="auto" w:fill="FFFFFF"/>
          </w:tcPr>
          <w:p w14:paraId="794EDE5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15" w:type="dxa"/>
            <w:shd w:val="clear" w:color="auto" w:fill="FFFFFF"/>
          </w:tcPr>
          <w:p w14:paraId="61B461E1"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r>
      <w:tr w:rsidR="00BD47E0" w:rsidRPr="00A335CB" w14:paraId="08E10638" w14:textId="77777777" w:rsidTr="00090839">
        <w:trPr>
          <w:trHeight w:val="420"/>
        </w:trPr>
        <w:tc>
          <w:tcPr>
            <w:tcW w:w="3516" w:type="dxa"/>
            <w:shd w:val="clear" w:color="auto" w:fill="FFFFFF"/>
            <w:vAlign w:val="center"/>
          </w:tcPr>
          <w:p w14:paraId="2AE41AFC"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Ustavljen postopek</w:t>
            </w:r>
          </w:p>
        </w:tc>
        <w:tc>
          <w:tcPr>
            <w:tcW w:w="639" w:type="dxa"/>
            <w:shd w:val="clear" w:color="auto" w:fill="FFFFFF"/>
            <w:vAlign w:val="center"/>
          </w:tcPr>
          <w:p w14:paraId="0BEBF9A9"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638" w:type="dxa"/>
            <w:shd w:val="clear" w:color="auto" w:fill="FFFFFF"/>
            <w:vAlign w:val="center"/>
          </w:tcPr>
          <w:p w14:paraId="76D5802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11</w:t>
            </w:r>
          </w:p>
        </w:tc>
        <w:tc>
          <w:tcPr>
            <w:tcW w:w="638" w:type="dxa"/>
            <w:shd w:val="clear" w:color="auto" w:fill="FFFFFF"/>
            <w:vAlign w:val="center"/>
          </w:tcPr>
          <w:p w14:paraId="77A1C44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19</w:t>
            </w:r>
          </w:p>
        </w:tc>
        <w:tc>
          <w:tcPr>
            <w:tcW w:w="638" w:type="dxa"/>
            <w:shd w:val="clear" w:color="auto" w:fill="FFFFFF"/>
            <w:vAlign w:val="bottom"/>
          </w:tcPr>
          <w:p w14:paraId="13F505C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22</w:t>
            </w:r>
          </w:p>
        </w:tc>
        <w:tc>
          <w:tcPr>
            <w:tcW w:w="730" w:type="dxa"/>
            <w:shd w:val="clear" w:color="auto" w:fill="FFFFFF"/>
          </w:tcPr>
          <w:p w14:paraId="39EC9A7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28</w:t>
            </w:r>
          </w:p>
        </w:tc>
        <w:tc>
          <w:tcPr>
            <w:tcW w:w="615" w:type="dxa"/>
            <w:shd w:val="clear" w:color="auto" w:fill="FFFFFF"/>
          </w:tcPr>
          <w:p w14:paraId="44EE668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70</w:t>
            </w:r>
          </w:p>
        </w:tc>
      </w:tr>
      <w:tr w:rsidR="00BD47E0" w:rsidRPr="00A335CB" w14:paraId="5BFCDB2B" w14:textId="77777777" w:rsidTr="00090839">
        <w:trPr>
          <w:trHeight w:val="420"/>
        </w:trPr>
        <w:tc>
          <w:tcPr>
            <w:tcW w:w="3516" w:type="dxa"/>
            <w:shd w:val="clear" w:color="auto" w:fill="FFFFFF"/>
            <w:vAlign w:val="center"/>
          </w:tcPr>
          <w:p w14:paraId="3BB84166"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Vmesno varnostno preverjanje</w:t>
            </w:r>
          </w:p>
        </w:tc>
        <w:tc>
          <w:tcPr>
            <w:tcW w:w="639" w:type="dxa"/>
            <w:shd w:val="clear" w:color="auto" w:fill="FFFFFF"/>
            <w:vAlign w:val="center"/>
          </w:tcPr>
          <w:p w14:paraId="26B1C298"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5</w:t>
            </w:r>
          </w:p>
        </w:tc>
        <w:tc>
          <w:tcPr>
            <w:tcW w:w="638" w:type="dxa"/>
            <w:shd w:val="clear" w:color="auto" w:fill="FFFFFF"/>
            <w:vAlign w:val="center"/>
          </w:tcPr>
          <w:p w14:paraId="0C83013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w:t>
            </w:r>
          </w:p>
        </w:tc>
        <w:tc>
          <w:tcPr>
            <w:tcW w:w="638" w:type="dxa"/>
            <w:shd w:val="clear" w:color="auto" w:fill="FFFFFF"/>
            <w:vAlign w:val="center"/>
          </w:tcPr>
          <w:p w14:paraId="18D22CB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5</w:t>
            </w:r>
          </w:p>
        </w:tc>
        <w:tc>
          <w:tcPr>
            <w:tcW w:w="638" w:type="dxa"/>
            <w:shd w:val="clear" w:color="auto" w:fill="FFFFFF"/>
            <w:vAlign w:val="bottom"/>
          </w:tcPr>
          <w:p w14:paraId="520B2A5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w:t>
            </w:r>
          </w:p>
        </w:tc>
        <w:tc>
          <w:tcPr>
            <w:tcW w:w="730" w:type="dxa"/>
            <w:shd w:val="clear" w:color="auto" w:fill="FFFFFF"/>
          </w:tcPr>
          <w:p w14:paraId="116564F1"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w:t>
            </w:r>
          </w:p>
        </w:tc>
        <w:tc>
          <w:tcPr>
            <w:tcW w:w="615" w:type="dxa"/>
            <w:shd w:val="clear" w:color="auto" w:fill="FFFFFF"/>
          </w:tcPr>
          <w:p w14:paraId="79DE30A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r>
      <w:tr w:rsidR="00BD47E0" w:rsidRPr="00A335CB" w14:paraId="02440BB6" w14:textId="77777777" w:rsidTr="00090839">
        <w:trPr>
          <w:trHeight w:val="420"/>
        </w:trPr>
        <w:tc>
          <w:tcPr>
            <w:tcW w:w="3516" w:type="dxa"/>
            <w:shd w:val="clear" w:color="auto" w:fill="FFFFFF"/>
            <w:vAlign w:val="center"/>
          </w:tcPr>
          <w:p w14:paraId="0E70E780"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Potrditev veljavnosti dovolj</w:t>
            </w:r>
          </w:p>
        </w:tc>
        <w:tc>
          <w:tcPr>
            <w:tcW w:w="639" w:type="dxa"/>
            <w:shd w:val="clear" w:color="auto" w:fill="FFFFFF"/>
            <w:vAlign w:val="center"/>
          </w:tcPr>
          <w:p w14:paraId="1C6DDC0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31</w:t>
            </w:r>
          </w:p>
        </w:tc>
        <w:tc>
          <w:tcPr>
            <w:tcW w:w="638" w:type="dxa"/>
            <w:shd w:val="clear" w:color="auto" w:fill="FFFFFF"/>
            <w:vAlign w:val="center"/>
          </w:tcPr>
          <w:p w14:paraId="3D9F2A8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37</w:t>
            </w:r>
          </w:p>
        </w:tc>
        <w:tc>
          <w:tcPr>
            <w:tcW w:w="638" w:type="dxa"/>
            <w:shd w:val="clear" w:color="auto" w:fill="FFFFFF"/>
            <w:vAlign w:val="center"/>
          </w:tcPr>
          <w:p w14:paraId="1E2E333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50</w:t>
            </w:r>
          </w:p>
        </w:tc>
        <w:tc>
          <w:tcPr>
            <w:tcW w:w="638" w:type="dxa"/>
            <w:shd w:val="clear" w:color="auto" w:fill="FFFFFF"/>
            <w:vAlign w:val="bottom"/>
          </w:tcPr>
          <w:p w14:paraId="6D6E853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41</w:t>
            </w:r>
          </w:p>
        </w:tc>
        <w:tc>
          <w:tcPr>
            <w:tcW w:w="730" w:type="dxa"/>
            <w:shd w:val="clear" w:color="auto" w:fill="FFFFFF"/>
          </w:tcPr>
          <w:p w14:paraId="43FA55F8"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35</w:t>
            </w:r>
          </w:p>
        </w:tc>
        <w:tc>
          <w:tcPr>
            <w:tcW w:w="615" w:type="dxa"/>
            <w:shd w:val="clear" w:color="auto" w:fill="FFFFFF"/>
          </w:tcPr>
          <w:p w14:paraId="75C0D8A4"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11</w:t>
            </w:r>
          </w:p>
        </w:tc>
      </w:tr>
      <w:tr w:rsidR="00BD47E0" w:rsidRPr="00A335CB" w14:paraId="4D678215" w14:textId="77777777" w:rsidTr="00090839">
        <w:trPr>
          <w:trHeight w:val="420"/>
        </w:trPr>
        <w:tc>
          <w:tcPr>
            <w:tcW w:w="3516" w:type="dxa"/>
            <w:shd w:val="clear" w:color="auto" w:fill="FFFFFF"/>
            <w:vAlign w:val="center"/>
          </w:tcPr>
          <w:p w14:paraId="0781E99C"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Odločba o spremembi priimka</w:t>
            </w:r>
          </w:p>
        </w:tc>
        <w:tc>
          <w:tcPr>
            <w:tcW w:w="639" w:type="dxa"/>
            <w:shd w:val="clear" w:color="auto" w:fill="FFFFFF"/>
            <w:vAlign w:val="center"/>
          </w:tcPr>
          <w:p w14:paraId="1DEBCAC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13</w:t>
            </w:r>
          </w:p>
        </w:tc>
        <w:tc>
          <w:tcPr>
            <w:tcW w:w="638" w:type="dxa"/>
            <w:shd w:val="clear" w:color="auto" w:fill="FFFFFF"/>
            <w:vAlign w:val="center"/>
          </w:tcPr>
          <w:p w14:paraId="79CE511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26</w:t>
            </w:r>
          </w:p>
        </w:tc>
        <w:tc>
          <w:tcPr>
            <w:tcW w:w="638" w:type="dxa"/>
            <w:shd w:val="clear" w:color="auto" w:fill="FFFFFF"/>
            <w:vAlign w:val="center"/>
          </w:tcPr>
          <w:p w14:paraId="7B094A5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24</w:t>
            </w:r>
          </w:p>
        </w:tc>
        <w:tc>
          <w:tcPr>
            <w:tcW w:w="638" w:type="dxa"/>
            <w:shd w:val="clear" w:color="auto" w:fill="FFFFFF"/>
            <w:vAlign w:val="bottom"/>
          </w:tcPr>
          <w:p w14:paraId="2E75B43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29</w:t>
            </w:r>
          </w:p>
        </w:tc>
        <w:tc>
          <w:tcPr>
            <w:tcW w:w="730" w:type="dxa"/>
            <w:shd w:val="clear" w:color="auto" w:fill="FFFFFF"/>
          </w:tcPr>
          <w:p w14:paraId="748F55E7"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20</w:t>
            </w:r>
          </w:p>
        </w:tc>
        <w:tc>
          <w:tcPr>
            <w:tcW w:w="615" w:type="dxa"/>
            <w:shd w:val="clear" w:color="auto" w:fill="FFFFFF"/>
          </w:tcPr>
          <w:p w14:paraId="39DF7A67"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26</w:t>
            </w:r>
          </w:p>
        </w:tc>
      </w:tr>
      <w:tr w:rsidR="00BD47E0" w:rsidRPr="00A335CB" w14:paraId="05377CDE" w14:textId="77777777" w:rsidTr="00090839">
        <w:trPr>
          <w:trHeight w:val="420"/>
        </w:trPr>
        <w:tc>
          <w:tcPr>
            <w:tcW w:w="3516" w:type="dxa"/>
            <w:shd w:val="clear" w:color="auto" w:fill="FFFFFF"/>
            <w:vAlign w:val="center"/>
          </w:tcPr>
          <w:p w14:paraId="16F6301B"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Enkraten dostop</w:t>
            </w:r>
          </w:p>
        </w:tc>
        <w:tc>
          <w:tcPr>
            <w:tcW w:w="639" w:type="dxa"/>
            <w:shd w:val="clear" w:color="auto" w:fill="FFFFFF"/>
            <w:vAlign w:val="center"/>
          </w:tcPr>
          <w:p w14:paraId="7DA0326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38" w:type="dxa"/>
            <w:shd w:val="clear" w:color="auto" w:fill="FFFFFF"/>
            <w:vAlign w:val="center"/>
          </w:tcPr>
          <w:p w14:paraId="05BB8FC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38" w:type="dxa"/>
            <w:shd w:val="clear" w:color="auto" w:fill="FFFFFF"/>
            <w:vAlign w:val="center"/>
          </w:tcPr>
          <w:p w14:paraId="0786F19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38" w:type="dxa"/>
            <w:shd w:val="clear" w:color="auto" w:fill="FFFFFF"/>
            <w:vAlign w:val="bottom"/>
          </w:tcPr>
          <w:p w14:paraId="5EEF588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c>
          <w:tcPr>
            <w:tcW w:w="730" w:type="dxa"/>
            <w:shd w:val="clear" w:color="auto" w:fill="FFFFFF"/>
          </w:tcPr>
          <w:p w14:paraId="1F249DCC"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615" w:type="dxa"/>
            <w:shd w:val="clear" w:color="auto" w:fill="FFFFFF"/>
          </w:tcPr>
          <w:p w14:paraId="5AC651A8"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67</w:t>
            </w:r>
          </w:p>
        </w:tc>
      </w:tr>
    </w:tbl>
    <w:p w14:paraId="3CBDF42A" w14:textId="189B7F89" w:rsidR="00653B9D" w:rsidRPr="00A335CB" w:rsidRDefault="00653B9D" w:rsidP="005C25B4">
      <w:pPr>
        <w:spacing w:before="80" w:after="0" w:line="276" w:lineRule="auto"/>
        <w:jc w:val="both"/>
        <w:rPr>
          <w:rFonts w:ascii="Arial" w:hAnsi="Arial" w:cs="Arial"/>
          <w:sz w:val="20"/>
          <w:szCs w:val="20"/>
        </w:rPr>
      </w:pPr>
      <w:r w:rsidRPr="00A335CB">
        <w:rPr>
          <w:rFonts w:ascii="Arial" w:hAnsi="Arial" w:cs="Arial"/>
          <w:b/>
          <w:sz w:val="20"/>
          <w:szCs w:val="20"/>
        </w:rPr>
        <w:t>Preglednica</w:t>
      </w:r>
      <w:r w:rsidRPr="00A335CB">
        <w:rPr>
          <w:rFonts w:ascii="Arial" w:hAnsi="Arial" w:cs="Arial"/>
          <w:sz w:val="20"/>
          <w:szCs w:val="20"/>
        </w:rPr>
        <w:t>: Dovoljenja za dostop do</w:t>
      </w:r>
      <w:r w:rsidR="005C25B4" w:rsidRPr="00A335CB">
        <w:rPr>
          <w:rFonts w:ascii="Arial" w:hAnsi="Arial" w:cs="Arial"/>
          <w:sz w:val="20"/>
          <w:szCs w:val="20"/>
        </w:rPr>
        <w:t xml:space="preserve"> tajnih podatkov v obdobju 2019</w:t>
      </w:r>
      <w:r w:rsidR="004507FE">
        <w:rPr>
          <w:rFonts w:ascii="Arial" w:hAnsi="Arial" w:cs="Arial"/>
          <w:sz w:val="20"/>
          <w:szCs w:val="20"/>
        </w:rPr>
        <w:t>–</w:t>
      </w:r>
      <w:r w:rsidRPr="00A335CB">
        <w:rPr>
          <w:rFonts w:ascii="Arial" w:hAnsi="Arial" w:cs="Arial"/>
          <w:sz w:val="20"/>
          <w:szCs w:val="20"/>
        </w:rPr>
        <w:t>2024</w:t>
      </w:r>
    </w:p>
    <w:p w14:paraId="5E4CCCD7" w14:textId="77777777" w:rsidR="00653B9D" w:rsidRPr="00A335CB" w:rsidRDefault="00653B9D" w:rsidP="005D1A90">
      <w:pPr>
        <w:spacing w:after="0" w:line="276" w:lineRule="auto"/>
        <w:jc w:val="center"/>
        <w:rPr>
          <w:rFonts w:ascii="Arial" w:hAnsi="Arial" w:cs="Arial"/>
          <w:i/>
          <w:sz w:val="20"/>
          <w:szCs w:val="20"/>
        </w:rPr>
      </w:pPr>
    </w:p>
    <w:p w14:paraId="435B4F4A" w14:textId="20785C60" w:rsidR="00653B9D" w:rsidRPr="00A335CB" w:rsidRDefault="00653B9D"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 povprečju so bili postopki rešeni v okviru 90</w:t>
      </w:r>
      <w:r w:rsidR="004507FE">
        <w:rPr>
          <w:rFonts w:ascii="Arial" w:hAnsi="Arial" w:cs="Arial"/>
          <w:sz w:val="20"/>
          <w:szCs w:val="20"/>
        </w:rPr>
        <w:t>-</w:t>
      </w:r>
      <w:r w:rsidRPr="00A335CB">
        <w:rPr>
          <w:rFonts w:ascii="Arial" w:hAnsi="Arial" w:cs="Arial"/>
          <w:sz w:val="20"/>
          <w:szCs w:val="20"/>
        </w:rPr>
        <w:t xml:space="preserve">dnevnega zakonskega roka. </w:t>
      </w:r>
    </w:p>
    <w:p w14:paraId="20FD950A" w14:textId="77777777" w:rsidR="00653B9D" w:rsidRPr="00A335CB" w:rsidRDefault="00653B9D" w:rsidP="005D1A90">
      <w:pPr>
        <w:spacing w:after="0" w:line="276" w:lineRule="auto"/>
        <w:jc w:val="both"/>
        <w:rPr>
          <w:rFonts w:ascii="Arial" w:hAnsi="Arial" w:cs="Arial"/>
          <w:sz w:val="20"/>
          <w:szCs w:val="20"/>
          <w:lang w:eastAsia="sl-SI"/>
        </w:rPr>
      </w:pPr>
    </w:p>
    <w:p w14:paraId="54F79B8F" w14:textId="3BD7C148" w:rsidR="00653B9D" w:rsidRPr="00A335CB" w:rsidRDefault="00653B9D" w:rsidP="005D1A90">
      <w:pPr>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Uvedenih je bilo tudi 34 (26) postopkov izdaje varnostnih dovoljenj </w:t>
      </w:r>
      <w:r w:rsidRPr="00A335CB">
        <w:rPr>
          <w:rFonts w:ascii="Arial" w:hAnsi="Arial" w:cs="Arial"/>
          <w:sz w:val="20"/>
          <w:szCs w:val="20"/>
          <w:u w:val="single"/>
          <w:lang w:eastAsia="sl-SI"/>
        </w:rPr>
        <w:t>organizacijam</w:t>
      </w:r>
      <w:r w:rsidRPr="00A335CB">
        <w:rPr>
          <w:rFonts w:ascii="Arial" w:hAnsi="Arial" w:cs="Arial"/>
          <w:sz w:val="20"/>
          <w:szCs w:val="20"/>
          <w:lang w:eastAsia="sl-SI"/>
        </w:rPr>
        <w:t>, i</w:t>
      </w:r>
      <w:r w:rsidR="00A832F2">
        <w:rPr>
          <w:rFonts w:ascii="Arial" w:hAnsi="Arial" w:cs="Arial"/>
          <w:sz w:val="20"/>
          <w:szCs w:val="20"/>
          <w:lang w:eastAsia="sl-SI"/>
        </w:rPr>
        <w:t>n sicer:</w:t>
      </w:r>
    </w:p>
    <w:p w14:paraId="3A178E79" w14:textId="77777777" w:rsidR="00653B9D" w:rsidRPr="00A335CB" w:rsidRDefault="00653B9D" w:rsidP="005D1A90">
      <w:pPr>
        <w:pStyle w:val="Odstavekseznama"/>
        <w:numPr>
          <w:ilvl w:val="0"/>
          <w:numId w:val="2"/>
        </w:numPr>
        <w:spacing w:after="0"/>
        <w:ind w:left="426" w:hanging="426"/>
        <w:rPr>
          <w:rFonts w:ascii="Arial" w:hAnsi="Arial" w:cs="Arial"/>
          <w:sz w:val="20"/>
          <w:szCs w:val="20"/>
        </w:rPr>
      </w:pPr>
      <w:r w:rsidRPr="00A335CB">
        <w:rPr>
          <w:rFonts w:ascii="Arial" w:hAnsi="Arial" w:cs="Arial"/>
          <w:sz w:val="20"/>
          <w:szCs w:val="20"/>
        </w:rPr>
        <w:t>13 (18) za varnostno območje pri naročniku,</w:t>
      </w:r>
    </w:p>
    <w:p w14:paraId="34C18369" w14:textId="77777777" w:rsidR="00653B9D" w:rsidRPr="00A335CB" w:rsidRDefault="00653B9D" w:rsidP="005D1A90">
      <w:pPr>
        <w:pStyle w:val="Odstavekseznama"/>
        <w:numPr>
          <w:ilvl w:val="0"/>
          <w:numId w:val="2"/>
        </w:numPr>
        <w:spacing w:after="0"/>
        <w:ind w:left="426" w:hanging="426"/>
        <w:rPr>
          <w:rFonts w:ascii="Arial" w:hAnsi="Arial" w:cs="Arial"/>
          <w:sz w:val="20"/>
          <w:szCs w:val="20"/>
        </w:rPr>
      </w:pPr>
      <w:r w:rsidRPr="00A335CB">
        <w:rPr>
          <w:rFonts w:ascii="Arial" w:hAnsi="Arial" w:cs="Arial"/>
          <w:sz w:val="20"/>
          <w:szCs w:val="20"/>
        </w:rPr>
        <w:t>2 (1) za lastno varnostno območje,</w:t>
      </w:r>
    </w:p>
    <w:p w14:paraId="7EDB299C" w14:textId="77777777" w:rsidR="00653B9D" w:rsidRPr="00A335CB" w:rsidRDefault="00653B9D" w:rsidP="005D1A90">
      <w:pPr>
        <w:pStyle w:val="Odstavekseznama"/>
        <w:numPr>
          <w:ilvl w:val="0"/>
          <w:numId w:val="2"/>
        </w:numPr>
        <w:spacing w:after="0"/>
        <w:ind w:left="426" w:hanging="426"/>
        <w:rPr>
          <w:rFonts w:ascii="Arial" w:hAnsi="Arial" w:cs="Arial"/>
          <w:sz w:val="20"/>
          <w:szCs w:val="20"/>
        </w:rPr>
      </w:pPr>
      <w:r w:rsidRPr="00A335CB">
        <w:rPr>
          <w:rFonts w:ascii="Arial" w:hAnsi="Arial" w:cs="Arial"/>
          <w:sz w:val="20"/>
          <w:szCs w:val="20"/>
        </w:rPr>
        <w:t>6 (7) za lastno upravno območje.</w:t>
      </w:r>
    </w:p>
    <w:p w14:paraId="59C44DBA" w14:textId="13AAEA9C" w:rsidR="00653B9D"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V okviru postopkov je bilo izdanih 24 (23) novih dovoljenj, eno dovoljenje pa je bilo preklicano.</w:t>
      </w:r>
    </w:p>
    <w:p w14:paraId="5AE6C344" w14:textId="4071E538" w:rsidR="00653B9D" w:rsidRPr="00A335CB" w:rsidRDefault="00653B9D" w:rsidP="005D1A90">
      <w:pPr>
        <w:tabs>
          <w:tab w:val="left" w:pos="2520"/>
        </w:tabs>
        <w:spacing w:after="120" w:line="276" w:lineRule="auto"/>
        <w:jc w:val="both"/>
        <w:rPr>
          <w:rFonts w:ascii="Arial" w:hAnsi="Arial" w:cs="Arial"/>
          <w:sz w:val="20"/>
          <w:szCs w:val="20"/>
          <w:highlight w:val="yellow"/>
          <w:lang w:eastAsia="sl-SI"/>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6"/>
        <w:gridCol w:w="756"/>
        <w:gridCol w:w="756"/>
        <w:gridCol w:w="756"/>
        <w:gridCol w:w="756"/>
        <w:gridCol w:w="756"/>
        <w:gridCol w:w="756"/>
      </w:tblGrid>
      <w:tr w:rsidR="00BD47E0" w:rsidRPr="00A335CB" w14:paraId="66D648B6" w14:textId="77777777" w:rsidTr="00090839">
        <w:trPr>
          <w:trHeight w:val="340"/>
        </w:trPr>
        <w:tc>
          <w:tcPr>
            <w:tcW w:w="4076" w:type="dxa"/>
            <w:shd w:val="clear" w:color="auto" w:fill="E6E6E6"/>
            <w:noWrap/>
            <w:vAlign w:val="center"/>
          </w:tcPr>
          <w:p w14:paraId="61DDFAB7" w14:textId="77777777" w:rsidR="00653B9D" w:rsidRPr="00A335CB" w:rsidRDefault="00653B9D" w:rsidP="005D1A90">
            <w:pPr>
              <w:spacing w:before="80" w:after="80" w:line="276" w:lineRule="auto"/>
              <w:rPr>
                <w:rFonts w:ascii="Arial" w:hAnsi="Arial" w:cs="Arial"/>
                <w:b/>
                <w:sz w:val="20"/>
                <w:szCs w:val="20"/>
              </w:rPr>
            </w:pPr>
            <w:r w:rsidRPr="00A335CB">
              <w:rPr>
                <w:rFonts w:ascii="Arial" w:hAnsi="Arial" w:cs="Arial"/>
                <w:b/>
                <w:sz w:val="20"/>
                <w:szCs w:val="20"/>
                <w:shd w:val="clear" w:color="auto" w:fill="E6E6E6"/>
              </w:rPr>
              <w:t>Leto</w:t>
            </w:r>
          </w:p>
        </w:tc>
        <w:tc>
          <w:tcPr>
            <w:tcW w:w="756" w:type="dxa"/>
            <w:shd w:val="clear" w:color="auto" w:fill="E6E6E6"/>
            <w:vAlign w:val="center"/>
          </w:tcPr>
          <w:p w14:paraId="1BE837B8"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2019</w:t>
            </w:r>
          </w:p>
        </w:tc>
        <w:tc>
          <w:tcPr>
            <w:tcW w:w="756" w:type="dxa"/>
            <w:shd w:val="clear" w:color="auto" w:fill="E6E6E6"/>
            <w:vAlign w:val="center"/>
          </w:tcPr>
          <w:p w14:paraId="36AE3D46"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2020</w:t>
            </w:r>
          </w:p>
        </w:tc>
        <w:tc>
          <w:tcPr>
            <w:tcW w:w="756" w:type="dxa"/>
            <w:shd w:val="clear" w:color="auto" w:fill="E6E6E6"/>
            <w:vAlign w:val="center"/>
          </w:tcPr>
          <w:p w14:paraId="55717F72"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2021</w:t>
            </w:r>
          </w:p>
        </w:tc>
        <w:tc>
          <w:tcPr>
            <w:tcW w:w="756" w:type="dxa"/>
            <w:shd w:val="clear" w:color="auto" w:fill="E6E6E6"/>
            <w:vAlign w:val="center"/>
          </w:tcPr>
          <w:p w14:paraId="7E330A28"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2022</w:t>
            </w:r>
          </w:p>
        </w:tc>
        <w:tc>
          <w:tcPr>
            <w:tcW w:w="756" w:type="dxa"/>
            <w:shd w:val="clear" w:color="auto" w:fill="E6E6E6"/>
          </w:tcPr>
          <w:p w14:paraId="0719A742"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2023</w:t>
            </w:r>
          </w:p>
        </w:tc>
        <w:tc>
          <w:tcPr>
            <w:tcW w:w="756" w:type="dxa"/>
            <w:shd w:val="clear" w:color="auto" w:fill="E6E6E6"/>
          </w:tcPr>
          <w:p w14:paraId="7E3232DD" w14:textId="77777777" w:rsidR="00653B9D" w:rsidRPr="00A335CB" w:rsidRDefault="00653B9D" w:rsidP="005D1A90">
            <w:pPr>
              <w:spacing w:before="80" w:after="80" w:line="276" w:lineRule="auto"/>
              <w:jc w:val="center"/>
              <w:rPr>
                <w:rFonts w:ascii="Arial" w:hAnsi="Arial" w:cs="Arial"/>
                <w:b/>
                <w:bCs/>
                <w:sz w:val="20"/>
                <w:szCs w:val="20"/>
              </w:rPr>
            </w:pPr>
            <w:r w:rsidRPr="00A335CB">
              <w:rPr>
                <w:rFonts w:ascii="Arial" w:hAnsi="Arial" w:cs="Arial"/>
                <w:b/>
                <w:bCs/>
                <w:sz w:val="20"/>
                <w:szCs w:val="20"/>
              </w:rPr>
              <w:t>2024</w:t>
            </w:r>
          </w:p>
        </w:tc>
      </w:tr>
      <w:tr w:rsidR="00BD47E0" w:rsidRPr="00A335CB" w14:paraId="0BE9482C" w14:textId="77777777" w:rsidTr="00090839">
        <w:trPr>
          <w:trHeight w:val="340"/>
        </w:trPr>
        <w:tc>
          <w:tcPr>
            <w:tcW w:w="4076" w:type="dxa"/>
            <w:noWrap/>
            <w:vAlign w:val="center"/>
          </w:tcPr>
          <w:p w14:paraId="45B054D8"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Predlogi za izdajo dovoljenja</w:t>
            </w:r>
          </w:p>
        </w:tc>
        <w:tc>
          <w:tcPr>
            <w:tcW w:w="756" w:type="dxa"/>
            <w:vAlign w:val="center"/>
          </w:tcPr>
          <w:p w14:paraId="18B3BD6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28</w:t>
            </w:r>
          </w:p>
        </w:tc>
        <w:tc>
          <w:tcPr>
            <w:tcW w:w="756" w:type="dxa"/>
            <w:vAlign w:val="center"/>
          </w:tcPr>
          <w:p w14:paraId="4277126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28</w:t>
            </w:r>
          </w:p>
        </w:tc>
        <w:tc>
          <w:tcPr>
            <w:tcW w:w="756" w:type="dxa"/>
            <w:vAlign w:val="center"/>
          </w:tcPr>
          <w:p w14:paraId="6D0AEE4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27</w:t>
            </w:r>
          </w:p>
        </w:tc>
        <w:tc>
          <w:tcPr>
            <w:tcW w:w="756" w:type="dxa"/>
            <w:vAlign w:val="center"/>
          </w:tcPr>
          <w:p w14:paraId="5763542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29</w:t>
            </w:r>
          </w:p>
        </w:tc>
        <w:tc>
          <w:tcPr>
            <w:tcW w:w="756" w:type="dxa"/>
          </w:tcPr>
          <w:p w14:paraId="18A172C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26</w:t>
            </w:r>
          </w:p>
        </w:tc>
        <w:tc>
          <w:tcPr>
            <w:tcW w:w="756" w:type="dxa"/>
          </w:tcPr>
          <w:p w14:paraId="04BE199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34</w:t>
            </w:r>
          </w:p>
        </w:tc>
      </w:tr>
      <w:tr w:rsidR="00BD47E0" w:rsidRPr="00A335CB" w14:paraId="74D755C5" w14:textId="77777777" w:rsidTr="00090839">
        <w:trPr>
          <w:trHeight w:val="340"/>
        </w:trPr>
        <w:tc>
          <w:tcPr>
            <w:tcW w:w="4076" w:type="dxa"/>
            <w:shd w:val="clear" w:color="auto" w:fill="E6E6E6"/>
            <w:vAlign w:val="center"/>
          </w:tcPr>
          <w:p w14:paraId="0F8272F0" w14:textId="77777777" w:rsidR="00653B9D" w:rsidRPr="00A335CB" w:rsidRDefault="00653B9D" w:rsidP="005D1A90">
            <w:pPr>
              <w:spacing w:before="80" w:after="80" w:line="276" w:lineRule="auto"/>
              <w:rPr>
                <w:rFonts w:ascii="Arial" w:hAnsi="Arial" w:cs="Arial"/>
                <w:bCs/>
                <w:sz w:val="20"/>
                <w:szCs w:val="20"/>
              </w:rPr>
            </w:pPr>
            <w:r w:rsidRPr="00A335CB">
              <w:rPr>
                <w:rFonts w:ascii="Arial" w:hAnsi="Arial" w:cs="Arial"/>
                <w:bCs/>
                <w:sz w:val="20"/>
                <w:szCs w:val="20"/>
              </w:rPr>
              <w:t>Izdana dovoljenja – skupaj</w:t>
            </w:r>
          </w:p>
        </w:tc>
        <w:tc>
          <w:tcPr>
            <w:tcW w:w="756" w:type="dxa"/>
            <w:shd w:val="clear" w:color="auto" w:fill="E6E6E6"/>
            <w:vAlign w:val="center"/>
          </w:tcPr>
          <w:p w14:paraId="1A802872"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28</w:t>
            </w:r>
          </w:p>
        </w:tc>
        <w:tc>
          <w:tcPr>
            <w:tcW w:w="756" w:type="dxa"/>
            <w:shd w:val="clear" w:color="auto" w:fill="E6E6E6"/>
            <w:vAlign w:val="center"/>
          </w:tcPr>
          <w:p w14:paraId="419C6D4A"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22</w:t>
            </w:r>
          </w:p>
        </w:tc>
        <w:tc>
          <w:tcPr>
            <w:tcW w:w="756" w:type="dxa"/>
            <w:shd w:val="clear" w:color="auto" w:fill="E6E6E6"/>
            <w:vAlign w:val="center"/>
          </w:tcPr>
          <w:p w14:paraId="29197B7D"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27</w:t>
            </w:r>
          </w:p>
        </w:tc>
        <w:tc>
          <w:tcPr>
            <w:tcW w:w="756" w:type="dxa"/>
            <w:shd w:val="clear" w:color="auto" w:fill="E6E6E6"/>
            <w:vAlign w:val="center"/>
          </w:tcPr>
          <w:p w14:paraId="51A32873"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25</w:t>
            </w:r>
          </w:p>
        </w:tc>
        <w:tc>
          <w:tcPr>
            <w:tcW w:w="756" w:type="dxa"/>
            <w:shd w:val="clear" w:color="auto" w:fill="E6E6E6"/>
          </w:tcPr>
          <w:p w14:paraId="7B53ACE6"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23</w:t>
            </w:r>
          </w:p>
        </w:tc>
        <w:tc>
          <w:tcPr>
            <w:tcW w:w="756" w:type="dxa"/>
            <w:shd w:val="clear" w:color="auto" w:fill="E6E6E6"/>
          </w:tcPr>
          <w:p w14:paraId="541CEDB0" w14:textId="77777777" w:rsidR="00653B9D" w:rsidRPr="00A335CB" w:rsidRDefault="00653B9D" w:rsidP="005D1A90">
            <w:pPr>
              <w:spacing w:before="80" w:after="80" w:line="276" w:lineRule="auto"/>
              <w:jc w:val="center"/>
              <w:rPr>
                <w:rFonts w:ascii="Arial" w:hAnsi="Arial" w:cs="Arial"/>
                <w:bCs/>
                <w:sz w:val="20"/>
                <w:szCs w:val="20"/>
              </w:rPr>
            </w:pPr>
            <w:r w:rsidRPr="00A335CB">
              <w:rPr>
                <w:rFonts w:ascii="Arial" w:hAnsi="Arial" w:cs="Arial"/>
                <w:bCs/>
                <w:sz w:val="20"/>
                <w:szCs w:val="20"/>
              </w:rPr>
              <w:t>24</w:t>
            </w:r>
          </w:p>
        </w:tc>
      </w:tr>
      <w:tr w:rsidR="00BD47E0" w:rsidRPr="00A335CB" w14:paraId="25F8A652" w14:textId="77777777" w:rsidTr="00090839">
        <w:trPr>
          <w:trHeight w:val="340"/>
        </w:trPr>
        <w:tc>
          <w:tcPr>
            <w:tcW w:w="4076" w:type="dxa"/>
            <w:shd w:val="clear" w:color="auto" w:fill="FFFFFF"/>
            <w:vAlign w:val="center"/>
          </w:tcPr>
          <w:p w14:paraId="040268CC"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Varnostno območje</w:t>
            </w:r>
          </w:p>
        </w:tc>
        <w:tc>
          <w:tcPr>
            <w:tcW w:w="756" w:type="dxa"/>
            <w:shd w:val="clear" w:color="auto" w:fill="FFFFFF"/>
            <w:vAlign w:val="center"/>
          </w:tcPr>
          <w:p w14:paraId="6B7B01E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5</w:t>
            </w:r>
          </w:p>
        </w:tc>
        <w:tc>
          <w:tcPr>
            <w:tcW w:w="756" w:type="dxa"/>
            <w:shd w:val="clear" w:color="auto" w:fill="FFFFFF"/>
            <w:vAlign w:val="center"/>
          </w:tcPr>
          <w:p w14:paraId="6904995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w:t>
            </w:r>
          </w:p>
        </w:tc>
        <w:tc>
          <w:tcPr>
            <w:tcW w:w="756" w:type="dxa"/>
            <w:shd w:val="clear" w:color="auto" w:fill="FFFFFF"/>
            <w:vAlign w:val="center"/>
          </w:tcPr>
          <w:p w14:paraId="707B6ED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5</w:t>
            </w:r>
          </w:p>
        </w:tc>
        <w:tc>
          <w:tcPr>
            <w:tcW w:w="756" w:type="dxa"/>
            <w:shd w:val="clear" w:color="auto" w:fill="FFFFFF"/>
            <w:vAlign w:val="center"/>
          </w:tcPr>
          <w:p w14:paraId="4A588FA4"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c>
          <w:tcPr>
            <w:tcW w:w="756" w:type="dxa"/>
            <w:shd w:val="clear" w:color="auto" w:fill="FFFFFF"/>
          </w:tcPr>
          <w:p w14:paraId="428B5687"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c>
          <w:tcPr>
            <w:tcW w:w="756" w:type="dxa"/>
            <w:shd w:val="clear" w:color="auto" w:fill="FFFFFF"/>
          </w:tcPr>
          <w:p w14:paraId="76834B9C"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r>
      <w:tr w:rsidR="00BD47E0" w:rsidRPr="00A335CB" w14:paraId="45712FD6" w14:textId="77777777" w:rsidTr="00090839">
        <w:trPr>
          <w:trHeight w:val="340"/>
        </w:trPr>
        <w:tc>
          <w:tcPr>
            <w:tcW w:w="4076" w:type="dxa"/>
            <w:shd w:val="clear" w:color="auto" w:fill="FFFFFF"/>
            <w:vAlign w:val="center"/>
          </w:tcPr>
          <w:p w14:paraId="4F115B00"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Upravno območje</w:t>
            </w:r>
          </w:p>
        </w:tc>
        <w:tc>
          <w:tcPr>
            <w:tcW w:w="756" w:type="dxa"/>
            <w:shd w:val="clear" w:color="auto" w:fill="FFFFFF"/>
            <w:vAlign w:val="center"/>
          </w:tcPr>
          <w:p w14:paraId="67DCE637"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w:t>
            </w:r>
          </w:p>
        </w:tc>
        <w:tc>
          <w:tcPr>
            <w:tcW w:w="756" w:type="dxa"/>
            <w:shd w:val="clear" w:color="auto" w:fill="FFFFFF"/>
            <w:vAlign w:val="center"/>
          </w:tcPr>
          <w:p w14:paraId="2078B64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8</w:t>
            </w:r>
          </w:p>
        </w:tc>
        <w:tc>
          <w:tcPr>
            <w:tcW w:w="756" w:type="dxa"/>
            <w:shd w:val="clear" w:color="auto" w:fill="FFFFFF"/>
            <w:vAlign w:val="center"/>
          </w:tcPr>
          <w:p w14:paraId="51F69E8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13</w:t>
            </w:r>
          </w:p>
        </w:tc>
        <w:tc>
          <w:tcPr>
            <w:tcW w:w="756" w:type="dxa"/>
            <w:shd w:val="clear" w:color="auto" w:fill="FFFFFF"/>
            <w:vAlign w:val="center"/>
          </w:tcPr>
          <w:p w14:paraId="7D2BC8B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10</w:t>
            </w:r>
          </w:p>
        </w:tc>
        <w:tc>
          <w:tcPr>
            <w:tcW w:w="756" w:type="dxa"/>
            <w:shd w:val="clear" w:color="auto" w:fill="FFFFFF"/>
          </w:tcPr>
          <w:p w14:paraId="13BF755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w:t>
            </w:r>
          </w:p>
        </w:tc>
        <w:tc>
          <w:tcPr>
            <w:tcW w:w="756" w:type="dxa"/>
            <w:shd w:val="clear" w:color="auto" w:fill="FFFFFF"/>
          </w:tcPr>
          <w:p w14:paraId="3304425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6</w:t>
            </w:r>
          </w:p>
        </w:tc>
      </w:tr>
      <w:tr w:rsidR="00BD47E0" w:rsidRPr="00A335CB" w14:paraId="77555F8C" w14:textId="77777777" w:rsidTr="00090839">
        <w:trPr>
          <w:trHeight w:val="340"/>
        </w:trPr>
        <w:tc>
          <w:tcPr>
            <w:tcW w:w="4076" w:type="dxa"/>
            <w:shd w:val="clear" w:color="auto" w:fill="FFFFFF"/>
            <w:vAlign w:val="center"/>
          </w:tcPr>
          <w:p w14:paraId="2244FBBC"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Pri naročniku</w:t>
            </w:r>
          </w:p>
        </w:tc>
        <w:tc>
          <w:tcPr>
            <w:tcW w:w="756" w:type="dxa"/>
            <w:shd w:val="clear" w:color="auto" w:fill="FFFFFF"/>
            <w:vAlign w:val="center"/>
          </w:tcPr>
          <w:p w14:paraId="4B7A30B7"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w:t>
            </w:r>
          </w:p>
        </w:tc>
        <w:tc>
          <w:tcPr>
            <w:tcW w:w="756" w:type="dxa"/>
            <w:shd w:val="clear" w:color="auto" w:fill="FFFFFF"/>
            <w:vAlign w:val="center"/>
          </w:tcPr>
          <w:p w14:paraId="29ABB90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w:t>
            </w:r>
          </w:p>
        </w:tc>
        <w:tc>
          <w:tcPr>
            <w:tcW w:w="756" w:type="dxa"/>
            <w:shd w:val="clear" w:color="auto" w:fill="FFFFFF"/>
            <w:vAlign w:val="center"/>
          </w:tcPr>
          <w:p w14:paraId="3BE5B4C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23</w:t>
            </w:r>
          </w:p>
        </w:tc>
        <w:tc>
          <w:tcPr>
            <w:tcW w:w="756" w:type="dxa"/>
            <w:shd w:val="clear" w:color="auto" w:fill="FFFFFF"/>
            <w:vAlign w:val="center"/>
          </w:tcPr>
          <w:p w14:paraId="76562151"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17</w:t>
            </w:r>
          </w:p>
        </w:tc>
        <w:tc>
          <w:tcPr>
            <w:tcW w:w="756" w:type="dxa"/>
            <w:shd w:val="clear" w:color="auto" w:fill="FFFFFF"/>
          </w:tcPr>
          <w:p w14:paraId="61492280"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18</w:t>
            </w:r>
          </w:p>
        </w:tc>
        <w:tc>
          <w:tcPr>
            <w:tcW w:w="756" w:type="dxa"/>
            <w:shd w:val="clear" w:color="auto" w:fill="FFFFFF"/>
          </w:tcPr>
          <w:p w14:paraId="4DBD6EE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13</w:t>
            </w:r>
          </w:p>
        </w:tc>
      </w:tr>
      <w:tr w:rsidR="00BD47E0" w:rsidRPr="00A335CB" w14:paraId="734AF12D" w14:textId="77777777" w:rsidTr="00090839">
        <w:trPr>
          <w:trHeight w:val="340"/>
        </w:trPr>
        <w:tc>
          <w:tcPr>
            <w:tcW w:w="4076" w:type="dxa"/>
            <w:shd w:val="clear" w:color="auto" w:fill="FFFFFF"/>
            <w:vAlign w:val="center"/>
          </w:tcPr>
          <w:p w14:paraId="213F7BD1"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Zavrnitev izdaje dovoljenja</w:t>
            </w:r>
          </w:p>
        </w:tc>
        <w:tc>
          <w:tcPr>
            <w:tcW w:w="756" w:type="dxa"/>
            <w:shd w:val="clear" w:color="auto" w:fill="FFFFFF"/>
            <w:vAlign w:val="center"/>
          </w:tcPr>
          <w:p w14:paraId="1B7DC171"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4272CE9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496C35B8"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5755BCE4"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0F3C69F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1BBB161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r>
      <w:tr w:rsidR="00BD47E0" w:rsidRPr="00A335CB" w14:paraId="376FB65C" w14:textId="77777777" w:rsidTr="00090839">
        <w:trPr>
          <w:trHeight w:val="340"/>
        </w:trPr>
        <w:tc>
          <w:tcPr>
            <w:tcW w:w="4076" w:type="dxa"/>
            <w:shd w:val="clear" w:color="auto" w:fill="FFFFFF"/>
            <w:vAlign w:val="center"/>
          </w:tcPr>
          <w:p w14:paraId="1D134B7A"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Zavrženi predlogi</w:t>
            </w:r>
          </w:p>
        </w:tc>
        <w:tc>
          <w:tcPr>
            <w:tcW w:w="756" w:type="dxa"/>
            <w:shd w:val="clear" w:color="auto" w:fill="FFFFFF"/>
            <w:vAlign w:val="center"/>
          </w:tcPr>
          <w:p w14:paraId="0843522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c>
          <w:tcPr>
            <w:tcW w:w="756" w:type="dxa"/>
            <w:shd w:val="clear" w:color="auto" w:fill="FFFFFF"/>
            <w:vAlign w:val="center"/>
          </w:tcPr>
          <w:p w14:paraId="19B44D6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756" w:type="dxa"/>
            <w:shd w:val="clear" w:color="auto" w:fill="FFFFFF"/>
            <w:vAlign w:val="center"/>
          </w:tcPr>
          <w:p w14:paraId="350B60E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756" w:type="dxa"/>
            <w:shd w:val="clear" w:color="auto" w:fill="FFFFFF"/>
            <w:vAlign w:val="center"/>
          </w:tcPr>
          <w:p w14:paraId="109280D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756" w:type="dxa"/>
            <w:shd w:val="clear" w:color="auto" w:fill="FFFFFF"/>
          </w:tcPr>
          <w:p w14:paraId="5F65DE5F"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6210BEAC"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r>
      <w:tr w:rsidR="00BD47E0" w:rsidRPr="00A335CB" w14:paraId="3D1B7F5C" w14:textId="77777777" w:rsidTr="00090839">
        <w:trPr>
          <w:trHeight w:val="340"/>
        </w:trPr>
        <w:tc>
          <w:tcPr>
            <w:tcW w:w="4076" w:type="dxa"/>
            <w:shd w:val="clear" w:color="auto" w:fill="FFFFFF"/>
            <w:vAlign w:val="center"/>
          </w:tcPr>
          <w:p w14:paraId="53B3B426"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Tožba na zavrnilno odločbo</w:t>
            </w:r>
          </w:p>
        </w:tc>
        <w:tc>
          <w:tcPr>
            <w:tcW w:w="756" w:type="dxa"/>
            <w:shd w:val="clear" w:color="auto" w:fill="FFFFFF"/>
            <w:vAlign w:val="center"/>
          </w:tcPr>
          <w:p w14:paraId="3012EFA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61805E9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14BA866D"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52C3D1D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3D555768"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0E06FCC3"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r>
      <w:tr w:rsidR="00BD47E0" w:rsidRPr="00A335CB" w14:paraId="2C5CD71A" w14:textId="77777777" w:rsidTr="00090839">
        <w:trPr>
          <w:trHeight w:val="340"/>
        </w:trPr>
        <w:tc>
          <w:tcPr>
            <w:tcW w:w="4076" w:type="dxa"/>
            <w:shd w:val="clear" w:color="auto" w:fill="FFFFFF"/>
            <w:vAlign w:val="center"/>
          </w:tcPr>
          <w:p w14:paraId="62F1C0F0"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Ustavljen postopek</w:t>
            </w:r>
          </w:p>
        </w:tc>
        <w:tc>
          <w:tcPr>
            <w:tcW w:w="756" w:type="dxa"/>
            <w:shd w:val="clear" w:color="auto" w:fill="FFFFFF"/>
            <w:vAlign w:val="center"/>
          </w:tcPr>
          <w:p w14:paraId="6F83B331"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c>
          <w:tcPr>
            <w:tcW w:w="756" w:type="dxa"/>
            <w:shd w:val="clear" w:color="auto" w:fill="FFFFFF"/>
            <w:vAlign w:val="center"/>
          </w:tcPr>
          <w:p w14:paraId="2A7E503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w:t>
            </w:r>
          </w:p>
        </w:tc>
        <w:tc>
          <w:tcPr>
            <w:tcW w:w="756" w:type="dxa"/>
            <w:shd w:val="clear" w:color="auto" w:fill="FFFFFF"/>
            <w:vAlign w:val="center"/>
          </w:tcPr>
          <w:p w14:paraId="4AD934A9"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3</w:t>
            </w:r>
          </w:p>
        </w:tc>
        <w:tc>
          <w:tcPr>
            <w:tcW w:w="756" w:type="dxa"/>
            <w:shd w:val="clear" w:color="auto" w:fill="FFFFFF"/>
            <w:vAlign w:val="center"/>
          </w:tcPr>
          <w:p w14:paraId="09C624F1"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1183FA76"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0F2C2A3B"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r>
      <w:tr w:rsidR="00BD47E0" w:rsidRPr="00A335CB" w14:paraId="41C17A94" w14:textId="77777777" w:rsidTr="00090839">
        <w:trPr>
          <w:trHeight w:val="340"/>
        </w:trPr>
        <w:tc>
          <w:tcPr>
            <w:tcW w:w="4076" w:type="dxa"/>
            <w:shd w:val="clear" w:color="auto" w:fill="FFFFFF"/>
            <w:vAlign w:val="center"/>
          </w:tcPr>
          <w:p w14:paraId="00B4C6BB"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Preklic dovoljenja</w:t>
            </w:r>
          </w:p>
        </w:tc>
        <w:tc>
          <w:tcPr>
            <w:tcW w:w="756" w:type="dxa"/>
            <w:shd w:val="clear" w:color="auto" w:fill="FFFFFF"/>
            <w:vAlign w:val="center"/>
          </w:tcPr>
          <w:p w14:paraId="3238B5F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w:t>
            </w:r>
          </w:p>
        </w:tc>
        <w:tc>
          <w:tcPr>
            <w:tcW w:w="756" w:type="dxa"/>
            <w:shd w:val="clear" w:color="auto" w:fill="FFFFFF"/>
            <w:vAlign w:val="center"/>
          </w:tcPr>
          <w:p w14:paraId="44A8DFB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w:t>
            </w:r>
          </w:p>
        </w:tc>
        <w:tc>
          <w:tcPr>
            <w:tcW w:w="756" w:type="dxa"/>
            <w:shd w:val="clear" w:color="auto" w:fill="FFFFFF"/>
            <w:vAlign w:val="center"/>
          </w:tcPr>
          <w:p w14:paraId="1D9BCD9C"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c>
          <w:tcPr>
            <w:tcW w:w="756" w:type="dxa"/>
            <w:shd w:val="clear" w:color="auto" w:fill="FFFFFF"/>
            <w:vAlign w:val="center"/>
          </w:tcPr>
          <w:p w14:paraId="7D2B8C2C"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0AAD5E29"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c>
          <w:tcPr>
            <w:tcW w:w="756" w:type="dxa"/>
            <w:shd w:val="clear" w:color="auto" w:fill="FFFFFF"/>
          </w:tcPr>
          <w:p w14:paraId="38020D3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1</w:t>
            </w:r>
          </w:p>
        </w:tc>
      </w:tr>
      <w:tr w:rsidR="00BD47E0" w:rsidRPr="00A335CB" w14:paraId="4E751731" w14:textId="77777777" w:rsidTr="00090839">
        <w:trPr>
          <w:trHeight w:val="340"/>
        </w:trPr>
        <w:tc>
          <w:tcPr>
            <w:tcW w:w="4076" w:type="dxa"/>
            <w:shd w:val="clear" w:color="auto" w:fill="FFFFFF"/>
            <w:vAlign w:val="center"/>
          </w:tcPr>
          <w:p w14:paraId="36884ED1" w14:textId="77777777" w:rsidR="00653B9D" w:rsidRPr="00A335CB" w:rsidRDefault="00653B9D" w:rsidP="005D1A90">
            <w:pPr>
              <w:spacing w:before="80" w:after="80" w:line="276" w:lineRule="auto"/>
              <w:rPr>
                <w:rFonts w:ascii="Arial" w:hAnsi="Arial" w:cs="Arial"/>
                <w:sz w:val="20"/>
                <w:szCs w:val="20"/>
              </w:rPr>
            </w:pPr>
            <w:r w:rsidRPr="00A335CB">
              <w:rPr>
                <w:rFonts w:ascii="Arial" w:hAnsi="Arial" w:cs="Arial"/>
                <w:sz w:val="20"/>
                <w:szCs w:val="20"/>
              </w:rPr>
              <w:t>Vmesno varnostno preverjanje</w:t>
            </w:r>
          </w:p>
        </w:tc>
        <w:tc>
          <w:tcPr>
            <w:tcW w:w="756" w:type="dxa"/>
            <w:shd w:val="clear" w:color="auto" w:fill="FFFFFF"/>
            <w:vAlign w:val="center"/>
          </w:tcPr>
          <w:p w14:paraId="2644739B"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2B13C652"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30ABF66E"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vAlign w:val="center"/>
          </w:tcPr>
          <w:p w14:paraId="5019AE1B"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04391AFA"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0</w:t>
            </w:r>
          </w:p>
        </w:tc>
        <w:tc>
          <w:tcPr>
            <w:tcW w:w="756" w:type="dxa"/>
            <w:shd w:val="clear" w:color="auto" w:fill="FFFFFF"/>
          </w:tcPr>
          <w:p w14:paraId="1DCCA225" w14:textId="77777777" w:rsidR="00653B9D" w:rsidRPr="00A335CB" w:rsidRDefault="00653B9D" w:rsidP="005D1A90">
            <w:pPr>
              <w:spacing w:before="80" w:after="80" w:line="276" w:lineRule="auto"/>
              <w:jc w:val="center"/>
              <w:rPr>
                <w:rFonts w:ascii="Arial" w:hAnsi="Arial" w:cs="Arial"/>
                <w:sz w:val="20"/>
                <w:szCs w:val="20"/>
              </w:rPr>
            </w:pPr>
            <w:r w:rsidRPr="00A335CB">
              <w:rPr>
                <w:rFonts w:ascii="Arial" w:hAnsi="Arial" w:cs="Arial"/>
                <w:sz w:val="20"/>
                <w:szCs w:val="20"/>
              </w:rPr>
              <w:t>2</w:t>
            </w:r>
          </w:p>
        </w:tc>
      </w:tr>
    </w:tbl>
    <w:p w14:paraId="7D07A404" w14:textId="77777777" w:rsidR="00653B9D" w:rsidRPr="00A335CB" w:rsidRDefault="00653B9D" w:rsidP="005C25B4">
      <w:pPr>
        <w:tabs>
          <w:tab w:val="left" w:pos="851"/>
        </w:tabs>
        <w:spacing w:before="80" w:after="0" w:line="276" w:lineRule="auto"/>
        <w:jc w:val="both"/>
        <w:rPr>
          <w:rFonts w:ascii="Arial" w:hAnsi="Arial" w:cs="Arial"/>
          <w:sz w:val="20"/>
          <w:szCs w:val="20"/>
        </w:rPr>
      </w:pPr>
      <w:r w:rsidRPr="00A335CB">
        <w:rPr>
          <w:rFonts w:ascii="Arial" w:hAnsi="Arial" w:cs="Arial"/>
          <w:b/>
          <w:sz w:val="20"/>
          <w:szCs w:val="20"/>
        </w:rPr>
        <w:t>Preglednica</w:t>
      </w:r>
      <w:r w:rsidRPr="00A335CB">
        <w:rPr>
          <w:rFonts w:ascii="Arial" w:hAnsi="Arial" w:cs="Arial"/>
          <w:sz w:val="20"/>
          <w:szCs w:val="20"/>
        </w:rPr>
        <w:t>: Varnostna dovoljenja za organizacije v obdobju 2019–2024</w:t>
      </w:r>
    </w:p>
    <w:p w14:paraId="292C18E7" w14:textId="77777777" w:rsidR="00653B9D" w:rsidRPr="00A335CB" w:rsidRDefault="00653B9D" w:rsidP="005D1A90">
      <w:pPr>
        <w:tabs>
          <w:tab w:val="left" w:pos="2520"/>
        </w:tabs>
        <w:spacing w:after="0" w:line="276" w:lineRule="auto"/>
        <w:jc w:val="both"/>
        <w:rPr>
          <w:rFonts w:ascii="Arial" w:hAnsi="Arial" w:cs="Arial"/>
          <w:sz w:val="20"/>
          <w:szCs w:val="20"/>
          <w:highlight w:val="yellow"/>
        </w:rPr>
      </w:pPr>
    </w:p>
    <w:p w14:paraId="1BC41BAE" w14:textId="3A2F90FB"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Od skupaj 4.566 (1.842) uvedenih postopkov izdaje dovoljenj za dostop do tajnih podatkov fizičnim osebam in organizacijam je bilo v letu 2024 rešenih 4.117 (1.603) ali 90,2</w:t>
      </w:r>
      <w:r w:rsidR="0087437A">
        <w:rPr>
          <w:rFonts w:ascii="Arial" w:eastAsia="Times New Roman" w:hAnsi="Arial" w:cs="Arial"/>
          <w:sz w:val="20"/>
          <w:szCs w:val="20"/>
          <w:lang w:eastAsia="sl-SI"/>
        </w:rPr>
        <w:t> </w:t>
      </w:r>
      <w:r w:rsidRPr="00A335CB">
        <w:rPr>
          <w:rFonts w:ascii="Arial" w:eastAsia="Times New Roman" w:hAnsi="Arial" w:cs="Arial"/>
          <w:sz w:val="20"/>
          <w:szCs w:val="20"/>
          <w:lang w:eastAsia="sl-SI"/>
        </w:rPr>
        <w:t>% (87,0</w:t>
      </w:r>
      <w:r w:rsidR="000616D0"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 postopkov, v reševanju pa jih je še 449 (239) ali 9,8</w:t>
      </w:r>
      <w:r w:rsidR="000616D0"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 (13,0</w:t>
      </w:r>
      <w:r w:rsidR="000616D0"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 V reševanju so ostali postopki, ki so bili začeti konec leta 2024</w:t>
      </w:r>
      <w:r w:rsidR="004507FE">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in tisti, pri katerih organ čaka na odgovor drugih pristojnih organov (večinoma državna tožilstva, sodišča in tuji </w:t>
      </w:r>
      <w:r w:rsidR="00660945">
        <w:rPr>
          <w:rFonts w:ascii="Arial" w:eastAsia="Times New Roman" w:hAnsi="Arial" w:cs="Arial"/>
          <w:sz w:val="20"/>
          <w:szCs w:val="20"/>
          <w:lang w:eastAsia="sl-SI"/>
        </w:rPr>
        <w:t>državni</w:t>
      </w:r>
      <w:r w:rsidR="00660945"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varnostni organi). Podatki kažejo na učinkovito delo organa, saj je kljub občutnemu povečanju pripada v letu 2024 uspel rešiti večji delež zadev kot v predhodnem letu.</w:t>
      </w:r>
    </w:p>
    <w:p w14:paraId="4D6699CF" w14:textId="77777777" w:rsidR="00653B9D" w:rsidRPr="00A335CB" w:rsidRDefault="00653B9D" w:rsidP="005D1A90">
      <w:pPr>
        <w:spacing w:after="0" w:line="276" w:lineRule="auto"/>
        <w:jc w:val="both"/>
        <w:rPr>
          <w:rFonts w:ascii="Arial" w:eastAsia="Times New Roman" w:hAnsi="Arial" w:cs="Arial"/>
          <w:sz w:val="20"/>
          <w:szCs w:val="20"/>
          <w:highlight w:val="yellow"/>
          <w:lang w:eastAsia="sl-SI"/>
        </w:rPr>
      </w:pPr>
    </w:p>
    <w:p w14:paraId="2753C40D" w14:textId="4DD9D08A" w:rsidR="00653B9D" w:rsidRPr="00A335CB" w:rsidRDefault="00653B9D" w:rsidP="00780CD6">
      <w:pPr>
        <w:pStyle w:val="Desno"/>
        <w:spacing w:before="0" w:after="0" w:line="276" w:lineRule="auto"/>
        <w:rPr>
          <w:b/>
          <w:sz w:val="20"/>
          <w:szCs w:val="20"/>
        </w:rPr>
      </w:pPr>
      <w:r w:rsidRPr="00A335CB">
        <w:rPr>
          <w:b/>
          <w:sz w:val="20"/>
          <w:szCs w:val="20"/>
        </w:rPr>
        <w:t xml:space="preserve">Sodelovanje pri normativni dejavnosti na področju tajnih podatkov </w:t>
      </w:r>
    </w:p>
    <w:p w14:paraId="11DC98AF" w14:textId="312CDF0A"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Uslužbenci DPDVN sodelujejo v štirih medresorskih delovnih skupinah (</w:t>
      </w:r>
      <w:r w:rsidR="000616D0" w:rsidRPr="00A335CB">
        <w:rPr>
          <w:rFonts w:ascii="Arial" w:eastAsia="Times New Roman" w:hAnsi="Arial" w:cs="Arial"/>
          <w:sz w:val="20"/>
          <w:szCs w:val="20"/>
          <w:lang w:eastAsia="sl-SI"/>
        </w:rPr>
        <w:t xml:space="preserve">v nadaljnjem besedilu: </w:t>
      </w:r>
      <w:r w:rsidRPr="00A335CB">
        <w:rPr>
          <w:rFonts w:ascii="Arial" w:eastAsia="Times New Roman" w:hAnsi="Arial" w:cs="Arial"/>
          <w:sz w:val="20"/>
          <w:szCs w:val="20"/>
          <w:lang w:eastAsia="sl-SI"/>
        </w:rPr>
        <w:t>MDS), ki jih vodi Urad vlade za varovanje tajn</w:t>
      </w:r>
      <w:r w:rsidR="005C25B4" w:rsidRPr="00A335CB">
        <w:rPr>
          <w:rFonts w:ascii="Arial" w:eastAsia="Times New Roman" w:hAnsi="Arial" w:cs="Arial"/>
          <w:sz w:val="20"/>
          <w:szCs w:val="20"/>
          <w:lang w:eastAsia="sl-SI"/>
        </w:rPr>
        <w:t>ih podatkov (</w:t>
      </w:r>
      <w:r w:rsidR="000616D0" w:rsidRPr="00A335CB">
        <w:rPr>
          <w:rFonts w:ascii="Arial" w:eastAsia="Times New Roman" w:hAnsi="Arial" w:cs="Arial"/>
          <w:sz w:val="20"/>
          <w:szCs w:val="20"/>
          <w:lang w:eastAsia="sl-SI"/>
        </w:rPr>
        <w:t xml:space="preserve">v nadaljnjem besedilu: </w:t>
      </w:r>
      <w:r w:rsidR="005C25B4" w:rsidRPr="00A335CB">
        <w:rPr>
          <w:rFonts w:ascii="Arial" w:eastAsia="Times New Roman" w:hAnsi="Arial" w:cs="Arial"/>
          <w:sz w:val="20"/>
          <w:szCs w:val="20"/>
          <w:lang w:eastAsia="sl-SI"/>
        </w:rPr>
        <w:t>UVTP), in sicer v:</w:t>
      </w:r>
    </w:p>
    <w:p w14:paraId="56DA28CC" w14:textId="77777777" w:rsidR="00653B9D" w:rsidRPr="00A335CB" w:rsidRDefault="00653B9D" w:rsidP="005D1A90">
      <w:pPr>
        <w:pStyle w:val="Odstavekseznama"/>
        <w:numPr>
          <w:ilvl w:val="0"/>
          <w:numId w:val="2"/>
        </w:numPr>
        <w:spacing w:after="0"/>
        <w:ind w:left="426" w:hanging="426"/>
        <w:rPr>
          <w:rFonts w:ascii="Arial" w:hAnsi="Arial" w:cs="Arial"/>
          <w:sz w:val="20"/>
          <w:szCs w:val="20"/>
        </w:rPr>
      </w:pPr>
      <w:r w:rsidRPr="00A335CB">
        <w:rPr>
          <w:rFonts w:ascii="Arial" w:hAnsi="Arial" w:cs="Arial"/>
          <w:sz w:val="20"/>
          <w:szCs w:val="20"/>
        </w:rPr>
        <w:t xml:space="preserve">MDS za osebno varnost, </w:t>
      </w:r>
    </w:p>
    <w:p w14:paraId="0A5BEEEF" w14:textId="77777777" w:rsidR="00653B9D" w:rsidRPr="00A335CB" w:rsidRDefault="00653B9D" w:rsidP="005D1A90">
      <w:pPr>
        <w:pStyle w:val="Odstavekseznama"/>
        <w:numPr>
          <w:ilvl w:val="0"/>
          <w:numId w:val="2"/>
        </w:numPr>
        <w:spacing w:after="0"/>
        <w:ind w:left="426" w:hanging="426"/>
        <w:rPr>
          <w:rFonts w:ascii="Arial" w:hAnsi="Arial" w:cs="Arial"/>
          <w:sz w:val="20"/>
          <w:szCs w:val="20"/>
        </w:rPr>
      </w:pPr>
      <w:r w:rsidRPr="00A335CB">
        <w:rPr>
          <w:rFonts w:ascii="Arial" w:hAnsi="Arial" w:cs="Arial"/>
          <w:sz w:val="20"/>
          <w:szCs w:val="20"/>
        </w:rPr>
        <w:t xml:space="preserve">MDS za dokumentacijsko varnost, </w:t>
      </w:r>
    </w:p>
    <w:p w14:paraId="03E9EB9E" w14:textId="77777777" w:rsidR="00653B9D" w:rsidRPr="00A335CB" w:rsidRDefault="00653B9D" w:rsidP="005D1A90">
      <w:pPr>
        <w:pStyle w:val="Odstavekseznama"/>
        <w:numPr>
          <w:ilvl w:val="0"/>
          <w:numId w:val="2"/>
        </w:numPr>
        <w:spacing w:after="0"/>
        <w:ind w:left="426" w:hanging="426"/>
        <w:rPr>
          <w:rFonts w:ascii="Arial" w:hAnsi="Arial" w:cs="Arial"/>
          <w:sz w:val="20"/>
          <w:szCs w:val="20"/>
        </w:rPr>
      </w:pPr>
      <w:r w:rsidRPr="00A335CB">
        <w:rPr>
          <w:rFonts w:ascii="Arial" w:hAnsi="Arial" w:cs="Arial"/>
          <w:sz w:val="20"/>
          <w:szCs w:val="20"/>
        </w:rPr>
        <w:t xml:space="preserve">MDS za informacijsko varnost, </w:t>
      </w:r>
    </w:p>
    <w:p w14:paraId="4000C6FE" w14:textId="77777777" w:rsidR="00653B9D" w:rsidRPr="00A335CB" w:rsidRDefault="00653B9D" w:rsidP="005D1A90">
      <w:pPr>
        <w:pStyle w:val="Odstavekseznama"/>
        <w:numPr>
          <w:ilvl w:val="0"/>
          <w:numId w:val="2"/>
        </w:numPr>
        <w:spacing w:after="0"/>
        <w:ind w:left="426" w:hanging="426"/>
        <w:rPr>
          <w:rFonts w:ascii="Arial" w:hAnsi="Arial" w:cs="Arial"/>
          <w:sz w:val="20"/>
          <w:szCs w:val="20"/>
        </w:rPr>
      </w:pPr>
      <w:r w:rsidRPr="00A335CB">
        <w:rPr>
          <w:rFonts w:ascii="Arial" w:hAnsi="Arial" w:cs="Arial"/>
          <w:sz w:val="20"/>
          <w:szCs w:val="20"/>
        </w:rPr>
        <w:t xml:space="preserve">MDS za industrijsko varnost. </w:t>
      </w:r>
    </w:p>
    <w:p w14:paraId="78DED9C2" w14:textId="77777777" w:rsidR="00653B9D" w:rsidRPr="00A335CB" w:rsidRDefault="00653B9D" w:rsidP="005D1A90">
      <w:pPr>
        <w:spacing w:after="0" w:line="276" w:lineRule="auto"/>
        <w:rPr>
          <w:rFonts w:ascii="Arial" w:hAnsi="Arial" w:cs="Arial"/>
          <w:sz w:val="20"/>
          <w:szCs w:val="20"/>
        </w:rPr>
      </w:pPr>
    </w:p>
    <w:p w14:paraId="1854DF5D" w14:textId="3822126E"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V MDS se sproti rešujejo odprta vprašanja, v zadnjem času zlasti počasni odzivi tujih </w:t>
      </w:r>
      <w:r w:rsidR="00660945">
        <w:rPr>
          <w:rFonts w:ascii="Arial" w:hAnsi="Arial" w:cs="Arial"/>
          <w:sz w:val="20"/>
          <w:szCs w:val="20"/>
        </w:rPr>
        <w:t>državnih</w:t>
      </w:r>
      <w:r w:rsidR="00660945" w:rsidRPr="00A335CB">
        <w:rPr>
          <w:rFonts w:ascii="Arial" w:hAnsi="Arial" w:cs="Arial"/>
          <w:sz w:val="20"/>
          <w:szCs w:val="20"/>
        </w:rPr>
        <w:t xml:space="preserve"> </w:t>
      </w:r>
      <w:r w:rsidRPr="00A335CB">
        <w:rPr>
          <w:rFonts w:ascii="Arial" w:hAnsi="Arial" w:cs="Arial"/>
          <w:sz w:val="20"/>
          <w:szCs w:val="20"/>
        </w:rPr>
        <w:t>varnostnih organov, ki trajajo nekaj mesecev, v posameznih primerih pa tudi do nekaj let.</w:t>
      </w:r>
    </w:p>
    <w:p w14:paraId="0B09BE3E" w14:textId="77777777" w:rsidR="00653B9D" w:rsidRPr="00A335CB" w:rsidRDefault="00653B9D" w:rsidP="005D1A90">
      <w:pPr>
        <w:spacing w:after="0" w:line="276" w:lineRule="auto"/>
        <w:jc w:val="both"/>
        <w:rPr>
          <w:rFonts w:ascii="Arial" w:hAnsi="Arial" w:cs="Arial"/>
          <w:sz w:val="20"/>
          <w:szCs w:val="20"/>
        </w:rPr>
      </w:pPr>
    </w:p>
    <w:p w14:paraId="0FD400A1" w14:textId="73B898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 xml:space="preserve">MNZ sodeluje tudi pri usklajevanju sporazumov o medsebojnem varovanju in obravnavanju tajnih podatkov, ki jih UVTP sklepa z drugimi </w:t>
      </w:r>
      <w:r w:rsidR="00660945">
        <w:rPr>
          <w:rFonts w:ascii="Arial" w:eastAsia="Times New Roman" w:hAnsi="Arial" w:cs="Arial"/>
          <w:sz w:val="20"/>
          <w:szCs w:val="20"/>
          <w:lang w:eastAsia="sl-SI"/>
        </w:rPr>
        <w:t>državnimi</w:t>
      </w:r>
      <w:r w:rsidR="00660945"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 xml:space="preserve">varnostnimi organi. Uslužbenci MNZ so maja 2024 sodelovali z UVTP pri predstavitvi področja industrijske varnosti in osebne varnosti v Republiki Sloveniji pri sklepanju </w:t>
      </w:r>
      <w:r w:rsidR="00FF5849">
        <w:rPr>
          <w:rFonts w:ascii="Arial" w:eastAsia="Times New Roman" w:hAnsi="Arial" w:cs="Arial"/>
          <w:sz w:val="20"/>
          <w:szCs w:val="20"/>
          <w:lang w:eastAsia="sl-SI"/>
        </w:rPr>
        <w:t>dvostranskega</w:t>
      </w:r>
      <w:r w:rsidR="00FF5849"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 xml:space="preserve">sporazuma z ZDA s tega področja, decembra 2024 pa so sodelovali pri usposabljanju s področja tajnih podatkov in industrijske varnosti. </w:t>
      </w:r>
    </w:p>
    <w:p w14:paraId="5328EB7E" w14:textId="77777777" w:rsidR="00653B9D" w:rsidRPr="00A335CB" w:rsidRDefault="00653B9D" w:rsidP="005D1A90">
      <w:pPr>
        <w:spacing w:after="0" w:line="276" w:lineRule="auto"/>
        <w:jc w:val="both"/>
        <w:rPr>
          <w:rFonts w:ascii="Arial" w:eastAsia="Times New Roman" w:hAnsi="Arial" w:cs="Arial"/>
          <w:sz w:val="20"/>
          <w:szCs w:val="20"/>
          <w:highlight w:val="yellow"/>
          <w:lang w:eastAsia="sl-SI"/>
        </w:rPr>
      </w:pPr>
    </w:p>
    <w:p w14:paraId="0007367B" w14:textId="59A0100F" w:rsidR="00653B9D" w:rsidRPr="00A335CB" w:rsidRDefault="00653B9D" w:rsidP="00780CD6">
      <w:pPr>
        <w:pStyle w:val="Desno"/>
        <w:spacing w:before="0" w:after="0" w:line="276" w:lineRule="auto"/>
        <w:rPr>
          <w:b/>
          <w:sz w:val="20"/>
          <w:szCs w:val="20"/>
        </w:rPr>
      </w:pPr>
      <w:r w:rsidRPr="00A335CB">
        <w:rPr>
          <w:b/>
          <w:sz w:val="20"/>
          <w:szCs w:val="20"/>
        </w:rPr>
        <w:t>Poslovanje z dokumentarnim gradivom s tajnimi podatki</w:t>
      </w:r>
    </w:p>
    <w:p w14:paraId="2FC1B718" w14:textId="0BBE0C76"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V varnostnem območju MNZ (</w:t>
      </w:r>
      <w:r w:rsidR="000616D0" w:rsidRPr="00A335CB">
        <w:rPr>
          <w:rFonts w:ascii="Arial" w:eastAsia="Times New Roman" w:hAnsi="Arial" w:cs="Arial"/>
          <w:sz w:val="20"/>
          <w:szCs w:val="20"/>
          <w:lang w:eastAsia="sl-SI"/>
        </w:rPr>
        <w:t xml:space="preserve">v nadaljnjem besedilu: </w:t>
      </w:r>
      <w:r w:rsidRPr="00A335CB">
        <w:rPr>
          <w:rFonts w:ascii="Arial" w:eastAsia="Times New Roman" w:hAnsi="Arial" w:cs="Arial"/>
          <w:sz w:val="20"/>
          <w:szCs w:val="20"/>
          <w:lang w:eastAsia="sl-SI"/>
        </w:rPr>
        <w:t>VO MNZ) je Sektor za informacijsko varnos</w:t>
      </w:r>
      <w:r w:rsidR="000616D0" w:rsidRPr="00A335CB">
        <w:rPr>
          <w:rFonts w:ascii="Arial" w:eastAsia="Times New Roman" w:hAnsi="Arial" w:cs="Arial"/>
          <w:sz w:val="20"/>
          <w:szCs w:val="20"/>
          <w:lang w:eastAsia="sl-SI"/>
        </w:rPr>
        <w:t>t in upravljanje s podatki</w:t>
      </w:r>
      <w:r w:rsidRPr="00A335CB">
        <w:rPr>
          <w:rFonts w:ascii="Arial" w:eastAsia="Times New Roman" w:hAnsi="Arial" w:cs="Arial"/>
          <w:sz w:val="20"/>
          <w:szCs w:val="20"/>
          <w:lang w:eastAsia="sl-SI"/>
        </w:rPr>
        <w:t xml:space="preserve"> (</w:t>
      </w:r>
      <w:r w:rsidR="000616D0" w:rsidRPr="00A335CB">
        <w:rPr>
          <w:rFonts w:ascii="Arial" w:eastAsia="Times New Roman" w:hAnsi="Arial" w:cs="Arial"/>
          <w:sz w:val="20"/>
          <w:szCs w:val="20"/>
          <w:lang w:eastAsia="sl-SI"/>
        </w:rPr>
        <w:t>v nadaljnjem besedilu: SIVUP</w:t>
      </w:r>
      <w:r w:rsidRPr="00A335CB">
        <w:rPr>
          <w:rFonts w:ascii="Arial" w:eastAsia="Times New Roman" w:hAnsi="Arial" w:cs="Arial"/>
          <w:sz w:val="20"/>
          <w:szCs w:val="20"/>
          <w:lang w:eastAsia="sl-SI"/>
        </w:rPr>
        <w:t xml:space="preserve">) v sodelovanju z drugimi notranjimi organizacijskimi enotami nadaljeval izločanje in uničevanje dokumentarnega gradiva s tajnimi podatki, ki je bilo v VO MNZ hranjeno od leta 1991 dalje, vključno z gradivi s starimi oznakami tajnosti. Predvidoma do konca leta 2025 bo izločeno in uničeno celotno gradivo s stopnjo tajnosti, ki mora biti izločeno in uničeno </w:t>
      </w:r>
      <w:r w:rsidR="00FF5849">
        <w:rPr>
          <w:rFonts w:ascii="Arial" w:eastAsia="Times New Roman" w:hAnsi="Arial" w:cs="Arial"/>
          <w:sz w:val="20"/>
          <w:szCs w:val="20"/>
          <w:lang w:eastAsia="sl-SI"/>
        </w:rPr>
        <w:t>v skladu</w:t>
      </w:r>
      <w:r w:rsidR="00FF5849"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z veljavni</w:t>
      </w:r>
      <w:r w:rsidR="000616D0" w:rsidRPr="00A335CB">
        <w:rPr>
          <w:rFonts w:ascii="Arial" w:eastAsia="Times New Roman" w:hAnsi="Arial" w:cs="Arial"/>
          <w:sz w:val="20"/>
          <w:szCs w:val="20"/>
          <w:lang w:eastAsia="sl-SI"/>
        </w:rPr>
        <w:t>mi predpisi. Uslužbenci SIVUP</w:t>
      </w:r>
      <w:r w:rsidRPr="00A335CB">
        <w:rPr>
          <w:rFonts w:ascii="Arial" w:eastAsia="Times New Roman" w:hAnsi="Arial" w:cs="Arial"/>
          <w:sz w:val="20"/>
          <w:szCs w:val="20"/>
          <w:lang w:eastAsia="sl-SI"/>
        </w:rPr>
        <w:t xml:space="preserve"> ocenjujejo, da je bilo izločenega in uničenega več kot polovica starega gradiva.</w:t>
      </w:r>
    </w:p>
    <w:p w14:paraId="3599E638" w14:textId="77777777" w:rsidR="00653B9D" w:rsidRPr="00A335CB" w:rsidRDefault="00653B9D" w:rsidP="005D1A90">
      <w:pPr>
        <w:spacing w:after="0" w:line="276" w:lineRule="auto"/>
        <w:jc w:val="both"/>
        <w:rPr>
          <w:rFonts w:ascii="Arial" w:eastAsia="Times New Roman" w:hAnsi="Arial" w:cs="Arial"/>
          <w:sz w:val="20"/>
          <w:szCs w:val="20"/>
          <w:lang w:eastAsia="sl-SI"/>
        </w:rPr>
      </w:pPr>
    </w:p>
    <w:p w14:paraId="6C21B2EE" w14:textId="753B6B30"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V letu 2</w:t>
      </w:r>
      <w:r w:rsidR="000616D0" w:rsidRPr="00A335CB">
        <w:rPr>
          <w:rFonts w:ascii="Arial" w:eastAsia="Times New Roman" w:hAnsi="Arial" w:cs="Arial"/>
          <w:sz w:val="20"/>
          <w:szCs w:val="20"/>
          <w:lang w:eastAsia="sl-SI"/>
        </w:rPr>
        <w:t>024 je bilo v VO MNZ</w:t>
      </w:r>
      <w:r w:rsidRPr="00A335CB">
        <w:rPr>
          <w:rFonts w:ascii="Arial" w:eastAsia="Times New Roman" w:hAnsi="Arial" w:cs="Arial"/>
          <w:sz w:val="20"/>
          <w:szCs w:val="20"/>
          <w:lang w:eastAsia="sl-SI"/>
        </w:rPr>
        <w:t xml:space="preserve"> tehnično in organizacijsko dokončno </w:t>
      </w:r>
      <w:r w:rsidR="00FF5849">
        <w:rPr>
          <w:rFonts w:ascii="Arial" w:eastAsia="Times New Roman" w:hAnsi="Arial" w:cs="Arial"/>
          <w:sz w:val="20"/>
          <w:szCs w:val="20"/>
          <w:lang w:eastAsia="sl-SI"/>
        </w:rPr>
        <w:t>uvedeno</w:t>
      </w:r>
      <w:r w:rsidR="00FF5849"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informacijsko</w:t>
      </w:r>
      <w:r w:rsidR="00FF5849">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komunikacijsko okolje za </w:t>
      </w:r>
      <w:r w:rsidRPr="00A335CB">
        <w:rPr>
          <w:rFonts w:ascii="Arial" w:hAnsi="Arial" w:cs="Arial"/>
          <w:sz w:val="20"/>
          <w:szCs w:val="20"/>
        </w:rPr>
        <w:t>varno in hitro komuniciranje pri kriznem upravljanju in vodenju ter za varno elektronsko izmenjavo tajnih podatkov s področja obrambe.</w:t>
      </w:r>
    </w:p>
    <w:p w14:paraId="63DA4454" w14:textId="77777777" w:rsidR="00653B9D" w:rsidRPr="00A335CB" w:rsidRDefault="00653B9D" w:rsidP="005D1A90">
      <w:pPr>
        <w:spacing w:after="0" w:line="276" w:lineRule="auto"/>
        <w:jc w:val="both"/>
        <w:rPr>
          <w:rFonts w:ascii="Arial" w:eastAsia="Times New Roman" w:hAnsi="Arial" w:cs="Arial"/>
          <w:sz w:val="20"/>
          <w:szCs w:val="20"/>
          <w:lang w:eastAsia="sl-SI"/>
        </w:rPr>
      </w:pPr>
    </w:p>
    <w:p w14:paraId="01A53C10" w14:textId="0730ED8A" w:rsidR="00653B9D" w:rsidRPr="00A335CB" w:rsidRDefault="00653B9D" w:rsidP="00780CD6">
      <w:pPr>
        <w:pStyle w:val="Desno"/>
        <w:spacing w:before="0" w:after="0" w:line="276" w:lineRule="auto"/>
        <w:rPr>
          <w:b/>
          <w:sz w:val="20"/>
          <w:szCs w:val="20"/>
        </w:rPr>
      </w:pPr>
      <w:r w:rsidRPr="00A335CB">
        <w:rPr>
          <w:b/>
          <w:sz w:val="20"/>
          <w:szCs w:val="20"/>
        </w:rPr>
        <w:t xml:space="preserve">Nadzorna dejavnost na področju tajnih podatkov </w:t>
      </w:r>
    </w:p>
    <w:p w14:paraId="3AFDD09C" w14:textId="77777777" w:rsidR="00653B9D" w:rsidRPr="00A335CB" w:rsidRDefault="00653B9D" w:rsidP="005D1A90">
      <w:pPr>
        <w:tabs>
          <w:tab w:val="num" w:pos="1431"/>
        </w:tabs>
        <w:spacing w:after="0" w:line="276" w:lineRule="auto"/>
        <w:jc w:val="both"/>
        <w:rPr>
          <w:rFonts w:ascii="Arial" w:hAnsi="Arial" w:cs="Arial"/>
          <w:sz w:val="20"/>
          <w:szCs w:val="20"/>
        </w:rPr>
      </w:pPr>
      <w:r w:rsidRPr="00A335CB">
        <w:rPr>
          <w:rFonts w:ascii="Arial" w:hAnsi="Arial" w:cs="Arial"/>
          <w:sz w:val="20"/>
          <w:szCs w:val="20"/>
        </w:rPr>
        <w:t xml:space="preserve">V skladu z Načrtom notranjih nadzorov na področju obravnavanja in varovanja tajnih podatkov v Ministrstvu za notranje zadeve v letu 2024 ter na podlagi odredb ministra je bil oktobra 2024 opravljen tematski notranji nadzor nad izvajanjem predpisov s področja tajnih podatkov v Direktoratu za logistiko MNZ. </w:t>
      </w:r>
    </w:p>
    <w:p w14:paraId="3638BD40" w14:textId="77777777" w:rsidR="00653B9D" w:rsidRPr="00A335CB" w:rsidRDefault="00653B9D" w:rsidP="005D1A90">
      <w:pPr>
        <w:tabs>
          <w:tab w:val="num" w:pos="1431"/>
        </w:tabs>
        <w:spacing w:after="0" w:line="276" w:lineRule="auto"/>
        <w:jc w:val="both"/>
        <w:rPr>
          <w:rFonts w:ascii="Arial" w:hAnsi="Arial" w:cs="Arial"/>
          <w:sz w:val="20"/>
          <w:szCs w:val="20"/>
        </w:rPr>
      </w:pPr>
    </w:p>
    <w:p w14:paraId="39C1179E" w14:textId="69FCB5C7" w:rsidR="00653B9D" w:rsidRPr="00A335CB" w:rsidRDefault="00653B9D" w:rsidP="005D1A90">
      <w:pPr>
        <w:tabs>
          <w:tab w:val="num" w:pos="1431"/>
        </w:tabs>
        <w:spacing w:after="0" w:line="276" w:lineRule="auto"/>
        <w:jc w:val="both"/>
        <w:rPr>
          <w:rFonts w:ascii="Arial" w:hAnsi="Arial" w:cs="Arial"/>
          <w:sz w:val="20"/>
          <w:szCs w:val="20"/>
        </w:rPr>
      </w:pPr>
      <w:r w:rsidRPr="00A335CB">
        <w:rPr>
          <w:rFonts w:ascii="Arial" w:hAnsi="Arial" w:cs="Arial"/>
          <w:sz w:val="20"/>
          <w:szCs w:val="20"/>
        </w:rPr>
        <w:t xml:space="preserve">Nadzor je bil namenjen ugotavljanju izpolnjevanja pogojev za obravnavanje in varovanje tajnih podatkov in preverjanju dejavnosti, ki se nanašajo na izvajanje določb Zakona o tajnih podatkih ter posameznih predpisov in aktov, sprejetih na podlagi tega zakona. V času izvedbe nadzora je bilo </w:t>
      </w:r>
      <w:r w:rsidR="00F55391" w:rsidRPr="00A335CB">
        <w:rPr>
          <w:rFonts w:ascii="Arial" w:hAnsi="Arial" w:cs="Arial"/>
          <w:sz w:val="20"/>
          <w:szCs w:val="20"/>
        </w:rPr>
        <w:t xml:space="preserve">skupno izrečenih </w:t>
      </w:r>
      <w:r w:rsidR="00FF5849">
        <w:rPr>
          <w:rFonts w:ascii="Arial" w:hAnsi="Arial" w:cs="Arial"/>
          <w:sz w:val="20"/>
          <w:szCs w:val="20"/>
        </w:rPr>
        <w:t>pet</w:t>
      </w:r>
      <w:r w:rsidR="00FF5849" w:rsidRPr="00A335CB">
        <w:rPr>
          <w:rFonts w:ascii="Arial" w:hAnsi="Arial" w:cs="Arial"/>
          <w:sz w:val="20"/>
          <w:szCs w:val="20"/>
        </w:rPr>
        <w:t xml:space="preserve"> </w:t>
      </w:r>
      <w:r w:rsidRPr="00A335CB">
        <w:rPr>
          <w:rFonts w:ascii="Arial" w:hAnsi="Arial" w:cs="Arial"/>
          <w:sz w:val="20"/>
          <w:szCs w:val="20"/>
        </w:rPr>
        <w:t xml:space="preserve">ukrepov in </w:t>
      </w:r>
      <w:r w:rsidR="00FF5849">
        <w:rPr>
          <w:rFonts w:ascii="Arial" w:hAnsi="Arial" w:cs="Arial"/>
          <w:sz w:val="20"/>
          <w:szCs w:val="20"/>
        </w:rPr>
        <w:t>dve</w:t>
      </w:r>
      <w:r w:rsidR="00FF5849" w:rsidRPr="00A335CB">
        <w:rPr>
          <w:rFonts w:ascii="Arial" w:hAnsi="Arial" w:cs="Arial"/>
          <w:sz w:val="20"/>
          <w:szCs w:val="20"/>
        </w:rPr>
        <w:t xml:space="preserve"> </w:t>
      </w:r>
      <w:r w:rsidRPr="00A335CB">
        <w:rPr>
          <w:rFonts w:ascii="Arial" w:hAnsi="Arial" w:cs="Arial"/>
          <w:sz w:val="20"/>
          <w:szCs w:val="20"/>
        </w:rPr>
        <w:t xml:space="preserve">priporočili za izboljšanje stanja. Nadzirana enota je po </w:t>
      </w:r>
      <w:r w:rsidR="00FF5849">
        <w:rPr>
          <w:rFonts w:ascii="Arial" w:hAnsi="Arial" w:cs="Arial"/>
          <w:sz w:val="20"/>
          <w:szCs w:val="20"/>
        </w:rPr>
        <w:t>opravljenem</w:t>
      </w:r>
      <w:r w:rsidR="00FF5849" w:rsidRPr="00A335CB">
        <w:rPr>
          <w:rFonts w:ascii="Arial" w:hAnsi="Arial" w:cs="Arial"/>
          <w:sz w:val="20"/>
          <w:szCs w:val="20"/>
        </w:rPr>
        <w:t xml:space="preserve"> </w:t>
      </w:r>
      <w:r w:rsidRPr="00A335CB">
        <w:rPr>
          <w:rFonts w:ascii="Arial" w:hAnsi="Arial" w:cs="Arial"/>
          <w:sz w:val="20"/>
          <w:szCs w:val="20"/>
        </w:rPr>
        <w:t>nadzoru podala odzivno poročilo</w:t>
      </w:r>
      <w:r w:rsidR="00F55391" w:rsidRPr="00A335CB">
        <w:rPr>
          <w:rFonts w:ascii="Arial" w:hAnsi="Arial" w:cs="Arial"/>
          <w:sz w:val="20"/>
          <w:szCs w:val="20"/>
        </w:rPr>
        <w:t>,</w:t>
      </w:r>
      <w:r w:rsidRPr="00A335CB">
        <w:rPr>
          <w:rFonts w:ascii="Arial" w:hAnsi="Arial" w:cs="Arial"/>
          <w:sz w:val="20"/>
          <w:szCs w:val="20"/>
        </w:rPr>
        <w:t xml:space="preserve"> iz katerega izhaja, da so bili vsi ukrepi in priporočila v celoti </w:t>
      </w:r>
      <w:r w:rsidR="00721952">
        <w:rPr>
          <w:rFonts w:ascii="Arial" w:hAnsi="Arial" w:cs="Arial"/>
          <w:sz w:val="20"/>
          <w:szCs w:val="20"/>
        </w:rPr>
        <w:t>izvedeni</w:t>
      </w:r>
      <w:r w:rsidR="00721952" w:rsidRPr="00A335CB">
        <w:rPr>
          <w:rFonts w:ascii="Arial" w:hAnsi="Arial" w:cs="Arial"/>
          <w:sz w:val="20"/>
          <w:szCs w:val="20"/>
        </w:rPr>
        <w:t xml:space="preserve"> </w:t>
      </w:r>
      <w:r w:rsidRPr="00A335CB">
        <w:rPr>
          <w:rFonts w:ascii="Arial" w:hAnsi="Arial" w:cs="Arial"/>
          <w:sz w:val="20"/>
          <w:szCs w:val="20"/>
        </w:rPr>
        <w:t>ali so se izvajali.</w:t>
      </w:r>
    </w:p>
    <w:p w14:paraId="3FB3DA4C" w14:textId="77777777" w:rsidR="00653B9D" w:rsidRPr="00A335CB" w:rsidRDefault="00653B9D" w:rsidP="005D1A90">
      <w:pPr>
        <w:spacing w:after="0" w:line="276" w:lineRule="auto"/>
        <w:jc w:val="both"/>
        <w:rPr>
          <w:rFonts w:ascii="Arial" w:hAnsi="Arial" w:cs="Arial"/>
          <w:sz w:val="20"/>
          <w:szCs w:val="20"/>
        </w:rPr>
      </w:pPr>
    </w:p>
    <w:p w14:paraId="71CA5D8A" w14:textId="1EE1690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Izveden je bil tudi izredni nadzor nad izvajanjem predpisov s področja tajnih podatkov v Sekretariatu, Službi za upravno poslovanje MNZ in Sektorju za varnostno načrtovanje DPDVN. Predmet nadzora je bilo izpolnjevanje pogojev za obravnavanje in varovanje tajnih podatkov ter preverjanje posameznih dejavnosti, ki se nanašajo na izvajanje določb Zakona o tajnih podatkih ter posameznih predpisov in aktov, sprejetih na podlagi zakona, s poudarkom na poslovanju, obravnavi in varovanju tajnih podatkov v sistemu ISTPMNZ-I. Iz poročila o nadzoru izhaja, da </w:t>
      </w:r>
      <w:r w:rsidR="00E55EBD">
        <w:rPr>
          <w:rFonts w:ascii="Arial" w:hAnsi="Arial" w:cs="Arial"/>
          <w:sz w:val="20"/>
          <w:szCs w:val="20"/>
        </w:rPr>
        <w:t>so</w:t>
      </w:r>
      <w:r w:rsidR="00E55EBD" w:rsidRPr="00A335CB">
        <w:rPr>
          <w:rFonts w:ascii="Arial" w:hAnsi="Arial" w:cs="Arial"/>
          <w:sz w:val="20"/>
          <w:szCs w:val="20"/>
        </w:rPr>
        <w:t xml:space="preserve"> </w:t>
      </w:r>
      <w:r w:rsidRPr="00A335CB">
        <w:rPr>
          <w:rFonts w:ascii="Arial" w:hAnsi="Arial" w:cs="Arial"/>
          <w:sz w:val="20"/>
          <w:szCs w:val="20"/>
        </w:rPr>
        <w:t>bil</w:t>
      </w:r>
      <w:r w:rsidR="00E55EBD">
        <w:rPr>
          <w:rFonts w:ascii="Arial" w:hAnsi="Arial" w:cs="Arial"/>
          <w:sz w:val="20"/>
          <w:szCs w:val="20"/>
        </w:rPr>
        <w:t>i</w:t>
      </w:r>
      <w:r w:rsidRPr="00A335CB">
        <w:rPr>
          <w:rFonts w:ascii="Arial" w:hAnsi="Arial" w:cs="Arial"/>
          <w:sz w:val="20"/>
          <w:szCs w:val="20"/>
        </w:rPr>
        <w:t xml:space="preserve"> poslovanje, obravnavanje in varovanje tajnih</w:t>
      </w:r>
      <w:r w:rsidR="00A72202" w:rsidRPr="00A335CB">
        <w:rPr>
          <w:rFonts w:ascii="Arial" w:hAnsi="Arial" w:cs="Arial"/>
          <w:sz w:val="20"/>
          <w:szCs w:val="20"/>
        </w:rPr>
        <w:t xml:space="preserve"> podatkov s strani zaposlenih v</w:t>
      </w:r>
      <w:r w:rsidRPr="00A335CB">
        <w:rPr>
          <w:rFonts w:ascii="Arial" w:hAnsi="Arial" w:cs="Arial"/>
          <w:sz w:val="20"/>
          <w:szCs w:val="20"/>
        </w:rPr>
        <w:t xml:space="preserve"> MNZ v </w:t>
      </w:r>
      <w:r w:rsidR="00E36597">
        <w:rPr>
          <w:rFonts w:ascii="Arial" w:hAnsi="Arial" w:cs="Arial"/>
          <w:sz w:val="20"/>
          <w:szCs w:val="20"/>
        </w:rPr>
        <w:t>tem</w:t>
      </w:r>
      <w:r w:rsidR="00E36597" w:rsidRPr="00A335CB">
        <w:rPr>
          <w:rFonts w:ascii="Arial" w:hAnsi="Arial" w:cs="Arial"/>
          <w:sz w:val="20"/>
          <w:szCs w:val="20"/>
        </w:rPr>
        <w:t xml:space="preserve"> </w:t>
      </w:r>
      <w:r w:rsidRPr="00A335CB">
        <w:rPr>
          <w:rFonts w:ascii="Arial" w:hAnsi="Arial" w:cs="Arial"/>
          <w:sz w:val="20"/>
          <w:szCs w:val="20"/>
        </w:rPr>
        <w:t xml:space="preserve">primeru </w:t>
      </w:r>
      <w:r w:rsidR="00E55EBD" w:rsidRPr="00A335CB">
        <w:rPr>
          <w:rFonts w:ascii="Arial" w:hAnsi="Arial" w:cs="Arial"/>
          <w:sz w:val="20"/>
          <w:szCs w:val="20"/>
        </w:rPr>
        <w:t>izveden</w:t>
      </w:r>
      <w:r w:rsidR="00E55EBD">
        <w:rPr>
          <w:rFonts w:ascii="Arial" w:hAnsi="Arial" w:cs="Arial"/>
          <w:sz w:val="20"/>
          <w:szCs w:val="20"/>
        </w:rPr>
        <w:t>i</w:t>
      </w:r>
      <w:r w:rsidR="00E55EBD" w:rsidRPr="00A335CB">
        <w:rPr>
          <w:rFonts w:ascii="Arial" w:hAnsi="Arial" w:cs="Arial"/>
          <w:sz w:val="20"/>
          <w:szCs w:val="20"/>
        </w:rPr>
        <w:t xml:space="preserve"> </w:t>
      </w:r>
      <w:r w:rsidR="00E55EBD">
        <w:rPr>
          <w:rFonts w:ascii="Arial" w:hAnsi="Arial" w:cs="Arial"/>
          <w:sz w:val="20"/>
          <w:szCs w:val="20"/>
        </w:rPr>
        <w:t>v skladu</w:t>
      </w:r>
      <w:r w:rsidR="00E55EBD" w:rsidRPr="00A335CB">
        <w:rPr>
          <w:rFonts w:ascii="Arial" w:hAnsi="Arial" w:cs="Arial"/>
          <w:sz w:val="20"/>
          <w:szCs w:val="20"/>
        </w:rPr>
        <w:t xml:space="preserve"> </w:t>
      </w:r>
      <w:r w:rsidRPr="00A335CB">
        <w:rPr>
          <w:rFonts w:ascii="Arial" w:hAnsi="Arial" w:cs="Arial"/>
          <w:sz w:val="20"/>
          <w:szCs w:val="20"/>
        </w:rPr>
        <w:t>z določbami Zakona o tajnih podatkih in predpisov, sprejetih na podlagi zakona.</w:t>
      </w:r>
    </w:p>
    <w:p w14:paraId="7B735F5B" w14:textId="77777777" w:rsidR="00653B9D" w:rsidRPr="00A335CB" w:rsidRDefault="00653B9D" w:rsidP="005D1A90">
      <w:pPr>
        <w:spacing w:after="0" w:line="276" w:lineRule="auto"/>
        <w:jc w:val="both"/>
        <w:rPr>
          <w:rFonts w:ascii="Arial" w:hAnsi="Arial" w:cs="Arial"/>
          <w:sz w:val="20"/>
          <w:szCs w:val="20"/>
        </w:rPr>
      </w:pPr>
    </w:p>
    <w:p w14:paraId="07D4787F" w14:textId="715919C9" w:rsidR="00653B9D" w:rsidRDefault="00653B9D" w:rsidP="00A24539">
      <w:pPr>
        <w:pStyle w:val="Desno"/>
        <w:spacing w:before="0" w:after="0" w:line="276" w:lineRule="auto"/>
        <w:rPr>
          <w:b/>
          <w:sz w:val="20"/>
          <w:szCs w:val="20"/>
        </w:rPr>
      </w:pPr>
      <w:r w:rsidRPr="00A335CB">
        <w:rPr>
          <w:b/>
          <w:sz w:val="20"/>
          <w:szCs w:val="20"/>
        </w:rPr>
        <w:t>Informacijska varnost, digitalizacija in varna povezljivost</w:t>
      </w:r>
    </w:p>
    <w:p w14:paraId="4B47EA9C" w14:textId="69836BC2" w:rsidR="00A24539" w:rsidRPr="00A335CB" w:rsidRDefault="00A24539" w:rsidP="00A24539">
      <w:pPr>
        <w:spacing w:after="0" w:line="276" w:lineRule="auto"/>
        <w:jc w:val="both"/>
        <w:rPr>
          <w:rFonts w:ascii="Arial" w:eastAsia="Times New Roman" w:hAnsi="Arial" w:cs="Arial"/>
          <w:sz w:val="20"/>
          <w:szCs w:val="20"/>
          <w:lang w:eastAsia="sl-SI"/>
        </w:rPr>
      </w:pPr>
      <w:r w:rsidRPr="00565FDB">
        <w:rPr>
          <w:rFonts w:ascii="Arial" w:eastAsia="Times New Roman" w:hAnsi="Arial" w:cs="Arial"/>
          <w:sz w:val="20"/>
          <w:szCs w:val="20"/>
          <w:lang w:eastAsia="sl-SI"/>
        </w:rPr>
        <w:t>MNZ je</w:t>
      </w:r>
      <w:r w:rsidR="00935AE4" w:rsidRPr="00565FDB">
        <w:rPr>
          <w:rFonts w:ascii="Arial" w:eastAsia="Times New Roman" w:hAnsi="Arial" w:cs="Arial"/>
          <w:sz w:val="20"/>
          <w:szCs w:val="20"/>
          <w:lang w:eastAsia="sl-SI"/>
        </w:rPr>
        <w:t xml:space="preserve"> </w:t>
      </w:r>
      <w:r w:rsidRPr="00565FDB">
        <w:rPr>
          <w:rFonts w:ascii="Arial" w:eastAsia="Times New Roman" w:hAnsi="Arial" w:cs="Arial"/>
          <w:sz w:val="20"/>
          <w:szCs w:val="20"/>
          <w:lang w:eastAsia="sl-SI"/>
        </w:rPr>
        <w:t xml:space="preserve">veliko pozornosti </w:t>
      </w:r>
      <w:r>
        <w:rPr>
          <w:rFonts w:ascii="Arial" w:eastAsia="Times New Roman" w:hAnsi="Arial" w:cs="Arial"/>
          <w:sz w:val="20"/>
          <w:szCs w:val="20"/>
          <w:lang w:eastAsia="sl-SI"/>
        </w:rPr>
        <w:t>namenilo</w:t>
      </w:r>
      <w:r w:rsidRPr="00A335CB">
        <w:rPr>
          <w:rFonts w:ascii="Arial" w:eastAsia="Times New Roman" w:hAnsi="Arial" w:cs="Arial"/>
          <w:sz w:val="20"/>
          <w:szCs w:val="20"/>
          <w:lang w:eastAsia="sl-SI"/>
        </w:rPr>
        <w:t xml:space="preserve"> prenovi oziroma vzpostavitvi dokumentiranega sistema upravljanja varovanja informacij (SUVI) in sistema upravljanja neprekinjenega poslovanja (SUNP)</w:t>
      </w:r>
      <w:r>
        <w:rPr>
          <w:rFonts w:ascii="Arial" w:eastAsia="Times New Roman" w:hAnsi="Arial" w:cs="Arial"/>
          <w:sz w:val="20"/>
          <w:szCs w:val="20"/>
          <w:lang w:eastAsia="sl-SI"/>
        </w:rPr>
        <w:t>.</w:t>
      </w:r>
    </w:p>
    <w:p w14:paraId="2100389E" w14:textId="77777777" w:rsidR="00A24539" w:rsidRPr="00A335CB" w:rsidRDefault="00A24539" w:rsidP="00A24539">
      <w:pPr>
        <w:spacing w:after="0" w:line="276" w:lineRule="auto"/>
        <w:jc w:val="both"/>
        <w:rPr>
          <w:rFonts w:ascii="Arial" w:eastAsia="Times New Roman" w:hAnsi="Arial" w:cs="Arial"/>
          <w:sz w:val="20"/>
          <w:szCs w:val="20"/>
          <w:lang w:eastAsia="sl-SI"/>
        </w:rPr>
      </w:pPr>
    </w:p>
    <w:p w14:paraId="2088C5FD" w14:textId="3BE5898C" w:rsidR="00A24539" w:rsidRPr="00A335CB" w:rsidRDefault="00A24539" w:rsidP="00A24539">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 xml:space="preserve">Popolnoma na novo </w:t>
      </w:r>
      <w:r>
        <w:rPr>
          <w:rFonts w:ascii="Arial" w:eastAsia="Times New Roman" w:hAnsi="Arial" w:cs="Arial"/>
          <w:sz w:val="20"/>
          <w:szCs w:val="20"/>
          <w:lang w:eastAsia="sl-SI"/>
        </w:rPr>
        <w:t>je</w:t>
      </w:r>
      <w:r w:rsidRPr="00A335CB">
        <w:rPr>
          <w:rFonts w:ascii="Arial" w:eastAsia="Times New Roman" w:hAnsi="Arial" w:cs="Arial"/>
          <w:sz w:val="20"/>
          <w:szCs w:val="20"/>
          <w:lang w:eastAsia="sl-SI"/>
        </w:rPr>
        <w:t xml:space="preserve"> bil</w:t>
      </w:r>
      <w:r>
        <w:rPr>
          <w:rFonts w:ascii="Arial" w:eastAsia="Times New Roman" w:hAnsi="Arial" w:cs="Arial"/>
          <w:sz w:val="20"/>
          <w:szCs w:val="20"/>
          <w:lang w:eastAsia="sl-SI"/>
        </w:rPr>
        <w:t xml:space="preserve">o </w:t>
      </w:r>
      <w:r w:rsidRPr="00A335CB">
        <w:rPr>
          <w:rFonts w:ascii="Arial" w:eastAsia="Times New Roman" w:hAnsi="Arial" w:cs="Arial"/>
          <w:sz w:val="20"/>
          <w:szCs w:val="20"/>
          <w:lang w:eastAsia="sl-SI"/>
        </w:rPr>
        <w:t>sprejet</w:t>
      </w:r>
      <w:r>
        <w:rPr>
          <w:rFonts w:ascii="Arial" w:eastAsia="Times New Roman" w:hAnsi="Arial" w:cs="Arial"/>
          <w:sz w:val="20"/>
          <w:szCs w:val="20"/>
          <w:lang w:eastAsia="sl-SI"/>
        </w:rPr>
        <w:t>ih več</w:t>
      </w:r>
      <w:r w:rsidRPr="00A335CB">
        <w:rPr>
          <w:rFonts w:ascii="Arial" w:eastAsia="Times New Roman" w:hAnsi="Arial" w:cs="Arial"/>
          <w:sz w:val="20"/>
          <w:szCs w:val="20"/>
          <w:lang w:eastAsia="sl-SI"/>
        </w:rPr>
        <w:t xml:space="preserve"> varnostn</w:t>
      </w:r>
      <w:r>
        <w:rPr>
          <w:rFonts w:ascii="Arial" w:eastAsia="Times New Roman" w:hAnsi="Arial" w:cs="Arial"/>
          <w:sz w:val="20"/>
          <w:szCs w:val="20"/>
          <w:lang w:eastAsia="sl-SI"/>
        </w:rPr>
        <w:t xml:space="preserve">ih </w:t>
      </w:r>
      <w:r w:rsidRPr="00A335CB">
        <w:rPr>
          <w:rFonts w:ascii="Arial" w:eastAsia="Times New Roman" w:hAnsi="Arial" w:cs="Arial"/>
          <w:sz w:val="20"/>
          <w:szCs w:val="20"/>
          <w:lang w:eastAsia="sl-SI"/>
        </w:rPr>
        <w:t xml:space="preserve">politik, navodil </w:t>
      </w:r>
      <w:r>
        <w:rPr>
          <w:rFonts w:ascii="Arial" w:eastAsia="Times New Roman" w:hAnsi="Arial" w:cs="Arial"/>
          <w:sz w:val="20"/>
          <w:szCs w:val="20"/>
          <w:lang w:eastAsia="sl-SI"/>
        </w:rPr>
        <w:t xml:space="preserve">in </w:t>
      </w:r>
      <w:r w:rsidRPr="00A335CB">
        <w:rPr>
          <w:rFonts w:ascii="Arial" w:eastAsia="Times New Roman" w:hAnsi="Arial" w:cs="Arial"/>
          <w:sz w:val="20"/>
          <w:szCs w:val="20"/>
          <w:lang w:eastAsia="sl-SI"/>
        </w:rPr>
        <w:t>druga varnostna dokumentacija ministrstva</w:t>
      </w:r>
      <w:r>
        <w:rPr>
          <w:rFonts w:ascii="Arial" w:eastAsia="Times New Roman" w:hAnsi="Arial" w:cs="Arial"/>
          <w:sz w:val="20"/>
          <w:szCs w:val="20"/>
          <w:lang w:eastAsia="sl-SI"/>
        </w:rPr>
        <w:t>.</w:t>
      </w:r>
    </w:p>
    <w:p w14:paraId="7830F053" w14:textId="63BAD88A" w:rsidR="00653B9D" w:rsidRPr="00A335CB" w:rsidRDefault="00653B9D" w:rsidP="005D1A90">
      <w:pPr>
        <w:spacing w:after="0" w:line="276" w:lineRule="auto"/>
        <w:jc w:val="both"/>
        <w:rPr>
          <w:rFonts w:ascii="Arial" w:eastAsia="Times New Roman" w:hAnsi="Arial" w:cs="Arial"/>
          <w:sz w:val="20"/>
          <w:szCs w:val="20"/>
          <w:lang w:eastAsia="sl-SI"/>
        </w:rPr>
      </w:pPr>
    </w:p>
    <w:p w14:paraId="0880AA19" w14:textId="0F268A05" w:rsidR="00653B9D" w:rsidRPr="00A335CB" w:rsidRDefault="008E5803"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SIVUP</w:t>
      </w:r>
      <w:r w:rsidR="00653B9D" w:rsidRPr="00A335CB">
        <w:rPr>
          <w:rFonts w:ascii="Arial" w:eastAsia="Times New Roman" w:hAnsi="Arial" w:cs="Arial"/>
          <w:sz w:val="20"/>
          <w:szCs w:val="20"/>
          <w:lang w:eastAsia="sl-SI"/>
        </w:rPr>
        <w:t xml:space="preserve"> se odziva tudi na ugotovljene ranljivosti in kršenje politik ter skrbi za ozaveščanje zaposlenih in organizacijo varnostnih forumov. Poleg tega nudi neposredno podporo vodji </w:t>
      </w:r>
      <w:r w:rsidRPr="00A335CB">
        <w:rPr>
          <w:rFonts w:ascii="Arial" w:eastAsia="Times New Roman" w:hAnsi="Arial" w:cs="Arial"/>
          <w:sz w:val="20"/>
          <w:szCs w:val="20"/>
          <w:lang w:eastAsia="sl-SI"/>
        </w:rPr>
        <w:t>informacije varnosti MNZ</w:t>
      </w:r>
      <w:r w:rsidR="00653B9D" w:rsidRPr="00A335CB">
        <w:rPr>
          <w:rFonts w:ascii="Arial" w:eastAsia="Times New Roman" w:hAnsi="Arial" w:cs="Arial"/>
          <w:sz w:val="20"/>
          <w:szCs w:val="20"/>
          <w:lang w:eastAsia="sl-SI"/>
        </w:rPr>
        <w:t>. Na področju informacijske varnosti redno sode</w:t>
      </w:r>
      <w:r w:rsidRPr="00A335CB">
        <w:rPr>
          <w:rFonts w:ascii="Arial" w:eastAsia="Times New Roman" w:hAnsi="Arial" w:cs="Arial"/>
          <w:sz w:val="20"/>
          <w:szCs w:val="20"/>
          <w:lang w:eastAsia="sl-SI"/>
        </w:rPr>
        <w:t>luje s Službo za informatiko</w:t>
      </w:r>
      <w:r w:rsidR="00653B9D" w:rsidRPr="00A335CB">
        <w:rPr>
          <w:rFonts w:ascii="Arial" w:eastAsia="Times New Roman" w:hAnsi="Arial" w:cs="Arial"/>
          <w:sz w:val="20"/>
          <w:szCs w:val="20"/>
          <w:lang w:eastAsia="sl-SI"/>
        </w:rPr>
        <w:t xml:space="preserve"> in Sektorje</w:t>
      </w:r>
      <w:r w:rsidRPr="00A335CB">
        <w:rPr>
          <w:rFonts w:ascii="Arial" w:eastAsia="Times New Roman" w:hAnsi="Arial" w:cs="Arial"/>
          <w:sz w:val="20"/>
          <w:szCs w:val="20"/>
          <w:lang w:eastAsia="sl-SI"/>
        </w:rPr>
        <w:t>m za informacijske storitve</w:t>
      </w:r>
      <w:r w:rsidR="00653B9D" w:rsidRPr="00A335CB">
        <w:rPr>
          <w:rFonts w:ascii="Arial" w:eastAsia="Times New Roman" w:hAnsi="Arial" w:cs="Arial"/>
          <w:sz w:val="20"/>
          <w:szCs w:val="20"/>
          <w:lang w:eastAsia="sl-SI"/>
        </w:rPr>
        <w:t xml:space="preserve">, Uradom za informatiko in telekomunikacije </w:t>
      </w:r>
      <w:r w:rsidR="00561A47">
        <w:rPr>
          <w:rFonts w:ascii="Arial" w:eastAsia="Times New Roman" w:hAnsi="Arial" w:cs="Arial"/>
          <w:sz w:val="20"/>
          <w:szCs w:val="20"/>
          <w:lang w:eastAsia="sl-SI"/>
        </w:rPr>
        <w:t>p</w:t>
      </w:r>
      <w:r w:rsidR="00561A47" w:rsidRPr="00A335CB">
        <w:rPr>
          <w:rFonts w:ascii="Arial" w:eastAsia="Times New Roman" w:hAnsi="Arial" w:cs="Arial"/>
          <w:sz w:val="20"/>
          <w:szCs w:val="20"/>
          <w:lang w:eastAsia="sl-SI"/>
        </w:rPr>
        <w:t>olicije</w:t>
      </w:r>
      <w:r w:rsidR="00653B9D" w:rsidRPr="00A335CB">
        <w:rPr>
          <w:rFonts w:ascii="Arial" w:eastAsia="Times New Roman" w:hAnsi="Arial" w:cs="Arial"/>
          <w:sz w:val="20"/>
          <w:szCs w:val="20"/>
          <w:lang w:eastAsia="sl-SI"/>
        </w:rPr>
        <w:t xml:space="preserve">, Uradom vlade RS </w:t>
      </w:r>
      <w:r w:rsidRPr="00A335CB">
        <w:rPr>
          <w:rFonts w:ascii="Arial" w:eastAsia="Times New Roman" w:hAnsi="Arial" w:cs="Arial"/>
          <w:sz w:val="20"/>
          <w:szCs w:val="20"/>
          <w:lang w:eastAsia="sl-SI"/>
        </w:rPr>
        <w:t>za informacijsko varnost in MDP. Uslužbenci SIVUP</w:t>
      </w:r>
      <w:r w:rsidR="00653B9D" w:rsidRPr="00A335CB">
        <w:rPr>
          <w:rFonts w:ascii="Arial" w:eastAsia="Times New Roman" w:hAnsi="Arial" w:cs="Arial"/>
          <w:sz w:val="20"/>
          <w:szCs w:val="20"/>
          <w:lang w:eastAsia="sl-SI"/>
        </w:rPr>
        <w:t xml:space="preserve"> so kot predstavniki MNZ sodelovali tudi v več delovnih skupinah, med drugim v </w:t>
      </w:r>
      <w:r w:rsidR="00653B9D" w:rsidRPr="00A335CB">
        <w:rPr>
          <w:rFonts w:ascii="Arial" w:hAnsi="Arial" w:cs="Arial"/>
          <w:sz w:val="20"/>
          <w:szCs w:val="20"/>
        </w:rPr>
        <w:t>Koordinacijski delovni skupini za kibernetsko varnost za strateški nivo oblikovanja politik, s poudarkom na mednarodni dimenziji, in v Medresorski delovni skupini za pripravo ocene varnostnih tveganj v mobilnih omrežjih, ki ju vodi Urad vlade RS za informacijsko varnost</w:t>
      </w:r>
      <w:r w:rsidR="00561A47">
        <w:rPr>
          <w:rFonts w:ascii="Arial" w:hAnsi="Arial" w:cs="Arial"/>
          <w:sz w:val="20"/>
          <w:szCs w:val="20"/>
        </w:rPr>
        <w:t>,</w:t>
      </w:r>
      <w:r w:rsidR="00653B9D" w:rsidRPr="00A335CB">
        <w:rPr>
          <w:rFonts w:ascii="Arial" w:hAnsi="Arial" w:cs="Arial"/>
          <w:sz w:val="20"/>
          <w:szCs w:val="20"/>
        </w:rPr>
        <w:t xml:space="preserve"> ter v Medresorski delovni skupini za vesolje, </w:t>
      </w:r>
      <w:r w:rsidR="00653B9D" w:rsidRPr="00A335CB">
        <w:rPr>
          <w:rFonts w:ascii="Arial" w:eastAsia="Times New Roman" w:hAnsi="Arial" w:cs="Arial"/>
          <w:sz w:val="20"/>
          <w:szCs w:val="20"/>
          <w:lang w:eastAsia="sl-SI"/>
        </w:rPr>
        <w:t xml:space="preserve">ki jo vodi Ministrstvo za gospodarstvo, turizem in šport. </w:t>
      </w:r>
    </w:p>
    <w:p w14:paraId="07FF99A2" w14:textId="33AE391C" w:rsidR="00653B9D" w:rsidRPr="00A335CB" w:rsidRDefault="00653B9D" w:rsidP="005D1A90">
      <w:pPr>
        <w:spacing w:after="0" w:line="276" w:lineRule="auto"/>
        <w:jc w:val="both"/>
        <w:rPr>
          <w:rFonts w:ascii="Arial" w:eastAsia="Times New Roman" w:hAnsi="Arial" w:cs="Arial"/>
          <w:sz w:val="20"/>
          <w:szCs w:val="20"/>
          <w:lang w:eastAsia="sl-SI"/>
        </w:rPr>
      </w:pPr>
    </w:p>
    <w:p w14:paraId="73B58429" w14:textId="030207F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Poleg tega je predstavnik MNZ sodeloval v Medresorski delovni skupini za pripravo Strategije kibernetske varnosti i</w:t>
      </w:r>
      <w:r w:rsidR="008E5803" w:rsidRPr="00A335CB">
        <w:rPr>
          <w:rFonts w:ascii="Arial" w:eastAsia="Times New Roman" w:hAnsi="Arial" w:cs="Arial"/>
          <w:sz w:val="20"/>
          <w:szCs w:val="20"/>
          <w:lang w:eastAsia="sl-SI"/>
        </w:rPr>
        <w:t>n akcijskega načrta. MNZ</w:t>
      </w:r>
      <w:r w:rsidRPr="00A335CB">
        <w:rPr>
          <w:rFonts w:ascii="Arial" w:eastAsia="Times New Roman" w:hAnsi="Arial" w:cs="Arial"/>
          <w:sz w:val="20"/>
          <w:szCs w:val="20"/>
          <w:lang w:eastAsia="sl-SI"/>
        </w:rPr>
        <w:t xml:space="preserve"> je s pripombami in predlogi sodelovalo tudi pri oblikovanju Konvencije Združenih narodov o kibernetski kriminaliteti, Uredbe DORA o digitalni operativni odpornosti in evropskih aktov s področja kibernetske varnosti in kibernetske odpornosti (CRA, CSA, NIS2). Predstavnik MNZ je sodeloval tudi v Koordinacijski delovni skupini za kibernetsko varnost za strateški nivo oblikovanja politik, s poudarkom na mednarodni dimenziji, ki jo vodi Urad vlade za informacijsko varnost. </w:t>
      </w:r>
    </w:p>
    <w:p w14:paraId="7EDC517A" w14:textId="77777777" w:rsidR="008E5803" w:rsidRPr="00A335CB" w:rsidRDefault="008E5803" w:rsidP="005D1A90">
      <w:pPr>
        <w:spacing w:after="0" w:line="276" w:lineRule="auto"/>
        <w:jc w:val="both"/>
        <w:rPr>
          <w:rFonts w:ascii="Arial" w:eastAsia="Times New Roman" w:hAnsi="Arial" w:cs="Arial"/>
          <w:sz w:val="20"/>
          <w:szCs w:val="20"/>
          <w:lang w:eastAsia="sl-SI"/>
        </w:rPr>
      </w:pPr>
    </w:p>
    <w:p w14:paraId="159C0E76" w14:textId="46246FA8"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 xml:space="preserve">Na področju varne povezljivosti MNZ sodeluje pri pripravi Uredbe o varni povezljivosti s pomočjo vesolja (nosilec: Ministrstvo za gospodarski razvoj in tehnologijo). </w:t>
      </w:r>
    </w:p>
    <w:p w14:paraId="1EE37832" w14:textId="77777777" w:rsidR="00653B9D" w:rsidRPr="00A335CB" w:rsidRDefault="00653B9D" w:rsidP="005D1A90">
      <w:pPr>
        <w:spacing w:after="0" w:line="276" w:lineRule="auto"/>
        <w:jc w:val="both"/>
        <w:rPr>
          <w:rFonts w:ascii="Arial" w:eastAsia="Times New Roman" w:hAnsi="Arial" w:cs="Arial"/>
          <w:sz w:val="20"/>
          <w:szCs w:val="20"/>
          <w:lang w:eastAsia="sl-SI"/>
        </w:rPr>
      </w:pPr>
    </w:p>
    <w:p w14:paraId="2B622E30" w14:textId="7333FB0C"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Za MNZ in policijo so pomembni trije projekti:</w:t>
      </w:r>
    </w:p>
    <w:p w14:paraId="473347CE" w14:textId="1B2B2764"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PRS (</w:t>
      </w:r>
      <w:proofErr w:type="spellStart"/>
      <w:r w:rsidRPr="00A335CB">
        <w:rPr>
          <w:rFonts w:ascii="Arial" w:hAnsi="Arial" w:cs="Arial"/>
          <w:sz w:val="20"/>
          <w:szCs w:val="20"/>
        </w:rPr>
        <w:t>Public</w:t>
      </w:r>
      <w:proofErr w:type="spellEnd"/>
      <w:r w:rsidRPr="00A335CB">
        <w:rPr>
          <w:rFonts w:ascii="Arial" w:hAnsi="Arial" w:cs="Arial"/>
          <w:sz w:val="20"/>
          <w:szCs w:val="20"/>
        </w:rPr>
        <w:t xml:space="preserve"> </w:t>
      </w:r>
      <w:proofErr w:type="spellStart"/>
      <w:r w:rsidRPr="00A335CB">
        <w:rPr>
          <w:rFonts w:ascii="Arial" w:hAnsi="Arial" w:cs="Arial"/>
          <w:sz w:val="20"/>
          <w:szCs w:val="20"/>
        </w:rPr>
        <w:t>regulated</w:t>
      </w:r>
      <w:proofErr w:type="spellEnd"/>
      <w:r w:rsidRPr="00A335CB">
        <w:rPr>
          <w:rFonts w:ascii="Arial" w:hAnsi="Arial" w:cs="Arial"/>
          <w:sz w:val="20"/>
          <w:szCs w:val="20"/>
        </w:rPr>
        <w:t xml:space="preserve"> </w:t>
      </w:r>
      <w:proofErr w:type="spellStart"/>
      <w:r w:rsidRPr="00A335CB">
        <w:rPr>
          <w:rFonts w:ascii="Arial" w:hAnsi="Arial" w:cs="Arial"/>
          <w:sz w:val="20"/>
          <w:szCs w:val="20"/>
        </w:rPr>
        <w:t>service</w:t>
      </w:r>
      <w:proofErr w:type="spellEnd"/>
      <w:r w:rsidRPr="00A335CB">
        <w:rPr>
          <w:rFonts w:ascii="Arial" w:hAnsi="Arial" w:cs="Arial"/>
          <w:sz w:val="20"/>
          <w:szCs w:val="20"/>
        </w:rPr>
        <w:t xml:space="preserve"> oziroma Regulirane javne storitve) – šifrirana navigacijska storitev v okviru programa</w:t>
      </w:r>
      <w:r w:rsidR="00561A47">
        <w:rPr>
          <w:rFonts w:ascii="Arial" w:hAnsi="Arial" w:cs="Arial"/>
          <w:sz w:val="20"/>
          <w:szCs w:val="20"/>
        </w:rPr>
        <w:t xml:space="preserve"> EU</w:t>
      </w:r>
      <w:r w:rsidRPr="00A335CB">
        <w:rPr>
          <w:rFonts w:ascii="Arial" w:hAnsi="Arial" w:cs="Arial"/>
          <w:sz w:val="20"/>
          <w:szCs w:val="20"/>
        </w:rPr>
        <w:t xml:space="preserve"> </w:t>
      </w:r>
      <w:proofErr w:type="spellStart"/>
      <w:r w:rsidRPr="00A335CB">
        <w:rPr>
          <w:rFonts w:ascii="Arial" w:hAnsi="Arial" w:cs="Arial"/>
          <w:sz w:val="20"/>
          <w:szCs w:val="20"/>
        </w:rPr>
        <w:t>Galileo</w:t>
      </w:r>
      <w:proofErr w:type="spellEnd"/>
      <w:r w:rsidRPr="00A335CB">
        <w:rPr>
          <w:rFonts w:ascii="Arial" w:hAnsi="Arial" w:cs="Arial"/>
          <w:sz w:val="20"/>
          <w:szCs w:val="20"/>
        </w:rPr>
        <w:t xml:space="preserve">, odporna </w:t>
      </w:r>
      <w:r w:rsidR="00561A47">
        <w:rPr>
          <w:rFonts w:ascii="Arial" w:hAnsi="Arial" w:cs="Arial"/>
          <w:sz w:val="20"/>
          <w:szCs w:val="20"/>
        </w:rPr>
        <w:t>proti</w:t>
      </w:r>
      <w:r w:rsidR="00561A47" w:rsidRPr="00A335CB">
        <w:rPr>
          <w:rFonts w:ascii="Arial" w:hAnsi="Arial" w:cs="Arial"/>
          <w:sz w:val="20"/>
          <w:szCs w:val="20"/>
        </w:rPr>
        <w:t xml:space="preserve"> </w:t>
      </w:r>
      <w:r w:rsidRPr="00A335CB">
        <w:rPr>
          <w:rFonts w:ascii="Arial" w:hAnsi="Arial" w:cs="Arial"/>
          <w:sz w:val="20"/>
          <w:szCs w:val="20"/>
        </w:rPr>
        <w:t>zastoje</w:t>
      </w:r>
      <w:r w:rsidR="00561A47">
        <w:rPr>
          <w:rFonts w:ascii="Arial" w:hAnsi="Arial" w:cs="Arial"/>
          <w:sz w:val="20"/>
          <w:szCs w:val="20"/>
        </w:rPr>
        <w:t>m</w:t>
      </w:r>
      <w:r w:rsidRPr="00A335CB">
        <w:rPr>
          <w:rFonts w:ascii="Arial" w:hAnsi="Arial" w:cs="Arial"/>
          <w:sz w:val="20"/>
          <w:szCs w:val="20"/>
        </w:rPr>
        <w:t xml:space="preserve">, </w:t>
      </w:r>
      <w:r w:rsidR="00561A47" w:rsidRPr="00A335CB">
        <w:rPr>
          <w:rFonts w:ascii="Arial" w:hAnsi="Arial" w:cs="Arial"/>
          <w:sz w:val="20"/>
          <w:szCs w:val="20"/>
        </w:rPr>
        <w:t>neželen</w:t>
      </w:r>
      <w:r w:rsidR="00561A47">
        <w:rPr>
          <w:rFonts w:ascii="Arial" w:hAnsi="Arial" w:cs="Arial"/>
          <w:sz w:val="20"/>
          <w:szCs w:val="20"/>
        </w:rPr>
        <w:t>emu</w:t>
      </w:r>
      <w:r w:rsidR="00561A47" w:rsidRPr="00A335CB">
        <w:rPr>
          <w:rFonts w:ascii="Arial" w:hAnsi="Arial" w:cs="Arial"/>
          <w:sz w:val="20"/>
          <w:szCs w:val="20"/>
        </w:rPr>
        <w:t xml:space="preserve"> vmešavanj</w:t>
      </w:r>
      <w:r w:rsidR="00561A47">
        <w:rPr>
          <w:rFonts w:ascii="Arial" w:hAnsi="Arial" w:cs="Arial"/>
          <w:sz w:val="20"/>
          <w:szCs w:val="20"/>
        </w:rPr>
        <w:t>u</w:t>
      </w:r>
      <w:r w:rsidR="00561A47" w:rsidRPr="00A335CB">
        <w:rPr>
          <w:rFonts w:ascii="Arial" w:hAnsi="Arial" w:cs="Arial"/>
          <w:sz w:val="20"/>
          <w:szCs w:val="20"/>
        </w:rPr>
        <w:t xml:space="preserve"> </w:t>
      </w:r>
      <w:r w:rsidRPr="00A335CB">
        <w:rPr>
          <w:rFonts w:ascii="Arial" w:hAnsi="Arial" w:cs="Arial"/>
          <w:sz w:val="20"/>
          <w:szCs w:val="20"/>
        </w:rPr>
        <w:t xml:space="preserve">in </w:t>
      </w:r>
      <w:r w:rsidR="00561A47" w:rsidRPr="00A335CB">
        <w:rPr>
          <w:rFonts w:ascii="Arial" w:hAnsi="Arial" w:cs="Arial"/>
          <w:sz w:val="20"/>
          <w:szCs w:val="20"/>
        </w:rPr>
        <w:t>ponarejanj</w:t>
      </w:r>
      <w:r w:rsidR="00561A47">
        <w:rPr>
          <w:rFonts w:ascii="Arial" w:hAnsi="Arial" w:cs="Arial"/>
          <w:sz w:val="20"/>
          <w:szCs w:val="20"/>
        </w:rPr>
        <w:t>u</w:t>
      </w:r>
      <w:r w:rsidRPr="00A335CB">
        <w:rPr>
          <w:rFonts w:ascii="Arial" w:hAnsi="Arial" w:cs="Arial"/>
          <w:sz w:val="20"/>
          <w:szCs w:val="20"/>
        </w:rPr>
        <w:t>, ki je že v pripravi, vendar v Sloveniji kljub pozivu evropske agencije za vesoljske programe (EUSPA) še ni b</w:t>
      </w:r>
      <w:r w:rsidR="00A24539">
        <w:rPr>
          <w:rFonts w:ascii="Arial" w:hAnsi="Arial" w:cs="Arial"/>
          <w:sz w:val="20"/>
          <w:szCs w:val="20"/>
        </w:rPr>
        <w:t>il imenovan</w:t>
      </w:r>
      <w:r w:rsidRPr="00A335CB">
        <w:rPr>
          <w:rFonts w:ascii="Arial" w:hAnsi="Arial" w:cs="Arial"/>
          <w:sz w:val="20"/>
          <w:szCs w:val="20"/>
        </w:rPr>
        <w:t xml:space="preserve"> pristojni organ. V MNZ in </w:t>
      </w:r>
      <w:r w:rsidR="00561A47">
        <w:rPr>
          <w:rFonts w:ascii="Arial" w:hAnsi="Arial" w:cs="Arial"/>
          <w:sz w:val="20"/>
          <w:szCs w:val="20"/>
        </w:rPr>
        <w:t>p</w:t>
      </w:r>
      <w:r w:rsidR="00561A47" w:rsidRPr="00A335CB">
        <w:rPr>
          <w:rFonts w:ascii="Arial" w:hAnsi="Arial" w:cs="Arial"/>
          <w:sz w:val="20"/>
          <w:szCs w:val="20"/>
        </w:rPr>
        <w:t xml:space="preserve">oliciji </w:t>
      </w:r>
      <w:r w:rsidRPr="00A335CB">
        <w:rPr>
          <w:rFonts w:ascii="Arial" w:hAnsi="Arial" w:cs="Arial"/>
          <w:sz w:val="20"/>
          <w:szCs w:val="20"/>
        </w:rPr>
        <w:t>bi sistem lahko uporabili zlasti na področjih nadzora državne meje, notranje varnosti (npr. satelitsko sledenje oseb</w:t>
      </w:r>
      <w:r w:rsidR="00561A47">
        <w:rPr>
          <w:rFonts w:ascii="Arial" w:hAnsi="Arial" w:cs="Arial"/>
          <w:sz w:val="20"/>
          <w:szCs w:val="20"/>
        </w:rPr>
        <w:t>am</w:t>
      </w:r>
      <w:r w:rsidRPr="00A335CB">
        <w:rPr>
          <w:rFonts w:ascii="Arial" w:hAnsi="Arial" w:cs="Arial"/>
          <w:sz w:val="20"/>
          <w:szCs w:val="20"/>
        </w:rPr>
        <w:t xml:space="preserve"> pri terorističnih dejanjih), gorskih reševalnih akcij ali naravnih nesreč (npr. potresov).</w:t>
      </w:r>
    </w:p>
    <w:p w14:paraId="3162A867" w14:textId="5F36BCB1" w:rsidR="00653B9D" w:rsidRPr="00A335CB" w:rsidRDefault="00653B9D" w:rsidP="005D1A90">
      <w:pPr>
        <w:pStyle w:val="Odstavekseznama"/>
        <w:numPr>
          <w:ilvl w:val="0"/>
          <w:numId w:val="2"/>
        </w:numPr>
        <w:spacing w:after="0"/>
        <w:ind w:left="426" w:hanging="426"/>
        <w:jc w:val="both"/>
        <w:rPr>
          <w:rFonts w:ascii="Arial" w:hAnsi="Arial" w:cs="Arial"/>
          <w:sz w:val="20"/>
          <w:szCs w:val="20"/>
        </w:rPr>
      </w:pPr>
      <w:proofErr w:type="spellStart"/>
      <w:r w:rsidRPr="00A335CB">
        <w:rPr>
          <w:rFonts w:ascii="Arial" w:hAnsi="Arial" w:cs="Arial"/>
          <w:sz w:val="20"/>
          <w:szCs w:val="20"/>
        </w:rPr>
        <w:t>GovSatCom</w:t>
      </w:r>
      <w:proofErr w:type="spellEnd"/>
      <w:r w:rsidRPr="00A335CB">
        <w:rPr>
          <w:rFonts w:ascii="Arial" w:hAnsi="Arial" w:cs="Arial"/>
          <w:sz w:val="20"/>
          <w:szCs w:val="20"/>
        </w:rPr>
        <w:t xml:space="preserve"> – satelitsko omrežje Evropske unije za varno in učinkovito komunikacijo za organe in vladne službe držav članic EU ter različne organizacije in agencije pod okriljem EU. V Sloveniji je treba imenovati pristojni organ, ki lahko vstopi v projekt z nazivom »</w:t>
      </w:r>
      <w:proofErr w:type="spellStart"/>
      <w:r w:rsidRPr="00A335CB">
        <w:rPr>
          <w:rFonts w:ascii="Arial" w:hAnsi="Arial" w:cs="Arial"/>
          <w:sz w:val="20"/>
          <w:szCs w:val="20"/>
        </w:rPr>
        <w:t>Entrusted</w:t>
      </w:r>
      <w:proofErr w:type="spellEnd"/>
      <w:r w:rsidRPr="00A335CB">
        <w:rPr>
          <w:rFonts w:ascii="Arial" w:hAnsi="Arial" w:cs="Arial"/>
          <w:sz w:val="20"/>
          <w:szCs w:val="20"/>
        </w:rPr>
        <w:t xml:space="preserve">« in </w:t>
      </w:r>
      <w:r w:rsidR="005E0375">
        <w:rPr>
          <w:rFonts w:ascii="Arial" w:hAnsi="Arial" w:cs="Arial"/>
          <w:sz w:val="20"/>
          <w:szCs w:val="20"/>
        </w:rPr>
        <w:t>pozneje</w:t>
      </w:r>
      <w:r w:rsidR="005E0375" w:rsidRPr="00A335CB">
        <w:rPr>
          <w:rFonts w:ascii="Arial" w:hAnsi="Arial" w:cs="Arial"/>
          <w:sz w:val="20"/>
          <w:szCs w:val="20"/>
        </w:rPr>
        <w:t xml:space="preserve"> </w:t>
      </w:r>
      <w:r w:rsidRPr="00A335CB">
        <w:rPr>
          <w:rFonts w:ascii="Arial" w:hAnsi="Arial" w:cs="Arial"/>
          <w:sz w:val="20"/>
          <w:szCs w:val="20"/>
        </w:rPr>
        <w:t>v projekt z nazivom »</w:t>
      </w:r>
      <w:proofErr w:type="spellStart"/>
      <w:r w:rsidRPr="00A335CB">
        <w:rPr>
          <w:rFonts w:ascii="Arial" w:hAnsi="Arial" w:cs="Arial"/>
          <w:sz w:val="20"/>
          <w:szCs w:val="20"/>
        </w:rPr>
        <w:t>GovSatCom</w:t>
      </w:r>
      <w:proofErr w:type="spellEnd"/>
      <w:r w:rsidRPr="00A335CB">
        <w:rPr>
          <w:rFonts w:ascii="Arial" w:hAnsi="Arial" w:cs="Arial"/>
          <w:sz w:val="20"/>
          <w:szCs w:val="20"/>
        </w:rPr>
        <w:t xml:space="preserve"> hub«. Varna satelitska komunikacija lahko služi kot komunikacijski kanal</w:t>
      </w:r>
      <w:r w:rsidR="009C51CB">
        <w:rPr>
          <w:rFonts w:ascii="Arial" w:hAnsi="Arial" w:cs="Arial"/>
          <w:sz w:val="20"/>
          <w:szCs w:val="20"/>
        </w:rPr>
        <w:t xml:space="preserve"> </w:t>
      </w:r>
      <w:r w:rsidRPr="00A335CB">
        <w:rPr>
          <w:rFonts w:ascii="Arial" w:hAnsi="Arial" w:cs="Arial"/>
          <w:sz w:val="20"/>
          <w:szCs w:val="20"/>
        </w:rPr>
        <w:t>na geografsko odročnih območjih ali kot rezervno komunikacijsko omrežje v primeru uničenja ali poškodovanja klasičnih komunikacijskih povezav.</w:t>
      </w:r>
    </w:p>
    <w:p w14:paraId="30E344AC" w14:textId="4C4F21A4" w:rsidR="00653B9D" w:rsidRPr="00A335CB" w:rsidRDefault="00653B9D" w:rsidP="005D1A90">
      <w:pPr>
        <w:pStyle w:val="Odstavekseznama"/>
        <w:numPr>
          <w:ilvl w:val="0"/>
          <w:numId w:val="2"/>
        </w:numPr>
        <w:spacing w:after="0"/>
        <w:ind w:left="426" w:hanging="426"/>
        <w:jc w:val="both"/>
        <w:rPr>
          <w:rFonts w:ascii="Arial" w:hAnsi="Arial" w:cs="Arial"/>
          <w:sz w:val="20"/>
          <w:szCs w:val="20"/>
        </w:rPr>
      </w:pPr>
      <w:proofErr w:type="spellStart"/>
      <w:r w:rsidRPr="00A335CB">
        <w:rPr>
          <w:rFonts w:ascii="Arial" w:hAnsi="Arial" w:cs="Arial"/>
          <w:sz w:val="20"/>
          <w:szCs w:val="20"/>
        </w:rPr>
        <w:t>EuroQCI</w:t>
      </w:r>
      <w:proofErr w:type="spellEnd"/>
      <w:r w:rsidRPr="00A335CB">
        <w:rPr>
          <w:rFonts w:ascii="Arial" w:hAnsi="Arial" w:cs="Arial"/>
          <w:sz w:val="20"/>
          <w:szCs w:val="20"/>
        </w:rPr>
        <w:t xml:space="preserve"> – evropska kvantna komunikacijska infrastruktura za zaščito občutljivih podatkov organov, agencij in subjektov kritične infrastrukture v državah članicah EU. Z razvojem kvantnega računalništva obstoječe metode </w:t>
      </w:r>
      <w:r w:rsidR="005E0375">
        <w:rPr>
          <w:rFonts w:ascii="Arial" w:hAnsi="Arial" w:cs="Arial"/>
          <w:sz w:val="20"/>
          <w:szCs w:val="20"/>
        </w:rPr>
        <w:t>niso</w:t>
      </w:r>
      <w:r w:rsidRPr="00A335CB">
        <w:rPr>
          <w:rFonts w:ascii="Arial" w:hAnsi="Arial" w:cs="Arial"/>
          <w:sz w:val="20"/>
          <w:szCs w:val="20"/>
        </w:rPr>
        <w:t xml:space="preserve"> več </w:t>
      </w:r>
      <w:r w:rsidR="005E0375">
        <w:rPr>
          <w:rFonts w:ascii="Arial" w:hAnsi="Arial" w:cs="Arial"/>
          <w:sz w:val="20"/>
          <w:szCs w:val="20"/>
        </w:rPr>
        <w:t xml:space="preserve">primerne </w:t>
      </w:r>
      <w:r w:rsidRPr="00A335CB">
        <w:rPr>
          <w:rFonts w:ascii="Arial" w:hAnsi="Arial" w:cs="Arial"/>
          <w:sz w:val="20"/>
          <w:szCs w:val="20"/>
        </w:rPr>
        <w:t xml:space="preserve">za zaščito podatkov </w:t>
      </w:r>
      <w:r w:rsidR="00A14477" w:rsidRPr="00A335CB">
        <w:rPr>
          <w:rFonts w:ascii="Arial" w:hAnsi="Arial" w:cs="Arial"/>
          <w:sz w:val="20"/>
          <w:szCs w:val="20"/>
        </w:rPr>
        <w:t>na</w:t>
      </w:r>
      <w:r w:rsidRPr="00A335CB">
        <w:rPr>
          <w:rFonts w:ascii="Arial" w:hAnsi="Arial" w:cs="Arial"/>
          <w:sz w:val="20"/>
          <w:szCs w:val="20"/>
        </w:rPr>
        <w:t xml:space="preserve"> </w:t>
      </w:r>
      <w:r w:rsidR="00A14477">
        <w:rPr>
          <w:rFonts w:ascii="Arial" w:hAnsi="Arial" w:cs="Arial"/>
          <w:sz w:val="20"/>
          <w:szCs w:val="20"/>
        </w:rPr>
        <w:t>svetovnem spletu</w:t>
      </w:r>
      <w:r w:rsidRPr="00A335CB">
        <w:rPr>
          <w:rFonts w:ascii="Arial" w:hAnsi="Arial" w:cs="Arial"/>
          <w:sz w:val="20"/>
          <w:szCs w:val="20"/>
        </w:rPr>
        <w:t xml:space="preserve">. </w:t>
      </w:r>
    </w:p>
    <w:p w14:paraId="19CE3861" w14:textId="77777777" w:rsidR="00653B9D" w:rsidRPr="00A335CB" w:rsidRDefault="00653B9D" w:rsidP="005D1A90">
      <w:pPr>
        <w:spacing w:after="0" w:line="276" w:lineRule="auto"/>
        <w:ind w:left="426" w:hanging="426"/>
        <w:jc w:val="both"/>
        <w:rPr>
          <w:rFonts w:ascii="Arial" w:hAnsi="Arial" w:cs="Arial"/>
          <w:sz w:val="20"/>
          <w:szCs w:val="20"/>
        </w:rPr>
      </w:pPr>
    </w:p>
    <w:p w14:paraId="17559611" w14:textId="7C0229CA" w:rsidR="00653B9D" w:rsidRPr="00A335CB" w:rsidRDefault="00653B9D" w:rsidP="005D1A90">
      <w:pPr>
        <w:spacing w:after="0" w:line="276" w:lineRule="auto"/>
        <w:jc w:val="both"/>
        <w:rPr>
          <w:rFonts w:ascii="Arial" w:hAnsi="Arial" w:cs="Arial"/>
          <w:bCs/>
          <w:sz w:val="20"/>
          <w:szCs w:val="20"/>
        </w:rPr>
      </w:pPr>
      <w:r w:rsidRPr="00A335CB">
        <w:rPr>
          <w:rFonts w:ascii="Arial" w:hAnsi="Arial" w:cs="Arial"/>
          <w:sz w:val="20"/>
          <w:szCs w:val="20"/>
        </w:rPr>
        <w:t>Z namenom večjega pretoka informacij v okviru varne povezljivosti je bila v letu 2024 vzpostavljena nova komunikacijska pot z drugimi organi prek sistema MO-TAJNO, ki omogoča telefonsko in dopisno (</w:t>
      </w:r>
      <w:r w:rsidR="00A14477">
        <w:rPr>
          <w:rFonts w:ascii="Arial" w:hAnsi="Arial" w:cs="Arial"/>
          <w:sz w:val="20"/>
          <w:szCs w:val="20"/>
        </w:rPr>
        <w:t>po</w:t>
      </w:r>
      <w:r w:rsidR="00A14477" w:rsidRPr="00A335CB">
        <w:rPr>
          <w:rFonts w:ascii="Arial" w:hAnsi="Arial" w:cs="Arial"/>
          <w:sz w:val="20"/>
          <w:szCs w:val="20"/>
        </w:rPr>
        <w:t xml:space="preserve"> </w:t>
      </w:r>
      <w:r w:rsidRPr="00A335CB">
        <w:rPr>
          <w:rFonts w:ascii="Arial" w:hAnsi="Arial" w:cs="Arial"/>
          <w:sz w:val="20"/>
          <w:szCs w:val="20"/>
        </w:rPr>
        <w:t>e-</w:t>
      </w:r>
      <w:r w:rsidR="00A14477" w:rsidRPr="00A335CB">
        <w:rPr>
          <w:rFonts w:ascii="Arial" w:hAnsi="Arial" w:cs="Arial"/>
          <w:sz w:val="20"/>
          <w:szCs w:val="20"/>
        </w:rPr>
        <w:t>pošt</w:t>
      </w:r>
      <w:r w:rsidR="00A14477">
        <w:rPr>
          <w:rFonts w:ascii="Arial" w:hAnsi="Arial" w:cs="Arial"/>
          <w:sz w:val="20"/>
          <w:szCs w:val="20"/>
        </w:rPr>
        <w:t>i</w:t>
      </w:r>
      <w:r w:rsidRPr="00A335CB">
        <w:rPr>
          <w:rFonts w:ascii="Arial" w:hAnsi="Arial" w:cs="Arial"/>
          <w:sz w:val="20"/>
          <w:szCs w:val="20"/>
        </w:rPr>
        <w:t>) komunikacijo do stopnje tajnosti TAJNO.</w:t>
      </w:r>
    </w:p>
    <w:p w14:paraId="135FA8F5" w14:textId="175DF3BE" w:rsidR="004C7196" w:rsidRPr="00A335CB" w:rsidRDefault="004C7196" w:rsidP="005D1A90">
      <w:pPr>
        <w:pStyle w:val="Odstavekseznama"/>
        <w:spacing w:after="0"/>
        <w:ind w:left="360"/>
        <w:jc w:val="both"/>
        <w:rPr>
          <w:rFonts w:ascii="Arial" w:eastAsia="Times New Roman" w:hAnsi="Arial" w:cs="Arial"/>
          <w:sz w:val="20"/>
          <w:szCs w:val="20"/>
          <w:lang w:eastAsia="sl-SI"/>
        </w:rPr>
      </w:pPr>
      <w:bookmarkStart w:id="57" w:name="_Toc65591462"/>
      <w:bookmarkStart w:id="58" w:name="_Toc65651013"/>
    </w:p>
    <w:p w14:paraId="30D1D714" w14:textId="2CA273F1" w:rsidR="005318D4" w:rsidRPr="00A335CB" w:rsidRDefault="00590E45" w:rsidP="005D1A90">
      <w:pPr>
        <w:pStyle w:val="Naslov2"/>
        <w:spacing w:after="0" w:line="276" w:lineRule="auto"/>
        <w:jc w:val="both"/>
      </w:pPr>
      <w:bookmarkStart w:id="59" w:name="_Toc203552978"/>
      <w:r w:rsidRPr="00A335CB">
        <w:t>Dvig varnostne kulture pri obravnavanju in varovanju tajnih in osebnih podatkov v M</w:t>
      </w:r>
      <w:bookmarkEnd w:id="57"/>
      <w:bookmarkEnd w:id="58"/>
      <w:r w:rsidR="00A17960" w:rsidRPr="00A335CB">
        <w:t>inistrstvu za notranje zadeve</w:t>
      </w:r>
      <w:bookmarkEnd w:id="59"/>
    </w:p>
    <w:p w14:paraId="726C73E3" w14:textId="1F78D6D0" w:rsidR="00653B9D" w:rsidRPr="00A335CB" w:rsidRDefault="00653B9D" w:rsidP="005D1A90">
      <w:pPr>
        <w:tabs>
          <w:tab w:val="num" w:pos="1431"/>
        </w:tabs>
        <w:spacing w:after="0" w:line="276" w:lineRule="auto"/>
        <w:jc w:val="both"/>
        <w:rPr>
          <w:rFonts w:ascii="Arial" w:hAnsi="Arial" w:cs="Arial"/>
          <w:sz w:val="20"/>
          <w:szCs w:val="20"/>
        </w:rPr>
      </w:pPr>
    </w:p>
    <w:p w14:paraId="45A6B124" w14:textId="64ACCFC9" w:rsidR="00653B9D" w:rsidRPr="00A335CB" w:rsidRDefault="00653B9D" w:rsidP="005D1A90">
      <w:pPr>
        <w:tabs>
          <w:tab w:val="num" w:pos="1431"/>
        </w:tabs>
        <w:spacing w:after="0" w:line="276" w:lineRule="auto"/>
        <w:jc w:val="both"/>
        <w:rPr>
          <w:rFonts w:ascii="Arial" w:hAnsi="Arial" w:cs="Arial"/>
          <w:sz w:val="20"/>
          <w:szCs w:val="20"/>
        </w:rPr>
      </w:pPr>
      <w:r w:rsidRPr="00A335CB">
        <w:rPr>
          <w:rFonts w:ascii="Arial" w:hAnsi="Arial" w:cs="Arial"/>
          <w:sz w:val="20"/>
          <w:szCs w:val="20"/>
        </w:rPr>
        <w:t xml:space="preserve">Vsa osnovna usposabljanja za obravnavanje in </w:t>
      </w:r>
      <w:r w:rsidRPr="00A335CB">
        <w:rPr>
          <w:rFonts w:ascii="Arial" w:hAnsi="Arial" w:cs="Arial"/>
          <w:b/>
          <w:sz w:val="20"/>
          <w:szCs w:val="20"/>
        </w:rPr>
        <w:t>varovanje tajnih podatkov</w:t>
      </w:r>
      <w:r w:rsidRPr="00A335CB">
        <w:rPr>
          <w:rFonts w:ascii="Arial" w:hAnsi="Arial" w:cs="Arial"/>
          <w:sz w:val="20"/>
          <w:szCs w:val="20"/>
        </w:rPr>
        <w:t xml:space="preserve"> so v letu 2024 potekala prek elektronske učilnice UVTP (tako za </w:t>
      </w:r>
      <w:proofErr w:type="spellStart"/>
      <w:r w:rsidRPr="00A335CB">
        <w:rPr>
          <w:rFonts w:ascii="Arial" w:hAnsi="Arial" w:cs="Arial"/>
          <w:sz w:val="20"/>
          <w:szCs w:val="20"/>
        </w:rPr>
        <w:t>novozaposlene</w:t>
      </w:r>
      <w:proofErr w:type="spellEnd"/>
      <w:r w:rsidRPr="00A335CB">
        <w:rPr>
          <w:rFonts w:ascii="Arial" w:hAnsi="Arial" w:cs="Arial"/>
          <w:sz w:val="20"/>
          <w:szCs w:val="20"/>
        </w:rPr>
        <w:t xml:space="preserve"> uslužbence MNZ in </w:t>
      </w:r>
      <w:r w:rsidR="00A14477">
        <w:rPr>
          <w:rFonts w:ascii="Arial" w:hAnsi="Arial" w:cs="Arial"/>
          <w:sz w:val="20"/>
          <w:szCs w:val="20"/>
        </w:rPr>
        <w:t>p</w:t>
      </w:r>
      <w:r w:rsidR="00A14477" w:rsidRPr="00A335CB">
        <w:rPr>
          <w:rFonts w:ascii="Arial" w:hAnsi="Arial" w:cs="Arial"/>
          <w:sz w:val="20"/>
          <w:szCs w:val="20"/>
        </w:rPr>
        <w:t xml:space="preserve">olicije </w:t>
      </w:r>
      <w:r w:rsidRPr="00A335CB">
        <w:rPr>
          <w:rFonts w:ascii="Arial" w:hAnsi="Arial" w:cs="Arial"/>
          <w:sz w:val="20"/>
          <w:szCs w:val="20"/>
        </w:rPr>
        <w:t xml:space="preserve">kot za kandidate za policiste). </w:t>
      </w:r>
    </w:p>
    <w:p w14:paraId="26E69EA7" w14:textId="77777777" w:rsidR="00653B9D" w:rsidRPr="00A335CB" w:rsidRDefault="00653B9D" w:rsidP="005D1A90">
      <w:pPr>
        <w:pStyle w:val="ZADEVA"/>
        <w:spacing w:line="276" w:lineRule="auto"/>
        <w:ind w:left="0" w:firstLine="0"/>
        <w:jc w:val="both"/>
        <w:rPr>
          <w:rFonts w:cs="Arial"/>
          <w:b w:val="0"/>
          <w:szCs w:val="20"/>
          <w:lang w:val="sl-SI"/>
        </w:rPr>
      </w:pPr>
    </w:p>
    <w:p w14:paraId="786127B5" w14:textId="280FA943" w:rsidR="00653B9D" w:rsidRPr="00A335CB" w:rsidRDefault="00653B9D" w:rsidP="005D1A90">
      <w:pPr>
        <w:pStyle w:val="ZADEVA"/>
        <w:spacing w:line="276" w:lineRule="auto"/>
        <w:ind w:left="0" w:firstLine="0"/>
        <w:jc w:val="both"/>
        <w:rPr>
          <w:rFonts w:cs="Arial"/>
          <w:b w:val="0"/>
          <w:szCs w:val="20"/>
          <w:lang w:val="sl-SI"/>
        </w:rPr>
      </w:pPr>
      <w:r w:rsidRPr="00A335CB">
        <w:rPr>
          <w:rFonts w:cs="Arial"/>
          <w:b w:val="0"/>
          <w:szCs w:val="20"/>
          <w:lang w:val="sl-SI"/>
        </w:rPr>
        <w:t>Na dodatno usposabljanje uslužbencev MNZ za obravnavanje in varovanje tajnih podatkov, ki se je izvajalo na daljavo z uporabo elektronske učilnice med 18. 12. 2023 in 18. 3. 2024, je bilo napotenih 333 uslužbencev, ki so imetniki veljavnih dovoljenj za dostop do tajnih podatkov stopnje tajnosti ZAUPNO, TAJNO ali STROGO TAJNO. Dodatnega usposabljanja se je udeležilo 317 uslužbencev oziroma 95</w:t>
      </w:r>
      <w:r w:rsidR="00A14477">
        <w:rPr>
          <w:rFonts w:cs="Arial"/>
          <w:b w:val="0"/>
          <w:szCs w:val="20"/>
          <w:lang w:val="sl-SI"/>
        </w:rPr>
        <w:t> </w:t>
      </w:r>
      <w:r w:rsidRPr="00A335CB">
        <w:rPr>
          <w:rFonts w:cs="Arial"/>
          <w:b w:val="0"/>
          <w:szCs w:val="20"/>
          <w:lang w:val="sl-SI"/>
        </w:rPr>
        <w:t>% vseh napotenih. Usposabljanje je vključevalo tudi preizkus znanja, povprečna ocena opravljenih preizkusov je znašala 94</w:t>
      </w:r>
      <w:r w:rsidR="00A14477">
        <w:rPr>
          <w:rFonts w:cs="Arial"/>
          <w:b w:val="0"/>
          <w:szCs w:val="20"/>
          <w:lang w:val="sl-SI"/>
        </w:rPr>
        <w:t> </w:t>
      </w:r>
      <w:r w:rsidRPr="00A335CB">
        <w:rPr>
          <w:rFonts w:cs="Arial"/>
          <w:b w:val="0"/>
          <w:szCs w:val="20"/>
          <w:lang w:val="sl-SI"/>
        </w:rPr>
        <w:t xml:space="preserve">%. </w:t>
      </w:r>
    </w:p>
    <w:p w14:paraId="423D500D" w14:textId="77777777" w:rsidR="00653B9D" w:rsidRPr="00A335CB" w:rsidRDefault="00653B9D" w:rsidP="005D1A90">
      <w:pPr>
        <w:pStyle w:val="ZADEVA"/>
        <w:spacing w:line="276" w:lineRule="auto"/>
        <w:ind w:left="0" w:firstLine="0"/>
        <w:jc w:val="both"/>
        <w:rPr>
          <w:rFonts w:cs="Arial"/>
          <w:b w:val="0"/>
          <w:szCs w:val="20"/>
          <w:lang w:val="sl-SI"/>
        </w:rPr>
      </w:pPr>
    </w:p>
    <w:p w14:paraId="4534E1F5" w14:textId="6DD55A5D" w:rsidR="00653B9D" w:rsidRPr="00A335CB" w:rsidRDefault="00653B9D" w:rsidP="005D1A90">
      <w:pPr>
        <w:pStyle w:val="ZADEVA"/>
        <w:spacing w:line="276" w:lineRule="auto"/>
        <w:ind w:left="0" w:firstLine="0"/>
        <w:jc w:val="both"/>
        <w:rPr>
          <w:rFonts w:cs="Arial"/>
          <w:b w:val="0"/>
          <w:szCs w:val="20"/>
          <w:lang w:val="sl-SI"/>
        </w:rPr>
      </w:pPr>
      <w:r w:rsidRPr="00A335CB">
        <w:rPr>
          <w:rFonts w:cs="Arial"/>
          <w:b w:val="0"/>
          <w:szCs w:val="20"/>
          <w:lang w:val="sl-SI"/>
        </w:rPr>
        <w:t xml:space="preserve">Dodatnega usposabljanja se ni udeležilo 16 uslužbencev, kar </w:t>
      </w:r>
      <w:r w:rsidR="00721952">
        <w:rPr>
          <w:rFonts w:cs="Arial"/>
          <w:b w:val="0"/>
          <w:szCs w:val="20"/>
          <w:lang w:val="sl-SI"/>
        </w:rPr>
        <w:t>je</w:t>
      </w:r>
      <w:r w:rsidR="00721952" w:rsidRPr="00A335CB">
        <w:rPr>
          <w:rFonts w:cs="Arial"/>
          <w:b w:val="0"/>
          <w:szCs w:val="20"/>
          <w:lang w:val="sl-SI"/>
        </w:rPr>
        <w:t xml:space="preserve"> </w:t>
      </w:r>
      <w:r w:rsidRPr="00A335CB">
        <w:rPr>
          <w:rFonts w:cs="Arial"/>
          <w:b w:val="0"/>
          <w:szCs w:val="20"/>
          <w:lang w:val="sl-SI"/>
        </w:rPr>
        <w:t>5</w:t>
      </w:r>
      <w:r w:rsidR="00A14477">
        <w:rPr>
          <w:rFonts w:cs="Arial"/>
          <w:b w:val="0"/>
          <w:szCs w:val="20"/>
          <w:lang w:val="sl-SI"/>
        </w:rPr>
        <w:t> </w:t>
      </w:r>
      <w:r w:rsidRPr="00A335CB">
        <w:rPr>
          <w:rFonts w:cs="Arial"/>
          <w:b w:val="0"/>
          <w:szCs w:val="20"/>
          <w:lang w:val="sl-SI"/>
        </w:rPr>
        <w:t>%. Razlogi za neudeležbo so posledica upokojitev in drugih oblik prenehanja delovnega razmerja, premestitve na drugo delovno mesto oziroma v drug</w:t>
      </w:r>
      <w:r w:rsidR="00A14477">
        <w:rPr>
          <w:rFonts w:cs="Arial"/>
          <w:b w:val="0"/>
          <w:szCs w:val="20"/>
          <w:lang w:val="sl-SI"/>
        </w:rPr>
        <w:t>i</w:t>
      </w:r>
      <w:r w:rsidRPr="00A335CB">
        <w:rPr>
          <w:rFonts w:cs="Arial"/>
          <w:b w:val="0"/>
          <w:szCs w:val="20"/>
          <w:lang w:val="sl-SI"/>
        </w:rPr>
        <w:t xml:space="preserve"> organ, daljše bolniške odsotnosti oziroma porodniškega dopusta. </w:t>
      </w:r>
    </w:p>
    <w:p w14:paraId="18CD48AD" w14:textId="77777777" w:rsidR="00653B9D" w:rsidRPr="00A335CB" w:rsidRDefault="00653B9D" w:rsidP="005D1A90">
      <w:pPr>
        <w:pStyle w:val="ZADEVA"/>
        <w:spacing w:line="276" w:lineRule="auto"/>
        <w:ind w:left="0" w:firstLine="0"/>
        <w:jc w:val="both"/>
        <w:rPr>
          <w:rFonts w:cs="Arial"/>
          <w:b w:val="0"/>
          <w:szCs w:val="20"/>
          <w:lang w:val="sl-SI"/>
        </w:rPr>
      </w:pPr>
    </w:p>
    <w:p w14:paraId="1669D211" w14:textId="223E2A1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varstva osebnih podatkov</w:t>
      </w:r>
      <w:r w:rsidRPr="00A335CB">
        <w:rPr>
          <w:rFonts w:ascii="Arial" w:hAnsi="Arial" w:cs="Arial"/>
          <w:sz w:val="20"/>
          <w:szCs w:val="20"/>
        </w:rPr>
        <w:t xml:space="preserve"> </w:t>
      </w:r>
      <w:r w:rsidR="00AF4188">
        <w:rPr>
          <w:rFonts w:ascii="Arial" w:hAnsi="Arial" w:cs="Arial"/>
          <w:sz w:val="20"/>
          <w:szCs w:val="20"/>
        </w:rPr>
        <w:t>sta</w:t>
      </w:r>
      <w:r w:rsidR="00AF4188" w:rsidRPr="00A335CB">
        <w:rPr>
          <w:rFonts w:ascii="Arial" w:hAnsi="Arial" w:cs="Arial"/>
          <w:sz w:val="20"/>
          <w:szCs w:val="20"/>
        </w:rPr>
        <w:t xml:space="preserve"> potekal</w:t>
      </w:r>
      <w:r w:rsidR="00AF4188">
        <w:rPr>
          <w:rFonts w:ascii="Arial" w:hAnsi="Arial" w:cs="Arial"/>
          <w:sz w:val="20"/>
          <w:szCs w:val="20"/>
        </w:rPr>
        <w:t>a</w:t>
      </w:r>
      <w:r w:rsidR="00AF4188" w:rsidRPr="00A335CB">
        <w:rPr>
          <w:rFonts w:ascii="Arial" w:hAnsi="Arial" w:cs="Arial"/>
          <w:sz w:val="20"/>
          <w:szCs w:val="20"/>
        </w:rPr>
        <w:t xml:space="preserve"> </w:t>
      </w:r>
      <w:r w:rsidRPr="00A335CB">
        <w:rPr>
          <w:rFonts w:ascii="Arial" w:hAnsi="Arial" w:cs="Arial"/>
          <w:sz w:val="20"/>
          <w:szCs w:val="20"/>
        </w:rPr>
        <w:t xml:space="preserve">obveščanje </w:t>
      </w:r>
      <w:r w:rsidRPr="00A335CB">
        <w:rPr>
          <w:rFonts w:ascii="Arial" w:hAnsi="Arial" w:cs="Arial"/>
          <w:sz w:val="20"/>
          <w:szCs w:val="20"/>
          <w:shd w:val="clear" w:color="auto" w:fill="FFFFFF"/>
        </w:rPr>
        <w:t xml:space="preserve">upravljavca in svetovanje zaposlenim v MNZ in IRSNZ, ki obdelujejo osebne podatke, o njihovih obveznostih na podlagi </w:t>
      </w:r>
      <w:r w:rsidRPr="00A335CB">
        <w:rPr>
          <w:rFonts w:ascii="Arial" w:hAnsi="Arial" w:cs="Arial"/>
          <w:sz w:val="20"/>
          <w:szCs w:val="20"/>
        </w:rPr>
        <w:t xml:space="preserve">Splošne uredbe EU o varstvu podatkov in Zakona o varstvu osebnih podatkov (ZVOP-2). Preverjala se je skladnost pravnih podlag o pogodbeni obdelavi osebnih podatkov pri postopkih javnih naročil in dogovorov z upravljavci, </w:t>
      </w:r>
      <w:r w:rsidR="00AF4188" w:rsidRPr="00A335CB">
        <w:rPr>
          <w:rFonts w:ascii="Arial" w:hAnsi="Arial" w:cs="Arial"/>
          <w:sz w:val="20"/>
          <w:szCs w:val="20"/>
        </w:rPr>
        <w:t>ki se jim</w:t>
      </w:r>
      <w:r w:rsidRPr="00A335CB">
        <w:rPr>
          <w:rFonts w:ascii="Arial" w:hAnsi="Arial" w:cs="Arial"/>
          <w:sz w:val="20"/>
          <w:szCs w:val="20"/>
        </w:rPr>
        <w:t xml:space="preserve"> na podlagi zakona za izvajanje njihovih pristojnosti ali nalog lahko </w:t>
      </w:r>
      <w:r w:rsidR="00670EF4">
        <w:rPr>
          <w:rFonts w:ascii="Arial" w:hAnsi="Arial" w:cs="Arial"/>
          <w:sz w:val="20"/>
          <w:szCs w:val="20"/>
        </w:rPr>
        <w:t>predložijo</w:t>
      </w:r>
      <w:r w:rsidR="00670EF4" w:rsidRPr="00A335CB">
        <w:rPr>
          <w:rFonts w:ascii="Arial" w:hAnsi="Arial" w:cs="Arial"/>
          <w:sz w:val="20"/>
          <w:szCs w:val="20"/>
        </w:rPr>
        <w:t xml:space="preserve"> </w:t>
      </w:r>
      <w:r w:rsidRPr="00A335CB">
        <w:rPr>
          <w:rFonts w:ascii="Arial" w:hAnsi="Arial" w:cs="Arial"/>
          <w:sz w:val="20"/>
          <w:szCs w:val="20"/>
        </w:rPr>
        <w:t xml:space="preserve">osebni podatki iz registrov ali evidenc s področja upravnih notranjih zadev. Izdano je bilo mnenje o oceni učinka na varstvo osebnih podatkov, ki se je nanašala na predlog Zakona o spremembah in dopolnitvah Zakona o mednarodni zaščiti. </w:t>
      </w:r>
    </w:p>
    <w:p w14:paraId="74AC9902" w14:textId="77777777" w:rsidR="00653B9D" w:rsidRPr="00A335CB" w:rsidRDefault="00653B9D" w:rsidP="005D1A90">
      <w:pPr>
        <w:spacing w:after="0" w:line="276" w:lineRule="auto"/>
        <w:jc w:val="both"/>
        <w:rPr>
          <w:rFonts w:ascii="Arial" w:hAnsi="Arial" w:cs="Arial"/>
          <w:sz w:val="20"/>
          <w:szCs w:val="20"/>
        </w:rPr>
      </w:pPr>
    </w:p>
    <w:p w14:paraId="1C76E2D5"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Mesečno se je posodabljala Skupna evidenca dejavnosti obdelave osebnih podatkov v MNZ in IRSNZ, uslužbenci MNZ pa so bili sproti seznanjeni z obvestili Informacijskega pooblaščenca in novostmi na področju varstva osebnih podatkov. </w:t>
      </w:r>
    </w:p>
    <w:p w14:paraId="4FC8B32A" w14:textId="0FEBB0F2" w:rsidR="00653B9D" w:rsidRPr="00A335CB" w:rsidRDefault="00653B9D" w:rsidP="005D1A90">
      <w:pPr>
        <w:tabs>
          <w:tab w:val="num" w:pos="1431"/>
        </w:tabs>
        <w:spacing w:after="0" w:line="276" w:lineRule="auto"/>
        <w:jc w:val="both"/>
        <w:rPr>
          <w:rFonts w:ascii="Arial" w:hAnsi="Arial" w:cs="Arial"/>
          <w:sz w:val="20"/>
          <w:szCs w:val="20"/>
        </w:rPr>
      </w:pPr>
    </w:p>
    <w:p w14:paraId="36FA4DCF" w14:textId="58715324" w:rsidR="00D740A2" w:rsidRPr="00A335CB" w:rsidRDefault="00590E45" w:rsidP="005D1A90">
      <w:pPr>
        <w:pStyle w:val="Naslov2"/>
        <w:spacing w:after="0" w:line="276" w:lineRule="auto"/>
        <w:jc w:val="both"/>
      </w:pPr>
      <w:bookmarkStart w:id="60" w:name="_Toc65591463"/>
      <w:bookmarkStart w:id="61" w:name="_Toc65651014"/>
      <w:bookmarkStart w:id="62" w:name="_Toc203552979"/>
      <w:r w:rsidRPr="00A335CB">
        <w:t>Varnostno načrtovanje in preverjanje tujih državljanov po Zakonu o varstvu pred ionizirajočimi sevanji in jedrski varnosti</w:t>
      </w:r>
      <w:bookmarkEnd w:id="60"/>
      <w:bookmarkEnd w:id="61"/>
      <w:bookmarkEnd w:id="62"/>
    </w:p>
    <w:p w14:paraId="347700AA" w14:textId="648B4FFD" w:rsidR="00653B9D" w:rsidRPr="00A335CB" w:rsidRDefault="00653B9D" w:rsidP="005D1A90">
      <w:pPr>
        <w:spacing w:after="0" w:line="276" w:lineRule="auto"/>
        <w:jc w:val="both"/>
        <w:rPr>
          <w:rFonts w:ascii="Arial" w:hAnsi="Arial" w:cs="Arial"/>
          <w:sz w:val="20"/>
          <w:szCs w:val="20"/>
        </w:rPr>
      </w:pPr>
    </w:p>
    <w:p w14:paraId="54613F5E" w14:textId="45E184E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V okviru</w:t>
      </w:r>
      <w:r w:rsidRPr="00A335CB">
        <w:rPr>
          <w:rFonts w:ascii="Arial" w:hAnsi="Arial" w:cs="Arial"/>
          <w:bCs/>
          <w:sz w:val="20"/>
          <w:szCs w:val="20"/>
        </w:rPr>
        <w:t xml:space="preserve"> izvajanja nalog iz </w:t>
      </w:r>
      <w:r w:rsidRPr="00A335CB">
        <w:rPr>
          <w:rFonts w:ascii="Arial" w:hAnsi="Arial" w:cs="Arial"/>
          <w:b/>
          <w:sz w:val="20"/>
          <w:szCs w:val="20"/>
        </w:rPr>
        <w:t>Nacionalnega programa</w:t>
      </w:r>
      <w:r w:rsidRPr="00A335CB">
        <w:rPr>
          <w:rFonts w:ascii="Arial" w:hAnsi="Arial" w:cs="Arial"/>
          <w:sz w:val="20"/>
          <w:szCs w:val="20"/>
        </w:rPr>
        <w:t xml:space="preserve"> </w:t>
      </w:r>
      <w:r w:rsidRPr="00A335CB">
        <w:rPr>
          <w:rFonts w:ascii="Arial" w:hAnsi="Arial" w:cs="Arial"/>
          <w:b/>
          <w:sz w:val="20"/>
          <w:szCs w:val="20"/>
        </w:rPr>
        <w:t xml:space="preserve">varstva pred naravnimi in drugimi nesrečami </w:t>
      </w:r>
      <w:r w:rsidRPr="00A335CB">
        <w:rPr>
          <w:rFonts w:ascii="Arial" w:hAnsi="Arial" w:cs="Arial"/>
          <w:sz w:val="20"/>
          <w:szCs w:val="20"/>
        </w:rPr>
        <w:t xml:space="preserve">ter </w:t>
      </w:r>
      <w:r w:rsidRPr="00A335CB">
        <w:rPr>
          <w:rFonts w:ascii="Arial" w:hAnsi="Arial" w:cs="Arial"/>
          <w:b/>
          <w:bCs/>
          <w:sz w:val="20"/>
          <w:szCs w:val="20"/>
        </w:rPr>
        <w:t>načrtovanja in izvajanja ukrepov MNZ v izjemnih okoliščinah</w:t>
      </w:r>
      <w:r w:rsidRPr="00A335CB">
        <w:rPr>
          <w:rFonts w:ascii="Arial" w:hAnsi="Arial" w:cs="Arial"/>
          <w:bCs/>
          <w:sz w:val="20"/>
          <w:szCs w:val="20"/>
        </w:rPr>
        <w:t xml:space="preserve"> je bil </w:t>
      </w:r>
      <w:r w:rsidRPr="00A335CB">
        <w:rPr>
          <w:rFonts w:ascii="Arial" w:hAnsi="Arial" w:cs="Arial"/>
          <w:sz w:val="20"/>
          <w:szCs w:val="20"/>
        </w:rPr>
        <w:t>aktiviran Načrt dejavnosti MNZ ob požaru. Pri tem so bile izvedene številne aktivnosti (izvajanje nalog iz načrta, sodelovanje s Civilno zaščito RS, poročanje o izvedenih aktivnostih). V letu 2024 je bil večkrat aktivi</w:t>
      </w:r>
      <w:r w:rsidR="008E5803" w:rsidRPr="00A335CB">
        <w:rPr>
          <w:rFonts w:ascii="Arial" w:hAnsi="Arial" w:cs="Arial"/>
          <w:sz w:val="20"/>
          <w:szCs w:val="20"/>
        </w:rPr>
        <w:t>ran tudi Protokol obveščanja notranjih organizacijskih enot</w:t>
      </w:r>
      <w:r w:rsidRPr="00A335CB">
        <w:rPr>
          <w:rFonts w:ascii="Arial" w:hAnsi="Arial" w:cs="Arial"/>
          <w:sz w:val="20"/>
          <w:szCs w:val="20"/>
        </w:rPr>
        <w:t xml:space="preserve"> MNZ, </w:t>
      </w:r>
      <w:r w:rsidR="00AC5C43">
        <w:rPr>
          <w:rFonts w:ascii="Arial" w:hAnsi="Arial" w:cs="Arial"/>
          <w:sz w:val="20"/>
          <w:szCs w:val="20"/>
        </w:rPr>
        <w:t>p</w:t>
      </w:r>
      <w:r w:rsidR="00AC5C43" w:rsidRPr="00A335CB">
        <w:rPr>
          <w:rFonts w:ascii="Arial" w:hAnsi="Arial" w:cs="Arial"/>
          <w:sz w:val="20"/>
          <w:szCs w:val="20"/>
        </w:rPr>
        <w:t xml:space="preserve">olicije </w:t>
      </w:r>
      <w:r w:rsidRPr="00A335CB">
        <w:rPr>
          <w:rFonts w:ascii="Arial" w:hAnsi="Arial" w:cs="Arial"/>
          <w:sz w:val="20"/>
          <w:szCs w:val="20"/>
        </w:rPr>
        <w:t xml:space="preserve">in IRSNZ v primeru naravnih in drugih nesreč. </w:t>
      </w:r>
    </w:p>
    <w:p w14:paraId="31C8C92C" w14:textId="77777777" w:rsidR="00653B9D" w:rsidRPr="00A335CB" w:rsidRDefault="00653B9D" w:rsidP="005D1A90">
      <w:pPr>
        <w:spacing w:after="0" w:line="276" w:lineRule="auto"/>
        <w:jc w:val="both"/>
        <w:rPr>
          <w:rFonts w:ascii="Arial" w:hAnsi="Arial" w:cs="Arial"/>
          <w:sz w:val="20"/>
          <w:szCs w:val="20"/>
        </w:rPr>
      </w:pPr>
    </w:p>
    <w:p w14:paraId="7EDA7685" w14:textId="12C82AB9"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varnostnega načrtovanja</w:t>
      </w:r>
      <w:r w:rsidRPr="00A335CB">
        <w:rPr>
          <w:rFonts w:ascii="Arial" w:hAnsi="Arial" w:cs="Arial"/>
          <w:sz w:val="20"/>
          <w:szCs w:val="20"/>
        </w:rPr>
        <w:t xml:space="preserve"> je potekalo redno posodabljanje načrtov dejavnosti MNZ ob</w:t>
      </w:r>
      <w:r w:rsidR="008E5803" w:rsidRPr="00A335CB">
        <w:rPr>
          <w:rFonts w:ascii="Arial" w:hAnsi="Arial" w:cs="Arial"/>
          <w:sz w:val="20"/>
          <w:szCs w:val="20"/>
        </w:rPr>
        <w:t xml:space="preserve"> različnih nesrečah. MNZ</w:t>
      </w:r>
      <w:r w:rsidRPr="00A335CB">
        <w:rPr>
          <w:rFonts w:ascii="Arial" w:hAnsi="Arial" w:cs="Arial"/>
          <w:sz w:val="20"/>
          <w:szCs w:val="20"/>
        </w:rPr>
        <w:t xml:space="preserve"> je sodelovalo pri obsežni prenovi Državnega načrta zaščite in reševanja ob poplavah, Državnega načrta zaščite in reševanja ob potresu, Državnega načrta zaščite in reševanja ob železniški nesreči, Državnega načrta zaščite in reševanja ob pojavu epidemije nalezljive bolezni pri ljudeh ter Državnega načrta zaščite in reševanja ob posebno nevarnih boleznih živali. V okviru tega so bili v letu 2024 pripravljeni in sprejeti tudi nekateri načrti dejavnosti MNZ ob naravnih ali drugih nesrečah. Predstavnica MNZ se je udeleževala sestankov štaba Civilne zaščite RS. </w:t>
      </w:r>
    </w:p>
    <w:p w14:paraId="1E01CED8" w14:textId="77777777" w:rsidR="00653B9D" w:rsidRPr="00A335CB" w:rsidRDefault="00653B9D" w:rsidP="005D1A90">
      <w:pPr>
        <w:spacing w:after="0" w:line="276" w:lineRule="auto"/>
        <w:jc w:val="both"/>
        <w:rPr>
          <w:rFonts w:ascii="Arial" w:hAnsi="Arial" w:cs="Arial"/>
          <w:sz w:val="20"/>
          <w:szCs w:val="20"/>
        </w:rPr>
      </w:pPr>
    </w:p>
    <w:p w14:paraId="4668F821" w14:textId="014A4692" w:rsidR="00653B9D" w:rsidRPr="00A335CB" w:rsidRDefault="00A24539" w:rsidP="005D1A90">
      <w:pPr>
        <w:spacing w:after="0" w:line="276" w:lineRule="auto"/>
        <w:jc w:val="both"/>
        <w:rPr>
          <w:rFonts w:ascii="Arial" w:hAnsi="Arial" w:cs="Arial"/>
          <w:sz w:val="20"/>
          <w:szCs w:val="20"/>
        </w:rPr>
      </w:pPr>
      <w:r>
        <w:rPr>
          <w:rFonts w:ascii="Arial" w:hAnsi="Arial" w:cs="Arial"/>
          <w:sz w:val="20"/>
          <w:szCs w:val="20"/>
        </w:rPr>
        <w:t>P</w:t>
      </w:r>
      <w:r w:rsidR="00653B9D" w:rsidRPr="00A335CB">
        <w:rPr>
          <w:rFonts w:ascii="Arial" w:hAnsi="Arial" w:cs="Arial"/>
          <w:sz w:val="20"/>
          <w:szCs w:val="20"/>
        </w:rPr>
        <w:t xml:space="preserve">otekalo </w:t>
      </w:r>
      <w:r>
        <w:rPr>
          <w:rFonts w:ascii="Arial" w:hAnsi="Arial" w:cs="Arial"/>
          <w:sz w:val="20"/>
          <w:szCs w:val="20"/>
        </w:rPr>
        <w:t xml:space="preserve">je tudi </w:t>
      </w:r>
      <w:r w:rsidR="00653B9D" w:rsidRPr="00A335CB">
        <w:rPr>
          <w:rFonts w:ascii="Arial" w:hAnsi="Arial" w:cs="Arial"/>
          <w:sz w:val="20"/>
          <w:szCs w:val="20"/>
        </w:rPr>
        <w:t>sodelovanje pri pripravi Protokola obveščanja v primeru grožnje vzgojno-izobraževalnim zavodom ter Protokola o obveščanju v primeru grožnje fakultetam in visokošolskim zavodom.</w:t>
      </w:r>
    </w:p>
    <w:p w14:paraId="4403E4A7" w14:textId="77777777" w:rsidR="00653B9D" w:rsidRPr="00A335CB" w:rsidRDefault="00653B9D" w:rsidP="005D1A90">
      <w:pPr>
        <w:spacing w:after="0" w:line="276" w:lineRule="auto"/>
        <w:jc w:val="both"/>
        <w:rPr>
          <w:rFonts w:ascii="Arial" w:hAnsi="Arial" w:cs="Arial"/>
          <w:bCs/>
          <w:sz w:val="20"/>
          <w:szCs w:val="20"/>
        </w:rPr>
      </w:pPr>
    </w:p>
    <w:p w14:paraId="78487F1F" w14:textId="27F7A92B" w:rsidR="00653B9D" w:rsidRPr="00A335CB" w:rsidRDefault="00653B9D" w:rsidP="005D1A90">
      <w:pPr>
        <w:pStyle w:val="Odstavekseznama2"/>
        <w:autoSpaceDE w:val="0"/>
        <w:autoSpaceDN w:val="0"/>
        <w:adjustRightInd w:val="0"/>
        <w:spacing w:after="0" w:line="276" w:lineRule="auto"/>
        <w:ind w:left="0"/>
        <w:jc w:val="both"/>
        <w:rPr>
          <w:rFonts w:ascii="Arial" w:hAnsi="Arial" w:cs="Arial"/>
          <w:sz w:val="20"/>
          <w:szCs w:val="20"/>
        </w:rPr>
      </w:pPr>
      <w:r w:rsidRPr="00A335CB">
        <w:rPr>
          <w:rFonts w:ascii="Arial" w:hAnsi="Arial" w:cs="Arial"/>
          <w:sz w:val="20"/>
          <w:szCs w:val="20"/>
        </w:rPr>
        <w:t xml:space="preserve">V letu 2024 so bile izvedene naslednje </w:t>
      </w:r>
      <w:r w:rsidRPr="00A335CB">
        <w:rPr>
          <w:rFonts w:ascii="Arial" w:hAnsi="Arial" w:cs="Arial"/>
          <w:b/>
          <w:sz w:val="20"/>
          <w:szCs w:val="20"/>
        </w:rPr>
        <w:t>vaje, pri k</w:t>
      </w:r>
      <w:r w:rsidR="005C25B4" w:rsidRPr="00A335CB">
        <w:rPr>
          <w:rFonts w:ascii="Arial" w:hAnsi="Arial" w:cs="Arial"/>
          <w:b/>
          <w:sz w:val="20"/>
          <w:szCs w:val="20"/>
        </w:rPr>
        <w:t>aterih je sodelovalo MNZ</w:t>
      </w:r>
      <w:r w:rsidRPr="00A335CB">
        <w:rPr>
          <w:rFonts w:ascii="Arial" w:hAnsi="Arial" w:cs="Arial"/>
          <w:sz w:val="20"/>
          <w:szCs w:val="20"/>
        </w:rPr>
        <w:t xml:space="preserve">: </w:t>
      </w:r>
    </w:p>
    <w:p w14:paraId="1041C0F9" w14:textId="77B475DF" w:rsidR="00653B9D" w:rsidRPr="00A335CB" w:rsidRDefault="00653B9D" w:rsidP="005D1A90">
      <w:pPr>
        <w:pStyle w:val="Odstavekseznama"/>
        <w:numPr>
          <w:ilvl w:val="0"/>
          <w:numId w:val="2"/>
        </w:numPr>
        <w:spacing w:after="0"/>
        <w:ind w:left="426" w:hanging="426"/>
        <w:jc w:val="both"/>
        <w:rPr>
          <w:rFonts w:ascii="Arial" w:hAnsi="Arial" w:cs="Arial"/>
          <w:sz w:val="20"/>
          <w:szCs w:val="20"/>
        </w:rPr>
      </w:pPr>
      <w:r w:rsidRPr="00A335CB">
        <w:rPr>
          <w:rFonts w:ascii="Arial" w:hAnsi="Arial" w:cs="Arial"/>
          <w:sz w:val="20"/>
          <w:szCs w:val="20"/>
        </w:rPr>
        <w:t xml:space="preserve">dve </w:t>
      </w:r>
      <w:r w:rsidR="0087437A">
        <w:rPr>
          <w:rFonts w:ascii="Arial" w:hAnsi="Arial" w:cs="Arial"/>
          <w:sz w:val="20"/>
          <w:szCs w:val="20"/>
        </w:rPr>
        <w:t>Natovi vaji</w:t>
      </w:r>
      <w:r w:rsidRPr="00A335CB">
        <w:rPr>
          <w:rFonts w:ascii="Arial" w:hAnsi="Arial" w:cs="Arial"/>
          <w:sz w:val="20"/>
          <w:szCs w:val="20"/>
        </w:rPr>
        <w:t xml:space="preserve"> s področja </w:t>
      </w:r>
      <w:r w:rsidRPr="00A335CB">
        <w:rPr>
          <w:rFonts w:ascii="Arial" w:hAnsi="Arial" w:cs="Arial"/>
          <w:sz w:val="20"/>
          <w:szCs w:val="20"/>
          <w:u w:val="single"/>
        </w:rPr>
        <w:t>kibernetske obrambe</w:t>
      </w:r>
      <w:r w:rsidRPr="00A335CB">
        <w:rPr>
          <w:rFonts w:ascii="Arial" w:hAnsi="Arial" w:cs="Arial"/>
          <w:sz w:val="20"/>
          <w:szCs w:val="20"/>
        </w:rPr>
        <w:t xml:space="preserve"> (</w:t>
      </w:r>
      <w:proofErr w:type="spellStart"/>
      <w:r w:rsidRPr="00A335CB">
        <w:rPr>
          <w:rFonts w:ascii="Arial" w:hAnsi="Arial" w:cs="Arial"/>
          <w:sz w:val="20"/>
          <w:szCs w:val="20"/>
        </w:rPr>
        <w:t>Locked</w:t>
      </w:r>
      <w:proofErr w:type="spellEnd"/>
      <w:r w:rsidRPr="00A335CB">
        <w:rPr>
          <w:rFonts w:ascii="Arial" w:hAnsi="Arial" w:cs="Arial"/>
          <w:sz w:val="20"/>
          <w:szCs w:val="20"/>
        </w:rPr>
        <w:t xml:space="preserve"> </w:t>
      </w:r>
      <w:proofErr w:type="spellStart"/>
      <w:r w:rsidRPr="00A335CB">
        <w:rPr>
          <w:rFonts w:ascii="Arial" w:hAnsi="Arial" w:cs="Arial"/>
          <w:sz w:val="20"/>
          <w:szCs w:val="20"/>
        </w:rPr>
        <w:t>Shields</w:t>
      </w:r>
      <w:proofErr w:type="spellEnd"/>
      <w:r w:rsidRPr="00A335CB">
        <w:rPr>
          <w:rFonts w:ascii="Arial" w:hAnsi="Arial" w:cs="Arial"/>
          <w:sz w:val="20"/>
          <w:szCs w:val="20"/>
        </w:rPr>
        <w:t xml:space="preserve"> v aprilu 2024 in </w:t>
      </w:r>
      <w:proofErr w:type="spellStart"/>
      <w:r w:rsidRPr="00A335CB">
        <w:rPr>
          <w:rFonts w:ascii="Arial" w:hAnsi="Arial" w:cs="Arial"/>
          <w:sz w:val="20"/>
          <w:szCs w:val="20"/>
        </w:rPr>
        <w:t>Cyber</w:t>
      </w:r>
      <w:proofErr w:type="spellEnd"/>
      <w:r w:rsidRPr="00A335CB">
        <w:rPr>
          <w:rFonts w:ascii="Arial" w:hAnsi="Arial" w:cs="Arial"/>
          <w:sz w:val="20"/>
          <w:szCs w:val="20"/>
        </w:rPr>
        <w:t xml:space="preserve"> </w:t>
      </w:r>
      <w:proofErr w:type="spellStart"/>
      <w:r w:rsidRPr="00A335CB">
        <w:rPr>
          <w:rFonts w:ascii="Arial" w:hAnsi="Arial" w:cs="Arial"/>
          <w:sz w:val="20"/>
          <w:szCs w:val="20"/>
        </w:rPr>
        <w:t>Coalition</w:t>
      </w:r>
      <w:proofErr w:type="spellEnd"/>
      <w:r w:rsidRPr="00A335CB">
        <w:rPr>
          <w:rFonts w:ascii="Arial" w:hAnsi="Arial" w:cs="Arial"/>
          <w:sz w:val="20"/>
          <w:szCs w:val="20"/>
        </w:rPr>
        <w:t xml:space="preserve"> v novembru/decembru 2024); </w:t>
      </w:r>
    </w:p>
    <w:p w14:paraId="4594DBE9" w14:textId="611AD1B0" w:rsidR="00653B9D" w:rsidRPr="00A335CB" w:rsidRDefault="0087437A" w:rsidP="005D1A90">
      <w:pPr>
        <w:pStyle w:val="Odstavekseznama"/>
        <w:numPr>
          <w:ilvl w:val="0"/>
          <w:numId w:val="2"/>
        </w:numPr>
        <w:spacing w:after="0"/>
        <w:ind w:left="426" w:hanging="426"/>
        <w:jc w:val="both"/>
        <w:rPr>
          <w:rFonts w:ascii="Arial" w:hAnsi="Arial" w:cs="Arial"/>
          <w:sz w:val="20"/>
          <w:szCs w:val="20"/>
        </w:rPr>
      </w:pPr>
      <w:r>
        <w:rPr>
          <w:rFonts w:ascii="Arial" w:hAnsi="Arial" w:cs="Arial"/>
          <w:sz w:val="20"/>
          <w:szCs w:val="20"/>
        </w:rPr>
        <w:t>v</w:t>
      </w:r>
      <w:r w:rsidR="00653B9D" w:rsidRPr="0087437A">
        <w:rPr>
          <w:rFonts w:ascii="Arial" w:hAnsi="Arial" w:cs="Arial"/>
          <w:sz w:val="20"/>
          <w:szCs w:val="20"/>
        </w:rPr>
        <w:t>aja</w:t>
      </w:r>
      <w:r>
        <w:rPr>
          <w:rFonts w:ascii="Arial" w:hAnsi="Arial" w:cs="Arial"/>
          <w:sz w:val="20"/>
          <w:szCs w:val="20"/>
        </w:rPr>
        <w:t xml:space="preserve"> EU</w:t>
      </w:r>
      <w:r w:rsidR="00653B9D" w:rsidRPr="00A335CB">
        <w:rPr>
          <w:rFonts w:ascii="Arial" w:hAnsi="Arial" w:cs="Arial"/>
          <w:sz w:val="20"/>
          <w:szCs w:val="20"/>
        </w:rPr>
        <w:t xml:space="preserve"> </w:t>
      </w:r>
      <w:proofErr w:type="spellStart"/>
      <w:r w:rsidR="00653B9D" w:rsidRPr="00A335CB">
        <w:rPr>
          <w:rFonts w:ascii="Arial" w:hAnsi="Arial" w:cs="Arial"/>
          <w:sz w:val="20"/>
          <w:szCs w:val="20"/>
        </w:rPr>
        <w:t>Integrated</w:t>
      </w:r>
      <w:proofErr w:type="spellEnd"/>
      <w:r w:rsidR="00653B9D" w:rsidRPr="00A335CB">
        <w:rPr>
          <w:rFonts w:ascii="Arial" w:hAnsi="Arial" w:cs="Arial"/>
          <w:sz w:val="20"/>
          <w:szCs w:val="20"/>
        </w:rPr>
        <w:t xml:space="preserve"> </w:t>
      </w:r>
      <w:proofErr w:type="spellStart"/>
      <w:r w:rsidR="00653B9D" w:rsidRPr="00A335CB">
        <w:rPr>
          <w:rFonts w:ascii="Arial" w:hAnsi="Arial" w:cs="Arial"/>
          <w:sz w:val="20"/>
          <w:szCs w:val="20"/>
        </w:rPr>
        <w:t>Resolve</w:t>
      </w:r>
      <w:proofErr w:type="spellEnd"/>
      <w:r w:rsidR="00653B9D" w:rsidRPr="00A335CB">
        <w:rPr>
          <w:rFonts w:ascii="Arial" w:hAnsi="Arial" w:cs="Arial"/>
          <w:sz w:val="20"/>
          <w:szCs w:val="20"/>
        </w:rPr>
        <w:t xml:space="preserve"> 24 (EU IR24) s področja </w:t>
      </w:r>
      <w:r w:rsidR="00653B9D" w:rsidRPr="00A335CB">
        <w:rPr>
          <w:rFonts w:ascii="Arial" w:hAnsi="Arial" w:cs="Arial"/>
          <w:sz w:val="20"/>
          <w:szCs w:val="20"/>
          <w:u w:val="single"/>
        </w:rPr>
        <w:t>zmogljivosti EU za krizno upravljanje</w:t>
      </w:r>
      <w:r w:rsidR="00653B9D" w:rsidRPr="00A335CB">
        <w:rPr>
          <w:rFonts w:ascii="Arial" w:hAnsi="Arial" w:cs="Arial"/>
          <w:sz w:val="20"/>
          <w:szCs w:val="20"/>
        </w:rPr>
        <w:t>;</w:t>
      </w:r>
    </w:p>
    <w:p w14:paraId="7AC5501C" w14:textId="470A11A2" w:rsidR="00653B9D" w:rsidRPr="00A335CB" w:rsidRDefault="0087437A" w:rsidP="005D1A90">
      <w:pPr>
        <w:pStyle w:val="Odstavekseznama"/>
        <w:numPr>
          <w:ilvl w:val="0"/>
          <w:numId w:val="2"/>
        </w:numPr>
        <w:spacing w:after="0"/>
        <w:ind w:left="426" w:hanging="426"/>
        <w:jc w:val="both"/>
        <w:rPr>
          <w:rFonts w:ascii="Arial" w:hAnsi="Arial" w:cs="Arial"/>
          <w:sz w:val="20"/>
          <w:szCs w:val="20"/>
        </w:rPr>
      </w:pPr>
      <w:r>
        <w:rPr>
          <w:rFonts w:ascii="Arial" w:hAnsi="Arial" w:cs="Arial"/>
          <w:sz w:val="20"/>
          <w:szCs w:val="20"/>
        </w:rPr>
        <w:t>Natova v</w:t>
      </w:r>
      <w:r w:rsidR="00653B9D" w:rsidRPr="00A335CB">
        <w:rPr>
          <w:rFonts w:ascii="Arial" w:hAnsi="Arial" w:cs="Arial"/>
          <w:sz w:val="20"/>
          <w:szCs w:val="20"/>
        </w:rPr>
        <w:t>aja</w:t>
      </w:r>
      <w:r>
        <w:rPr>
          <w:rFonts w:ascii="Arial" w:hAnsi="Arial" w:cs="Arial"/>
          <w:sz w:val="20"/>
          <w:szCs w:val="20"/>
        </w:rPr>
        <w:t xml:space="preserve"> </w:t>
      </w:r>
      <w:r w:rsidR="00653B9D" w:rsidRPr="00A335CB">
        <w:rPr>
          <w:rFonts w:ascii="Arial" w:hAnsi="Arial" w:cs="Arial"/>
          <w:sz w:val="20"/>
          <w:szCs w:val="20"/>
          <w:u w:val="single"/>
        </w:rPr>
        <w:t>hitrega odločanja</w:t>
      </w:r>
      <w:r w:rsidR="00653B9D" w:rsidRPr="00A335CB">
        <w:rPr>
          <w:rFonts w:ascii="Arial" w:hAnsi="Arial" w:cs="Arial"/>
          <w:sz w:val="20"/>
          <w:szCs w:val="20"/>
        </w:rPr>
        <w:t xml:space="preserve"> (Short Notice </w:t>
      </w:r>
      <w:proofErr w:type="spellStart"/>
      <w:r w:rsidR="00653B9D" w:rsidRPr="00A335CB">
        <w:rPr>
          <w:rFonts w:ascii="Arial" w:hAnsi="Arial" w:cs="Arial"/>
          <w:sz w:val="20"/>
          <w:szCs w:val="20"/>
        </w:rPr>
        <w:t>Exercise</w:t>
      </w:r>
      <w:proofErr w:type="spellEnd"/>
      <w:r w:rsidR="00653B9D" w:rsidRPr="00A335CB">
        <w:rPr>
          <w:rFonts w:ascii="Arial" w:hAnsi="Arial" w:cs="Arial"/>
          <w:sz w:val="20"/>
          <w:szCs w:val="20"/>
        </w:rPr>
        <w:t xml:space="preserve"> 2024 – SNEX24 v oktobru); </w:t>
      </w:r>
    </w:p>
    <w:p w14:paraId="7E9F3389" w14:textId="1A00A382" w:rsidR="00653B9D" w:rsidRPr="00A335CB" w:rsidRDefault="00660945" w:rsidP="005D1A90">
      <w:pPr>
        <w:pStyle w:val="Odstavekseznama"/>
        <w:numPr>
          <w:ilvl w:val="0"/>
          <w:numId w:val="2"/>
        </w:numPr>
        <w:spacing w:after="0"/>
        <w:ind w:left="426" w:hanging="426"/>
        <w:jc w:val="both"/>
        <w:rPr>
          <w:rFonts w:ascii="Arial" w:hAnsi="Arial" w:cs="Arial"/>
          <w:sz w:val="20"/>
          <w:szCs w:val="20"/>
        </w:rPr>
      </w:pPr>
      <w:r>
        <w:rPr>
          <w:rFonts w:ascii="Arial" w:hAnsi="Arial" w:cs="Arial"/>
          <w:sz w:val="20"/>
          <w:szCs w:val="20"/>
          <w:u w:val="single"/>
        </w:rPr>
        <w:t>državna</w:t>
      </w:r>
      <w:r w:rsidRPr="00A335CB">
        <w:rPr>
          <w:rFonts w:ascii="Arial" w:hAnsi="Arial" w:cs="Arial"/>
          <w:sz w:val="20"/>
          <w:szCs w:val="20"/>
          <w:u w:val="single"/>
        </w:rPr>
        <w:t xml:space="preserve"> </w:t>
      </w:r>
      <w:r w:rsidR="00653B9D" w:rsidRPr="00A335CB">
        <w:rPr>
          <w:rFonts w:ascii="Arial" w:hAnsi="Arial" w:cs="Arial"/>
          <w:sz w:val="20"/>
          <w:szCs w:val="20"/>
          <w:u w:val="single"/>
        </w:rPr>
        <w:t>vaja kriznega upravljanja in odzivanja obrambnega sistema</w:t>
      </w:r>
      <w:r w:rsidR="00653B9D" w:rsidRPr="00A335CB">
        <w:rPr>
          <w:rFonts w:ascii="Arial" w:hAnsi="Arial" w:cs="Arial"/>
          <w:sz w:val="20"/>
          <w:szCs w:val="20"/>
        </w:rPr>
        <w:t xml:space="preserve"> (ODPORNOST24), na podlagi katere </w:t>
      </w:r>
      <w:r w:rsidR="00AC5C43">
        <w:rPr>
          <w:rFonts w:ascii="Arial" w:hAnsi="Arial" w:cs="Arial"/>
          <w:sz w:val="20"/>
          <w:szCs w:val="20"/>
        </w:rPr>
        <w:t>sta</w:t>
      </w:r>
      <w:r w:rsidR="00AC5C43" w:rsidRPr="00A335CB">
        <w:rPr>
          <w:rFonts w:ascii="Arial" w:hAnsi="Arial" w:cs="Arial"/>
          <w:sz w:val="20"/>
          <w:szCs w:val="20"/>
        </w:rPr>
        <w:t xml:space="preserve"> bil</w:t>
      </w:r>
      <w:r w:rsidR="00AC5C43">
        <w:rPr>
          <w:rFonts w:ascii="Arial" w:hAnsi="Arial" w:cs="Arial"/>
          <w:sz w:val="20"/>
          <w:szCs w:val="20"/>
        </w:rPr>
        <w:t>a</w:t>
      </w:r>
      <w:r w:rsidR="00AC5C43" w:rsidRPr="00A335CB">
        <w:rPr>
          <w:rFonts w:ascii="Arial" w:hAnsi="Arial" w:cs="Arial"/>
          <w:sz w:val="20"/>
          <w:szCs w:val="20"/>
        </w:rPr>
        <w:t xml:space="preserve"> pripravljen</w:t>
      </w:r>
      <w:r w:rsidR="00AC5C43">
        <w:rPr>
          <w:rFonts w:ascii="Arial" w:hAnsi="Arial" w:cs="Arial"/>
          <w:sz w:val="20"/>
          <w:szCs w:val="20"/>
        </w:rPr>
        <w:t>a</w:t>
      </w:r>
      <w:r w:rsidR="00AC5C43" w:rsidRPr="00A335CB">
        <w:rPr>
          <w:rFonts w:ascii="Arial" w:hAnsi="Arial" w:cs="Arial"/>
          <w:sz w:val="20"/>
          <w:szCs w:val="20"/>
        </w:rPr>
        <w:t xml:space="preserve"> </w:t>
      </w:r>
      <w:r w:rsidR="00653B9D" w:rsidRPr="00A335CB">
        <w:rPr>
          <w:rFonts w:ascii="Arial" w:hAnsi="Arial" w:cs="Arial"/>
          <w:sz w:val="20"/>
          <w:szCs w:val="20"/>
        </w:rPr>
        <w:t xml:space="preserve">notranje poročilo o aktivnostih MNZ </w:t>
      </w:r>
      <w:r w:rsidR="00AC5C43">
        <w:rPr>
          <w:rFonts w:ascii="Arial" w:hAnsi="Arial" w:cs="Arial"/>
          <w:sz w:val="20"/>
          <w:szCs w:val="20"/>
        </w:rPr>
        <w:t>in</w:t>
      </w:r>
      <w:r w:rsidR="00AC5C43" w:rsidRPr="00A335CB">
        <w:rPr>
          <w:rFonts w:ascii="Arial" w:hAnsi="Arial" w:cs="Arial"/>
          <w:sz w:val="20"/>
          <w:szCs w:val="20"/>
        </w:rPr>
        <w:t xml:space="preserve"> </w:t>
      </w:r>
      <w:r w:rsidR="00653B9D" w:rsidRPr="00A335CB">
        <w:rPr>
          <w:rFonts w:ascii="Arial" w:hAnsi="Arial" w:cs="Arial"/>
          <w:sz w:val="20"/>
          <w:szCs w:val="20"/>
        </w:rPr>
        <w:t>nabor ukrepov za op</w:t>
      </w:r>
      <w:r w:rsidR="008E5803" w:rsidRPr="00A335CB">
        <w:rPr>
          <w:rFonts w:ascii="Arial" w:hAnsi="Arial" w:cs="Arial"/>
          <w:sz w:val="20"/>
          <w:szCs w:val="20"/>
        </w:rPr>
        <w:t>timizacijo delovanja MNZ</w:t>
      </w:r>
      <w:r w:rsidR="00653B9D" w:rsidRPr="00A335CB">
        <w:rPr>
          <w:rFonts w:ascii="Arial" w:hAnsi="Arial" w:cs="Arial"/>
          <w:sz w:val="20"/>
          <w:szCs w:val="20"/>
        </w:rPr>
        <w:t xml:space="preserve"> v izrednih razmerah, aktivnosti za uresničitev ciljev pa bodo potekale tudi v prih</w:t>
      </w:r>
      <w:r w:rsidR="008E5803" w:rsidRPr="00A335CB">
        <w:rPr>
          <w:rFonts w:ascii="Arial" w:hAnsi="Arial" w:cs="Arial"/>
          <w:sz w:val="20"/>
          <w:szCs w:val="20"/>
        </w:rPr>
        <w:t>odnje, tako na ravni MNZ</w:t>
      </w:r>
      <w:r w:rsidR="00653B9D" w:rsidRPr="00A335CB">
        <w:rPr>
          <w:rFonts w:ascii="Arial" w:hAnsi="Arial" w:cs="Arial"/>
          <w:sz w:val="20"/>
          <w:szCs w:val="20"/>
        </w:rPr>
        <w:t xml:space="preserve"> kot države kot celote. </w:t>
      </w:r>
    </w:p>
    <w:p w14:paraId="3C89083B" w14:textId="77777777" w:rsidR="00653B9D" w:rsidRPr="00A335CB" w:rsidRDefault="00653B9D" w:rsidP="005D1A90">
      <w:pPr>
        <w:pStyle w:val="Odstavekseznama2"/>
        <w:autoSpaceDE w:val="0"/>
        <w:autoSpaceDN w:val="0"/>
        <w:adjustRightInd w:val="0"/>
        <w:spacing w:after="0" w:line="276" w:lineRule="auto"/>
        <w:ind w:left="0"/>
        <w:jc w:val="both"/>
        <w:rPr>
          <w:rFonts w:ascii="Arial" w:hAnsi="Arial" w:cs="Arial"/>
          <w:sz w:val="20"/>
          <w:szCs w:val="20"/>
        </w:rPr>
      </w:pPr>
    </w:p>
    <w:p w14:paraId="700D83D7" w14:textId="586BB4C3"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w:t>
      </w:r>
      <w:r w:rsidR="008E5803" w:rsidRPr="00A335CB">
        <w:rPr>
          <w:rFonts w:ascii="Arial" w:hAnsi="Arial" w:cs="Arial"/>
          <w:sz w:val="20"/>
          <w:szCs w:val="20"/>
        </w:rPr>
        <w:t>i navedenih vajah je MNZ</w:t>
      </w:r>
      <w:r w:rsidRPr="00A335CB">
        <w:rPr>
          <w:rFonts w:ascii="Arial" w:hAnsi="Arial" w:cs="Arial"/>
          <w:sz w:val="20"/>
          <w:szCs w:val="20"/>
        </w:rPr>
        <w:t xml:space="preserve"> sodelovalo pri pripravi in izvedbi vaj ter pripravljalo poročila o poteku vaj s predlogi za izboljšavo.</w:t>
      </w:r>
    </w:p>
    <w:p w14:paraId="5187C917" w14:textId="77777777" w:rsidR="00653B9D" w:rsidRPr="00A335CB" w:rsidRDefault="00653B9D" w:rsidP="005D1A90">
      <w:pPr>
        <w:pStyle w:val="Odstavekseznama2"/>
        <w:autoSpaceDE w:val="0"/>
        <w:autoSpaceDN w:val="0"/>
        <w:adjustRightInd w:val="0"/>
        <w:spacing w:after="0" w:line="276" w:lineRule="auto"/>
        <w:ind w:left="0"/>
        <w:jc w:val="both"/>
        <w:rPr>
          <w:rFonts w:ascii="Arial" w:hAnsi="Arial" w:cs="Arial"/>
          <w:sz w:val="20"/>
          <w:szCs w:val="20"/>
        </w:rPr>
      </w:pPr>
    </w:p>
    <w:p w14:paraId="613A461A" w14:textId="1FA9AC6F" w:rsidR="00653B9D" w:rsidRPr="00A335CB" w:rsidRDefault="00653B9D" w:rsidP="005D1A90">
      <w:pPr>
        <w:pStyle w:val="Odstavekseznama2"/>
        <w:autoSpaceDE w:val="0"/>
        <w:autoSpaceDN w:val="0"/>
        <w:adjustRightInd w:val="0"/>
        <w:spacing w:after="0" w:line="276" w:lineRule="auto"/>
        <w:ind w:left="0"/>
        <w:jc w:val="both"/>
        <w:rPr>
          <w:rFonts w:ascii="Arial" w:hAnsi="Arial" w:cs="Arial"/>
          <w:sz w:val="20"/>
          <w:szCs w:val="20"/>
        </w:rPr>
      </w:pPr>
      <w:r w:rsidRPr="00A335CB">
        <w:rPr>
          <w:rFonts w:ascii="Arial" w:hAnsi="Arial" w:cs="Arial"/>
          <w:sz w:val="20"/>
          <w:szCs w:val="20"/>
        </w:rPr>
        <w:t>Na področju</w:t>
      </w:r>
      <w:r w:rsidRPr="00A335CB">
        <w:rPr>
          <w:rFonts w:ascii="Arial" w:hAnsi="Arial" w:cs="Arial"/>
          <w:bCs/>
          <w:sz w:val="20"/>
          <w:szCs w:val="20"/>
        </w:rPr>
        <w:t xml:space="preserve"> </w:t>
      </w:r>
      <w:r w:rsidRPr="00A335CB">
        <w:rPr>
          <w:rFonts w:ascii="Arial" w:hAnsi="Arial" w:cs="Arial"/>
          <w:b/>
          <w:sz w:val="20"/>
          <w:szCs w:val="20"/>
        </w:rPr>
        <w:t>obrambnega načrtovanja</w:t>
      </w:r>
      <w:r w:rsidRPr="00A335CB">
        <w:rPr>
          <w:rFonts w:ascii="Arial" w:hAnsi="Arial" w:cs="Arial"/>
          <w:sz w:val="20"/>
          <w:szCs w:val="20"/>
        </w:rPr>
        <w:t xml:space="preserve"> je bil pripravljen prispevek za skupno analizo hibridnih trendov, predstavnika MNZ pa sta se udeleževala medresorskih sestankov na temo hibridnih groženj. Zaradi povečanih aktivnosti pri vajah v obrambnem sistemu je bilo opravljenih veliko usklajevalnih sestankov upraviteljev obrambnih načrtov. Precejšni delež aktivnosti se je nanašal tudi na medresorsko sodelovanje na področju krepitve odpornosti ter uvajanja novosti, ki jih prinašata dve </w:t>
      </w:r>
      <w:r w:rsidR="00AC5C43" w:rsidRPr="00A335CB">
        <w:rPr>
          <w:rFonts w:ascii="Arial" w:hAnsi="Arial" w:cs="Arial"/>
          <w:sz w:val="20"/>
          <w:szCs w:val="20"/>
        </w:rPr>
        <w:t>direktivi EU</w:t>
      </w:r>
      <w:r w:rsidRPr="00A335CB">
        <w:rPr>
          <w:rFonts w:ascii="Arial" w:hAnsi="Arial" w:cs="Arial"/>
          <w:sz w:val="20"/>
          <w:szCs w:val="20"/>
        </w:rPr>
        <w:t xml:space="preserve"> za krepitev odpornosti </w:t>
      </w:r>
      <w:r w:rsidR="00AC5C43">
        <w:rPr>
          <w:rFonts w:ascii="Arial" w:hAnsi="Arial" w:cs="Arial"/>
          <w:sz w:val="20"/>
          <w:szCs w:val="20"/>
        </w:rPr>
        <w:t>proti</w:t>
      </w:r>
      <w:r w:rsidR="00AC5C43" w:rsidRPr="00A335CB">
        <w:rPr>
          <w:rFonts w:ascii="Arial" w:hAnsi="Arial" w:cs="Arial"/>
          <w:sz w:val="20"/>
          <w:szCs w:val="20"/>
        </w:rPr>
        <w:t xml:space="preserve"> kibernetsk</w:t>
      </w:r>
      <w:r w:rsidR="00AC5C43">
        <w:rPr>
          <w:rFonts w:ascii="Arial" w:hAnsi="Arial" w:cs="Arial"/>
          <w:sz w:val="20"/>
          <w:szCs w:val="20"/>
        </w:rPr>
        <w:t>im</w:t>
      </w:r>
      <w:r w:rsidR="00AC5C43" w:rsidRPr="00A335CB">
        <w:rPr>
          <w:rFonts w:ascii="Arial" w:hAnsi="Arial" w:cs="Arial"/>
          <w:sz w:val="20"/>
          <w:szCs w:val="20"/>
        </w:rPr>
        <w:t xml:space="preserve"> grožnj</w:t>
      </w:r>
      <w:r w:rsidR="00AC5C43">
        <w:rPr>
          <w:rFonts w:ascii="Arial" w:hAnsi="Arial" w:cs="Arial"/>
          <w:sz w:val="20"/>
          <w:szCs w:val="20"/>
        </w:rPr>
        <w:t>am</w:t>
      </w:r>
      <w:r w:rsidR="00AC5C43" w:rsidRPr="00A335CB">
        <w:rPr>
          <w:rFonts w:ascii="Arial" w:hAnsi="Arial" w:cs="Arial"/>
          <w:sz w:val="20"/>
          <w:szCs w:val="20"/>
        </w:rPr>
        <w:t xml:space="preserve"> </w:t>
      </w:r>
      <w:r w:rsidRPr="00A335CB">
        <w:rPr>
          <w:rFonts w:ascii="Arial" w:hAnsi="Arial" w:cs="Arial"/>
          <w:sz w:val="20"/>
          <w:szCs w:val="20"/>
        </w:rPr>
        <w:t>(CER in NIS2).</w:t>
      </w:r>
    </w:p>
    <w:p w14:paraId="13A04FFB" w14:textId="77777777" w:rsidR="00653B9D" w:rsidRPr="00A335CB" w:rsidRDefault="00653B9D" w:rsidP="005D1A90">
      <w:pPr>
        <w:pStyle w:val="Odstavekseznama2"/>
        <w:autoSpaceDE w:val="0"/>
        <w:autoSpaceDN w:val="0"/>
        <w:adjustRightInd w:val="0"/>
        <w:spacing w:after="0" w:line="276" w:lineRule="auto"/>
        <w:ind w:left="0"/>
        <w:jc w:val="both"/>
        <w:rPr>
          <w:rFonts w:ascii="Arial" w:hAnsi="Arial" w:cs="Arial"/>
          <w:sz w:val="20"/>
          <w:szCs w:val="20"/>
        </w:rPr>
      </w:pPr>
    </w:p>
    <w:p w14:paraId="27D78392" w14:textId="1592B1C8" w:rsidR="00653B9D" w:rsidRPr="00A335CB" w:rsidRDefault="00D24FA6" w:rsidP="005D1A90">
      <w:pPr>
        <w:spacing w:after="0" w:line="276" w:lineRule="auto"/>
        <w:jc w:val="both"/>
        <w:rPr>
          <w:rFonts w:ascii="Arial" w:hAnsi="Arial" w:cs="Arial"/>
          <w:sz w:val="20"/>
          <w:szCs w:val="20"/>
        </w:rPr>
      </w:pPr>
      <w:r w:rsidRPr="00A335CB">
        <w:rPr>
          <w:rFonts w:ascii="Arial" w:hAnsi="Arial" w:cs="Arial"/>
          <w:sz w:val="20"/>
          <w:szCs w:val="20"/>
        </w:rPr>
        <w:t>MNZ</w:t>
      </w:r>
      <w:r w:rsidR="00E37E91" w:rsidRPr="00A335CB">
        <w:rPr>
          <w:rFonts w:ascii="Arial" w:hAnsi="Arial" w:cs="Arial"/>
          <w:sz w:val="20"/>
          <w:szCs w:val="20"/>
        </w:rPr>
        <w:t xml:space="preserve"> je v letu</w:t>
      </w:r>
      <w:r w:rsidR="00653B9D" w:rsidRPr="00A335CB">
        <w:rPr>
          <w:rFonts w:ascii="Arial" w:hAnsi="Arial" w:cs="Arial"/>
          <w:sz w:val="20"/>
          <w:szCs w:val="20"/>
        </w:rPr>
        <w:t xml:space="preserve"> 2024 sodelovalo na sejah stalne medresorske koordinacijske skupine za spremljanje in usmerjanje implementacije ukrepov na področju </w:t>
      </w:r>
      <w:r w:rsidR="00653B9D" w:rsidRPr="00A335CB">
        <w:rPr>
          <w:rFonts w:ascii="Arial" w:hAnsi="Arial" w:cs="Arial"/>
          <w:b/>
          <w:sz w:val="20"/>
          <w:szCs w:val="20"/>
        </w:rPr>
        <w:t>vojaške mobilnosti</w:t>
      </w:r>
      <w:r w:rsidR="00653B9D" w:rsidRPr="00A335CB">
        <w:rPr>
          <w:rFonts w:ascii="Arial" w:hAnsi="Arial" w:cs="Arial"/>
          <w:sz w:val="20"/>
          <w:szCs w:val="20"/>
        </w:rPr>
        <w:t xml:space="preserve"> in pri pripravi implementacije Načrta vojaške mobilnosti v Republiki Sloveniji za 2021–2025. Poleg navedenega je potekalo aktivno sodelovanje pri oblikovanju rešitev za spremembo Zakona o kritični infrastrukturi ter drugih zakonskih in podzakonskih aktov s področja </w:t>
      </w:r>
      <w:r w:rsidR="00660945">
        <w:rPr>
          <w:rFonts w:ascii="Arial" w:hAnsi="Arial" w:cs="Arial"/>
          <w:sz w:val="20"/>
          <w:szCs w:val="20"/>
        </w:rPr>
        <w:t>državne</w:t>
      </w:r>
      <w:r w:rsidR="00660945" w:rsidRPr="00A335CB">
        <w:rPr>
          <w:rFonts w:ascii="Arial" w:hAnsi="Arial" w:cs="Arial"/>
          <w:sz w:val="20"/>
          <w:szCs w:val="20"/>
        </w:rPr>
        <w:t xml:space="preserve"> </w:t>
      </w:r>
      <w:r w:rsidR="00653B9D" w:rsidRPr="00A335CB">
        <w:rPr>
          <w:rFonts w:ascii="Arial" w:hAnsi="Arial" w:cs="Arial"/>
          <w:sz w:val="20"/>
          <w:szCs w:val="20"/>
        </w:rPr>
        <w:t>varnosti.</w:t>
      </w:r>
    </w:p>
    <w:p w14:paraId="11DF33E9" w14:textId="5B7FE1B9"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razporejanja na obrambne in druge dolžnosti</w:t>
      </w:r>
      <w:r w:rsidRPr="00A335CB">
        <w:rPr>
          <w:rFonts w:ascii="Arial" w:hAnsi="Arial" w:cs="Arial"/>
          <w:sz w:val="20"/>
          <w:szCs w:val="20"/>
        </w:rPr>
        <w:t xml:space="preserve"> ter obveščanja o razporejenosti posameznikov so bile opravljene vse načrtovane naloge ter izvedeni ukrepi za kompromisno rešitev nekaterih problemov, predvsem glede razporejanja zaposlenih v MNZ v pogodbeno rezervo Slovenske vojske. Ob koncu leta 2024 je bilo </w:t>
      </w:r>
      <w:r w:rsidR="00AC5C43">
        <w:rPr>
          <w:rFonts w:ascii="Arial" w:hAnsi="Arial" w:cs="Arial"/>
          <w:sz w:val="20"/>
          <w:szCs w:val="20"/>
        </w:rPr>
        <w:t>v skladu</w:t>
      </w:r>
      <w:r w:rsidR="00AC5C43" w:rsidRPr="00A335CB">
        <w:rPr>
          <w:rFonts w:ascii="Arial" w:hAnsi="Arial" w:cs="Arial"/>
          <w:sz w:val="20"/>
          <w:szCs w:val="20"/>
        </w:rPr>
        <w:t xml:space="preserve"> </w:t>
      </w:r>
      <w:r w:rsidRPr="00A335CB">
        <w:rPr>
          <w:rFonts w:ascii="Arial" w:hAnsi="Arial" w:cs="Arial"/>
          <w:sz w:val="20"/>
          <w:szCs w:val="20"/>
        </w:rPr>
        <w:t xml:space="preserve">z zakonodajo na delovno dolžnost razporejenih 8.069 (leta 2023 – 8.217 in leta 2022 – 8.484) uslužbencev MNZ, </w:t>
      </w:r>
      <w:r w:rsidR="00AC5C43">
        <w:rPr>
          <w:rFonts w:ascii="Arial" w:hAnsi="Arial" w:cs="Arial"/>
          <w:sz w:val="20"/>
          <w:szCs w:val="20"/>
        </w:rPr>
        <w:t>p</w:t>
      </w:r>
      <w:r w:rsidR="00AC5C43" w:rsidRPr="00A335CB">
        <w:rPr>
          <w:rFonts w:ascii="Arial" w:hAnsi="Arial" w:cs="Arial"/>
          <w:sz w:val="20"/>
          <w:szCs w:val="20"/>
        </w:rPr>
        <w:t xml:space="preserve">olicije </w:t>
      </w:r>
      <w:r w:rsidRPr="00A335CB">
        <w:rPr>
          <w:rFonts w:ascii="Arial" w:hAnsi="Arial" w:cs="Arial"/>
          <w:sz w:val="20"/>
          <w:szCs w:val="20"/>
        </w:rPr>
        <w:t xml:space="preserve">in IRSNZ, kar </w:t>
      </w:r>
      <w:r w:rsidR="00721952">
        <w:rPr>
          <w:rFonts w:ascii="Arial" w:hAnsi="Arial" w:cs="Arial"/>
          <w:sz w:val="20"/>
          <w:szCs w:val="20"/>
        </w:rPr>
        <w:t>je</w:t>
      </w:r>
      <w:r w:rsidR="00721952" w:rsidRPr="00A335CB">
        <w:rPr>
          <w:rFonts w:ascii="Arial" w:hAnsi="Arial" w:cs="Arial"/>
          <w:sz w:val="20"/>
          <w:szCs w:val="20"/>
        </w:rPr>
        <w:t xml:space="preserve"> </w:t>
      </w:r>
      <w:r w:rsidRPr="00A335CB">
        <w:rPr>
          <w:rFonts w:ascii="Arial" w:hAnsi="Arial" w:cs="Arial"/>
          <w:sz w:val="20"/>
          <w:szCs w:val="20"/>
        </w:rPr>
        <w:t>92,97</w:t>
      </w:r>
      <w:r w:rsidR="00AC5C43">
        <w:rPr>
          <w:rFonts w:ascii="Arial" w:hAnsi="Arial" w:cs="Arial"/>
          <w:sz w:val="20"/>
          <w:szCs w:val="20"/>
        </w:rPr>
        <w:t> </w:t>
      </w:r>
      <w:r w:rsidRPr="00A335CB">
        <w:rPr>
          <w:rFonts w:ascii="Arial" w:hAnsi="Arial" w:cs="Arial"/>
          <w:sz w:val="20"/>
          <w:szCs w:val="20"/>
        </w:rPr>
        <w:t>% (leta 2023 – 92,89</w:t>
      </w:r>
      <w:r w:rsidR="00E37E91" w:rsidRPr="00A335CB">
        <w:rPr>
          <w:rFonts w:ascii="Arial" w:hAnsi="Arial" w:cs="Arial"/>
          <w:sz w:val="20"/>
          <w:szCs w:val="20"/>
        </w:rPr>
        <w:t xml:space="preserve"> </w:t>
      </w:r>
      <w:r w:rsidRPr="00A335CB">
        <w:rPr>
          <w:rFonts w:ascii="Arial" w:hAnsi="Arial" w:cs="Arial"/>
          <w:sz w:val="20"/>
          <w:szCs w:val="20"/>
        </w:rPr>
        <w:t>% in 2022 – 93,46</w:t>
      </w:r>
      <w:r w:rsidR="00E37E91" w:rsidRPr="00A335CB">
        <w:rPr>
          <w:rFonts w:ascii="Arial" w:hAnsi="Arial" w:cs="Arial"/>
          <w:sz w:val="20"/>
          <w:szCs w:val="20"/>
        </w:rPr>
        <w:t xml:space="preserve"> %) vseh zaposlenih v MNZ</w:t>
      </w:r>
      <w:r w:rsidRPr="00A335CB">
        <w:rPr>
          <w:rFonts w:ascii="Arial" w:hAnsi="Arial" w:cs="Arial"/>
          <w:sz w:val="20"/>
          <w:szCs w:val="20"/>
        </w:rPr>
        <w:t xml:space="preserve"> in obeh organih v sestavi. Na delovno dolžnost se </w:t>
      </w:r>
      <w:r w:rsidR="00AC5C43">
        <w:rPr>
          <w:rFonts w:ascii="Arial" w:hAnsi="Arial" w:cs="Arial"/>
          <w:sz w:val="20"/>
          <w:szCs w:val="20"/>
        </w:rPr>
        <w:t>v skladu</w:t>
      </w:r>
      <w:r w:rsidR="00AC5C43" w:rsidRPr="00A335CB">
        <w:rPr>
          <w:rFonts w:ascii="Arial" w:hAnsi="Arial" w:cs="Arial"/>
          <w:sz w:val="20"/>
          <w:szCs w:val="20"/>
        </w:rPr>
        <w:t xml:space="preserve"> </w:t>
      </w:r>
      <w:r w:rsidRPr="00A335CB">
        <w:rPr>
          <w:rFonts w:ascii="Arial" w:hAnsi="Arial" w:cs="Arial"/>
          <w:sz w:val="20"/>
          <w:szCs w:val="20"/>
        </w:rPr>
        <w:t>z zakonodajo s področja obrambe ra</w:t>
      </w:r>
      <w:r w:rsidR="00E37E91" w:rsidRPr="00A335CB">
        <w:rPr>
          <w:rFonts w:ascii="Arial" w:hAnsi="Arial" w:cs="Arial"/>
          <w:sz w:val="20"/>
          <w:szCs w:val="20"/>
        </w:rPr>
        <w:t>zporejajo uslužbenci MNZ</w:t>
      </w:r>
      <w:r w:rsidRPr="00A335CB">
        <w:rPr>
          <w:rFonts w:ascii="Arial" w:hAnsi="Arial" w:cs="Arial"/>
          <w:sz w:val="20"/>
          <w:szCs w:val="20"/>
        </w:rPr>
        <w:t>, ki so stari od</w:t>
      </w:r>
      <w:r w:rsidR="00E37E91" w:rsidRPr="00A335CB">
        <w:rPr>
          <w:rFonts w:ascii="Arial" w:hAnsi="Arial" w:cs="Arial"/>
          <w:sz w:val="20"/>
          <w:szCs w:val="20"/>
        </w:rPr>
        <w:t xml:space="preserve"> 18 do 63 let (moški) oziroma do 55 let</w:t>
      </w:r>
      <w:r w:rsidRPr="00A335CB">
        <w:rPr>
          <w:rFonts w:ascii="Arial" w:hAnsi="Arial" w:cs="Arial"/>
          <w:sz w:val="20"/>
          <w:szCs w:val="20"/>
        </w:rPr>
        <w:t xml:space="preserve"> (ženske) in so zdravstveno sposobni za delo. V MNZ je bilo leta 2024 zaposlenih 128 uslužbencev (20,13</w:t>
      </w:r>
      <w:r w:rsidR="00AC5C43">
        <w:rPr>
          <w:rFonts w:ascii="Arial" w:hAnsi="Arial" w:cs="Arial"/>
          <w:sz w:val="20"/>
          <w:szCs w:val="20"/>
        </w:rPr>
        <w:t> </w:t>
      </w:r>
      <w:r w:rsidRPr="00A335CB">
        <w:rPr>
          <w:rFonts w:ascii="Arial" w:hAnsi="Arial" w:cs="Arial"/>
          <w:sz w:val="20"/>
          <w:szCs w:val="20"/>
        </w:rPr>
        <w:t xml:space="preserve">%), v </w:t>
      </w:r>
      <w:r w:rsidR="00AC5C43">
        <w:rPr>
          <w:rFonts w:ascii="Arial" w:hAnsi="Arial" w:cs="Arial"/>
          <w:sz w:val="20"/>
          <w:szCs w:val="20"/>
        </w:rPr>
        <w:t>p</w:t>
      </w:r>
      <w:r w:rsidR="00AC5C43" w:rsidRPr="00A335CB">
        <w:rPr>
          <w:rFonts w:ascii="Arial" w:hAnsi="Arial" w:cs="Arial"/>
          <w:sz w:val="20"/>
          <w:szCs w:val="20"/>
        </w:rPr>
        <w:t xml:space="preserve">oliciji </w:t>
      </w:r>
      <w:r w:rsidRPr="00A335CB">
        <w:rPr>
          <w:rFonts w:ascii="Arial" w:hAnsi="Arial" w:cs="Arial"/>
          <w:sz w:val="20"/>
          <w:szCs w:val="20"/>
        </w:rPr>
        <w:t>362 uslužbencev (4,51</w:t>
      </w:r>
      <w:r w:rsidR="00AC5C43">
        <w:rPr>
          <w:rFonts w:ascii="Arial" w:hAnsi="Arial" w:cs="Arial"/>
          <w:sz w:val="20"/>
          <w:szCs w:val="20"/>
        </w:rPr>
        <w:t> </w:t>
      </w:r>
      <w:r w:rsidRPr="00A335CB">
        <w:rPr>
          <w:rFonts w:ascii="Arial" w:hAnsi="Arial" w:cs="Arial"/>
          <w:sz w:val="20"/>
          <w:szCs w:val="20"/>
        </w:rPr>
        <w:t xml:space="preserve">%) in v IRSNZ </w:t>
      </w:r>
      <w:r w:rsidR="00AC5C43">
        <w:rPr>
          <w:rFonts w:ascii="Arial" w:hAnsi="Arial" w:cs="Arial"/>
          <w:sz w:val="20"/>
          <w:szCs w:val="20"/>
        </w:rPr>
        <w:t>trije</w:t>
      </w:r>
      <w:r w:rsidR="00AC5C43" w:rsidRPr="00A335CB">
        <w:rPr>
          <w:rFonts w:ascii="Arial" w:hAnsi="Arial" w:cs="Arial"/>
          <w:sz w:val="20"/>
          <w:szCs w:val="20"/>
        </w:rPr>
        <w:t xml:space="preserve">  </w:t>
      </w:r>
      <w:r w:rsidRPr="00A335CB">
        <w:rPr>
          <w:rFonts w:ascii="Arial" w:hAnsi="Arial" w:cs="Arial"/>
          <w:sz w:val="20"/>
          <w:szCs w:val="20"/>
        </w:rPr>
        <w:t>uslužbenci (15</w:t>
      </w:r>
      <w:r w:rsidR="00E37E91" w:rsidRPr="00A335CB">
        <w:rPr>
          <w:rFonts w:ascii="Arial" w:hAnsi="Arial" w:cs="Arial"/>
          <w:sz w:val="20"/>
          <w:szCs w:val="20"/>
        </w:rPr>
        <w:t xml:space="preserve"> </w:t>
      </w:r>
      <w:r w:rsidRPr="00A335CB">
        <w:rPr>
          <w:rFonts w:ascii="Arial" w:hAnsi="Arial" w:cs="Arial"/>
          <w:sz w:val="20"/>
          <w:szCs w:val="20"/>
        </w:rPr>
        <w:t xml:space="preserve">%), ki zaradi starostnih </w:t>
      </w:r>
      <w:r w:rsidR="00E36597">
        <w:rPr>
          <w:rFonts w:ascii="Arial" w:hAnsi="Arial" w:cs="Arial"/>
          <w:sz w:val="20"/>
          <w:szCs w:val="20"/>
        </w:rPr>
        <w:t>meril</w:t>
      </w:r>
      <w:r w:rsidR="00E36597" w:rsidRPr="00A335CB">
        <w:rPr>
          <w:rFonts w:ascii="Arial" w:hAnsi="Arial" w:cs="Arial"/>
          <w:sz w:val="20"/>
          <w:szCs w:val="20"/>
        </w:rPr>
        <w:t xml:space="preserve"> </w:t>
      </w:r>
      <w:r w:rsidRPr="00A335CB">
        <w:rPr>
          <w:rFonts w:ascii="Arial" w:hAnsi="Arial" w:cs="Arial"/>
          <w:sz w:val="20"/>
          <w:szCs w:val="20"/>
        </w:rPr>
        <w:t>niso bili več razporejeni na delovno dolžnost.</w:t>
      </w:r>
    </w:p>
    <w:p w14:paraId="3AD72A24" w14:textId="77777777" w:rsidR="00653B9D" w:rsidRPr="00A335CB" w:rsidRDefault="00653B9D" w:rsidP="005D1A90">
      <w:pPr>
        <w:spacing w:after="0" w:line="276" w:lineRule="auto"/>
        <w:jc w:val="both"/>
        <w:rPr>
          <w:rFonts w:ascii="Arial" w:hAnsi="Arial" w:cs="Arial"/>
          <w:sz w:val="20"/>
          <w:szCs w:val="20"/>
        </w:rPr>
      </w:pPr>
    </w:p>
    <w:p w14:paraId="6B787F4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Nadaljevalo se je delo na </w:t>
      </w:r>
      <w:r w:rsidRPr="00A335CB">
        <w:rPr>
          <w:rFonts w:ascii="Arial" w:hAnsi="Arial" w:cs="Arial"/>
          <w:b/>
          <w:sz w:val="20"/>
          <w:szCs w:val="20"/>
        </w:rPr>
        <w:t>področju vojnih veteranov</w:t>
      </w:r>
      <w:r w:rsidRPr="00A335CB">
        <w:rPr>
          <w:rFonts w:ascii="Arial" w:hAnsi="Arial" w:cs="Arial"/>
          <w:sz w:val="20"/>
          <w:szCs w:val="20"/>
        </w:rPr>
        <w:t xml:space="preserve"> – obravnavani so bili zahtevki za izdajo potrdil in mnenj o opravljanju dolžnosti pri obrambi Republike Slovenije v letih 1990 in 1991. Zahtevkov in mnenj je bilo nekoliko manj kot v preteklih letih.</w:t>
      </w:r>
    </w:p>
    <w:p w14:paraId="08B74BE4" w14:textId="77777777" w:rsidR="00653B9D" w:rsidRPr="00A335CB" w:rsidRDefault="00653B9D" w:rsidP="005D1A90">
      <w:pPr>
        <w:spacing w:after="0" w:line="276" w:lineRule="auto"/>
        <w:jc w:val="both"/>
        <w:rPr>
          <w:rFonts w:ascii="Arial" w:hAnsi="Arial" w:cs="Arial"/>
          <w:sz w:val="20"/>
          <w:szCs w:val="20"/>
        </w:rPr>
      </w:pPr>
    </w:p>
    <w:p w14:paraId="116173BB" w14:textId="7F502624" w:rsidR="00653B9D" w:rsidRDefault="00653B9D" w:rsidP="00E77F16">
      <w:pPr>
        <w:spacing w:after="0" w:line="276" w:lineRule="auto"/>
        <w:jc w:val="both"/>
        <w:rPr>
          <w:rFonts w:ascii="Arial" w:hAnsi="Arial" w:cs="Arial"/>
          <w:sz w:val="20"/>
          <w:szCs w:val="20"/>
        </w:rPr>
      </w:pPr>
      <w:r w:rsidRPr="00A335CB">
        <w:rPr>
          <w:rFonts w:ascii="Arial" w:hAnsi="Arial" w:cs="Arial"/>
          <w:sz w:val="20"/>
          <w:szCs w:val="20"/>
        </w:rPr>
        <w:t xml:space="preserve">V letu 2024 je neprekinjeno potekalo tudi delo v </w:t>
      </w:r>
      <w:r w:rsidRPr="00A335CB">
        <w:rPr>
          <w:rFonts w:ascii="Arial" w:hAnsi="Arial" w:cs="Arial"/>
          <w:b/>
          <w:sz w:val="20"/>
          <w:szCs w:val="20"/>
        </w:rPr>
        <w:t>Komisiji za nadzor izvoza blaga za dvojno rabo</w:t>
      </w:r>
      <w:r w:rsidRPr="00A335CB">
        <w:rPr>
          <w:rFonts w:ascii="Arial" w:hAnsi="Arial" w:cs="Arial"/>
          <w:sz w:val="20"/>
          <w:szCs w:val="20"/>
        </w:rPr>
        <w:t>, kjer je bilo število zahtevkov manjše kot preteklo leto, kar lahko pripisujemo razširitvi mednarodnih sankcij in zaostrovanju različnih mednarodnih omejevalnih ukrepov.</w:t>
      </w:r>
    </w:p>
    <w:p w14:paraId="40D43740" w14:textId="77777777" w:rsidR="002D3FF4" w:rsidRPr="00A335CB" w:rsidRDefault="002D3FF4" w:rsidP="00E77F16">
      <w:pPr>
        <w:spacing w:after="0" w:line="276" w:lineRule="auto"/>
        <w:jc w:val="both"/>
        <w:rPr>
          <w:rFonts w:ascii="Arial" w:hAnsi="Arial" w:cs="Arial"/>
          <w:sz w:val="20"/>
          <w:szCs w:val="20"/>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
        <w:gridCol w:w="3921"/>
        <w:gridCol w:w="807"/>
        <w:gridCol w:w="807"/>
        <w:gridCol w:w="807"/>
        <w:gridCol w:w="807"/>
        <w:gridCol w:w="814"/>
        <w:gridCol w:w="753"/>
      </w:tblGrid>
      <w:tr w:rsidR="00BD47E0" w:rsidRPr="00A335CB" w14:paraId="5886CA6C" w14:textId="77777777" w:rsidTr="00653B9D">
        <w:trPr>
          <w:trHeight w:val="391"/>
          <w:jc w:val="center"/>
        </w:trPr>
        <w:tc>
          <w:tcPr>
            <w:tcW w:w="4267" w:type="dxa"/>
            <w:gridSpan w:val="2"/>
            <w:shd w:val="clear" w:color="000000" w:fill="E6E6E6"/>
            <w:vAlign w:val="center"/>
            <w:hideMark/>
          </w:tcPr>
          <w:p w14:paraId="62A19995" w14:textId="77777777" w:rsidR="00653B9D" w:rsidRPr="00A335CB" w:rsidRDefault="00653B9D" w:rsidP="005D1A90">
            <w:pPr>
              <w:spacing w:after="0" w:line="276" w:lineRule="auto"/>
              <w:rPr>
                <w:rFonts w:ascii="Arial" w:eastAsia="Times New Roman" w:hAnsi="Arial" w:cs="Arial"/>
                <w:b/>
                <w:sz w:val="20"/>
                <w:szCs w:val="20"/>
                <w:lang w:eastAsia="sl-SI"/>
              </w:rPr>
            </w:pPr>
            <w:r w:rsidRPr="00A335CB">
              <w:rPr>
                <w:rFonts w:ascii="Arial" w:eastAsia="Times New Roman" w:hAnsi="Arial" w:cs="Arial"/>
                <w:b/>
                <w:sz w:val="20"/>
                <w:szCs w:val="20"/>
                <w:lang w:eastAsia="sl-SI"/>
              </w:rPr>
              <w:t xml:space="preserve">Vrsta postopka  </w:t>
            </w:r>
          </w:p>
        </w:tc>
        <w:tc>
          <w:tcPr>
            <w:tcW w:w="807" w:type="dxa"/>
            <w:shd w:val="clear" w:color="000000" w:fill="E6E6E6"/>
            <w:vAlign w:val="center"/>
            <w:hideMark/>
          </w:tcPr>
          <w:p w14:paraId="6C8DE25C"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2019</w:t>
            </w:r>
          </w:p>
        </w:tc>
        <w:tc>
          <w:tcPr>
            <w:tcW w:w="807" w:type="dxa"/>
            <w:shd w:val="clear" w:color="000000" w:fill="E6E6E6"/>
            <w:vAlign w:val="center"/>
            <w:hideMark/>
          </w:tcPr>
          <w:p w14:paraId="1A31DF95"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2020</w:t>
            </w:r>
          </w:p>
        </w:tc>
        <w:tc>
          <w:tcPr>
            <w:tcW w:w="807" w:type="dxa"/>
            <w:shd w:val="clear" w:color="000000" w:fill="E6E6E6"/>
            <w:vAlign w:val="center"/>
            <w:hideMark/>
          </w:tcPr>
          <w:p w14:paraId="065B09DC"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2021</w:t>
            </w:r>
          </w:p>
        </w:tc>
        <w:tc>
          <w:tcPr>
            <w:tcW w:w="807" w:type="dxa"/>
            <w:shd w:val="clear" w:color="000000" w:fill="E6E6E6"/>
            <w:vAlign w:val="center"/>
          </w:tcPr>
          <w:p w14:paraId="6D95EF45"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2022</w:t>
            </w:r>
          </w:p>
        </w:tc>
        <w:tc>
          <w:tcPr>
            <w:tcW w:w="814" w:type="dxa"/>
            <w:shd w:val="clear" w:color="000000" w:fill="E6E6E6"/>
            <w:vAlign w:val="center"/>
          </w:tcPr>
          <w:p w14:paraId="2C092CAB"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2023</w:t>
            </w:r>
          </w:p>
        </w:tc>
        <w:tc>
          <w:tcPr>
            <w:tcW w:w="753" w:type="dxa"/>
            <w:shd w:val="clear" w:color="000000" w:fill="E6E6E6"/>
            <w:vAlign w:val="center"/>
          </w:tcPr>
          <w:p w14:paraId="770366AC"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2024</w:t>
            </w:r>
          </w:p>
        </w:tc>
      </w:tr>
      <w:tr w:rsidR="00BD47E0" w:rsidRPr="00A335CB" w14:paraId="164C4FFD" w14:textId="77777777" w:rsidTr="00653B9D">
        <w:trPr>
          <w:trHeight w:val="257"/>
          <w:jc w:val="center"/>
        </w:trPr>
        <w:tc>
          <w:tcPr>
            <w:tcW w:w="346" w:type="dxa"/>
            <w:vMerge w:val="restart"/>
            <w:shd w:val="clear" w:color="auto" w:fill="auto"/>
            <w:hideMark/>
          </w:tcPr>
          <w:p w14:paraId="4610677A" w14:textId="77777777" w:rsidR="00653B9D" w:rsidRPr="00A335CB" w:rsidRDefault="00653B9D" w:rsidP="005D1A90">
            <w:pPr>
              <w:spacing w:before="40"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c>
          <w:tcPr>
            <w:tcW w:w="3921" w:type="dxa"/>
            <w:shd w:val="clear" w:color="auto" w:fill="auto"/>
            <w:vAlign w:val="center"/>
            <w:hideMark/>
          </w:tcPr>
          <w:p w14:paraId="7E5E8FC7" w14:textId="77777777" w:rsidR="00653B9D" w:rsidRPr="00A335CB" w:rsidRDefault="00653B9D" w:rsidP="005D1A90">
            <w:pPr>
              <w:spacing w:after="0" w:line="276" w:lineRule="auto"/>
              <w:rPr>
                <w:rFonts w:ascii="Arial" w:eastAsia="Times New Roman" w:hAnsi="Arial" w:cs="Arial"/>
                <w:bCs/>
                <w:sz w:val="20"/>
                <w:szCs w:val="20"/>
                <w:lang w:eastAsia="sl-SI"/>
              </w:rPr>
            </w:pPr>
            <w:r w:rsidRPr="00A335CB">
              <w:rPr>
                <w:rFonts w:ascii="Arial" w:eastAsia="Times New Roman" w:hAnsi="Arial" w:cs="Arial"/>
                <w:bCs/>
                <w:sz w:val="20"/>
                <w:szCs w:val="20"/>
                <w:lang w:eastAsia="sl-SI"/>
              </w:rPr>
              <w:t>Razporejanje na delovno dolžnost</w:t>
            </w:r>
          </w:p>
        </w:tc>
        <w:tc>
          <w:tcPr>
            <w:tcW w:w="807" w:type="dxa"/>
            <w:shd w:val="clear" w:color="000000" w:fill="E7E6E6"/>
            <w:vAlign w:val="center"/>
            <w:hideMark/>
          </w:tcPr>
          <w:p w14:paraId="0CBECB0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718</w:t>
            </w:r>
          </w:p>
        </w:tc>
        <w:tc>
          <w:tcPr>
            <w:tcW w:w="807" w:type="dxa"/>
            <w:shd w:val="clear" w:color="000000" w:fill="E7E6E6"/>
            <w:vAlign w:val="center"/>
            <w:hideMark/>
          </w:tcPr>
          <w:p w14:paraId="0E802151"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757</w:t>
            </w:r>
          </w:p>
        </w:tc>
        <w:tc>
          <w:tcPr>
            <w:tcW w:w="807" w:type="dxa"/>
            <w:shd w:val="clear" w:color="000000" w:fill="E7E6E6"/>
            <w:vAlign w:val="center"/>
          </w:tcPr>
          <w:p w14:paraId="648ADC5E"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863</w:t>
            </w:r>
          </w:p>
        </w:tc>
        <w:tc>
          <w:tcPr>
            <w:tcW w:w="807" w:type="dxa"/>
            <w:shd w:val="clear" w:color="000000" w:fill="E7E6E6"/>
            <w:vAlign w:val="center"/>
          </w:tcPr>
          <w:p w14:paraId="3E34E7FA"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864</w:t>
            </w:r>
          </w:p>
        </w:tc>
        <w:tc>
          <w:tcPr>
            <w:tcW w:w="814" w:type="dxa"/>
            <w:shd w:val="clear" w:color="000000" w:fill="E7E6E6"/>
            <w:vAlign w:val="center"/>
          </w:tcPr>
          <w:p w14:paraId="0EB435E5"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1.085</w:t>
            </w:r>
          </w:p>
        </w:tc>
        <w:tc>
          <w:tcPr>
            <w:tcW w:w="753" w:type="dxa"/>
            <w:shd w:val="clear" w:color="000000" w:fill="E7E6E6"/>
            <w:vAlign w:val="center"/>
          </w:tcPr>
          <w:p w14:paraId="32843E07"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1.072</w:t>
            </w:r>
          </w:p>
        </w:tc>
      </w:tr>
      <w:tr w:rsidR="00BD47E0" w:rsidRPr="00A335CB" w14:paraId="7BA48C20" w14:textId="77777777" w:rsidTr="00653B9D">
        <w:trPr>
          <w:trHeight w:val="257"/>
          <w:jc w:val="center"/>
        </w:trPr>
        <w:tc>
          <w:tcPr>
            <w:tcW w:w="346" w:type="dxa"/>
            <w:vMerge/>
            <w:shd w:val="clear" w:color="auto" w:fill="auto"/>
            <w:hideMark/>
          </w:tcPr>
          <w:p w14:paraId="08A54E4B" w14:textId="77777777" w:rsidR="00653B9D" w:rsidRPr="00A335CB" w:rsidRDefault="00653B9D" w:rsidP="005D1A90">
            <w:pPr>
              <w:spacing w:before="40" w:after="0" w:line="276" w:lineRule="auto"/>
              <w:rPr>
                <w:rFonts w:ascii="Arial" w:eastAsia="Times New Roman" w:hAnsi="Arial" w:cs="Arial"/>
                <w:sz w:val="20"/>
                <w:szCs w:val="20"/>
                <w:lang w:eastAsia="sl-SI"/>
              </w:rPr>
            </w:pPr>
          </w:p>
        </w:tc>
        <w:tc>
          <w:tcPr>
            <w:tcW w:w="3921" w:type="dxa"/>
            <w:shd w:val="clear" w:color="auto" w:fill="auto"/>
            <w:vAlign w:val="center"/>
            <w:hideMark/>
          </w:tcPr>
          <w:p w14:paraId="48B93B42" w14:textId="54035F7B" w:rsidR="00653B9D" w:rsidRPr="00A335CB" w:rsidRDefault="00AC5C43"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podani predlogi za razporeditev JU</w:t>
            </w:r>
          </w:p>
        </w:tc>
        <w:tc>
          <w:tcPr>
            <w:tcW w:w="807" w:type="dxa"/>
            <w:shd w:val="clear" w:color="auto" w:fill="auto"/>
            <w:vAlign w:val="center"/>
            <w:hideMark/>
          </w:tcPr>
          <w:p w14:paraId="05232CA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353</w:t>
            </w:r>
          </w:p>
        </w:tc>
        <w:tc>
          <w:tcPr>
            <w:tcW w:w="807" w:type="dxa"/>
            <w:shd w:val="clear" w:color="auto" w:fill="auto"/>
            <w:vAlign w:val="center"/>
            <w:hideMark/>
          </w:tcPr>
          <w:p w14:paraId="31755FDC"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346</w:t>
            </w:r>
          </w:p>
        </w:tc>
        <w:tc>
          <w:tcPr>
            <w:tcW w:w="807" w:type="dxa"/>
            <w:vAlign w:val="center"/>
          </w:tcPr>
          <w:p w14:paraId="7EEB3630"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446</w:t>
            </w:r>
          </w:p>
        </w:tc>
        <w:tc>
          <w:tcPr>
            <w:tcW w:w="807" w:type="dxa"/>
            <w:shd w:val="clear" w:color="auto" w:fill="auto"/>
            <w:vAlign w:val="center"/>
          </w:tcPr>
          <w:p w14:paraId="208AC347"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358</w:t>
            </w:r>
          </w:p>
        </w:tc>
        <w:tc>
          <w:tcPr>
            <w:tcW w:w="814" w:type="dxa"/>
            <w:vAlign w:val="center"/>
          </w:tcPr>
          <w:p w14:paraId="06724DBE"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374</w:t>
            </w:r>
          </w:p>
        </w:tc>
        <w:tc>
          <w:tcPr>
            <w:tcW w:w="753" w:type="dxa"/>
            <w:vAlign w:val="center"/>
          </w:tcPr>
          <w:p w14:paraId="6A1D286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395</w:t>
            </w:r>
          </w:p>
        </w:tc>
      </w:tr>
      <w:tr w:rsidR="00BD47E0" w:rsidRPr="00A335CB" w14:paraId="52592A78" w14:textId="77777777" w:rsidTr="00653B9D">
        <w:trPr>
          <w:trHeight w:val="257"/>
          <w:jc w:val="center"/>
        </w:trPr>
        <w:tc>
          <w:tcPr>
            <w:tcW w:w="346" w:type="dxa"/>
            <w:vMerge/>
            <w:shd w:val="clear" w:color="auto" w:fill="auto"/>
            <w:hideMark/>
          </w:tcPr>
          <w:p w14:paraId="72A0A01B" w14:textId="77777777" w:rsidR="00653B9D" w:rsidRPr="00A335CB" w:rsidRDefault="00653B9D" w:rsidP="005D1A90">
            <w:pPr>
              <w:spacing w:before="40" w:after="0" w:line="276" w:lineRule="auto"/>
              <w:rPr>
                <w:rFonts w:ascii="Arial" w:eastAsia="Times New Roman" w:hAnsi="Arial" w:cs="Arial"/>
                <w:sz w:val="20"/>
                <w:szCs w:val="20"/>
                <w:lang w:eastAsia="sl-SI"/>
              </w:rPr>
            </w:pPr>
          </w:p>
        </w:tc>
        <w:tc>
          <w:tcPr>
            <w:tcW w:w="3921" w:type="dxa"/>
            <w:shd w:val="clear" w:color="auto" w:fill="auto"/>
            <w:vAlign w:val="center"/>
            <w:hideMark/>
          </w:tcPr>
          <w:p w14:paraId="172B2F03" w14:textId="2072D364" w:rsidR="00653B9D" w:rsidRPr="00A335CB" w:rsidRDefault="00AC5C43"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podani predlogi za ukinitev razporeditve JU</w:t>
            </w:r>
          </w:p>
        </w:tc>
        <w:tc>
          <w:tcPr>
            <w:tcW w:w="807" w:type="dxa"/>
            <w:shd w:val="clear" w:color="auto" w:fill="auto"/>
            <w:vAlign w:val="center"/>
            <w:hideMark/>
          </w:tcPr>
          <w:p w14:paraId="6EB73BA9"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365</w:t>
            </w:r>
          </w:p>
        </w:tc>
        <w:tc>
          <w:tcPr>
            <w:tcW w:w="807" w:type="dxa"/>
            <w:shd w:val="clear" w:color="auto" w:fill="auto"/>
            <w:vAlign w:val="center"/>
            <w:hideMark/>
          </w:tcPr>
          <w:p w14:paraId="0678BDB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411</w:t>
            </w:r>
          </w:p>
        </w:tc>
        <w:tc>
          <w:tcPr>
            <w:tcW w:w="807" w:type="dxa"/>
            <w:vAlign w:val="center"/>
          </w:tcPr>
          <w:p w14:paraId="611361CF"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417</w:t>
            </w:r>
          </w:p>
        </w:tc>
        <w:tc>
          <w:tcPr>
            <w:tcW w:w="807" w:type="dxa"/>
            <w:shd w:val="clear" w:color="auto" w:fill="auto"/>
            <w:vAlign w:val="center"/>
          </w:tcPr>
          <w:p w14:paraId="3F9C28DA"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506</w:t>
            </w:r>
          </w:p>
        </w:tc>
        <w:tc>
          <w:tcPr>
            <w:tcW w:w="814" w:type="dxa"/>
            <w:vAlign w:val="center"/>
          </w:tcPr>
          <w:p w14:paraId="64D80730"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711</w:t>
            </w:r>
          </w:p>
        </w:tc>
        <w:tc>
          <w:tcPr>
            <w:tcW w:w="753" w:type="dxa"/>
            <w:vAlign w:val="center"/>
          </w:tcPr>
          <w:p w14:paraId="4E98AE07"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677</w:t>
            </w:r>
          </w:p>
        </w:tc>
      </w:tr>
      <w:tr w:rsidR="00BD47E0" w:rsidRPr="00A335CB" w14:paraId="6451AA8B" w14:textId="77777777" w:rsidTr="00653B9D">
        <w:trPr>
          <w:trHeight w:val="257"/>
          <w:jc w:val="center"/>
        </w:trPr>
        <w:tc>
          <w:tcPr>
            <w:tcW w:w="346" w:type="dxa"/>
            <w:vMerge/>
            <w:shd w:val="clear" w:color="auto" w:fill="auto"/>
          </w:tcPr>
          <w:p w14:paraId="41BF14F6" w14:textId="77777777" w:rsidR="00653B9D" w:rsidRPr="00A335CB" w:rsidRDefault="00653B9D" w:rsidP="005D1A90">
            <w:pPr>
              <w:spacing w:before="40" w:after="0" w:line="276" w:lineRule="auto"/>
              <w:rPr>
                <w:rFonts w:ascii="Arial" w:eastAsia="Times New Roman" w:hAnsi="Arial" w:cs="Arial"/>
                <w:sz w:val="20"/>
                <w:szCs w:val="20"/>
                <w:lang w:eastAsia="sl-SI"/>
              </w:rPr>
            </w:pPr>
          </w:p>
        </w:tc>
        <w:tc>
          <w:tcPr>
            <w:tcW w:w="3921" w:type="dxa"/>
            <w:shd w:val="clear" w:color="auto" w:fill="auto"/>
            <w:vAlign w:val="center"/>
          </w:tcPr>
          <w:p w14:paraId="5A93F343" w14:textId="702477C5" w:rsidR="00653B9D" w:rsidRPr="00A335CB" w:rsidRDefault="00AC5C43"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izdana obvestila o razporeditvi na delovno dolžnost</w:t>
            </w:r>
          </w:p>
        </w:tc>
        <w:tc>
          <w:tcPr>
            <w:tcW w:w="807" w:type="dxa"/>
            <w:shd w:val="clear" w:color="auto" w:fill="auto"/>
            <w:vAlign w:val="center"/>
          </w:tcPr>
          <w:p w14:paraId="78E83FA2" w14:textId="77777777" w:rsidR="00653B9D" w:rsidRPr="00A335CB" w:rsidRDefault="00653B9D" w:rsidP="005D1A90">
            <w:pPr>
              <w:spacing w:after="0" w:line="276" w:lineRule="auto"/>
              <w:jc w:val="center"/>
              <w:rPr>
                <w:rFonts w:ascii="Arial" w:eastAsia="Times New Roman" w:hAnsi="Arial" w:cs="Arial"/>
                <w:sz w:val="20"/>
                <w:szCs w:val="20"/>
                <w:lang w:eastAsia="sl-SI"/>
              </w:rPr>
            </w:pPr>
          </w:p>
        </w:tc>
        <w:tc>
          <w:tcPr>
            <w:tcW w:w="807" w:type="dxa"/>
            <w:shd w:val="clear" w:color="auto" w:fill="auto"/>
            <w:vAlign w:val="center"/>
          </w:tcPr>
          <w:p w14:paraId="00DE1215" w14:textId="77777777" w:rsidR="00653B9D" w:rsidRPr="00A335CB" w:rsidRDefault="00653B9D" w:rsidP="005D1A90">
            <w:pPr>
              <w:spacing w:after="0" w:line="276" w:lineRule="auto"/>
              <w:jc w:val="center"/>
              <w:rPr>
                <w:rFonts w:ascii="Arial" w:eastAsia="Times New Roman" w:hAnsi="Arial" w:cs="Arial"/>
                <w:sz w:val="20"/>
                <w:szCs w:val="20"/>
                <w:lang w:eastAsia="sl-SI"/>
              </w:rPr>
            </w:pPr>
          </w:p>
        </w:tc>
        <w:tc>
          <w:tcPr>
            <w:tcW w:w="807" w:type="dxa"/>
            <w:vAlign w:val="center"/>
          </w:tcPr>
          <w:p w14:paraId="62685637" w14:textId="77777777" w:rsidR="00653B9D" w:rsidRPr="00A335CB" w:rsidRDefault="00653B9D" w:rsidP="005D1A90">
            <w:pPr>
              <w:spacing w:after="0" w:line="276" w:lineRule="auto"/>
              <w:jc w:val="center"/>
              <w:rPr>
                <w:rFonts w:ascii="Arial" w:eastAsia="Times New Roman" w:hAnsi="Arial" w:cs="Arial"/>
                <w:sz w:val="20"/>
                <w:szCs w:val="20"/>
                <w:lang w:eastAsia="sl-SI"/>
              </w:rPr>
            </w:pPr>
          </w:p>
        </w:tc>
        <w:tc>
          <w:tcPr>
            <w:tcW w:w="807" w:type="dxa"/>
            <w:shd w:val="clear" w:color="auto" w:fill="auto"/>
            <w:vAlign w:val="center"/>
          </w:tcPr>
          <w:p w14:paraId="57C06AB9" w14:textId="77777777" w:rsidR="00653B9D" w:rsidRPr="00A335CB" w:rsidRDefault="00653B9D" w:rsidP="005D1A90">
            <w:pPr>
              <w:spacing w:after="0" w:line="276" w:lineRule="auto"/>
              <w:jc w:val="center"/>
              <w:rPr>
                <w:rFonts w:ascii="Arial" w:eastAsia="Times New Roman" w:hAnsi="Arial" w:cs="Arial"/>
                <w:sz w:val="20"/>
                <w:szCs w:val="20"/>
                <w:lang w:eastAsia="sl-SI"/>
              </w:rPr>
            </w:pPr>
          </w:p>
        </w:tc>
        <w:tc>
          <w:tcPr>
            <w:tcW w:w="814" w:type="dxa"/>
            <w:vAlign w:val="center"/>
          </w:tcPr>
          <w:p w14:paraId="0BCB3259"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537</w:t>
            </w:r>
          </w:p>
        </w:tc>
        <w:tc>
          <w:tcPr>
            <w:tcW w:w="753" w:type="dxa"/>
            <w:vAlign w:val="center"/>
          </w:tcPr>
          <w:p w14:paraId="0D572C78"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861</w:t>
            </w:r>
          </w:p>
        </w:tc>
      </w:tr>
      <w:tr w:rsidR="00BD47E0" w:rsidRPr="00A335CB" w14:paraId="55D4F523" w14:textId="77777777" w:rsidTr="00653B9D">
        <w:trPr>
          <w:trHeight w:val="515"/>
          <w:jc w:val="center"/>
        </w:trPr>
        <w:tc>
          <w:tcPr>
            <w:tcW w:w="346" w:type="dxa"/>
            <w:shd w:val="clear" w:color="auto" w:fill="auto"/>
            <w:hideMark/>
          </w:tcPr>
          <w:p w14:paraId="2C08841E" w14:textId="77777777" w:rsidR="00653B9D" w:rsidRPr="00A335CB" w:rsidRDefault="00653B9D" w:rsidP="005D1A90">
            <w:pPr>
              <w:spacing w:before="40"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2.</w:t>
            </w:r>
          </w:p>
        </w:tc>
        <w:tc>
          <w:tcPr>
            <w:tcW w:w="3921" w:type="dxa"/>
            <w:shd w:val="clear" w:color="auto" w:fill="auto"/>
            <w:vAlign w:val="center"/>
            <w:hideMark/>
          </w:tcPr>
          <w:p w14:paraId="5DC142C5" w14:textId="77777777" w:rsidR="00653B9D" w:rsidRPr="00A335CB" w:rsidRDefault="00653B9D" w:rsidP="005D1A90">
            <w:pPr>
              <w:spacing w:after="0" w:line="276" w:lineRule="auto"/>
              <w:rPr>
                <w:rFonts w:ascii="Arial" w:eastAsia="Times New Roman" w:hAnsi="Arial" w:cs="Arial"/>
                <w:bCs/>
                <w:sz w:val="20"/>
                <w:szCs w:val="20"/>
                <w:lang w:eastAsia="sl-SI"/>
              </w:rPr>
            </w:pPr>
            <w:r w:rsidRPr="00A335CB">
              <w:rPr>
                <w:rFonts w:ascii="Arial" w:eastAsia="Times New Roman" w:hAnsi="Arial" w:cs="Arial"/>
                <w:bCs/>
                <w:sz w:val="20"/>
                <w:szCs w:val="20"/>
                <w:lang w:eastAsia="sl-SI"/>
              </w:rPr>
              <w:t>Obravnava zahtevkov za izdajo potrdil in mnenj o opravljanju dolžnosti pri obrambi RS leta 1990/91</w:t>
            </w:r>
          </w:p>
        </w:tc>
        <w:tc>
          <w:tcPr>
            <w:tcW w:w="807" w:type="dxa"/>
            <w:shd w:val="clear" w:color="000000" w:fill="E7E6E6"/>
            <w:vAlign w:val="center"/>
            <w:hideMark/>
          </w:tcPr>
          <w:p w14:paraId="5A2B7188"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37</w:t>
            </w:r>
          </w:p>
        </w:tc>
        <w:tc>
          <w:tcPr>
            <w:tcW w:w="807" w:type="dxa"/>
            <w:shd w:val="clear" w:color="000000" w:fill="E7E6E6"/>
            <w:vAlign w:val="center"/>
            <w:hideMark/>
          </w:tcPr>
          <w:p w14:paraId="4FAF52CF"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67</w:t>
            </w:r>
          </w:p>
        </w:tc>
        <w:tc>
          <w:tcPr>
            <w:tcW w:w="807" w:type="dxa"/>
            <w:shd w:val="clear" w:color="000000" w:fill="E7E6E6"/>
            <w:vAlign w:val="center"/>
          </w:tcPr>
          <w:p w14:paraId="1408B854"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170</w:t>
            </w:r>
          </w:p>
        </w:tc>
        <w:tc>
          <w:tcPr>
            <w:tcW w:w="807" w:type="dxa"/>
            <w:shd w:val="clear" w:color="000000" w:fill="E7E6E6"/>
            <w:vAlign w:val="center"/>
          </w:tcPr>
          <w:p w14:paraId="2D941BEC"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55</w:t>
            </w:r>
          </w:p>
        </w:tc>
        <w:tc>
          <w:tcPr>
            <w:tcW w:w="814" w:type="dxa"/>
            <w:shd w:val="clear" w:color="000000" w:fill="E7E6E6"/>
            <w:vAlign w:val="center"/>
          </w:tcPr>
          <w:p w14:paraId="2600096C"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38</w:t>
            </w:r>
          </w:p>
        </w:tc>
        <w:tc>
          <w:tcPr>
            <w:tcW w:w="753" w:type="dxa"/>
            <w:shd w:val="clear" w:color="000000" w:fill="E7E6E6"/>
            <w:vAlign w:val="center"/>
          </w:tcPr>
          <w:p w14:paraId="6A764228"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33</w:t>
            </w:r>
          </w:p>
        </w:tc>
      </w:tr>
      <w:tr w:rsidR="00BD47E0" w:rsidRPr="00A335CB" w14:paraId="58EF7B8B" w14:textId="77777777" w:rsidTr="00653B9D">
        <w:trPr>
          <w:trHeight w:val="698"/>
          <w:jc w:val="center"/>
        </w:trPr>
        <w:tc>
          <w:tcPr>
            <w:tcW w:w="346" w:type="dxa"/>
            <w:shd w:val="clear" w:color="auto" w:fill="auto"/>
            <w:hideMark/>
          </w:tcPr>
          <w:p w14:paraId="65CD1C2D" w14:textId="77777777" w:rsidR="00653B9D" w:rsidRPr="00A335CB" w:rsidRDefault="00653B9D" w:rsidP="005D1A90">
            <w:pPr>
              <w:spacing w:before="40"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3.</w:t>
            </w:r>
          </w:p>
        </w:tc>
        <w:tc>
          <w:tcPr>
            <w:tcW w:w="3921" w:type="dxa"/>
            <w:shd w:val="clear" w:color="auto" w:fill="auto"/>
            <w:vAlign w:val="center"/>
            <w:hideMark/>
          </w:tcPr>
          <w:p w14:paraId="08BEC9BC" w14:textId="77777777" w:rsidR="00653B9D" w:rsidRPr="00A335CB" w:rsidRDefault="00653B9D" w:rsidP="005D1A90">
            <w:pPr>
              <w:spacing w:after="0" w:line="276" w:lineRule="auto"/>
              <w:rPr>
                <w:rFonts w:ascii="Arial" w:eastAsia="Times New Roman" w:hAnsi="Arial" w:cs="Arial"/>
                <w:bCs/>
                <w:sz w:val="20"/>
                <w:szCs w:val="20"/>
                <w:lang w:eastAsia="sl-SI"/>
              </w:rPr>
            </w:pPr>
            <w:r w:rsidRPr="00A335CB">
              <w:rPr>
                <w:rFonts w:ascii="Arial" w:eastAsia="Times New Roman" w:hAnsi="Arial" w:cs="Arial"/>
                <w:bCs/>
                <w:sz w:val="20"/>
                <w:szCs w:val="20"/>
                <w:lang w:eastAsia="sl-SI"/>
              </w:rPr>
              <w:t>Obravnava zahtevkov podjetij za izvoz blaga za dvojno rabo v okviru Komisije za nadzor izvoza blaga z dvojno rabo – podaja mnenj organa</w:t>
            </w:r>
          </w:p>
        </w:tc>
        <w:tc>
          <w:tcPr>
            <w:tcW w:w="807" w:type="dxa"/>
            <w:shd w:val="clear" w:color="000000" w:fill="E7E6E6"/>
            <w:vAlign w:val="center"/>
            <w:hideMark/>
          </w:tcPr>
          <w:p w14:paraId="1A4DED8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199</w:t>
            </w:r>
          </w:p>
        </w:tc>
        <w:tc>
          <w:tcPr>
            <w:tcW w:w="807" w:type="dxa"/>
            <w:shd w:val="clear" w:color="000000" w:fill="E7E6E6"/>
            <w:vAlign w:val="center"/>
            <w:hideMark/>
          </w:tcPr>
          <w:p w14:paraId="3A9EA279"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197</w:t>
            </w:r>
          </w:p>
        </w:tc>
        <w:tc>
          <w:tcPr>
            <w:tcW w:w="807" w:type="dxa"/>
            <w:shd w:val="clear" w:color="000000" w:fill="E7E6E6"/>
            <w:vAlign w:val="center"/>
          </w:tcPr>
          <w:p w14:paraId="72CBBF8A"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190</w:t>
            </w:r>
          </w:p>
        </w:tc>
        <w:tc>
          <w:tcPr>
            <w:tcW w:w="807" w:type="dxa"/>
            <w:shd w:val="clear" w:color="000000" w:fill="E7E6E6"/>
            <w:vAlign w:val="center"/>
          </w:tcPr>
          <w:p w14:paraId="0D800B32"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229</w:t>
            </w:r>
          </w:p>
        </w:tc>
        <w:tc>
          <w:tcPr>
            <w:tcW w:w="814" w:type="dxa"/>
            <w:shd w:val="clear" w:color="000000" w:fill="E7E6E6"/>
            <w:vAlign w:val="center"/>
          </w:tcPr>
          <w:p w14:paraId="043A2C99"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232</w:t>
            </w:r>
          </w:p>
        </w:tc>
        <w:tc>
          <w:tcPr>
            <w:tcW w:w="753" w:type="dxa"/>
            <w:shd w:val="clear" w:color="000000" w:fill="E7E6E6"/>
            <w:vAlign w:val="center"/>
          </w:tcPr>
          <w:p w14:paraId="46CD9C3C"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184</w:t>
            </w:r>
          </w:p>
        </w:tc>
      </w:tr>
    </w:tbl>
    <w:p w14:paraId="766363DA" w14:textId="77777777" w:rsidR="00653B9D" w:rsidRPr="00A335CB" w:rsidRDefault="00653B9D" w:rsidP="005C25B4">
      <w:pPr>
        <w:autoSpaceDE w:val="0"/>
        <w:autoSpaceDN w:val="0"/>
        <w:adjustRightInd w:val="0"/>
        <w:spacing w:before="80" w:after="0" w:line="276" w:lineRule="auto"/>
        <w:jc w:val="both"/>
        <w:rPr>
          <w:rFonts w:ascii="Arial" w:hAnsi="Arial" w:cs="Arial"/>
          <w:sz w:val="20"/>
          <w:szCs w:val="20"/>
        </w:rPr>
      </w:pPr>
      <w:r w:rsidRPr="00A335CB">
        <w:rPr>
          <w:rFonts w:ascii="Arial" w:hAnsi="Arial" w:cs="Arial"/>
          <w:b/>
          <w:sz w:val="20"/>
          <w:szCs w:val="20"/>
        </w:rPr>
        <w:t>Preglednica</w:t>
      </w:r>
      <w:r w:rsidRPr="00A335CB">
        <w:rPr>
          <w:rFonts w:ascii="Arial" w:hAnsi="Arial" w:cs="Arial"/>
          <w:sz w:val="20"/>
          <w:szCs w:val="20"/>
        </w:rPr>
        <w:t>:</w:t>
      </w:r>
      <w:r w:rsidRPr="00A335CB">
        <w:rPr>
          <w:rFonts w:ascii="Arial" w:hAnsi="Arial" w:cs="Arial"/>
          <w:b/>
          <w:sz w:val="20"/>
          <w:szCs w:val="20"/>
        </w:rPr>
        <w:t xml:space="preserve"> </w:t>
      </w:r>
      <w:r w:rsidRPr="00A335CB">
        <w:rPr>
          <w:rFonts w:ascii="Arial" w:hAnsi="Arial" w:cs="Arial"/>
          <w:sz w:val="20"/>
          <w:szCs w:val="20"/>
        </w:rPr>
        <w:t>Število upravnih in drugih postopkov s področja varnostnega načrtovanja</w:t>
      </w:r>
    </w:p>
    <w:p w14:paraId="5DFA92A9" w14:textId="77777777" w:rsidR="00653B9D" w:rsidRPr="00A335CB" w:rsidRDefault="00653B9D" w:rsidP="005C25B4">
      <w:pPr>
        <w:spacing w:after="0" w:line="276" w:lineRule="auto"/>
        <w:jc w:val="both"/>
        <w:rPr>
          <w:rFonts w:ascii="Arial" w:hAnsi="Arial" w:cs="Arial"/>
          <w:sz w:val="20"/>
          <w:szCs w:val="20"/>
        </w:rPr>
      </w:pPr>
    </w:p>
    <w:p w14:paraId="70D94FF5" w14:textId="0D9FD96D"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fizičnega varovanja jedrskih objektov in snovi ter prevozov jedrskih snovi</w:t>
      </w:r>
      <w:r w:rsidR="00E37E91" w:rsidRPr="00A335CB">
        <w:rPr>
          <w:rFonts w:ascii="Arial" w:hAnsi="Arial" w:cs="Arial"/>
          <w:sz w:val="20"/>
          <w:szCs w:val="20"/>
        </w:rPr>
        <w:t xml:space="preserve"> je MNZ</w:t>
      </w:r>
      <w:r w:rsidRPr="00A335CB">
        <w:rPr>
          <w:rFonts w:ascii="Arial" w:hAnsi="Arial" w:cs="Arial"/>
          <w:sz w:val="20"/>
          <w:szCs w:val="20"/>
        </w:rPr>
        <w:t xml:space="preserve"> izvajalo pristojnosti v skladu z določili Zakona o varstvu pred ionizirajočimi sevanji in jedrski varnosti. V letu 2024 je bilo izvedenih 608 postopkov varnostnega preverjanja tujih državljanov (leta 2023 – 174, leta 2022 – 765, leta 2021 – 641 in leta 2020 – 307).</w:t>
      </w:r>
      <w:r w:rsidRPr="00A335CB">
        <w:rPr>
          <w:rFonts w:ascii="Arial" w:hAnsi="Arial" w:cs="Arial"/>
          <w:sz w:val="20"/>
          <w:szCs w:val="20"/>
          <w:vertAlign w:val="superscript"/>
        </w:rPr>
        <w:footnoteReference w:id="2"/>
      </w:r>
      <w:r w:rsidRPr="00A335CB">
        <w:rPr>
          <w:rFonts w:ascii="Arial" w:hAnsi="Arial" w:cs="Arial"/>
          <w:sz w:val="20"/>
          <w:szCs w:val="20"/>
        </w:rPr>
        <w:t xml:space="preserve"> O rezultatih varnostnega preverjanja je bilo obveščenih 273 pravnih oseb (leta 2023 – 95, leta 2022 – 244, leta 2021 – 196 in leta 2020 – 87), ki so zaposlovale tuje državljane. Programska oprema za izvajanje postopkov preverjanja tujih državljanov se je tudi v letu 2024 redno nadgrajevala, vpeljane so bile izboljšave procesa varnostnega preverjanja.</w:t>
      </w:r>
    </w:p>
    <w:p w14:paraId="5BDD5FCA" w14:textId="77777777" w:rsidR="00653B9D" w:rsidRPr="00A335CB" w:rsidRDefault="00653B9D" w:rsidP="005D1A90">
      <w:pPr>
        <w:spacing w:after="0" w:line="276" w:lineRule="auto"/>
        <w:jc w:val="both"/>
        <w:rPr>
          <w:rFonts w:ascii="Arial" w:hAnsi="Arial" w:cs="Arial"/>
          <w:sz w:val="20"/>
          <w:szCs w:val="20"/>
        </w:rPr>
      </w:pPr>
    </w:p>
    <w:p w14:paraId="546592AF" w14:textId="2598D4AA" w:rsidR="00653B9D" w:rsidRDefault="00653B9D" w:rsidP="00B90B42">
      <w:pPr>
        <w:spacing w:after="0" w:line="276" w:lineRule="auto"/>
        <w:jc w:val="both"/>
        <w:rPr>
          <w:rFonts w:ascii="Arial" w:hAnsi="Arial" w:cs="Arial"/>
          <w:sz w:val="20"/>
          <w:szCs w:val="20"/>
        </w:rPr>
      </w:pPr>
      <w:r w:rsidRPr="00A335CB">
        <w:rPr>
          <w:rFonts w:ascii="Arial" w:hAnsi="Arial" w:cs="Arial"/>
          <w:sz w:val="20"/>
          <w:szCs w:val="20"/>
        </w:rPr>
        <w:t xml:space="preserve">Upravljavci jedrskih objektov in prevozniki jedrskih snovi so fizično varovanje objektov in prevozov opravljali v skladu z načrti, ki jih je potrdilo ministrstvo. </w:t>
      </w:r>
      <w:r w:rsidRPr="00A335CB">
        <w:rPr>
          <w:rFonts w:ascii="Arial" w:hAnsi="Arial" w:cs="Arial"/>
          <w:bCs/>
          <w:sz w:val="20"/>
          <w:szCs w:val="20"/>
        </w:rPr>
        <w:t xml:space="preserve">V letu 2024 </w:t>
      </w:r>
      <w:r w:rsidR="008024B7">
        <w:rPr>
          <w:rFonts w:ascii="Arial" w:hAnsi="Arial" w:cs="Arial"/>
          <w:bCs/>
          <w:sz w:val="20"/>
          <w:szCs w:val="20"/>
        </w:rPr>
        <w:t>sta</w:t>
      </w:r>
      <w:r w:rsidR="008024B7" w:rsidRPr="00A335CB">
        <w:rPr>
          <w:rFonts w:ascii="Arial" w:hAnsi="Arial" w:cs="Arial"/>
          <w:bCs/>
          <w:sz w:val="20"/>
          <w:szCs w:val="20"/>
        </w:rPr>
        <w:t xml:space="preserve"> bil</w:t>
      </w:r>
      <w:r w:rsidR="008024B7">
        <w:rPr>
          <w:rFonts w:ascii="Arial" w:hAnsi="Arial" w:cs="Arial"/>
          <w:bCs/>
          <w:sz w:val="20"/>
          <w:szCs w:val="20"/>
        </w:rPr>
        <w:t>i</w:t>
      </w:r>
      <w:r w:rsidR="008024B7" w:rsidRPr="00A335CB">
        <w:rPr>
          <w:rFonts w:ascii="Arial" w:hAnsi="Arial" w:cs="Arial"/>
          <w:bCs/>
          <w:sz w:val="20"/>
          <w:szCs w:val="20"/>
        </w:rPr>
        <w:t xml:space="preserve"> izdan</w:t>
      </w:r>
      <w:r w:rsidR="008024B7">
        <w:rPr>
          <w:rFonts w:ascii="Arial" w:hAnsi="Arial" w:cs="Arial"/>
          <w:bCs/>
          <w:sz w:val="20"/>
          <w:szCs w:val="20"/>
        </w:rPr>
        <w:t>i</w:t>
      </w:r>
      <w:r w:rsidR="008024B7" w:rsidRPr="00A335CB">
        <w:rPr>
          <w:rFonts w:ascii="Arial" w:hAnsi="Arial" w:cs="Arial"/>
          <w:bCs/>
          <w:sz w:val="20"/>
          <w:szCs w:val="20"/>
        </w:rPr>
        <w:t xml:space="preserve"> </w:t>
      </w:r>
      <w:r w:rsidRPr="00A335CB">
        <w:rPr>
          <w:rFonts w:ascii="Arial" w:hAnsi="Arial" w:cs="Arial"/>
          <w:bCs/>
          <w:sz w:val="20"/>
          <w:szCs w:val="20"/>
        </w:rPr>
        <w:t xml:space="preserve">odločba o potrditvi načrta fizičnega varovanja jedrskega objekta in odločba o potrditvi načrta fizičnega varovanja prevoza jedrskih snovi. </w:t>
      </w:r>
      <w:r w:rsidRPr="00A335CB">
        <w:rPr>
          <w:rFonts w:ascii="Arial" w:hAnsi="Arial" w:cs="Arial"/>
          <w:sz w:val="20"/>
          <w:szCs w:val="20"/>
        </w:rPr>
        <w:t>Pripravljen je bil tudi prispevek MNZ v letnem poročilu Uprave RS za jedrsko varnost s področja fizičnega varovanja jedrskih objektov v Republiki Sloveniji. Komisija za fizično varovanje jedrskih objektov ter jedrskih in radioaktivnih snovi je bila sklicana trikrat, v zadnjem primeru v okviru splošne ocene ogroženosti za primer terorističnega napada, in sicer z vidika splošne pripravljenosti jedrskih objektov na tovrstne grožnje.</w:t>
      </w:r>
    </w:p>
    <w:p w14:paraId="732331FB" w14:textId="77777777" w:rsidR="001E2A30" w:rsidRPr="00A335CB" w:rsidRDefault="001E2A30" w:rsidP="00B90B42">
      <w:pPr>
        <w:spacing w:after="0" w:line="276" w:lineRule="auto"/>
        <w:jc w:val="both"/>
        <w:rPr>
          <w:rFonts w:ascii="Arial" w:hAnsi="Arial" w:cs="Arial"/>
          <w:sz w:val="20"/>
          <w:szCs w:val="20"/>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
        <w:gridCol w:w="3881"/>
        <w:gridCol w:w="806"/>
        <w:gridCol w:w="806"/>
        <w:gridCol w:w="806"/>
        <w:gridCol w:w="806"/>
        <w:gridCol w:w="802"/>
        <w:gridCol w:w="806"/>
      </w:tblGrid>
      <w:tr w:rsidR="00BD47E0" w:rsidRPr="00A335CB" w14:paraId="667BAD17" w14:textId="77777777" w:rsidTr="00653B9D">
        <w:trPr>
          <w:trHeight w:val="394"/>
          <w:jc w:val="center"/>
        </w:trPr>
        <w:tc>
          <w:tcPr>
            <w:tcW w:w="4230" w:type="dxa"/>
            <w:gridSpan w:val="2"/>
            <w:shd w:val="clear" w:color="auto" w:fill="D9D9D9" w:themeFill="background1" w:themeFillShade="D9"/>
            <w:vAlign w:val="center"/>
            <w:hideMark/>
          </w:tcPr>
          <w:p w14:paraId="57B92A73" w14:textId="77777777" w:rsidR="00653B9D" w:rsidRPr="00A335CB" w:rsidRDefault="00653B9D" w:rsidP="005D1A90">
            <w:pPr>
              <w:spacing w:after="0" w:line="276" w:lineRule="auto"/>
              <w:rPr>
                <w:rFonts w:ascii="Arial" w:eastAsia="Times New Roman" w:hAnsi="Arial" w:cs="Arial"/>
                <w:b/>
                <w:sz w:val="20"/>
                <w:szCs w:val="20"/>
                <w:lang w:eastAsia="sl-SI"/>
              </w:rPr>
            </w:pPr>
            <w:r w:rsidRPr="00A335CB">
              <w:rPr>
                <w:rFonts w:ascii="Arial" w:eastAsia="Times New Roman" w:hAnsi="Arial" w:cs="Arial"/>
                <w:b/>
                <w:sz w:val="20"/>
                <w:szCs w:val="20"/>
                <w:lang w:eastAsia="sl-SI"/>
              </w:rPr>
              <w:t xml:space="preserve">Vrsta postopka  </w:t>
            </w:r>
          </w:p>
        </w:tc>
        <w:tc>
          <w:tcPr>
            <w:tcW w:w="806" w:type="dxa"/>
            <w:shd w:val="clear" w:color="auto" w:fill="D9D9D9" w:themeFill="background1" w:themeFillShade="D9"/>
            <w:vAlign w:val="center"/>
            <w:hideMark/>
          </w:tcPr>
          <w:p w14:paraId="759E66AD"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2019</w:t>
            </w:r>
          </w:p>
        </w:tc>
        <w:tc>
          <w:tcPr>
            <w:tcW w:w="806" w:type="dxa"/>
            <w:shd w:val="clear" w:color="auto" w:fill="D9D9D9" w:themeFill="background1" w:themeFillShade="D9"/>
            <w:vAlign w:val="center"/>
            <w:hideMark/>
          </w:tcPr>
          <w:p w14:paraId="58D5E013"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2020</w:t>
            </w:r>
          </w:p>
        </w:tc>
        <w:tc>
          <w:tcPr>
            <w:tcW w:w="806" w:type="dxa"/>
            <w:shd w:val="clear" w:color="auto" w:fill="D9D9D9" w:themeFill="background1" w:themeFillShade="D9"/>
            <w:vAlign w:val="center"/>
            <w:hideMark/>
          </w:tcPr>
          <w:p w14:paraId="20022207"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2021</w:t>
            </w:r>
          </w:p>
        </w:tc>
        <w:tc>
          <w:tcPr>
            <w:tcW w:w="806" w:type="dxa"/>
            <w:shd w:val="clear" w:color="auto" w:fill="D9D9D9" w:themeFill="background1" w:themeFillShade="D9"/>
            <w:vAlign w:val="center"/>
          </w:tcPr>
          <w:p w14:paraId="0CE03A51"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2022</w:t>
            </w:r>
          </w:p>
        </w:tc>
        <w:tc>
          <w:tcPr>
            <w:tcW w:w="802" w:type="dxa"/>
            <w:tcBorders>
              <w:bottom w:val="single" w:sz="4" w:space="0" w:color="auto"/>
            </w:tcBorders>
            <w:shd w:val="clear" w:color="auto" w:fill="D9D9D9" w:themeFill="background1" w:themeFillShade="D9"/>
            <w:vAlign w:val="center"/>
          </w:tcPr>
          <w:p w14:paraId="1129EBC1"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2023</w:t>
            </w:r>
          </w:p>
        </w:tc>
        <w:tc>
          <w:tcPr>
            <w:tcW w:w="806" w:type="dxa"/>
            <w:shd w:val="clear" w:color="auto" w:fill="D9D9D9" w:themeFill="background1" w:themeFillShade="D9"/>
            <w:vAlign w:val="center"/>
          </w:tcPr>
          <w:p w14:paraId="1045F2AE" w14:textId="77777777" w:rsidR="00653B9D" w:rsidRPr="00A335CB" w:rsidRDefault="00653B9D" w:rsidP="005D1A90">
            <w:pPr>
              <w:spacing w:after="0"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2024</w:t>
            </w:r>
          </w:p>
        </w:tc>
      </w:tr>
      <w:tr w:rsidR="00BD47E0" w:rsidRPr="00A335CB" w14:paraId="664588C4" w14:textId="77777777" w:rsidTr="00653B9D">
        <w:trPr>
          <w:trHeight w:val="772"/>
          <w:jc w:val="center"/>
        </w:trPr>
        <w:tc>
          <w:tcPr>
            <w:tcW w:w="349" w:type="dxa"/>
            <w:vMerge w:val="restart"/>
            <w:shd w:val="clear" w:color="auto" w:fill="auto"/>
            <w:hideMark/>
          </w:tcPr>
          <w:p w14:paraId="31AC27D1" w14:textId="77777777" w:rsidR="00653B9D" w:rsidRPr="00A335CB" w:rsidRDefault="00653B9D" w:rsidP="005D1A90">
            <w:pPr>
              <w:spacing w:after="0" w:line="276" w:lineRule="auto"/>
              <w:jc w:val="center"/>
              <w:rPr>
                <w:rFonts w:ascii="Arial" w:eastAsia="Times New Roman" w:hAnsi="Arial" w:cs="Arial"/>
                <w:sz w:val="20"/>
                <w:szCs w:val="20"/>
                <w:lang w:eastAsia="sl-SI"/>
              </w:rPr>
            </w:pPr>
          </w:p>
          <w:p w14:paraId="34805C4F"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c>
          <w:tcPr>
            <w:tcW w:w="3881" w:type="dxa"/>
            <w:shd w:val="clear" w:color="auto" w:fill="auto"/>
            <w:vAlign w:val="center"/>
            <w:hideMark/>
          </w:tcPr>
          <w:p w14:paraId="3B62254E" w14:textId="77777777" w:rsidR="00653B9D" w:rsidRPr="00A335CB" w:rsidRDefault="00653B9D" w:rsidP="005D1A90">
            <w:pPr>
              <w:spacing w:after="0" w:line="276" w:lineRule="auto"/>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Varovanje jedrskih objektov, snovi in prevozov jedrskih snovi</w:t>
            </w:r>
          </w:p>
        </w:tc>
        <w:tc>
          <w:tcPr>
            <w:tcW w:w="806" w:type="dxa"/>
            <w:vMerge w:val="restart"/>
            <w:shd w:val="clear" w:color="auto" w:fill="D9D9D9" w:themeFill="background1" w:themeFillShade="D9"/>
            <w:vAlign w:val="center"/>
            <w:hideMark/>
          </w:tcPr>
          <w:p w14:paraId="3F3DFCAD"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48133C6F"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25024205"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62AB8F88"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2</w:t>
            </w:r>
          </w:p>
        </w:tc>
        <w:tc>
          <w:tcPr>
            <w:tcW w:w="806" w:type="dxa"/>
            <w:vMerge w:val="restart"/>
            <w:shd w:val="clear" w:color="auto" w:fill="D9D9D9" w:themeFill="background1" w:themeFillShade="D9"/>
            <w:vAlign w:val="center"/>
            <w:hideMark/>
          </w:tcPr>
          <w:p w14:paraId="6AAE4CD0"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3BC5C3CB"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2CF522BB"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53422D8F"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3</w:t>
            </w:r>
          </w:p>
        </w:tc>
        <w:tc>
          <w:tcPr>
            <w:tcW w:w="806" w:type="dxa"/>
            <w:vMerge w:val="restart"/>
            <w:shd w:val="clear" w:color="auto" w:fill="D9D9D9" w:themeFill="background1" w:themeFillShade="D9"/>
            <w:vAlign w:val="center"/>
            <w:hideMark/>
          </w:tcPr>
          <w:p w14:paraId="2CDAA7AF"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5B5FAB28"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0035FB6C"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31FB0233"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1</w:t>
            </w:r>
          </w:p>
        </w:tc>
        <w:tc>
          <w:tcPr>
            <w:tcW w:w="806" w:type="dxa"/>
            <w:vMerge w:val="restart"/>
            <w:tcBorders>
              <w:right w:val="single" w:sz="4" w:space="0" w:color="auto"/>
            </w:tcBorders>
            <w:shd w:val="clear" w:color="auto" w:fill="D9D9D9" w:themeFill="background1" w:themeFillShade="D9"/>
            <w:vAlign w:val="center"/>
          </w:tcPr>
          <w:p w14:paraId="05903F91"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09E341CB"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6E5FD159"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6CEF43E8"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3</w:t>
            </w:r>
          </w:p>
        </w:tc>
        <w:tc>
          <w:tcPr>
            <w:tcW w:w="80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20D0FCC"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tc>
        <w:tc>
          <w:tcPr>
            <w:tcW w:w="806" w:type="dxa"/>
            <w:vMerge w:val="restart"/>
            <w:tcBorders>
              <w:left w:val="single" w:sz="4" w:space="0" w:color="auto"/>
            </w:tcBorders>
            <w:shd w:val="clear" w:color="auto" w:fill="D9D9D9" w:themeFill="background1" w:themeFillShade="D9"/>
            <w:vAlign w:val="center"/>
          </w:tcPr>
          <w:p w14:paraId="3A23C9F8"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0A08062A"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70E12F47"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p>
          <w:p w14:paraId="09DFB593" w14:textId="77777777" w:rsidR="00653B9D" w:rsidRPr="00A335CB" w:rsidRDefault="00653B9D" w:rsidP="005D1A90">
            <w:pPr>
              <w:spacing w:before="6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1</w:t>
            </w:r>
          </w:p>
        </w:tc>
      </w:tr>
      <w:tr w:rsidR="00BD47E0" w:rsidRPr="00A335CB" w14:paraId="5255828C" w14:textId="77777777" w:rsidTr="00653B9D">
        <w:trPr>
          <w:trHeight w:val="400"/>
          <w:jc w:val="center"/>
        </w:trPr>
        <w:tc>
          <w:tcPr>
            <w:tcW w:w="349" w:type="dxa"/>
            <w:vMerge/>
            <w:vAlign w:val="center"/>
            <w:hideMark/>
          </w:tcPr>
          <w:p w14:paraId="149CA22B" w14:textId="77777777" w:rsidR="00653B9D" w:rsidRPr="00A335CB" w:rsidRDefault="00653B9D" w:rsidP="005D1A90">
            <w:pPr>
              <w:spacing w:after="0" w:line="276" w:lineRule="auto"/>
              <w:rPr>
                <w:rFonts w:ascii="Arial" w:eastAsia="Times New Roman" w:hAnsi="Arial" w:cs="Arial"/>
                <w:sz w:val="20"/>
                <w:szCs w:val="20"/>
                <w:lang w:eastAsia="sl-SI"/>
              </w:rPr>
            </w:pPr>
          </w:p>
        </w:tc>
        <w:tc>
          <w:tcPr>
            <w:tcW w:w="3881" w:type="dxa"/>
            <w:shd w:val="clear" w:color="auto" w:fill="auto"/>
            <w:vAlign w:val="center"/>
            <w:hideMark/>
          </w:tcPr>
          <w:p w14:paraId="580612BA" w14:textId="231F38F5" w:rsidR="00653B9D" w:rsidRPr="00A335CB" w:rsidRDefault="008024B7"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izdaja odločb o potrditvi načrtov</w:t>
            </w:r>
          </w:p>
        </w:tc>
        <w:tc>
          <w:tcPr>
            <w:tcW w:w="806" w:type="dxa"/>
            <w:vMerge/>
            <w:shd w:val="clear" w:color="auto" w:fill="D9D9D9" w:themeFill="background1" w:themeFillShade="D9"/>
            <w:vAlign w:val="center"/>
            <w:hideMark/>
          </w:tcPr>
          <w:p w14:paraId="7C0951DE" w14:textId="77777777" w:rsidR="00653B9D" w:rsidRPr="00A335CB" w:rsidRDefault="00653B9D" w:rsidP="005D1A90">
            <w:pPr>
              <w:spacing w:after="0" w:line="276" w:lineRule="auto"/>
              <w:rPr>
                <w:rFonts w:ascii="Arial" w:eastAsia="Times New Roman" w:hAnsi="Arial" w:cs="Arial"/>
                <w:sz w:val="20"/>
                <w:szCs w:val="20"/>
                <w:highlight w:val="lightGray"/>
                <w:lang w:eastAsia="sl-SI"/>
              </w:rPr>
            </w:pPr>
          </w:p>
        </w:tc>
        <w:tc>
          <w:tcPr>
            <w:tcW w:w="806" w:type="dxa"/>
            <w:vMerge/>
            <w:shd w:val="clear" w:color="auto" w:fill="D9D9D9" w:themeFill="background1" w:themeFillShade="D9"/>
            <w:vAlign w:val="center"/>
            <w:hideMark/>
          </w:tcPr>
          <w:p w14:paraId="0C96ABDC" w14:textId="77777777" w:rsidR="00653B9D" w:rsidRPr="00A335CB" w:rsidRDefault="00653B9D" w:rsidP="005D1A90">
            <w:pPr>
              <w:spacing w:after="0" w:line="276" w:lineRule="auto"/>
              <w:rPr>
                <w:rFonts w:ascii="Arial" w:eastAsia="Times New Roman" w:hAnsi="Arial" w:cs="Arial"/>
                <w:sz w:val="20"/>
                <w:szCs w:val="20"/>
                <w:highlight w:val="lightGray"/>
                <w:lang w:eastAsia="sl-SI"/>
              </w:rPr>
            </w:pPr>
          </w:p>
        </w:tc>
        <w:tc>
          <w:tcPr>
            <w:tcW w:w="806" w:type="dxa"/>
            <w:vMerge/>
            <w:shd w:val="clear" w:color="auto" w:fill="D9D9D9" w:themeFill="background1" w:themeFillShade="D9"/>
            <w:vAlign w:val="center"/>
            <w:hideMark/>
          </w:tcPr>
          <w:p w14:paraId="0B4BD44B" w14:textId="77777777" w:rsidR="00653B9D" w:rsidRPr="00A335CB" w:rsidRDefault="00653B9D" w:rsidP="005D1A90">
            <w:pPr>
              <w:spacing w:after="0" w:line="276" w:lineRule="auto"/>
              <w:rPr>
                <w:rFonts w:ascii="Arial" w:eastAsia="Times New Roman" w:hAnsi="Arial" w:cs="Arial"/>
                <w:sz w:val="20"/>
                <w:szCs w:val="20"/>
                <w:highlight w:val="lightGray"/>
                <w:lang w:eastAsia="sl-SI"/>
              </w:rPr>
            </w:pPr>
          </w:p>
        </w:tc>
        <w:tc>
          <w:tcPr>
            <w:tcW w:w="806" w:type="dxa"/>
            <w:vMerge/>
            <w:tcBorders>
              <w:right w:val="single" w:sz="4" w:space="0" w:color="auto"/>
            </w:tcBorders>
            <w:shd w:val="clear" w:color="auto" w:fill="D9D9D9" w:themeFill="background1" w:themeFillShade="D9"/>
            <w:vAlign w:val="center"/>
          </w:tcPr>
          <w:p w14:paraId="771BEBA7" w14:textId="77777777" w:rsidR="00653B9D" w:rsidRPr="00A335CB" w:rsidRDefault="00653B9D" w:rsidP="005D1A90">
            <w:pPr>
              <w:spacing w:after="0" w:line="276" w:lineRule="auto"/>
              <w:rPr>
                <w:rFonts w:ascii="Arial" w:eastAsia="Times New Roman" w:hAnsi="Arial" w:cs="Arial"/>
                <w:sz w:val="20"/>
                <w:szCs w:val="20"/>
                <w:highlight w:val="lightGray"/>
                <w:lang w:eastAsia="sl-SI"/>
              </w:rPr>
            </w:pPr>
          </w:p>
        </w:tc>
        <w:tc>
          <w:tcPr>
            <w:tcW w:w="80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52C5E88"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2</w:t>
            </w:r>
          </w:p>
        </w:tc>
        <w:tc>
          <w:tcPr>
            <w:tcW w:w="806" w:type="dxa"/>
            <w:vMerge/>
            <w:tcBorders>
              <w:left w:val="single" w:sz="4" w:space="0" w:color="auto"/>
            </w:tcBorders>
            <w:shd w:val="clear" w:color="auto" w:fill="D9D9D9" w:themeFill="background1" w:themeFillShade="D9"/>
            <w:vAlign w:val="center"/>
          </w:tcPr>
          <w:p w14:paraId="12333A6F" w14:textId="77777777" w:rsidR="00653B9D" w:rsidRPr="00A335CB" w:rsidRDefault="00653B9D" w:rsidP="005D1A90">
            <w:pPr>
              <w:spacing w:after="0" w:line="276" w:lineRule="auto"/>
              <w:rPr>
                <w:rFonts w:ascii="Arial" w:eastAsia="Times New Roman" w:hAnsi="Arial" w:cs="Arial"/>
                <w:sz w:val="20"/>
                <w:szCs w:val="20"/>
                <w:highlight w:val="lightGray"/>
                <w:lang w:eastAsia="sl-SI"/>
              </w:rPr>
            </w:pPr>
          </w:p>
        </w:tc>
      </w:tr>
      <w:tr w:rsidR="00BD47E0" w:rsidRPr="00A335CB" w14:paraId="0587B24D" w14:textId="77777777" w:rsidTr="00653B9D">
        <w:trPr>
          <w:trHeight w:val="428"/>
          <w:jc w:val="center"/>
        </w:trPr>
        <w:tc>
          <w:tcPr>
            <w:tcW w:w="349" w:type="dxa"/>
            <w:shd w:val="clear" w:color="auto" w:fill="auto"/>
            <w:vAlign w:val="center"/>
            <w:hideMark/>
          </w:tcPr>
          <w:p w14:paraId="357E26FA" w14:textId="7777777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2.</w:t>
            </w:r>
          </w:p>
        </w:tc>
        <w:tc>
          <w:tcPr>
            <w:tcW w:w="3881" w:type="dxa"/>
            <w:shd w:val="clear" w:color="auto" w:fill="auto"/>
            <w:vAlign w:val="center"/>
            <w:hideMark/>
          </w:tcPr>
          <w:p w14:paraId="43AA10CC" w14:textId="77777777" w:rsidR="00653B9D" w:rsidRPr="00A335CB" w:rsidRDefault="00653B9D" w:rsidP="005D1A90">
            <w:pPr>
              <w:spacing w:after="0" w:line="276" w:lineRule="auto"/>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Varnostno preverjanje po ZVISJV-1</w:t>
            </w:r>
          </w:p>
        </w:tc>
        <w:tc>
          <w:tcPr>
            <w:tcW w:w="806" w:type="dxa"/>
            <w:vMerge w:val="restart"/>
            <w:shd w:val="clear" w:color="auto" w:fill="D9D9D9" w:themeFill="background1" w:themeFillShade="D9"/>
            <w:vAlign w:val="center"/>
            <w:hideMark/>
          </w:tcPr>
          <w:p w14:paraId="6E5342FD"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p>
          <w:p w14:paraId="0B3DDECC"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453</w:t>
            </w:r>
          </w:p>
        </w:tc>
        <w:tc>
          <w:tcPr>
            <w:tcW w:w="806" w:type="dxa"/>
            <w:vMerge w:val="restart"/>
            <w:shd w:val="clear" w:color="auto" w:fill="D9D9D9" w:themeFill="background1" w:themeFillShade="D9"/>
            <w:vAlign w:val="center"/>
            <w:hideMark/>
          </w:tcPr>
          <w:p w14:paraId="5F98E763"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p>
          <w:p w14:paraId="07F1B269"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307</w:t>
            </w:r>
          </w:p>
        </w:tc>
        <w:tc>
          <w:tcPr>
            <w:tcW w:w="806" w:type="dxa"/>
            <w:vMerge w:val="restart"/>
            <w:shd w:val="clear" w:color="auto" w:fill="D9D9D9" w:themeFill="background1" w:themeFillShade="D9"/>
            <w:vAlign w:val="center"/>
            <w:hideMark/>
          </w:tcPr>
          <w:p w14:paraId="5E5619C5"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p>
          <w:p w14:paraId="28277A2D"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641</w:t>
            </w:r>
          </w:p>
        </w:tc>
        <w:tc>
          <w:tcPr>
            <w:tcW w:w="806" w:type="dxa"/>
            <w:vMerge w:val="restart"/>
            <w:tcBorders>
              <w:right w:val="single" w:sz="4" w:space="0" w:color="auto"/>
            </w:tcBorders>
            <w:shd w:val="clear" w:color="auto" w:fill="D9D9D9" w:themeFill="background1" w:themeFillShade="D9"/>
            <w:vAlign w:val="center"/>
          </w:tcPr>
          <w:p w14:paraId="0D86E180"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p>
          <w:p w14:paraId="0A85941D"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765</w:t>
            </w:r>
          </w:p>
        </w:tc>
        <w:tc>
          <w:tcPr>
            <w:tcW w:w="80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18FE13F"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p>
        </w:tc>
        <w:tc>
          <w:tcPr>
            <w:tcW w:w="806" w:type="dxa"/>
            <w:vMerge w:val="restart"/>
            <w:tcBorders>
              <w:left w:val="single" w:sz="4" w:space="0" w:color="auto"/>
            </w:tcBorders>
            <w:shd w:val="clear" w:color="auto" w:fill="D9D9D9" w:themeFill="background1" w:themeFillShade="D9"/>
            <w:vAlign w:val="center"/>
          </w:tcPr>
          <w:p w14:paraId="47C0F704"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p>
          <w:p w14:paraId="50D13915" w14:textId="77777777" w:rsidR="00653B9D" w:rsidRPr="00A335CB" w:rsidRDefault="00653B9D" w:rsidP="005D1A90">
            <w:pPr>
              <w:spacing w:before="100" w:after="0" w:line="276" w:lineRule="auto"/>
              <w:jc w:val="center"/>
              <w:rPr>
                <w:rFonts w:ascii="Arial" w:eastAsia="Times New Roman" w:hAnsi="Arial" w:cs="Arial"/>
                <w:sz w:val="20"/>
                <w:szCs w:val="20"/>
                <w:highlight w:val="lightGray"/>
                <w:lang w:eastAsia="sl-SI"/>
              </w:rPr>
            </w:pPr>
            <w:r w:rsidRPr="00A335CB">
              <w:rPr>
                <w:rFonts w:ascii="Arial" w:eastAsia="Times New Roman" w:hAnsi="Arial" w:cs="Arial"/>
                <w:sz w:val="20"/>
                <w:szCs w:val="20"/>
                <w:highlight w:val="lightGray"/>
                <w:lang w:eastAsia="sl-SI"/>
              </w:rPr>
              <w:t>608</w:t>
            </w:r>
          </w:p>
        </w:tc>
      </w:tr>
      <w:tr w:rsidR="00BD47E0" w:rsidRPr="00A335CB" w14:paraId="450C3838" w14:textId="77777777" w:rsidTr="00653B9D">
        <w:trPr>
          <w:trHeight w:val="428"/>
          <w:jc w:val="center"/>
        </w:trPr>
        <w:tc>
          <w:tcPr>
            <w:tcW w:w="349" w:type="dxa"/>
            <w:shd w:val="clear" w:color="auto" w:fill="auto"/>
            <w:vAlign w:val="center"/>
            <w:hideMark/>
          </w:tcPr>
          <w:p w14:paraId="41CFD504" w14:textId="7777777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 </w:t>
            </w:r>
          </w:p>
        </w:tc>
        <w:tc>
          <w:tcPr>
            <w:tcW w:w="3881" w:type="dxa"/>
            <w:shd w:val="clear" w:color="auto" w:fill="auto"/>
            <w:vAlign w:val="center"/>
            <w:hideMark/>
          </w:tcPr>
          <w:p w14:paraId="5D2BD843" w14:textId="7FD8D50F" w:rsidR="00653B9D" w:rsidRPr="00A335CB" w:rsidRDefault="008024B7"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število vseh zahtevkov</w:t>
            </w:r>
          </w:p>
        </w:tc>
        <w:tc>
          <w:tcPr>
            <w:tcW w:w="806" w:type="dxa"/>
            <w:vMerge/>
            <w:vAlign w:val="center"/>
            <w:hideMark/>
          </w:tcPr>
          <w:p w14:paraId="76146C10" w14:textId="77777777" w:rsidR="00653B9D" w:rsidRPr="00A335CB" w:rsidRDefault="00653B9D" w:rsidP="005D1A90">
            <w:pPr>
              <w:spacing w:after="0" w:line="276" w:lineRule="auto"/>
              <w:rPr>
                <w:rFonts w:ascii="Arial" w:eastAsia="Times New Roman" w:hAnsi="Arial" w:cs="Arial"/>
                <w:sz w:val="20"/>
                <w:szCs w:val="20"/>
                <w:lang w:eastAsia="sl-SI"/>
              </w:rPr>
            </w:pPr>
          </w:p>
        </w:tc>
        <w:tc>
          <w:tcPr>
            <w:tcW w:w="806" w:type="dxa"/>
            <w:vMerge/>
            <w:vAlign w:val="center"/>
            <w:hideMark/>
          </w:tcPr>
          <w:p w14:paraId="088286F8" w14:textId="77777777" w:rsidR="00653B9D" w:rsidRPr="00A335CB" w:rsidRDefault="00653B9D" w:rsidP="005D1A90">
            <w:pPr>
              <w:spacing w:after="0" w:line="276" w:lineRule="auto"/>
              <w:rPr>
                <w:rFonts w:ascii="Arial" w:eastAsia="Times New Roman" w:hAnsi="Arial" w:cs="Arial"/>
                <w:sz w:val="20"/>
                <w:szCs w:val="20"/>
                <w:lang w:eastAsia="sl-SI"/>
              </w:rPr>
            </w:pPr>
          </w:p>
        </w:tc>
        <w:tc>
          <w:tcPr>
            <w:tcW w:w="806" w:type="dxa"/>
            <w:vMerge/>
            <w:vAlign w:val="center"/>
            <w:hideMark/>
          </w:tcPr>
          <w:p w14:paraId="128093F7" w14:textId="77777777" w:rsidR="00653B9D" w:rsidRPr="00A335CB" w:rsidRDefault="00653B9D" w:rsidP="005D1A90">
            <w:pPr>
              <w:spacing w:after="0" w:line="276" w:lineRule="auto"/>
              <w:rPr>
                <w:rFonts w:ascii="Arial" w:eastAsia="Times New Roman" w:hAnsi="Arial" w:cs="Arial"/>
                <w:sz w:val="20"/>
                <w:szCs w:val="20"/>
                <w:lang w:eastAsia="sl-SI"/>
              </w:rPr>
            </w:pPr>
          </w:p>
        </w:tc>
        <w:tc>
          <w:tcPr>
            <w:tcW w:w="806" w:type="dxa"/>
            <w:vMerge/>
            <w:tcBorders>
              <w:right w:val="single" w:sz="4" w:space="0" w:color="auto"/>
            </w:tcBorders>
            <w:vAlign w:val="center"/>
          </w:tcPr>
          <w:p w14:paraId="69B92339" w14:textId="77777777" w:rsidR="00653B9D" w:rsidRPr="00A335CB" w:rsidRDefault="00653B9D" w:rsidP="005D1A90">
            <w:pPr>
              <w:spacing w:after="0" w:line="276" w:lineRule="auto"/>
              <w:rPr>
                <w:rFonts w:ascii="Arial" w:eastAsia="Times New Roman" w:hAnsi="Arial" w:cs="Arial"/>
                <w:sz w:val="20"/>
                <w:szCs w:val="20"/>
                <w:highlight w:val="lightGray"/>
                <w:lang w:eastAsia="sl-SI"/>
              </w:rPr>
            </w:pPr>
          </w:p>
        </w:tc>
        <w:tc>
          <w:tcPr>
            <w:tcW w:w="80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894042"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181</w:t>
            </w:r>
          </w:p>
        </w:tc>
        <w:tc>
          <w:tcPr>
            <w:tcW w:w="806" w:type="dxa"/>
            <w:vMerge/>
            <w:tcBorders>
              <w:left w:val="single" w:sz="4" w:space="0" w:color="auto"/>
            </w:tcBorders>
            <w:vAlign w:val="center"/>
          </w:tcPr>
          <w:p w14:paraId="72731C29" w14:textId="77777777" w:rsidR="00653B9D" w:rsidRPr="00A335CB" w:rsidRDefault="00653B9D" w:rsidP="005D1A90">
            <w:pPr>
              <w:spacing w:after="0" w:line="276" w:lineRule="auto"/>
              <w:rPr>
                <w:rFonts w:ascii="Arial" w:eastAsia="Times New Roman" w:hAnsi="Arial" w:cs="Arial"/>
                <w:sz w:val="20"/>
                <w:szCs w:val="20"/>
                <w:lang w:eastAsia="sl-SI"/>
              </w:rPr>
            </w:pPr>
          </w:p>
        </w:tc>
      </w:tr>
      <w:tr w:rsidR="00BD47E0" w:rsidRPr="00A335CB" w14:paraId="7599DB99" w14:textId="77777777" w:rsidTr="00653B9D">
        <w:trPr>
          <w:trHeight w:val="428"/>
          <w:jc w:val="center"/>
        </w:trPr>
        <w:tc>
          <w:tcPr>
            <w:tcW w:w="349" w:type="dxa"/>
            <w:shd w:val="clear" w:color="auto" w:fill="auto"/>
            <w:vAlign w:val="center"/>
            <w:hideMark/>
          </w:tcPr>
          <w:p w14:paraId="00D5A8C5" w14:textId="7777777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 </w:t>
            </w:r>
          </w:p>
        </w:tc>
        <w:tc>
          <w:tcPr>
            <w:tcW w:w="3881" w:type="dxa"/>
            <w:shd w:val="clear" w:color="auto" w:fill="auto"/>
            <w:vAlign w:val="center"/>
            <w:hideMark/>
          </w:tcPr>
          <w:p w14:paraId="1FB83AAD" w14:textId="3C729A48" w:rsidR="00653B9D" w:rsidRPr="00A335CB" w:rsidRDefault="008024B7"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zavrženi</w:t>
            </w:r>
          </w:p>
        </w:tc>
        <w:tc>
          <w:tcPr>
            <w:tcW w:w="806" w:type="dxa"/>
            <w:shd w:val="clear" w:color="auto" w:fill="auto"/>
            <w:vAlign w:val="center"/>
            <w:hideMark/>
          </w:tcPr>
          <w:p w14:paraId="79AFBFA9"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6</w:t>
            </w:r>
          </w:p>
        </w:tc>
        <w:tc>
          <w:tcPr>
            <w:tcW w:w="806" w:type="dxa"/>
            <w:shd w:val="clear" w:color="auto" w:fill="auto"/>
            <w:vAlign w:val="center"/>
            <w:hideMark/>
          </w:tcPr>
          <w:p w14:paraId="6658A04E"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0</w:t>
            </w:r>
          </w:p>
        </w:tc>
        <w:tc>
          <w:tcPr>
            <w:tcW w:w="806" w:type="dxa"/>
            <w:shd w:val="clear" w:color="auto" w:fill="auto"/>
            <w:vAlign w:val="center"/>
            <w:hideMark/>
          </w:tcPr>
          <w:p w14:paraId="710AB3C3"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7</w:t>
            </w:r>
          </w:p>
        </w:tc>
        <w:tc>
          <w:tcPr>
            <w:tcW w:w="806" w:type="dxa"/>
            <w:vAlign w:val="center"/>
          </w:tcPr>
          <w:p w14:paraId="429F4177"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c>
          <w:tcPr>
            <w:tcW w:w="802" w:type="dxa"/>
            <w:tcBorders>
              <w:top w:val="single" w:sz="4" w:space="0" w:color="auto"/>
            </w:tcBorders>
            <w:vAlign w:val="center"/>
          </w:tcPr>
          <w:p w14:paraId="729F555C"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0</w:t>
            </w:r>
          </w:p>
        </w:tc>
        <w:tc>
          <w:tcPr>
            <w:tcW w:w="806" w:type="dxa"/>
            <w:vAlign w:val="center"/>
          </w:tcPr>
          <w:p w14:paraId="659A902C"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0</w:t>
            </w:r>
          </w:p>
        </w:tc>
      </w:tr>
      <w:tr w:rsidR="00BD47E0" w:rsidRPr="00A335CB" w14:paraId="58125E17" w14:textId="77777777" w:rsidTr="00653B9D">
        <w:trPr>
          <w:trHeight w:val="428"/>
          <w:jc w:val="center"/>
        </w:trPr>
        <w:tc>
          <w:tcPr>
            <w:tcW w:w="349" w:type="dxa"/>
            <w:shd w:val="clear" w:color="auto" w:fill="auto"/>
            <w:vAlign w:val="center"/>
            <w:hideMark/>
          </w:tcPr>
          <w:p w14:paraId="2A8A60D6" w14:textId="7777777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 </w:t>
            </w:r>
          </w:p>
        </w:tc>
        <w:tc>
          <w:tcPr>
            <w:tcW w:w="3881" w:type="dxa"/>
            <w:shd w:val="clear" w:color="auto" w:fill="auto"/>
            <w:vAlign w:val="center"/>
            <w:hideMark/>
          </w:tcPr>
          <w:p w14:paraId="19B1CD15" w14:textId="1395A37C" w:rsidR="00653B9D" w:rsidRPr="00A335CB" w:rsidRDefault="008024B7"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ustavljeni</w:t>
            </w:r>
          </w:p>
        </w:tc>
        <w:tc>
          <w:tcPr>
            <w:tcW w:w="806" w:type="dxa"/>
            <w:shd w:val="clear" w:color="auto" w:fill="auto"/>
            <w:vAlign w:val="center"/>
            <w:hideMark/>
          </w:tcPr>
          <w:p w14:paraId="55156237"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2</w:t>
            </w:r>
          </w:p>
        </w:tc>
        <w:tc>
          <w:tcPr>
            <w:tcW w:w="806" w:type="dxa"/>
            <w:shd w:val="clear" w:color="auto" w:fill="auto"/>
            <w:vAlign w:val="center"/>
            <w:hideMark/>
          </w:tcPr>
          <w:p w14:paraId="3065ABAD"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w:t>
            </w:r>
          </w:p>
        </w:tc>
        <w:tc>
          <w:tcPr>
            <w:tcW w:w="806" w:type="dxa"/>
            <w:shd w:val="clear" w:color="auto" w:fill="auto"/>
            <w:vAlign w:val="center"/>
            <w:hideMark/>
          </w:tcPr>
          <w:p w14:paraId="4777E191"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8</w:t>
            </w:r>
          </w:p>
        </w:tc>
        <w:tc>
          <w:tcPr>
            <w:tcW w:w="806" w:type="dxa"/>
            <w:vAlign w:val="center"/>
          </w:tcPr>
          <w:p w14:paraId="5D1549B9"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7</w:t>
            </w:r>
          </w:p>
        </w:tc>
        <w:tc>
          <w:tcPr>
            <w:tcW w:w="802" w:type="dxa"/>
            <w:vAlign w:val="center"/>
          </w:tcPr>
          <w:p w14:paraId="14BA1414"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0</w:t>
            </w:r>
          </w:p>
        </w:tc>
        <w:tc>
          <w:tcPr>
            <w:tcW w:w="806" w:type="dxa"/>
            <w:vAlign w:val="center"/>
          </w:tcPr>
          <w:p w14:paraId="41A0FCE3"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w:t>
            </w:r>
          </w:p>
        </w:tc>
      </w:tr>
      <w:tr w:rsidR="00BD47E0" w:rsidRPr="00A335CB" w14:paraId="766DAB78" w14:textId="77777777" w:rsidTr="00653B9D">
        <w:trPr>
          <w:trHeight w:val="428"/>
          <w:jc w:val="center"/>
        </w:trPr>
        <w:tc>
          <w:tcPr>
            <w:tcW w:w="349" w:type="dxa"/>
            <w:shd w:val="clear" w:color="auto" w:fill="auto"/>
            <w:vAlign w:val="center"/>
            <w:hideMark/>
          </w:tcPr>
          <w:p w14:paraId="53B07916" w14:textId="7777777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 </w:t>
            </w:r>
          </w:p>
        </w:tc>
        <w:tc>
          <w:tcPr>
            <w:tcW w:w="3881" w:type="dxa"/>
            <w:shd w:val="clear" w:color="auto" w:fill="auto"/>
            <w:vAlign w:val="center"/>
            <w:hideMark/>
          </w:tcPr>
          <w:p w14:paraId="34222DF0" w14:textId="6EAD9207" w:rsidR="00653B9D" w:rsidRPr="00A335CB" w:rsidRDefault="008024B7"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zavrnjeni</w:t>
            </w:r>
          </w:p>
        </w:tc>
        <w:tc>
          <w:tcPr>
            <w:tcW w:w="806" w:type="dxa"/>
            <w:shd w:val="clear" w:color="auto" w:fill="auto"/>
            <w:vAlign w:val="center"/>
            <w:hideMark/>
          </w:tcPr>
          <w:p w14:paraId="1E492E13"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2</w:t>
            </w:r>
          </w:p>
        </w:tc>
        <w:tc>
          <w:tcPr>
            <w:tcW w:w="806" w:type="dxa"/>
            <w:shd w:val="clear" w:color="auto" w:fill="auto"/>
            <w:vAlign w:val="center"/>
            <w:hideMark/>
          </w:tcPr>
          <w:p w14:paraId="7879593A"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0</w:t>
            </w:r>
          </w:p>
        </w:tc>
        <w:tc>
          <w:tcPr>
            <w:tcW w:w="806" w:type="dxa"/>
            <w:shd w:val="clear" w:color="auto" w:fill="auto"/>
            <w:vAlign w:val="center"/>
            <w:hideMark/>
          </w:tcPr>
          <w:p w14:paraId="62610D77"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c>
          <w:tcPr>
            <w:tcW w:w="806" w:type="dxa"/>
            <w:vAlign w:val="center"/>
          </w:tcPr>
          <w:p w14:paraId="404E70C3"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c>
          <w:tcPr>
            <w:tcW w:w="802" w:type="dxa"/>
            <w:vAlign w:val="center"/>
          </w:tcPr>
          <w:p w14:paraId="1C48BD36"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0</w:t>
            </w:r>
          </w:p>
        </w:tc>
        <w:tc>
          <w:tcPr>
            <w:tcW w:w="806" w:type="dxa"/>
            <w:vAlign w:val="center"/>
          </w:tcPr>
          <w:p w14:paraId="2D8F8853"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12</w:t>
            </w:r>
          </w:p>
        </w:tc>
      </w:tr>
      <w:tr w:rsidR="00BD47E0" w:rsidRPr="00A335CB" w14:paraId="5F6D8705" w14:textId="77777777" w:rsidTr="00653B9D">
        <w:trPr>
          <w:trHeight w:val="428"/>
          <w:jc w:val="center"/>
        </w:trPr>
        <w:tc>
          <w:tcPr>
            <w:tcW w:w="349" w:type="dxa"/>
            <w:shd w:val="clear" w:color="auto" w:fill="auto"/>
            <w:vAlign w:val="center"/>
            <w:hideMark/>
          </w:tcPr>
          <w:p w14:paraId="68581A32" w14:textId="7777777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 </w:t>
            </w:r>
          </w:p>
        </w:tc>
        <w:tc>
          <w:tcPr>
            <w:tcW w:w="3881" w:type="dxa"/>
            <w:shd w:val="clear" w:color="auto" w:fill="auto"/>
            <w:vAlign w:val="center"/>
            <w:hideMark/>
          </w:tcPr>
          <w:p w14:paraId="16F1D6E5" w14:textId="13C80969" w:rsidR="00653B9D" w:rsidRPr="00A335CB" w:rsidRDefault="008024B7"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pozitivno rešeni</w:t>
            </w:r>
          </w:p>
        </w:tc>
        <w:tc>
          <w:tcPr>
            <w:tcW w:w="806" w:type="dxa"/>
            <w:shd w:val="clear" w:color="auto" w:fill="auto"/>
            <w:vAlign w:val="center"/>
            <w:hideMark/>
          </w:tcPr>
          <w:p w14:paraId="56CDC3CA"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431</w:t>
            </w:r>
          </w:p>
        </w:tc>
        <w:tc>
          <w:tcPr>
            <w:tcW w:w="806" w:type="dxa"/>
            <w:shd w:val="clear" w:color="auto" w:fill="auto"/>
            <w:vAlign w:val="center"/>
            <w:hideMark/>
          </w:tcPr>
          <w:p w14:paraId="2EDD09D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295</w:t>
            </w:r>
          </w:p>
        </w:tc>
        <w:tc>
          <w:tcPr>
            <w:tcW w:w="806" w:type="dxa"/>
            <w:shd w:val="clear" w:color="auto" w:fill="auto"/>
            <w:vAlign w:val="center"/>
            <w:hideMark/>
          </w:tcPr>
          <w:p w14:paraId="70CFD87E"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609</w:t>
            </w:r>
          </w:p>
        </w:tc>
        <w:tc>
          <w:tcPr>
            <w:tcW w:w="806" w:type="dxa"/>
            <w:vAlign w:val="center"/>
          </w:tcPr>
          <w:p w14:paraId="70B153F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753</w:t>
            </w:r>
          </w:p>
        </w:tc>
        <w:tc>
          <w:tcPr>
            <w:tcW w:w="802" w:type="dxa"/>
            <w:vAlign w:val="center"/>
          </w:tcPr>
          <w:p w14:paraId="5DEFA7E9"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144</w:t>
            </w:r>
          </w:p>
        </w:tc>
        <w:tc>
          <w:tcPr>
            <w:tcW w:w="806" w:type="dxa"/>
            <w:vAlign w:val="center"/>
          </w:tcPr>
          <w:p w14:paraId="4E098CDB"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584</w:t>
            </w:r>
          </w:p>
        </w:tc>
      </w:tr>
      <w:tr w:rsidR="00BD47E0" w:rsidRPr="00A335CB" w14:paraId="77FB4602" w14:textId="77777777" w:rsidTr="00653B9D">
        <w:trPr>
          <w:trHeight w:val="428"/>
          <w:jc w:val="center"/>
        </w:trPr>
        <w:tc>
          <w:tcPr>
            <w:tcW w:w="349" w:type="dxa"/>
            <w:shd w:val="clear" w:color="auto" w:fill="auto"/>
            <w:vAlign w:val="center"/>
            <w:hideMark/>
          </w:tcPr>
          <w:p w14:paraId="07E1C660" w14:textId="7777777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 </w:t>
            </w:r>
          </w:p>
        </w:tc>
        <w:tc>
          <w:tcPr>
            <w:tcW w:w="3881" w:type="dxa"/>
            <w:shd w:val="clear" w:color="auto" w:fill="auto"/>
            <w:vAlign w:val="center"/>
            <w:hideMark/>
          </w:tcPr>
          <w:p w14:paraId="7B841881" w14:textId="7C1DC626" w:rsidR="00653B9D" w:rsidRPr="00A335CB" w:rsidRDefault="008024B7"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w:t>
            </w:r>
            <w:r w:rsidRPr="00A335CB">
              <w:rPr>
                <w:rFonts w:ascii="Arial" w:eastAsia="Times New Roman" w:hAnsi="Arial" w:cs="Arial"/>
                <w:sz w:val="20"/>
                <w:szCs w:val="20"/>
                <w:lang w:eastAsia="sl-SI"/>
              </w:rPr>
              <w:t xml:space="preserve"> </w:t>
            </w:r>
            <w:r w:rsidR="00653B9D" w:rsidRPr="00A335CB">
              <w:rPr>
                <w:rFonts w:ascii="Arial" w:eastAsia="Times New Roman" w:hAnsi="Arial" w:cs="Arial"/>
                <w:sz w:val="20"/>
                <w:szCs w:val="20"/>
                <w:lang w:eastAsia="sl-SI"/>
              </w:rPr>
              <w:t>prenos v naslednje leto</w:t>
            </w:r>
          </w:p>
        </w:tc>
        <w:tc>
          <w:tcPr>
            <w:tcW w:w="806" w:type="dxa"/>
            <w:shd w:val="clear" w:color="auto" w:fill="auto"/>
            <w:vAlign w:val="center"/>
            <w:hideMark/>
          </w:tcPr>
          <w:p w14:paraId="15ACFF95"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12</w:t>
            </w:r>
          </w:p>
        </w:tc>
        <w:tc>
          <w:tcPr>
            <w:tcW w:w="806" w:type="dxa"/>
            <w:shd w:val="clear" w:color="auto" w:fill="auto"/>
            <w:vAlign w:val="center"/>
            <w:hideMark/>
          </w:tcPr>
          <w:p w14:paraId="28D5AE34"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9</w:t>
            </w:r>
          </w:p>
        </w:tc>
        <w:tc>
          <w:tcPr>
            <w:tcW w:w="806" w:type="dxa"/>
            <w:shd w:val="clear" w:color="auto" w:fill="auto"/>
            <w:vAlign w:val="center"/>
            <w:hideMark/>
          </w:tcPr>
          <w:p w14:paraId="2888C7C6"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16</w:t>
            </w:r>
          </w:p>
        </w:tc>
        <w:tc>
          <w:tcPr>
            <w:tcW w:w="806" w:type="dxa"/>
            <w:vAlign w:val="center"/>
          </w:tcPr>
          <w:p w14:paraId="2264CA54"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w:t>
            </w:r>
          </w:p>
        </w:tc>
        <w:tc>
          <w:tcPr>
            <w:tcW w:w="802" w:type="dxa"/>
            <w:vAlign w:val="center"/>
          </w:tcPr>
          <w:p w14:paraId="0FB2B25D"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37</w:t>
            </w:r>
          </w:p>
        </w:tc>
        <w:tc>
          <w:tcPr>
            <w:tcW w:w="806" w:type="dxa"/>
            <w:vAlign w:val="center"/>
          </w:tcPr>
          <w:p w14:paraId="557155F4" w14:textId="77777777" w:rsidR="00653B9D" w:rsidRPr="00A335CB" w:rsidRDefault="00653B9D" w:rsidP="005D1A90">
            <w:pPr>
              <w:spacing w:after="0" w:line="276" w:lineRule="auto"/>
              <w:jc w:val="center"/>
              <w:rPr>
                <w:rFonts w:ascii="Arial" w:eastAsia="Times New Roman" w:hAnsi="Arial" w:cs="Arial"/>
                <w:sz w:val="20"/>
                <w:szCs w:val="20"/>
                <w:lang w:eastAsia="sl-SI"/>
              </w:rPr>
            </w:pPr>
            <w:r w:rsidRPr="00A335CB">
              <w:rPr>
                <w:rFonts w:ascii="Arial" w:eastAsia="Times New Roman" w:hAnsi="Arial" w:cs="Arial"/>
                <w:sz w:val="20"/>
                <w:szCs w:val="20"/>
                <w:lang w:eastAsia="sl-SI"/>
              </w:rPr>
              <w:t>46</w:t>
            </w:r>
          </w:p>
        </w:tc>
      </w:tr>
    </w:tbl>
    <w:p w14:paraId="7DB9A8CB" w14:textId="1D47AB2C" w:rsidR="00653B9D" w:rsidRPr="00A335CB" w:rsidRDefault="00653B9D" w:rsidP="005C25B4">
      <w:pPr>
        <w:spacing w:before="80" w:after="0" w:line="276" w:lineRule="auto"/>
        <w:jc w:val="both"/>
        <w:rPr>
          <w:rFonts w:ascii="Arial" w:hAnsi="Arial" w:cs="Arial"/>
          <w:sz w:val="20"/>
          <w:szCs w:val="20"/>
        </w:rPr>
      </w:pPr>
      <w:r w:rsidRPr="00A335CB">
        <w:rPr>
          <w:rFonts w:ascii="Arial" w:hAnsi="Arial" w:cs="Arial"/>
          <w:b/>
          <w:sz w:val="20"/>
          <w:szCs w:val="20"/>
        </w:rPr>
        <w:t>Preglednica:</w:t>
      </w:r>
      <w:r w:rsidRPr="00A335CB">
        <w:rPr>
          <w:rFonts w:ascii="Arial" w:hAnsi="Arial" w:cs="Arial"/>
          <w:sz w:val="20"/>
          <w:szCs w:val="20"/>
        </w:rPr>
        <w:t xml:space="preserve"> Število postopkov na področju fizičnega varovanja jedrskih objektov, snovi in prevozov jedrskih snovi v obdobju 2019</w:t>
      </w:r>
      <w:r w:rsidR="008024B7">
        <w:rPr>
          <w:rFonts w:ascii="Arial" w:hAnsi="Arial" w:cs="Arial"/>
          <w:sz w:val="20"/>
          <w:szCs w:val="20"/>
        </w:rPr>
        <w:t>–</w:t>
      </w:r>
      <w:r w:rsidR="00BD567F" w:rsidRPr="00A335CB">
        <w:rPr>
          <w:rFonts w:ascii="Arial" w:hAnsi="Arial" w:cs="Arial"/>
          <w:sz w:val="20"/>
          <w:szCs w:val="20"/>
        </w:rPr>
        <w:t>2024</w:t>
      </w:r>
    </w:p>
    <w:p w14:paraId="568D6D81" w14:textId="77777777" w:rsidR="00653B9D" w:rsidRPr="00A335CB" w:rsidRDefault="00653B9D" w:rsidP="005D1A90">
      <w:pPr>
        <w:spacing w:after="0" w:line="276" w:lineRule="auto"/>
        <w:jc w:val="both"/>
        <w:rPr>
          <w:rFonts w:ascii="Arial" w:hAnsi="Arial" w:cs="Arial"/>
          <w:sz w:val="20"/>
          <w:szCs w:val="20"/>
        </w:rPr>
      </w:pPr>
    </w:p>
    <w:p w14:paraId="0AAECE26" w14:textId="660C184F" w:rsidR="00653B9D" w:rsidRPr="00A335CB" w:rsidRDefault="00BD567F" w:rsidP="005D1A90">
      <w:pPr>
        <w:spacing w:after="0" w:line="276" w:lineRule="auto"/>
        <w:jc w:val="both"/>
        <w:rPr>
          <w:rFonts w:ascii="Arial" w:hAnsi="Arial" w:cs="Arial"/>
          <w:sz w:val="20"/>
          <w:szCs w:val="20"/>
          <w:highlight w:val="yellow"/>
        </w:rPr>
      </w:pPr>
      <w:r w:rsidRPr="00A335CB">
        <w:rPr>
          <w:rFonts w:ascii="Arial" w:hAnsi="Arial" w:cs="Arial"/>
          <w:sz w:val="20"/>
          <w:szCs w:val="20"/>
        </w:rPr>
        <w:t>Uslužbenka MNZ</w:t>
      </w:r>
      <w:r w:rsidR="00653B9D" w:rsidRPr="00A335CB">
        <w:rPr>
          <w:rFonts w:ascii="Arial" w:hAnsi="Arial" w:cs="Arial"/>
          <w:sz w:val="20"/>
          <w:szCs w:val="20"/>
        </w:rPr>
        <w:t xml:space="preserve"> se je udeležila dveh srečanj Mednarodne agencije za atomsko energijo na Dunaju</w:t>
      </w:r>
      <w:r w:rsidR="005B6049" w:rsidRPr="00A335CB">
        <w:rPr>
          <w:rFonts w:ascii="Arial" w:hAnsi="Arial" w:cs="Arial"/>
          <w:sz w:val="20"/>
          <w:szCs w:val="20"/>
        </w:rPr>
        <w:t>,</w:t>
      </w:r>
      <w:r w:rsidR="00653B9D" w:rsidRPr="00A335CB">
        <w:rPr>
          <w:rFonts w:ascii="Arial" w:hAnsi="Arial" w:cs="Arial"/>
          <w:sz w:val="20"/>
          <w:szCs w:val="20"/>
        </w:rPr>
        <w:t xml:space="preserve"> in sicer 10</w:t>
      </w:r>
      <w:r w:rsidR="00653B9D" w:rsidRPr="00A335CB">
        <w:rPr>
          <w:rFonts w:ascii="Arial" w:hAnsi="Arial" w:cs="Arial"/>
          <w:bCs/>
          <w:sz w:val="20"/>
          <w:szCs w:val="20"/>
        </w:rPr>
        <w:t xml:space="preserve">. tehničnega srečanja predstavnikov članic podpisnic konvencije o fizičnem varovanju jedrskih snovi </w:t>
      </w:r>
      <w:r w:rsidR="00653B9D" w:rsidRPr="00A335CB">
        <w:rPr>
          <w:rFonts w:ascii="Arial" w:hAnsi="Arial" w:cs="Arial"/>
          <w:sz w:val="20"/>
          <w:szCs w:val="20"/>
        </w:rPr>
        <w:t xml:space="preserve">(9th </w:t>
      </w:r>
      <w:proofErr w:type="spellStart"/>
      <w:r w:rsidR="00653B9D" w:rsidRPr="00A335CB">
        <w:rPr>
          <w:rFonts w:ascii="Arial" w:hAnsi="Arial" w:cs="Arial"/>
          <w:bCs/>
          <w:sz w:val="20"/>
          <w:szCs w:val="20"/>
        </w:rPr>
        <w:t>Technical</w:t>
      </w:r>
      <w:proofErr w:type="spellEnd"/>
      <w:r w:rsidR="00653B9D" w:rsidRPr="00A335CB">
        <w:rPr>
          <w:rFonts w:ascii="Arial" w:hAnsi="Arial" w:cs="Arial"/>
          <w:bCs/>
          <w:sz w:val="20"/>
          <w:szCs w:val="20"/>
        </w:rPr>
        <w:t xml:space="preserve"> Meeting </w:t>
      </w:r>
      <w:proofErr w:type="spellStart"/>
      <w:r w:rsidR="00653B9D" w:rsidRPr="00A335CB">
        <w:rPr>
          <w:rFonts w:ascii="Arial" w:hAnsi="Arial" w:cs="Arial"/>
          <w:bCs/>
          <w:sz w:val="20"/>
          <w:szCs w:val="20"/>
        </w:rPr>
        <w:t>of</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the</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Representatives</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of</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Parties</w:t>
      </w:r>
      <w:proofErr w:type="spellEnd"/>
      <w:r w:rsidR="00653B9D" w:rsidRPr="00A335CB">
        <w:rPr>
          <w:rFonts w:ascii="Arial" w:hAnsi="Arial" w:cs="Arial"/>
          <w:bCs/>
          <w:sz w:val="20"/>
          <w:szCs w:val="20"/>
        </w:rPr>
        <w:t xml:space="preserve"> to </w:t>
      </w:r>
      <w:proofErr w:type="spellStart"/>
      <w:r w:rsidR="00653B9D" w:rsidRPr="00A335CB">
        <w:rPr>
          <w:rFonts w:ascii="Arial" w:hAnsi="Arial" w:cs="Arial"/>
          <w:bCs/>
          <w:sz w:val="20"/>
          <w:szCs w:val="20"/>
        </w:rPr>
        <w:t>the</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Convention</w:t>
      </w:r>
      <w:proofErr w:type="spellEnd"/>
      <w:r w:rsidR="00653B9D" w:rsidRPr="00A335CB">
        <w:rPr>
          <w:rFonts w:ascii="Arial" w:hAnsi="Arial" w:cs="Arial"/>
          <w:bCs/>
          <w:sz w:val="20"/>
          <w:szCs w:val="20"/>
        </w:rPr>
        <w:t xml:space="preserve"> on </w:t>
      </w:r>
      <w:proofErr w:type="spellStart"/>
      <w:r w:rsidR="00653B9D" w:rsidRPr="00A335CB">
        <w:rPr>
          <w:rFonts w:ascii="Arial" w:hAnsi="Arial" w:cs="Arial"/>
          <w:bCs/>
          <w:sz w:val="20"/>
          <w:szCs w:val="20"/>
        </w:rPr>
        <w:t>the</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Physical</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Protection</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of</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Nuclear</w:t>
      </w:r>
      <w:proofErr w:type="spellEnd"/>
      <w:r w:rsidR="00653B9D" w:rsidRPr="00A335CB">
        <w:rPr>
          <w:rFonts w:ascii="Arial" w:hAnsi="Arial" w:cs="Arial"/>
          <w:bCs/>
          <w:sz w:val="20"/>
          <w:szCs w:val="20"/>
        </w:rPr>
        <w:t xml:space="preserve"> Material (CPPNM) </w:t>
      </w:r>
      <w:proofErr w:type="spellStart"/>
      <w:r w:rsidR="00653B9D" w:rsidRPr="00A335CB">
        <w:rPr>
          <w:rFonts w:ascii="Arial" w:hAnsi="Arial" w:cs="Arial"/>
          <w:bCs/>
          <w:sz w:val="20"/>
          <w:szCs w:val="20"/>
        </w:rPr>
        <w:t>and</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the</w:t>
      </w:r>
      <w:proofErr w:type="spellEnd"/>
      <w:r w:rsidR="00653B9D" w:rsidRPr="00A335CB">
        <w:rPr>
          <w:rFonts w:ascii="Arial" w:hAnsi="Arial" w:cs="Arial"/>
          <w:bCs/>
          <w:sz w:val="20"/>
          <w:szCs w:val="20"/>
        </w:rPr>
        <w:t xml:space="preserve"> CPPNM </w:t>
      </w:r>
      <w:proofErr w:type="spellStart"/>
      <w:r w:rsidR="00653B9D" w:rsidRPr="00A335CB">
        <w:rPr>
          <w:rFonts w:ascii="Arial" w:hAnsi="Arial" w:cs="Arial"/>
          <w:bCs/>
          <w:sz w:val="20"/>
          <w:szCs w:val="20"/>
        </w:rPr>
        <w:t>Amendment</w:t>
      </w:r>
      <w:proofErr w:type="spellEnd"/>
      <w:r w:rsidR="00653B9D" w:rsidRPr="00A335CB">
        <w:rPr>
          <w:rFonts w:ascii="Arial" w:hAnsi="Arial" w:cs="Arial"/>
          <w:bCs/>
          <w:sz w:val="20"/>
          <w:szCs w:val="20"/>
        </w:rPr>
        <w:t>), ki je potekalo 19. in 20.</w:t>
      </w:r>
      <w:r w:rsidR="008024B7">
        <w:rPr>
          <w:rFonts w:ascii="Arial" w:hAnsi="Arial" w:cs="Arial"/>
          <w:bCs/>
          <w:sz w:val="20"/>
          <w:szCs w:val="20"/>
        </w:rPr>
        <w:t> </w:t>
      </w:r>
      <w:r w:rsidR="00653B9D" w:rsidRPr="00A335CB">
        <w:rPr>
          <w:rFonts w:ascii="Arial" w:hAnsi="Arial" w:cs="Arial"/>
          <w:bCs/>
          <w:sz w:val="20"/>
          <w:szCs w:val="20"/>
        </w:rPr>
        <w:t>11.</w:t>
      </w:r>
      <w:r w:rsidR="008024B7">
        <w:rPr>
          <w:rFonts w:ascii="Arial" w:hAnsi="Arial" w:cs="Arial"/>
          <w:bCs/>
          <w:sz w:val="20"/>
          <w:szCs w:val="20"/>
        </w:rPr>
        <w:t> </w:t>
      </w:r>
      <w:r w:rsidR="00653B9D" w:rsidRPr="00A335CB">
        <w:rPr>
          <w:rFonts w:ascii="Arial" w:hAnsi="Arial" w:cs="Arial"/>
          <w:bCs/>
          <w:sz w:val="20"/>
          <w:szCs w:val="20"/>
        </w:rPr>
        <w:t>2024, in t</w:t>
      </w:r>
      <w:r w:rsidR="00653B9D" w:rsidRPr="00A335CB">
        <w:rPr>
          <w:rFonts w:ascii="Arial" w:hAnsi="Arial" w:cs="Arial"/>
          <w:sz w:val="20"/>
          <w:szCs w:val="20"/>
        </w:rPr>
        <w:t xml:space="preserve">ehničnega srečanja za spodbujanje </w:t>
      </w:r>
      <w:proofErr w:type="spellStart"/>
      <w:r w:rsidR="00653B9D" w:rsidRPr="00A335CB">
        <w:rPr>
          <w:rFonts w:ascii="Arial" w:hAnsi="Arial" w:cs="Arial"/>
          <w:sz w:val="20"/>
          <w:szCs w:val="20"/>
        </w:rPr>
        <w:t>univerzalizacije</w:t>
      </w:r>
      <w:proofErr w:type="spellEnd"/>
      <w:r w:rsidR="00653B9D" w:rsidRPr="00A335CB">
        <w:rPr>
          <w:rFonts w:ascii="Arial" w:hAnsi="Arial" w:cs="Arial"/>
          <w:sz w:val="20"/>
          <w:szCs w:val="20"/>
        </w:rPr>
        <w:t xml:space="preserve"> konvencije in amandmaja, ki je potekalo 21. in 22. 11. 2024</w:t>
      </w:r>
      <w:r w:rsidR="005B6049" w:rsidRPr="00A335CB">
        <w:rPr>
          <w:rFonts w:ascii="Arial" w:hAnsi="Arial" w:cs="Arial"/>
          <w:bCs/>
          <w:sz w:val="20"/>
          <w:szCs w:val="20"/>
        </w:rPr>
        <w:t>. Predstavniki MNZ so se</w:t>
      </w:r>
      <w:r w:rsidR="00653B9D" w:rsidRPr="00A335CB">
        <w:rPr>
          <w:rFonts w:ascii="Arial" w:hAnsi="Arial" w:cs="Arial"/>
          <w:bCs/>
          <w:sz w:val="20"/>
          <w:szCs w:val="20"/>
        </w:rPr>
        <w:t xml:space="preserve"> udeležili letnega posveta Skupine za računalniško varnost v jedrskih objektih ter pripravljalnih sestankov za vajo o jedrski varnosti INEX-6, s tematiko sanacije in okrevanja po jedrskem dogodku. Predstavnica MNZ se je udeležila tudi rednega letnega srečanja predstavnikov članic skupine ENSRA (</w:t>
      </w:r>
      <w:proofErr w:type="spellStart"/>
      <w:r w:rsidR="00653B9D" w:rsidRPr="00A335CB">
        <w:rPr>
          <w:rFonts w:ascii="Arial" w:hAnsi="Arial" w:cs="Arial"/>
          <w:bCs/>
          <w:sz w:val="20"/>
          <w:szCs w:val="20"/>
        </w:rPr>
        <w:t>European</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Nuclear</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Security</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Regulators</w:t>
      </w:r>
      <w:proofErr w:type="spellEnd"/>
      <w:r w:rsidR="00653B9D" w:rsidRPr="00A335CB">
        <w:rPr>
          <w:rFonts w:ascii="Arial" w:hAnsi="Arial" w:cs="Arial"/>
          <w:bCs/>
          <w:sz w:val="20"/>
          <w:szCs w:val="20"/>
        </w:rPr>
        <w:t xml:space="preserve"> </w:t>
      </w:r>
      <w:proofErr w:type="spellStart"/>
      <w:r w:rsidR="00653B9D" w:rsidRPr="00A335CB">
        <w:rPr>
          <w:rFonts w:ascii="Arial" w:hAnsi="Arial" w:cs="Arial"/>
          <w:bCs/>
          <w:sz w:val="20"/>
          <w:szCs w:val="20"/>
        </w:rPr>
        <w:t>Association</w:t>
      </w:r>
      <w:proofErr w:type="spellEnd"/>
      <w:r w:rsidR="00653B9D" w:rsidRPr="00A335CB">
        <w:rPr>
          <w:rFonts w:ascii="Arial" w:hAnsi="Arial" w:cs="Arial"/>
          <w:bCs/>
          <w:sz w:val="20"/>
          <w:szCs w:val="20"/>
        </w:rPr>
        <w:t xml:space="preserve"> oziroma Evropsko združenje regulatorjev na področju jedrske varnosti), ki je potekalo v Republiki Sloveniji oktobr</w:t>
      </w:r>
      <w:r w:rsidR="008024B7">
        <w:rPr>
          <w:rFonts w:ascii="Arial" w:hAnsi="Arial" w:cs="Arial"/>
          <w:bCs/>
          <w:sz w:val="20"/>
          <w:szCs w:val="20"/>
        </w:rPr>
        <w:t>a</w:t>
      </w:r>
      <w:r w:rsidR="00653B9D" w:rsidRPr="00A335CB">
        <w:rPr>
          <w:rFonts w:ascii="Arial" w:hAnsi="Arial" w:cs="Arial"/>
          <w:bCs/>
          <w:sz w:val="20"/>
          <w:szCs w:val="20"/>
        </w:rPr>
        <w:t xml:space="preserve"> 2024, naloge v okviru članstva pa izvajata Uprava RS za jedrsko varnost in MNZ.</w:t>
      </w:r>
    </w:p>
    <w:p w14:paraId="6F274AF0" w14:textId="77777777" w:rsidR="00653B9D" w:rsidRPr="00A335CB" w:rsidRDefault="00653B9D" w:rsidP="005D1A90">
      <w:pPr>
        <w:spacing w:after="0" w:line="276" w:lineRule="auto"/>
        <w:jc w:val="both"/>
        <w:rPr>
          <w:rFonts w:ascii="Arial" w:hAnsi="Arial" w:cs="Arial"/>
          <w:sz w:val="20"/>
          <w:szCs w:val="20"/>
          <w:highlight w:val="yellow"/>
        </w:rPr>
      </w:pPr>
    </w:p>
    <w:p w14:paraId="5172CFCC" w14:textId="790D7FEA"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hibridnih groženj</w:t>
      </w:r>
      <w:r w:rsidR="005B6049" w:rsidRPr="00A335CB">
        <w:rPr>
          <w:rFonts w:ascii="Arial" w:hAnsi="Arial" w:cs="Arial"/>
          <w:sz w:val="20"/>
          <w:szCs w:val="20"/>
        </w:rPr>
        <w:t xml:space="preserve"> je MNZ</w:t>
      </w:r>
      <w:r w:rsidRPr="00A335CB">
        <w:rPr>
          <w:rFonts w:ascii="Arial" w:hAnsi="Arial" w:cs="Arial"/>
          <w:sz w:val="20"/>
          <w:szCs w:val="20"/>
        </w:rPr>
        <w:t xml:space="preserve"> pripravljalo odgovore s področja notranje varnosti in skrbelo za redno poročanje o zaznavanju hibridnih groženj v okviru t. i. </w:t>
      </w:r>
      <w:r w:rsidR="008024B7" w:rsidRPr="00A335CB">
        <w:rPr>
          <w:rFonts w:ascii="Arial" w:hAnsi="Arial" w:cs="Arial"/>
          <w:sz w:val="20"/>
          <w:szCs w:val="20"/>
        </w:rPr>
        <w:t>analize HTA</w:t>
      </w:r>
      <w:r w:rsidRPr="00A335CB">
        <w:rPr>
          <w:rFonts w:ascii="Arial" w:hAnsi="Arial" w:cs="Arial"/>
          <w:sz w:val="20"/>
          <w:szCs w:val="20"/>
        </w:rPr>
        <w:t xml:space="preserve"> (</w:t>
      </w:r>
      <w:proofErr w:type="spellStart"/>
      <w:r w:rsidRPr="00A335CB">
        <w:rPr>
          <w:rFonts w:ascii="Arial" w:hAnsi="Arial" w:cs="Arial"/>
          <w:sz w:val="20"/>
          <w:szCs w:val="20"/>
        </w:rPr>
        <w:t>Hybrid</w:t>
      </w:r>
      <w:proofErr w:type="spellEnd"/>
      <w:r w:rsidRPr="00A335CB">
        <w:rPr>
          <w:rFonts w:ascii="Arial" w:hAnsi="Arial" w:cs="Arial"/>
          <w:sz w:val="20"/>
          <w:szCs w:val="20"/>
        </w:rPr>
        <w:t xml:space="preserve"> Trend </w:t>
      </w:r>
      <w:proofErr w:type="spellStart"/>
      <w:r w:rsidRPr="00A335CB">
        <w:rPr>
          <w:rFonts w:ascii="Arial" w:hAnsi="Arial" w:cs="Arial"/>
          <w:sz w:val="20"/>
          <w:szCs w:val="20"/>
        </w:rPr>
        <w:t>Analyis</w:t>
      </w:r>
      <w:proofErr w:type="spellEnd"/>
      <w:r w:rsidRPr="00A335CB">
        <w:rPr>
          <w:rFonts w:ascii="Arial" w:hAnsi="Arial" w:cs="Arial"/>
          <w:sz w:val="20"/>
          <w:szCs w:val="20"/>
        </w:rPr>
        <w:t>).</w:t>
      </w:r>
    </w:p>
    <w:p w14:paraId="3C9AB3A1" w14:textId="77777777" w:rsidR="00653B9D" w:rsidRPr="00A335CB" w:rsidRDefault="00653B9D" w:rsidP="005D1A90">
      <w:pPr>
        <w:spacing w:after="0" w:line="276" w:lineRule="auto"/>
        <w:jc w:val="both"/>
        <w:rPr>
          <w:rFonts w:ascii="Arial" w:hAnsi="Arial" w:cs="Arial"/>
          <w:sz w:val="20"/>
          <w:szCs w:val="20"/>
        </w:rPr>
      </w:pPr>
    </w:p>
    <w:p w14:paraId="15E9FE42" w14:textId="15098473"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V okviru medresorske delovne skupine za </w:t>
      </w:r>
      <w:proofErr w:type="spellStart"/>
      <w:r w:rsidRPr="00A335CB">
        <w:rPr>
          <w:rFonts w:ascii="Arial" w:hAnsi="Arial" w:cs="Arial"/>
          <w:b/>
          <w:sz w:val="20"/>
          <w:szCs w:val="20"/>
        </w:rPr>
        <w:t>protiterorizem</w:t>
      </w:r>
      <w:proofErr w:type="spellEnd"/>
      <w:r w:rsidRPr="00A335CB">
        <w:rPr>
          <w:rFonts w:ascii="Arial" w:hAnsi="Arial" w:cs="Arial"/>
          <w:sz w:val="20"/>
          <w:szCs w:val="20"/>
        </w:rPr>
        <w:t xml:space="preserve"> je bilo pripravljeno poročilo o izvajanju Akcijskega načrta za preprečevanje terorizma in nasilnega ekstremizma za obdobje 2022–2024, ki izhaja iz </w:t>
      </w:r>
      <w:r w:rsidRPr="00A335CB">
        <w:rPr>
          <w:rFonts w:ascii="Arial" w:eastAsia="Times New Roman" w:hAnsi="Arial" w:cs="Arial"/>
          <w:sz w:val="20"/>
          <w:szCs w:val="20"/>
          <w:u w:color="000000"/>
        </w:rPr>
        <w:t xml:space="preserve">leta 2019 sprejete Nacionalne strategije </w:t>
      </w:r>
      <w:r w:rsidRPr="00A335CB">
        <w:rPr>
          <w:rFonts w:ascii="Arial" w:eastAsia="Times New Roman" w:hAnsi="Arial" w:cs="Arial"/>
          <w:sz w:val="20"/>
          <w:szCs w:val="20"/>
        </w:rPr>
        <w:t>za preprečevanje terorizma in nasilnega ekstremizma</w:t>
      </w:r>
      <w:r w:rsidRPr="00A335CB">
        <w:rPr>
          <w:rFonts w:ascii="Arial" w:hAnsi="Arial" w:cs="Arial"/>
          <w:sz w:val="20"/>
          <w:szCs w:val="20"/>
        </w:rPr>
        <w:t xml:space="preserve">. </w:t>
      </w:r>
      <w:r w:rsidR="008024B7" w:rsidRPr="00A335CB">
        <w:rPr>
          <w:rFonts w:ascii="Arial" w:hAnsi="Arial" w:cs="Arial"/>
          <w:sz w:val="20"/>
          <w:szCs w:val="20"/>
        </w:rPr>
        <w:t>Potekal</w:t>
      </w:r>
      <w:r w:rsidR="008024B7">
        <w:rPr>
          <w:rFonts w:ascii="Arial" w:hAnsi="Arial" w:cs="Arial"/>
          <w:sz w:val="20"/>
          <w:szCs w:val="20"/>
        </w:rPr>
        <w:t>a</w:t>
      </w:r>
      <w:r w:rsidR="008024B7" w:rsidRPr="00A335CB">
        <w:rPr>
          <w:rFonts w:ascii="Arial" w:hAnsi="Arial" w:cs="Arial"/>
          <w:sz w:val="20"/>
          <w:szCs w:val="20"/>
        </w:rPr>
        <w:t xml:space="preserve"> </w:t>
      </w:r>
      <w:r w:rsidR="008024B7">
        <w:rPr>
          <w:rFonts w:ascii="Arial" w:hAnsi="Arial" w:cs="Arial"/>
          <w:sz w:val="20"/>
          <w:szCs w:val="20"/>
        </w:rPr>
        <w:t>so:</w:t>
      </w:r>
      <w:r w:rsidR="008024B7" w:rsidRPr="00A335CB">
        <w:rPr>
          <w:rFonts w:ascii="Arial" w:hAnsi="Arial" w:cs="Arial"/>
          <w:sz w:val="20"/>
          <w:szCs w:val="20"/>
        </w:rPr>
        <w:t xml:space="preserve"> </w:t>
      </w:r>
      <w:r w:rsidRPr="00A335CB">
        <w:rPr>
          <w:rFonts w:ascii="Arial" w:hAnsi="Arial" w:cs="Arial"/>
          <w:sz w:val="20"/>
          <w:szCs w:val="20"/>
        </w:rPr>
        <w:t>sodelovanje v delovni skupini EU TWP (</w:t>
      </w:r>
      <w:proofErr w:type="spellStart"/>
      <w:r w:rsidRPr="00A335CB">
        <w:rPr>
          <w:rFonts w:ascii="Arial" w:hAnsi="Arial" w:cs="Arial"/>
          <w:sz w:val="20"/>
          <w:szCs w:val="20"/>
        </w:rPr>
        <w:t>Terorrism</w:t>
      </w:r>
      <w:proofErr w:type="spellEnd"/>
      <w:r w:rsidRPr="00A335CB">
        <w:rPr>
          <w:rFonts w:ascii="Arial" w:hAnsi="Arial" w:cs="Arial"/>
          <w:sz w:val="20"/>
          <w:szCs w:val="20"/>
        </w:rPr>
        <w:t xml:space="preserve"> </w:t>
      </w:r>
      <w:proofErr w:type="spellStart"/>
      <w:r w:rsidRPr="00A335CB">
        <w:rPr>
          <w:rFonts w:ascii="Arial" w:hAnsi="Arial" w:cs="Arial"/>
          <w:sz w:val="20"/>
          <w:szCs w:val="20"/>
        </w:rPr>
        <w:t>Working</w:t>
      </w:r>
      <w:proofErr w:type="spellEnd"/>
      <w:r w:rsidRPr="00A335CB">
        <w:rPr>
          <w:rFonts w:ascii="Arial" w:hAnsi="Arial" w:cs="Arial"/>
          <w:sz w:val="20"/>
          <w:szCs w:val="20"/>
        </w:rPr>
        <w:t xml:space="preserve"> </w:t>
      </w:r>
      <w:proofErr w:type="spellStart"/>
      <w:r w:rsidRPr="00A335CB">
        <w:rPr>
          <w:rFonts w:ascii="Arial" w:hAnsi="Arial" w:cs="Arial"/>
          <w:sz w:val="20"/>
          <w:szCs w:val="20"/>
        </w:rPr>
        <w:t>Party</w:t>
      </w:r>
      <w:proofErr w:type="spellEnd"/>
      <w:r w:rsidRPr="00A335CB">
        <w:rPr>
          <w:rFonts w:ascii="Arial" w:hAnsi="Arial" w:cs="Arial"/>
          <w:sz w:val="20"/>
          <w:szCs w:val="20"/>
        </w:rPr>
        <w:t xml:space="preserve">) zlasti s področja zaščite javnih mest, dvakratno sodelovanje na </w:t>
      </w:r>
      <w:r w:rsidR="008024B7">
        <w:rPr>
          <w:rFonts w:ascii="Arial" w:hAnsi="Arial" w:cs="Arial"/>
          <w:sz w:val="20"/>
          <w:szCs w:val="20"/>
        </w:rPr>
        <w:t>evropskem</w:t>
      </w:r>
      <w:r w:rsidR="008024B7" w:rsidRPr="00A335CB">
        <w:rPr>
          <w:rFonts w:ascii="Arial" w:hAnsi="Arial" w:cs="Arial"/>
          <w:sz w:val="20"/>
          <w:szCs w:val="20"/>
        </w:rPr>
        <w:t xml:space="preserve"> </w:t>
      </w:r>
      <w:r w:rsidRPr="00A335CB">
        <w:rPr>
          <w:rFonts w:ascii="Arial" w:hAnsi="Arial" w:cs="Arial"/>
          <w:sz w:val="20"/>
          <w:szCs w:val="20"/>
        </w:rPr>
        <w:t>Forumu za zaščito javnih mest (enkrat v Bruslju, enkrat na daljavo), sodelovanje v projektu</w:t>
      </w:r>
      <w:r w:rsidR="008024B7">
        <w:rPr>
          <w:rFonts w:ascii="Arial" w:hAnsi="Arial" w:cs="Arial"/>
          <w:sz w:val="20"/>
          <w:szCs w:val="20"/>
        </w:rPr>
        <w:t xml:space="preserve"> EU</w:t>
      </w:r>
      <w:r w:rsidRPr="00A335CB">
        <w:rPr>
          <w:rFonts w:ascii="Arial" w:hAnsi="Arial" w:cs="Arial"/>
          <w:sz w:val="20"/>
          <w:szCs w:val="20"/>
        </w:rPr>
        <w:t xml:space="preserve"> HORIZON 2020 – APPRAISE (za zaščito mehkih tarč in javnih mest pred terorističnim napadom) ter aktivno sodelovanje v okviru medresorskih delovnih skupin za </w:t>
      </w:r>
      <w:proofErr w:type="spellStart"/>
      <w:r w:rsidRPr="00A335CB">
        <w:rPr>
          <w:rFonts w:ascii="Arial" w:hAnsi="Arial" w:cs="Arial"/>
          <w:sz w:val="20"/>
          <w:szCs w:val="20"/>
        </w:rPr>
        <w:t>protiterorizem</w:t>
      </w:r>
      <w:proofErr w:type="spellEnd"/>
      <w:r w:rsidRPr="00A335CB">
        <w:rPr>
          <w:rFonts w:ascii="Arial" w:hAnsi="Arial" w:cs="Arial"/>
          <w:sz w:val="20"/>
          <w:szCs w:val="20"/>
        </w:rPr>
        <w:t xml:space="preserve"> in preprečevanje radikalizacije. </w:t>
      </w:r>
      <w:r w:rsidR="008024B7" w:rsidRPr="00A335CB">
        <w:rPr>
          <w:rFonts w:ascii="Arial" w:hAnsi="Arial" w:cs="Arial"/>
          <w:sz w:val="20"/>
          <w:szCs w:val="20"/>
        </w:rPr>
        <w:t>Potekal</w:t>
      </w:r>
      <w:r w:rsidR="008024B7">
        <w:rPr>
          <w:rFonts w:ascii="Arial" w:hAnsi="Arial" w:cs="Arial"/>
          <w:sz w:val="20"/>
          <w:szCs w:val="20"/>
        </w:rPr>
        <w:t>i</w:t>
      </w:r>
      <w:r w:rsidR="008024B7" w:rsidRPr="00A335CB">
        <w:rPr>
          <w:rFonts w:ascii="Arial" w:hAnsi="Arial" w:cs="Arial"/>
          <w:sz w:val="20"/>
          <w:szCs w:val="20"/>
        </w:rPr>
        <w:t xml:space="preserve"> </w:t>
      </w:r>
      <w:r w:rsidR="008024B7">
        <w:rPr>
          <w:rFonts w:ascii="Arial" w:hAnsi="Arial" w:cs="Arial"/>
          <w:sz w:val="20"/>
          <w:szCs w:val="20"/>
        </w:rPr>
        <w:t>sta</w:t>
      </w:r>
      <w:r w:rsidR="008024B7" w:rsidRPr="00A335CB">
        <w:rPr>
          <w:rFonts w:ascii="Arial" w:hAnsi="Arial" w:cs="Arial"/>
          <w:sz w:val="20"/>
          <w:szCs w:val="20"/>
        </w:rPr>
        <w:t xml:space="preserve"> </w:t>
      </w:r>
      <w:r w:rsidRPr="00A335CB">
        <w:rPr>
          <w:rFonts w:ascii="Arial" w:hAnsi="Arial" w:cs="Arial"/>
          <w:sz w:val="20"/>
          <w:szCs w:val="20"/>
        </w:rPr>
        <w:t xml:space="preserve">tudi </w:t>
      </w:r>
      <w:r w:rsidR="008024B7" w:rsidRPr="00A335CB">
        <w:rPr>
          <w:rFonts w:ascii="Arial" w:hAnsi="Arial" w:cs="Arial"/>
          <w:sz w:val="20"/>
          <w:szCs w:val="20"/>
        </w:rPr>
        <w:t>sodelovanj</w:t>
      </w:r>
      <w:r w:rsidR="008024B7">
        <w:rPr>
          <w:rFonts w:ascii="Arial" w:hAnsi="Arial" w:cs="Arial"/>
          <w:sz w:val="20"/>
          <w:szCs w:val="20"/>
        </w:rPr>
        <w:t>i</w:t>
      </w:r>
      <w:r w:rsidR="008024B7" w:rsidRPr="00A335CB">
        <w:rPr>
          <w:rFonts w:ascii="Arial" w:hAnsi="Arial" w:cs="Arial"/>
          <w:sz w:val="20"/>
          <w:szCs w:val="20"/>
        </w:rPr>
        <w:t xml:space="preserve"> </w:t>
      </w:r>
      <w:r w:rsidRPr="00A335CB">
        <w:rPr>
          <w:rFonts w:ascii="Arial" w:hAnsi="Arial" w:cs="Arial"/>
          <w:sz w:val="20"/>
          <w:szCs w:val="20"/>
        </w:rPr>
        <w:t xml:space="preserve">z Nacionalnim inštitutom za javno zdravje v okviru mednarodnega projekta s področja biološkega in kemičnega terorizma (JR TERROR) in z Ministrstvom za zunanje in evropske zadeve, Upravo kriminalistične policije in Slovenske obveščevalno varnostne agencije pri aktivnostih s področja terorizma v okviru predsedovanja Republike Slovenije Varnostnemu svetu Organizacije združenih narodov. Predstavnica MNZ je bila v prvi četrtini leta 2024 aktivno vključena v organizacijo in izvedbo politično vojaških konzultacij Globalne koalicije zoper </w:t>
      </w:r>
      <w:proofErr w:type="spellStart"/>
      <w:r w:rsidRPr="00A335CB">
        <w:rPr>
          <w:rFonts w:ascii="Arial" w:hAnsi="Arial" w:cs="Arial"/>
          <w:sz w:val="20"/>
          <w:szCs w:val="20"/>
        </w:rPr>
        <w:t>Daesh</w:t>
      </w:r>
      <w:proofErr w:type="spellEnd"/>
      <w:r w:rsidRPr="00A335CB">
        <w:rPr>
          <w:rFonts w:ascii="Arial" w:hAnsi="Arial" w:cs="Arial"/>
          <w:sz w:val="20"/>
          <w:szCs w:val="20"/>
        </w:rPr>
        <w:t xml:space="preserve"> (Islamske države), kar je bil dogodek na visoki ravni boja proti mednarodnem</w:t>
      </w:r>
      <w:r w:rsidR="008024B7">
        <w:rPr>
          <w:rFonts w:ascii="Arial" w:hAnsi="Arial" w:cs="Arial"/>
          <w:sz w:val="20"/>
          <w:szCs w:val="20"/>
        </w:rPr>
        <w:t>u</w:t>
      </w:r>
      <w:r w:rsidRPr="00A335CB">
        <w:rPr>
          <w:rFonts w:ascii="Arial" w:hAnsi="Arial" w:cs="Arial"/>
          <w:sz w:val="20"/>
          <w:szCs w:val="20"/>
        </w:rPr>
        <w:t xml:space="preserve"> terorizmu.</w:t>
      </w:r>
    </w:p>
    <w:p w14:paraId="4CCBEA7D" w14:textId="77777777" w:rsidR="00653B9D" w:rsidRPr="00A335CB" w:rsidRDefault="00653B9D" w:rsidP="005D1A90">
      <w:pPr>
        <w:spacing w:after="0" w:line="276" w:lineRule="auto"/>
        <w:jc w:val="both"/>
        <w:rPr>
          <w:rFonts w:ascii="Arial" w:hAnsi="Arial" w:cs="Arial"/>
          <w:sz w:val="20"/>
          <w:szCs w:val="20"/>
        </w:rPr>
      </w:pPr>
    </w:p>
    <w:p w14:paraId="396BC165" w14:textId="7313774D" w:rsidR="008D24BA"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V okviru izvajanja nalog s področja varnostnega načrtovanja je v letu 2024 potekalo tudi več aktivnosti na področju usposabljanja za delo v spremenjenih varnostnih razmerah (predavanje članom štabov Civilne zaščite RS).</w:t>
      </w:r>
    </w:p>
    <w:p w14:paraId="15CC09EE" w14:textId="77777777" w:rsidR="00653B9D" w:rsidRPr="00A335CB" w:rsidRDefault="00653B9D" w:rsidP="005D1A90">
      <w:pPr>
        <w:spacing w:after="0" w:line="276" w:lineRule="auto"/>
        <w:jc w:val="both"/>
        <w:rPr>
          <w:rFonts w:ascii="Arial" w:hAnsi="Arial" w:cs="Arial"/>
          <w:sz w:val="20"/>
          <w:szCs w:val="20"/>
        </w:rPr>
      </w:pPr>
    </w:p>
    <w:p w14:paraId="5B12A31D" w14:textId="6C9C6EF3"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lang w:eastAsia="sl-SI"/>
        </w:rPr>
        <w:t xml:space="preserve">V sodelovanju s pristojnimi organizacijskimi enotami Generalne policijske uprave in dejavno vključenostjo </w:t>
      </w:r>
      <w:r w:rsidR="00721952">
        <w:rPr>
          <w:rFonts w:ascii="Arial" w:hAnsi="Arial" w:cs="Arial"/>
          <w:sz w:val="20"/>
          <w:szCs w:val="20"/>
          <w:lang w:eastAsia="sl-SI"/>
        </w:rPr>
        <w:t>drugih</w:t>
      </w:r>
      <w:r w:rsidR="00721952" w:rsidRPr="00A335CB">
        <w:rPr>
          <w:rFonts w:ascii="Arial" w:hAnsi="Arial" w:cs="Arial"/>
          <w:sz w:val="20"/>
          <w:szCs w:val="20"/>
          <w:lang w:eastAsia="sl-SI"/>
        </w:rPr>
        <w:t xml:space="preserve"> </w:t>
      </w:r>
      <w:r w:rsidRPr="00A335CB">
        <w:rPr>
          <w:rFonts w:ascii="Arial" w:hAnsi="Arial" w:cs="Arial"/>
          <w:sz w:val="20"/>
          <w:szCs w:val="20"/>
          <w:lang w:eastAsia="sl-SI"/>
        </w:rPr>
        <w:t>deležnikov (Telekom Sl</w:t>
      </w:r>
      <w:r w:rsidR="005B6049" w:rsidRPr="00A335CB">
        <w:rPr>
          <w:rFonts w:ascii="Arial" w:hAnsi="Arial" w:cs="Arial"/>
          <w:sz w:val="20"/>
          <w:szCs w:val="20"/>
          <w:lang w:eastAsia="sl-SI"/>
        </w:rPr>
        <w:t>ovenije, d. d., MDP</w:t>
      </w:r>
      <w:r w:rsidRPr="00A335CB">
        <w:rPr>
          <w:rFonts w:ascii="Arial" w:hAnsi="Arial" w:cs="Arial"/>
          <w:sz w:val="20"/>
          <w:szCs w:val="20"/>
          <w:lang w:eastAsia="sl-SI"/>
        </w:rPr>
        <w:t xml:space="preserve">, Agencija za komunikacijska omrežja in storitve Republike Slovenije) so potekale aktivnosti za sistemsko ureditev zagotavljanja </w:t>
      </w:r>
      <w:r w:rsidR="00721952">
        <w:rPr>
          <w:rFonts w:ascii="Arial" w:hAnsi="Arial" w:cs="Arial"/>
          <w:sz w:val="20"/>
          <w:szCs w:val="20"/>
          <w:lang w:eastAsia="sl-SI"/>
        </w:rPr>
        <w:t>predpisanih</w:t>
      </w:r>
      <w:r w:rsidR="00721952" w:rsidRPr="00A335CB">
        <w:rPr>
          <w:rFonts w:ascii="Arial" w:hAnsi="Arial" w:cs="Arial"/>
          <w:sz w:val="20"/>
          <w:szCs w:val="20"/>
          <w:lang w:eastAsia="sl-SI"/>
        </w:rPr>
        <w:t xml:space="preserve"> </w:t>
      </w:r>
      <w:r w:rsidRPr="00A335CB">
        <w:rPr>
          <w:rFonts w:ascii="Arial" w:hAnsi="Arial" w:cs="Arial"/>
          <w:sz w:val="20"/>
          <w:szCs w:val="20"/>
          <w:lang w:eastAsia="sl-SI"/>
        </w:rPr>
        <w:t>obveznosti iz 200. člena Zakona o elektronskih komunikacijah, ki se nanašajo na enotno evropsko telefonsko številko za prijavo pogrešanih otrok 116 000.</w:t>
      </w:r>
    </w:p>
    <w:p w14:paraId="549BF4F2" w14:textId="6E4B321B" w:rsidR="005318D4" w:rsidRPr="00A335CB" w:rsidRDefault="005318D4" w:rsidP="005D1A90">
      <w:pPr>
        <w:spacing w:after="0" w:line="276" w:lineRule="auto"/>
        <w:jc w:val="both"/>
        <w:rPr>
          <w:rFonts w:ascii="Arial" w:hAnsi="Arial" w:cs="Arial"/>
          <w:sz w:val="20"/>
          <w:szCs w:val="20"/>
        </w:rPr>
      </w:pPr>
    </w:p>
    <w:p w14:paraId="16C34D71" w14:textId="5C6B8A7C" w:rsidR="001223A8" w:rsidRPr="00A335CB" w:rsidRDefault="00590E45" w:rsidP="005D1A90">
      <w:pPr>
        <w:pStyle w:val="Naslov2"/>
        <w:spacing w:line="276" w:lineRule="auto"/>
        <w:jc w:val="both"/>
      </w:pPr>
      <w:bookmarkStart w:id="63" w:name="_Toc65591464"/>
      <w:bookmarkStart w:id="64" w:name="_Toc65651015"/>
      <w:bookmarkStart w:id="65" w:name="_Toc203552980"/>
      <w:r w:rsidRPr="00A335CB">
        <w:t>Upravne notranje zadeve</w:t>
      </w:r>
      <w:bookmarkEnd w:id="63"/>
      <w:bookmarkEnd w:id="64"/>
      <w:bookmarkEnd w:id="65"/>
    </w:p>
    <w:p w14:paraId="61DE2916" w14:textId="4859413C" w:rsidR="00486E53" w:rsidRPr="00A335CB" w:rsidRDefault="00486E53" w:rsidP="005D1A90">
      <w:pPr>
        <w:pStyle w:val="Naslov3"/>
        <w:spacing w:line="276" w:lineRule="auto"/>
        <w:jc w:val="both"/>
        <w:rPr>
          <w:rFonts w:cs="Arial"/>
          <w:sz w:val="20"/>
          <w:szCs w:val="20"/>
        </w:rPr>
      </w:pPr>
      <w:bookmarkStart w:id="66" w:name="_Toc203552981"/>
      <w:r w:rsidRPr="00A335CB">
        <w:rPr>
          <w:rFonts w:cs="Arial"/>
          <w:sz w:val="20"/>
          <w:szCs w:val="20"/>
        </w:rPr>
        <w:t xml:space="preserve">Zagotavljanje podatkov iz </w:t>
      </w:r>
      <w:r w:rsidR="001D2776" w:rsidRPr="00C83663">
        <w:rPr>
          <w:rFonts w:cs="Arial"/>
          <w:sz w:val="20"/>
          <w:szCs w:val="20"/>
        </w:rPr>
        <w:t>c</w:t>
      </w:r>
      <w:r w:rsidR="001D2776" w:rsidRPr="0087437A">
        <w:rPr>
          <w:rFonts w:cs="Arial"/>
          <w:sz w:val="20"/>
          <w:szCs w:val="20"/>
        </w:rPr>
        <w:t>entralnega</w:t>
      </w:r>
      <w:r w:rsidR="001D2776" w:rsidRPr="00A335CB">
        <w:rPr>
          <w:rFonts w:cs="Arial"/>
          <w:sz w:val="20"/>
          <w:szCs w:val="20"/>
        </w:rPr>
        <w:t xml:space="preserve"> </w:t>
      </w:r>
      <w:r w:rsidRPr="00A335CB">
        <w:rPr>
          <w:rFonts w:cs="Arial"/>
          <w:sz w:val="20"/>
          <w:szCs w:val="20"/>
        </w:rPr>
        <w:t>registra prebivalstva</w:t>
      </w:r>
      <w:bookmarkEnd w:id="66"/>
    </w:p>
    <w:p w14:paraId="6946EDD1" w14:textId="6859C2C9" w:rsidR="00653B9D" w:rsidRPr="00A335CB" w:rsidRDefault="00653B9D" w:rsidP="005D1A90">
      <w:pPr>
        <w:pStyle w:val="alineazaodstavkom1"/>
        <w:spacing w:line="276" w:lineRule="auto"/>
        <w:ind w:left="0" w:firstLine="0"/>
        <w:rPr>
          <w:sz w:val="20"/>
          <w:szCs w:val="20"/>
        </w:rPr>
      </w:pPr>
    </w:p>
    <w:p w14:paraId="29ADCAD9" w14:textId="60ABBE17" w:rsidR="00653B9D" w:rsidRPr="00A335CB" w:rsidRDefault="00653B9D" w:rsidP="005D1A90">
      <w:pPr>
        <w:pStyle w:val="alineazaodstavkom1"/>
        <w:spacing w:line="276" w:lineRule="auto"/>
        <w:ind w:left="0" w:firstLine="0"/>
        <w:rPr>
          <w:sz w:val="20"/>
          <w:szCs w:val="20"/>
        </w:rPr>
      </w:pPr>
      <w:r w:rsidRPr="00A335CB">
        <w:rPr>
          <w:sz w:val="20"/>
          <w:szCs w:val="20"/>
        </w:rPr>
        <w:t>Centralni register prebivalstva (</w:t>
      </w:r>
      <w:r w:rsidR="005B6049" w:rsidRPr="00A335CB">
        <w:rPr>
          <w:sz w:val="20"/>
          <w:szCs w:val="20"/>
        </w:rPr>
        <w:t xml:space="preserve">v nadaljnjem besedilu: </w:t>
      </w:r>
      <w:r w:rsidRPr="00A335CB">
        <w:rPr>
          <w:sz w:val="20"/>
          <w:szCs w:val="20"/>
        </w:rPr>
        <w:t>CRP) je osrednja zbirka podatkov o državljanih, tujcih, ki imajo v R</w:t>
      </w:r>
      <w:r w:rsidR="00F40A8E" w:rsidRPr="00A335CB">
        <w:rPr>
          <w:sz w:val="20"/>
          <w:szCs w:val="20"/>
        </w:rPr>
        <w:t xml:space="preserve">epubliki </w:t>
      </w:r>
      <w:r w:rsidRPr="00A335CB">
        <w:rPr>
          <w:sz w:val="20"/>
          <w:szCs w:val="20"/>
        </w:rPr>
        <w:t>S</w:t>
      </w:r>
      <w:r w:rsidR="00F40A8E" w:rsidRPr="00A335CB">
        <w:rPr>
          <w:sz w:val="20"/>
          <w:szCs w:val="20"/>
        </w:rPr>
        <w:t>loveniji</w:t>
      </w:r>
      <w:r w:rsidRPr="00A335CB">
        <w:rPr>
          <w:sz w:val="20"/>
          <w:szCs w:val="20"/>
        </w:rPr>
        <w:t xml:space="preserve"> urejen status, ter tujcih, ki v R</w:t>
      </w:r>
      <w:r w:rsidR="00F40A8E" w:rsidRPr="00A335CB">
        <w:rPr>
          <w:sz w:val="20"/>
          <w:szCs w:val="20"/>
        </w:rPr>
        <w:t xml:space="preserve">epubliki </w:t>
      </w:r>
      <w:r w:rsidRPr="00A335CB">
        <w:rPr>
          <w:sz w:val="20"/>
          <w:szCs w:val="20"/>
        </w:rPr>
        <w:t>S</w:t>
      </w:r>
      <w:r w:rsidR="00F40A8E" w:rsidRPr="00A335CB">
        <w:rPr>
          <w:sz w:val="20"/>
          <w:szCs w:val="20"/>
        </w:rPr>
        <w:t>loveniji</w:t>
      </w:r>
      <w:r w:rsidRPr="00A335CB">
        <w:rPr>
          <w:sz w:val="20"/>
          <w:szCs w:val="20"/>
        </w:rPr>
        <w:t xml:space="preserve"> nimajo dovoljenja za stalno ali začasno prebivanje, imajo pa določene pravice ali obveznosti na področju pokojninskega in invalidskega zavarovanja, davkov, iz humanitarnih razlogov ali na drugem področju, če je tako določeno z zakonom. V CRP se podatki o prebivalstvu centralno zbirajo, obdelujejo, hranijo in uporabljajo z namenom spremljati stanje in gibanje prebivalstva za potrebe državnih organov in drugih uporabnikov, ki jih potrebujejo za opravljanje predpisanih nalog oziroma za vodenje zbirk podatkov o posameznikih ter za namene izvajanja statističnih, </w:t>
      </w:r>
      <w:proofErr w:type="spellStart"/>
      <w:r w:rsidRPr="00A335CB">
        <w:rPr>
          <w:sz w:val="20"/>
          <w:szCs w:val="20"/>
        </w:rPr>
        <w:t>socioekonomskih</w:t>
      </w:r>
      <w:proofErr w:type="spellEnd"/>
      <w:r w:rsidRPr="00A335CB">
        <w:rPr>
          <w:sz w:val="20"/>
          <w:szCs w:val="20"/>
        </w:rPr>
        <w:t xml:space="preserve"> in drugih raziskovanj, za katere imajo zakonsko podlago. S tem ima CRP glavno vlogo distribucijske baze osnovnih osebnih podatkov, ki se vodijo v matičnem registru, registru stalnega prebivalstva in v evidencah tujcev številnim zunanjim uporabnikom.</w:t>
      </w:r>
    </w:p>
    <w:p w14:paraId="0B4BAF11" w14:textId="64C7F75B" w:rsidR="00653B9D" w:rsidRPr="00A335CB" w:rsidRDefault="00653B9D" w:rsidP="005D1A90">
      <w:pPr>
        <w:pStyle w:val="alineazaodstavkom1"/>
        <w:spacing w:line="276" w:lineRule="auto"/>
        <w:ind w:left="0" w:firstLine="0"/>
        <w:rPr>
          <w:sz w:val="20"/>
          <w:szCs w:val="20"/>
        </w:rPr>
      </w:pPr>
    </w:p>
    <w:p w14:paraId="6B9B245B" w14:textId="32378254" w:rsidR="004C7196" w:rsidRPr="00A335CB" w:rsidRDefault="001E2A30" w:rsidP="005D1A90">
      <w:pPr>
        <w:spacing w:after="0" w:line="276" w:lineRule="auto"/>
        <w:jc w:val="both"/>
        <w:rPr>
          <w:rFonts w:ascii="Arial" w:hAnsi="Arial" w:cs="Arial"/>
          <w:sz w:val="20"/>
          <w:szCs w:val="20"/>
        </w:rPr>
      </w:pPr>
      <w:r w:rsidRPr="00171B51">
        <w:rPr>
          <w:rFonts w:ascii="Arial" w:hAnsi="Arial" w:cs="Arial"/>
          <w:noProof/>
          <w:sz w:val="20"/>
          <w:szCs w:val="20"/>
          <w:lang w:eastAsia="sl-SI"/>
        </w:rPr>
        <w:drawing>
          <wp:inline distT="0" distB="0" distL="0" distR="0" wp14:anchorId="75698D44" wp14:editId="4F85CC5A">
            <wp:extent cx="5746750" cy="2451735"/>
            <wp:effectExtent l="0" t="0" r="6350" b="5715"/>
            <wp:docPr id="8" name="Slik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6750" cy="2451735"/>
                    </a:xfrm>
                    <a:prstGeom prst="rect">
                      <a:avLst/>
                    </a:prstGeom>
                    <a:noFill/>
                  </pic:spPr>
                </pic:pic>
              </a:graphicData>
            </a:graphic>
          </wp:inline>
        </w:drawing>
      </w:r>
      <w:r w:rsidR="00653B9D" w:rsidRPr="00A335CB">
        <w:rPr>
          <w:rFonts w:ascii="Arial" w:hAnsi="Arial" w:cs="Arial"/>
          <w:sz w:val="20"/>
          <w:szCs w:val="20"/>
        </w:rPr>
        <w:t xml:space="preserve">V letu 2024 je bilo </w:t>
      </w:r>
      <w:r w:rsidR="00653B9D" w:rsidRPr="00A335CB">
        <w:rPr>
          <w:rFonts w:ascii="Arial" w:hAnsi="Arial" w:cs="Arial"/>
          <w:b/>
          <w:sz w:val="20"/>
          <w:szCs w:val="20"/>
        </w:rPr>
        <w:t>ročno rešenih</w:t>
      </w:r>
      <w:r w:rsidR="00653B9D" w:rsidRPr="00A335CB">
        <w:rPr>
          <w:rFonts w:ascii="Arial" w:hAnsi="Arial" w:cs="Arial"/>
          <w:sz w:val="20"/>
          <w:szCs w:val="20"/>
        </w:rPr>
        <w:t xml:space="preserve"> 7.217 vlog in iz CRP </w:t>
      </w:r>
      <w:r w:rsidR="005E0375">
        <w:rPr>
          <w:rFonts w:ascii="Arial" w:hAnsi="Arial" w:cs="Arial"/>
          <w:sz w:val="20"/>
          <w:szCs w:val="20"/>
        </w:rPr>
        <w:t>predloženih</w:t>
      </w:r>
      <w:r w:rsidR="005E0375" w:rsidRPr="00A335CB">
        <w:rPr>
          <w:rFonts w:ascii="Arial" w:hAnsi="Arial" w:cs="Arial"/>
          <w:sz w:val="20"/>
          <w:szCs w:val="20"/>
        </w:rPr>
        <w:t xml:space="preserve"> </w:t>
      </w:r>
      <w:r w:rsidR="00653B9D" w:rsidRPr="00A335CB">
        <w:rPr>
          <w:rFonts w:ascii="Arial" w:hAnsi="Arial" w:cs="Arial"/>
          <w:b/>
          <w:sz w:val="20"/>
          <w:szCs w:val="20"/>
        </w:rPr>
        <w:t>podatkov o 18.537 osebah</w:t>
      </w:r>
      <w:r w:rsidR="00653B9D" w:rsidRPr="00A335CB">
        <w:rPr>
          <w:rFonts w:ascii="Arial" w:hAnsi="Arial" w:cs="Arial"/>
          <w:sz w:val="20"/>
          <w:szCs w:val="20"/>
        </w:rPr>
        <w:t>. V povprečju je mesečno na MNZ prispelo 578 vlog in bilo sporočenih podatkov o 1.545 osebah. V primerjavi z letom 2023 je bilo v letu 2024 število vlog višje za 8,4</w:t>
      </w:r>
      <w:r w:rsidR="008024B7">
        <w:rPr>
          <w:rFonts w:ascii="Arial" w:hAnsi="Arial" w:cs="Arial"/>
          <w:sz w:val="20"/>
          <w:szCs w:val="20"/>
        </w:rPr>
        <w:t> </w:t>
      </w:r>
      <w:r w:rsidR="00653B9D" w:rsidRPr="00A335CB">
        <w:rPr>
          <w:rFonts w:ascii="Arial" w:hAnsi="Arial" w:cs="Arial"/>
          <w:sz w:val="20"/>
          <w:szCs w:val="20"/>
        </w:rPr>
        <w:t>%, število oseb pa višje za 9,3</w:t>
      </w:r>
      <w:r w:rsidR="008024B7">
        <w:rPr>
          <w:rFonts w:ascii="Arial" w:hAnsi="Arial" w:cs="Arial"/>
          <w:sz w:val="20"/>
          <w:szCs w:val="20"/>
        </w:rPr>
        <w:t> </w:t>
      </w:r>
      <w:r w:rsidR="00653B9D" w:rsidRPr="00A335CB">
        <w:rPr>
          <w:rFonts w:ascii="Arial" w:hAnsi="Arial" w:cs="Arial"/>
          <w:sz w:val="20"/>
          <w:szCs w:val="20"/>
        </w:rPr>
        <w:t>%.</w:t>
      </w:r>
    </w:p>
    <w:p w14:paraId="19C177DE" w14:textId="7348281B" w:rsidR="00E77F16" w:rsidRDefault="00E77F16" w:rsidP="005D1A90">
      <w:pPr>
        <w:spacing w:after="0" w:line="276" w:lineRule="auto"/>
        <w:jc w:val="both"/>
        <w:rPr>
          <w:rFonts w:ascii="Arial" w:hAnsi="Arial" w:cs="Arial"/>
          <w:b/>
          <w:bCs/>
          <w:iCs/>
          <w:sz w:val="20"/>
          <w:szCs w:val="20"/>
          <w:lang w:eastAsia="sl-SI"/>
        </w:rPr>
      </w:pPr>
    </w:p>
    <w:p w14:paraId="75AF602E" w14:textId="156EBB06" w:rsidR="00653B9D" w:rsidRPr="00A335CB" w:rsidRDefault="00653B9D" w:rsidP="005D1A90">
      <w:pPr>
        <w:spacing w:after="0" w:line="276" w:lineRule="auto"/>
        <w:jc w:val="both"/>
        <w:rPr>
          <w:rFonts w:ascii="Arial" w:hAnsi="Arial" w:cs="Arial"/>
          <w:bCs/>
          <w:iCs/>
          <w:sz w:val="20"/>
          <w:szCs w:val="20"/>
          <w:lang w:eastAsia="sl-SI"/>
        </w:rPr>
      </w:pPr>
      <w:r w:rsidRPr="00A335CB">
        <w:rPr>
          <w:rFonts w:ascii="Arial" w:hAnsi="Arial" w:cs="Arial"/>
          <w:b/>
          <w:bCs/>
          <w:iCs/>
          <w:sz w:val="20"/>
          <w:szCs w:val="20"/>
          <w:lang w:eastAsia="sl-SI"/>
        </w:rPr>
        <w:t xml:space="preserve">Graf: </w:t>
      </w:r>
      <w:r w:rsidRPr="00A335CB">
        <w:rPr>
          <w:rFonts w:ascii="Arial" w:hAnsi="Arial" w:cs="Arial"/>
          <w:bCs/>
          <w:iCs/>
          <w:sz w:val="20"/>
          <w:szCs w:val="20"/>
          <w:lang w:eastAsia="sl-SI"/>
        </w:rPr>
        <w:t xml:space="preserve">Ročne poizvedbe iz CRP v letu 2024 in število </w:t>
      </w:r>
      <w:r w:rsidR="005E0375">
        <w:rPr>
          <w:rFonts w:ascii="Arial" w:hAnsi="Arial" w:cs="Arial"/>
          <w:bCs/>
          <w:iCs/>
          <w:sz w:val="20"/>
          <w:szCs w:val="20"/>
          <w:lang w:eastAsia="sl-SI"/>
        </w:rPr>
        <w:t>predloženih</w:t>
      </w:r>
      <w:r w:rsidR="005E0375" w:rsidRPr="00A335CB">
        <w:rPr>
          <w:rFonts w:ascii="Arial" w:hAnsi="Arial" w:cs="Arial"/>
          <w:bCs/>
          <w:iCs/>
          <w:sz w:val="20"/>
          <w:szCs w:val="20"/>
          <w:lang w:eastAsia="sl-SI"/>
        </w:rPr>
        <w:t xml:space="preserve"> </w:t>
      </w:r>
      <w:r w:rsidRPr="00A335CB">
        <w:rPr>
          <w:rFonts w:ascii="Arial" w:hAnsi="Arial" w:cs="Arial"/>
          <w:bCs/>
          <w:iCs/>
          <w:sz w:val="20"/>
          <w:szCs w:val="20"/>
          <w:lang w:eastAsia="sl-SI"/>
        </w:rPr>
        <w:t>podatkov</w:t>
      </w:r>
    </w:p>
    <w:p w14:paraId="6409C79C" w14:textId="34D8F34C" w:rsidR="00653B9D" w:rsidRPr="00A335CB" w:rsidRDefault="00653B9D" w:rsidP="005D1A90">
      <w:pPr>
        <w:spacing w:after="0" w:line="276" w:lineRule="auto"/>
        <w:jc w:val="both"/>
        <w:rPr>
          <w:rFonts w:ascii="Arial" w:hAnsi="Arial" w:cs="Arial"/>
          <w:bCs/>
          <w:iCs/>
          <w:sz w:val="20"/>
          <w:szCs w:val="20"/>
          <w:lang w:eastAsia="sl-SI"/>
        </w:rPr>
      </w:pPr>
    </w:p>
    <w:p w14:paraId="663B9219" w14:textId="1207D6F5" w:rsidR="00653B9D" w:rsidRPr="00A335CB" w:rsidRDefault="00653B9D" w:rsidP="005D1A90">
      <w:pPr>
        <w:spacing w:after="0" w:line="276" w:lineRule="auto"/>
        <w:jc w:val="both"/>
        <w:rPr>
          <w:rFonts w:ascii="Arial" w:hAnsi="Arial" w:cs="Arial"/>
          <w:b/>
          <w:bCs/>
          <w:iCs/>
          <w:sz w:val="20"/>
          <w:szCs w:val="20"/>
          <w:lang w:eastAsia="sl-SI"/>
        </w:rPr>
      </w:pPr>
      <w:r w:rsidRPr="00A335CB">
        <w:rPr>
          <w:rFonts w:ascii="Arial" w:hAnsi="Arial" w:cs="Arial"/>
          <w:sz w:val="20"/>
          <w:szCs w:val="20"/>
        </w:rPr>
        <w:t xml:space="preserve">Dodatno je bilo v letu 2024 rešenih 399 vlog za tako imenovane </w:t>
      </w:r>
      <w:r w:rsidRPr="00A335CB">
        <w:rPr>
          <w:rFonts w:ascii="Arial" w:hAnsi="Arial" w:cs="Arial"/>
          <w:b/>
          <w:sz w:val="20"/>
          <w:szCs w:val="20"/>
        </w:rPr>
        <w:t>masovne ročne poizvedbe</w:t>
      </w:r>
      <w:r w:rsidRPr="00A335CB">
        <w:rPr>
          <w:rFonts w:ascii="Arial" w:hAnsi="Arial" w:cs="Arial"/>
          <w:sz w:val="20"/>
          <w:szCs w:val="20"/>
        </w:rPr>
        <w:t xml:space="preserve">, </w:t>
      </w:r>
      <w:r w:rsidR="008024B7">
        <w:rPr>
          <w:rFonts w:ascii="Arial" w:hAnsi="Arial" w:cs="Arial"/>
          <w:sz w:val="20"/>
          <w:szCs w:val="20"/>
        </w:rPr>
        <w:t>pri katerih</w:t>
      </w:r>
      <w:r w:rsidR="008024B7" w:rsidRPr="00A335CB">
        <w:rPr>
          <w:rFonts w:ascii="Arial" w:hAnsi="Arial" w:cs="Arial"/>
          <w:sz w:val="20"/>
          <w:szCs w:val="20"/>
        </w:rPr>
        <w:t xml:space="preserve"> </w:t>
      </w:r>
      <w:r w:rsidRPr="00A335CB">
        <w:rPr>
          <w:rFonts w:ascii="Arial" w:hAnsi="Arial" w:cs="Arial"/>
          <w:sz w:val="20"/>
          <w:szCs w:val="20"/>
        </w:rPr>
        <w:t xml:space="preserve">se izvajajo obdelave podatkov. Na podlagi obdelav so bili upravičenim uporabnikom sporočeni </w:t>
      </w:r>
      <w:r w:rsidRPr="00A335CB">
        <w:rPr>
          <w:rFonts w:ascii="Arial" w:hAnsi="Arial" w:cs="Arial"/>
          <w:b/>
          <w:sz w:val="20"/>
          <w:szCs w:val="20"/>
        </w:rPr>
        <w:t>podatki o 50.454.189 </w:t>
      </w:r>
      <w:r w:rsidRPr="00A335CB">
        <w:rPr>
          <w:rFonts w:ascii="Arial" w:hAnsi="Arial" w:cs="Arial"/>
          <w:sz w:val="20"/>
          <w:szCs w:val="20"/>
        </w:rPr>
        <w:t>osebah, kar je 10,4</w:t>
      </w:r>
      <w:r w:rsidR="008024B7">
        <w:rPr>
          <w:rFonts w:ascii="Arial" w:hAnsi="Arial" w:cs="Arial"/>
          <w:sz w:val="20"/>
          <w:szCs w:val="20"/>
        </w:rPr>
        <w:t> </w:t>
      </w:r>
      <w:r w:rsidRPr="00A335CB">
        <w:rPr>
          <w:rFonts w:ascii="Arial" w:hAnsi="Arial" w:cs="Arial"/>
          <w:sz w:val="20"/>
          <w:szCs w:val="20"/>
        </w:rPr>
        <w:t>% več kot v preteklem letu.</w:t>
      </w:r>
      <w:r w:rsidRPr="00A335CB">
        <w:rPr>
          <w:rFonts w:ascii="Arial" w:hAnsi="Arial" w:cs="Arial"/>
          <w:b/>
          <w:sz w:val="20"/>
          <w:szCs w:val="20"/>
        </w:rPr>
        <w:t xml:space="preserve"> </w:t>
      </w:r>
    </w:p>
    <w:p w14:paraId="1660AE8A" w14:textId="7C710DE8" w:rsidR="00653B9D" w:rsidRPr="00A335CB" w:rsidRDefault="00653B9D" w:rsidP="005D1A90">
      <w:pPr>
        <w:spacing w:after="0" w:line="276" w:lineRule="auto"/>
        <w:jc w:val="both"/>
        <w:rPr>
          <w:rFonts w:ascii="Arial" w:hAnsi="Arial" w:cs="Arial"/>
          <w:sz w:val="20"/>
          <w:szCs w:val="20"/>
        </w:rPr>
      </w:pPr>
    </w:p>
    <w:p w14:paraId="1614955D" w14:textId="052FC232"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Večji zunanji uporabniki podatke pridobivajo </w:t>
      </w:r>
      <w:r w:rsidR="00140FE7">
        <w:rPr>
          <w:rFonts w:ascii="Arial" w:hAnsi="Arial" w:cs="Arial"/>
          <w:b/>
          <w:sz w:val="20"/>
          <w:szCs w:val="20"/>
        </w:rPr>
        <w:t>prek spleta</w:t>
      </w:r>
      <w:r w:rsidRPr="00A335CB">
        <w:rPr>
          <w:rFonts w:ascii="Arial" w:hAnsi="Arial" w:cs="Arial"/>
          <w:b/>
          <w:sz w:val="20"/>
          <w:szCs w:val="20"/>
        </w:rPr>
        <w:t xml:space="preserve"> iz distribucijske baze e-CRP</w:t>
      </w:r>
      <w:r w:rsidRPr="00A335CB">
        <w:rPr>
          <w:rFonts w:ascii="Arial" w:hAnsi="Arial" w:cs="Arial"/>
          <w:sz w:val="20"/>
          <w:szCs w:val="20"/>
        </w:rPr>
        <w:t xml:space="preserve">, prek baznih in spletnih servisov, ki omogočajo bodisi vpoglede bodisi sporočanje sprememb pri posameznikih v matičnih bazah uporabnikov (kot je informacija o spremembi osebnega imena, naslova, smrti itd.). V okviru spletnega sporočanja podatkov je bilo iz CRP v letu 2024 poslanih </w:t>
      </w:r>
      <w:r w:rsidRPr="00A335CB">
        <w:rPr>
          <w:rFonts w:ascii="Arial" w:hAnsi="Arial" w:cs="Arial"/>
          <w:b/>
          <w:sz w:val="20"/>
          <w:szCs w:val="20"/>
        </w:rPr>
        <w:t>143.273.834 podatkov</w:t>
      </w:r>
      <w:r w:rsidR="00F40A8E" w:rsidRPr="00A335CB">
        <w:rPr>
          <w:rFonts w:ascii="Arial" w:hAnsi="Arial" w:cs="Arial"/>
          <w:sz w:val="20"/>
          <w:szCs w:val="20"/>
        </w:rPr>
        <w:t xml:space="preserve"> oziroma</w:t>
      </w:r>
      <w:r w:rsidRPr="00A335CB">
        <w:rPr>
          <w:rFonts w:ascii="Arial" w:hAnsi="Arial" w:cs="Arial"/>
          <w:sz w:val="20"/>
          <w:szCs w:val="20"/>
        </w:rPr>
        <w:t xml:space="preserve"> za več kot 30 milijonov podatkov več kot v preteklem letu. </w:t>
      </w:r>
    </w:p>
    <w:p w14:paraId="2EB2D13A" w14:textId="77777777" w:rsidR="00653B9D" w:rsidRPr="00A335CB" w:rsidRDefault="00653B9D" w:rsidP="005D1A90">
      <w:pPr>
        <w:spacing w:after="0" w:line="276" w:lineRule="auto"/>
        <w:jc w:val="both"/>
        <w:rPr>
          <w:rFonts w:ascii="Arial" w:hAnsi="Arial" w:cs="Arial"/>
          <w:sz w:val="20"/>
          <w:szCs w:val="20"/>
        </w:rPr>
      </w:pPr>
    </w:p>
    <w:p w14:paraId="3AB51E4C" w14:textId="6FD96885" w:rsidR="00E77F16" w:rsidRPr="00A335CB" w:rsidRDefault="00653B9D" w:rsidP="005C25B4">
      <w:pPr>
        <w:spacing w:line="276" w:lineRule="auto"/>
        <w:jc w:val="both"/>
        <w:rPr>
          <w:rFonts w:ascii="Arial" w:hAnsi="Arial" w:cs="Arial"/>
          <w:sz w:val="20"/>
          <w:szCs w:val="20"/>
        </w:rPr>
      </w:pPr>
      <w:r w:rsidRPr="00A335CB">
        <w:rPr>
          <w:rFonts w:ascii="Arial" w:hAnsi="Arial" w:cs="Arial"/>
          <w:sz w:val="20"/>
          <w:szCs w:val="20"/>
        </w:rPr>
        <w:t xml:space="preserve">Distribucijski kanal do zunanjih uporabnikov je tudi </w:t>
      </w:r>
      <w:r w:rsidRPr="00A335CB">
        <w:rPr>
          <w:rFonts w:ascii="Arial" w:hAnsi="Arial" w:cs="Arial"/>
          <w:b/>
          <w:sz w:val="20"/>
          <w:szCs w:val="20"/>
        </w:rPr>
        <w:t>IO-CRP</w:t>
      </w:r>
      <w:r w:rsidRPr="00A335CB">
        <w:rPr>
          <w:rFonts w:ascii="Arial" w:hAnsi="Arial" w:cs="Arial"/>
          <w:sz w:val="20"/>
          <w:szCs w:val="20"/>
        </w:rPr>
        <w:t>, ki je del Pladnja podatkov MDP. V letu 2024 so prek IO-CRP začeli prejemati podatke Ministrstvo za solidarno prihodnost, Mestna občina Ljubljana, Ministrstvo za pravosodje (po dodatnih pravnih podlagah), Javni štipendijski, razvojni, inv</w:t>
      </w:r>
      <w:r w:rsidR="00A832F2">
        <w:rPr>
          <w:rFonts w:ascii="Arial" w:hAnsi="Arial" w:cs="Arial"/>
          <w:sz w:val="20"/>
          <w:szCs w:val="20"/>
        </w:rPr>
        <w:t>alidski in preživninski sklad</w:t>
      </w:r>
      <w:r w:rsidRPr="00A335CB">
        <w:rPr>
          <w:rFonts w:ascii="Arial" w:hAnsi="Arial" w:cs="Arial"/>
          <w:sz w:val="20"/>
          <w:szCs w:val="20"/>
        </w:rPr>
        <w:t xml:space="preserve">, Državno odvetništvo in Ministrstvo za kulturo. V letu 2024 je bilo prek IO-CRP zunanjim uporabnikom poslanih dodatnih </w:t>
      </w:r>
      <w:r w:rsidRPr="00A335CB">
        <w:rPr>
          <w:rFonts w:ascii="Arial" w:hAnsi="Arial" w:cs="Arial"/>
          <w:b/>
          <w:sz w:val="20"/>
          <w:szCs w:val="20"/>
        </w:rPr>
        <w:t>20.831.621 podatkov</w:t>
      </w:r>
      <w:r w:rsidRPr="00A335CB">
        <w:rPr>
          <w:rFonts w:ascii="Arial" w:hAnsi="Arial" w:cs="Arial"/>
          <w:sz w:val="20"/>
          <w:szCs w:val="20"/>
        </w:rPr>
        <w:t>, kar je za več kot 2 mil</w:t>
      </w:r>
      <w:r w:rsidR="005C25B4" w:rsidRPr="00A335CB">
        <w:rPr>
          <w:rFonts w:ascii="Arial" w:hAnsi="Arial" w:cs="Arial"/>
          <w:sz w:val="20"/>
          <w:szCs w:val="20"/>
        </w:rPr>
        <w:t>ijona več kot v preteklem letu.</w:t>
      </w:r>
    </w:p>
    <w:tbl>
      <w:tblPr>
        <w:tblpPr w:leftFromText="141" w:rightFromText="141" w:vertAnchor="text" w:horzAnchor="margin" w:tblpY="59"/>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6"/>
        <w:gridCol w:w="1141"/>
        <w:gridCol w:w="1141"/>
        <w:gridCol w:w="1141"/>
        <w:gridCol w:w="1141"/>
        <w:gridCol w:w="1141"/>
      </w:tblGrid>
      <w:tr w:rsidR="00BD47E0" w:rsidRPr="00A335CB" w14:paraId="6EA9741D" w14:textId="77777777" w:rsidTr="005C25B4">
        <w:trPr>
          <w:trHeight w:val="296"/>
        </w:trPr>
        <w:tc>
          <w:tcPr>
            <w:tcW w:w="2636" w:type="dxa"/>
            <w:shd w:val="clear" w:color="auto" w:fill="D9D9D9" w:themeFill="background1" w:themeFillShade="D9"/>
            <w:noWrap/>
            <w:vAlign w:val="bottom"/>
            <w:hideMark/>
          </w:tcPr>
          <w:p w14:paraId="19CF093C" w14:textId="77777777" w:rsidR="00653B9D" w:rsidRPr="00A335CB" w:rsidRDefault="00653B9D" w:rsidP="005D1A90">
            <w:pPr>
              <w:spacing w:after="0" w:line="276" w:lineRule="auto"/>
              <w:rPr>
                <w:rFonts w:ascii="Arial" w:eastAsia="Times New Roman" w:hAnsi="Arial" w:cs="Arial"/>
                <w:b/>
                <w:bCs/>
                <w:sz w:val="20"/>
                <w:szCs w:val="20"/>
              </w:rPr>
            </w:pPr>
            <w:r w:rsidRPr="00A335CB">
              <w:rPr>
                <w:rFonts w:ascii="Arial" w:eastAsia="Times New Roman" w:hAnsi="Arial" w:cs="Arial"/>
                <w:b/>
                <w:bCs/>
                <w:sz w:val="20"/>
                <w:szCs w:val="20"/>
              </w:rPr>
              <w:t>IOCRP</w:t>
            </w:r>
          </w:p>
        </w:tc>
        <w:tc>
          <w:tcPr>
            <w:tcW w:w="166" w:type="dxa"/>
            <w:shd w:val="clear" w:color="auto" w:fill="D9D9D9" w:themeFill="background1" w:themeFillShade="D9"/>
            <w:vAlign w:val="bottom"/>
          </w:tcPr>
          <w:p w14:paraId="36A211D9" w14:textId="77777777" w:rsidR="00653B9D" w:rsidRPr="00A335CB" w:rsidRDefault="00653B9D" w:rsidP="005D1A90">
            <w:pPr>
              <w:spacing w:after="0"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2020</w:t>
            </w:r>
          </w:p>
        </w:tc>
        <w:tc>
          <w:tcPr>
            <w:tcW w:w="1141" w:type="dxa"/>
            <w:shd w:val="clear" w:color="auto" w:fill="D9D9D9" w:themeFill="background1" w:themeFillShade="D9"/>
            <w:vAlign w:val="bottom"/>
          </w:tcPr>
          <w:p w14:paraId="02937D84" w14:textId="77777777" w:rsidR="00653B9D" w:rsidRPr="00A335CB" w:rsidRDefault="00653B9D" w:rsidP="005D1A90">
            <w:pPr>
              <w:spacing w:after="0"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2021</w:t>
            </w:r>
          </w:p>
        </w:tc>
        <w:tc>
          <w:tcPr>
            <w:tcW w:w="1141" w:type="dxa"/>
            <w:shd w:val="clear" w:color="auto" w:fill="D9D9D9" w:themeFill="background1" w:themeFillShade="D9"/>
            <w:vAlign w:val="bottom"/>
          </w:tcPr>
          <w:p w14:paraId="6F42CF99" w14:textId="77777777" w:rsidR="00653B9D" w:rsidRPr="00A335CB" w:rsidRDefault="00653B9D" w:rsidP="005D1A90">
            <w:pPr>
              <w:spacing w:after="0"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2022</w:t>
            </w:r>
          </w:p>
        </w:tc>
        <w:tc>
          <w:tcPr>
            <w:tcW w:w="1141" w:type="dxa"/>
            <w:shd w:val="clear" w:color="auto" w:fill="D9D9D9" w:themeFill="background1" w:themeFillShade="D9"/>
          </w:tcPr>
          <w:p w14:paraId="71230596" w14:textId="77777777" w:rsidR="00653B9D" w:rsidRPr="00A335CB" w:rsidRDefault="00653B9D" w:rsidP="005D1A90">
            <w:pPr>
              <w:spacing w:after="0" w:line="276" w:lineRule="auto"/>
              <w:jc w:val="center"/>
              <w:rPr>
                <w:rFonts w:ascii="Arial" w:eastAsia="Times New Roman" w:hAnsi="Arial" w:cs="Arial"/>
                <w:b/>
                <w:bCs/>
                <w:sz w:val="20"/>
                <w:szCs w:val="20"/>
              </w:rPr>
            </w:pPr>
          </w:p>
          <w:p w14:paraId="679A36B6" w14:textId="77777777" w:rsidR="00653B9D" w:rsidRPr="00A335CB" w:rsidRDefault="00653B9D" w:rsidP="005D1A90">
            <w:pPr>
              <w:spacing w:after="0" w:line="276" w:lineRule="auto"/>
              <w:rPr>
                <w:rFonts w:ascii="Arial" w:eastAsia="Times New Roman" w:hAnsi="Arial" w:cs="Arial"/>
                <w:b/>
                <w:bCs/>
                <w:sz w:val="20"/>
                <w:szCs w:val="20"/>
              </w:rPr>
            </w:pPr>
            <w:r w:rsidRPr="00A335CB">
              <w:rPr>
                <w:rFonts w:ascii="Arial" w:eastAsia="Times New Roman" w:hAnsi="Arial" w:cs="Arial"/>
                <w:b/>
                <w:bCs/>
                <w:sz w:val="20"/>
                <w:szCs w:val="20"/>
              </w:rPr>
              <w:t>2023</w:t>
            </w:r>
          </w:p>
        </w:tc>
        <w:tc>
          <w:tcPr>
            <w:tcW w:w="1141" w:type="dxa"/>
            <w:shd w:val="clear" w:color="auto" w:fill="D9D9D9" w:themeFill="background1" w:themeFillShade="D9"/>
            <w:noWrap/>
            <w:vAlign w:val="bottom"/>
            <w:hideMark/>
          </w:tcPr>
          <w:p w14:paraId="2231E1A0" w14:textId="77777777" w:rsidR="00653B9D" w:rsidRPr="00A335CB" w:rsidRDefault="00653B9D" w:rsidP="005D1A90">
            <w:pPr>
              <w:spacing w:after="0"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2024</w:t>
            </w:r>
          </w:p>
        </w:tc>
      </w:tr>
      <w:tr w:rsidR="00BD47E0" w:rsidRPr="00A335CB" w14:paraId="388C356B" w14:textId="77777777" w:rsidTr="00653B9D">
        <w:trPr>
          <w:trHeight w:val="283"/>
        </w:trPr>
        <w:tc>
          <w:tcPr>
            <w:tcW w:w="2636" w:type="dxa"/>
            <w:shd w:val="clear" w:color="auto" w:fill="auto"/>
            <w:noWrap/>
            <w:vAlign w:val="bottom"/>
            <w:hideMark/>
          </w:tcPr>
          <w:p w14:paraId="75D87731" w14:textId="7C4C01CA" w:rsidR="00653B9D" w:rsidRPr="00A335CB" w:rsidRDefault="00F40A8E"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Ministrstvo za delo, družino, socialne zadeve in enake možnosti</w:t>
            </w:r>
          </w:p>
        </w:tc>
        <w:tc>
          <w:tcPr>
            <w:tcW w:w="166" w:type="dxa"/>
            <w:vAlign w:val="bottom"/>
          </w:tcPr>
          <w:p w14:paraId="0C6179FB"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7.918.643</w:t>
            </w:r>
          </w:p>
        </w:tc>
        <w:tc>
          <w:tcPr>
            <w:tcW w:w="1141" w:type="dxa"/>
            <w:vAlign w:val="bottom"/>
          </w:tcPr>
          <w:p w14:paraId="12914A4F"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7.830.605</w:t>
            </w:r>
          </w:p>
        </w:tc>
        <w:tc>
          <w:tcPr>
            <w:tcW w:w="1141" w:type="dxa"/>
            <w:vAlign w:val="bottom"/>
          </w:tcPr>
          <w:p w14:paraId="6ADC6E0C"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7.668.216</w:t>
            </w:r>
          </w:p>
        </w:tc>
        <w:tc>
          <w:tcPr>
            <w:tcW w:w="1141" w:type="dxa"/>
            <w:vAlign w:val="bottom"/>
          </w:tcPr>
          <w:p w14:paraId="2576A8CA"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7.928.082</w:t>
            </w:r>
          </w:p>
        </w:tc>
        <w:tc>
          <w:tcPr>
            <w:tcW w:w="1141" w:type="dxa"/>
            <w:shd w:val="clear" w:color="auto" w:fill="auto"/>
            <w:noWrap/>
            <w:vAlign w:val="bottom"/>
            <w:hideMark/>
          </w:tcPr>
          <w:p w14:paraId="54360C8C"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7.377.501</w:t>
            </w:r>
          </w:p>
        </w:tc>
      </w:tr>
      <w:tr w:rsidR="00BD47E0" w:rsidRPr="00A335CB" w14:paraId="3DD2F73F" w14:textId="77777777" w:rsidTr="00653B9D">
        <w:trPr>
          <w:trHeight w:val="283"/>
        </w:trPr>
        <w:tc>
          <w:tcPr>
            <w:tcW w:w="2636" w:type="dxa"/>
            <w:shd w:val="clear" w:color="auto" w:fill="auto"/>
            <w:noWrap/>
            <w:vAlign w:val="bottom"/>
            <w:hideMark/>
          </w:tcPr>
          <w:p w14:paraId="75EA2C8C" w14:textId="303B8EE2"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M</w:t>
            </w:r>
            <w:r w:rsidR="00A832F2">
              <w:rPr>
                <w:rFonts w:ascii="Arial" w:eastAsia="Times New Roman" w:hAnsi="Arial" w:cs="Arial"/>
                <w:sz w:val="20"/>
                <w:szCs w:val="20"/>
              </w:rPr>
              <w:t>inistrstvo za javno upravo (2023 Ministrstvo za digitalno preobrazbo</w:t>
            </w:r>
            <w:r w:rsidRPr="00A335CB">
              <w:rPr>
                <w:rFonts w:ascii="Arial" w:eastAsia="Times New Roman" w:hAnsi="Arial" w:cs="Arial"/>
                <w:sz w:val="20"/>
                <w:szCs w:val="20"/>
              </w:rPr>
              <w:t>)</w:t>
            </w:r>
          </w:p>
        </w:tc>
        <w:tc>
          <w:tcPr>
            <w:tcW w:w="166" w:type="dxa"/>
            <w:vAlign w:val="bottom"/>
          </w:tcPr>
          <w:p w14:paraId="33BBFF88"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3.786.131</w:t>
            </w:r>
          </w:p>
        </w:tc>
        <w:tc>
          <w:tcPr>
            <w:tcW w:w="1141" w:type="dxa"/>
            <w:vAlign w:val="bottom"/>
          </w:tcPr>
          <w:p w14:paraId="4E46C3DF"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12.402.528</w:t>
            </w:r>
          </w:p>
        </w:tc>
        <w:tc>
          <w:tcPr>
            <w:tcW w:w="1141" w:type="dxa"/>
            <w:vAlign w:val="bottom"/>
          </w:tcPr>
          <w:p w14:paraId="0BD51616"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8.725.363</w:t>
            </w:r>
          </w:p>
        </w:tc>
        <w:tc>
          <w:tcPr>
            <w:tcW w:w="1141" w:type="dxa"/>
            <w:vAlign w:val="bottom"/>
          </w:tcPr>
          <w:p w14:paraId="08BCF5D4"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7.961.691</w:t>
            </w:r>
          </w:p>
        </w:tc>
        <w:tc>
          <w:tcPr>
            <w:tcW w:w="1141" w:type="dxa"/>
            <w:shd w:val="clear" w:color="auto" w:fill="auto"/>
            <w:noWrap/>
            <w:vAlign w:val="bottom"/>
            <w:hideMark/>
          </w:tcPr>
          <w:p w14:paraId="542F8375"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10.389.727</w:t>
            </w:r>
          </w:p>
        </w:tc>
      </w:tr>
      <w:tr w:rsidR="00BD47E0" w:rsidRPr="00A335CB" w14:paraId="1579DFDB" w14:textId="77777777" w:rsidTr="00653B9D">
        <w:trPr>
          <w:trHeight w:val="283"/>
        </w:trPr>
        <w:tc>
          <w:tcPr>
            <w:tcW w:w="2636" w:type="dxa"/>
            <w:shd w:val="clear" w:color="auto" w:fill="auto"/>
            <w:noWrap/>
            <w:vAlign w:val="bottom"/>
            <w:hideMark/>
          </w:tcPr>
          <w:p w14:paraId="6163FA43" w14:textId="77777777"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Sodišča, tožilstvo, zapori</w:t>
            </w:r>
          </w:p>
        </w:tc>
        <w:tc>
          <w:tcPr>
            <w:tcW w:w="166" w:type="dxa"/>
            <w:vAlign w:val="bottom"/>
          </w:tcPr>
          <w:p w14:paraId="5384B607"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171.011</w:t>
            </w:r>
          </w:p>
        </w:tc>
        <w:tc>
          <w:tcPr>
            <w:tcW w:w="1141" w:type="dxa"/>
            <w:vAlign w:val="bottom"/>
          </w:tcPr>
          <w:p w14:paraId="254814A5"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157.609</w:t>
            </w:r>
          </w:p>
        </w:tc>
        <w:tc>
          <w:tcPr>
            <w:tcW w:w="1141" w:type="dxa"/>
            <w:vAlign w:val="bottom"/>
          </w:tcPr>
          <w:p w14:paraId="594CB935"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164.268</w:t>
            </w:r>
          </w:p>
        </w:tc>
        <w:tc>
          <w:tcPr>
            <w:tcW w:w="1141" w:type="dxa"/>
            <w:vAlign w:val="bottom"/>
          </w:tcPr>
          <w:p w14:paraId="6F6A1A17"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173.544</w:t>
            </w:r>
          </w:p>
        </w:tc>
        <w:tc>
          <w:tcPr>
            <w:tcW w:w="1141" w:type="dxa"/>
            <w:shd w:val="clear" w:color="auto" w:fill="auto"/>
            <w:noWrap/>
            <w:vAlign w:val="bottom"/>
            <w:hideMark/>
          </w:tcPr>
          <w:p w14:paraId="5477DD83"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163.600</w:t>
            </w:r>
          </w:p>
        </w:tc>
      </w:tr>
      <w:tr w:rsidR="00BD47E0" w:rsidRPr="00A335CB" w14:paraId="5FE19DDB" w14:textId="77777777" w:rsidTr="008E26A9">
        <w:trPr>
          <w:trHeight w:val="283"/>
        </w:trPr>
        <w:tc>
          <w:tcPr>
            <w:tcW w:w="2636" w:type="dxa"/>
            <w:shd w:val="clear" w:color="auto" w:fill="auto"/>
            <w:noWrap/>
            <w:vAlign w:val="bottom"/>
            <w:hideMark/>
          </w:tcPr>
          <w:p w14:paraId="7F8D924C" w14:textId="258CDA7D" w:rsidR="00653B9D" w:rsidRPr="00A335CB" w:rsidRDefault="008E26A9" w:rsidP="005D1A90">
            <w:pPr>
              <w:spacing w:after="0" w:line="276" w:lineRule="auto"/>
              <w:rPr>
                <w:rFonts w:ascii="Arial" w:eastAsia="Times New Roman" w:hAnsi="Arial" w:cs="Arial"/>
                <w:sz w:val="20"/>
                <w:szCs w:val="20"/>
              </w:rPr>
            </w:pPr>
            <w:r w:rsidRPr="008E26A9">
              <w:rPr>
                <w:rFonts w:ascii="Arial" w:hAnsi="Arial" w:cs="Arial"/>
                <w:sz w:val="20"/>
                <w:szCs w:val="20"/>
              </w:rPr>
              <w:t>Institucije vzgoje, izobraževanja in študija</w:t>
            </w:r>
          </w:p>
        </w:tc>
        <w:tc>
          <w:tcPr>
            <w:tcW w:w="166" w:type="dxa"/>
            <w:vAlign w:val="bottom"/>
          </w:tcPr>
          <w:p w14:paraId="75326139"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126.450</w:t>
            </w:r>
          </w:p>
        </w:tc>
        <w:tc>
          <w:tcPr>
            <w:tcW w:w="1141" w:type="dxa"/>
            <w:vAlign w:val="bottom"/>
          </w:tcPr>
          <w:p w14:paraId="28C8AC0A"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226.875</w:t>
            </w:r>
          </w:p>
        </w:tc>
        <w:tc>
          <w:tcPr>
            <w:tcW w:w="1141" w:type="dxa"/>
            <w:vAlign w:val="bottom"/>
          </w:tcPr>
          <w:p w14:paraId="357CB780"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248.511</w:t>
            </w:r>
          </w:p>
        </w:tc>
        <w:tc>
          <w:tcPr>
            <w:tcW w:w="1141" w:type="dxa"/>
            <w:vAlign w:val="bottom"/>
          </w:tcPr>
          <w:p w14:paraId="0C98885D"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274.527</w:t>
            </w:r>
          </w:p>
        </w:tc>
        <w:tc>
          <w:tcPr>
            <w:tcW w:w="1141" w:type="dxa"/>
            <w:shd w:val="clear" w:color="auto" w:fill="auto"/>
            <w:noWrap/>
            <w:vAlign w:val="bottom"/>
            <w:hideMark/>
          </w:tcPr>
          <w:p w14:paraId="52B4099D"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590.512</w:t>
            </w:r>
          </w:p>
        </w:tc>
      </w:tr>
      <w:tr w:rsidR="00BD47E0" w:rsidRPr="00A335CB" w14:paraId="575750BF" w14:textId="77777777" w:rsidTr="00653B9D">
        <w:trPr>
          <w:trHeight w:val="283"/>
        </w:trPr>
        <w:tc>
          <w:tcPr>
            <w:tcW w:w="2636" w:type="dxa"/>
            <w:shd w:val="clear" w:color="auto" w:fill="auto"/>
            <w:noWrap/>
            <w:vAlign w:val="bottom"/>
            <w:hideMark/>
          </w:tcPr>
          <w:p w14:paraId="6D71C1E2" w14:textId="77777777"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Inšpektorati</w:t>
            </w:r>
          </w:p>
        </w:tc>
        <w:tc>
          <w:tcPr>
            <w:tcW w:w="166" w:type="dxa"/>
            <w:vAlign w:val="bottom"/>
          </w:tcPr>
          <w:p w14:paraId="4027E773"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6.486</w:t>
            </w:r>
          </w:p>
        </w:tc>
        <w:tc>
          <w:tcPr>
            <w:tcW w:w="1141" w:type="dxa"/>
            <w:vAlign w:val="bottom"/>
          </w:tcPr>
          <w:p w14:paraId="55E6F36E"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7.057</w:t>
            </w:r>
          </w:p>
        </w:tc>
        <w:tc>
          <w:tcPr>
            <w:tcW w:w="1141" w:type="dxa"/>
            <w:vAlign w:val="bottom"/>
          </w:tcPr>
          <w:p w14:paraId="181595D6"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5.709</w:t>
            </w:r>
          </w:p>
        </w:tc>
        <w:tc>
          <w:tcPr>
            <w:tcW w:w="1141" w:type="dxa"/>
            <w:vAlign w:val="bottom"/>
          </w:tcPr>
          <w:p w14:paraId="0F21E22D"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4.816</w:t>
            </w:r>
          </w:p>
        </w:tc>
        <w:tc>
          <w:tcPr>
            <w:tcW w:w="1141" w:type="dxa"/>
            <w:shd w:val="clear" w:color="auto" w:fill="auto"/>
            <w:noWrap/>
            <w:vAlign w:val="bottom"/>
            <w:hideMark/>
          </w:tcPr>
          <w:p w14:paraId="21EE8B00"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3.147</w:t>
            </w:r>
          </w:p>
        </w:tc>
      </w:tr>
      <w:tr w:rsidR="00BD47E0" w:rsidRPr="00A335CB" w14:paraId="286D9C17" w14:textId="77777777" w:rsidTr="00653B9D">
        <w:trPr>
          <w:trHeight w:val="283"/>
        </w:trPr>
        <w:tc>
          <w:tcPr>
            <w:tcW w:w="2636" w:type="dxa"/>
            <w:shd w:val="clear" w:color="auto" w:fill="auto"/>
            <w:noWrap/>
            <w:vAlign w:val="bottom"/>
            <w:hideMark/>
          </w:tcPr>
          <w:p w14:paraId="4BC18FBE" w14:textId="77777777"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Urad za preprečevanje pranja denarja</w:t>
            </w:r>
          </w:p>
        </w:tc>
        <w:tc>
          <w:tcPr>
            <w:tcW w:w="166" w:type="dxa"/>
            <w:vAlign w:val="bottom"/>
          </w:tcPr>
          <w:p w14:paraId="5BB45C7D"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16.222</w:t>
            </w:r>
          </w:p>
        </w:tc>
        <w:tc>
          <w:tcPr>
            <w:tcW w:w="1141" w:type="dxa"/>
            <w:vAlign w:val="bottom"/>
          </w:tcPr>
          <w:p w14:paraId="314D19E7"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21.279</w:t>
            </w:r>
          </w:p>
        </w:tc>
        <w:tc>
          <w:tcPr>
            <w:tcW w:w="1141" w:type="dxa"/>
            <w:vAlign w:val="bottom"/>
          </w:tcPr>
          <w:p w14:paraId="75E77B5F"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15.563</w:t>
            </w:r>
          </w:p>
        </w:tc>
        <w:tc>
          <w:tcPr>
            <w:tcW w:w="1141" w:type="dxa"/>
            <w:vAlign w:val="bottom"/>
          </w:tcPr>
          <w:p w14:paraId="4C74DE27"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2.101</w:t>
            </w:r>
          </w:p>
        </w:tc>
        <w:tc>
          <w:tcPr>
            <w:tcW w:w="1141" w:type="dxa"/>
            <w:shd w:val="clear" w:color="auto" w:fill="auto"/>
            <w:noWrap/>
            <w:vAlign w:val="bottom"/>
            <w:hideMark/>
          </w:tcPr>
          <w:p w14:paraId="3A7B54B6"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68</w:t>
            </w:r>
          </w:p>
        </w:tc>
      </w:tr>
      <w:tr w:rsidR="00BD47E0" w:rsidRPr="00A335CB" w14:paraId="6E9C2E72" w14:textId="77777777" w:rsidTr="00653B9D">
        <w:trPr>
          <w:trHeight w:val="283"/>
        </w:trPr>
        <w:tc>
          <w:tcPr>
            <w:tcW w:w="2636" w:type="dxa"/>
            <w:shd w:val="clear" w:color="auto" w:fill="auto"/>
            <w:noWrap/>
            <w:vAlign w:val="bottom"/>
            <w:hideMark/>
          </w:tcPr>
          <w:p w14:paraId="1009ED42" w14:textId="6AD4E840" w:rsidR="00653B9D" w:rsidRPr="00A335CB" w:rsidRDefault="00F40A8E"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Ministrstvo za pravosodje</w:t>
            </w:r>
          </w:p>
        </w:tc>
        <w:tc>
          <w:tcPr>
            <w:tcW w:w="166" w:type="dxa"/>
            <w:vAlign w:val="bottom"/>
          </w:tcPr>
          <w:p w14:paraId="67DFBAB7"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3.747</w:t>
            </w:r>
          </w:p>
        </w:tc>
        <w:tc>
          <w:tcPr>
            <w:tcW w:w="1141" w:type="dxa"/>
            <w:vAlign w:val="bottom"/>
          </w:tcPr>
          <w:p w14:paraId="0D0AF219"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3.244</w:t>
            </w:r>
          </w:p>
        </w:tc>
        <w:tc>
          <w:tcPr>
            <w:tcW w:w="1141" w:type="dxa"/>
            <w:vAlign w:val="bottom"/>
          </w:tcPr>
          <w:p w14:paraId="77F666F8"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3.006</w:t>
            </w:r>
          </w:p>
        </w:tc>
        <w:tc>
          <w:tcPr>
            <w:tcW w:w="1141" w:type="dxa"/>
            <w:vAlign w:val="bottom"/>
          </w:tcPr>
          <w:p w14:paraId="42D939A5"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605.332</w:t>
            </w:r>
          </w:p>
        </w:tc>
        <w:tc>
          <w:tcPr>
            <w:tcW w:w="1141" w:type="dxa"/>
            <w:shd w:val="clear" w:color="auto" w:fill="auto"/>
            <w:noWrap/>
            <w:vAlign w:val="bottom"/>
            <w:hideMark/>
          </w:tcPr>
          <w:p w14:paraId="22854B08"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722.080</w:t>
            </w:r>
          </w:p>
        </w:tc>
      </w:tr>
      <w:tr w:rsidR="00BD47E0" w:rsidRPr="00A335CB" w14:paraId="25452633" w14:textId="77777777" w:rsidTr="00A832F2">
        <w:trPr>
          <w:trHeight w:val="283"/>
        </w:trPr>
        <w:tc>
          <w:tcPr>
            <w:tcW w:w="2636" w:type="dxa"/>
            <w:shd w:val="clear" w:color="auto" w:fill="auto"/>
            <w:noWrap/>
            <w:vAlign w:val="bottom"/>
          </w:tcPr>
          <w:p w14:paraId="78AEC29F" w14:textId="77777777" w:rsidR="00653B9D" w:rsidRPr="00A832F2" w:rsidRDefault="00653B9D" w:rsidP="005D1A90">
            <w:pPr>
              <w:spacing w:after="0" w:line="276" w:lineRule="auto"/>
              <w:rPr>
                <w:rFonts w:ascii="Arial" w:eastAsia="Times New Roman" w:hAnsi="Arial" w:cs="Arial"/>
                <w:sz w:val="20"/>
                <w:szCs w:val="20"/>
              </w:rPr>
            </w:pPr>
            <w:proofErr w:type="spellStart"/>
            <w:r w:rsidRPr="00A832F2">
              <w:rPr>
                <w:rFonts w:ascii="Arial" w:eastAsia="Times New Roman" w:hAnsi="Arial" w:cs="Arial"/>
                <w:sz w:val="20"/>
                <w:szCs w:val="20"/>
              </w:rPr>
              <w:t>Rekono</w:t>
            </w:r>
            <w:proofErr w:type="spellEnd"/>
          </w:p>
        </w:tc>
        <w:tc>
          <w:tcPr>
            <w:tcW w:w="166" w:type="dxa"/>
            <w:vAlign w:val="bottom"/>
          </w:tcPr>
          <w:p w14:paraId="636D4DAA" w14:textId="77777777" w:rsidR="00653B9D" w:rsidRPr="00A335CB" w:rsidRDefault="00653B9D" w:rsidP="005D1A90">
            <w:pPr>
              <w:spacing w:after="0" w:line="276" w:lineRule="auto"/>
              <w:jc w:val="right"/>
              <w:rPr>
                <w:rFonts w:ascii="Arial" w:eastAsia="Times New Roman" w:hAnsi="Arial" w:cs="Arial"/>
                <w:sz w:val="20"/>
                <w:szCs w:val="20"/>
              </w:rPr>
            </w:pPr>
          </w:p>
        </w:tc>
        <w:tc>
          <w:tcPr>
            <w:tcW w:w="1141" w:type="dxa"/>
            <w:vAlign w:val="bottom"/>
          </w:tcPr>
          <w:p w14:paraId="73494EFE" w14:textId="77777777" w:rsidR="00653B9D" w:rsidRPr="00A335CB" w:rsidRDefault="00653B9D" w:rsidP="005D1A90">
            <w:pPr>
              <w:spacing w:after="0" w:line="276" w:lineRule="auto"/>
              <w:jc w:val="right"/>
              <w:rPr>
                <w:rFonts w:ascii="Arial" w:eastAsia="Times New Roman" w:hAnsi="Arial" w:cs="Arial"/>
                <w:sz w:val="20"/>
                <w:szCs w:val="20"/>
              </w:rPr>
            </w:pPr>
          </w:p>
        </w:tc>
        <w:tc>
          <w:tcPr>
            <w:tcW w:w="1141" w:type="dxa"/>
            <w:vAlign w:val="bottom"/>
          </w:tcPr>
          <w:p w14:paraId="5E68571D"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4.762</w:t>
            </w:r>
          </w:p>
        </w:tc>
        <w:tc>
          <w:tcPr>
            <w:tcW w:w="1141" w:type="dxa"/>
            <w:vAlign w:val="bottom"/>
          </w:tcPr>
          <w:p w14:paraId="63E2E2A7"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1.046.875</w:t>
            </w:r>
          </w:p>
        </w:tc>
        <w:tc>
          <w:tcPr>
            <w:tcW w:w="1141" w:type="dxa"/>
            <w:shd w:val="clear" w:color="auto" w:fill="auto"/>
            <w:noWrap/>
            <w:vAlign w:val="bottom"/>
          </w:tcPr>
          <w:p w14:paraId="121E08D2"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541.274</w:t>
            </w:r>
          </w:p>
        </w:tc>
      </w:tr>
      <w:tr w:rsidR="00BD47E0" w:rsidRPr="00A335CB" w14:paraId="20C47392" w14:textId="77777777" w:rsidTr="00653B9D">
        <w:trPr>
          <w:trHeight w:val="296"/>
        </w:trPr>
        <w:tc>
          <w:tcPr>
            <w:tcW w:w="2636" w:type="dxa"/>
            <w:shd w:val="clear" w:color="auto" w:fill="auto"/>
            <w:noWrap/>
            <w:vAlign w:val="bottom"/>
            <w:hideMark/>
          </w:tcPr>
          <w:p w14:paraId="68D7380F" w14:textId="64C79595" w:rsidR="00653B9D" w:rsidRPr="00A335CB" w:rsidRDefault="00721952" w:rsidP="005D1A90">
            <w:pPr>
              <w:spacing w:after="0" w:line="276" w:lineRule="auto"/>
              <w:rPr>
                <w:rFonts w:ascii="Arial" w:eastAsia="Times New Roman" w:hAnsi="Arial" w:cs="Arial"/>
                <w:sz w:val="20"/>
                <w:szCs w:val="20"/>
              </w:rPr>
            </w:pPr>
            <w:r>
              <w:rPr>
                <w:rFonts w:ascii="Arial" w:eastAsia="Times New Roman" w:hAnsi="Arial" w:cs="Arial"/>
                <w:sz w:val="20"/>
                <w:szCs w:val="20"/>
              </w:rPr>
              <w:t>Drugo</w:t>
            </w:r>
          </w:p>
        </w:tc>
        <w:tc>
          <w:tcPr>
            <w:tcW w:w="166" w:type="dxa"/>
            <w:vAlign w:val="bottom"/>
          </w:tcPr>
          <w:p w14:paraId="238E86DF"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567.239</w:t>
            </w:r>
          </w:p>
        </w:tc>
        <w:tc>
          <w:tcPr>
            <w:tcW w:w="1141" w:type="dxa"/>
            <w:vAlign w:val="bottom"/>
          </w:tcPr>
          <w:p w14:paraId="2DD8D04F"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532.980</w:t>
            </w:r>
          </w:p>
        </w:tc>
        <w:tc>
          <w:tcPr>
            <w:tcW w:w="1141" w:type="dxa"/>
            <w:vAlign w:val="bottom"/>
          </w:tcPr>
          <w:p w14:paraId="71BC427C"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428.340</w:t>
            </w:r>
          </w:p>
        </w:tc>
        <w:tc>
          <w:tcPr>
            <w:tcW w:w="1141" w:type="dxa"/>
            <w:vAlign w:val="bottom"/>
          </w:tcPr>
          <w:p w14:paraId="5E4F7C71"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682.545</w:t>
            </w:r>
          </w:p>
        </w:tc>
        <w:tc>
          <w:tcPr>
            <w:tcW w:w="1141" w:type="dxa"/>
            <w:shd w:val="clear" w:color="auto" w:fill="auto"/>
            <w:noWrap/>
            <w:vAlign w:val="bottom"/>
            <w:hideMark/>
          </w:tcPr>
          <w:p w14:paraId="2A65DC62" w14:textId="77777777" w:rsidR="00653B9D" w:rsidRPr="00A335CB" w:rsidRDefault="00653B9D" w:rsidP="005D1A90">
            <w:pPr>
              <w:spacing w:after="0" w:line="276" w:lineRule="auto"/>
              <w:jc w:val="right"/>
              <w:rPr>
                <w:rFonts w:ascii="Arial" w:eastAsia="Times New Roman" w:hAnsi="Arial" w:cs="Arial"/>
                <w:sz w:val="20"/>
                <w:szCs w:val="20"/>
              </w:rPr>
            </w:pPr>
            <w:r w:rsidRPr="00A335CB">
              <w:rPr>
                <w:rFonts w:ascii="Arial" w:eastAsia="Times New Roman" w:hAnsi="Arial" w:cs="Arial"/>
                <w:sz w:val="20"/>
                <w:szCs w:val="20"/>
              </w:rPr>
              <w:t>1.043.712</w:t>
            </w:r>
          </w:p>
        </w:tc>
      </w:tr>
      <w:tr w:rsidR="00BD47E0" w:rsidRPr="00A335CB" w14:paraId="2743CB9A" w14:textId="77777777" w:rsidTr="00653B9D">
        <w:trPr>
          <w:trHeight w:val="296"/>
        </w:trPr>
        <w:tc>
          <w:tcPr>
            <w:tcW w:w="2636" w:type="dxa"/>
            <w:shd w:val="clear" w:color="auto" w:fill="auto"/>
            <w:noWrap/>
            <w:vAlign w:val="bottom"/>
            <w:hideMark/>
          </w:tcPr>
          <w:p w14:paraId="2B9264F5" w14:textId="77777777" w:rsidR="00653B9D" w:rsidRPr="00A335CB" w:rsidRDefault="00653B9D" w:rsidP="005D1A90">
            <w:pPr>
              <w:spacing w:after="0" w:line="276" w:lineRule="auto"/>
              <w:rPr>
                <w:rFonts w:ascii="Arial" w:eastAsia="Times New Roman" w:hAnsi="Arial" w:cs="Arial"/>
                <w:b/>
                <w:bCs/>
                <w:sz w:val="20"/>
                <w:szCs w:val="20"/>
              </w:rPr>
            </w:pPr>
            <w:r w:rsidRPr="00A335CB">
              <w:rPr>
                <w:rFonts w:ascii="Arial" w:eastAsia="Times New Roman" w:hAnsi="Arial" w:cs="Arial"/>
                <w:b/>
                <w:bCs/>
                <w:sz w:val="20"/>
                <w:szCs w:val="20"/>
              </w:rPr>
              <w:t>SKUPAJ</w:t>
            </w:r>
          </w:p>
        </w:tc>
        <w:tc>
          <w:tcPr>
            <w:tcW w:w="166" w:type="dxa"/>
            <w:vAlign w:val="bottom"/>
          </w:tcPr>
          <w:p w14:paraId="2A37D855" w14:textId="77777777" w:rsidR="00653B9D" w:rsidRPr="00A335CB" w:rsidRDefault="00653B9D" w:rsidP="005D1A90">
            <w:pPr>
              <w:spacing w:after="0" w:line="276" w:lineRule="auto"/>
              <w:jc w:val="right"/>
              <w:rPr>
                <w:rFonts w:ascii="Arial" w:eastAsia="Times New Roman" w:hAnsi="Arial" w:cs="Arial"/>
                <w:b/>
                <w:bCs/>
                <w:sz w:val="20"/>
                <w:szCs w:val="20"/>
              </w:rPr>
            </w:pPr>
            <w:r w:rsidRPr="00A335CB">
              <w:rPr>
                <w:rFonts w:ascii="Arial" w:eastAsia="Times New Roman" w:hAnsi="Arial" w:cs="Arial"/>
                <w:b/>
                <w:bCs/>
                <w:sz w:val="20"/>
                <w:szCs w:val="20"/>
              </w:rPr>
              <w:t>12.595.929</w:t>
            </w:r>
          </w:p>
        </w:tc>
        <w:tc>
          <w:tcPr>
            <w:tcW w:w="1141" w:type="dxa"/>
            <w:vAlign w:val="bottom"/>
          </w:tcPr>
          <w:p w14:paraId="3B72F9BD" w14:textId="77777777" w:rsidR="00653B9D" w:rsidRPr="00A335CB" w:rsidRDefault="00653B9D" w:rsidP="005D1A90">
            <w:pPr>
              <w:spacing w:after="0" w:line="276" w:lineRule="auto"/>
              <w:jc w:val="right"/>
              <w:rPr>
                <w:rFonts w:ascii="Arial" w:eastAsia="Times New Roman" w:hAnsi="Arial" w:cs="Arial"/>
                <w:b/>
                <w:bCs/>
                <w:sz w:val="20"/>
                <w:szCs w:val="20"/>
              </w:rPr>
            </w:pPr>
            <w:r w:rsidRPr="00A335CB">
              <w:rPr>
                <w:rFonts w:ascii="Arial" w:eastAsia="Times New Roman" w:hAnsi="Arial" w:cs="Arial"/>
                <w:b/>
                <w:bCs/>
                <w:sz w:val="20"/>
                <w:szCs w:val="20"/>
              </w:rPr>
              <w:t>21.182.177</w:t>
            </w:r>
          </w:p>
        </w:tc>
        <w:tc>
          <w:tcPr>
            <w:tcW w:w="1141" w:type="dxa"/>
            <w:vAlign w:val="bottom"/>
          </w:tcPr>
          <w:p w14:paraId="44E39EBA" w14:textId="77777777" w:rsidR="00653B9D" w:rsidRPr="00A335CB" w:rsidRDefault="00653B9D" w:rsidP="005D1A90">
            <w:pPr>
              <w:spacing w:after="0" w:line="276" w:lineRule="auto"/>
              <w:jc w:val="right"/>
              <w:rPr>
                <w:rFonts w:ascii="Arial" w:eastAsia="Times New Roman" w:hAnsi="Arial" w:cs="Arial"/>
                <w:b/>
                <w:bCs/>
                <w:sz w:val="20"/>
                <w:szCs w:val="20"/>
              </w:rPr>
            </w:pPr>
            <w:r w:rsidRPr="00A335CB">
              <w:rPr>
                <w:rFonts w:ascii="Arial" w:eastAsia="Times New Roman" w:hAnsi="Arial" w:cs="Arial"/>
                <w:b/>
                <w:bCs/>
                <w:sz w:val="20"/>
                <w:szCs w:val="20"/>
              </w:rPr>
              <w:t>17.258.976</w:t>
            </w:r>
          </w:p>
        </w:tc>
        <w:tc>
          <w:tcPr>
            <w:tcW w:w="1141" w:type="dxa"/>
            <w:vAlign w:val="bottom"/>
          </w:tcPr>
          <w:p w14:paraId="6B4D21F4" w14:textId="77777777" w:rsidR="00653B9D" w:rsidRPr="00A335CB" w:rsidRDefault="00653B9D" w:rsidP="005D1A90">
            <w:pPr>
              <w:spacing w:after="0" w:line="276" w:lineRule="auto"/>
              <w:jc w:val="right"/>
              <w:rPr>
                <w:rFonts w:ascii="Arial" w:eastAsia="Times New Roman" w:hAnsi="Arial" w:cs="Arial"/>
                <w:b/>
                <w:bCs/>
                <w:sz w:val="20"/>
                <w:szCs w:val="20"/>
              </w:rPr>
            </w:pPr>
            <w:r w:rsidRPr="00A335CB">
              <w:rPr>
                <w:rFonts w:ascii="Arial" w:eastAsia="Times New Roman" w:hAnsi="Arial" w:cs="Arial"/>
                <w:b/>
                <w:bCs/>
                <w:sz w:val="20"/>
                <w:szCs w:val="20"/>
              </w:rPr>
              <w:t>18.679.513</w:t>
            </w:r>
          </w:p>
        </w:tc>
        <w:tc>
          <w:tcPr>
            <w:tcW w:w="1141" w:type="dxa"/>
            <w:shd w:val="clear" w:color="auto" w:fill="auto"/>
            <w:noWrap/>
            <w:vAlign w:val="bottom"/>
            <w:hideMark/>
          </w:tcPr>
          <w:p w14:paraId="091C8C6C" w14:textId="77777777" w:rsidR="00653B9D" w:rsidRPr="00A335CB" w:rsidRDefault="00653B9D" w:rsidP="005D1A90">
            <w:pPr>
              <w:spacing w:after="0" w:line="276" w:lineRule="auto"/>
              <w:jc w:val="right"/>
              <w:rPr>
                <w:rFonts w:ascii="Arial" w:eastAsia="Times New Roman" w:hAnsi="Arial" w:cs="Arial"/>
                <w:b/>
                <w:bCs/>
                <w:sz w:val="20"/>
                <w:szCs w:val="20"/>
              </w:rPr>
            </w:pPr>
            <w:r w:rsidRPr="00A335CB">
              <w:rPr>
                <w:rFonts w:ascii="Arial" w:eastAsia="Times New Roman" w:hAnsi="Arial" w:cs="Arial"/>
                <w:b/>
                <w:bCs/>
                <w:sz w:val="20"/>
                <w:szCs w:val="20"/>
              </w:rPr>
              <w:t>20.831.621</w:t>
            </w:r>
          </w:p>
        </w:tc>
      </w:tr>
    </w:tbl>
    <w:p w14:paraId="6EE6878B"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p>
    <w:p w14:paraId="1CEACCF8"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p>
    <w:p w14:paraId="2631CEA0" w14:textId="53DF69DB"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p>
    <w:p w14:paraId="28CA7E0C" w14:textId="57C24F6B" w:rsidR="00090839" w:rsidRPr="00A335CB" w:rsidRDefault="00090839" w:rsidP="005D1A90">
      <w:pPr>
        <w:autoSpaceDE w:val="0"/>
        <w:autoSpaceDN w:val="0"/>
        <w:adjustRightInd w:val="0"/>
        <w:spacing w:after="0" w:line="276" w:lineRule="auto"/>
        <w:jc w:val="both"/>
        <w:rPr>
          <w:rFonts w:ascii="Arial" w:hAnsi="Arial" w:cs="Arial"/>
          <w:bCs/>
          <w:iCs/>
          <w:sz w:val="20"/>
          <w:szCs w:val="20"/>
          <w:lang w:eastAsia="sl-SI"/>
        </w:rPr>
      </w:pPr>
      <w:r w:rsidRPr="00A335CB">
        <w:rPr>
          <w:rFonts w:ascii="Arial" w:hAnsi="Arial" w:cs="Arial"/>
          <w:b/>
          <w:bCs/>
          <w:iCs/>
          <w:sz w:val="20"/>
          <w:szCs w:val="20"/>
          <w:lang w:eastAsia="sl-SI"/>
        </w:rPr>
        <w:t>Preglednica:</w:t>
      </w:r>
      <w:r w:rsidRPr="00A335CB">
        <w:rPr>
          <w:rFonts w:ascii="Arial" w:hAnsi="Arial" w:cs="Arial"/>
          <w:bCs/>
          <w:iCs/>
          <w:sz w:val="20"/>
          <w:szCs w:val="20"/>
          <w:lang w:eastAsia="sl-SI"/>
        </w:rPr>
        <w:t xml:space="preserve"> </w:t>
      </w:r>
      <w:r w:rsidR="005E0375">
        <w:rPr>
          <w:rFonts w:ascii="Arial" w:hAnsi="Arial" w:cs="Arial"/>
          <w:bCs/>
          <w:iCs/>
          <w:sz w:val="20"/>
          <w:szCs w:val="20"/>
          <w:lang w:eastAsia="sl-SI"/>
        </w:rPr>
        <w:t>Predložitev</w:t>
      </w:r>
      <w:r w:rsidR="005E0375" w:rsidRPr="00A335CB">
        <w:rPr>
          <w:rFonts w:ascii="Arial" w:hAnsi="Arial" w:cs="Arial"/>
          <w:bCs/>
          <w:iCs/>
          <w:sz w:val="20"/>
          <w:szCs w:val="20"/>
          <w:lang w:eastAsia="sl-SI"/>
        </w:rPr>
        <w:t xml:space="preserve"> </w:t>
      </w:r>
      <w:r w:rsidRPr="00A335CB">
        <w:rPr>
          <w:rFonts w:ascii="Arial" w:hAnsi="Arial" w:cs="Arial"/>
          <w:bCs/>
          <w:iCs/>
          <w:sz w:val="20"/>
          <w:szCs w:val="20"/>
          <w:lang w:eastAsia="sl-SI"/>
        </w:rPr>
        <w:t>podatkov prek IO-CRP</w:t>
      </w:r>
    </w:p>
    <w:p w14:paraId="5FD0894B"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p>
    <w:p w14:paraId="6184E3A9" w14:textId="546D90FD"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Občine podatke, ki jih potrebujejo za opravljanje nalog iz svoje pristojnosti, jih obdelujejo ter opravljajo statistično, evidenčno in analitično funkcijo za svoje potrebe</w:t>
      </w:r>
      <w:r w:rsidR="00AE41C1" w:rsidRPr="00A335CB">
        <w:rPr>
          <w:rFonts w:ascii="Arial" w:hAnsi="Arial" w:cs="Arial"/>
          <w:sz w:val="20"/>
          <w:szCs w:val="20"/>
          <w:lang w:eastAsia="sl-SI"/>
        </w:rPr>
        <w:t>,</w:t>
      </w:r>
      <w:r w:rsidRPr="00A335CB">
        <w:rPr>
          <w:rFonts w:ascii="Arial" w:hAnsi="Arial" w:cs="Arial"/>
          <w:sz w:val="20"/>
          <w:szCs w:val="20"/>
          <w:lang w:eastAsia="sl-SI"/>
        </w:rPr>
        <w:t xml:space="preserve"> </w:t>
      </w:r>
      <w:r w:rsidR="00140FE7" w:rsidRPr="00A335CB">
        <w:rPr>
          <w:rFonts w:ascii="Arial" w:hAnsi="Arial" w:cs="Arial"/>
          <w:sz w:val="20"/>
          <w:szCs w:val="20"/>
          <w:lang w:eastAsia="sl-SI"/>
        </w:rPr>
        <w:t xml:space="preserve">pridobivajo </w:t>
      </w:r>
      <w:r w:rsidRPr="00A335CB">
        <w:rPr>
          <w:rFonts w:ascii="Arial" w:hAnsi="Arial" w:cs="Arial"/>
          <w:sz w:val="20"/>
          <w:szCs w:val="20"/>
          <w:lang w:eastAsia="sl-SI"/>
        </w:rPr>
        <w:t xml:space="preserve">na podlagi 21.a člena Zakona o lokalni samoupravi. Podatke pridobivajo </w:t>
      </w:r>
      <w:r w:rsidRPr="00A335CB">
        <w:rPr>
          <w:rFonts w:ascii="Arial" w:hAnsi="Arial" w:cs="Arial"/>
          <w:b/>
          <w:sz w:val="20"/>
          <w:szCs w:val="20"/>
          <w:lang w:eastAsia="sl-SI"/>
        </w:rPr>
        <w:t>prek Portala CRP-Občine</w:t>
      </w:r>
      <w:r w:rsidRPr="00A335CB">
        <w:rPr>
          <w:rFonts w:ascii="Arial" w:hAnsi="Arial" w:cs="Arial"/>
          <w:sz w:val="20"/>
          <w:szCs w:val="20"/>
          <w:lang w:eastAsia="sl-SI"/>
        </w:rPr>
        <w:t xml:space="preserve">, ki ga uporabljajo vse občine (v letu 2024 je bila na portal vključena še Občina Žetale). V letu 2024 je bilo občinam prek portala poslanih </w:t>
      </w:r>
      <w:r w:rsidRPr="00A335CB">
        <w:rPr>
          <w:rFonts w:ascii="Arial" w:hAnsi="Arial" w:cs="Arial"/>
          <w:b/>
          <w:bCs/>
          <w:sz w:val="20"/>
          <w:szCs w:val="20"/>
          <w:lang w:eastAsia="sl-SI"/>
        </w:rPr>
        <w:t>13.152.632</w:t>
      </w:r>
      <w:r w:rsidRPr="00A335CB">
        <w:rPr>
          <w:rFonts w:ascii="Arial" w:hAnsi="Arial" w:cs="Arial"/>
          <w:sz w:val="20"/>
          <w:szCs w:val="20"/>
          <w:lang w:eastAsia="sl-SI"/>
        </w:rPr>
        <w:t xml:space="preserve"> zapisov o njihovih občanih. </w:t>
      </w:r>
    </w:p>
    <w:p w14:paraId="421EBD09" w14:textId="77777777" w:rsidR="00653B9D" w:rsidRPr="00A335CB" w:rsidRDefault="00653B9D" w:rsidP="005D1A90">
      <w:pPr>
        <w:spacing w:after="0" w:line="276" w:lineRule="auto"/>
        <w:jc w:val="both"/>
        <w:rPr>
          <w:rFonts w:ascii="Arial" w:hAnsi="Arial" w:cs="Arial"/>
          <w:sz w:val="20"/>
          <w:szCs w:val="20"/>
        </w:rPr>
      </w:pPr>
    </w:p>
    <w:p w14:paraId="3046D8AA" w14:textId="3B461C5A" w:rsidR="00653B9D" w:rsidRPr="00A335CB" w:rsidRDefault="00653B9D" w:rsidP="005D1A90">
      <w:pPr>
        <w:autoSpaceDE w:val="0"/>
        <w:autoSpaceDN w:val="0"/>
        <w:adjustRightInd w:val="0"/>
        <w:spacing w:line="276" w:lineRule="auto"/>
        <w:jc w:val="both"/>
        <w:rPr>
          <w:rFonts w:ascii="Arial" w:hAnsi="Arial" w:cs="Arial"/>
          <w:bCs/>
          <w:iCs/>
          <w:sz w:val="20"/>
          <w:szCs w:val="20"/>
          <w:lang w:eastAsia="sl-SI"/>
        </w:rPr>
      </w:pPr>
      <w:r w:rsidRPr="00A335CB">
        <w:rPr>
          <w:rFonts w:ascii="Arial" w:hAnsi="Arial" w:cs="Arial"/>
          <w:sz w:val="20"/>
          <w:szCs w:val="20"/>
        </w:rPr>
        <w:t xml:space="preserve">Na Portal </w:t>
      </w:r>
      <w:r w:rsidRPr="00A335CB">
        <w:rPr>
          <w:rFonts w:ascii="Arial" w:hAnsi="Arial" w:cs="Arial"/>
          <w:b/>
          <w:sz w:val="20"/>
          <w:szCs w:val="20"/>
        </w:rPr>
        <w:t>CRP-Zasebniki</w:t>
      </w:r>
      <w:r w:rsidRPr="00A335CB">
        <w:rPr>
          <w:rFonts w:ascii="Arial" w:hAnsi="Arial" w:cs="Arial"/>
          <w:sz w:val="20"/>
          <w:szCs w:val="20"/>
        </w:rPr>
        <w:t xml:space="preserve"> sta bila v letu </w:t>
      </w:r>
      <w:r w:rsidRPr="00A335CB">
        <w:rPr>
          <w:rFonts w:ascii="Arial" w:hAnsi="Arial" w:cs="Arial"/>
          <w:b/>
          <w:sz w:val="20"/>
          <w:szCs w:val="20"/>
        </w:rPr>
        <w:t>2024</w:t>
      </w:r>
      <w:r w:rsidRPr="00A335CB">
        <w:rPr>
          <w:rFonts w:ascii="Arial" w:hAnsi="Arial" w:cs="Arial"/>
          <w:sz w:val="20"/>
          <w:szCs w:val="20"/>
        </w:rPr>
        <w:t xml:space="preserve"> s podpisom sporazuma vključena dva nova uporabnika, in sicer Inšpektorat za javni sektor ter</w:t>
      </w:r>
      <w:r w:rsidR="0016396C" w:rsidRPr="00A335CB">
        <w:rPr>
          <w:rFonts w:ascii="Arial" w:hAnsi="Arial" w:cs="Arial"/>
          <w:sz w:val="20"/>
          <w:szCs w:val="20"/>
        </w:rPr>
        <w:t xml:space="preserve"> Borzen d.</w:t>
      </w:r>
      <w:r w:rsidR="00140FE7">
        <w:rPr>
          <w:rFonts w:ascii="Arial" w:hAnsi="Arial" w:cs="Arial"/>
          <w:sz w:val="20"/>
          <w:szCs w:val="20"/>
        </w:rPr>
        <w:t> </w:t>
      </w:r>
      <w:r w:rsidR="0016396C" w:rsidRPr="00A335CB">
        <w:rPr>
          <w:rFonts w:ascii="Arial" w:hAnsi="Arial" w:cs="Arial"/>
          <w:sz w:val="20"/>
          <w:szCs w:val="20"/>
        </w:rPr>
        <w:t>o.</w:t>
      </w:r>
      <w:r w:rsidR="00140FE7">
        <w:rPr>
          <w:rFonts w:ascii="Arial" w:hAnsi="Arial" w:cs="Arial"/>
          <w:sz w:val="20"/>
          <w:szCs w:val="20"/>
        </w:rPr>
        <w:t> </w:t>
      </w:r>
      <w:r w:rsidR="0016396C" w:rsidRPr="00A335CB">
        <w:rPr>
          <w:rFonts w:ascii="Arial" w:hAnsi="Arial" w:cs="Arial"/>
          <w:sz w:val="20"/>
          <w:szCs w:val="20"/>
        </w:rPr>
        <w:t>o. S portala CRP sta bila v letu 2024 odklopljena</w:t>
      </w:r>
      <w:r w:rsidRPr="00A335CB">
        <w:rPr>
          <w:rFonts w:ascii="Arial" w:hAnsi="Arial" w:cs="Arial"/>
          <w:sz w:val="20"/>
          <w:szCs w:val="20"/>
        </w:rPr>
        <w:t xml:space="preserve"> Slovensko zavarovalno združenje (ter vse zavarovalnice) in Kapit</w:t>
      </w:r>
      <w:r w:rsidR="0016396C" w:rsidRPr="00A335CB">
        <w:rPr>
          <w:rFonts w:ascii="Arial" w:hAnsi="Arial" w:cs="Arial"/>
          <w:sz w:val="20"/>
          <w:szCs w:val="20"/>
        </w:rPr>
        <w:t>alska družba</w:t>
      </w:r>
      <w:r w:rsidRPr="00A335CB">
        <w:rPr>
          <w:rFonts w:ascii="Arial" w:hAnsi="Arial" w:cs="Arial"/>
          <w:sz w:val="20"/>
          <w:szCs w:val="20"/>
        </w:rPr>
        <w:t xml:space="preserve">. Vsi uporabniki skupaj so prek Portala CRP v letu 2023 pridobili podatke o </w:t>
      </w:r>
      <w:r w:rsidRPr="00A335CB">
        <w:rPr>
          <w:rFonts w:ascii="Arial" w:hAnsi="Arial" w:cs="Arial"/>
          <w:b/>
          <w:sz w:val="20"/>
          <w:szCs w:val="20"/>
        </w:rPr>
        <w:t>391.987 osebah</w:t>
      </w:r>
      <w:r w:rsidRPr="00A335CB">
        <w:rPr>
          <w:rFonts w:ascii="Arial" w:hAnsi="Arial" w:cs="Arial"/>
          <w:sz w:val="20"/>
          <w:szCs w:val="20"/>
        </w:rPr>
        <w:t>.</w:t>
      </w:r>
    </w:p>
    <w:p w14:paraId="28F2B5CB" w14:textId="331BB5C3" w:rsidR="00653B9D"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Sporočanje podatkov iz CRP se izvaja od leta 1996. Od leta 2004 se uporablja ista metodologija prikazovanja podatkov. Od začetka vodenja statistike </w:t>
      </w:r>
      <w:r w:rsidR="005E0375">
        <w:rPr>
          <w:rFonts w:ascii="Arial" w:hAnsi="Arial" w:cs="Arial"/>
          <w:sz w:val="20"/>
          <w:szCs w:val="20"/>
        </w:rPr>
        <w:t>predložitve</w:t>
      </w:r>
      <w:r w:rsidR="005E0375" w:rsidRPr="00A335CB">
        <w:rPr>
          <w:rFonts w:ascii="Arial" w:hAnsi="Arial" w:cs="Arial"/>
          <w:sz w:val="20"/>
          <w:szCs w:val="20"/>
        </w:rPr>
        <w:t xml:space="preserve"> </w:t>
      </w:r>
      <w:r w:rsidRPr="00A335CB">
        <w:rPr>
          <w:rFonts w:ascii="Arial" w:hAnsi="Arial" w:cs="Arial"/>
          <w:sz w:val="20"/>
          <w:szCs w:val="20"/>
        </w:rPr>
        <w:t>podatkov leta 1996 pa do konca leta 2024 je bilo iz C</w:t>
      </w:r>
      <w:r w:rsidR="00AE41C1" w:rsidRPr="00A335CB">
        <w:rPr>
          <w:rFonts w:ascii="Arial" w:hAnsi="Arial" w:cs="Arial"/>
          <w:sz w:val="20"/>
          <w:szCs w:val="20"/>
        </w:rPr>
        <w:t>RP</w:t>
      </w:r>
      <w:r w:rsidRPr="00A335CB">
        <w:rPr>
          <w:rFonts w:ascii="Arial" w:hAnsi="Arial" w:cs="Arial"/>
          <w:sz w:val="20"/>
          <w:szCs w:val="20"/>
        </w:rPr>
        <w:t xml:space="preserve"> skupaj </w:t>
      </w:r>
      <w:r w:rsidR="005E0375">
        <w:rPr>
          <w:rFonts w:ascii="Arial" w:hAnsi="Arial" w:cs="Arial"/>
          <w:sz w:val="20"/>
          <w:szCs w:val="20"/>
        </w:rPr>
        <w:t>predloženih</w:t>
      </w:r>
      <w:r w:rsidR="005E0375" w:rsidRPr="00A335CB">
        <w:rPr>
          <w:rFonts w:ascii="Arial" w:hAnsi="Arial" w:cs="Arial"/>
          <w:sz w:val="20"/>
          <w:szCs w:val="20"/>
        </w:rPr>
        <w:t xml:space="preserve"> </w:t>
      </w:r>
      <w:r w:rsidRPr="00A335CB">
        <w:rPr>
          <w:rFonts w:ascii="Arial" w:hAnsi="Arial" w:cs="Arial"/>
          <w:b/>
          <w:sz w:val="20"/>
          <w:szCs w:val="20"/>
        </w:rPr>
        <w:t xml:space="preserve">2.462.485.713 </w:t>
      </w:r>
      <w:r w:rsidRPr="00A335CB">
        <w:rPr>
          <w:rFonts w:ascii="Arial" w:hAnsi="Arial" w:cs="Arial"/>
          <w:sz w:val="20"/>
          <w:szCs w:val="20"/>
        </w:rPr>
        <w:t xml:space="preserve">podatkov oziroma </w:t>
      </w:r>
      <w:r w:rsidRPr="00A335CB">
        <w:rPr>
          <w:rFonts w:ascii="Arial" w:hAnsi="Arial" w:cs="Arial"/>
          <w:b/>
          <w:sz w:val="20"/>
          <w:szCs w:val="20"/>
        </w:rPr>
        <w:t xml:space="preserve">2,46 </w:t>
      </w:r>
      <w:r w:rsidRPr="00A335CB">
        <w:rPr>
          <w:rFonts w:ascii="Arial" w:hAnsi="Arial" w:cs="Arial"/>
          <w:sz w:val="20"/>
          <w:szCs w:val="20"/>
        </w:rPr>
        <w:t xml:space="preserve">milijarde </w:t>
      </w:r>
      <w:r w:rsidR="005E0375">
        <w:rPr>
          <w:rFonts w:ascii="Arial" w:hAnsi="Arial" w:cs="Arial"/>
          <w:sz w:val="20"/>
          <w:szCs w:val="20"/>
        </w:rPr>
        <w:t>predloženih</w:t>
      </w:r>
      <w:r w:rsidR="005E0375" w:rsidRPr="00A335CB">
        <w:rPr>
          <w:rFonts w:ascii="Arial" w:hAnsi="Arial" w:cs="Arial"/>
          <w:sz w:val="20"/>
          <w:szCs w:val="20"/>
        </w:rPr>
        <w:t xml:space="preserve"> </w:t>
      </w:r>
      <w:r w:rsidRPr="00A335CB">
        <w:rPr>
          <w:rFonts w:ascii="Arial" w:hAnsi="Arial" w:cs="Arial"/>
          <w:sz w:val="20"/>
          <w:szCs w:val="20"/>
        </w:rPr>
        <w:t>podatkov.</w:t>
      </w:r>
    </w:p>
    <w:p w14:paraId="4918CB10" w14:textId="1D21BB7D" w:rsidR="003C0F33" w:rsidRDefault="003C0F33" w:rsidP="005D1A90">
      <w:pPr>
        <w:spacing w:after="0" w:line="276" w:lineRule="auto"/>
        <w:jc w:val="both"/>
        <w:rPr>
          <w:rFonts w:ascii="Arial" w:hAnsi="Arial" w:cs="Arial"/>
          <w:sz w:val="20"/>
          <w:szCs w:val="20"/>
        </w:rPr>
      </w:pPr>
    </w:p>
    <w:p w14:paraId="32227650" w14:textId="3F88889A" w:rsidR="00B90B42" w:rsidRDefault="00B90B42" w:rsidP="005D1A90">
      <w:pPr>
        <w:spacing w:after="0" w:line="276" w:lineRule="auto"/>
        <w:jc w:val="both"/>
        <w:rPr>
          <w:rFonts w:ascii="Arial" w:hAnsi="Arial" w:cs="Arial"/>
          <w:sz w:val="20"/>
          <w:szCs w:val="20"/>
        </w:rPr>
      </w:pPr>
    </w:p>
    <w:p w14:paraId="73ED4539" w14:textId="67C9C135" w:rsidR="00B90B42" w:rsidRDefault="00B90B42" w:rsidP="005D1A90">
      <w:pPr>
        <w:spacing w:after="0" w:line="276" w:lineRule="auto"/>
        <w:jc w:val="both"/>
        <w:rPr>
          <w:rFonts w:ascii="Arial" w:hAnsi="Arial" w:cs="Arial"/>
          <w:sz w:val="20"/>
          <w:szCs w:val="20"/>
        </w:rPr>
      </w:pPr>
    </w:p>
    <w:p w14:paraId="5163C5D8" w14:textId="54F6E755" w:rsidR="005C25B4" w:rsidRPr="00A335CB" w:rsidRDefault="005C25B4" w:rsidP="005D1A90">
      <w:pPr>
        <w:autoSpaceDE w:val="0"/>
        <w:autoSpaceDN w:val="0"/>
        <w:adjustRightInd w:val="0"/>
        <w:spacing w:line="276" w:lineRule="auto"/>
        <w:jc w:val="both"/>
        <w:rPr>
          <w:rFonts w:ascii="Arial" w:hAnsi="Arial" w:cs="Arial"/>
          <w:bCs/>
          <w:iCs/>
          <w:sz w:val="20"/>
          <w:szCs w:val="20"/>
          <w:lang w:eastAsia="sl-SI"/>
        </w:rPr>
      </w:pPr>
    </w:p>
    <w:tbl>
      <w:tblPr>
        <w:tblW w:w="79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087"/>
        <w:gridCol w:w="1640"/>
        <w:gridCol w:w="1253"/>
        <w:gridCol w:w="1320"/>
        <w:gridCol w:w="1500"/>
      </w:tblGrid>
      <w:tr w:rsidR="00BD47E0" w:rsidRPr="00A335CB" w14:paraId="6BD74A38" w14:textId="77777777" w:rsidTr="005C25B4">
        <w:trPr>
          <w:trHeight w:val="450"/>
        </w:trPr>
        <w:tc>
          <w:tcPr>
            <w:tcW w:w="1120" w:type="dxa"/>
            <w:shd w:val="clear" w:color="auto" w:fill="D9D9D9" w:themeFill="background1" w:themeFillShade="D9"/>
            <w:hideMark/>
          </w:tcPr>
          <w:p w14:paraId="4D425C3C" w14:textId="77777777" w:rsidR="00653B9D" w:rsidRPr="00A335CB" w:rsidRDefault="00653B9D" w:rsidP="005D1A90">
            <w:pPr>
              <w:spacing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Leto</w:t>
            </w:r>
          </w:p>
        </w:tc>
        <w:tc>
          <w:tcPr>
            <w:tcW w:w="1160" w:type="dxa"/>
            <w:shd w:val="clear" w:color="auto" w:fill="D9D9D9" w:themeFill="background1" w:themeFillShade="D9"/>
            <w:hideMark/>
          </w:tcPr>
          <w:p w14:paraId="05D9382D" w14:textId="77777777" w:rsidR="00653B9D" w:rsidRPr="00A335CB" w:rsidRDefault="00653B9D" w:rsidP="005D1A90">
            <w:pPr>
              <w:spacing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Zahteve</w:t>
            </w:r>
          </w:p>
        </w:tc>
        <w:tc>
          <w:tcPr>
            <w:tcW w:w="1640" w:type="dxa"/>
            <w:shd w:val="clear" w:color="auto" w:fill="D9D9D9" w:themeFill="background1" w:themeFillShade="D9"/>
            <w:hideMark/>
          </w:tcPr>
          <w:p w14:paraId="794CC9AC" w14:textId="77777777" w:rsidR="00653B9D" w:rsidRPr="00A335CB" w:rsidRDefault="00653B9D" w:rsidP="005D1A90">
            <w:pPr>
              <w:spacing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Ročno in na CD</w:t>
            </w:r>
          </w:p>
        </w:tc>
        <w:tc>
          <w:tcPr>
            <w:tcW w:w="1180" w:type="dxa"/>
            <w:shd w:val="clear" w:color="auto" w:fill="D9D9D9" w:themeFill="background1" w:themeFillShade="D9"/>
            <w:hideMark/>
          </w:tcPr>
          <w:p w14:paraId="11E1B596" w14:textId="2532C20A" w:rsidR="00653B9D" w:rsidRPr="00A335CB" w:rsidRDefault="00140FE7" w:rsidP="005D1A90">
            <w:pPr>
              <w:spacing w:line="276" w:lineRule="auto"/>
              <w:jc w:val="center"/>
              <w:rPr>
                <w:rFonts w:ascii="Arial" w:eastAsia="Times New Roman" w:hAnsi="Arial" w:cs="Arial"/>
                <w:b/>
                <w:bCs/>
                <w:sz w:val="20"/>
                <w:szCs w:val="20"/>
              </w:rPr>
            </w:pPr>
            <w:r>
              <w:rPr>
                <w:rFonts w:ascii="Arial" w:eastAsia="Times New Roman" w:hAnsi="Arial" w:cs="Arial"/>
                <w:b/>
                <w:bCs/>
                <w:sz w:val="20"/>
                <w:szCs w:val="20"/>
              </w:rPr>
              <w:t>Prek spleta</w:t>
            </w:r>
          </w:p>
        </w:tc>
        <w:tc>
          <w:tcPr>
            <w:tcW w:w="1320" w:type="dxa"/>
            <w:shd w:val="clear" w:color="auto" w:fill="D9D9D9" w:themeFill="background1" w:themeFillShade="D9"/>
            <w:hideMark/>
          </w:tcPr>
          <w:p w14:paraId="1AFFF6C3" w14:textId="77777777" w:rsidR="00653B9D" w:rsidRPr="00A335CB" w:rsidRDefault="00653B9D" w:rsidP="005D1A90">
            <w:pPr>
              <w:spacing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SKUPAJ za leto</w:t>
            </w:r>
          </w:p>
        </w:tc>
        <w:tc>
          <w:tcPr>
            <w:tcW w:w="1500" w:type="dxa"/>
            <w:shd w:val="clear" w:color="auto" w:fill="D9D9D9" w:themeFill="background1" w:themeFillShade="D9"/>
            <w:hideMark/>
          </w:tcPr>
          <w:p w14:paraId="68AA6450" w14:textId="77777777" w:rsidR="00653B9D" w:rsidRPr="00A335CB" w:rsidRDefault="00653B9D" w:rsidP="005D1A90">
            <w:pPr>
              <w:spacing w:line="276" w:lineRule="auto"/>
              <w:jc w:val="center"/>
              <w:rPr>
                <w:rFonts w:ascii="Arial" w:eastAsia="Times New Roman" w:hAnsi="Arial" w:cs="Arial"/>
                <w:b/>
                <w:bCs/>
                <w:sz w:val="20"/>
                <w:szCs w:val="20"/>
              </w:rPr>
            </w:pPr>
            <w:r w:rsidRPr="00A335CB">
              <w:rPr>
                <w:rFonts w:ascii="Arial" w:eastAsia="Times New Roman" w:hAnsi="Arial" w:cs="Arial"/>
                <w:b/>
                <w:bCs/>
                <w:sz w:val="20"/>
                <w:szCs w:val="20"/>
              </w:rPr>
              <w:t>SKUPAJ kumulativno</w:t>
            </w:r>
          </w:p>
        </w:tc>
      </w:tr>
      <w:tr w:rsidR="00BD47E0" w:rsidRPr="00A335CB" w14:paraId="2184F59F" w14:textId="77777777" w:rsidTr="005C25B4">
        <w:trPr>
          <w:trHeight w:val="255"/>
        </w:trPr>
        <w:tc>
          <w:tcPr>
            <w:tcW w:w="1120" w:type="dxa"/>
            <w:shd w:val="clear" w:color="auto" w:fill="auto"/>
            <w:vAlign w:val="center"/>
            <w:hideMark/>
          </w:tcPr>
          <w:p w14:paraId="3D473B88"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1996</w:t>
            </w:r>
          </w:p>
        </w:tc>
        <w:tc>
          <w:tcPr>
            <w:tcW w:w="1160" w:type="dxa"/>
            <w:shd w:val="clear" w:color="auto" w:fill="auto"/>
            <w:vAlign w:val="center"/>
            <w:hideMark/>
          </w:tcPr>
          <w:p w14:paraId="70C3AD8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1.516</w:t>
            </w:r>
          </w:p>
        </w:tc>
        <w:tc>
          <w:tcPr>
            <w:tcW w:w="1640" w:type="dxa"/>
            <w:shd w:val="clear" w:color="auto" w:fill="auto"/>
            <w:vAlign w:val="center"/>
            <w:hideMark/>
          </w:tcPr>
          <w:p w14:paraId="1DE57ED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12.253.311</w:t>
            </w:r>
          </w:p>
        </w:tc>
        <w:tc>
          <w:tcPr>
            <w:tcW w:w="1180" w:type="dxa"/>
            <w:shd w:val="clear" w:color="auto" w:fill="D9D9D9" w:themeFill="background1" w:themeFillShade="D9"/>
            <w:vAlign w:val="center"/>
            <w:hideMark/>
          </w:tcPr>
          <w:p w14:paraId="0840EEA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 </w:t>
            </w:r>
          </w:p>
        </w:tc>
        <w:tc>
          <w:tcPr>
            <w:tcW w:w="1320" w:type="dxa"/>
            <w:shd w:val="clear" w:color="auto" w:fill="auto"/>
            <w:vAlign w:val="center"/>
            <w:hideMark/>
          </w:tcPr>
          <w:p w14:paraId="3E114F7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12.253.311</w:t>
            </w:r>
          </w:p>
        </w:tc>
        <w:tc>
          <w:tcPr>
            <w:tcW w:w="1500" w:type="dxa"/>
            <w:shd w:val="clear" w:color="auto" w:fill="auto"/>
            <w:noWrap/>
            <w:vAlign w:val="center"/>
            <w:hideMark/>
          </w:tcPr>
          <w:p w14:paraId="39237D26"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12.253.311</w:t>
            </w:r>
          </w:p>
        </w:tc>
      </w:tr>
      <w:tr w:rsidR="00BD47E0" w:rsidRPr="00A335CB" w14:paraId="30A2F1F1" w14:textId="77777777" w:rsidTr="005C25B4">
        <w:trPr>
          <w:trHeight w:val="255"/>
        </w:trPr>
        <w:tc>
          <w:tcPr>
            <w:tcW w:w="1120" w:type="dxa"/>
            <w:shd w:val="clear" w:color="auto" w:fill="auto"/>
            <w:vAlign w:val="center"/>
            <w:hideMark/>
          </w:tcPr>
          <w:p w14:paraId="04CF8DF0"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1997</w:t>
            </w:r>
          </w:p>
        </w:tc>
        <w:tc>
          <w:tcPr>
            <w:tcW w:w="1160" w:type="dxa"/>
            <w:shd w:val="clear" w:color="auto" w:fill="auto"/>
            <w:vAlign w:val="center"/>
            <w:hideMark/>
          </w:tcPr>
          <w:p w14:paraId="2984D40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1.363</w:t>
            </w:r>
          </w:p>
        </w:tc>
        <w:tc>
          <w:tcPr>
            <w:tcW w:w="1640" w:type="dxa"/>
            <w:shd w:val="clear" w:color="auto" w:fill="auto"/>
            <w:vAlign w:val="center"/>
            <w:hideMark/>
          </w:tcPr>
          <w:p w14:paraId="67C5FD7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11.993.603</w:t>
            </w:r>
          </w:p>
        </w:tc>
        <w:tc>
          <w:tcPr>
            <w:tcW w:w="1180" w:type="dxa"/>
            <w:shd w:val="clear" w:color="auto" w:fill="D9D9D9" w:themeFill="background1" w:themeFillShade="D9"/>
            <w:vAlign w:val="center"/>
            <w:hideMark/>
          </w:tcPr>
          <w:p w14:paraId="31995C3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 </w:t>
            </w:r>
          </w:p>
        </w:tc>
        <w:tc>
          <w:tcPr>
            <w:tcW w:w="1320" w:type="dxa"/>
            <w:shd w:val="clear" w:color="auto" w:fill="auto"/>
            <w:vAlign w:val="center"/>
            <w:hideMark/>
          </w:tcPr>
          <w:p w14:paraId="6373038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11.993.603</w:t>
            </w:r>
          </w:p>
        </w:tc>
        <w:tc>
          <w:tcPr>
            <w:tcW w:w="1500" w:type="dxa"/>
            <w:shd w:val="clear" w:color="auto" w:fill="auto"/>
            <w:noWrap/>
            <w:vAlign w:val="center"/>
            <w:hideMark/>
          </w:tcPr>
          <w:p w14:paraId="4E5BBE5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24.246.914</w:t>
            </w:r>
          </w:p>
        </w:tc>
      </w:tr>
      <w:tr w:rsidR="00BD47E0" w:rsidRPr="00A335CB" w14:paraId="597C43FA" w14:textId="77777777" w:rsidTr="005C25B4">
        <w:trPr>
          <w:trHeight w:val="255"/>
        </w:trPr>
        <w:tc>
          <w:tcPr>
            <w:tcW w:w="1120" w:type="dxa"/>
            <w:shd w:val="clear" w:color="auto" w:fill="auto"/>
            <w:vAlign w:val="center"/>
            <w:hideMark/>
          </w:tcPr>
          <w:p w14:paraId="76288390"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1998</w:t>
            </w:r>
          </w:p>
        </w:tc>
        <w:tc>
          <w:tcPr>
            <w:tcW w:w="1160" w:type="dxa"/>
            <w:shd w:val="clear" w:color="auto" w:fill="auto"/>
            <w:vAlign w:val="center"/>
            <w:hideMark/>
          </w:tcPr>
          <w:p w14:paraId="0B4C236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2.793</w:t>
            </w:r>
          </w:p>
        </w:tc>
        <w:tc>
          <w:tcPr>
            <w:tcW w:w="1640" w:type="dxa"/>
            <w:shd w:val="clear" w:color="auto" w:fill="auto"/>
            <w:vAlign w:val="center"/>
            <w:hideMark/>
          </w:tcPr>
          <w:p w14:paraId="02F7C6A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13.185.978</w:t>
            </w:r>
          </w:p>
        </w:tc>
        <w:tc>
          <w:tcPr>
            <w:tcW w:w="1180" w:type="dxa"/>
            <w:shd w:val="clear" w:color="auto" w:fill="D9D9D9" w:themeFill="background1" w:themeFillShade="D9"/>
            <w:vAlign w:val="center"/>
            <w:hideMark/>
          </w:tcPr>
          <w:p w14:paraId="768D5F3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 </w:t>
            </w:r>
          </w:p>
        </w:tc>
        <w:tc>
          <w:tcPr>
            <w:tcW w:w="1320" w:type="dxa"/>
            <w:shd w:val="clear" w:color="auto" w:fill="auto"/>
            <w:vAlign w:val="center"/>
            <w:hideMark/>
          </w:tcPr>
          <w:p w14:paraId="2889C92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13.185.978</w:t>
            </w:r>
          </w:p>
        </w:tc>
        <w:tc>
          <w:tcPr>
            <w:tcW w:w="1500" w:type="dxa"/>
            <w:shd w:val="clear" w:color="auto" w:fill="auto"/>
            <w:noWrap/>
            <w:vAlign w:val="center"/>
            <w:hideMark/>
          </w:tcPr>
          <w:p w14:paraId="48F77CD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37.432.892</w:t>
            </w:r>
          </w:p>
        </w:tc>
      </w:tr>
      <w:tr w:rsidR="00BD47E0" w:rsidRPr="00A335CB" w14:paraId="1A9DA728" w14:textId="77777777" w:rsidTr="005C25B4">
        <w:trPr>
          <w:trHeight w:val="255"/>
        </w:trPr>
        <w:tc>
          <w:tcPr>
            <w:tcW w:w="1120" w:type="dxa"/>
            <w:shd w:val="clear" w:color="auto" w:fill="auto"/>
            <w:vAlign w:val="center"/>
            <w:hideMark/>
          </w:tcPr>
          <w:p w14:paraId="0F48B6CC"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1999</w:t>
            </w:r>
          </w:p>
        </w:tc>
        <w:tc>
          <w:tcPr>
            <w:tcW w:w="1160" w:type="dxa"/>
            <w:shd w:val="clear" w:color="auto" w:fill="auto"/>
            <w:vAlign w:val="center"/>
            <w:hideMark/>
          </w:tcPr>
          <w:p w14:paraId="739975F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3.830</w:t>
            </w:r>
          </w:p>
        </w:tc>
        <w:tc>
          <w:tcPr>
            <w:tcW w:w="1640" w:type="dxa"/>
            <w:shd w:val="clear" w:color="auto" w:fill="auto"/>
            <w:vAlign w:val="center"/>
            <w:hideMark/>
          </w:tcPr>
          <w:p w14:paraId="614E837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12.666.926</w:t>
            </w:r>
          </w:p>
        </w:tc>
        <w:tc>
          <w:tcPr>
            <w:tcW w:w="1180" w:type="dxa"/>
            <w:shd w:val="clear" w:color="auto" w:fill="D9D9D9" w:themeFill="background1" w:themeFillShade="D9"/>
            <w:vAlign w:val="center"/>
            <w:hideMark/>
          </w:tcPr>
          <w:p w14:paraId="1C16D2F0"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 </w:t>
            </w:r>
          </w:p>
        </w:tc>
        <w:tc>
          <w:tcPr>
            <w:tcW w:w="1320" w:type="dxa"/>
            <w:shd w:val="clear" w:color="auto" w:fill="auto"/>
            <w:vAlign w:val="center"/>
            <w:hideMark/>
          </w:tcPr>
          <w:p w14:paraId="32A6FF1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12.666.926</w:t>
            </w:r>
          </w:p>
        </w:tc>
        <w:tc>
          <w:tcPr>
            <w:tcW w:w="1500" w:type="dxa"/>
            <w:shd w:val="clear" w:color="auto" w:fill="auto"/>
            <w:noWrap/>
            <w:vAlign w:val="center"/>
            <w:hideMark/>
          </w:tcPr>
          <w:p w14:paraId="4B947D7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50.099.818</w:t>
            </w:r>
          </w:p>
        </w:tc>
      </w:tr>
      <w:tr w:rsidR="00BD47E0" w:rsidRPr="00A335CB" w14:paraId="600EC1C4" w14:textId="77777777" w:rsidTr="005C25B4">
        <w:trPr>
          <w:trHeight w:val="255"/>
        </w:trPr>
        <w:tc>
          <w:tcPr>
            <w:tcW w:w="1120" w:type="dxa"/>
            <w:shd w:val="clear" w:color="auto" w:fill="auto"/>
            <w:vAlign w:val="center"/>
            <w:hideMark/>
          </w:tcPr>
          <w:p w14:paraId="2D225F1B"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2000</w:t>
            </w:r>
          </w:p>
        </w:tc>
        <w:tc>
          <w:tcPr>
            <w:tcW w:w="1160" w:type="dxa"/>
            <w:shd w:val="clear" w:color="auto" w:fill="auto"/>
            <w:vAlign w:val="center"/>
            <w:hideMark/>
          </w:tcPr>
          <w:p w14:paraId="1AA763C8"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5.536</w:t>
            </w:r>
          </w:p>
        </w:tc>
        <w:tc>
          <w:tcPr>
            <w:tcW w:w="1640" w:type="dxa"/>
            <w:shd w:val="clear" w:color="auto" w:fill="auto"/>
            <w:vAlign w:val="center"/>
            <w:hideMark/>
          </w:tcPr>
          <w:p w14:paraId="22ABA263"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19.924.820</w:t>
            </w:r>
          </w:p>
        </w:tc>
        <w:tc>
          <w:tcPr>
            <w:tcW w:w="1180" w:type="dxa"/>
            <w:shd w:val="clear" w:color="auto" w:fill="D9D9D9" w:themeFill="background1" w:themeFillShade="D9"/>
            <w:vAlign w:val="center"/>
            <w:hideMark/>
          </w:tcPr>
          <w:p w14:paraId="2D81625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 </w:t>
            </w:r>
          </w:p>
        </w:tc>
        <w:tc>
          <w:tcPr>
            <w:tcW w:w="1320" w:type="dxa"/>
            <w:shd w:val="clear" w:color="auto" w:fill="auto"/>
            <w:vAlign w:val="center"/>
            <w:hideMark/>
          </w:tcPr>
          <w:p w14:paraId="57A599A9"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19.924.820</w:t>
            </w:r>
          </w:p>
        </w:tc>
        <w:tc>
          <w:tcPr>
            <w:tcW w:w="1500" w:type="dxa"/>
            <w:shd w:val="clear" w:color="auto" w:fill="auto"/>
            <w:noWrap/>
            <w:vAlign w:val="center"/>
            <w:hideMark/>
          </w:tcPr>
          <w:p w14:paraId="0704D93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70.024.638</w:t>
            </w:r>
          </w:p>
        </w:tc>
      </w:tr>
      <w:tr w:rsidR="00BD47E0" w:rsidRPr="00A335CB" w14:paraId="5E2F2017" w14:textId="77777777" w:rsidTr="005C25B4">
        <w:trPr>
          <w:trHeight w:val="255"/>
        </w:trPr>
        <w:tc>
          <w:tcPr>
            <w:tcW w:w="1120" w:type="dxa"/>
            <w:shd w:val="clear" w:color="auto" w:fill="auto"/>
            <w:vAlign w:val="center"/>
            <w:hideMark/>
          </w:tcPr>
          <w:p w14:paraId="312C566B"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2001</w:t>
            </w:r>
          </w:p>
        </w:tc>
        <w:tc>
          <w:tcPr>
            <w:tcW w:w="1160" w:type="dxa"/>
            <w:shd w:val="clear" w:color="auto" w:fill="auto"/>
            <w:vAlign w:val="center"/>
            <w:hideMark/>
          </w:tcPr>
          <w:p w14:paraId="0CFC1506"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6.965</w:t>
            </w:r>
          </w:p>
        </w:tc>
        <w:tc>
          <w:tcPr>
            <w:tcW w:w="1640" w:type="dxa"/>
            <w:shd w:val="clear" w:color="auto" w:fill="auto"/>
            <w:vAlign w:val="center"/>
            <w:hideMark/>
          </w:tcPr>
          <w:p w14:paraId="3DBF4BF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27.955.248</w:t>
            </w:r>
          </w:p>
        </w:tc>
        <w:tc>
          <w:tcPr>
            <w:tcW w:w="1180" w:type="dxa"/>
            <w:shd w:val="clear" w:color="auto" w:fill="D9D9D9" w:themeFill="background1" w:themeFillShade="D9"/>
            <w:vAlign w:val="center"/>
            <w:hideMark/>
          </w:tcPr>
          <w:p w14:paraId="6ED212D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 </w:t>
            </w:r>
          </w:p>
        </w:tc>
        <w:tc>
          <w:tcPr>
            <w:tcW w:w="1320" w:type="dxa"/>
            <w:shd w:val="clear" w:color="auto" w:fill="auto"/>
            <w:vAlign w:val="center"/>
            <w:hideMark/>
          </w:tcPr>
          <w:p w14:paraId="0C292F8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27.955.248</w:t>
            </w:r>
          </w:p>
        </w:tc>
        <w:tc>
          <w:tcPr>
            <w:tcW w:w="1500" w:type="dxa"/>
            <w:shd w:val="clear" w:color="auto" w:fill="auto"/>
            <w:noWrap/>
            <w:vAlign w:val="center"/>
            <w:hideMark/>
          </w:tcPr>
          <w:p w14:paraId="2310FFB9"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97.979.886</w:t>
            </w:r>
          </w:p>
        </w:tc>
      </w:tr>
      <w:tr w:rsidR="00BD47E0" w:rsidRPr="00A335CB" w14:paraId="31D8B620" w14:textId="77777777" w:rsidTr="005C25B4">
        <w:trPr>
          <w:trHeight w:val="255"/>
        </w:trPr>
        <w:tc>
          <w:tcPr>
            <w:tcW w:w="1120" w:type="dxa"/>
            <w:shd w:val="clear" w:color="auto" w:fill="auto"/>
            <w:vAlign w:val="center"/>
            <w:hideMark/>
          </w:tcPr>
          <w:p w14:paraId="50EF01EC"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2002</w:t>
            </w:r>
          </w:p>
        </w:tc>
        <w:tc>
          <w:tcPr>
            <w:tcW w:w="1160" w:type="dxa"/>
            <w:shd w:val="clear" w:color="auto" w:fill="auto"/>
            <w:vAlign w:val="center"/>
            <w:hideMark/>
          </w:tcPr>
          <w:p w14:paraId="7C29A65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7.190</w:t>
            </w:r>
          </w:p>
        </w:tc>
        <w:tc>
          <w:tcPr>
            <w:tcW w:w="1640" w:type="dxa"/>
            <w:shd w:val="clear" w:color="auto" w:fill="auto"/>
            <w:vAlign w:val="center"/>
            <w:hideMark/>
          </w:tcPr>
          <w:p w14:paraId="64DEDE6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30.297.285</w:t>
            </w:r>
          </w:p>
        </w:tc>
        <w:tc>
          <w:tcPr>
            <w:tcW w:w="1180" w:type="dxa"/>
            <w:shd w:val="clear" w:color="auto" w:fill="auto"/>
            <w:vAlign w:val="center"/>
            <w:hideMark/>
          </w:tcPr>
          <w:p w14:paraId="5507C37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315.739</w:t>
            </w:r>
          </w:p>
        </w:tc>
        <w:tc>
          <w:tcPr>
            <w:tcW w:w="1320" w:type="dxa"/>
            <w:shd w:val="clear" w:color="auto" w:fill="auto"/>
            <w:vAlign w:val="center"/>
            <w:hideMark/>
          </w:tcPr>
          <w:p w14:paraId="25E21A66"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30.613.024</w:t>
            </w:r>
          </w:p>
        </w:tc>
        <w:tc>
          <w:tcPr>
            <w:tcW w:w="1500" w:type="dxa"/>
            <w:shd w:val="clear" w:color="auto" w:fill="auto"/>
            <w:noWrap/>
            <w:vAlign w:val="center"/>
            <w:hideMark/>
          </w:tcPr>
          <w:p w14:paraId="6E1B8C0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128.592.910</w:t>
            </w:r>
          </w:p>
        </w:tc>
      </w:tr>
      <w:tr w:rsidR="00BD47E0" w:rsidRPr="00A335CB" w14:paraId="3A1C0494" w14:textId="77777777" w:rsidTr="005C25B4">
        <w:trPr>
          <w:trHeight w:val="255"/>
        </w:trPr>
        <w:tc>
          <w:tcPr>
            <w:tcW w:w="1120" w:type="dxa"/>
            <w:shd w:val="clear" w:color="auto" w:fill="auto"/>
            <w:vAlign w:val="center"/>
            <w:hideMark/>
          </w:tcPr>
          <w:p w14:paraId="61CFB693"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2003</w:t>
            </w:r>
          </w:p>
        </w:tc>
        <w:tc>
          <w:tcPr>
            <w:tcW w:w="1160" w:type="dxa"/>
            <w:shd w:val="clear" w:color="auto" w:fill="auto"/>
            <w:vAlign w:val="center"/>
            <w:hideMark/>
          </w:tcPr>
          <w:p w14:paraId="789C142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11.105</w:t>
            </w:r>
          </w:p>
        </w:tc>
        <w:tc>
          <w:tcPr>
            <w:tcW w:w="1640" w:type="dxa"/>
            <w:shd w:val="clear" w:color="auto" w:fill="auto"/>
            <w:vAlign w:val="center"/>
            <w:hideMark/>
          </w:tcPr>
          <w:p w14:paraId="16BDBB1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34.830.087</w:t>
            </w:r>
          </w:p>
        </w:tc>
        <w:tc>
          <w:tcPr>
            <w:tcW w:w="1180" w:type="dxa"/>
            <w:shd w:val="clear" w:color="auto" w:fill="auto"/>
            <w:vAlign w:val="center"/>
            <w:hideMark/>
          </w:tcPr>
          <w:p w14:paraId="07C0222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860.657</w:t>
            </w:r>
          </w:p>
        </w:tc>
        <w:tc>
          <w:tcPr>
            <w:tcW w:w="1320" w:type="dxa"/>
            <w:shd w:val="clear" w:color="auto" w:fill="auto"/>
            <w:vAlign w:val="center"/>
            <w:hideMark/>
          </w:tcPr>
          <w:p w14:paraId="70E9F040"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35.690.744</w:t>
            </w:r>
          </w:p>
        </w:tc>
        <w:tc>
          <w:tcPr>
            <w:tcW w:w="1500" w:type="dxa"/>
            <w:shd w:val="clear" w:color="auto" w:fill="auto"/>
            <w:noWrap/>
            <w:vAlign w:val="center"/>
            <w:hideMark/>
          </w:tcPr>
          <w:p w14:paraId="59B2C42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164.283.654</w:t>
            </w:r>
          </w:p>
        </w:tc>
      </w:tr>
      <w:tr w:rsidR="00BD47E0" w:rsidRPr="00A335CB" w14:paraId="2E304233" w14:textId="77777777" w:rsidTr="005C25B4">
        <w:trPr>
          <w:trHeight w:val="255"/>
        </w:trPr>
        <w:tc>
          <w:tcPr>
            <w:tcW w:w="1120" w:type="dxa"/>
            <w:shd w:val="clear" w:color="auto" w:fill="auto"/>
            <w:vAlign w:val="center"/>
            <w:hideMark/>
          </w:tcPr>
          <w:p w14:paraId="5FE877A2"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2004</w:t>
            </w:r>
          </w:p>
        </w:tc>
        <w:tc>
          <w:tcPr>
            <w:tcW w:w="1160" w:type="dxa"/>
            <w:shd w:val="clear" w:color="auto" w:fill="auto"/>
            <w:vAlign w:val="center"/>
            <w:hideMark/>
          </w:tcPr>
          <w:p w14:paraId="744261D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9.429</w:t>
            </w:r>
          </w:p>
        </w:tc>
        <w:tc>
          <w:tcPr>
            <w:tcW w:w="1640" w:type="dxa"/>
            <w:shd w:val="clear" w:color="auto" w:fill="auto"/>
            <w:vAlign w:val="center"/>
            <w:hideMark/>
          </w:tcPr>
          <w:p w14:paraId="31B01C5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39.156.220</w:t>
            </w:r>
          </w:p>
        </w:tc>
        <w:tc>
          <w:tcPr>
            <w:tcW w:w="1180" w:type="dxa"/>
            <w:shd w:val="clear" w:color="auto" w:fill="auto"/>
            <w:vAlign w:val="center"/>
            <w:hideMark/>
          </w:tcPr>
          <w:p w14:paraId="4C3D22E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1.751.048</w:t>
            </w:r>
          </w:p>
        </w:tc>
        <w:tc>
          <w:tcPr>
            <w:tcW w:w="1320" w:type="dxa"/>
            <w:shd w:val="clear" w:color="auto" w:fill="auto"/>
            <w:vAlign w:val="center"/>
            <w:hideMark/>
          </w:tcPr>
          <w:p w14:paraId="606FFEA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40.907.268</w:t>
            </w:r>
          </w:p>
        </w:tc>
        <w:tc>
          <w:tcPr>
            <w:tcW w:w="1500" w:type="dxa"/>
            <w:shd w:val="clear" w:color="auto" w:fill="auto"/>
            <w:noWrap/>
            <w:vAlign w:val="center"/>
            <w:hideMark/>
          </w:tcPr>
          <w:p w14:paraId="438A5D76"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205.190.922</w:t>
            </w:r>
          </w:p>
        </w:tc>
      </w:tr>
      <w:tr w:rsidR="00BD47E0" w:rsidRPr="00A335CB" w14:paraId="32F3C90B" w14:textId="77777777" w:rsidTr="005C25B4">
        <w:trPr>
          <w:trHeight w:val="255"/>
        </w:trPr>
        <w:tc>
          <w:tcPr>
            <w:tcW w:w="1120" w:type="dxa"/>
            <w:shd w:val="clear" w:color="auto" w:fill="auto"/>
            <w:vAlign w:val="center"/>
            <w:hideMark/>
          </w:tcPr>
          <w:p w14:paraId="0C685933"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2005</w:t>
            </w:r>
          </w:p>
        </w:tc>
        <w:tc>
          <w:tcPr>
            <w:tcW w:w="1160" w:type="dxa"/>
            <w:shd w:val="clear" w:color="auto" w:fill="auto"/>
            <w:vAlign w:val="center"/>
            <w:hideMark/>
          </w:tcPr>
          <w:p w14:paraId="1A32B59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5.834</w:t>
            </w:r>
          </w:p>
        </w:tc>
        <w:tc>
          <w:tcPr>
            <w:tcW w:w="1640" w:type="dxa"/>
            <w:shd w:val="clear" w:color="auto" w:fill="auto"/>
            <w:vAlign w:val="center"/>
            <w:hideMark/>
          </w:tcPr>
          <w:p w14:paraId="266E622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21.437.246</w:t>
            </w:r>
          </w:p>
        </w:tc>
        <w:tc>
          <w:tcPr>
            <w:tcW w:w="1180" w:type="dxa"/>
            <w:shd w:val="clear" w:color="auto" w:fill="auto"/>
            <w:vAlign w:val="center"/>
            <w:hideMark/>
          </w:tcPr>
          <w:p w14:paraId="73B8B11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3.423.557</w:t>
            </w:r>
          </w:p>
        </w:tc>
        <w:tc>
          <w:tcPr>
            <w:tcW w:w="1320" w:type="dxa"/>
            <w:shd w:val="clear" w:color="auto" w:fill="auto"/>
            <w:vAlign w:val="center"/>
            <w:hideMark/>
          </w:tcPr>
          <w:p w14:paraId="0F6E6BF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24.860.803</w:t>
            </w:r>
          </w:p>
        </w:tc>
        <w:tc>
          <w:tcPr>
            <w:tcW w:w="1500" w:type="dxa"/>
            <w:shd w:val="clear" w:color="auto" w:fill="auto"/>
            <w:noWrap/>
            <w:vAlign w:val="center"/>
            <w:hideMark/>
          </w:tcPr>
          <w:p w14:paraId="1A2FB30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230.051.725</w:t>
            </w:r>
          </w:p>
        </w:tc>
      </w:tr>
      <w:tr w:rsidR="00BD47E0" w:rsidRPr="00A335CB" w14:paraId="7C8148BD" w14:textId="77777777" w:rsidTr="005C25B4">
        <w:trPr>
          <w:trHeight w:val="255"/>
        </w:trPr>
        <w:tc>
          <w:tcPr>
            <w:tcW w:w="1120" w:type="dxa"/>
            <w:shd w:val="clear" w:color="auto" w:fill="auto"/>
            <w:vAlign w:val="center"/>
            <w:hideMark/>
          </w:tcPr>
          <w:p w14:paraId="4D7478FF"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2006</w:t>
            </w:r>
          </w:p>
        </w:tc>
        <w:tc>
          <w:tcPr>
            <w:tcW w:w="1160" w:type="dxa"/>
            <w:shd w:val="clear" w:color="auto" w:fill="auto"/>
            <w:vAlign w:val="center"/>
            <w:hideMark/>
          </w:tcPr>
          <w:p w14:paraId="0852ABD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8.732</w:t>
            </w:r>
          </w:p>
        </w:tc>
        <w:tc>
          <w:tcPr>
            <w:tcW w:w="1640" w:type="dxa"/>
            <w:shd w:val="clear" w:color="auto" w:fill="auto"/>
            <w:vAlign w:val="center"/>
            <w:hideMark/>
          </w:tcPr>
          <w:p w14:paraId="66977C2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33.649.836</w:t>
            </w:r>
          </w:p>
        </w:tc>
        <w:tc>
          <w:tcPr>
            <w:tcW w:w="1180" w:type="dxa"/>
            <w:shd w:val="clear" w:color="auto" w:fill="auto"/>
            <w:vAlign w:val="center"/>
            <w:hideMark/>
          </w:tcPr>
          <w:p w14:paraId="5C8383B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3.343.713</w:t>
            </w:r>
          </w:p>
        </w:tc>
        <w:tc>
          <w:tcPr>
            <w:tcW w:w="1320" w:type="dxa"/>
            <w:shd w:val="clear" w:color="auto" w:fill="auto"/>
            <w:vAlign w:val="center"/>
            <w:hideMark/>
          </w:tcPr>
          <w:p w14:paraId="3C61EF1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36.993.549</w:t>
            </w:r>
          </w:p>
        </w:tc>
        <w:tc>
          <w:tcPr>
            <w:tcW w:w="1500" w:type="dxa"/>
            <w:shd w:val="clear" w:color="auto" w:fill="auto"/>
            <w:noWrap/>
            <w:vAlign w:val="center"/>
            <w:hideMark/>
          </w:tcPr>
          <w:p w14:paraId="141ECBE8"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267.045.274</w:t>
            </w:r>
          </w:p>
        </w:tc>
      </w:tr>
      <w:tr w:rsidR="00BD47E0" w:rsidRPr="00A335CB" w14:paraId="52EE2CAD" w14:textId="77777777" w:rsidTr="005C25B4">
        <w:trPr>
          <w:trHeight w:val="255"/>
        </w:trPr>
        <w:tc>
          <w:tcPr>
            <w:tcW w:w="1120" w:type="dxa"/>
            <w:shd w:val="clear" w:color="auto" w:fill="auto"/>
            <w:vAlign w:val="center"/>
            <w:hideMark/>
          </w:tcPr>
          <w:p w14:paraId="06D0631D"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2007</w:t>
            </w:r>
          </w:p>
        </w:tc>
        <w:tc>
          <w:tcPr>
            <w:tcW w:w="1160" w:type="dxa"/>
            <w:shd w:val="clear" w:color="auto" w:fill="auto"/>
            <w:vAlign w:val="center"/>
            <w:hideMark/>
          </w:tcPr>
          <w:p w14:paraId="03770B1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12.892</w:t>
            </w:r>
          </w:p>
        </w:tc>
        <w:tc>
          <w:tcPr>
            <w:tcW w:w="1640" w:type="dxa"/>
            <w:shd w:val="clear" w:color="auto" w:fill="auto"/>
            <w:vAlign w:val="center"/>
            <w:hideMark/>
          </w:tcPr>
          <w:p w14:paraId="08F1CDC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41.211.723</w:t>
            </w:r>
          </w:p>
        </w:tc>
        <w:tc>
          <w:tcPr>
            <w:tcW w:w="1180" w:type="dxa"/>
            <w:shd w:val="clear" w:color="auto" w:fill="auto"/>
            <w:vAlign w:val="center"/>
            <w:hideMark/>
          </w:tcPr>
          <w:p w14:paraId="3F70CD6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18.449.953</w:t>
            </w:r>
          </w:p>
        </w:tc>
        <w:tc>
          <w:tcPr>
            <w:tcW w:w="1320" w:type="dxa"/>
            <w:shd w:val="clear" w:color="auto" w:fill="auto"/>
            <w:vAlign w:val="center"/>
            <w:hideMark/>
          </w:tcPr>
          <w:p w14:paraId="6585788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59.661.676</w:t>
            </w:r>
          </w:p>
        </w:tc>
        <w:tc>
          <w:tcPr>
            <w:tcW w:w="1500" w:type="dxa"/>
            <w:shd w:val="clear" w:color="auto" w:fill="auto"/>
            <w:noWrap/>
            <w:vAlign w:val="center"/>
            <w:hideMark/>
          </w:tcPr>
          <w:p w14:paraId="4C6ED500"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326.706.950</w:t>
            </w:r>
          </w:p>
        </w:tc>
      </w:tr>
      <w:tr w:rsidR="00BD47E0" w:rsidRPr="00A335CB" w14:paraId="1B90AF94" w14:textId="77777777" w:rsidTr="005C25B4">
        <w:trPr>
          <w:trHeight w:val="255"/>
        </w:trPr>
        <w:tc>
          <w:tcPr>
            <w:tcW w:w="1120" w:type="dxa"/>
            <w:shd w:val="clear" w:color="auto" w:fill="auto"/>
            <w:vAlign w:val="center"/>
            <w:hideMark/>
          </w:tcPr>
          <w:p w14:paraId="1634D439"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2008</w:t>
            </w:r>
          </w:p>
        </w:tc>
        <w:tc>
          <w:tcPr>
            <w:tcW w:w="1160" w:type="dxa"/>
            <w:shd w:val="clear" w:color="auto" w:fill="auto"/>
            <w:vAlign w:val="center"/>
            <w:hideMark/>
          </w:tcPr>
          <w:p w14:paraId="03BE4D5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18.108</w:t>
            </w:r>
          </w:p>
        </w:tc>
        <w:tc>
          <w:tcPr>
            <w:tcW w:w="1640" w:type="dxa"/>
            <w:shd w:val="clear" w:color="auto" w:fill="auto"/>
            <w:vAlign w:val="center"/>
            <w:hideMark/>
          </w:tcPr>
          <w:p w14:paraId="36AA237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17.541.923</w:t>
            </w:r>
          </w:p>
        </w:tc>
        <w:tc>
          <w:tcPr>
            <w:tcW w:w="1180" w:type="dxa"/>
            <w:shd w:val="clear" w:color="auto" w:fill="auto"/>
            <w:vAlign w:val="center"/>
            <w:hideMark/>
          </w:tcPr>
          <w:p w14:paraId="381FD87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41.030.562</w:t>
            </w:r>
          </w:p>
        </w:tc>
        <w:tc>
          <w:tcPr>
            <w:tcW w:w="1320" w:type="dxa"/>
            <w:shd w:val="clear" w:color="auto" w:fill="auto"/>
            <w:vAlign w:val="center"/>
            <w:hideMark/>
          </w:tcPr>
          <w:p w14:paraId="38C0ECB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58.572.485</w:t>
            </w:r>
          </w:p>
        </w:tc>
        <w:tc>
          <w:tcPr>
            <w:tcW w:w="1500" w:type="dxa"/>
            <w:shd w:val="clear" w:color="auto" w:fill="auto"/>
            <w:noWrap/>
            <w:vAlign w:val="center"/>
            <w:hideMark/>
          </w:tcPr>
          <w:p w14:paraId="5C469A0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385.279.435</w:t>
            </w:r>
          </w:p>
        </w:tc>
      </w:tr>
      <w:tr w:rsidR="00BD47E0" w:rsidRPr="00A335CB" w14:paraId="7B5F2698" w14:textId="77777777" w:rsidTr="005C25B4">
        <w:trPr>
          <w:trHeight w:val="255"/>
        </w:trPr>
        <w:tc>
          <w:tcPr>
            <w:tcW w:w="1120" w:type="dxa"/>
            <w:shd w:val="clear" w:color="auto" w:fill="auto"/>
            <w:vAlign w:val="center"/>
            <w:hideMark/>
          </w:tcPr>
          <w:p w14:paraId="18AC85DA"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2009</w:t>
            </w:r>
          </w:p>
        </w:tc>
        <w:tc>
          <w:tcPr>
            <w:tcW w:w="1160" w:type="dxa"/>
            <w:shd w:val="clear" w:color="auto" w:fill="auto"/>
            <w:vAlign w:val="center"/>
            <w:hideMark/>
          </w:tcPr>
          <w:p w14:paraId="2D97C1C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19.773</w:t>
            </w:r>
          </w:p>
        </w:tc>
        <w:tc>
          <w:tcPr>
            <w:tcW w:w="1640" w:type="dxa"/>
            <w:shd w:val="clear" w:color="auto" w:fill="auto"/>
            <w:vAlign w:val="center"/>
            <w:hideMark/>
          </w:tcPr>
          <w:p w14:paraId="31F2CBD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16.723.737</w:t>
            </w:r>
          </w:p>
        </w:tc>
        <w:tc>
          <w:tcPr>
            <w:tcW w:w="1180" w:type="dxa"/>
            <w:shd w:val="clear" w:color="auto" w:fill="auto"/>
            <w:vAlign w:val="center"/>
            <w:hideMark/>
          </w:tcPr>
          <w:p w14:paraId="4A839076"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74.921.040</w:t>
            </w:r>
          </w:p>
        </w:tc>
        <w:tc>
          <w:tcPr>
            <w:tcW w:w="1320" w:type="dxa"/>
            <w:shd w:val="clear" w:color="auto" w:fill="auto"/>
            <w:vAlign w:val="center"/>
            <w:hideMark/>
          </w:tcPr>
          <w:p w14:paraId="3449DB08"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91.644.777</w:t>
            </w:r>
          </w:p>
        </w:tc>
        <w:tc>
          <w:tcPr>
            <w:tcW w:w="1500" w:type="dxa"/>
            <w:shd w:val="clear" w:color="auto" w:fill="auto"/>
            <w:noWrap/>
            <w:vAlign w:val="center"/>
            <w:hideMark/>
          </w:tcPr>
          <w:p w14:paraId="1064856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476.924.212</w:t>
            </w:r>
          </w:p>
        </w:tc>
      </w:tr>
      <w:tr w:rsidR="00BD47E0" w:rsidRPr="00A335CB" w14:paraId="5363A2B3" w14:textId="77777777" w:rsidTr="005C25B4">
        <w:trPr>
          <w:trHeight w:val="300"/>
        </w:trPr>
        <w:tc>
          <w:tcPr>
            <w:tcW w:w="1120" w:type="dxa"/>
            <w:shd w:val="clear" w:color="auto" w:fill="auto"/>
            <w:vAlign w:val="center"/>
            <w:hideMark/>
          </w:tcPr>
          <w:p w14:paraId="0C58956D"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2010</w:t>
            </w:r>
          </w:p>
        </w:tc>
        <w:tc>
          <w:tcPr>
            <w:tcW w:w="1160" w:type="dxa"/>
            <w:shd w:val="clear" w:color="auto" w:fill="auto"/>
            <w:vAlign w:val="center"/>
            <w:hideMark/>
          </w:tcPr>
          <w:p w14:paraId="3D6921F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19.079</w:t>
            </w:r>
          </w:p>
        </w:tc>
        <w:tc>
          <w:tcPr>
            <w:tcW w:w="1640" w:type="dxa"/>
            <w:shd w:val="clear" w:color="auto" w:fill="auto"/>
            <w:vAlign w:val="center"/>
            <w:hideMark/>
          </w:tcPr>
          <w:p w14:paraId="05497A8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25.181.123</w:t>
            </w:r>
          </w:p>
        </w:tc>
        <w:tc>
          <w:tcPr>
            <w:tcW w:w="1180" w:type="dxa"/>
            <w:shd w:val="clear" w:color="auto" w:fill="auto"/>
            <w:vAlign w:val="center"/>
            <w:hideMark/>
          </w:tcPr>
          <w:p w14:paraId="6EEEF099"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59.110.890</w:t>
            </w:r>
          </w:p>
        </w:tc>
        <w:tc>
          <w:tcPr>
            <w:tcW w:w="1320" w:type="dxa"/>
            <w:shd w:val="clear" w:color="auto" w:fill="auto"/>
            <w:vAlign w:val="center"/>
            <w:hideMark/>
          </w:tcPr>
          <w:p w14:paraId="5F911012"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84.292.013</w:t>
            </w:r>
          </w:p>
        </w:tc>
        <w:tc>
          <w:tcPr>
            <w:tcW w:w="1500" w:type="dxa"/>
            <w:shd w:val="clear" w:color="auto" w:fill="auto"/>
            <w:noWrap/>
            <w:vAlign w:val="center"/>
            <w:hideMark/>
          </w:tcPr>
          <w:p w14:paraId="5B22715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561.216.225</w:t>
            </w:r>
          </w:p>
        </w:tc>
      </w:tr>
      <w:tr w:rsidR="00BD47E0" w:rsidRPr="00A335CB" w14:paraId="1B79E09B" w14:textId="77777777" w:rsidTr="005C25B4">
        <w:trPr>
          <w:trHeight w:val="300"/>
        </w:trPr>
        <w:tc>
          <w:tcPr>
            <w:tcW w:w="1120" w:type="dxa"/>
            <w:shd w:val="clear" w:color="auto" w:fill="auto"/>
            <w:vAlign w:val="center"/>
            <w:hideMark/>
          </w:tcPr>
          <w:p w14:paraId="3065836C"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2011</w:t>
            </w:r>
          </w:p>
        </w:tc>
        <w:tc>
          <w:tcPr>
            <w:tcW w:w="1160" w:type="dxa"/>
            <w:shd w:val="clear" w:color="auto" w:fill="auto"/>
            <w:vAlign w:val="center"/>
            <w:hideMark/>
          </w:tcPr>
          <w:p w14:paraId="416F8A4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18.971</w:t>
            </w:r>
          </w:p>
        </w:tc>
        <w:tc>
          <w:tcPr>
            <w:tcW w:w="1640" w:type="dxa"/>
            <w:shd w:val="clear" w:color="auto" w:fill="auto"/>
            <w:vAlign w:val="center"/>
            <w:hideMark/>
          </w:tcPr>
          <w:p w14:paraId="6F18503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25.871.155</w:t>
            </w:r>
          </w:p>
        </w:tc>
        <w:tc>
          <w:tcPr>
            <w:tcW w:w="1180" w:type="dxa"/>
            <w:shd w:val="clear" w:color="auto" w:fill="auto"/>
            <w:vAlign w:val="center"/>
            <w:hideMark/>
          </w:tcPr>
          <w:p w14:paraId="12C9E49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78.945.254</w:t>
            </w:r>
          </w:p>
        </w:tc>
        <w:tc>
          <w:tcPr>
            <w:tcW w:w="1320" w:type="dxa"/>
            <w:shd w:val="clear" w:color="auto" w:fill="auto"/>
            <w:vAlign w:val="center"/>
            <w:hideMark/>
          </w:tcPr>
          <w:p w14:paraId="6654091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104.816.409</w:t>
            </w:r>
          </w:p>
        </w:tc>
        <w:tc>
          <w:tcPr>
            <w:tcW w:w="1500" w:type="dxa"/>
            <w:shd w:val="clear" w:color="auto" w:fill="auto"/>
            <w:noWrap/>
            <w:vAlign w:val="center"/>
            <w:hideMark/>
          </w:tcPr>
          <w:p w14:paraId="40EE9293"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666.032.634</w:t>
            </w:r>
          </w:p>
        </w:tc>
      </w:tr>
      <w:tr w:rsidR="00BD47E0" w:rsidRPr="00A335CB" w14:paraId="2B6F50D1" w14:textId="77777777" w:rsidTr="005C25B4">
        <w:trPr>
          <w:trHeight w:val="300"/>
        </w:trPr>
        <w:tc>
          <w:tcPr>
            <w:tcW w:w="1120" w:type="dxa"/>
            <w:shd w:val="clear" w:color="auto" w:fill="auto"/>
            <w:vAlign w:val="center"/>
            <w:hideMark/>
          </w:tcPr>
          <w:p w14:paraId="2DAA4D90"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2012</w:t>
            </w:r>
          </w:p>
        </w:tc>
        <w:tc>
          <w:tcPr>
            <w:tcW w:w="1160" w:type="dxa"/>
            <w:shd w:val="clear" w:color="auto" w:fill="auto"/>
            <w:vAlign w:val="center"/>
            <w:hideMark/>
          </w:tcPr>
          <w:p w14:paraId="796E4A13"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14.388</w:t>
            </w:r>
          </w:p>
        </w:tc>
        <w:tc>
          <w:tcPr>
            <w:tcW w:w="1640" w:type="dxa"/>
            <w:shd w:val="clear" w:color="auto" w:fill="auto"/>
            <w:vAlign w:val="center"/>
            <w:hideMark/>
          </w:tcPr>
          <w:p w14:paraId="171CC70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22.819.942</w:t>
            </w:r>
          </w:p>
        </w:tc>
        <w:tc>
          <w:tcPr>
            <w:tcW w:w="1180" w:type="dxa"/>
            <w:shd w:val="clear" w:color="auto" w:fill="auto"/>
            <w:vAlign w:val="center"/>
            <w:hideMark/>
          </w:tcPr>
          <w:p w14:paraId="460BD81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68.085.335</w:t>
            </w:r>
          </w:p>
        </w:tc>
        <w:tc>
          <w:tcPr>
            <w:tcW w:w="1320" w:type="dxa"/>
            <w:shd w:val="clear" w:color="auto" w:fill="auto"/>
            <w:vAlign w:val="center"/>
            <w:hideMark/>
          </w:tcPr>
          <w:p w14:paraId="4F6CE86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90.905.277</w:t>
            </w:r>
          </w:p>
        </w:tc>
        <w:tc>
          <w:tcPr>
            <w:tcW w:w="1500" w:type="dxa"/>
            <w:shd w:val="clear" w:color="auto" w:fill="auto"/>
            <w:noWrap/>
            <w:vAlign w:val="center"/>
            <w:hideMark/>
          </w:tcPr>
          <w:p w14:paraId="201D9F2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756.937.911</w:t>
            </w:r>
          </w:p>
        </w:tc>
      </w:tr>
      <w:tr w:rsidR="00BD47E0" w:rsidRPr="00A335CB" w14:paraId="22D710DD" w14:textId="77777777" w:rsidTr="005C25B4">
        <w:trPr>
          <w:trHeight w:val="300"/>
        </w:trPr>
        <w:tc>
          <w:tcPr>
            <w:tcW w:w="1120" w:type="dxa"/>
            <w:shd w:val="clear" w:color="auto" w:fill="auto"/>
            <w:vAlign w:val="center"/>
            <w:hideMark/>
          </w:tcPr>
          <w:p w14:paraId="687C3DDC"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2013</w:t>
            </w:r>
          </w:p>
        </w:tc>
        <w:tc>
          <w:tcPr>
            <w:tcW w:w="1160" w:type="dxa"/>
            <w:shd w:val="clear" w:color="auto" w:fill="auto"/>
            <w:vAlign w:val="center"/>
            <w:hideMark/>
          </w:tcPr>
          <w:p w14:paraId="015E1C42"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12.879</w:t>
            </w:r>
          </w:p>
        </w:tc>
        <w:tc>
          <w:tcPr>
            <w:tcW w:w="1640" w:type="dxa"/>
            <w:shd w:val="clear" w:color="auto" w:fill="auto"/>
            <w:vAlign w:val="center"/>
            <w:hideMark/>
          </w:tcPr>
          <w:p w14:paraId="126EC2B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21.266.741</w:t>
            </w:r>
          </w:p>
        </w:tc>
        <w:tc>
          <w:tcPr>
            <w:tcW w:w="1180" w:type="dxa"/>
            <w:shd w:val="clear" w:color="auto" w:fill="auto"/>
            <w:vAlign w:val="center"/>
            <w:hideMark/>
          </w:tcPr>
          <w:p w14:paraId="3E304C1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69.457.215</w:t>
            </w:r>
          </w:p>
        </w:tc>
        <w:tc>
          <w:tcPr>
            <w:tcW w:w="1320" w:type="dxa"/>
            <w:shd w:val="clear" w:color="auto" w:fill="auto"/>
            <w:vAlign w:val="center"/>
            <w:hideMark/>
          </w:tcPr>
          <w:p w14:paraId="5DE48F8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90.723.956</w:t>
            </w:r>
          </w:p>
        </w:tc>
        <w:tc>
          <w:tcPr>
            <w:tcW w:w="1500" w:type="dxa"/>
            <w:shd w:val="clear" w:color="auto" w:fill="auto"/>
            <w:noWrap/>
            <w:vAlign w:val="center"/>
            <w:hideMark/>
          </w:tcPr>
          <w:p w14:paraId="2463C70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847.661.867</w:t>
            </w:r>
          </w:p>
        </w:tc>
      </w:tr>
      <w:tr w:rsidR="00BD47E0" w:rsidRPr="00A335CB" w14:paraId="40414FD1" w14:textId="77777777" w:rsidTr="005C25B4">
        <w:trPr>
          <w:trHeight w:val="300"/>
        </w:trPr>
        <w:tc>
          <w:tcPr>
            <w:tcW w:w="1120" w:type="dxa"/>
            <w:shd w:val="clear" w:color="auto" w:fill="auto"/>
            <w:vAlign w:val="center"/>
            <w:hideMark/>
          </w:tcPr>
          <w:p w14:paraId="2FAEC667"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2014</w:t>
            </w:r>
          </w:p>
        </w:tc>
        <w:tc>
          <w:tcPr>
            <w:tcW w:w="1160" w:type="dxa"/>
            <w:shd w:val="clear" w:color="auto" w:fill="auto"/>
            <w:vAlign w:val="center"/>
            <w:hideMark/>
          </w:tcPr>
          <w:p w14:paraId="5EFE284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12.027</w:t>
            </w:r>
          </w:p>
        </w:tc>
        <w:tc>
          <w:tcPr>
            <w:tcW w:w="1640" w:type="dxa"/>
            <w:shd w:val="clear" w:color="auto" w:fill="auto"/>
            <w:vAlign w:val="center"/>
            <w:hideMark/>
          </w:tcPr>
          <w:p w14:paraId="575BCA83"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27.045.074</w:t>
            </w:r>
          </w:p>
        </w:tc>
        <w:tc>
          <w:tcPr>
            <w:tcW w:w="1180" w:type="dxa"/>
            <w:shd w:val="clear" w:color="auto" w:fill="auto"/>
            <w:vAlign w:val="center"/>
            <w:hideMark/>
          </w:tcPr>
          <w:p w14:paraId="7774EF8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81.231.101</w:t>
            </w:r>
          </w:p>
        </w:tc>
        <w:tc>
          <w:tcPr>
            <w:tcW w:w="1320" w:type="dxa"/>
            <w:shd w:val="clear" w:color="auto" w:fill="auto"/>
            <w:vAlign w:val="center"/>
            <w:hideMark/>
          </w:tcPr>
          <w:p w14:paraId="5C173756"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108.276.175</w:t>
            </w:r>
          </w:p>
        </w:tc>
        <w:tc>
          <w:tcPr>
            <w:tcW w:w="1500" w:type="dxa"/>
            <w:shd w:val="clear" w:color="auto" w:fill="auto"/>
            <w:noWrap/>
            <w:vAlign w:val="center"/>
            <w:hideMark/>
          </w:tcPr>
          <w:p w14:paraId="01B2B7C9"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955.938.042</w:t>
            </w:r>
          </w:p>
        </w:tc>
      </w:tr>
      <w:tr w:rsidR="00BD47E0" w:rsidRPr="00A335CB" w14:paraId="463DE6CB" w14:textId="77777777" w:rsidTr="005C25B4">
        <w:trPr>
          <w:trHeight w:val="300"/>
        </w:trPr>
        <w:tc>
          <w:tcPr>
            <w:tcW w:w="1120" w:type="dxa"/>
            <w:shd w:val="clear" w:color="auto" w:fill="auto"/>
            <w:vAlign w:val="center"/>
            <w:hideMark/>
          </w:tcPr>
          <w:p w14:paraId="249FEECE"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2015</w:t>
            </w:r>
          </w:p>
        </w:tc>
        <w:tc>
          <w:tcPr>
            <w:tcW w:w="1160" w:type="dxa"/>
            <w:shd w:val="clear" w:color="auto" w:fill="auto"/>
            <w:vAlign w:val="center"/>
            <w:hideMark/>
          </w:tcPr>
          <w:p w14:paraId="2699123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11.286</w:t>
            </w:r>
          </w:p>
        </w:tc>
        <w:tc>
          <w:tcPr>
            <w:tcW w:w="1640" w:type="dxa"/>
            <w:shd w:val="clear" w:color="auto" w:fill="auto"/>
            <w:noWrap/>
            <w:vAlign w:val="bottom"/>
            <w:hideMark/>
          </w:tcPr>
          <w:p w14:paraId="595C25A9"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25.816.349</w:t>
            </w:r>
          </w:p>
        </w:tc>
        <w:tc>
          <w:tcPr>
            <w:tcW w:w="1180" w:type="dxa"/>
            <w:shd w:val="clear" w:color="auto" w:fill="auto"/>
            <w:vAlign w:val="center"/>
            <w:hideMark/>
          </w:tcPr>
          <w:p w14:paraId="3F1DBD4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55.927.592</w:t>
            </w:r>
          </w:p>
        </w:tc>
        <w:tc>
          <w:tcPr>
            <w:tcW w:w="1320" w:type="dxa"/>
            <w:shd w:val="clear" w:color="auto" w:fill="auto"/>
            <w:vAlign w:val="center"/>
            <w:hideMark/>
          </w:tcPr>
          <w:p w14:paraId="72F23FE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81.743.941</w:t>
            </w:r>
          </w:p>
        </w:tc>
        <w:tc>
          <w:tcPr>
            <w:tcW w:w="1500" w:type="dxa"/>
            <w:shd w:val="clear" w:color="auto" w:fill="auto"/>
            <w:noWrap/>
            <w:vAlign w:val="center"/>
            <w:hideMark/>
          </w:tcPr>
          <w:p w14:paraId="528B54B8"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1.037.681.983</w:t>
            </w:r>
          </w:p>
        </w:tc>
      </w:tr>
      <w:tr w:rsidR="00BD47E0" w:rsidRPr="00A335CB" w14:paraId="52FC2CCD" w14:textId="77777777" w:rsidTr="005C25B4">
        <w:trPr>
          <w:trHeight w:val="300"/>
        </w:trPr>
        <w:tc>
          <w:tcPr>
            <w:tcW w:w="1120" w:type="dxa"/>
            <w:shd w:val="clear" w:color="auto" w:fill="auto"/>
            <w:vAlign w:val="bottom"/>
            <w:hideMark/>
          </w:tcPr>
          <w:p w14:paraId="4FCBCC51"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2016</w:t>
            </w:r>
          </w:p>
        </w:tc>
        <w:tc>
          <w:tcPr>
            <w:tcW w:w="1160" w:type="dxa"/>
            <w:shd w:val="clear" w:color="auto" w:fill="auto"/>
            <w:vAlign w:val="bottom"/>
            <w:hideMark/>
          </w:tcPr>
          <w:p w14:paraId="586A1FB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9.689</w:t>
            </w:r>
          </w:p>
        </w:tc>
        <w:tc>
          <w:tcPr>
            <w:tcW w:w="1640" w:type="dxa"/>
            <w:shd w:val="clear" w:color="auto" w:fill="auto"/>
            <w:noWrap/>
            <w:vAlign w:val="bottom"/>
            <w:hideMark/>
          </w:tcPr>
          <w:p w14:paraId="7A4F4C40"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27.330.981</w:t>
            </w:r>
          </w:p>
        </w:tc>
        <w:tc>
          <w:tcPr>
            <w:tcW w:w="1180" w:type="dxa"/>
            <w:shd w:val="clear" w:color="auto" w:fill="auto"/>
            <w:vAlign w:val="bottom"/>
            <w:hideMark/>
          </w:tcPr>
          <w:p w14:paraId="4F2D29D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59.592.862</w:t>
            </w:r>
          </w:p>
        </w:tc>
        <w:tc>
          <w:tcPr>
            <w:tcW w:w="1320" w:type="dxa"/>
            <w:shd w:val="clear" w:color="auto" w:fill="auto"/>
            <w:vAlign w:val="bottom"/>
            <w:hideMark/>
          </w:tcPr>
          <w:p w14:paraId="12ABCB72"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86.923.843</w:t>
            </w:r>
          </w:p>
        </w:tc>
        <w:tc>
          <w:tcPr>
            <w:tcW w:w="1500" w:type="dxa"/>
            <w:shd w:val="clear" w:color="auto" w:fill="auto"/>
            <w:noWrap/>
            <w:vAlign w:val="bottom"/>
            <w:hideMark/>
          </w:tcPr>
          <w:p w14:paraId="63A884D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1.124.605.826</w:t>
            </w:r>
          </w:p>
        </w:tc>
      </w:tr>
      <w:tr w:rsidR="00BD47E0" w:rsidRPr="00A335CB" w14:paraId="4113CD1B" w14:textId="77777777" w:rsidTr="005C25B4">
        <w:trPr>
          <w:trHeight w:val="300"/>
        </w:trPr>
        <w:tc>
          <w:tcPr>
            <w:tcW w:w="1120" w:type="dxa"/>
            <w:shd w:val="clear" w:color="auto" w:fill="auto"/>
            <w:vAlign w:val="bottom"/>
            <w:hideMark/>
          </w:tcPr>
          <w:p w14:paraId="2F4F9D60"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2017</w:t>
            </w:r>
          </w:p>
        </w:tc>
        <w:tc>
          <w:tcPr>
            <w:tcW w:w="1160" w:type="dxa"/>
            <w:shd w:val="clear" w:color="auto" w:fill="auto"/>
            <w:vAlign w:val="bottom"/>
            <w:hideMark/>
          </w:tcPr>
          <w:p w14:paraId="1C552ABE"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8.890</w:t>
            </w:r>
          </w:p>
        </w:tc>
        <w:tc>
          <w:tcPr>
            <w:tcW w:w="1640" w:type="dxa"/>
            <w:shd w:val="clear" w:color="auto" w:fill="auto"/>
            <w:noWrap/>
            <w:vAlign w:val="bottom"/>
            <w:hideMark/>
          </w:tcPr>
          <w:p w14:paraId="0A557DB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29.563.622</w:t>
            </w:r>
          </w:p>
        </w:tc>
        <w:tc>
          <w:tcPr>
            <w:tcW w:w="1180" w:type="dxa"/>
            <w:shd w:val="clear" w:color="auto" w:fill="auto"/>
            <w:vAlign w:val="bottom"/>
            <w:hideMark/>
          </w:tcPr>
          <w:p w14:paraId="0CC47BE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51.271.493</w:t>
            </w:r>
          </w:p>
        </w:tc>
        <w:tc>
          <w:tcPr>
            <w:tcW w:w="1320" w:type="dxa"/>
            <w:shd w:val="clear" w:color="auto" w:fill="auto"/>
            <w:vAlign w:val="bottom"/>
            <w:hideMark/>
          </w:tcPr>
          <w:p w14:paraId="68D2C72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80.835.115</w:t>
            </w:r>
          </w:p>
        </w:tc>
        <w:tc>
          <w:tcPr>
            <w:tcW w:w="1500" w:type="dxa"/>
            <w:shd w:val="clear" w:color="auto" w:fill="auto"/>
            <w:noWrap/>
            <w:vAlign w:val="bottom"/>
            <w:hideMark/>
          </w:tcPr>
          <w:p w14:paraId="792FFD42"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1.205.440.941</w:t>
            </w:r>
          </w:p>
        </w:tc>
      </w:tr>
      <w:tr w:rsidR="00BD47E0" w:rsidRPr="00A335CB" w14:paraId="6CFB0790" w14:textId="77777777" w:rsidTr="005C25B4">
        <w:trPr>
          <w:trHeight w:val="300"/>
        </w:trPr>
        <w:tc>
          <w:tcPr>
            <w:tcW w:w="1120" w:type="dxa"/>
            <w:shd w:val="clear" w:color="auto" w:fill="auto"/>
            <w:vAlign w:val="bottom"/>
            <w:hideMark/>
          </w:tcPr>
          <w:p w14:paraId="2FB04FAA"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2018</w:t>
            </w:r>
          </w:p>
        </w:tc>
        <w:tc>
          <w:tcPr>
            <w:tcW w:w="1160" w:type="dxa"/>
            <w:shd w:val="clear" w:color="auto" w:fill="auto"/>
            <w:vAlign w:val="bottom"/>
            <w:hideMark/>
          </w:tcPr>
          <w:p w14:paraId="19ECF1D8"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8.943</w:t>
            </w:r>
          </w:p>
        </w:tc>
        <w:tc>
          <w:tcPr>
            <w:tcW w:w="1640" w:type="dxa"/>
            <w:shd w:val="clear" w:color="auto" w:fill="auto"/>
            <w:noWrap/>
            <w:vAlign w:val="bottom"/>
            <w:hideMark/>
          </w:tcPr>
          <w:p w14:paraId="3206B11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25.988.495</w:t>
            </w:r>
          </w:p>
        </w:tc>
        <w:tc>
          <w:tcPr>
            <w:tcW w:w="1180" w:type="dxa"/>
            <w:shd w:val="clear" w:color="auto" w:fill="auto"/>
            <w:vAlign w:val="bottom"/>
            <w:hideMark/>
          </w:tcPr>
          <w:p w14:paraId="45C41C4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135.651.879</w:t>
            </w:r>
          </w:p>
        </w:tc>
        <w:tc>
          <w:tcPr>
            <w:tcW w:w="1320" w:type="dxa"/>
            <w:shd w:val="clear" w:color="auto" w:fill="auto"/>
            <w:vAlign w:val="bottom"/>
            <w:hideMark/>
          </w:tcPr>
          <w:p w14:paraId="0F7E1C6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161.640.374</w:t>
            </w:r>
          </w:p>
        </w:tc>
        <w:tc>
          <w:tcPr>
            <w:tcW w:w="1500" w:type="dxa"/>
            <w:shd w:val="clear" w:color="auto" w:fill="auto"/>
            <w:noWrap/>
            <w:vAlign w:val="bottom"/>
            <w:hideMark/>
          </w:tcPr>
          <w:p w14:paraId="7415376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1.367.081.315</w:t>
            </w:r>
          </w:p>
        </w:tc>
      </w:tr>
      <w:tr w:rsidR="00BD47E0" w:rsidRPr="00A335CB" w14:paraId="521FDB89" w14:textId="77777777" w:rsidTr="005C25B4">
        <w:trPr>
          <w:trHeight w:val="300"/>
        </w:trPr>
        <w:tc>
          <w:tcPr>
            <w:tcW w:w="1120" w:type="dxa"/>
            <w:shd w:val="clear" w:color="auto" w:fill="auto"/>
            <w:vAlign w:val="bottom"/>
            <w:hideMark/>
          </w:tcPr>
          <w:p w14:paraId="755E1279"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2019</w:t>
            </w:r>
          </w:p>
        </w:tc>
        <w:tc>
          <w:tcPr>
            <w:tcW w:w="1160" w:type="dxa"/>
            <w:shd w:val="clear" w:color="auto" w:fill="auto"/>
            <w:vAlign w:val="bottom"/>
            <w:hideMark/>
          </w:tcPr>
          <w:p w14:paraId="34F7B334"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8.891</w:t>
            </w:r>
          </w:p>
        </w:tc>
        <w:tc>
          <w:tcPr>
            <w:tcW w:w="1640" w:type="dxa"/>
            <w:shd w:val="clear" w:color="auto" w:fill="auto"/>
            <w:noWrap/>
            <w:vAlign w:val="bottom"/>
            <w:hideMark/>
          </w:tcPr>
          <w:p w14:paraId="1DA2A67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28.884.932</w:t>
            </w:r>
          </w:p>
        </w:tc>
        <w:tc>
          <w:tcPr>
            <w:tcW w:w="1180" w:type="dxa"/>
            <w:shd w:val="clear" w:color="auto" w:fill="auto"/>
            <w:vAlign w:val="bottom"/>
            <w:hideMark/>
          </w:tcPr>
          <w:p w14:paraId="03D9BFA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182.957.481</w:t>
            </w:r>
          </w:p>
        </w:tc>
        <w:tc>
          <w:tcPr>
            <w:tcW w:w="1320" w:type="dxa"/>
            <w:shd w:val="clear" w:color="auto" w:fill="auto"/>
            <w:vAlign w:val="bottom"/>
            <w:hideMark/>
          </w:tcPr>
          <w:p w14:paraId="539A7D5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211.842.413</w:t>
            </w:r>
          </w:p>
        </w:tc>
        <w:tc>
          <w:tcPr>
            <w:tcW w:w="1500" w:type="dxa"/>
            <w:shd w:val="clear" w:color="auto" w:fill="auto"/>
            <w:noWrap/>
            <w:vAlign w:val="bottom"/>
            <w:hideMark/>
          </w:tcPr>
          <w:p w14:paraId="68C7C00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1.578.923.728</w:t>
            </w:r>
          </w:p>
        </w:tc>
      </w:tr>
      <w:tr w:rsidR="00BD47E0" w:rsidRPr="00A335CB" w14:paraId="3571312C" w14:textId="77777777" w:rsidTr="005C25B4">
        <w:trPr>
          <w:trHeight w:val="300"/>
        </w:trPr>
        <w:tc>
          <w:tcPr>
            <w:tcW w:w="1120" w:type="dxa"/>
            <w:shd w:val="clear" w:color="auto" w:fill="auto"/>
            <w:vAlign w:val="bottom"/>
            <w:hideMark/>
          </w:tcPr>
          <w:p w14:paraId="2B35F9AD"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2020</w:t>
            </w:r>
          </w:p>
        </w:tc>
        <w:tc>
          <w:tcPr>
            <w:tcW w:w="1160" w:type="dxa"/>
            <w:shd w:val="clear" w:color="auto" w:fill="auto"/>
            <w:vAlign w:val="bottom"/>
            <w:hideMark/>
          </w:tcPr>
          <w:p w14:paraId="50B832B2"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7.420</w:t>
            </w:r>
          </w:p>
        </w:tc>
        <w:tc>
          <w:tcPr>
            <w:tcW w:w="1640" w:type="dxa"/>
            <w:shd w:val="clear" w:color="auto" w:fill="auto"/>
            <w:noWrap/>
            <w:vAlign w:val="bottom"/>
            <w:hideMark/>
          </w:tcPr>
          <w:p w14:paraId="457DB02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29.000.201</w:t>
            </w:r>
          </w:p>
        </w:tc>
        <w:tc>
          <w:tcPr>
            <w:tcW w:w="1180" w:type="dxa"/>
            <w:shd w:val="clear" w:color="auto" w:fill="auto"/>
            <w:vAlign w:val="bottom"/>
            <w:hideMark/>
          </w:tcPr>
          <w:p w14:paraId="01DAB730"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204.080.339</w:t>
            </w:r>
          </w:p>
        </w:tc>
        <w:tc>
          <w:tcPr>
            <w:tcW w:w="1320" w:type="dxa"/>
            <w:shd w:val="clear" w:color="auto" w:fill="auto"/>
            <w:vAlign w:val="bottom"/>
            <w:hideMark/>
          </w:tcPr>
          <w:p w14:paraId="3EB24DB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233.080.540</w:t>
            </w:r>
          </w:p>
        </w:tc>
        <w:tc>
          <w:tcPr>
            <w:tcW w:w="1500" w:type="dxa"/>
            <w:shd w:val="clear" w:color="auto" w:fill="auto"/>
            <w:noWrap/>
            <w:vAlign w:val="bottom"/>
            <w:hideMark/>
          </w:tcPr>
          <w:p w14:paraId="595BE51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1.812.004.268</w:t>
            </w:r>
          </w:p>
        </w:tc>
      </w:tr>
      <w:tr w:rsidR="00BD47E0" w:rsidRPr="00A335CB" w14:paraId="56E161CD" w14:textId="77777777" w:rsidTr="005C25B4">
        <w:trPr>
          <w:trHeight w:val="300"/>
        </w:trPr>
        <w:tc>
          <w:tcPr>
            <w:tcW w:w="1120" w:type="dxa"/>
            <w:shd w:val="clear" w:color="auto" w:fill="auto"/>
            <w:noWrap/>
            <w:vAlign w:val="bottom"/>
            <w:hideMark/>
          </w:tcPr>
          <w:p w14:paraId="52784232"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2021</w:t>
            </w:r>
          </w:p>
        </w:tc>
        <w:tc>
          <w:tcPr>
            <w:tcW w:w="1160" w:type="dxa"/>
            <w:shd w:val="clear" w:color="auto" w:fill="auto"/>
            <w:vAlign w:val="bottom"/>
            <w:hideMark/>
          </w:tcPr>
          <w:p w14:paraId="6A90508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7.438</w:t>
            </w:r>
          </w:p>
        </w:tc>
        <w:tc>
          <w:tcPr>
            <w:tcW w:w="1640" w:type="dxa"/>
            <w:shd w:val="clear" w:color="auto" w:fill="auto"/>
            <w:noWrap/>
            <w:vAlign w:val="bottom"/>
            <w:hideMark/>
          </w:tcPr>
          <w:p w14:paraId="3D6D449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30.431.926</w:t>
            </w:r>
          </w:p>
        </w:tc>
        <w:tc>
          <w:tcPr>
            <w:tcW w:w="1180" w:type="dxa"/>
            <w:shd w:val="clear" w:color="auto" w:fill="auto"/>
            <w:noWrap/>
            <w:vAlign w:val="bottom"/>
            <w:hideMark/>
          </w:tcPr>
          <w:p w14:paraId="23EE66D9"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132.995.059</w:t>
            </w:r>
          </w:p>
        </w:tc>
        <w:tc>
          <w:tcPr>
            <w:tcW w:w="1320" w:type="dxa"/>
            <w:shd w:val="clear" w:color="auto" w:fill="auto"/>
            <w:noWrap/>
            <w:vAlign w:val="bottom"/>
            <w:hideMark/>
          </w:tcPr>
          <w:p w14:paraId="0BEC599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163.426.985</w:t>
            </w:r>
          </w:p>
        </w:tc>
        <w:tc>
          <w:tcPr>
            <w:tcW w:w="1500" w:type="dxa"/>
            <w:shd w:val="clear" w:color="auto" w:fill="auto"/>
            <w:noWrap/>
            <w:vAlign w:val="bottom"/>
            <w:hideMark/>
          </w:tcPr>
          <w:p w14:paraId="0534D523"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1.975.431.253</w:t>
            </w:r>
          </w:p>
        </w:tc>
      </w:tr>
      <w:tr w:rsidR="00BD47E0" w:rsidRPr="00A335CB" w14:paraId="131B9187" w14:textId="77777777" w:rsidTr="005C25B4">
        <w:trPr>
          <w:trHeight w:val="300"/>
        </w:trPr>
        <w:tc>
          <w:tcPr>
            <w:tcW w:w="1120" w:type="dxa"/>
            <w:shd w:val="clear" w:color="auto" w:fill="auto"/>
            <w:noWrap/>
            <w:vAlign w:val="bottom"/>
            <w:hideMark/>
          </w:tcPr>
          <w:p w14:paraId="1F71D742"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2022</w:t>
            </w:r>
          </w:p>
        </w:tc>
        <w:tc>
          <w:tcPr>
            <w:tcW w:w="1160" w:type="dxa"/>
            <w:shd w:val="clear" w:color="auto" w:fill="auto"/>
            <w:vAlign w:val="bottom"/>
            <w:hideMark/>
          </w:tcPr>
          <w:p w14:paraId="6D5BB406"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7.009</w:t>
            </w:r>
          </w:p>
        </w:tc>
        <w:tc>
          <w:tcPr>
            <w:tcW w:w="1640" w:type="dxa"/>
            <w:shd w:val="clear" w:color="auto" w:fill="auto"/>
            <w:noWrap/>
            <w:vAlign w:val="bottom"/>
            <w:hideMark/>
          </w:tcPr>
          <w:p w14:paraId="72163B18"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25.735.303</w:t>
            </w:r>
          </w:p>
        </w:tc>
        <w:tc>
          <w:tcPr>
            <w:tcW w:w="1180" w:type="dxa"/>
            <w:shd w:val="clear" w:color="auto" w:fill="auto"/>
            <w:noWrap/>
            <w:vAlign w:val="bottom"/>
            <w:hideMark/>
          </w:tcPr>
          <w:p w14:paraId="59E5FDBB"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108.614.196</w:t>
            </w:r>
          </w:p>
        </w:tc>
        <w:tc>
          <w:tcPr>
            <w:tcW w:w="1320" w:type="dxa"/>
            <w:shd w:val="clear" w:color="auto" w:fill="auto"/>
            <w:noWrap/>
            <w:vAlign w:val="bottom"/>
            <w:hideMark/>
          </w:tcPr>
          <w:p w14:paraId="6743CC1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134.349.499</w:t>
            </w:r>
          </w:p>
        </w:tc>
        <w:tc>
          <w:tcPr>
            <w:tcW w:w="1500" w:type="dxa"/>
            <w:shd w:val="clear" w:color="auto" w:fill="auto"/>
            <w:noWrap/>
            <w:vAlign w:val="bottom"/>
            <w:hideMark/>
          </w:tcPr>
          <w:p w14:paraId="2EF89FEA"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2.109.780.752</w:t>
            </w:r>
          </w:p>
        </w:tc>
      </w:tr>
      <w:tr w:rsidR="00BD47E0" w:rsidRPr="00A335CB" w14:paraId="3C7C7C2A" w14:textId="77777777" w:rsidTr="005C25B4">
        <w:trPr>
          <w:trHeight w:val="300"/>
        </w:trPr>
        <w:tc>
          <w:tcPr>
            <w:tcW w:w="1120" w:type="dxa"/>
            <w:shd w:val="clear" w:color="000000" w:fill="FFFFFF"/>
            <w:noWrap/>
            <w:vAlign w:val="bottom"/>
            <w:hideMark/>
          </w:tcPr>
          <w:p w14:paraId="23AAA064" w14:textId="77777777" w:rsidR="00653B9D" w:rsidRPr="00A335CB" w:rsidRDefault="00653B9D" w:rsidP="005D1A90">
            <w:pPr>
              <w:spacing w:line="276" w:lineRule="auto"/>
              <w:jc w:val="center"/>
              <w:rPr>
                <w:rFonts w:ascii="Arial" w:eastAsia="Times New Roman" w:hAnsi="Arial" w:cs="Arial"/>
                <w:sz w:val="20"/>
                <w:szCs w:val="20"/>
              </w:rPr>
            </w:pPr>
            <w:r w:rsidRPr="00A335CB">
              <w:rPr>
                <w:rFonts w:ascii="Arial" w:eastAsia="Times New Roman" w:hAnsi="Arial" w:cs="Arial"/>
                <w:sz w:val="20"/>
                <w:szCs w:val="20"/>
              </w:rPr>
              <w:t>2023</w:t>
            </w:r>
          </w:p>
        </w:tc>
        <w:tc>
          <w:tcPr>
            <w:tcW w:w="1160" w:type="dxa"/>
            <w:shd w:val="clear" w:color="000000" w:fill="FFFFFF"/>
            <w:vAlign w:val="bottom"/>
            <w:hideMark/>
          </w:tcPr>
          <w:p w14:paraId="63D7E695"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7.104</w:t>
            </w:r>
          </w:p>
        </w:tc>
        <w:tc>
          <w:tcPr>
            <w:tcW w:w="1640" w:type="dxa"/>
            <w:shd w:val="clear" w:color="000000" w:fill="FFFFFF"/>
            <w:noWrap/>
            <w:vAlign w:val="bottom"/>
            <w:hideMark/>
          </w:tcPr>
          <w:p w14:paraId="6CB5BC3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45.718.332</w:t>
            </w:r>
          </w:p>
        </w:tc>
        <w:tc>
          <w:tcPr>
            <w:tcW w:w="1180" w:type="dxa"/>
            <w:shd w:val="clear" w:color="000000" w:fill="FFFFFF"/>
            <w:noWrap/>
            <w:vAlign w:val="bottom"/>
            <w:hideMark/>
          </w:tcPr>
          <w:p w14:paraId="13018A6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113.223.413</w:t>
            </w:r>
          </w:p>
        </w:tc>
        <w:tc>
          <w:tcPr>
            <w:tcW w:w="1320" w:type="dxa"/>
            <w:shd w:val="clear" w:color="000000" w:fill="FFFFFF"/>
            <w:noWrap/>
            <w:vAlign w:val="bottom"/>
            <w:hideMark/>
          </w:tcPr>
          <w:p w14:paraId="3D267857"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158.958.401</w:t>
            </w:r>
          </w:p>
        </w:tc>
        <w:tc>
          <w:tcPr>
            <w:tcW w:w="1500" w:type="dxa"/>
            <w:shd w:val="clear" w:color="auto" w:fill="auto"/>
            <w:noWrap/>
            <w:vAlign w:val="bottom"/>
            <w:hideMark/>
          </w:tcPr>
          <w:p w14:paraId="07E377E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2.268.739.153</w:t>
            </w:r>
          </w:p>
        </w:tc>
      </w:tr>
      <w:tr w:rsidR="00BD47E0" w:rsidRPr="00A335CB" w14:paraId="13D766A0" w14:textId="77777777" w:rsidTr="005C25B4">
        <w:trPr>
          <w:trHeight w:val="300"/>
        </w:trPr>
        <w:tc>
          <w:tcPr>
            <w:tcW w:w="1120" w:type="dxa"/>
            <w:shd w:val="clear" w:color="000000" w:fill="FFFFFF"/>
            <w:noWrap/>
            <w:vAlign w:val="bottom"/>
            <w:hideMark/>
          </w:tcPr>
          <w:p w14:paraId="0EB43286" w14:textId="77777777" w:rsidR="00653B9D" w:rsidRPr="00A335CB" w:rsidRDefault="00653B9D" w:rsidP="005D1A90">
            <w:pPr>
              <w:spacing w:line="276" w:lineRule="auto"/>
              <w:jc w:val="center"/>
              <w:rPr>
                <w:rFonts w:ascii="Arial" w:eastAsia="Times New Roman" w:hAnsi="Arial" w:cs="Arial"/>
                <w:b/>
                <w:sz w:val="20"/>
                <w:szCs w:val="20"/>
              </w:rPr>
            </w:pPr>
            <w:r w:rsidRPr="00A335CB">
              <w:rPr>
                <w:rFonts w:ascii="Arial" w:eastAsia="Times New Roman" w:hAnsi="Arial" w:cs="Arial"/>
                <w:b/>
                <w:sz w:val="20"/>
                <w:szCs w:val="20"/>
              </w:rPr>
              <w:t>2024</w:t>
            </w:r>
          </w:p>
        </w:tc>
        <w:tc>
          <w:tcPr>
            <w:tcW w:w="1160" w:type="dxa"/>
            <w:shd w:val="clear" w:color="000000" w:fill="FFFFFF"/>
            <w:vAlign w:val="bottom"/>
            <w:hideMark/>
          </w:tcPr>
          <w:p w14:paraId="3202FB4C"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7.616</w:t>
            </w:r>
          </w:p>
        </w:tc>
        <w:tc>
          <w:tcPr>
            <w:tcW w:w="1640" w:type="dxa"/>
            <w:shd w:val="clear" w:color="000000" w:fill="FFFFFF"/>
            <w:noWrap/>
            <w:vAlign w:val="bottom"/>
            <w:hideMark/>
          </w:tcPr>
          <w:p w14:paraId="376F6A6D"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50.454.189</w:t>
            </w:r>
          </w:p>
        </w:tc>
        <w:tc>
          <w:tcPr>
            <w:tcW w:w="1180" w:type="dxa"/>
            <w:shd w:val="clear" w:color="000000" w:fill="FFFFFF"/>
            <w:noWrap/>
            <w:vAlign w:val="bottom"/>
            <w:hideMark/>
          </w:tcPr>
          <w:p w14:paraId="4852ACF1"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143.273.834</w:t>
            </w:r>
          </w:p>
        </w:tc>
        <w:tc>
          <w:tcPr>
            <w:tcW w:w="1320" w:type="dxa"/>
            <w:shd w:val="clear" w:color="000000" w:fill="FFFFFF"/>
            <w:noWrap/>
            <w:vAlign w:val="bottom"/>
            <w:hideMark/>
          </w:tcPr>
          <w:p w14:paraId="26C16F1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193.746.560</w:t>
            </w:r>
          </w:p>
        </w:tc>
        <w:tc>
          <w:tcPr>
            <w:tcW w:w="1500" w:type="dxa"/>
            <w:shd w:val="clear" w:color="auto" w:fill="auto"/>
            <w:noWrap/>
            <w:vAlign w:val="bottom"/>
            <w:hideMark/>
          </w:tcPr>
          <w:p w14:paraId="65D0BC5F" w14:textId="77777777" w:rsidR="00653B9D" w:rsidRPr="00A335CB" w:rsidRDefault="00653B9D" w:rsidP="005D1A90">
            <w:pPr>
              <w:spacing w:line="276" w:lineRule="auto"/>
              <w:jc w:val="right"/>
              <w:rPr>
                <w:rFonts w:ascii="Arial" w:eastAsia="Times New Roman" w:hAnsi="Arial" w:cs="Arial"/>
                <w:sz w:val="20"/>
                <w:szCs w:val="20"/>
              </w:rPr>
            </w:pPr>
            <w:r w:rsidRPr="00A335CB">
              <w:rPr>
                <w:rFonts w:ascii="Arial" w:eastAsia="Times New Roman" w:hAnsi="Arial" w:cs="Arial"/>
                <w:sz w:val="20"/>
                <w:szCs w:val="20"/>
              </w:rPr>
              <w:t>2.462.485.713</w:t>
            </w:r>
          </w:p>
        </w:tc>
      </w:tr>
    </w:tbl>
    <w:p w14:paraId="2E3B5992" w14:textId="29CFA6A5" w:rsidR="001C6D21" w:rsidRPr="00A335CB" w:rsidRDefault="00090839" w:rsidP="005D1A90">
      <w:pPr>
        <w:autoSpaceDE w:val="0"/>
        <w:autoSpaceDN w:val="0"/>
        <w:adjustRightInd w:val="0"/>
        <w:spacing w:after="0" w:line="276" w:lineRule="auto"/>
        <w:jc w:val="both"/>
        <w:rPr>
          <w:rFonts w:ascii="Arial" w:hAnsi="Arial" w:cs="Arial"/>
          <w:bCs/>
          <w:iCs/>
          <w:sz w:val="20"/>
          <w:szCs w:val="20"/>
          <w:lang w:eastAsia="sl-SI"/>
        </w:rPr>
      </w:pPr>
      <w:r w:rsidRPr="00A335CB">
        <w:rPr>
          <w:rFonts w:ascii="Arial" w:hAnsi="Arial" w:cs="Arial"/>
          <w:b/>
          <w:bCs/>
          <w:iCs/>
          <w:sz w:val="20"/>
          <w:szCs w:val="20"/>
          <w:lang w:eastAsia="sl-SI"/>
        </w:rPr>
        <w:t>Preglednica:</w:t>
      </w:r>
      <w:r w:rsidRPr="00A335CB">
        <w:rPr>
          <w:rFonts w:ascii="Arial" w:hAnsi="Arial" w:cs="Arial"/>
          <w:bCs/>
          <w:iCs/>
          <w:sz w:val="20"/>
          <w:szCs w:val="20"/>
          <w:lang w:eastAsia="sl-SI"/>
        </w:rPr>
        <w:t xml:space="preserve"> Število poslanih podatkov iz CRP v letih</w:t>
      </w:r>
    </w:p>
    <w:p w14:paraId="7F917C01" w14:textId="6B99FDF1" w:rsidR="00090839" w:rsidRPr="00A335CB" w:rsidRDefault="00090839" w:rsidP="005D1A90">
      <w:pPr>
        <w:autoSpaceDE w:val="0"/>
        <w:autoSpaceDN w:val="0"/>
        <w:adjustRightInd w:val="0"/>
        <w:spacing w:after="0" w:line="276" w:lineRule="auto"/>
        <w:jc w:val="both"/>
        <w:rPr>
          <w:rFonts w:ascii="Arial" w:hAnsi="Arial" w:cs="Arial"/>
          <w:sz w:val="20"/>
          <w:szCs w:val="20"/>
          <w:lang w:eastAsia="sl-SI"/>
        </w:rPr>
      </w:pPr>
    </w:p>
    <w:p w14:paraId="23EA34A9" w14:textId="3A511829" w:rsidR="00E2146B" w:rsidRPr="00A335CB" w:rsidRDefault="00653B9D" w:rsidP="005D1A90">
      <w:pPr>
        <w:pStyle w:val="Naslov3"/>
        <w:spacing w:line="276" w:lineRule="auto"/>
        <w:jc w:val="both"/>
        <w:rPr>
          <w:rFonts w:cs="Arial"/>
          <w:sz w:val="20"/>
          <w:szCs w:val="20"/>
          <w:lang w:eastAsia="sl-SI"/>
        </w:rPr>
      </w:pPr>
      <w:r w:rsidRPr="00A335CB">
        <w:rPr>
          <w:rFonts w:cs="Arial"/>
          <w:sz w:val="20"/>
          <w:szCs w:val="20"/>
          <w:lang w:eastAsia="sl-SI"/>
        </w:rPr>
        <w:t xml:space="preserve"> </w:t>
      </w:r>
      <w:bookmarkStart w:id="67" w:name="_Toc203552982"/>
      <w:r w:rsidR="00D17F7E" w:rsidRPr="00A335CB">
        <w:rPr>
          <w:rFonts w:cs="Arial"/>
          <w:sz w:val="20"/>
          <w:szCs w:val="20"/>
          <w:lang w:eastAsia="sl-SI"/>
        </w:rPr>
        <w:t xml:space="preserve">Urejanje </w:t>
      </w:r>
      <w:r w:rsidRPr="00A335CB">
        <w:rPr>
          <w:rFonts w:cs="Arial"/>
          <w:sz w:val="20"/>
          <w:szCs w:val="20"/>
          <w:lang w:eastAsia="sl-SI"/>
        </w:rPr>
        <w:t>zaznamkov v zvezi z odvzeto volilno pravico</w:t>
      </w:r>
      <w:bookmarkEnd w:id="67"/>
    </w:p>
    <w:p w14:paraId="2EA06DF4" w14:textId="77777777" w:rsidR="00EC030E" w:rsidRPr="00A335CB" w:rsidRDefault="00EC030E" w:rsidP="005D1A90">
      <w:pPr>
        <w:spacing w:after="0" w:line="276" w:lineRule="auto"/>
        <w:rPr>
          <w:rFonts w:ascii="Arial" w:hAnsi="Arial" w:cs="Arial"/>
          <w:sz w:val="20"/>
          <w:szCs w:val="20"/>
          <w:lang w:eastAsia="sl-SI"/>
        </w:rPr>
      </w:pPr>
    </w:p>
    <w:p w14:paraId="5C7CD793" w14:textId="274ABF65"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Z uveljavitvijo zadnje novele Zakona o volitvah v Državni zbor (Uradni li</w:t>
      </w:r>
      <w:r w:rsidR="0016396C" w:rsidRPr="00A335CB">
        <w:rPr>
          <w:rFonts w:ascii="Arial" w:hAnsi="Arial" w:cs="Arial"/>
          <w:sz w:val="20"/>
          <w:szCs w:val="20"/>
        </w:rPr>
        <w:t>st RS, št. 12/24, v nadaljnjem besedilu</w:t>
      </w:r>
      <w:r w:rsidRPr="00A335CB">
        <w:rPr>
          <w:rFonts w:ascii="Arial" w:hAnsi="Arial" w:cs="Arial"/>
          <w:sz w:val="20"/>
          <w:szCs w:val="20"/>
        </w:rPr>
        <w:t xml:space="preserve">: ZVDZ-E) so se pravnomočne sodne odločbe, s katerimi je bila v preteklosti polnoletnim osebam odvzeta poslovna sposobnost ali podaljšana roditeljska pravica staršev ali drugih oseb čez njihovo polnoletnost oziroma so bile postavljene pod skrbništvo, razveljavile v delu, ki se nanaša na odvzem volilne pravice oziroma pravice voliti in biti voljen. </w:t>
      </w:r>
    </w:p>
    <w:p w14:paraId="3C671C9C" w14:textId="77777777" w:rsidR="00653B9D" w:rsidRPr="00A335CB" w:rsidRDefault="00653B9D" w:rsidP="005D1A90">
      <w:pPr>
        <w:spacing w:after="0" w:line="276" w:lineRule="auto"/>
        <w:jc w:val="both"/>
        <w:rPr>
          <w:rFonts w:ascii="Arial" w:hAnsi="Arial" w:cs="Arial"/>
          <w:sz w:val="20"/>
          <w:szCs w:val="20"/>
        </w:rPr>
      </w:pPr>
    </w:p>
    <w:p w14:paraId="5AC17053" w14:textId="14B0EEB3"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ZVDZ-E je določil, da mor</w:t>
      </w:r>
      <w:r w:rsidR="0016396C" w:rsidRPr="00A335CB">
        <w:rPr>
          <w:rFonts w:ascii="Arial" w:hAnsi="Arial" w:cs="Arial"/>
          <w:sz w:val="20"/>
          <w:szCs w:val="20"/>
        </w:rPr>
        <w:t>a MNZ</w:t>
      </w:r>
      <w:r w:rsidRPr="00A335CB">
        <w:rPr>
          <w:rFonts w:ascii="Arial" w:hAnsi="Arial" w:cs="Arial"/>
          <w:sz w:val="20"/>
          <w:szCs w:val="20"/>
        </w:rPr>
        <w:t xml:space="preserve"> </w:t>
      </w:r>
      <w:r w:rsidR="005E0375" w:rsidRPr="00A335CB">
        <w:rPr>
          <w:rFonts w:ascii="Arial" w:hAnsi="Arial" w:cs="Arial"/>
          <w:sz w:val="20"/>
          <w:szCs w:val="20"/>
        </w:rPr>
        <w:t>naj</w:t>
      </w:r>
      <w:r w:rsidR="005E0375">
        <w:rPr>
          <w:rFonts w:ascii="Arial" w:hAnsi="Arial" w:cs="Arial"/>
          <w:sz w:val="20"/>
          <w:szCs w:val="20"/>
        </w:rPr>
        <w:t>pozneje</w:t>
      </w:r>
      <w:r w:rsidR="005E0375" w:rsidRPr="00A335CB">
        <w:rPr>
          <w:rFonts w:ascii="Arial" w:hAnsi="Arial" w:cs="Arial"/>
          <w:sz w:val="20"/>
          <w:szCs w:val="20"/>
        </w:rPr>
        <w:t xml:space="preserve"> </w:t>
      </w:r>
      <w:r w:rsidRPr="00A335CB">
        <w:rPr>
          <w:rFonts w:ascii="Arial" w:hAnsi="Arial" w:cs="Arial"/>
          <w:sz w:val="20"/>
          <w:szCs w:val="20"/>
        </w:rPr>
        <w:t>v dveh mesecih po uveljavitvi zakona, to je do 10.</w:t>
      </w:r>
      <w:r w:rsidR="00140FE7">
        <w:rPr>
          <w:rFonts w:ascii="Arial" w:hAnsi="Arial" w:cs="Arial"/>
          <w:sz w:val="20"/>
          <w:szCs w:val="20"/>
        </w:rPr>
        <w:t> </w:t>
      </w:r>
      <w:r w:rsidRPr="00A335CB">
        <w:rPr>
          <w:rFonts w:ascii="Arial" w:hAnsi="Arial" w:cs="Arial"/>
          <w:sz w:val="20"/>
          <w:szCs w:val="20"/>
        </w:rPr>
        <w:t>4.</w:t>
      </w:r>
      <w:r w:rsidR="00140FE7">
        <w:rPr>
          <w:rFonts w:ascii="Arial" w:hAnsi="Arial" w:cs="Arial"/>
          <w:sz w:val="20"/>
          <w:szCs w:val="20"/>
        </w:rPr>
        <w:t> </w:t>
      </w:r>
      <w:r w:rsidRPr="00A335CB">
        <w:rPr>
          <w:rFonts w:ascii="Arial" w:hAnsi="Arial" w:cs="Arial"/>
          <w:sz w:val="20"/>
          <w:szCs w:val="20"/>
        </w:rPr>
        <w:t>2024, po uradni dolžnosti pri vseh osebah, ki jim je bila odvzeta volilna pravica voliti in biti voljen, v evidenci volilne pravice uskladi</w:t>
      </w:r>
      <w:r w:rsidR="00140FE7">
        <w:rPr>
          <w:rFonts w:ascii="Arial" w:hAnsi="Arial" w:cs="Arial"/>
          <w:sz w:val="20"/>
          <w:szCs w:val="20"/>
        </w:rPr>
        <w:t>ti</w:t>
      </w:r>
      <w:r w:rsidRPr="00A335CB">
        <w:rPr>
          <w:rFonts w:ascii="Arial" w:hAnsi="Arial" w:cs="Arial"/>
          <w:sz w:val="20"/>
          <w:szCs w:val="20"/>
        </w:rPr>
        <w:t xml:space="preserve"> zaznamke v zvezi z odvzemom. </w:t>
      </w:r>
    </w:p>
    <w:p w14:paraId="38C33857" w14:textId="77777777" w:rsidR="00EA6488" w:rsidRDefault="00EA6488" w:rsidP="005D1A90">
      <w:pPr>
        <w:spacing w:after="0" w:line="276" w:lineRule="auto"/>
        <w:jc w:val="both"/>
        <w:rPr>
          <w:rFonts w:ascii="Arial" w:hAnsi="Arial" w:cs="Arial"/>
          <w:sz w:val="20"/>
          <w:szCs w:val="20"/>
        </w:rPr>
      </w:pPr>
    </w:p>
    <w:p w14:paraId="5921F068" w14:textId="0F3D2BBA" w:rsidR="00653B9D" w:rsidRPr="00A335CB" w:rsidRDefault="0016396C" w:rsidP="005D1A90">
      <w:pPr>
        <w:spacing w:after="0" w:line="276" w:lineRule="auto"/>
        <w:jc w:val="both"/>
        <w:rPr>
          <w:rFonts w:ascii="Arial" w:hAnsi="Arial" w:cs="Arial"/>
          <w:sz w:val="20"/>
          <w:szCs w:val="20"/>
        </w:rPr>
      </w:pPr>
      <w:r w:rsidRPr="00A335CB">
        <w:rPr>
          <w:rFonts w:ascii="Arial" w:hAnsi="Arial" w:cs="Arial"/>
          <w:sz w:val="20"/>
          <w:szCs w:val="20"/>
        </w:rPr>
        <w:t xml:space="preserve">MNZ je zaznamke uredilo </w:t>
      </w:r>
      <w:r w:rsidR="00653B9D" w:rsidRPr="00A335CB">
        <w:rPr>
          <w:rFonts w:ascii="Arial" w:hAnsi="Arial" w:cs="Arial"/>
          <w:sz w:val="20"/>
          <w:szCs w:val="20"/>
        </w:rPr>
        <w:t>predčasno pri vseh 4.424 državljanih, ki so imeli vpisan popoln odvzem volilne pravic</w:t>
      </w:r>
      <w:r w:rsidR="00140FE7">
        <w:rPr>
          <w:rFonts w:ascii="Arial" w:hAnsi="Arial" w:cs="Arial"/>
          <w:sz w:val="20"/>
          <w:szCs w:val="20"/>
        </w:rPr>
        <w:t>e</w:t>
      </w:r>
      <w:r w:rsidR="00653B9D" w:rsidRPr="00A335CB">
        <w:rPr>
          <w:rFonts w:ascii="Arial" w:hAnsi="Arial" w:cs="Arial"/>
          <w:sz w:val="20"/>
          <w:szCs w:val="20"/>
        </w:rPr>
        <w:t xml:space="preserve"> ali odvzem zgolj pasivne volilne pravice. Predčasna ureditev podatkov je vsem posameznikom omogočala izvrševanje volilne pravice na volitvah v Evropski parlament. </w:t>
      </w:r>
    </w:p>
    <w:p w14:paraId="6490A43C" w14:textId="65DF422B" w:rsidR="00E2146B" w:rsidRPr="00A335CB" w:rsidRDefault="00E2146B" w:rsidP="005D1A90">
      <w:pPr>
        <w:pStyle w:val="Brezrazmikov"/>
        <w:spacing w:line="276" w:lineRule="auto"/>
        <w:jc w:val="both"/>
        <w:rPr>
          <w:rFonts w:ascii="Arial" w:hAnsi="Arial" w:cs="Arial"/>
          <w:bCs/>
          <w:sz w:val="20"/>
          <w:szCs w:val="20"/>
        </w:rPr>
      </w:pPr>
    </w:p>
    <w:p w14:paraId="1BF982A4" w14:textId="0139AB5C" w:rsidR="00E2146B" w:rsidRPr="00A335CB" w:rsidRDefault="00653B9D" w:rsidP="005D1A90">
      <w:pPr>
        <w:pStyle w:val="Naslov3"/>
        <w:spacing w:line="276" w:lineRule="auto"/>
        <w:jc w:val="both"/>
        <w:rPr>
          <w:rFonts w:cs="Arial"/>
          <w:sz w:val="20"/>
          <w:szCs w:val="20"/>
        </w:rPr>
      </w:pPr>
      <w:bookmarkStart w:id="68" w:name="_Toc203552983"/>
      <w:r w:rsidRPr="00A335CB">
        <w:rPr>
          <w:rFonts w:cs="Arial"/>
          <w:sz w:val="20"/>
          <w:szCs w:val="20"/>
        </w:rPr>
        <w:t>Aktivnosti v času volitev v Evropski parlament</w:t>
      </w:r>
      <w:bookmarkEnd w:id="68"/>
      <w:r w:rsidRPr="00A335CB">
        <w:rPr>
          <w:rFonts w:cs="Arial"/>
          <w:sz w:val="20"/>
          <w:szCs w:val="20"/>
        </w:rPr>
        <w:t xml:space="preserve"> </w:t>
      </w:r>
    </w:p>
    <w:p w14:paraId="150E4802" w14:textId="77777777" w:rsidR="00EC030E" w:rsidRPr="00A335CB" w:rsidRDefault="00EC030E" w:rsidP="005D1A90">
      <w:pPr>
        <w:spacing w:after="0" w:line="276" w:lineRule="auto"/>
        <w:rPr>
          <w:rFonts w:ascii="Arial" w:hAnsi="Arial" w:cs="Arial"/>
          <w:sz w:val="20"/>
          <w:szCs w:val="20"/>
        </w:rPr>
      </w:pPr>
    </w:p>
    <w:p w14:paraId="16DD139B" w14:textId="416425DF"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Priprave na volitve v Evropski par</w:t>
      </w:r>
      <w:r w:rsidR="0016396C" w:rsidRPr="00A335CB">
        <w:rPr>
          <w:rFonts w:ascii="Arial" w:hAnsi="Arial" w:cs="Arial"/>
          <w:sz w:val="20"/>
          <w:szCs w:val="20"/>
        </w:rPr>
        <w:t xml:space="preserve">lament so se </w:t>
      </w:r>
      <w:r w:rsidR="001D2776">
        <w:rPr>
          <w:rFonts w:ascii="Arial" w:hAnsi="Arial" w:cs="Arial"/>
          <w:sz w:val="20"/>
          <w:szCs w:val="20"/>
        </w:rPr>
        <w:t>za</w:t>
      </w:r>
      <w:r w:rsidR="001D2776" w:rsidRPr="00A335CB">
        <w:rPr>
          <w:rFonts w:ascii="Arial" w:hAnsi="Arial" w:cs="Arial"/>
          <w:sz w:val="20"/>
          <w:szCs w:val="20"/>
        </w:rPr>
        <w:t xml:space="preserve">čele </w:t>
      </w:r>
      <w:r w:rsidR="0016396C" w:rsidRPr="00A335CB">
        <w:rPr>
          <w:rFonts w:ascii="Arial" w:hAnsi="Arial" w:cs="Arial"/>
          <w:sz w:val="20"/>
          <w:szCs w:val="20"/>
        </w:rPr>
        <w:t>že v</w:t>
      </w:r>
      <w:r w:rsidRPr="00A335CB">
        <w:rPr>
          <w:rFonts w:ascii="Arial" w:hAnsi="Arial" w:cs="Arial"/>
          <w:sz w:val="20"/>
          <w:szCs w:val="20"/>
        </w:rPr>
        <w:t xml:space="preserve"> februarju, ko so se </w:t>
      </w:r>
      <w:r w:rsidR="001D2776">
        <w:rPr>
          <w:rFonts w:ascii="Arial" w:hAnsi="Arial" w:cs="Arial"/>
          <w:sz w:val="20"/>
          <w:szCs w:val="20"/>
        </w:rPr>
        <w:t>za</w:t>
      </w:r>
      <w:r w:rsidR="001D2776" w:rsidRPr="00A335CB">
        <w:rPr>
          <w:rFonts w:ascii="Arial" w:hAnsi="Arial" w:cs="Arial"/>
          <w:sz w:val="20"/>
          <w:szCs w:val="20"/>
        </w:rPr>
        <w:t xml:space="preserve">čela </w:t>
      </w:r>
      <w:r w:rsidRPr="00A335CB">
        <w:rPr>
          <w:rFonts w:ascii="Arial" w:hAnsi="Arial" w:cs="Arial"/>
          <w:sz w:val="20"/>
          <w:szCs w:val="20"/>
        </w:rPr>
        <w:t xml:space="preserve">obsežna testiranja nove aplikacije za izmenjavo podatkov o volivcih drugih držav članic med državami članicami. </w:t>
      </w:r>
    </w:p>
    <w:p w14:paraId="3A45D921" w14:textId="77777777" w:rsidR="00653B9D" w:rsidRPr="00A335CB" w:rsidRDefault="00653B9D" w:rsidP="005D1A90">
      <w:pPr>
        <w:spacing w:after="0" w:line="276" w:lineRule="auto"/>
        <w:jc w:val="both"/>
        <w:rPr>
          <w:rFonts w:ascii="Arial" w:hAnsi="Arial" w:cs="Arial"/>
          <w:sz w:val="20"/>
          <w:szCs w:val="20"/>
        </w:rPr>
      </w:pPr>
    </w:p>
    <w:p w14:paraId="24A7AD31" w14:textId="5F10EBB2"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Za vse tujce, državljane drugih držav članic, ki prebivajo </w:t>
      </w:r>
      <w:r w:rsidR="0016396C" w:rsidRPr="00A335CB">
        <w:rPr>
          <w:rFonts w:ascii="Arial" w:hAnsi="Arial" w:cs="Arial"/>
          <w:sz w:val="20"/>
          <w:szCs w:val="20"/>
        </w:rPr>
        <w:t>v Republiki Sloveniji</w:t>
      </w:r>
      <w:r w:rsidRPr="00A335CB">
        <w:rPr>
          <w:rFonts w:ascii="Arial" w:hAnsi="Arial" w:cs="Arial"/>
          <w:sz w:val="20"/>
          <w:szCs w:val="20"/>
        </w:rPr>
        <w:t xml:space="preserve">, </w:t>
      </w:r>
      <w:r w:rsidR="0016396C" w:rsidRPr="00A335CB">
        <w:rPr>
          <w:rFonts w:ascii="Arial" w:hAnsi="Arial" w:cs="Arial"/>
          <w:sz w:val="20"/>
          <w:szCs w:val="20"/>
        </w:rPr>
        <w:t xml:space="preserve">je MNZ pripravilo </w:t>
      </w:r>
      <w:r w:rsidRPr="00A335CB">
        <w:rPr>
          <w:rFonts w:ascii="Arial" w:hAnsi="Arial" w:cs="Arial"/>
          <w:sz w:val="20"/>
          <w:szCs w:val="20"/>
        </w:rPr>
        <w:t>predstavitvene brošure, ki so olajšale vložitev zahteve za vpis v evidenco volilne pravice v Republiki Sloveniji. O tem, da lahko volijo v R</w:t>
      </w:r>
      <w:r w:rsidR="0016396C" w:rsidRPr="00A335CB">
        <w:rPr>
          <w:rFonts w:ascii="Arial" w:hAnsi="Arial" w:cs="Arial"/>
          <w:sz w:val="20"/>
          <w:szCs w:val="20"/>
        </w:rPr>
        <w:t xml:space="preserve">epubliki </w:t>
      </w:r>
      <w:r w:rsidRPr="00A335CB">
        <w:rPr>
          <w:rFonts w:ascii="Arial" w:hAnsi="Arial" w:cs="Arial"/>
          <w:sz w:val="20"/>
          <w:szCs w:val="20"/>
        </w:rPr>
        <w:t>S</w:t>
      </w:r>
      <w:r w:rsidR="0016396C" w:rsidRPr="00A335CB">
        <w:rPr>
          <w:rFonts w:ascii="Arial" w:hAnsi="Arial" w:cs="Arial"/>
          <w:sz w:val="20"/>
          <w:szCs w:val="20"/>
        </w:rPr>
        <w:t>loveniji</w:t>
      </w:r>
      <w:r w:rsidRPr="00A335CB">
        <w:rPr>
          <w:rFonts w:ascii="Arial" w:hAnsi="Arial" w:cs="Arial"/>
          <w:sz w:val="20"/>
          <w:szCs w:val="20"/>
        </w:rPr>
        <w:t>, je bilo obveščenih 18.865 tujcev. 370 tujcev je zahtevo za vpis vložilo na novo, o</w:t>
      </w:r>
      <w:r w:rsidR="0016396C" w:rsidRPr="00A335CB">
        <w:rPr>
          <w:rFonts w:ascii="Arial" w:hAnsi="Arial" w:cs="Arial"/>
          <w:sz w:val="20"/>
          <w:szCs w:val="20"/>
        </w:rPr>
        <w:t xml:space="preserve">d tega je bilo na novo </w:t>
      </w:r>
      <w:r w:rsidRPr="00A335CB">
        <w:rPr>
          <w:rFonts w:ascii="Arial" w:hAnsi="Arial" w:cs="Arial"/>
          <w:sz w:val="20"/>
          <w:szCs w:val="20"/>
        </w:rPr>
        <w:t>vpisanih 313 tujcev, ki so vložili zahtevo, ki je bila pravočasna in popolna (34 zahtev je bilo nepopolnih, 23 pa prepoznih). Pogoje za glasovanje v Republiki Sloveniji je skupaj s tujci, ki so v Republiki Sloveniji volili v Evropski parlament že v letu 2019, izpolnilo 1.151 tujcev</w:t>
      </w:r>
      <w:r w:rsidR="00090839" w:rsidRPr="00A335CB">
        <w:rPr>
          <w:rFonts w:ascii="Arial" w:hAnsi="Arial" w:cs="Arial"/>
          <w:sz w:val="20"/>
          <w:szCs w:val="20"/>
        </w:rPr>
        <w:t xml:space="preserve">. </w:t>
      </w:r>
    </w:p>
    <w:p w14:paraId="4FAC0159" w14:textId="77777777" w:rsidR="00653B9D" w:rsidRPr="00A335CB" w:rsidRDefault="00653B9D" w:rsidP="005D1A90">
      <w:pPr>
        <w:spacing w:after="0" w:line="276" w:lineRule="auto"/>
        <w:jc w:val="both"/>
        <w:rPr>
          <w:rFonts w:ascii="Arial" w:hAnsi="Arial" w:cs="Arial"/>
          <w:sz w:val="20"/>
          <w:szCs w:val="20"/>
        </w:rPr>
      </w:pP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796"/>
      </w:tblGrid>
      <w:tr w:rsidR="00D35A27" w:rsidRPr="00A335CB" w14:paraId="49FFD1F3" w14:textId="77777777" w:rsidTr="00D35A27">
        <w:trPr>
          <w:trHeight w:val="300"/>
        </w:trPr>
        <w:tc>
          <w:tcPr>
            <w:tcW w:w="2263" w:type="dxa"/>
            <w:shd w:val="clear" w:color="auto" w:fill="D9D9D9" w:themeFill="background1" w:themeFillShade="D9"/>
            <w:noWrap/>
            <w:vAlign w:val="bottom"/>
          </w:tcPr>
          <w:p w14:paraId="3A8ED105" w14:textId="66536ED1" w:rsidR="00D35A27" w:rsidRPr="00A335CB" w:rsidRDefault="00D35A27" w:rsidP="005D1A90">
            <w:pPr>
              <w:spacing w:after="0" w:line="276" w:lineRule="auto"/>
              <w:jc w:val="both"/>
              <w:rPr>
                <w:rFonts w:ascii="Arial" w:eastAsia="Times New Roman" w:hAnsi="Arial" w:cs="Arial"/>
                <w:b/>
                <w:sz w:val="20"/>
                <w:szCs w:val="20"/>
                <w:lang w:eastAsia="sl-SI"/>
              </w:rPr>
            </w:pPr>
            <w:r w:rsidRPr="00A335CB">
              <w:rPr>
                <w:rFonts w:ascii="Arial" w:eastAsia="Times New Roman" w:hAnsi="Arial" w:cs="Arial"/>
                <w:b/>
                <w:sz w:val="20"/>
                <w:szCs w:val="20"/>
                <w:lang w:eastAsia="sl-SI"/>
              </w:rPr>
              <w:t>Državljanstvo</w:t>
            </w:r>
          </w:p>
        </w:tc>
        <w:tc>
          <w:tcPr>
            <w:tcW w:w="709" w:type="dxa"/>
            <w:shd w:val="clear" w:color="auto" w:fill="D9D9D9" w:themeFill="background1" w:themeFillShade="D9"/>
            <w:noWrap/>
            <w:vAlign w:val="bottom"/>
          </w:tcPr>
          <w:p w14:paraId="13F57114" w14:textId="474FD8ED" w:rsidR="00D35A27" w:rsidRPr="00A335CB" w:rsidRDefault="00D35A27" w:rsidP="005D1A90">
            <w:pPr>
              <w:spacing w:after="0" w:line="276" w:lineRule="auto"/>
              <w:jc w:val="both"/>
              <w:rPr>
                <w:rFonts w:ascii="Arial" w:eastAsia="Times New Roman" w:hAnsi="Arial" w:cs="Arial"/>
                <w:b/>
                <w:sz w:val="20"/>
                <w:szCs w:val="20"/>
                <w:lang w:eastAsia="sl-SI"/>
              </w:rPr>
            </w:pPr>
            <w:r w:rsidRPr="00A335CB">
              <w:rPr>
                <w:rFonts w:ascii="Arial" w:eastAsia="Times New Roman" w:hAnsi="Arial" w:cs="Arial"/>
                <w:b/>
                <w:sz w:val="20"/>
                <w:szCs w:val="20"/>
                <w:lang w:eastAsia="sl-SI"/>
              </w:rPr>
              <w:t>Število</w:t>
            </w:r>
          </w:p>
        </w:tc>
      </w:tr>
      <w:tr w:rsidR="00BD47E0" w:rsidRPr="00A335CB" w14:paraId="290EB7A9" w14:textId="77777777" w:rsidTr="00653B9D">
        <w:trPr>
          <w:trHeight w:val="300"/>
        </w:trPr>
        <w:tc>
          <w:tcPr>
            <w:tcW w:w="2263" w:type="dxa"/>
            <w:shd w:val="clear" w:color="auto" w:fill="auto"/>
            <w:noWrap/>
            <w:vAlign w:val="bottom"/>
            <w:hideMark/>
          </w:tcPr>
          <w:p w14:paraId="14BC974A"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Avstrije</w:t>
            </w:r>
          </w:p>
        </w:tc>
        <w:tc>
          <w:tcPr>
            <w:tcW w:w="709" w:type="dxa"/>
            <w:shd w:val="clear" w:color="auto" w:fill="auto"/>
            <w:noWrap/>
            <w:vAlign w:val="bottom"/>
            <w:hideMark/>
          </w:tcPr>
          <w:p w14:paraId="2204B133"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29</w:t>
            </w:r>
          </w:p>
        </w:tc>
      </w:tr>
      <w:tr w:rsidR="00BD47E0" w:rsidRPr="00A335CB" w14:paraId="556C3F1C" w14:textId="77777777" w:rsidTr="00653B9D">
        <w:trPr>
          <w:trHeight w:val="42"/>
        </w:trPr>
        <w:tc>
          <w:tcPr>
            <w:tcW w:w="2263" w:type="dxa"/>
            <w:shd w:val="clear" w:color="auto" w:fill="auto"/>
            <w:noWrap/>
            <w:vAlign w:val="bottom"/>
            <w:hideMark/>
          </w:tcPr>
          <w:p w14:paraId="34A8A8D6"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Belgije</w:t>
            </w:r>
          </w:p>
        </w:tc>
        <w:tc>
          <w:tcPr>
            <w:tcW w:w="709" w:type="dxa"/>
            <w:shd w:val="clear" w:color="auto" w:fill="auto"/>
            <w:noWrap/>
            <w:vAlign w:val="bottom"/>
            <w:hideMark/>
          </w:tcPr>
          <w:p w14:paraId="4561D66F"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21</w:t>
            </w:r>
          </w:p>
        </w:tc>
      </w:tr>
      <w:tr w:rsidR="00BD47E0" w:rsidRPr="00A335CB" w14:paraId="5105DBCD" w14:textId="77777777" w:rsidTr="00653B9D">
        <w:trPr>
          <w:trHeight w:val="300"/>
        </w:trPr>
        <w:tc>
          <w:tcPr>
            <w:tcW w:w="2263" w:type="dxa"/>
            <w:shd w:val="clear" w:color="auto" w:fill="auto"/>
            <w:noWrap/>
            <w:vAlign w:val="bottom"/>
            <w:hideMark/>
          </w:tcPr>
          <w:p w14:paraId="34BDE665"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Bolgarije</w:t>
            </w:r>
          </w:p>
        </w:tc>
        <w:tc>
          <w:tcPr>
            <w:tcW w:w="709" w:type="dxa"/>
            <w:shd w:val="clear" w:color="auto" w:fill="auto"/>
            <w:noWrap/>
            <w:vAlign w:val="bottom"/>
            <w:hideMark/>
          </w:tcPr>
          <w:p w14:paraId="743C86A2"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53</w:t>
            </w:r>
          </w:p>
        </w:tc>
      </w:tr>
      <w:tr w:rsidR="00BD47E0" w:rsidRPr="00A335CB" w14:paraId="3A5F3453" w14:textId="77777777" w:rsidTr="00653B9D">
        <w:trPr>
          <w:trHeight w:val="300"/>
        </w:trPr>
        <w:tc>
          <w:tcPr>
            <w:tcW w:w="2263" w:type="dxa"/>
            <w:shd w:val="clear" w:color="auto" w:fill="auto"/>
            <w:noWrap/>
            <w:vAlign w:val="bottom"/>
            <w:hideMark/>
          </w:tcPr>
          <w:p w14:paraId="68CE377D"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Hrvaške</w:t>
            </w:r>
          </w:p>
        </w:tc>
        <w:tc>
          <w:tcPr>
            <w:tcW w:w="709" w:type="dxa"/>
            <w:shd w:val="clear" w:color="auto" w:fill="auto"/>
            <w:noWrap/>
            <w:vAlign w:val="bottom"/>
            <w:hideMark/>
          </w:tcPr>
          <w:p w14:paraId="4A33A574"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569</w:t>
            </w:r>
          </w:p>
        </w:tc>
      </w:tr>
      <w:tr w:rsidR="00BD47E0" w:rsidRPr="00A335CB" w14:paraId="6F44E872" w14:textId="77777777" w:rsidTr="00653B9D">
        <w:trPr>
          <w:trHeight w:val="300"/>
        </w:trPr>
        <w:tc>
          <w:tcPr>
            <w:tcW w:w="2263" w:type="dxa"/>
            <w:shd w:val="clear" w:color="auto" w:fill="auto"/>
            <w:noWrap/>
            <w:vAlign w:val="bottom"/>
            <w:hideMark/>
          </w:tcPr>
          <w:p w14:paraId="71671E2E"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Češke Republike</w:t>
            </w:r>
          </w:p>
        </w:tc>
        <w:tc>
          <w:tcPr>
            <w:tcW w:w="709" w:type="dxa"/>
            <w:shd w:val="clear" w:color="auto" w:fill="auto"/>
            <w:noWrap/>
            <w:vAlign w:val="bottom"/>
            <w:hideMark/>
          </w:tcPr>
          <w:p w14:paraId="1BFDB63C"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8</w:t>
            </w:r>
          </w:p>
        </w:tc>
      </w:tr>
      <w:tr w:rsidR="00BD47E0" w:rsidRPr="00A335CB" w14:paraId="3754FBD7" w14:textId="77777777" w:rsidTr="00653B9D">
        <w:trPr>
          <w:trHeight w:val="300"/>
        </w:trPr>
        <w:tc>
          <w:tcPr>
            <w:tcW w:w="2263" w:type="dxa"/>
            <w:shd w:val="clear" w:color="auto" w:fill="auto"/>
            <w:noWrap/>
            <w:vAlign w:val="bottom"/>
            <w:hideMark/>
          </w:tcPr>
          <w:p w14:paraId="419656A6"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Danske</w:t>
            </w:r>
          </w:p>
        </w:tc>
        <w:tc>
          <w:tcPr>
            <w:tcW w:w="709" w:type="dxa"/>
            <w:shd w:val="clear" w:color="auto" w:fill="auto"/>
            <w:noWrap/>
            <w:vAlign w:val="bottom"/>
            <w:hideMark/>
          </w:tcPr>
          <w:p w14:paraId="3F86F43F"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4</w:t>
            </w:r>
          </w:p>
        </w:tc>
      </w:tr>
      <w:tr w:rsidR="00BD47E0" w:rsidRPr="00A335CB" w14:paraId="01D008B9" w14:textId="77777777" w:rsidTr="00653B9D">
        <w:trPr>
          <w:trHeight w:val="300"/>
        </w:trPr>
        <w:tc>
          <w:tcPr>
            <w:tcW w:w="2263" w:type="dxa"/>
            <w:shd w:val="clear" w:color="auto" w:fill="auto"/>
            <w:noWrap/>
            <w:vAlign w:val="bottom"/>
            <w:hideMark/>
          </w:tcPr>
          <w:p w14:paraId="524E309C"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Estonije</w:t>
            </w:r>
          </w:p>
        </w:tc>
        <w:tc>
          <w:tcPr>
            <w:tcW w:w="709" w:type="dxa"/>
            <w:shd w:val="clear" w:color="auto" w:fill="auto"/>
            <w:noWrap/>
            <w:vAlign w:val="bottom"/>
            <w:hideMark/>
          </w:tcPr>
          <w:p w14:paraId="1CABB1C8"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r>
      <w:tr w:rsidR="00BD47E0" w:rsidRPr="00A335CB" w14:paraId="76E6EA71" w14:textId="77777777" w:rsidTr="00653B9D">
        <w:trPr>
          <w:trHeight w:val="300"/>
        </w:trPr>
        <w:tc>
          <w:tcPr>
            <w:tcW w:w="2263" w:type="dxa"/>
            <w:shd w:val="clear" w:color="auto" w:fill="auto"/>
            <w:noWrap/>
            <w:vAlign w:val="bottom"/>
            <w:hideMark/>
          </w:tcPr>
          <w:p w14:paraId="24EB4420"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Francije</w:t>
            </w:r>
          </w:p>
        </w:tc>
        <w:tc>
          <w:tcPr>
            <w:tcW w:w="709" w:type="dxa"/>
            <w:shd w:val="clear" w:color="auto" w:fill="auto"/>
            <w:noWrap/>
            <w:vAlign w:val="bottom"/>
            <w:hideMark/>
          </w:tcPr>
          <w:p w14:paraId="70A14BD4"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35</w:t>
            </w:r>
          </w:p>
        </w:tc>
      </w:tr>
      <w:tr w:rsidR="00BD47E0" w:rsidRPr="00A335CB" w14:paraId="3DE194B4" w14:textId="77777777" w:rsidTr="00653B9D">
        <w:trPr>
          <w:trHeight w:val="300"/>
        </w:trPr>
        <w:tc>
          <w:tcPr>
            <w:tcW w:w="2263" w:type="dxa"/>
            <w:shd w:val="clear" w:color="auto" w:fill="auto"/>
            <w:noWrap/>
            <w:vAlign w:val="bottom"/>
            <w:hideMark/>
          </w:tcPr>
          <w:p w14:paraId="13BCD695"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Nemčije</w:t>
            </w:r>
          </w:p>
        </w:tc>
        <w:tc>
          <w:tcPr>
            <w:tcW w:w="709" w:type="dxa"/>
            <w:shd w:val="clear" w:color="auto" w:fill="auto"/>
            <w:noWrap/>
            <w:vAlign w:val="bottom"/>
            <w:hideMark/>
          </w:tcPr>
          <w:p w14:paraId="4E80CA66"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117</w:t>
            </w:r>
          </w:p>
        </w:tc>
      </w:tr>
      <w:tr w:rsidR="00BD47E0" w:rsidRPr="00A335CB" w14:paraId="380CD6DB" w14:textId="77777777" w:rsidTr="00653B9D">
        <w:trPr>
          <w:trHeight w:val="300"/>
        </w:trPr>
        <w:tc>
          <w:tcPr>
            <w:tcW w:w="2263" w:type="dxa"/>
            <w:shd w:val="clear" w:color="auto" w:fill="auto"/>
            <w:noWrap/>
            <w:vAlign w:val="bottom"/>
            <w:hideMark/>
          </w:tcPr>
          <w:p w14:paraId="12129B94"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Grčije</w:t>
            </w:r>
          </w:p>
        </w:tc>
        <w:tc>
          <w:tcPr>
            <w:tcW w:w="709" w:type="dxa"/>
            <w:shd w:val="clear" w:color="auto" w:fill="auto"/>
            <w:noWrap/>
            <w:vAlign w:val="bottom"/>
            <w:hideMark/>
          </w:tcPr>
          <w:p w14:paraId="6EE73C9A"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3</w:t>
            </w:r>
          </w:p>
        </w:tc>
      </w:tr>
      <w:tr w:rsidR="00BD47E0" w:rsidRPr="00A335CB" w14:paraId="5A2CDD17" w14:textId="77777777" w:rsidTr="00653B9D">
        <w:trPr>
          <w:trHeight w:val="300"/>
        </w:trPr>
        <w:tc>
          <w:tcPr>
            <w:tcW w:w="2263" w:type="dxa"/>
            <w:shd w:val="clear" w:color="auto" w:fill="auto"/>
            <w:noWrap/>
            <w:vAlign w:val="bottom"/>
            <w:hideMark/>
          </w:tcPr>
          <w:p w14:paraId="5F9B7396"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Madžarske</w:t>
            </w:r>
          </w:p>
        </w:tc>
        <w:tc>
          <w:tcPr>
            <w:tcW w:w="709" w:type="dxa"/>
            <w:shd w:val="clear" w:color="auto" w:fill="auto"/>
            <w:noWrap/>
            <w:vAlign w:val="bottom"/>
            <w:hideMark/>
          </w:tcPr>
          <w:p w14:paraId="69AE2E23"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35</w:t>
            </w:r>
          </w:p>
        </w:tc>
      </w:tr>
      <w:tr w:rsidR="00BD47E0" w:rsidRPr="00A335CB" w14:paraId="014AFBB7" w14:textId="77777777" w:rsidTr="00653B9D">
        <w:trPr>
          <w:trHeight w:val="300"/>
        </w:trPr>
        <w:tc>
          <w:tcPr>
            <w:tcW w:w="2263" w:type="dxa"/>
            <w:shd w:val="clear" w:color="auto" w:fill="auto"/>
            <w:noWrap/>
            <w:vAlign w:val="bottom"/>
            <w:hideMark/>
          </w:tcPr>
          <w:p w14:paraId="062A962C"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Irske</w:t>
            </w:r>
          </w:p>
        </w:tc>
        <w:tc>
          <w:tcPr>
            <w:tcW w:w="709" w:type="dxa"/>
            <w:shd w:val="clear" w:color="auto" w:fill="auto"/>
            <w:noWrap/>
            <w:vAlign w:val="bottom"/>
            <w:hideMark/>
          </w:tcPr>
          <w:p w14:paraId="2ACFCF28"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8</w:t>
            </w:r>
          </w:p>
        </w:tc>
      </w:tr>
      <w:tr w:rsidR="00BD47E0" w:rsidRPr="00A335CB" w14:paraId="1F863D95" w14:textId="77777777" w:rsidTr="00653B9D">
        <w:trPr>
          <w:trHeight w:val="300"/>
        </w:trPr>
        <w:tc>
          <w:tcPr>
            <w:tcW w:w="2263" w:type="dxa"/>
            <w:shd w:val="clear" w:color="auto" w:fill="auto"/>
            <w:noWrap/>
            <w:vAlign w:val="bottom"/>
            <w:hideMark/>
          </w:tcPr>
          <w:p w14:paraId="34A74837"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Italije</w:t>
            </w:r>
          </w:p>
        </w:tc>
        <w:tc>
          <w:tcPr>
            <w:tcW w:w="709" w:type="dxa"/>
            <w:shd w:val="clear" w:color="auto" w:fill="auto"/>
            <w:noWrap/>
            <w:vAlign w:val="bottom"/>
            <w:hideMark/>
          </w:tcPr>
          <w:p w14:paraId="108A2A52"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145</w:t>
            </w:r>
          </w:p>
        </w:tc>
      </w:tr>
      <w:tr w:rsidR="00BD47E0" w:rsidRPr="00A335CB" w14:paraId="20108B7B" w14:textId="77777777" w:rsidTr="00653B9D">
        <w:trPr>
          <w:trHeight w:val="300"/>
        </w:trPr>
        <w:tc>
          <w:tcPr>
            <w:tcW w:w="2263" w:type="dxa"/>
            <w:shd w:val="clear" w:color="auto" w:fill="auto"/>
            <w:noWrap/>
            <w:vAlign w:val="bottom"/>
            <w:hideMark/>
          </w:tcPr>
          <w:p w14:paraId="7BF53848"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Latvije</w:t>
            </w:r>
          </w:p>
        </w:tc>
        <w:tc>
          <w:tcPr>
            <w:tcW w:w="709" w:type="dxa"/>
            <w:shd w:val="clear" w:color="auto" w:fill="auto"/>
            <w:noWrap/>
            <w:vAlign w:val="bottom"/>
            <w:hideMark/>
          </w:tcPr>
          <w:p w14:paraId="097D1EBA"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2</w:t>
            </w:r>
          </w:p>
        </w:tc>
      </w:tr>
      <w:tr w:rsidR="00BD47E0" w:rsidRPr="00A335CB" w14:paraId="554A0AB7" w14:textId="77777777" w:rsidTr="00653B9D">
        <w:trPr>
          <w:trHeight w:val="300"/>
        </w:trPr>
        <w:tc>
          <w:tcPr>
            <w:tcW w:w="2263" w:type="dxa"/>
            <w:shd w:val="clear" w:color="auto" w:fill="auto"/>
            <w:noWrap/>
            <w:vAlign w:val="bottom"/>
            <w:hideMark/>
          </w:tcPr>
          <w:p w14:paraId="35C3B338"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Litve</w:t>
            </w:r>
          </w:p>
        </w:tc>
        <w:tc>
          <w:tcPr>
            <w:tcW w:w="709" w:type="dxa"/>
            <w:shd w:val="clear" w:color="auto" w:fill="auto"/>
            <w:noWrap/>
            <w:vAlign w:val="bottom"/>
            <w:hideMark/>
          </w:tcPr>
          <w:p w14:paraId="2FBF3466"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5</w:t>
            </w:r>
          </w:p>
        </w:tc>
      </w:tr>
      <w:tr w:rsidR="00BD47E0" w:rsidRPr="00A335CB" w14:paraId="68F54069" w14:textId="77777777" w:rsidTr="00653B9D">
        <w:trPr>
          <w:trHeight w:val="300"/>
        </w:trPr>
        <w:tc>
          <w:tcPr>
            <w:tcW w:w="2263" w:type="dxa"/>
            <w:shd w:val="clear" w:color="auto" w:fill="auto"/>
            <w:noWrap/>
            <w:vAlign w:val="bottom"/>
            <w:hideMark/>
          </w:tcPr>
          <w:p w14:paraId="1489EA45"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Malte</w:t>
            </w:r>
          </w:p>
        </w:tc>
        <w:tc>
          <w:tcPr>
            <w:tcW w:w="709" w:type="dxa"/>
            <w:shd w:val="clear" w:color="auto" w:fill="auto"/>
            <w:noWrap/>
            <w:vAlign w:val="bottom"/>
            <w:hideMark/>
          </w:tcPr>
          <w:p w14:paraId="09ED201A"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r>
      <w:tr w:rsidR="00BD47E0" w:rsidRPr="00A335CB" w14:paraId="3BC30C7D" w14:textId="77777777" w:rsidTr="00653B9D">
        <w:trPr>
          <w:trHeight w:val="300"/>
        </w:trPr>
        <w:tc>
          <w:tcPr>
            <w:tcW w:w="2263" w:type="dxa"/>
            <w:shd w:val="clear" w:color="auto" w:fill="auto"/>
            <w:noWrap/>
            <w:vAlign w:val="bottom"/>
            <w:hideMark/>
          </w:tcPr>
          <w:p w14:paraId="23B4FA7A"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Nizozemske</w:t>
            </w:r>
          </w:p>
        </w:tc>
        <w:tc>
          <w:tcPr>
            <w:tcW w:w="709" w:type="dxa"/>
            <w:shd w:val="clear" w:color="auto" w:fill="auto"/>
            <w:noWrap/>
            <w:vAlign w:val="bottom"/>
            <w:hideMark/>
          </w:tcPr>
          <w:p w14:paraId="70F9D73C"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21</w:t>
            </w:r>
          </w:p>
        </w:tc>
      </w:tr>
      <w:tr w:rsidR="00BD47E0" w:rsidRPr="00A335CB" w14:paraId="60BC66BD" w14:textId="77777777" w:rsidTr="00653B9D">
        <w:trPr>
          <w:trHeight w:val="300"/>
        </w:trPr>
        <w:tc>
          <w:tcPr>
            <w:tcW w:w="2263" w:type="dxa"/>
            <w:shd w:val="clear" w:color="auto" w:fill="auto"/>
            <w:noWrap/>
            <w:vAlign w:val="bottom"/>
            <w:hideMark/>
          </w:tcPr>
          <w:p w14:paraId="44C2DC45"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Poljske</w:t>
            </w:r>
          </w:p>
        </w:tc>
        <w:tc>
          <w:tcPr>
            <w:tcW w:w="709" w:type="dxa"/>
            <w:shd w:val="clear" w:color="auto" w:fill="auto"/>
            <w:noWrap/>
            <w:vAlign w:val="bottom"/>
            <w:hideMark/>
          </w:tcPr>
          <w:p w14:paraId="02891A23"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17</w:t>
            </w:r>
          </w:p>
        </w:tc>
      </w:tr>
      <w:tr w:rsidR="00BD47E0" w:rsidRPr="00A335CB" w14:paraId="3C1997C0" w14:textId="77777777" w:rsidTr="00653B9D">
        <w:trPr>
          <w:trHeight w:val="300"/>
        </w:trPr>
        <w:tc>
          <w:tcPr>
            <w:tcW w:w="2263" w:type="dxa"/>
            <w:shd w:val="clear" w:color="auto" w:fill="auto"/>
            <w:noWrap/>
            <w:vAlign w:val="bottom"/>
            <w:hideMark/>
          </w:tcPr>
          <w:p w14:paraId="36BE3914"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Portugalske</w:t>
            </w:r>
          </w:p>
        </w:tc>
        <w:tc>
          <w:tcPr>
            <w:tcW w:w="709" w:type="dxa"/>
            <w:shd w:val="clear" w:color="auto" w:fill="auto"/>
            <w:noWrap/>
            <w:vAlign w:val="bottom"/>
            <w:hideMark/>
          </w:tcPr>
          <w:p w14:paraId="3AA08BA2"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11</w:t>
            </w:r>
          </w:p>
        </w:tc>
      </w:tr>
      <w:tr w:rsidR="00BD47E0" w:rsidRPr="00A335CB" w14:paraId="14B96C91" w14:textId="77777777" w:rsidTr="00653B9D">
        <w:trPr>
          <w:trHeight w:val="300"/>
        </w:trPr>
        <w:tc>
          <w:tcPr>
            <w:tcW w:w="2263" w:type="dxa"/>
            <w:shd w:val="clear" w:color="auto" w:fill="auto"/>
            <w:noWrap/>
            <w:vAlign w:val="bottom"/>
            <w:hideMark/>
          </w:tcPr>
          <w:p w14:paraId="3CDF68AF"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Romunije</w:t>
            </w:r>
          </w:p>
        </w:tc>
        <w:tc>
          <w:tcPr>
            <w:tcW w:w="709" w:type="dxa"/>
            <w:shd w:val="clear" w:color="auto" w:fill="auto"/>
            <w:noWrap/>
            <w:vAlign w:val="bottom"/>
            <w:hideMark/>
          </w:tcPr>
          <w:p w14:paraId="61BFC36F"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27</w:t>
            </w:r>
          </w:p>
        </w:tc>
      </w:tr>
      <w:tr w:rsidR="00BD47E0" w:rsidRPr="00A335CB" w14:paraId="6870E028" w14:textId="77777777" w:rsidTr="00653B9D">
        <w:trPr>
          <w:trHeight w:val="300"/>
        </w:trPr>
        <w:tc>
          <w:tcPr>
            <w:tcW w:w="2263" w:type="dxa"/>
            <w:shd w:val="clear" w:color="auto" w:fill="auto"/>
            <w:noWrap/>
            <w:vAlign w:val="bottom"/>
            <w:hideMark/>
          </w:tcPr>
          <w:p w14:paraId="2886B817"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Slovaške</w:t>
            </w:r>
          </w:p>
        </w:tc>
        <w:tc>
          <w:tcPr>
            <w:tcW w:w="709" w:type="dxa"/>
            <w:shd w:val="clear" w:color="auto" w:fill="auto"/>
            <w:noWrap/>
            <w:vAlign w:val="bottom"/>
            <w:hideMark/>
          </w:tcPr>
          <w:p w14:paraId="535113C9"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15</w:t>
            </w:r>
          </w:p>
        </w:tc>
      </w:tr>
      <w:tr w:rsidR="00BD47E0" w:rsidRPr="00A335CB" w14:paraId="6ECABBB5" w14:textId="77777777" w:rsidTr="00653B9D">
        <w:trPr>
          <w:trHeight w:val="300"/>
        </w:trPr>
        <w:tc>
          <w:tcPr>
            <w:tcW w:w="2263" w:type="dxa"/>
            <w:shd w:val="clear" w:color="auto" w:fill="auto"/>
            <w:noWrap/>
            <w:vAlign w:val="bottom"/>
            <w:hideMark/>
          </w:tcPr>
          <w:p w14:paraId="4D544C13"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Španije</w:t>
            </w:r>
          </w:p>
        </w:tc>
        <w:tc>
          <w:tcPr>
            <w:tcW w:w="709" w:type="dxa"/>
            <w:shd w:val="clear" w:color="auto" w:fill="auto"/>
            <w:noWrap/>
            <w:vAlign w:val="bottom"/>
            <w:hideMark/>
          </w:tcPr>
          <w:p w14:paraId="35F7642C"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18</w:t>
            </w:r>
          </w:p>
        </w:tc>
      </w:tr>
      <w:tr w:rsidR="00BD47E0" w:rsidRPr="00A335CB" w14:paraId="1E5D854C" w14:textId="77777777" w:rsidTr="00653B9D">
        <w:trPr>
          <w:trHeight w:val="300"/>
        </w:trPr>
        <w:tc>
          <w:tcPr>
            <w:tcW w:w="2263" w:type="dxa"/>
            <w:shd w:val="clear" w:color="auto" w:fill="auto"/>
            <w:noWrap/>
            <w:vAlign w:val="bottom"/>
            <w:hideMark/>
          </w:tcPr>
          <w:p w14:paraId="728FF2C8"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Švedske</w:t>
            </w:r>
          </w:p>
        </w:tc>
        <w:tc>
          <w:tcPr>
            <w:tcW w:w="709" w:type="dxa"/>
            <w:shd w:val="clear" w:color="auto" w:fill="auto"/>
            <w:noWrap/>
            <w:vAlign w:val="bottom"/>
            <w:hideMark/>
          </w:tcPr>
          <w:p w14:paraId="1761CF61" w14:textId="77777777" w:rsidR="00653B9D" w:rsidRPr="00A335CB" w:rsidRDefault="00653B9D" w:rsidP="005D1A90">
            <w:pPr>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lang w:eastAsia="sl-SI"/>
              </w:rPr>
              <w:t>6</w:t>
            </w:r>
          </w:p>
        </w:tc>
      </w:tr>
      <w:tr w:rsidR="00653B9D" w:rsidRPr="00A335CB" w14:paraId="4AF69C92" w14:textId="77777777" w:rsidTr="00653B9D">
        <w:trPr>
          <w:trHeight w:val="300"/>
        </w:trPr>
        <w:tc>
          <w:tcPr>
            <w:tcW w:w="2263" w:type="dxa"/>
            <w:shd w:val="clear" w:color="auto" w:fill="auto"/>
            <w:noWrap/>
            <w:vAlign w:val="bottom"/>
            <w:hideMark/>
          </w:tcPr>
          <w:p w14:paraId="04CF6BE9" w14:textId="77777777" w:rsidR="00653B9D" w:rsidRPr="00A335CB" w:rsidRDefault="00653B9D" w:rsidP="005D1A90">
            <w:pPr>
              <w:spacing w:after="0" w:line="276" w:lineRule="auto"/>
              <w:jc w:val="both"/>
              <w:rPr>
                <w:rFonts w:ascii="Arial" w:eastAsia="Times New Roman" w:hAnsi="Arial" w:cs="Arial"/>
                <w:bCs/>
                <w:sz w:val="20"/>
                <w:szCs w:val="20"/>
                <w:lang w:eastAsia="sl-SI"/>
              </w:rPr>
            </w:pPr>
            <w:r w:rsidRPr="00A335CB">
              <w:rPr>
                <w:rFonts w:ascii="Arial" w:eastAsia="Times New Roman" w:hAnsi="Arial" w:cs="Arial"/>
                <w:bCs/>
                <w:sz w:val="20"/>
                <w:szCs w:val="20"/>
                <w:lang w:eastAsia="sl-SI"/>
              </w:rPr>
              <w:t>SKUPAJ</w:t>
            </w:r>
          </w:p>
        </w:tc>
        <w:tc>
          <w:tcPr>
            <w:tcW w:w="709" w:type="dxa"/>
            <w:shd w:val="clear" w:color="auto" w:fill="auto"/>
            <w:noWrap/>
            <w:vAlign w:val="bottom"/>
            <w:hideMark/>
          </w:tcPr>
          <w:p w14:paraId="246B7F12" w14:textId="77777777" w:rsidR="00653B9D" w:rsidRPr="00A335CB" w:rsidRDefault="00653B9D" w:rsidP="005D1A90">
            <w:pPr>
              <w:spacing w:after="0" w:line="276" w:lineRule="auto"/>
              <w:jc w:val="both"/>
              <w:rPr>
                <w:rFonts w:ascii="Arial" w:eastAsia="Times New Roman" w:hAnsi="Arial" w:cs="Arial"/>
                <w:bCs/>
                <w:sz w:val="20"/>
                <w:szCs w:val="20"/>
                <w:lang w:eastAsia="sl-SI"/>
              </w:rPr>
            </w:pPr>
            <w:r w:rsidRPr="00A335CB">
              <w:rPr>
                <w:rFonts w:ascii="Arial" w:eastAsia="Times New Roman" w:hAnsi="Arial" w:cs="Arial"/>
                <w:bCs/>
                <w:sz w:val="20"/>
                <w:szCs w:val="20"/>
                <w:lang w:eastAsia="sl-SI"/>
              </w:rPr>
              <w:t>1.151</w:t>
            </w:r>
          </w:p>
        </w:tc>
      </w:tr>
    </w:tbl>
    <w:p w14:paraId="28121365" w14:textId="6B3A32E8" w:rsidR="00090839" w:rsidRPr="00A335CB" w:rsidRDefault="00090839" w:rsidP="005D1A90">
      <w:pPr>
        <w:spacing w:after="0" w:line="276" w:lineRule="auto"/>
        <w:jc w:val="both"/>
        <w:rPr>
          <w:rFonts w:ascii="Arial" w:hAnsi="Arial" w:cs="Arial"/>
          <w:sz w:val="20"/>
          <w:szCs w:val="20"/>
        </w:rPr>
      </w:pPr>
      <w:r w:rsidRPr="00A335CB">
        <w:rPr>
          <w:rFonts w:ascii="Arial" w:hAnsi="Arial" w:cs="Arial"/>
          <w:b/>
          <w:bCs/>
          <w:iCs/>
          <w:sz w:val="20"/>
          <w:szCs w:val="20"/>
          <w:lang w:eastAsia="sl-SI"/>
        </w:rPr>
        <w:t>Preglednica:</w:t>
      </w:r>
      <w:r w:rsidRPr="00A335CB">
        <w:rPr>
          <w:rFonts w:ascii="Arial" w:hAnsi="Arial" w:cs="Arial"/>
          <w:bCs/>
          <w:iCs/>
          <w:sz w:val="20"/>
          <w:szCs w:val="20"/>
          <w:lang w:eastAsia="sl-SI"/>
        </w:rPr>
        <w:t xml:space="preserve"> </w:t>
      </w:r>
      <w:r w:rsidRPr="00A335CB">
        <w:rPr>
          <w:rFonts w:ascii="Arial" w:hAnsi="Arial" w:cs="Arial"/>
          <w:sz w:val="20"/>
          <w:szCs w:val="20"/>
        </w:rPr>
        <w:t>Podatki po državljanstvih</w:t>
      </w:r>
    </w:p>
    <w:p w14:paraId="7B047711" w14:textId="77777777" w:rsidR="00090839" w:rsidRPr="00A335CB" w:rsidRDefault="00090839" w:rsidP="005D1A90">
      <w:pPr>
        <w:spacing w:after="0" w:line="276" w:lineRule="auto"/>
        <w:jc w:val="both"/>
        <w:rPr>
          <w:rFonts w:ascii="Arial" w:hAnsi="Arial" w:cs="Arial"/>
          <w:sz w:val="20"/>
          <w:szCs w:val="20"/>
        </w:rPr>
      </w:pPr>
    </w:p>
    <w:p w14:paraId="70540A7A" w14:textId="455578B4"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3.793 državljanov Republike Slovenije je imelo izbris volilne pravice za volitve v Evropski parlament v Republiki Sloveniji, ker so se na teh ali že na enih od preteklih volitev odločili za glasovanje v drugi državi članici. </w:t>
      </w:r>
    </w:p>
    <w:p w14:paraId="6322CDC0" w14:textId="77777777" w:rsidR="00653B9D" w:rsidRPr="00A335CB" w:rsidRDefault="00653B9D" w:rsidP="005D1A90">
      <w:pPr>
        <w:spacing w:after="0" w:line="276" w:lineRule="auto"/>
        <w:jc w:val="both"/>
        <w:rPr>
          <w:rFonts w:ascii="Arial" w:hAnsi="Arial" w:cs="Arial"/>
          <w:sz w:val="20"/>
          <w:szCs w:val="20"/>
        </w:rPr>
      </w:pPr>
    </w:p>
    <w:p w14:paraId="493C1A16" w14:textId="39BE8C9C" w:rsidR="00653B9D" w:rsidRPr="00A335CB" w:rsidRDefault="00D35A27" w:rsidP="005D1A90">
      <w:pPr>
        <w:spacing w:after="0" w:line="276" w:lineRule="auto"/>
        <w:jc w:val="both"/>
        <w:rPr>
          <w:rFonts w:ascii="Arial" w:hAnsi="Arial" w:cs="Arial"/>
          <w:sz w:val="20"/>
          <w:szCs w:val="20"/>
        </w:rPr>
      </w:pPr>
      <w:r w:rsidRPr="00A335CB">
        <w:rPr>
          <w:rFonts w:ascii="Arial" w:hAnsi="Arial" w:cs="Arial"/>
          <w:sz w:val="20"/>
          <w:szCs w:val="20"/>
        </w:rPr>
        <w:t>MNZ</w:t>
      </w:r>
      <w:r w:rsidR="00653B9D" w:rsidRPr="00A335CB">
        <w:rPr>
          <w:rFonts w:ascii="Arial" w:hAnsi="Arial" w:cs="Arial"/>
          <w:sz w:val="20"/>
          <w:szCs w:val="20"/>
        </w:rPr>
        <w:t xml:space="preserve"> je z namenom preprečevanja dvojnega glasovanja podatke o volivcih preverjalo in izmenjevalo s kontaktnimi organi drugih držav članic. </w:t>
      </w:r>
    </w:p>
    <w:p w14:paraId="21C1A7F1" w14:textId="77777777" w:rsidR="00653B9D" w:rsidRPr="00A335CB" w:rsidRDefault="00653B9D" w:rsidP="005D1A90">
      <w:pPr>
        <w:spacing w:after="0" w:line="276" w:lineRule="auto"/>
        <w:jc w:val="both"/>
        <w:rPr>
          <w:rFonts w:ascii="Arial" w:hAnsi="Arial" w:cs="Arial"/>
          <w:sz w:val="20"/>
          <w:szCs w:val="20"/>
        </w:rPr>
      </w:pPr>
    </w:p>
    <w:p w14:paraId="1D549C40" w14:textId="2E50939C" w:rsidR="00653B9D" w:rsidRPr="00A335CB" w:rsidRDefault="00D35A27" w:rsidP="005D1A90">
      <w:pPr>
        <w:spacing w:after="0" w:line="276" w:lineRule="auto"/>
        <w:jc w:val="both"/>
        <w:rPr>
          <w:rFonts w:ascii="Arial" w:hAnsi="Arial" w:cs="Arial"/>
          <w:sz w:val="20"/>
          <w:szCs w:val="20"/>
        </w:rPr>
      </w:pPr>
      <w:r w:rsidRPr="00A335CB">
        <w:rPr>
          <w:rFonts w:ascii="Arial" w:hAnsi="Arial" w:cs="Arial"/>
          <w:sz w:val="20"/>
          <w:szCs w:val="20"/>
        </w:rPr>
        <w:t>MNZ</w:t>
      </w:r>
      <w:r w:rsidR="00653B9D" w:rsidRPr="00A335CB">
        <w:rPr>
          <w:rFonts w:ascii="Arial" w:hAnsi="Arial" w:cs="Arial"/>
          <w:sz w:val="20"/>
          <w:szCs w:val="20"/>
        </w:rPr>
        <w:t xml:space="preserve"> je pristojno za tisk volilnih kart za vse volivce, ki stalno prebivajo v tujini. </w:t>
      </w:r>
      <w:r w:rsidRPr="00A335CB">
        <w:rPr>
          <w:rFonts w:ascii="Arial" w:hAnsi="Arial" w:cs="Arial"/>
          <w:sz w:val="20"/>
          <w:szCs w:val="20"/>
        </w:rPr>
        <w:t>MNZ je 26.</w:t>
      </w:r>
      <w:r w:rsidR="001D2776">
        <w:rPr>
          <w:rFonts w:ascii="Arial" w:hAnsi="Arial" w:cs="Arial"/>
          <w:sz w:val="20"/>
          <w:szCs w:val="20"/>
        </w:rPr>
        <w:t> </w:t>
      </w:r>
      <w:r w:rsidRPr="00A335CB">
        <w:rPr>
          <w:rFonts w:ascii="Arial" w:hAnsi="Arial" w:cs="Arial"/>
          <w:sz w:val="20"/>
          <w:szCs w:val="20"/>
        </w:rPr>
        <w:t>3.</w:t>
      </w:r>
      <w:r w:rsidR="001D2776">
        <w:rPr>
          <w:rFonts w:ascii="Arial" w:hAnsi="Arial" w:cs="Arial"/>
          <w:sz w:val="20"/>
          <w:szCs w:val="20"/>
        </w:rPr>
        <w:t> </w:t>
      </w:r>
      <w:r w:rsidRPr="00A335CB">
        <w:rPr>
          <w:rFonts w:ascii="Arial" w:hAnsi="Arial" w:cs="Arial"/>
          <w:sz w:val="20"/>
          <w:szCs w:val="20"/>
        </w:rPr>
        <w:t>2024 zagotovilo</w:t>
      </w:r>
      <w:r w:rsidR="00653B9D" w:rsidRPr="00A335CB">
        <w:rPr>
          <w:rFonts w:ascii="Arial" w:hAnsi="Arial" w:cs="Arial"/>
          <w:sz w:val="20"/>
          <w:szCs w:val="20"/>
        </w:rPr>
        <w:t xml:space="preserve"> izdajo </w:t>
      </w:r>
      <w:r w:rsidR="001D2776">
        <w:rPr>
          <w:rFonts w:ascii="Arial" w:hAnsi="Arial" w:cs="Arial"/>
          <w:sz w:val="20"/>
          <w:szCs w:val="20"/>
        </w:rPr>
        <w:t>–</w:t>
      </w:r>
      <w:r w:rsidR="001D2776" w:rsidRPr="00A335CB">
        <w:rPr>
          <w:rFonts w:ascii="Arial" w:hAnsi="Arial" w:cs="Arial"/>
          <w:sz w:val="20"/>
          <w:szCs w:val="20"/>
        </w:rPr>
        <w:t xml:space="preserve"> </w:t>
      </w:r>
      <w:r w:rsidR="00653B9D" w:rsidRPr="00A335CB">
        <w:rPr>
          <w:rFonts w:ascii="Arial" w:hAnsi="Arial" w:cs="Arial"/>
          <w:sz w:val="20"/>
          <w:szCs w:val="20"/>
        </w:rPr>
        <w:t xml:space="preserve">tisk 106.547 volilnih kart za glasovanje po pošti iz tujine. </w:t>
      </w:r>
    </w:p>
    <w:p w14:paraId="51FAF29B" w14:textId="77777777" w:rsidR="00653B9D" w:rsidRPr="00A335CB" w:rsidRDefault="00653B9D" w:rsidP="005D1A90">
      <w:pPr>
        <w:spacing w:after="0" w:line="276" w:lineRule="auto"/>
        <w:jc w:val="both"/>
        <w:rPr>
          <w:rFonts w:ascii="Arial" w:hAnsi="Arial" w:cs="Arial"/>
          <w:sz w:val="20"/>
          <w:szCs w:val="20"/>
        </w:rPr>
      </w:pPr>
    </w:p>
    <w:p w14:paraId="2339F65B" w14:textId="643B9C7D" w:rsidR="00653B9D" w:rsidRPr="00A335CB" w:rsidRDefault="00D35A27" w:rsidP="005D1A90">
      <w:pPr>
        <w:spacing w:after="0" w:line="276" w:lineRule="auto"/>
        <w:jc w:val="both"/>
        <w:rPr>
          <w:rFonts w:ascii="Arial" w:hAnsi="Arial" w:cs="Arial"/>
          <w:sz w:val="20"/>
          <w:szCs w:val="20"/>
        </w:rPr>
      </w:pPr>
      <w:r w:rsidRPr="00A335CB">
        <w:rPr>
          <w:rFonts w:ascii="Arial" w:hAnsi="Arial" w:cs="Arial"/>
          <w:sz w:val="20"/>
          <w:szCs w:val="20"/>
        </w:rPr>
        <w:t>MNZ</w:t>
      </w:r>
      <w:r w:rsidR="00653B9D" w:rsidRPr="00A335CB">
        <w:rPr>
          <w:rFonts w:ascii="Arial" w:hAnsi="Arial" w:cs="Arial"/>
          <w:sz w:val="20"/>
          <w:szCs w:val="20"/>
        </w:rPr>
        <w:t xml:space="preserve"> je zagotovilo elektronsko razgrnitev volilnih imenikov, ki je namenjena pregledu pravilnosti podatkov</w:t>
      </w:r>
      <w:r w:rsidR="001D2776">
        <w:rPr>
          <w:rFonts w:ascii="Arial" w:hAnsi="Arial" w:cs="Arial"/>
          <w:sz w:val="20"/>
          <w:szCs w:val="20"/>
        </w:rPr>
        <w:t>,</w:t>
      </w:r>
      <w:r w:rsidR="00653B9D" w:rsidRPr="00A335CB">
        <w:rPr>
          <w:rFonts w:ascii="Arial" w:hAnsi="Arial" w:cs="Arial"/>
          <w:sz w:val="20"/>
          <w:szCs w:val="20"/>
        </w:rPr>
        <w:t xml:space="preserve"> in </w:t>
      </w:r>
      <w:r w:rsidR="005E0375">
        <w:rPr>
          <w:rFonts w:ascii="Arial" w:hAnsi="Arial" w:cs="Arial"/>
          <w:sz w:val="20"/>
          <w:szCs w:val="20"/>
        </w:rPr>
        <w:t>pozneje</w:t>
      </w:r>
      <w:r w:rsidR="005E0375" w:rsidRPr="00A335CB">
        <w:rPr>
          <w:rFonts w:ascii="Arial" w:hAnsi="Arial" w:cs="Arial"/>
          <w:sz w:val="20"/>
          <w:szCs w:val="20"/>
        </w:rPr>
        <w:t xml:space="preserve"> </w:t>
      </w:r>
      <w:r w:rsidR="00653B9D" w:rsidRPr="00A335CB">
        <w:rPr>
          <w:rFonts w:ascii="Arial" w:hAnsi="Arial" w:cs="Arial"/>
          <w:sz w:val="20"/>
          <w:szCs w:val="20"/>
        </w:rPr>
        <w:t>tudi pripravo in tisk volilnih imenikov, ki se upo</w:t>
      </w:r>
      <w:r w:rsidRPr="00A335CB">
        <w:rPr>
          <w:rFonts w:ascii="Arial" w:hAnsi="Arial" w:cs="Arial"/>
          <w:sz w:val="20"/>
          <w:szCs w:val="20"/>
        </w:rPr>
        <w:t>rabljajo na voliščih. Zagotovilo je</w:t>
      </w:r>
      <w:r w:rsidR="00653B9D" w:rsidRPr="00A335CB">
        <w:rPr>
          <w:rFonts w:ascii="Arial" w:hAnsi="Arial" w:cs="Arial"/>
          <w:sz w:val="20"/>
          <w:szCs w:val="20"/>
        </w:rPr>
        <w:t xml:space="preserve"> podatke za tisk obvestil, ki jih volivcem pošilja Državna volilna komisija. </w:t>
      </w:r>
    </w:p>
    <w:p w14:paraId="01ACD6EE" w14:textId="77777777" w:rsidR="00653B9D" w:rsidRPr="00A335CB" w:rsidRDefault="00653B9D" w:rsidP="005D1A90">
      <w:pPr>
        <w:spacing w:after="0" w:line="276" w:lineRule="auto"/>
        <w:jc w:val="both"/>
        <w:rPr>
          <w:rFonts w:ascii="Arial" w:hAnsi="Arial" w:cs="Arial"/>
          <w:sz w:val="20"/>
          <w:szCs w:val="20"/>
        </w:rPr>
      </w:pPr>
    </w:p>
    <w:p w14:paraId="5EBE2214" w14:textId="2C4D3C72"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Splošne volilne imenike </w:t>
      </w:r>
      <w:r w:rsidR="00D35A27" w:rsidRPr="00A335CB">
        <w:rPr>
          <w:rFonts w:ascii="Arial" w:hAnsi="Arial" w:cs="Arial"/>
          <w:sz w:val="20"/>
          <w:szCs w:val="20"/>
        </w:rPr>
        <w:t>je MNZ po pregledu predalo</w:t>
      </w:r>
      <w:r w:rsidRPr="00A335CB">
        <w:rPr>
          <w:rFonts w:ascii="Arial" w:hAnsi="Arial" w:cs="Arial"/>
          <w:sz w:val="20"/>
          <w:szCs w:val="20"/>
        </w:rPr>
        <w:t xml:space="preserve"> upravnim enotam, posebne volilne imenike, ki so namen</w:t>
      </w:r>
      <w:r w:rsidR="00D35A27" w:rsidRPr="00A335CB">
        <w:rPr>
          <w:rFonts w:ascii="Arial" w:hAnsi="Arial" w:cs="Arial"/>
          <w:sz w:val="20"/>
          <w:szCs w:val="20"/>
        </w:rPr>
        <w:t>jeni glasovanju v tujini, pa je MNZ zaključilo samo ter jih predalo</w:t>
      </w:r>
      <w:r w:rsidRPr="00A335CB">
        <w:rPr>
          <w:rFonts w:ascii="Arial" w:hAnsi="Arial" w:cs="Arial"/>
          <w:sz w:val="20"/>
          <w:szCs w:val="20"/>
        </w:rPr>
        <w:t xml:space="preserve"> Ministrstvu za zunanje in evropske zadeve, v delih pa okrajnim volilnim komisijam. </w:t>
      </w:r>
    </w:p>
    <w:p w14:paraId="3F2E4D42" w14:textId="77777777" w:rsidR="00653B9D" w:rsidRPr="00A335CB" w:rsidRDefault="00653B9D" w:rsidP="005D1A90">
      <w:pPr>
        <w:spacing w:after="0" w:line="276" w:lineRule="auto"/>
        <w:jc w:val="both"/>
        <w:rPr>
          <w:rFonts w:ascii="Arial" w:hAnsi="Arial" w:cs="Arial"/>
          <w:sz w:val="20"/>
          <w:szCs w:val="20"/>
        </w:rPr>
      </w:pPr>
    </w:p>
    <w:p w14:paraId="6E56AE59" w14:textId="18B0D2DE"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Ves čas izvajanja volilnih in referendumskih opravil </w:t>
      </w:r>
      <w:r w:rsidR="00D35A27" w:rsidRPr="00A335CB">
        <w:rPr>
          <w:rFonts w:ascii="Arial" w:hAnsi="Arial" w:cs="Arial"/>
          <w:sz w:val="20"/>
          <w:szCs w:val="20"/>
        </w:rPr>
        <w:t>je MNZ zagotavljalo</w:t>
      </w:r>
      <w:r w:rsidRPr="00A335CB">
        <w:rPr>
          <w:rFonts w:ascii="Arial" w:hAnsi="Arial" w:cs="Arial"/>
          <w:sz w:val="20"/>
          <w:szCs w:val="20"/>
        </w:rPr>
        <w:t xml:space="preserve"> informacije za volivce, pomoč upravnim enotam pri potrjevanju podpor kandidatur in izdaji potrdil iz evidence volilne pravice ter pomoč volilnim komisijam pri uporabi evidence volilne pravice. </w:t>
      </w:r>
    </w:p>
    <w:p w14:paraId="0E6B7037" w14:textId="77777777" w:rsidR="00653B9D" w:rsidRPr="00A335CB" w:rsidRDefault="00653B9D" w:rsidP="005D1A90">
      <w:pPr>
        <w:spacing w:after="0" w:line="276" w:lineRule="auto"/>
        <w:jc w:val="both"/>
        <w:rPr>
          <w:rFonts w:ascii="Arial" w:hAnsi="Arial" w:cs="Arial"/>
          <w:sz w:val="20"/>
          <w:szCs w:val="20"/>
        </w:rPr>
      </w:pPr>
    </w:p>
    <w:p w14:paraId="5593A1BF" w14:textId="54E0AE19"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V času dežurstva na dan glasovanja</w:t>
      </w:r>
      <w:r w:rsidR="00D35A27" w:rsidRPr="00A335CB">
        <w:rPr>
          <w:rFonts w:ascii="Arial" w:hAnsi="Arial" w:cs="Arial"/>
          <w:sz w:val="20"/>
          <w:szCs w:val="20"/>
        </w:rPr>
        <w:t xml:space="preserve"> je MNZ izdalo</w:t>
      </w:r>
      <w:r w:rsidRPr="00A335CB">
        <w:rPr>
          <w:rFonts w:ascii="Arial" w:hAnsi="Arial" w:cs="Arial"/>
          <w:sz w:val="20"/>
          <w:szCs w:val="20"/>
        </w:rPr>
        <w:t xml:space="preserve"> tudi 43 potrdil iz evidence volilne pravice, ki so omogočila glasovanja v tujini. </w:t>
      </w:r>
    </w:p>
    <w:p w14:paraId="2B830E51" w14:textId="77777777" w:rsidR="00090839" w:rsidRPr="00A335CB" w:rsidRDefault="00090839" w:rsidP="005D1A90">
      <w:pPr>
        <w:spacing w:after="0" w:line="276" w:lineRule="auto"/>
        <w:jc w:val="both"/>
        <w:rPr>
          <w:rFonts w:ascii="Arial" w:hAnsi="Arial" w:cs="Arial"/>
          <w:sz w:val="20"/>
          <w:szCs w:val="20"/>
        </w:rPr>
      </w:pPr>
    </w:p>
    <w:p w14:paraId="019EFDB1" w14:textId="6A57B5B6" w:rsidR="00653B9D" w:rsidRPr="00A335CB" w:rsidRDefault="00653B9D" w:rsidP="005D1A90">
      <w:pPr>
        <w:pStyle w:val="Naslov3"/>
        <w:spacing w:line="276" w:lineRule="auto"/>
        <w:jc w:val="both"/>
        <w:rPr>
          <w:rFonts w:cs="Arial"/>
          <w:sz w:val="20"/>
          <w:szCs w:val="20"/>
        </w:rPr>
      </w:pPr>
      <w:bookmarkStart w:id="69" w:name="_Toc203552984"/>
      <w:r w:rsidRPr="00A335CB">
        <w:rPr>
          <w:rFonts w:cs="Arial"/>
          <w:sz w:val="20"/>
          <w:szCs w:val="20"/>
        </w:rPr>
        <w:t>Implementacija novele Zakona o centralnem registru prebivalstva</w:t>
      </w:r>
      <w:bookmarkEnd w:id="69"/>
    </w:p>
    <w:p w14:paraId="25E35F1C" w14:textId="77777777" w:rsidR="00EC030E" w:rsidRPr="00A335CB" w:rsidRDefault="00EC030E" w:rsidP="005D1A90">
      <w:pPr>
        <w:spacing w:after="0" w:line="276" w:lineRule="auto"/>
        <w:rPr>
          <w:rFonts w:ascii="Arial" w:hAnsi="Arial" w:cs="Arial"/>
          <w:sz w:val="20"/>
          <w:szCs w:val="20"/>
        </w:rPr>
      </w:pPr>
    </w:p>
    <w:p w14:paraId="45566551" w14:textId="0DB3E8BC" w:rsidR="00653B9D" w:rsidRPr="00A335CB" w:rsidRDefault="00F143EB" w:rsidP="005D1A90">
      <w:pPr>
        <w:spacing w:after="0" w:line="276" w:lineRule="auto"/>
        <w:jc w:val="both"/>
        <w:rPr>
          <w:rFonts w:ascii="Arial" w:hAnsi="Arial" w:cs="Arial"/>
          <w:sz w:val="20"/>
          <w:szCs w:val="20"/>
        </w:rPr>
      </w:pPr>
      <w:r w:rsidRPr="00A335CB">
        <w:rPr>
          <w:rFonts w:ascii="Arial" w:hAnsi="Arial" w:cs="Arial"/>
          <w:bCs/>
          <w:sz w:val="20"/>
          <w:szCs w:val="20"/>
        </w:rPr>
        <w:t>Državni zbor je 2.</w:t>
      </w:r>
      <w:r w:rsidR="001D2776">
        <w:rPr>
          <w:rFonts w:ascii="Arial" w:hAnsi="Arial" w:cs="Arial"/>
          <w:bCs/>
          <w:sz w:val="20"/>
          <w:szCs w:val="20"/>
        </w:rPr>
        <w:t> </w:t>
      </w:r>
      <w:r w:rsidRPr="00A335CB">
        <w:rPr>
          <w:rFonts w:ascii="Arial" w:hAnsi="Arial" w:cs="Arial"/>
          <w:bCs/>
          <w:sz w:val="20"/>
          <w:szCs w:val="20"/>
        </w:rPr>
        <w:t>4.</w:t>
      </w:r>
      <w:r w:rsidR="001D2776">
        <w:rPr>
          <w:rFonts w:ascii="Arial" w:hAnsi="Arial" w:cs="Arial"/>
          <w:bCs/>
          <w:sz w:val="20"/>
          <w:szCs w:val="20"/>
        </w:rPr>
        <w:t> </w:t>
      </w:r>
      <w:r w:rsidRPr="00A335CB">
        <w:rPr>
          <w:rFonts w:ascii="Arial" w:hAnsi="Arial" w:cs="Arial"/>
          <w:bCs/>
          <w:sz w:val="20"/>
          <w:szCs w:val="20"/>
        </w:rPr>
        <w:t>2024</w:t>
      </w:r>
      <w:r w:rsidR="00653B9D" w:rsidRPr="00A335CB">
        <w:rPr>
          <w:rFonts w:ascii="Arial" w:hAnsi="Arial" w:cs="Arial"/>
          <w:bCs/>
          <w:sz w:val="20"/>
          <w:szCs w:val="20"/>
        </w:rPr>
        <w:t xml:space="preserve"> sprejel Zakon o spremembi Zakona o centralnem regi</w:t>
      </w:r>
      <w:r w:rsidR="00A832F2">
        <w:rPr>
          <w:rFonts w:ascii="Arial" w:hAnsi="Arial" w:cs="Arial"/>
          <w:bCs/>
          <w:sz w:val="20"/>
          <w:szCs w:val="20"/>
        </w:rPr>
        <w:t>stru prebivalstva, s katerim je bilo omogočeno</w:t>
      </w:r>
      <w:r w:rsidR="00653B9D" w:rsidRPr="00A335CB">
        <w:rPr>
          <w:rFonts w:ascii="Arial" w:hAnsi="Arial" w:cs="Arial"/>
          <w:bCs/>
          <w:sz w:val="20"/>
          <w:szCs w:val="20"/>
        </w:rPr>
        <w:t xml:space="preserve">, da se na osmem in devetem mestu </w:t>
      </w:r>
      <w:r w:rsidR="003B6824" w:rsidRPr="00A335CB">
        <w:rPr>
          <w:rFonts w:ascii="Arial" w:hAnsi="Arial" w:cs="Arial"/>
          <w:sz w:val="20"/>
          <w:szCs w:val="20"/>
        </w:rPr>
        <w:t xml:space="preserve">enotne matične številke občana (v nadaljnjem besedilu: </w:t>
      </w:r>
      <w:r w:rsidR="00653B9D" w:rsidRPr="00A335CB">
        <w:rPr>
          <w:rFonts w:ascii="Arial" w:hAnsi="Arial" w:cs="Arial"/>
          <w:bCs/>
          <w:sz w:val="20"/>
          <w:szCs w:val="20"/>
        </w:rPr>
        <w:t>EMŠO</w:t>
      </w:r>
      <w:r w:rsidR="003B6824" w:rsidRPr="00A335CB">
        <w:rPr>
          <w:rFonts w:ascii="Arial" w:hAnsi="Arial" w:cs="Arial"/>
          <w:bCs/>
          <w:sz w:val="20"/>
          <w:szCs w:val="20"/>
        </w:rPr>
        <w:t>)</w:t>
      </w:r>
      <w:r w:rsidR="00331614">
        <w:rPr>
          <w:rFonts w:ascii="Arial" w:hAnsi="Arial" w:cs="Arial"/>
          <w:bCs/>
          <w:sz w:val="20"/>
          <w:szCs w:val="20"/>
        </w:rPr>
        <w:t>, ki sta namenjeni</w:t>
      </w:r>
      <w:r w:rsidR="00653B9D" w:rsidRPr="00A335CB">
        <w:rPr>
          <w:rFonts w:ascii="Arial" w:hAnsi="Arial" w:cs="Arial"/>
          <w:bCs/>
          <w:sz w:val="20"/>
          <w:szCs w:val="20"/>
        </w:rPr>
        <w:t xml:space="preserve"> številki registra, poleg številke 50 uporabi</w:t>
      </w:r>
      <w:r w:rsidR="001D2776">
        <w:rPr>
          <w:rFonts w:ascii="Arial" w:hAnsi="Arial" w:cs="Arial"/>
          <w:bCs/>
          <w:sz w:val="20"/>
          <w:szCs w:val="20"/>
        </w:rPr>
        <w:t>jo</w:t>
      </w:r>
      <w:r w:rsidR="00653B9D" w:rsidRPr="00A335CB">
        <w:rPr>
          <w:rFonts w:ascii="Arial" w:hAnsi="Arial" w:cs="Arial"/>
          <w:bCs/>
          <w:sz w:val="20"/>
          <w:szCs w:val="20"/>
        </w:rPr>
        <w:t xml:space="preserve"> tudi druge številke (od 51 do 59) v primerih, ko bi bilo na isti datum rojenih več kot 500 posameznikov istega spola. Novosti na področju določanja EMŠO so bile implementirane do 27.</w:t>
      </w:r>
      <w:r w:rsidR="001D2776">
        <w:rPr>
          <w:rFonts w:ascii="Arial" w:hAnsi="Arial" w:cs="Arial"/>
          <w:bCs/>
          <w:sz w:val="20"/>
          <w:szCs w:val="20"/>
        </w:rPr>
        <w:t> </w:t>
      </w:r>
      <w:r w:rsidR="00653B9D" w:rsidRPr="00A335CB">
        <w:rPr>
          <w:rFonts w:ascii="Arial" w:hAnsi="Arial" w:cs="Arial"/>
          <w:bCs/>
          <w:sz w:val="20"/>
          <w:szCs w:val="20"/>
        </w:rPr>
        <w:t>5.</w:t>
      </w:r>
      <w:r w:rsidR="001D2776">
        <w:rPr>
          <w:rFonts w:ascii="Arial" w:hAnsi="Arial" w:cs="Arial"/>
          <w:bCs/>
          <w:sz w:val="20"/>
          <w:szCs w:val="20"/>
        </w:rPr>
        <w:t> </w:t>
      </w:r>
      <w:r w:rsidR="00653B9D" w:rsidRPr="00A335CB">
        <w:rPr>
          <w:rFonts w:ascii="Arial" w:hAnsi="Arial" w:cs="Arial"/>
          <w:bCs/>
          <w:sz w:val="20"/>
          <w:szCs w:val="20"/>
        </w:rPr>
        <w:t>2024. Spremenjena je bila tudi Uredba o dopolnitvi Uredbe o načinu določanja osebne identifikacijske številke</w:t>
      </w:r>
      <w:r w:rsidR="00653B9D" w:rsidRPr="00A335CB">
        <w:rPr>
          <w:rFonts w:ascii="Arial" w:hAnsi="Arial" w:cs="Arial"/>
          <w:sz w:val="20"/>
          <w:szCs w:val="20"/>
        </w:rPr>
        <w:t>.</w:t>
      </w:r>
    </w:p>
    <w:p w14:paraId="06B6A956" w14:textId="14059A8B" w:rsidR="004107D7" w:rsidRPr="00A335CB" w:rsidRDefault="004107D7" w:rsidP="005D1A90">
      <w:pPr>
        <w:spacing w:after="0" w:line="276" w:lineRule="auto"/>
        <w:jc w:val="both"/>
        <w:rPr>
          <w:rFonts w:ascii="Arial" w:hAnsi="Arial" w:cs="Arial"/>
          <w:sz w:val="20"/>
          <w:szCs w:val="20"/>
        </w:rPr>
      </w:pPr>
    </w:p>
    <w:p w14:paraId="52060A0E" w14:textId="5198D853" w:rsidR="00E2146B" w:rsidRPr="00A335CB" w:rsidRDefault="00653B9D" w:rsidP="005D1A90">
      <w:pPr>
        <w:pStyle w:val="Naslov3"/>
        <w:tabs>
          <w:tab w:val="clear" w:pos="567"/>
          <w:tab w:val="left" w:pos="0"/>
        </w:tabs>
        <w:spacing w:line="276" w:lineRule="auto"/>
        <w:ind w:left="0" w:firstLine="0"/>
        <w:jc w:val="both"/>
        <w:rPr>
          <w:rFonts w:cs="Arial"/>
          <w:sz w:val="20"/>
          <w:szCs w:val="20"/>
        </w:rPr>
      </w:pPr>
      <w:bookmarkStart w:id="70" w:name="_Toc203552985"/>
      <w:r w:rsidRPr="00A335CB">
        <w:rPr>
          <w:rFonts w:cs="Arial"/>
          <w:sz w:val="20"/>
          <w:szCs w:val="20"/>
        </w:rPr>
        <w:t>Širitev uporabe elektronske prijave in odjave prebivališč</w:t>
      </w:r>
      <w:bookmarkEnd w:id="70"/>
      <w:r w:rsidRPr="00A335CB">
        <w:rPr>
          <w:rFonts w:cs="Arial"/>
          <w:sz w:val="20"/>
          <w:szCs w:val="20"/>
        </w:rPr>
        <w:t xml:space="preserve"> </w:t>
      </w:r>
    </w:p>
    <w:p w14:paraId="0D00B552" w14:textId="77777777" w:rsidR="00EC030E" w:rsidRPr="00A335CB" w:rsidRDefault="00EC030E" w:rsidP="005D1A90">
      <w:pPr>
        <w:spacing w:after="0" w:line="276" w:lineRule="auto"/>
        <w:rPr>
          <w:rFonts w:ascii="Arial" w:hAnsi="Arial" w:cs="Arial"/>
          <w:sz w:val="20"/>
          <w:szCs w:val="20"/>
        </w:rPr>
      </w:pPr>
    </w:p>
    <w:p w14:paraId="4B901FA8" w14:textId="0EAE5F55" w:rsidR="00653B9D" w:rsidRPr="00A335CB" w:rsidRDefault="00653B9D" w:rsidP="005D1A90">
      <w:pPr>
        <w:widowControl w:val="0"/>
        <w:autoSpaceDE w:val="0"/>
        <w:autoSpaceDN w:val="0"/>
        <w:adjustRightInd w:val="0"/>
        <w:spacing w:line="276" w:lineRule="auto"/>
        <w:jc w:val="both"/>
        <w:rPr>
          <w:rFonts w:ascii="Arial" w:eastAsia="Arial Unicode MS" w:hAnsi="Arial" w:cs="Arial"/>
          <w:sz w:val="20"/>
          <w:szCs w:val="20"/>
          <w:lang w:bidi="sl-SI"/>
        </w:rPr>
      </w:pPr>
      <w:r w:rsidRPr="00A335CB">
        <w:rPr>
          <w:rFonts w:ascii="Arial" w:eastAsia="Arial Unicode MS" w:hAnsi="Arial" w:cs="Arial"/>
          <w:sz w:val="20"/>
          <w:szCs w:val="20"/>
          <w:lang w:bidi="sl-SI"/>
        </w:rPr>
        <w:t xml:space="preserve">Zakon o prijavi prebivališča stanodajalcem omogoča </w:t>
      </w:r>
      <w:r w:rsidR="005E0375">
        <w:rPr>
          <w:rFonts w:ascii="Arial" w:eastAsia="Arial Unicode MS" w:hAnsi="Arial" w:cs="Arial"/>
          <w:sz w:val="20"/>
          <w:szCs w:val="20"/>
          <w:lang w:bidi="sl-SI"/>
        </w:rPr>
        <w:t>predložitev</w:t>
      </w:r>
      <w:r w:rsidR="005E0375" w:rsidRPr="00A335CB">
        <w:rPr>
          <w:rFonts w:ascii="Arial" w:eastAsia="Arial Unicode MS" w:hAnsi="Arial" w:cs="Arial"/>
          <w:sz w:val="20"/>
          <w:szCs w:val="20"/>
          <w:lang w:bidi="sl-SI"/>
        </w:rPr>
        <w:t xml:space="preserve"> </w:t>
      </w:r>
      <w:r w:rsidRPr="00A335CB">
        <w:rPr>
          <w:rFonts w:ascii="Arial" w:eastAsia="Arial Unicode MS" w:hAnsi="Arial" w:cs="Arial"/>
          <w:sz w:val="20"/>
          <w:szCs w:val="20"/>
          <w:lang w:bidi="sl-SI"/>
        </w:rPr>
        <w:t>prijav in odjav začasnega prebivališča posameznika v elektronski obliki iz svo</w:t>
      </w:r>
      <w:r w:rsidR="00331614">
        <w:rPr>
          <w:rFonts w:ascii="Arial" w:eastAsia="Arial Unicode MS" w:hAnsi="Arial" w:cs="Arial"/>
          <w:sz w:val="20"/>
          <w:szCs w:val="20"/>
          <w:lang w:bidi="sl-SI"/>
        </w:rPr>
        <w:t>je evidence začasno nastanjenih</w:t>
      </w:r>
      <w:r w:rsidRPr="00A335CB">
        <w:rPr>
          <w:rFonts w:ascii="Arial" w:eastAsia="Arial Unicode MS" w:hAnsi="Arial" w:cs="Arial"/>
          <w:sz w:val="20"/>
          <w:szCs w:val="20"/>
          <w:lang w:bidi="sl-SI"/>
        </w:rPr>
        <w:t xml:space="preserve"> </w:t>
      </w:r>
      <w:r w:rsidRPr="00331614">
        <w:rPr>
          <w:rFonts w:ascii="Arial" w:eastAsia="Arial Unicode MS" w:hAnsi="Arial" w:cs="Arial"/>
          <w:sz w:val="20"/>
          <w:szCs w:val="20"/>
          <w:lang w:bidi="sl-SI"/>
        </w:rPr>
        <w:t>neposredno v R</w:t>
      </w:r>
      <w:r w:rsidR="00331614" w:rsidRPr="00331614">
        <w:rPr>
          <w:rFonts w:ascii="Arial" w:eastAsia="Arial Unicode MS" w:hAnsi="Arial" w:cs="Arial"/>
          <w:sz w:val="20"/>
          <w:szCs w:val="20"/>
          <w:lang w:bidi="sl-SI"/>
        </w:rPr>
        <w:t>egister stalnega prebivalstva</w:t>
      </w:r>
      <w:r w:rsidRPr="00331614">
        <w:rPr>
          <w:rFonts w:ascii="Arial" w:eastAsia="Arial Unicode MS" w:hAnsi="Arial" w:cs="Arial"/>
          <w:sz w:val="20"/>
          <w:szCs w:val="20"/>
          <w:lang w:bidi="sl-SI"/>
        </w:rPr>
        <w:t>, če imajo za to zagotovljene tehnične in tehnološke možnosti. V letu 2024</w:t>
      </w:r>
      <w:r w:rsidRPr="00A335CB">
        <w:rPr>
          <w:rFonts w:ascii="Arial" w:eastAsia="Arial Unicode MS" w:hAnsi="Arial" w:cs="Arial"/>
          <w:sz w:val="20"/>
          <w:szCs w:val="20"/>
          <w:lang w:bidi="sl-SI"/>
        </w:rPr>
        <w:t xml:space="preserve"> so se v prijave prek spletnih servisov začeli vključevati dijaški in še dodatno nekateri študentski domovi. V samostojno izvajanje elektronskih prijav in odjav prebivališč se je v letu 2024 dodatno vključilo 11 stanodajalcev. </w:t>
      </w:r>
    </w:p>
    <w:p w14:paraId="7AAB4DA3" w14:textId="65CE85BB" w:rsidR="00653B9D" w:rsidRPr="00A335CB" w:rsidRDefault="00653B9D" w:rsidP="005D1A90">
      <w:pPr>
        <w:widowControl w:val="0"/>
        <w:autoSpaceDE w:val="0"/>
        <w:autoSpaceDN w:val="0"/>
        <w:adjustRightInd w:val="0"/>
        <w:spacing w:line="276" w:lineRule="auto"/>
        <w:jc w:val="both"/>
        <w:rPr>
          <w:rFonts w:ascii="Arial" w:eastAsia="Times New Roman" w:hAnsi="Arial" w:cs="Arial"/>
          <w:sz w:val="20"/>
          <w:szCs w:val="20"/>
        </w:rPr>
      </w:pPr>
      <w:r w:rsidRPr="00A335CB">
        <w:rPr>
          <w:rFonts w:ascii="Arial" w:eastAsia="Times New Roman" w:hAnsi="Arial" w:cs="Arial"/>
          <w:sz w:val="20"/>
          <w:szCs w:val="20"/>
        </w:rPr>
        <w:t xml:space="preserve">V letu 2024 je bilo izvedenih </w:t>
      </w:r>
      <w:r w:rsidRPr="00A335CB">
        <w:rPr>
          <w:rFonts w:ascii="Arial" w:eastAsia="Times New Roman" w:hAnsi="Arial" w:cs="Arial"/>
          <w:b/>
          <w:sz w:val="20"/>
          <w:szCs w:val="20"/>
        </w:rPr>
        <w:t>14.560</w:t>
      </w:r>
      <w:r w:rsidRPr="00A335CB">
        <w:rPr>
          <w:rFonts w:ascii="Arial" w:eastAsia="Times New Roman" w:hAnsi="Arial" w:cs="Arial"/>
          <w:sz w:val="20"/>
          <w:szCs w:val="20"/>
        </w:rPr>
        <w:t xml:space="preserve"> elektronskih prijav oziroma odjav začasnih prebivališč stanodajalcev od skupaj 32.972 vseh prijav s strani stanodajalcev. Navedeno pomeni, da je bilo kar 44</w:t>
      </w:r>
      <w:r w:rsidR="00F143EB" w:rsidRPr="00A335CB">
        <w:rPr>
          <w:rFonts w:ascii="Arial" w:eastAsia="Times New Roman" w:hAnsi="Arial" w:cs="Arial"/>
          <w:sz w:val="20"/>
          <w:szCs w:val="20"/>
        </w:rPr>
        <w:t xml:space="preserve"> </w:t>
      </w:r>
      <w:r w:rsidRPr="00A335CB">
        <w:rPr>
          <w:rFonts w:ascii="Arial" w:eastAsia="Times New Roman" w:hAnsi="Arial" w:cs="Arial"/>
          <w:sz w:val="20"/>
          <w:szCs w:val="20"/>
        </w:rPr>
        <w:t xml:space="preserve">% vseh prijav izvedenih </w:t>
      </w:r>
      <w:r w:rsidR="001D2776">
        <w:rPr>
          <w:rFonts w:ascii="Arial" w:eastAsia="Times New Roman" w:hAnsi="Arial" w:cs="Arial"/>
          <w:sz w:val="20"/>
          <w:szCs w:val="20"/>
        </w:rPr>
        <w:t>prek spleta</w:t>
      </w:r>
      <w:r w:rsidRPr="00A335CB">
        <w:rPr>
          <w:rFonts w:ascii="Arial" w:eastAsia="Times New Roman" w:hAnsi="Arial" w:cs="Arial"/>
          <w:sz w:val="20"/>
          <w:szCs w:val="20"/>
        </w:rPr>
        <w:t xml:space="preserve">, s tem pa </w:t>
      </w:r>
      <w:r w:rsidR="001D2776">
        <w:rPr>
          <w:rFonts w:ascii="Arial" w:eastAsia="Times New Roman" w:hAnsi="Arial" w:cs="Arial"/>
          <w:sz w:val="20"/>
          <w:szCs w:val="20"/>
        </w:rPr>
        <w:t xml:space="preserve">so </w:t>
      </w:r>
      <w:r w:rsidRPr="00A335CB">
        <w:rPr>
          <w:rFonts w:ascii="Arial" w:eastAsia="Times New Roman" w:hAnsi="Arial" w:cs="Arial"/>
          <w:sz w:val="20"/>
          <w:szCs w:val="20"/>
        </w:rPr>
        <w:t>up</w:t>
      </w:r>
      <w:r w:rsidR="00D12CC2" w:rsidRPr="00A335CB">
        <w:rPr>
          <w:rFonts w:ascii="Arial" w:eastAsia="Times New Roman" w:hAnsi="Arial" w:cs="Arial"/>
          <w:sz w:val="20"/>
          <w:szCs w:val="20"/>
        </w:rPr>
        <w:t xml:space="preserve">ravne enote </w:t>
      </w:r>
      <w:r w:rsidR="001D2776" w:rsidRPr="00A335CB">
        <w:rPr>
          <w:rFonts w:ascii="Arial" w:eastAsia="Times New Roman" w:hAnsi="Arial" w:cs="Arial"/>
          <w:sz w:val="20"/>
          <w:szCs w:val="20"/>
        </w:rPr>
        <w:t>razbremenil</w:t>
      </w:r>
      <w:r w:rsidR="001D2776">
        <w:rPr>
          <w:rFonts w:ascii="Arial" w:eastAsia="Times New Roman" w:hAnsi="Arial" w:cs="Arial"/>
          <w:sz w:val="20"/>
          <w:szCs w:val="20"/>
        </w:rPr>
        <w:t>e</w:t>
      </w:r>
      <w:r w:rsidR="001D2776" w:rsidRPr="00A335CB">
        <w:rPr>
          <w:rFonts w:ascii="Arial" w:eastAsia="Times New Roman" w:hAnsi="Arial" w:cs="Arial"/>
          <w:sz w:val="20"/>
          <w:szCs w:val="20"/>
        </w:rPr>
        <w:t xml:space="preserve"> </w:t>
      </w:r>
      <w:r w:rsidR="00D12CC2" w:rsidRPr="00A335CB">
        <w:rPr>
          <w:rFonts w:ascii="Arial" w:eastAsia="Times New Roman" w:hAnsi="Arial" w:cs="Arial"/>
          <w:sz w:val="20"/>
          <w:szCs w:val="20"/>
        </w:rPr>
        <w:t xml:space="preserve">dela. </w:t>
      </w:r>
    </w:p>
    <w:tbl>
      <w:tblPr>
        <w:tblW w:w="6720" w:type="dxa"/>
        <w:tblCellMar>
          <w:left w:w="70" w:type="dxa"/>
          <w:right w:w="70" w:type="dxa"/>
        </w:tblCellMar>
        <w:tblLook w:val="04A0" w:firstRow="1" w:lastRow="0" w:firstColumn="1" w:lastColumn="0" w:noHBand="0" w:noVBand="1"/>
      </w:tblPr>
      <w:tblGrid>
        <w:gridCol w:w="2880"/>
        <w:gridCol w:w="960"/>
        <w:gridCol w:w="960"/>
        <w:gridCol w:w="960"/>
        <w:gridCol w:w="960"/>
      </w:tblGrid>
      <w:tr w:rsidR="00BD47E0" w:rsidRPr="00A335CB" w14:paraId="1EFDDB0F" w14:textId="77777777" w:rsidTr="005C25B4">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E4D18" w14:textId="77777777"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D705455" w14:textId="77777777" w:rsidR="00653B9D" w:rsidRPr="00A335CB" w:rsidRDefault="00653B9D" w:rsidP="005D1A90">
            <w:pPr>
              <w:spacing w:after="0" w:line="276" w:lineRule="auto"/>
              <w:jc w:val="center"/>
              <w:rPr>
                <w:rFonts w:ascii="Arial" w:eastAsia="Times New Roman" w:hAnsi="Arial" w:cs="Arial"/>
                <w:b/>
                <w:sz w:val="20"/>
                <w:szCs w:val="20"/>
              </w:rPr>
            </w:pPr>
            <w:r w:rsidRPr="00A335CB">
              <w:rPr>
                <w:rFonts w:ascii="Arial" w:eastAsia="Times New Roman" w:hAnsi="Arial" w:cs="Arial"/>
                <w:b/>
                <w:sz w:val="20"/>
                <w:szCs w:val="20"/>
              </w:rPr>
              <w:t>Leto 2024</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96006B7" w14:textId="77777777" w:rsidR="00653B9D" w:rsidRPr="00A335CB" w:rsidRDefault="00653B9D" w:rsidP="005D1A90">
            <w:pPr>
              <w:spacing w:after="0" w:line="276" w:lineRule="auto"/>
              <w:jc w:val="center"/>
              <w:rPr>
                <w:rFonts w:ascii="Arial" w:eastAsia="Times New Roman" w:hAnsi="Arial" w:cs="Arial"/>
                <w:b/>
                <w:sz w:val="20"/>
                <w:szCs w:val="20"/>
              </w:rPr>
            </w:pPr>
            <w:r w:rsidRPr="00A335CB">
              <w:rPr>
                <w:rFonts w:ascii="Arial" w:eastAsia="Times New Roman" w:hAnsi="Arial" w:cs="Arial"/>
                <w:b/>
                <w:sz w:val="20"/>
                <w:szCs w:val="20"/>
              </w:rPr>
              <w:t>Leto 2023</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3EE590C" w14:textId="77777777" w:rsidR="00653B9D" w:rsidRPr="00A335CB" w:rsidRDefault="00653B9D" w:rsidP="005D1A90">
            <w:pPr>
              <w:spacing w:after="0" w:line="276" w:lineRule="auto"/>
              <w:jc w:val="center"/>
              <w:rPr>
                <w:rFonts w:ascii="Arial" w:eastAsia="Times New Roman" w:hAnsi="Arial" w:cs="Arial"/>
                <w:b/>
                <w:sz w:val="20"/>
                <w:szCs w:val="20"/>
              </w:rPr>
            </w:pPr>
            <w:r w:rsidRPr="00A335CB">
              <w:rPr>
                <w:rFonts w:ascii="Arial" w:eastAsia="Times New Roman" w:hAnsi="Arial" w:cs="Arial"/>
                <w:b/>
                <w:sz w:val="20"/>
                <w:szCs w:val="20"/>
              </w:rPr>
              <w:t>Leto 2022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9DAEE89" w14:textId="77777777" w:rsidR="00653B9D" w:rsidRPr="00A335CB" w:rsidRDefault="00653B9D" w:rsidP="005D1A90">
            <w:pPr>
              <w:spacing w:after="0" w:line="276" w:lineRule="auto"/>
              <w:jc w:val="center"/>
              <w:rPr>
                <w:rFonts w:ascii="Arial" w:eastAsia="Times New Roman" w:hAnsi="Arial" w:cs="Arial"/>
                <w:b/>
                <w:sz w:val="20"/>
                <w:szCs w:val="20"/>
              </w:rPr>
            </w:pPr>
            <w:r w:rsidRPr="00A335CB">
              <w:rPr>
                <w:rFonts w:ascii="Arial" w:eastAsia="Times New Roman" w:hAnsi="Arial" w:cs="Arial"/>
                <w:b/>
                <w:sz w:val="20"/>
                <w:szCs w:val="20"/>
              </w:rPr>
              <w:t>Leto 2021</w:t>
            </w:r>
          </w:p>
        </w:tc>
      </w:tr>
      <w:tr w:rsidR="00BD47E0" w:rsidRPr="00A335CB" w14:paraId="63925D95" w14:textId="77777777" w:rsidTr="00D12CC2">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BC98766" w14:textId="2F158F57"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 xml:space="preserve">Vse prijave </w:t>
            </w:r>
            <w:r w:rsidR="001D2776">
              <w:rPr>
                <w:rFonts w:ascii="Arial" w:eastAsia="Times New Roman" w:hAnsi="Arial" w:cs="Arial"/>
                <w:sz w:val="20"/>
                <w:szCs w:val="20"/>
              </w:rPr>
              <w:t>–</w:t>
            </w:r>
            <w:r w:rsidR="001D2776" w:rsidRPr="00A335CB">
              <w:rPr>
                <w:rFonts w:ascii="Arial" w:eastAsia="Times New Roman" w:hAnsi="Arial" w:cs="Arial"/>
                <w:sz w:val="20"/>
                <w:szCs w:val="20"/>
              </w:rPr>
              <w:t xml:space="preserve"> </w:t>
            </w:r>
            <w:r w:rsidRPr="00A335CB">
              <w:rPr>
                <w:rFonts w:ascii="Arial" w:eastAsia="Times New Roman" w:hAnsi="Arial" w:cs="Arial"/>
                <w:sz w:val="20"/>
                <w:szCs w:val="20"/>
              </w:rPr>
              <w:t>stanodajalci</w:t>
            </w:r>
          </w:p>
        </w:tc>
        <w:tc>
          <w:tcPr>
            <w:tcW w:w="960" w:type="dxa"/>
            <w:tcBorders>
              <w:top w:val="nil"/>
              <w:left w:val="nil"/>
              <w:bottom w:val="single" w:sz="4" w:space="0" w:color="auto"/>
              <w:right w:val="single" w:sz="4" w:space="0" w:color="auto"/>
            </w:tcBorders>
            <w:shd w:val="clear" w:color="auto" w:fill="auto"/>
            <w:noWrap/>
            <w:vAlign w:val="bottom"/>
            <w:hideMark/>
          </w:tcPr>
          <w:p w14:paraId="4D5C0954"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32.972</w:t>
            </w:r>
          </w:p>
        </w:tc>
        <w:tc>
          <w:tcPr>
            <w:tcW w:w="960" w:type="dxa"/>
            <w:tcBorders>
              <w:top w:val="nil"/>
              <w:left w:val="nil"/>
              <w:bottom w:val="single" w:sz="4" w:space="0" w:color="auto"/>
              <w:right w:val="single" w:sz="4" w:space="0" w:color="auto"/>
            </w:tcBorders>
            <w:shd w:val="clear" w:color="auto" w:fill="auto"/>
            <w:noWrap/>
            <w:vAlign w:val="bottom"/>
            <w:hideMark/>
          </w:tcPr>
          <w:p w14:paraId="5EDEBAF9"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34.095</w:t>
            </w:r>
          </w:p>
        </w:tc>
        <w:tc>
          <w:tcPr>
            <w:tcW w:w="960" w:type="dxa"/>
            <w:tcBorders>
              <w:top w:val="nil"/>
              <w:left w:val="nil"/>
              <w:bottom w:val="single" w:sz="4" w:space="0" w:color="auto"/>
              <w:right w:val="single" w:sz="4" w:space="0" w:color="auto"/>
            </w:tcBorders>
            <w:shd w:val="clear" w:color="auto" w:fill="auto"/>
            <w:noWrap/>
            <w:vAlign w:val="bottom"/>
            <w:hideMark/>
          </w:tcPr>
          <w:p w14:paraId="21B7CC08"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35.996</w:t>
            </w:r>
          </w:p>
        </w:tc>
        <w:tc>
          <w:tcPr>
            <w:tcW w:w="960" w:type="dxa"/>
            <w:tcBorders>
              <w:top w:val="nil"/>
              <w:left w:val="nil"/>
              <w:bottom w:val="single" w:sz="4" w:space="0" w:color="auto"/>
              <w:right w:val="single" w:sz="4" w:space="0" w:color="auto"/>
            </w:tcBorders>
            <w:shd w:val="clear" w:color="auto" w:fill="auto"/>
            <w:noWrap/>
            <w:vAlign w:val="bottom"/>
            <w:hideMark/>
          </w:tcPr>
          <w:p w14:paraId="231B2620"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33.283</w:t>
            </w:r>
          </w:p>
        </w:tc>
      </w:tr>
      <w:tr w:rsidR="00BD47E0" w:rsidRPr="00A335CB" w14:paraId="382E1B0A" w14:textId="77777777" w:rsidTr="00D12CC2">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11D13AB" w14:textId="6928D0BF"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 xml:space="preserve">E-prijave </w:t>
            </w:r>
            <w:r w:rsidR="001D2776">
              <w:rPr>
                <w:rFonts w:ascii="Arial" w:eastAsia="Times New Roman" w:hAnsi="Arial" w:cs="Arial"/>
                <w:sz w:val="20"/>
                <w:szCs w:val="20"/>
              </w:rPr>
              <w:t>–</w:t>
            </w:r>
            <w:r w:rsidR="001D2776" w:rsidRPr="00A335CB">
              <w:rPr>
                <w:rFonts w:ascii="Arial" w:eastAsia="Times New Roman" w:hAnsi="Arial" w:cs="Arial"/>
                <w:sz w:val="20"/>
                <w:szCs w:val="20"/>
              </w:rPr>
              <w:t xml:space="preserve"> </w:t>
            </w:r>
            <w:r w:rsidRPr="00A335CB">
              <w:rPr>
                <w:rFonts w:ascii="Arial" w:eastAsia="Times New Roman" w:hAnsi="Arial" w:cs="Arial"/>
                <w:sz w:val="20"/>
                <w:szCs w:val="20"/>
              </w:rPr>
              <w:t xml:space="preserve">stanodajalci </w:t>
            </w:r>
          </w:p>
        </w:tc>
        <w:tc>
          <w:tcPr>
            <w:tcW w:w="960" w:type="dxa"/>
            <w:tcBorders>
              <w:top w:val="nil"/>
              <w:left w:val="nil"/>
              <w:bottom w:val="single" w:sz="4" w:space="0" w:color="auto"/>
              <w:right w:val="single" w:sz="4" w:space="0" w:color="auto"/>
            </w:tcBorders>
            <w:shd w:val="clear" w:color="auto" w:fill="auto"/>
            <w:noWrap/>
            <w:vAlign w:val="bottom"/>
            <w:hideMark/>
          </w:tcPr>
          <w:p w14:paraId="5388483C"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14.560</w:t>
            </w:r>
          </w:p>
        </w:tc>
        <w:tc>
          <w:tcPr>
            <w:tcW w:w="960" w:type="dxa"/>
            <w:tcBorders>
              <w:top w:val="nil"/>
              <w:left w:val="nil"/>
              <w:bottom w:val="single" w:sz="4" w:space="0" w:color="auto"/>
              <w:right w:val="single" w:sz="4" w:space="0" w:color="auto"/>
            </w:tcBorders>
            <w:shd w:val="clear" w:color="auto" w:fill="auto"/>
            <w:noWrap/>
            <w:vAlign w:val="bottom"/>
            <w:hideMark/>
          </w:tcPr>
          <w:p w14:paraId="2E47F9B8"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10.769</w:t>
            </w:r>
          </w:p>
        </w:tc>
        <w:tc>
          <w:tcPr>
            <w:tcW w:w="960" w:type="dxa"/>
            <w:tcBorders>
              <w:top w:val="nil"/>
              <w:left w:val="nil"/>
              <w:bottom w:val="single" w:sz="4" w:space="0" w:color="auto"/>
              <w:right w:val="single" w:sz="4" w:space="0" w:color="auto"/>
            </w:tcBorders>
            <w:shd w:val="clear" w:color="auto" w:fill="auto"/>
            <w:noWrap/>
            <w:vAlign w:val="bottom"/>
            <w:hideMark/>
          </w:tcPr>
          <w:p w14:paraId="1A43D792"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11.468</w:t>
            </w:r>
          </w:p>
        </w:tc>
        <w:tc>
          <w:tcPr>
            <w:tcW w:w="960" w:type="dxa"/>
            <w:tcBorders>
              <w:top w:val="nil"/>
              <w:left w:val="nil"/>
              <w:bottom w:val="single" w:sz="4" w:space="0" w:color="auto"/>
              <w:right w:val="single" w:sz="4" w:space="0" w:color="auto"/>
            </w:tcBorders>
            <w:shd w:val="clear" w:color="auto" w:fill="auto"/>
            <w:noWrap/>
            <w:vAlign w:val="bottom"/>
            <w:hideMark/>
          </w:tcPr>
          <w:p w14:paraId="37B1B9B5"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7.401</w:t>
            </w:r>
          </w:p>
        </w:tc>
      </w:tr>
      <w:tr w:rsidR="00653B9D" w:rsidRPr="00A335CB" w14:paraId="07012CC8" w14:textId="77777777" w:rsidTr="00D12CC2">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BD010A5" w14:textId="77777777" w:rsidR="00653B9D" w:rsidRPr="00A335CB" w:rsidRDefault="00653B9D" w:rsidP="005D1A90">
            <w:pPr>
              <w:spacing w:after="0" w:line="276" w:lineRule="auto"/>
              <w:rPr>
                <w:rFonts w:ascii="Arial" w:eastAsia="Times New Roman" w:hAnsi="Arial" w:cs="Arial"/>
                <w:sz w:val="20"/>
                <w:szCs w:val="20"/>
              </w:rPr>
            </w:pPr>
            <w:r w:rsidRPr="00A335CB">
              <w:rPr>
                <w:rFonts w:ascii="Arial" w:eastAsia="Times New Roman" w:hAnsi="Arial" w:cs="Arial"/>
                <w:sz w:val="20"/>
                <w:szCs w:val="20"/>
              </w:rPr>
              <w:t>E-prijave %</w:t>
            </w:r>
          </w:p>
        </w:tc>
        <w:tc>
          <w:tcPr>
            <w:tcW w:w="960" w:type="dxa"/>
            <w:tcBorders>
              <w:top w:val="nil"/>
              <w:left w:val="nil"/>
              <w:bottom w:val="single" w:sz="4" w:space="0" w:color="auto"/>
              <w:right w:val="single" w:sz="4" w:space="0" w:color="auto"/>
            </w:tcBorders>
            <w:shd w:val="clear" w:color="auto" w:fill="auto"/>
            <w:noWrap/>
            <w:vAlign w:val="bottom"/>
            <w:hideMark/>
          </w:tcPr>
          <w:p w14:paraId="581B64C1" w14:textId="302682EE"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44</w:t>
            </w:r>
            <w:r w:rsidR="00F143EB" w:rsidRPr="00A335CB">
              <w:rPr>
                <w:rFonts w:ascii="Arial" w:eastAsia="Times New Roman" w:hAnsi="Arial" w:cs="Arial"/>
                <w:sz w:val="20"/>
                <w:szCs w:val="20"/>
              </w:rPr>
              <w:t xml:space="preserve"> </w:t>
            </w:r>
            <w:r w:rsidRPr="00A335CB">
              <w:rPr>
                <w:rFonts w:ascii="Arial" w:eastAsia="Times New Roman" w:hAnsi="Arial" w:cs="Arial"/>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2DF51FA6" w14:textId="77777777"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31 %</w:t>
            </w:r>
          </w:p>
        </w:tc>
        <w:tc>
          <w:tcPr>
            <w:tcW w:w="960" w:type="dxa"/>
            <w:tcBorders>
              <w:top w:val="nil"/>
              <w:left w:val="nil"/>
              <w:bottom w:val="single" w:sz="4" w:space="0" w:color="auto"/>
              <w:right w:val="single" w:sz="4" w:space="0" w:color="auto"/>
            </w:tcBorders>
            <w:shd w:val="clear" w:color="auto" w:fill="auto"/>
            <w:noWrap/>
            <w:vAlign w:val="bottom"/>
            <w:hideMark/>
          </w:tcPr>
          <w:p w14:paraId="2FCBED7C" w14:textId="629CC6A3"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31</w:t>
            </w:r>
            <w:r w:rsidR="001D2776">
              <w:rPr>
                <w:rFonts w:ascii="Arial" w:eastAsia="Times New Roman" w:hAnsi="Arial" w:cs="Arial"/>
                <w:sz w:val="20"/>
                <w:szCs w:val="20"/>
              </w:rPr>
              <w:t> </w:t>
            </w:r>
            <w:r w:rsidRPr="00A335CB">
              <w:rPr>
                <w:rFonts w:ascii="Arial" w:eastAsia="Times New Roman" w:hAnsi="Arial" w:cs="Arial"/>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D628125" w14:textId="6A6DF3BC" w:rsidR="00653B9D" w:rsidRPr="00A335CB" w:rsidRDefault="00653B9D" w:rsidP="005D1A90">
            <w:pPr>
              <w:spacing w:after="0" w:line="276" w:lineRule="auto"/>
              <w:jc w:val="center"/>
              <w:rPr>
                <w:rFonts w:ascii="Arial" w:eastAsia="Times New Roman" w:hAnsi="Arial" w:cs="Arial"/>
                <w:sz w:val="20"/>
                <w:szCs w:val="20"/>
              </w:rPr>
            </w:pPr>
            <w:r w:rsidRPr="00A335CB">
              <w:rPr>
                <w:rFonts w:ascii="Arial" w:eastAsia="Times New Roman" w:hAnsi="Arial" w:cs="Arial"/>
                <w:sz w:val="20"/>
                <w:szCs w:val="20"/>
              </w:rPr>
              <w:t>22</w:t>
            </w:r>
            <w:r w:rsidR="001D2776">
              <w:rPr>
                <w:rFonts w:ascii="Arial" w:eastAsia="Times New Roman" w:hAnsi="Arial" w:cs="Arial"/>
                <w:sz w:val="20"/>
                <w:szCs w:val="20"/>
              </w:rPr>
              <w:t> </w:t>
            </w:r>
            <w:r w:rsidRPr="00A335CB">
              <w:rPr>
                <w:rFonts w:ascii="Arial" w:eastAsia="Times New Roman" w:hAnsi="Arial" w:cs="Arial"/>
                <w:sz w:val="20"/>
                <w:szCs w:val="20"/>
              </w:rPr>
              <w:t>%</w:t>
            </w:r>
          </w:p>
        </w:tc>
      </w:tr>
    </w:tbl>
    <w:p w14:paraId="78346A94" w14:textId="5BD422A0" w:rsidR="00E2146B" w:rsidRPr="00A335CB" w:rsidRDefault="00D12CC2" w:rsidP="005D1A90">
      <w:pPr>
        <w:spacing w:after="0" w:line="276" w:lineRule="auto"/>
        <w:jc w:val="both"/>
        <w:rPr>
          <w:rFonts w:ascii="Arial" w:hAnsi="Arial" w:cs="Arial"/>
          <w:bCs/>
          <w:sz w:val="20"/>
          <w:szCs w:val="20"/>
        </w:rPr>
      </w:pPr>
      <w:r w:rsidRPr="00A335CB">
        <w:rPr>
          <w:rFonts w:ascii="Arial" w:hAnsi="Arial" w:cs="Arial"/>
          <w:b/>
          <w:bCs/>
          <w:sz w:val="20"/>
          <w:szCs w:val="20"/>
        </w:rPr>
        <w:t>Preglednica:</w:t>
      </w:r>
      <w:r w:rsidRPr="00A335CB">
        <w:rPr>
          <w:rFonts w:ascii="Arial" w:hAnsi="Arial" w:cs="Arial"/>
          <w:bCs/>
          <w:sz w:val="20"/>
          <w:szCs w:val="20"/>
        </w:rPr>
        <w:t xml:space="preserve"> Število prijav začasnih prebivališč stanodajalcev</w:t>
      </w:r>
    </w:p>
    <w:p w14:paraId="23C5C4C5" w14:textId="179102A1" w:rsidR="00590945" w:rsidRPr="00A335CB" w:rsidRDefault="00590945" w:rsidP="005D1A90">
      <w:pPr>
        <w:spacing w:after="0" w:line="276" w:lineRule="auto"/>
        <w:jc w:val="both"/>
        <w:rPr>
          <w:rFonts w:ascii="Arial" w:hAnsi="Arial" w:cs="Arial"/>
          <w:sz w:val="20"/>
          <w:szCs w:val="20"/>
        </w:rPr>
      </w:pPr>
    </w:p>
    <w:p w14:paraId="7215F521" w14:textId="6E4876D9" w:rsidR="001C6D21" w:rsidRPr="00A335CB" w:rsidRDefault="000D623B" w:rsidP="005D1A90">
      <w:pPr>
        <w:pStyle w:val="Naslov3"/>
        <w:spacing w:line="276" w:lineRule="auto"/>
        <w:jc w:val="both"/>
        <w:rPr>
          <w:rFonts w:cs="Arial"/>
          <w:sz w:val="20"/>
          <w:szCs w:val="20"/>
        </w:rPr>
      </w:pPr>
      <w:bookmarkStart w:id="71" w:name="_Toc203552986"/>
      <w:r w:rsidRPr="00A335CB">
        <w:rPr>
          <w:rFonts w:cs="Arial"/>
          <w:sz w:val="20"/>
          <w:szCs w:val="20"/>
        </w:rPr>
        <w:t xml:space="preserve">Drugi </w:t>
      </w:r>
      <w:r w:rsidR="004C499F" w:rsidRPr="00A335CB">
        <w:rPr>
          <w:rFonts w:cs="Arial"/>
          <w:sz w:val="20"/>
          <w:szCs w:val="20"/>
        </w:rPr>
        <w:t xml:space="preserve">pomembnejši podatki </w:t>
      </w:r>
      <w:r w:rsidR="00E2146B" w:rsidRPr="00A335CB">
        <w:rPr>
          <w:rFonts w:cs="Arial"/>
          <w:sz w:val="20"/>
          <w:szCs w:val="20"/>
        </w:rPr>
        <w:t>s področja registracije prebivalstva in javnih listin</w:t>
      </w:r>
      <w:bookmarkEnd w:id="71"/>
    </w:p>
    <w:p w14:paraId="3FEF8A81" w14:textId="77777777" w:rsidR="00EC030E" w:rsidRPr="00A335CB" w:rsidRDefault="00EC030E" w:rsidP="005D1A90">
      <w:pPr>
        <w:spacing w:after="0" w:line="276" w:lineRule="auto"/>
        <w:rPr>
          <w:rFonts w:ascii="Arial" w:hAnsi="Arial" w:cs="Arial"/>
          <w:sz w:val="20"/>
          <w:szCs w:val="20"/>
        </w:rPr>
      </w:pPr>
    </w:p>
    <w:p w14:paraId="338D80B5" w14:textId="372FB522" w:rsidR="00653B9D"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Podatki o vlogah in veljavnih osebni</w:t>
      </w:r>
      <w:r w:rsidR="003B6824" w:rsidRPr="00A335CB">
        <w:rPr>
          <w:rFonts w:ascii="Arial" w:hAnsi="Arial" w:cs="Arial"/>
          <w:b/>
          <w:sz w:val="20"/>
          <w:szCs w:val="20"/>
        </w:rPr>
        <w:t>h izkaznicah ter</w:t>
      </w:r>
      <w:r w:rsidR="007B3670" w:rsidRPr="00A335CB">
        <w:rPr>
          <w:rFonts w:ascii="Arial" w:hAnsi="Arial" w:cs="Arial"/>
          <w:b/>
          <w:sz w:val="20"/>
          <w:szCs w:val="20"/>
        </w:rPr>
        <w:t xml:space="preserve"> potnih listinah</w:t>
      </w:r>
    </w:p>
    <w:p w14:paraId="568F6AE8" w14:textId="5D5EABBA" w:rsidR="00653B9D" w:rsidRPr="00A335CB" w:rsidRDefault="003B6824" w:rsidP="005D1A90">
      <w:pPr>
        <w:spacing w:line="276" w:lineRule="auto"/>
        <w:jc w:val="both"/>
        <w:rPr>
          <w:rFonts w:ascii="Arial" w:hAnsi="Arial" w:cs="Arial"/>
          <w:sz w:val="20"/>
          <w:szCs w:val="20"/>
        </w:rPr>
      </w:pPr>
      <w:r w:rsidRPr="00A335CB">
        <w:rPr>
          <w:rFonts w:ascii="Arial" w:hAnsi="Arial" w:cs="Arial"/>
          <w:sz w:val="20"/>
          <w:szCs w:val="20"/>
        </w:rPr>
        <w:t>1. 1.</w:t>
      </w:r>
      <w:r w:rsidR="00653B9D" w:rsidRPr="00A335CB">
        <w:rPr>
          <w:rFonts w:ascii="Arial" w:hAnsi="Arial" w:cs="Arial"/>
          <w:sz w:val="20"/>
          <w:szCs w:val="20"/>
        </w:rPr>
        <w:t> 2025 je imelo veljavni potni list 719.170 državljanov, veljavno osebno izkaznico pa 1.842.880 državljanov. V letu 2024 je bilo skupaj vloženih 95.363 popolnih vlog za izdajo običajnega potnega lista in 218.371 popolnih vlog za izdajo osebne izkaznice.</w:t>
      </w:r>
    </w:p>
    <w:tbl>
      <w:tblPr>
        <w:tblW w:w="7797" w:type="dxa"/>
        <w:tblInd w:w="-5" w:type="dxa"/>
        <w:tblCellMar>
          <w:left w:w="70" w:type="dxa"/>
          <w:right w:w="70" w:type="dxa"/>
        </w:tblCellMar>
        <w:tblLook w:val="0000" w:firstRow="0" w:lastRow="0" w:firstColumn="0" w:lastColumn="0" w:noHBand="0" w:noVBand="0"/>
      </w:tblPr>
      <w:tblGrid>
        <w:gridCol w:w="2410"/>
        <w:gridCol w:w="5387"/>
      </w:tblGrid>
      <w:tr w:rsidR="00BD47E0" w:rsidRPr="00A335CB" w14:paraId="6FD3F3D3" w14:textId="77777777" w:rsidTr="00653B9D">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705273D" w14:textId="77777777" w:rsidR="00653B9D" w:rsidRPr="00A335CB" w:rsidRDefault="00653B9D" w:rsidP="005D1A90">
            <w:pPr>
              <w:spacing w:after="0" w:line="276" w:lineRule="auto"/>
              <w:rPr>
                <w:rFonts w:ascii="Arial" w:hAnsi="Arial" w:cs="Arial"/>
                <w:b/>
                <w:bCs/>
                <w:sz w:val="20"/>
                <w:szCs w:val="20"/>
              </w:rPr>
            </w:pPr>
            <w:r w:rsidRPr="00A335CB">
              <w:rPr>
                <w:rFonts w:ascii="Arial" w:hAnsi="Arial" w:cs="Arial"/>
                <w:b/>
                <w:bCs/>
                <w:sz w:val="20"/>
                <w:szCs w:val="20"/>
              </w:rPr>
              <w:t>Starostna skupina</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F2AA5" w14:textId="77777777" w:rsidR="00653B9D" w:rsidRPr="00A335CB" w:rsidRDefault="00653B9D" w:rsidP="005D1A90">
            <w:pPr>
              <w:spacing w:after="0" w:line="276" w:lineRule="auto"/>
              <w:rPr>
                <w:rFonts w:ascii="Arial" w:hAnsi="Arial" w:cs="Arial"/>
                <w:b/>
                <w:bCs/>
                <w:sz w:val="20"/>
                <w:szCs w:val="20"/>
              </w:rPr>
            </w:pPr>
            <w:r w:rsidRPr="00A335CB">
              <w:rPr>
                <w:rFonts w:ascii="Arial" w:hAnsi="Arial" w:cs="Arial"/>
                <w:b/>
                <w:bCs/>
                <w:sz w:val="20"/>
                <w:szCs w:val="20"/>
              </w:rPr>
              <w:t>Št. državljanov s potnim listom 1. 1. 2025</w:t>
            </w:r>
          </w:p>
        </w:tc>
      </w:tr>
      <w:tr w:rsidR="00BD47E0" w:rsidRPr="00A335CB" w14:paraId="42B929B0"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313DD778"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do 3. leta</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C7FED23"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8.017</w:t>
            </w:r>
          </w:p>
        </w:tc>
      </w:tr>
      <w:tr w:rsidR="00BD47E0" w:rsidRPr="00A335CB" w14:paraId="783F3E14"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548113D6"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3 do 18 let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76E2DCD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98.114</w:t>
            </w:r>
          </w:p>
        </w:tc>
      </w:tr>
      <w:tr w:rsidR="00BD47E0" w:rsidRPr="00A335CB" w14:paraId="01B8B8A9"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2D3D8FF6"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18 do 31 let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DC88C3D"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115.818</w:t>
            </w:r>
          </w:p>
        </w:tc>
      </w:tr>
      <w:tr w:rsidR="00BD47E0" w:rsidRPr="00A335CB" w14:paraId="3B722A5F"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2690DD39"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31 do 41 let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1E83A589"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116.687</w:t>
            </w:r>
          </w:p>
        </w:tc>
      </w:tr>
      <w:tr w:rsidR="00BD47E0" w:rsidRPr="00A335CB" w14:paraId="4B727BC3"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25D061CB"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41 do 51 let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6447612"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132.492</w:t>
            </w:r>
          </w:p>
        </w:tc>
      </w:tr>
      <w:tr w:rsidR="00BD47E0" w:rsidRPr="00A335CB" w14:paraId="69A0C689"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0202BEE9"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51 do 61 let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E62A6AB"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114.550</w:t>
            </w:r>
          </w:p>
        </w:tc>
      </w:tr>
      <w:tr w:rsidR="00BD47E0" w:rsidRPr="00A335CB" w14:paraId="5A125BFC"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57ED7380"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61 do 71 let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B74C765"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84.632</w:t>
            </w:r>
          </w:p>
        </w:tc>
      </w:tr>
      <w:tr w:rsidR="00BD47E0" w:rsidRPr="00A335CB" w14:paraId="39E4689D"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0D5FBAC7"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več kot 71 let</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C8D0ACF"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48.860</w:t>
            </w:r>
          </w:p>
        </w:tc>
      </w:tr>
      <w:tr w:rsidR="00BD47E0" w:rsidRPr="00A335CB" w14:paraId="1C836EB2" w14:textId="77777777" w:rsidTr="00653B9D">
        <w:trPr>
          <w:trHeight w:val="276"/>
        </w:trPr>
        <w:tc>
          <w:tcPr>
            <w:tcW w:w="2410" w:type="dxa"/>
            <w:tcBorders>
              <w:top w:val="nil"/>
              <w:left w:val="single" w:sz="4" w:space="0" w:color="auto"/>
              <w:bottom w:val="single" w:sz="4" w:space="0" w:color="auto"/>
              <w:right w:val="single" w:sz="4" w:space="0" w:color="auto"/>
            </w:tcBorders>
            <w:shd w:val="clear" w:color="auto" w:fill="FFFFFF"/>
            <w:noWrap/>
          </w:tcPr>
          <w:p w14:paraId="0A8E1878" w14:textId="77777777" w:rsidR="00653B9D" w:rsidRPr="00A335CB" w:rsidRDefault="00653B9D" w:rsidP="005D1A90">
            <w:pPr>
              <w:spacing w:after="0" w:line="276" w:lineRule="auto"/>
              <w:jc w:val="both"/>
              <w:rPr>
                <w:rFonts w:ascii="Arial" w:hAnsi="Arial" w:cs="Arial"/>
                <w:b/>
                <w:bCs/>
                <w:sz w:val="20"/>
                <w:szCs w:val="20"/>
              </w:rPr>
            </w:pPr>
            <w:r w:rsidRPr="00A335CB">
              <w:rPr>
                <w:rFonts w:ascii="Arial" w:hAnsi="Arial" w:cs="Arial"/>
                <w:b/>
                <w:bCs/>
                <w:sz w:val="20"/>
                <w:szCs w:val="20"/>
              </w:rPr>
              <w:t>SKUPAJ</w:t>
            </w:r>
          </w:p>
        </w:tc>
        <w:tc>
          <w:tcPr>
            <w:tcW w:w="5387" w:type="dxa"/>
            <w:tcBorders>
              <w:top w:val="single" w:sz="4" w:space="0" w:color="auto"/>
              <w:left w:val="single" w:sz="4" w:space="0" w:color="auto"/>
              <w:bottom w:val="single" w:sz="4" w:space="0" w:color="auto"/>
              <w:right w:val="single" w:sz="4" w:space="0" w:color="auto"/>
            </w:tcBorders>
          </w:tcPr>
          <w:p w14:paraId="084D675F" w14:textId="77777777" w:rsidR="00653B9D" w:rsidRPr="00A335CB" w:rsidRDefault="00653B9D" w:rsidP="005D1A90">
            <w:pPr>
              <w:spacing w:after="0" w:line="276" w:lineRule="auto"/>
              <w:jc w:val="right"/>
              <w:rPr>
                <w:rFonts w:ascii="Arial" w:hAnsi="Arial" w:cs="Arial"/>
                <w:b/>
                <w:bCs/>
                <w:sz w:val="20"/>
                <w:szCs w:val="20"/>
              </w:rPr>
            </w:pPr>
            <w:r w:rsidRPr="00A335CB">
              <w:rPr>
                <w:rFonts w:ascii="Arial" w:hAnsi="Arial" w:cs="Arial"/>
                <w:b/>
                <w:bCs/>
                <w:sz w:val="20"/>
                <w:szCs w:val="20"/>
              </w:rPr>
              <w:t>719.170</w:t>
            </w:r>
          </w:p>
        </w:tc>
      </w:tr>
    </w:tbl>
    <w:p w14:paraId="793A6B91" w14:textId="77777777" w:rsidR="00653B9D" w:rsidRPr="00A335CB" w:rsidRDefault="00653B9D" w:rsidP="005D1A90">
      <w:pPr>
        <w:spacing w:after="0" w:line="276" w:lineRule="auto"/>
        <w:jc w:val="both"/>
        <w:rPr>
          <w:rFonts w:ascii="Arial" w:hAnsi="Arial" w:cs="Arial"/>
          <w:bCs/>
          <w:sz w:val="20"/>
          <w:szCs w:val="20"/>
        </w:rPr>
      </w:pPr>
      <w:r w:rsidRPr="00A335CB">
        <w:rPr>
          <w:rFonts w:ascii="Arial" w:hAnsi="Arial" w:cs="Arial"/>
          <w:b/>
          <w:bCs/>
          <w:sz w:val="20"/>
          <w:szCs w:val="20"/>
        </w:rPr>
        <w:t>Preglednica:</w:t>
      </w:r>
      <w:r w:rsidRPr="00A335CB">
        <w:rPr>
          <w:rFonts w:ascii="Arial" w:hAnsi="Arial" w:cs="Arial"/>
          <w:bCs/>
          <w:sz w:val="20"/>
          <w:szCs w:val="20"/>
        </w:rPr>
        <w:t xml:space="preserve"> Število državljanov z veljavnim potnim listom na dan 1. 1. 2025</w:t>
      </w:r>
    </w:p>
    <w:p w14:paraId="513D8FC3" w14:textId="77777777" w:rsidR="00653B9D" w:rsidRPr="00A335CB" w:rsidRDefault="00653B9D" w:rsidP="005D1A90">
      <w:pPr>
        <w:spacing w:after="0" w:line="276" w:lineRule="auto"/>
        <w:jc w:val="both"/>
        <w:rPr>
          <w:rFonts w:ascii="Arial" w:hAnsi="Arial" w:cs="Arial"/>
          <w:sz w:val="20"/>
          <w:szCs w:val="20"/>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387"/>
      </w:tblGrid>
      <w:tr w:rsidR="00BD47E0" w:rsidRPr="00A335CB" w14:paraId="2FCDB99F" w14:textId="77777777" w:rsidTr="00653B9D">
        <w:trPr>
          <w:trHeight w:val="276"/>
        </w:trPr>
        <w:tc>
          <w:tcPr>
            <w:tcW w:w="2405" w:type="dxa"/>
            <w:shd w:val="clear" w:color="auto" w:fill="D9D9D9" w:themeFill="background1" w:themeFillShade="D9"/>
            <w:noWrap/>
          </w:tcPr>
          <w:p w14:paraId="41C10FDF" w14:textId="77777777" w:rsidR="00653B9D" w:rsidRPr="00A335CB" w:rsidRDefault="00653B9D" w:rsidP="005D1A90">
            <w:pPr>
              <w:spacing w:after="0" w:line="276" w:lineRule="auto"/>
              <w:jc w:val="both"/>
              <w:rPr>
                <w:rFonts w:ascii="Arial" w:hAnsi="Arial" w:cs="Arial"/>
                <w:b/>
                <w:bCs/>
                <w:sz w:val="20"/>
                <w:szCs w:val="20"/>
              </w:rPr>
            </w:pPr>
            <w:r w:rsidRPr="00A335CB">
              <w:rPr>
                <w:rFonts w:ascii="Arial" w:hAnsi="Arial" w:cs="Arial"/>
                <w:b/>
                <w:bCs/>
                <w:sz w:val="20"/>
                <w:szCs w:val="20"/>
              </w:rPr>
              <w:t>Starostna skupina</w:t>
            </w:r>
          </w:p>
        </w:tc>
        <w:tc>
          <w:tcPr>
            <w:tcW w:w="5387" w:type="dxa"/>
            <w:shd w:val="clear" w:color="auto" w:fill="D9D9D9" w:themeFill="background1" w:themeFillShade="D9"/>
          </w:tcPr>
          <w:p w14:paraId="268AA44C" w14:textId="77777777" w:rsidR="00653B9D" w:rsidRPr="00A335CB" w:rsidRDefault="00653B9D" w:rsidP="005D1A90">
            <w:pPr>
              <w:spacing w:after="0" w:line="276" w:lineRule="auto"/>
              <w:rPr>
                <w:rFonts w:ascii="Arial" w:hAnsi="Arial" w:cs="Arial"/>
                <w:b/>
                <w:bCs/>
                <w:sz w:val="20"/>
                <w:szCs w:val="20"/>
              </w:rPr>
            </w:pPr>
            <w:r w:rsidRPr="00A335CB">
              <w:rPr>
                <w:rFonts w:ascii="Arial" w:hAnsi="Arial" w:cs="Arial"/>
                <w:b/>
                <w:bCs/>
                <w:sz w:val="20"/>
                <w:szCs w:val="20"/>
              </w:rPr>
              <w:t>Št. državljanov z veljavno osebno izkaznico 1. 1. 2025</w:t>
            </w:r>
          </w:p>
        </w:tc>
      </w:tr>
      <w:tr w:rsidR="00BD47E0" w:rsidRPr="00A335CB" w14:paraId="7DD18A5E" w14:textId="77777777" w:rsidTr="00653B9D">
        <w:trPr>
          <w:trHeight w:val="276"/>
        </w:trPr>
        <w:tc>
          <w:tcPr>
            <w:tcW w:w="2405" w:type="dxa"/>
            <w:shd w:val="clear" w:color="auto" w:fill="auto"/>
            <w:noWrap/>
          </w:tcPr>
          <w:p w14:paraId="0256E39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do 3. leta</w:t>
            </w:r>
          </w:p>
        </w:tc>
        <w:tc>
          <w:tcPr>
            <w:tcW w:w="5387" w:type="dxa"/>
            <w:shd w:val="clear" w:color="auto" w:fill="auto"/>
          </w:tcPr>
          <w:p w14:paraId="5A655DEF"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34.920</w:t>
            </w:r>
          </w:p>
        </w:tc>
      </w:tr>
      <w:tr w:rsidR="00BD47E0" w:rsidRPr="00A335CB" w14:paraId="608337CA" w14:textId="77777777" w:rsidTr="00653B9D">
        <w:trPr>
          <w:trHeight w:val="276"/>
        </w:trPr>
        <w:tc>
          <w:tcPr>
            <w:tcW w:w="2405" w:type="dxa"/>
            <w:shd w:val="clear" w:color="auto" w:fill="auto"/>
            <w:noWrap/>
          </w:tcPr>
          <w:p w14:paraId="6AB6223F"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3. 18. leta</w:t>
            </w:r>
          </w:p>
        </w:tc>
        <w:tc>
          <w:tcPr>
            <w:tcW w:w="5387" w:type="dxa"/>
            <w:shd w:val="clear" w:color="auto" w:fill="auto"/>
          </w:tcPr>
          <w:p w14:paraId="684CAC84"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266.803</w:t>
            </w:r>
          </w:p>
        </w:tc>
      </w:tr>
      <w:tr w:rsidR="00BD47E0" w:rsidRPr="00A335CB" w14:paraId="32C51EED" w14:textId="77777777" w:rsidTr="00653B9D">
        <w:trPr>
          <w:trHeight w:val="276"/>
        </w:trPr>
        <w:tc>
          <w:tcPr>
            <w:tcW w:w="2405" w:type="dxa"/>
            <w:shd w:val="clear" w:color="auto" w:fill="auto"/>
            <w:noWrap/>
          </w:tcPr>
          <w:p w14:paraId="2500398B"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18. do 31. leta</w:t>
            </w:r>
          </w:p>
        </w:tc>
        <w:tc>
          <w:tcPr>
            <w:tcW w:w="5387" w:type="dxa"/>
            <w:shd w:val="clear" w:color="auto" w:fill="auto"/>
          </w:tcPr>
          <w:p w14:paraId="14AC5853"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227.138</w:t>
            </w:r>
          </w:p>
        </w:tc>
      </w:tr>
      <w:tr w:rsidR="00BD47E0" w:rsidRPr="00A335CB" w14:paraId="346D56AB" w14:textId="77777777" w:rsidTr="00653B9D">
        <w:trPr>
          <w:trHeight w:val="276"/>
        </w:trPr>
        <w:tc>
          <w:tcPr>
            <w:tcW w:w="2405" w:type="dxa"/>
            <w:shd w:val="clear" w:color="auto" w:fill="auto"/>
            <w:noWrap/>
          </w:tcPr>
          <w:p w14:paraId="4F403B78"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31. do 41. leta</w:t>
            </w:r>
          </w:p>
        </w:tc>
        <w:tc>
          <w:tcPr>
            <w:tcW w:w="5387" w:type="dxa"/>
            <w:shd w:val="clear" w:color="auto" w:fill="auto"/>
          </w:tcPr>
          <w:p w14:paraId="6E364E7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216.632</w:t>
            </w:r>
          </w:p>
        </w:tc>
      </w:tr>
      <w:tr w:rsidR="00BD47E0" w:rsidRPr="00A335CB" w14:paraId="15BB91C4" w14:textId="77777777" w:rsidTr="00653B9D">
        <w:trPr>
          <w:trHeight w:val="276"/>
        </w:trPr>
        <w:tc>
          <w:tcPr>
            <w:tcW w:w="2405" w:type="dxa"/>
            <w:shd w:val="clear" w:color="auto" w:fill="auto"/>
            <w:noWrap/>
          </w:tcPr>
          <w:p w14:paraId="61A2A860"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41. do 51. leta</w:t>
            </w:r>
          </w:p>
        </w:tc>
        <w:tc>
          <w:tcPr>
            <w:tcW w:w="5387" w:type="dxa"/>
            <w:shd w:val="clear" w:color="auto" w:fill="auto"/>
          </w:tcPr>
          <w:p w14:paraId="382244F1"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269.265</w:t>
            </w:r>
          </w:p>
        </w:tc>
      </w:tr>
      <w:tr w:rsidR="00BD47E0" w:rsidRPr="00A335CB" w14:paraId="6C368F34" w14:textId="77777777" w:rsidTr="00653B9D">
        <w:trPr>
          <w:trHeight w:val="276"/>
        </w:trPr>
        <w:tc>
          <w:tcPr>
            <w:tcW w:w="2405" w:type="dxa"/>
            <w:shd w:val="clear" w:color="auto" w:fill="auto"/>
            <w:noWrap/>
          </w:tcPr>
          <w:p w14:paraId="57D3D93A"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51. do 61. leta</w:t>
            </w:r>
          </w:p>
        </w:tc>
        <w:tc>
          <w:tcPr>
            <w:tcW w:w="5387" w:type="dxa"/>
            <w:shd w:val="clear" w:color="auto" w:fill="auto"/>
          </w:tcPr>
          <w:p w14:paraId="75417BC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264.556</w:t>
            </w:r>
          </w:p>
        </w:tc>
      </w:tr>
      <w:tr w:rsidR="00BD47E0" w:rsidRPr="00A335CB" w14:paraId="703303D6" w14:textId="77777777" w:rsidTr="00653B9D">
        <w:trPr>
          <w:trHeight w:val="276"/>
        </w:trPr>
        <w:tc>
          <w:tcPr>
            <w:tcW w:w="2405" w:type="dxa"/>
            <w:shd w:val="clear" w:color="auto" w:fill="auto"/>
            <w:noWrap/>
          </w:tcPr>
          <w:p w14:paraId="0420BF4C"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 61. do 71. leta</w:t>
            </w:r>
          </w:p>
        </w:tc>
        <w:tc>
          <w:tcPr>
            <w:tcW w:w="5387" w:type="dxa"/>
            <w:shd w:val="clear" w:color="auto" w:fill="auto"/>
          </w:tcPr>
          <w:p w14:paraId="77576E65"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260.174</w:t>
            </w:r>
          </w:p>
        </w:tc>
      </w:tr>
      <w:tr w:rsidR="00BD47E0" w:rsidRPr="00A335CB" w14:paraId="712A4AD2" w14:textId="77777777" w:rsidTr="00653B9D">
        <w:trPr>
          <w:trHeight w:val="276"/>
        </w:trPr>
        <w:tc>
          <w:tcPr>
            <w:tcW w:w="2405" w:type="dxa"/>
            <w:shd w:val="clear" w:color="auto" w:fill="auto"/>
            <w:noWrap/>
          </w:tcPr>
          <w:p w14:paraId="70271F5A"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nad 71 LET</w:t>
            </w:r>
          </w:p>
        </w:tc>
        <w:tc>
          <w:tcPr>
            <w:tcW w:w="5387" w:type="dxa"/>
            <w:shd w:val="clear" w:color="auto" w:fill="auto"/>
          </w:tcPr>
          <w:p w14:paraId="27EAAE37"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303.392</w:t>
            </w:r>
          </w:p>
        </w:tc>
      </w:tr>
      <w:tr w:rsidR="00BD47E0" w:rsidRPr="00A335CB" w14:paraId="10FC0869" w14:textId="77777777" w:rsidTr="00653B9D">
        <w:trPr>
          <w:trHeight w:val="276"/>
        </w:trPr>
        <w:tc>
          <w:tcPr>
            <w:tcW w:w="2405" w:type="dxa"/>
            <w:shd w:val="clear" w:color="auto" w:fill="auto"/>
            <w:noWrap/>
          </w:tcPr>
          <w:p w14:paraId="7E854821" w14:textId="77777777" w:rsidR="00653B9D" w:rsidRPr="00A335CB" w:rsidRDefault="00653B9D" w:rsidP="005D1A90">
            <w:pPr>
              <w:spacing w:after="0" w:line="276" w:lineRule="auto"/>
              <w:jc w:val="both"/>
              <w:rPr>
                <w:rFonts w:ascii="Arial" w:hAnsi="Arial" w:cs="Arial"/>
                <w:b/>
                <w:bCs/>
                <w:sz w:val="20"/>
                <w:szCs w:val="20"/>
              </w:rPr>
            </w:pPr>
            <w:r w:rsidRPr="00A335CB">
              <w:rPr>
                <w:rFonts w:ascii="Arial" w:hAnsi="Arial" w:cs="Arial"/>
                <w:b/>
                <w:bCs/>
                <w:sz w:val="20"/>
                <w:szCs w:val="20"/>
              </w:rPr>
              <w:t>SKUPAJ</w:t>
            </w:r>
          </w:p>
        </w:tc>
        <w:tc>
          <w:tcPr>
            <w:tcW w:w="5387" w:type="dxa"/>
            <w:shd w:val="clear" w:color="auto" w:fill="auto"/>
          </w:tcPr>
          <w:p w14:paraId="5A2D2547" w14:textId="77777777" w:rsidR="00653B9D" w:rsidRPr="00A335CB" w:rsidRDefault="00653B9D" w:rsidP="005D1A90">
            <w:pPr>
              <w:spacing w:after="0" w:line="276" w:lineRule="auto"/>
              <w:jc w:val="right"/>
              <w:rPr>
                <w:rFonts w:ascii="Arial" w:hAnsi="Arial" w:cs="Arial"/>
                <w:b/>
                <w:sz w:val="20"/>
                <w:szCs w:val="20"/>
              </w:rPr>
            </w:pPr>
            <w:r w:rsidRPr="00A335CB">
              <w:rPr>
                <w:rFonts w:ascii="Arial" w:hAnsi="Arial" w:cs="Arial"/>
                <w:b/>
                <w:sz w:val="20"/>
                <w:szCs w:val="20"/>
              </w:rPr>
              <w:t>1.842.880</w:t>
            </w:r>
          </w:p>
        </w:tc>
      </w:tr>
    </w:tbl>
    <w:p w14:paraId="2FDB6209"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b/>
          <w:bCs/>
          <w:sz w:val="20"/>
          <w:szCs w:val="20"/>
        </w:rPr>
        <w:t>Preglednica:</w:t>
      </w:r>
      <w:r w:rsidRPr="00A335CB">
        <w:rPr>
          <w:rFonts w:ascii="Arial" w:hAnsi="Arial" w:cs="Arial"/>
          <w:bCs/>
          <w:sz w:val="20"/>
          <w:szCs w:val="20"/>
        </w:rPr>
        <w:t xml:space="preserve"> Število državljanov z veljavno osebno izkaznico na dan 1. januar 2025</w:t>
      </w:r>
    </w:p>
    <w:p w14:paraId="0E4CCE76" w14:textId="393A88B9" w:rsidR="00653B9D" w:rsidRPr="00A335CB" w:rsidRDefault="00653B9D" w:rsidP="005D1A90">
      <w:pPr>
        <w:spacing w:after="0" w:line="276" w:lineRule="auto"/>
        <w:jc w:val="both"/>
        <w:rPr>
          <w:rFonts w:ascii="Arial" w:hAnsi="Arial" w:cs="Arial"/>
          <w:b/>
          <w:sz w:val="20"/>
          <w:szCs w:val="20"/>
        </w:rPr>
      </w:pPr>
    </w:p>
    <w:p w14:paraId="33993A84" w14:textId="17597D04" w:rsidR="00653B9D" w:rsidRPr="001A3C2D" w:rsidRDefault="00653B9D" w:rsidP="005D1A90">
      <w:pPr>
        <w:spacing w:after="0" w:line="276" w:lineRule="auto"/>
        <w:jc w:val="both"/>
        <w:rPr>
          <w:rFonts w:ascii="Arial" w:hAnsi="Arial" w:cs="Arial"/>
          <w:sz w:val="20"/>
          <w:szCs w:val="20"/>
        </w:rPr>
      </w:pPr>
      <w:r w:rsidRPr="001A3C2D">
        <w:rPr>
          <w:rFonts w:ascii="Arial" w:hAnsi="Arial" w:cs="Arial"/>
          <w:b/>
          <w:sz w:val="20"/>
          <w:szCs w:val="20"/>
        </w:rPr>
        <w:t>Določitev enotne</w:t>
      </w:r>
      <w:r w:rsidR="007B3670" w:rsidRPr="001A3C2D">
        <w:rPr>
          <w:rFonts w:ascii="Arial" w:hAnsi="Arial" w:cs="Arial"/>
          <w:b/>
          <w:sz w:val="20"/>
          <w:szCs w:val="20"/>
        </w:rPr>
        <w:t xml:space="preserve"> matične številke občana (EMŠO)</w:t>
      </w:r>
    </w:p>
    <w:p w14:paraId="4F2B0642" w14:textId="628D9BB4" w:rsidR="006618B7" w:rsidRPr="001A3C2D" w:rsidRDefault="00653B9D" w:rsidP="001A3C2D">
      <w:pPr>
        <w:tabs>
          <w:tab w:val="left" w:pos="8789"/>
        </w:tabs>
        <w:spacing w:line="276" w:lineRule="auto"/>
        <w:jc w:val="both"/>
        <w:rPr>
          <w:rFonts w:ascii="Arial" w:hAnsi="Arial" w:cs="Arial"/>
          <w:sz w:val="20"/>
          <w:szCs w:val="20"/>
        </w:rPr>
      </w:pPr>
      <w:r w:rsidRPr="001A3C2D">
        <w:rPr>
          <w:rFonts w:ascii="Arial" w:hAnsi="Arial" w:cs="Arial"/>
          <w:sz w:val="20"/>
          <w:szCs w:val="20"/>
        </w:rPr>
        <w:t xml:space="preserve">V letu 2024 je bilo določenih </w:t>
      </w:r>
      <w:r w:rsidRPr="001A3C2D">
        <w:rPr>
          <w:rFonts w:ascii="Arial" w:hAnsi="Arial" w:cs="Arial"/>
          <w:b/>
          <w:sz w:val="20"/>
          <w:szCs w:val="20"/>
        </w:rPr>
        <w:t>82.126</w:t>
      </w:r>
      <w:r w:rsidRPr="001A3C2D">
        <w:rPr>
          <w:rFonts w:ascii="Arial" w:hAnsi="Arial" w:cs="Arial"/>
          <w:sz w:val="20"/>
          <w:szCs w:val="20"/>
        </w:rPr>
        <w:t xml:space="preserve"> in spremenjenih </w:t>
      </w:r>
      <w:r w:rsidRPr="001A3C2D">
        <w:rPr>
          <w:rFonts w:ascii="Arial" w:hAnsi="Arial" w:cs="Arial"/>
          <w:b/>
          <w:sz w:val="20"/>
          <w:szCs w:val="20"/>
        </w:rPr>
        <w:t>2.873 EMŠO</w:t>
      </w:r>
      <w:r w:rsidRPr="001A3C2D">
        <w:rPr>
          <w:rFonts w:ascii="Arial" w:hAnsi="Arial" w:cs="Arial"/>
          <w:sz w:val="20"/>
          <w:szCs w:val="20"/>
        </w:rPr>
        <w:t>. V porodnišnicah je bila določena dobra petina vseh EMŠO (21</w:t>
      </w:r>
      <w:r w:rsidR="003B6824" w:rsidRPr="001A3C2D">
        <w:rPr>
          <w:rFonts w:ascii="Arial" w:hAnsi="Arial" w:cs="Arial"/>
          <w:sz w:val="20"/>
          <w:szCs w:val="20"/>
        </w:rPr>
        <w:t xml:space="preserve"> </w:t>
      </w:r>
      <w:r w:rsidRPr="001A3C2D">
        <w:rPr>
          <w:rFonts w:ascii="Arial" w:hAnsi="Arial" w:cs="Arial"/>
          <w:sz w:val="20"/>
          <w:szCs w:val="20"/>
        </w:rPr>
        <w:t xml:space="preserve">%), </w:t>
      </w:r>
      <w:r w:rsidRPr="001A3C2D">
        <w:rPr>
          <w:rFonts w:ascii="Arial" w:hAnsi="Arial" w:cs="Arial"/>
          <w:b/>
          <w:sz w:val="20"/>
          <w:szCs w:val="20"/>
        </w:rPr>
        <w:t xml:space="preserve">upravne enote </w:t>
      </w:r>
      <w:r w:rsidRPr="001A3C2D">
        <w:rPr>
          <w:rFonts w:ascii="Arial" w:hAnsi="Arial" w:cs="Arial"/>
          <w:sz w:val="20"/>
          <w:szCs w:val="20"/>
        </w:rPr>
        <w:t>(UE) so določile 30</w:t>
      </w:r>
      <w:r w:rsidR="003B6824" w:rsidRPr="001A3C2D">
        <w:rPr>
          <w:rFonts w:ascii="Arial" w:hAnsi="Arial" w:cs="Arial"/>
          <w:sz w:val="20"/>
          <w:szCs w:val="20"/>
        </w:rPr>
        <w:t xml:space="preserve"> % vseh EMŠO, v</w:t>
      </w:r>
      <w:r w:rsidRPr="001A3C2D">
        <w:rPr>
          <w:rFonts w:ascii="Arial" w:hAnsi="Arial" w:cs="Arial"/>
          <w:sz w:val="20"/>
          <w:szCs w:val="20"/>
        </w:rPr>
        <w:t xml:space="preserve"> </w:t>
      </w:r>
      <w:r w:rsidRPr="001A3C2D">
        <w:rPr>
          <w:rFonts w:ascii="Arial" w:hAnsi="Arial" w:cs="Arial"/>
          <w:b/>
          <w:sz w:val="20"/>
          <w:szCs w:val="20"/>
        </w:rPr>
        <w:t>MNZ</w:t>
      </w:r>
      <w:r w:rsidRPr="001A3C2D">
        <w:rPr>
          <w:rFonts w:ascii="Arial" w:hAnsi="Arial" w:cs="Arial"/>
          <w:sz w:val="20"/>
          <w:szCs w:val="20"/>
        </w:rPr>
        <w:t xml:space="preserve"> je bilo ročno določenih 16</w:t>
      </w:r>
      <w:r w:rsidR="003B6824" w:rsidRPr="001A3C2D">
        <w:rPr>
          <w:rFonts w:ascii="Arial" w:hAnsi="Arial" w:cs="Arial"/>
          <w:sz w:val="20"/>
          <w:szCs w:val="20"/>
        </w:rPr>
        <w:t xml:space="preserve"> </w:t>
      </w:r>
      <w:r w:rsidRPr="001A3C2D">
        <w:rPr>
          <w:rFonts w:ascii="Arial" w:hAnsi="Arial" w:cs="Arial"/>
          <w:sz w:val="20"/>
          <w:szCs w:val="20"/>
        </w:rPr>
        <w:t xml:space="preserve">%. EMŠO določajo še na tehničnih pregledih (TP), Zavodu za invalidsko in pokojninsko zavarovanje (ZPIZ), Zavodu za zaposlovanje (ZRSZ) in prek spletnih servisov (ECRP) institucije vzgoje, izobraževanja in </w:t>
      </w:r>
      <w:r w:rsidR="00A1011A">
        <w:rPr>
          <w:rFonts w:ascii="Arial" w:hAnsi="Arial" w:cs="Arial"/>
          <w:sz w:val="20"/>
          <w:szCs w:val="20"/>
        </w:rPr>
        <w:t>študija</w:t>
      </w:r>
      <w:r w:rsidRPr="00A1011A">
        <w:rPr>
          <w:rFonts w:ascii="Arial" w:hAnsi="Arial" w:cs="Arial"/>
          <w:sz w:val="20"/>
          <w:szCs w:val="20"/>
        </w:rPr>
        <w:t>. Na</w:t>
      </w:r>
      <w:r w:rsidRPr="001A3C2D">
        <w:rPr>
          <w:rFonts w:ascii="Arial" w:hAnsi="Arial" w:cs="Arial"/>
          <w:sz w:val="20"/>
          <w:szCs w:val="20"/>
        </w:rPr>
        <w:t xml:space="preserve"> MNZ je bilo ročno določenih 13.053 EMŠO, kar je malo več kot polovica določenih EMŠO na vseh upravnih enotah skupaj. Približno 62,5</w:t>
      </w:r>
      <w:r w:rsidR="001D2776" w:rsidRPr="001A3C2D">
        <w:rPr>
          <w:rFonts w:ascii="Arial" w:hAnsi="Arial" w:cs="Arial"/>
          <w:sz w:val="20"/>
          <w:szCs w:val="20"/>
        </w:rPr>
        <w:t> </w:t>
      </w:r>
      <w:r w:rsidRPr="001A3C2D">
        <w:rPr>
          <w:rFonts w:ascii="Arial" w:hAnsi="Arial" w:cs="Arial"/>
          <w:sz w:val="20"/>
          <w:szCs w:val="20"/>
        </w:rPr>
        <w:t xml:space="preserve">% EMŠO, ki so določeni na MNZ, je </w:t>
      </w:r>
      <w:r w:rsidR="001D2776" w:rsidRPr="001A3C2D">
        <w:rPr>
          <w:rFonts w:ascii="Arial" w:hAnsi="Arial" w:cs="Arial"/>
          <w:sz w:val="20"/>
          <w:szCs w:val="20"/>
        </w:rPr>
        <w:t xml:space="preserve">določenih </w:t>
      </w:r>
      <w:r w:rsidRPr="001A3C2D">
        <w:rPr>
          <w:rFonts w:ascii="Arial" w:hAnsi="Arial" w:cs="Arial"/>
          <w:sz w:val="20"/>
          <w:szCs w:val="20"/>
        </w:rPr>
        <w:t>na po</w:t>
      </w:r>
      <w:r w:rsidR="001A3C2D" w:rsidRPr="001A3C2D">
        <w:rPr>
          <w:rFonts w:ascii="Arial" w:hAnsi="Arial" w:cs="Arial"/>
          <w:sz w:val="20"/>
          <w:szCs w:val="20"/>
        </w:rPr>
        <w:t>dlagi vlog iz območnih enot Zavoda za zdravstveno zavarovanje (ZZZS)</w:t>
      </w:r>
      <w:r w:rsidRPr="001A3C2D">
        <w:rPr>
          <w:rFonts w:ascii="Arial" w:hAnsi="Arial" w:cs="Arial"/>
          <w:sz w:val="20"/>
          <w:szCs w:val="20"/>
        </w:rPr>
        <w:t>.</w:t>
      </w:r>
    </w:p>
    <w:p w14:paraId="2EF79E6F" w14:textId="246CB40D" w:rsidR="006618B7" w:rsidRPr="00A335CB" w:rsidRDefault="006618B7" w:rsidP="005D1A90">
      <w:pPr>
        <w:tabs>
          <w:tab w:val="left" w:pos="8789"/>
        </w:tabs>
        <w:spacing w:after="0" w:line="276" w:lineRule="auto"/>
        <w:jc w:val="both"/>
        <w:rPr>
          <w:rFonts w:ascii="Arial" w:hAnsi="Arial" w:cs="Arial"/>
          <w:b/>
          <w:sz w:val="20"/>
          <w:szCs w:val="20"/>
        </w:rPr>
      </w:pPr>
    </w:p>
    <w:p w14:paraId="7D7ED12F" w14:textId="01F3221E" w:rsidR="006618B7" w:rsidRPr="00A335CB" w:rsidRDefault="006618B7" w:rsidP="005D1A90">
      <w:pPr>
        <w:tabs>
          <w:tab w:val="left" w:pos="8789"/>
        </w:tabs>
        <w:spacing w:after="0" w:line="276" w:lineRule="auto"/>
        <w:jc w:val="both"/>
        <w:rPr>
          <w:rFonts w:ascii="Arial" w:hAnsi="Arial" w:cs="Arial"/>
          <w:b/>
          <w:sz w:val="20"/>
          <w:szCs w:val="20"/>
        </w:rPr>
      </w:pPr>
    </w:p>
    <w:p w14:paraId="4850D12F" w14:textId="6D35CFC1" w:rsidR="006618B7" w:rsidRPr="00A335CB" w:rsidRDefault="006618B7" w:rsidP="005D1A90">
      <w:pPr>
        <w:tabs>
          <w:tab w:val="left" w:pos="8789"/>
        </w:tabs>
        <w:spacing w:after="0" w:line="276" w:lineRule="auto"/>
        <w:jc w:val="both"/>
        <w:rPr>
          <w:rFonts w:ascii="Arial" w:hAnsi="Arial" w:cs="Arial"/>
          <w:b/>
          <w:sz w:val="20"/>
          <w:szCs w:val="20"/>
        </w:rPr>
      </w:pPr>
    </w:p>
    <w:p w14:paraId="0D10423B" w14:textId="743CE045" w:rsidR="006618B7" w:rsidRPr="00A335CB" w:rsidRDefault="003C0F33" w:rsidP="005D1A90">
      <w:pPr>
        <w:tabs>
          <w:tab w:val="left" w:pos="8789"/>
        </w:tabs>
        <w:spacing w:after="0" w:line="276" w:lineRule="auto"/>
        <w:jc w:val="both"/>
        <w:rPr>
          <w:rFonts w:ascii="Arial" w:hAnsi="Arial" w:cs="Arial"/>
          <w:b/>
          <w:sz w:val="20"/>
          <w:szCs w:val="20"/>
        </w:rPr>
      </w:pPr>
      <w:r>
        <w:rPr>
          <w:rFonts w:ascii="Arial" w:hAnsi="Arial" w:cs="Arial"/>
          <w:b/>
          <w:noProof/>
          <w:sz w:val="20"/>
          <w:szCs w:val="20"/>
          <w:lang w:eastAsia="sl-SI"/>
        </w:rPr>
        <w:drawing>
          <wp:inline distT="0" distB="0" distL="0" distR="0" wp14:anchorId="5435CF1B" wp14:editId="5AFD699E">
            <wp:extent cx="4744800" cy="3430800"/>
            <wp:effectExtent l="19050" t="19050" r="17780" b="17780"/>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4800" cy="3430800"/>
                    </a:xfrm>
                    <a:prstGeom prst="rect">
                      <a:avLst/>
                    </a:prstGeom>
                    <a:noFill/>
                    <a:ln>
                      <a:solidFill>
                        <a:schemeClr val="bg1">
                          <a:lumMod val="75000"/>
                        </a:schemeClr>
                      </a:solidFill>
                    </a:ln>
                  </pic:spPr>
                </pic:pic>
              </a:graphicData>
            </a:graphic>
          </wp:inline>
        </w:drawing>
      </w:r>
    </w:p>
    <w:p w14:paraId="5C11537B" w14:textId="175705A7" w:rsidR="00653B9D" w:rsidRPr="00A335CB" w:rsidRDefault="00653B9D" w:rsidP="005D1A90">
      <w:pPr>
        <w:tabs>
          <w:tab w:val="left" w:pos="8789"/>
        </w:tabs>
        <w:spacing w:after="0" w:line="276" w:lineRule="auto"/>
        <w:jc w:val="both"/>
        <w:rPr>
          <w:rFonts w:ascii="Arial" w:hAnsi="Arial" w:cs="Arial"/>
          <w:sz w:val="20"/>
          <w:szCs w:val="20"/>
        </w:rPr>
      </w:pPr>
      <w:r w:rsidRPr="0043326A">
        <w:rPr>
          <w:rFonts w:ascii="Arial" w:hAnsi="Arial" w:cs="Arial"/>
          <w:b/>
          <w:sz w:val="20"/>
          <w:szCs w:val="20"/>
        </w:rPr>
        <w:t>Graf:</w:t>
      </w:r>
      <w:r w:rsidRPr="0043326A">
        <w:rPr>
          <w:rFonts w:ascii="Arial" w:hAnsi="Arial" w:cs="Arial"/>
          <w:sz w:val="20"/>
          <w:szCs w:val="20"/>
        </w:rPr>
        <w:t xml:space="preserve"> Določitev EMŠO v letu 2024 po institucijah</w:t>
      </w:r>
    </w:p>
    <w:p w14:paraId="46AECE9A" w14:textId="0AF75875" w:rsidR="00780CD6" w:rsidRPr="00A335CB" w:rsidRDefault="00780CD6" w:rsidP="005D1A90">
      <w:pPr>
        <w:autoSpaceDE w:val="0"/>
        <w:autoSpaceDN w:val="0"/>
        <w:adjustRightInd w:val="0"/>
        <w:spacing w:after="0" w:line="276" w:lineRule="auto"/>
        <w:jc w:val="both"/>
        <w:rPr>
          <w:rFonts w:ascii="Arial" w:hAnsi="Arial" w:cs="Arial"/>
          <w:b/>
          <w:sz w:val="20"/>
          <w:szCs w:val="20"/>
        </w:rPr>
      </w:pPr>
    </w:p>
    <w:p w14:paraId="1E67D2D1" w14:textId="184ED27D" w:rsidR="00653B9D" w:rsidRPr="00A335CB" w:rsidRDefault="00653B9D" w:rsidP="005D1A90">
      <w:pPr>
        <w:autoSpaceDE w:val="0"/>
        <w:autoSpaceDN w:val="0"/>
        <w:adjustRightInd w:val="0"/>
        <w:spacing w:after="0" w:line="276" w:lineRule="auto"/>
        <w:jc w:val="both"/>
        <w:rPr>
          <w:rFonts w:ascii="Arial" w:hAnsi="Arial" w:cs="Arial"/>
          <w:b/>
          <w:sz w:val="20"/>
          <w:szCs w:val="20"/>
        </w:rPr>
      </w:pPr>
      <w:r w:rsidRPr="00A335CB">
        <w:rPr>
          <w:rFonts w:ascii="Arial" w:hAnsi="Arial" w:cs="Arial"/>
          <w:b/>
          <w:sz w:val="20"/>
          <w:szCs w:val="20"/>
        </w:rPr>
        <w:t>Vpogledi</w:t>
      </w:r>
      <w:r w:rsidR="007B3670" w:rsidRPr="00A335CB">
        <w:rPr>
          <w:rFonts w:ascii="Arial" w:hAnsi="Arial" w:cs="Arial"/>
          <w:b/>
          <w:sz w:val="20"/>
          <w:szCs w:val="20"/>
        </w:rPr>
        <w:t xml:space="preserve"> v lastne osebne podatke – VLOP</w:t>
      </w:r>
    </w:p>
    <w:p w14:paraId="100F4E81" w14:textId="6786A17B" w:rsidR="00653B9D" w:rsidRPr="00A335CB" w:rsidRDefault="00653B9D" w:rsidP="005D1A90">
      <w:pPr>
        <w:autoSpaceDE w:val="0"/>
        <w:autoSpaceDN w:val="0"/>
        <w:adjustRightInd w:val="0"/>
        <w:spacing w:line="276" w:lineRule="auto"/>
        <w:jc w:val="both"/>
        <w:rPr>
          <w:rFonts w:ascii="Arial" w:hAnsi="Arial" w:cs="Arial"/>
          <w:b/>
          <w:sz w:val="20"/>
          <w:szCs w:val="20"/>
        </w:rPr>
      </w:pPr>
      <w:r w:rsidRPr="00A335CB">
        <w:rPr>
          <w:rFonts w:ascii="Arial" w:hAnsi="Arial" w:cs="Arial"/>
          <w:sz w:val="20"/>
          <w:szCs w:val="20"/>
        </w:rPr>
        <w:t>V letu </w:t>
      </w:r>
      <w:r w:rsidRPr="00A335CB">
        <w:rPr>
          <w:rFonts w:ascii="Arial" w:hAnsi="Arial" w:cs="Arial"/>
          <w:b/>
          <w:sz w:val="20"/>
          <w:szCs w:val="20"/>
        </w:rPr>
        <w:t>2024</w:t>
      </w:r>
      <w:r w:rsidRPr="00A335CB">
        <w:rPr>
          <w:rFonts w:ascii="Arial" w:hAnsi="Arial" w:cs="Arial"/>
          <w:sz w:val="20"/>
          <w:szCs w:val="20"/>
        </w:rPr>
        <w:t xml:space="preserve"> je bilo opravljenih 4.388 vpogledov v lastne osebne podatke prek portala VLOP.</w:t>
      </w:r>
    </w:p>
    <w:p w14:paraId="364375A5" w14:textId="3C75EFDB" w:rsidR="00653B9D" w:rsidRPr="00A335CB" w:rsidRDefault="00653B9D" w:rsidP="007B3670">
      <w:pPr>
        <w:autoSpaceDE w:val="0"/>
        <w:autoSpaceDN w:val="0"/>
        <w:adjustRightInd w:val="0"/>
        <w:spacing w:after="0" w:line="276" w:lineRule="auto"/>
        <w:jc w:val="both"/>
        <w:rPr>
          <w:rFonts w:ascii="Arial" w:hAnsi="Arial" w:cs="Arial"/>
          <w:b/>
          <w:sz w:val="20"/>
          <w:szCs w:val="20"/>
        </w:rPr>
      </w:pPr>
      <w:r w:rsidRPr="00A335CB">
        <w:rPr>
          <w:rFonts w:ascii="Arial" w:hAnsi="Arial" w:cs="Arial"/>
          <w:b/>
          <w:sz w:val="20"/>
          <w:szCs w:val="20"/>
        </w:rPr>
        <w:t>Poda</w:t>
      </w:r>
      <w:r w:rsidR="007B3670" w:rsidRPr="00A335CB">
        <w:rPr>
          <w:rFonts w:ascii="Arial" w:hAnsi="Arial" w:cs="Arial"/>
          <w:b/>
          <w:sz w:val="20"/>
          <w:szCs w:val="20"/>
        </w:rPr>
        <w:t>tki o vpisih v matični register</w:t>
      </w:r>
    </w:p>
    <w:p w14:paraId="5504F90E" w14:textId="6AB58409" w:rsidR="00653B9D" w:rsidRPr="00A335CB" w:rsidRDefault="00653B9D"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 letu 2024 so bili v matični register vpisani naslednji podatki:</w:t>
      </w:r>
    </w:p>
    <w:p w14:paraId="3AD37E2E" w14:textId="37556954" w:rsidR="00653B9D" w:rsidRPr="00A335CB" w:rsidRDefault="00653B9D" w:rsidP="005D1A90">
      <w:pPr>
        <w:autoSpaceDE w:val="0"/>
        <w:autoSpaceDN w:val="0"/>
        <w:adjustRightInd w:val="0"/>
        <w:spacing w:after="0" w:line="276" w:lineRule="auto"/>
        <w:jc w:val="both"/>
        <w:rPr>
          <w:rFonts w:ascii="Arial" w:hAnsi="Arial" w:cs="Arial"/>
          <w:sz w:val="20"/>
          <w:szCs w:val="20"/>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417"/>
      </w:tblGrid>
      <w:tr w:rsidR="00BD47E0" w:rsidRPr="00A335CB" w14:paraId="3D5F7773" w14:textId="77777777" w:rsidTr="00653B9D">
        <w:trPr>
          <w:trHeight w:val="285"/>
        </w:trPr>
        <w:tc>
          <w:tcPr>
            <w:tcW w:w="4815" w:type="dxa"/>
            <w:shd w:val="clear" w:color="auto" w:fill="D9D9D9" w:themeFill="background1" w:themeFillShade="D9"/>
          </w:tcPr>
          <w:p w14:paraId="5E9C7A5C" w14:textId="77777777" w:rsidR="00653B9D"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MATIČNA DEJSTVA</w:t>
            </w:r>
          </w:p>
        </w:tc>
        <w:tc>
          <w:tcPr>
            <w:tcW w:w="1417" w:type="dxa"/>
            <w:shd w:val="clear" w:color="auto" w:fill="D9D9D9" w:themeFill="background1" w:themeFillShade="D9"/>
          </w:tcPr>
          <w:p w14:paraId="340EF87C" w14:textId="77777777" w:rsidR="00653B9D"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Število</w:t>
            </w:r>
          </w:p>
        </w:tc>
      </w:tr>
      <w:tr w:rsidR="00BD47E0" w:rsidRPr="00A335CB" w14:paraId="541CAC43" w14:textId="77777777" w:rsidTr="00653B9D">
        <w:trPr>
          <w:trHeight w:val="213"/>
        </w:trPr>
        <w:tc>
          <w:tcPr>
            <w:tcW w:w="4815" w:type="dxa"/>
          </w:tcPr>
          <w:p w14:paraId="12765EC8"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Rojstvo</w:t>
            </w:r>
          </w:p>
        </w:tc>
        <w:tc>
          <w:tcPr>
            <w:tcW w:w="1417" w:type="dxa"/>
          </w:tcPr>
          <w:p w14:paraId="621ED6A0"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20.977</w:t>
            </w:r>
          </w:p>
        </w:tc>
      </w:tr>
      <w:tr w:rsidR="00BD47E0" w:rsidRPr="00A335CB" w14:paraId="34FC0499" w14:textId="77777777" w:rsidTr="00653B9D">
        <w:trPr>
          <w:trHeight w:val="213"/>
        </w:trPr>
        <w:tc>
          <w:tcPr>
            <w:tcW w:w="4815" w:type="dxa"/>
          </w:tcPr>
          <w:p w14:paraId="6B097502"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Sklenitev zakonske zveze</w:t>
            </w:r>
          </w:p>
        </w:tc>
        <w:tc>
          <w:tcPr>
            <w:tcW w:w="1417" w:type="dxa"/>
          </w:tcPr>
          <w:p w14:paraId="64DAB26E"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7.582</w:t>
            </w:r>
          </w:p>
        </w:tc>
      </w:tr>
      <w:tr w:rsidR="00BD47E0" w:rsidRPr="00A335CB" w14:paraId="03FC6F96" w14:textId="77777777" w:rsidTr="00653B9D">
        <w:trPr>
          <w:trHeight w:val="213"/>
        </w:trPr>
        <w:tc>
          <w:tcPr>
            <w:tcW w:w="4815" w:type="dxa"/>
          </w:tcPr>
          <w:p w14:paraId="434924DE"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Smrt</w:t>
            </w:r>
          </w:p>
        </w:tc>
        <w:tc>
          <w:tcPr>
            <w:tcW w:w="1417" w:type="dxa"/>
          </w:tcPr>
          <w:p w14:paraId="681836D5"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22.489</w:t>
            </w:r>
          </w:p>
        </w:tc>
      </w:tr>
      <w:tr w:rsidR="00BD47E0" w:rsidRPr="00A335CB" w14:paraId="1EF69D27" w14:textId="77777777" w:rsidTr="00653B9D">
        <w:trPr>
          <w:trHeight w:val="285"/>
        </w:trPr>
        <w:tc>
          <w:tcPr>
            <w:tcW w:w="4815" w:type="dxa"/>
            <w:shd w:val="clear" w:color="auto" w:fill="D9D9D9" w:themeFill="background1" w:themeFillShade="D9"/>
          </w:tcPr>
          <w:p w14:paraId="065177AE" w14:textId="77777777" w:rsidR="00653B9D"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DRUGE SPREMEMBE OSEBNEGA STATUSA</w:t>
            </w:r>
          </w:p>
        </w:tc>
        <w:tc>
          <w:tcPr>
            <w:tcW w:w="1417" w:type="dxa"/>
            <w:shd w:val="clear" w:color="auto" w:fill="D9D9D9" w:themeFill="background1" w:themeFillShade="D9"/>
          </w:tcPr>
          <w:p w14:paraId="7E690BCC" w14:textId="77777777" w:rsidR="00653B9D" w:rsidRPr="00A335CB" w:rsidRDefault="00653B9D" w:rsidP="005D1A90">
            <w:pPr>
              <w:spacing w:after="0" w:line="276" w:lineRule="auto"/>
              <w:jc w:val="both"/>
              <w:rPr>
                <w:rFonts w:ascii="Arial" w:hAnsi="Arial" w:cs="Arial"/>
                <w:b/>
                <w:sz w:val="20"/>
                <w:szCs w:val="20"/>
              </w:rPr>
            </w:pPr>
          </w:p>
        </w:tc>
      </w:tr>
      <w:tr w:rsidR="00BD47E0" w:rsidRPr="00A335CB" w14:paraId="0ED47C18"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75F7A75F"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Sprememba spola</w:t>
            </w:r>
          </w:p>
        </w:tc>
        <w:tc>
          <w:tcPr>
            <w:tcW w:w="1417" w:type="dxa"/>
            <w:tcBorders>
              <w:top w:val="single" w:sz="4" w:space="0" w:color="auto"/>
              <w:left w:val="single" w:sz="4" w:space="0" w:color="auto"/>
              <w:bottom w:val="single" w:sz="4" w:space="0" w:color="auto"/>
              <w:right w:val="single" w:sz="4" w:space="0" w:color="auto"/>
            </w:tcBorders>
          </w:tcPr>
          <w:p w14:paraId="38DCEF4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40</w:t>
            </w:r>
          </w:p>
        </w:tc>
      </w:tr>
      <w:tr w:rsidR="00BD47E0" w:rsidRPr="00A335CB" w14:paraId="05BD145F"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08A95D85" w14:textId="28734FBA"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Prenehanje ZZ </w:t>
            </w:r>
            <w:r w:rsidR="001D2776">
              <w:rPr>
                <w:rFonts w:ascii="Arial" w:hAnsi="Arial" w:cs="Arial"/>
                <w:sz w:val="20"/>
                <w:szCs w:val="20"/>
              </w:rPr>
              <w:t>–</w:t>
            </w:r>
            <w:r w:rsidR="001D2776" w:rsidRPr="00A335CB">
              <w:rPr>
                <w:rFonts w:ascii="Arial" w:hAnsi="Arial" w:cs="Arial"/>
                <w:sz w:val="20"/>
                <w:szCs w:val="20"/>
              </w:rPr>
              <w:t xml:space="preserve"> </w:t>
            </w:r>
            <w:r w:rsidRPr="00A335CB">
              <w:rPr>
                <w:rFonts w:ascii="Arial" w:hAnsi="Arial" w:cs="Arial"/>
                <w:sz w:val="20"/>
                <w:szCs w:val="20"/>
              </w:rPr>
              <w:t xml:space="preserve">razveljavitev </w:t>
            </w:r>
          </w:p>
        </w:tc>
        <w:tc>
          <w:tcPr>
            <w:tcW w:w="1417" w:type="dxa"/>
            <w:tcBorders>
              <w:top w:val="single" w:sz="4" w:space="0" w:color="auto"/>
              <w:left w:val="single" w:sz="4" w:space="0" w:color="auto"/>
              <w:bottom w:val="single" w:sz="4" w:space="0" w:color="auto"/>
              <w:right w:val="single" w:sz="4" w:space="0" w:color="auto"/>
            </w:tcBorders>
          </w:tcPr>
          <w:p w14:paraId="64755EA7"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w:t>
            </w:r>
          </w:p>
        </w:tc>
      </w:tr>
      <w:tr w:rsidR="00BD47E0" w:rsidRPr="00A335CB" w14:paraId="773FE1A6"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41C342F9"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Prenehanje ZZ – razveza</w:t>
            </w:r>
          </w:p>
        </w:tc>
        <w:tc>
          <w:tcPr>
            <w:tcW w:w="1417" w:type="dxa"/>
            <w:tcBorders>
              <w:top w:val="single" w:sz="4" w:space="0" w:color="auto"/>
              <w:left w:val="single" w:sz="4" w:space="0" w:color="auto"/>
              <w:bottom w:val="single" w:sz="4" w:space="0" w:color="auto"/>
              <w:right w:val="single" w:sz="4" w:space="0" w:color="auto"/>
            </w:tcBorders>
          </w:tcPr>
          <w:p w14:paraId="7AED28B7"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2.294</w:t>
            </w:r>
          </w:p>
        </w:tc>
      </w:tr>
      <w:tr w:rsidR="00BD47E0" w:rsidRPr="00A335CB" w14:paraId="2A647147"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68C0902B"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Prenehanje ZZ – smrt zakonca</w:t>
            </w:r>
          </w:p>
        </w:tc>
        <w:tc>
          <w:tcPr>
            <w:tcW w:w="1417" w:type="dxa"/>
            <w:tcBorders>
              <w:top w:val="single" w:sz="4" w:space="0" w:color="auto"/>
              <w:left w:val="single" w:sz="4" w:space="0" w:color="auto"/>
              <w:bottom w:val="single" w:sz="4" w:space="0" w:color="auto"/>
              <w:right w:val="single" w:sz="4" w:space="0" w:color="auto"/>
            </w:tcBorders>
          </w:tcPr>
          <w:p w14:paraId="3E67ACFE"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7.800</w:t>
            </w:r>
          </w:p>
        </w:tc>
      </w:tr>
      <w:tr w:rsidR="00BD47E0" w:rsidRPr="00A335CB" w14:paraId="0B3B9062"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6A5A84EF"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Posvojitev</w:t>
            </w:r>
          </w:p>
        </w:tc>
        <w:tc>
          <w:tcPr>
            <w:tcW w:w="1417" w:type="dxa"/>
            <w:tcBorders>
              <w:top w:val="single" w:sz="4" w:space="0" w:color="auto"/>
              <w:left w:val="single" w:sz="4" w:space="0" w:color="auto"/>
              <w:bottom w:val="single" w:sz="4" w:space="0" w:color="auto"/>
              <w:right w:val="single" w:sz="4" w:space="0" w:color="auto"/>
            </w:tcBorders>
          </w:tcPr>
          <w:p w14:paraId="2DAAC45B"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45</w:t>
            </w:r>
          </w:p>
        </w:tc>
      </w:tr>
      <w:tr w:rsidR="00BD47E0" w:rsidRPr="00A335CB" w14:paraId="2EBD6818"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071EB15C"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Izpodbijanje očetovstva</w:t>
            </w:r>
          </w:p>
        </w:tc>
        <w:tc>
          <w:tcPr>
            <w:tcW w:w="1417" w:type="dxa"/>
            <w:tcBorders>
              <w:top w:val="single" w:sz="4" w:space="0" w:color="auto"/>
              <w:left w:val="single" w:sz="4" w:space="0" w:color="auto"/>
              <w:bottom w:val="single" w:sz="4" w:space="0" w:color="auto"/>
              <w:right w:val="single" w:sz="4" w:space="0" w:color="auto"/>
            </w:tcBorders>
          </w:tcPr>
          <w:p w14:paraId="3F86BAEA"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35</w:t>
            </w:r>
          </w:p>
        </w:tc>
      </w:tr>
      <w:tr w:rsidR="00BD47E0" w:rsidRPr="00A335CB" w14:paraId="4AB26BAC"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334F265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Priznanje očetovstva</w:t>
            </w:r>
          </w:p>
        </w:tc>
        <w:tc>
          <w:tcPr>
            <w:tcW w:w="1417" w:type="dxa"/>
            <w:tcBorders>
              <w:top w:val="single" w:sz="4" w:space="0" w:color="auto"/>
              <w:left w:val="single" w:sz="4" w:space="0" w:color="auto"/>
              <w:bottom w:val="single" w:sz="4" w:space="0" w:color="auto"/>
              <w:right w:val="single" w:sz="4" w:space="0" w:color="auto"/>
            </w:tcBorders>
          </w:tcPr>
          <w:p w14:paraId="7E7E3489"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9.324</w:t>
            </w:r>
          </w:p>
        </w:tc>
      </w:tr>
      <w:tr w:rsidR="00BD47E0" w:rsidRPr="00A335CB" w14:paraId="3B54088B"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39D981B9"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Ugotovitev očetovstva</w:t>
            </w:r>
          </w:p>
        </w:tc>
        <w:tc>
          <w:tcPr>
            <w:tcW w:w="1417" w:type="dxa"/>
            <w:tcBorders>
              <w:top w:val="single" w:sz="4" w:space="0" w:color="auto"/>
              <w:left w:val="single" w:sz="4" w:space="0" w:color="auto"/>
              <w:bottom w:val="single" w:sz="4" w:space="0" w:color="auto"/>
              <w:right w:val="single" w:sz="4" w:space="0" w:color="auto"/>
            </w:tcBorders>
          </w:tcPr>
          <w:p w14:paraId="685260AF"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39</w:t>
            </w:r>
          </w:p>
        </w:tc>
      </w:tr>
      <w:tr w:rsidR="00BD47E0" w:rsidRPr="00A335CB" w14:paraId="4F6A25DA"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21D896B6" w14:textId="6AC657A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Priznanje očetovstva pred rojstvom otroka</w:t>
            </w:r>
          </w:p>
        </w:tc>
        <w:tc>
          <w:tcPr>
            <w:tcW w:w="1417" w:type="dxa"/>
            <w:tcBorders>
              <w:top w:val="single" w:sz="4" w:space="0" w:color="auto"/>
              <w:left w:val="single" w:sz="4" w:space="0" w:color="auto"/>
              <w:bottom w:val="single" w:sz="4" w:space="0" w:color="auto"/>
              <w:right w:val="single" w:sz="4" w:space="0" w:color="auto"/>
            </w:tcBorders>
          </w:tcPr>
          <w:p w14:paraId="0D1A9245"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707</w:t>
            </w:r>
          </w:p>
        </w:tc>
      </w:tr>
      <w:tr w:rsidR="00BD47E0" w:rsidRPr="00A335CB" w14:paraId="2FB99928"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363AEC4B"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Odvzem roditeljske pravice</w:t>
            </w:r>
          </w:p>
        </w:tc>
        <w:tc>
          <w:tcPr>
            <w:tcW w:w="1417" w:type="dxa"/>
            <w:tcBorders>
              <w:top w:val="single" w:sz="4" w:space="0" w:color="auto"/>
              <w:left w:val="single" w:sz="4" w:space="0" w:color="auto"/>
              <w:bottom w:val="single" w:sz="4" w:space="0" w:color="auto"/>
              <w:right w:val="single" w:sz="4" w:space="0" w:color="auto"/>
            </w:tcBorders>
          </w:tcPr>
          <w:p w14:paraId="0D87D9C2"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0</w:t>
            </w:r>
          </w:p>
        </w:tc>
      </w:tr>
      <w:tr w:rsidR="00BD47E0" w:rsidRPr="00A335CB" w14:paraId="1DD05D94"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7E35576A"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Podaljšanje roditeljske pravice </w:t>
            </w:r>
          </w:p>
        </w:tc>
        <w:tc>
          <w:tcPr>
            <w:tcW w:w="1417" w:type="dxa"/>
            <w:tcBorders>
              <w:top w:val="single" w:sz="4" w:space="0" w:color="auto"/>
              <w:left w:val="single" w:sz="4" w:space="0" w:color="auto"/>
              <w:bottom w:val="single" w:sz="4" w:space="0" w:color="auto"/>
              <w:right w:val="single" w:sz="4" w:space="0" w:color="auto"/>
            </w:tcBorders>
          </w:tcPr>
          <w:p w14:paraId="5F676D13"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6</w:t>
            </w:r>
          </w:p>
        </w:tc>
      </w:tr>
      <w:tr w:rsidR="00BD47E0" w:rsidRPr="00A335CB" w14:paraId="0CF7B693"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5DA2AAEA" w14:textId="561D8DA3"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Prenehanje podaljšanja roditeljske pravice</w:t>
            </w:r>
          </w:p>
        </w:tc>
        <w:tc>
          <w:tcPr>
            <w:tcW w:w="1417" w:type="dxa"/>
            <w:tcBorders>
              <w:top w:val="single" w:sz="4" w:space="0" w:color="auto"/>
              <w:left w:val="single" w:sz="4" w:space="0" w:color="auto"/>
              <w:bottom w:val="single" w:sz="4" w:space="0" w:color="auto"/>
              <w:right w:val="single" w:sz="4" w:space="0" w:color="auto"/>
            </w:tcBorders>
          </w:tcPr>
          <w:p w14:paraId="4483BD0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17</w:t>
            </w:r>
          </w:p>
        </w:tc>
      </w:tr>
      <w:tr w:rsidR="00BD47E0" w:rsidRPr="00A335CB" w14:paraId="01B57291"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1623D0A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Vrnitev roditeljske pravice</w:t>
            </w:r>
          </w:p>
        </w:tc>
        <w:tc>
          <w:tcPr>
            <w:tcW w:w="1417" w:type="dxa"/>
            <w:tcBorders>
              <w:top w:val="single" w:sz="4" w:space="0" w:color="auto"/>
              <w:left w:val="single" w:sz="4" w:space="0" w:color="auto"/>
              <w:bottom w:val="single" w:sz="4" w:space="0" w:color="auto"/>
              <w:right w:val="single" w:sz="4" w:space="0" w:color="auto"/>
            </w:tcBorders>
          </w:tcPr>
          <w:p w14:paraId="7707CFA2"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0</w:t>
            </w:r>
          </w:p>
        </w:tc>
      </w:tr>
      <w:tr w:rsidR="00BD47E0" w:rsidRPr="00A335CB" w14:paraId="0C14BA7E"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28F8C9C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Skrbništvo</w:t>
            </w:r>
          </w:p>
        </w:tc>
        <w:tc>
          <w:tcPr>
            <w:tcW w:w="1417" w:type="dxa"/>
            <w:tcBorders>
              <w:top w:val="single" w:sz="4" w:space="0" w:color="auto"/>
              <w:left w:val="single" w:sz="4" w:space="0" w:color="auto"/>
              <w:bottom w:val="single" w:sz="4" w:space="0" w:color="auto"/>
              <w:right w:val="single" w:sz="4" w:space="0" w:color="auto"/>
            </w:tcBorders>
          </w:tcPr>
          <w:p w14:paraId="6B613AAC"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27</w:t>
            </w:r>
          </w:p>
        </w:tc>
      </w:tr>
      <w:tr w:rsidR="00BD47E0" w:rsidRPr="00A335CB" w14:paraId="03CCB554"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12433DBB" w14:textId="46CF9CAD"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Prenehanje skrbništva/</w:t>
            </w:r>
            <w:r w:rsidR="001866E1">
              <w:rPr>
                <w:rFonts w:ascii="Arial" w:hAnsi="Arial" w:cs="Arial"/>
                <w:sz w:val="20"/>
                <w:szCs w:val="20"/>
              </w:rPr>
              <w:t>s</w:t>
            </w:r>
            <w:r w:rsidR="001866E1" w:rsidRPr="00A335CB">
              <w:rPr>
                <w:rFonts w:ascii="Arial" w:hAnsi="Arial" w:cs="Arial"/>
                <w:sz w:val="20"/>
                <w:szCs w:val="20"/>
              </w:rPr>
              <w:t>krbnika</w:t>
            </w:r>
          </w:p>
        </w:tc>
        <w:tc>
          <w:tcPr>
            <w:tcW w:w="1417" w:type="dxa"/>
            <w:tcBorders>
              <w:top w:val="single" w:sz="4" w:space="0" w:color="auto"/>
              <w:left w:val="single" w:sz="4" w:space="0" w:color="auto"/>
              <w:bottom w:val="single" w:sz="4" w:space="0" w:color="auto"/>
              <w:right w:val="single" w:sz="4" w:space="0" w:color="auto"/>
            </w:tcBorders>
          </w:tcPr>
          <w:p w14:paraId="38A3ED20"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73</w:t>
            </w:r>
          </w:p>
        </w:tc>
      </w:tr>
      <w:tr w:rsidR="00BD47E0" w:rsidRPr="00A335CB" w14:paraId="5BB0B32F"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5F54FCAE"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Odvzem poslovne sposobnosti </w:t>
            </w:r>
          </w:p>
        </w:tc>
        <w:tc>
          <w:tcPr>
            <w:tcW w:w="1417" w:type="dxa"/>
            <w:tcBorders>
              <w:top w:val="single" w:sz="4" w:space="0" w:color="auto"/>
              <w:left w:val="single" w:sz="4" w:space="0" w:color="auto"/>
              <w:bottom w:val="single" w:sz="4" w:space="0" w:color="auto"/>
              <w:right w:val="single" w:sz="4" w:space="0" w:color="auto"/>
            </w:tcBorders>
          </w:tcPr>
          <w:p w14:paraId="5A6E7CA5"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4</w:t>
            </w:r>
          </w:p>
        </w:tc>
      </w:tr>
      <w:tr w:rsidR="00BD47E0" w:rsidRPr="00A335CB" w14:paraId="0581BF07"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24D70BD6" w14:textId="331546B5"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Pridobitev poslovne sposobnost</w:t>
            </w:r>
            <w:r w:rsidR="001866E1">
              <w:rPr>
                <w:rFonts w:ascii="Arial" w:hAnsi="Arial" w:cs="Arial"/>
                <w:sz w:val="20"/>
                <w:szCs w:val="20"/>
              </w:rPr>
              <w:t>i</w:t>
            </w:r>
            <w:r w:rsidRPr="00A335CB">
              <w:rPr>
                <w:rFonts w:ascii="Arial" w:hAnsi="Arial" w:cs="Arial"/>
                <w:sz w:val="20"/>
                <w:szCs w:val="20"/>
              </w:rPr>
              <w:t xml:space="preserve"> pred polnoletnostjo</w:t>
            </w:r>
          </w:p>
        </w:tc>
        <w:tc>
          <w:tcPr>
            <w:tcW w:w="1417" w:type="dxa"/>
            <w:tcBorders>
              <w:top w:val="single" w:sz="4" w:space="0" w:color="auto"/>
              <w:left w:val="single" w:sz="4" w:space="0" w:color="auto"/>
              <w:bottom w:val="single" w:sz="4" w:space="0" w:color="auto"/>
              <w:right w:val="single" w:sz="4" w:space="0" w:color="auto"/>
            </w:tcBorders>
          </w:tcPr>
          <w:p w14:paraId="68EDCA96"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w:t>
            </w:r>
          </w:p>
        </w:tc>
      </w:tr>
      <w:tr w:rsidR="00BD47E0" w:rsidRPr="00A335CB" w14:paraId="0ACB8AC9"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5D8A1D8C"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Vrnitev poslovne sposobnosti</w:t>
            </w:r>
          </w:p>
        </w:tc>
        <w:tc>
          <w:tcPr>
            <w:tcW w:w="1417" w:type="dxa"/>
            <w:tcBorders>
              <w:top w:val="single" w:sz="4" w:space="0" w:color="auto"/>
              <w:left w:val="single" w:sz="4" w:space="0" w:color="auto"/>
              <w:bottom w:val="single" w:sz="4" w:space="0" w:color="auto"/>
              <w:right w:val="single" w:sz="4" w:space="0" w:color="auto"/>
            </w:tcBorders>
          </w:tcPr>
          <w:p w14:paraId="169C71EF"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6</w:t>
            </w:r>
          </w:p>
        </w:tc>
      </w:tr>
      <w:tr w:rsidR="00BD47E0" w:rsidRPr="00A335CB" w14:paraId="5532F876"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3D97F3E5"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Sprememba priimka po razvezi ZZ</w:t>
            </w:r>
          </w:p>
        </w:tc>
        <w:tc>
          <w:tcPr>
            <w:tcW w:w="1417" w:type="dxa"/>
            <w:tcBorders>
              <w:top w:val="single" w:sz="4" w:space="0" w:color="auto"/>
              <w:left w:val="single" w:sz="4" w:space="0" w:color="auto"/>
              <w:bottom w:val="single" w:sz="4" w:space="0" w:color="auto"/>
              <w:right w:val="single" w:sz="4" w:space="0" w:color="auto"/>
            </w:tcBorders>
          </w:tcPr>
          <w:p w14:paraId="09747ED9"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477</w:t>
            </w:r>
          </w:p>
        </w:tc>
      </w:tr>
      <w:tr w:rsidR="00BD47E0" w:rsidRPr="00A335CB" w14:paraId="24B67B54"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1F72B876"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Pridobitev državljanstva</w:t>
            </w:r>
          </w:p>
        </w:tc>
        <w:tc>
          <w:tcPr>
            <w:tcW w:w="1417" w:type="dxa"/>
            <w:tcBorders>
              <w:top w:val="single" w:sz="4" w:space="0" w:color="auto"/>
              <w:left w:val="single" w:sz="4" w:space="0" w:color="auto"/>
              <w:bottom w:val="single" w:sz="4" w:space="0" w:color="auto"/>
              <w:right w:val="single" w:sz="4" w:space="0" w:color="auto"/>
            </w:tcBorders>
          </w:tcPr>
          <w:p w14:paraId="0F1B486F"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1.912</w:t>
            </w:r>
          </w:p>
        </w:tc>
      </w:tr>
      <w:tr w:rsidR="00BD47E0" w:rsidRPr="00A335CB" w14:paraId="7F2681E9"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07A6176A"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Prenehanje državljanstva</w:t>
            </w:r>
          </w:p>
        </w:tc>
        <w:tc>
          <w:tcPr>
            <w:tcW w:w="1417" w:type="dxa"/>
            <w:tcBorders>
              <w:top w:val="single" w:sz="4" w:space="0" w:color="auto"/>
              <w:left w:val="single" w:sz="4" w:space="0" w:color="auto"/>
              <w:bottom w:val="single" w:sz="4" w:space="0" w:color="auto"/>
              <w:right w:val="single" w:sz="4" w:space="0" w:color="auto"/>
            </w:tcBorders>
          </w:tcPr>
          <w:p w14:paraId="09DD0571"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34</w:t>
            </w:r>
          </w:p>
        </w:tc>
      </w:tr>
      <w:tr w:rsidR="00BD47E0" w:rsidRPr="00A335CB" w14:paraId="61B5DBE9"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0352BAE3"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Prenehanje ZZ enak spol – razveza</w:t>
            </w:r>
          </w:p>
        </w:tc>
        <w:tc>
          <w:tcPr>
            <w:tcW w:w="1417" w:type="dxa"/>
            <w:tcBorders>
              <w:top w:val="single" w:sz="4" w:space="0" w:color="auto"/>
              <w:left w:val="single" w:sz="4" w:space="0" w:color="auto"/>
              <w:bottom w:val="single" w:sz="4" w:space="0" w:color="auto"/>
              <w:right w:val="single" w:sz="4" w:space="0" w:color="auto"/>
            </w:tcBorders>
          </w:tcPr>
          <w:p w14:paraId="17D8580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3</w:t>
            </w:r>
          </w:p>
        </w:tc>
      </w:tr>
      <w:tr w:rsidR="00BD47E0" w:rsidRPr="00A335CB" w14:paraId="08D7C943"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18C2628C" w14:textId="25BA795B"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Prenehanje ZZ enak spol </w:t>
            </w:r>
            <w:r w:rsidR="001866E1">
              <w:rPr>
                <w:rFonts w:ascii="Arial" w:hAnsi="Arial" w:cs="Arial"/>
                <w:sz w:val="20"/>
                <w:szCs w:val="20"/>
              </w:rPr>
              <w:t>–</w:t>
            </w:r>
            <w:r w:rsidR="001866E1" w:rsidRPr="00A335CB">
              <w:rPr>
                <w:rFonts w:ascii="Arial" w:hAnsi="Arial" w:cs="Arial"/>
                <w:sz w:val="20"/>
                <w:szCs w:val="20"/>
              </w:rPr>
              <w:t xml:space="preserve"> </w:t>
            </w:r>
            <w:r w:rsidRPr="00A335CB">
              <w:rPr>
                <w:rFonts w:ascii="Arial" w:hAnsi="Arial" w:cs="Arial"/>
                <w:sz w:val="20"/>
                <w:szCs w:val="20"/>
              </w:rPr>
              <w:t>razveljavitev</w:t>
            </w:r>
          </w:p>
        </w:tc>
        <w:tc>
          <w:tcPr>
            <w:tcW w:w="1417" w:type="dxa"/>
            <w:tcBorders>
              <w:top w:val="single" w:sz="4" w:space="0" w:color="auto"/>
              <w:left w:val="single" w:sz="4" w:space="0" w:color="auto"/>
              <w:bottom w:val="single" w:sz="4" w:space="0" w:color="auto"/>
              <w:right w:val="single" w:sz="4" w:space="0" w:color="auto"/>
            </w:tcBorders>
          </w:tcPr>
          <w:p w14:paraId="744B53B9"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0</w:t>
            </w:r>
          </w:p>
        </w:tc>
      </w:tr>
      <w:tr w:rsidR="00BD47E0" w:rsidRPr="00A335CB" w14:paraId="6DB1AAC6"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5950B5ED" w14:textId="7DCE7019"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Prenehanje ZZ enak spol – smrt zakonca</w:t>
            </w:r>
          </w:p>
        </w:tc>
        <w:tc>
          <w:tcPr>
            <w:tcW w:w="1417" w:type="dxa"/>
            <w:tcBorders>
              <w:top w:val="single" w:sz="4" w:space="0" w:color="auto"/>
              <w:left w:val="single" w:sz="4" w:space="0" w:color="auto"/>
              <w:bottom w:val="single" w:sz="4" w:space="0" w:color="auto"/>
              <w:right w:val="single" w:sz="4" w:space="0" w:color="auto"/>
            </w:tcBorders>
          </w:tcPr>
          <w:p w14:paraId="086033D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w:t>
            </w:r>
          </w:p>
        </w:tc>
      </w:tr>
      <w:tr w:rsidR="00BD47E0" w:rsidRPr="00A335CB" w14:paraId="328AD896"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53F16ECE"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Sprememba priimka po razvezi ZZ enak spol</w:t>
            </w:r>
          </w:p>
        </w:tc>
        <w:tc>
          <w:tcPr>
            <w:tcW w:w="1417" w:type="dxa"/>
            <w:tcBorders>
              <w:top w:val="single" w:sz="4" w:space="0" w:color="auto"/>
              <w:left w:val="single" w:sz="4" w:space="0" w:color="auto"/>
              <w:bottom w:val="single" w:sz="4" w:space="0" w:color="auto"/>
              <w:right w:val="single" w:sz="4" w:space="0" w:color="auto"/>
            </w:tcBorders>
          </w:tcPr>
          <w:p w14:paraId="7034BEDB"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0</w:t>
            </w:r>
          </w:p>
        </w:tc>
      </w:tr>
      <w:tr w:rsidR="00BD47E0" w:rsidRPr="00A335CB" w14:paraId="4601106C"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13A3C43E"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Odvzem starševske skrbi</w:t>
            </w:r>
          </w:p>
        </w:tc>
        <w:tc>
          <w:tcPr>
            <w:tcW w:w="1417" w:type="dxa"/>
            <w:tcBorders>
              <w:top w:val="single" w:sz="4" w:space="0" w:color="auto"/>
              <w:left w:val="single" w:sz="4" w:space="0" w:color="auto"/>
              <w:bottom w:val="single" w:sz="4" w:space="0" w:color="auto"/>
              <w:right w:val="single" w:sz="4" w:space="0" w:color="auto"/>
            </w:tcBorders>
          </w:tcPr>
          <w:p w14:paraId="0CAC3885"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31</w:t>
            </w:r>
          </w:p>
        </w:tc>
      </w:tr>
      <w:tr w:rsidR="00BD47E0" w:rsidRPr="00A335CB" w14:paraId="41B051CD"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31DFCB5D"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Podelitev starševske skrbi sorodniku</w:t>
            </w:r>
          </w:p>
        </w:tc>
        <w:tc>
          <w:tcPr>
            <w:tcW w:w="1417" w:type="dxa"/>
            <w:tcBorders>
              <w:top w:val="single" w:sz="4" w:space="0" w:color="auto"/>
              <w:left w:val="single" w:sz="4" w:space="0" w:color="auto"/>
              <w:bottom w:val="single" w:sz="4" w:space="0" w:color="auto"/>
              <w:right w:val="single" w:sz="4" w:space="0" w:color="auto"/>
            </w:tcBorders>
          </w:tcPr>
          <w:p w14:paraId="7189773D"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w:t>
            </w:r>
          </w:p>
        </w:tc>
      </w:tr>
      <w:tr w:rsidR="00BD47E0" w:rsidRPr="00A335CB" w14:paraId="665EDF7F"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243EFC0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Skrbništvo po Družinskem zakoniku</w:t>
            </w:r>
          </w:p>
        </w:tc>
        <w:tc>
          <w:tcPr>
            <w:tcW w:w="1417" w:type="dxa"/>
            <w:tcBorders>
              <w:top w:val="single" w:sz="4" w:space="0" w:color="auto"/>
              <w:left w:val="single" w:sz="4" w:space="0" w:color="auto"/>
              <w:bottom w:val="single" w:sz="4" w:space="0" w:color="auto"/>
              <w:right w:val="single" w:sz="4" w:space="0" w:color="auto"/>
            </w:tcBorders>
          </w:tcPr>
          <w:p w14:paraId="1F56F76D"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1.248</w:t>
            </w:r>
          </w:p>
        </w:tc>
      </w:tr>
      <w:tr w:rsidR="00653B9D" w:rsidRPr="00A335CB" w14:paraId="15F99230" w14:textId="77777777" w:rsidTr="00653B9D">
        <w:trPr>
          <w:trHeight w:val="213"/>
        </w:trPr>
        <w:tc>
          <w:tcPr>
            <w:tcW w:w="4815" w:type="dxa"/>
            <w:tcBorders>
              <w:top w:val="single" w:sz="4" w:space="0" w:color="auto"/>
              <w:left w:val="single" w:sz="4" w:space="0" w:color="auto"/>
              <w:bottom w:val="single" w:sz="4" w:space="0" w:color="auto"/>
              <w:right w:val="single" w:sz="4" w:space="0" w:color="auto"/>
            </w:tcBorders>
          </w:tcPr>
          <w:p w14:paraId="60B0EF3D"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SKUPAJ</w:t>
            </w:r>
          </w:p>
        </w:tc>
        <w:tc>
          <w:tcPr>
            <w:tcW w:w="1417" w:type="dxa"/>
            <w:tcBorders>
              <w:top w:val="single" w:sz="4" w:space="0" w:color="auto"/>
              <w:left w:val="single" w:sz="4" w:space="0" w:color="auto"/>
              <w:bottom w:val="single" w:sz="4" w:space="0" w:color="auto"/>
              <w:right w:val="single" w:sz="4" w:space="0" w:color="auto"/>
            </w:tcBorders>
          </w:tcPr>
          <w:p w14:paraId="7ED6EAC5"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20"/>
                <w:szCs w:val="20"/>
              </w:rPr>
              <w:t>24.128</w:t>
            </w:r>
          </w:p>
        </w:tc>
      </w:tr>
    </w:tbl>
    <w:p w14:paraId="777D7AC2" w14:textId="7601359D" w:rsidR="0032769E" w:rsidRPr="000E60A5" w:rsidRDefault="00653B9D" w:rsidP="000E60A5">
      <w:pPr>
        <w:autoSpaceDE w:val="0"/>
        <w:autoSpaceDN w:val="0"/>
        <w:adjustRightInd w:val="0"/>
        <w:spacing w:after="0" w:line="276" w:lineRule="auto"/>
        <w:jc w:val="both"/>
        <w:rPr>
          <w:rFonts w:ascii="Arial" w:hAnsi="Arial" w:cs="Arial"/>
          <w:bCs/>
          <w:iCs/>
          <w:sz w:val="20"/>
          <w:szCs w:val="20"/>
          <w:lang w:eastAsia="sl-SI"/>
        </w:rPr>
      </w:pPr>
      <w:r w:rsidRPr="00A335CB">
        <w:rPr>
          <w:rFonts w:ascii="Arial" w:hAnsi="Arial" w:cs="Arial"/>
          <w:b/>
          <w:bCs/>
          <w:iCs/>
          <w:sz w:val="20"/>
          <w:szCs w:val="20"/>
          <w:lang w:eastAsia="sl-SI"/>
        </w:rPr>
        <w:t>Preglednica:</w:t>
      </w:r>
      <w:r w:rsidRPr="00A335CB">
        <w:rPr>
          <w:rFonts w:ascii="Arial" w:hAnsi="Arial" w:cs="Arial"/>
          <w:bCs/>
          <w:iCs/>
          <w:sz w:val="20"/>
          <w:szCs w:val="20"/>
          <w:lang w:eastAsia="sl-SI"/>
        </w:rPr>
        <w:t xml:space="preserve"> Podatki o vpisih</w:t>
      </w:r>
      <w:r w:rsidR="000E60A5">
        <w:rPr>
          <w:rFonts w:ascii="Arial" w:hAnsi="Arial" w:cs="Arial"/>
          <w:bCs/>
          <w:iCs/>
          <w:sz w:val="20"/>
          <w:szCs w:val="20"/>
          <w:lang w:eastAsia="sl-SI"/>
        </w:rPr>
        <w:t xml:space="preserve"> v matični register v letu 2024</w:t>
      </w:r>
    </w:p>
    <w:p w14:paraId="6411993F" w14:textId="77777777" w:rsidR="000E60A5" w:rsidRDefault="000E60A5" w:rsidP="000E60A5">
      <w:pPr>
        <w:spacing w:after="0" w:line="276" w:lineRule="auto"/>
        <w:jc w:val="both"/>
        <w:rPr>
          <w:rFonts w:ascii="Arial" w:hAnsi="Arial" w:cs="Arial"/>
          <w:sz w:val="20"/>
          <w:szCs w:val="20"/>
        </w:rPr>
      </w:pPr>
    </w:p>
    <w:p w14:paraId="69B9FA39" w14:textId="28085E2C" w:rsidR="00653B9D" w:rsidRPr="00A335CB" w:rsidRDefault="00653B9D" w:rsidP="005D1A90">
      <w:pPr>
        <w:spacing w:line="276" w:lineRule="auto"/>
        <w:jc w:val="both"/>
        <w:rPr>
          <w:rFonts w:ascii="Arial" w:hAnsi="Arial" w:cs="Arial"/>
          <w:sz w:val="20"/>
          <w:szCs w:val="20"/>
        </w:rPr>
      </w:pPr>
      <w:r w:rsidRPr="00A335CB">
        <w:rPr>
          <w:rFonts w:ascii="Arial" w:hAnsi="Arial" w:cs="Arial"/>
          <w:sz w:val="20"/>
          <w:szCs w:val="20"/>
        </w:rPr>
        <w:t xml:space="preserve">Na podlagi prošnje je bilo v letu 2024 izdanih 2.194 odločb o </w:t>
      </w:r>
      <w:r w:rsidRPr="00A335CB">
        <w:rPr>
          <w:rFonts w:ascii="Arial" w:hAnsi="Arial" w:cs="Arial"/>
          <w:b/>
          <w:sz w:val="20"/>
          <w:szCs w:val="20"/>
        </w:rPr>
        <w:t>spremembi osebnega imena</w:t>
      </w:r>
      <w:r w:rsidRPr="00A335CB">
        <w:rPr>
          <w:rFonts w:ascii="Arial" w:hAnsi="Arial" w:cs="Arial"/>
          <w:bCs/>
          <w:sz w:val="20"/>
          <w:szCs w:val="20"/>
        </w:rPr>
        <w:t>.</w:t>
      </w:r>
    </w:p>
    <w:tbl>
      <w:tblPr>
        <w:tblW w:w="4191" w:type="dxa"/>
        <w:tblCellMar>
          <w:left w:w="70" w:type="dxa"/>
          <w:right w:w="70" w:type="dxa"/>
        </w:tblCellMar>
        <w:tblLook w:val="0000" w:firstRow="0" w:lastRow="0" w:firstColumn="0" w:lastColumn="0" w:noHBand="0" w:noVBand="0"/>
      </w:tblPr>
      <w:tblGrid>
        <w:gridCol w:w="1710"/>
        <w:gridCol w:w="1418"/>
        <w:gridCol w:w="1063"/>
      </w:tblGrid>
      <w:tr w:rsidR="00BD47E0" w:rsidRPr="00A335CB" w14:paraId="11A9C87D" w14:textId="77777777" w:rsidTr="00653B9D">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C1551F" w14:textId="77777777" w:rsidR="00653B9D" w:rsidRPr="00A335CB" w:rsidRDefault="00653B9D" w:rsidP="005D1A90">
            <w:pPr>
              <w:spacing w:after="0" w:line="276" w:lineRule="auto"/>
              <w:jc w:val="both"/>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EB413A" w14:textId="77777777" w:rsidR="00653B9D" w:rsidRPr="00A335CB" w:rsidRDefault="00653B9D" w:rsidP="005D1A90">
            <w:pPr>
              <w:spacing w:after="0" w:line="276" w:lineRule="auto"/>
              <w:jc w:val="both"/>
              <w:rPr>
                <w:rFonts w:ascii="Arial" w:hAnsi="Arial" w:cs="Arial"/>
                <w:sz w:val="20"/>
                <w:szCs w:val="20"/>
              </w:rPr>
            </w:pP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324C66" w14:textId="77777777" w:rsidR="00653B9D"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Leto 2024</w:t>
            </w:r>
          </w:p>
        </w:tc>
      </w:tr>
      <w:tr w:rsidR="00BD47E0" w:rsidRPr="00A335CB" w14:paraId="6F42F9E2" w14:textId="77777777" w:rsidTr="00653B9D">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7D184F"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Mladoletni</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0F1A71AF"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0487F808"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18"/>
                <w:szCs w:val="18"/>
              </w:rPr>
              <w:t>43</w:t>
            </w:r>
          </w:p>
        </w:tc>
      </w:tr>
      <w:tr w:rsidR="00BD47E0" w:rsidRPr="00A335CB" w14:paraId="667CA437" w14:textId="77777777" w:rsidTr="00653B9D">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77794F08"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03D9D089"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Priimek</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5621B72A"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18"/>
                <w:szCs w:val="18"/>
              </w:rPr>
              <w:t>418</w:t>
            </w:r>
          </w:p>
        </w:tc>
      </w:tr>
      <w:tr w:rsidR="00BD47E0" w:rsidRPr="00A335CB" w14:paraId="44AB577A" w14:textId="77777777" w:rsidTr="00653B9D">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B4C9A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70A8757D"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Priimek in 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09B01F3F"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18"/>
                <w:szCs w:val="18"/>
              </w:rPr>
              <w:t>16</w:t>
            </w:r>
          </w:p>
        </w:tc>
      </w:tr>
      <w:tr w:rsidR="00BD47E0" w:rsidRPr="00A335CB" w14:paraId="7BCAA244" w14:textId="77777777" w:rsidTr="00653B9D">
        <w:trPr>
          <w:trHeight w:val="276"/>
        </w:trPr>
        <w:tc>
          <w:tcPr>
            <w:tcW w:w="171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47C7DF"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Polnoletni</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68CBAD12"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68BB7D81"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18"/>
                <w:szCs w:val="18"/>
              </w:rPr>
              <w:t>259</w:t>
            </w:r>
          </w:p>
        </w:tc>
      </w:tr>
      <w:tr w:rsidR="00BD47E0" w:rsidRPr="00A335CB" w14:paraId="79209D91" w14:textId="77777777" w:rsidTr="00653B9D">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27BFF3D4"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09F9DFDD"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Priimek</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520DDE93"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18"/>
                <w:szCs w:val="18"/>
              </w:rPr>
              <w:t>1.269</w:t>
            </w:r>
          </w:p>
        </w:tc>
      </w:tr>
      <w:tr w:rsidR="00BD47E0" w:rsidRPr="00A335CB" w14:paraId="284A3E39" w14:textId="77777777" w:rsidTr="00653B9D">
        <w:trPr>
          <w:trHeight w:val="276"/>
        </w:trPr>
        <w:tc>
          <w:tcPr>
            <w:tcW w:w="1710" w:type="dxa"/>
            <w:tcBorders>
              <w:top w:val="nil"/>
              <w:left w:val="single" w:sz="4" w:space="0" w:color="auto"/>
              <w:bottom w:val="single" w:sz="4" w:space="0" w:color="auto"/>
              <w:right w:val="single" w:sz="4" w:space="0" w:color="auto"/>
            </w:tcBorders>
            <w:shd w:val="clear" w:color="auto" w:fill="FFFFFF"/>
            <w:noWrap/>
            <w:vAlign w:val="center"/>
          </w:tcPr>
          <w:p w14:paraId="7349C0A7"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w:t>
            </w:r>
          </w:p>
        </w:tc>
        <w:tc>
          <w:tcPr>
            <w:tcW w:w="1418" w:type="dxa"/>
            <w:tcBorders>
              <w:top w:val="nil"/>
              <w:left w:val="nil"/>
              <w:bottom w:val="single" w:sz="4" w:space="0" w:color="auto"/>
              <w:right w:val="single" w:sz="4" w:space="0" w:color="auto"/>
            </w:tcBorders>
            <w:shd w:val="clear" w:color="auto" w:fill="FFFFFF"/>
            <w:noWrap/>
            <w:vAlign w:val="center"/>
          </w:tcPr>
          <w:p w14:paraId="6F70C5F8"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Priimek in ime</w:t>
            </w:r>
          </w:p>
        </w:tc>
        <w:tc>
          <w:tcPr>
            <w:tcW w:w="1063" w:type="dxa"/>
            <w:tcBorders>
              <w:top w:val="single" w:sz="4" w:space="0" w:color="auto"/>
              <w:left w:val="nil"/>
              <w:bottom w:val="single" w:sz="4" w:space="0" w:color="auto"/>
              <w:right w:val="single" w:sz="4" w:space="0" w:color="auto"/>
            </w:tcBorders>
            <w:shd w:val="clear" w:color="auto" w:fill="FFFFFF"/>
            <w:vAlign w:val="center"/>
          </w:tcPr>
          <w:p w14:paraId="5467AC4F" w14:textId="77777777" w:rsidR="00653B9D" w:rsidRPr="00A335CB" w:rsidRDefault="00653B9D" w:rsidP="005D1A90">
            <w:pPr>
              <w:spacing w:after="0" w:line="276" w:lineRule="auto"/>
              <w:jc w:val="right"/>
              <w:rPr>
                <w:rFonts w:ascii="Arial" w:hAnsi="Arial" w:cs="Arial"/>
                <w:sz w:val="20"/>
                <w:szCs w:val="20"/>
              </w:rPr>
            </w:pPr>
            <w:r w:rsidRPr="00A335CB">
              <w:rPr>
                <w:rFonts w:ascii="Arial" w:hAnsi="Arial" w:cs="Arial"/>
                <w:sz w:val="18"/>
                <w:szCs w:val="18"/>
              </w:rPr>
              <w:t>189</w:t>
            </w:r>
          </w:p>
        </w:tc>
      </w:tr>
      <w:tr w:rsidR="00BD47E0" w:rsidRPr="00A335CB" w14:paraId="3F54BC72" w14:textId="77777777" w:rsidTr="00653B9D">
        <w:trPr>
          <w:trHeight w:val="276"/>
        </w:trPr>
        <w:tc>
          <w:tcPr>
            <w:tcW w:w="171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341DD49" w14:textId="77777777" w:rsidR="00653B9D"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SKUPAJ</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50D3056C" w14:textId="77777777" w:rsidR="00653B9D"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 </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83DA26" w14:textId="77777777" w:rsidR="00653B9D" w:rsidRPr="00A335CB" w:rsidRDefault="00653B9D" w:rsidP="005D1A90">
            <w:pPr>
              <w:spacing w:after="0" w:line="276" w:lineRule="auto"/>
              <w:jc w:val="right"/>
              <w:rPr>
                <w:rFonts w:ascii="Arial" w:hAnsi="Arial" w:cs="Arial"/>
                <w:b/>
                <w:sz w:val="20"/>
                <w:szCs w:val="20"/>
              </w:rPr>
            </w:pPr>
            <w:r w:rsidRPr="00A335CB">
              <w:rPr>
                <w:rFonts w:ascii="Arial" w:hAnsi="Arial" w:cs="Arial"/>
                <w:b/>
                <w:bCs/>
                <w:sz w:val="18"/>
                <w:szCs w:val="18"/>
              </w:rPr>
              <w:t>2.194</w:t>
            </w:r>
          </w:p>
        </w:tc>
      </w:tr>
    </w:tbl>
    <w:p w14:paraId="7214A62C" w14:textId="61E72791" w:rsidR="00653B9D" w:rsidRPr="00A335CB" w:rsidRDefault="00653B9D" w:rsidP="00657CBF">
      <w:pPr>
        <w:autoSpaceDE w:val="0"/>
        <w:autoSpaceDN w:val="0"/>
        <w:adjustRightInd w:val="0"/>
        <w:spacing w:line="276" w:lineRule="auto"/>
        <w:jc w:val="both"/>
        <w:rPr>
          <w:rFonts w:ascii="Arial" w:hAnsi="Arial" w:cs="Arial"/>
          <w:bCs/>
          <w:iCs/>
          <w:sz w:val="20"/>
          <w:szCs w:val="20"/>
          <w:lang w:eastAsia="sl-SI"/>
        </w:rPr>
      </w:pPr>
      <w:r w:rsidRPr="00A335CB">
        <w:rPr>
          <w:rFonts w:ascii="Arial" w:hAnsi="Arial" w:cs="Arial"/>
          <w:b/>
          <w:bCs/>
          <w:iCs/>
          <w:sz w:val="20"/>
          <w:szCs w:val="20"/>
          <w:lang w:eastAsia="sl-SI"/>
        </w:rPr>
        <w:t>Preglednica:</w:t>
      </w:r>
      <w:r w:rsidRPr="00A335CB">
        <w:rPr>
          <w:rFonts w:ascii="Arial" w:hAnsi="Arial" w:cs="Arial"/>
          <w:bCs/>
          <w:iCs/>
          <w:sz w:val="20"/>
          <w:szCs w:val="20"/>
          <w:lang w:eastAsia="sl-SI"/>
        </w:rPr>
        <w:t xml:space="preserve"> Podatki o izdanih odločbah o sprem</w:t>
      </w:r>
      <w:r w:rsidR="00657CBF" w:rsidRPr="00A335CB">
        <w:rPr>
          <w:rFonts w:ascii="Arial" w:hAnsi="Arial" w:cs="Arial"/>
          <w:bCs/>
          <w:iCs/>
          <w:sz w:val="20"/>
          <w:szCs w:val="20"/>
          <w:lang w:eastAsia="sl-SI"/>
        </w:rPr>
        <w:t>embi osebnega imena v letu 2024</w:t>
      </w:r>
    </w:p>
    <w:p w14:paraId="1D37D495" w14:textId="063A0501" w:rsidR="00653B9D" w:rsidRPr="00A335CB" w:rsidRDefault="007B3670" w:rsidP="005D1A90">
      <w:pPr>
        <w:autoSpaceDE w:val="0"/>
        <w:autoSpaceDN w:val="0"/>
        <w:adjustRightInd w:val="0"/>
        <w:spacing w:after="0" w:line="276" w:lineRule="auto"/>
        <w:jc w:val="both"/>
        <w:rPr>
          <w:rFonts w:ascii="Arial" w:hAnsi="Arial" w:cs="Arial"/>
          <w:b/>
          <w:sz w:val="20"/>
          <w:szCs w:val="20"/>
        </w:rPr>
      </w:pPr>
      <w:r w:rsidRPr="00A335CB">
        <w:rPr>
          <w:rFonts w:ascii="Arial" w:hAnsi="Arial" w:cs="Arial"/>
          <w:b/>
          <w:sz w:val="20"/>
          <w:szCs w:val="20"/>
        </w:rPr>
        <w:t>Podatki o prijavah prebivališč</w:t>
      </w:r>
    </w:p>
    <w:p w14:paraId="01E30F81" w14:textId="1C9F3141" w:rsidR="00653B9D" w:rsidRPr="00A335CB" w:rsidRDefault="00657CBF"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31. 12.</w:t>
      </w:r>
      <w:r w:rsidR="00653B9D" w:rsidRPr="00A335CB">
        <w:rPr>
          <w:rFonts w:ascii="Arial" w:hAnsi="Arial" w:cs="Arial"/>
          <w:sz w:val="20"/>
          <w:szCs w:val="20"/>
        </w:rPr>
        <w:t xml:space="preserve"> 2023 je imelo v Republiki Sloveniji prijavljeno stalno prebivališče </w:t>
      </w:r>
      <w:r w:rsidRPr="00A335CB">
        <w:rPr>
          <w:rFonts w:ascii="Arial" w:hAnsi="Arial" w:cs="Arial"/>
          <w:sz w:val="20"/>
          <w:szCs w:val="20"/>
        </w:rPr>
        <w:t xml:space="preserve">2.056.036 posameznikov (od tega </w:t>
      </w:r>
      <w:r w:rsidR="00653B9D" w:rsidRPr="00A335CB">
        <w:rPr>
          <w:rFonts w:ascii="Arial" w:hAnsi="Arial" w:cs="Arial"/>
          <w:sz w:val="20"/>
          <w:szCs w:val="20"/>
        </w:rPr>
        <w:t>133.623 tujcev), prijavljen stalni naslov v tujini pa 160.059 državljanov. Prijav ali sprememb stalnega prebivališča je bilo v celotnem letu 101.306.</w:t>
      </w:r>
    </w:p>
    <w:p w14:paraId="7ED68441"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p>
    <w:p w14:paraId="069C9AE5" w14:textId="73AF5954" w:rsidR="00653B9D" w:rsidRPr="00A335CB" w:rsidRDefault="00653B9D"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 xml:space="preserve">Samo začasno prebivališče v Republiki Sloveniji je imelo prijavljenih 107.615 posameznikov (od tega 100.813 tujcev), začasni naslov v tujini pa 5.655 državljanov. V letu 2024 je začasno prebivališče </w:t>
      </w:r>
      <w:r w:rsidR="001866E1">
        <w:rPr>
          <w:rFonts w:ascii="Arial" w:hAnsi="Arial" w:cs="Arial"/>
          <w:sz w:val="20"/>
          <w:szCs w:val="20"/>
        </w:rPr>
        <w:t xml:space="preserve">prijavilo </w:t>
      </w:r>
      <w:r w:rsidRPr="00A335CB">
        <w:rPr>
          <w:rFonts w:ascii="Arial" w:hAnsi="Arial" w:cs="Arial"/>
          <w:sz w:val="20"/>
          <w:szCs w:val="20"/>
        </w:rPr>
        <w:t xml:space="preserve">279.939 posameznikov. </w:t>
      </w:r>
    </w:p>
    <w:p w14:paraId="40EEEF2D"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p>
    <w:p w14:paraId="295A5CBA"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Upravne enote so uvedle:</w:t>
      </w:r>
    </w:p>
    <w:p w14:paraId="0AA41B13" w14:textId="77777777" w:rsidR="00653B9D" w:rsidRPr="00A335CB" w:rsidRDefault="00653B9D" w:rsidP="005D1A90">
      <w:pPr>
        <w:pStyle w:val="Odstavekseznama"/>
        <w:numPr>
          <w:ilvl w:val="0"/>
          <w:numId w:val="18"/>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5.175 postopkov ugotavljanja stalnega prebivališča,</w:t>
      </w:r>
    </w:p>
    <w:p w14:paraId="54AF50AA" w14:textId="77777777" w:rsidR="00653B9D" w:rsidRPr="00A335CB" w:rsidRDefault="00653B9D" w:rsidP="005D1A90">
      <w:pPr>
        <w:pStyle w:val="Odstavekseznama"/>
        <w:numPr>
          <w:ilvl w:val="0"/>
          <w:numId w:val="18"/>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1.047 postopkov ugotavljanja začasnega prebivališča,</w:t>
      </w:r>
    </w:p>
    <w:p w14:paraId="64B65C67" w14:textId="77777777" w:rsidR="00653B9D" w:rsidRPr="00A335CB" w:rsidRDefault="00653B9D" w:rsidP="005D1A90">
      <w:pPr>
        <w:pStyle w:val="Odstavekseznama"/>
        <w:numPr>
          <w:ilvl w:val="0"/>
          <w:numId w:val="18"/>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455 postopkov preverjanja resničnosti prijave stalnega prebivališča,</w:t>
      </w:r>
    </w:p>
    <w:p w14:paraId="4303C2AB" w14:textId="77777777" w:rsidR="00653B9D" w:rsidRPr="00A335CB" w:rsidRDefault="00653B9D" w:rsidP="005D1A90">
      <w:pPr>
        <w:pStyle w:val="Odstavekseznama"/>
        <w:numPr>
          <w:ilvl w:val="0"/>
          <w:numId w:val="18"/>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865 postopkov preverjanja resničnosti prijave začasnega prebivališča,</w:t>
      </w:r>
    </w:p>
    <w:p w14:paraId="024FFF81" w14:textId="77777777" w:rsidR="00653B9D" w:rsidRPr="00A335CB" w:rsidRDefault="00653B9D" w:rsidP="005D1A90">
      <w:pPr>
        <w:pStyle w:val="Odstavekseznama"/>
        <w:numPr>
          <w:ilvl w:val="0"/>
          <w:numId w:val="18"/>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249 skrajšanih postopkov prijave stalnega prebivališča,</w:t>
      </w:r>
    </w:p>
    <w:p w14:paraId="5209A21F" w14:textId="77777777" w:rsidR="00653B9D" w:rsidRPr="00A335CB" w:rsidRDefault="00653B9D" w:rsidP="005D1A90">
      <w:pPr>
        <w:pStyle w:val="Odstavekseznama"/>
        <w:numPr>
          <w:ilvl w:val="0"/>
          <w:numId w:val="18"/>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781 skrajšanih postopkov prijave začasnega prebivališča.</w:t>
      </w:r>
    </w:p>
    <w:p w14:paraId="569D6A30" w14:textId="692DF169" w:rsidR="00653B9D" w:rsidRPr="00A335CB" w:rsidRDefault="00657CBF" w:rsidP="00657CBF">
      <w:pPr>
        <w:tabs>
          <w:tab w:val="left" w:pos="6861"/>
        </w:tabs>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ab/>
      </w:r>
    </w:p>
    <w:p w14:paraId="6FFF85A2" w14:textId="38A0FA4A" w:rsidR="00653B9D" w:rsidRPr="00A335CB" w:rsidRDefault="00653B9D" w:rsidP="005D1A90">
      <w:pPr>
        <w:spacing w:line="276" w:lineRule="auto"/>
        <w:jc w:val="both"/>
        <w:rPr>
          <w:rFonts w:ascii="Arial" w:hAnsi="Arial" w:cs="Arial"/>
          <w:sz w:val="20"/>
          <w:szCs w:val="20"/>
          <w:shd w:val="clear" w:color="auto" w:fill="FFFFFF"/>
        </w:rPr>
      </w:pPr>
      <w:r w:rsidRPr="0032769E">
        <w:rPr>
          <w:rFonts w:ascii="Arial" w:hAnsi="Arial" w:cs="Arial"/>
          <w:sz w:val="20"/>
          <w:szCs w:val="20"/>
          <w:shd w:val="clear" w:color="auto" w:fill="FFFFFF"/>
        </w:rPr>
        <w:t xml:space="preserve">Od vzpostavitve elektronskega naslova za vročanje </w:t>
      </w:r>
      <w:r w:rsidR="0032769E" w:rsidRPr="0032769E">
        <w:rPr>
          <w:rFonts w:ascii="Arial" w:hAnsi="Arial" w:cs="Arial"/>
          <w:sz w:val="20"/>
          <w:szCs w:val="20"/>
          <w:shd w:val="clear" w:color="auto" w:fill="FFFFFF"/>
        </w:rPr>
        <w:t>do začetka leta 2025</w:t>
      </w:r>
      <w:r w:rsidRPr="0032769E">
        <w:rPr>
          <w:rFonts w:ascii="Arial" w:hAnsi="Arial" w:cs="Arial"/>
          <w:sz w:val="20"/>
          <w:szCs w:val="20"/>
          <w:shd w:val="clear" w:color="auto" w:fill="FFFFFF"/>
        </w:rPr>
        <w:t xml:space="preserve"> je v Registru stalnega prebivalstva določilo elektronski naslov za vročanje 2.453 posameznikov.</w:t>
      </w:r>
    </w:p>
    <w:p w14:paraId="38B67BA8" w14:textId="3FDCDDB4"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b/>
          <w:sz w:val="20"/>
          <w:szCs w:val="20"/>
          <w:lang w:eastAsia="sl-SI"/>
        </w:rPr>
        <w:t>Volilna opravila</w:t>
      </w:r>
      <w:r w:rsidR="007B3670" w:rsidRPr="00A335CB">
        <w:rPr>
          <w:rFonts w:ascii="Arial" w:hAnsi="Arial" w:cs="Arial"/>
          <w:b/>
          <w:sz w:val="20"/>
          <w:szCs w:val="20"/>
          <w:lang w:eastAsia="sl-SI"/>
        </w:rPr>
        <w:t xml:space="preserve"> in preverjanja volilne pravice</w:t>
      </w:r>
    </w:p>
    <w:p w14:paraId="4BB2B3C6"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lang w:eastAsia="sl-SI"/>
        </w:rPr>
        <w:t xml:space="preserve">MNZ je v letu 2023 izvajalo volilna opravila, ki izhajajo iz Zakona o evidenci volilne pravice za 21 </w:t>
      </w:r>
      <w:r w:rsidRPr="00A335CB">
        <w:rPr>
          <w:rFonts w:ascii="Arial" w:hAnsi="Arial" w:cs="Arial"/>
          <w:sz w:val="20"/>
          <w:szCs w:val="20"/>
        </w:rPr>
        <w:t xml:space="preserve">individualnih referendumov in različnih volitev na lokalni ravni, volitve v Evropski parlament ter trojni referendum. </w:t>
      </w:r>
    </w:p>
    <w:p w14:paraId="21A7814F"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p>
    <w:p w14:paraId="5B71E167" w14:textId="292B3EB8" w:rsidR="00E2146B"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MNZ je izvajalo eno preverjanje seznama podpisov in zagotavljalo koordinacijo zbiranja podpor volivcev za tri predloge za </w:t>
      </w:r>
      <w:r w:rsidR="00721952" w:rsidRPr="00A335CB">
        <w:rPr>
          <w:rFonts w:ascii="Arial" w:hAnsi="Arial" w:cs="Arial"/>
          <w:sz w:val="20"/>
          <w:szCs w:val="20"/>
        </w:rPr>
        <w:t>spreje</w:t>
      </w:r>
      <w:r w:rsidR="00721952">
        <w:rPr>
          <w:rFonts w:ascii="Arial" w:hAnsi="Arial" w:cs="Arial"/>
          <w:sz w:val="20"/>
          <w:szCs w:val="20"/>
        </w:rPr>
        <w:t>tje</w:t>
      </w:r>
      <w:r w:rsidR="00721952" w:rsidRPr="00A335CB">
        <w:rPr>
          <w:rFonts w:ascii="Arial" w:hAnsi="Arial" w:cs="Arial"/>
          <w:sz w:val="20"/>
          <w:szCs w:val="20"/>
        </w:rPr>
        <w:t xml:space="preserve"> </w:t>
      </w:r>
      <w:r w:rsidRPr="00A335CB">
        <w:rPr>
          <w:rFonts w:ascii="Arial" w:hAnsi="Arial" w:cs="Arial"/>
          <w:sz w:val="20"/>
          <w:szCs w:val="20"/>
        </w:rPr>
        <w:t xml:space="preserve">zakona po Zakonu o referendumu in o ljudski iniciativi. </w:t>
      </w:r>
    </w:p>
    <w:p w14:paraId="3D7D4DC8" w14:textId="657457C1" w:rsidR="00E2146B" w:rsidRPr="00A335CB" w:rsidRDefault="00E2146B" w:rsidP="005D1A90">
      <w:pPr>
        <w:pStyle w:val="Naslov3"/>
        <w:spacing w:line="276" w:lineRule="auto"/>
        <w:jc w:val="both"/>
        <w:rPr>
          <w:rFonts w:cs="Arial"/>
          <w:sz w:val="20"/>
          <w:szCs w:val="20"/>
        </w:rPr>
      </w:pPr>
      <w:bookmarkStart w:id="72" w:name="_Toc203552987"/>
      <w:r w:rsidRPr="00A335CB">
        <w:rPr>
          <w:rFonts w:cs="Arial"/>
          <w:sz w:val="20"/>
          <w:szCs w:val="20"/>
        </w:rPr>
        <w:t>Pridobit</w:t>
      </w:r>
      <w:r w:rsidR="0038119F" w:rsidRPr="00A335CB">
        <w:rPr>
          <w:rFonts w:cs="Arial"/>
          <w:sz w:val="20"/>
          <w:szCs w:val="20"/>
        </w:rPr>
        <w:t>ev državljanstva</w:t>
      </w:r>
      <w:bookmarkEnd w:id="72"/>
    </w:p>
    <w:p w14:paraId="195A8255" w14:textId="77777777" w:rsidR="00EC030E" w:rsidRPr="00A335CB" w:rsidRDefault="00EC030E" w:rsidP="005D1A90">
      <w:pPr>
        <w:spacing w:after="0" w:line="276" w:lineRule="auto"/>
        <w:rPr>
          <w:rFonts w:ascii="Arial" w:hAnsi="Arial" w:cs="Arial"/>
          <w:sz w:val="20"/>
          <w:szCs w:val="20"/>
        </w:rPr>
      </w:pPr>
    </w:p>
    <w:p w14:paraId="3A9D7356" w14:textId="2CA6C2AF" w:rsidR="00653B9D" w:rsidRPr="00A335CB" w:rsidRDefault="00653B9D" w:rsidP="005D1A90">
      <w:pPr>
        <w:spacing w:line="276" w:lineRule="auto"/>
        <w:jc w:val="both"/>
        <w:rPr>
          <w:rFonts w:ascii="Arial" w:hAnsi="Arial" w:cs="Arial"/>
          <w:sz w:val="20"/>
          <w:szCs w:val="20"/>
        </w:rPr>
      </w:pPr>
      <w:r w:rsidRPr="00A335CB">
        <w:rPr>
          <w:rFonts w:ascii="Arial" w:hAnsi="Arial" w:cs="Arial"/>
          <w:sz w:val="20"/>
          <w:szCs w:val="20"/>
        </w:rPr>
        <w:t xml:space="preserve">Skupno število sprejetih oseb v državljanstvo Republike Slovenije je bilo v letu 2024 v primerjavi z letom 2023 manjše za 4 % (1.983 oseb v letu 2024, 2.051 oseb v letu 2023). Predvsem se je število sprejetih oseb zmanjšalo pri postopku izredne naturalizacije, medtem ko je število sprejetih oseb v postopkih redne naturalizacije skoraj enako. Zaradi vpisa sprejetih oseb v letu 2024 v matični register, ki še poteka, se bo </w:t>
      </w:r>
      <w:r w:rsidR="001866E1" w:rsidRPr="00A335CB">
        <w:rPr>
          <w:rFonts w:ascii="Arial" w:hAnsi="Arial" w:cs="Arial"/>
          <w:sz w:val="20"/>
          <w:szCs w:val="20"/>
        </w:rPr>
        <w:t>število</w:t>
      </w:r>
      <w:r w:rsidRPr="00A335CB">
        <w:rPr>
          <w:rFonts w:ascii="Arial" w:hAnsi="Arial" w:cs="Arial"/>
          <w:sz w:val="20"/>
          <w:szCs w:val="20"/>
        </w:rPr>
        <w:t xml:space="preserve"> sprejetih oseb v letu 2024 lahko še </w:t>
      </w:r>
      <w:r w:rsidR="001866E1" w:rsidRPr="00A335CB">
        <w:rPr>
          <w:rFonts w:ascii="Arial" w:hAnsi="Arial" w:cs="Arial"/>
          <w:sz w:val="20"/>
          <w:szCs w:val="20"/>
        </w:rPr>
        <w:t>povečal</w:t>
      </w:r>
      <w:r w:rsidR="001866E1">
        <w:rPr>
          <w:rFonts w:ascii="Arial" w:hAnsi="Arial" w:cs="Arial"/>
          <w:sz w:val="20"/>
          <w:szCs w:val="20"/>
        </w:rPr>
        <w:t>o</w:t>
      </w:r>
      <w:r w:rsidRPr="00A335CB">
        <w:rPr>
          <w:rFonts w:ascii="Arial" w:hAnsi="Arial" w:cs="Arial"/>
          <w:sz w:val="20"/>
          <w:szCs w:val="20"/>
        </w:rPr>
        <w:t>.</w:t>
      </w:r>
    </w:p>
    <w:p w14:paraId="30B7F0EC" w14:textId="1F0D5018" w:rsidR="00653B9D" w:rsidRPr="00EA6488" w:rsidRDefault="00653B9D" w:rsidP="00EA6488">
      <w:pPr>
        <w:spacing w:line="276" w:lineRule="auto"/>
        <w:jc w:val="both"/>
        <w:rPr>
          <w:rFonts w:ascii="Arial" w:hAnsi="Arial" w:cs="Arial"/>
        </w:rPr>
      </w:pPr>
      <w:r w:rsidRPr="00A335CB">
        <w:rPr>
          <w:rFonts w:ascii="Arial" w:hAnsi="Arial" w:cs="Arial"/>
          <w:noProof/>
          <w:lang w:eastAsia="sl-SI"/>
        </w:rPr>
        <w:drawing>
          <wp:inline distT="0" distB="0" distL="0" distR="0" wp14:anchorId="0E74B1C4" wp14:editId="34FBD282">
            <wp:extent cx="5613400" cy="2901315"/>
            <wp:effectExtent l="0" t="0" r="6350" b="13335"/>
            <wp:docPr id="36" name="Grafikon 36" descr="Stolpčni graf prikazuje izvorne države prosilcev za redno naturalizacijo v letih 2023 in 2024. Največ jih je iz Bosne in Hercegovine, sledijo Severne Makedonija, Kosovo in Srbij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A6488">
        <w:rPr>
          <w:rFonts w:ascii="Arial" w:hAnsi="Arial" w:cs="Arial"/>
          <w:b/>
          <w:sz w:val="20"/>
          <w:szCs w:val="20"/>
        </w:rPr>
        <w:t>Graf:</w:t>
      </w:r>
      <w:r w:rsidRPr="00EA6488">
        <w:rPr>
          <w:rFonts w:ascii="Arial" w:hAnsi="Arial" w:cs="Arial"/>
          <w:sz w:val="20"/>
          <w:szCs w:val="20"/>
        </w:rPr>
        <w:t xml:space="preserve"> Deset najpogostejših izvornih držav prosilcev za redno naturalizacijo v letu</w:t>
      </w:r>
      <w:r w:rsidR="00247F77" w:rsidRPr="00EA6488">
        <w:rPr>
          <w:rFonts w:ascii="Arial" w:hAnsi="Arial" w:cs="Arial"/>
          <w:sz w:val="20"/>
          <w:szCs w:val="20"/>
        </w:rPr>
        <w:t> 2024 v primerjavi z letom 2023</w:t>
      </w:r>
    </w:p>
    <w:p w14:paraId="2229FA10" w14:textId="574FBD3C" w:rsidR="00653B9D" w:rsidRPr="008A5738" w:rsidRDefault="00653B9D" w:rsidP="008A5738">
      <w:pPr>
        <w:spacing w:line="276" w:lineRule="auto"/>
        <w:jc w:val="both"/>
        <w:rPr>
          <w:rFonts w:ascii="Arial" w:hAnsi="Arial" w:cs="Arial"/>
        </w:rPr>
      </w:pPr>
      <w:r w:rsidRPr="00A335CB">
        <w:rPr>
          <w:rFonts w:ascii="Arial" w:hAnsi="Arial" w:cs="Arial"/>
          <w:noProof/>
          <w:lang w:eastAsia="sl-SI"/>
        </w:rPr>
        <w:drawing>
          <wp:inline distT="0" distB="0" distL="0" distR="0" wp14:anchorId="47368A15" wp14:editId="08BC20AD">
            <wp:extent cx="5613722" cy="2918460"/>
            <wp:effectExtent l="0" t="0" r="6350" b="15240"/>
            <wp:docPr id="37" name="Grafikon 37" descr="Stolpčni graf prikazuje izvorne države prosilcev za izredno naturalizacijo v letih 20223 in 2024. Največ jih je iz Srbij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EA6488">
        <w:rPr>
          <w:rFonts w:ascii="Arial" w:hAnsi="Arial" w:cs="Arial"/>
          <w:b/>
          <w:sz w:val="20"/>
          <w:szCs w:val="20"/>
        </w:rPr>
        <w:t>Graf</w:t>
      </w:r>
      <w:r w:rsidRPr="00EA6488">
        <w:rPr>
          <w:rFonts w:ascii="Arial" w:hAnsi="Arial" w:cs="Arial"/>
          <w:sz w:val="20"/>
          <w:szCs w:val="20"/>
        </w:rPr>
        <w:t>: Pet najpogostejših izvornih držav prosilcev za izredno naturalizacijo v letu 2024 v primerjavi z letom 2023</w:t>
      </w:r>
    </w:p>
    <w:p w14:paraId="3F6AF507" w14:textId="77777777" w:rsidR="00653B9D" w:rsidRPr="00A335CB" w:rsidRDefault="00653B9D" w:rsidP="005D1A90">
      <w:pPr>
        <w:spacing w:line="276" w:lineRule="auto"/>
        <w:jc w:val="both"/>
        <w:rPr>
          <w:rFonts w:ascii="Arial" w:hAnsi="Arial" w:cs="Arial"/>
          <w:sz w:val="20"/>
          <w:szCs w:val="20"/>
        </w:rPr>
      </w:pPr>
      <w:r w:rsidRPr="00A335CB">
        <w:rPr>
          <w:rFonts w:ascii="Arial" w:hAnsi="Arial" w:cs="Arial"/>
          <w:sz w:val="20"/>
          <w:szCs w:val="20"/>
        </w:rPr>
        <w:t>V letu 2024 je bilo izvedenih osem strokovnih nadzorov v zvezi z izvajanjem Zakona o državljanstvu Republike Slovenije (na upravnih enotah Gornja Radgona, Hrastnik, Idrija, Lenart, Logatec, Metlika, Novo mesto in Trbovlje).</w:t>
      </w:r>
    </w:p>
    <w:p w14:paraId="4CDAF4A5" w14:textId="2C690E4A" w:rsidR="00653B9D" w:rsidRPr="00A335CB" w:rsidRDefault="00653B9D" w:rsidP="00247F77">
      <w:pPr>
        <w:spacing w:line="276" w:lineRule="auto"/>
        <w:jc w:val="both"/>
        <w:rPr>
          <w:rFonts w:ascii="Arial" w:hAnsi="Arial" w:cs="Arial"/>
          <w:sz w:val="20"/>
          <w:szCs w:val="20"/>
        </w:rPr>
      </w:pPr>
      <w:r w:rsidRPr="00A335CB">
        <w:rPr>
          <w:rFonts w:ascii="Arial" w:hAnsi="Arial" w:cs="Arial"/>
          <w:sz w:val="20"/>
          <w:szCs w:val="20"/>
        </w:rPr>
        <w:t xml:space="preserve">Največje pomanjkljivosti so bile ugotovljene pri pomanjkljivem in nepravočasnem vnosu podatkov v register državljanstev. Pri priglasitvah v državljanstvo je bila največkrat ugotovljena pomanjkljivost, da iz upravnega spisa ni bil razviden podatek, na kakšen način je bilo ugotovljeno slovensko državljanstvo enega od staršev. Pri eni upravni enoti je bilo ugotovljeno, da v postopku pridobitve državljanstva ni upoštevala študentskega dela kot dokaza o sredstvih, ki zagotavljajo materialno in socialno varnost, čeprav je bila upravna enota seznanjena s sodbo </w:t>
      </w:r>
      <w:r w:rsidRPr="00A335CB">
        <w:rPr>
          <w:rFonts w:ascii="Arial" w:hAnsi="Arial" w:cs="Arial"/>
          <w:sz w:val="20"/>
          <w:szCs w:val="20"/>
          <w:lang w:eastAsia="sl-SI"/>
        </w:rPr>
        <w:t xml:space="preserve">št. I U 590/2014-13 z dne 20. 5. 2015, v kateri upravno sodišče kot ustrezno dokazilo upošteva tudi prejemke iz študentskega dela. Ugotovljeno je bilo tudi, da je upravna enota </w:t>
      </w:r>
      <w:r w:rsidRPr="00A335CB">
        <w:rPr>
          <w:rFonts w:ascii="Arial" w:hAnsi="Arial" w:cs="Arial"/>
          <w:sz w:val="20"/>
          <w:szCs w:val="20"/>
        </w:rPr>
        <w:t>po predložitvi dokaza o prenehanju matičnega državljanstva za osebe preverjala tudi izpolnjevanje pogoja poravnanih davčnih obveznosti, čeprav za to ni imela zakonske podlage v 11.</w:t>
      </w:r>
      <w:r w:rsidR="001866E1">
        <w:rPr>
          <w:rFonts w:ascii="Arial" w:hAnsi="Arial" w:cs="Arial"/>
          <w:sz w:val="20"/>
          <w:szCs w:val="20"/>
        </w:rPr>
        <w:t> </w:t>
      </w:r>
      <w:r w:rsidRPr="00A335CB">
        <w:rPr>
          <w:rFonts w:ascii="Arial" w:hAnsi="Arial" w:cs="Arial"/>
          <w:sz w:val="20"/>
          <w:szCs w:val="20"/>
        </w:rPr>
        <w:t xml:space="preserve">členu Zakona o državljanstvu Republike Slovenije. Nadalje je bilo ugotovljeno, da je upravna enota od stranke zahtevala listinska dokazila, </w:t>
      </w:r>
      <w:r w:rsidR="001866E1" w:rsidRPr="00A335CB">
        <w:rPr>
          <w:rFonts w:ascii="Arial" w:hAnsi="Arial" w:cs="Arial"/>
          <w:sz w:val="20"/>
          <w:szCs w:val="20"/>
        </w:rPr>
        <w:t>k</w:t>
      </w:r>
      <w:r w:rsidR="001866E1">
        <w:rPr>
          <w:rFonts w:ascii="Arial" w:hAnsi="Arial" w:cs="Arial"/>
          <w:sz w:val="20"/>
          <w:szCs w:val="20"/>
        </w:rPr>
        <w:t>i</w:t>
      </w:r>
      <w:r w:rsidR="001866E1" w:rsidRPr="00A335CB">
        <w:rPr>
          <w:rFonts w:ascii="Arial" w:hAnsi="Arial" w:cs="Arial"/>
          <w:sz w:val="20"/>
          <w:szCs w:val="20"/>
        </w:rPr>
        <w:t xml:space="preserve"> </w:t>
      </w:r>
      <w:r w:rsidRPr="00A335CB">
        <w:rPr>
          <w:rFonts w:ascii="Arial" w:hAnsi="Arial" w:cs="Arial"/>
          <w:sz w:val="20"/>
          <w:szCs w:val="20"/>
        </w:rPr>
        <w:t>bi</w:t>
      </w:r>
      <w:r w:rsidR="001866E1">
        <w:rPr>
          <w:rFonts w:ascii="Arial" w:hAnsi="Arial" w:cs="Arial"/>
          <w:sz w:val="20"/>
          <w:szCs w:val="20"/>
        </w:rPr>
        <w:t xml:space="preserve"> jih</w:t>
      </w:r>
      <w:r w:rsidRPr="00A335CB">
        <w:rPr>
          <w:rFonts w:ascii="Arial" w:hAnsi="Arial" w:cs="Arial"/>
          <w:sz w:val="20"/>
          <w:szCs w:val="20"/>
        </w:rPr>
        <w:t xml:space="preserve"> lahko v skladu z določbo </w:t>
      </w:r>
      <w:r w:rsidR="00247F77" w:rsidRPr="00A335CB">
        <w:rPr>
          <w:rFonts w:ascii="Arial" w:hAnsi="Arial" w:cs="Arial"/>
          <w:sz w:val="20"/>
          <w:szCs w:val="20"/>
        </w:rPr>
        <w:t xml:space="preserve">139. člena ZUP pridobila sama. </w:t>
      </w:r>
    </w:p>
    <w:p w14:paraId="18FEE8D1" w14:textId="385399ED" w:rsidR="00E2146B" w:rsidRPr="00A335CB" w:rsidRDefault="00E2146B" w:rsidP="005D1A90">
      <w:pPr>
        <w:pStyle w:val="Naslov3"/>
        <w:spacing w:line="276" w:lineRule="auto"/>
        <w:jc w:val="both"/>
        <w:rPr>
          <w:rFonts w:cs="Arial"/>
          <w:sz w:val="20"/>
          <w:szCs w:val="20"/>
        </w:rPr>
      </w:pPr>
      <w:bookmarkStart w:id="73" w:name="_Toc203552988"/>
      <w:r w:rsidRPr="00A335CB">
        <w:rPr>
          <w:rFonts w:cs="Arial"/>
          <w:sz w:val="20"/>
          <w:szCs w:val="20"/>
        </w:rPr>
        <w:t>Področje orožja</w:t>
      </w:r>
      <w:bookmarkEnd w:id="73"/>
    </w:p>
    <w:p w14:paraId="06366C20" w14:textId="77777777" w:rsidR="00E2146B" w:rsidRPr="00A335CB" w:rsidRDefault="00E2146B" w:rsidP="005D1A90">
      <w:pPr>
        <w:tabs>
          <w:tab w:val="left" w:pos="3402"/>
        </w:tabs>
        <w:spacing w:after="0" w:line="276" w:lineRule="auto"/>
        <w:jc w:val="both"/>
        <w:rPr>
          <w:rFonts w:ascii="Arial" w:hAnsi="Arial" w:cs="Arial"/>
          <w:b/>
          <w:sz w:val="20"/>
          <w:szCs w:val="20"/>
          <w:lang w:eastAsia="sl-SI"/>
        </w:rPr>
      </w:pPr>
    </w:p>
    <w:p w14:paraId="3232D400" w14:textId="77777777" w:rsidR="00247F77" w:rsidRPr="00A335CB" w:rsidRDefault="00653B9D" w:rsidP="005D1A90">
      <w:pPr>
        <w:spacing w:after="0" w:line="276" w:lineRule="auto"/>
        <w:jc w:val="both"/>
        <w:rPr>
          <w:rFonts w:ascii="Arial" w:eastAsia="Times New Roman" w:hAnsi="Arial" w:cs="Arial"/>
          <w:b/>
          <w:bCs/>
          <w:sz w:val="20"/>
          <w:szCs w:val="20"/>
        </w:rPr>
      </w:pPr>
      <w:r w:rsidRPr="00A335CB">
        <w:rPr>
          <w:rFonts w:ascii="Arial" w:eastAsia="Times New Roman" w:hAnsi="Arial" w:cs="Arial"/>
          <w:b/>
          <w:bCs/>
          <w:sz w:val="20"/>
          <w:szCs w:val="20"/>
        </w:rPr>
        <w:t>Začetek priprave sprememb in dopolnitev Pravilni</w:t>
      </w:r>
      <w:r w:rsidR="00247F77" w:rsidRPr="00A335CB">
        <w:rPr>
          <w:rFonts w:ascii="Arial" w:eastAsia="Times New Roman" w:hAnsi="Arial" w:cs="Arial"/>
          <w:b/>
          <w:bCs/>
          <w:sz w:val="20"/>
          <w:szCs w:val="20"/>
        </w:rPr>
        <w:t>ka za izvajanje Zakona o orožju</w:t>
      </w:r>
    </w:p>
    <w:p w14:paraId="01DDB80B" w14:textId="1186D7CE" w:rsidR="00653B9D" w:rsidRPr="00A335CB" w:rsidRDefault="00653B9D" w:rsidP="00247F77">
      <w:pPr>
        <w:spacing w:after="0" w:line="276" w:lineRule="auto"/>
        <w:jc w:val="both"/>
        <w:rPr>
          <w:rFonts w:ascii="Arial" w:eastAsia="Times New Roman" w:hAnsi="Arial" w:cs="Arial"/>
          <w:sz w:val="20"/>
          <w:szCs w:val="20"/>
        </w:rPr>
      </w:pPr>
      <w:r w:rsidRPr="00A335CB">
        <w:rPr>
          <w:rFonts w:ascii="Arial" w:eastAsia="Times New Roman" w:hAnsi="Arial" w:cs="Arial"/>
          <w:bCs/>
          <w:sz w:val="20"/>
          <w:szCs w:val="20"/>
        </w:rPr>
        <w:t xml:space="preserve">V januarju 2024 je bila sprejeta Izvedbena direktiva </w:t>
      </w:r>
      <w:r w:rsidRPr="00A335CB">
        <w:rPr>
          <w:rFonts w:ascii="Arial" w:eastAsia="Times New Roman" w:hAnsi="Arial" w:cs="Arial"/>
          <w:sz w:val="20"/>
          <w:szCs w:val="20"/>
        </w:rPr>
        <w:t xml:space="preserve">Komisije </w:t>
      </w:r>
      <w:r w:rsidR="00247F77" w:rsidRPr="00A335CB">
        <w:rPr>
          <w:rFonts w:ascii="Arial" w:eastAsia="Times New Roman" w:hAnsi="Arial" w:cs="Arial"/>
          <w:sz w:val="20"/>
          <w:szCs w:val="20"/>
        </w:rPr>
        <w:t>(EU) 2024/325 z dne 19.</w:t>
      </w:r>
      <w:r w:rsidR="00A26CA4">
        <w:rPr>
          <w:rFonts w:ascii="Arial" w:eastAsia="Times New Roman" w:hAnsi="Arial" w:cs="Arial"/>
          <w:sz w:val="20"/>
          <w:szCs w:val="20"/>
        </w:rPr>
        <w:t> </w:t>
      </w:r>
      <w:r w:rsidR="00247F77" w:rsidRPr="00A335CB">
        <w:rPr>
          <w:rFonts w:ascii="Arial" w:eastAsia="Times New Roman" w:hAnsi="Arial" w:cs="Arial"/>
          <w:sz w:val="20"/>
          <w:szCs w:val="20"/>
        </w:rPr>
        <w:t>1.</w:t>
      </w:r>
      <w:r w:rsidR="00A26CA4">
        <w:rPr>
          <w:rFonts w:ascii="Arial" w:eastAsia="Times New Roman" w:hAnsi="Arial" w:cs="Arial"/>
          <w:sz w:val="20"/>
          <w:szCs w:val="20"/>
        </w:rPr>
        <w:t> </w:t>
      </w:r>
      <w:r w:rsidRPr="00A335CB">
        <w:rPr>
          <w:rFonts w:ascii="Arial" w:eastAsia="Times New Roman" w:hAnsi="Arial" w:cs="Arial"/>
          <w:sz w:val="20"/>
          <w:szCs w:val="20"/>
        </w:rPr>
        <w:t xml:space="preserve">2024 o spremembi Izvedbene direktive (EU) 2019/68 glede </w:t>
      </w:r>
      <w:r w:rsidR="002912A8">
        <w:rPr>
          <w:rFonts w:ascii="Arial" w:eastAsia="Times New Roman" w:hAnsi="Arial" w:cs="Arial"/>
          <w:sz w:val="20"/>
          <w:szCs w:val="20"/>
        </w:rPr>
        <w:t>najmanjše</w:t>
      </w:r>
      <w:r w:rsidR="002912A8" w:rsidRPr="00A335CB">
        <w:rPr>
          <w:rFonts w:ascii="Arial" w:eastAsia="Times New Roman" w:hAnsi="Arial" w:cs="Arial"/>
          <w:sz w:val="20"/>
          <w:szCs w:val="20"/>
        </w:rPr>
        <w:t xml:space="preserve"> </w:t>
      </w:r>
      <w:r w:rsidRPr="00A335CB">
        <w:rPr>
          <w:rFonts w:ascii="Arial" w:eastAsia="Times New Roman" w:hAnsi="Arial" w:cs="Arial"/>
          <w:sz w:val="20"/>
          <w:szCs w:val="20"/>
        </w:rPr>
        <w:t xml:space="preserve">globine oznak na strelnem orožju in bistvenih sestavnih delih, zaradi česar bo treba </w:t>
      </w:r>
      <w:r w:rsidR="002912A8">
        <w:rPr>
          <w:rFonts w:ascii="Arial" w:eastAsia="Times New Roman" w:hAnsi="Arial" w:cs="Arial"/>
          <w:sz w:val="20"/>
          <w:szCs w:val="20"/>
        </w:rPr>
        <w:t>najmanjšo</w:t>
      </w:r>
      <w:r w:rsidR="002912A8" w:rsidRPr="00A335CB">
        <w:rPr>
          <w:rFonts w:ascii="Arial" w:eastAsia="Times New Roman" w:hAnsi="Arial" w:cs="Arial"/>
          <w:sz w:val="20"/>
          <w:szCs w:val="20"/>
        </w:rPr>
        <w:t xml:space="preserve"> </w:t>
      </w:r>
      <w:r w:rsidRPr="00A335CB">
        <w:rPr>
          <w:rFonts w:ascii="Arial" w:eastAsia="Times New Roman" w:hAnsi="Arial" w:cs="Arial"/>
          <w:sz w:val="20"/>
          <w:szCs w:val="20"/>
        </w:rPr>
        <w:t>globino oznake na strelnem orožju (0,0762</w:t>
      </w:r>
      <w:r w:rsidR="00A26CA4">
        <w:rPr>
          <w:rFonts w:ascii="Arial" w:eastAsia="Times New Roman" w:hAnsi="Arial" w:cs="Arial"/>
          <w:sz w:val="20"/>
          <w:szCs w:val="20"/>
        </w:rPr>
        <w:t> </w:t>
      </w:r>
      <w:r w:rsidRPr="00A335CB">
        <w:rPr>
          <w:rFonts w:ascii="Arial" w:eastAsia="Times New Roman" w:hAnsi="Arial" w:cs="Arial"/>
          <w:sz w:val="20"/>
          <w:szCs w:val="20"/>
        </w:rPr>
        <w:t xml:space="preserve">mm) določiti tudi v notranji zakonodaji. Z namenom prenosa navedene izvedbene direktive v notranji pravni </w:t>
      </w:r>
      <w:r w:rsidR="00247F77" w:rsidRPr="00A335CB">
        <w:rPr>
          <w:rFonts w:ascii="Arial" w:eastAsia="Times New Roman" w:hAnsi="Arial" w:cs="Arial"/>
          <w:sz w:val="20"/>
          <w:szCs w:val="20"/>
        </w:rPr>
        <w:t xml:space="preserve">red </w:t>
      </w:r>
      <w:r w:rsidR="00A26CA4" w:rsidRPr="00A335CB">
        <w:rPr>
          <w:rFonts w:ascii="Arial" w:eastAsia="Times New Roman" w:hAnsi="Arial" w:cs="Arial"/>
          <w:sz w:val="20"/>
          <w:szCs w:val="20"/>
        </w:rPr>
        <w:t>s</w:t>
      </w:r>
      <w:r w:rsidR="00A26CA4">
        <w:rPr>
          <w:rFonts w:ascii="Arial" w:eastAsia="Times New Roman" w:hAnsi="Arial" w:cs="Arial"/>
          <w:sz w:val="20"/>
          <w:szCs w:val="20"/>
        </w:rPr>
        <w:t>o</w:t>
      </w:r>
      <w:r w:rsidR="00A26CA4" w:rsidRPr="00A335CB">
        <w:rPr>
          <w:rFonts w:ascii="Arial" w:eastAsia="Times New Roman" w:hAnsi="Arial" w:cs="Arial"/>
          <w:sz w:val="20"/>
          <w:szCs w:val="20"/>
        </w:rPr>
        <w:t xml:space="preserve"> </w:t>
      </w:r>
      <w:r w:rsidR="00A26CA4">
        <w:rPr>
          <w:rFonts w:ascii="Arial" w:eastAsia="Times New Roman" w:hAnsi="Arial" w:cs="Arial"/>
          <w:sz w:val="20"/>
          <w:szCs w:val="20"/>
        </w:rPr>
        <w:t>s</w:t>
      </w:r>
      <w:r w:rsidR="00247F77" w:rsidRPr="00A335CB">
        <w:rPr>
          <w:rFonts w:ascii="Arial" w:eastAsia="Times New Roman" w:hAnsi="Arial" w:cs="Arial"/>
          <w:sz w:val="20"/>
          <w:szCs w:val="20"/>
        </w:rPr>
        <w:t xml:space="preserve">e </w:t>
      </w:r>
      <w:r w:rsidR="00A26CA4">
        <w:rPr>
          <w:rFonts w:ascii="Arial" w:eastAsia="Times New Roman" w:hAnsi="Arial" w:cs="Arial"/>
          <w:sz w:val="20"/>
          <w:szCs w:val="20"/>
        </w:rPr>
        <w:t>za</w:t>
      </w:r>
      <w:r w:rsidR="00A26CA4" w:rsidRPr="00A335CB">
        <w:rPr>
          <w:rFonts w:ascii="Arial" w:eastAsia="Times New Roman" w:hAnsi="Arial" w:cs="Arial"/>
          <w:sz w:val="20"/>
          <w:szCs w:val="20"/>
        </w:rPr>
        <w:t>čel</w:t>
      </w:r>
      <w:r w:rsidR="00A26CA4">
        <w:rPr>
          <w:rFonts w:ascii="Arial" w:eastAsia="Times New Roman" w:hAnsi="Arial" w:cs="Arial"/>
          <w:sz w:val="20"/>
          <w:szCs w:val="20"/>
        </w:rPr>
        <w:t>e</w:t>
      </w:r>
      <w:r w:rsidR="00A26CA4" w:rsidRPr="00A335CB">
        <w:rPr>
          <w:rFonts w:ascii="Arial" w:eastAsia="Times New Roman" w:hAnsi="Arial" w:cs="Arial"/>
          <w:sz w:val="20"/>
          <w:szCs w:val="20"/>
        </w:rPr>
        <w:t xml:space="preserve"> </w:t>
      </w:r>
      <w:r w:rsidR="00247F77" w:rsidRPr="00A335CB">
        <w:rPr>
          <w:rFonts w:ascii="Arial" w:eastAsia="Times New Roman" w:hAnsi="Arial" w:cs="Arial"/>
          <w:sz w:val="20"/>
          <w:szCs w:val="20"/>
        </w:rPr>
        <w:t xml:space="preserve">pripravljati </w:t>
      </w:r>
      <w:r w:rsidRPr="00A335CB">
        <w:rPr>
          <w:rFonts w:ascii="Arial" w:eastAsia="Times New Roman" w:hAnsi="Arial" w:cs="Arial"/>
          <w:sz w:val="20"/>
          <w:szCs w:val="20"/>
        </w:rPr>
        <w:t>spremembe in dopolnitve pravilnika</w:t>
      </w:r>
      <w:r w:rsidR="00247F77" w:rsidRPr="00A335CB">
        <w:rPr>
          <w:rFonts w:ascii="Arial" w:eastAsia="Times New Roman" w:hAnsi="Arial" w:cs="Arial"/>
          <w:sz w:val="20"/>
          <w:szCs w:val="20"/>
        </w:rPr>
        <w:t xml:space="preserve">, izvedbeno direktivo je treba </w:t>
      </w:r>
      <w:r w:rsidRPr="00A335CB">
        <w:rPr>
          <w:rFonts w:ascii="Arial" w:eastAsia="Times New Roman" w:hAnsi="Arial" w:cs="Arial"/>
          <w:sz w:val="20"/>
          <w:szCs w:val="20"/>
        </w:rPr>
        <w:t>prenesti</w:t>
      </w:r>
      <w:r w:rsidR="00247F77" w:rsidRPr="00A335CB">
        <w:rPr>
          <w:rFonts w:ascii="Arial" w:eastAsia="Times New Roman" w:hAnsi="Arial" w:cs="Arial"/>
          <w:sz w:val="20"/>
          <w:szCs w:val="20"/>
        </w:rPr>
        <w:t xml:space="preserve"> najpozneje do 22. 7. 2025.</w:t>
      </w:r>
    </w:p>
    <w:p w14:paraId="2F4DB3B8" w14:textId="77777777" w:rsidR="00247F77" w:rsidRPr="00A335CB" w:rsidRDefault="00247F77" w:rsidP="00247F77">
      <w:pPr>
        <w:spacing w:after="0" w:line="276" w:lineRule="auto"/>
        <w:jc w:val="both"/>
        <w:rPr>
          <w:rFonts w:ascii="Arial" w:eastAsia="Times New Roman" w:hAnsi="Arial" w:cs="Arial"/>
          <w:sz w:val="20"/>
          <w:szCs w:val="20"/>
        </w:rPr>
      </w:pPr>
    </w:p>
    <w:tbl>
      <w:tblPr>
        <w:tblW w:w="8505" w:type="dxa"/>
        <w:tblInd w:w="-8" w:type="dxa"/>
        <w:tblLayout w:type="fixed"/>
        <w:tblLook w:val="00A0" w:firstRow="1" w:lastRow="0" w:firstColumn="1" w:lastColumn="0" w:noHBand="0" w:noVBand="0"/>
      </w:tblPr>
      <w:tblGrid>
        <w:gridCol w:w="1742"/>
        <w:gridCol w:w="1779"/>
        <w:gridCol w:w="2150"/>
        <w:gridCol w:w="1311"/>
        <w:gridCol w:w="1523"/>
      </w:tblGrid>
      <w:tr w:rsidR="00BD47E0" w:rsidRPr="00A335CB" w14:paraId="16F7C857" w14:textId="77777777" w:rsidTr="00247F77">
        <w:tc>
          <w:tcPr>
            <w:tcW w:w="1742" w:type="dxa"/>
            <w:tcBorders>
              <w:top w:val="single" w:sz="6" w:space="0" w:color="000000"/>
              <w:left w:val="single" w:sz="6" w:space="0" w:color="000000"/>
              <w:bottom w:val="single" w:sz="6" w:space="0" w:color="000000"/>
              <w:right w:val="single" w:sz="6" w:space="0" w:color="000000"/>
            </w:tcBorders>
            <w:shd w:val="clear" w:color="auto" w:fill="auto"/>
          </w:tcPr>
          <w:p w14:paraId="31EA3D63"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Oseba:</w:t>
            </w: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0241CC13"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Vrsta listine</w:t>
            </w: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313E957F"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Razlog posesti listine ali orožja</w:t>
            </w:r>
          </w:p>
        </w:tc>
        <w:tc>
          <w:tcPr>
            <w:tcW w:w="1311" w:type="dxa"/>
            <w:tcBorders>
              <w:top w:val="single" w:sz="6" w:space="0" w:color="000000"/>
              <w:left w:val="single" w:sz="6" w:space="0" w:color="000000"/>
              <w:bottom w:val="single" w:sz="6" w:space="0" w:color="000000"/>
              <w:right w:val="single" w:sz="6" w:space="0" w:color="000000"/>
            </w:tcBorders>
            <w:shd w:val="clear" w:color="auto" w:fill="auto"/>
          </w:tcPr>
          <w:p w14:paraId="48FA0381"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 xml:space="preserve">Št. lastnikov </w:t>
            </w:r>
          </w:p>
          <w:p w14:paraId="3A653897"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orožja</w:t>
            </w:r>
          </w:p>
        </w:tc>
        <w:tc>
          <w:tcPr>
            <w:tcW w:w="1523" w:type="dxa"/>
            <w:tcBorders>
              <w:top w:val="single" w:sz="6" w:space="0" w:color="000000"/>
              <w:left w:val="single" w:sz="6" w:space="0" w:color="000000"/>
              <w:bottom w:val="single" w:sz="6" w:space="0" w:color="000000"/>
              <w:right w:val="single" w:sz="6" w:space="0" w:color="000000"/>
            </w:tcBorders>
            <w:shd w:val="clear" w:color="auto" w:fill="auto"/>
          </w:tcPr>
          <w:p w14:paraId="5838D2B1"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Št. kosov orožja</w:t>
            </w:r>
          </w:p>
        </w:tc>
      </w:tr>
      <w:tr w:rsidR="00BD47E0" w:rsidRPr="00A335CB" w14:paraId="68E4CDE5" w14:textId="77777777" w:rsidTr="00247F77">
        <w:tc>
          <w:tcPr>
            <w:tcW w:w="1742" w:type="dxa"/>
            <w:tcBorders>
              <w:top w:val="single" w:sz="6" w:space="0" w:color="000000"/>
              <w:left w:val="single" w:sz="6" w:space="0" w:color="000000"/>
              <w:bottom w:val="single" w:sz="6" w:space="0" w:color="000000"/>
              <w:right w:val="single" w:sz="6" w:space="0" w:color="000000"/>
            </w:tcBorders>
            <w:shd w:val="clear" w:color="auto" w:fill="auto"/>
          </w:tcPr>
          <w:p w14:paraId="3ACD64A2"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Fizična oseba</w:t>
            </w: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749A6913"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62BDF004"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2BADBBDF"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430D1B80" w14:textId="77777777" w:rsidR="00653B9D" w:rsidRPr="00A335CB" w:rsidRDefault="00653B9D" w:rsidP="005D1A90">
            <w:pPr>
              <w:autoSpaceDE w:val="0"/>
              <w:autoSpaceDN w:val="0"/>
              <w:adjustRightInd w:val="0"/>
              <w:spacing w:after="120" w:line="276" w:lineRule="auto"/>
              <w:rPr>
                <w:rFonts w:ascii="Arial" w:hAnsi="Arial" w:cs="Arial"/>
                <w:sz w:val="20"/>
                <w:szCs w:val="20"/>
              </w:rPr>
            </w:pPr>
          </w:p>
        </w:tc>
      </w:tr>
      <w:tr w:rsidR="00BD47E0" w:rsidRPr="00A335CB" w14:paraId="791F2C47" w14:textId="77777777" w:rsidTr="00247F77">
        <w:tc>
          <w:tcPr>
            <w:tcW w:w="174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CBBC693"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3ABDBCF6"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Dovoljenje za posest</w:t>
            </w: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1C06EEC1"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51021D3B"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20.948</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59284656"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42.433</w:t>
            </w:r>
          </w:p>
        </w:tc>
      </w:tr>
      <w:tr w:rsidR="00BD47E0" w:rsidRPr="00A335CB" w14:paraId="2F55FE82" w14:textId="77777777" w:rsidTr="00247F77">
        <w:tc>
          <w:tcPr>
            <w:tcW w:w="1742" w:type="dxa"/>
            <w:vMerge/>
            <w:tcBorders>
              <w:top w:val="single" w:sz="6" w:space="0" w:color="000000"/>
              <w:left w:val="single" w:sz="6" w:space="0" w:color="000000"/>
              <w:bottom w:val="single" w:sz="6" w:space="0" w:color="000000"/>
              <w:right w:val="single" w:sz="6" w:space="0" w:color="000000"/>
            </w:tcBorders>
            <w:shd w:val="clear" w:color="auto" w:fill="auto"/>
          </w:tcPr>
          <w:p w14:paraId="3BF2943B"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77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42D7FC3"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Orožni list</w:t>
            </w: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408B3DFF"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lov</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38D63787"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19.779</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0D1D125C"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79.685</w:t>
            </w:r>
          </w:p>
        </w:tc>
      </w:tr>
      <w:tr w:rsidR="00BD47E0" w:rsidRPr="00A335CB" w14:paraId="35416347" w14:textId="77777777" w:rsidTr="00247F77">
        <w:tc>
          <w:tcPr>
            <w:tcW w:w="1742" w:type="dxa"/>
            <w:vMerge/>
            <w:tcBorders>
              <w:top w:val="single" w:sz="6" w:space="0" w:color="000000"/>
              <w:left w:val="single" w:sz="6" w:space="0" w:color="000000"/>
              <w:bottom w:val="single" w:sz="6" w:space="0" w:color="000000"/>
              <w:right w:val="single" w:sz="6" w:space="0" w:color="000000"/>
            </w:tcBorders>
            <w:shd w:val="clear" w:color="auto" w:fill="auto"/>
          </w:tcPr>
          <w:p w14:paraId="111185B7"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779" w:type="dxa"/>
            <w:vMerge/>
            <w:tcBorders>
              <w:top w:val="single" w:sz="6" w:space="0" w:color="000000"/>
              <w:left w:val="single" w:sz="6" w:space="0" w:color="000000"/>
              <w:bottom w:val="single" w:sz="6" w:space="0" w:color="000000"/>
              <w:right w:val="single" w:sz="6" w:space="0" w:color="000000"/>
            </w:tcBorders>
            <w:shd w:val="clear" w:color="auto" w:fill="auto"/>
          </w:tcPr>
          <w:p w14:paraId="684371B4"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7E6DF761"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šport</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5BB84124"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5.133</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46A7FA7D"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17.660</w:t>
            </w:r>
          </w:p>
        </w:tc>
      </w:tr>
      <w:tr w:rsidR="00BD47E0" w:rsidRPr="00A335CB" w14:paraId="2C0E5550" w14:textId="77777777" w:rsidTr="00247F77">
        <w:tc>
          <w:tcPr>
            <w:tcW w:w="1742" w:type="dxa"/>
            <w:vMerge/>
            <w:tcBorders>
              <w:top w:val="single" w:sz="6" w:space="0" w:color="000000"/>
              <w:left w:val="single" w:sz="6" w:space="0" w:color="000000"/>
              <w:bottom w:val="single" w:sz="6" w:space="0" w:color="000000"/>
              <w:right w:val="single" w:sz="6" w:space="0" w:color="000000"/>
            </w:tcBorders>
            <w:shd w:val="clear" w:color="auto" w:fill="auto"/>
          </w:tcPr>
          <w:p w14:paraId="288A7AC7"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779" w:type="dxa"/>
            <w:vMerge/>
            <w:tcBorders>
              <w:top w:val="single" w:sz="6" w:space="0" w:color="000000"/>
              <w:left w:val="single" w:sz="6" w:space="0" w:color="000000"/>
              <w:bottom w:val="single" w:sz="6" w:space="0" w:color="000000"/>
              <w:right w:val="single" w:sz="6" w:space="0" w:color="000000"/>
            </w:tcBorders>
            <w:shd w:val="clear" w:color="auto" w:fill="auto"/>
          </w:tcPr>
          <w:p w14:paraId="6394F1EB"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6411A51A"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 xml:space="preserve">varnost </w:t>
            </w: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13F7C365"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5.317</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230FB137"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6.114</w:t>
            </w:r>
          </w:p>
        </w:tc>
      </w:tr>
      <w:tr w:rsidR="00BD47E0" w:rsidRPr="00A335CB" w14:paraId="06C569CA" w14:textId="77777777" w:rsidTr="00247F77">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3CEB98BB"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3929"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54F2064" w14:textId="7D11C79C" w:rsidR="00653B9D" w:rsidRPr="00A335CB" w:rsidRDefault="00653B9D" w:rsidP="005D1A90">
            <w:pPr>
              <w:autoSpaceDE w:val="0"/>
              <w:autoSpaceDN w:val="0"/>
              <w:adjustRightInd w:val="0"/>
              <w:spacing w:after="0" w:line="276" w:lineRule="auto"/>
              <w:rPr>
                <w:rFonts w:ascii="Arial" w:hAnsi="Arial" w:cs="Arial"/>
                <w:b/>
                <w:sz w:val="20"/>
                <w:szCs w:val="20"/>
              </w:rPr>
            </w:pPr>
            <w:r w:rsidRPr="00A335CB">
              <w:rPr>
                <w:rFonts w:ascii="Arial" w:hAnsi="Arial" w:cs="Arial"/>
                <w:b/>
                <w:sz w:val="20"/>
                <w:szCs w:val="20"/>
              </w:rPr>
              <w:t>Skupaj: orožni list</w:t>
            </w:r>
          </w:p>
        </w:tc>
        <w:tc>
          <w:tcPr>
            <w:tcW w:w="1311"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79A69BB"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28.892</w:t>
            </w:r>
          </w:p>
        </w:tc>
        <w:tc>
          <w:tcPr>
            <w:tcW w:w="1523"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9D6F6C3"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103.459</w:t>
            </w:r>
          </w:p>
        </w:tc>
      </w:tr>
      <w:tr w:rsidR="00BD47E0" w:rsidRPr="00A335CB" w14:paraId="37995B2E" w14:textId="77777777" w:rsidTr="00247F77">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5E7820C7"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418E6D8D"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Priglasitveni list</w:t>
            </w: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100D8C59"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72CDE8CD"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962</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606902B2"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2.526</w:t>
            </w:r>
          </w:p>
        </w:tc>
      </w:tr>
      <w:tr w:rsidR="00BD47E0" w:rsidRPr="00A335CB" w14:paraId="16163BB4" w14:textId="77777777" w:rsidTr="00247F77">
        <w:tc>
          <w:tcPr>
            <w:tcW w:w="1742" w:type="dxa"/>
            <w:vMerge/>
            <w:tcBorders>
              <w:top w:val="single" w:sz="6" w:space="0" w:color="000000"/>
              <w:left w:val="single" w:sz="6" w:space="0" w:color="000000"/>
              <w:bottom w:val="single" w:sz="6" w:space="0" w:color="000000"/>
              <w:right w:val="single" w:sz="6" w:space="0" w:color="000000"/>
            </w:tcBorders>
            <w:shd w:val="clear" w:color="auto" w:fill="C0E1FF"/>
          </w:tcPr>
          <w:p w14:paraId="114BB880"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20F1B03D" w14:textId="77777777" w:rsidR="00653B9D" w:rsidRPr="00A335CB" w:rsidRDefault="00653B9D" w:rsidP="005D1A90">
            <w:pPr>
              <w:autoSpaceDE w:val="0"/>
              <w:autoSpaceDN w:val="0"/>
              <w:adjustRightInd w:val="0"/>
              <w:spacing w:after="0" w:line="276" w:lineRule="auto"/>
              <w:rPr>
                <w:rFonts w:ascii="Arial" w:hAnsi="Arial" w:cs="Arial"/>
                <w:sz w:val="20"/>
                <w:szCs w:val="20"/>
              </w:rPr>
            </w:pPr>
            <w:r w:rsidRPr="00A335CB">
              <w:rPr>
                <w:rFonts w:ascii="Arial" w:hAnsi="Arial" w:cs="Arial"/>
                <w:sz w:val="20"/>
                <w:szCs w:val="20"/>
              </w:rPr>
              <w:t>Dovoljenje za zbiranje</w:t>
            </w: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7302CE4D" w14:textId="77777777" w:rsidR="00653B9D" w:rsidRPr="00A335CB" w:rsidRDefault="00653B9D" w:rsidP="005D1A90">
            <w:pPr>
              <w:autoSpaceDE w:val="0"/>
              <w:autoSpaceDN w:val="0"/>
              <w:adjustRightInd w:val="0"/>
              <w:spacing w:after="0" w:line="276" w:lineRule="auto"/>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4DB15E60"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728</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287E7333"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15.643</w:t>
            </w:r>
          </w:p>
        </w:tc>
      </w:tr>
      <w:tr w:rsidR="00BD47E0" w:rsidRPr="00A335CB" w14:paraId="721F3BD6" w14:textId="77777777" w:rsidTr="00247F77">
        <w:tc>
          <w:tcPr>
            <w:tcW w:w="5671" w:type="dxa"/>
            <w:gridSpan w:val="3"/>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6DFD2980" w14:textId="77777777" w:rsidR="00653B9D" w:rsidRPr="00A335CB" w:rsidRDefault="00653B9D" w:rsidP="005D1A90">
            <w:pPr>
              <w:autoSpaceDE w:val="0"/>
              <w:autoSpaceDN w:val="0"/>
              <w:adjustRightInd w:val="0"/>
              <w:spacing w:after="0" w:line="276" w:lineRule="auto"/>
              <w:rPr>
                <w:rFonts w:ascii="Arial" w:hAnsi="Arial" w:cs="Arial"/>
                <w:b/>
                <w:sz w:val="20"/>
                <w:szCs w:val="20"/>
              </w:rPr>
            </w:pPr>
            <w:r w:rsidRPr="00A335CB">
              <w:rPr>
                <w:rFonts w:ascii="Arial" w:hAnsi="Arial" w:cs="Arial"/>
                <w:b/>
                <w:sz w:val="20"/>
                <w:szCs w:val="20"/>
              </w:rPr>
              <w:t>Skupaj: fizična oseba</w:t>
            </w:r>
          </w:p>
        </w:tc>
        <w:tc>
          <w:tcPr>
            <w:tcW w:w="1311"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242E0DC9"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46.127</w:t>
            </w:r>
          </w:p>
        </w:tc>
        <w:tc>
          <w:tcPr>
            <w:tcW w:w="1523"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15D39C48"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164.061</w:t>
            </w:r>
          </w:p>
        </w:tc>
      </w:tr>
      <w:tr w:rsidR="00BD47E0" w:rsidRPr="00A335CB" w14:paraId="3731D5D7" w14:textId="77777777" w:rsidTr="00247F77">
        <w:tc>
          <w:tcPr>
            <w:tcW w:w="1742" w:type="dxa"/>
            <w:tcBorders>
              <w:top w:val="single" w:sz="6" w:space="0" w:color="000000"/>
              <w:left w:val="single" w:sz="6" w:space="0" w:color="000000"/>
              <w:bottom w:val="single" w:sz="6" w:space="0" w:color="000000"/>
              <w:right w:val="single" w:sz="6" w:space="0" w:color="000000"/>
            </w:tcBorders>
            <w:shd w:val="clear" w:color="auto" w:fill="auto"/>
          </w:tcPr>
          <w:p w14:paraId="33477E19"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Poslovni subjekt</w:t>
            </w: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58BD5A93"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73489CE8"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43B85283"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11424A87" w14:textId="77777777" w:rsidR="00653B9D" w:rsidRPr="00A335CB" w:rsidRDefault="00653B9D" w:rsidP="005D1A90">
            <w:pPr>
              <w:autoSpaceDE w:val="0"/>
              <w:autoSpaceDN w:val="0"/>
              <w:adjustRightInd w:val="0"/>
              <w:spacing w:after="120" w:line="276" w:lineRule="auto"/>
              <w:rPr>
                <w:rFonts w:ascii="Arial" w:hAnsi="Arial" w:cs="Arial"/>
                <w:sz w:val="20"/>
                <w:szCs w:val="20"/>
              </w:rPr>
            </w:pPr>
          </w:p>
        </w:tc>
      </w:tr>
      <w:tr w:rsidR="00BD47E0" w:rsidRPr="00A335CB" w14:paraId="7CF6C032" w14:textId="77777777" w:rsidTr="00247F77">
        <w:tc>
          <w:tcPr>
            <w:tcW w:w="1742" w:type="dxa"/>
            <w:tcBorders>
              <w:top w:val="single" w:sz="6" w:space="0" w:color="000000"/>
              <w:left w:val="single" w:sz="6" w:space="0" w:color="000000"/>
              <w:bottom w:val="single" w:sz="6" w:space="0" w:color="000000"/>
              <w:right w:val="single" w:sz="6" w:space="0" w:color="000000"/>
            </w:tcBorders>
            <w:shd w:val="clear" w:color="auto" w:fill="auto"/>
          </w:tcPr>
          <w:p w14:paraId="0DE566CF"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34A5D48A" w14:textId="77777777" w:rsidR="00653B9D" w:rsidRPr="00A335CB" w:rsidRDefault="00653B9D" w:rsidP="005D1A90">
            <w:pPr>
              <w:autoSpaceDE w:val="0"/>
              <w:autoSpaceDN w:val="0"/>
              <w:adjustRightInd w:val="0"/>
              <w:spacing w:after="0" w:line="276" w:lineRule="auto"/>
              <w:jc w:val="center"/>
              <w:rPr>
                <w:rFonts w:ascii="Arial" w:hAnsi="Arial" w:cs="Arial"/>
                <w:sz w:val="20"/>
                <w:szCs w:val="20"/>
              </w:rPr>
            </w:pPr>
            <w:r w:rsidRPr="00A335CB">
              <w:rPr>
                <w:rFonts w:ascii="Arial" w:hAnsi="Arial" w:cs="Arial"/>
                <w:sz w:val="20"/>
                <w:szCs w:val="20"/>
              </w:rPr>
              <w:t>Dovoljenje za zbiranje</w:t>
            </w: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58D77498"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5CA0C97A"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4</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1F5E3A7E"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82</w:t>
            </w:r>
          </w:p>
        </w:tc>
      </w:tr>
      <w:tr w:rsidR="00BD47E0" w:rsidRPr="00A335CB" w14:paraId="4CAC284C" w14:textId="77777777" w:rsidTr="00247F77">
        <w:tc>
          <w:tcPr>
            <w:tcW w:w="1742" w:type="dxa"/>
            <w:tcBorders>
              <w:top w:val="single" w:sz="6" w:space="0" w:color="000000"/>
              <w:left w:val="single" w:sz="6" w:space="0" w:color="000000"/>
              <w:bottom w:val="single" w:sz="6" w:space="0" w:color="000000"/>
              <w:right w:val="single" w:sz="6" w:space="0" w:color="000000"/>
            </w:tcBorders>
            <w:shd w:val="clear" w:color="auto" w:fill="auto"/>
          </w:tcPr>
          <w:p w14:paraId="213848DC"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p>
        </w:tc>
        <w:tc>
          <w:tcPr>
            <w:tcW w:w="1779" w:type="dxa"/>
            <w:tcBorders>
              <w:top w:val="single" w:sz="6" w:space="0" w:color="000000"/>
              <w:left w:val="single" w:sz="6" w:space="0" w:color="000000"/>
              <w:bottom w:val="single" w:sz="6" w:space="0" w:color="000000"/>
              <w:right w:val="single" w:sz="6" w:space="0" w:color="000000"/>
            </w:tcBorders>
            <w:shd w:val="clear" w:color="auto" w:fill="auto"/>
          </w:tcPr>
          <w:p w14:paraId="074FDBCB" w14:textId="77777777" w:rsidR="00653B9D" w:rsidRPr="00A335CB" w:rsidRDefault="00653B9D" w:rsidP="005D1A90">
            <w:pPr>
              <w:autoSpaceDE w:val="0"/>
              <w:autoSpaceDN w:val="0"/>
              <w:adjustRightInd w:val="0"/>
              <w:spacing w:after="0" w:line="276" w:lineRule="auto"/>
              <w:jc w:val="center"/>
              <w:rPr>
                <w:rFonts w:ascii="Arial" w:hAnsi="Arial" w:cs="Arial"/>
                <w:sz w:val="20"/>
                <w:szCs w:val="20"/>
              </w:rPr>
            </w:pPr>
            <w:r w:rsidRPr="00A335CB">
              <w:rPr>
                <w:rFonts w:ascii="Arial" w:hAnsi="Arial" w:cs="Arial"/>
                <w:sz w:val="20"/>
                <w:szCs w:val="20"/>
              </w:rPr>
              <w:t>Orožni posestni list</w:t>
            </w:r>
          </w:p>
        </w:tc>
        <w:tc>
          <w:tcPr>
            <w:tcW w:w="2150" w:type="dxa"/>
            <w:tcBorders>
              <w:top w:val="single" w:sz="6" w:space="0" w:color="000000"/>
              <w:left w:val="single" w:sz="6" w:space="0" w:color="000000"/>
              <w:bottom w:val="single" w:sz="6" w:space="0" w:color="000000"/>
              <w:right w:val="single" w:sz="6" w:space="0" w:color="000000"/>
            </w:tcBorders>
            <w:shd w:val="clear" w:color="auto" w:fill="auto"/>
          </w:tcPr>
          <w:p w14:paraId="1DAFB33F"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p>
        </w:tc>
        <w:tc>
          <w:tcPr>
            <w:tcW w:w="1311" w:type="dxa"/>
            <w:tcBorders>
              <w:top w:val="single" w:sz="6" w:space="0" w:color="000000"/>
              <w:left w:val="single" w:sz="6" w:space="0" w:color="000000"/>
              <w:bottom w:val="single" w:sz="6" w:space="0" w:color="000000"/>
              <w:right w:val="single" w:sz="6" w:space="0" w:color="000000"/>
            </w:tcBorders>
            <w:shd w:val="clear" w:color="auto" w:fill="D2D2D2"/>
          </w:tcPr>
          <w:p w14:paraId="787C29B6"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241</w:t>
            </w:r>
          </w:p>
        </w:tc>
        <w:tc>
          <w:tcPr>
            <w:tcW w:w="1523" w:type="dxa"/>
            <w:tcBorders>
              <w:top w:val="single" w:sz="6" w:space="0" w:color="000000"/>
              <w:left w:val="single" w:sz="6" w:space="0" w:color="000000"/>
              <w:bottom w:val="single" w:sz="6" w:space="0" w:color="000000"/>
              <w:right w:val="single" w:sz="6" w:space="0" w:color="000000"/>
            </w:tcBorders>
            <w:shd w:val="clear" w:color="auto" w:fill="D2D2D2"/>
          </w:tcPr>
          <w:p w14:paraId="4E59234D" w14:textId="77777777" w:rsidR="00653B9D" w:rsidRPr="00A335CB" w:rsidRDefault="00653B9D" w:rsidP="005D1A90">
            <w:pPr>
              <w:autoSpaceDE w:val="0"/>
              <w:autoSpaceDN w:val="0"/>
              <w:adjustRightInd w:val="0"/>
              <w:spacing w:after="0" w:line="276" w:lineRule="auto"/>
              <w:jc w:val="right"/>
              <w:rPr>
                <w:rFonts w:ascii="Arial" w:hAnsi="Arial" w:cs="Arial"/>
                <w:sz w:val="20"/>
                <w:szCs w:val="20"/>
              </w:rPr>
            </w:pPr>
            <w:r w:rsidRPr="00A335CB">
              <w:rPr>
                <w:rFonts w:ascii="Arial" w:hAnsi="Arial" w:cs="Arial"/>
                <w:sz w:val="20"/>
                <w:szCs w:val="20"/>
              </w:rPr>
              <w:t>4.110</w:t>
            </w:r>
          </w:p>
        </w:tc>
      </w:tr>
      <w:tr w:rsidR="00BD47E0" w:rsidRPr="00A335CB" w14:paraId="62B750EE" w14:textId="77777777" w:rsidTr="00247F77">
        <w:tc>
          <w:tcPr>
            <w:tcW w:w="5671" w:type="dxa"/>
            <w:gridSpan w:val="3"/>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0392D7F6" w14:textId="77777777" w:rsidR="00653B9D" w:rsidRPr="00A335CB" w:rsidRDefault="00653B9D" w:rsidP="005D1A90">
            <w:pPr>
              <w:autoSpaceDE w:val="0"/>
              <w:autoSpaceDN w:val="0"/>
              <w:adjustRightInd w:val="0"/>
              <w:spacing w:after="0" w:line="276" w:lineRule="auto"/>
              <w:jc w:val="center"/>
              <w:rPr>
                <w:rFonts w:ascii="Arial" w:hAnsi="Arial" w:cs="Arial"/>
                <w:b/>
                <w:sz w:val="20"/>
                <w:szCs w:val="20"/>
              </w:rPr>
            </w:pPr>
            <w:r w:rsidRPr="00A335CB">
              <w:rPr>
                <w:rFonts w:ascii="Arial" w:hAnsi="Arial" w:cs="Arial"/>
                <w:b/>
                <w:sz w:val="20"/>
                <w:szCs w:val="20"/>
              </w:rPr>
              <w:t>Skupaj: poslovni subjekt</w:t>
            </w:r>
          </w:p>
        </w:tc>
        <w:tc>
          <w:tcPr>
            <w:tcW w:w="1311"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3739E82"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243</w:t>
            </w:r>
          </w:p>
        </w:tc>
        <w:tc>
          <w:tcPr>
            <w:tcW w:w="1523"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7594A628"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4.192</w:t>
            </w:r>
          </w:p>
        </w:tc>
      </w:tr>
      <w:tr w:rsidR="00BD47E0" w:rsidRPr="00A335CB" w14:paraId="03D5050D" w14:textId="77777777" w:rsidTr="00247F77">
        <w:tc>
          <w:tcPr>
            <w:tcW w:w="5671" w:type="dxa"/>
            <w:gridSpan w:val="3"/>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2DA892CE" w14:textId="7CCEF84C" w:rsidR="00653B9D" w:rsidRPr="00A335CB" w:rsidRDefault="00653B9D" w:rsidP="005D1A90">
            <w:pPr>
              <w:autoSpaceDE w:val="0"/>
              <w:autoSpaceDN w:val="0"/>
              <w:adjustRightInd w:val="0"/>
              <w:spacing w:after="0" w:line="276" w:lineRule="auto"/>
              <w:jc w:val="center"/>
              <w:rPr>
                <w:rFonts w:ascii="Arial" w:hAnsi="Arial" w:cs="Arial"/>
                <w:b/>
                <w:sz w:val="20"/>
                <w:szCs w:val="20"/>
              </w:rPr>
            </w:pPr>
            <w:r w:rsidRPr="00A335CB">
              <w:rPr>
                <w:rFonts w:ascii="Arial" w:hAnsi="Arial" w:cs="Arial"/>
                <w:b/>
                <w:sz w:val="20"/>
                <w:szCs w:val="20"/>
              </w:rPr>
              <w:t>Skupaj: fizična oseba +</w:t>
            </w:r>
            <w:r w:rsidR="00247F77" w:rsidRPr="00A335CB">
              <w:rPr>
                <w:rFonts w:ascii="Arial" w:hAnsi="Arial" w:cs="Arial"/>
                <w:b/>
                <w:sz w:val="20"/>
                <w:szCs w:val="20"/>
              </w:rPr>
              <w:t xml:space="preserve"> </w:t>
            </w:r>
            <w:r w:rsidRPr="00A335CB">
              <w:rPr>
                <w:rFonts w:ascii="Arial" w:hAnsi="Arial" w:cs="Arial"/>
                <w:b/>
                <w:sz w:val="20"/>
                <w:szCs w:val="20"/>
              </w:rPr>
              <w:t>poslovni subjekt</w:t>
            </w:r>
          </w:p>
        </w:tc>
        <w:tc>
          <w:tcPr>
            <w:tcW w:w="1311"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714A23B"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46.370</w:t>
            </w:r>
          </w:p>
        </w:tc>
        <w:tc>
          <w:tcPr>
            <w:tcW w:w="1523"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2DA09085" w14:textId="77777777" w:rsidR="00653B9D" w:rsidRPr="00A335CB" w:rsidRDefault="00653B9D" w:rsidP="005D1A90">
            <w:pPr>
              <w:autoSpaceDE w:val="0"/>
              <w:autoSpaceDN w:val="0"/>
              <w:adjustRightInd w:val="0"/>
              <w:spacing w:after="0" w:line="276" w:lineRule="auto"/>
              <w:jc w:val="right"/>
              <w:rPr>
                <w:rFonts w:ascii="Arial" w:hAnsi="Arial" w:cs="Arial"/>
                <w:b/>
                <w:sz w:val="20"/>
                <w:szCs w:val="20"/>
              </w:rPr>
            </w:pPr>
            <w:r w:rsidRPr="00A335CB">
              <w:rPr>
                <w:rFonts w:ascii="Arial" w:hAnsi="Arial" w:cs="Arial"/>
                <w:b/>
                <w:sz w:val="20"/>
                <w:szCs w:val="20"/>
              </w:rPr>
              <w:t>168.253</w:t>
            </w:r>
          </w:p>
        </w:tc>
      </w:tr>
    </w:tbl>
    <w:p w14:paraId="5200CD7F" w14:textId="77777777" w:rsidR="008A5738" w:rsidRDefault="00247F77" w:rsidP="00247F77">
      <w:pPr>
        <w:autoSpaceDE w:val="0"/>
        <w:autoSpaceDN w:val="0"/>
        <w:adjustRightInd w:val="0"/>
        <w:spacing w:after="0" w:line="276" w:lineRule="auto"/>
        <w:jc w:val="both"/>
        <w:rPr>
          <w:rFonts w:ascii="Arial" w:hAnsi="Arial" w:cs="Arial"/>
          <w:b/>
          <w:sz w:val="20"/>
          <w:szCs w:val="20"/>
        </w:rPr>
      </w:pPr>
      <w:r w:rsidRPr="00A335CB">
        <w:rPr>
          <w:rFonts w:ascii="Arial" w:hAnsi="Arial" w:cs="Arial"/>
          <w:b/>
          <w:bCs/>
          <w:iCs/>
          <w:sz w:val="20"/>
          <w:szCs w:val="20"/>
          <w:lang w:eastAsia="sl-SI"/>
        </w:rPr>
        <w:t xml:space="preserve">Preglednica: </w:t>
      </w:r>
      <w:r w:rsidRPr="00A335CB">
        <w:rPr>
          <w:rFonts w:ascii="Arial" w:hAnsi="Arial" w:cs="Arial"/>
          <w:sz w:val="20"/>
          <w:szCs w:val="20"/>
          <w:lang w:eastAsia="sl-SI"/>
        </w:rPr>
        <w:t>Število lastnikov orožja in število kosov registriranega orožja po vrsti listine na dan 31.</w:t>
      </w:r>
      <w:r w:rsidR="00A26CA4">
        <w:rPr>
          <w:rFonts w:ascii="Arial" w:hAnsi="Arial" w:cs="Arial"/>
          <w:sz w:val="20"/>
          <w:szCs w:val="20"/>
          <w:lang w:eastAsia="sl-SI"/>
        </w:rPr>
        <w:t> </w:t>
      </w:r>
      <w:r w:rsidRPr="00A335CB">
        <w:rPr>
          <w:rFonts w:ascii="Arial" w:hAnsi="Arial" w:cs="Arial"/>
          <w:sz w:val="20"/>
          <w:szCs w:val="20"/>
          <w:lang w:eastAsia="sl-SI"/>
        </w:rPr>
        <w:t>12.</w:t>
      </w:r>
      <w:r w:rsidR="00A26CA4">
        <w:rPr>
          <w:rFonts w:ascii="Arial" w:hAnsi="Arial" w:cs="Arial"/>
          <w:sz w:val="20"/>
          <w:szCs w:val="20"/>
          <w:lang w:eastAsia="sl-SI"/>
        </w:rPr>
        <w:t> </w:t>
      </w:r>
      <w:r w:rsidRPr="00A335CB">
        <w:rPr>
          <w:rFonts w:ascii="Arial" w:hAnsi="Arial" w:cs="Arial"/>
          <w:sz w:val="20"/>
          <w:szCs w:val="20"/>
          <w:lang w:eastAsia="sl-SI"/>
        </w:rPr>
        <w:t>2024</w:t>
      </w:r>
      <w:r w:rsidRPr="00A335CB">
        <w:rPr>
          <w:rFonts w:ascii="Arial" w:hAnsi="Arial" w:cs="Arial"/>
          <w:b/>
          <w:sz w:val="20"/>
          <w:szCs w:val="20"/>
        </w:rPr>
        <w:t xml:space="preserve"> </w:t>
      </w:r>
    </w:p>
    <w:p w14:paraId="1E2F892F" w14:textId="73CE7238" w:rsidR="00653B9D" w:rsidRPr="00A335CB" w:rsidRDefault="00247F77" w:rsidP="00247F77">
      <w:pPr>
        <w:autoSpaceDE w:val="0"/>
        <w:autoSpaceDN w:val="0"/>
        <w:adjustRightInd w:val="0"/>
        <w:spacing w:after="0" w:line="276" w:lineRule="auto"/>
        <w:jc w:val="both"/>
        <w:rPr>
          <w:rFonts w:ascii="Arial" w:hAnsi="Arial" w:cs="Arial"/>
          <w:b/>
          <w:sz w:val="20"/>
          <w:szCs w:val="20"/>
        </w:rPr>
      </w:pPr>
      <w:r w:rsidRPr="00A335CB">
        <w:rPr>
          <w:rFonts w:ascii="Arial" w:hAnsi="Arial" w:cs="Arial"/>
          <w:i/>
          <w:sz w:val="20"/>
          <w:szCs w:val="20"/>
        </w:rPr>
        <w:t>(</w:t>
      </w:r>
      <w:r w:rsidR="00A26CA4">
        <w:rPr>
          <w:rFonts w:ascii="Arial" w:hAnsi="Arial" w:cs="Arial"/>
          <w:i/>
          <w:sz w:val="20"/>
          <w:szCs w:val="20"/>
        </w:rPr>
        <w:t>O</w:t>
      </w:r>
      <w:r w:rsidR="00653B9D" w:rsidRPr="00A335CB">
        <w:rPr>
          <w:rFonts w:ascii="Arial" w:hAnsi="Arial" w:cs="Arial"/>
          <w:bCs/>
          <w:i/>
          <w:iCs/>
          <w:sz w:val="20"/>
          <w:szCs w:val="20"/>
          <w:lang w:eastAsia="sl-SI"/>
        </w:rPr>
        <w:t>pomba:</w:t>
      </w:r>
      <w:r w:rsidRPr="00A335CB">
        <w:rPr>
          <w:rFonts w:ascii="Arial" w:hAnsi="Arial" w:cs="Arial"/>
          <w:i/>
          <w:sz w:val="20"/>
          <w:szCs w:val="20"/>
          <w:lang w:eastAsia="sl-SI"/>
        </w:rPr>
        <w:t xml:space="preserve"> s</w:t>
      </w:r>
      <w:r w:rsidR="00653B9D" w:rsidRPr="00A335CB">
        <w:rPr>
          <w:rFonts w:ascii="Arial" w:hAnsi="Arial" w:cs="Arial"/>
          <w:i/>
          <w:sz w:val="20"/>
          <w:szCs w:val="20"/>
          <w:lang w:eastAsia="sl-SI"/>
        </w:rPr>
        <w:t>kupno število lastnikov orožja ni enako skupnemu seštevku, ker ima lahko posamezn</w:t>
      </w:r>
      <w:r w:rsidR="00DF1086" w:rsidRPr="00A335CB">
        <w:rPr>
          <w:rFonts w:ascii="Arial" w:hAnsi="Arial" w:cs="Arial"/>
          <w:i/>
          <w:sz w:val="20"/>
          <w:szCs w:val="20"/>
          <w:lang w:eastAsia="sl-SI"/>
        </w:rPr>
        <w:t>ik več različnih orožnih listin.)</w:t>
      </w:r>
    </w:p>
    <w:p w14:paraId="20AE922A" w14:textId="77777777" w:rsidR="00653B9D" w:rsidRPr="00A335CB" w:rsidRDefault="00653B9D" w:rsidP="005D1A90">
      <w:pPr>
        <w:autoSpaceDE w:val="0"/>
        <w:autoSpaceDN w:val="0"/>
        <w:adjustRightInd w:val="0"/>
        <w:spacing w:after="0" w:line="276" w:lineRule="auto"/>
        <w:rPr>
          <w:rFonts w:ascii="Arial" w:hAnsi="Arial" w:cs="Arial"/>
          <w:sz w:val="16"/>
          <w:szCs w:val="16"/>
          <w:lang w:eastAsia="sl-SI"/>
        </w:rPr>
      </w:pPr>
    </w:p>
    <w:p w14:paraId="642A10AD" w14:textId="77777777" w:rsidR="00653B9D" w:rsidRPr="00A335CB" w:rsidRDefault="00653B9D" w:rsidP="005D1A90">
      <w:pPr>
        <w:autoSpaceDE w:val="0"/>
        <w:autoSpaceDN w:val="0"/>
        <w:adjustRightInd w:val="0"/>
        <w:spacing w:after="0" w:line="276" w:lineRule="auto"/>
        <w:jc w:val="both"/>
        <w:rPr>
          <w:rFonts w:ascii="Arial" w:hAnsi="Arial" w:cs="Arial"/>
          <w:i/>
          <w:sz w:val="20"/>
          <w:szCs w:val="20"/>
          <w:lang w:eastAsia="sl-SI"/>
        </w:rPr>
      </w:pPr>
    </w:p>
    <w:p w14:paraId="3CCE9843" w14:textId="77777777" w:rsidR="00653B9D" w:rsidRPr="00A335CB" w:rsidRDefault="00653B9D" w:rsidP="005D1A90">
      <w:pPr>
        <w:autoSpaceDE w:val="0"/>
        <w:autoSpaceDN w:val="0"/>
        <w:adjustRightInd w:val="0"/>
        <w:spacing w:after="0" w:line="276" w:lineRule="auto"/>
        <w:jc w:val="both"/>
        <w:rPr>
          <w:rFonts w:ascii="Arial" w:hAnsi="Arial" w:cs="Arial"/>
          <w:i/>
          <w:sz w:val="20"/>
          <w:szCs w:val="20"/>
          <w:lang w:eastAsia="sl-SI"/>
        </w:rPr>
      </w:pPr>
    </w:p>
    <w:p w14:paraId="2C8AA2FD" w14:textId="77777777" w:rsidR="008A5738" w:rsidRDefault="00653B9D" w:rsidP="008A5738">
      <w:pPr>
        <w:spacing w:line="276" w:lineRule="auto"/>
        <w:rPr>
          <w:rFonts w:ascii="Arial" w:hAnsi="Arial" w:cs="Arial"/>
          <w:bCs/>
          <w:iCs/>
          <w:sz w:val="16"/>
          <w:szCs w:val="16"/>
        </w:rPr>
      </w:pPr>
      <w:r w:rsidRPr="00A335CB">
        <w:rPr>
          <w:rFonts w:ascii="Arial" w:hAnsi="Arial" w:cs="Arial"/>
          <w:lang w:eastAsia="sl-SI"/>
        </w:rPr>
        <w:t xml:space="preserve">  </w:t>
      </w:r>
      <w:r w:rsidRPr="00A335CB">
        <w:rPr>
          <w:rFonts w:ascii="Arial" w:hAnsi="Arial" w:cs="Arial"/>
          <w:noProof/>
          <w:lang w:eastAsia="sl-SI"/>
        </w:rPr>
        <w:drawing>
          <wp:inline distT="0" distB="0" distL="0" distR="0" wp14:anchorId="1C04FAFA" wp14:editId="343E2F3E">
            <wp:extent cx="4851400" cy="2743200"/>
            <wp:effectExtent l="0" t="0" r="6350" b="0"/>
            <wp:docPr id="14" name="Grafikon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5F7CC5" w14:textId="4368F4F8" w:rsidR="00653B9D" w:rsidRPr="008A5738" w:rsidRDefault="00653B9D" w:rsidP="008A5738">
      <w:pPr>
        <w:spacing w:line="276" w:lineRule="auto"/>
        <w:rPr>
          <w:rFonts w:ascii="Arial" w:hAnsi="Arial" w:cs="Arial"/>
          <w:bCs/>
          <w:iCs/>
          <w:sz w:val="16"/>
          <w:szCs w:val="16"/>
        </w:rPr>
      </w:pPr>
      <w:r w:rsidRPr="00A335CB">
        <w:rPr>
          <w:rFonts w:ascii="Arial" w:hAnsi="Arial" w:cs="Arial"/>
          <w:b/>
          <w:sz w:val="20"/>
          <w:szCs w:val="20"/>
          <w:lang w:eastAsia="sl-SI"/>
        </w:rPr>
        <w:t xml:space="preserve">Graf: </w:t>
      </w:r>
      <w:r w:rsidRPr="00A335CB">
        <w:rPr>
          <w:rFonts w:ascii="Arial" w:hAnsi="Arial" w:cs="Arial"/>
          <w:sz w:val="20"/>
          <w:szCs w:val="20"/>
          <w:lang w:eastAsia="sl-SI"/>
        </w:rPr>
        <w:t>Število kosov orožja (fizične osebe), za katere je izdan orožni list</w:t>
      </w:r>
    </w:p>
    <w:p w14:paraId="1CCFCF24" w14:textId="443BA332" w:rsidR="00653B9D" w:rsidRPr="00A335CB" w:rsidRDefault="00653B9D" w:rsidP="005D1A90">
      <w:pPr>
        <w:tabs>
          <w:tab w:val="left" w:pos="3402"/>
        </w:tabs>
        <w:spacing w:after="0" w:line="276" w:lineRule="auto"/>
        <w:jc w:val="both"/>
        <w:rPr>
          <w:rFonts w:ascii="Arial" w:hAnsi="Arial" w:cs="Arial"/>
          <w:sz w:val="20"/>
          <w:szCs w:val="20"/>
        </w:rPr>
      </w:pPr>
      <w:r w:rsidRPr="00A335CB">
        <w:rPr>
          <w:rFonts w:ascii="Arial" w:hAnsi="Arial" w:cs="Arial"/>
          <w:sz w:val="20"/>
          <w:szCs w:val="20"/>
        </w:rPr>
        <w:t xml:space="preserve">V letu 2024 je bilo na področju orožja izvedenih </w:t>
      </w:r>
      <w:r w:rsidR="00A26CA4">
        <w:rPr>
          <w:rFonts w:ascii="Arial" w:hAnsi="Arial" w:cs="Arial"/>
          <w:sz w:val="20"/>
          <w:szCs w:val="20"/>
        </w:rPr>
        <w:t>pet</w:t>
      </w:r>
      <w:r w:rsidR="00A26CA4" w:rsidRPr="00A335CB">
        <w:rPr>
          <w:rFonts w:ascii="Arial" w:hAnsi="Arial" w:cs="Arial"/>
          <w:sz w:val="20"/>
          <w:szCs w:val="20"/>
        </w:rPr>
        <w:t xml:space="preserve"> </w:t>
      </w:r>
      <w:r w:rsidRPr="00A335CB">
        <w:rPr>
          <w:rFonts w:ascii="Arial" w:hAnsi="Arial" w:cs="Arial"/>
          <w:sz w:val="20"/>
          <w:szCs w:val="20"/>
        </w:rPr>
        <w:t>strokovnih nadzorov (na upravnih enotah: Ruše, Metlika, Zagorje ob Savi, Slovenska Bistrica in Cerknica).</w:t>
      </w:r>
    </w:p>
    <w:p w14:paraId="3F313FB9" w14:textId="6E8E827F" w:rsidR="00E2146B" w:rsidRPr="00A335CB" w:rsidRDefault="00E2146B" w:rsidP="005D1A90">
      <w:pPr>
        <w:spacing w:after="0" w:line="276" w:lineRule="auto"/>
        <w:jc w:val="both"/>
        <w:rPr>
          <w:rFonts w:ascii="Arial" w:hAnsi="Arial" w:cs="Arial"/>
          <w:sz w:val="20"/>
          <w:szCs w:val="20"/>
        </w:rPr>
      </w:pPr>
    </w:p>
    <w:p w14:paraId="3F337ABA" w14:textId="2B419B0E" w:rsidR="00653B9D" w:rsidRPr="00A335CB" w:rsidRDefault="00E2146B" w:rsidP="005D1A90">
      <w:pPr>
        <w:pStyle w:val="Naslov3"/>
        <w:spacing w:line="276" w:lineRule="auto"/>
        <w:jc w:val="both"/>
        <w:rPr>
          <w:rFonts w:cs="Arial"/>
          <w:sz w:val="20"/>
          <w:szCs w:val="20"/>
          <w:lang w:eastAsia="sl-SI"/>
        </w:rPr>
      </w:pPr>
      <w:bookmarkStart w:id="74" w:name="_Toc203552989"/>
      <w:r w:rsidRPr="00A335CB">
        <w:rPr>
          <w:rFonts w:cs="Arial"/>
          <w:sz w:val="20"/>
          <w:szCs w:val="20"/>
          <w:lang w:eastAsia="sl-SI"/>
        </w:rPr>
        <w:t>Področje eksplozivov</w:t>
      </w:r>
      <w:bookmarkEnd w:id="74"/>
    </w:p>
    <w:p w14:paraId="0EE6380A" w14:textId="77777777" w:rsidR="00247F77" w:rsidRPr="00A335CB" w:rsidRDefault="00247F77" w:rsidP="00247F77">
      <w:pPr>
        <w:spacing w:after="0"/>
        <w:rPr>
          <w:lang w:eastAsia="sl-SI"/>
        </w:rPr>
      </w:pPr>
    </w:p>
    <w:p w14:paraId="5F489E59" w14:textId="4C050E41" w:rsidR="00653B9D" w:rsidRPr="00A335CB" w:rsidRDefault="00653B9D" w:rsidP="005D1A90">
      <w:pPr>
        <w:spacing w:line="276" w:lineRule="auto"/>
        <w:jc w:val="both"/>
        <w:rPr>
          <w:rFonts w:ascii="Arial" w:hAnsi="Arial" w:cs="Arial"/>
          <w:sz w:val="20"/>
          <w:szCs w:val="20"/>
        </w:rPr>
      </w:pPr>
      <w:r w:rsidRPr="00A335CB">
        <w:rPr>
          <w:rFonts w:ascii="Arial" w:hAnsi="Arial" w:cs="Arial"/>
          <w:sz w:val="20"/>
          <w:szCs w:val="20"/>
        </w:rPr>
        <w:t>V letu 2024 je bilo izdanih 1</w:t>
      </w:r>
      <w:r w:rsidR="001541A2" w:rsidRPr="00A335CB">
        <w:rPr>
          <w:rFonts w:ascii="Arial" w:hAnsi="Arial" w:cs="Arial"/>
          <w:sz w:val="20"/>
          <w:szCs w:val="20"/>
        </w:rPr>
        <w:t>.</w:t>
      </w:r>
      <w:r w:rsidRPr="00A335CB">
        <w:rPr>
          <w:rFonts w:ascii="Arial" w:hAnsi="Arial" w:cs="Arial"/>
          <w:sz w:val="20"/>
          <w:szCs w:val="20"/>
        </w:rPr>
        <w:t>041</w:t>
      </w:r>
      <w:r w:rsidR="001541A2" w:rsidRPr="00A335CB">
        <w:rPr>
          <w:rFonts w:ascii="Arial" w:hAnsi="Arial" w:cs="Arial"/>
          <w:sz w:val="20"/>
          <w:szCs w:val="20"/>
        </w:rPr>
        <w:t xml:space="preserve"> </w:t>
      </w:r>
      <w:r w:rsidRPr="00A335CB">
        <w:rPr>
          <w:rFonts w:ascii="Arial" w:hAnsi="Arial" w:cs="Arial"/>
          <w:sz w:val="20"/>
          <w:szCs w:val="20"/>
        </w:rPr>
        <w:t>dovoljenj za uvoz, izvoz, prenos, tranzit eksplozivov, streliva in pirotehničnih izdelkov.</w:t>
      </w:r>
    </w:p>
    <w:p w14:paraId="133A0906" w14:textId="77777777" w:rsidR="00780CD6" w:rsidRPr="00A335CB" w:rsidRDefault="00653B9D" w:rsidP="005D1A90">
      <w:pPr>
        <w:spacing w:after="0" w:line="276" w:lineRule="auto"/>
        <w:jc w:val="both"/>
        <w:rPr>
          <w:rFonts w:ascii="Arial" w:hAnsi="Arial" w:cs="Arial"/>
          <w:b/>
          <w:sz w:val="20"/>
          <w:szCs w:val="20"/>
          <w:lang w:eastAsia="sl-SI"/>
        </w:rPr>
      </w:pPr>
      <w:r w:rsidRPr="00A335CB">
        <w:rPr>
          <w:rFonts w:ascii="Arial" w:hAnsi="Arial" w:cs="Arial"/>
          <w:noProof/>
          <w:lang w:eastAsia="sl-SI"/>
        </w:rPr>
        <w:drawing>
          <wp:inline distT="0" distB="0" distL="0" distR="0" wp14:anchorId="659C4C17" wp14:editId="50A71F4F">
            <wp:extent cx="5798917" cy="3565003"/>
            <wp:effectExtent l="0" t="0" r="11430" b="16510"/>
            <wp:docPr id="15" name="Grafikon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EFB27E" w14:textId="05E2346F" w:rsidR="00653B9D" w:rsidRPr="00A335CB" w:rsidRDefault="00653B9D" w:rsidP="005D1A90">
      <w:pPr>
        <w:spacing w:after="0" w:line="276" w:lineRule="auto"/>
        <w:jc w:val="both"/>
        <w:rPr>
          <w:rFonts w:ascii="Arial" w:hAnsi="Arial" w:cs="Arial"/>
          <w:sz w:val="20"/>
          <w:szCs w:val="20"/>
        </w:rPr>
      </w:pPr>
      <w:r w:rsidRPr="00A335CB">
        <w:rPr>
          <w:rFonts w:ascii="Arial" w:hAnsi="Arial" w:cs="Arial"/>
          <w:b/>
          <w:sz w:val="20"/>
          <w:szCs w:val="20"/>
          <w:lang w:eastAsia="sl-SI"/>
        </w:rPr>
        <w:t>Graf:</w:t>
      </w:r>
      <w:r w:rsidRPr="00A335CB">
        <w:rPr>
          <w:rFonts w:ascii="Arial" w:hAnsi="Arial" w:cs="Arial"/>
          <w:sz w:val="20"/>
          <w:szCs w:val="20"/>
          <w:lang w:eastAsia="sl-SI"/>
        </w:rPr>
        <w:t xml:space="preserve"> </w:t>
      </w:r>
      <w:r w:rsidRPr="00A335CB">
        <w:rPr>
          <w:rFonts w:ascii="Arial" w:hAnsi="Arial" w:cs="Arial"/>
          <w:sz w:val="20"/>
          <w:szCs w:val="20"/>
        </w:rPr>
        <w:t>Število izdanih dovoljenj za uvoz, izvoz, prenos, tranzit eksplozivov, streliva in pirotehničnih izdelkov v letih 2015</w:t>
      </w:r>
      <w:r w:rsidR="00A26CA4">
        <w:rPr>
          <w:rFonts w:ascii="Arial" w:hAnsi="Arial" w:cs="Arial"/>
          <w:sz w:val="20"/>
          <w:szCs w:val="20"/>
        </w:rPr>
        <w:t>–</w:t>
      </w:r>
      <w:r w:rsidRPr="00A335CB">
        <w:rPr>
          <w:rFonts w:ascii="Arial" w:hAnsi="Arial" w:cs="Arial"/>
          <w:sz w:val="20"/>
          <w:szCs w:val="20"/>
        </w:rPr>
        <w:t>2024</w:t>
      </w:r>
    </w:p>
    <w:p w14:paraId="1EEF68A1" w14:textId="3E630BD0" w:rsidR="00A92F50" w:rsidRDefault="00A92F50" w:rsidP="005D1A90">
      <w:pPr>
        <w:spacing w:after="0" w:line="276" w:lineRule="auto"/>
        <w:jc w:val="both"/>
        <w:rPr>
          <w:rFonts w:ascii="Arial" w:hAnsi="Arial" w:cs="Arial"/>
          <w:sz w:val="20"/>
          <w:szCs w:val="20"/>
        </w:rPr>
      </w:pPr>
    </w:p>
    <w:p w14:paraId="78C8F410" w14:textId="0AC67E65" w:rsidR="001E2A30" w:rsidRDefault="001E2A30" w:rsidP="005D1A90">
      <w:pPr>
        <w:spacing w:after="0" w:line="276" w:lineRule="auto"/>
        <w:jc w:val="both"/>
        <w:rPr>
          <w:rFonts w:ascii="Arial" w:hAnsi="Arial" w:cs="Arial"/>
          <w:sz w:val="20"/>
          <w:szCs w:val="20"/>
        </w:rPr>
      </w:pPr>
    </w:p>
    <w:p w14:paraId="1E873C44" w14:textId="34B65E79" w:rsidR="001E2A30" w:rsidRPr="00A335CB" w:rsidRDefault="001E2A30" w:rsidP="005D1A90">
      <w:pPr>
        <w:spacing w:after="0" w:line="276" w:lineRule="auto"/>
        <w:jc w:val="both"/>
        <w:rPr>
          <w:rFonts w:ascii="Arial" w:hAnsi="Arial" w:cs="Arial"/>
          <w:sz w:val="20"/>
          <w:szCs w:val="20"/>
        </w:rPr>
      </w:pPr>
    </w:p>
    <w:p w14:paraId="3E3BACB3" w14:textId="7741F47F" w:rsidR="00E2146B" w:rsidRPr="00A335CB" w:rsidRDefault="000D1E27" w:rsidP="005D1A90">
      <w:pPr>
        <w:pStyle w:val="Naslov3"/>
        <w:spacing w:line="276" w:lineRule="auto"/>
        <w:jc w:val="both"/>
        <w:rPr>
          <w:rFonts w:cs="Arial"/>
          <w:sz w:val="20"/>
          <w:szCs w:val="20"/>
        </w:rPr>
      </w:pPr>
      <w:r w:rsidRPr="00A335CB">
        <w:rPr>
          <w:rFonts w:cs="Arial"/>
          <w:sz w:val="20"/>
          <w:szCs w:val="20"/>
        </w:rPr>
        <w:t xml:space="preserve"> </w:t>
      </w:r>
      <w:bookmarkStart w:id="75" w:name="_Toc203552990"/>
      <w:r w:rsidR="00E2146B" w:rsidRPr="00A335CB">
        <w:rPr>
          <w:rFonts w:cs="Arial"/>
          <w:sz w:val="20"/>
          <w:szCs w:val="20"/>
        </w:rPr>
        <w:t>Področje društev</w:t>
      </w:r>
      <w:r w:rsidR="00653B9D" w:rsidRPr="00A335CB">
        <w:rPr>
          <w:rFonts w:cs="Arial"/>
          <w:sz w:val="20"/>
          <w:szCs w:val="20"/>
        </w:rPr>
        <w:t>, javnih zbiranj</w:t>
      </w:r>
      <w:r w:rsidR="00E2146B" w:rsidRPr="00A335CB">
        <w:rPr>
          <w:rFonts w:cs="Arial"/>
          <w:sz w:val="20"/>
          <w:szCs w:val="20"/>
        </w:rPr>
        <w:t xml:space="preserve"> in političnih strank</w:t>
      </w:r>
      <w:bookmarkEnd w:id="75"/>
    </w:p>
    <w:p w14:paraId="125D366E" w14:textId="77777777" w:rsidR="00E2146B" w:rsidRPr="00A335CB" w:rsidRDefault="00E2146B" w:rsidP="005D1A90">
      <w:pPr>
        <w:spacing w:after="0" w:line="276" w:lineRule="auto"/>
        <w:jc w:val="both"/>
        <w:rPr>
          <w:rFonts w:ascii="Arial" w:hAnsi="Arial" w:cs="Arial"/>
          <w:sz w:val="20"/>
          <w:szCs w:val="20"/>
        </w:rPr>
      </w:pPr>
    </w:p>
    <w:p w14:paraId="7A31DC94" w14:textId="77777777" w:rsidR="00247F77" w:rsidRPr="00A335CB" w:rsidRDefault="00653B9D" w:rsidP="005D1A90">
      <w:pPr>
        <w:spacing w:after="0" w:line="276" w:lineRule="auto"/>
        <w:jc w:val="both"/>
        <w:rPr>
          <w:rFonts w:ascii="Arial" w:hAnsi="Arial" w:cs="Arial"/>
          <w:b/>
          <w:sz w:val="20"/>
          <w:szCs w:val="20"/>
        </w:rPr>
      </w:pPr>
      <w:r w:rsidRPr="00A335CB">
        <w:rPr>
          <w:rFonts w:ascii="Arial" w:hAnsi="Arial" w:cs="Arial"/>
          <w:b/>
          <w:sz w:val="20"/>
          <w:szCs w:val="20"/>
        </w:rPr>
        <w:t>Pravilnik o spremembah in dopolnitvah Pravilnika o vsebini in načinu predložitve let</w:t>
      </w:r>
      <w:r w:rsidR="00247F77" w:rsidRPr="00A335CB">
        <w:rPr>
          <w:rFonts w:ascii="Arial" w:hAnsi="Arial" w:cs="Arial"/>
          <w:b/>
          <w:sz w:val="20"/>
          <w:szCs w:val="20"/>
        </w:rPr>
        <w:t>nega poročila političnih strank</w:t>
      </w:r>
    </w:p>
    <w:p w14:paraId="40D01B96" w14:textId="3542EEF1" w:rsidR="00653B9D" w:rsidRPr="00A335CB" w:rsidRDefault="00247F77" w:rsidP="005D1A90">
      <w:pPr>
        <w:spacing w:after="0" w:line="276" w:lineRule="auto"/>
        <w:jc w:val="both"/>
        <w:rPr>
          <w:rFonts w:ascii="Arial" w:hAnsi="Arial" w:cs="Arial"/>
          <w:sz w:val="20"/>
          <w:szCs w:val="20"/>
        </w:rPr>
      </w:pPr>
      <w:r w:rsidRPr="00A335CB">
        <w:rPr>
          <w:rFonts w:ascii="Arial" w:hAnsi="Arial" w:cs="Arial"/>
          <w:sz w:val="20"/>
          <w:szCs w:val="20"/>
        </w:rPr>
        <w:t>S</w:t>
      </w:r>
      <w:r w:rsidR="00653B9D" w:rsidRPr="00A335CB">
        <w:rPr>
          <w:rFonts w:ascii="Arial" w:hAnsi="Arial" w:cs="Arial"/>
          <w:sz w:val="20"/>
          <w:szCs w:val="20"/>
        </w:rPr>
        <w:t xml:space="preserve">premembe in dopolnitve pravilnika so bile potrebne predvsem zaradi uskladitve z Zakonom o spremembah in dopolnitvah Zakona o političnih strankah (Uradni list RS, št. 78/23; v nadaljevanju: ZPolS-G), ki ga je Državni zbor RS sprejel na predlog skupine poslank in poslancev. </w:t>
      </w:r>
    </w:p>
    <w:p w14:paraId="0ABF19E5" w14:textId="77777777" w:rsidR="00653B9D" w:rsidRPr="00A335CB" w:rsidRDefault="00653B9D" w:rsidP="005D1A90">
      <w:pPr>
        <w:spacing w:after="0" w:line="276" w:lineRule="auto"/>
        <w:jc w:val="both"/>
        <w:rPr>
          <w:rFonts w:ascii="Arial" w:hAnsi="Arial" w:cs="Arial"/>
          <w:sz w:val="20"/>
          <w:szCs w:val="20"/>
        </w:rPr>
      </w:pPr>
    </w:p>
    <w:p w14:paraId="605115D8" w14:textId="77777777" w:rsidR="00653B9D" w:rsidRPr="00A335CB" w:rsidRDefault="00653B9D" w:rsidP="005D1A90">
      <w:pPr>
        <w:spacing w:after="0" w:line="276" w:lineRule="auto"/>
        <w:jc w:val="both"/>
        <w:rPr>
          <w:rFonts w:ascii="Arial" w:hAnsi="Arial" w:cs="Arial"/>
          <w:sz w:val="20"/>
          <w:szCs w:val="20"/>
        </w:rPr>
      </w:pPr>
      <w:r w:rsidRPr="00A335CB">
        <w:rPr>
          <w:rFonts w:ascii="Arial" w:hAnsi="Arial" w:cs="Arial"/>
          <w:sz w:val="20"/>
          <w:szCs w:val="20"/>
        </w:rPr>
        <w:t xml:space="preserve">Na dan 31. 12. 2024 je bilo registriranih </w:t>
      </w:r>
      <w:r w:rsidRPr="00A335CB">
        <w:rPr>
          <w:rFonts w:ascii="Arial" w:hAnsi="Arial" w:cs="Arial"/>
          <w:b/>
          <w:sz w:val="20"/>
          <w:szCs w:val="20"/>
        </w:rPr>
        <w:t>84 političnih strank.</w:t>
      </w:r>
    </w:p>
    <w:p w14:paraId="5B02DAB6" w14:textId="1581CDCE" w:rsidR="00653B9D" w:rsidRPr="00A335CB" w:rsidRDefault="00653B9D" w:rsidP="005D1A90">
      <w:pPr>
        <w:spacing w:after="0" w:line="276" w:lineRule="auto"/>
        <w:jc w:val="both"/>
        <w:rPr>
          <w:rFonts w:ascii="Arial" w:hAnsi="Arial" w:cs="Arial"/>
          <w:sz w:val="20"/>
          <w:szCs w:val="20"/>
        </w:rPr>
      </w:pPr>
    </w:p>
    <w:p w14:paraId="0D4E3212" w14:textId="0D61891A" w:rsidR="00653B9D" w:rsidRDefault="00653B9D" w:rsidP="00A92F50">
      <w:pPr>
        <w:spacing w:after="0" w:line="276" w:lineRule="auto"/>
        <w:jc w:val="both"/>
        <w:rPr>
          <w:rFonts w:ascii="Arial" w:hAnsi="Arial" w:cs="Arial"/>
          <w:sz w:val="20"/>
          <w:szCs w:val="20"/>
        </w:rPr>
      </w:pPr>
      <w:r w:rsidRPr="00A335CB">
        <w:rPr>
          <w:rFonts w:ascii="Arial" w:hAnsi="Arial" w:cs="Arial"/>
          <w:sz w:val="20"/>
          <w:szCs w:val="20"/>
        </w:rPr>
        <w:t xml:space="preserve">V letu 2024 je bilo v register političnih strank vpisanih </w:t>
      </w:r>
      <w:r w:rsidR="00A26CA4">
        <w:rPr>
          <w:rFonts w:ascii="Arial" w:hAnsi="Arial" w:cs="Arial"/>
          <w:sz w:val="20"/>
          <w:szCs w:val="20"/>
        </w:rPr>
        <w:t>pet</w:t>
      </w:r>
      <w:r w:rsidR="00A26CA4" w:rsidRPr="00A335CB">
        <w:rPr>
          <w:rFonts w:ascii="Arial" w:hAnsi="Arial" w:cs="Arial"/>
          <w:sz w:val="20"/>
          <w:szCs w:val="20"/>
        </w:rPr>
        <w:t xml:space="preserve"> </w:t>
      </w:r>
      <w:r w:rsidRPr="00A335CB">
        <w:rPr>
          <w:rFonts w:ascii="Arial" w:hAnsi="Arial" w:cs="Arial"/>
          <w:sz w:val="20"/>
          <w:szCs w:val="20"/>
        </w:rPr>
        <w:t xml:space="preserve">novih strank, iz registra pa izbrisanih </w:t>
      </w:r>
      <w:r w:rsidR="00A26CA4">
        <w:rPr>
          <w:rFonts w:ascii="Arial" w:hAnsi="Arial" w:cs="Arial"/>
          <w:sz w:val="20"/>
          <w:szCs w:val="20"/>
        </w:rPr>
        <w:t>osem</w:t>
      </w:r>
      <w:r w:rsidR="00A26CA4" w:rsidRPr="00A335CB">
        <w:rPr>
          <w:rFonts w:ascii="Arial" w:hAnsi="Arial" w:cs="Arial"/>
          <w:sz w:val="20"/>
          <w:szCs w:val="20"/>
        </w:rPr>
        <w:t xml:space="preserve"> </w:t>
      </w:r>
      <w:r w:rsidRPr="00A335CB">
        <w:rPr>
          <w:rFonts w:ascii="Arial" w:hAnsi="Arial" w:cs="Arial"/>
          <w:sz w:val="20"/>
          <w:szCs w:val="20"/>
        </w:rPr>
        <w:t>strank</w:t>
      </w:r>
      <w:r w:rsidRPr="00A335CB">
        <w:rPr>
          <w:rFonts w:ascii="Arial" w:hAnsi="Arial" w:cs="Arial"/>
          <w:b/>
          <w:sz w:val="20"/>
          <w:szCs w:val="20"/>
        </w:rPr>
        <w:t xml:space="preserve"> </w:t>
      </w:r>
      <w:r w:rsidRPr="00A335CB">
        <w:rPr>
          <w:rFonts w:ascii="Arial" w:hAnsi="Arial" w:cs="Arial"/>
          <w:sz w:val="20"/>
          <w:szCs w:val="20"/>
        </w:rPr>
        <w:t>(</w:t>
      </w:r>
      <w:r w:rsidR="00A26CA4">
        <w:rPr>
          <w:rFonts w:ascii="Arial" w:hAnsi="Arial" w:cs="Arial"/>
          <w:sz w:val="20"/>
          <w:szCs w:val="20"/>
        </w:rPr>
        <w:t>dve</w:t>
      </w:r>
      <w:r w:rsidR="00A26CA4" w:rsidRPr="00A335CB">
        <w:rPr>
          <w:rFonts w:ascii="Arial" w:hAnsi="Arial" w:cs="Arial"/>
          <w:sz w:val="20"/>
          <w:szCs w:val="20"/>
        </w:rPr>
        <w:t xml:space="preserve"> </w:t>
      </w:r>
      <w:r w:rsidRPr="00A335CB">
        <w:rPr>
          <w:rFonts w:ascii="Arial" w:hAnsi="Arial" w:cs="Arial"/>
          <w:sz w:val="20"/>
          <w:szCs w:val="20"/>
        </w:rPr>
        <w:t xml:space="preserve">na zahtevo stranke in </w:t>
      </w:r>
      <w:r w:rsidR="00A26CA4">
        <w:rPr>
          <w:rFonts w:ascii="Arial" w:hAnsi="Arial" w:cs="Arial"/>
          <w:sz w:val="20"/>
          <w:szCs w:val="20"/>
        </w:rPr>
        <w:t>šest</w:t>
      </w:r>
      <w:r w:rsidR="00A26CA4" w:rsidRPr="00A335CB">
        <w:rPr>
          <w:rFonts w:ascii="Arial" w:hAnsi="Arial" w:cs="Arial"/>
          <w:sz w:val="20"/>
          <w:szCs w:val="20"/>
        </w:rPr>
        <w:t xml:space="preserve"> </w:t>
      </w:r>
      <w:r w:rsidRPr="00A335CB">
        <w:rPr>
          <w:rFonts w:ascii="Arial" w:hAnsi="Arial" w:cs="Arial"/>
          <w:sz w:val="20"/>
          <w:szCs w:val="20"/>
        </w:rPr>
        <w:t xml:space="preserve">po uradni dolžnosti zaradi nesodelovanja na volitvah). V letu 2024 je bilo na področju političnih strank izdanih </w:t>
      </w:r>
      <w:r w:rsidRPr="00A335CB">
        <w:rPr>
          <w:rFonts w:ascii="Arial" w:eastAsiaTheme="minorHAnsi" w:hAnsi="Arial" w:cs="Arial"/>
          <w:sz w:val="20"/>
          <w:szCs w:val="20"/>
        </w:rPr>
        <w:t>19 odločb o registraciji sprememb pri posameznih političnih strankah.</w:t>
      </w:r>
    </w:p>
    <w:p w14:paraId="71D56F74" w14:textId="77777777" w:rsidR="00A92F50" w:rsidRPr="00A335CB" w:rsidRDefault="00A92F50" w:rsidP="00A92F50">
      <w:pPr>
        <w:spacing w:after="0" w:line="276" w:lineRule="auto"/>
        <w:jc w:val="both"/>
        <w:rPr>
          <w:rFonts w:ascii="Arial" w:hAnsi="Arial" w:cs="Arial"/>
          <w:sz w:val="20"/>
          <w:szCs w:val="20"/>
        </w:rPr>
      </w:pPr>
    </w:p>
    <w:p w14:paraId="35A56947" w14:textId="12B52F64" w:rsidR="00653B9D" w:rsidRPr="00A335CB" w:rsidRDefault="00653B9D" w:rsidP="008A5738">
      <w:pPr>
        <w:spacing w:line="276" w:lineRule="auto"/>
        <w:jc w:val="both"/>
        <w:rPr>
          <w:rFonts w:ascii="Arial" w:hAnsi="Arial" w:cs="Arial"/>
          <w:sz w:val="20"/>
          <w:szCs w:val="20"/>
        </w:rPr>
      </w:pPr>
      <w:r w:rsidRPr="00A335CB">
        <w:rPr>
          <w:rFonts w:ascii="Arial" w:hAnsi="Arial" w:cs="Arial"/>
          <w:noProof/>
          <w:lang w:eastAsia="sl-SI"/>
        </w:rPr>
        <w:drawing>
          <wp:inline distT="0" distB="0" distL="0" distR="0" wp14:anchorId="12F8ABC4" wp14:editId="366905F9">
            <wp:extent cx="5715000" cy="2840355"/>
            <wp:effectExtent l="0" t="0" r="0" b="17145"/>
            <wp:docPr id="20" name="Grafikon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335CB">
        <w:rPr>
          <w:rFonts w:ascii="Arial" w:hAnsi="Arial" w:cs="Arial"/>
          <w:b/>
          <w:sz w:val="20"/>
          <w:szCs w:val="20"/>
        </w:rPr>
        <w:t>Graf:</w:t>
      </w:r>
      <w:r w:rsidRPr="00A335CB">
        <w:rPr>
          <w:rFonts w:ascii="Arial" w:hAnsi="Arial" w:cs="Arial"/>
          <w:sz w:val="20"/>
          <w:szCs w:val="20"/>
        </w:rPr>
        <w:t xml:space="preserve"> Število vpisanih in izbrisanih političnih strank po letih</w:t>
      </w:r>
    </w:p>
    <w:p w14:paraId="25C4A8EE" w14:textId="77777777" w:rsidR="00653B9D" w:rsidRPr="00A335CB" w:rsidRDefault="00653B9D" w:rsidP="005D1A90">
      <w:pPr>
        <w:autoSpaceDE w:val="0"/>
        <w:autoSpaceDN w:val="0"/>
        <w:adjustRightInd w:val="0"/>
        <w:spacing w:after="0" w:line="276" w:lineRule="auto"/>
        <w:jc w:val="both"/>
        <w:rPr>
          <w:rFonts w:ascii="Arial" w:hAnsi="Arial" w:cs="Arial"/>
          <w:bCs/>
          <w:sz w:val="20"/>
          <w:szCs w:val="20"/>
        </w:rPr>
      </w:pPr>
    </w:p>
    <w:p w14:paraId="049167AA" w14:textId="77777777" w:rsidR="00653B9D" w:rsidRPr="00A335CB" w:rsidRDefault="00653B9D" w:rsidP="005D1A90">
      <w:pPr>
        <w:autoSpaceDE w:val="0"/>
        <w:autoSpaceDN w:val="0"/>
        <w:adjustRightInd w:val="0"/>
        <w:spacing w:after="0" w:line="276" w:lineRule="auto"/>
        <w:jc w:val="both"/>
        <w:rPr>
          <w:rFonts w:ascii="Arial" w:hAnsi="Arial" w:cs="Arial"/>
          <w:bCs/>
          <w:sz w:val="20"/>
          <w:szCs w:val="20"/>
        </w:rPr>
      </w:pPr>
      <w:r w:rsidRPr="00A335CB">
        <w:rPr>
          <w:rFonts w:ascii="Arial" w:hAnsi="Arial" w:cs="Arial"/>
          <w:bCs/>
          <w:sz w:val="20"/>
          <w:szCs w:val="20"/>
        </w:rPr>
        <w:t xml:space="preserve">Na dan 31. 12. 2024 je bilo v register društev vpisanih </w:t>
      </w:r>
      <w:r w:rsidRPr="00A335CB">
        <w:rPr>
          <w:rFonts w:ascii="Arial" w:hAnsi="Arial" w:cs="Arial"/>
          <w:b/>
          <w:bCs/>
          <w:sz w:val="20"/>
          <w:szCs w:val="20"/>
        </w:rPr>
        <w:t>23.141</w:t>
      </w:r>
      <w:r w:rsidRPr="00A335CB">
        <w:rPr>
          <w:rFonts w:ascii="Arial" w:hAnsi="Arial" w:cs="Arial"/>
          <w:bCs/>
          <w:sz w:val="20"/>
          <w:szCs w:val="20"/>
        </w:rPr>
        <w:t xml:space="preserve"> društev.</w:t>
      </w:r>
    </w:p>
    <w:p w14:paraId="6AA349CB" w14:textId="09745727" w:rsidR="00653B9D" w:rsidRPr="00A335CB" w:rsidRDefault="00653B9D" w:rsidP="005D1A90">
      <w:pPr>
        <w:autoSpaceDE w:val="0"/>
        <w:autoSpaceDN w:val="0"/>
        <w:adjustRightInd w:val="0"/>
        <w:spacing w:after="0" w:line="276" w:lineRule="auto"/>
        <w:jc w:val="both"/>
        <w:rPr>
          <w:rFonts w:ascii="Arial" w:hAnsi="Arial" w:cs="Arial"/>
          <w:bCs/>
          <w:sz w:val="20"/>
          <w:szCs w:val="20"/>
        </w:rPr>
      </w:pPr>
    </w:p>
    <w:tbl>
      <w:tblPr>
        <w:tblW w:w="8784" w:type="dxa"/>
        <w:tblCellMar>
          <w:left w:w="70" w:type="dxa"/>
          <w:right w:w="70" w:type="dxa"/>
        </w:tblCellMar>
        <w:tblLook w:val="04A0" w:firstRow="1" w:lastRow="0" w:firstColumn="1" w:lastColumn="0" w:noHBand="0" w:noVBand="1"/>
      </w:tblPr>
      <w:tblGrid>
        <w:gridCol w:w="5807"/>
        <w:gridCol w:w="2977"/>
      </w:tblGrid>
      <w:tr w:rsidR="00BD47E0" w:rsidRPr="00A335CB" w14:paraId="1923970B" w14:textId="77777777" w:rsidTr="00A92F50">
        <w:trPr>
          <w:trHeight w:val="255"/>
        </w:trPr>
        <w:tc>
          <w:tcPr>
            <w:tcW w:w="58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52EDF4" w14:textId="77777777" w:rsidR="00653B9D" w:rsidRPr="00A335CB" w:rsidRDefault="00653B9D" w:rsidP="005D1A90">
            <w:pPr>
              <w:spacing w:after="0" w:line="276" w:lineRule="auto"/>
              <w:rPr>
                <w:rFonts w:ascii="Arial" w:eastAsia="Times New Roman" w:hAnsi="Arial" w:cs="Arial"/>
                <w:b/>
                <w:sz w:val="20"/>
                <w:szCs w:val="20"/>
                <w:lang w:eastAsia="sl-SI"/>
              </w:rPr>
            </w:pPr>
            <w:r w:rsidRPr="00A335CB">
              <w:rPr>
                <w:rFonts w:ascii="Arial" w:eastAsia="Times New Roman" w:hAnsi="Arial" w:cs="Arial"/>
                <w:b/>
                <w:sz w:val="20"/>
                <w:szCs w:val="20"/>
                <w:lang w:eastAsia="sl-SI"/>
              </w:rPr>
              <w:t>Skupina društva</w:t>
            </w:r>
          </w:p>
        </w:tc>
        <w:tc>
          <w:tcPr>
            <w:tcW w:w="2977" w:type="dxa"/>
            <w:tcBorders>
              <w:top w:val="single" w:sz="4" w:space="0" w:color="000000"/>
              <w:left w:val="nil"/>
              <w:bottom w:val="single" w:sz="4" w:space="0" w:color="000000"/>
              <w:right w:val="single" w:sz="4" w:space="0" w:color="000000"/>
            </w:tcBorders>
            <w:shd w:val="clear" w:color="auto" w:fill="D9D9D9" w:themeFill="background1" w:themeFillShade="D9"/>
            <w:hideMark/>
          </w:tcPr>
          <w:p w14:paraId="297F7120" w14:textId="77777777" w:rsidR="00653B9D" w:rsidRPr="00A335CB" w:rsidRDefault="00653B9D" w:rsidP="005D1A90">
            <w:pPr>
              <w:spacing w:after="0" w:line="276" w:lineRule="auto"/>
              <w:rPr>
                <w:rFonts w:ascii="Arial" w:eastAsia="Times New Roman" w:hAnsi="Arial" w:cs="Arial"/>
                <w:b/>
                <w:sz w:val="20"/>
                <w:szCs w:val="20"/>
                <w:lang w:eastAsia="sl-SI"/>
              </w:rPr>
            </w:pPr>
            <w:r w:rsidRPr="00A335CB">
              <w:rPr>
                <w:rFonts w:ascii="Arial" w:eastAsia="Times New Roman" w:hAnsi="Arial" w:cs="Arial"/>
                <w:b/>
                <w:sz w:val="20"/>
                <w:szCs w:val="20"/>
                <w:lang w:eastAsia="sl-SI"/>
              </w:rPr>
              <w:t>Število registriranih društev</w:t>
            </w:r>
          </w:p>
        </w:tc>
      </w:tr>
      <w:tr w:rsidR="00BD47E0" w:rsidRPr="00A335CB" w14:paraId="2C4705B7"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0566403D" w14:textId="1C15AF5D"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01</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Športna in rekreativna društva</w:t>
            </w:r>
          </w:p>
        </w:tc>
        <w:tc>
          <w:tcPr>
            <w:tcW w:w="2977" w:type="dxa"/>
            <w:tcBorders>
              <w:top w:val="nil"/>
              <w:left w:val="nil"/>
              <w:bottom w:val="single" w:sz="4" w:space="0" w:color="000000"/>
              <w:right w:val="single" w:sz="4" w:space="0" w:color="000000"/>
            </w:tcBorders>
            <w:shd w:val="clear" w:color="000000" w:fill="FFFFFF"/>
            <w:hideMark/>
          </w:tcPr>
          <w:p w14:paraId="3EBB2353" w14:textId="623436FF"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8</w:t>
            </w:r>
            <w:r w:rsidR="00DF1086" w:rsidRPr="00A335CB">
              <w:rPr>
                <w:rFonts w:ascii="Arial" w:eastAsia="Times New Roman" w:hAnsi="Arial" w:cs="Arial"/>
                <w:sz w:val="20"/>
                <w:szCs w:val="20"/>
                <w:lang w:eastAsia="sl-SI"/>
              </w:rPr>
              <w:t>.</w:t>
            </w:r>
            <w:r w:rsidRPr="00A335CB">
              <w:rPr>
                <w:rFonts w:ascii="Arial" w:eastAsia="Times New Roman" w:hAnsi="Arial" w:cs="Arial"/>
                <w:sz w:val="20"/>
                <w:szCs w:val="20"/>
                <w:lang w:eastAsia="sl-SI"/>
              </w:rPr>
              <w:t>127</w:t>
            </w:r>
          </w:p>
        </w:tc>
      </w:tr>
      <w:tr w:rsidR="00BD47E0" w:rsidRPr="00A335CB" w14:paraId="35786D56"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3BB2F9CC" w14:textId="06F54D0B"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02</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Društva za pomoč ljudem</w:t>
            </w:r>
          </w:p>
        </w:tc>
        <w:tc>
          <w:tcPr>
            <w:tcW w:w="2977" w:type="dxa"/>
            <w:tcBorders>
              <w:top w:val="nil"/>
              <w:left w:val="nil"/>
              <w:bottom w:val="single" w:sz="4" w:space="0" w:color="000000"/>
              <w:right w:val="single" w:sz="4" w:space="0" w:color="000000"/>
            </w:tcBorders>
            <w:shd w:val="clear" w:color="000000" w:fill="FFFFFF"/>
            <w:hideMark/>
          </w:tcPr>
          <w:p w14:paraId="5C25E96A" w14:textId="44E2F313"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3</w:t>
            </w:r>
            <w:r w:rsidR="00DF1086" w:rsidRPr="00A335CB">
              <w:rPr>
                <w:rFonts w:ascii="Arial" w:eastAsia="Times New Roman" w:hAnsi="Arial" w:cs="Arial"/>
                <w:sz w:val="20"/>
                <w:szCs w:val="20"/>
                <w:lang w:eastAsia="sl-SI"/>
              </w:rPr>
              <w:t>.</w:t>
            </w:r>
            <w:r w:rsidRPr="00A335CB">
              <w:rPr>
                <w:rFonts w:ascii="Arial" w:eastAsia="Times New Roman" w:hAnsi="Arial" w:cs="Arial"/>
                <w:sz w:val="20"/>
                <w:szCs w:val="20"/>
                <w:lang w:eastAsia="sl-SI"/>
              </w:rPr>
              <w:t>000</w:t>
            </w:r>
          </w:p>
        </w:tc>
      </w:tr>
      <w:tr w:rsidR="00BD47E0" w:rsidRPr="00A335CB" w14:paraId="65A1CAC7"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6807504F" w14:textId="0B9952B3"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03</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Kulturna in umetniška društva</w:t>
            </w:r>
          </w:p>
        </w:tc>
        <w:tc>
          <w:tcPr>
            <w:tcW w:w="2977" w:type="dxa"/>
            <w:tcBorders>
              <w:top w:val="nil"/>
              <w:left w:val="nil"/>
              <w:bottom w:val="single" w:sz="4" w:space="0" w:color="000000"/>
              <w:right w:val="single" w:sz="4" w:space="0" w:color="000000"/>
            </w:tcBorders>
            <w:shd w:val="clear" w:color="000000" w:fill="FFFFFF"/>
            <w:hideMark/>
          </w:tcPr>
          <w:p w14:paraId="7BA0DF41" w14:textId="48980F7C"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3</w:t>
            </w:r>
            <w:r w:rsidR="00DF1086" w:rsidRPr="00A335CB">
              <w:rPr>
                <w:rFonts w:ascii="Arial" w:eastAsia="Times New Roman" w:hAnsi="Arial" w:cs="Arial"/>
                <w:sz w:val="20"/>
                <w:szCs w:val="20"/>
                <w:lang w:eastAsia="sl-SI"/>
              </w:rPr>
              <w:t>.</w:t>
            </w:r>
            <w:r w:rsidRPr="00A335CB">
              <w:rPr>
                <w:rFonts w:ascii="Arial" w:eastAsia="Times New Roman" w:hAnsi="Arial" w:cs="Arial"/>
                <w:sz w:val="20"/>
                <w:szCs w:val="20"/>
                <w:lang w:eastAsia="sl-SI"/>
              </w:rPr>
              <w:t>947</w:t>
            </w:r>
          </w:p>
        </w:tc>
      </w:tr>
      <w:tr w:rsidR="00BD47E0" w:rsidRPr="00A335CB" w14:paraId="1FE1F2A7" w14:textId="77777777" w:rsidTr="00A92F50">
        <w:trPr>
          <w:trHeight w:val="510"/>
        </w:trPr>
        <w:tc>
          <w:tcPr>
            <w:tcW w:w="5807" w:type="dxa"/>
            <w:tcBorders>
              <w:top w:val="nil"/>
              <w:left w:val="single" w:sz="4" w:space="0" w:color="000000"/>
              <w:bottom w:val="single" w:sz="4" w:space="0" w:color="000000"/>
              <w:right w:val="single" w:sz="4" w:space="0" w:color="000000"/>
            </w:tcBorders>
            <w:shd w:val="clear" w:color="000000" w:fill="FFFFFF"/>
            <w:hideMark/>
          </w:tcPr>
          <w:p w14:paraId="0AED3267" w14:textId="5333E08D"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04</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Znanstvenoraziskovalna, izobraževalna, strokovna in poklicna društva</w:t>
            </w:r>
          </w:p>
        </w:tc>
        <w:tc>
          <w:tcPr>
            <w:tcW w:w="2977" w:type="dxa"/>
            <w:tcBorders>
              <w:top w:val="nil"/>
              <w:left w:val="nil"/>
              <w:bottom w:val="single" w:sz="4" w:space="0" w:color="000000"/>
              <w:right w:val="single" w:sz="4" w:space="0" w:color="000000"/>
            </w:tcBorders>
            <w:shd w:val="clear" w:color="000000" w:fill="FFFFFF"/>
            <w:hideMark/>
          </w:tcPr>
          <w:p w14:paraId="48B3416E" w14:textId="2D3A34ED"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2</w:t>
            </w:r>
            <w:r w:rsidR="00DF1086" w:rsidRPr="00A335CB">
              <w:rPr>
                <w:rFonts w:ascii="Arial" w:eastAsia="Times New Roman" w:hAnsi="Arial" w:cs="Arial"/>
                <w:sz w:val="20"/>
                <w:szCs w:val="20"/>
                <w:lang w:eastAsia="sl-SI"/>
              </w:rPr>
              <w:t>.</w:t>
            </w:r>
            <w:r w:rsidRPr="00A335CB">
              <w:rPr>
                <w:rFonts w:ascii="Arial" w:eastAsia="Times New Roman" w:hAnsi="Arial" w:cs="Arial"/>
                <w:sz w:val="20"/>
                <w:szCs w:val="20"/>
                <w:lang w:eastAsia="sl-SI"/>
              </w:rPr>
              <w:t>131</w:t>
            </w:r>
          </w:p>
        </w:tc>
      </w:tr>
      <w:tr w:rsidR="00BD47E0" w:rsidRPr="00A335CB" w14:paraId="2FA58133"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3A26B467" w14:textId="083A5093"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05</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Društva za varstvo okolja, gojitev in vzrejo živali in rastlin</w:t>
            </w:r>
          </w:p>
        </w:tc>
        <w:tc>
          <w:tcPr>
            <w:tcW w:w="2977" w:type="dxa"/>
            <w:tcBorders>
              <w:top w:val="nil"/>
              <w:left w:val="nil"/>
              <w:bottom w:val="single" w:sz="4" w:space="0" w:color="000000"/>
              <w:right w:val="single" w:sz="4" w:space="0" w:color="000000"/>
            </w:tcBorders>
            <w:shd w:val="clear" w:color="000000" w:fill="FFFFFF"/>
            <w:hideMark/>
          </w:tcPr>
          <w:p w14:paraId="79E3B50C" w14:textId="7FCF947D"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w:t>
            </w:r>
            <w:r w:rsidR="00DF1086" w:rsidRPr="00A335CB">
              <w:rPr>
                <w:rFonts w:ascii="Arial" w:eastAsia="Times New Roman" w:hAnsi="Arial" w:cs="Arial"/>
                <w:sz w:val="20"/>
                <w:szCs w:val="20"/>
                <w:lang w:eastAsia="sl-SI"/>
              </w:rPr>
              <w:t>.</w:t>
            </w:r>
            <w:r w:rsidRPr="00A335CB">
              <w:rPr>
                <w:rFonts w:ascii="Arial" w:eastAsia="Times New Roman" w:hAnsi="Arial" w:cs="Arial"/>
                <w:sz w:val="20"/>
                <w:szCs w:val="20"/>
                <w:lang w:eastAsia="sl-SI"/>
              </w:rPr>
              <w:t>658</w:t>
            </w:r>
          </w:p>
        </w:tc>
      </w:tr>
      <w:tr w:rsidR="00BD47E0" w:rsidRPr="00A335CB" w14:paraId="450EA1E3"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7B5A5478" w14:textId="4031D89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06</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Stanovska društva</w:t>
            </w:r>
          </w:p>
        </w:tc>
        <w:tc>
          <w:tcPr>
            <w:tcW w:w="2977" w:type="dxa"/>
            <w:tcBorders>
              <w:top w:val="nil"/>
              <w:left w:val="nil"/>
              <w:bottom w:val="single" w:sz="4" w:space="0" w:color="000000"/>
              <w:right w:val="single" w:sz="4" w:space="0" w:color="000000"/>
            </w:tcBorders>
            <w:shd w:val="clear" w:color="000000" w:fill="FFFFFF"/>
            <w:hideMark/>
          </w:tcPr>
          <w:p w14:paraId="536782B8" w14:textId="705F096D"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w:t>
            </w:r>
            <w:r w:rsidR="00DF1086" w:rsidRPr="00A335CB">
              <w:rPr>
                <w:rFonts w:ascii="Arial" w:eastAsia="Times New Roman" w:hAnsi="Arial" w:cs="Arial"/>
                <w:sz w:val="20"/>
                <w:szCs w:val="20"/>
                <w:lang w:eastAsia="sl-SI"/>
              </w:rPr>
              <w:t>.</w:t>
            </w:r>
            <w:r w:rsidRPr="00A335CB">
              <w:rPr>
                <w:rFonts w:ascii="Arial" w:eastAsia="Times New Roman" w:hAnsi="Arial" w:cs="Arial"/>
                <w:sz w:val="20"/>
                <w:szCs w:val="20"/>
                <w:lang w:eastAsia="sl-SI"/>
              </w:rPr>
              <w:t>332</w:t>
            </w:r>
          </w:p>
        </w:tc>
      </w:tr>
      <w:tr w:rsidR="00BD47E0" w:rsidRPr="00A335CB" w14:paraId="64D8280A"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5D656185" w14:textId="534EF3BE"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07</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Društva za razvoj kraja</w:t>
            </w:r>
          </w:p>
        </w:tc>
        <w:tc>
          <w:tcPr>
            <w:tcW w:w="2977" w:type="dxa"/>
            <w:tcBorders>
              <w:top w:val="nil"/>
              <w:left w:val="nil"/>
              <w:bottom w:val="single" w:sz="4" w:space="0" w:color="000000"/>
              <w:right w:val="single" w:sz="4" w:space="0" w:color="000000"/>
            </w:tcBorders>
            <w:shd w:val="clear" w:color="000000" w:fill="FFFFFF"/>
            <w:hideMark/>
          </w:tcPr>
          <w:p w14:paraId="155B2647" w14:textId="1AE9B09B"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w:t>
            </w:r>
            <w:r w:rsidR="00DF1086" w:rsidRPr="00A335CB">
              <w:rPr>
                <w:rFonts w:ascii="Arial" w:eastAsia="Times New Roman" w:hAnsi="Arial" w:cs="Arial"/>
                <w:sz w:val="20"/>
                <w:szCs w:val="20"/>
                <w:lang w:eastAsia="sl-SI"/>
              </w:rPr>
              <w:t>.</w:t>
            </w:r>
            <w:r w:rsidRPr="00A335CB">
              <w:rPr>
                <w:rFonts w:ascii="Arial" w:eastAsia="Times New Roman" w:hAnsi="Arial" w:cs="Arial"/>
                <w:sz w:val="20"/>
                <w:szCs w:val="20"/>
                <w:lang w:eastAsia="sl-SI"/>
              </w:rPr>
              <w:t>475</w:t>
            </w:r>
          </w:p>
        </w:tc>
      </w:tr>
      <w:tr w:rsidR="00BD47E0" w:rsidRPr="00A335CB" w14:paraId="196A7574"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5384F4F4" w14:textId="16E9A687"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08</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Nacionalna in politična društva</w:t>
            </w:r>
          </w:p>
        </w:tc>
        <w:tc>
          <w:tcPr>
            <w:tcW w:w="2977" w:type="dxa"/>
            <w:tcBorders>
              <w:top w:val="nil"/>
              <w:left w:val="nil"/>
              <w:bottom w:val="single" w:sz="4" w:space="0" w:color="000000"/>
              <w:right w:val="single" w:sz="4" w:space="0" w:color="000000"/>
            </w:tcBorders>
            <w:shd w:val="clear" w:color="000000" w:fill="FFFFFF"/>
            <w:hideMark/>
          </w:tcPr>
          <w:p w14:paraId="2EB60F01" w14:textId="77777777"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290</w:t>
            </w:r>
          </w:p>
        </w:tc>
      </w:tr>
      <w:tr w:rsidR="00BD47E0" w:rsidRPr="00A335CB" w14:paraId="460F81B3"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24289FAF" w14:textId="1CA64F1A"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09</w:t>
            </w:r>
            <w:r w:rsidR="00A26CA4">
              <w:rPr>
                <w:rFonts w:ascii="Arial" w:eastAsia="Times New Roman" w:hAnsi="Arial" w:cs="Arial"/>
                <w:sz w:val="20"/>
                <w:szCs w:val="20"/>
                <w:lang w:eastAsia="sl-SI"/>
              </w:rPr>
              <w:t xml:space="preserve"> – </w:t>
            </w:r>
            <w:r w:rsidRPr="00A335CB">
              <w:rPr>
                <w:rFonts w:ascii="Arial" w:eastAsia="Times New Roman" w:hAnsi="Arial" w:cs="Arial"/>
                <w:sz w:val="20"/>
                <w:szCs w:val="20"/>
                <w:lang w:eastAsia="sl-SI"/>
              </w:rPr>
              <w:t>Društva za duhovno življenje</w:t>
            </w:r>
          </w:p>
        </w:tc>
        <w:tc>
          <w:tcPr>
            <w:tcW w:w="2977" w:type="dxa"/>
            <w:tcBorders>
              <w:top w:val="nil"/>
              <w:left w:val="nil"/>
              <w:bottom w:val="single" w:sz="4" w:space="0" w:color="000000"/>
              <w:right w:val="single" w:sz="4" w:space="0" w:color="000000"/>
            </w:tcBorders>
            <w:shd w:val="clear" w:color="000000" w:fill="FFFFFF"/>
            <w:hideMark/>
          </w:tcPr>
          <w:p w14:paraId="4582CD6C" w14:textId="77777777"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613</w:t>
            </w:r>
          </w:p>
        </w:tc>
      </w:tr>
      <w:tr w:rsidR="00BD47E0" w:rsidRPr="00A335CB" w14:paraId="5B450CF5"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000000" w:fill="FFFFFF"/>
            <w:hideMark/>
          </w:tcPr>
          <w:p w14:paraId="5BEF8538" w14:textId="2379D730" w:rsidR="00653B9D" w:rsidRPr="00A335CB" w:rsidRDefault="00653B9D"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99</w:t>
            </w:r>
            <w:r w:rsidR="00A26CA4">
              <w:rPr>
                <w:rFonts w:ascii="Arial" w:eastAsia="Times New Roman" w:hAnsi="Arial" w:cs="Arial"/>
                <w:sz w:val="20"/>
                <w:szCs w:val="20"/>
                <w:lang w:eastAsia="sl-SI"/>
              </w:rPr>
              <w:t xml:space="preserve"> – </w:t>
            </w:r>
            <w:r w:rsidR="00721952">
              <w:rPr>
                <w:rFonts w:ascii="Arial" w:eastAsia="Times New Roman" w:hAnsi="Arial" w:cs="Arial"/>
                <w:sz w:val="20"/>
                <w:szCs w:val="20"/>
                <w:lang w:eastAsia="sl-SI"/>
              </w:rPr>
              <w:t>Druga</w:t>
            </w:r>
            <w:r w:rsidR="00721952"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društva</w:t>
            </w:r>
          </w:p>
        </w:tc>
        <w:tc>
          <w:tcPr>
            <w:tcW w:w="2977" w:type="dxa"/>
            <w:tcBorders>
              <w:top w:val="nil"/>
              <w:left w:val="nil"/>
              <w:bottom w:val="single" w:sz="4" w:space="0" w:color="000000"/>
              <w:right w:val="single" w:sz="4" w:space="0" w:color="000000"/>
            </w:tcBorders>
            <w:shd w:val="clear" w:color="000000" w:fill="FFFFFF"/>
            <w:hideMark/>
          </w:tcPr>
          <w:p w14:paraId="0ED6A358" w14:textId="77777777"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568</w:t>
            </w:r>
          </w:p>
        </w:tc>
      </w:tr>
      <w:tr w:rsidR="00BD47E0" w:rsidRPr="00A335CB" w14:paraId="6D7D6B54" w14:textId="77777777" w:rsidTr="00A92F50">
        <w:trPr>
          <w:trHeight w:val="255"/>
        </w:trPr>
        <w:tc>
          <w:tcPr>
            <w:tcW w:w="5807" w:type="dxa"/>
            <w:tcBorders>
              <w:top w:val="nil"/>
              <w:left w:val="single" w:sz="4" w:space="0" w:color="000000"/>
              <w:bottom w:val="single" w:sz="4" w:space="0" w:color="000000"/>
              <w:right w:val="single" w:sz="4" w:space="0" w:color="000000"/>
            </w:tcBorders>
            <w:shd w:val="clear" w:color="auto" w:fill="D9D9D9" w:themeFill="background1" w:themeFillShade="D9"/>
            <w:hideMark/>
          </w:tcPr>
          <w:p w14:paraId="030EF05E" w14:textId="77777777" w:rsidR="00653B9D" w:rsidRPr="00A335CB" w:rsidRDefault="00653B9D"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 </w:t>
            </w:r>
          </w:p>
        </w:tc>
        <w:tc>
          <w:tcPr>
            <w:tcW w:w="2977" w:type="dxa"/>
            <w:tcBorders>
              <w:top w:val="nil"/>
              <w:left w:val="nil"/>
              <w:bottom w:val="single" w:sz="4" w:space="0" w:color="000000"/>
              <w:right w:val="single" w:sz="4" w:space="0" w:color="000000"/>
            </w:tcBorders>
            <w:shd w:val="clear" w:color="auto" w:fill="D9D9D9" w:themeFill="background1" w:themeFillShade="D9"/>
            <w:hideMark/>
          </w:tcPr>
          <w:p w14:paraId="6F28060F" w14:textId="6D5E5C2C" w:rsidR="00653B9D" w:rsidRPr="00A335CB" w:rsidRDefault="00A92F50" w:rsidP="005D1A90">
            <w:pPr>
              <w:spacing w:after="0" w:line="276" w:lineRule="auto"/>
              <w:jc w:val="right"/>
              <w:rPr>
                <w:rFonts w:ascii="Arial" w:eastAsia="Times New Roman" w:hAnsi="Arial" w:cs="Arial"/>
                <w:b/>
                <w:sz w:val="20"/>
                <w:szCs w:val="20"/>
                <w:lang w:eastAsia="sl-SI"/>
              </w:rPr>
            </w:pPr>
            <w:r>
              <w:rPr>
                <w:rFonts w:ascii="Arial" w:eastAsia="Times New Roman" w:hAnsi="Arial" w:cs="Arial"/>
                <w:b/>
                <w:sz w:val="20"/>
                <w:szCs w:val="20"/>
                <w:lang w:eastAsia="sl-SI"/>
              </w:rPr>
              <w:t>S</w:t>
            </w:r>
            <w:r w:rsidR="00653B9D" w:rsidRPr="00A335CB">
              <w:rPr>
                <w:rFonts w:ascii="Arial" w:eastAsia="Times New Roman" w:hAnsi="Arial" w:cs="Arial"/>
                <w:b/>
                <w:sz w:val="20"/>
                <w:szCs w:val="20"/>
                <w:lang w:eastAsia="sl-SI"/>
              </w:rPr>
              <w:t>kupaj: 23</w:t>
            </w:r>
            <w:r w:rsidR="00DF1086" w:rsidRPr="00A335CB">
              <w:rPr>
                <w:rFonts w:ascii="Arial" w:eastAsia="Times New Roman" w:hAnsi="Arial" w:cs="Arial"/>
                <w:b/>
                <w:sz w:val="20"/>
                <w:szCs w:val="20"/>
                <w:lang w:eastAsia="sl-SI"/>
              </w:rPr>
              <w:t>.</w:t>
            </w:r>
            <w:r w:rsidR="00653B9D" w:rsidRPr="00A335CB">
              <w:rPr>
                <w:rFonts w:ascii="Arial" w:eastAsia="Times New Roman" w:hAnsi="Arial" w:cs="Arial"/>
                <w:b/>
                <w:sz w:val="20"/>
                <w:szCs w:val="20"/>
                <w:lang w:eastAsia="sl-SI"/>
              </w:rPr>
              <w:t>141</w:t>
            </w:r>
          </w:p>
        </w:tc>
      </w:tr>
    </w:tbl>
    <w:p w14:paraId="4635E245" w14:textId="3C7FD61E"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b/>
          <w:sz w:val="20"/>
          <w:szCs w:val="20"/>
          <w:lang w:eastAsia="sl-SI"/>
        </w:rPr>
        <w:t>Preglednica:</w:t>
      </w:r>
      <w:r w:rsidRPr="00A335CB">
        <w:rPr>
          <w:rFonts w:ascii="Arial" w:hAnsi="Arial" w:cs="Arial"/>
          <w:sz w:val="20"/>
          <w:szCs w:val="20"/>
          <w:lang w:eastAsia="sl-SI"/>
        </w:rPr>
        <w:t xml:space="preserve"> Število registriranih društev</w:t>
      </w:r>
    </w:p>
    <w:p w14:paraId="67FEADCF" w14:textId="24C22B13"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V letu 2024 je bila opravljena </w:t>
      </w:r>
      <w:r w:rsidRPr="00A335CB">
        <w:rPr>
          <w:rFonts w:ascii="Arial" w:hAnsi="Arial" w:cs="Arial"/>
          <w:b/>
          <w:sz w:val="20"/>
          <w:szCs w:val="20"/>
          <w:lang w:eastAsia="sl-SI"/>
        </w:rPr>
        <w:t>evalvacija Zakona o javnih zbiranjih</w:t>
      </w:r>
      <w:r w:rsidR="00A26CA4">
        <w:rPr>
          <w:rFonts w:ascii="Arial" w:hAnsi="Arial" w:cs="Arial"/>
          <w:b/>
          <w:sz w:val="20"/>
          <w:szCs w:val="20"/>
          <w:lang w:eastAsia="sl-SI"/>
        </w:rPr>
        <w:t>,</w:t>
      </w:r>
      <w:r w:rsidRPr="00A335CB">
        <w:rPr>
          <w:rFonts w:ascii="Arial" w:hAnsi="Arial" w:cs="Arial"/>
          <w:sz w:val="20"/>
          <w:szCs w:val="20"/>
        </w:rPr>
        <w:t xml:space="preserve"> saj je bil zakon nazadnje spremenjen v letu 2011, pri izvajanju določb zakona pa so pogosto nejasnosti. </w:t>
      </w:r>
    </w:p>
    <w:p w14:paraId="305EBD82" w14:textId="77777777" w:rsidR="00653B9D" w:rsidRPr="00A335CB" w:rsidRDefault="00653B9D" w:rsidP="005D1A90">
      <w:pPr>
        <w:tabs>
          <w:tab w:val="left" w:pos="3402"/>
        </w:tabs>
        <w:spacing w:after="0" w:line="276" w:lineRule="auto"/>
        <w:jc w:val="both"/>
        <w:rPr>
          <w:rFonts w:ascii="Arial" w:hAnsi="Arial" w:cs="Arial"/>
          <w:sz w:val="20"/>
          <w:szCs w:val="20"/>
        </w:rPr>
      </w:pPr>
    </w:p>
    <w:p w14:paraId="319CA0BF" w14:textId="1441047D" w:rsidR="00653B9D" w:rsidRPr="00A335CB" w:rsidRDefault="00653B9D" w:rsidP="005D1A90">
      <w:pPr>
        <w:tabs>
          <w:tab w:val="left" w:pos="3402"/>
        </w:tabs>
        <w:spacing w:after="0" w:line="276" w:lineRule="auto"/>
        <w:jc w:val="both"/>
        <w:rPr>
          <w:rFonts w:ascii="Arial" w:hAnsi="Arial" w:cs="Arial"/>
          <w:sz w:val="20"/>
          <w:szCs w:val="20"/>
        </w:rPr>
      </w:pPr>
      <w:r w:rsidRPr="00A335CB">
        <w:rPr>
          <w:rFonts w:ascii="Arial" w:hAnsi="Arial" w:cs="Arial"/>
          <w:sz w:val="20"/>
          <w:szCs w:val="20"/>
        </w:rPr>
        <w:t xml:space="preserve">V letu 2024 je bilo na področju zbiranja in združevanja opravljenih </w:t>
      </w:r>
      <w:r w:rsidR="00A26CA4">
        <w:rPr>
          <w:rFonts w:ascii="Arial" w:hAnsi="Arial" w:cs="Arial"/>
          <w:b/>
          <w:sz w:val="20"/>
          <w:szCs w:val="20"/>
        </w:rPr>
        <w:t>pet</w:t>
      </w:r>
      <w:r w:rsidR="00A26CA4" w:rsidRPr="00A335CB">
        <w:rPr>
          <w:rFonts w:ascii="Arial" w:hAnsi="Arial" w:cs="Arial"/>
          <w:b/>
          <w:sz w:val="20"/>
          <w:szCs w:val="20"/>
        </w:rPr>
        <w:t xml:space="preserve"> </w:t>
      </w:r>
      <w:r w:rsidRPr="00A335CB">
        <w:rPr>
          <w:rFonts w:ascii="Arial" w:hAnsi="Arial" w:cs="Arial"/>
          <w:b/>
          <w:sz w:val="20"/>
          <w:szCs w:val="20"/>
        </w:rPr>
        <w:t>strokovnih nadzorov</w:t>
      </w:r>
      <w:r w:rsidRPr="00A335CB">
        <w:rPr>
          <w:rFonts w:ascii="Arial" w:hAnsi="Arial" w:cs="Arial"/>
          <w:sz w:val="20"/>
          <w:szCs w:val="20"/>
        </w:rPr>
        <w:t xml:space="preserve"> (na upravnih enotah: Gornja Radgona, Kočevje, Vrhnika, Sežana in Tržič).</w:t>
      </w:r>
      <w:r w:rsidRPr="00A335CB" w:rsidDel="0042452C">
        <w:rPr>
          <w:rFonts w:ascii="Arial" w:hAnsi="Arial" w:cs="Arial"/>
          <w:sz w:val="20"/>
          <w:szCs w:val="20"/>
        </w:rPr>
        <w:t xml:space="preserve"> </w:t>
      </w:r>
    </w:p>
    <w:p w14:paraId="02AD4DEF" w14:textId="72D3B240" w:rsidR="00E2146B" w:rsidRPr="00A335CB" w:rsidRDefault="00E2146B" w:rsidP="005D1A90">
      <w:pPr>
        <w:spacing w:after="0" w:line="276" w:lineRule="auto"/>
        <w:jc w:val="both"/>
        <w:rPr>
          <w:rFonts w:ascii="Arial" w:hAnsi="Arial" w:cs="Arial"/>
          <w:sz w:val="20"/>
          <w:szCs w:val="20"/>
        </w:rPr>
      </w:pPr>
    </w:p>
    <w:p w14:paraId="7A2802B8" w14:textId="33993021" w:rsidR="00E2146B" w:rsidRPr="00A335CB" w:rsidRDefault="000D1E27" w:rsidP="005D1A90">
      <w:pPr>
        <w:pStyle w:val="Naslov3"/>
        <w:spacing w:line="276" w:lineRule="auto"/>
        <w:jc w:val="both"/>
        <w:rPr>
          <w:rFonts w:cs="Arial"/>
          <w:sz w:val="20"/>
          <w:szCs w:val="20"/>
        </w:rPr>
      </w:pPr>
      <w:r w:rsidRPr="00A335CB">
        <w:rPr>
          <w:rFonts w:cs="Arial"/>
          <w:sz w:val="20"/>
          <w:szCs w:val="20"/>
        </w:rPr>
        <w:t xml:space="preserve"> </w:t>
      </w:r>
      <w:bookmarkStart w:id="76" w:name="_Toc203552991"/>
      <w:r w:rsidR="00E2146B" w:rsidRPr="00A335CB">
        <w:rPr>
          <w:rFonts w:cs="Arial"/>
          <w:sz w:val="20"/>
          <w:szCs w:val="20"/>
          <w:lang w:eastAsia="sl-SI"/>
        </w:rPr>
        <w:t>Informacijski sistem upravnih notranjih zadev</w:t>
      </w:r>
      <w:r w:rsidR="00CF78BC" w:rsidRPr="00A335CB">
        <w:rPr>
          <w:rFonts w:cs="Arial"/>
          <w:sz w:val="20"/>
          <w:szCs w:val="20"/>
          <w:lang w:eastAsia="sl-SI"/>
        </w:rPr>
        <w:t xml:space="preserve"> (ISUNZ)</w:t>
      </w:r>
      <w:bookmarkEnd w:id="76"/>
    </w:p>
    <w:p w14:paraId="6BFD3A3D" w14:textId="7D9C9252" w:rsidR="00E2146B" w:rsidRPr="00A335CB" w:rsidRDefault="00E2146B" w:rsidP="005D1A90">
      <w:pPr>
        <w:autoSpaceDE w:val="0"/>
        <w:autoSpaceDN w:val="0"/>
        <w:adjustRightInd w:val="0"/>
        <w:spacing w:after="0" w:line="276" w:lineRule="auto"/>
        <w:jc w:val="both"/>
        <w:rPr>
          <w:rFonts w:ascii="Arial" w:hAnsi="Arial" w:cs="Arial"/>
          <w:sz w:val="20"/>
          <w:szCs w:val="20"/>
          <w:lang w:eastAsia="sl-SI"/>
        </w:rPr>
      </w:pPr>
    </w:p>
    <w:p w14:paraId="3250470A" w14:textId="43FF178B" w:rsidR="00CF78BC" w:rsidRPr="00A335CB" w:rsidRDefault="00CF78BC" w:rsidP="00CF78BC">
      <w:pPr>
        <w:autoSpaceDE w:val="0"/>
        <w:autoSpaceDN w:val="0"/>
        <w:adjustRightInd w:val="0"/>
        <w:spacing w:after="0" w:line="276" w:lineRule="auto"/>
        <w:jc w:val="both"/>
        <w:rPr>
          <w:rFonts w:ascii="Arial" w:hAnsi="Arial" w:cs="Arial"/>
          <w:b/>
          <w:sz w:val="20"/>
          <w:szCs w:val="20"/>
          <w:lang w:eastAsia="sl-SI"/>
        </w:rPr>
      </w:pPr>
      <w:r w:rsidRPr="00A335CB">
        <w:rPr>
          <w:rFonts w:ascii="Arial" w:hAnsi="Arial" w:cs="Arial"/>
          <w:sz w:val="20"/>
          <w:szCs w:val="20"/>
          <w:lang w:eastAsia="sl-SI"/>
        </w:rPr>
        <w:t>Za izvajanje ISUNZ je bila sklenjena pogodba št. C1711-21-460277, katere veljavnost se je s sklenitvijo aneksa podaljšala do 12.</w:t>
      </w:r>
      <w:r w:rsidR="00A26CA4">
        <w:rPr>
          <w:rFonts w:ascii="Arial" w:hAnsi="Arial" w:cs="Arial"/>
          <w:sz w:val="20"/>
          <w:szCs w:val="20"/>
          <w:lang w:eastAsia="sl-SI"/>
        </w:rPr>
        <w:t> </w:t>
      </w:r>
      <w:r w:rsidRPr="00A335CB">
        <w:rPr>
          <w:rFonts w:ascii="Arial" w:hAnsi="Arial" w:cs="Arial"/>
          <w:sz w:val="20"/>
          <w:szCs w:val="20"/>
          <w:lang w:eastAsia="sl-SI"/>
        </w:rPr>
        <w:t>9.</w:t>
      </w:r>
      <w:r w:rsidR="00A26CA4">
        <w:rPr>
          <w:rFonts w:ascii="Arial" w:hAnsi="Arial" w:cs="Arial"/>
          <w:sz w:val="20"/>
          <w:szCs w:val="20"/>
          <w:lang w:eastAsia="sl-SI"/>
        </w:rPr>
        <w:t> </w:t>
      </w:r>
      <w:r w:rsidRPr="00A335CB">
        <w:rPr>
          <w:rFonts w:ascii="Arial" w:hAnsi="Arial" w:cs="Arial"/>
          <w:sz w:val="20"/>
          <w:szCs w:val="20"/>
          <w:lang w:eastAsia="sl-SI"/>
        </w:rPr>
        <w:t xml:space="preserve">2025. ISUNZ je skupek računalniških programov oziroma aplikacij za računalniško vodenje evidenc oziroma registrov, </w:t>
      </w:r>
      <w:r w:rsidR="00A26CA4">
        <w:rPr>
          <w:rFonts w:ascii="Arial" w:hAnsi="Arial" w:cs="Arial"/>
          <w:sz w:val="20"/>
          <w:szCs w:val="20"/>
          <w:lang w:eastAsia="sl-SI"/>
        </w:rPr>
        <w:t>ki jih</w:t>
      </w:r>
      <w:r w:rsidRPr="00A335CB">
        <w:rPr>
          <w:rFonts w:ascii="Arial" w:hAnsi="Arial" w:cs="Arial"/>
          <w:sz w:val="20"/>
          <w:szCs w:val="20"/>
          <w:lang w:eastAsia="sl-SI"/>
        </w:rPr>
        <w:t xml:space="preserve"> upravlja MNZ, ter modulov za podporo izvajanju delovnih procesov. Vsaka aplikacija za vodenje evidence oziroma registra vsebuje različne funkcionalnosti. Vse aplikacije delujejo na enotni </w:t>
      </w:r>
      <w:r w:rsidR="00A26CA4">
        <w:rPr>
          <w:rFonts w:ascii="Arial" w:hAnsi="Arial" w:cs="Arial"/>
          <w:sz w:val="20"/>
          <w:szCs w:val="20"/>
          <w:lang w:eastAsia="sl-SI"/>
        </w:rPr>
        <w:t>osnovi</w:t>
      </w:r>
      <w:r w:rsidR="00A26CA4" w:rsidRPr="00A335CB">
        <w:rPr>
          <w:rFonts w:ascii="Arial" w:hAnsi="Arial" w:cs="Arial"/>
          <w:sz w:val="20"/>
          <w:szCs w:val="20"/>
          <w:lang w:eastAsia="sl-SI"/>
        </w:rPr>
        <w:t xml:space="preserve"> </w:t>
      </w:r>
      <w:r w:rsidRPr="00A335CB">
        <w:rPr>
          <w:rFonts w:ascii="Arial" w:hAnsi="Arial" w:cs="Arial"/>
          <w:sz w:val="20"/>
          <w:szCs w:val="20"/>
          <w:lang w:eastAsia="sl-SI"/>
        </w:rPr>
        <w:t>in uporabljajo skupne šifrante. Vpis ali sprememba podatkov v eni aplikaciji se lahko uporabi oziroma odrazi v drugi aplikaciji, ko to zahteva poslovni proces. V nekaterih postopkih vodenja evidenc oziroma registrov in izdajanja posameznih dokumentov obstajajo mnoge povezave in izmenjave podatkov z drugimi sistemi znotraj MNZ (</w:t>
      </w:r>
      <w:r w:rsidR="00A26CA4">
        <w:rPr>
          <w:rFonts w:ascii="Arial" w:hAnsi="Arial" w:cs="Arial"/>
          <w:sz w:val="20"/>
          <w:szCs w:val="20"/>
          <w:lang w:eastAsia="sl-SI"/>
        </w:rPr>
        <w:t>p</w:t>
      </w:r>
      <w:r w:rsidR="00A26CA4" w:rsidRPr="00A335CB">
        <w:rPr>
          <w:rFonts w:ascii="Arial" w:hAnsi="Arial" w:cs="Arial"/>
          <w:sz w:val="20"/>
          <w:szCs w:val="20"/>
          <w:lang w:eastAsia="sl-SI"/>
        </w:rPr>
        <w:t>olicija</w:t>
      </w:r>
      <w:r w:rsidRPr="00A335CB">
        <w:rPr>
          <w:rFonts w:ascii="Arial" w:hAnsi="Arial" w:cs="Arial"/>
          <w:sz w:val="20"/>
          <w:szCs w:val="20"/>
          <w:lang w:eastAsia="sl-SI"/>
        </w:rPr>
        <w:t xml:space="preserve">) in </w:t>
      </w:r>
      <w:r w:rsidRPr="0032769E">
        <w:rPr>
          <w:rFonts w:ascii="Arial" w:hAnsi="Arial" w:cs="Arial"/>
          <w:sz w:val="20"/>
          <w:szCs w:val="20"/>
          <w:lang w:eastAsia="sl-SI"/>
        </w:rPr>
        <w:t>izven (GURS, AJPES, Cetis, Pošta Slovenije, ZRSZ, trgovci</w:t>
      </w:r>
      <w:r w:rsidRPr="00A335CB">
        <w:rPr>
          <w:rFonts w:ascii="Arial" w:hAnsi="Arial" w:cs="Arial"/>
          <w:sz w:val="20"/>
          <w:szCs w:val="20"/>
          <w:lang w:eastAsia="sl-SI"/>
        </w:rPr>
        <w:t xml:space="preserve"> z orožjem, porodnišnice</w:t>
      </w:r>
      <w:r w:rsidR="00A26CA4">
        <w:rPr>
          <w:rFonts w:ascii="Arial" w:hAnsi="Arial" w:cs="Arial"/>
          <w:sz w:val="20"/>
          <w:szCs w:val="20"/>
          <w:lang w:eastAsia="sl-SI"/>
        </w:rPr>
        <w:t xml:space="preserve"> idr.</w:t>
      </w:r>
      <w:r w:rsidR="00A26CA4" w:rsidRPr="00A335CB">
        <w:rPr>
          <w:rFonts w:ascii="Arial" w:hAnsi="Arial" w:cs="Arial"/>
          <w:sz w:val="20"/>
          <w:szCs w:val="20"/>
          <w:lang w:eastAsia="sl-SI"/>
        </w:rPr>
        <w:t>).</w:t>
      </w:r>
    </w:p>
    <w:p w14:paraId="4CC21569" w14:textId="77777777" w:rsidR="00CF78BC" w:rsidRPr="00A335CB" w:rsidRDefault="00CF78BC" w:rsidP="00CF78BC">
      <w:pPr>
        <w:autoSpaceDE w:val="0"/>
        <w:autoSpaceDN w:val="0"/>
        <w:adjustRightInd w:val="0"/>
        <w:spacing w:after="0" w:line="276" w:lineRule="auto"/>
        <w:jc w:val="both"/>
        <w:rPr>
          <w:rFonts w:ascii="Arial" w:hAnsi="Arial" w:cs="Arial"/>
          <w:sz w:val="20"/>
          <w:szCs w:val="20"/>
          <w:lang w:eastAsia="sl-SI"/>
        </w:rPr>
      </w:pPr>
    </w:p>
    <w:p w14:paraId="4CBC419F" w14:textId="1D45F6DB" w:rsidR="00CF78BC" w:rsidRPr="00A335CB" w:rsidRDefault="00CF78BC" w:rsidP="00CF78BC">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Za vnos podatkov v ISUNZ so pristojne upravne enote, v posamezne evidence oziroma registre pa vnos podatkov poteka tudi prek porodnišnic, ministrstev, diplomatsko-konzularnih predstavništev, volilnih komisij itd. Podatki iz ISUNZ se </w:t>
      </w:r>
      <w:r w:rsidR="005E0375">
        <w:rPr>
          <w:rFonts w:ascii="Arial" w:hAnsi="Arial" w:cs="Arial"/>
          <w:sz w:val="20"/>
          <w:szCs w:val="20"/>
          <w:lang w:eastAsia="sl-SI"/>
        </w:rPr>
        <w:t>predložijo</w:t>
      </w:r>
      <w:r w:rsidR="005E0375" w:rsidRPr="00A335CB">
        <w:rPr>
          <w:rFonts w:ascii="Arial" w:hAnsi="Arial" w:cs="Arial"/>
          <w:sz w:val="20"/>
          <w:szCs w:val="20"/>
          <w:lang w:eastAsia="sl-SI"/>
        </w:rPr>
        <w:t xml:space="preserve"> </w:t>
      </w:r>
      <w:r w:rsidRPr="00A335CB">
        <w:rPr>
          <w:rFonts w:ascii="Arial" w:hAnsi="Arial" w:cs="Arial"/>
          <w:sz w:val="20"/>
          <w:szCs w:val="20"/>
          <w:lang w:eastAsia="sl-SI"/>
        </w:rPr>
        <w:t xml:space="preserve">različnim uporabnikom: prek analitičnih izdelkov iz distribucijskega modula podatkovnega skladišča, prek distribucijske baze </w:t>
      </w:r>
      <w:proofErr w:type="spellStart"/>
      <w:r w:rsidRPr="00A335CB">
        <w:rPr>
          <w:rFonts w:ascii="Arial" w:hAnsi="Arial" w:cs="Arial"/>
          <w:sz w:val="20"/>
          <w:szCs w:val="20"/>
          <w:lang w:eastAsia="sl-SI"/>
        </w:rPr>
        <w:t>eCRP</w:t>
      </w:r>
      <w:proofErr w:type="spellEnd"/>
      <w:r w:rsidRPr="00A335CB">
        <w:rPr>
          <w:rFonts w:ascii="Arial" w:hAnsi="Arial" w:cs="Arial"/>
          <w:sz w:val="20"/>
          <w:szCs w:val="20"/>
          <w:lang w:eastAsia="sl-SI"/>
        </w:rPr>
        <w:t xml:space="preserve"> </w:t>
      </w:r>
      <w:r w:rsidR="00A7716B">
        <w:rPr>
          <w:rFonts w:ascii="Arial" w:hAnsi="Arial" w:cs="Arial"/>
          <w:sz w:val="20"/>
          <w:szCs w:val="20"/>
          <w:lang w:eastAsia="sl-SI"/>
        </w:rPr>
        <w:t>(</w:t>
      </w:r>
      <w:r w:rsidRPr="0032769E">
        <w:rPr>
          <w:rFonts w:ascii="Arial" w:hAnsi="Arial" w:cs="Arial"/>
          <w:sz w:val="20"/>
          <w:szCs w:val="20"/>
          <w:lang w:eastAsia="sl-SI"/>
        </w:rPr>
        <w:t>ZPIZ, ZZZS, ZRSZ, FURS</w:t>
      </w:r>
      <w:r w:rsidRPr="00A335CB">
        <w:rPr>
          <w:rFonts w:ascii="Arial" w:hAnsi="Arial" w:cs="Arial"/>
          <w:sz w:val="20"/>
          <w:szCs w:val="20"/>
          <w:lang w:eastAsia="sl-SI"/>
        </w:rPr>
        <w:t>, Vrhovno sodišče, občine itd.) ter prek</w:t>
      </w:r>
      <w:r w:rsidR="00A26CA4">
        <w:rPr>
          <w:rFonts w:ascii="Arial" w:hAnsi="Arial" w:cs="Arial"/>
          <w:sz w:val="20"/>
          <w:szCs w:val="20"/>
          <w:lang w:eastAsia="sl-SI"/>
        </w:rPr>
        <w:t xml:space="preserve"> aplikacije</w:t>
      </w:r>
      <w:r w:rsidRPr="00A335CB">
        <w:rPr>
          <w:rFonts w:ascii="Arial" w:hAnsi="Arial" w:cs="Arial"/>
          <w:sz w:val="20"/>
          <w:szCs w:val="20"/>
          <w:lang w:eastAsia="sl-SI"/>
        </w:rPr>
        <w:t xml:space="preserve"> e-RISK (</w:t>
      </w:r>
      <w:r w:rsidR="00A26CA4">
        <w:rPr>
          <w:rFonts w:ascii="Arial" w:hAnsi="Arial" w:cs="Arial"/>
          <w:sz w:val="20"/>
          <w:szCs w:val="20"/>
          <w:lang w:eastAsia="sl-SI"/>
        </w:rPr>
        <w:t>p</w:t>
      </w:r>
      <w:r w:rsidR="00A26CA4" w:rsidRPr="00A335CB">
        <w:rPr>
          <w:rFonts w:ascii="Arial" w:hAnsi="Arial" w:cs="Arial"/>
          <w:sz w:val="20"/>
          <w:szCs w:val="20"/>
          <w:lang w:eastAsia="sl-SI"/>
        </w:rPr>
        <w:t>olicija</w:t>
      </w:r>
      <w:r w:rsidRPr="00A335CB">
        <w:rPr>
          <w:rFonts w:ascii="Arial" w:hAnsi="Arial" w:cs="Arial"/>
          <w:sz w:val="20"/>
          <w:szCs w:val="20"/>
          <w:lang w:eastAsia="sl-SI"/>
        </w:rPr>
        <w:t xml:space="preserve">, različni inšpekcijski in </w:t>
      </w:r>
      <w:proofErr w:type="spellStart"/>
      <w:r w:rsidRPr="00A335CB">
        <w:rPr>
          <w:rFonts w:ascii="Arial" w:hAnsi="Arial" w:cs="Arial"/>
          <w:sz w:val="20"/>
          <w:szCs w:val="20"/>
          <w:lang w:eastAsia="sl-SI"/>
        </w:rPr>
        <w:t>prekrškovni</w:t>
      </w:r>
      <w:proofErr w:type="spellEnd"/>
      <w:r w:rsidRPr="00A335CB">
        <w:rPr>
          <w:rFonts w:ascii="Arial" w:hAnsi="Arial" w:cs="Arial"/>
          <w:sz w:val="20"/>
          <w:szCs w:val="20"/>
          <w:lang w:eastAsia="sl-SI"/>
        </w:rPr>
        <w:t xml:space="preserve"> organi, sodišča, tožilstva </w:t>
      </w:r>
      <w:proofErr w:type="spellStart"/>
      <w:r w:rsidRPr="00A335CB">
        <w:rPr>
          <w:rFonts w:ascii="Arial" w:hAnsi="Arial" w:cs="Arial"/>
          <w:sz w:val="20"/>
          <w:szCs w:val="20"/>
          <w:lang w:eastAsia="sl-SI"/>
        </w:rPr>
        <w:t>itd</w:t>
      </w:r>
      <w:proofErr w:type="spellEnd"/>
      <w:r w:rsidRPr="00A335CB">
        <w:rPr>
          <w:rFonts w:ascii="Arial" w:hAnsi="Arial" w:cs="Arial"/>
          <w:sz w:val="20"/>
          <w:szCs w:val="20"/>
          <w:lang w:eastAsia="sl-SI"/>
        </w:rPr>
        <w:t>).</w:t>
      </w:r>
    </w:p>
    <w:p w14:paraId="7AA643A7" w14:textId="77777777" w:rsidR="00CF78BC" w:rsidRPr="00A335CB" w:rsidRDefault="00CF78BC" w:rsidP="005D1A90">
      <w:pPr>
        <w:autoSpaceDE w:val="0"/>
        <w:autoSpaceDN w:val="0"/>
        <w:adjustRightInd w:val="0"/>
        <w:spacing w:after="0" w:line="276" w:lineRule="auto"/>
        <w:jc w:val="both"/>
        <w:rPr>
          <w:rFonts w:ascii="Arial" w:hAnsi="Arial" w:cs="Arial"/>
          <w:sz w:val="20"/>
          <w:szCs w:val="20"/>
          <w:lang w:eastAsia="sl-SI"/>
        </w:rPr>
      </w:pPr>
    </w:p>
    <w:p w14:paraId="60320B08" w14:textId="69565F36"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ISU</w:t>
      </w:r>
      <w:r w:rsidR="00D12CC2" w:rsidRPr="00A335CB">
        <w:rPr>
          <w:rFonts w:ascii="Arial" w:hAnsi="Arial" w:cs="Arial"/>
          <w:sz w:val="20"/>
          <w:szCs w:val="20"/>
          <w:lang w:eastAsia="sl-SI"/>
        </w:rPr>
        <w:t>NZ zajema naslednje evidence oziroma</w:t>
      </w:r>
      <w:r w:rsidRPr="00A335CB">
        <w:rPr>
          <w:rFonts w:ascii="Arial" w:hAnsi="Arial" w:cs="Arial"/>
          <w:sz w:val="20"/>
          <w:szCs w:val="20"/>
          <w:lang w:eastAsia="sl-SI"/>
        </w:rPr>
        <w:t xml:space="preserve"> registre:</w:t>
      </w:r>
    </w:p>
    <w:p w14:paraId="7ADE2092"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w:t>
      </w:r>
      <w:r w:rsidRPr="00A335CB">
        <w:rPr>
          <w:rFonts w:ascii="Arial" w:hAnsi="Arial" w:cs="Arial"/>
          <w:sz w:val="20"/>
          <w:szCs w:val="20"/>
          <w:lang w:eastAsia="sl-SI"/>
        </w:rPr>
        <w:tab/>
        <w:t>Matični register (MR);</w:t>
      </w:r>
    </w:p>
    <w:p w14:paraId="36948C1B"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2.</w:t>
      </w:r>
      <w:r w:rsidRPr="00A335CB">
        <w:rPr>
          <w:rFonts w:ascii="Arial" w:hAnsi="Arial" w:cs="Arial"/>
          <w:sz w:val="20"/>
          <w:szCs w:val="20"/>
          <w:lang w:eastAsia="sl-SI"/>
        </w:rPr>
        <w:tab/>
        <w:t>Register stalnega prebivalstva (RSP);</w:t>
      </w:r>
    </w:p>
    <w:p w14:paraId="7BCFC671"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3.</w:t>
      </w:r>
      <w:r w:rsidRPr="00A335CB">
        <w:rPr>
          <w:rFonts w:ascii="Arial" w:hAnsi="Arial" w:cs="Arial"/>
          <w:sz w:val="20"/>
          <w:szCs w:val="20"/>
          <w:lang w:eastAsia="sl-SI"/>
        </w:rPr>
        <w:tab/>
        <w:t>Evidenca volilne pravice (EVP);</w:t>
      </w:r>
    </w:p>
    <w:p w14:paraId="6CFCC6B3"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4.</w:t>
      </w:r>
      <w:r w:rsidRPr="00A335CB">
        <w:rPr>
          <w:rFonts w:ascii="Arial" w:hAnsi="Arial" w:cs="Arial"/>
          <w:sz w:val="20"/>
          <w:szCs w:val="20"/>
          <w:lang w:eastAsia="sl-SI"/>
        </w:rPr>
        <w:tab/>
        <w:t>Register državljanstev (RD);</w:t>
      </w:r>
    </w:p>
    <w:p w14:paraId="385F9F5D"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5.</w:t>
      </w:r>
      <w:r w:rsidRPr="00A335CB">
        <w:rPr>
          <w:rFonts w:ascii="Arial" w:hAnsi="Arial" w:cs="Arial"/>
          <w:sz w:val="20"/>
          <w:szCs w:val="20"/>
          <w:lang w:eastAsia="sl-SI"/>
        </w:rPr>
        <w:tab/>
        <w:t>Register tujcev (RT);</w:t>
      </w:r>
    </w:p>
    <w:p w14:paraId="477180A3"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6.</w:t>
      </w:r>
      <w:r w:rsidRPr="00A335CB">
        <w:rPr>
          <w:rFonts w:ascii="Arial" w:hAnsi="Arial" w:cs="Arial"/>
          <w:sz w:val="20"/>
          <w:szCs w:val="20"/>
          <w:lang w:eastAsia="sl-SI"/>
        </w:rPr>
        <w:tab/>
        <w:t>Register prosilcev za azil in sistem za evidentiranje integracijskih ukrepov za begunce (AZ);</w:t>
      </w:r>
    </w:p>
    <w:p w14:paraId="6860BC7D"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7.</w:t>
      </w:r>
      <w:r w:rsidRPr="00A335CB">
        <w:rPr>
          <w:rFonts w:ascii="Arial" w:hAnsi="Arial" w:cs="Arial"/>
          <w:sz w:val="20"/>
          <w:szCs w:val="20"/>
          <w:lang w:eastAsia="sl-SI"/>
        </w:rPr>
        <w:tab/>
        <w:t>Evidenca evidenčnih tujcev (ETUJ);</w:t>
      </w:r>
    </w:p>
    <w:p w14:paraId="622BE7FE"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8.</w:t>
      </w:r>
      <w:r w:rsidRPr="00A335CB">
        <w:rPr>
          <w:rFonts w:ascii="Arial" w:hAnsi="Arial" w:cs="Arial"/>
          <w:sz w:val="20"/>
          <w:szCs w:val="20"/>
          <w:lang w:eastAsia="sl-SI"/>
        </w:rPr>
        <w:tab/>
        <w:t>Centralni register prebivalstva (CRP) s prenosom v distribucijsko bazo eCRP2, ki vključuje:</w:t>
      </w:r>
    </w:p>
    <w:p w14:paraId="496FDA48" w14:textId="24BCD9F2"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w:t>
      </w:r>
      <w:r w:rsidRPr="00A335CB">
        <w:rPr>
          <w:rFonts w:ascii="Arial" w:hAnsi="Arial" w:cs="Arial"/>
          <w:sz w:val="20"/>
          <w:szCs w:val="20"/>
          <w:lang w:eastAsia="sl-SI"/>
        </w:rPr>
        <w:tab/>
        <w:t xml:space="preserve">Centralni register prebivalstva </w:t>
      </w:r>
      <w:r w:rsidR="00A26CA4">
        <w:rPr>
          <w:rFonts w:ascii="Arial" w:hAnsi="Arial" w:cs="Arial"/>
          <w:sz w:val="20"/>
          <w:szCs w:val="20"/>
          <w:lang w:eastAsia="sl-SI"/>
        </w:rPr>
        <w:t>–</w:t>
      </w:r>
      <w:r w:rsidR="00A26CA4" w:rsidRPr="00A335CB">
        <w:rPr>
          <w:rFonts w:ascii="Arial" w:hAnsi="Arial" w:cs="Arial"/>
          <w:sz w:val="20"/>
          <w:szCs w:val="20"/>
          <w:lang w:eastAsia="sl-SI"/>
        </w:rPr>
        <w:t xml:space="preserve"> </w:t>
      </w:r>
      <w:r w:rsidRPr="00A335CB">
        <w:rPr>
          <w:rFonts w:ascii="Arial" w:hAnsi="Arial" w:cs="Arial"/>
          <w:sz w:val="20"/>
          <w:szCs w:val="20"/>
          <w:lang w:eastAsia="sl-SI"/>
        </w:rPr>
        <w:t>integrirani del ISUNZ;</w:t>
      </w:r>
    </w:p>
    <w:p w14:paraId="6315E248"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2.</w:t>
      </w:r>
      <w:r w:rsidRPr="00A335CB">
        <w:rPr>
          <w:rFonts w:ascii="Arial" w:hAnsi="Arial" w:cs="Arial"/>
          <w:sz w:val="20"/>
          <w:szCs w:val="20"/>
          <w:lang w:eastAsia="sl-SI"/>
        </w:rPr>
        <w:tab/>
        <w:t>Prenos podatkov iz sistema ISUNZ v distribucijsko bazo eCRP2;</w:t>
      </w:r>
    </w:p>
    <w:p w14:paraId="5996D419"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9.</w:t>
      </w:r>
      <w:r w:rsidRPr="00A335CB">
        <w:rPr>
          <w:rFonts w:ascii="Arial" w:hAnsi="Arial" w:cs="Arial"/>
          <w:sz w:val="20"/>
          <w:szCs w:val="20"/>
          <w:lang w:eastAsia="sl-SI"/>
        </w:rPr>
        <w:tab/>
        <w:t>Evidenca potnih listin (POTN);</w:t>
      </w:r>
    </w:p>
    <w:p w14:paraId="0A53AB29"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10.</w:t>
      </w:r>
      <w:r w:rsidRPr="00A335CB">
        <w:rPr>
          <w:rFonts w:ascii="Arial" w:hAnsi="Arial" w:cs="Arial"/>
          <w:sz w:val="20"/>
          <w:szCs w:val="20"/>
          <w:lang w:eastAsia="sl-SI"/>
        </w:rPr>
        <w:tab/>
        <w:t>Evidenca osebnih izkaznic (OSIZ);</w:t>
      </w:r>
    </w:p>
    <w:p w14:paraId="46DA02D6"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11.</w:t>
      </w:r>
      <w:r w:rsidRPr="00A335CB">
        <w:rPr>
          <w:rFonts w:ascii="Arial" w:hAnsi="Arial" w:cs="Arial"/>
          <w:sz w:val="20"/>
          <w:szCs w:val="20"/>
          <w:lang w:eastAsia="sl-SI"/>
        </w:rPr>
        <w:tab/>
        <w:t>Evidenca obrazcev (BLKT);</w:t>
      </w:r>
    </w:p>
    <w:p w14:paraId="34AB9566"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12.</w:t>
      </w:r>
      <w:r w:rsidRPr="00A335CB">
        <w:rPr>
          <w:rFonts w:ascii="Arial" w:hAnsi="Arial" w:cs="Arial"/>
          <w:sz w:val="20"/>
          <w:szCs w:val="20"/>
          <w:lang w:eastAsia="sl-SI"/>
        </w:rPr>
        <w:tab/>
        <w:t>Register društev, političnih strank in ustanov (RDRU);</w:t>
      </w:r>
    </w:p>
    <w:p w14:paraId="358F32BC"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13.</w:t>
      </w:r>
      <w:r w:rsidRPr="00A335CB">
        <w:rPr>
          <w:rFonts w:ascii="Arial" w:hAnsi="Arial" w:cs="Arial"/>
          <w:sz w:val="20"/>
          <w:szCs w:val="20"/>
          <w:lang w:eastAsia="sl-SI"/>
        </w:rPr>
        <w:tab/>
        <w:t>Register izdanih orožnih listin (OR);</w:t>
      </w:r>
    </w:p>
    <w:p w14:paraId="519A377A"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14.</w:t>
      </w:r>
      <w:r w:rsidRPr="00A335CB">
        <w:rPr>
          <w:rFonts w:ascii="Arial" w:hAnsi="Arial" w:cs="Arial"/>
          <w:sz w:val="20"/>
          <w:szCs w:val="20"/>
          <w:lang w:eastAsia="sl-SI"/>
        </w:rPr>
        <w:tab/>
        <w:t>Evidenca prometa z orožjem (PO);</w:t>
      </w:r>
    </w:p>
    <w:p w14:paraId="244F33B7"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15.</w:t>
      </w:r>
      <w:r w:rsidRPr="00A335CB">
        <w:rPr>
          <w:rFonts w:ascii="Arial" w:hAnsi="Arial" w:cs="Arial"/>
          <w:sz w:val="20"/>
          <w:szCs w:val="20"/>
          <w:lang w:eastAsia="sl-SI"/>
        </w:rPr>
        <w:tab/>
        <w:t>Evidenca prometa z eksplozivi (PE);</w:t>
      </w:r>
    </w:p>
    <w:p w14:paraId="0D7FB8A5" w14:textId="7C01E56A"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16.</w:t>
      </w:r>
      <w:r w:rsidRPr="00A335CB">
        <w:rPr>
          <w:rFonts w:ascii="Arial" w:hAnsi="Arial" w:cs="Arial"/>
          <w:sz w:val="20"/>
          <w:szCs w:val="20"/>
          <w:lang w:eastAsia="sl-SI"/>
        </w:rPr>
        <w:tab/>
        <w:t>Posebna dokumentacija</w:t>
      </w:r>
      <w:r w:rsidR="0087437A">
        <w:rPr>
          <w:rFonts w:ascii="Arial" w:hAnsi="Arial" w:cs="Arial"/>
          <w:sz w:val="20"/>
          <w:szCs w:val="20"/>
          <w:lang w:eastAsia="sl-SI"/>
        </w:rPr>
        <w:t>;</w:t>
      </w:r>
    </w:p>
    <w:p w14:paraId="77DB3827" w14:textId="599E02DF"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17.</w:t>
      </w:r>
      <w:r w:rsidR="002912A8">
        <w:rPr>
          <w:rFonts w:ascii="Arial" w:hAnsi="Arial" w:cs="Arial"/>
          <w:sz w:val="20"/>
          <w:szCs w:val="20"/>
          <w:lang w:eastAsia="sl-SI"/>
        </w:rPr>
        <w:tab/>
      </w:r>
      <w:r w:rsidRPr="00A335CB">
        <w:rPr>
          <w:rFonts w:ascii="Arial" w:hAnsi="Arial" w:cs="Arial"/>
          <w:sz w:val="20"/>
          <w:szCs w:val="20"/>
          <w:lang w:eastAsia="sl-SI"/>
        </w:rPr>
        <w:t>Podporne aplikacije (SIUT, TOR</w:t>
      </w:r>
      <w:r w:rsidR="00A26CA4">
        <w:rPr>
          <w:rFonts w:ascii="Arial" w:hAnsi="Arial" w:cs="Arial"/>
          <w:sz w:val="20"/>
          <w:szCs w:val="20"/>
          <w:lang w:eastAsia="sl-SI"/>
        </w:rPr>
        <w:t xml:space="preserve"> idr.</w:t>
      </w:r>
      <w:r w:rsidR="00A26CA4" w:rsidRPr="00A335CB">
        <w:rPr>
          <w:rFonts w:ascii="Arial" w:hAnsi="Arial" w:cs="Arial"/>
          <w:sz w:val="20"/>
          <w:szCs w:val="20"/>
          <w:lang w:eastAsia="sl-SI"/>
        </w:rPr>
        <w:t>)</w:t>
      </w:r>
      <w:r w:rsidR="0087437A">
        <w:rPr>
          <w:rFonts w:ascii="Arial" w:hAnsi="Arial" w:cs="Arial"/>
          <w:sz w:val="20"/>
          <w:szCs w:val="20"/>
          <w:lang w:eastAsia="sl-SI"/>
        </w:rPr>
        <w:t>.</w:t>
      </w:r>
    </w:p>
    <w:p w14:paraId="3006226F" w14:textId="77777777" w:rsidR="00653B9D" w:rsidRPr="00A335CB" w:rsidRDefault="00653B9D" w:rsidP="005D1A90">
      <w:pPr>
        <w:autoSpaceDE w:val="0"/>
        <w:autoSpaceDN w:val="0"/>
        <w:adjustRightInd w:val="0"/>
        <w:spacing w:after="0" w:line="276" w:lineRule="auto"/>
        <w:jc w:val="both"/>
        <w:rPr>
          <w:rFonts w:ascii="Arial" w:hAnsi="Arial" w:cs="Arial"/>
          <w:sz w:val="20"/>
          <w:szCs w:val="20"/>
          <w:lang w:eastAsia="sl-SI"/>
        </w:rPr>
      </w:pPr>
    </w:p>
    <w:p w14:paraId="28A7DAE7" w14:textId="1DE0FD5B" w:rsidR="00653B9D" w:rsidRPr="00A335CB" w:rsidRDefault="00653B9D" w:rsidP="00A92F5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lang w:eastAsia="sl-SI"/>
        </w:rPr>
        <w:t xml:space="preserve">V </w:t>
      </w:r>
      <w:r w:rsidR="00CF78BC" w:rsidRPr="00A335CB">
        <w:rPr>
          <w:rFonts w:ascii="Arial" w:hAnsi="Arial" w:cs="Arial"/>
          <w:sz w:val="20"/>
          <w:szCs w:val="20"/>
          <w:lang w:eastAsia="sl-SI"/>
        </w:rPr>
        <w:t xml:space="preserve">letu 2024 so potekale </w:t>
      </w:r>
      <w:r w:rsidRPr="00A335CB">
        <w:rPr>
          <w:rFonts w:ascii="Arial" w:hAnsi="Arial" w:cs="Arial"/>
          <w:sz w:val="20"/>
          <w:szCs w:val="20"/>
          <w:lang w:eastAsia="sl-SI"/>
        </w:rPr>
        <w:t>aktiv</w:t>
      </w:r>
      <w:r w:rsidR="00CF78BC" w:rsidRPr="00A335CB">
        <w:rPr>
          <w:rFonts w:ascii="Arial" w:hAnsi="Arial" w:cs="Arial"/>
          <w:sz w:val="20"/>
          <w:szCs w:val="20"/>
          <w:lang w:eastAsia="sl-SI"/>
        </w:rPr>
        <w:t>nosti za implementacijo nadgradenj</w:t>
      </w:r>
      <w:r w:rsidRPr="00A335CB">
        <w:rPr>
          <w:rFonts w:ascii="Arial" w:hAnsi="Arial" w:cs="Arial"/>
          <w:sz w:val="20"/>
          <w:szCs w:val="20"/>
          <w:lang w:eastAsia="sl-SI"/>
        </w:rPr>
        <w:t xml:space="preserve"> in novih funkci</w:t>
      </w:r>
      <w:r w:rsidR="00CF78BC" w:rsidRPr="00A335CB">
        <w:rPr>
          <w:rFonts w:ascii="Arial" w:hAnsi="Arial" w:cs="Arial"/>
          <w:sz w:val="20"/>
          <w:szCs w:val="20"/>
          <w:lang w:eastAsia="sl-SI"/>
        </w:rPr>
        <w:t>onalnosti. O</w:t>
      </w:r>
      <w:r w:rsidRPr="00A335CB">
        <w:rPr>
          <w:rFonts w:ascii="Arial" w:hAnsi="Arial" w:cs="Arial"/>
          <w:sz w:val="20"/>
          <w:szCs w:val="20"/>
          <w:lang w:eastAsia="sl-SI"/>
        </w:rPr>
        <w:t xml:space="preserve">pravljene </w:t>
      </w:r>
      <w:r w:rsidR="00CF78BC" w:rsidRPr="00A335CB">
        <w:rPr>
          <w:rFonts w:ascii="Arial" w:hAnsi="Arial" w:cs="Arial"/>
          <w:sz w:val="20"/>
          <w:szCs w:val="20"/>
          <w:lang w:eastAsia="sl-SI"/>
        </w:rPr>
        <w:t xml:space="preserve">so bile </w:t>
      </w:r>
      <w:r w:rsidRPr="00A335CB">
        <w:rPr>
          <w:rFonts w:ascii="Arial" w:hAnsi="Arial" w:cs="Arial"/>
          <w:sz w:val="20"/>
          <w:szCs w:val="20"/>
          <w:lang w:eastAsia="sl-SI"/>
        </w:rPr>
        <w:t xml:space="preserve">večje </w:t>
      </w:r>
      <w:r w:rsidRPr="00A335CB">
        <w:rPr>
          <w:rFonts w:ascii="Arial" w:hAnsi="Arial" w:cs="Arial"/>
          <w:sz w:val="20"/>
          <w:szCs w:val="20"/>
        </w:rPr>
        <w:t xml:space="preserve">dopolnitve oziroma nadgradnje informacijskega sistema, </w:t>
      </w:r>
      <w:r w:rsidRPr="00A335CB">
        <w:rPr>
          <w:rFonts w:ascii="Arial" w:hAnsi="Arial" w:cs="Arial"/>
          <w:sz w:val="20"/>
          <w:szCs w:val="20"/>
          <w:lang w:eastAsia="sl-SI"/>
        </w:rPr>
        <w:t xml:space="preserve">ki so bile posledica zakonskih sprememb ali novih funkcionalnosti, kot </w:t>
      </w:r>
      <w:r w:rsidR="00A26CA4">
        <w:rPr>
          <w:rFonts w:ascii="Arial" w:hAnsi="Arial" w:cs="Arial"/>
          <w:sz w:val="20"/>
          <w:szCs w:val="20"/>
          <w:lang w:eastAsia="sl-SI"/>
        </w:rPr>
        <w:t>na primer</w:t>
      </w:r>
      <w:r w:rsidR="00CF78BC" w:rsidRPr="00A335CB">
        <w:rPr>
          <w:rFonts w:ascii="Arial" w:hAnsi="Arial" w:cs="Arial"/>
          <w:sz w:val="20"/>
          <w:szCs w:val="20"/>
        </w:rPr>
        <w:t>:</w:t>
      </w:r>
    </w:p>
    <w:p w14:paraId="4A859BAC" w14:textId="5B644574"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 xml:space="preserve">nadaljevanje aktivnosti za prilagoditev ISUNZ na brskalnike EDGE, </w:t>
      </w:r>
      <w:proofErr w:type="spellStart"/>
      <w:r w:rsidRPr="00A335CB">
        <w:rPr>
          <w:rFonts w:ascii="Arial" w:hAnsi="Arial" w:cs="Arial"/>
          <w:sz w:val="20"/>
          <w:szCs w:val="20"/>
          <w:lang w:eastAsia="sl-SI"/>
        </w:rPr>
        <w:t>Mozil</w:t>
      </w:r>
      <w:r w:rsidR="00A26CA4">
        <w:rPr>
          <w:rFonts w:ascii="Arial" w:hAnsi="Arial" w:cs="Arial"/>
          <w:sz w:val="20"/>
          <w:szCs w:val="20"/>
          <w:lang w:eastAsia="sl-SI"/>
        </w:rPr>
        <w:t>l</w:t>
      </w:r>
      <w:r w:rsidRPr="00A335CB">
        <w:rPr>
          <w:rFonts w:ascii="Arial" w:hAnsi="Arial" w:cs="Arial"/>
          <w:sz w:val="20"/>
          <w:szCs w:val="20"/>
          <w:lang w:eastAsia="sl-SI"/>
        </w:rPr>
        <w:t>a</w:t>
      </w:r>
      <w:proofErr w:type="spellEnd"/>
      <w:r w:rsidRPr="00A335CB">
        <w:rPr>
          <w:rFonts w:ascii="Arial" w:hAnsi="Arial" w:cs="Arial"/>
          <w:sz w:val="20"/>
          <w:szCs w:val="20"/>
          <w:lang w:eastAsia="sl-SI"/>
        </w:rPr>
        <w:t xml:space="preserve"> Firefox in </w:t>
      </w:r>
      <w:proofErr w:type="spellStart"/>
      <w:r w:rsidRPr="00A335CB">
        <w:rPr>
          <w:rFonts w:ascii="Arial" w:hAnsi="Arial" w:cs="Arial"/>
          <w:sz w:val="20"/>
          <w:szCs w:val="20"/>
          <w:lang w:eastAsia="sl-SI"/>
        </w:rPr>
        <w:t>Chrome</w:t>
      </w:r>
      <w:proofErr w:type="spellEnd"/>
      <w:r w:rsidRPr="00A335CB">
        <w:rPr>
          <w:rFonts w:ascii="Arial" w:hAnsi="Arial" w:cs="Arial"/>
          <w:sz w:val="20"/>
          <w:szCs w:val="20"/>
          <w:lang w:eastAsia="sl-SI"/>
        </w:rPr>
        <w:t>,</w:t>
      </w:r>
    </w:p>
    <w:p w14:paraId="02B1E177" w14:textId="55FE2901"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 xml:space="preserve">nadaljevanje prenove Azilnega registra in prenos funkcionalnosti iz Lotus Notes dela v Azilni register, </w:t>
      </w:r>
    </w:p>
    <w:p w14:paraId="7D234CBF" w14:textId="50478CBA"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nadaljevanje nadgradnje Evidence volilne pravice za podporo evropskim volitvam,</w:t>
      </w:r>
    </w:p>
    <w:p w14:paraId="4E443645" w14:textId="568BB7AC"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nadaljevanje prilagoditev Registra prostorskih enot in prilagoditev prevzema podatkov zaradi sprememb na strani GURS,</w:t>
      </w:r>
    </w:p>
    <w:p w14:paraId="29E2E1CA" w14:textId="1730E897"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vzpostavitev povezave z evidenco Centra za slovenščino kot drugi</w:t>
      </w:r>
      <w:r w:rsidR="00A26CA4">
        <w:rPr>
          <w:rFonts w:ascii="Arial" w:hAnsi="Arial" w:cs="Arial"/>
          <w:sz w:val="20"/>
          <w:szCs w:val="20"/>
          <w:lang w:eastAsia="sl-SI"/>
        </w:rPr>
        <w:t xml:space="preserve"> ali</w:t>
      </w:r>
      <w:r w:rsidRPr="00A335CB">
        <w:rPr>
          <w:rFonts w:ascii="Arial" w:hAnsi="Arial" w:cs="Arial"/>
          <w:sz w:val="20"/>
          <w:szCs w:val="20"/>
          <w:lang w:eastAsia="sl-SI"/>
        </w:rPr>
        <w:t xml:space="preserve"> tuji jezik,</w:t>
      </w:r>
    </w:p>
    <w:p w14:paraId="7FFCCB5C" w14:textId="3708DEF9"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omogočanje vnosa in izbire več skrbnikov v registrih (MR, RSP, OI, PL),</w:t>
      </w:r>
    </w:p>
    <w:p w14:paraId="2012857B" w14:textId="41060750"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posodobitev Azilnega registra in Registra tujcev z novo uredbo o integracijskih ukrepih,</w:t>
      </w:r>
    </w:p>
    <w:p w14:paraId="0197794F" w14:textId="27346837"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 xml:space="preserve">spremembe Evidence volilne pravice v povezavi z nadgradnjo vlog na </w:t>
      </w:r>
      <w:proofErr w:type="spellStart"/>
      <w:r w:rsidRPr="00A335CB">
        <w:rPr>
          <w:rFonts w:ascii="Arial" w:hAnsi="Arial" w:cs="Arial"/>
          <w:sz w:val="20"/>
          <w:szCs w:val="20"/>
          <w:lang w:eastAsia="sl-SI"/>
        </w:rPr>
        <w:t>eUpravi</w:t>
      </w:r>
      <w:proofErr w:type="spellEnd"/>
      <w:r w:rsidRPr="00A335CB">
        <w:rPr>
          <w:rFonts w:ascii="Arial" w:hAnsi="Arial" w:cs="Arial"/>
          <w:sz w:val="20"/>
          <w:szCs w:val="20"/>
          <w:lang w:eastAsia="sl-SI"/>
        </w:rPr>
        <w:t>,</w:t>
      </w:r>
    </w:p>
    <w:p w14:paraId="2B1572F7" w14:textId="4EBED9C2"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dopolnitev Registra tujcev v zvezi z Interventnim zakonom o poplavah,</w:t>
      </w:r>
    </w:p>
    <w:p w14:paraId="70E82819" w14:textId="1B2171C6"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nadgradnja Registra tujcev z uvedbo dvostopenjskega postopka prenehanja dovoljenja za prebivanje/potrdila o prijavi prebivanja,</w:t>
      </w:r>
    </w:p>
    <w:p w14:paraId="15573F88" w14:textId="790B3E3B"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vzpostavitev povezave Registra tujcev s sistemom kontroliranega vstopa in izstopa (SVI-EES),</w:t>
      </w:r>
    </w:p>
    <w:p w14:paraId="4F2D0A9D" w14:textId="36C630EE" w:rsidR="00653B9D" w:rsidRPr="00A335CB"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uvedba seznama prijavljenih oseb na neobstoječih naslovih v Registru stalnega prebivalstva, odprava kraj</w:t>
      </w:r>
      <w:r w:rsidR="00A92F50">
        <w:rPr>
          <w:rFonts w:ascii="Arial" w:hAnsi="Arial" w:cs="Arial"/>
          <w:sz w:val="20"/>
          <w:szCs w:val="20"/>
          <w:lang w:eastAsia="sl-SI"/>
        </w:rPr>
        <w:t>evne pristojnosti pri prijavi stalnega in začasnega prebivališča</w:t>
      </w:r>
      <w:r w:rsidRPr="00A335CB">
        <w:rPr>
          <w:rFonts w:ascii="Arial" w:hAnsi="Arial" w:cs="Arial"/>
          <w:sz w:val="20"/>
          <w:szCs w:val="20"/>
          <w:lang w:eastAsia="sl-SI"/>
        </w:rPr>
        <w:t xml:space="preserve"> ter možnost izpisa obvestila lastniku, solastniku o prijavi prebivališča na njegovi nepremičnini,</w:t>
      </w:r>
    </w:p>
    <w:p w14:paraId="3F866FFC" w14:textId="1867FAE7" w:rsidR="00653B9D" w:rsidRPr="00A92F50" w:rsidRDefault="00653B9D" w:rsidP="00A92F50">
      <w:pPr>
        <w:pStyle w:val="Odstavekseznama"/>
        <w:numPr>
          <w:ilvl w:val="0"/>
          <w:numId w:val="19"/>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 xml:space="preserve">izvajanje </w:t>
      </w:r>
      <w:proofErr w:type="spellStart"/>
      <w:r w:rsidRPr="00A335CB">
        <w:rPr>
          <w:rFonts w:ascii="Arial" w:hAnsi="Arial" w:cs="Arial"/>
          <w:sz w:val="20"/>
          <w:szCs w:val="20"/>
          <w:lang w:eastAsia="sl-SI"/>
        </w:rPr>
        <w:t>penetracijskih</w:t>
      </w:r>
      <w:proofErr w:type="spellEnd"/>
      <w:r w:rsidRPr="00A335CB">
        <w:rPr>
          <w:rFonts w:ascii="Arial" w:hAnsi="Arial" w:cs="Arial"/>
          <w:sz w:val="20"/>
          <w:szCs w:val="20"/>
          <w:lang w:eastAsia="sl-SI"/>
        </w:rPr>
        <w:t xml:space="preserve"> testov na navzven odprtih aplikat</w:t>
      </w:r>
      <w:r w:rsidR="00A92F50">
        <w:rPr>
          <w:rFonts w:ascii="Arial" w:hAnsi="Arial" w:cs="Arial"/>
          <w:sz w:val="20"/>
          <w:szCs w:val="20"/>
          <w:lang w:eastAsia="sl-SI"/>
        </w:rPr>
        <w:t xml:space="preserve">ivnih rešitvah (EVP, SIUT, TOR, </w:t>
      </w:r>
      <w:proofErr w:type="spellStart"/>
      <w:r w:rsidR="00CF78BC" w:rsidRPr="00A92F50">
        <w:rPr>
          <w:rFonts w:ascii="Arial" w:hAnsi="Arial" w:cs="Arial"/>
          <w:sz w:val="20"/>
          <w:szCs w:val="20"/>
          <w:lang w:eastAsia="sl-SI"/>
        </w:rPr>
        <w:t>eFotograf</w:t>
      </w:r>
      <w:proofErr w:type="spellEnd"/>
      <w:r w:rsidR="00A26CA4" w:rsidRPr="00A92F50">
        <w:rPr>
          <w:rFonts w:ascii="Arial" w:hAnsi="Arial" w:cs="Arial"/>
          <w:sz w:val="20"/>
          <w:szCs w:val="20"/>
          <w:lang w:eastAsia="sl-SI"/>
        </w:rPr>
        <w:t>)</w:t>
      </w:r>
      <w:r w:rsidRPr="00A92F50">
        <w:rPr>
          <w:rFonts w:ascii="Arial" w:hAnsi="Arial" w:cs="Arial"/>
          <w:sz w:val="20"/>
          <w:szCs w:val="20"/>
          <w:lang w:eastAsia="sl-SI"/>
        </w:rPr>
        <w:t>.</w:t>
      </w:r>
    </w:p>
    <w:p w14:paraId="2382F5B5" w14:textId="77777777" w:rsidR="00653B9D" w:rsidRPr="00A335CB" w:rsidRDefault="00653B9D" w:rsidP="005D1A90">
      <w:pPr>
        <w:autoSpaceDE w:val="0"/>
        <w:autoSpaceDN w:val="0"/>
        <w:adjustRightInd w:val="0"/>
        <w:spacing w:after="0" w:line="276" w:lineRule="auto"/>
        <w:jc w:val="both"/>
        <w:rPr>
          <w:rFonts w:ascii="Arial" w:hAnsi="Arial" w:cs="Arial"/>
          <w:sz w:val="20"/>
          <w:szCs w:val="20"/>
        </w:rPr>
      </w:pPr>
    </w:p>
    <w:p w14:paraId="4180BFD7" w14:textId="07AD4166" w:rsidR="00653B9D" w:rsidRPr="00A335CB" w:rsidRDefault="00653B9D" w:rsidP="009C51CB">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 letu 2024 so se na področju informacijskega sistema upravnih notranjih zadev nadaljevali tudi večji projekti, kot npr. povezava Registra tujcev s schengenskim informacijskim sistemom in s sistemom EES (</w:t>
      </w:r>
      <w:proofErr w:type="spellStart"/>
      <w:r w:rsidRPr="00A335CB">
        <w:rPr>
          <w:rFonts w:ascii="Arial" w:hAnsi="Arial" w:cs="Arial"/>
          <w:sz w:val="20"/>
          <w:szCs w:val="20"/>
        </w:rPr>
        <w:t>Entry</w:t>
      </w:r>
      <w:proofErr w:type="spellEnd"/>
      <w:r w:rsidRPr="00A335CB">
        <w:rPr>
          <w:rFonts w:ascii="Arial" w:hAnsi="Arial" w:cs="Arial"/>
          <w:sz w:val="20"/>
          <w:szCs w:val="20"/>
        </w:rPr>
        <w:t xml:space="preserve"> </w:t>
      </w:r>
      <w:proofErr w:type="spellStart"/>
      <w:r w:rsidRPr="00A335CB">
        <w:rPr>
          <w:rFonts w:ascii="Arial" w:hAnsi="Arial" w:cs="Arial"/>
          <w:sz w:val="20"/>
          <w:szCs w:val="20"/>
        </w:rPr>
        <w:t>Exit</w:t>
      </w:r>
      <w:proofErr w:type="spellEnd"/>
      <w:r w:rsidRPr="00A335CB">
        <w:rPr>
          <w:rFonts w:ascii="Arial" w:hAnsi="Arial" w:cs="Arial"/>
          <w:sz w:val="20"/>
          <w:szCs w:val="20"/>
        </w:rPr>
        <w:t xml:space="preserve"> </w:t>
      </w:r>
      <w:proofErr w:type="spellStart"/>
      <w:r w:rsidRPr="00A335CB">
        <w:rPr>
          <w:rFonts w:ascii="Arial" w:hAnsi="Arial" w:cs="Arial"/>
          <w:sz w:val="20"/>
          <w:szCs w:val="20"/>
        </w:rPr>
        <w:t>System</w:t>
      </w:r>
      <w:proofErr w:type="spellEnd"/>
      <w:r w:rsidRPr="00A335CB">
        <w:rPr>
          <w:rFonts w:ascii="Arial" w:hAnsi="Arial" w:cs="Arial"/>
          <w:sz w:val="20"/>
          <w:szCs w:val="20"/>
        </w:rPr>
        <w:t>), prenos vseh aplikacij za podporo postopkov mednarodne zaščite iz okolja Lotus Notes v informacijski si</w:t>
      </w:r>
      <w:r w:rsidR="00A92F50">
        <w:rPr>
          <w:rFonts w:ascii="Arial" w:hAnsi="Arial" w:cs="Arial"/>
          <w:sz w:val="20"/>
          <w:szCs w:val="20"/>
        </w:rPr>
        <w:t xml:space="preserve">stem upravnih notranjih zadev. </w:t>
      </w:r>
    </w:p>
    <w:tbl>
      <w:tblPr>
        <w:tblpPr w:leftFromText="141" w:rightFromText="141" w:vertAnchor="text" w:horzAnchor="margin" w:tblpY="299"/>
        <w:tblW w:w="5000" w:type="pct"/>
        <w:tblCellMar>
          <w:left w:w="70" w:type="dxa"/>
          <w:right w:w="70" w:type="dxa"/>
        </w:tblCellMar>
        <w:tblLook w:val="04A0" w:firstRow="1" w:lastRow="0" w:firstColumn="1" w:lastColumn="0" w:noHBand="0" w:noVBand="1"/>
      </w:tblPr>
      <w:tblGrid>
        <w:gridCol w:w="1054"/>
        <w:gridCol w:w="1631"/>
        <w:gridCol w:w="1054"/>
        <w:gridCol w:w="817"/>
        <w:gridCol w:w="1631"/>
        <w:gridCol w:w="1811"/>
        <w:gridCol w:w="1062"/>
      </w:tblGrid>
      <w:tr w:rsidR="00CF78BC" w:rsidRPr="00A335CB" w14:paraId="7A8553ED" w14:textId="77777777" w:rsidTr="009C51CB">
        <w:trPr>
          <w:trHeight w:val="488"/>
        </w:trPr>
        <w:tc>
          <w:tcPr>
            <w:tcW w:w="2064" w:type="pct"/>
            <w:gridSpan w:val="3"/>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0DEF069"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Nadgradnje</w:t>
            </w:r>
          </w:p>
        </w:tc>
        <w:tc>
          <w:tcPr>
            <w:tcW w:w="2936" w:type="pct"/>
            <w:gridSpan w:val="4"/>
            <w:tcBorders>
              <w:top w:val="single" w:sz="4" w:space="0" w:color="auto"/>
              <w:left w:val="nil"/>
              <w:bottom w:val="single" w:sz="4" w:space="0" w:color="auto"/>
              <w:right w:val="single" w:sz="4" w:space="0" w:color="000000"/>
            </w:tcBorders>
            <w:shd w:val="clear" w:color="000000" w:fill="D9E1F2"/>
            <w:noWrap/>
            <w:vAlign w:val="bottom"/>
            <w:hideMark/>
          </w:tcPr>
          <w:p w14:paraId="33B9D0A0"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Incidenti in napake</w:t>
            </w:r>
          </w:p>
        </w:tc>
      </w:tr>
      <w:tr w:rsidR="00CF78BC" w:rsidRPr="00A335CB" w14:paraId="547DF207"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D9E1F2"/>
            <w:noWrap/>
            <w:vAlign w:val="bottom"/>
            <w:hideMark/>
          </w:tcPr>
          <w:p w14:paraId="67F1A813"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mesec</w:t>
            </w:r>
          </w:p>
        </w:tc>
        <w:tc>
          <w:tcPr>
            <w:tcW w:w="900" w:type="pct"/>
            <w:tcBorders>
              <w:top w:val="nil"/>
              <w:left w:val="nil"/>
              <w:bottom w:val="single" w:sz="4" w:space="0" w:color="auto"/>
              <w:right w:val="single" w:sz="4" w:space="0" w:color="auto"/>
            </w:tcBorders>
            <w:shd w:val="clear" w:color="000000" w:fill="D9E1F2"/>
            <w:noWrap/>
            <w:vAlign w:val="bottom"/>
            <w:hideMark/>
          </w:tcPr>
          <w:p w14:paraId="3CC9E035"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število zahtevkov</w:t>
            </w:r>
          </w:p>
        </w:tc>
        <w:tc>
          <w:tcPr>
            <w:tcW w:w="582" w:type="pct"/>
            <w:tcBorders>
              <w:top w:val="nil"/>
              <w:left w:val="nil"/>
              <w:bottom w:val="single" w:sz="4" w:space="0" w:color="auto"/>
              <w:right w:val="single" w:sz="4" w:space="0" w:color="auto"/>
            </w:tcBorders>
            <w:shd w:val="clear" w:color="000000" w:fill="D9E1F2"/>
            <w:noWrap/>
            <w:vAlign w:val="bottom"/>
            <w:hideMark/>
          </w:tcPr>
          <w:p w14:paraId="27AB1C09"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obseg v h</w:t>
            </w:r>
          </w:p>
        </w:tc>
        <w:tc>
          <w:tcPr>
            <w:tcW w:w="451" w:type="pct"/>
            <w:tcBorders>
              <w:top w:val="nil"/>
              <w:left w:val="nil"/>
              <w:bottom w:val="single" w:sz="4" w:space="0" w:color="auto"/>
              <w:right w:val="single" w:sz="4" w:space="0" w:color="auto"/>
            </w:tcBorders>
            <w:shd w:val="clear" w:color="000000" w:fill="D9E1F2"/>
            <w:noWrap/>
            <w:vAlign w:val="bottom"/>
            <w:hideMark/>
          </w:tcPr>
          <w:p w14:paraId="6A5F4362"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mesec</w:t>
            </w:r>
          </w:p>
        </w:tc>
        <w:tc>
          <w:tcPr>
            <w:tcW w:w="900" w:type="pct"/>
            <w:tcBorders>
              <w:top w:val="nil"/>
              <w:left w:val="nil"/>
              <w:bottom w:val="single" w:sz="4" w:space="0" w:color="auto"/>
              <w:right w:val="single" w:sz="4" w:space="0" w:color="auto"/>
            </w:tcBorders>
            <w:shd w:val="clear" w:color="000000" w:fill="D9E1F2"/>
            <w:noWrap/>
            <w:vAlign w:val="bottom"/>
            <w:hideMark/>
          </w:tcPr>
          <w:p w14:paraId="63A8F6B1"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število zahtevkov</w:t>
            </w:r>
          </w:p>
        </w:tc>
        <w:tc>
          <w:tcPr>
            <w:tcW w:w="999" w:type="pct"/>
            <w:tcBorders>
              <w:top w:val="nil"/>
              <w:left w:val="nil"/>
              <w:bottom w:val="single" w:sz="4" w:space="0" w:color="auto"/>
              <w:right w:val="single" w:sz="4" w:space="0" w:color="auto"/>
            </w:tcBorders>
            <w:shd w:val="clear" w:color="000000" w:fill="D9E1F2"/>
            <w:noWrap/>
            <w:vAlign w:val="bottom"/>
            <w:hideMark/>
          </w:tcPr>
          <w:p w14:paraId="640CDA50"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od tega reklamacije</w:t>
            </w:r>
          </w:p>
        </w:tc>
        <w:tc>
          <w:tcPr>
            <w:tcW w:w="585" w:type="pct"/>
            <w:tcBorders>
              <w:top w:val="nil"/>
              <w:left w:val="nil"/>
              <w:bottom w:val="single" w:sz="4" w:space="0" w:color="auto"/>
              <w:right w:val="single" w:sz="4" w:space="0" w:color="auto"/>
            </w:tcBorders>
            <w:shd w:val="clear" w:color="000000" w:fill="D9E1F2"/>
            <w:noWrap/>
            <w:vAlign w:val="bottom"/>
            <w:hideMark/>
          </w:tcPr>
          <w:p w14:paraId="5C200C1F"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obseg v h</w:t>
            </w:r>
          </w:p>
        </w:tc>
      </w:tr>
      <w:tr w:rsidR="00CF78BC" w:rsidRPr="00A335CB" w14:paraId="7B8A7C47"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7EBADE8A" w14:textId="002515A9"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jan</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61F858D4"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w:t>
            </w:r>
          </w:p>
        </w:tc>
        <w:tc>
          <w:tcPr>
            <w:tcW w:w="582" w:type="pct"/>
            <w:tcBorders>
              <w:top w:val="nil"/>
              <w:left w:val="nil"/>
              <w:bottom w:val="single" w:sz="4" w:space="0" w:color="auto"/>
              <w:right w:val="single" w:sz="4" w:space="0" w:color="auto"/>
            </w:tcBorders>
            <w:shd w:val="clear" w:color="auto" w:fill="auto"/>
            <w:noWrap/>
            <w:vAlign w:val="bottom"/>
            <w:hideMark/>
          </w:tcPr>
          <w:p w14:paraId="0F74B13C"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355</w:t>
            </w:r>
          </w:p>
        </w:tc>
        <w:tc>
          <w:tcPr>
            <w:tcW w:w="451" w:type="pct"/>
            <w:tcBorders>
              <w:top w:val="nil"/>
              <w:left w:val="nil"/>
              <w:bottom w:val="single" w:sz="4" w:space="0" w:color="auto"/>
              <w:right w:val="single" w:sz="4" w:space="0" w:color="auto"/>
            </w:tcBorders>
            <w:shd w:val="clear" w:color="000000" w:fill="EDEDED"/>
            <w:noWrap/>
            <w:vAlign w:val="bottom"/>
            <w:hideMark/>
          </w:tcPr>
          <w:p w14:paraId="0ABFF3B6" w14:textId="4967D1BC"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jan</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00F54757"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24</w:t>
            </w:r>
          </w:p>
        </w:tc>
        <w:tc>
          <w:tcPr>
            <w:tcW w:w="999" w:type="pct"/>
            <w:tcBorders>
              <w:top w:val="nil"/>
              <w:left w:val="nil"/>
              <w:bottom w:val="single" w:sz="4" w:space="0" w:color="auto"/>
              <w:right w:val="single" w:sz="4" w:space="0" w:color="auto"/>
            </w:tcBorders>
            <w:shd w:val="clear" w:color="auto" w:fill="auto"/>
            <w:noWrap/>
            <w:vAlign w:val="bottom"/>
            <w:hideMark/>
          </w:tcPr>
          <w:p w14:paraId="5CBE8D40"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9</w:t>
            </w:r>
          </w:p>
        </w:tc>
        <w:tc>
          <w:tcPr>
            <w:tcW w:w="585" w:type="pct"/>
            <w:tcBorders>
              <w:top w:val="nil"/>
              <w:left w:val="nil"/>
              <w:bottom w:val="single" w:sz="4" w:space="0" w:color="auto"/>
              <w:right w:val="single" w:sz="4" w:space="0" w:color="auto"/>
            </w:tcBorders>
            <w:shd w:val="clear" w:color="auto" w:fill="auto"/>
            <w:noWrap/>
            <w:vAlign w:val="bottom"/>
            <w:hideMark/>
          </w:tcPr>
          <w:p w14:paraId="153DB662"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77</w:t>
            </w:r>
          </w:p>
        </w:tc>
      </w:tr>
      <w:tr w:rsidR="00CF78BC" w:rsidRPr="00A335CB" w14:paraId="19859959"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0ACEB638" w14:textId="76708BD8"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feb</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373130BA"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4</w:t>
            </w:r>
          </w:p>
        </w:tc>
        <w:tc>
          <w:tcPr>
            <w:tcW w:w="582" w:type="pct"/>
            <w:tcBorders>
              <w:top w:val="nil"/>
              <w:left w:val="nil"/>
              <w:bottom w:val="single" w:sz="4" w:space="0" w:color="auto"/>
              <w:right w:val="single" w:sz="4" w:space="0" w:color="auto"/>
            </w:tcBorders>
            <w:shd w:val="clear" w:color="auto" w:fill="auto"/>
            <w:noWrap/>
            <w:vAlign w:val="bottom"/>
            <w:hideMark/>
          </w:tcPr>
          <w:p w14:paraId="752713C1" w14:textId="48F8BF74"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w:t>
            </w:r>
            <w:r w:rsidR="008D5E89">
              <w:rPr>
                <w:rFonts w:ascii="Arial" w:eastAsia="Times New Roman" w:hAnsi="Arial" w:cs="Arial"/>
                <w:sz w:val="18"/>
                <w:szCs w:val="18"/>
                <w:lang w:eastAsia="sl-SI"/>
              </w:rPr>
              <w:t>.</w:t>
            </w:r>
            <w:r w:rsidRPr="00A335CB">
              <w:rPr>
                <w:rFonts w:ascii="Arial" w:eastAsia="Times New Roman" w:hAnsi="Arial" w:cs="Arial"/>
                <w:sz w:val="18"/>
                <w:szCs w:val="18"/>
                <w:lang w:eastAsia="sl-SI"/>
              </w:rPr>
              <w:t>873</w:t>
            </w:r>
          </w:p>
        </w:tc>
        <w:tc>
          <w:tcPr>
            <w:tcW w:w="451" w:type="pct"/>
            <w:tcBorders>
              <w:top w:val="nil"/>
              <w:left w:val="nil"/>
              <w:bottom w:val="single" w:sz="4" w:space="0" w:color="auto"/>
              <w:right w:val="single" w:sz="4" w:space="0" w:color="auto"/>
            </w:tcBorders>
            <w:shd w:val="clear" w:color="000000" w:fill="EDEDED"/>
            <w:noWrap/>
            <w:vAlign w:val="bottom"/>
            <w:hideMark/>
          </w:tcPr>
          <w:p w14:paraId="772DB830" w14:textId="7E379772"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feb</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30000AFD"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29</w:t>
            </w:r>
          </w:p>
        </w:tc>
        <w:tc>
          <w:tcPr>
            <w:tcW w:w="999" w:type="pct"/>
            <w:tcBorders>
              <w:top w:val="nil"/>
              <w:left w:val="nil"/>
              <w:bottom w:val="single" w:sz="4" w:space="0" w:color="auto"/>
              <w:right w:val="single" w:sz="4" w:space="0" w:color="auto"/>
            </w:tcBorders>
            <w:shd w:val="clear" w:color="auto" w:fill="auto"/>
            <w:noWrap/>
            <w:vAlign w:val="bottom"/>
            <w:hideMark/>
          </w:tcPr>
          <w:p w14:paraId="0CB26800"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w:t>
            </w:r>
          </w:p>
        </w:tc>
        <w:tc>
          <w:tcPr>
            <w:tcW w:w="585" w:type="pct"/>
            <w:tcBorders>
              <w:top w:val="nil"/>
              <w:left w:val="nil"/>
              <w:bottom w:val="single" w:sz="4" w:space="0" w:color="auto"/>
              <w:right w:val="single" w:sz="4" w:space="0" w:color="auto"/>
            </w:tcBorders>
            <w:shd w:val="clear" w:color="auto" w:fill="auto"/>
            <w:noWrap/>
            <w:vAlign w:val="bottom"/>
            <w:hideMark/>
          </w:tcPr>
          <w:p w14:paraId="334C848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87</w:t>
            </w:r>
          </w:p>
        </w:tc>
      </w:tr>
      <w:tr w:rsidR="00CF78BC" w:rsidRPr="00A335CB" w14:paraId="2A68B4C6"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35589E6F" w14:textId="1228045C"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mar</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23C2DD85"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5</w:t>
            </w:r>
          </w:p>
        </w:tc>
        <w:tc>
          <w:tcPr>
            <w:tcW w:w="582" w:type="pct"/>
            <w:tcBorders>
              <w:top w:val="nil"/>
              <w:left w:val="nil"/>
              <w:bottom w:val="single" w:sz="4" w:space="0" w:color="auto"/>
              <w:right w:val="single" w:sz="4" w:space="0" w:color="auto"/>
            </w:tcBorders>
            <w:shd w:val="clear" w:color="auto" w:fill="auto"/>
            <w:noWrap/>
            <w:vAlign w:val="bottom"/>
            <w:hideMark/>
          </w:tcPr>
          <w:p w14:paraId="05B8FEF4"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595</w:t>
            </w:r>
          </w:p>
        </w:tc>
        <w:tc>
          <w:tcPr>
            <w:tcW w:w="451" w:type="pct"/>
            <w:tcBorders>
              <w:top w:val="nil"/>
              <w:left w:val="nil"/>
              <w:bottom w:val="single" w:sz="4" w:space="0" w:color="auto"/>
              <w:right w:val="single" w:sz="4" w:space="0" w:color="auto"/>
            </w:tcBorders>
            <w:shd w:val="clear" w:color="000000" w:fill="EDEDED"/>
            <w:noWrap/>
            <w:vAlign w:val="bottom"/>
            <w:hideMark/>
          </w:tcPr>
          <w:p w14:paraId="25197CA2" w14:textId="3124C937"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mar</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5DCF09D9"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109</w:t>
            </w:r>
          </w:p>
        </w:tc>
        <w:tc>
          <w:tcPr>
            <w:tcW w:w="999" w:type="pct"/>
            <w:tcBorders>
              <w:top w:val="nil"/>
              <w:left w:val="nil"/>
              <w:bottom w:val="single" w:sz="4" w:space="0" w:color="auto"/>
              <w:right w:val="single" w:sz="4" w:space="0" w:color="auto"/>
            </w:tcBorders>
            <w:shd w:val="clear" w:color="auto" w:fill="auto"/>
            <w:noWrap/>
            <w:vAlign w:val="bottom"/>
            <w:hideMark/>
          </w:tcPr>
          <w:p w14:paraId="6AB9B01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17</w:t>
            </w:r>
          </w:p>
        </w:tc>
        <w:tc>
          <w:tcPr>
            <w:tcW w:w="585" w:type="pct"/>
            <w:tcBorders>
              <w:top w:val="nil"/>
              <w:left w:val="nil"/>
              <w:bottom w:val="single" w:sz="4" w:space="0" w:color="auto"/>
              <w:right w:val="single" w:sz="4" w:space="0" w:color="auto"/>
            </w:tcBorders>
            <w:shd w:val="clear" w:color="auto" w:fill="auto"/>
            <w:noWrap/>
            <w:vAlign w:val="bottom"/>
            <w:hideMark/>
          </w:tcPr>
          <w:p w14:paraId="70A5F9AF"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311</w:t>
            </w:r>
          </w:p>
        </w:tc>
      </w:tr>
      <w:tr w:rsidR="00CF78BC" w:rsidRPr="00A335CB" w14:paraId="31A4D425"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0DEBCFB2" w14:textId="5C9559D6"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apr</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2A8BA93F"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8</w:t>
            </w:r>
          </w:p>
        </w:tc>
        <w:tc>
          <w:tcPr>
            <w:tcW w:w="582" w:type="pct"/>
            <w:tcBorders>
              <w:top w:val="nil"/>
              <w:left w:val="nil"/>
              <w:bottom w:val="single" w:sz="4" w:space="0" w:color="auto"/>
              <w:right w:val="single" w:sz="4" w:space="0" w:color="auto"/>
            </w:tcBorders>
            <w:shd w:val="clear" w:color="auto" w:fill="auto"/>
            <w:noWrap/>
            <w:vAlign w:val="bottom"/>
            <w:hideMark/>
          </w:tcPr>
          <w:p w14:paraId="4AE89799"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108</w:t>
            </w:r>
          </w:p>
        </w:tc>
        <w:tc>
          <w:tcPr>
            <w:tcW w:w="451" w:type="pct"/>
            <w:tcBorders>
              <w:top w:val="nil"/>
              <w:left w:val="nil"/>
              <w:bottom w:val="single" w:sz="4" w:space="0" w:color="auto"/>
              <w:right w:val="single" w:sz="4" w:space="0" w:color="auto"/>
            </w:tcBorders>
            <w:shd w:val="clear" w:color="000000" w:fill="EDEDED"/>
            <w:noWrap/>
            <w:vAlign w:val="bottom"/>
            <w:hideMark/>
          </w:tcPr>
          <w:p w14:paraId="580CADE2" w14:textId="7F08AD79"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apr</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7977A71E"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46</w:t>
            </w:r>
          </w:p>
        </w:tc>
        <w:tc>
          <w:tcPr>
            <w:tcW w:w="999" w:type="pct"/>
            <w:tcBorders>
              <w:top w:val="nil"/>
              <w:left w:val="nil"/>
              <w:bottom w:val="single" w:sz="4" w:space="0" w:color="auto"/>
              <w:right w:val="single" w:sz="4" w:space="0" w:color="auto"/>
            </w:tcBorders>
            <w:shd w:val="clear" w:color="auto" w:fill="auto"/>
            <w:noWrap/>
            <w:vAlign w:val="bottom"/>
            <w:hideMark/>
          </w:tcPr>
          <w:p w14:paraId="7E5318F0"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3</w:t>
            </w:r>
          </w:p>
        </w:tc>
        <w:tc>
          <w:tcPr>
            <w:tcW w:w="585" w:type="pct"/>
            <w:tcBorders>
              <w:top w:val="nil"/>
              <w:left w:val="nil"/>
              <w:bottom w:val="single" w:sz="4" w:space="0" w:color="auto"/>
              <w:right w:val="single" w:sz="4" w:space="0" w:color="auto"/>
            </w:tcBorders>
            <w:shd w:val="clear" w:color="auto" w:fill="auto"/>
            <w:noWrap/>
            <w:vAlign w:val="bottom"/>
            <w:hideMark/>
          </w:tcPr>
          <w:p w14:paraId="54F0B6E2"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165</w:t>
            </w:r>
          </w:p>
        </w:tc>
      </w:tr>
      <w:tr w:rsidR="00CF78BC" w:rsidRPr="00A335CB" w14:paraId="024C1DD9"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1B6B5354" w14:textId="77777777"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maj</w:t>
            </w:r>
          </w:p>
        </w:tc>
        <w:tc>
          <w:tcPr>
            <w:tcW w:w="900" w:type="pct"/>
            <w:tcBorders>
              <w:top w:val="nil"/>
              <w:left w:val="nil"/>
              <w:bottom w:val="single" w:sz="4" w:space="0" w:color="auto"/>
              <w:right w:val="single" w:sz="4" w:space="0" w:color="auto"/>
            </w:tcBorders>
            <w:shd w:val="clear" w:color="auto" w:fill="auto"/>
            <w:noWrap/>
            <w:vAlign w:val="bottom"/>
            <w:hideMark/>
          </w:tcPr>
          <w:p w14:paraId="7F6886B8"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8</w:t>
            </w:r>
          </w:p>
        </w:tc>
        <w:tc>
          <w:tcPr>
            <w:tcW w:w="582" w:type="pct"/>
            <w:tcBorders>
              <w:top w:val="nil"/>
              <w:left w:val="nil"/>
              <w:bottom w:val="single" w:sz="4" w:space="0" w:color="auto"/>
              <w:right w:val="single" w:sz="4" w:space="0" w:color="auto"/>
            </w:tcBorders>
            <w:shd w:val="clear" w:color="auto" w:fill="auto"/>
            <w:noWrap/>
            <w:vAlign w:val="bottom"/>
            <w:hideMark/>
          </w:tcPr>
          <w:p w14:paraId="68052C70"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890</w:t>
            </w:r>
          </w:p>
        </w:tc>
        <w:tc>
          <w:tcPr>
            <w:tcW w:w="451" w:type="pct"/>
            <w:tcBorders>
              <w:top w:val="nil"/>
              <w:left w:val="nil"/>
              <w:bottom w:val="single" w:sz="4" w:space="0" w:color="auto"/>
              <w:right w:val="single" w:sz="4" w:space="0" w:color="auto"/>
            </w:tcBorders>
            <w:shd w:val="clear" w:color="000000" w:fill="EDEDED"/>
            <w:noWrap/>
            <w:vAlign w:val="bottom"/>
            <w:hideMark/>
          </w:tcPr>
          <w:p w14:paraId="2986BE99" w14:textId="77777777"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maj</w:t>
            </w:r>
          </w:p>
        </w:tc>
        <w:tc>
          <w:tcPr>
            <w:tcW w:w="900" w:type="pct"/>
            <w:tcBorders>
              <w:top w:val="nil"/>
              <w:left w:val="nil"/>
              <w:bottom w:val="single" w:sz="4" w:space="0" w:color="auto"/>
              <w:right w:val="single" w:sz="4" w:space="0" w:color="auto"/>
            </w:tcBorders>
            <w:shd w:val="clear" w:color="auto" w:fill="auto"/>
            <w:noWrap/>
            <w:vAlign w:val="bottom"/>
            <w:hideMark/>
          </w:tcPr>
          <w:p w14:paraId="314ABB5D"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59</w:t>
            </w:r>
          </w:p>
        </w:tc>
        <w:tc>
          <w:tcPr>
            <w:tcW w:w="999" w:type="pct"/>
            <w:tcBorders>
              <w:top w:val="nil"/>
              <w:left w:val="nil"/>
              <w:bottom w:val="single" w:sz="4" w:space="0" w:color="auto"/>
              <w:right w:val="single" w:sz="4" w:space="0" w:color="auto"/>
            </w:tcBorders>
            <w:shd w:val="clear" w:color="auto" w:fill="auto"/>
            <w:noWrap/>
            <w:vAlign w:val="bottom"/>
            <w:hideMark/>
          </w:tcPr>
          <w:p w14:paraId="1B02B914"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w:t>
            </w:r>
          </w:p>
        </w:tc>
        <w:tc>
          <w:tcPr>
            <w:tcW w:w="585" w:type="pct"/>
            <w:tcBorders>
              <w:top w:val="nil"/>
              <w:left w:val="nil"/>
              <w:bottom w:val="single" w:sz="4" w:space="0" w:color="auto"/>
              <w:right w:val="single" w:sz="4" w:space="0" w:color="auto"/>
            </w:tcBorders>
            <w:shd w:val="clear" w:color="auto" w:fill="auto"/>
            <w:noWrap/>
            <w:vAlign w:val="bottom"/>
            <w:hideMark/>
          </w:tcPr>
          <w:p w14:paraId="5282E305"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187</w:t>
            </w:r>
          </w:p>
        </w:tc>
      </w:tr>
      <w:tr w:rsidR="00CF78BC" w:rsidRPr="00A335CB" w14:paraId="42D736C7"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3D21B7F1" w14:textId="64470F27" w:rsidR="00CF78BC" w:rsidRPr="00A335CB" w:rsidRDefault="00CF78BC" w:rsidP="00CF78BC">
            <w:pPr>
              <w:spacing w:after="0" w:line="276" w:lineRule="auto"/>
              <w:rPr>
                <w:rFonts w:ascii="Arial" w:eastAsia="Times New Roman" w:hAnsi="Arial" w:cs="Arial"/>
                <w:sz w:val="18"/>
                <w:szCs w:val="18"/>
                <w:lang w:eastAsia="sl-SI"/>
              </w:rPr>
            </w:pPr>
            <w:proofErr w:type="spellStart"/>
            <w:r w:rsidRPr="00A335CB">
              <w:rPr>
                <w:rFonts w:ascii="Arial" w:eastAsia="Times New Roman" w:hAnsi="Arial" w:cs="Arial"/>
                <w:sz w:val="18"/>
                <w:szCs w:val="18"/>
                <w:lang w:eastAsia="sl-SI"/>
              </w:rPr>
              <w:t>jun</w:t>
            </w:r>
            <w:proofErr w:type="spellEnd"/>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519A758A"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6</w:t>
            </w:r>
          </w:p>
        </w:tc>
        <w:tc>
          <w:tcPr>
            <w:tcW w:w="582" w:type="pct"/>
            <w:tcBorders>
              <w:top w:val="nil"/>
              <w:left w:val="nil"/>
              <w:bottom w:val="single" w:sz="4" w:space="0" w:color="auto"/>
              <w:right w:val="single" w:sz="4" w:space="0" w:color="auto"/>
            </w:tcBorders>
            <w:shd w:val="clear" w:color="auto" w:fill="auto"/>
            <w:noWrap/>
            <w:vAlign w:val="bottom"/>
            <w:hideMark/>
          </w:tcPr>
          <w:p w14:paraId="2D9C0993"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174</w:t>
            </w:r>
          </w:p>
        </w:tc>
        <w:tc>
          <w:tcPr>
            <w:tcW w:w="451" w:type="pct"/>
            <w:tcBorders>
              <w:top w:val="nil"/>
              <w:left w:val="nil"/>
              <w:bottom w:val="single" w:sz="4" w:space="0" w:color="auto"/>
              <w:right w:val="single" w:sz="4" w:space="0" w:color="auto"/>
            </w:tcBorders>
            <w:shd w:val="clear" w:color="000000" w:fill="EDEDED"/>
            <w:noWrap/>
            <w:vAlign w:val="bottom"/>
            <w:hideMark/>
          </w:tcPr>
          <w:p w14:paraId="56280918" w14:textId="463081CB" w:rsidR="00CF78BC" w:rsidRPr="00A335CB" w:rsidRDefault="00CF78BC" w:rsidP="00CF78BC">
            <w:pPr>
              <w:spacing w:after="0" w:line="276" w:lineRule="auto"/>
              <w:rPr>
                <w:rFonts w:ascii="Arial" w:eastAsia="Times New Roman" w:hAnsi="Arial" w:cs="Arial"/>
                <w:sz w:val="18"/>
                <w:szCs w:val="18"/>
                <w:lang w:eastAsia="sl-SI"/>
              </w:rPr>
            </w:pPr>
            <w:proofErr w:type="spellStart"/>
            <w:r w:rsidRPr="00A335CB">
              <w:rPr>
                <w:rFonts w:ascii="Arial" w:eastAsia="Times New Roman" w:hAnsi="Arial" w:cs="Arial"/>
                <w:sz w:val="18"/>
                <w:szCs w:val="18"/>
                <w:lang w:eastAsia="sl-SI"/>
              </w:rPr>
              <w:t>jun</w:t>
            </w:r>
            <w:proofErr w:type="spellEnd"/>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58F1BC80"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31</w:t>
            </w:r>
          </w:p>
        </w:tc>
        <w:tc>
          <w:tcPr>
            <w:tcW w:w="999" w:type="pct"/>
            <w:tcBorders>
              <w:top w:val="nil"/>
              <w:left w:val="nil"/>
              <w:bottom w:val="single" w:sz="4" w:space="0" w:color="auto"/>
              <w:right w:val="single" w:sz="4" w:space="0" w:color="auto"/>
            </w:tcBorders>
            <w:shd w:val="clear" w:color="auto" w:fill="auto"/>
            <w:noWrap/>
            <w:vAlign w:val="bottom"/>
            <w:hideMark/>
          </w:tcPr>
          <w:p w14:paraId="4CD97216"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w:t>
            </w:r>
          </w:p>
        </w:tc>
        <w:tc>
          <w:tcPr>
            <w:tcW w:w="585" w:type="pct"/>
            <w:tcBorders>
              <w:top w:val="nil"/>
              <w:left w:val="nil"/>
              <w:bottom w:val="single" w:sz="4" w:space="0" w:color="auto"/>
              <w:right w:val="single" w:sz="4" w:space="0" w:color="auto"/>
            </w:tcBorders>
            <w:shd w:val="clear" w:color="auto" w:fill="auto"/>
            <w:noWrap/>
            <w:vAlign w:val="bottom"/>
            <w:hideMark/>
          </w:tcPr>
          <w:p w14:paraId="4CFA8BEF"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146</w:t>
            </w:r>
          </w:p>
        </w:tc>
      </w:tr>
      <w:tr w:rsidR="00CF78BC" w:rsidRPr="00A335CB" w14:paraId="42BF5654"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555D39CC" w14:textId="504FE35A"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jul</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747F2837"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6</w:t>
            </w:r>
          </w:p>
        </w:tc>
        <w:tc>
          <w:tcPr>
            <w:tcW w:w="582" w:type="pct"/>
            <w:tcBorders>
              <w:top w:val="nil"/>
              <w:left w:val="nil"/>
              <w:bottom w:val="single" w:sz="4" w:space="0" w:color="auto"/>
              <w:right w:val="single" w:sz="4" w:space="0" w:color="auto"/>
            </w:tcBorders>
            <w:shd w:val="clear" w:color="auto" w:fill="auto"/>
            <w:noWrap/>
            <w:vAlign w:val="bottom"/>
            <w:hideMark/>
          </w:tcPr>
          <w:p w14:paraId="4D36AF67"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406</w:t>
            </w:r>
          </w:p>
        </w:tc>
        <w:tc>
          <w:tcPr>
            <w:tcW w:w="451" w:type="pct"/>
            <w:tcBorders>
              <w:top w:val="nil"/>
              <w:left w:val="nil"/>
              <w:bottom w:val="single" w:sz="4" w:space="0" w:color="auto"/>
              <w:right w:val="single" w:sz="4" w:space="0" w:color="auto"/>
            </w:tcBorders>
            <w:shd w:val="clear" w:color="000000" w:fill="EDEDED"/>
            <w:noWrap/>
            <w:vAlign w:val="bottom"/>
            <w:hideMark/>
          </w:tcPr>
          <w:p w14:paraId="45F3F223" w14:textId="20187E77"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jul</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3A9CFBE3"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29</w:t>
            </w:r>
          </w:p>
        </w:tc>
        <w:tc>
          <w:tcPr>
            <w:tcW w:w="999" w:type="pct"/>
            <w:tcBorders>
              <w:top w:val="nil"/>
              <w:left w:val="nil"/>
              <w:bottom w:val="single" w:sz="4" w:space="0" w:color="auto"/>
              <w:right w:val="single" w:sz="4" w:space="0" w:color="auto"/>
            </w:tcBorders>
            <w:shd w:val="clear" w:color="auto" w:fill="auto"/>
            <w:noWrap/>
            <w:vAlign w:val="bottom"/>
            <w:hideMark/>
          </w:tcPr>
          <w:p w14:paraId="3377FEC5"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585" w:type="pct"/>
            <w:tcBorders>
              <w:top w:val="nil"/>
              <w:left w:val="nil"/>
              <w:bottom w:val="single" w:sz="4" w:space="0" w:color="auto"/>
              <w:right w:val="single" w:sz="4" w:space="0" w:color="auto"/>
            </w:tcBorders>
            <w:shd w:val="clear" w:color="auto" w:fill="auto"/>
            <w:noWrap/>
            <w:vAlign w:val="bottom"/>
            <w:hideMark/>
          </w:tcPr>
          <w:p w14:paraId="1D759419"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143</w:t>
            </w:r>
          </w:p>
        </w:tc>
      </w:tr>
      <w:tr w:rsidR="00CF78BC" w:rsidRPr="00A335CB" w14:paraId="60E856A3"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415FA6CA" w14:textId="6CE31759"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avg</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0D8E57CC"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582" w:type="pct"/>
            <w:tcBorders>
              <w:top w:val="nil"/>
              <w:left w:val="nil"/>
              <w:bottom w:val="single" w:sz="4" w:space="0" w:color="auto"/>
              <w:right w:val="single" w:sz="4" w:space="0" w:color="auto"/>
            </w:tcBorders>
            <w:shd w:val="clear" w:color="auto" w:fill="auto"/>
            <w:noWrap/>
            <w:vAlign w:val="bottom"/>
            <w:hideMark/>
          </w:tcPr>
          <w:p w14:paraId="28CADA5E"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451" w:type="pct"/>
            <w:tcBorders>
              <w:top w:val="nil"/>
              <w:left w:val="nil"/>
              <w:bottom w:val="single" w:sz="4" w:space="0" w:color="auto"/>
              <w:right w:val="single" w:sz="4" w:space="0" w:color="auto"/>
            </w:tcBorders>
            <w:shd w:val="clear" w:color="000000" w:fill="EDEDED"/>
            <w:noWrap/>
            <w:vAlign w:val="bottom"/>
            <w:hideMark/>
          </w:tcPr>
          <w:p w14:paraId="092816E7" w14:textId="5372F8AF"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avg</w:t>
            </w:r>
            <w:r w:rsidR="007E6DEE">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62034BB8"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47</w:t>
            </w:r>
          </w:p>
        </w:tc>
        <w:tc>
          <w:tcPr>
            <w:tcW w:w="999" w:type="pct"/>
            <w:tcBorders>
              <w:top w:val="nil"/>
              <w:left w:val="nil"/>
              <w:bottom w:val="single" w:sz="4" w:space="0" w:color="auto"/>
              <w:right w:val="single" w:sz="4" w:space="0" w:color="auto"/>
            </w:tcBorders>
            <w:shd w:val="clear" w:color="auto" w:fill="auto"/>
            <w:noWrap/>
            <w:vAlign w:val="bottom"/>
            <w:hideMark/>
          </w:tcPr>
          <w:p w14:paraId="337CCDB4"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11</w:t>
            </w:r>
          </w:p>
        </w:tc>
        <w:tc>
          <w:tcPr>
            <w:tcW w:w="585" w:type="pct"/>
            <w:tcBorders>
              <w:top w:val="nil"/>
              <w:left w:val="nil"/>
              <w:bottom w:val="single" w:sz="4" w:space="0" w:color="auto"/>
              <w:right w:val="single" w:sz="4" w:space="0" w:color="auto"/>
            </w:tcBorders>
            <w:shd w:val="clear" w:color="auto" w:fill="auto"/>
            <w:noWrap/>
            <w:vAlign w:val="bottom"/>
            <w:hideMark/>
          </w:tcPr>
          <w:p w14:paraId="55EC2F88"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178</w:t>
            </w:r>
          </w:p>
        </w:tc>
      </w:tr>
      <w:tr w:rsidR="00CF78BC" w:rsidRPr="00A335CB" w14:paraId="3C417F2F"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4C508A13" w14:textId="6848C396"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sept</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48CDD318"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w:t>
            </w:r>
          </w:p>
        </w:tc>
        <w:tc>
          <w:tcPr>
            <w:tcW w:w="582" w:type="pct"/>
            <w:tcBorders>
              <w:top w:val="nil"/>
              <w:left w:val="nil"/>
              <w:bottom w:val="single" w:sz="4" w:space="0" w:color="auto"/>
              <w:right w:val="single" w:sz="4" w:space="0" w:color="auto"/>
            </w:tcBorders>
            <w:shd w:val="clear" w:color="auto" w:fill="auto"/>
            <w:noWrap/>
            <w:vAlign w:val="bottom"/>
            <w:hideMark/>
          </w:tcPr>
          <w:p w14:paraId="1B28118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992</w:t>
            </w:r>
          </w:p>
        </w:tc>
        <w:tc>
          <w:tcPr>
            <w:tcW w:w="451" w:type="pct"/>
            <w:tcBorders>
              <w:top w:val="nil"/>
              <w:left w:val="nil"/>
              <w:bottom w:val="single" w:sz="4" w:space="0" w:color="auto"/>
              <w:right w:val="single" w:sz="4" w:space="0" w:color="auto"/>
            </w:tcBorders>
            <w:shd w:val="clear" w:color="000000" w:fill="EDEDED"/>
            <w:noWrap/>
            <w:vAlign w:val="bottom"/>
            <w:hideMark/>
          </w:tcPr>
          <w:p w14:paraId="6B35C275" w14:textId="15142C95"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sept</w:t>
            </w:r>
            <w:r w:rsidR="007E6DEE">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0871EED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34</w:t>
            </w:r>
          </w:p>
        </w:tc>
        <w:tc>
          <w:tcPr>
            <w:tcW w:w="999" w:type="pct"/>
            <w:tcBorders>
              <w:top w:val="nil"/>
              <w:left w:val="nil"/>
              <w:bottom w:val="single" w:sz="4" w:space="0" w:color="auto"/>
              <w:right w:val="single" w:sz="4" w:space="0" w:color="auto"/>
            </w:tcBorders>
            <w:shd w:val="clear" w:color="auto" w:fill="auto"/>
            <w:noWrap/>
            <w:vAlign w:val="bottom"/>
            <w:hideMark/>
          </w:tcPr>
          <w:p w14:paraId="15E4EDDA"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2</w:t>
            </w:r>
          </w:p>
        </w:tc>
        <w:tc>
          <w:tcPr>
            <w:tcW w:w="585" w:type="pct"/>
            <w:tcBorders>
              <w:top w:val="nil"/>
              <w:left w:val="nil"/>
              <w:bottom w:val="single" w:sz="4" w:space="0" w:color="auto"/>
              <w:right w:val="single" w:sz="4" w:space="0" w:color="auto"/>
            </w:tcBorders>
            <w:shd w:val="clear" w:color="auto" w:fill="auto"/>
            <w:noWrap/>
            <w:vAlign w:val="bottom"/>
            <w:hideMark/>
          </w:tcPr>
          <w:p w14:paraId="0A8570B5"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159</w:t>
            </w:r>
          </w:p>
        </w:tc>
      </w:tr>
      <w:tr w:rsidR="00CF78BC" w:rsidRPr="00A335CB" w14:paraId="3E2EEBA6"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37B90717" w14:textId="397A9F8B"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okt</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5051CF1A"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15</w:t>
            </w:r>
          </w:p>
        </w:tc>
        <w:tc>
          <w:tcPr>
            <w:tcW w:w="582" w:type="pct"/>
            <w:tcBorders>
              <w:top w:val="nil"/>
              <w:left w:val="nil"/>
              <w:bottom w:val="single" w:sz="4" w:space="0" w:color="auto"/>
              <w:right w:val="single" w:sz="4" w:space="0" w:color="auto"/>
            </w:tcBorders>
            <w:shd w:val="clear" w:color="auto" w:fill="auto"/>
            <w:noWrap/>
            <w:vAlign w:val="bottom"/>
            <w:hideMark/>
          </w:tcPr>
          <w:p w14:paraId="6D82F8CD" w14:textId="30823400"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w:t>
            </w:r>
            <w:r w:rsidR="008D5E89">
              <w:rPr>
                <w:rFonts w:ascii="Arial" w:eastAsia="Times New Roman" w:hAnsi="Arial" w:cs="Arial"/>
                <w:sz w:val="18"/>
                <w:szCs w:val="18"/>
                <w:lang w:eastAsia="sl-SI"/>
              </w:rPr>
              <w:t>.</w:t>
            </w:r>
            <w:r w:rsidRPr="00A335CB">
              <w:rPr>
                <w:rFonts w:ascii="Arial" w:eastAsia="Times New Roman" w:hAnsi="Arial" w:cs="Arial"/>
                <w:sz w:val="18"/>
                <w:szCs w:val="18"/>
                <w:lang w:eastAsia="sl-SI"/>
              </w:rPr>
              <w:t>447</w:t>
            </w:r>
          </w:p>
        </w:tc>
        <w:tc>
          <w:tcPr>
            <w:tcW w:w="451" w:type="pct"/>
            <w:tcBorders>
              <w:top w:val="nil"/>
              <w:left w:val="nil"/>
              <w:bottom w:val="single" w:sz="4" w:space="0" w:color="auto"/>
              <w:right w:val="single" w:sz="4" w:space="0" w:color="auto"/>
            </w:tcBorders>
            <w:shd w:val="clear" w:color="000000" w:fill="EDEDED"/>
            <w:noWrap/>
            <w:vAlign w:val="bottom"/>
            <w:hideMark/>
          </w:tcPr>
          <w:p w14:paraId="548FC0F0" w14:textId="479B075D"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okt</w:t>
            </w:r>
            <w:r w:rsidR="007E6DEE">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29E9A9C1"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40</w:t>
            </w:r>
          </w:p>
        </w:tc>
        <w:tc>
          <w:tcPr>
            <w:tcW w:w="999" w:type="pct"/>
            <w:tcBorders>
              <w:top w:val="nil"/>
              <w:left w:val="nil"/>
              <w:bottom w:val="single" w:sz="4" w:space="0" w:color="auto"/>
              <w:right w:val="single" w:sz="4" w:space="0" w:color="auto"/>
            </w:tcBorders>
            <w:shd w:val="clear" w:color="auto" w:fill="auto"/>
            <w:noWrap/>
            <w:vAlign w:val="bottom"/>
            <w:hideMark/>
          </w:tcPr>
          <w:p w14:paraId="0422208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13</w:t>
            </w:r>
          </w:p>
        </w:tc>
        <w:tc>
          <w:tcPr>
            <w:tcW w:w="585" w:type="pct"/>
            <w:tcBorders>
              <w:top w:val="nil"/>
              <w:left w:val="nil"/>
              <w:bottom w:val="single" w:sz="4" w:space="0" w:color="auto"/>
              <w:right w:val="single" w:sz="4" w:space="0" w:color="auto"/>
            </w:tcBorders>
            <w:shd w:val="clear" w:color="auto" w:fill="auto"/>
            <w:noWrap/>
            <w:vAlign w:val="bottom"/>
            <w:hideMark/>
          </w:tcPr>
          <w:p w14:paraId="2C47164A"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67</w:t>
            </w:r>
          </w:p>
        </w:tc>
      </w:tr>
      <w:tr w:rsidR="00CF78BC" w:rsidRPr="00A335CB" w14:paraId="216B3110"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2913262F" w14:textId="79EA15A1"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nov</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5EAC9B9C"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582" w:type="pct"/>
            <w:tcBorders>
              <w:top w:val="nil"/>
              <w:left w:val="nil"/>
              <w:bottom w:val="single" w:sz="4" w:space="0" w:color="auto"/>
              <w:right w:val="single" w:sz="4" w:space="0" w:color="auto"/>
            </w:tcBorders>
            <w:shd w:val="clear" w:color="auto" w:fill="auto"/>
            <w:noWrap/>
            <w:vAlign w:val="bottom"/>
            <w:hideMark/>
          </w:tcPr>
          <w:p w14:paraId="1EDA94E7"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451" w:type="pct"/>
            <w:tcBorders>
              <w:top w:val="nil"/>
              <w:left w:val="nil"/>
              <w:bottom w:val="single" w:sz="4" w:space="0" w:color="auto"/>
              <w:right w:val="single" w:sz="4" w:space="0" w:color="auto"/>
            </w:tcBorders>
            <w:shd w:val="clear" w:color="000000" w:fill="EDEDED"/>
            <w:noWrap/>
            <w:vAlign w:val="bottom"/>
            <w:hideMark/>
          </w:tcPr>
          <w:p w14:paraId="428F249B" w14:textId="79241907"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nov</w:t>
            </w:r>
            <w:r w:rsidR="007E6DEE">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087C1B1D"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999" w:type="pct"/>
            <w:tcBorders>
              <w:top w:val="nil"/>
              <w:left w:val="nil"/>
              <w:bottom w:val="single" w:sz="4" w:space="0" w:color="auto"/>
              <w:right w:val="single" w:sz="4" w:space="0" w:color="auto"/>
            </w:tcBorders>
            <w:shd w:val="clear" w:color="auto" w:fill="auto"/>
            <w:noWrap/>
            <w:vAlign w:val="bottom"/>
            <w:hideMark/>
          </w:tcPr>
          <w:p w14:paraId="1C28E1F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585" w:type="pct"/>
            <w:tcBorders>
              <w:top w:val="nil"/>
              <w:left w:val="nil"/>
              <w:bottom w:val="single" w:sz="4" w:space="0" w:color="auto"/>
              <w:right w:val="single" w:sz="4" w:space="0" w:color="auto"/>
            </w:tcBorders>
            <w:shd w:val="clear" w:color="auto" w:fill="auto"/>
            <w:noWrap/>
            <w:vAlign w:val="bottom"/>
            <w:hideMark/>
          </w:tcPr>
          <w:p w14:paraId="677227B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r>
      <w:tr w:rsidR="00CF78BC" w:rsidRPr="00A335CB" w14:paraId="1F715BE5"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EDEDED"/>
            <w:noWrap/>
            <w:vAlign w:val="bottom"/>
            <w:hideMark/>
          </w:tcPr>
          <w:p w14:paraId="2845FD85" w14:textId="326654D1"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dec</w:t>
            </w:r>
            <w:r w:rsidR="008D5E89">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201B8E77"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582" w:type="pct"/>
            <w:tcBorders>
              <w:top w:val="nil"/>
              <w:left w:val="nil"/>
              <w:bottom w:val="single" w:sz="4" w:space="0" w:color="auto"/>
              <w:right w:val="single" w:sz="4" w:space="0" w:color="auto"/>
            </w:tcBorders>
            <w:shd w:val="clear" w:color="auto" w:fill="auto"/>
            <w:noWrap/>
            <w:vAlign w:val="bottom"/>
            <w:hideMark/>
          </w:tcPr>
          <w:p w14:paraId="5C353914"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451" w:type="pct"/>
            <w:tcBorders>
              <w:top w:val="nil"/>
              <w:left w:val="nil"/>
              <w:bottom w:val="single" w:sz="4" w:space="0" w:color="auto"/>
              <w:right w:val="single" w:sz="4" w:space="0" w:color="auto"/>
            </w:tcBorders>
            <w:shd w:val="clear" w:color="000000" w:fill="EDEDED"/>
            <w:noWrap/>
            <w:vAlign w:val="bottom"/>
            <w:hideMark/>
          </w:tcPr>
          <w:p w14:paraId="00DBA9E8" w14:textId="13523D76" w:rsidR="00CF78BC" w:rsidRPr="00A335CB" w:rsidRDefault="00CF78BC" w:rsidP="00CF78BC">
            <w:pPr>
              <w:spacing w:after="0" w:line="276" w:lineRule="auto"/>
              <w:rPr>
                <w:rFonts w:ascii="Arial" w:eastAsia="Times New Roman" w:hAnsi="Arial" w:cs="Arial"/>
                <w:sz w:val="18"/>
                <w:szCs w:val="18"/>
                <w:lang w:eastAsia="sl-SI"/>
              </w:rPr>
            </w:pPr>
            <w:r w:rsidRPr="00A335CB">
              <w:rPr>
                <w:rFonts w:ascii="Arial" w:eastAsia="Times New Roman" w:hAnsi="Arial" w:cs="Arial"/>
                <w:sz w:val="18"/>
                <w:szCs w:val="18"/>
                <w:lang w:eastAsia="sl-SI"/>
              </w:rPr>
              <w:t>dec</w:t>
            </w:r>
            <w:r w:rsidR="007E6DEE">
              <w:rPr>
                <w:rFonts w:ascii="Arial" w:eastAsia="Times New Roman" w:hAnsi="Arial" w:cs="Arial"/>
                <w:sz w:val="18"/>
                <w:szCs w:val="18"/>
                <w:lang w:eastAsia="sl-SI"/>
              </w:rPr>
              <w:t>.</w:t>
            </w:r>
          </w:p>
        </w:tc>
        <w:tc>
          <w:tcPr>
            <w:tcW w:w="900" w:type="pct"/>
            <w:tcBorders>
              <w:top w:val="nil"/>
              <w:left w:val="nil"/>
              <w:bottom w:val="single" w:sz="4" w:space="0" w:color="auto"/>
              <w:right w:val="single" w:sz="4" w:space="0" w:color="auto"/>
            </w:tcBorders>
            <w:shd w:val="clear" w:color="auto" w:fill="auto"/>
            <w:noWrap/>
            <w:vAlign w:val="bottom"/>
            <w:hideMark/>
          </w:tcPr>
          <w:p w14:paraId="0611E381"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999" w:type="pct"/>
            <w:tcBorders>
              <w:top w:val="nil"/>
              <w:left w:val="nil"/>
              <w:bottom w:val="single" w:sz="4" w:space="0" w:color="auto"/>
              <w:right w:val="single" w:sz="4" w:space="0" w:color="auto"/>
            </w:tcBorders>
            <w:shd w:val="clear" w:color="auto" w:fill="auto"/>
            <w:noWrap/>
            <w:vAlign w:val="bottom"/>
            <w:hideMark/>
          </w:tcPr>
          <w:p w14:paraId="77518482"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c>
          <w:tcPr>
            <w:tcW w:w="585" w:type="pct"/>
            <w:tcBorders>
              <w:top w:val="nil"/>
              <w:left w:val="nil"/>
              <w:bottom w:val="single" w:sz="4" w:space="0" w:color="auto"/>
              <w:right w:val="single" w:sz="4" w:space="0" w:color="auto"/>
            </w:tcBorders>
            <w:shd w:val="clear" w:color="auto" w:fill="auto"/>
            <w:noWrap/>
            <w:vAlign w:val="bottom"/>
            <w:hideMark/>
          </w:tcPr>
          <w:p w14:paraId="0D5560DB" w14:textId="77777777" w:rsidR="00CF78BC" w:rsidRPr="00A335CB" w:rsidRDefault="00CF78BC" w:rsidP="00CF78BC">
            <w:pPr>
              <w:spacing w:after="0" w:line="276" w:lineRule="auto"/>
              <w:jc w:val="right"/>
              <w:rPr>
                <w:rFonts w:ascii="Arial" w:eastAsia="Times New Roman" w:hAnsi="Arial" w:cs="Arial"/>
                <w:sz w:val="18"/>
                <w:szCs w:val="18"/>
                <w:lang w:eastAsia="sl-SI"/>
              </w:rPr>
            </w:pPr>
            <w:r w:rsidRPr="00A335CB">
              <w:rPr>
                <w:rFonts w:ascii="Arial" w:eastAsia="Times New Roman" w:hAnsi="Arial" w:cs="Arial"/>
                <w:sz w:val="18"/>
                <w:szCs w:val="18"/>
                <w:lang w:eastAsia="sl-SI"/>
              </w:rPr>
              <w:t>0</w:t>
            </w:r>
          </w:p>
        </w:tc>
      </w:tr>
      <w:tr w:rsidR="00CF78BC" w:rsidRPr="00A335CB" w14:paraId="7C7663BF" w14:textId="77777777" w:rsidTr="009C51CB">
        <w:trPr>
          <w:trHeight w:val="488"/>
        </w:trPr>
        <w:tc>
          <w:tcPr>
            <w:tcW w:w="582" w:type="pct"/>
            <w:tcBorders>
              <w:top w:val="nil"/>
              <w:left w:val="single" w:sz="4" w:space="0" w:color="auto"/>
              <w:bottom w:val="single" w:sz="4" w:space="0" w:color="auto"/>
              <w:right w:val="single" w:sz="4" w:space="0" w:color="auto"/>
            </w:tcBorders>
            <w:shd w:val="clear" w:color="000000" w:fill="D9E1F2"/>
            <w:noWrap/>
            <w:vAlign w:val="bottom"/>
            <w:hideMark/>
          </w:tcPr>
          <w:p w14:paraId="5ADF2BB8"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Skupaj</w:t>
            </w:r>
          </w:p>
        </w:tc>
        <w:tc>
          <w:tcPr>
            <w:tcW w:w="900" w:type="pct"/>
            <w:tcBorders>
              <w:top w:val="nil"/>
              <w:left w:val="nil"/>
              <w:bottom w:val="single" w:sz="4" w:space="0" w:color="auto"/>
              <w:right w:val="single" w:sz="4" w:space="0" w:color="auto"/>
            </w:tcBorders>
            <w:shd w:val="clear" w:color="000000" w:fill="D9E1F2"/>
            <w:noWrap/>
            <w:vAlign w:val="bottom"/>
            <w:hideMark/>
          </w:tcPr>
          <w:p w14:paraId="3E9D0F48" w14:textId="77777777" w:rsidR="00CF78BC" w:rsidRPr="00A335CB" w:rsidRDefault="00CF78BC" w:rsidP="00CF78BC">
            <w:pPr>
              <w:spacing w:after="0" w:line="276" w:lineRule="auto"/>
              <w:jc w:val="right"/>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55</w:t>
            </w:r>
          </w:p>
        </w:tc>
        <w:tc>
          <w:tcPr>
            <w:tcW w:w="582" w:type="pct"/>
            <w:tcBorders>
              <w:top w:val="nil"/>
              <w:left w:val="nil"/>
              <w:bottom w:val="single" w:sz="4" w:space="0" w:color="auto"/>
              <w:right w:val="single" w:sz="4" w:space="0" w:color="auto"/>
            </w:tcBorders>
            <w:shd w:val="clear" w:color="000000" w:fill="D9E1F2"/>
            <w:noWrap/>
            <w:vAlign w:val="bottom"/>
            <w:hideMark/>
          </w:tcPr>
          <w:p w14:paraId="2A60040A" w14:textId="3B20E623" w:rsidR="00CF78BC" w:rsidRPr="00A335CB" w:rsidRDefault="00CF78BC" w:rsidP="00CF78BC">
            <w:pPr>
              <w:spacing w:after="0" w:line="276" w:lineRule="auto"/>
              <w:jc w:val="right"/>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7</w:t>
            </w:r>
            <w:r w:rsidR="008D5E89">
              <w:rPr>
                <w:rFonts w:ascii="Arial" w:eastAsia="Times New Roman" w:hAnsi="Arial" w:cs="Arial"/>
                <w:b/>
                <w:bCs/>
                <w:sz w:val="18"/>
                <w:szCs w:val="18"/>
                <w:lang w:eastAsia="sl-SI"/>
              </w:rPr>
              <w:t>.</w:t>
            </w:r>
            <w:r w:rsidRPr="00A335CB">
              <w:rPr>
                <w:rFonts w:ascii="Arial" w:eastAsia="Times New Roman" w:hAnsi="Arial" w:cs="Arial"/>
                <w:b/>
                <w:bCs/>
                <w:sz w:val="18"/>
                <w:szCs w:val="18"/>
                <w:lang w:eastAsia="sl-SI"/>
              </w:rPr>
              <w:t>840</w:t>
            </w:r>
          </w:p>
        </w:tc>
        <w:tc>
          <w:tcPr>
            <w:tcW w:w="451" w:type="pct"/>
            <w:tcBorders>
              <w:top w:val="nil"/>
              <w:left w:val="nil"/>
              <w:bottom w:val="single" w:sz="4" w:space="0" w:color="auto"/>
              <w:right w:val="single" w:sz="4" w:space="0" w:color="auto"/>
            </w:tcBorders>
            <w:shd w:val="clear" w:color="000000" w:fill="D9E1F2"/>
            <w:noWrap/>
            <w:vAlign w:val="bottom"/>
            <w:hideMark/>
          </w:tcPr>
          <w:p w14:paraId="4087C707" w14:textId="77777777" w:rsidR="00CF78BC" w:rsidRPr="00A335CB" w:rsidRDefault="00CF78BC" w:rsidP="00CF78BC">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skupaj</w:t>
            </w:r>
          </w:p>
        </w:tc>
        <w:tc>
          <w:tcPr>
            <w:tcW w:w="900" w:type="pct"/>
            <w:tcBorders>
              <w:top w:val="nil"/>
              <w:left w:val="nil"/>
              <w:bottom w:val="single" w:sz="4" w:space="0" w:color="auto"/>
              <w:right w:val="single" w:sz="4" w:space="0" w:color="auto"/>
            </w:tcBorders>
            <w:shd w:val="clear" w:color="000000" w:fill="D9E1F2"/>
            <w:noWrap/>
            <w:vAlign w:val="bottom"/>
            <w:hideMark/>
          </w:tcPr>
          <w:p w14:paraId="33EB37C1" w14:textId="77777777" w:rsidR="00CF78BC" w:rsidRPr="00A335CB" w:rsidRDefault="00CF78BC" w:rsidP="00CF78BC">
            <w:pPr>
              <w:spacing w:after="0" w:line="276" w:lineRule="auto"/>
              <w:jc w:val="right"/>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448</w:t>
            </w:r>
          </w:p>
        </w:tc>
        <w:tc>
          <w:tcPr>
            <w:tcW w:w="999" w:type="pct"/>
            <w:tcBorders>
              <w:top w:val="nil"/>
              <w:left w:val="nil"/>
              <w:bottom w:val="single" w:sz="4" w:space="0" w:color="auto"/>
              <w:right w:val="single" w:sz="4" w:space="0" w:color="auto"/>
            </w:tcBorders>
            <w:shd w:val="clear" w:color="000000" w:fill="D9E1F2"/>
            <w:noWrap/>
            <w:vAlign w:val="bottom"/>
            <w:hideMark/>
          </w:tcPr>
          <w:p w14:paraId="61C6A347" w14:textId="77777777" w:rsidR="00CF78BC" w:rsidRPr="00A335CB" w:rsidRDefault="00CF78BC" w:rsidP="00CF78BC">
            <w:pPr>
              <w:spacing w:after="0" w:line="276" w:lineRule="auto"/>
              <w:jc w:val="right"/>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61</w:t>
            </w:r>
          </w:p>
        </w:tc>
        <w:tc>
          <w:tcPr>
            <w:tcW w:w="585" w:type="pct"/>
            <w:tcBorders>
              <w:top w:val="nil"/>
              <w:left w:val="nil"/>
              <w:bottom w:val="single" w:sz="4" w:space="0" w:color="auto"/>
              <w:right w:val="single" w:sz="4" w:space="0" w:color="auto"/>
            </w:tcBorders>
            <w:shd w:val="clear" w:color="000000" w:fill="D9E1F2"/>
            <w:noWrap/>
            <w:vAlign w:val="bottom"/>
            <w:hideMark/>
          </w:tcPr>
          <w:p w14:paraId="1C72D587" w14:textId="4CDA848E" w:rsidR="00CF78BC" w:rsidRPr="00A335CB" w:rsidRDefault="00CF78BC" w:rsidP="00CF78BC">
            <w:pPr>
              <w:spacing w:after="0" w:line="276" w:lineRule="auto"/>
              <w:jc w:val="right"/>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1</w:t>
            </w:r>
            <w:r w:rsidR="008D5E89">
              <w:rPr>
                <w:rFonts w:ascii="Arial" w:eastAsia="Times New Roman" w:hAnsi="Arial" w:cs="Arial"/>
                <w:b/>
                <w:bCs/>
                <w:sz w:val="18"/>
                <w:szCs w:val="18"/>
                <w:lang w:eastAsia="sl-SI"/>
              </w:rPr>
              <w:t>.</w:t>
            </w:r>
            <w:r w:rsidRPr="00A335CB">
              <w:rPr>
                <w:rFonts w:ascii="Arial" w:eastAsia="Times New Roman" w:hAnsi="Arial" w:cs="Arial"/>
                <w:b/>
                <w:bCs/>
                <w:sz w:val="18"/>
                <w:szCs w:val="18"/>
                <w:lang w:eastAsia="sl-SI"/>
              </w:rPr>
              <w:t>520</w:t>
            </w:r>
          </w:p>
        </w:tc>
      </w:tr>
    </w:tbl>
    <w:p w14:paraId="2F9C856D" w14:textId="77777777" w:rsidR="00DF1086" w:rsidRPr="00A335CB" w:rsidRDefault="00DF1086" w:rsidP="005D1A90">
      <w:pPr>
        <w:autoSpaceDE w:val="0"/>
        <w:autoSpaceDN w:val="0"/>
        <w:adjustRightInd w:val="0"/>
        <w:spacing w:line="276" w:lineRule="auto"/>
        <w:jc w:val="both"/>
        <w:rPr>
          <w:rFonts w:ascii="Arial" w:hAnsi="Arial" w:cs="Arial"/>
          <w:sz w:val="20"/>
          <w:szCs w:val="20"/>
        </w:rPr>
      </w:pPr>
    </w:p>
    <w:p w14:paraId="6813018B" w14:textId="77777777" w:rsidR="009C51CB" w:rsidRPr="0002039C" w:rsidRDefault="009C51CB" w:rsidP="009C51CB">
      <w:pPr>
        <w:autoSpaceDE w:val="0"/>
        <w:autoSpaceDN w:val="0"/>
        <w:adjustRightInd w:val="0"/>
        <w:spacing w:after="0" w:line="260" w:lineRule="exact"/>
        <w:jc w:val="both"/>
        <w:rPr>
          <w:rFonts w:ascii="Arial" w:hAnsi="Arial" w:cs="Arial"/>
          <w:sz w:val="20"/>
          <w:szCs w:val="20"/>
          <w:lang w:eastAsia="sl-SI"/>
        </w:rPr>
      </w:pPr>
      <w:r w:rsidRPr="00226DD0">
        <w:rPr>
          <w:rFonts w:ascii="Arial" w:hAnsi="Arial" w:cs="Arial"/>
          <w:b/>
          <w:sz w:val="20"/>
          <w:szCs w:val="20"/>
          <w:lang w:eastAsia="sl-SI"/>
        </w:rPr>
        <w:t>Preglednica:</w:t>
      </w:r>
      <w:r>
        <w:rPr>
          <w:rFonts w:ascii="Arial" w:hAnsi="Arial" w:cs="Arial"/>
          <w:sz w:val="20"/>
          <w:szCs w:val="20"/>
          <w:lang w:eastAsia="sl-SI"/>
        </w:rPr>
        <w:t xml:space="preserve"> Zahtevki za nadgradnjo in odpravo napak </w:t>
      </w:r>
    </w:p>
    <w:p w14:paraId="0EA23F86" w14:textId="1B8C62AE" w:rsidR="00A92F50" w:rsidRPr="00A335CB" w:rsidRDefault="00A92F50" w:rsidP="00A92F5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 letu 2024 je bilo</w:t>
      </w:r>
      <w:r w:rsidRPr="00A335CB">
        <w:rPr>
          <w:rFonts w:ascii="Arial" w:hAnsi="Arial" w:cs="Arial"/>
          <w:sz w:val="20"/>
          <w:szCs w:val="20"/>
          <w:lang w:eastAsia="sl-SI"/>
        </w:rPr>
        <w:t xml:space="preserve"> v sodelovanju z zunanjim izvajalcem ponovno izvedeno varnostno preverjanje delovanja ISUNZ iz rezervne lokacije v Mariboru, ki</w:t>
      </w:r>
      <w:r>
        <w:rPr>
          <w:rFonts w:ascii="Arial" w:hAnsi="Arial" w:cs="Arial"/>
          <w:sz w:val="20"/>
          <w:szCs w:val="20"/>
          <w:lang w:eastAsia="sl-SI"/>
        </w:rPr>
        <w:t xml:space="preserve"> je bilo</w:t>
      </w:r>
      <w:r w:rsidRPr="00A335CB">
        <w:rPr>
          <w:rFonts w:ascii="Arial" w:hAnsi="Arial" w:cs="Arial"/>
          <w:sz w:val="20"/>
          <w:szCs w:val="20"/>
          <w:lang w:eastAsia="sl-SI"/>
        </w:rPr>
        <w:t xml:space="preserve"> </w:t>
      </w:r>
      <w:r>
        <w:rPr>
          <w:rFonts w:ascii="Arial" w:hAnsi="Arial" w:cs="Arial"/>
          <w:sz w:val="20"/>
          <w:szCs w:val="20"/>
          <w:lang w:eastAsia="sl-SI"/>
        </w:rPr>
        <w:t>uspešno zaključeno.</w:t>
      </w:r>
    </w:p>
    <w:p w14:paraId="21EEAA80" w14:textId="77777777" w:rsidR="00A92F50" w:rsidRDefault="00A92F50" w:rsidP="00A92F50">
      <w:pPr>
        <w:autoSpaceDE w:val="0"/>
        <w:autoSpaceDN w:val="0"/>
        <w:adjustRightInd w:val="0"/>
        <w:spacing w:after="0" w:line="276" w:lineRule="auto"/>
        <w:jc w:val="both"/>
        <w:rPr>
          <w:rFonts w:ascii="Arial" w:hAnsi="Arial" w:cs="Arial"/>
          <w:sz w:val="20"/>
          <w:szCs w:val="20"/>
        </w:rPr>
      </w:pPr>
    </w:p>
    <w:p w14:paraId="56223CCC" w14:textId="153EB692" w:rsidR="00653B9D" w:rsidRPr="0032769E" w:rsidRDefault="00CF78BC" w:rsidP="00A92F5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 xml:space="preserve">V sklopu delovanja ISUNZ </w:t>
      </w:r>
      <w:r w:rsidR="00A17A2B">
        <w:rPr>
          <w:rFonts w:ascii="Arial" w:hAnsi="Arial" w:cs="Arial"/>
          <w:sz w:val="20"/>
          <w:szCs w:val="20"/>
        </w:rPr>
        <w:t>sta</w:t>
      </w:r>
      <w:r w:rsidR="00A17A2B" w:rsidRPr="00A335CB">
        <w:rPr>
          <w:rFonts w:ascii="Arial" w:hAnsi="Arial" w:cs="Arial"/>
          <w:sz w:val="20"/>
          <w:szCs w:val="20"/>
        </w:rPr>
        <w:t xml:space="preserve"> bil</w:t>
      </w:r>
      <w:r w:rsidR="00A17A2B">
        <w:rPr>
          <w:rFonts w:ascii="Arial" w:hAnsi="Arial" w:cs="Arial"/>
          <w:sz w:val="20"/>
          <w:szCs w:val="20"/>
        </w:rPr>
        <w:t>i</w:t>
      </w:r>
      <w:r w:rsidR="00A17A2B" w:rsidRPr="00A335CB">
        <w:rPr>
          <w:rFonts w:ascii="Arial" w:hAnsi="Arial" w:cs="Arial"/>
          <w:sz w:val="20"/>
          <w:szCs w:val="20"/>
        </w:rPr>
        <w:t xml:space="preserve"> </w:t>
      </w:r>
      <w:r w:rsidRPr="00A335CB">
        <w:rPr>
          <w:rFonts w:ascii="Arial" w:hAnsi="Arial" w:cs="Arial"/>
          <w:sz w:val="20"/>
          <w:szCs w:val="20"/>
        </w:rPr>
        <w:t xml:space="preserve">v letu 2024 </w:t>
      </w:r>
      <w:r w:rsidR="00A17A2B" w:rsidRPr="00A335CB">
        <w:rPr>
          <w:rFonts w:ascii="Arial" w:hAnsi="Arial" w:cs="Arial"/>
          <w:sz w:val="20"/>
          <w:szCs w:val="20"/>
        </w:rPr>
        <w:t>zagotovljen</w:t>
      </w:r>
      <w:r w:rsidR="00A17A2B">
        <w:rPr>
          <w:rFonts w:ascii="Arial" w:hAnsi="Arial" w:cs="Arial"/>
          <w:sz w:val="20"/>
          <w:szCs w:val="20"/>
        </w:rPr>
        <w:t>i</w:t>
      </w:r>
      <w:r w:rsidR="00A17A2B" w:rsidRPr="00A335CB">
        <w:rPr>
          <w:rFonts w:ascii="Arial" w:hAnsi="Arial" w:cs="Arial"/>
          <w:sz w:val="20"/>
          <w:szCs w:val="20"/>
        </w:rPr>
        <w:t xml:space="preserve"> </w:t>
      </w:r>
      <w:r w:rsidRPr="00A335CB">
        <w:rPr>
          <w:rFonts w:ascii="Arial" w:hAnsi="Arial" w:cs="Arial"/>
          <w:sz w:val="20"/>
          <w:szCs w:val="20"/>
        </w:rPr>
        <w:t xml:space="preserve">administracija </w:t>
      </w:r>
      <w:r w:rsidR="00653B9D" w:rsidRPr="00A335CB">
        <w:rPr>
          <w:rFonts w:ascii="Arial" w:hAnsi="Arial" w:cs="Arial"/>
          <w:sz w:val="20"/>
          <w:szCs w:val="20"/>
        </w:rPr>
        <w:t xml:space="preserve">vseh uporabnikov za dostop do registrov in podpornih aplikacij ISUNZ </w:t>
      </w:r>
      <w:r w:rsidR="00A17A2B">
        <w:rPr>
          <w:rFonts w:ascii="Arial" w:hAnsi="Arial" w:cs="Arial"/>
          <w:sz w:val="20"/>
          <w:szCs w:val="20"/>
        </w:rPr>
        <w:t xml:space="preserve">in </w:t>
      </w:r>
      <w:r w:rsidR="00653B9D" w:rsidRPr="00A335CB">
        <w:rPr>
          <w:rFonts w:ascii="Arial" w:hAnsi="Arial" w:cs="Arial"/>
          <w:sz w:val="20"/>
          <w:szCs w:val="20"/>
        </w:rPr>
        <w:t>ponastavitev gesel</w:t>
      </w:r>
      <w:r w:rsidR="00A17A2B">
        <w:rPr>
          <w:rFonts w:ascii="Arial" w:hAnsi="Arial" w:cs="Arial"/>
          <w:sz w:val="20"/>
          <w:szCs w:val="20"/>
        </w:rPr>
        <w:t xml:space="preserve"> za vse uporabnike</w:t>
      </w:r>
      <w:r w:rsidR="00653B9D" w:rsidRPr="00A335CB">
        <w:rPr>
          <w:rFonts w:ascii="Arial" w:hAnsi="Arial" w:cs="Arial"/>
          <w:sz w:val="20"/>
          <w:szCs w:val="20"/>
        </w:rPr>
        <w:t xml:space="preserve">. V letu 2024 je bilo v varnostni shemi ISUNZ </w:t>
      </w:r>
      <w:r w:rsidR="00653B9D" w:rsidRPr="00A335CB">
        <w:rPr>
          <w:rFonts w:ascii="Arial" w:hAnsi="Arial" w:cs="Arial"/>
          <w:b/>
          <w:sz w:val="20"/>
          <w:szCs w:val="20"/>
        </w:rPr>
        <w:t>13</w:t>
      </w:r>
      <w:r w:rsidR="00D8059D" w:rsidRPr="00A335CB">
        <w:rPr>
          <w:rFonts w:ascii="Arial" w:hAnsi="Arial" w:cs="Arial"/>
          <w:b/>
          <w:sz w:val="20"/>
          <w:szCs w:val="20"/>
        </w:rPr>
        <w:t xml:space="preserve">.250 </w:t>
      </w:r>
      <w:r w:rsidR="00653B9D" w:rsidRPr="00A335CB">
        <w:rPr>
          <w:rFonts w:ascii="Arial" w:hAnsi="Arial" w:cs="Arial"/>
          <w:sz w:val="20"/>
          <w:szCs w:val="20"/>
        </w:rPr>
        <w:t>aktivnih uporabnikov</w:t>
      </w:r>
      <w:r w:rsidR="00D8059D" w:rsidRPr="00A335CB">
        <w:rPr>
          <w:rFonts w:ascii="Arial" w:hAnsi="Arial" w:cs="Arial"/>
          <w:sz w:val="20"/>
          <w:szCs w:val="20"/>
        </w:rPr>
        <w:t xml:space="preserve"> (320 več kot v letu 2023), ki jim</w:t>
      </w:r>
      <w:r w:rsidR="00653B9D" w:rsidRPr="00A335CB">
        <w:rPr>
          <w:rFonts w:ascii="Arial" w:hAnsi="Arial" w:cs="Arial"/>
          <w:sz w:val="20"/>
          <w:szCs w:val="20"/>
        </w:rPr>
        <w:t xml:space="preserve"> je bilo </w:t>
      </w:r>
      <w:r w:rsidR="005E0375">
        <w:rPr>
          <w:rFonts w:ascii="Arial" w:hAnsi="Arial" w:cs="Arial"/>
          <w:sz w:val="20"/>
          <w:szCs w:val="20"/>
        </w:rPr>
        <w:t>danih</w:t>
      </w:r>
      <w:r w:rsidR="005E0375" w:rsidRPr="00A335CB">
        <w:rPr>
          <w:rFonts w:ascii="Arial" w:hAnsi="Arial" w:cs="Arial"/>
          <w:sz w:val="20"/>
          <w:szCs w:val="20"/>
        </w:rPr>
        <w:t xml:space="preserve"> </w:t>
      </w:r>
      <w:r w:rsidR="00653B9D" w:rsidRPr="00A335CB">
        <w:rPr>
          <w:rFonts w:ascii="Arial" w:hAnsi="Arial" w:cs="Arial"/>
          <w:b/>
          <w:sz w:val="20"/>
          <w:szCs w:val="20"/>
        </w:rPr>
        <w:t>1</w:t>
      </w:r>
      <w:r w:rsidR="00D8059D" w:rsidRPr="00A335CB">
        <w:rPr>
          <w:rFonts w:ascii="Arial" w:hAnsi="Arial" w:cs="Arial"/>
          <w:b/>
          <w:sz w:val="20"/>
          <w:szCs w:val="20"/>
        </w:rPr>
        <w:t>.</w:t>
      </w:r>
      <w:r w:rsidR="00653B9D" w:rsidRPr="00A335CB">
        <w:rPr>
          <w:rFonts w:ascii="Arial" w:hAnsi="Arial" w:cs="Arial"/>
          <w:b/>
          <w:sz w:val="20"/>
          <w:szCs w:val="20"/>
        </w:rPr>
        <w:t xml:space="preserve">511 </w:t>
      </w:r>
      <w:r w:rsidR="00653B9D" w:rsidRPr="0032769E">
        <w:rPr>
          <w:rFonts w:ascii="Arial" w:hAnsi="Arial" w:cs="Arial"/>
          <w:sz w:val="20"/>
          <w:szCs w:val="20"/>
        </w:rPr>
        <w:t>gesel.</w:t>
      </w:r>
    </w:p>
    <w:p w14:paraId="763316EC" w14:textId="77777777" w:rsidR="00A92F50" w:rsidRDefault="00A92F50" w:rsidP="00A92F50">
      <w:pPr>
        <w:autoSpaceDE w:val="0"/>
        <w:autoSpaceDN w:val="0"/>
        <w:adjustRightInd w:val="0"/>
        <w:spacing w:after="0" w:line="276" w:lineRule="auto"/>
        <w:jc w:val="both"/>
        <w:rPr>
          <w:rFonts w:ascii="Arial" w:hAnsi="Arial" w:cs="Arial"/>
          <w:sz w:val="20"/>
          <w:szCs w:val="20"/>
        </w:rPr>
      </w:pPr>
    </w:p>
    <w:p w14:paraId="7A832F2E" w14:textId="41EE8362" w:rsidR="00653B9D" w:rsidRPr="00A335CB" w:rsidRDefault="00D8059D" w:rsidP="00A92F50">
      <w:pPr>
        <w:autoSpaceDE w:val="0"/>
        <w:autoSpaceDN w:val="0"/>
        <w:adjustRightInd w:val="0"/>
        <w:spacing w:after="0" w:line="276" w:lineRule="auto"/>
        <w:jc w:val="both"/>
        <w:rPr>
          <w:rFonts w:ascii="Arial" w:hAnsi="Arial" w:cs="Arial"/>
          <w:sz w:val="20"/>
          <w:szCs w:val="20"/>
        </w:rPr>
      </w:pPr>
      <w:r w:rsidRPr="0032769E">
        <w:rPr>
          <w:rFonts w:ascii="Arial" w:hAnsi="Arial" w:cs="Arial"/>
          <w:sz w:val="20"/>
          <w:szCs w:val="20"/>
        </w:rPr>
        <w:t>V</w:t>
      </w:r>
      <w:r w:rsidR="00653B9D" w:rsidRPr="0032769E">
        <w:rPr>
          <w:rFonts w:ascii="Arial" w:hAnsi="Arial" w:cs="Arial"/>
          <w:sz w:val="20"/>
          <w:szCs w:val="20"/>
        </w:rPr>
        <w:t xml:space="preserve"> letu 2024 </w:t>
      </w:r>
      <w:r w:rsidRPr="0032769E">
        <w:rPr>
          <w:rFonts w:ascii="Arial" w:hAnsi="Arial" w:cs="Arial"/>
          <w:sz w:val="20"/>
          <w:szCs w:val="20"/>
        </w:rPr>
        <w:t xml:space="preserve">je bila </w:t>
      </w:r>
      <w:r w:rsidR="00A17A2B" w:rsidRPr="0032769E">
        <w:rPr>
          <w:rFonts w:ascii="Arial" w:hAnsi="Arial" w:cs="Arial"/>
          <w:sz w:val="20"/>
          <w:szCs w:val="20"/>
        </w:rPr>
        <w:t xml:space="preserve">v skladu </w:t>
      </w:r>
      <w:r w:rsidR="00653B9D" w:rsidRPr="0032769E">
        <w:rPr>
          <w:rFonts w:ascii="Arial" w:hAnsi="Arial" w:cs="Arial"/>
          <w:sz w:val="20"/>
          <w:szCs w:val="20"/>
        </w:rPr>
        <w:t>z ZVOP in GDPR</w:t>
      </w:r>
      <w:r w:rsidRPr="0032769E">
        <w:rPr>
          <w:rFonts w:ascii="Arial" w:hAnsi="Arial" w:cs="Arial"/>
          <w:sz w:val="20"/>
          <w:szCs w:val="20"/>
        </w:rPr>
        <w:t xml:space="preserve"> zagotovljena tudi priprava</w:t>
      </w:r>
      <w:r w:rsidR="00653B9D" w:rsidRPr="0032769E">
        <w:rPr>
          <w:rFonts w:ascii="Arial" w:hAnsi="Arial" w:cs="Arial"/>
          <w:sz w:val="20"/>
          <w:szCs w:val="20"/>
        </w:rPr>
        <w:t xml:space="preserve"> vseh zahtevanih dnevnikov dela za vpogled v lastne os</w:t>
      </w:r>
      <w:r w:rsidRPr="0032769E">
        <w:rPr>
          <w:rFonts w:ascii="Arial" w:hAnsi="Arial" w:cs="Arial"/>
          <w:sz w:val="20"/>
          <w:szCs w:val="20"/>
        </w:rPr>
        <w:t xml:space="preserve">ebne podatke, </w:t>
      </w:r>
      <w:r w:rsidR="00A17A2B" w:rsidRPr="0032769E">
        <w:rPr>
          <w:rFonts w:ascii="Arial" w:hAnsi="Arial" w:cs="Arial"/>
          <w:sz w:val="20"/>
          <w:szCs w:val="20"/>
        </w:rPr>
        <w:t xml:space="preserve">začele </w:t>
      </w:r>
      <w:r w:rsidRPr="0032769E">
        <w:rPr>
          <w:rFonts w:ascii="Arial" w:hAnsi="Arial" w:cs="Arial"/>
          <w:sz w:val="20"/>
          <w:szCs w:val="20"/>
        </w:rPr>
        <w:t>pa so se tudi nadgradnje</w:t>
      </w:r>
      <w:r w:rsidR="00653B9D" w:rsidRPr="0032769E">
        <w:rPr>
          <w:rFonts w:ascii="Arial" w:hAnsi="Arial" w:cs="Arial"/>
          <w:sz w:val="20"/>
          <w:szCs w:val="20"/>
        </w:rPr>
        <w:t xml:space="preserve"> za skladnost z ZVOP 2.</w:t>
      </w:r>
    </w:p>
    <w:p w14:paraId="6D4B5B9E" w14:textId="77777777" w:rsidR="00A92F50" w:rsidRDefault="00A92F50" w:rsidP="000B1BAF">
      <w:pPr>
        <w:autoSpaceDE w:val="0"/>
        <w:autoSpaceDN w:val="0"/>
        <w:adjustRightInd w:val="0"/>
        <w:spacing w:after="0" w:line="276" w:lineRule="auto"/>
        <w:jc w:val="both"/>
        <w:rPr>
          <w:rFonts w:ascii="Arial" w:hAnsi="Arial" w:cs="Arial"/>
          <w:b/>
          <w:sz w:val="20"/>
        </w:rPr>
      </w:pPr>
    </w:p>
    <w:p w14:paraId="6812AA7A" w14:textId="599CBEAA" w:rsidR="000B1BAF" w:rsidRPr="000B1BAF" w:rsidRDefault="000B1BAF" w:rsidP="000B1BAF">
      <w:pPr>
        <w:autoSpaceDE w:val="0"/>
        <w:autoSpaceDN w:val="0"/>
        <w:adjustRightInd w:val="0"/>
        <w:spacing w:after="0" w:line="276" w:lineRule="auto"/>
        <w:jc w:val="both"/>
        <w:rPr>
          <w:rFonts w:ascii="Arial" w:hAnsi="Arial" w:cs="Arial"/>
          <w:b/>
          <w:sz w:val="20"/>
        </w:rPr>
      </w:pPr>
      <w:r w:rsidRPr="000B1BAF">
        <w:rPr>
          <w:rFonts w:ascii="Arial" w:hAnsi="Arial" w:cs="Arial"/>
          <w:b/>
          <w:sz w:val="20"/>
        </w:rPr>
        <w:t>Aktivnosti v zvezi z izvajanjem pogodbe C1711-21-460006 za vzdrževanje licenčne programske opreme sodobnega delovnega mesta – SDM za potrebe upravnih enot in podporo skrbnikom programske opreme</w:t>
      </w:r>
    </w:p>
    <w:p w14:paraId="179BBCCE" w14:textId="212AD844" w:rsidR="00653B9D" w:rsidRDefault="000B1BAF" w:rsidP="000B1BAF">
      <w:pPr>
        <w:autoSpaceDE w:val="0"/>
        <w:autoSpaceDN w:val="0"/>
        <w:adjustRightInd w:val="0"/>
        <w:spacing w:after="0" w:line="276" w:lineRule="auto"/>
        <w:jc w:val="both"/>
        <w:rPr>
          <w:rFonts w:ascii="Arial" w:hAnsi="Arial" w:cs="Arial"/>
          <w:sz w:val="20"/>
        </w:rPr>
      </w:pPr>
      <w:r w:rsidRPr="000B1BAF">
        <w:rPr>
          <w:rFonts w:ascii="Arial" w:hAnsi="Arial" w:cs="Arial"/>
          <w:sz w:val="20"/>
        </w:rPr>
        <w:t xml:space="preserve">Na okencih upravnih enot se za sprejetje vlog za izdelavo osebnih dokumentov v elektronski obliki uporablja posebna programska oprema – t. i. sodobno delovno mesto (v nadaljnjem besedilu: SDM). SDM omogoča integracijo zunanjih naprav (podpisnih tablic, čitalnikov prstnih odtisov in optičnih čitalcev) s spletno aplikacijo za naslednje registre: Register osebnih izkaznic, Register potnih listin, Register tujcev in Register stalnega prebivalstva. Okenca upravnih enot so eden od kritičnih elementov v informacijskem sistemu upravnih enot. Za delo na okencih upravnih enot je nujno treba zagotoviti nemoteno delovanje tako perifernih naprav kot tudi sodobnega delovnega mesta, ki te naprave povezuje. V letu 2024 je MNZ izvajalo oziroma koordiniralo vse aktivnosti v sklopu zagotavljanja funkcionalnosti sodobnega delovnega mesta. Med večjimi nadgradnjami se je nadaljevala prenova SDM </w:t>
      </w:r>
      <w:proofErr w:type="spellStart"/>
      <w:r w:rsidRPr="000B1BAF">
        <w:rPr>
          <w:rFonts w:ascii="Arial" w:hAnsi="Arial" w:cs="Arial"/>
          <w:sz w:val="20"/>
        </w:rPr>
        <w:t>appleta</w:t>
      </w:r>
      <w:proofErr w:type="spellEnd"/>
      <w:r w:rsidRPr="000B1BAF">
        <w:rPr>
          <w:rFonts w:ascii="Arial" w:hAnsi="Arial" w:cs="Arial"/>
          <w:sz w:val="20"/>
        </w:rPr>
        <w:t xml:space="preserve"> na že obstoječo platformo SDM.NEXT. V tem sklopu sta potekali tudi priprava pilotnega projekta za preprečevanje </w:t>
      </w:r>
      <w:proofErr w:type="spellStart"/>
      <w:r w:rsidRPr="000B1BAF">
        <w:rPr>
          <w:rFonts w:ascii="Arial" w:hAnsi="Arial" w:cs="Arial"/>
          <w:sz w:val="20"/>
        </w:rPr>
        <w:t>morphinga</w:t>
      </w:r>
      <w:proofErr w:type="spellEnd"/>
      <w:r w:rsidRPr="000B1BAF">
        <w:rPr>
          <w:rFonts w:ascii="Arial" w:hAnsi="Arial" w:cs="Arial"/>
          <w:sz w:val="20"/>
        </w:rPr>
        <w:t xml:space="preserve"> obraznih slik ter vključitev </w:t>
      </w:r>
      <w:proofErr w:type="spellStart"/>
      <w:r w:rsidRPr="000B1BAF">
        <w:rPr>
          <w:rFonts w:ascii="Arial" w:hAnsi="Arial" w:cs="Arial"/>
          <w:sz w:val="20"/>
        </w:rPr>
        <w:t>Wacom</w:t>
      </w:r>
      <w:proofErr w:type="spellEnd"/>
      <w:r w:rsidRPr="000B1BAF">
        <w:rPr>
          <w:rFonts w:ascii="Arial" w:hAnsi="Arial" w:cs="Arial"/>
          <w:sz w:val="20"/>
        </w:rPr>
        <w:t xml:space="preserve"> podpisnih tablic za potrebe upravnih enot.</w:t>
      </w:r>
    </w:p>
    <w:p w14:paraId="03B7762F" w14:textId="77777777" w:rsidR="000B1BAF" w:rsidRPr="00A335CB" w:rsidRDefault="000B1BAF" w:rsidP="000B1BAF">
      <w:pPr>
        <w:autoSpaceDE w:val="0"/>
        <w:autoSpaceDN w:val="0"/>
        <w:adjustRightInd w:val="0"/>
        <w:spacing w:after="0" w:line="276" w:lineRule="auto"/>
        <w:jc w:val="both"/>
        <w:rPr>
          <w:rFonts w:ascii="Arial" w:hAnsi="Arial" w:cs="Arial"/>
          <w:sz w:val="20"/>
        </w:rPr>
      </w:pPr>
    </w:p>
    <w:p w14:paraId="4CA6F11E" w14:textId="6A7A3F39" w:rsidR="00653B9D" w:rsidRPr="00A335CB" w:rsidRDefault="00D8059D" w:rsidP="005D1A90">
      <w:pPr>
        <w:pStyle w:val="Naslov3"/>
        <w:spacing w:line="276" w:lineRule="auto"/>
        <w:jc w:val="both"/>
        <w:rPr>
          <w:rFonts w:eastAsiaTheme="majorEastAsia" w:cs="Arial"/>
          <w:sz w:val="20"/>
          <w:szCs w:val="20"/>
        </w:rPr>
      </w:pPr>
      <w:bookmarkStart w:id="77" w:name="_Toc184888972"/>
      <w:bookmarkStart w:id="78" w:name="_Toc193199777"/>
      <w:r w:rsidRPr="00A335CB">
        <w:rPr>
          <w:rFonts w:eastAsiaTheme="majorEastAsia" w:cs="Arial"/>
          <w:sz w:val="20"/>
          <w:szCs w:val="20"/>
        </w:rPr>
        <w:t xml:space="preserve"> </w:t>
      </w:r>
      <w:bookmarkStart w:id="79" w:name="_Toc203552992"/>
      <w:r w:rsidR="00653B9D" w:rsidRPr="00A335CB">
        <w:rPr>
          <w:rFonts w:eastAsiaTheme="majorEastAsia" w:cs="Arial"/>
          <w:sz w:val="20"/>
          <w:szCs w:val="20"/>
        </w:rPr>
        <w:t xml:space="preserve">Druge aktivnosti </w:t>
      </w:r>
      <w:r w:rsidRPr="00A335CB">
        <w:rPr>
          <w:rFonts w:eastAsiaTheme="majorEastAsia" w:cs="Arial"/>
          <w:sz w:val="20"/>
          <w:szCs w:val="20"/>
        </w:rPr>
        <w:t xml:space="preserve">na področju upravnih notranjih zadev </w:t>
      </w:r>
      <w:r w:rsidR="00653B9D" w:rsidRPr="00A335CB">
        <w:rPr>
          <w:rFonts w:eastAsiaTheme="majorEastAsia" w:cs="Arial"/>
          <w:sz w:val="20"/>
          <w:szCs w:val="20"/>
        </w:rPr>
        <w:t>v letu 2024</w:t>
      </w:r>
      <w:bookmarkEnd w:id="77"/>
      <w:bookmarkEnd w:id="78"/>
      <w:bookmarkEnd w:id="79"/>
    </w:p>
    <w:p w14:paraId="6ED854F5" w14:textId="1B7237F2" w:rsidR="00D8059D" w:rsidRPr="00A335CB" w:rsidRDefault="00D8059D" w:rsidP="00D8059D">
      <w:pPr>
        <w:spacing w:after="0"/>
      </w:pPr>
    </w:p>
    <w:p w14:paraId="07D8ED86" w14:textId="38F121E1" w:rsidR="00D8059D" w:rsidRPr="00A335CB" w:rsidRDefault="00D8059D" w:rsidP="00D8059D">
      <w:pPr>
        <w:spacing w:after="0"/>
        <w:rPr>
          <w:rFonts w:ascii="Arial" w:hAnsi="Arial" w:cs="Arial"/>
          <w:sz w:val="20"/>
          <w:szCs w:val="20"/>
        </w:rPr>
      </w:pPr>
      <w:r w:rsidRPr="00A335CB">
        <w:rPr>
          <w:rFonts w:ascii="Arial" w:hAnsi="Arial" w:cs="Arial"/>
          <w:sz w:val="20"/>
          <w:szCs w:val="20"/>
        </w:rPr>
        <w:t>Na področju upravnih notranjih zadev je MNZ v letu 2024 izvajalo še naslednje aktivnosti:</w:t>
      </w:r>
    </w:p>
    <w:p w14:paraId="09A7E21D" w14:textId="186BDB2D" w:rsidR="00D12CC2" w:rsidRPr="00A335CB" w:rsidRDefault="00D8059D" w:rsidP="005D1A90">
      <w:pPr>
        <w:numPr>
          <w:ilvl w:val="0"/>
          <w:numId w:val="9"/>
        </w:num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i</w:t>
      </w:r>
      <w:r w:rsidR="00653B9D" w:rsidRPr="00A335CB">
        <w:rPr>
          <w:rFonts w:ascii="Arial" w:hAnsi="Arial" w:cs="Arial"/>
          <w:sz w:val="20"/>
          <w:szCs w:val="20"/>
          <w:lang w:eastAsia="sl-SI"/>
        </w:rPr>
        <w:t>zvajanje tehnične podpore za evropske volitve 2024 ter izmenjava podatkov za izvedbo volitev</w:t>
      </w:r>
      <w:r w:rsidR="00A17A2B">
        <w:rPr>
          <w:rFonts w:ascii="Arial" w:hAnsi="Arial" w:cs="Arial"/>
          <w:sz w:val="20"/>
          <w:szCs w:val="20"/>
          <w:lang w:eastAsia="sl-SI"/>
        </w:rPr>
        <w:t>;</w:t>
      </w:r>
    </w:p>
    <w:p w14:paraId="43B3FC3E" w14:textId="2C91F054" w:rsidR="00653B9D" w:rsidRPr="00A335CB" w:rsidRDefault="00D8059D" w:rsidP="005D1A90">
      <w:pPr>
        <w:numPr>
          <w:ilvl w:val="0"/>
          <w:numId w:val="9"/>
        </w:num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rPr>
        <w:t>i</w:t>
      </w:r>
      <w:r w:rsidR="00653B9D" w:rsidRPr="00A335CB">
        <w:rPr>
          <w:rFonts w:ascii="Arial" w:hAnsi="Arial" w:cs="Arial"/>
          <w:sz w:val="20"/>
          <w:szCs w:val="20"/>
        </w:rPr>
        <w:t xml:space="preserve">zvajanje pomoči uporabnikom v zvezi </w:t>
      </w:r>
      <w:r w:rsidR="00A17A2B">
        <w:rPr>
          <w:rFonts w:ascii="Arial" w:hAnsi="Arial" w:cs="Arial"/>
          <w:sz w:val="20"/>
          <w:szCs w:val="20"/>
        </w:rPr>
        <w:t>s</w:t>
      </w:r>
      <w:r w:rsidR="00A17A2B" w:rsidRPr="00A335CB">
        <w:rPr>
          <w:rFonts w:ascii="Arial" w:hAnsi="Arial" w:cs="Arial"/>
          <w:sz w:val="20"/>
          <w:szCs w:val="20"/>
        </w:rPr>
        <w:t xml:space="preserve"> </w:t>
      </w:r>
      <w:r w:rsidR="00653B9D" w:rsidRPr="00A335CB">
        <w:rPr>
          <w:rFonts w:ascii="Arial" w:hAnsi="Arial" w:cs="Arial"/>
          <w:sz w:val="20"/>
          <w:szCs w:val="20"/>
        </w:rPr>
        <w:t xml:space="preserve">programsko </w:t>
      </w:r>
      <w:r w:rsidR="00A17A2B">
        <w:rPr>
          <w:rFonts w:ascii="Arial" w:hAnsi="Arial" w:cs="Arial"/>
          <w:sz w:val="20"/>
          <w:szCs w:val="20"/>
        </w:rPr>
        <w:t>in</w:t>
      </w:r>
      <w:r w:rsidR="00A17A2B" w:rsidRPr="00A335CB">
        <w:rPr>
          <w:rFonts w:ascii="Arial" w:hAnsi="Arial" w:cs="Arial"/>
          <w:sz w:val="20"/>
          <w:szCs w:val="20"/>
        </w:rPr>
        <w:t xml:space="preserve"> </w:t>
      </w:r>
      <w:r w:rsidR="00653B9D" w:rsidRPr="00A335CB">
        <w:rPr>
          <w:rFonts w:ascii="Arial" w:hAnsi="Arial" w:cs="Arial"/>
          <w:sz w:val="20"/>
          <w:szCs w:val="20"/>
        </w:rPr>
        <w:t>strojno opremo</w:t>
      </w:r>
      <w:r w:rsidR="00A17A2B">
        <w:rPr>
          <w:rFonts w:ascii="Arial" w:hAnsi="Arial" w:cs="Arial"/>
          <w:sz w:val="20"/>
          <w:szCs w:val="20"/>
        </w:rPr>
        <w:t>;</w:t>
      </w:r>
    </w:p>
    <w:p w14:paraId="6AE0B60E" w14:textId="4C0D1895" w:rsidR="00653B9D" w:rsidRPr="00A335CB" w:rsidRDefault="00D8059D" w:rsidP="005D1A90">
      <w:pPr>
        <w:numPr>
          <w:ilvl w:val="0"/>
          <w:numId w:val="9"/>
        </w:num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z</w:t>
      </w:r>
      <w:r w:rsidR="00653B9D" w:rsidRPr="00A335CB">
        <w:rPr>
          <w:rFonts w:ascii="Arial" w:hAnsi="Arial" w:cs="Arial"/>
          <w:sz w:val="20"/>
          <w:szCs w:val="20"/>
        </w:rPr>
        <w:t xml:space="preserve">agotavljanje </w:t>
      </w:r>
      <w:r w:rsidR="00A17A2B">
        <w:rPr>
          <w:rFonts w:ascii="Arial" w:hAnsi="Arial" w:cs="Arial"/>
          <w:sz w:val="20"/>
          <w:szCs w:val="20"/>
        </w:rPr>
        <w:t>priložnostnih</w:t>
      </w:r>
      <w:r w:rsidR="00A17A2B" w:rsidRPr="00A335CB">
        <w:rPr>
          <w:rFonts w:ascii="Arial" w:hAnsi="Arial" w:cs="Arial"/>
          <w:sz w:val="20"/>
          <w:szCs w:val="20"/>
        </w:rPr>
        <w:t xml:space="preserve"> </w:t>
      </w:r>
      <w:r w:rsidR="00653B9D" w:rsidRPr="00A335CB">
        <w:rPr>
          <w:rFonts w:ascii="Arial" w:hAnsi="Arial" w:cs="Arial"/>
          <w:sz w:val="20"/>
          <w:szCs w:val="20"/>
        </w:rPr>
        <w:t xml:space="preserve">poizvedb in priprava statističnih podatkov za DUNZ, DM in </w:t>
      </w:r>
      <w:r w:rsidR="00721952">
        <w:rPr>
          <w:rFonts w:ascii="Arial" w:hAnsi="Arial" w:cs="Arial"/>
          <w:sz w:val="20"/>
          <w:szCs w:val="20"/>
        </w:rPr>
        <w:t>druga</w:t>
      </w:r>
      <w:r w:rsidR="00721952" w:rsidRPr="00A335CB">
        <w:rPr>
          <w:rFonts w:ascii="Arial" w:hAnsi="Arial" w:cs="Arial"/>
          <w:sz w:val="20"/>
          <w:szCs w:val="20"/>
        </w:rPr>
        <w:t xml:space="preserve"> </w:t>
      </w:r>
      <w:r w:rsidR="00653B9D" w:rsidRPr="00A335CB">
        <w:rPr>
          <w:rFonts w:ascii="Arial" w:hAnsi="Arial" w:cs="Arial"/>
          <w:sz w:val="20"/>
          <w:szCs w:val="20"/>
        </w:rPr>
        <w:t xml:space="preserve">ministrstva ter druge poslovne subjekte (pripravljenih je bilo </w:t>
      </w:r>
      <w:r w:rsidR="00A17A2B">
        <w:rPr>
          <w:rFonts w:ascii="Arial" w:hAnsi="Arial" w:cs="Arial"/>
          <w:sz w:val="20"/>
          <w:szCs w:val="20"/>
        </w:rPr>
        <w:t>več kot</w:t>
      </w:r>
      <w:r w:rsidR="00A17A2B" w:rsidRPr="00A335CB">
        <w:rPr>
          <w:rFonts w:ascii="Arial" w:hAnsi="Arial" w:cs="Arial"/>
          <w:sz w:val="20"/>
          <w:szCs w:val="20"/>
        </w:rPr>
        <w:t xml:space="preserve"> </w:t>
      </w:r>
      <w:r w:rsidR="00653B9D" w:rsidRPr="00A335CB">
        <w:rPr>
          <w:rFonts w:ascii="Arial" w:hAnsi="Arial" w:cs="Arial"/>
          <w:sz w:val="20"/>
          <w:szCs w:val="20"/>
        </w:rPr>
        <w:t>300 poizvedb)</w:t>
      </w:r>
      <w:r w:rsidR="00A17A2B">
        <w:rPr>
          <w:rFonts w:ascii="Arial" w:hAnsi="Arial" w:cs="Arial"/>
          <w:sz w:val="20"/>
          <w:szCs w:val="20"/>
        </w:rPr>
        <w:t>;</w:t>
      </w:r>
    </w:p>
    <w:p w14:paraId="49B527A1" w14:textId="77037FA5" w:rsidR="00653B9D" w:rsidRPr="00A335CB" w:rsidRDefault="00D8059D" w:rsidP="005D1A90">
      <w:pPr>
        <w:numPr>
          <w:ilvl w:val="0"/>
          <w:numId w:val="9"/>
        </w:num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p</w:t>
      </w:r>
      <w:r w:rsidR="00653B9D" w:rsidRPr="00A335CB">
        <w:rPr>
          <w:rFonts w:ascii="Arial" w:hAnsi="Arial" w:cs="Arial"/>
          <w:sz w:val="20"/>
          <w:szCs w:val="20"/>
        </w:rPr>
        <w:t>riprava PDF</w:t>
      </w:r>
      <w:r w:rsidR="00A17A2B">
        <w:rPr>
          <w:rFonts w:ascii="Arial" w:hAnsi="Arial" w:cs="Arial"/>
          <w:sz w:val="20"/>
          <w:szCs w:val="20"/>
        </w:rPr>
        <w:t>-</w:t>
      </w:r>
      <w:r w:rsidR="00653B9D" w:rsidRPr="00A335CB">
        <w:rPr>
          <w:rFonts w:ascii="Arial" w:hAnsi="Arial" w:cs="Arial"/>
          <w:sz w:val="20"/>
          <w:szCs w:val="20"/>
        </w:rPr>
        <w:t>obrazcev</w:t>
      </w:r>
      <w:r w:rsidR="00A17A2B">
        <w:rPr>
          <w:rFonts w:ascii="Arial" w:hAnsi="Arial" w:cs="Arial"/>
          <w:sz w:val="20"/>
          <w:szCs w:val="20"/>
        </w:rPr>
        <w:t>;</w:t>
      </w:r>
    </w:p>
    <w:p w14:paraId="45BE1EBC" w14:textId="0D7937B3" w:rsidR="00653B9D" w:rsidRPr="00A335CB" w:rsidRDefault="00D8059D" w:rsidP="005D1A90">
      <w:pPr>
        <w:numPr>
          <w:ilvl w:val="0"/>
          <w:numId w:val="9"/>
        </w:num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z</w:t>
      </w:r>
      <w:r w:rsidR="00653B9D" w:rsidRPr="00A335CB">
        <w:rPr>
          <w:rFonts w:ascii="Arial" w:hAnsi="Arial" w:cs="Arial"/>
          <w:sz w:val="20"/>
          <w:szCs w:val="20"/>
        </w:rPr>
        <w:t>agotavljanje članstva v različnih delovnih skupinah:</w:t>
      </w:r>
    </w:p>
    <w:p w14:paraId="29ADE492" w14:textId="5C44D08E" w:rsidR="00653B9D" w:rsidRPr="00A335CB" w:rsidRDefault="00653B9D" w:rsidP="005D1A90">
      <w:pPr>
        <w:numPr>
          <w:ilvl w:val="0"/>
          <w:numId w:val="7"/>
        </w:numPr>
        <w:autoSpaceDE w:val="0"/>
        <w:autoSpaceDN w:val="0"/>
        <w:adjustRightInd w:val="0"/>
        <w:spacing w:after="0" w:line="276" w:lineRule="auto"/>
        <w:jc w:val="both"/>
        <w:rPr>
          <w:rFonts w:ascii="Arial" w:hAnsi="Arial" w:cs="Arial"/>
          <w:sz w:val="20"/>
          <w:szCs w:val="20"/>
        </w:rPr>
      </w:pPr>
      <w:proofErr w:type="spellStart"/>
      <w:r w:rsidRPr="00A335CB">
        <w:rPr>
          <w:rFonts w:ascii="Arial" w:hAnsi="Arial" w:cs="Arial"/>
          <w:sz w:val="20"/>
          <w:szCs w:val="20"/>
        </w:rPr>
        <w:t>Article</w:t>
      </w:r>
      <w:proofErr w:type="spellEnd"/>
      <w:r w:rsidRPr="00A335CB">
        <w:rPr>
          <w:rFonts w:ascii="Arial" w:hAnsi="Arial" w:cs="Arial"/>
          <w:sz w:val="20"/>
          <w:szCs w:val="20"/>
        </w:rPr>
        <w:t xml:space="preserve"> 6 s </w:t>
      </w:r>
      <w:r w:rsidR="00A17A2B" w:rsidRPr="00A335CB">
        <w:rPr>
          <w:rFonts w:ascii="Arial" w:hAnsi="Arial" w:cs="Arial"/>
          <w:sz w:val="20"/>
          <w:szCs w:val="20"/>
        </w:rPr>
        <w:t>podskupinam</w:t>
      </w:r>
      <w:r w:rsidR="00A17A2B">
        <w:rPr>
          <w:rFonts w:ascii="Arial" w:hAnsi="Arial" w:cs="Arial"/>
          <w:sz w:val="20"/>
          <w:szCs w:val="20"/>
        </w:rPr>
        <w:t>a</w:t>
      </w:r>
      <w:r w:rsidRPr="00A335CB">
        <w:rPr>
          <w:rFonts w:ascii="Arial" w:hAnsi="Arial" w:cs="Arial"/>
          <w:sz w:val="20"/>
          <w:szCs w:val="20"/>
        </w:rPr>
        <w:t>:</w:t>
      </w:r>
    </w:p>
    <w:p w14:paraId="0F267974" w14:textId="46052F68" w:rsidR="00653B9D" w:rsidRPr="00A335CB" w:rsidRDefault="00653B9D" w:rsidP="005D1A90">
      <w:pPr>
        <w:numPr>
          <w:ilvl w:val="0"/>
          <w:numId w:val="6"/>
        </w:numPr>
        <w:autoSpaceDE w:val="0"/>
        <w:autoSpaceDN w:val="0"/>
        <w:adjustRightInd w:val="0"/>
        <w:spacing w:after="0" w:line="276" w:lineRule="auto"/>
        <w:jc w:val="both"/>
        <w:rPr>
          <w:rFonts w:ascii="Arial" w:hAnsi="Arial" w:cs="Arial"/>
          <w:bCs/>
          <w:sz w:val="20"/>
          <w:szCs w:val="20"/>
          <w:lang w:eastAsia="sl-SI"/>
        </w:rPr>
      </w:pPr>
      <w:proofErr w:type="spellStart"/>
      <w:r w:rsidRPr="00A335CB">
        <w:rPr>
          <w:rFonts w:ascii="Arial" w:hAnsi="Arial" w:cs="Arial"/>
          <w:bCs/>
          <w:sz w:val="20"/>
          <w:szCs w:val="20"/>
          <w:lang w:eastAsia="sl-SI"/>
        </w:rPr>
        <w:t>Technical</w:t>
      </w:r>
      <w:proofErr w:type="spellEnd"/>
      <w:r w:rsidRPr="00A335CB">
        <w:rPr>
          <w:rFonts w:ascii="Arial" w:hAnsi="Arial" w:cs="Arial"/>
          <w:bCs/>
          <w:sz w:val="20"/>
          <w:szCs w:val="20"/>
          <w:lang w:eastAsia="sl-SI"/>
        </w:rPr>
        <w:t xml:space="preserve"> </w:t>
      </w:r>
      <w:proofErr w:type="spellStart"/>
      <w:r w:rsidRPr="00A335CB">
        <w:rPr>
          <w:rFonts w:ascii="Arial" w:hAnsi="Arial" w:cs="Arial"/>
          <w:bCs/>
          <w:sz w:val="20"/>
          <w:szCs w:val="20"/>
          <w:lang w:eastAsia="sl-SI"/>
        </w:rPr>
        <w:t>Subgroup</w:t>
      </w:r>
      <w:proofErr w:type="spellEnd"/>
      <w:r w:rsidR="00A17A2B">
        <w:rPr>
          <w:rFonts w:ascii="Arial" w:hAnsi="Arial" w:cs="Arial"/>
          <w:bCs/>
          <w:sz w:val="20"/>
          <w:szCs w:val="20"/>
          <w:lang w:eastAsia="sl-SI"/>
        </w:rPr>
        <w:t xml:space="preserve"> in</w:t>
      </w:r>
    </w:p>
    <w:p w14:paraId="520E0466" w14:textId="03827352" w:rsidR="00653B9D" w:rsidRPr="00A335CB" w:rsidRDefault="00653B9D" w:rsidP="005D1A90">
      <w:pPr>
        <w:numPr>
          <w:ilvl w:val="0"/>
          <w:numId w:val="6"/>
        </w:numPr>
        <w:autoSpaceDE w:val="0"/>
        <w:autoSpaceDN w:val="0"/>
        <w:adjustRightInd w:val="0"/>
        <w:spacing w:after="0" w:line="276" w:lineRule="auto"/>
        <w:jc w:val="both"/>
        <w:rPr>
          <w:rFonts w:ascii="Arial" w:hAnsi="Arial" w:cs="Arial"/>
          <w:sz w:val="20"/>
          <w:szCs w:val="20"/>
        </w:rPr>
      </w:pPr>
      <w:proofErr w:type="spellStart"/>
      <w:r w:rsidRPr="00A335CB">
        <w:rPr>
          <w:rFonts w:ascii="Arial" w:hAnsi="Arial" w:cs="Arial"/>
          <w:bCs/>
          <w:sz w:val="20"/>
          <w:szCs w:val="20"/>
          <w:lang w:eastAsia="sl-SI"/>
        </w:rPr>
        <w:t>Travel</w:t>
      </w:r>
      <w:proofErr w:type="spellEnd"/>
      <w:r w:rsidRPr="00A335CB">
        <w:rPr>
          <w:rFonts w:ascii="Arial" w:hAnsi="Arial" w:cs="Arial"/>
          <w:bCs/>
          <w:sz w:val="20"/>
          <w:szCs w:val="20"/>
          <w:lang w:eastAsia="sl-SI"/>
        </w:rPr>
        <w:t xml:space="preserve"> </w:t>
      </w:r>
      <w:proofErr w:type="spellStart"/>
      <w:r w:rsidRPr="00A335CB">
        <w:rPr>
          <w:rFonts w:ascii="Arial" w:hAnsi="Arial" w:cs="Arial"/>
          <w:bCs/>
          <w:sz w:val="20"/>
          <w:szCs w:val="20"/>
          <w:lang w:eastAsia="sl-SI"/>
        </w:rPr>
        <w:t>Facilitation</w:t>
      </w:r>
      <w:proofErr w:type="spellEnd"/>
      <w:r w:rsidRPr="00A335CB">
        <w:rPr>
          <w:rFonts w:ascii="Arial" w:hAnsi="Arial" w:cs="Arial"/>
          <w:bCs/>
          <w:sz w:val="20"/>
          <w:szCs w:val="20"/>
          <w:lang w:eastAsia="sl-SI"/>
        </w:rPr>
        <w:t xml:space="preserve"> </w:t>
      </w:r>
      <w:proofErr w:type="spellStart"/>
      <w:r w:rsidRPr="00A335CB">
        <w:rPr>
          <w:rFonts w:ascii="Arial" w:hAnsi="Arial" w:cs="Arial"/>
          <w:bCs/>
          <w:sz w:val="20"/>
          <w:szCs w:val="20"/>
          <w:lang w:eastAsia="sl-SI"/>
        </w:rPr>
        <w:t>Group</w:t>
      </w:r>
      <w:proofErr w:type="spellEnd"/>
      <w:r w:rsidRPr="00A335CB">
        <w:rPr>
          <w:rFonts w:ascii="Arial" w:hAnsi="Arial" w:cs="Arial"/>
          <w:bCs/>
          <w:sz w:val="20"/>
          <w:szCs w:val="20"/>
          <w:lang w:eastAsia="sl-SI"/>
        </w:rPr>
        <w:t xml:space="preserve"> (projekt DTC)</w:t>
      </w:r>
      <w:r w:rsidR="00A17A2B">
        <w:rPr>
          <w:rFonts w:ascii="Arial" w:hAnsi="Arial" w:cs="Arial"/>
          <w:bCs/>
          <w:sz w:val="20"/>
          <w:szCs w:val="20"/>
          <w:lang w:eastAsia="sl-SI"/>
        </w:rPr>
        <w:t>;</w:t>
      </w:r>
    </w:p>
    <w:p w14:paraId="7ECB8BCD" w14:textId="52559009" w:rsidR="00653B9D" w:rsidRPr="00A335CB" w:rsidRDefault="00653B9D" w:rsidP="005D1A90">
      <w:pPr>
        <w:numPr>
          <w:ilvl w:val="0"/>
          <w:numId w:val="7"/>
        </w:numPr>
        <w:autoSpaceDE w:val="0"/>
        <w:autoSpaceDN w:val="0"/>
        <w:adjustRightInd w:val="0"/>
        <w:spacing w:after="0" w:line="276" w:lineRule="auto"/>
        <w:jc w:val="both"/>
        <w:rPr>
          <w:rFonts w:ascii="Arial" w:hAnsi="Arial" w:cs="Arial"/>
          <w:sz w:val="20"/>
          <w:szCs w:val="20"/>
        </w:rPr>
      </w:pPr>
      <w:r w:rsidRPr="00A335CB">
        <w:rPr>
          <w:rFonts w:ascii="Arial" w:hAnsi="Arial" w:cs="Arial"/>
          <w:bCs/>
          <w:sz w:val="20"/>
          <w:szCs w:val="20"/>
          <w:lang w:eastAsia="sl-SI"/>
        </w:rPr>
        <w:t xml:space="preserve">EP </w:t>
      </w:r>
      <w:proofErr w:type="spellStart"/>
      <w:r w:rsidRPr="00A335CB">
        <w:rPr>
          <w:rFonts w:ascii="Arial" w:hAnsi="Arial" w:cs="Arial"/>
          <w:bCs/>
          <w:sz w:val="20"/>
          <w:szCs w:val="20"/>
          <w:lang w:eastAsia="sl-SI"/>
        </w:rPr>
        <w:t>Elections</w:t>
      </w:r>
      <w:proofErr w:type="spellEnd"/>
      <w:r w:rsidR="00A17A2B">
        <w:rPr>
          <w:rFonts w:ascii="Arial" w:hAnsi="Arial" w:cs="Arial"/>
          <w:bCs/>
          <w:sz w:val="20"/>
          <w:szCs w:val="20"/>
          <w:lang w:eastAsia="sl-SI"/>
        </w:rPr>
        <w:t>;</w:t>
      </w:r>
    </w:p>
    <w:p w14:paraId="61BF3400" w14:textId="5701BBEA" w:rsidR="00653B9D" w:rsidRPr="00A335CB" w:rsidRDefault="00D8059D" w:rsidP="005D1A90">
      <w:pPr>
        <w:numPr>
          <w:ilvl w:val="0"/>
          <w:numId w:val="7"/>
        </w:numPr>
        <w:spacing w:after="0" w:line="276" w:lineRule="auto"/>
        <w:jc w:val="both"/>
        <w:rPr>
          <w:rFonts w:ascii="Arial" w:hAnsi="Arial" w:cs="Arial"/>
          <w:sz w:val="20"/>
          <w:szCs w:val="20"/>
        </w:rPr>
      </w:pPr>
      <w:r w:rsidRPr="00A335CB">
        <w:rPr>
          <w:rFonts w:ascii="Arial" w:hAnsi="Arial" w:cs="Arial"/>
          <w:sz w:val="20"/>
          <w:szCs w:val="20"/>
        </w:rPr>
        <w:t>Medresorska operativna delovna skupina</w:t>
      </w:r>
      <w:r w:rsidR="00653B9D" w:rsidRPr="00A335CB">
        <w:rPr>
          <w:rFonts w:ascii="Arial" w:hAnsi="Arial" w:cs="Arial"/>
          <w:sz w:val="20"/>
          <w:szCs w:val="20"/>
        </w:rPr>
        <w:t xml:space="preserve"> za </w:t>
      </w:r>
      <w:proofErr w:type="spellStart"/>
      <w:r w:rsidR="00A17A2B">
        <w:rPr>
          <w:rFonts w:ascii="Arial" w:hAnsi="Arial" w:cs="Arial"/>
          <w:sz w:val="20"/>
          <w:szCs w:val="20"/>
        </w:rPr>
        <w:t>i</w:t>
      </w:r>
      <w:r w:rsidR="00A17A2B" w:rsidRPr="00A335CB">
        <w:rPr>
          <w:rFonts w:ascii="Arial" w:hAnsi="Arial" w:cs="Arial"/>
          <w:sz w:val="20"/>
          <w:szCs w:val="20"/>
        </w:rPr>
        <w:t>nteroperabilnost</w:t>
      </w:r>
      <w:proofErr w:type="spellEnd"/>
      <w:r w:rsidR="00A17A2B">
        <w:rPr>
          <w:rFonts w:ascii="Arial" w:hAnsi="Arial" w:cs="Arial"/>
          <w:sz w:val="20"/>
          <w:szCs w:val="20"/>
        </w:rPr>
        <w:t>;</w:t>
      </w:r>
    </w:p>
    <w:p w14:paraId="7F3AE001" w14:textId="79446661" w:rsidR="00653B9D" w:rsidRPr="00A335CB" w:rsidRDefault="00653B9D" w:rsidP="005D1A90">
      <w:pPr>
        <w:numPr>
          <w:ilvl w:val="0"/>
          <w:numId w:val="8"/>
        </w:numPr>
        <w:autoSpaceDE w:val="0"/>
        <w:autoSpaceDN w:val="0"/>
        <w:adjustRightInd w:val="0"/>
        <w:spacing w:after="0" w:line="276" w:lineRule="auto"/>
        <w:jc w:val="both"/>
        <w:rPr>
          <w:rFonts w:ascii="Arial" w:hAnsi="Arial" w:cs="Arial"/>
          <w:sz w:val="20"/>
          <w:szCs w:val="20"/>
        </w:rPr>
      </w:pPr>
      <w:r w:rsidRPr="00A335CB">
        <w:rPr>
          <w:rFonts w:ascii="Arial" w:hAnsi="Arial" w:cs="Arial"/>
          <w:bCs/>
          <w:sz w:val="20"/>
          <w:szCs w:val="20"/>
          <w:lang w:eastAsia="sl-SI"/>
        </w:rPr>
        <w:t>Operativna delovna skupina za IO;</w:t>
      </w:r>
    </w:p>
    <w:p w14:paraId="660966CA" w14:textId="7892E229" w:rsidR="00653B9D" w:rsidRPr="00A335CB" w:rsidRDefault="00D8059D" w:rsidP="005D1A90">
      <w:pPr>
        <w:numPr>
          <w:ilvl w:val="0"/>
          <w:numId w:val="10"/>
        </w:num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w:t>
      </w:r>
      <w:r w:rsidR="00653B9D" w:rsidRPr="00A335CB">
        <w:rPr>
          <w:rFonts w:ascii="Arial" w:hAnsi="Arial" w:cs="Arial"/>
          <w:sz w:val="20"/>
          <w:szCs w:val="20"/>
        </w:rPr>
        <w:t xml:space="preserve">zdrževanje inšpekcijskega sistema za preverjanje vsebnosti zapisa na </w:t>
      </w:r>
      <w:r w:rsidR="00A17A2B" w:rsidRPr="00A335CB">
        <w:rPr>
          <w:rFonts w:ascii="Arial" w:hAnsi="Arial" w:cs="Arial"/>
          <w:sz w:val="20"/>
          <w:szCs w:val="20"/>
        </w:rPr>
        <w:t>dokument</w:t>
      </w:r>
      <w:r w:rsidR="00A17A2B">
        <w:rPr>
          <w:rFonts w:ascii="Arial" w:hAnsi="Arial" w:cs="Arial"/>
          <w:sz w:val="20"/>
          <w:szCs w:val="20"/>
        </w:rPr>
        <w:t>ih</w:t>
      </w:r>
      <w:r w:rsidR="00A17A2B" w:rsidRPr="00A335CB">
        <w:rPr>
          <w:rFonts w:ascii="Arial" w:hAnsi="Arial" w:cs="Arial"/>
          <w:sz w:val="20"/>
          <w:szCs w:val="20"/>
        </w:rPr>
        <w:t xml:space="preserve"> </w:t>
      </w:r>
      <w:r w:rsidR="00653B9D" w:rsidRPr="00A335CB">
        <w:rPr>
          <w:rFonts w:ascii="Arial" w:hAnsi="Arial" w:cs="Arial"/>
          <w:sz w:val="20"/>
          <w:szCs w:val="20"/>
        </w:rPr>
        <w:t>PL, OI, BDP.</w:t>
      </w:r>
    </w:p>
    <w:p w14:paraId="11B9376A" w14:textId="77777777" w:rsidR="00653B9D" w:rsidRPr="00A335CB" w:rsidRDefault="00653B9D" w:rsidP="005D1A90">
      <w:pPr>
        <w:tabs>
          <w:tab w:val="left" w:pos="3402"/>
        </w:tabs>
        <w:spacing w:after="0" w:line="276" w:lineRule="auto"/>
        <w:jc w:val="both"/>
        <w:rPr>
          <w:rFonts w:ascii="Arial" w:hAnsi="Arial" w:cs="Arial"/>
          <w:b/>
          <w:sz w:val="20"/>
          <w:szCs w:val="20"/>
          <w:lang w:eastAsia="sl-SI"/>
        </w:rPr>
      </w:pPr>
    </w:p>
    <w:p w14:paraId="6028C7FB" w14:textId="24D05334" w:rsidR="001C6D21" w:rsidRPr="00A335CB" w:rsidRDefault="00590E45" w:rsidP="005D1A90">
      <w:pPr>
        <w:pStyle w:val="Naslov1"/>
        <w:spacing w:after="0" w:line="276" w:lineRule="auto"/>
        <w:jc w:val="both"/>
        <w:rPr>
          <w:color w:val="auto"/>
        </w:rPr>
      </w:pPr>
      <w:bookmarkStart w:id="80" w:name="_Toc65591465"/>
      <w:bookmarkStart w:id="81" w:name="_Toc65651016"/>
      <w:bookmarkStart w:id="82" w:name="_Toc203552993"/>
      <w:r w:rsidRPr="00A335CB">
        <w:rPr>
          <w:color w:val="auto"/>
        </w:rPr>
        <w:t>Upravljanje migracij</w:t>
      </w:r>
      <w:bookmarkEnd w:id="80"/>
      <w:bookmarkEnd w:id="81"/>
      <w:bookmarkEnd w:id="82"/>
    </w:p>
    <w:p w14:paraId="6714C0F0" w14:textId="77777777" w:rsidR="00A17960" w:rsidRPr="00A335CB" w:rsidRDefault="00A17960" w:rsidP="005D1A90">
      <w:pPr>
        <w:spacing w:after="0" w:line="276" w:lineRule="auto"/>
        <w:rPr>
          <w:rFonts w:ascii="Arial" w:hAnsi="Arial" w:cs="Arial"/>
        </w:rPr>
      </w:pPr>
    </w:p>
    <w:p w14:paraId="2EF17339"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sz w:val="20"/>
          <w:szCs w:val="20"/>
        </w:rPr>
        <w:t>MNZ je pristojno za izvajanje migracijske politike na področjih zakonitih migracij, mednarodne zaščite in začasne zaščite, kar vključuje pripravo in usklajevanje predlogov ukrepov za izvajanje migracijske politike ter pripravo predlogov normativnih aktov.</w:t>
      </w:r>
    </w:p>
    <w:p w14:paraId="7FDE29F8" w14:textId="77777777" w:rsidR="008D3F61" w:rsidRPr="00A335CB" w:rsidRDefault="008D3F61"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 pristojnosti MNZ je tudi vodenje postopkov in odločanje v upravnih zadevah na prvi (zadeve priznanja mednarodne zaščite, izdaje dovoljenj za prebivanje družinskim članom oseb s priznano mednarodno zaščito in osebam z izkazanim interesom Republike Slovenije) in drugi stopnji (odločanje o pritožbenih zadevah s področja dovoljenj za prebivanje tujcev, določitve denarne odškodnine izbrisanim iz registra stalnega prebivalstva, priznanja statusa upravičenca).</w:t>
      </w:r>
    </w:p>
    <w:p w14:paraId="08FD0E40" w14:textId="77777777" w:rsidR="008D3F61" w:rsidRPr="00A335CB" w:rsidRDefault="008D3F61" w:rsidP="005D1A90">
      <w:pPr>
        <w:autoSpaceDE w:val="0"/>
        <w:autoSpaceDN w:val="0"/>
        <w:adjustRightInd w:val="0"/>
        <w:spacing w:after="0" w:line="276" w:lineRule="auto"/>
        <w:jc w:val="both"/>
        <w:rPr>
          <w:rFonts w:ascii="Arial" w:hAnsi="Arial" w:cs="Arial"/>
          <w:sz w:val="20"/>
          <w:szCs w:val="20"/>
        </w:rPr>
      </w:pPr>
    </w:p>
    <w:p w14:paraId="6F186A2A" w14:textId="0265B732" w:rsidR="008D3F61" w:rsidRPr="00A335CB" w:rsidRDefault="008D3F61"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Vlada Republike Slovenije je na predlo</w:t>
      </w:r>
      <w:r w:rsidR="00317770" w:rsidRPr="00A335CB">
        <w:rPr>
          <w:rFonts w:ascii="Arial" w:hAnsi="Arial" w:cs="Arial"/>
          <w:sz w:val="20"/>
          <w:szCs w:val="20"/>
        </w:rPr>
        <w:t>g MNZ</w:t>
      </w:r>
      <w:r w:rsidRPr="00A335CB">
        <w:rPr>
          <w:rFonts w:ascii="Arial" w:hAnsi="Arial" w:cs="Arial"/>
          <w:sz w:val="20"/>
          <w:szCs w:val="20"/>
        </w:rPr>
        <w:t xml:space="preserve"> 28. 3. 2024 sprejela </w:t>
      </w:r>
      <w:r w:rsidRPr="00A335CB">
        <w:rPr>
          <w:rStyle w:val="Krepko"/>
          <w:rFonts w:ascii="Arial" w:hAnsi="Arial" w:cs="Arial"/>
          <w:b w:val="0"/>
          <w:sz w:val="20"/>
          <w:szCs w:val="20"/>
          <w:bdr w:val="none" w:sz="0" w:space="0" w:color="auto" w:frame="1"/>
        </w:rPr>
        <w:t>Strategijo Vlade Republike Slovenije na področju priseljevanja</w:t>
      </w:r>
      <w:r w:rsidRPr="00A335CB">
        <w:rPr>
          <w:rFonts w:ascii="Arial" w:hAnsi="Arial" w:cs="Arial"/>
          <w:sz w:val="20"/>
          <w:szCs w:val="20"/>
        </w:rPr>
        <w:t xml:space="preserve">. Strategija je kot strateški dokument nastajala v sodelovanju s predstavniki različnih vladnih resorjev, nekaterih nevladnih organizacij ter </w:t>
      </w:r>
      <w:r w:rsidR="00A17A2B">
        <w:rPr>
          <w:rFonts w:ascii="Arial" w:hAnsi="Arial" w:cs="Arial"/>
          <w:sz w:val="20"/>
          <w:szCs w:val="20"/>
        </w:rPr>
        <w:t xml:space="preserve">s </w:t>
      </w:r>
      <w:r w:rsidRPr="00A335CB">
        <w:rPr>
          <w:rFonts w:ascii="Arial" w:hAnsi="Arial" w:cs="Arial"/>
          <w:sz w:val="20"/>
          <w:szCs w:val="20"/>
        </w:rPr>
        <w:t xml:space="preserve">strokovnjaki s področja zaposlovanja tujcev, varnosti in migracij. Strategija priseljevanje obravnava kot splošen in stalen družbeni pojav, prepoznava </w:t>
      </w:r>
      <w:r w:rsidR="00721952" w:rsidRPr="00A335CB">
        <w:rPr>
          <w:rFonts w:ascii="Arial" w:hAnsi="Arial" w:cs="Arial"/>
          <w:sz w:val="20"/>
          <w:szCs w:val="20"/>
        </w:rPr>
        <w:t>razvojn</w:t>
      </w:r>
      <w:r w:rsidR="00721952">
        <w:rPr>
          <w:rFonts w:ascii="Arial" w:hAnsi="Arial" w:cs="Arial"/>
          <w:sz w:val="20"/>
          <w:szCs w:val="20"/>
        </w:rPr>
        <w:t>e</w:t>
      </w:r>
      <w:r w:rsidR="00721952" w:rsidRPr="00A335CB">
        <w:rPr>
          <w:rFonts w:ascii="Arial" w:hAnsi="Arial" w:cs="Arial"/>
          <w:sz w:val="20"/>
          <w:szCs w:val="20"/>
        </w:rPr>
        <w:t xml:space="preserve"> </w:t>
      </w:r>
      <w:r w:rsidR="00721952">
        <w:rPr>
          <w:rFonts w:ascii="Arial" w:hAnsi="Arial" w:cs="Arial"/>
          <w:sz w:val="20"/>
          <w:szCs w:val="20"/>
        </w:rPr>
        <w:t>možnosti</w:t>
      </w:r>
      <w:r w:rsidR="00721952" w:rsidRPr="00A335CB">
        <w:rPr>
          <w:rFonts w:ascii="Arial" w:hAnsi="Arial" w:cs="Arial"/>
          <w:sz w:val="20"/>
          <w:szCs w:val="20"/>
        </w:rPr>
        <w:t xml:space="preserve"> </w:t>
      </w:r>
      <w:r w:rsidRPr="00A335CB">
        <w:rPr>
          <w:rFonts w:ascii="Arial" w:hAnsi="Arial" w:cs="Arial"/>
          <w:sz w:val="20"/>
          <w:szCs w:val="20"/>
        </w:rPr>
        <w:t>priseljevanja ter spoštovanje temeljnih človekovih pravic in dostojanstva kot osnovno vodilo pri obravnavi priseljevanja. </w:t>
      </w:r>
    </w:p>
    <w:p w14:paraId="16ADC0F3" w14:textId="77777777" w:rsidR="008D3F61" w:rsidRPr="00A335CB" w:rsidRDefault="008D3F61" w:rsidP="005D1A90">
      <w:pPr>
        <w:autoSpaceDE w:val="0"/>
        <w:autoSpaceDN w:val="0"/>
        <w:adjustRightInd w:val="0"/>
        <w:spacing w:after="0" w:line="276" w:lineRule="auto"/>
        <w:jc w:val="both"/>
        <w:rPr>
          <w:rFonts w:ascii="Arial" w:hAnsi="Arial" w:cs="Arial"/>
          <w:sz w:val="20"/>
          <w:szCs w:val="20"/>
          <w:lang w:eastAsia="sl-SI"/>
        </w:rPr>
      </w:pPr>
    </w:p>
    <w:p w14:paraId="1E15E8C9" w14:textId="1331AB38" w:rsidR="008D3F61" w:rsidRPr="00A335CB" w:rsidRDefault="008D3F61"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 strategiji so določeni štir</w:t>
      </w:r>
      <w:r w:rsidR="00A17A2B">
        <w:rPr>
          <w:rFonts w:ascii="Arial" w:hAnsi="Arial" w:cs="Arial"/>
          <w:sz w:val="20"/>
          <w:szCs w:val="20"/>
        </w:rPr>
        <w:t>je</w:t>
      </w:r>
      <w:r w:rsidRPr="00A335CB">
        <w:rPr>
          <w:rFonts w:ascii="Arial" w:hAnsi="Arial" w:cs="Arial"/>
          <w:sz w:val="20"/>
          <w:szCs w:val="20"/>
        </w:rPr>
        <w:t xml:space="preserve"> strateški cilji, ki celostno obravnavajo vidike priseljevanja:</w:t>
      </w:r>
    </w:p>
    <w:p w14:paraId="49901D0B" w14:textId="7B09CB3E" w:rsidR="008D3F61" w:rsidRPr="00A335CB" w:rsidRDefault="00317770" w:rsidP="005D1A90">
      <w:pPr>
        <w:pStyle w:val="Odstavekseznama"/>
        <w:numPr>
          <w:ilvl w:val="0"/>
          <w:numId w:val="20"/>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p</w:t>
      </w:r>
      <w:r w:rsidR="008D3F61" w:rsidRPr="00A335CB">
        <w:rPr>
          <w:rFonts w:ascii="Arial" w:hAnsi="Arial" w:cs="Arial"/>
          <w:sz w:val="20"/>
          <w:szCs w:val="20"/>
        </w:rPr>
        <w:t>rvi strateški cilj je osredotočen na </w:t>
      </w:r>
      <w:r w:rsidR="008D3F61" w:rsidRPr="00A335CB">
        <w:rPr>
          <w:rStyle w:val="Krepko"/>
          <w:rFonts w:ascii="Arial" w:hAnsi="Arial" w:cs="Arial"/>
          <w:b w:val="0"/>
          <w:sz w:val="20"/>
          <w:szCs w:val="20"/>
          <w:bdr w:val="none" w:sz="0" w:space="0" w:color="auto" w:frame="1"/>
        </w:rPr>
        <w:t xml:space="preserve">zunanje delovanje, usmerjeno v odpravo vzrokov za priseljevanje; </w:t>
      </w:r>
    </w:p>
    <w:p w14:paraId="38B7076A" w14:textId="584DE6B5" w:rsidR="008D3F61" w:rsidRPr="00A335CB" w:rsidRDefault="00317770" w:rsidP="005D1A90">
      <w:pPr>
        <w:pStyle w:val="Odstavekseznama"/>
        <w:numPr>
          <w:ilvl w:val="0"/>
          <w:numId w:val="20"/>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d</w:t>
      </w:r>
      <w:r w:rsidR="008D3F61" w:rsidRPr="00A335CB">
        <w:rPr>
          <w:rFonts w:ascii="Arial" w:hAnsi="Arial" w:cs="Arial"/>
          <w:sz w:val="20"/>
          <w:szCs w:val="20"/>
        </w:rPr>
        <w:t>rugi strateški cilj je usmerjen v </w:t>
      </w:r>
      <w:r w:rsidR="008D3F61" w:rsidRPr="00A335CB">
        <w:rPr>
          <w:rStyle w:val="Krepko"/>
          <w:rFonts w:ascii="Arial" w:hAnsi="Arial" w:cs="Arial"/>
          <w:b w:val="0"/>
          <w:sz w:val="20"/>
          <w:szCs w:val="20"/>
          <w:bdr w:val="none" w:sz="0" w:space="0" w:color="auto" w:frame="1"/>
        </w:rPr>
        <w:t>spodbujanje zakonitega priseljevanja zaradi zaposlitve ali dela</w:t>
      </w:r>
      <w:r w:rsidR="008D3F61" w:rsidRPr="00A335CB">
        <w:rPr>
          <w:rFonts w:ascii="Arial" w:hAnsi="Arial" w:cs="Arial"/>
          <w:sz w:val="20"/>
          <w:szCs w:val="20"/>
        </w:rPr>
        <w:t>;</w:t>
      </w:r>
    </w:p>
    <w:p w14:paraId="60A42DDF" w14:textId="738243B5" w:rsidR="008D3F61" w:rsidRPr="00A335CB" w:rsidRDefault="00317770" w:rsidP="005D1A90">
      <w:pPr>
        <w:pStyle w:val="Odstavekseznama"/>
        <w:numPr>
          <w:ilvl w:val="0"/>
          <w:numId w:val="20"/>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t</w:t>
      </w:r>
      <w:r w:rsidR="008D3F61" w:rsidRPr="00A335CB">
        <w:rPr>
          <w:rFonts w:ascii="Arial" w:hAnsi="Arial" w:cs="Arial"/>
          <w:sz w:val="20"/>
          <w:szCs w:val="20"/>
        </w:rPr>
        <w:t>retji strateški cilj se osredotoča na </w:t>
      </w:r>
      <w:r w:rsidR="008D3F61" w:rsidRPr="00A335CB">
        <w:rPr>
          <w:rStyle w:val="Krepko"/>
          <w:rFonts w:ascii="Arial" w:hAnsi="Arial" w:cs="Arial"/>
          <w:b w:val="0"/>
          <w:sz w:val="20"/>
          <w:szCs w:val="20"/>
          <w:bdr w:val="none" w:sz="0" w:space="0" w:color="auto" w:frame="1"/>
        </w:rPr>
        <w:t>zaščito življenja in obravnavo vidikov prisilnih razselitev</w:t>
      </w:r>
      <w:r w:rsidR="008D3F61" w:rsidRPr="00A335CB">
        <w:rPr>
          <w:rFonts w:ascii="Arial" w:hAnsi="Arial" w:cs="Arial"/>
          <w:sz w:val="20"/>
          <w:szCs w:val="20"/>
        </w:rPr>
        <w:t>;</w:t>
      </w:r>
    </w:p>
    <w:p w14:paraId="15809EFA" w14:textId="436DAE08" w:rsidR="008D3F61" w:rsidRPr="00A335CB" w:rsidRDefault="00317770" w:rsidP="005D1A90">
      <w:pPr>
        <w:pStyle w:val="Odstavekseznama"/>
        <w:numPr>
          <w:ilvl w:val="0"/>
          <w:numId w:val="20"/>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č</w:t>
      </w:r>
      <w:r w:rsidR="008D3F61" w:rsidRPr="00A335CB">
        <w:rPr>
          <w:rFonts w:ascii="Arial" w:hAnsi="Arial" w:cs="Arial"/>
          <w:sz w:val="20"/>
          <w:szCs w:val="20"/>
        </w:rPr>
        <w:t>etrti strateški cilj obravnava </w:t>
      </w:r>
      <w:r w:rsidR="008D3F61" w:rsidRPr="00A335CB">
        <w:rPr>
          <w:rStyle w:val="Krepko"/>
          <w:rFonts w:ascii="Arial" w:hAnsi="Arial" w:cs="Arial"/>
          <w:b w:val="0"/>
          <w:sz w:val="20"/>
          <w:szCs w:val="20"/>
          <w:bdr w:val="none" w:sz="0" w:space="0" w:color="auto" w:frame="1"/>
        </w:rPr>
        <w:t>morebitni vpliv migracij na notranjo varnost</w:t>
      </w:r>
      <w:r w:rsidR="008D3F61" w:rsidRPr="00A335CB">
        <w:rPr>
          <w:rFonts w:ascii="Arial" w:hAnsi="Arial" w:cs="Arial"/>
          <w:sz w:val="20"/>
          <w:szCs w:val="20"/>
        </w:rPr>
        <w:t>.</w:t>
      </w:r>
    </w:p>
    <w:p w14:paraId="025FA3EE" w14:textId="77777777" w:rsidR="008D3F61" w:rsidRPr="00A335CB" w:rsidRDefault="008D3F61" w:rsidP="005D1A90">
      <w:pPr>
        <w:autoSpaceDE w:val="0"/>
        <w:autoSpaceDN w:val="0"/>
        <w:adjustRightInd w:val="0"/>
        <w:spacing w:after="0" w:line="276" w:lineRule="auto"/>
        <w:jc w:val="both"/>
        <w:rPr>
          <w:rFonts w:ascii="Arial" w:hAnsi="Arial" w:cs="Arial"/>
          <w:sz w:val="20"/>
          <w:szCs w:val="20"/>
        </w:rPr>
      </w:pPr>
    </w:p>
    <w:p w14:paraId="2A20A366" w14:textId="676C68B8" w:rsidR="008D3F61" w:rsidRPr="00A335CB" w:rsidRDefault="008D3F61"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Pomemben del strategije je namenjen tudi </w:t>
      </w:r>
      <w:r w:rsidRPr="00A335CB">
        <w:rPr>
          <w:rStyle w:val="Krepko"/>
          <w:rFonts w:ascii="Arial" w:hAnsi="Arial" w:cs="Arial"/>
          <w:b w:val="0"/>
          <w:sz w:val="20"/>
          <w:szCs w:val="20"/>
          <w:bdr w:val="none" w:sz="0" w:space="0" w:color="auto" w:frame="1"/>
        </w:rPr>
        <w:t>zaščiti najranljiv</w:t>
      </w:r>
      <w:r w:rsidR="00A17A2B">
        <w:rPr>
          <w:rStyle w:val="Krepko"/>
          <w:rFonts w:ascii="Arial" w:hAnsi="Arial" w:cs="Arial"/>
          <w:b w:val="0"/>
          <w:sz w:val="20"/>
          <w:szCs w:val="20"/>
          <w:bdr w:val="none" w:sz="0" w:space="0" w:color="auto" w:frame="1"/>
        </w:rPr>
        <w:t>ejš</w:t>
      </w:r>
      <w:r w:rsidRPr="00A335CB">
        <w:rPr>
          <w:rStyle w:val="Krepko"/>
          <w:rFonts w:ascii="Arial" w:hAnsi="Arial" w:cs="Arial"/>
          <w:b w:val="0"/>
          <w:sz w:val="20"/>
          <w:szCs w:val="20"/>
          <w:bdr w:val="none" w:sz="0" w:space="0" w:color="auto" w:frame="1"/>
        </w:rPr>
        <w:t>ih kategorij priseljencev</w:t>
      </w:r>
      <w:r w:rsidRPr="00A335CB">
        <w:rPr>
          <w:rFonts w:ascii="Arial" w:hAnsi="Arial" w:cs="Arial"/>
          <w:sz w:val="20"/>
          <w:szCs w:val="20"/>
        </w:rPr>
        <w:t>, vključno z mladoletniki in mladoletniki brez spremstva, žrtvami trgovine z ljudmi in žrtvami posilstev, mučenja ali drugih težjih oblik psihičnega, fizičnega in spolnega nasilja. </w:t>
      </w:r>
    </w:p>
    <w:p w14:paraId="412953E7" w14:textId="77777777" w:rsidR="008D3F61" w:rsidRPr="00A335CB" w:rsidRDefault="008D3F61" w:rsidP="005D1A90">
      <w:pPr>
        <w:autoSpaceDE w:val="0"/>
        <w:autoSpaceDN w:val="0"/>
        <w:adjustRightInd w:val="0"/>
        <w:spacing w:after="0" w:line="276" w:lineRule="auto"/>
        <w:jc w:val="both"/>
        <w:rPr>
          <w:rFonts w:ascii="Arial" w:hAnsi="Arial" w:cs="Arial"/>
          <w:sz w:val="20"/>
          <w:szCs w:val="20"/>
        </w:rPr>
      </w:pPr>
    </w:p>
    <w:p w14:paraId="69849936" w14:textId="09800B60" w:rsidR="008D3F61" w:rsidRPr="00A335CB" w:rsidRDefault="007B3670" w:rsidP="005D1A90">
      <w:pPr>
        <w:spacing w:after="0" w:line="276" w:lineRule="auto"/>
        <w:jc w:val="both"/>
        <w:rPr>
          <w:rFonts w:ascii="Arial" w:hAnsi="Arial" w:cs="Arial"/>
          <w:b/>
          <w:sz w:val="20"/>
          <w:szCs w:val="20"/>
        </w:rPr>
      </w:pPr>
      <w:r w:rsidRPr="00A335CB">
        <w:rPr>
          <w:rFonts w:ascii="Arial" w:hAnsi="Arial" w:cs="Arial"/>
          <w:b/>
          <w:sz w:val="20"/>
          <w:szCs w:val="20"/>
        </w:rPr>
        <w:t>Mednarodna zaščita</w:t>
      </w:r>
    </w:p>
    <w:p w14:paraId="1EF693B9" w14:textId="5E5A5BBB" w:rsidR="008D3F61" w:rsidRPr="00A335CB" w:rsidRDefault="008D3F61"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 letu 2024 je bilo vloženih 22</w:t>
      </w:r>
      <w:r w:rsidR="00A17A2B">
        <w:rPr>
          <w:rFonts w:ascii="Arial" w:hAnsi="Arial" w:cs="Arial"/>
          <w:sz w:val="20"/>
          <w:szCs w:val="20"/>
        </w:rPr>
        <w:t> </w:t>
      </w:r>
      <w:r w:rsidRPr="00A335CB">
        <w:rPr>
          <w:rFonts w:ascii="Arial" w:hAnsi="Arial" w:cs="Arial"/>
          <w:sz w:val="20"/>
          <w:szCs w:val="20"/>
        </w:rPr>
        <w:t>% manj prošenj za mednarodno zaščito v primer</w:t>
      </w:r>
      <w:r w:rsidR="00317770" w:rsidRPr="00A335CB">
        <w:rPr>
          <w:rFonts w:ascii="Arial" w:hAnsi="Arial" w:cs="Arial"/>
          <w:sz w:val="20"/>
          <w:szCs w:val="20"/>
        </w:rPr>
        <w:t xml:space="preserve">javi s preteklim letom. </w:t>
      </w:r>
      <w:r w:rsidR="00A17A2B">
        <w:rPr>
          <w:rFonts w:ascii="Arial" w:hAnsi="Arial" w:cs="Arial"/>
          <w:sz w:val="20"/>
          <w:szCs w:val="20"/>
        </w:rPr>
        <w:t>J</w:t>
      </w:r>
      <w:r w:rsidRPr="00A335CB">
        <w:rPr>
          <w:rFonts w:ascii="Arial" w:hAnsi="Arial" w:cs="Arial"/>
          <w:sz w:val="20"/>
          <w:szCs w:val="20"/>
        </w:rPr>
        <w:t>anuarj</w:t>
      </w:r>
      <w:r w:rsidR="00A17A2B">
        <w:rPr>
          <w:rFonts w:ascii="Arial" w:hAnsi="Arial" w:cs="Arial"/>
          <w:sz w:val="20"/>
          <w:szCs w:val="20"/>
        </w:rPr>
        <w:t>a</w:t>
      </w:r>
      <w:r w:rsidRPr="00A335CB">
        <w:rPr>
          <w:rFonts w:ascii="Arial" w:hAnsi="Arial" w:cs="Arial"/>
          <w:sz w:val="20"/>
          <w:szCs w:val="20"/>
        </w:rPr>
        <w:t xml:space="preserve"> je bilo sicer vloženih 610 prošenj za mednarodno zaščito, kar je preseglo mesečne vrednosti preteklih nekaj let, vendar</w:t>
      </w:r>
      <w:r w:rsidR="00317770" w:rsidRPr="00A335CB">
        <w:rPr>
          <w:rFonts w:ascii="Arial" w:hAnsi="Arial" w:cs="Arial"/>
          <w:sz w:val="20"/>
          <w:szCs w:val="20"/>
        </w:rPr>
        <w:t xml:space="preserve"> se je število prošenj od marca </w:t>
      </w:r>
      <w:r w:rsidRPr="00A335CB">
        <w:rPr>
          <w:rFonts w:ascii="Arial" w:hAnsi="Arial" w:cs="Arial"/>
          <w:sz w:val="20"/>
          <w:szCs w:val="20"/>
        </w:rPr>
        <w:t>zmanjševalo v primerjavi z mesečnim trendom preteklega leta.</w:t>
      </w:r>
    </w:p>
    <w:p w14:paraId="203BB7ED" w14:textId="0B45B6AD" w:rsidR="008D3F61" w:rsidRPr="00A335CB" w:rsidRDefault="008D3F61" w:rsidP="005D1A90">
      <w:pPr>
        <w:spacing w:line="276" w:lineRule="auto"/>
        <w:jc w:val="both"/>
        <w:rPr>
          <w:rFonts w:ascii="Arial" w:hAnsi="Arial" w:cs="Arial"/>
          <w:sz w:val="20"/>
          <w:szCs w:val="20"/>
        </w:rPr>
      </w:pPr>
    </w:p>
    <w:p w14:paraId="2E0BCF59"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noProof/>
          <w:lang w:eastAsia="sl-SI"/>
        </w:rPr>
        <w:drawing>
          <wp:inline distT="0" distB="0" distL="0" distR="0" wp14:anchorId="0CF37BBF" wp14:editId="7616E6FD">
            <wp:extent cx="5279366" cy="2674189"/>
            <wp:effectExtent l="0" t="0" r="17145" b="12065"/>
            <wp:docPr id="29" name="Grafikon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261F4F" w14:textId="558E55A1" w:rsidR="008D3F61" w:rsidRPr="00A335CB" w:rsidRDefault="008D3F61" w:rsidP="00317770">
      <w:pPr>
        <w:spacing w:after="0" w:line="276" w:lineRule="auto"/>
        <w:jc w:val="both"/>
        <w:rPr>
          <w:rFonts w:ascii="Arial" w:hAnsi="Arial" w:cs="Arial"/>
          <w:sz w:val="20"/>
          <w:szCs w:val="20"/>
        </w:rPr>
      </w:pPr>
      <w:r w:rsidRPr="00A335CB">
        <w:rPr>
          <w:rFonts w:ascii="Arial" w:hAnsi="Arial" w:cs="Arial"/>
          <w:b/>
          <w:sz w:val="20"/>
          <w:szCs w:val="20"/>
        </w:rPr>
        <w:t>Graf:</w:t>
      </w:r>
      <w:r w:rsidRPr="00A335CB">
        <w:rPr>
          <w:rFonts w:ascii="Arial" w:hAnsi="Arial" w:cs="Arial"/>
          <w:sz w:val="20"/>
          <w:szCs w:val="20"/>
        </w:rPr>
        <w:t xml:space="preserve"> Spreminjanje števila prošenj za mednarodno zaščito v zadnjih sedmih letih</w:t>
      </w:r>
    </w:p>
    <w:p w14:paraId="5077ECDC" w14:textId="77777777" w:rsidR="00317770" w:rsidRPr="00A335CB" w:rsidRDefault="00317770" w:rsidP="00317770">
      <w:pPr>
        <w:spacing w:after="0" w:line="276" w:lineRule="auto"/>
        <w:jc w:val="both"/>
        <w:rPr>
          <w:rFonts w:ascii="Arial" w:hAnsi="Arial" w:cs="Arial"/>
          <w:sz w:val="20"/>
          <w:szCs w:val="20"/>
        </w:rPr>
      </w:pPr>
    </w:p>
    <w:p w14:paraId="658BDE55" w14:textId="4B7DF345" w:rsidR="008D3F61" w:rsidRPr="00A335CB" w:rsidRDefault="008D3F61" w:rsidP="005D1A90">
      <w:pPr>
        <w:spacing w:line="276" w:lineRule="auto"/>
        <w:jc w:val="both"/>
        <w:rPr>
          <w:rFonts w:ascii="Arial" w:hAnsi="Arial" w:cs="Arial"/>
          <w:sz w:val="20"/>
          <w:szCs w:val="20"/>
        </w:rPr>
      </w:pPr>
      <w:r w:rsidRPr="00A335CB">
        <w:rPr>
          <w:rFonts w:ascii="Arial" w:hAnsi="Arial" w:cs="Arial"/>
          <w:sz w:val="20"/>
          <w:szCs w:val="20"/>
        </w:rPr>
        <w:t>Enako kot</w:t>
      </w:r>
      <w:r w:rsidR="00317770" w:rsidRPr="00A335CB">
        <w:rPr>
          <w:rFonts w:ascii="Arial" w:hAnsi="Arial" w:cs="Arial"/>
          <w:sz w:val="20"/>
          <w:szCs w:val="20"/>
        </w:rPr>
        <w:t xml:space="preserve"> v preteklem letu je bilo </w:t>
      </w:r>
      <w:r w:rsidRPr="00A335CB">
        <w:rPr>
          <w:rFonts w:ascii="Arial" w:hAnsi="Arial" w:cs="Arial"/>
          <w:sz w:val="20"/>
          <w:szCs w:val="20"/>
        </w:rPr>
        <w:t>največ prošenj vloženih s strani državljanov Maroka (63</w:t>
      </w:r>
      <w:r w:rsidR="00317770" w:rsidRPr="00A335CB">
        <w:rPr>
          <w:rFonts w:ascii="Arial" w:hAnsi="Arial" w:cs="Arial"/>
          <w:sz w:val="20"/>
          <w:szCs w:val="20"/>
        </w:rPr>
        <w:t xml:space="preserve"> </w:t>
      </w:r>
      <w:r w:rsidRPr="00A335CB">
        <w:rPr>
          <w:rFonts w:ascii="Arial" w:hAnsi="Arial" w:cs="Arial"/>
          <w:sz w:val="20"/>
          <w:szCs w:val="20"/>
        </w:rPr>
        <w:t>%), sledili pa so jim državljani Alžirije (8</w:t>
      </w:r>
      <w:r w:rsidR="00317770" w:rsidRPr="00A335CB">
        <w:rPr>
          <w:rFonts w:ascii="Arial" w:hAnsi="Arial" w:cs="Arial"/>
          <w:sz w:val="20"/>
          <w:szCs w:val="20"/>
        </w:rPr>
        <w:t xml:space="preserve"> </w:t>
      </w:r>
      <w:r w:rsidRPr="00A335CB">
        <w:rPr>
          <w:rFonts w:ascii="Arial" w:hAnsi="Arial" w:cs="Arial"/>
          <w:sz w:val="20"/>
          <w:szCs w:val="20"/>
        </w:rPr>
        <w:t xml:space="preserve">%) </w:t>
      </w:r>
      <w:r w:rsidR="0025150B">
        <w:rPr>
          <w:rFonts w:ascii="Arial" w:hAnsi="Arial" w:cs="Arial"/>
          <w:sz w:val="20"/>
          <w:szCs w:val="20"/>
        </w:rPr>
        <w:t>in</w:t>
      </w:r>
      <w:r w:rsidR="0025150B" w:rsidRPr="00A335CB">
        <w:rPr>
          <w:rFonts w:ascii="Arial" w:hAnsi="Arial" w:cs="Arial"/>
          <w:sz w:val="20"/>
          <w:szCs w:val="20"/>
        </w:rPr>
        <w:t xml:space="preserve"> </w:t>
      </w:r>
      <w:r w:rsidRPr="00A335CB">
        <w:rPr>
          <w:rFonts w:ascii="Arial" w:hAnsi="Arial" w:cs="Arial"/>
          <w:sz w:val="20"/>
          <w:szCs w:val="20"/>
        </w:rPr>
        <w:t>Afganistana (7</w:t>
      </w:r>
      <w:r w:rsidR="00317770" w:rsidRPr="00A335CB">
        <w:rPr>
          <w:rFonts w:ascii="Arial" w:hAnsi="Arial" w:cs="Arial"/>
          <w:sz w:val="20"/>
          <w:szCs w:val="20"/>
        </w:rPr>
        <w:t xml:space="preserve"> </w:t>
      </w:r>
      <w:r w:rsidRPr="00A335CB">
        <w:rPr>
          <w:rFonts w:ascii="Arial" w:hAnsi="Arial" w:cs="Arial"/>
          <w:sz w:val="20"/>
          <w:szCs w:val="20"/>
        </w:rPr>
        <w:t>%). Čeprav so bili državljani Afganistana na tretjem mestu po številu vloženih prošenj za mednarodno zaščito v letu 2024, je njihovo število v absolutnem smislu bistveno nižje v primerjavi z letoma 2021 in 2022, ko so vložili največ prošenj.</w:t>
      </w:r>
    </w:p>
    <w:p w14:paraId="41DD4B67"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noProof/>
          <w:lang w:eastAsia="sl-SI"/>
        </w:rPr>
        <w:drawing>
          <wp:inline distT="0" distB="0" distL="0" distR="0" wp14:anchorId="4B912164" wp14:editId="67A86754">
            <wp:extent cx="4528868" cy="2303253"/>
            <wp:effectExtent l="0" t="0" r="5080" b="1905"/>
            <wp:docPr id="32" name="Grafikon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A2972A" w14:textId="77777777" w:rsidR="008D3F61" w:rsidRPr="00A335CB" w:rsidRDefault="008D3F61" w:rsidP="005D1A90">
      <w:pPr>
        <w:spacing w:after="0" w:line="276" w:lineRule="auto"/>
        <w:jc w:val="both"/>
        <w:rPr>
          <w:rFonts w:ascii="Arial" w:hAnsi="Arial" w:cs="Arial"/>
          <w:b/>
          <w:sz w:val="20"/>
          <w:szCs w:val="20"/>
        </w:rPr>
      </w:pPr>
      <w:r w:rsidRPr="00A335CB">
        <w:rPr>
          <w:rFonts w:ascii="Arial" w:hAnsi="Arial" w:cs="Arial"/>
          <w:b/>
          <w:sz w:val="20"/>
          <w:szCs w:val="20"/>
        </w:rPr>
        <w:t>Graf:</w:t>
      </w:r>
      <w:r w:rsidRPr="00A335CB">
        <w:rPr>
          <w:rFonts w:ascii="Arial" w:hAnsi="Arial" w:cs="Arial"/>
          <w:sz w:val="20"/>
          <w:szCs w:val="20"/>
        </w:rPr>
        <w:t xml:space="preserve"> Prve tri države izvora, katerih državljani so vložili največ prošenj za mednarodno zaščito v letu 2024</w:t>
      </w:r>
    </w:p>
    <w:p w14:paraId="358E23EA" w14:textId="77777777" w:rsidR="008D3F61" w:rsidRPr="00A335CB" w:rsidRDefault="008D3F61" w:rsidP="005D1A90">
      <w:pPr>
        <w:spacing w:after="0" w:line="276" w:lineRule="auto"/>
        <w:jc w:val="both"/>
        <w:rPr>
          <w:rFonts w:ascii="Arial" w:hAnsi="Arial" w:cs="Arial"/>
          <w:b/>
          <w:sz w:val="20"/>
          <w:szCs w:val="20"/>
        </w:rPr>
      </w:pPr>
    </w:p>
    <w:p w14:paraId="433E947D" w14:textId="57AC5233" w:rsidR="008D3F61" w:rsidRDefault="008D3F61" w:rsidP="005D1A90">
      <w:pPr>
        <w:spacing w:line="276" w:lineRule="auto"/>
        <w:jc w:val="both"/>
        <w:rPr>
          <w:rFonts w:ascii="Arial" w:hAnsi="Arial" w:cs="Arial"/>
          <w:sz w:val="20"/>
          <w:szCs w:val="20"/>
        </w:rPr>
      </w:pPr>
      <w:r w:rsidRPr="00A335CB">
        <w:rPr>
          <w:rFonts w:ascii="Arial" w:hAnsi="Arial" w:cs="Arial"/>
          <w:sz w:val="20"/>
          <w:szCs w:val="20"/>
        </w:rPr>
        <w:t>V letu 2024 se je v večji meri nadaljeval trend samovoljnega zapuščanja Republike Slovenije, ustavljenih je bilo 54 % vseh rešenih postopkov (v letu 2023 34 %). Zaznan je bil upad števila vloženih prošenj, pri katerih je bilo ugotovljeno, da je za njihovo obravnavo pristojna druga država članica EU. Tako je bilo zaključenih 40 % rešenih prošenj oziroma kar 41 % manj kot prejšnje leto. Glede na navedeno je bilo le 7 % rešenih prošenj vsebinsko obravnavanih, med katerimi je bilo priznanih statusov 184 (47</w:t>
      </w:r>
      <w:r w:rsidR="0025150B">
        <w:rPr>
          <w:rFonts w:ascii="Arial" w:hAnsi="Arial" w:cs="Arial"/>
          <w:sz w:val="20"/>
          <w:szCs w:val="20"/>
        </w:rPr>
        <w:t> </w:t>
      </w:r>
      <w:r w:rsidRPr="00A335CB">
        <w:rPr>
          <w:rFonts w:ascii="Arial" w:hAnsi="Arial" w:cs="Arial"/>
          <w:sz w:val="20"/>
          <w:szCs w:val="20"/>
        </w:rPr>
        <w:t>% vsebinsko obravnavanih postopkov).</w:t>
      </w:r>
    </w:p>
    <w:p w14:paraId="08DA58EE" w14:textId="77777777" w:rsidR="009C51CB" w:rsidRPr="00A335CB" w:rsidRDefault="009C51CB" w:rsidP="005D1A90">
      <w:pPr>
        <w:spacing w:line="276" w:lineRule="auto"/>
        <w:jc w:val="both"/>
        <w:rPr>
          <w:rFonts w:ascii="Arial" w:hAnsi="Arial" w:cs="Arial"/>
          <w:sz w:val="20"/>
          <w:szCs w:val="20"/>
        </w:rPr>
      </w:pPr>
    </w:p>
    <w:p w14:paraId="52D3556D"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noProof/>
          <w:sz w:val="18"/>
          <w:szCs w:val="18"/>
          <w:lang w:eastAsia="sl-SI"/>
        </w:rPr>
        <w:drawing>
          <wp:inline distT="0" distB="0" distL="0" distR="0" wp14:anchorId="2F0A6CE1" wp14:editId="4290DF40">
            <wp:extent cx="4485736" cy="2208362"/>
            <wp:effectExtent l="0" t="0" r="10160" b="1905"/>
            <wp:docPr id="33" name="Grafikon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48F2C5" w14:textId="77777777" w:rsidR="007B3670" w:rsidRPr="00A335CB" w:rsidRDefault="008D3F61" w:rsidP="007B3670">
      <w:pPr>
        <w:spacing w:after="0" w:line="276" w:lineRule="auto"/>
        <w:jc w:val="both"/>
        <w:rPr>
          <w:rFonts w:ascii="Arial" w:hAnsi="Arial" w:cs="Arial"/>
          <w:sz w:val="20"/>
          <w:szCs w:val="20"/>
        </w:rPr>
      </w:pPr>
      <w:r w:rsidRPr="00A335CB">
        <w:rPr>
          <w:rFonts w:ascii="Arial" w:hAnsi="Arial" w:cs="Arial"/>
          <w:b/>
          <w:sz w:val="20"/>
          <w:szCs w:val="20"/>
        </w:rPr>
        <w:t>Graf:</w:t>
      </w:r>
      <w:r w:rsidRPr="00A335CB">
        <w:rPr>
          <w:rFonts w:ascii="Arial" w:hAnsi="Arial" w:cs="Arial"/>
          <w:sz w:val="20"/>
          <w:szCs w:val="20"/>
        </w:rPr>
        <w:t xml:space="preserve"> Struktura rešenih prošenj za mednarodno zaščito v letu 2024</w:t>
      </w:r>
    </w:p>
    <w:p w14:paraId="63D11E1B" w14:textId="77777777" w:rsidR="007B3670" w:rsidRPr="00A335CB" w:rsidRDefault="007B3670" w:rsidP="007B3670">
      <w:pPr>
        <w:spacing w:after="0" w:line="276" w:lineRule="auto"/>
        <w:jc w:val="both"/>
        <w:rPr>
          <w:rFonts w:ascii="Arial" w:hAnsi="Arial" w:cs="Arial"/>
          <w:sz w:val="20"/>
          <w:szCs w:val="20"/>
        </w:rPr>
      </w:pPr>
    </w:p>
    <w:p w14:paraId="7993FF82" w14:textId="564D054C" w:rsidR="008D3F61" w:rsidRPr="00A335CB" w:rsidRDefault="008D3F61" w:rsidP="007B3670">
      <w:pPr>
        <w:spacing w:after="0" w:line="276" w:lineRule="auto"/>
        <w:jc w:val="both"/>
        <w:rPr>
          <w:rFonts w:ascii="Arial" w:hAnsi="Arial" w:cs="Arial"/>
          <w:sz w:val="20"/>
          <w:szCs w:val="20"/>
        </w:rPr>
      </w:pPr>
      <w:r w:rsidRPr="00A335CB">
        <w:rPr>
          <w:rFonts w:ascii="Arial" w:hAnsi="Arial" w:cs="Arial"/>
          <w:b/>
          <w:bCs/>
          <w:sz w:val="20"/>
          <w:szCs w:val="20"/>
        </w:rPr>
        <w:t>Pakt o migracijah in azilu</w:t>
      </w:r>
    </w:p>
    <w:p w14:paraId="3DBE0421" w14:textId="05BD7BCE" w:rsidR="008D3F61" w:rsidRPr="00A335CB" w:rsidRDefault="008D3F61" w:rsidP="005D1A90">
      <w:pPr>
        <w:spacing w:line="276" w:lineRule="auto"/>
        <w:jc w:val="both"/>
        <w:rPr>
          <w:rFonts w:ascii="Arial" w:hAnsi="Arial" w:cs="Arial"/>
          <w:b/>
          <w:bCs/>
          <w:sz w:val="20"/>
          <w:szCs w:val="20"/>
        </w:rPr>
      </w:pPr>
      <w:r w:rsidRPr="00A335CB">
        <w:rPr>
          <w:rFonts w:ascii="Arial" w:hAnsi="Arial" w:cs="Arial"/>
          <w:bCs/>
          <w:sz w:val="20"/>
          <w:szCs w:val="20"/>
        </w:rPr>
        <w:t>S</w:t>
      </w:r>
      <w:r w:rsidRPr="00A335CB">
        <w:rPr>
          <w:rFonts w:ascii="Arial" w:hAnsi="Arial" w:cs="Arial"/>
          <w:sz w:val="20"/>
          <w:szCs w:val="20"/>
        </w:rPr>
        <w:t xml:space="preserve">vet Evropske unije je 14. 5. 2024 sprejel pakt o migracijah in azilu, ki </w:t>
      </w:r>
      <w:r w:rsidR="00721952">
        <w:rPr>
          <w:rFonts w:ascii="Arial" w:hAnsi="Arial" w:cs="Arial"/>
          <w:sz w:val="20"/>
          <w:szCs w:val="20"/>
        </w:rPr>
        <w:t>je</w:t>
      </w:r>
      <w:r w:rsidR="00721952" w:rsidRPr="00A335CB">
        <w:rPr>
          <w:rFonts w:ascii="Arial" w:hAnsi="Arial" w:cs="Arial"/>
          <w:sz w:val="20"/>
          <w:szCs w:val="20"/>
        </w:rPr>
        <w:t xml:space="preserve"> </w:t>
      </w:r>
      <w:r w:rsidRPr="00A335CB">
        <w:rPr>
          <w:rFonts w:ascii="Arial" w:hAnsi="Arial" w:cs="Arial"/>
          <w:sz w:val="20"/>
          <w:szCs w:val="20"/>
        </w:rPr>
        <w:t>celovit in nadgrajen pristop k upravljanju migracij in azila, s krepitvijo in povezovanjem</w:t>
      </w:r>
      <w:r w:rsidR="00CD0A87" w:rsidRPr="00A335CB">
        <w:rPr>
          <w:rFonts w:ascii="Arial" w:hAnsi="Arial" w:cs="Arial"/>
          <w:sz w:val="20"/>
          <w:szCs w:val="20"/>
        </w:rPr>
        <w:t xml:space="preserve"> ključnih politik EU</w:t>
      </w:r>
      <w:r w:rsidRPr="00A335CB">
        <w:rPr>
          <w:rFonts w:ascii="Arial" w:hAnsi="Arial" w:cs="Arial"/>
          <w:sz w:val="20"/>
          <w:szCs w:val="20"/>
        </w:rPr>
        <w:t xml:space="preserve"> na področju migracij, azila, upravljanja meja in vključevanja. Pakt je sestavljen iz </w:t>
      </w:r>
      <w:r w:rsidR="0025150B">
        <w:rPr>
          <w:rFonts w:ascii="Arial" w:hAnsi="Arial" w:cs="Arial"/>
          <w:sz w:val="20"/>
          <w:szCs w:val="20"/>
        </w:rPr>
        <w:t>devetih</w:t>
      </w:r>
      <w:r w:rsidR="0025150B" w:rsidRPr="00A335CB">
        <w:rPr>
          <w:rFonts w:ascii="Arial" w:hAnsi="Arial" w:cs="Arial"/>
          <w:sz w:val="20"/>
          <w:szCs w:val="20"/>
        </w:rPr>
        <w:t xml:space="preserve"> </w:t>
      </w:r>
      <w:r w:rsidRPr="00A335CB">
        <w:rPr>
          <w:rFonts w:ascii="Arial" w:hAnsi="Arial" w:cs="Arial"/>
          <w:sz w:val="20"/>
          <w:szCs w:val="20"/>
        </w:rPr>
        <w:t xml:space="preserve">zakonodajnih aktov, od tega je </w:t>
      </w:r>
      <w:r w:rsidR="0025150B">
        <w:rPr>
          <w:rFonts w:ascii="Arial" w:hAnsi="Arial" w:cs="Arial"/>
          <w:sz w:val="20"/>
          <w:szCs w:val="20"/>
        </w:rPr>
        <w:t>osem</w:t>
      </w:r>
      <w:r w:rsidR="0025150B" w:rsidRPr="00A335CB">
        <w:rPr>
          <w:rFonts w:ascii="Arial" w:hAnsi="Arial" w:cs="Arial"/>
          <w:sz w:val="20"/>
          <w:szCs w:val="20"/>
        </w:rPr>
        <w:t xml:space="preserve"> </w:t>
      </w:r>
      <w:r w:rsidRPr="00A335CB">
        <w:rPr>
          <w:rFonts w:ascii="Arial" w:hAnsi="Arial" w:cs="Arial"/>
          <w:sz w:val="20"/>
          <w:szCs w:val="20"/>
        </w:rPr>
        <w:t xml:space="preserve">uredb in </w:t>
      </w:r>
      <w:r w:rsidR="0025150B">
        <w:rPr>
          <w:rFonts w:ascii="Arial" w:hAnsi="Arial" w:cs="Arial"/>
          <w:sz w:val="20"/>
          <w:szCs w:val="20"/>
        </w:rPr>
        <w:t>ena</w:t>
      </w:r>
      <w:r w:rsidR="0025150B" w:rsidRPr="00A335CB">
        <w:rPr>
          <w:rFonts w:ascii="Arial" w:hAnsi="Arial" w:cs="Arial"/>
          <w:sz w:val="20"/>
          <w:szCs w:val="20"/>
        </w:rPr>
        <w:t xml:space="preserve"> </w:t>
      </w:r>
      <w:r w:rsidRPr="00A335CB">
        <w:rPr>
          <w:rFonts w:ascii="Arial" w:hAnsi="Arial" w:cs="Arial"/>
          <w:sz w:val="20"/>
          <w:szCs w:val="20"/>
        </w:rPr>
        <w:t xml:space="preserve">direktiva, na novo uvaja sistematično in strateško upravljanje </w:t>
      </w:r>
      <w:r w:rsidRPr="00A335CB">
        <w:rPr>
          <w:rFonts w:ascii="Arial" w:eastAsiaTheme="minorEastAsia" w:hAnsi="Arial" w:cs="Arial"/>
          <w:kern w:val="24"/>
          <w:sz w:val="20"/>
          <w:szCs w:val="20"/>
        </w:rPr>
        <w:t xml:space="preserve">migracij in </w:t>
      </w:r>
      <w:r w:rsidR="0025150B" w:rsidRPr="00A335CB">
        <w:rPr>
          <w:rFonts w:ascii="Arial" w:eastAsiaTheme="minorEastAsia" w:hAnsi="Arial" w:cs="Arial"/>
          <w:kern w:val="24"/>
          <w:sz w:val="20"/>
          <w:szCs w:val="20"/>
        </w:rPr>
        <w:t>azil</w:t>
      </w:r>
      <w:r w:rsidR="0025150B">
        <w:rPr>
          <w:rFonts w:ascii="Arial" w:eastAsiaTheme="minorEastAsia" w:hAnsi="Arial" w:cs="Arial"/>
          <w:kern w:val="24"/>
          <w:sz w:val="20"/>
          <w:szCs w:val="20"/>
        </w:rPr>
        <w:t>a</w:t>
      </w:r>
      <w:r w:rsidR="0025150B" w:rsidRPr="00A335CB">
        <w:rPr>
          <w:rFonts w:ascii="Arial" w:eastAsiaTheme="minorEastAsia" w:hAnsi="Arial" w:cs="Arial"/>
          <w:kern w:val="24"/>
          <w:sz w:val="20"/>
          <w:szCs w:val="20"/>
        </w:rPr>
        <w:t xml:space="preserve"> </w:t>
      </w:r>
      <w:r w:rsidRPr="00A335CB">
        <w:rPr>
          <w:rFonts w:ascii="Arial" w:eastAsiaTheme="minorEastAsia" w:hAnsi="Arial" w:cs="Arial"/>
          <w:kern w:val="24"/>
          <w:sz w:val="20"/>
          <w:szCs w:val="20"/>
        </w:rPr>
        <w:t>na ravni</w:t>
      </w:r>
      <w:r w:rsidR="0025150B">
        <w:rPr>
          <w:rFonts w:ascii="Arial" w:eastAsiaTheme="minorEastAsia" w:hAnsi="Arial" w:cs="Arial"/>
          <w:kern w:val="24"/>
          <w:sz w:val="20"/>
          <w:szCs w:val="20"/>
        </w:rPr>
        <w:t xml:space="preserve"> EU</w:t>
      </w:r>
      <w:r w:rsidRPr="00A335CB">
        <w:rPr>
          <w:rFonts w:ascii="Arial" w:eastAsiaTheme="minorEastAsia" w:hAnsi="Arial" w:cs="Arial"/>
          <w:kern w:val="24"/>
          <w:sz w:val="20"/>
          <w:szCs w:val="20"/>
        </w:rPr>
        <w:t xml:space="preserve">, vzpostavlja nove, okrepljene in povezane postopke preverjanja na zunanjih mejah, azila in vračanja ter krepi jamstva za ranljive </w:t>
      </w:r>
      <w:r w:rsidR="005E0375">
        <w:rPr>
          <w:rFonts w:ascii="Arial" w:eastAsiaTheme="minorEastAsia" w:hAnsi="Arial" w:cs="Arial"/>
          <w:kern w:val="24"/>
          <w:sz w:val="20"/>
          <w:szCs w:val="20"/>
        </w:rPr>
        <w:t>skupine</w:t>
      </w:r>
      <w:r w:rsidRPr="00A335CB">
        <w:rPr>
          <w:rFonts w:ascii="Arial" w:eastAsiaTheme="minorEastAsia" w:hAnsi="Arial" w:cs="Arial"/>
          <w:kern w:val="24"/>
          <w:sz w:val="20"/>
          <w:szCs w:val="20"/>
        </w:rPr>
        <w:t xml:space="preserve">, nadgrajuje standarde sprejema prosilcev za mednarodno zaščito, vzpostavlja uravnotežena pravila odgovornosti in sistematično uvaja solidarnostne ukrepe, vzpostavlja okvir odzivanja v kriznih </w:t>
      </w:r>
      <w:r w:rsidR="005E0375" w:rsidRPr="00A335CB">
        <w:rPr>
          <w:rFonts w:ascii="Arial" w:eastAsiaTheme="minorEastAsia" w:hAnsi="Arial" w:cs="Arial"/>
          <w:kern w:val="24"/>
          <w:sz w:val="20"/>
          <w:szCs w:val="20"/>
        </w:rPr>
        <w:t>položajih</w:t>
      </w:r>
      <w:r w:rsidRPr="00A335CB">
        <w:rPr>
          <w:rFonts w:ascii="Arial" w:eastAsiaTheme="minorEastAsia" w:hAnsi="Arial" w:cs="Arial"/>
          <w:kern w:val="24"/>
          <w:sz w:val="20"/>
          <w:szCs w:val="20"/>
        </w:rPr>
        <w:t>, v primeru višje sile in instrumental</w:t>
      </w:r>
      <w:r w:rsidR="00CD0A87" w:rsidRPr="00A335CB">
        <w:rPr>
          <w:rFonts w:ascii="Arial" w:eastAsiaTheme="minorEastAsia" w:hAnsi="Arial" w:cs="Arial"/>
          <w:kern w:val="24"/>
          <w:sz w:val="20"/>
          <w:szCs w:val="20"/>
        </w:rPr>
        <w:t>izacije ter okvir EU</w:t>
      </w:r>
      <w:r w:rsidRPr="00A335CB">
        <w:rPr>
          <w:rFonts w:ascii="Arial" w:eastAsiaTheme="minorEastAsia" w:hAnsi="Arial" w:cs="Arial"/>
          <w:kern w:val="24"/>
          <w:sz w:val="20"/>
          <w:szCs w:val="20"/>
        </w:rPr>
        <w:t xml:space="preserve"> za preselitev. </w:t>
      </w:r>
      <w:r w:rsidRPr="00A335CB">
        <w:rPr>
          <w:rFonts w:ascii="Arial" w:hAnsi="Arial" w:cs="Arial"/>
          <w:sz w:val="20"/>
          <w:szCs w:val="20"/>
        </w:rPr>
        <w:t xml:space="preserve">Celotni sveženj </w:t>
      </w:r>
      <w:r w:rsidRPr="0032769E">
        <w:rPr>
          <w:rFonts w:ascii="Arial" w:hAnsi="Arial" w:cs="Arial"/>
          <w:sz w:val="20"/>
          <w:szCs w:val="20"/>
        </w:rPr>
        <w:t xml:space="preserve">se je uveljavil 12. 6. 2024, uporabljati pa se začne julija 2026. Na </w:t>
      </w:r>
      <w:r w:rsidR="00660945" w:rsidRPr="0032769E">
        <w:rPr>
          <w:rFonts w:ascii="Arial" w:hAnsi="Arial" w:cs="Arial"/>
          <w:sz w:val="20"/>
          <w:szCs w:val="20"/>
        </w:rPr>
        <w:t xml:space="preserve">državni </w:t>
      </w:r>
      <w:r w:rsidRPr="0032769E">
        <w:rPr>
          <w:rFonts w:ascii="Arial" w:hAnsi="Arial" w:cs="Arial"/>
          <w:sz w:val="20"/>
          <w:szCs w:val="20"/>
        </w:rPr>
        <w:t>ravni je bila 14. 11. 2024 ustanovljena Delovna skupina za koordinacijo, usmerjanje in izvajanje aktivnosti za implementacijo Pakta o migracijah in azilu.</w:t>
      </w:r>
    </w:p>
    <w:p w14:paraId="3DB14107" w14:textId="11FDBC0F" w:rsidR="008D3F61" w:rsidRPr="00A335CB" w:rsidRDefault="008D3F61" w:rsidP="005D1A90">
      <w:pPr>
        <w:pStyle w:val="Navadensplet"/>
        <w:spacing w:before="120" w:beforeAutospacing="0" w:after="120" w:afterAutospacing="0" w:line="276" w:lineRule="auto"/>
        <w:jc w:val="both"/>
        <w:textAlignment w:val="baseline"/>
        <w:rPr>
          <w:rFonts w:ascii="Arial" w:eastAsiaTheme="minorEastAsia" w:hAnsi="Arial" w:cs="Arial"/>
          <w:kern w:val="24"/>
          <w:sz w:val="20"/>
          <w:szCs w:val="20"/>
        </w:rPr>
      </w:pPr>
      <w:r w:rsidRPr="00A335CB">
        <w:rPr>
          <w:rFonts w:ascii="Arial" w:eastAsiaTheme="minorEastAsia" w:hAnsi="Arial" w:cs="Arial"/>
          <w:kern w:val="24"/>
          <w:sz w:val="20"/>
          <w:szCs w:val="20"/>
        </w:rPr>
        <w:t>Implementacija pakta bo potekala prek desetih vsebinskih gradnikov, opredeljenih v skupnem implementacijskem načrtu</w:t>
      </w:r>
      <w:r w:rsidR="0025150B">
        <w:rPr>
          <w:rFonts w:ascii="Arial" w:eastAsiaTheme="minorEastAsia" w:hAnsi="Arial" w:cs="Arial"/>
          <w:kern w:val="24"/>
          <w:sz w:val="20"/>
          <w:szCs w:val="20"/>
        </w:rPr>
        <w:t xml:space="preserve"> EU</w:t>
      </w:r>
      <w:r w:rsidRPr="00A335CB">
        <w:rPr>
          <w:rFonts w:ascii="Arial" w:eastAsiaTheme="minorEastAsia" w:hAnsi="Arial" w:cs="Arial"/>
          <w:kern w:val="24"/>
          <w:sz w:val="20"/>
          <w:szCs w:val="20"/>
        </w:rPr>
        <w:t>, ki ga je v skladu z Uredbo o upravljanju migracij in azila 12.</w:t>
      </w:r>
      <w:r w:rsidR="0025150B">
        <w:rPr>
          <w:rFonts w:ascii="Arial" w:eastAsiaTheme="minorEastAsia" w:hAnsi="Arial" w:cs="Arial"/>
          <w:kern w:val="24"/>
          <w:sz w:val="20"/>
          <w:szCs w:val="20"/>
        </w:rPr>
        <w:t> </w:t>
      </w:r>
      <w:r w:rsidRPr="00A335CB">
        <w:rPr>
          <w:rFonts w:ascii="Arial" w:eastAsiaTheme="minorEastAsia" w:hAnsi="Arial" w:cs="Arial"/>
          <w:kern w:val="24"/>
          <w:sz w:val="20"/>
          <w:szCs w:val="20"/>
        </w:rPr>
        <w:t>6.</w:t>
      </w:r>
      <w:r w:rsidR="0025150B">
        <w:rPr>
          <w:rFonts w:ascii="Arial" w:eastAsiaTheme="minorEastAsia" w:hAnsi="Arial" w:cs="Arial"/>
          <w:kern w:val="24"/>
          <w:sz w:val="20"/>
          <w:szCs w:val="20"/>
        </w:rPr>
        <w:t> </w:t>
      </w:r>
      <w:r w:rsidRPr="00A335CB">
        <w:rPr>
          <w:rFonts w:ascii="Arial" w:eastAsiaTheme="minorEastAsia" w:hAnsi="Arial" w:cs="Arial"/>
          <w:kern w:val="24"/>
          <w:sz w:val="20"/>
          <w:szCs w:val="20"/>
        </w:rPr>
        <w:t xml:space="preserve">2024 sprejela Evropska komisija. Na podlagi tega je Vlada Republike Slovenije 5. 12. 2024 sprejela </w:t>
      </w:r>
      <w:r w:rsidR="0025150B">
        <w:rPr>
          <w:rFonts w:ascii="Arial" w:eastAsiaTheme="minorEastAsia" w:hAnsi="Arial" w:cs="Arial"/>
          <w:kern w:val="24"/>
          <w:sz w:val="20"/>
          <w:szCs w:val="20"/>
        </w:rPr>
        <w:t>državni</w:t>
      </w:r>
      <w:r w:rsidR="0025150B" w:rsidRPr="00A335CB">
        <w:rPr>
          <w:rFonts w:ascii="Arial" w:eastAsiaTheme="minorEastAsia" w:hAnsi="Arial" w:cs="Arial"/>
          <w:kern w:val="24"/>
          <w:sz w:val="20"/>
          <w:szCs w:val="20"/>
        </w:rPr>
        <w:t xml:space="preserve"> </w:t>
      </w:r>
      <w:r w:rsidRPr="00A335CB">
        <w:rPr>
          <w:rFonts w:ascii="Arial" w:eastAsiaTheme="minorEastAsia" w:hAnsi="Arial" w:cs="Arial"/>
          <w:kern w:val="24"/>
          <w:sz w:val="20"/>
          <w:szCs w:val="20"/>
        </w:rPr>
        <w:t>implementacijski načrt, v katere</w:t>
      </w:r>
      <w:r w:rsidR="00860A54" w:rsidRPr="00A335CB">
        <w:rPr>
          <w:rFonts w:ascii="Arial" w:eastAsiaTheme="minorEastAsia" w:hAnsi="Arial" w:cs="Arial"/>
          <w:kern w:val="24"/>
          <w:sz w:val="20"/>
          <w:szCs w:val="20"/>
        </w:rPr>
        <w:t>m so za vsak gradnik opredeljeni potrebni zakonodajni/</w:t>
      </w:r>
      <w:r w:rsidR="0025150B">
        <w:rPr>
          <w:rFonts w:ascii="Arial" w:eastAsiaTheme="minorEastAsia" w:hAnsi="Arial" w:cs="Arial"/>
          <w:kern w:val="24"/>
          <w:sz w:val="20"/>
          <w:szCs w:val="20"/>
        </w:rPr>
        <w:t>predpisani</w:t>
      </w:r>
      <w:r w:rsidR="0025150B" w:rsidRPr="00A335CB">
        <w:rPr>
          <w:rFonts w:ascii="Arial" w:eastAsiaTheme="minorEastAsia" w:hAnsi="Arial" w:cs="Arial"/>
          <w:kern w:val="24"/>
          <w:sz w:val="20"/>
          <w:szCs w:val="20"/>
        </w:rPr>
        <w:t xml:space="preserve"> </w:t>
      </w:r>
      <w:r w:rsidR="00860A54" w:rsidRPr="00A335CB">
        <w:rPr>
          <w:rFonts w:ascii="Arial" w:eastAsiaTheme="minorEastAsia" w:hAnsi="Arial" w:cs="Arial"/>
          <w:kern w:val="24"/>
          <w:sz w:val="20"/>
          <w:szCs w:val="20"/>
        </w:rPr>
        <w:t>ukrepi</w:t>
      </w:r>
      <w:r w:rsidRPr="00A335CB">
        <w:rPr>
          <w:rFonts w:ascii="Arial" w:eastAsiaTheme="minorEastAsia" w:hAnsi="Arial" w:cs="Arial"/>
          <w:kern w:val="24"/>
          <w:sz w:val="20"/>
          <w:szCs w:val="20"/>
        </w:rPr>
        <w:t>, administrativno</w:t>
      </w:r>
      <w:r w:rsidR="0025150B">
        <w:rPr>
          <w:rFonts w:ascii="Arial" w:eastAsiaTheme="minorEastAsia" w:hAnsi="Arial" w:cs="Arial"/>
          <w:kern w:val="24"/>
          <w:sz w:val="20"/>
          <w:szCs w:val="20"/>
        </w:rPr>
        <w:t>-</w:t>
      </w:r>
      <w:r w:rsidR="00860A54" w:rsidRPr="00A335CB">
        <w:rPr>
          <w:rFonts w:ascii="Arial" w:eastAsiaTheme="minorEastAsia" w:hAnsi="Arial" w:cs="Arial"/>
          <w:kern w:val="24"/>
          <w:sz w:val="20"/>
          <w:szCs w:val="20"/>
        </w:rPr>
        <w:t>organizacijski ukrepi in ukrepi</w:t>
      </w:r>
      <w:r w:rsidRPr="00A335CB">
        <w:rPr>
          <w:rFonts w:ascii="Arial" w:eastAsiaTheme="minorEastAsia" w:hAnsi="Arial" w:cs="Arial"/>
          <w:kern w:val="24"/>
          <w:sz w:val="20"/>
          <w:szCs w:val="20"/>
        </w:rPr>
        <w:t xml:space="preserve"> za zagotovitev zadostnih kapacitet (človeški viri, usposabljanja, infrastruktura in proračun). </w:t>
      </w:r>
    </w:p>
    <w:p w14:paraId="760E18F9" w14:textId="5563C867" w:rsidR="00E047EE" w:rsidRPr="00A335CB" w:rsidRDefault="008D3F61" w:rsidP="00E047EE">
      <w:pPr>
        <w:pStyle w:val="Navadensplet"/>
        <w:spacing w:before="120" w:beforeAutospacing="0" w:after="0" w:afterAutospacing="0" w:line="276" w:lineRule="auto"/>
        <w:jc w:val="both"/>
        <w:textAlignment w:val="baseline"/>
        <w:rPr>
          <w:rFonts w:ascii="Arial" w:eastAsiaTheme="minorEastAsia" w:hAnsi="Arial" w:cs="Arial"/>
          <w:kern w:val="24"/>
          <w:sz w:val="20"/>
          <w:szCs w:val="20"/>
        </w:rPr>
      </w:pPr>
      <w:r w:rsidRPr="00A335CB">
        <w:rPr>
          <w:rFonts w:ascii="Arial" w:eastAsiaTheme="minorEastAsia" w:hAnsi="Arial" w:cs="Arial"/>
          <w:kern w:val="24"/>
          <w:sz w:val="20"/>
          <w:szCs w:val="20"/>
        </w:rPr>
        <w:t xml:space="preserve">Poleg priprave </w:t>
      </w:r>
      <w:r w:rsidR="0025150B">
        <w:rPr>
          <w:rFonts w:ascii="Arial" w:eastAsiaTheme="minorEastAsia" w:hAnsi="Arial" w:cs="Arial"/>
          <w:kern w:val="24"/>
          <w:sz w:val="20"/>
          <w:szCs w:val="20"/>
        </w:rPr>
        <w:t>državnega izvedbenega</w:t>
      </w:r>
      <w:r w:rsidRPr="00A335CB">
        <w:rPr>
          <w:rFonts w:ascii="Arial" w:eastAsiaTheme="minorEastAsia" w:hAnsi="Arial" w:cs="Arial"/>
          <w:kern w:val="24"/>
          <w:sz w:val="20"/>
          <w:szCs w:val="20"/>
        </w:rPr>
        <w:t xml:space="preserve"> načrta, ki za vsak gradnik posebej opredeljuje ukrepe in aktivnosti, ki jih je treba izvesti za pravočasno in pravilno </w:t>
      </w:r>
      <w:r w:rsidR="0025150B">
        <w:rPr>
          <w:rFonts w:ascii="Arial" w:eastAsiaTheme="minorEastAsia" w:hAnsi="Arial" w:cs="Arial"/>
          <w:kern w:val="24"/>
          <w:sz w:val="20"/>
          <w:szCs w:val="20"/>
        </w:rPr>
        <w:t>izvedbo</w:t>
      </w:r>
      <w:r w:rsidR="0025150B" w:rsidRPr="00A335CB">
        <w:rPr>
          <w:rFonts w:ascii="Arial" w:eastAsiaTheme="minorEastAsia" w:hAnsi="Arial" w:cs="Arial"/>
          <w:kern w:val="24"/>
          <w:sz w:val="20"/>
          <w:szCs w:val="20"/>
        </w:rPr>
        <w:t xml:space="preserve"> </w:t>
      </w:r>
      <w:r w:rsidRPr="00A335CB">
        <w:rPr>
          <w:rFonts w:ascii="Arial" w:eastAsiaTheme="minorEastAsia" w:hAnsi="Arial" w:cs="Arial"/>
          <w:kern w:val="24"/>
          <w:sz w:val="20"/>
          <w:szCs w:val="20"/>
        </w:rPr>
        <w:t xml:space="preserve">pakta, zakonodaja določa tudi obveznost priprave drugih strateških dokumentov, ki so potrebni za </w:t>
      </w:r>
      <w:r w:rsidR="0025150B">
        <w:rPr>
          <w:rFonts w:ascii="Arial" w:eastAsiaTheme="minorEastAsia" w:hAnsi="Arial" w:cs="Arial"/>
          <w:kern w:val="24"/>
          <w:sz w:val="20"/>
          <w:szCs w:val="20"/>
        </w:rPr>
        <w:t>uveljavitev</w:t>
      </w:r>
      <w:r w:rsidR="0025150B" w:rsidRPr="00A335CB">
        <w:rPr>
          <w:rFonts w:ascii="Arial" w:eastAsiaTheme="minorEastAsia" w:hAnsi="Arial" w:cs="Arial"/>
          <w:kern w:val="24"/>
          <w:sz w:val="20"/>
          <w:szCs w:val="20"/>
        </w:rPr>
        <w:t xml:space="preserve"> </w:t>
      </w:r>
      <w:r w:rsidRPr="00A335CB">
        <w:rPr>
          <w:rFonts w:ascii="Arial" w:eastAsiaTheme="minorEastAsia" w:hAnsi="Arial" w:cs="Arial"/>
          <w:kern w:val="24"/>
          <w:sz w:val="20"/>
          <w:szCs w:val="20"/>
        </w:rPr>
        <w:t>pakta, in sicer je do aprila 2025 treba pripraviti nov</w:t>
      </w:r>
      <w:r w:rsidR="0025150B">
        <w:rPr>
          <w:rFonts w:ascii="Arial" w:eastAsiaTheme="minorEastAsia" w:hAnsi="Arial" w:cs="Arial"/>
          <w:kern w:val="24"/>
          <w:sz w:val="20"/>
          <w:szCs w:val="20"/>
        </w:rPr>
        <w:t>i</w:t>
      </w:r>
      <w:r w:rsidRPr="00A335CB">
        <w:rPr>
          <w:rFonts w:ascii="Arial" w:eastAsiaTheme="minorEastAsia" w:hAnsi="Arial" w:cs="Arial"/>
          <w:kern w:val="24"/>
          <w:sz w:val="20"/>
          <w:szCs w:val="20"/>
        </w:rPr>
        <w:t xml:space="preserve"> kontingentni načrt, do junija 2025 pa </w:t>
      </w:r>
      <w:r w:rsidR="0025150B">
        <w:rPr>
          <w:rFonts w:ascii="Arial" w:eastAsiaTheme="minorEastAsia" w:hAnsi="Arial" w:cs="Arial"/>
          <w:kern w:val="24"/>
          <w:sz w:val="20"/>
          <w:szCs w:val="20"/>
        </w:rPr>
        <w:t>državno</w:t>
      </w:r>
      <w:r w:rsidR="0025150B" w:rsidRPr="00A335CB">
        <w:rPr>
          <w:rFonts w:ascii="Arial" w:eastAsiaTheme="minorEastAsia" w:hAnsi="Arial" w:cs="Arial"/>
          <w:kern w:val="24"/>
          <w:sz w:val="20"/>
          <w:szCs w:val="20"/>
        </w:rPr>
        <w:t xml:space="preserve"> </w:t>
      </w:r>
      <w:r w:rsidRPr="00A335CB">
        <w:rPr>
          <w:rFonts w:ascii="Arial" w:eastAsiaTheme="minorEastAsia" w:hAnsi="Arial" w:cs="Arial"/>
          <w:kern w:val="24"/>
          <w:sz w:val="20"/>
          <w:szCs w:val="20"/>
        </w:rPr>
        <w:t xml:space="preserve">strategijo o upravljanju migracij in azila. </w:t>
      </w:r>
    </w:p>
    <w:p w14:paraId="130679A4" w14:textId="77777777" w:rsidR="00E047EE" w:rsidRPr="00A335CB" w:rsidRDefault="00E047EE" w:rsidP="00E047EE">
      <w:pPr>
        <w:pStyle w:val="Navadensplet"/>
        <w:spacing w:before="0" w:beforeAutospacing="0" w:after="0" w:afterAutospacing="0" w:line="276" w:lineRule="auto"/>
        <w:jc w:val="both"/>
        <w:textAlignment w:val="baseline"/>
        <w:rPr>
          <w:rFonts w:ascii="Arial" w:hAnsi="Arial" w:cs="Arial"/>
          <w:b/>
          <w:bCs/>
          <w:sz w:val="20"/>
          <w:szCs w:val="20"/>
        </w:rPr>
      </w:pPr>
    </w:p>
    <w:p w14:paraId="45021DFC" w14:textId="3B645465" w:rsidR="008D3F61" w:rsidRPr="00A335CB" w:rsidRDefault="008D3F61" w:rsidP="00E047EE">
      <w:pPr>
        <w:pStyle w:val="Navadensplet"/>
        <w:spacing w:before="0" w:beforeAutospacing="0" w:after="0" w:afterAutospacing="0" w:line="276" w:lineRule="auto"/>
        <w:jc w:val="both"/>
        <w:textAlignment w:val="baseline"/>
        <w:rPr>
          <w:rFonts w:ascii="Arial" w:eastAsiaTheme="minorEastAsia" w:hAnsi="Arial" w:cs="Arial"/>
          <w:kern w:val="24"/>
          <w:sz w:val="20"/>
          <w:szCs w:val="20"/>
        </w:rPr>
      </w:pPr>
      <w:r w:rsidRPr="00A335CB">
        <w:rPr>
          <w:rFonts w:ascii="Arial" w:hAnsi="Arial" w:cs="Arial"/>
          <w:b/>
          <w:bCs/>
          <w:sz w:val="20"/>
          <w:szCs w:val="20"/>
        </w:rPr>
        <w:t>Projekt trajne preselitve</w:t>
      </w:r>
    </w:p>
    <w:p w14:paraId="37DE3B1E" w14:textId="700C05EF" w:rsidR="00780CD6" w:rsidRPr="00A335CB" w:rsidRDefault="008D3F61" w:rsidP="00E047EE">
      <w:pPr>
        <w:spacing w:after="0" w:line="276" w:lineRule="auto"/>
        <w:jc w:val="both"/>
        <w:rPr>
          <w:rFonts w:ascii="Arial" w:hAnsi="Arial" w:cs="Arial"/>
          <w:bCs/>
          <w:sz w:val="20"/>
          <w:szCs w:val="20"/>
        </w:rPr>
      </w:pPr>
      <w:r w:rsidRPr="00A335CB">
        <w:rPr>
          <w:rFonts w:ascii="Arial" w:hAnsi="Arial" w:cs="Arial"/>
          <w:bCs/>
          <w:sz w:val="20"/>
          <w:szCs w:val="20"/>
        </w:rPr>
        <w:t>Vlada Republike Slovenije je 1. 12. 2022 sprejela sklep, s katerim je določila, da bo Republika Slovenija iz Turčije sprejela 50 državljanov Sirije ali Afganistana, ki se jim lahko v Sloveniji prizna status b</w:t>
      </w:r>
      <w:r w:rsidR="003A5C5C" w:rsidRPr="00A335CB">
        <w:rPr>
          <w:rFonts w:ascii="Arial" w:hAnsi="Arial" w:cs="Arial"/>
          <w:bCs/>
          <w:sz w:val="20"/>
          <w:szCs w:val="20"/>
        </w:rPr>
        <w:t>egunca. V sklopu projekta trajne preselitve</w:t>
      </w:r>
      <w:r w:rsidRPr="00A335CB">
        <w:rPr>
          <w:rFonts w:ascii="Arial" w:hAnsi="Arial" w:cs="Arial"/>
          <w:bCs/>
          <w:sz w:val="20"/>
          <w:szCs w:val="20"/>
        </w:rPr>
        <w:t xml:space="preserve"> je v decembru 2023 prispela prva skupina 23 državljanov Sirije. Druga skupina, v kateri je bilo 27 državljanov Afganistana</w:t>
      </w:r>
      <w:r w:rsidR="003A5C5C" w:rsidRPr="00A335CB">
        <w:rPr>
          <w:rFonts w:ascii="Arial" w:hAnsi="Arial" w:cs="Arial"/>
          <w:bCs/>
          <w:sz w:val="20"/>
          <w:szCs w:val="20"/>
        </w:rPr>
        <w:t>,</w:t>
      </w:r>
      <w:r w:rsidRPr="00A335CB">
        <w:rPr>
          <w:rFonts w:ascii="Arial" w:hAnsi="Arial" w:cs="Arial"/>
          <w:bCs/>
          <w:sz w:val="20"/>
          <w:szCs w:val="20"/>
        </w:rPr>
        <w:t xml:space="preserve"> pa je prispela konec januarja 2024. Z izvedbo projekta je Republika Slovenija okrepila </w:t>
      </w:r>
      <w:r w:rsidR="00660945">
        <w:rPr>
          <w:rFonts w:ascii="Arial" w:hAnsi="Arial" w:cs="Arial"/>
          <w:bCs/>
          <w:sz w:val="20"/>
          <w:szCs w:val="20"/>
        </w:rPr>
        <w:t>državna</w:t>
      </w:r>
      <w:r w:rsidR="00660945" w:rsidRPr="00A335CB">
        <w:rPr>
          <w:rFonts w:ascii="Arial" w:hAnsi="Arial" w:cs="Arial"/>
          <w:bCs/>
          <w:sz w:val="20"/>
          <w:szCs w:val="20"/>
        </w:rPr>
        <w:t xml:space="preserve"> </w:t>
      </w:r>
      <w:r w:rsidRPr="00A335CB">
        <w:rPr>
          <w:rFonts w:ascii="Arial" w:hAnsi="Arial" w:cs="Arial"/>
          <w:bCs/>
          <w:sz w:val="20"/>
          <w:szCs w:val="20"/>
        </w:rPr>
        <w:t xml:space="preserve">prizadevanja za solidarnostni pristop pri zagotavljanju varnih, zakonitih in dopolnilnih poti za osebe, ki </w:t>
      </w:r>
      <w:r w:rsidR="00E047EE" w:rsidRPr="00A335CB">
        <w:rPr>
          <w:rFonts w:ascii="Arial" w:hAnsi="Arial" w:cs="Arial"/>
          <w:bCs/>
          <w:sz w:val="20"/>
          <w:szCs w:val="20"/>
        </w:rPr>
        <w:t>potrebujejo mednarodno zaščito.</w:t>
      </w:r>
    </w:p>
    <w:p w14:paraId="0F8F3A05" w14:textId="77777777" w:rsidR="00E047EE" w:rsidRPr="00A335CB" w:rsidRDefault="00E047EE" w:rsidP="005D1A90">
      <w:pPr>
        <w:spacing w:after="0" w:line="276" w:lineRule="auto"/>
        <w:jc w:val="both"/>
        <w:rPr>
          <w:rFonts w:ascii="Arial" w:hAnsi="Arial" w:cs="Arial"/>
          <w:b/>
          <w:bCs/>
          <w:sz w:val="20"/>
          <w:szCs w:val="20"/>
        </w:rPr>
      </w:pPr>
    </w:p>
    <w:p w14:paraId="006E8693" w14:textId="46D5B50B" w:rsidR="008D3F61" w:rsidRPr="00A335CB" w:rsidRDefault="007B3670" w:rsidP="005D1A90">
      <w:pPr>
        <w:spacing w:after="0" w:line="276" w:lineRule="auto"/>
        <w:jc w:val="both"/>
        <w:rPr>
          <w:rFonts w:ascii="Arial" w:hAnsi="Arial" w:cs="Arial"/>
          <w:b/>
          <w:bCs/>
          <w:sz w:val="20"/>
          <w:szCs w:val="20"/>
        </w:rPr>
      </w:pPr>
      <w:r w:rsidRPr="00A335CB">
        <w:rPr>
          <w:rFonts w:ascii="Arial" w:hAnsi="Arial" w:cs="Arial"/>
          <w:b/>
          <w:bCs/>
          <w:sz w:val="20"/>
          <w:szCs w:val="20"/>
        </w:rPr>
        <w:t>Začasna zaščita</w:t>
      </w:r>
    </w:p>
    <w:p w14:paraId="2B2D644F" w14:textId="6B114A68" w:rsidR="008D3F61" w:rsidRPr="00A335CB" w:rsidRDefault="008D3F61" w:rsidP="00E047EE">
      <w:pPr>
        <w:spacing w:after="0" w:line="276" w:lineRule="auto"/>
        <w:jc w:val="both"/>
        <w:rPr>
          <w:rFonts w:ascii="Arial" w:hAnsi="Arial" w:cs="Arial"/>
          <w:sz w:val="20"/>
          <w:szCs w:val="20"/>
          <w:shd w:val="clear" w:color="auto" w:fill="FFFFFF"/>
        </w:rPr>
      </w:pPr>
      <w:r w:rsidRPr="00A335CB">
        <w:rPr>
          <w:rFonts w:ascii="Arial" w:hAnsi="Arial" w:cs="Arial"/>
          <w:bCs/>
          <w:sz w:val="20"/>
          <w:szCs w:val="20"/>
        </w:rPr>
        <w:t xml:space="preserve">V letu 2022 se je prvič po uvedbi leta 2001 aktivirala </w:t>
      </w:r>
      <w:r w:rsidRPr="00A335CB">
        <w:rPr>
          <w:rFonts w:ascii="Arial" w:hAnsi="Arial" w:cs="Arial"/>
          <w:b/>
          <w:bCs/>
          <w:sz w:val="20"/>
          <w:szCs w:val="20"/>
        </w:rPr>
        <w:t>začasna zaščita</w:t>
      </w:r>
      <w:r w:rsidRPr="00A335CB">
        <w:rPr>
          <w:rFonts w:ascii="Arial" w:hAnsi="Arial" w:cs="Arial"/>
          <w:bCs/>
          <w:sz w:val="20"/>
          <w:szCs w:val="20"/>
        </w:rPr>
        <w:t>. Ta je bila aktivirana z Izvedbenim sklepom Sveta (EU) 2022/382 z dne 4. 3. 2022 o obstoju množičnega prihoda razseljenih oseb iz Ukrajine v smislu 5. člena Direktive 2001/55/ES in z učinkom uvedbe začasne zaščite in aktivacijo Direktive 2001/55/ES, in sicer za eno leto do 4. 3. 2023. V skladu z Direktivo 2001/55/ES se je začasna zaščita samodejno podaljšala za dve šestmesečni obdobji, zaradi ugotovitev</w:t>
      </w:r>
      <w:r w:rsidRPr="00A335CB">
        <w:rPr>
          <w:rFonts w:ascii="Arial" w:hAnsi="Arial" w:cs="Arial"/>
          <w:sz w:val="20"/>
          <w:szCs w:val="20"/>
        </w:rPr>
        <w:t xml:space="preserve"> Evropske komisije, da razlogi za začasno zaščito še trajajo, pa je </w:t>
      </w:r>
      <w:r w:rsidR="005E0375">
        <w:rPr>
          <w:rFonts w:ascii="Arial" w:hAnsi="Arial" w:cs="Arial"/>
          <w:sz w:val="20"/>
          <w:szCs w:val="20"/>
        </w:rPr>
        <w:t>pozneje</w:t>
      </w:r>
      <w:r w:rsidR="005E0375" w:rsidRPr="00A335CB">
        <w:rPr>
          <w:rFonts w:ascii="Arial" w:hAnsi="Arial" w:cs="Arial"/>
          <w:sz w:val="20"/>
          <w:szCs w:val="20"/>
        </w:rPr>
        <w:t xml:space="preserve"> </w:t>
      </w:r>
      <w:r w:rsidRPr="00A335CB">
        <w:rPr>
          <w:rFonts w:ascii="Arial" w:hAnsi="Arial" w:cs="Arial"/>
          <w:bCs/>
          <w:sz w:val="20"/>
          <w:szCs w:val="20"/>
        </w:rPr>
        <w:t xml:space="preserve">Svet Evropske unije na njen predlog začasno </w:t>
      </w:r>
      <w:r w:rsidR="00DA750A" w:rsidRPr="00A335CB">
        <w:rPr>
          <w:rFonts w:ascii="Arial" w:hAnsi="Arial" w:cs="Arial"/>
          <w:bCs/>
          <w:sz w:val="20"/>
          <w:szCs w:val="20"/>
        </w:rPr>
        <w:t>zaščit</w:t>
      </w:r>
      <w:r w:rsidR="00DA750A">
        <w:rPr>
          <w:rFonts w:ascii="Arial" w:hAnsi="Arial" w:cs="Arial"/>
          <w:bCs/>
          <w:sz w:val="20"/>
          <w:szCs w:val="20"/>
        </w:rPr>
        <w:t>o</w:t>
      </w:r>
      <w:r w:rsidR="00DA750A" w:rsidRPr="00A335CB">
        <w:rPr>
          <w:rFonts w:ascii="Arial" w:hAnsi="Arial" w:cs="Arial"/>
          <w:bCs/>
          <w:sz w:val="20"/>
          <w:szCs w:val="20"/>
        </w:rPr>
        <w:t xml:space="preserve"> </w:t>
      </w:r>
      <w:r w:rsidRPr="00A335CB">
        <w:rPr>
          <w:rFonts w:ascii="Arial" w:hAnsi="Arial" w:cs="Arial"/>
          <w:bCs/>
          <w:sz w:val="20"/>
          <w:szCs w:val="20"/>
        </w:rPr>
        <w:t xml:space="preserve">za osebe, razseljene iz Ukrajine, podaljšal še za eno leto, in sicer do 4. </w:t>
      </w:r>
      <w:r w:rsidR="00DA750A">
        <w:rPr>
          <w:rFonts w:ascii="Arial" w:hAnsi="Arial" w:cs="Arial"/>
          <w:bCs/>
          <w:sz w:val="20"/>
          <w:szCs w:val="20"/>
        </w:rPr>
        <w:t>3.</w:t>
      </w:r>
      <w:r w:rsidR="00DA750A" w:rsidRPr="00A335CB">
        <w:rPr>
          <w:rFonts w:ascii="Arial" w:hAnsi="Arial" w:cs="Arial"/>
          <w:bCs/>
          <w:sz w:val="20"/>
          <w:szCs w:val="20"/>
        </w:rPr>
        <w:t xml:space="preserve"> </w:t>
      </w:r>
      <w:r w:rsidRPr="00A335CB">
        <w:rPr>
          <w:rFonts w:ascii="Arial" w:hAnsi="Arial" w:cs="Arial"/>
          <w:bCs/>
          <w:sz w:val="20"/>
          <w:szCs w:val="20"/>
        </w:rPr>
        <w:t>2025.</w:t>
      </w:r>
      <w:r w:rsidRPr="00A335CB">
        <w:rPr>
          <w:rFonts w:ascii="Arial" w:hAnsi="Arial" w:cs="Arial"/>
          <w:sz w:val="20"/>
          <w:szCs w:val="20"/>
        </w:rPr>
        <w:t xml:space="preserve"> </w:t>
      </w:r>
      <w:r w:rsidRPr="00A335CB">
        <w:rPr>
          <w:rFonts w:ascii="Arial" w:hAnsi="Arial" w:cs="Arial"/>
          <w:bCs/>
          <w:sz w:val="20"/>
          <w:szCs w:val="20"/>
        </w:rPr>
        <w:t xml:space="preserve">Navedenemu je sledila tudi Vlada Republike Slovenije in začasno zaščito tudi v Republiki </w:t>
      </w:r>
      <w:r w:rsidR="003A5C5C" w:rsidRPr="00A335CB">
        <w:rPr>
          <w:rFonts w:ascii="Arial" w:hAnsi="Arial" w:cs="Arial"/>
          <w:bCs/>
          <w:sz w:val="20"/>
          <w:szCs w:val="20"/>
        </w:rPr>
        <w:t>Sloveniji podaljšala do 4.</w:t>
      </w:r>
      <w:r w:rsidR="00DA750A">
        <w:rPr>
          <w:rFonts w:ascii="Arial" w:hAnsi="Arial" w:cs="Arial"/>
          <w:bCs/>
          <w:sz w:val="20"/>
          <w:szCs w:val="20"/>
        </w:rPr>
        <w:t> </w:t>
      </w:r>
      <w:r w:rsidR="003A5C5C" w:rsidRPr="00A335CB">
        <w:rPr>
          <w:rFonts w:ascii="Arial" w:hAnsi="Arial" w:cs="Arial"/>
          <w:bCs/>
          <w:sz w:val="20"/>
          <w:szCs w:val="20"/>
        </w:rPr>
        <w:t>3.</w:t>
      </w:r>
      <w:r w:rsidR="00DA750A">
        <w:rPr>
          <w:rFonts w:ascii="Arial" w:hAnsi="Arial" w:cs="Arial"/>
          <w:bCs/>
          <w:sz w:val="20"/>
          <w:szCs w:val="20"/>
        </w:rPr>
        <w:t> </w:t>
      </w:r>
      <w:r w:rsidRPr="00A335CB">
        <w:rPr>
          <w:rFonts w:ascii="Arial" w:hAnsi="Arial" w:cs="Arial"/>
          <w:bCs/>
          <w:sz w:val="20"/>
          <w:szCs w:val="20"/>
        </w:rPr>
        <w:t>2025. Zaradi nadaljevanja agresije na Ukrajino</w:t>
      </w:r>
      <w:r w:rsidR="003A5C5C" w:rsidRPr="00A335CB">
        <w:rPr>
          <w:rFonts w:ascii="Arial" w:hAnsi="Arial" w:cs="Arial"/>
          <w:bCs/>
          <w:sz w:val="20"/>
          <w:szCs w:val="20"/>
        </w:rPr>
        <w:t xml:space="preserve"> in težkih humanitarnih razmer </w:t>
      </w:r>
      <w:r w:rsidRPr="00A335CB">
        <w:rPr>
          <w:rFonts w:ascii="Arial" w:hAnsi="Arial" w:cs="Arial"/>
          <w:bCs/>
          <w:sz w:val="20"/>
          <w:szCs w:val="20"/>
        </w:rPr>
        <w:t>je bil na ravni EU sprejet</w:t>
      </w:r>
      <w:r w:rsidRPr="00A335CB">
        <w:rPr>
          <w:rFonts w:ascii="Arial" w:hAnsi="Arial" w:cs="Arial"/>
          <w:sz w:val="20"/>
          <w:szCs w:val="20"/>
          <w:shd w:val="clear" w:color="auto" w:fill="FFFFFF"/>
        </w:rPr>
        <w:t xml:space="preserve"> izvedbeni sklep Sveta (EU) 2024/1836 z dne 25. junija 2024 o podaljšanju začasne zaščite, na podlagi katerega je Vlada Republike Slovenije sprejela Sklep o spremembi in dopolnitvi Sklepa o uvedbi začasne zaščite za razseljene osebe iz Ukrajine, s čimer je podaljšala začasno zaščito</w:t>
      </w:r>
      <w:r w:rsidR="00DA750A">
        <w:rPr>
          <w:rFonts w:ascii="Arial" w:hAnsi="Arial" w:cs="Arial"/>
          <w:sz w:val="20"/>
          <w:szCs w:val="20"/>
          <w:shd w:val="clear" w:color="auto" w:fill="FFFFFF"/>
        </w:rPr>
        <w:t xml:space="preserve"> do</w:t>
      </w:r>
      <w:r w:rsidRPr="00A335CB">
        <w:rPr>
          <w:rFonts w:ascii="Arial" w:hAnsi="Arial" w:cs="Arial"/>
          <w:sz w:val="20"/>
          <w:szCs w:val="20"/>
          <w:shd w:val="clear" w:color="auto" w:fill="FFFFFF"/>
        </w:rPr>
        <w:t xml:space="preserve"> 4.</w:t>
      </w:r>
      <w:r w:rsidR="00DA750A">
        <w:rPr>
          <w:rFonts w:ascii="Arial" w:hAnsi="Arial" w:cs="Arial"/>
          <w:sz w:val="20"/>
          <w:szCs w:val="20"/>
          <w:shd w:val="clear" w:color="auto" w:fill="FFFFFF"/>
        </w:rPr>
        <w:t> </w:t>
      </w:r>
      <w:r w:rsidRPr="00A335CB">
        <w:rPr>
          <w:rFonts w:ascii="Arial" w:hAnsi="Arial" w:cs="Arial"/>
          <w:sz w:val="20"/>
          <w:szCs w:val="20"/>
          <w:shd w:val="clear" w:color="auto" w:fill="FFFFFF"/>
        </w:rPr>
        <w:t>3.</w:t>
      </w:r>
      <w:r w:rsidR="00DA750A">
        <w:rPr>
          <w:rFonts w:ascii="Arial" w:hAnsi="Arial" w:cs="Arial"/>
          <w:sz w:val="20"/>
          <w:szCs w:val="20"/>
          <w:shd w:val="clear" w:color="auto" w:fill="FFFFFF"/>
        </w:rPr>
        <w:t> </w:t>
      </w:r>
      <w:r w:rsidRPr="00A335CB">
        <w:rPr>
          <w:rFonts w:ascii="Arial" w:hAnsi="Arial" w:cs="Arial"/>
          <w:sz w:val="20"/>
          <w:szCs w:val="20"/>
          <w:shd w:val="clear" w:color="auto" w:fill="FFFFFF"/>
        </w:rPr>
        <w:t>2026.</w:t>
      </w:r>
    </w:p>
    <w:p w14:paraId="1A1EA394" w14:textId="77777777" w:rsidR="00E047EE" w:rsidRPr="00A335CB" w:rsidRDefault="00E047EE" w:rsidP="00E047EE">
      <w:pPr>
        <w:spacing w:after="0" w:line="276" w:lineRule="auto"/>
        <w:jc w:val="both"/>
        <w:rPr>
          <w:rFonts w:ascii="Arial" w:hAnsi="Arial" w:cs="Arial"/>
          <w:bCs/>
          <w:sz w:val="20"/>
          <w:szCs w:val="20"/>
        </w:rPr>
      </w:pPr>
    </w:p>
    <w:p w14:paraId="076DF94E" w14:textId="1D817F62" w:rsidR="008D3F61" w:rsidRPr="00A335CB" w:rsidRDefault="008D3F61" w:rsidP="00E047EE">
      <w:pPr>
        <w:spacing w:after="0" w:line="276" w:lineRule="auto"/>
        <w:jc w:val="both"/>
        <w:rPr>
          <w:rFonts w:ascii="Arial" w:hAnsi="Arial" w:cs="Arial"/>
          <w:bCs/>
          <w:sz w:val="20"/>
          <w:szCs w:val="20"/>
        </w:rPr>
      </w:pPr>
      <w:r w:rsidRPr="00A335CB">
        <w:rPr>
          <w:rFonts w:ascii="Arial" w:hAnsi="Arial" w:cs="Arial"/>
          <w:bCs/>
          <w:sz w:val="20"/>
          <w:szCs w:val="20"/>
        </w:rPr>
        <w:t>Na podlagi Z</w:t>
      </w:r>
      <w:r w:rsidR="003A5C5C" w:rsidRPr="00A335CB">
        <w:rPr>
          <w:rFonts w:ascii="Arial" w:hAnsi="Arial" w:cs="Arial"/>
          <w:bCs/>
          <w:sz w:val="20"/>
          <w:szCs w:val="20"/>
        </w:rPr>
        <w:t xml:space="preserve">akona o začasni zaščiti razseljenih oseb </w:t>
      </w:r>
      <w:r w:rsidRPr="00A335CB">
        <w:rPr>
          <w:rFonts w:ascii="Arial" w:hAnsi="Arial" w:cs="Arial"/>
          <w:bCs/>
          <w:sz w:val="20"/>
          <w:szCs w:val="20"/>
        </w:rPr>
        <w:t>je bilo v obdobju od uvedbe začasne zaščite</w:t>
      </w:r>
      <w:r w:rsidR="003A5C5C" w:rsidRPr="00A335CB">
        <w:rPr>
          <w:rFonts w:ascii="Arial" w:hAnsi="Arial" w:cs="Arial"/>
          <w:bCs/>
          <w:sz w:val="20"/>
          <w:szCs w:val="20"/>
        </w:rPr>
        <w:t>,</w:t>
      </w:r>
      <w:r w:rsidRPr="00A335CB">
        <w:rPr>
          <w:rFonts w:ascii="Arial" w:hAnsi="Arial" w:cs="Arial"/>
          <w:bCs/>
          <w:sz w:val="20"/>
          <w:szCs w:val="20"/>
        </w:rPr>
        <w:t xml:space="preserve"> tj. </w:t>
      </w:r>
      <w:r w:rsidR="00DA750A">
        <w:rPr>
          <w:rFonts w:ascii="Arial" w:hAnsi="Arial" w:cs="Arial"/>
          <w:bCs/>
          <w:sz w:val="20"/>
          <w:szCs w:val="20"/>
        </w:rPr>
        <w:t xml:space="preserve">od </w:t>
      </w:r>
      <w:r w:rsidRPr="00A335CB">
        <w:rPr>
          <w:rFonts w:ascii="Arial" w:hAnsi="Arial" w:cs="Arial"/>
          <w:bCs/>
          <w:sz w:val="20"/>
          <w:szCs w:val="20"/>
        </w:rPr>
        <w:t>10. 3. 2022 do 31. 12. 2024</w:t>
      </w:r>
      <w:r w:rsidR="003A5C5C" w:rsidRPr="00A335CB">
        <w:rPr>
          <w:rFonts w:ascii="Arial" w:hAnsi="Arial" w:cs="Arial"/>
          <w:bCs/>
          <w:sz w:val="20"/>
          <w:szCs w:val="20"/>
        </w:rPr>
        <w:t>,</w:t>
      </w:r>
      <w:r w:rsidRPr="00A335CB">
        <w:rPr>
          <w:rFonts w:ascii="Arial" w:hAnsi="Arial" w:cs="Arial"/>
          <w:bCs/>
          <w:sz w:val="20"/>
          <w:szCs w:val="20"/>
        </w:rPr>
        <w:t xml:space="preserve"> vloženih 12.120 vlog za priznanje začasne zaščite. Upravne enote so v istem obdobju rešile 11.833 vlog in 11.168 osebam priznale začasno zaščito.</w:t>
      </w:r>
    </w:p>
    <w:p w14:paraId="7E8F165B" w14:textId="77777777" w:rsidR="00E047EE" w:rsidRPr="00A335CB" w:rsidRDefault="00E047EE" w:rsidP="005D1A90">
      <w:pPr>
        <w:spacing w:after="0" w:line="276" w:lineRule="auto"/>
        <w:jc w:val="both"/>
        <w:rPr>
          <w:rFonts w:ascii="Arial" w:hAnsi="Arial" w:cs="Arial"/>
          <w:b/>
          <w:sz w:val="20"/>
          <w:szCs w:val="20"/>
        </w:rPr>
      </w:pPr>
    </w:p>
    <w:p w14:paraId="2101D2B5" w14:textId="1A3BAE01" w:rsidR="008D3F61" w:rsidRPr="00A335CB" w:rsidRDefault="007B3670" w:rsidP="005D1A90">
      <w:pPr>
        <w:spacing w:after="0" w:line="276" w:lineRule="auto"/>
        <w:jc w:val="both"/>
        <w:rPr>
          <w:rFonts w:ascii="Arial" w:hAnsi="Arial" w:cs="Arial"/>
          <w:b/>
          <w:sz w:val="20"/>
          <w:szCs w:val="20"/>
        </w:rPr>
      </w:pPr>
      <w:r w:rsidRPr="00A335CB">
        <w:rPr>
          <w:rFonts w:ascii="Arial" w:hAnsi="Arial" w:cs="Arial"/>
          <w:b/>
          <w:sz w:val="20"/>
          <w:szCs w:val="20"/>
        </w:rPr>
        <w:t>Zakonite migracije</w:t>
      </w:r>
    </w:p>
    <w:p w14:paraId="5DFD2FC6" w14:textId="3C63C6B4" w:rsidR="008D3F61" w:rsidRPr="00A335CB" w:rsidRDefault="008D3F61" w:rsidP="005D1A90">
      <w:pPr>
        <w:spacing w:line="276" w:lineRule="auto"/>
        <w:jc w:val="both"/>
        <w:rPr>
          <w:rFonts w:ascii="Arial" w:hAnsi="Arial" w:cs="Arial"/>
          <w:sz w:val="20"/>
          <w:szCs w:val="20"/>
        </w:rPr>
      </w:pPr>
      <w:r w:rsidRPr="00A335CB">
        <w:rPr>
          <w:rFonts w:ascii="Arial" w:hAnsi="Arial" w:cs="Arial"/>
          <w:sz w:val="20"/>
          <w:szCs w:val="20"/>
        </w:rPr>
        <w:t>V Republiki Sloveniji je imelo 31.</w:t>
      </w:r>
      <w:r w:rsidR="00DA750A">
        <w:rPr>
          <w:rFonts w:ascii="Arial" w:hAnsi="Arial" w:cs="Arial"/>
          <w:sz w:val="20"/>
          <w:szCs w:val="20"/>
        </w:rPr>
        <w:t> </w:t>
      </w:r>
      <w:r w:rsidRPr="00A335CB">
        <w:rPr>
          <w:rFonts w:ascii="Arial" w:hAnsi="Arial" w:cs="Arial"/>
          <w:sz w:val="20"/>
          <w:szCs w:val="20"/>
        </w:rPr>
        <w:t>12.</w:t>
      </w:r>
      <w:r w:rsidR="00DA750A">
        <w:rPr>
          <w:rFonts w:ascii="Arial" w:hAnsi="Arial" w:cs="Arial"/>
          <w:sz w:val="20"/>
          <w:szCs w:val="20"/>
        </w:rPr>
        <w:t> </w:t>
      </w:r>
      <w:r w:rsidRPr="00A335CB">
        <w:rPr>
          <w:rFonts w:ascii="Arial" w:hAnsi="Arial" w:cs="Arial"/>
          <w:sz w:val="20"/>
          <w:szCs w:val="20"/>
        </w:rPr>
        <w:t>2024 veljavno dovoljenje za prebivanje oziroma potrdilo o prijavi prebivanja 254.493 oseb. Od tega je imelo 138.125 državljanov tretjih držav veljavno dovoljenje za stalno prebivanje in 86.778 veljavno dovoljenje za začasno prebi</w:t>
      </w:r>
      <w:r w:rsidR="00A10905" w:rsidRPr="00A335CB">
        <w:rPr>
          <w:rFonts w:ascii="Arial" w:hAnsi="Arial" w:cs="Arial"/>
          <w:sz w:val="20"/>
          <w:szCs w:val="20"/>
        </w:rPr>
        <w:t>vanje. Državljani EU</w:t>
      </w:r>
      <w:r w:rsidRPr="00A335CB">
        <w:rPr>
          <w:rFonts w:ascii="Arial" w:hAnsi="Arial" w:cs="Arial"/>
          <w:sz w:val="20"/>
          <w:szCs w:val="20"/>
        </w:rPr>
        <w:t xml:space="preserve"> (v </w:t>
      </w:r>
      <w:r w:rsidR="005E0375">
        <w:rPr>
          <w:rFonts w:ascii="Arial" w:hAnsi="Arial" w:cs="Arial"/>
          <w:sz w:val="20"/>
          <w:szCs w:val="20"/>
        </w:rPr>
        <w:t>skupino</w:t>
      </w:r>
      <w:r w:rsidR="005E0375" w:rsidRPr="00A335CB">
        <w:rPr>
          <w:rFonts w:ascii="Arial" w:hAnsi="Arial" w:cs="Arial"/>
          <w:sz w:val="20"/>
          <w:szCs w:val="20"/>
        </w:rPr>
        <w:t xml:space="preserve"> </w:t>
      </w:r>
      <w:r w:rsidRPr="00A335CB">
        <w:rPr>
          <w:rFonts w:ascii="Arial" w:hAnsi="Arial" w:cs="Arial"/>
          <w:sz w:val="20"/>
          <w:szCs w:val="20"/>
        </w:rPr>
        <w:t>državljani EU so vključeni državljani članic Evropskega gospodarskega prostora ter državljani Švicarske konfederacije) so imeli 31. 12. 2024 veljavnih 14.562 potrdil o prijavi stalnega prebivanja in 15.028 potrdil o prijavi prebivanja.</w:t>
      </w:r>
    </w:p>
    <w:p w14:paraId="551EA219"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noProof/>
          <w:sz w:val="18"/>
          <w:szCs w:val="18"/>
          <w:lang w:eastAsia="sl-SI"/>
        </w:rPr>
        <w:drawing>
          <wp:inline distT="0" distB="0" distL="0" distR="0" wp14:anchorId="1A47AF63" wp14:editId="4AD17D01">
            <wp:extent cx="5702061" cy="2786332"/>
            <wp:effectExtent l="0" t="0" r="13335" b="14605"/>
            <wp:docPr id="34" name="Grafikon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3D6F1A" w14:textId="77777777" w:rsidR="008D3F61" w:rsidRPr="00A335CB" w:rsidRDefault="008D3F61" w:rsidP="00E047EE">
      <w:pPr>
        <w:spacing w:after="0" w:line="276" w:lineRule="auto"/>
        <w:jc w:val="both"/>
        <w:rPr>
          <w:rFonts w:ascii="Arial" w:hAnsi="Arial" w:cs="Arial"/>
          <w:sz w:val="20"/>
          <w:szCs w:val="20"/>
        </w:rPr>
      </w:pPr>
      <w:r w:rsidRPr="00A335CB">
        <w:rPr>
          <w:rFonts w:ascii="Arial" w:hAnsi="Arial" w:cs="Arial"/>
          <w:b/>
          <w:sz w:val="20"/>
          <w:szCs w:val="20"/>
        </w:rPr>
        <w:t>Graf:</w:t>
      </w:r>
      <w:r w:rsidRPr="00A335CB">
        <w:rPr>
          <w:rFonts w:ascii="Arial" w:hAnsi="Arial" w:cs="Arial"/>
          <w:sz w:val="20"/>
          <w:szCs w:val="20"/>
        </w:rPr>
        <w:t xml:space="preserve"> Število posameznih vrst veljavnih dovoljenj za prebivanje na dan 31. decembra 2024</w:t>
      </w:r>
    </w:p>
    <w:p w14:paraId="5CB8D689" w14:textId="77777777" w:rsidR="00E047EE" w:rsidRPr="00A335CB" w:rsidRDefault="00E047EE" w:rsidP="00E047EE">
      <w:pPr>
        <w:spacing w:after="0" w:line="276" w:lineRule="auto"/>
        <w:jc w:val="both"/>
        <w:rPr>
          <w:rFonts w:ascii="Arial" w:hAnsi="Arial" w:cs="Arial"/>
          <w:sz w:val="20"/>
          <w:szCs w:val="20"/>
        </w:rPr>
      </w:pPr>
    </w:p>
    <w:p w14:paraId="36DC0001" w14:textId="7F4FE43E" w:rsidR="008D3F61" w:rsidRPr="00A335CB" w:rsidRDefault="008D3F61" w:rsidP="005D1A90">
      <w:pPr>
        <w:spacing w:line="276" w:lineRule="auto"/>
        <w:jc w:val="both"/>
        <w:rPr>
          <w:rFonts w:ascii="Arial" w:hAnsi="Arial" w:cs="Arial"/>
          <w:sz w:val="20"/>
          <w:szCs w:val="20"/>
        </w:rPr>
      </w:pPr>
      <w:r w:rsidRPr="00A335CB">
        <w:rPr>
          <w:rFonts w:ascii="Arial" w:hAnsi="Arial" w:cs="Arial"/>
          <w:sz w:val="20"/>
          <w:szCs w:val="20"/>
        </w:rPr>
        <w:t>V letu 2024 je bilo skupno izdanih 82.767 (6</w:t>
      </w:r>
      <w:r w:rsidR="00DA750A">
        <w:rPr>
          <w:rFonts w:ascii="Arial" w:hAnsi="Arial" w:cs="Arial"/>
          <w:sz w:val="20"/>
          <w:szCs w:val="20"/>
        </w:rPr>
        <w:t>-odstotni</w:t>
      </w:r>
      <w:r w:rsidRPr="00A335CB">
        <w:rPr>
          <w:rFonts w:ascii="Arial" w:hAnsi="Arial" w:cs="Arial"/>
          <w:sz w:val="20"/>
          <w:szCs w:val="20"/>
        </w:rPr>
        <w:t xml:space="preserve"> upad v primerjavi z lanskim letom) dovoljenj za začasno prebivanje državljanov tretjih držav in 5.576 (3</w:t>
      </w:r>
      <w:r w:rsidR="00DA750A">
        <w:rPr>
          <w:rFonts w:ascii="Arial" w:hAnsi="Arial" w:cs="Arial"/>
          <w:sz w:val="20"/>
          <w:szCs w:val="20"/>
        </w:rPr>
        <w:t>-odstotno</w:t>
      </w:r>
      <w:r w:rsidR="00A10905" w:rsidRPr="00A335CB">
        <w:rPr>
          <w:rFonts w:ascii="Arial" w:hAnsi="Arial" w:cs="Arial"/>
          <w:sz w:val="20"/>
          <w:szCs w:val="20"/>
        </w:rPr>
        <w:t xml:space="preserve"> povišanje</w:t>
      </w:r>
      <w:r w:rsidRPr="00A335CB">
        <w:rPr>
          <w:rFonts w:ascii="Arial" w:hAnsi="Arial" w:cs="Arial"/>
          <w:sz w:val="20"/>
          <w:szCs w:val="20"/>
        </w:rPr>
        <w:t xml:space="preserve"> v primerjavi z lanskim letom) potrdil o prijavi prebivanja za državljane EU. Prav tako je bilo izdanih 19.457 (16</w:t>
      </w:r>
      <w:r w:rsidR="00DA750A">
        <w:rPr>
          <w:rFonts w:ascii="Arial" w:hAnsi="Arial" w:cs="Arial"/>
          <w:sz w:val="20"/>
          <w:szCs w:val="20"/>
        </w:rPr>
        <w:t>-odstotno</w:t>
      </w:r>
      <w:r w:rsidR="00A10905" w:rsidRPr="00A335CB">
        <w:rPr>
          <w:rFonts w:ascii="Arial" w:hAnsi="Arial" w:cs="Arial"/>
          <w:sz w:val="20"/>
          <w:szCs w:val="20"/>
        </w:rPr>
        <w:t xml:space="preserve"> povišanje</w:t>
      </w:r>
      <w:r w:rsidRPr="00A335CB">
        <w:rPr>
          <w:rFonts w:ascii="Arial" w:hAnsi="Arial" w:cs="Arial"/>
          <w:sz w:val="20"/>
          <w:szCs w:val="20"/>
        </w:rPr>
        <w:t xml:space="preserve"> v primerjavi z lanskim letom) dovoljenj za stalno prebivanje državljanom tretjih držav in 768 potrdil </w:t>
      </w:r>
      <w:r w:rsidR="00DA750A" w:rsidRPr="00A335CB">
        <w:rPr>
          <w:rFonts w:ascii="Arial" w:hAnsi="Arial" w:cs="Arial"/>
          <w:sz w:val="20"/>
          <w:szCs w:val="20"/>
        </w:rPr>
        <w:t>(6</w:t>
      </w:r>
      <w:r w:rsidR="00DA750A">
        <w:rPr>
          <w:rFonts w:ascii="Arial" w:hAnsi="Arial" w:cs="Arial"/>
          <w:sz w:val="20"/>
          <w:szCs w:val="20"/>
        </w:rPr>
        <w:t>-odstotni</w:t>
      </w:r>
      <w:r w:rsidR="00DA750A" w:rsidRPr="00A335CB">
        <w:rPr>
          <w:rFonts w:ascii="Arial" w:hAnsi="Arial" w:cs="Arial"/>
          <w:sz w:val="20"/>
          <w:szCs w:val="20"/>
        </w:rPr>
        <w:t xml:space="preserve"> upad v primerjavi z lanskim letom) </w:t>
      </w:r>
      <w:r w:rsidRPr="00A335CB">
        <w:rPr>
          <w:rFonts w:ascii="Arial" w:hAnsi="Arial" w:cs="Arial"/>
          <w:sz w:val="20"/>
          <w:szCs w:val="20"/>
        </w:rPr>
        <w:t>o prijavi stalnega prebivanja za državljane EU.</w:t>
      </w:r>
    </w:p>
    <w:p w14:paraId="30F8EBC0"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noProof/>
          <w:lang w:eastAsia="sl-SI"/>
        </w:rPr>
        <w:drawing>
          <wp:inline distT="0" distB="0" distL="0" distR="0" wp14:anchorId="2CA1CDB0" wp14:editId="61B578A3">
            <wp:extent cx="5796951" cy="2587925"/>
            <wp:effectExtent l="0" t="0" r="13335" b="3175"/>
            <wp:docPr id="35" name="Grafikon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316329" w14:textId="4F045731" w:rsidR="008D3F61" w:rsidRPr="00A335CB" w:rsidRDefault="008D3F61" w:rsidP="00E047EE">
      <w:pPr>
        <w:spacing w:after="0" w:line="276" w:lineRule="auto"/>
        <w:jc w:val="both"/>
        <w:rPr>
          <w:rFonts w:ascii="Arial" w:hAnsi="Arial" w:cs="Arial"/>
          <w:sz w:val="20"/>
        </w:rPr>
      </w:pPr>
      <w:r w:rsidRPr="00A335CB">
        <w:rPr>
          <w:rFonts w:ascii="Arial" w:hAnsi="Arial" w:cs="Arial"/>
          <w:b/>
          <w:sz w:val="20"/>
        </w:rPr>
        <w:t>Graf:</w:t>
      </w:r>
      <w:r w:rsidRPr="00A335CB">
        <w:rPr>
          <w:rFonts w:ascii="Arial" w:hAnsi="Arial" w:cs="Arial"/>
          <w:sz w:val="20"/>
        </w:rPr>
        <w:t xml:space="preserve"> Prikaz števila izdanih dovoljenj za začasno prebivanje oziroma potrdil o prijavi prebivanja v obdobju od 1. 1. 2024 do 31. 12. 2024 glede na vrsto dovoljenja </w:t>
      </w:r>
    </w:p>
    <w:p w14:paraId="441EA13C" w14:textId="77777777" w:rsidR="00E047EE" w:rsidRPr="00A335CB" w:rsidRDefault="00E047EE" w:rsidP="00E047EE">
      <w:pPr>
        <w:spacing w:after="0" w:line="276" w:lineRule="auto"/>
        <w:jc w:val="both"/>
        <w:rPr>
          <w:rFonts w:ascii="Arial" w:hAnsi="Arial" w:cs="Arial"/>
          <w:sz w:val="20"/>
          <w:szCs w:val="20"/>
        </w:rPr>
      </w:pPr>
    </w:p>
    <w:p w14:paraId="17B5D5AB" w14:textId="4C296FE3" w:rsidR="008D3F61" w:rsidRPr="00A335CB" w:rsidRDefault="008D3F61" w:rsidP="005D1A90">
      <w:pPr>
        <w:spacing w:line="276" w:lineRule="auto"/>
        <w:jc w:val="both"/>
        <w:rPr>
          <w:rFonts w:ascii="Arial" w:hAnsi="Arial" w:cs="Arial"/>
          <w:sz w:val="20"/>
          <w:szCs w:val="20"/>
        </w:rPr>
      </w:pPr>
      <w:r w:rsidRPr="00A335CB">
        <w:rPr>
          <w:rFonts w:ascii="Arial" w:hAnsi="Arial" w:cs="Arial"/>
          <w:sz w:val="20"/>
          <w:szCs w:val="20"/>
        </w:rPr>
        <w:t>Od vseh izdanih dovoljenj za začasno prebivanje je bilo 26.500 (14</w:t>
      </w:r>
      <w:r w:rsidR="00DA750A">
        <w:rPr>
          <w:rFonts w:ascii="Arial" w:hAnsi="Arial" w:cs="Arial"/>
          <w:sz w:val="20"/>
          <w:szCs w:val="20"/>
        </w:rPr>
        <w:t>-odstotni</w:t>
      </w:r>
      <w:r w:rsidRPr="00A335CB">
        <w:rPr>
          <w:rFonts w:ascii="Arial" w:hAnsi="Arial" w:cs="Arial"/>
          <w:sz w:val="20"/>
          <w:szCs w:val="20"/>
        </w:rPr>
        <w:t xml:space="preserve"> upad v primerjavi z lanskim letom) izdanih kot prvih dovoljenj za začasno prebivanje, pri čemer je bil največji delež le-teh izdan iz razloga zaposlitve ali dela (60</w:t>
      </w:r>
      <w:r w:rsidR="00A10905" w:rsidRPr="00A335CB">
        <w:rPr>
          <w:rFonts w:ascii="Arial" w:hAnsi="Arial" w:cs="Arial"/>
          <w:sz w:val="20"/>
          <w:szCs w:val="20"/>
        </w:rPr>
        <w:t xml:space="preserve"> </w:t>
      </w:r>
      <w:r w:rsidRPr="00A335CB">
        <w:rPr>
          <w:rFonts w:ascii="Arial" w:hAnsi="Arial" w:cs="Arial"/>
          <w:sz w:val="20"/>
          <w:szCs w:val="20"/>
        </w:rPr>
        <w:t xml:space="preserve">%). </w:t>
      </w:r>
    </w:p>
    <w:p w14:paraId="35D2B652"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noProof/>
          <w:lang w:eastAsia="sl-SI"/>
        </w:rPr>
        <w:drawing>
          <wp:inline distT="0" distB="0" distL="0" distR="0" wp14:anchorId="38B44279" wp14:editId="09E1E6ED">
            <wp:extent cx="5745193" cy="2812211"/>
            <wp:effectExtent l="0" t="0" r="8255" b="7620"/>
            <wp:docPr id="38" name="Grafikon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FA94047" w14:textId="77777777" w:rsidR="008D3F61" w:rsidRPr="00A335CB" w:rsidRDefault="008D3F61" w:rsidP="005D1A90">
      <w:pPr>
        <w:spacing w:after="0" w:line="276" w:lineRule="auto"/>
        <w:jc w:val="both"/>
        <w:rPr>
          <w:rFonts w:ascii="Arial" w:hAnsi="Arial" w:cs="Arial"/>
          <w:sz w:val="20"/>
          <w:szCs w:val="20"/>
        </w:rPr>
      </w:pPr>
      <w:r w:rsidRPr="00A335CB">
        <w:rPr>
          <w:rFonts w:ascii="Arial" w:hAnsi="Arial" w:cs="Arial"/>
          <w:b/>
          <w:sz w:val="20"/>
          <w:szCs w:val="20"/>
        </w:rPr>
        <w:t>Graf:</w:t>
      </w:r>
      <w:r w:rsidRPr="00A335CB">
        <w:rPr>
          <w:rFonts w:ascii="Arial" w:hAnsi="Arial" w:cs="Arial"/>
          <w:sz w:val="20"/>
          <w:szCs w:val="20"/>
        </w:rPr>
        <w:t xml:space="preserve"> Trend števila izdanih prvih dovoljenj za začasno prebivanje v zadnjih sedmih letih</w:t>
      </w:r>
    </w:p>
    <w:p w14:paraId="4B13D17D" w14:textId="77777777" w:rsidR="008D3F61" w:rsidRPr="00A335CB" w:rsidRDefault="008D3F61" w:rsidP="005D1A90">
      <w:pPr>
        <w:spacing w:after="0" w:line="276" w:lineRule="auto"/>
        <w:jc w:val="both"/>
        <w:rPr>
          <w:rFonts w:ascii="Arial" w:hAnsi="Arial" w:cs="Arial"/>
          <w:sz w:val="20"/>
          <w:szCs w:val="20"/>
        </w:rPr>
      </w:pPr>
    </w:p>
    <w:p w14:paraId="52587F40" w14:textId="6B170E37" w:rsidR="008D3F61" w:rsidRPr="00A335CB" w:rsidRDefault="008D3F61" w:rsidP="005D1A90">
      <w:pPr>
        <w:spacing w:line="276" w:lineRule="auto"/>
        <w:jc w:val="both"/>
        <w:rPr>
          <w:rFonts w:ascii="Arial" w:hAnsi="Arial" w:cs="Arial"/>
          <w:sz w:val="20"/>
          <w:szCs w:val="20"/>
        </w:rPr>
      </w:pPr>
      <w:r w:rsidRPr="00A335CB">
        <w:rPr>
          <w:rFonts w:ascii="Arial" w:hAnsi="Arial" w:cs="Arial"/>
          <w:sz w:val="20"/>
          <w:szCs w:val="20"/>
        </w:rPr>
        <w:t>Največ prvih dovoljenj za začasno prebivanje je bilo izdanih državljanom Bosne in Hercegovine (31</w:t>
      </w:r>
      <w:r w:rsidR="00DA750A">
        <w:rPr>
          <w:rFonts w:ascii="Arial" w:hAnsi="Arial" w:cs="Arial"/>
          <w:sz w:val="20"/>
          <w:szCs w:val="20"/>
        </w:rPr>
        <w:t> </w:t>
      </w:r>
      <w:r w:rsidRPr="00A335CB">
        <w:rPr>
          <w:rFonts w:ascii="Arial" w:hAnsi="Arial" w:cs="Arial"/>
          <w:sz w:val="20"/>
          <w:szCs w:val="20"/>
        </w:rPr>
        <w:t>%), ki jim sledijo državljani Srbije (17</w:t>
      </w:r>
      <w:r w:rsidR="00DA750A">
        <w:rPr>
          <w:rFonts w:ascii="Arial" w:hAnsi="Arial" w:cs="Arial"/>
          <w:sz w:val="20"/>
          <w:szCs w:val="20"/>
        </w:rPr>
        <w:t> </w:t>
      </w:r>
      <w:r w:rsidRPr="00A335CB">
        <w:rPr>
          <w:rFonts w:ascii="Arial" w:hAnsi="Arial" w:cs="Arial"/>
          <w:sz w:val="20"/>
          <w:szCs w:val="20"/>
        </w:rPr>
        <w:t xml:space="preserve">%) </w:t>
      </w:r>
      <w:r w:rsidR="00674627">
        <w:rPr>
          <w:rFonts w:ascii="Arial" w:hAnsi="Arial" w:cs="Arial"/>
          <w:sz w:val="20"/>
          <w:szCs w:val="20"/>
        </w:rPr>
        <w:t>in</w:t>
      </w:r>
      <w:r w:rsidR="00674627" w:rsidRPr="00A335CB">
        <w:rPr>
          <w:rFonts w:ascii="Arial" w:hAnsi="Arial" w:cs="Arial"/>
          <w:sz w:val="20"/>
          <w:szCs w:val="20"/>
        </w:rPr>
        <w:t xml:space="preserve"> </w:t>
      </w:r>
      <w:r w:rsidRPr="00A335CB">
        <w:rPr>
          <w:rFonts w:ascii="Arial" w:hAnsi="Arial" w:cs="Arial"/>
          <w:sz w:val="20"/>
          <w:szCs w:val="20"/>
        </w:rPr>
        <w:t>Kosova (15</w:t>
      </w:r>
      <w:r w:rsidR="00DA750A">
        <w:rPr>
          <w:rFonts w:ascii="Arial" w:hAnsi="Arial" w:cs="Arial"/>
          <w:sz w:val="20"/>
          <w:szCs w:val="20"/>
        </w:rPr>
        <w:t> </w:t>
      </w:r>
      <w:r w:rsidRPr="00A335CB">
        <w:rPr>
          <w:rFonts w:ascii="Arial" w:hAnsi="Arial" w:cs="Arial"/>
          <w:sz w:val="20"/>
          <w:szCs w:val="20"/>
        </w:rPr>
        <w:t>%).</w:t>
      </w:r>
    </w:p>
    <w:p w14:paraId="2816A819" w14:textId="77777777" w:rsidR="008D3F61" w:rsidRPr="00A335CB" w:rsidRDefault="008D3F61" w:rsidP="005D1A90">
      <w:pPr>
        <w:spacing w:line="276" w:lineRule="auto"/>
        <w:jc w:val="both"/>
        <w:rPr>
          <w:rFonts w:ascii="Arial" w:hAnsi="Arial" w:cs="Arial"/>
          <w:sz w:val="20"/>
          <w:szCs w:val="20"/>
        </w:rPr>
      </w:pPr>
      <w:r w:rsidRPr="00A335CB">
        <w:rPr>
          <w:rFonts w:ascii="Arial" w:hAnsi="Arial" w:cs="Arial"/>
          <w:noProof/>
          <w:sz w:val="20"/>
          <w:szCs w:val="20"/>
          <w:lang w:eastAsia="sl-SI"/>
        </w:rPr>
        <w:drawing>
          <wp:inline distT="0" distB="0" distL="0" distR="0" wp14:anchorId="64A5FF29" wp14:editId="3A64C02E">
            <wp:extent cx="5348378" cy="2493034"/>
            <wp:effectExtent l="0" t="0" r="5080" b="2540"/>
            <wp:docPr id="39" name="Grafikon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3B8580" w14:textId="77777777" w:rsidR="008D3F61" w:rsidRPr="00A335CB" w:rsidRDefault="008D3F61" w:rsidP="00E047EE">
      <w:pPr>
        <w:spacing w:after="0" w:line="276" w:lineRule="auto"/>
        <w:jc w:val="both"/>
        <w:rPr>
          <w:rFonts w:ascii="Arial" w:hAnsi="Arial" w:cs="Arial"/>
          <w:sz w:val="20"/>
          <w:szCs w:val="20"/>
        </w:rPr>
      </w:pPr>
      <w:r w:rsidRPr="00A335CB">
        <w:rPr>
          <w:rFonts w:ascii="Arial" w:hAnsi="Arial" w:cs="Arial"/>
          <w:b/>
          <w:sz w:val="20"/>
          <w:szCs w:val="20"/>
        </w:rPr>
        <w:t>Graf:</w:t>
      </w:r>
      <w:r w:rsidRPr="00A335CB">
        <w:rPr>
          <w:rFonts w:ascii="Arial" w:hAnsi="Arial" w:cs="Arial"/>
          <w:sz w:val="20"/>
          <w:szCs w:val="20"/>
        </w:rPr>
        <w:t xml:space="preserve"> Prve tri države, katerih državljanom je bilo izdanih največ prvih dovoljenj za prebivanje v letu 2024</w:t>
      </w:r>
    </w:p>
    <w:p w14:paraId="63E27317" w14:textId="77777777" w:rsidR="00E047EE" w:rsidRPr="00A335CB" w:rsidRDefault="00E047EE" w:rsidP="00E047EE">
      <w:pPr>
        <w:spacing w:after="0" w:line="276" w:lineRule="auto"/>
        <w:jc w:val="both"/>
        <w:rPr>
          <w:rFonts w:ascii="Arial" w:hAnsi="Arial" w:cs="Arial"/>
          <w:sz w:val="20"/>
          <w:szCs w:val="20"/>
        </w:rPr>
      </w:pPr>
    </w:p>
    <w:p w14:paraId="6E7D3EBD" w14:textId="53F9CB92" w:rsidR="008D3F61" w:rsidRPr="00A335CB" w:rsidRDefault="00E047EE" w:rsidP="005D1A90">
      <w:pPr>
        <w:spacing w:line="276" w:lineRule="auto"/>
        <w:jc w:val="both"/>
        <w:rPr>
          <w:rFonts w:ascii="Arial" w:hAnsi="Arial" w:cs="Arial"/>
          <w:sz w:val="20"/>
          <w:szCs w:val="20"/>
        </w:rPr>
      </w:pPr>
      <w:r w:rsidRPr="00A335CB">
        <w:rPr>
          <w:rFonts w:ascii="Arial" w:hAnsi="Arial" w:cs="Arial"/>
          <w:sz w:val="20"/>
          <w:szCs w:val="20"/>
        </w:rPr>
        <w:t>MNZ</w:t>
      </w:r>
      <w:r w:rsidR="008D3F61" w:rsidRPr="00A335CB">
        <w:rPr>
          <w:rFonts w:ascii="Arial" w:hAnsi="Arial" w:cs="Arial"/>
          <w:sz w:val="20"/>
          <w:szCs w:val="20"/>
        </w:rPr>
        <w:t xml:space="preserve"> je sodelovalo pri pripravi </w:t>
      </w:r>
      <w:r w:rsidR="008D3F61" w:rsidRPr="00A335CB">
        <w:rPr>
          <w:rFonts w:ascii="Arial" w:hAnsi="Arial" w:cs="Arial"/>
          <w:b/>
          <w:sz w:val="20"/>
          <w:szCs w:val="20"/>
        </w:rPr>
        <w:t>Zakona o ukrepih za optimizacijo določenih postopkov na upravnih enotah</w:t>
      </w:r>
      <w:r w:rsidR="008D3F61" w:rsidRPr="00A335CB">
        <w:rPr>
          <w:rFonts w:ascii="Arial" w:hAnsi="Arial" w:cs="Arial"/>
          <w:sz w:val="20"/>
          <w:szCs w:val="20"/>
        </w:rPr>
        <w:t xml:space="preserve"> (</w:t>
      </w:r>
      <w:r w:rsidR="004C76FC" w:rsidRPr="00A335CB">
        <w:rPr>
          <w:rFonts w:ascii="Arial" w:hAnsi="Arial" w:cs="Arial"/>
          <w:sz w:val="20"/>
          <w:szCs w:val="20"/>
        </w:rPr>
        <w:t xml:space="preserve">v nadaljnjem besedilu: </w:t>
      </w:r>
      <w:r w:rsidR="008D3F61" w:rsidRPr="00A335CB">
        <w:rPr>
          <w:rFonts w:ascii="Arial" w:hAnsi="Arial" w:cs="Arial"/>
          <w:sz w:val="20"/>
          <w:szCs w:val="20"/>
        </w:rPr>
        <w:t xml:space="preserve">ZUOPUE), ki je bil sprejet 15. 7. 2024, veljati pa je začel 25. 7. 2024. </w:t>
      </w:r>
    </w:p>
    <w:p w14:paraId="1AA2D2A8" w14:textId="793141A5" w:rsidR="004C76FC" w:rsidRPr="00A335CB" w:rsidRDefault="008D3F61" w:rsidP="00E047EE">
      <w:pPr>
        <w:spacing w:after="0" w:line="276" w:lineRule="auto"/>
        <w:jc w:val="both"/>
        <w:rPr>
          <w:rFonts w:ascii="Arial" w:hAnsi="Arial" w:cs="Arial"/>
          <w:sz w:val="20"/>
          <w:szCs w:val="20"/>
        </w:rPr>
      </w:pPr>
      <w:r w:rsidRPr="00A335CB">
        <w:rPr>
          <w:rFonts w:ascii="Arial" w:hAnsi="Arial" w:cs="Arial"/>
          <w:sz w:val="20"/>
          <w:szCs w:val="20"/>
        </w:rPr>
        <w:t>S tem zakonom se za namen razbremenitve poslovnih procesov na upravnih enotah in hitrejšega vstopa tujcev na trg dela določajo ukrepi za optimizacijo določenih postopkov na upravnih</w:t>
      </w:r>
      <w:r w:rsidR="00BA59D0" w:rsidRPr="00A335CB">
        <w:rPr>
          <w:rFonts w:ascii="Arial" w:hAnsi="Arial" w:cs="Arial"/>
          <w:sz w:val="20"/>
          <w:szCs w:val="20"/>
        </w:rPr>
        <w:t xml:space="preserve"> enotah. Poglavitne rešitve so:</w:t>
      </w:r>
    </w:p>
    <w:p w14:paraId="7965E7AE" w14:textId="0484E642" w:rsidR="004C76FC" w:rsidRPr="0010073D" w:rsidRDefault="004C76FC" w:rsidP="004C76FC">
      <w:pPr>
        <w:pStyle w:val="Odstavekseznama"/>
        <w:numPr>
          <w:ilvl w:val="0"/>
          <w:numId w:val="11"/>
        </w:numPr>
        <w:spacing w:after="0"/>
        <w:jc w:val="both"/>
        <w:rPr>
          <w:rFonts w:ascii="Arial" w:hAnsi="Arial" w:cs="Arial"/>
          <w:b/>
          <w:sz w:val="20"/>
          <w:szCs w:val="20"/>
        </w:rPr>
      </w:pPr>
      <w:r w:rsidRPr="00A335CB">
        <w:rPr>
          <w:rFonts w:ascii="Arial" w:hAnsi="Arial" w:cs="Arial"/>
          <w:b/>
          <w:sz w:val="20"/>
          <w:szCs w:val="20"/>
        </w:rPr>
        <w:t>o</w:t>
      </w:r>
      <w:r w:rsidR="008D3F61" w:rsidRPr="00A335CB">
        <w:rPr>
          <w:rFonts w:ascii="Arial" w:hAnsi="Arial" w:cs="Arial"/>
          <w:b/>
          <w:sz w:val="20"/>
          <w:szCs w:val="20"/>
        </w:rPr>
        <w:t>dprava krajevne pristojnosti upravnih enot v določenih postopkih po Zakonu o tujcih (ZTuj-2)</w:t>
      </w:r>
      <w:r w:rsidRPr="00A335CB">
        <w:rPr>
          <w:rFonts w:ascii="Arial" w:hAnsi="Arial" w:cs="Arial"/>
          <w:b/>
          <w:sz w:val="20"/>
          <w:szCs w:val="20"/>
        </w:rPr>
        <w:t xml:space="preserve">: </w:t>
      </w:r>
      <w:r w:rsidRPr="00A335CB">
        <w:rPr>
          <w:rFonts w:ascii="Arial" w:hAnsi="Arial" w:cs="Arial"/>
          <w:sz w:val="20"/>
          <w:szCs w:val="20"/>
        </w:rPr>
        <w:t>z</w:t>
      </w:r>
      <w:r w:rsidR="008D3F61" w:rsidRPr="00A335CB">
        <w:rPr>
          <w:rFonts w:ascii="Arial" w:hAnsi="Arial" w:cs="Arial"/>
          <w:sz w:val="20"/>
          <w:szCs w:val="20"/>
        </w:rPr>
        <w:t xml:space="preserve"> zakonom se odpravlja krajevna pristojnost upravnih enot v postopkih izdaje in podaljšanja dovoljenj za prebivanje ter v postopkih izdaje in obnove potrdil o prijavi prebivanja za državljane EU oziroma državljane držav članic Evropske</w:t>
      </w:r>
      <w:r w:rsidRPr="00A335CB">
        <w:rPr>
          <w:rFonts w:ascii="Arial" w:hAnsi="Arial" w:cs="Arial"/>
          <w:sz w:val="20"/>
          <w:szCs w:val="20"/>
        </w:rPr>
        <w:t>ga gospodarskega prostora (EGP);</w:t>
      </w:r>
    </w:p>
    <w:p w14:paraId="33683B04" w14:textId="3DDD5666" w:rsidR="004C76FC" w:rsidRPr="0010073D" w:rsidRDefault="004C76FC" w:rsidP="004C76FC">
      <w:pPr>
        <w:pStyle w:val="Odstavekseznama"/>
        <w:numPr>
          <w:ilvl w:val="0"/>
          <w:numId w:val="11"/>
        </w:numPr>
        <w:spacing w:after="0"/>
        <w:jc w:val="both"/>
        <w:rPr>
          <w:rFonts w:ascii="Arial" w:hAnsi="Arial" w:cs="Arial"/>
          <w:sz w:val="20"/>
          <w:szCs w:val="20"/>
        </w:rPr>
      </w:pPr>
      <w:r w:rsidRPr="00A335CB">
        <w:rPr>
          <w:rFonts w:ascii="Arial" w:hAnsi="Arial" w:cs="Arial"/>
          <w:b/>
          <w:sz w:val="20"/>
          <w:szCs w:val="20"/>
        </w:rPr>
        <w:t>z</w:t>
      </w:r>
      <w:r w:rsidR="008D3F61" w:rsidRPr="00A335CB">
        <w:rPr>
          <w:rFonts w:ascii="Arial" w:hAnsi="Arial" w:cs="Arial"/>
          <w:b/>
          <w:sz w:val="20"/>
          <w:szCs w:val="20"/>
        </w:rPr>
        <w:t xml:space="preserve">ačasna ureditev na področju opravljanja dela tujih delavcev v Republiki Sloveniji </w:t>
      </w:r>
      <w:r w:rsidR="008D3F61" w:rsidRPr="00A335CB">
        <w:rPr>
          <w:rFonts w:ascii="Arial" w:hAnsi="Arial" w:cs="Arial"/>
          <w:sz w:val="20"/>
          <w:szCs w:val="20"/>
        </w:rPr>
        <w:t>(začasna ureditev od 1.</w:t>
      </w:r>
      <w:r w:rsidR="000E6FEE" w:rsidRPr="00A335CB">
        <w:rPr>
          <w:rFonts w:ascii="Arial" w:hAnsi="Arial" w:cs="Arial"/>
          <w:sz w:val="20"/>
          <w:szCs w:val="20"/>
        </w:rPr>
        <w:t xml:space="preserve"> </w:t>
      </w:r>
      <w:r w:rsidR="008D3F61" w:rsidRPr="00A335CB">
        <w:rPr>
          <w:rFonts w:ascii="Arial" w:hAnsi="Arial" w:cs="Arial"/>
          <w:sz w:val="20"/>
          <w:szCs w:val="20"/>
        </w:rPr>
        <w:t>1.</w:t>
      </w:r>
      <w:r w:rsidR="000E6FEE" w:rsidRPr="00A335CB">
        <w:rPr>
          <w:rFonts w:ascii="Arial" w:hAnsi="Arial" w:cs="Arial"/>
          <w:sz w:val="20"/>
          <w:szCs w:val="20"/>
        </w:rPr>
        <w:t xml:space="preserve"> </w:t>
      </w:r>
      <w:r w:rsidR="008D3F61" w:rsidRPr="00A335CB">
        <w:rPr>
          <w:rFonts w:ascii="Arial" w:hAnsi="Arial" w:cs="Arial"/>
          <w:sz w:val="20"/>
          <w:szCs w:val="20"/>
        </w:rPr>
        <w:t>2025 ne velja več)</w:t>
      </w:r>
      <w:r w:rsidRPr="00A335CB">
        <w:rPr>
          <w:rFonts w:ascii="Arial" w:hAnsi="Arial" w:cs="Arial"/>
          <w:sz w:val="20"/>
          <w:szCs w:val="20"/>
        </w:rPr>
        <w:t>;</w:t>
      </w:r>
    </w:p>
    <w:p w14:paraId="28A7B2D7" w14:textId="20FC9A80" w:rsidR="00E047EE" w:rsidRPr="0010073D" w:rsidRDefault="00674627" w:rsidP="0010073D">
      <w:pPr>
        <w:pStyle w:val="Odstavekseznama"/>
        <w:numPr>
          <w:ilvl w:val="0"/>
          <w:numId w:val="11"/>
        </w:numPr>
        <w:spacing w:after="0"/>
        <w:jc w:val="both"/>
        <w:rPr>
          <w:rFonts w:ascii="Arial" w:hAnsi="Arial" w:cs="Arial"/>
          <w:b/>
          <w:sz w:val="20"/>
          <w:szCs w:val="20"/>
        </w:rPr>
      </w:pPr>
      <w:r>
        <w:rPr>
          <w:rFonts w:ascii="Arial" w:hAnsi="Arial" w:cs="Arial"/>
          <w:b/>
          <w:sz w:val="20"/>
          <w:szCs w:val="20"/>
        </w:rPr>
        <w:t>d</w:t>
      </w:r>
      <w:r w:rsidRPr="00A335CB">
        <w:rPr>
          <w:rFonts w:ascii="Arial" w:hAnsi="Arial" w:cs="Arial"/>
          <w:b/>
          <w:sz w:val="20"/>
          <w:szCs w:val="20"/>
        </w:rPr>
        <w:t xml:space="preserve">ostop </w:t>
      </w:r>
      <w:r w:rsidR="008D3F61" w:rsidRPr="00A335CB">
        <w:rPr>
          <w:rFonts w:ascii="Arial" w:hAnsi="Arial" w:cs="Arial"/>
          <w:b/>
          <w:sz w:val="20"/>
          <w:szCs w:val="20"/>
        </w:rPr>
        <w:t>do bivanja in zaposlitve (25. člen ZUOPUE)</w:t>
      </w:r>
      <w:r w:rsidR="004C76FC" w:rsidRPr="00A335CB">
        <w:rPr>
          <w:rFonts w:ascii="Arial" w:hAnsi="Arial" w:cs="Arial"/>
          <w:b/>
          <w:sz w:val="20"/>
          <w:szCs w:val="20"/>
        </w:rPr>
        <w:t xml:space="preserve">: </w:t>
      </w:r>
      <w:r w:rsidR="004C76FC" w:rsidRPr="00A335CB">
        <w:rPr>
          <w:rFonts w:ascii="Arial" w:hAnsi="Arial" w:cs="Arial"/>
          <w:sz w:val="20"/>
          <w:szCs w:val="20"/>
        </w:rPr>
        <w:t>z</w:t>
      </w:r>
      <w:r w:rsidR="008D3F61" w:rsidRPr="00A335CB">
        <w:rPr>
          <w:rFonts w:ascii="Arial" w:hAnsi="Arial" w:cs="Arial"/>
          <w:sz w:val="20"/>
          <w:szCs w:val="20"/>
        </w:rPr>
        <w:t>akon določa, da upravna enota tujcu, ki zakonito prebiva v Republiki Sloveniji in ima vloženo vlogo za izdajo prvega enotnega dovoljenja za prebivanje in delo za namen zaposlitve v skladu z Zakonom o tujcih (ZTuj-2), na njegovo zahtevo izda potrdilo o vloženi vlogi za izdajo prvega enotnega dovoljenja, ki mu omogoča prebivanje v Republiki Sloveniji do pravnomočne odločitve o vlogi.</w:t>
      </w:r>
      <w:r w:rsidR="004C76FC" w:rsidRPr="00A335CB">
        <w:rPr>
          <w:rFonts w:ascii="Arial" w:hAnsi="Arial" w:cs="Arial"/>
          <w:sz w:val="20"/>
          <w:szCs w:val="20"/>
        </w:rPr>
        <w:t xml:space="preserve"> </w:t>
      </w:r>
      <w:r w:rsidR="008D3F61" w:rsidRPr="0010073D">
        <w:rPr>
          <w:rFonts w:ascii="Arial" w:hAnsi="Arial" w:cs="Arial"/>
          <w:sz w:val="20"/>
          <w:szCs w:val="20"/>
        </w:rPr>
        <w:t xml:space="preserve">Na podlagi potrdila o vloženi vlogi za izdajo prvega enotnega dovoljenja ter soglasja </w:t>
      </w:r>
      <w:r w:rsidR="0032769E" w:rsidRPr="0010073D">
        <w:rPr>
          <w:rFonts w:ascii="Arial" w:hAnsi="Arial" w:cs="Arial"/>
          <w:sz w:val="20"/>
          <w:szCs w:val="20"/>
        </w:rPr>
        <w:t xml:space="preserve">ZRSZ </w:t>
      </w:r>
      <w:r w:rsidR="008D3F61" w:rsidRPr="0010073D">
        <w:rPr>
          <w:rFonts w:ascii="Arial" w:hAnsi="Arial" w:cs="Arial"/>
          <w:sz w:val="20"/>
          <w:szCs w:val="20"/>
        </w:rPr>
        <w:t>k izdaji enotnega dovoljenja, ki omogoča zaposlitev tujca, se tujec lahko zaposli do pravnomočne odločitve o vlogi za izdajo prvega enotnega</w:t>
      </w:r>
      <w:r w:rsidR="0010073D">
        <w:rPr>
          <w:rFonts w:ascii="Arial" w:hAnsi="Arial" w:cs="Arial"/>
          <w:sz w:val="20"/>
          <w:szCs w:val="20"/>
        </w:rPr>
        <w:t xml:space="preserve"> dovoljenja za namen zaposlitve;</w:t>
      </w:r>
    </w:p>
    <w:p w14:paraId="14BE0AC6" w14:textId="5A07596B" w:rsidR="008D3F61" w:rsidRPr="00A335CB" w:rsidRDefault="00674627" w:rsidP="005D1A90">
      <w:pPr>
        <w:pStyle w:val="Odstavekseznama"/>
        <w:numPr>
          <w:ilvl w:val="0"/>
          <w:numId w:val="39"/>
        </w:numPr>
        <w:spacing w:after="0"/>
        <w:jc w:val="both"/>
        <w:rPr>
          <w:rFonts w:ascii="Arial" w:hAnsi="Arial" w:cs="Arial"/>
          <w:b/>
          <w:sz w:val="20"/>
          <w:szCs w:val="20"/>
        </w:rPr>
      </w:pPr>
      <w:r>
        <w:rPr>
          <w:rFonts w:ascii="Arial" w:hAnsi="Arial" w:cs="Arial"/>
          <w:b/>
          <w:sz w:val="20"/>
          <w:szCs w:val="20"/>
        </w:rPr>
        <w:t>u</w:t>
      </w:r>
      <w:r w:rsidRPr="00A335CB">
        <w:rPr>
          <w:rFonts w:ascii="Arial" w:hAnsi="Arial" w:cs="Arial"/>
          <w:b/>
          <w:sz w:val="20"/>
          <w:szCs w:val="20"/>
        </w:rPr>
        <w:t xml:space="preserve">reditev </w:t>
      </w:r>
      <w:r w:rsidR="008D3F61" w:rsidRPr="00A335CB">
        <w:rPr>
          <w:rFonts w:ascii="Arial" w:hAnsi="Arial" w:cs="Arial"/>
          <w:b/>
          <w:sz w:val="20"/>
          <w:szCs w:val="20"/>
        </w:rPr>
        <w:t>statusa prebivanja na podlagi zaposlitve za tujce, ki jim je bila prošnja za mednarodno zaščito zavrnjena (27. člen ZUOPUE)</w:t>
      </w:r>
      <w:r w:rsidR="004C76FC" w:rsidRPr="00A335CB">
        <w:rPr>
          <w:rFonts w:ascii="Arial" w:hAnsi="Arial" w:cs="Arial"/>
          <w:b/>
          <w:sz w:val="20"/>
          <w:szCs w:val="20"/>
        </w:rPr>
        <w:t xml:space="preserve">: </w:t>
      </w:r>
      <w:r w:rsidR="004C76FC" w:rsidRPr="00A335CB">
        <w:rPr>
          <w:rFonts w:ascii="Arial" w:hAnsi="Arial" w:cs="Arial"/>
          <w:sz w:val="20"/>
          <w:szCs w:val="20"/>
        </w:rPr>
        <w:t>z</w:t>
      </w:r>
      <w:r w:rsidR="008D3F61" w:rsidRPr="00A335CB">
        <w:rPr>
          <w:rFonts w:ascii="Arial" w:hAnsi="Arial" w:cs="Arial"/>
          <w:sz w:val="20"/>
          <w:szCs w:val="20"/>
        </w:rPr>
        <w:t>akon ureja možnost izdaje prvega enotnega dovoljenja za namen zaposlitve tudi tujcu, ki mu je bila na podlagi zakona, ki ureja mednarodno zaščito (ZMZ-1), prošnja za mednarodno zaščito zavrnjena in je vključen v sistem socialnega zavarovanja v času zavrnitve prošnje (kar pomeni na dan vročitve zavrnilne odločbe) za mednarodno zaščito ter je bil do trenutka zavrnitve prošnje za mednarodno zaščito najmanj devet mesecev vključen v sistem socialnega zavarovanja na podlagi zaposlitve (vštejejo se vsi dnevi vključenosti v sistem socialnega zavarovanja na podlagi zaposlitve do vročitve zavrnilne odločbe, kar pomeni, da se ne zahteva neprekinjena devetmesečna vključenost v sistem socialnega zavarovanja na podlagi zaposlitve).</w:t>
      </w:r>
    </w:p>
    <w:p w14:paraId="2DCBBBC3" w14:textId="77777777" w:rsidR="0010073D" w:rsidRDefault="0010073D" w:rsidP="004C76FC">
      <w:pPr>
        <w:spacing w:after="0" w:line="276" w:lineRule="auto"/>
        <w:jc w:val="both"/>
        <w:rPr>
          <w:rFonts w:ascii="Arial" w:hAnsi="Arial" w:cs="Arial"/>
          <w:sz w:val="20"/>
          <w:szCs w:val="20"/>
        </w:rPr>
      </w:pPr>
    </w:p>
    <w:p w14:paraId="59B00659" w14:textId="664630D1" w:rsidR="008D3F61" w:rsidRPr="00A335CB" w:rsidRDefault="008D3F61" w:rsidP="004C76FC">
      <w:pPr>
        <w:spacing w:after="0" w:line="276" w:lineRule="auto"/>
        <w:jc w:val="both"/>
        <w:rPr>
          <w:rFonts w:ascii="Arial" w:hAnsi="Arial" w:cs="Arial"/>
          <w:sz w:val="20"/>
          <w:szCs w:val="20"/>
        </w:rPr>
      </w:pPr>
      <w:r w:rsidRPr="00A335CB">
        <w:rPr>
          <w:rFonts w:ascii="Arial" w:hAnsi="Arial" w:cs="Arial"/>
          <w:sz w:val="20"/>
          <w:szCs w:val="20"/>
        </w:rPr>
        <w:t>Zakon nadalje določa, da se enotno dovoljenje v tem primeru ne izda, če je bila prošnja za mednarodno zaščito zavrnjena zaradi izključitvenih razlogov v skladu z zakonom, ki ureja mednarodno zaščito (ZMZ-1).</w:t>
      </w:r>
    </w:p>
    <w:p w14:paraId="4E387F0B" w14:textId="77777777" w:rsidR="00E047EE" w:rsidRPr="00A335CB" w:rsidRDefault="00E047EE" w:rsidP="004C76FC">
      <w:pPr>
        <w:spacing w:after="0" w:line="276" w:lineRule="auto"/>
        <w:jc w:val="both"/>
        <w:rPr>
          <w:rFonts w:ascii="Arial" w:hAnsi="Arial" w:cs="Arial"/>
          <w:sz w:val="20"/>
          <w:szCs w:val="20"/>
        </w:rPr>
      </w:pPr>
    </w:p>
    <w:p w14:paraId="50F07BEB" w14:textId="3492ABF8" w:rsidR="008D3F61" w:rsidRPr="00A335CB" w:rsidRDefault="008D3F61" w:rsidP="004C76FC">
      <w:pPr>
        <w:spacing w:after="0" w:line="276" w:lineRule="auto"/>
        <w:jc w:val="both"/>
        <w:rPr>
          <w:rFonts w:ascii="Arial" w:hAnsi="Arial" w:cs="Arial"/>
          <w:sz w:val="20"/>
          <w:szCs w:val="20"/>
        </w:rPr>
      </w:pPr>
      <w:r w:rsidRPr="00A335CB">
        <w:rPr>
          <w:rFonts w:ascii="Arial" w:hAnsi="Arial" w:cs="Arial"/>
          <w:sz w:val="20"/>
          <w:szCs w:val="20"/>
        </w:rPr>
        <w:t>Upravna enota tudi v postopku izdaje enotnega dovoljenja po 27. členu zakona vlagatelju vloge izda potrdilo o vloženi vlogi za izdajo prvega enotnega dovoljenja, in sicer pod pogojem, da je vloga za izdajo prvega enotnega dovoljenja za namen zaposlitve vložena pravočasno, to je do izteka roka za prostovoljni odhod</w:t>
      </w:r>
      <w:r w:rsidR="00674627">
        <w:rPr>
          <w:rFonts w:ascii="Arial" w:hAnsi="Arial" w:cs="Arial"/>
          <w:sz w:val="20"/>
          <w:szCs w:val="20"/>
        </w:rPr>
        <w:t>,</w:t>
      </w:r>
      <w:r w:rsidRPr="00A335CB">
        <w:rPr>
          <w:rFonts w:ascii="Arial" w:hAnsi="Arial" w:cs="Arial"/>
          <w:sz w:val="20"/>
          <w:szCs w:val="20"/>
        </w:rPr>
        <w:t xml:space="preserve"> kot je ta določen z odločbo o zavrnitvi prošnje za mednarodno zaščito in ki začne teči z dnem, ko je odločba o zavrnitvi prošnje za mednarodno zaščito izvršljiva.</w:t>
      </w:r>
    </w:p>
    <w:p w14:paraId="158BD010" w14:textId="77777777" w:rsidR="00E047EE" w:rsidRPr="00A335CB" w:rsidRDefault="00E047EE" w:rsidP="004C76FC">
      <w:pPr>
        <w:spacing w:after="0" w:line="276" w:lineRule="auto"/>
        <w:jc w:val="both"/>
        <w:rPr>
          <w:rFonts w:ascii="Arial" w:hAnsi="Arial" w:cs="Arial"/>
          <w:sz w:val="20"/>
          <w:szCs w:val="20"/>
        </w:rPr>
      </w:pPr>
    </w:p>
    <w:p w14:paraId="34CEBC51" w14:textId="7ADC04E3" w:rsidR="008D3F61" w:rsidRPr="00A335CB" w:rsidRDefault="008D3F61" w:rsidP="004C76FC">
      <w:pPr>
        <w:spacing w:after="0" w:line="276" w:lineRule="auto"/>
        <w:jc w:val="both"/>
        <w:rPr>
          <w:rFonts w:ascii="Arial" w:hAnsi="Arial" w:cs="Arial"/>
          <w:sz w:val="20"/>
          <w:szCs w:val="20"/>
        </w:rPr>
      </w:pPr>
      <w:r w:rsidRPr="00A335CB">
        <w:rPr>
          <w:rFonts w:ascii="Arial" w:hAnsi="Arial" w:cs="Arial"/>
          <w:sz w:val="20"/>
          <w:szCs w:val="20"/>
        </w:rPr>
        <w:t>Na podlagi Sklepa o podaljšanju ukrepov začasne ureditve na področju opravljanja dela tujih delavcev v Republiki Sloveniji (Uradni list RS, št. 83/24) so se zgoraj navedeni ukrepi začasne ureditve na področju opravljanja dela tujih delavcev v Republiki Sloveniji pr</w:t>
      </w:r>
      <w:r w:rsidR="004C76FC" w:rsidRPr="00A335CB">
        <w:rPr>
          <w:rFonts w:ascii="Arial" w:hAnsi="Arial" w:cs="Arial"/>
          <w:sz w:val="20"/>
          <w:szCs w:val="20"/>
        </w:rPr>
        <w:t>enehali uporabljati 31. 12.</w:t>
      </w:r>
      <w:r w:rsidRPr="00A335CB">
        <w:rPr>
          <w:rFonts w:ascii="Arial" w:hAnsi="Arial" w:cs="Arial"/>
          <w:sz w:val="20"/>
          <w:szCs w:val="20"/>
        </w:rPr>
        <w:t xml:space="preserve"> 2024.</w:t>
      </w:r>
    </w:p>
    <w:p w14:paraId="5D18DEE5" w14:textId="77777777" w:rsidR="00E047EE" w:rsidRPr="00A335CB" w:rsidRDefault="00E047EE" w:rsidP="004C76FC">
      <w:pPr>
        <w:spacing w:after="0" w:line="276" w:lineRule="auto"/>
        <w:jc w:val="both"/>
        <w:rPr>
          <w:rFonts w:ascii="Arial" w:hAnsi="Arial" w:cs="Arial"/>
          <w:sz w:val="20"/>
          <w:szCs w:val="20"/>
        </w:rPr>
      </w:pPr>
    </w:p>
    <w:p w14:paraId="6AB79B4D" w14:textId="5D6A0820" w:rsidR="008D3F61" w:rsidRPr="00A335CB" w:rsidRDefault="008D3F61" w:rsidP="004C76FC">
      <w:pPr>
        <w:spacing w:after="0" w:line="276" w:lineRule="auto"/>
        <w:jc w:val="both"/>
        <w:rPr>
          <w:rFonts w:ascii="Arial" w:hAnsi="Arial" w:cs="Arial"/>
          <w:sz w:val="20"/>
          <w:szCs w:val="20"/>
        </w:rPr>
      </w:pPr>
      <w:r w:rsidRPr="00A335CB">
        <w:rPr>
          <w:rFonts w:ascii="Arial" w:hAnsi="Arial" w:cs="Arial"/>
          <w:sz w:val="20"/>
          <w:szCs w:val="20"/>
          <w:lang w:eastAsia="sl-SI"/>
        </w:rPr>
        <w:t xml:space="preserve">Zaradi izvajanja v letu 2024 sprejetega Zakona o ukrepih za optimizacijo določenih postopkov na upravnih enotah (Uradni list RS, št. 62/24) je bil nadgrajen Register tujcev (evidenca o dovoljenjih za prebivanje tujcev). Nadgradnja med drugim omogoča, da se iz Registra tujcev za tujca ali njegovega delodajalca tiska tudi potrdilo o vloženi prošnji za izdajo enotnega dovoljenja za prebivanje in delo, ki ga navedeni zakon ureja in ki vpliva tudi na tujčev status, ki se </w:t>
      </w:r>
      <w:r w:rsidR="00674627">
        <w:rPr>
          <w:rFonts w:ascii="Arial" w:hAnsi="Arial" w:cs="Arial"/>
          <w:sz w:val="20"/>
          <w:szCs w:val="20"/>
          <w:lang w:eastAsia="sl-SI"/>
        </w:rPr>
        <w:t xml:space="preserve">vodi </w:t>
      </w:r>
      <w:r w:rsidRPr="00A335CB">
        <w:rPr>
          <w:rFonts w:ascii="Arial" w:hAnsi="Arial" w:cs="Arial"/>
          <w:sz w:val="20"/>
          <w:szCs w:val="20"/>
          <w:lang w:eastAsia="sl-SI"/>
        </w:rPr>
        <w:t>v Registru tujcev.</w:t>
      </w:r>
    </w:p>
    <w:p w14:paraId="695965B5" w14:textId="77777777" w:rsidR="00E047EE" w:rsidRPr="00A335CB" w:rsidRDefault="00E047EE" w:rsidP="005D1A90">
      <w:pPr>
        <w:autoSpaceDE w:val="0"/>
        <w:autoSpaceDN w:val="0"/>
        <w:adjustRightInd w:val="0"/>
        <w:spacing w:after="0" w:line="276" w:lineRule="auto"/>
        <w:jc w:val="both"/>
        <w:rPr>
          <w:rFonts w:ascii="Arial" w:hAnsi="Arial" w:cs="Arial"/>
          <w:b/>
          <w:sz w:val="20"/>
          <w:szCs w:val="20"/>
        </w:rPr>
      </w:pPr>
    </w:p>
    <w:p w14:paraId="20CDD0B6" w14:textId="6812BC22" w:rsidR="008D3F61" w:rsidRPr="00A335CB" w:rsidRDefault="007B3670" w:rsidP="005D1A90">
      <w:pPr>
        <w:autoSpaceDE w:val="0"/>
        <w:autoSpaceDN w:val="0"/>
        <w:adjustRightInd w:val="0"/>
        <w:spacing w:after="0" w:line="276" w:lineRule="auto"/>
        <w:jc w:val="both"/>
        <w:rPr>
          <w:rFonts w:ascii="Arial" w:hAnsi="Arial" w:cs="Arial"/>
          <w:b/>
          <w:sz w:val="20"/>
          <w:szCs w:val="20"/>
        </w:rPr>
      </w:pPr>
      <w:r w:rsidRPr="00A335CB">
        <w:rPr>
          <w:rFonts w:ascii="Arial" w:hAnsi="Arial" w:cs="Arial"/>
          <w:b/>
          <w:sz w:val="20"/>
          <w:szCs w:val="20"/>
        </w:rPr>
        <w:t>Delovne skupine EU</w:t>
      </w:r>
      <w:r w:rsidR="004E5DA3">
        <w:rPr>
          <w:rFonts w:ascii="Arial" w:hAnsi="Arial" w:cs="Arial"/>
          <w:b/>
          <w:sz w:val="20"/>
          <w:szCs w:val="20"/>
        </w:rPr>
        <w:t xml:space="preserve"> na področju mednarodne zaščite in zakonitih migracij</w:t>
      </w:r>
    </w:p>
    <w:p w14:paraId="3ACD0141" w14:textId="045DCE08" w:rsidR="004C76FC" w:rsidRPr="00A335CB" w:rsidRDefault="008D3F61"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Na ravni EU so se predst</w:t>
      </w:r>
      <w:r w:rsidR="004C76FC" w:rsidRPr="00A335CB">
        <w:rPr>
          <w:rFonts w:ascii="Arial" w:hAnsi="Arial" w:cs="Arial"/>
          <w:sz w:val="20"/>
          <w:szCs w:val="20"/>
        </w:rPr>
        <w:t xml:space="preserve">avniki MNZ </w:t>
      </w:r>
      <w:r w:rsidRPr="00A335CB">
        <w:rPr>
          <w:rFonts w:ascii="Arial" w:hAnsi="Arial" w:cs="Arial"/>
          <w:sz w:val="20"/>
          <w:szCs w:val="20"/>
        </w:rPr>
        <w:t xml:space="preserve">v letu 2024 udeleževali zasedanj enega </w:t>
      </w:r>
      <w:r w:rsidR="004E5DA3">
        <w:rPr>
          <w:rFonts w:ascii="Arial" w:hAnsi="Arial" w:cs="Arial"/>
          <w:sz w:val="20"/>
          <w:szCs w:val="20"/>
        </w:rPr>
        <w:t>odbora in dveh delovnih skupin, ki obravnavajo vsebine s področij mednarodne zaščite in zakonitih migracij:</w:t>
      </w:r>
    </w:p>
    <w:p w14:paraId="41E4A6BD" w14:textId="4D56F6F0" w:rsidR="008D3F61" w:rsidRPr="0032769E" w:rsidRDefault="008D3F61" w:rsidP="005D1A90">
      <w:pPr>
        <w:pStyle w:val="Odstavekseznama"/>
        <w:numPr>
          <w:ilvl w:val="0"/>
          <w:numId w:val="12"/>
        </w:numPr>
        <w:autoSpaceDE w:val="0"/>
        <w:autoSpaceDN w:val="0"/>
        <w:adjustRightInd w:val="0"/>
        <w:spacing w:after="0"/>
        <w:ind w:left="426" w:hanging="350"/>
        <w:jc w:val="both"/>
        <w:rPr>
          <w:rFonts w:ascii="Arial" w:hAnsi="Arial" w:cs="Arial"/>
          <w:sz w:val="20"/>
          <w:szCs w:val="20"/>
        </w:rPr>
      </w:pPr>
      <w:r w:rsidRPr="00A335CB">
        <w:rPr>
          <w:rFonts w:ascii="Arial" w:hAnsi="Arial" w:cs="Arial"/>
          <w:sz w:val="20"/>
          <w:szCs w:val="20"/>
        </w:rPr>
        <w:t>Strateški odbor za migracije, meje in azil (SCIFA)</w:t>
      </w:r>
      <w:r w:rsidR="0032769E">
        <w:rPr>
          <w:rFonts w:ascii="Arial" w:hAnsi="Arial" w:cs="Arial"/>
          <w:sz w:val="20"/>
          <w:szCs w:val="20"/>
        </w:rPr>
        <w:t>: v</w:t>
      </w:r>
      <w:r w:rsidRPr="0032769E">
        <w:rPr>
          <w:rFonts w:ascii="Arial" w:hAnsi="Arial" w:cs="Arial"/>
          <w:sz w:val="20"/>
          <w:szCs w:val="20"/>
        </w:rPr>
        <w:t xml:space="preserve"> letu 2024 je bilo izvedenih pet rednih (formalnih) in dve neformalni zasedanji odbora SCIFA, na katerih so se obravnavale teme, povezane z vsebino Pakta o migracijah in azilu, vračanjem, varnimi izvornimi državami in začasno zaščito.</w:t>
      </w:r>
      <w:r w:rsidR="0032769E" w:rsidRPr="0032769E">
        <w:rPr>
          <w:rFonts w:ascii="Arial" w:hAnsi="Arial" w:cs="Arial"/>
          <w:sz w:val="20"/>
          <w:szCs w:val="20"/>
        </w:rPr>
        <w:t xml:space="preserve"> </w:t>
      </w:r>
    </w:p>
    <w:p w14:paraId="11DB89C5" w14:textId="5209540D" w:rsidR="00DA7739" w:rsidRPr="0032769E" w:rsidRDefault="008D3F61" w:rsidP="0032769E">
      <w:pPr>
        <w:pStyle w:val="Odstavekseznama"/>
        <w:numPr>
          <w:ilvl w:val="0"/>
          <w:numId w:val="5"/>
        </w:numPr>
        <w:autoSpaceDE w:val="0"/>
        <w:autoSpaceDN w:val="0"/>
        <w:adjustRightInd w:val="0"/>
        <w:spacing w:after="0"/>
        <w:ind w:left="360"/>
        <w:jc w:val="both"/>
        <w:rPr>
          <w:rFonts w:ascii="Arial" w:hAnsi="Arial" w:cs="Arial"/>
          <w:sz w:val="20"/>
          <w:szCs w:val="20"/>
        </w:rPr>
      </w:pPr>
      <w:r w:rsidRPr="00A335CB">
        <w:rPr>
          <w:rFonts w:ascii="Arial" w:hAnsi="Arial" w:cs="Arial"/>
          <w:sz w:val="20"/>
          <w:szCs w:val="20"/>
        </w:rPr>
        <w:t>DS IMEX (integracija, migracija, izgon)</w:t>
      </w:r>
      <w:r w:rsidR="0032769E">
        <w:rPr>
          <w:rFonts w:ascii="Arial" w:hAnsi="Arial" w:cs="Arial"/>
          <w:sz w:val="20"/>
          <w:szCs w:val="20"/>
        </w:rPr>
        <w:t>: v</w:t>
      </w:r>
      <w:r w:rsidRPr="0032769E">
        <w:rPr>
          <w:rFonts w:ascii="Arial" w:hAnsi="Arial" w:cs="Arial"/>
          <w:sz w:val="20"/>
          <w:szCs w:val="20"/>
          <w:lang w:eastAsia="sl-SI"/>
        </w:rPr>
        <w:t xml:space="preserve"> letu 2024 je bilo izvedenih šest zasedanj delovne skupine IMEX, na katerih </w:t>
      </w:r>
      <w:r w:rsidR="00674627" w:rsidRPr="0032769E">
        <w:rPr>
          <w:rFonts w:ascii="Arial" w:hAnsi="Arial" w:cs="Arial"/>
          <w:sz w:val="20"/>
          <w:szCs w:val="20"/>
          <w:lang w:eastAsia="sl-SI"/>
        </w:rPr>
        <w:t xml:space="preserve">sta </w:t>
      </w:r>
      <w:r w:rsidRPr="0032769E">
        <w:rPr>
          <w:rFonts w:ascii="Arial" w:hAnsi="Arial" w:cs="Arial"/>
          <w:sz w:val="20"/>
          <w:szCs w:val="20"/>
          <w:lang w:eastAsia="sl-SI"/>
        </w:rPr>
        <w:t>bil</w:t>
      </w:r>
      <w:r w:rsidR="00674627" w:rsidRPr="0032769E">
        <w:rPr>
          <w:rFonts w:ascii="Arial" w:hAnsi="Arial" w:cs="Arial"/>
          <w:sz w:val="20"/>
          <w:szCs w:val="20"/>
          <w:lang w:eastAsia="sl-SI"/>
        </w:rPr>
        <w:t>a</w:t>
      </w:r>
      <w:r w:rsidRPr="0032769E">
        <w:rPr>
          <w:rFonts w:ascii="Arial" w:hAnsi="Arial" w:cs="Arial"/>
          <w:sz w:val="20"/>
          <w:szCs w:val="20"/>
          <w:lang w:eastAsia="sl-SI"/>
        </w:rPr>
        <w:t xml:space="preserve"> obravnavan</w:t>
      </w:r>
      <w:r w:rsidR="00674627" w:rsidRPr="0032769E">
        <w:rPr>
          <w:rFonts w:ascii="Arial" w:hAnsi="Arial" w:cs="Arial"/>
          <w:sz w:val="20"/>
          <w:szCs w:val="20"/>
          <w:lang w:eastAsia="sl-SI"/>
        </w:rPr>
        <w:t>a</w:t>
      </w:r>
      <w:r w:rsidRPr="0032769E">
        <w:rPr>
          <w:rFonts w:ascii="Arial" w:hAnsi="Arial" w:cs="Arial"/>
          <w:sz w:val="20"/>
          <w:szCs w:val="20"/>
          <w:lang w:eastAsia="sl-SI"/>
        </w:rPr>
        <w:t xml:space="preserve"> predlog prenovljene direktive Evropskega parlamenta in Sveta o statusu državljanov, ki so rezidenti za daljši čas</w:t>
      </w:r>
      <w:r w:rsidR="00674627" w:rsidRPr="0032769E">
        <w:rPr>
          <w:rFonts w:ascii="Arial" w:hAnsi="Arial" w:cs="Arial"/>
          <w:sz w:val="20"/>
          <w:szCs w:val="20"/>
          <w:lang w:eastAsia="sl-SI"/>
        </w:rPr>
        <w:t>,</w:t>
      </w:r>
      <w:r w:rsidRPr="0032769E">
        <w:rPr>
          <w:rFonts w:ascii="Arial" w:hAnsi="Arial" w:cs="Arial"/>
          <w:sz w:val="20"/>
          <w:szCs w:val="20"/>
          <w:lang w:eastAsia="sl-SI"/>
        </w:rPr>
        <w:t xml:space="preserve"> in Predlog </w:t>
      </w:r>
      <w:r w:rsidR="00674627" w:rsidRPr="0032769E">
        <w:rPr>
          <w:rFonts w:ascii="Arial" w:hAnsi="Arial" w:cs="Arial"/>
          <w:sz w:val="20"/>
          <w:szCs w:val="20"/>
          <w:lang w:eastAsia="sl-SI"/>
        </w:rPr>
        <w:t xml:space="preserve">uredbe </w:t>
      </w:r>
      <w:r w:rsidRPr="0032769E">
        <w:rPr>
          <w:rFonts w:ascii="Arial" w:hAnsi="Arial" w:cs="Arial"/>
          <w:sz w:val="20"/>
          <w:szCs w:val="20"/>
          <w:lang w:eastAsia="sl-SI"/>
        </w:rPr>
        <w:t xml:space="preserve">Evropskega </w:t>
      </w:r>
      <w:r w:rsidR="00674627" w:rsidRPr="0032769E">
        <w:rPr>
          <w:rFonts w:ascii="Arial" w:hAnsi="Arial" w:cs="Arial"/>
          <w:sz w:val="20"/>
          <w:szCs w:val="20"/>
          <w:lang w:eastAsia="sl-SI"/>
        </w:rPr>
        <w:t xml:space="preserve">parlamenta </w:t>
      </w:r>
      <w:r w:rsidRPr="0032769E">
        <w:rPr>
          <w:rFonts w:ascii="Arial" w:hAnsi="Arial" w:cs="Arial"/>
          <w:sz w:val="20"/>
          <w:szCs w:val="20"/>
          <w:lang w:eastAsia="sl-SI"/>
        </w:rPr>
        <w:t>in Sveta o v</w:t>
      </w:r>
      <w:r w:rsidR="0032769E" w:rsidRPr="0032769E">
        <w:rPr>
          <w:rFonts w:ascii="Arial" w:hAnsi="Arial" w:cs="Arial"/>
          <w:sz w:val="20"/>
          <w:szCs w:val="20"/>
          <w:lang w:eastAsia="sl-SI"/>
        </w:rPr>
        <w:t>zpostavitvi nabora talentov EU.</w:t>
      </w:r>
    </w:p>
    <w:p w14:paraId="780042CA" w14:textId="18E52570" w:rsidR="008D3F61" w:rsidRPr="0032769E" w:rsidRDefault="008D3F61" w:rsidP="00DA7739">
      <w:pPr>
        <w:pStyle w:val="Odstavekseznama"/>
        <w:numPr>
          <w:ilvl w:val="0"/>
          <w:numId w:val="5"/>
        </w:numPr>
        <w:autoSpaceDE w:val="0"/>
        <w:autoSpaceDN w:val="0"/>
        <w:adjustRightInd w:val="0"/>
        <w:spacing w:after="0"/>
        <w:ind w:left="360"/>
        <w:jc w:val="both"/>
        <w:rPr>
          <w:rFonts w:ascii="Arial" w:hAnsi="Arial" w:cs="Arial"/>
          <w:sz w:val="20"/>
          <w:szCs w:val="20"/>
        </w:rPr>
      </w:pPr>
      <w:r w:rsidRPr="00A335CB">
        <w:rPr>
          <w:rFonts w:ascii="Arial" w:hAnsi="Arial" w:cs="Arial"/>
          <w:sz w:val="20"/>
          <w:szCs w:val="20"/>
        </w:rPr>
        <w:t>DS Azil</w:t>
      </w:r>
      <w:r w:rsidR="0032769E">
        <w:rPr>
          <w:rFonts w:ascii="Arial" w:hAnsi="Arial" w:cs="Arial"/>
          <w:sz w:val="20"/>
          <w:szCs w:val="20"/>
        </w:rPr>
        <w:t>: u</w:t>
      </w:r>
      <w:r w:rsidR="004C76FC" w:rsidRPr="0032769E">
        <w:rPr>
          <w:rFonts w:ascii="Arial" w:hAnsi="Arial" w:cs="Arial"/>
          <w:sz w:val="20"/>
          <w:szCs w:val="20"/>
        </w:rPr>
        <w:t>službenci MNZ</w:t>
      </w:r>
      <w:r w:rsidRPr="0032769E">
        <w:rPr>
          <w:rFonts w:ascii="Arial" w:hAnsi="Arial" w:cs="Arial"/>
          <w:sz w:val="20"/>
          <w:szCs w:val="20"/>
        </w:rPr>
        <w:t xml:space="preserve"> so se v letu 2024 udeležili </w:t>
      </w:r>
      <w:r w:rsidR="00674627" w:rsidRPr="0032769E">
        <w:rPr>
          <w:rFonts w:ascii="Arial" w:hAnsi="Arial" w:cs="Arial"/>
          <w:sz w:val="20"/>
          <w:szCs w:val="20"/>
        </w:rPr>
        <w:t xml:space="preserve">šestih </w:t>
      </w:r>
      <w:r w:rsidRPr="0032769E">
        <w:rPr>
          <w:rFonts w:ascii="Arial" w:hAnsi="Arial" w:cs="Arial"/>
          <w:sz w:val="20"/>
          <w:szCs w:val="20"/>
        </w:rPr>
        <w:t>zasedanj delovne skupine za azil, na katerih se je razpravljalo o različnih elementih Pakta o migracijah in azilu, s posebnim poudarkom na implementaciji, podaljšanju začasne zaščite, pregledu statusa oseb z mednarodno zaščito ter konvergenci azilnih sistemov.</w:t>
      </w:r>
    </w:p>
    <w:p w14:paraId="4DBA2FF4" w14:textId="77777777" w:rsidR="00DA7739" w:rsidRPr="00A335CB" w:rsidRDefault="00DA7739" w:rsidP="00DA7739">
      <w:pPr>
        <w:pStyle w:val="Standard"/>
        <w:spacing w:after="0"/>
        <w:jc w:val="both"/>
        <w:rPr>
          <w:rFonts w:ascii="Arial" w:hAnsi="Arial" w:cs="Arial"/>
          <w:sz w:val="20"/>
          <w:szCs w:val="20"/>
        </w:rPr>
      </w:pPr>
    </w:p>
    <w:p w14:paraId="3D0F3851" w14:textId="5B23CBF6" w:rsidR="008D3F61" w:rsidRPr="00A335CB" w:rsidRDefault="004C76FC" w:rsidP="00DA7739">
      <w:pPr>
        <w:pStyle w:val="Standard"/>
        <w:spacing w:after="0"/>
        <w:jc w:val="both"/>
        <w:rPr>
          <w:rFonts w:ascii="Arial" w:hAnsi="Arial" w:cs="Arial"/>
          <w:sz w:val="20"/>
          <w:szCs w:val="20"/>
        </w:rPr>
      </w:pPr>
      <w:r w:rsidRPr="00A335CB">
        <w:rPr>
          <w:rFonts w:ascii="Arial" w:hAnsi="Arial" w:cs="Arial"/>
          <w:sz w:val="20"/>
          <w:szCs w:val="20"/>
        </w:rPr>
        <w:t>Poleg navedenega je MNZ</w:t>
      </w:r>
      <w:r w:rsidR="008D3F61" w:rsidRPr="00A335CB">
        <w:rPr>
          <w:rFonts w:ascii="Arial" w:hAnsi="Arial" w:cs="Arial"/>
          <w:sz w:val="20"/>
          <w:szCs w:val="20"/>
        </w:rPr>
        <w:t xml:space="preserve"> </w:t>
      </w:r>
      <w:r w:rsidRPr="00A335CB">
        <w:rPr>
          <w:rFonts w:ascii="Arial" w:hAnsi="Arial" w:cs="Arial"/>
          <w:sz w:val="20"/>
          <w:szCs w:val="20"/>
        </w:rPr>
        <w:t>s</w:t>
      </w:r>
      <w:r w:rsidR="008D3F61" w:rsidRPr="00A335CB">
        <w:rPr>
          <w:rFonts w:ascii="Arial" w:hAnsi="Arial" w:cs="Arial"/>
          <w:sz w:val="20"/>
          <w:szCs w:val="20"/>
        </w:rPr>
        <w:t xml:space="preserve"> Stalnim predstavništv</w:t>
      </w:r>
      <w:r w:rsidRPr="00A335CB">
        <w:rPr>
          <w:rFonts w:ascii="Arial" w:hAnsi="Arial" w:cs="Arial"/>
          <w:sz w:val="20"/>
          <w:szCs w:val="20"/>
        </w:rPr>
        <w:t>om pri EU v Bruslju pripravljalo</w:t>
      </w:r>
      <w:r w:rsidR="008D3F61" w:rsidRPr="00A335CB">
        <w:rPr>
          <w:rFonts w:ascii="Arial" w:hAnsi="Arial" w:cs="Arial"/>
          <w:sz w:val="20"/>
          <w:szCs w:val="20"/>
        </w:rPr>
        <w:t xml:space="preserve"> številna stališča za zasedanje svetovalcev </w:t>
      </w:r>
      <w:r w:rsidR="000E60A5">
        <w:rPr>
          <w:rFonts w:ascii="Arial" w:hAnsi="Arial" w:cs="Arial"/>
          <w:sz w:val="20"/>
          <w:szCs w:val="20"/>
        </w:rPr>
        <w:t xml:space="preserve">Sveta za pravosodje in notranje </w:t>
      </w:r>
      <w:r w:rsidR="000E60A5" w:rsidRPr="000E60A5">
        <w:rPr>
          <w:rFonts w:ascii="Arial" w:hAnsi="Arial" w:cs="Arial"/>
          <w:sz w:val="20"/>
          <w:szCs w:val="20"/>
        </w:rPr>
        <w:t>zadeve (</w:t>
      </w:r>
      <w:r w:rsidR="008D3F61" w:rsidRPr="000E60A5">
        <w:rPr>
          <w:rFonts w:ascii="Arial" w:hAnsi="Arial" w:cs="Arial"/>
          <w:sz w:val="20"/>
          <w:szCs w:val="20"/>
        </w:rPr>
        <w:t>PNZ</w:t>
      </w:r>
      <w:r w:rsidR="000E60A5" w:rsidRPr="000E60A5">
        <w:rPr>
          <w:rFonts w:ascii="Arial" w:hAnsi="Arial" w:cs="Arial"/>
          <w:sz w:val="20"/>
          <w:szCs w:val="20"/>
        </w:rPr>
        <w:t>)</w:t>
      </w:r>
      <w:r w:rsidR="008D3F61" w:rsidRPr="000E60A5">
        <w:rPr>
          <w:rFonts w:ascii="Arial" w:hAnsi="Arial" w:cs="Arial"/>
          <w:sz w:val="20"/>
          <w:szCs w:val="20"/>
        </w:rPr>
        <w:t xml:space="preserve"> in</w:t>
      </w:r>
      <w:r w:rsidR="008D3F61" w:rsidRPr="00A335CB">
        <w:rPr>
          <w:rFonts w:ascii="Arial" w:hAnsi="Arial" w:cs="Arial"/>
          <w:sz w:val="20"/>
          <w:szCs w:val="20"/>
        </w:rPr>
        <w:t xml:space="preserve"> druga zasedanja iz delovnega področja.</w:t>
      </w:r>
    </w:p>
    <w:p w14:paraId="48865BAF" w14:textId="77777777" w:rsidR="00DA7739" w:rsidRPr="00A335CB" w:rsidRDefault="00DA7739" w:rsidP="005D1A90">
      <w:pPr>
        <w:autoSpaceDE w:val="0"/>
        <w:autoSpaceDN w:val="0"/>
        <w:adjustRightInd w:val="0"/>
        <w:spacing w:after="0" w:line="276" w:lineRule="auto"/>
        <w:jc w:val="both"/>
        <w:rPr>
          <w:rFonts w:ascii="Arial" w:hAnsi="Arial" w:cs="Arial"/>
          <w:b/>
          <w:bCs/>
          <w:sz w:val="20"/>
          <w:szCs w:val="20"/>
        </w:rPr>
      </w:pPr>
    </w:p>
    <w:p w14:paraId="0BF05BDD" w14:textId="1F52DA1D" w:rsidR="008D3F61" w:rsidRPr="00A335CB" w:rsidRDefault="008D3F61" w:rsidP="005D1A90">
      <w:pPr>
        <w:autoSpaceDE w:val="0"/>
        <w:autoSpaceDN w:val="0"/>
        <w:adjustRightInd w:val="0"/>
        <w:spacing w:after="0" w:line="276" w:lineRule="auto"/>
        <w:jc w:val="both"/>
        <w:rPr>
          <w:rFonts w:ascii="Arial" w:hAnsi="Arial" w:cs="Arial"/>
          <w:b/>
          <w:bCs/>
          <w:sz w:val="20"/>
          <w:szCs w:val="20"/>
        </w:rPr>
      </w:pPr>
      <w:r w:rsidRPr="00A335CB">
        <w:rPr>
          <w:rFonts w:ascii="Arial" w:hAnsi="Arial" w:cs="Arial"/>
          <w:b/>
          <w:bCs/>
          <w:sz w:val="20"/>
          <w:szCs w:val="20"/>
        </w:rPr>
        <w:t>E</w:t>
      </w:r>
      <w:r w:rsidR="007B3670" w:rsidRPr="00A335CB">
        <w:rPr>
          <w:rFonts w:ascii="Arial" w:hAnsi="Arial" w:cs="Arial"/>
          <w:b/>
          <w:bCs/>
          <w:sz w:val="20"/>
          <w:szCs w:val="20"/>
        </w:rPr>
        <w:t>vropska migracijska mreža (EMN)</w:t>
      </w:r>
    </w:p>
    <w:p w14:paraId="1F00D7FF" w14:textId="7A3D7F5E"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Evropska migracijska mreža (</w:t>
      </w:r>
      <w:r w:rsidR="004C76FC" w:rsidRPr="00A335CB">
        <w:rPr>
          <w:rFonts w:ascii="Arial" w:hAnsi="Arial" w:cs="Arial"/>
          <w:sz w:val="20"/>
          <w:szCs w:val="20"/>
        </w:rPr>
        <w:t xml:space="preserve">v nadaljnjem besedilu: </w:t>
      </w:r>
      <w:r w:rsidRPr="00A335CB">
        <w:rPr>
          <w:rFonts w:ascii="Arial" w:hAnsi="Arial" w:cs="Arial"/>
          <w:sz w:val="20"/>
          <w:szCs w:val="20"/>
        </w:rPr>
        <w:t>EMN) zagotavlja najnovejše, objektivne, zanesljive in primerljive informacije o migracijah in azilu ter s tem nudi podporo pri oblikovanju politik v Evropski uniji, njenih državah članicah in državah opazovalkah v EMN.</w:t>
      </w:r>
    </w:p>
    <w:p w14:paraId="5DAAC05D" w14:textId="77777777" w:rsidR="00DA7739" w:rsidRPr="00A335CB" w:rsidRDefault="00DA7739" w:rsidP="00DA7739">
      <w:pPr>
        <w:spacing w:after="0" w:line="276" w:lineRule="auto"/>
        <w:jc w:val="both"/>
        <w:rPr>
          <w:rFonts w:ascii="Arial" w:hAnsi="Arial" w:cs="Arial"/>
          <w:sz w:val="20"/>
          <w:szCs w:val="20"/>
        </w:rPr>
      </w:pPr>
    </w:p>
    <w:p w14:paraId="4F917155" w14:textId="191EB150" w:rsidR="00DA7739"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V letu 2024 je slovenska nacionalna kontaktna točka (</w:t>
      </w:r>
      <w:r w:rsidR="004C76FC" w:rsidRPr="00A335CB">
        <w:rPr>
          <w:rFonts w:ascii="Arial" w:hAnsi="Arial" w:cs="Arial"/>
          <w:sz w:val="20"/>
          <w:szCs w:val="20"/>
        </w:rPr>
        <w:t xml:space="preserve">v nadaljnjem besedilu: </w:t>
      </w:r>
      <w:r w:rsidRPr="00A335CB">
        <w:rPr>
          <w:rFonts w:ascii="Arial" w:hAnsi="Arial" w:cs="Arial"/>
          <w:sz w:val="20"/>
          <w:szCs w:val="20"/>
        </w:rPr>
        <w:t>NKT) v EMN zagotovila odgovore na sk</w:t>
      </w:r>
      <w:r w:rsidR="004C76FC" w:rsidRPr="00A335CB">
        <w:rPr>
          <w:rFonts w:ascii="Arial" w:hAnsi="Arial" w:cs="Arial"/>
          <w:sz w:val="20"/>
          <w:szCs w:val="20"/>
        </w:rPr>
        <w:t xml:space="preserve">upno 75 poizvedb, od tega je </w:t>
      </w:r>
      <w:r w:rsidRPr="00A335CB">
        <w:rPr>
          <w:rFonts w:ascii="Arial" w:hAnsi="Arial" w:cs="Arial"/>
          <w:sz w:val="20"/>
          <w:szCs w:val="20"/>
        </w:rPr>
        <w:t>NKT objavila dve namenski poizvedbi, in sicer v zvezi s prošnjo za začasno zaščito osebe z dvojnim državljanstvom in dostop</w:t>
      </w:r>
      <w:r w:rsidR="00674627">
        <w:rPr>
          <w:rFonts w:ascii="Arial" w:hAnsi="Arial" w:cs="Arial"/>
          <w:sz w:val="20"/>
          <w:szCs w:val="20"/>
        </w:rPr>
        <w:t>om</w:t>
      </w:r>
      <w:r w:rsidRPr="00A335CB">
        <w:rPr>
          <w:rFonts w:ascii="Arial" w:hAnsi="Arial" w:cs="Arial"/>
          <w:sz w:val="20"/>
          <w:szCs w:val="20"/>
        </w:rPr>
        <w:t xml:space="preserve"> do trga dela za državljane tretjih držav v času postopka izdaje enotnega dovoljenja za prebivanje in delo. Poleg tega je v letu 2024 zagotovila </w:t>
      </w:r>
      <w:r w:rsidR="00660945">
        <w:rPr>
          <w:rFonts w:ascii="Arial" w:hAnsi="Arial" w:cs="Arial"/>
          <w:sz w:val="20"/>
          <w:szCs w:val="20"/>
        </w:rPr>
        <w:t>državne</w:t>
      </w:r>
      <w:r w:rsidR="00660945" w:rsidRPr="00A335CB">
        <w:rPr>
          <w:rFonts w:ascii="Arial" w:hAnsi="Arial" w:cs="Arial"/>
          <w:sz w:val="20"/>
          <w:szCs w:val="20"/>
        </w:rPr>
        <w:t xml:space="preserve"> </w:t>
      </w:r>
      <w:r w:rsidRPr="00A335CB">
        <w:rPr>
          <w:rFonts w:ascii="Arial" w:hAnsi="Arial" w:cs="Arial"/>
          <w:sz w:val="20"/>
          <w:szCs w:val="20"/>
        </w:rPr>
        <w:t xml:space="preserve">prispevke za 17 </w:t>
      </w:r>
      <w:r w:rsidR="00674627">
        <w:rPr>
          <w:rFonts w:ascii="Arial" w:hAnsi="Arial" w:cs="Arial"/>
          <w:sz w:val="20"/>
          <w:szCs w:val="20"/>
        </w:rPr>
        <w:t xml:space="preserve">publikacij </w:t>
      </w:r>
      <w:r w:rsidRPr="00A335CB">
        <w:rPr>
          <w:rFonts w:ascii="Arial" w:hAnsi="Arial" w:cs="Arial"/>
          <w:sz w:val="20"/>
          <w:szCs w:val="20"/>
        </w:rPr>
        <w:t xml:space="preserve">EMN, </w:t>
      </w:r>
      <w:r w:rsidR="00E36597">
        <w:rPr>
          <w:rFonts w:ascii="Arial" w:hAnsi="Arial" w:cs="Arial"/>
          <w:sz w:val="20"/>
          <w:szCs w:val="20"/>
        </w:rPr>
        <w:t>natančneje</w:t>
      </w:r>
      <w:r w:rsidR="00E36597" w:rsidRPr="00A335CB">
        <w:rPr>
          <w:rFonts w:ascii="Arial" w:hAnsi="Arial" w:cs="Arial"/>
          <w:sz w:val="20"/>
          <w:szCs w:val="20"/>
        </w:rPr>
        <w:t xml:space="preserve"> </w:t>
      </w:r>
      <w:r w:rsidRPr="00A335CB">
        <w:rPr>
          <w:rFonts w:ascii="Arial" w:hAnsi="Arial" w:cs="Arial"/>
          <w:sz w:val="20"/>
          <w:szCs w:val="20"/>
        </w:rPr>
        <w:t xml:space="preserve">za 15 informatorjev (od tega jih je bilo v letu 2024 izdanih </w:t>
      </w:r>
      <w:r w:rsidR="00674627">
        <w:rPr>
          <w:rFonts w:ascii="Arial" w:hAnsi="Arial" w:cs="Arial"/>
          <w:sz w:val="20"/>
          <w:szCs w:val="20"/>
        </w:rPr>
        <w:t>devet</w:t>
      </w:r>
      <w:r w:rsidRPr="00A335CB">
        <w:rPr>
          <w:rFonts w:ascii="Arial" w:hAnsi="Arial" w:cs="Arial"/>
          <w:sz w:val="20"/>
          <w:szCs w:val="20"/>
        </w:rPr>
        <w:t xml:space="preserve">) in dve študiji, ki bosta predvidoma izdani v prvi polovici leta 2025. Zagotovila je tudi </w:t>
      </w:r>
      <w:r w:rsidR="00660945">
        <w:rPr>
          <w:rFonts w:ascii="Arial" w:hAnsi="Arial" w:cs="Arial"/>
          <w:sz w:val="20"/>
          <w:szCs w:val="20"/>
        </w:rPr>
        <w:t>državni</w:t>
      </w:r>
      <w:r w:rsidR="00660945" w:rsidRPr="00A335CB">
        <w:rPr>
          <w:rFonts w:ascii="Arial" w:hAnsi="Arial" w:cs="Arial"/>
          <w:sz w:val="20"/>
          <w:szCs w:val="20"/>
        </w:rPr>
        <w:t xml:space="preserve"> </w:t>
      </w:r>
      <w:r w:rsidRPr="00A335CB">
        <w:rPr>
          <w:rFonts w:ascii="Arial" w:hAnsi="Arial" w:cs="Arial"/>
          <w:sz w:val="20"/>
          <w:szCs w:val="20"/>
        </w:rPr>
        <w:t xml:space="preserve">prispevek za Letno poročilo o migracijah in azilu ter za EMN četrtletna poročila, </w:t>
      </w:r>
      <w:r w:rsidR="00674627">
        <w:rPr>
          <w:rFonts w:ascii="Arial" w:hAnsi="Arial" w:cs="Arial"/>
          <w:sz w:val="20"/>
          <w:szCs w:val="20"/>
        </w:rPr>
        <w:t>v katerih</w:t>
      </w:r>
      <w:r w:rsidR="00674627" w:rsidRPr="00A335CB">
        <w:rPr>
          <w:rFonts w:ascii="Arial" w:hAnsi="Arial" w:cs="Arial"/>
          <w:sz w:val="20"/>
          <w:szCs w:val="20"/>
        </w:rPr>
        <w:t xml:space="preserve"> </w:t>
      </w:r>
      <w:r w:rsidRPr="00A335CB">
        <w:rPr>
          <w:rFonts w:ascii="Arial" w:hAnsi="Arial" w:cs="Arial"/>
          <w:sz w:val="20"/>
          <w:szCs w:val="20"/>
        </w:rPr>
        <w:t xml:space="preserve">so predstavljene spremembe migracijske politike in zakonodaje na področjih zakonitih migracij, mednarodne zaščite, mladoletnikov in </w:t>
      </w:r>
      <w:r w:rsidR="00721952">
        <w:rPr>
          <w:rFonts w:ascii="Arial" w:hAnsi="Arial" w:cs="Arial"/>
          <w:sz w:val="20"/>
          <w:szCs w:val="20"/>
        </w:rPr>
        <w:t>drugih</w:t>
      </w:r>
      <w:r w:rsidR="00721952" w:rsidRPr="00A335CB">
        <w:rPr>
          <w:rFonts w:ascii="Arial" w:hAnsi="Arial" w:cs="Arial"/>
          <w:sz w:val="20"/>
          <w:szCs w:val="20"/>
        </w:rPr>
        <w:t xml:space="preserve"> </w:t>
      </w:r>
      <w:r w:rsidRPr="00A335CB">
        <w:rPr>
          <w:rFonts w:ascii="Arial" w:hAnsi="Arial" w:cs="Arial"/>
          <w:sz w:val="20"/>
          <w:szCs w:val="20"/>
        </w:rPr>
        <w:t>ranljivih skupin, vključevanja, državljanstva in oseb brez državljanstva, upravljanja zunanjih meja, nezakonitih migracij, preprečevanja in boja proti trgovini z ljudmi, vračanja in ponovnega sprejema ter mednarodnega sodelovanja na področju migracij.</w:t>
      </w:r>
    </w:p>
    <w:p w14:paraId="0E79706B" w14:textId="77777777" w:rsidR="00DA7739" w:rsidRPr="00A335CB" w:rsidRDefault="00DA7739" w:rsidP="00DA7739">
      <w:pPr>
        <w:spacing w:after="0" w:line="276" w:lineRule="auto"/>
        <w:jc w:val="both"/>
        <w:rPr>
          <w:rFonts w:ascii="Arial" w:hAnsi="Arial" w:cs="Arial"/>
          <w:sz w:val="20"/>
          <w:szCs w:val="20"/>
        </w:rPr>
      </w:pPr>
    </w:p>
    <w:p w14:paraId="6DC397C5" w14:textId="11244499"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 xml:space="preserve">V letu 2024 so se strokovnjaki posameznih področij udeležili </w:t>
      </w:r>
      <w:r w:rsidR="00674627">
        <w:rPr>
          <w:rFonts w:ascii="Arial" w:hAnsi="Arial" w:cs="Arial"/>
          <w:sz w:val="20"/>
          <w:szCs w:val="20"/>
        </w:rPr>
        <w:t>sedmih</w:t>
      </w:r>
      <w:r w:rsidR="00674627" w:rsidRPr="00A335CB">
        <w:rPr>
          <w:rFonts w:ascii="Arial" w:hAnsi="Arial" w:cs="Arial"/>
          <w:sz w:val="20"/>
          <w:szCs w:val="20"/>
        </w:rPr>
        <w:t xml:space="preserve"> </w:t>
      </w:r>
      <w:r w:rsidRPr="00A335CB">
        <w:rPr>
          <w:rFonts w:ascii="Arial" w:hAnsi="Arial" w:cs="Arial"/>
          <w:sz w:val="20"/>
          <w:szCs w:val="20"/>
        </w:rPr>
        <w:t>dogodkov pod okriljem EMN, vključno s predsedstveno konferenco EMN Belgije na temo operacionalizacije in implementacije pakta ter predsedstveno konferenco EMN Madžarske na temo politik učinkovitega vračanja.</w:t>
      </w:r>
    </w:p>
    <w:p w14:paraId="27D88813" w14:textId="77777777" w:rsidR="00DA7739" w:rsidRPr="00A335CB" w:rsidRDefault="00DA7739" w:rsidP="00DA7739">
      <w:pPr>
        <w:spacing w:after="0" w:line="276" w:lineRule="auto"/>
        <w:jc w:val="both"/>
        <w:rPr>
          <w:rFonts w:ascii="Arial" w:hAnsi="Arial" w:cs="Arial"/>
          <w:sz w:val="20"/>
          <w:szCs w:val="20"/>
        </w:rPr>
      </w:pPr>
    </w:p>
    <w:p w14:paraId="03A24FB0" w14:textId="3768519D" w:rsidR="008D3F61" w:rsidRPr="00A335CB" w:rsidRDefault="00EF5A28" w:rsidP="00DA7739">
      <w:pPr>
        <w:spacing w:after="0" w:line="276" w:lineRule="auto"/>
        <w:jc w:val="both"/>
        <w:rPr>
          <w:rFonts w:ascii="Arial" w:hAnsi="Arial" w:cs="Arial"/>
          <w:sz w:val="20"/>
          <w:szCs w:val="20"/>
        </w:rPr>
      </w:pPr>
      <w:r w:rsidRPr="00A335CB">
        <w:rPr>
          <w:rFonts w:ascii="Arial" w:hAnsi="Arial" w:cs="Arial"/>
          <w:sz w:val="20"/>
          <w:szCs w:val="20"/>
        </w:rPr>
        <w:t>NKT je 27. 2.</w:t>
      </w:r>
      <w:r w:rsidR="008D3F61" w:rsidRPr="00A335CB">
        <w:rPr>
          <w:rFonts w:ascii="Arial" w:hAnsi="Arial" w:cs="Arial"/>
          <w:sz w:val="20"/>
          <w:szCs w:val="20"/>
        </w:rPr>
        <w:t xml:space="preserve"> 2024 organizirala dogodek Destinacija Evropa za mlade, namenjen dijakom. Udeleženci so bili z uporabo izobraževalnega pripomočka Destinacija Evropa aktivno vpeti v simulacijo </w:t>
      </w:r>
      <w:proofErr w:type="spellStart"/>
      <w:r w:rsidR="008D3F61" w:rsidRPr="00A335CB">
        <w:rPr>
          <w:rFonts w:ascii="Arial" w:hAnsi="Arial" w:cs="Arial"/>
          <w:sz w:val="20"/>
          <w:szCs w:val="20"/>
        </w:rPr>
        <w:t>odločevalskega</w:t>
      </w:r>
      <w:proofErr w:type="spellEnd"/>
      <w:r w:rsidR="008D3F61" w:rsidRPr="00A335CB">
        <w:rPr>
          <w:rFonts w:ascii="Arial" w:hAnsi="Arial" w:cs="Arial"/>
          <w:sz w:val="20"/>
          <w:szCs w:val="20"/>
        </w:rPr>
        <w:t xml:space="preserve"> procesa in </w:t>
      </w:r>
      <w:r w:rsidR="00D85BA3">
        <w:rPr>
          <w:rFonts w:ascii="Arial" w:hAnsi="Arial" w:cs="Arial"/>
          <w:sz w:val="20"/>
          <w:szCs w:val="20"/>
        </w:rPr>
        <w:t xml:space="preserve">so </w:t>
      </w:r>
      <w:r w:rsidR="008D3F61" w:rsidRPr="00A335CB">
        <w:rPr>
          <w:rFonts w:ascii="Arial" w:hAnsi="Arial" w:cs="Arial"/>
          <w:sz w:val="20"/>
          <w:szCs w:val="20"/>
        </w:rPr>
        <w:t xml:space="preserve">izmenjali stališča ter poglede o področju migracij. Dijaki so lahko svoja stališča izrazili, primerjali in se postavili v vloge ljudi, katerih odločitve vplivajo na migracijsko politiko na ravni EU, države in na lokalni ravni. </w:t>
      </w:r>
    </w:p>
    <w:p w14:paraId="6A2A299E" w14:textId="77777777" w:rsidR="00DA7739" w:rsidRPr="00A335CB" w:rsidRDefault="00DA7739" w:rsidP="00DA7739">
      <w:pPr>
        <w:autoSpaceDE w:val="0"/>
        <w:autoSpaceDN w:val="0"/>
        <w:adjustRightInd w:val="0"/>
        <w:spacing w:after="0" w:line="276" w:lineRule="auto"/>
        <w:jc w:val="both"/>
        <w:rPr>
          <w:rFonts w:ascii="Arial" w:hAnsi="Arial" w:cs="Arial"/>
          <w:sz w:val="20"/>
          <w:szCs w:val="20"/>
        </w:rPr>
      </w:pPr>
    </w:p>
    <w:p w14:paraId="670B8959" w14:textId="4CB4CA42" w:rsidR="008D3F61" w:rsidRPr="00A335CB" w:rsidRDefault="00DA7739" w:rsidP="00DA7739">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9. 5. 2024</w:t>
      </w:r>
      <w:r w:rsidR="008D3F61" w:rsidRPr="00A335CB">
        <w:rPr>
          <w:rFonts w:ascii="Arial" w:hAnsi="Arial" w:cs="Arial"/>
          <w:sz w:val="20"/>
          <w:szCs w:val="20"/>
        </w:rPr>
        <w:t xml:space="preserve"> je na Gospodarskem razstavišču potekal Sejem zaposlitvenih priložnosti, ki ga je NKT organizirala v sodelovanju z </w:t>
      </w:r>
      <w:r w:rsidR="00ED7864">
        <w:rPr>
          <w:rFonts w:ascii="Arial" w:hAnsi="Arial" w:cs="Arial"/>
          <w:sz w:val="20"/>
          <w:szCs w:val="20"/>
        </w:rPr>
        <w:t>ZRSZ</w:t>
      </w:r>
      <w:r w:rsidR="008D3F61" w:rsidRPr="00A335CB">
        <w:rPr>
          <w:rFonts w:ascii="Arial" w:hAnsi="Arial" w:cs="Arial"/>
          <w:sz w:val="20"/>
          <w:szCs w:val="20"/>
        </w:rPr>
        <w:t xml:space="preserve">. Sejem zaposlitvenih priložnosti je združil delodajalce iz različnih dejavnosti in regij ter ključne partnerske ustanove s področja zaposlovanja in kariernega svetovanja ter povezoval Slovenijo na enem mestu in prispeval k spodbujanju mobilnosti. Obiskovalcem je bila ves čas na voljo široka ponudba celovitih informacij in svetovanja s področja iskanja zaposlitve, vključno z okroglo mizo in novinarsko konferenco v zvezi s tematiko zaposlovanja tujcev in </w:t>
      </w:r>
      <w:r w:rsidR="00D85BA3" w:rsidRPr="00A335CB">
        <w:rPr>
          <w:rFonts w:ascii="Arial" w:hAnsi="Arial" w:cs="Arial"/>
          <w:sz w:val="20"/>
          <w:szCs w:val="20"/>
        </w:rPr>
        <w:t>vprašanj</w:t>
      </w:r>
      <w:r w:rsidR="00D85BA3">
        <w:rPr>
          <w:rFonts w:ascii="Arial" w:hAnsi="Arial" w:cs="Arial"/>
          <w:sz w:val="20"/>
          <w:szCs w:val="20"/>
        </w:rPr>
        <w:t>i</w:t>
      </w:r>
      <w:r w:rsidR="00D85BA3" w:rsidRPr="00A335CB">
        <w:rPr>
          <w:rFonts w:ascii="Arial" w:hAnsi="Arial" w:cs="Arial"/>
          <w:sz w:val="20"/>
          <w:szCs w:val="20"/>
        </w:rPr>
        <w:t xml:space="preserve"> </w:t>
      </w:r>
      <w:r w:rsidR="008D3F61" w:rsidRPr="00A335CB">
        <w:rPr>
          <w:rFonts w:ascii="Arial" w:hAnsi="Arial" w:cs="Arial"/>
          <w:sz w:val="20"/>
          <w:szCs w:val="20"/>
        </w:rPr>
        <w:t>delovnih migracij na slovenskem trgu dela.</w:t>
      </w:r>
    </w:p>
    <w:p w14:paraId="0F24BE7C" w14:textId="77777777" w:rsidR="00DA7739" w:rsidRPr="00A335CB" w:rsidRDefault="00DA7739" w:rsidP="005D1A90">
      <w:pPr>
        <w:autoSpaceDE w:val="0"/>
        <w:autoSpaceDN w:val="0"/>
        <w:adjustRightInd w:val="0"/>
        <w:spacing w:after="0" w:line="276" w:lineRule="auto"/>
        <w:jc w:val="both"/>
        <w:rPr>
          <w:rFonts w:ascii="Arial" w:hAnsi="Arial" w:cs="Arial"/>
          <w:b/>
          <w:bCs/>
          <w:sz w:val="20"/>
          <w:szCs w:val="20"/>
          <w:lang w:eastAsia="sl-SI"/>
        </w:rPr>
      </w:pPr>
    </w:p>
    <w:p w14:paraId="40A1031C" w14:textId="72310623" w:rsidR="008D3F61" w:rsidRPr="00A335CB" w:rsidRDefault="008D3F61" w:rsidP="005D1A90">
      <w:pPr>
        <w:autoSpaceDE w:val="0"/>
        <w:autoSpaceDN w:val="0"/>
        <w:adjustRightInd w:val="0"/>
        <w:spacing w:after="0" w:line="276" w:lineRule="auto"/>
        <w:jc w:val="both"/>
        <w:rPr>
          <w:rFonts w:ascii="Arial" w:hAnsi="Arial" w:cs="Arial"/>
          <w:b/>
          <w:bCs/>
          <w:sz w:val="20"/>
          <w:szCs w:val="20"/>
          <w:lang w:eastAsia="sl-SI"/>
        </w:rPr>
      </w:pPr>
      <w:r w:rsidRPr="00A335CB">
        <w:rPr>
          <w:rFonts w:ascii="Arial" w:hAnsi="Arial" w:cs="Arial"/>
          <w:b/>
          <w:bCs/>
          <w:sz w:val="20"/>
          <w:szCs w:val="20"/>
          <w:lang w:eastAsia="sl-SI"/>
        </w:rPr>
        <w:t>Konferenca generalnih direktorjev</w:t>
      </w:r>
      <w:r w:rsidR="007B3670" w:rsidRPr="00A335CB">
        <w:rPr>
          <w:rFonts w:ascii="Arial" w:hAnsi="Arial" w:cs="Arial"/>
          <w:b/>
          <w:bCs/>
          <w:sz w:val="20"/>
          <w:szCs w:val="20"/>
          <w:lang w:eastAsia="sl-SI"/>
        </w:rPr>
        <w:t xml:space="preserve"> služb za priseljevanje </w:t>
      </w:r>
      <w:r w:rsidR="007B3670" w:rsidRPr="00A335CB">
        <w:rPr>
          <w:rFonts w:ascii="Arial" w:hAnsi="Arial" w:cs="Arial"/>
          <w:bCs/>
          <w:sz w:val="20"/>
          <w:szCs w:val="20"/>
          <w:lang w:eastAsia="sl-SI"/>
        </w:rPr>
        <w:t>(</w:t>
      </w:r>
      <w:r w:rsidR="00EF5A28" w:rsidRPr="00A335CB">
        <w:rPr>
          <w:rFonts w:ascii="Arial" w:hAnsi="Arial" w:cs="Arial"/>
          <w:bCs/>
          <w:sz w:val="20"/>
          <w:szCs w:val="20"/>
          <w:lang w:eastAsia="sl-SI"/>
        </w:rPr>
        <w:t xml:space="preserve">v nadaljnjem besedilu: </w:t>
      </w:r>
      <w:r w:rsidR="007B3670" w:rsidRPr="00A335CB">
        <w:rPr>
          <w:rFonts w:ascii="Arial" w:hAnsi="Arial" w:cs="Arial"/>
          <w:bCs/>
          <w:sz w:val="20"/>
          <w:szCs w:val="20"/>
          <w:lang w:eastAsia="sl-SI"/>
        </w:rPr>
        <w:t>GDISC)</w:t>
      </w:r>
    </w:p>
    <w:p w14:paraId="7C011299" w14:textId="612FFF9B" w:rsidR="008D3F61" w:rsidRPr="00A335CB" w:rsidRDefault="008D3F61" w:rsidP="005D1A90">
      <w:pPr>
        <w:autoSpaceDE w:val="0"/>
        <w:autoSpaceDN w:val="0"/>
        <w:adjustRightInd w:val="0"/>
        <w:spacing w:after="0" w:line="276" w:lineRule="auto"/>
        <w:jc w:val="both"/>
        <w:rPr>
          <w:rFonts w:ascii="Arial" w:eastAsia="Arial" w:hAnsi="Arial" w:cs="Arial"/>
          <w:sz w:val="20"/>
          <w:szCs w:val="20"/>
        </w:rPr>
      </w:pPr>
      <w:r w:rsidRPr="00A335CB">
        <w:rPr>
          <w:rFonts w:ascii="Arial" w:eastAsia="Arial" w:hAnsi="Arial" w:cs="Arial"/>
          <w:sz w:val="20"/>
          <w:szCs w:val="20"/>
        </w:rPr>
        <w:t>Slovenska nacionalna kontaktna točka, ki deluje v okviru Direktorata za migracije</w:t>
      </w:r>
      <w:r w:rsidR="00EF5A28" w:rsidRPr="00A335CB">
        <w:rPr>
          <w:rFonts w:ascii="Arial" w:eastAsia="Arial" w:hAnsi="Arial" w:cs="Arial"/>
          <w:sz w:val="20"/>
          <w:szCs w:val="20"/>
        </w:rPr>
        <w:t>, je v neformalni mreži GDISC</w:t>
      </w:r>
      <w:r w:rsidRPr="00A335CB">
        <w:rPr>
          <w:rFonts w:ascii="Arial" w:eastAsia="Arial" w:hAnsi="Arial" w:cs="Arial"/>
          <w:sz w:val="20"/>
          <w:szCs w:val="20"/>
        </w:rPr>
        <w:t xml:space="preserve"> v letu 2024 zagotovila odgovore na 13 </w:t>
      </w:r>
      <w:r w:rsidR="00D85BA3">
        <w:rPr>
          <w:rFonts w:ascii="Arial" w:eastAsia="Arial" w:hAnsi="Arial" w:cs="Arial"/>
          <w:sz w:val="20"/>
          <w:szCs w:val="20"/>
        </w:rPr>
        <w:t>priložnostnih</w:t>
      </w:r>
      <w:r w:rsidRPr="00A335CB">
        <w:rPr>
          <w:rFonts w:ascii="Arial" w:eastAsia="Arial" w:hAnsi="Arial" w:cs="Arial"/>
          <w:sz w:val="20"/>
          <w:szCs w:val="20"/>
        </w:rPr>
        <w:t xml:space="preserve"> poizvedb držav članic neformalne mreže s področja zakonitih migracij in mednarodne zaščite. Generalni direktor Direktorata za migracije se je udeležil letne konference mreže, predstavnik nacional</w:t>
      </w:r>
      <w:r w:rsidR="00EF5A28" w:rsidRPr="00A335CB">
        <w:rPr>
          <w:rFonts w:ascii="Arial" w:eastAsia="Arial" w:hAnsi="Arial" w:cs="Arial"/>
          <w:sz w:val="20"/>
          <w:szCs w:val="20"/>
        </w:rPr>
        <w:t xml:space="preserve">ne kontaktne točke </w:t>
      </w:r>
      <w:r w:rsidRPr="00A335CB">
        <w:rPr>
          <w:rFonts w:ascii="Arial" w:eastAsia="Arial" w:hAnsi="Arial" w:cs="Arial"/>
          <w:sz w:val="20"/>
          <w:szCs w:val="20"/>
        </w:rPr>
        <w:t xml:space="preserve">se je udeležil dveh sestankov mreže nacionalnih kontaktnih točk, uslužbenci </w:t>
      </w:r>
      <w:r w:rsidR="00EF5A28" w:rsidRPr="00A335CB">
        <w:rPr>
          <w:rFonts w:ascii="Arial" w:eastAsia="Arial" w:hAnsi="Arial" w:cs="Arial"/>
          <w:sz w:val="20"/>
          <w:szCs w:val="20"/>
        </w:rPr>
        <w:t xml:space="preserve">MNZ </w:t>
      </w:r>
      <w:r w:rsidRPr="00A335CB">
        <w:rPr>
          <w:rFonts w:ascii="Arial" w:eastAsia="Arial" w:hAnsi="Arial" w:cs="Arial"/>
          <w:sz w:val="20"/>
          <w:szCs w:val="20"/>
        </w:rPr>
        <w:t>pa so se udeležili tudi naslednjih sestankov mini neformalnih mrež, ki delujejo znotraj GDISC: dveh sestankov mreže, ki se ukvarja s prognozami, analizami trendov in preverjanjem napovedi migracij</w:t>
      </w:r>
      <w:r w:rsidR="00D85BA3">
        <w:rPr>
          <w:rFonts w:ascii="Arial" w:eastAsia="Arial" w:hAnsi="Arial" w:cs="Arial"/>
          <w:sz w:val="20"/>
          <w:szCs w:val="20"/>
        </w:rPr>
        <w:t>,</w:t>
      </w:r>
      <w:r w:rsidRPr="00A335CB">
        <w:rPr>
          <w:rStyle w:val="Sprotnaopomba-sklic"/>
          <w:rFonts w:ascii="Arial" w:eastAsia="Arial" w:hAnsi="Arial" w:cs="Arial"/>
          <w:sz w:val="20"/>
          <w:szCs w:val="20"/>
        </w:rPr>
        <w:footnoteReference w:id="3"/>
      </w:r>
      <w:r w:rsidRPr="00A335CB">
        <w:rPr>
          <w:rFonts w:ascii="Arial" w:eastAsia="Arial" w:hAnsi="Arial" w:cs="Arial"/>
          <w:sz w:val="20"/>
          <w:szCs w:val="20"/>
        </w:rPr>
        <w:t xml:space="preserve"> enega sestanka pravne mreže</w:t>
      </w:r>
      <w:r w:rsidR="00D85BA3">
        <w:rPr>
          <w:rFonts w:ascii="Arial" w:eastAsia="Arial" w:hAnsi="Arial" w:cs="Arial"/>
          <w:sz w:val="20"/>
          <w:szCs w:val="20"/>
        </w:rPr>
        <w:t>,</w:t>
      </w:r>
      <w:r w:rsidRPr="00A335CB">
        <w:rPr>
          <w:rStyle w:val="Sprotnaopomba-sklic"/>
          <w:rFonts w:ascii="Arial" w:eastAsia="Arial" w:hAnsi="Arial" w:cs="Arial"/>
          <w:sz w:val="20"/>
          <w:szCs w:val="20"/>
        </w:rPr>
        <w:footnoteReference w:id="4"/>
      </w:r>
      <w:r w:rsidRPr="00A335CB">
        <w:rPr>
          <w:rFonts w:ascii="Arial" w:eastAsia="Arial" w:hAnsi="Arial" w:cs="Arial"/>
          <w:sz w:val="20"/>
          <w:szCs w:val="20"/>
        </w:rPr>
        <w:t xml:space="preserve"> dveh sestankov IT</w:t>
      </w:r>
      <w:r w:rsidR="00D85BA3">
        <w:rPr>
          <w:rFonts w:ascii="Arial" w:eastAsia="Arial" w:hAnsi="Arial" w:cs="Arial"/>
          <w:sz w:val="20"/>
          <w:szCs w:val="20"/>
        </w:rPr>
        <w:t>-</w:t>
      </w:r>
      <w:r w:rsidRPr="00A335CB">
        <w:rPr>
          <w:rFonts w:ascii="Arial" w:eastAsia="Arial" w:hAnsi="Arial" w:cs="Arial"/>
          <w:sz w:val="20"/>
          <w:szCs w:val="20"/>
        </w:rPr>
        <w:t>mreže</w:t>
      </w:r>
      <w:r w:rsidRPr="00A335CB">
        <w:rPr>
          <w:rStyle w:val="Sprotnaopomba-sklic"/>
          <w:rFonts w:ascii="Arial" w:eastAsia="Arial" w:hAnsi="Arial" w:cs="Arial"/>
          <w:sz w:val="20"/>
          <w:szCs w:val="20"/>
        </w:rPr>
        <w:footnoteReference w:id="5"/>
      </w:r>
      <w:r w:rsidRPr="00A335CB">
        <w:rPr>
          <w:rFonts w:ascii="Arial" w:eastAsia="Arial" w:hAnsi="Arial" w:cs="Arial"/>
          <w:sz w:val="20"/>
          <w:szCs w:val="20"/>
        </w:rPr>
        <w:t xml:space="preserve"> in enega sestanka mreže za zakonite migracije</w:t>
      </w:r>
      <w:r w:rsidR="00D85BA3">
        <w:rPr>
          <w:rFonts w:ascii="Arial" w:eastAsia="Arial" w:hAnsi="Arial" w:cs="Arial"/>
          <w:sz w:val="20"/>
          <w:szCs w:val="20"/>
        </w:rPr>
        <w:t>.</w:t>
      </w:r>
      <w:r w:rsidRPr="00A335CB">
        <w:rPr>
          <w:rStyle w:val="Sprotnaopomba-sklic"/>
          <w:rFonts w:ascii="Arial" w:eastAsia="Arial" w:hAnsi="Arial" w:cs="Arial"/>
          <w:sz w:val="20"/>
          <w:szCs w:val="20"/>
        </w:rPr>
        <w:footnoteReference w:id="6"/>
      </w:r>
      <w:r w:rsidRPr="00A335CB">
        <w:rPr>
          <w:rFonts w:ascii="Arial" w:eastAsia="Arial" w:hAnsi="Arial" w:cs="Arial"/>
          <w:sz w:val="20"/>
          <w:szCs w:val="20"/>
        </w:rPr>
        <w:t xml:space="preserve"> Mini mreže so dragocene platforme za izmenjavo informacij in gradnjo baze znanja o določenih temah</w:t>
      </w:r>
      <w:r w:rsidRPr="00A335CB">
        <w:rPr>
          <w:rFonts w:ascii="Arial" w:hAnsi="Arial" w:cs="Arial"/>
          <w:sz w:val="20"/>
          <w:szCs w:val="20"/>
          <w:lang w:eastAsia="sl-SI"/>
        </w:rPr>
        <w:t>.</w:t>
      </w:r>
    </w:p>
    <w:p w14:paraId="50337815" w14:textId="77777777" w:rsidR="008D3F61" w:rsidRPr="00A335CB" w:rsidRDefault="008D3F61" w:rsidP="005D1A90">
      <w:pPr>
        <w:autoSpaceDE w:val="0"/>
        <w:autoSpaceDN w:val="0"/>
        <w:adjustRightInd w:val="0"/>
        <w:spacing w:after="0" w:line="276" w:lineRule="auto"/>
        <w:jc w:val="both"/>
        <w:rPr>
          <w:rFonts w:ascii="Arial" w:hAnsi="Arial" w:cs="Arial"/>
          <w:b/>
          <w:sz w:val="20"/>
          <w:szCs w:val="20"/>
          <w:lang w:eastAsia="sl-SI"/>
        </w:rPr>
      </w:pPr>
    </w:p>
    <w:p w14:paraId="6192AB3F" w14:textId="3A4B9AA2" w:rsidR="008D3F61" w:rsidRPr="00A335CB" w:rsidRDefault="00EF5A28" w:rsidP="005D1A90">
      <w:pPr>
        <w:autoSpaceDE w:val="0"/>
        <w:autoSpaceDN w:val="0"/>
        <w:adjustRightInd w:val="0"/>
        <w:spacing w:after="0" w:line="276" w:lineRule="auto"/>
        <w:jc w:val="both"/>
        <w:rPr>
          <w:rFonts w:ascii="Arial" w:hAnsi="Arial" w:cs="Arial"/>
          <w:b/>
          <w:sz w:val="20"/>
          <w:szCs w:val="20"/>
          <w:lang w:eastAsia="sl-SI"/>
        </w:rPr>
      </w:pPr>
      <w:r w:rsidRPr="00A335CB">
        <w:rPr>
          <w:rFonts w:ascii="Arial" w:hAnsi="Arial" w:cs="Arial"/>
          <w:b/>
          <w:sz w:val="20"/>
          <w:szCs w:val="20"/>
          <w:lang w:eastAsia="sl-SI"/>
        </w:rPr>
        <w:t xml:space="preserve">Agencija Evropske unije za azil </w:t>
      </w:r>
      <w:r w:rsidRPr="00A335CB">
        <w:rPr>
          <w:rFonts w:ascii="Arial" w:hAnsi="Arial" w:cs="Arial"/>
          <w:sz w:val="20"/>
          <w:szCs w:val="20"/>
          <w:lang w:eastAsia="sl-SI"/>
        </w:rPr>
        <w:t xml:space="preserve">(v nadaljnjem besedilu: </w:t>
      </w:r>
      <w:r w:rsidR="007B3670" w:rsidRPr="00A335CB">
        <w:rPr>
          <w:rFonts w:ascii="Arial" w:hAnsi="Arial" w:cs="Arial"/>
          <w:sz w:val="20"/>
          <w:szCs w:val="20"/>
          <w:lang w:eastAsia="sl-SI"/>
        </w:rPr>
        <w:t>EUAA</w:t>
      </w:r>
      <w:r w:rsidRPr="00A335CB">
        <w:rPr>
          <w:rFonts w:ascii="Arial" w:hAnsi="Arial" w:cs="Arial"/>
          <w:sz w:val="20"/>
          <w:szCs w:val="20"/>
          <w:lang w:eastAsia="sl-SI"/>
        </w:rPr>
        <w:t>)</w:t>
      </w:r>
    </w:p>
    <w:p w14:paraId="52C0861F" w14:textId="292C2EED" w:rsidR="008D3F61" w:rsidRPr="00A335CB" w:rsidRDefault="008D3F61"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Direktorat za migracije kot uradna kontaktna točka EUAA sodeluje na sestankih upravnega odbora (višji uradniki) in redno komunicira z EUAA v okviru različnih posvetovalnih skupin in mrež, ki pokrivajo </w:t>
      </w:r>
      <w:r w:rsidR="00670EF4">
        <w:rPr>
          <w:rFonts w:ascii="Arial" w:hAnsi="Arial" w:cs="Arial"/>
          <w:sz w:val="20"/>
          <w:szCs w:val="20"/>
          <w:lang w:eastAsia="sl-SI"/>
        </w:rPr>
        <w:t>ustrezne</w:t>
      </w:r>
      <w:r w:rsidR="00670EF4" w:rsidRPr="00A335CB">
        <w:rPr>
          <w:rFonts w:ascii="Arial" w:hAnsi="Arial" w:cs="Arial"/>
          <w:sz w:val="20"/>
          <w:szCs w:val="20"/>
          <w:lang w:eastAsia="sl-SI"/>
        </w:rPr>
        <w:t xml:space="preserve"> </w:t>
      </w:r>
      <w:r w:rsidRPr="00A335CB">
        <w:rPr>
          <w:rFonts w:ascii="Arial" w:hAnsi="Arial" w:cs="Arial"/>
          <w:sz w:val="20"/>
          <w:szCs w:val="20"/>
          <w:lang w:eastAsia="sl-SI"/>
        </w:rPr>
        <w:t xml:space="preserve">elemente azilnega in sprejemnega sistema (mreža za sprejem, mreža za postopke mednarodne zaščite, Dublin mreža, mreža za sodelovanje s tretjimi državami, mreža za statistiko, mreža strokovnjakov za ranljivost, IDS posvetovalna skupina, </w:t>
      </w:r>
      <w:r w:rsidR="00D85BA3">
        <w:rPr>
          <w:rFonts w:ascii="Arial" w:hAnsi="Arial" w:cs="Arial"/>
          <w:sz w:val="20"/>
          <w:szCs w:val="20"/>
          <w:lang w:eastAsia="sl-SI"/>
        </w:rPr>
        <w:t>p</w:t>
      </w:r>
      <w:r w:rsidR="00D85BA3" w:rsidRPr="00A335CB">
        <w:rPr>
          <w:rFonts w:ascii="Arial" w:hAnsi="Arial" w:cs="Arial"/>
          <w:sz w:val="20"/>
          <w:szCs w:val="20"/>
          <w:lang w:eastAsia="sl-SI"/>
        </w:rPr>
        <w:t xml:space="preserve">osvetovalna </w:t>
      </w:r>
      <w:r w:rsidRPr="00A335CB">
        <w:rPr>
          <w:rFonts w:ascii="Arial" w:hAnsi="Arial" w:cs="Arial"/>
          <w:sz w:val="20"/>
          <w:szCs w:val="20"/>
          <w:lang w:eastAsia="sl-SI"/>
        </w:rPr>
        <w:t xml:space="preserve">skupina za spremljanje), in drugih programov (IDS, </w:t>
      </w:r>
      <w:proofErr w:type="spellStart"/>
      <w:r w:rsidRPr="00A335CB">
        <w:rPr>
          <w:rFonts w:ascii="Arial" w:hAnsi="Arial" w:cs="Arial"/>
          <w:sz w:val="20"/>
          <w:szCs w:val="20"/>
          <w:lang w:eastAsia="sl-SI"/>
        </w:rPr>
        <w:t>Query</w:t>
      </w:r>
      <w:proofErr w:type="spellEnd"/>
      <w:r w:rsidRPr="00A335CB">
        <w:rPr>
          <w:rFonts w:ascii="Arial" w:hAnsi="Arial" w:cs="Arial"/>
          <w:sz w:val="20"/>
          <w:szCs w:val="20"/>
          <w:lang w:eastAsia="sl-SI"/>
        </w:rPr>
        <w:t xml:space="preserve">, </w:t>
      </w:r>
      <w:proofErr w:type="spellStart"/>
      <w:r w:rsidRPr="00A335CB">
        <w:rPr>
          <w:rFonts w:ascii="Arial" w:hAnsi="Arial" w:cs="Arial"/>
          <w:sz w:val="20"/>
          <w:szCs w:val="20"/>
          <w:lang w:eastAsia="sl-SI"/>
        </w:rPr>
        <w:t>Case</w:t>
      </w:r>
      <w:proofErr w:type="spellEnd"/>
      <w:r w:rsidRPr="00A335CB">
        <w:rPr>
          <w:rFonts w:ascii="Arial" w:hAnsi="Arial" w:cs="Arial"/>
          <w:sz w:val="20"/>
          <w:szCs w:val="20"/>
          <w:lang w:eastAsia="sl-SI"/>
        </w:rPr>
        <w:t xml:space="preserve"> </w:t>
      </w:r>
      <w:proofErr w:type="spellStart"/>
      <w:r w:rsidRPr="00A335CB">
        <w:rPr>
          <w:rFonts w:ascii="Arial" w:hAnsi="Arial" w:cs="Arial"/>
          <w:sz w:val="20"/>
          <w:szCs w:val="20"/>
          <w:lang w:eastAsia="sl-SI"/>
        </w:rPr>
        <w:t>law</w:t>
      </w:r>
      <w:proofErr w:type="spellEnd"/>
      <w:r w:rsidRPr="00A335CB">
        <w:rPr>
          <w:rFonts w:ascii="Arial" w:hAnsi="Arial" w:cs="Arial"/>
          <w:sz w:val="20"/>
          <w:szCs w:val="20"/>
          <w:lang w:eastAsia="sl-SI"/>
        </w:rPr>
        <w:t>). V letu 2024 so javni usl</w:t>
      </w:r>
      <w:r w:rsidR="00EF5A28" w:rsidRPr="00A335CB">
        <w:rPr>
          <w:rFonts w:ascii="Arial" w:hAnsi="Arial" w:cs="Arial"/>
          <w:sz w:val="20"/>
          <w:szCs w:val="20"/>
          <w:lang w:eastAsia="sl-SI"/>
        </w:rPr>
        <w:t>užbenci MNZ</w:t>
      </w:r>
      <w:r w:rsidRPr="00A335CB">
        <w:rPr>
          <w:rFonts w:ascii="Arial" w:hAnsi="Arial" w:cs="Arial"/>
          <w:sz w:val="20"/>
          <w:szCs w:val="20"/>
          <w:lang w:eastAsia="sl-SI"/>
        </w:rPr>
        <w:t xml:space="preserve"> odgovorili na skupno 42 vprašalnikov držav članic in EUAA, prispevali k letnemu poročilu, redno </w:t>
      </w:r>
      <w:r w:rsidR="005E0375">
        <w:rPr>
          <w:rFonts w:ascii="Arial" w:hAnsi="Arial" w:cs="Arial"/>
          <w:sz w:val="20"/>
          <w:szCs w:val="20"/>
          <w:lang w:eastAsia="sl-SI"/>
        </w:rPr>
        <w:t>pošiljali</w:t>
      </w:r>
      <w:r w:rsidR="005E0375" w:rsidRPr="00A335CB">
        <w:rPr>
          <w:rFonts w:ascii="Arial" w:hAnsi="Arial" w:cs="Arial"/>
          <w:sz w:val="20"/>
          <w:szCs w:val="20"/>
          <w:lang w:eastAsia="sl-SI"/>
        </w:rPr>
        <w:t xml:space="preserve"> </w:t>
      </w:r>
      <w:r w:rsidR="00670EF4">
        <w:rPr>
          <w:rFonts w:ascii="Arial" w:hAnsi="Arial" w:cs="Arial"/>
          <w:sz w:val="20"/>
          <w:szCs w:val="20"/>
          <w:lang w:eastAsia="sl-SI"/>
        </w:rPr>
        <w:t>ustrezne</w:t>
      </w:r>
      <w:r w:rsidR="00670EF4" w:rsidRPr="00A335CB">
        <w:rPr>
          <w:rFonts w:ascii="Arial" w:hAnsi="Arial" w:cs="Arial"/>
          <w:sz w:val="20"/>
          <w:szCs w:val="20"/>
          <w:lang w:eastAsia="sl-SI"/>
        </w:rPr>
        <w:t xml:space="preserve"> </w:t>
      </w:r>
      <w:r w:rsidRPr="00A335CB">
        <w:rPr>
          <w:rFonts w:ascii="Arial" w:hAnsi="Arial" w:cs="Arial"/>
          <w:sz w:val="20"/>
          <w:szCs w:val="20"/>
          <w:lang w:eastAsia="sl-SI"/>
        </w:rPr>
        <w:t xml:space="preserve">podatke s področja mednarodne zaščite v Sloveniji ter sodelovali pri pregledu in pripravi drugih </w:t>
      </w:r>
      <w:r w:rsidR="00670EF4">
        <w:rPr>
          <w:rFonts w:ascii="Arial" w:hAnsi="Arial" w:cs="Arial"/>
          <w:sz w:val="20"/>
          <w:szCs w:val="20"/>
          <w:lang w:eastAsia="sl-SI"/>
        </w:rPr>
        <w:t>ustreznih</w:t>
      </w:r>
      <w:r w:rsidR="00670EF4" w:rsidRPr="00A335CB">
        <w:rPr>
          <w:rFonts w:ascii="Arial" w:hAnsi="Arial" w:cs="Arial"/>
          <w:sz w:val="20"/>
          <w:szCs w:val="20"/>
          <w:lang w:eastAsia="sl-SI"/>
        </w:rPr>
        <w:t xml:space="preserve"> </w:t>
      </w:r>
      <w:r w:rsidRPr="00A335CB">
        <w:rPr>
          <w:rFonts w:ascii="Arial" w:hAnsi="Arial" w:cs="Arial"/>
          <w:sz w:val="20"/>
          <w:szCs w:val="20"/>
          <w:lang w:eastAsia="sl-SI"/>
        </w:rPr>
        <w:t>dokumentov, smernic, poročil in orodij.</w:t>
      </w:r>
    </w:p>
    <w:p w14:paraId="3EE6453A" w14:textId="77777777" w:rsidR="008D3F61" w:rsidRPr="00A335CB" w:rsidRDefault="008D3F61"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lang w:eastAsia="sl-SI"/>
        </w:rPr>
      </w:pPr>
    </w:p>
    <w:p w14:paraId="22FAA67A" w14:textId="3B6A2A9A" w:rsidR="008D3F61" w:rsidRPr="00A335CB" w:rsidRDefault="008D3F61"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V letu 2024 so se trije javni uslu</w:t>
      </w:r>
      <w:r w:rsidR="00E9549E" w:rsidRPr="00A335CB">
        <w:rPr>
          <w:rFonts w:ascii="Arial" w:hAnsi="Arial" w:cs="Arial"/>
          <w:sz w:val="20"/>
          <w:szCs w:val="20"/>
          <w:lang w:eastAsia="sl-SI"/>
        </w:rPr>
        <w:t xml:space="preserve">žbenci MNZ </w:t>
      </w:r>
      <w:r w:rsidRPr="00A335CB">
        <w:rPr>
          <w:rFonts w:ascii="Arial" w:hAnsi="Arial" w:cs="Arial"/>
          <w:sz w:val="20"/>
          <w:szCs w:val="20"/>
          <w:lang w:eastAsia="sl-SI"/>
        </w:rPr>
        <w:t>udeležili usposabljanj po modulih EUAA, in sicer po modulih Prosilci z različnimi spolnimi usmeritvami, spolnimi identitetami in izražanjem spolnih značilnosti, Intervjuvanje ranljivih oseb ter Spremljanje in vrednotenje programov ponovne naselitve in humanitarnega sprejema. V zvezi s Paktom o migracijah in azilu se je usposabljanj po štirih vsebinskih sklopih udeležilo ose</w:t>
      </w:r>
      <w:r w:rsidR="00E9549E" w:rsidRPr="00A335CB">
        <w:rPr>
          <w:rFonts w:ascii="Arial" w:hAnsi="Arial" w:cs="Arial"/>
          <w:sz w:val="20"/>
          <w:szCs w:val="20"/>
          <w:lang w:eastAsia="sl-SI"/>
        </w:rPr>
        <w:t>m javnih uslužbencev MNZ</w:t>
      </w:r>
      <w:r w:rsidRPr="00A335CB">
        <w:rPr>
          <w:rFonts w:ascii="Arial" w:hAnsi="Arial" w:cs="Arial"/>
          <w:sz w:val="20"/>
          <w:szCs w:val="20"/>
          <w:lang w:eastAsia="sl-SI"/>
        </w:rPr>
        <w:t>.</w:t>
      </w:r>
    </w:p>
    <w:p w14:paraId="04D15916" w14:textId="77777777" w:rsidR="008D3F61" w:rsidRPr="00A335CB" w:rsidRDefault="008D3F61"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lang w:eastAsia="sl-SI"/>
        </w:rPr>
      </w:pPr>
    </w:p>
    <w:p w14:paraId="305AD0AA" w14:textId="6B0908F2" w:rsidR="001C6D21" w:rsidRPr="00A335CB" w:rsidRDefault="008D3F61" w:rsidP="00DA7739">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V okviru operativnega načrta, ki ga je </w:t>
      </w:r>
      <w:r w:rsidR="00E9549E" w:rsidRPr="00A335CB">
        <w:rPr>
          <w:rFonts w:ascii="Arial" w:hAnsi="Arial" w:cs="Arial"/>
          <w:sz w:val="20"/>
          <w:szCs w:val="20"/>
          <w:lang w:eastAsia="sl-SI"/>
        </w:rPr>
        <w:t xml:space="preserve">MNZ </w:t>
      </w:r>
      <w:r w:rsidRPr="00A335CB">
        <w:rPr>
          <w:rFonts w:ascii="Arial" w:hAnsi="Arial" w:cs="Arial"/>
          <w:sz w:val="20"/>
          <w:szCs w:val="20"/>
          <w:lang w:eastAsia="sl-SI"/>
        </w:rPr>
        <w:t>podpisalo z EUAA, so bila izvedena usposabljanja za javne uslužbence s področja mednarodne zaščite in sprejema, ki so se jih udeležili javni usl</w:t>
      </w:r>
      <w:r w:rsidR="00E9549E" w:rsidRPr="00A335CB">
        <w:rPr>
          <w:rFonts w:ascii="Arial" w:hAnsi="Arial" w:cs="Arial"/>
          <w:sz w:val="20"/>
          <w:szCs w:val="20"/>
          <w:lang w:eastAsia="sl-SI"/>
        </w:rPr>
        <w:t>užbenci MNZ</w:t>
      </w:r>
      <w:r w:rsidRPr="00A335CB">
        <w:rPr>
          <w:rFonts w:ascii="Arial" w:hAnsi="Arial" w:cs="Arial"/>
          <w:sz w:val="20"/>
          <w:szCs w:val="20"/>
          <w:lang w:eastAsia="sl-SI"/>
        </w:rPr>
        <w:t xml:space="preserve">, Urada Republike Slovenije za oskrbo in integracijo migrantov, </w:t>
      </w:r>
      <w:r w:rsidR="00D85BA3">
        <w:rPr>
          <w:rFonts w:ascii="Arial" w:hAnsi="Arial" w:cs="Arial"/>
          <w:sz w:val="20"/>
          <w:szCs w:val="20"/>
          <w:lang w:eastAsia="sl-SI"/>
        </w:rPr>
        <w:t>p</w:t>
      </w:r>
      <w:r w:rsidR="00D85BA3" w:rsidRPr="00A335CB">
        <w:rPr>
          <w:rFonts w:ascii="Arial" w:hAnsi="Arial" w:cs="Arial"/>
          <w:sz w:val="20"/>
          <w:szCs w:val="20"/>
          <w:lang w:eastAsia="sl-SI"/>
        </w:rPr>
        <w:t xml:space="preserve">olicije </w:t>
      </w:r>
      <w:r w:rsidRPr="00A335CB">
        <w:rPr>
          <w:rFonts w:ascii="Arial" w:hAnsi="Arial" w:cs="Arial"/>
          <w:sz w:val="20"/>
          <w:szCs w:val="20"/>
          <w:lang w:eastAsia="sl-SI"/>
        </w:rPr>
        <w:t>in predstavniki nevladnih organiza</w:t>
      </w:r>
      <w:r w:rsidR="00E9549E" w:rsidRPr="00A335CB">
        <w:rPr>
          <w:rFonts w:ascii="Arial" w:hAnsi="Arial" w:cs="Arial"/>
          <w:sz w:val="20"/>
          <w:szCs w:val="20"/>
          <w:lang w:eastAsia="sl-SI"/>
        </w:rPr>
        <w:t>cij. V tem kontekstu je bil en</w:t>
      </w:r>
      <w:r w:rsidRPr="00A335CB">
        <w:rPr>
          <w:rFonts w:ascii="Arial" w:hAnsi="Arial" w:cs="Arial"/>
          <w:sz w:val="20"/>
          <w:szCs w:val="20"/>
          <w:lang w:eastAsia="sl-SI"/>
        </w:rPr>
        <w:t xml:space="preserve"> javni usl</w:t>
      </w:r>
      <w:r w:rsidR="00E9549E" w:rsidRPr="00A335CB">
        <w:rPr>
          <w:rFonts w:ascii="Arial" w:hAnsi="Arial" w:cs="Arial"/>
          <w:sz w:val="20"/>
          <w:szCs w:val="20"/>
          <w:lang w:eastAsia="sl-SI"/>
        </w:rPr>
        <w:t>užbenec MNZ</w:t>
      </w:r>
      <w:r w:rsidRPr="00A335CB">
        <w:rPr>
          <w:rFonts w:ascii="Arial" w:hAnsi="Arial" w:cs="Arial"/>
          <w:sz w:val="20"/>
          <w:szCs w:val="20"/>
          <w:lang w:eastAsia="sl-SI"/>
        </w:rPr>
        <w:t xml:space="preserve"> usposobljen za nacionalnega trenerja. V organizaciji in izvedbi EUAA je bilo izvedeno usposabljanje po modulu Ocena dokazov, ki se ga je udeležilo 1</w:t>
      </w:r>
      <w:r w:rsidR="00E9549E" w:rsidRPr="00A335CB">
        <w:rPr>
          <w:rFonts w:ascii="Arial" w:hAnsi="Arial" w:cs="Arial"/>
          <w:sz w:val="20"/>
          <w:szCs w:val="20"/>
          <w:lang w:eastAsia="sl-SI"/>
        </w:rPr>
        <w:t>6 javnih uslužbencev</w:t>
      </w:r>
      <w:r w:rsidRPr="00A335CB">
        <w:rPr>
          <w:rFonts w:ascii="Arial" w:hAnsi="Arial" w:cs="Arial"/>
          <w:sz w:val="20"/>
          <w:szCs w:val="20"/>
          <w:lang w:eastAsia="sl-SI"/>
        </w:rPr>
        <w:t xml:space="preserve">, nacionalni trener za modul Trgovina z ljudmi pa je izvedel </w:t>
      </w:r>
      <w:r w:rsidR="00D85BA3">
        <w:rPr>
          <w:rFonts w:ascii="Arial" w:hAnsi="Arial" w:cs="Arial"/>
          <w:sz w:val="20"/>
          <w:szCs w:val="20"/>
          <w:lang w:eastAsia="sl-SI"/>
        </w:rPr>
        <w:t>državno</w:t>
      </w:r>
      <w:r w:rsidR="00D85BA3" w:rsidRPr="00A335CB">
        <w:rPr>
          <w:rFonts w:ascii="Arial" w:hAnsi="Arial" w:cs="Arial"/>
          <w:sz w:val="20"/>
          <w:szCs w:val="20"/>
          <w:lang w:eastAsia="sl-SI"/>
        </w:rPr>
        <w:t xml:space="preserve"> </w:t>
      </w:r>
      <w:r w:rsidRPr="00A335CB">
        <w:rPr>
          <w:rFonts w:ascii="Arial" w:hAnsi="Arial" w:cs="Arial"/>
          <w:sz w:val="20"/>
          <w:szCs w:val="20"/>
          <w:lang w:eastAsia="sl-SI"/>
        </w:rPr>
        <w:t>usposabljanje, ki se ga je udeležilo 22 javnih uslu</w:t>
      </w:r>
      <w:r w:rsidR="00E9549E" w:rsidRPr="00A335CB">
        <w:rPr>
          <w:rFonts w:ascii="Arial" w:hAnsi="Arial" w:cs="Arial"/>
          <w:sz w:val="20"/>
          <w:szCs w:val="20"/>
          <w:lang w:eastAsia="sl-SI"/>
        </w:rPr>
        <w:t>žbencev</w:t>
      </w:r>
      <w:r w:rsidRPr="00A335CB">
        <w:rPr>
          <w:rFonts w:ascii="Arial" w:hAnsi="Arial" w:cs="Arial"/>
          <w:sz w:val="20"/>
          <w:szCs w:val="20"/>
          <w:lang w:eastAsia="sl-SI"/>
        </w:rPr>
        <w:t>.</w:t>
      </w:r>
    </w:p>
    <w:p w14:paraId="04551E41" w14:textId="77777777" w:rsidR="00DA7739" w:rsidRPr="00A335CB" w:rsidRDefault="00DA7739" w:rsidP="00DA7739">
      <w:pPr>
        <w:autoSpaceDE w:val="0"/>
        <w:autoSpaceDN w:val="0"/>
        <w:adjustRightInd w:val="0"/>
        <w:spacing w:after="0" w:line="276" w:lineRule="auto"/>
        <w:jc w:val="both"/>
        <w:rPr>
          <w:rFonts w:ascii="Arial" w:hAnsi="Arial" w:cs="Arial"/>
          <w:sz w:val="20"/>
          <w:szCs w:val="20"/>
          <w:u w:val="single"/>
          <w:lang w:eastAsia="sl-SI"/>
        </w:rPr>
      </w:pPr>
    </w:p>
    <w:p w14:paraId="075CB932" w14:textId="06B27169" w:rsidR="00310F1D" w:rsidRPr="00A335CB" w:rsidRDefault="001D478C" w:rsidP="005D1A90">
      <w:pPr>
        <w:pStyle w:val="Naslov1"/>
        <w:spacing w:after="0" w:line="276" w:lineRule="auto"/>
        <w:jc w:val="both"/>
        <w:rPr>
          <w:color w:val="auto"/>
        </w:rPr>
      </w:pPr>
      <w:bookmarkStart w:id="83" w:name="_Toc65591466"/>
      <w:bookmarkStart w:id="84" w:name="_Toc65651017"/>
      <w:bookmarkStart w:id="85" w:name="_Toc203552994"/>
      <w:r w:rsidRPr="00A335CB">
        <w:rPr>
          <w:color w:val="auto"/>
        </w:rPr>
        <w:t>P</w:t>
      </w:r>
      <w:r w:rsidR="00590E45" w:rsidRPr="00A335CB">
        <w:rPr>
          <w:color w:val="auto"/>
        </w:rPr>
        <w:t xml:space="preserve">roaktivno in kredibilno mednarodno </w:t>
      </w:r>
      <w:proofErr w:type="spellStart"/>
      <w:r w:rsidR="00590E45" w:rsidRPr="00A335CB">
        <w:rPr>
          <w:color w:val="auto"/>
        </w:rPr>
        <w:t>dvo</w:t>
      </w:r>
      <w:proofErr w:type="spellEnd"/>
      <w:r w:rsidR="00590E45" w:rsidRPr="00A335CB">
        <w:rPr>
          <w:color w:val="auto"/>
        </w:rPr>
        <w:t>- in večstransko sodelovanje</w:t>
      </w:r>
      <w:bookmarkEnd w:id="83"/>
      <w:bookmarkEnd w:id="84"/>
      <w:bookmarkEnd w:id="85"/>
    </w:p>
    <w:p w14:paraId="44A6F270" w14:textId="77777777" w:rsidR="00310F1D" w:rsidRPr="00A335CB" w:rsidRDefault="00310F1D" w:rsidP="005D1A90">
      <w:pPr>
        <w:spacing w:after="0" w:line="276" w:lineRule="auto"/>
        <w:jc w:val="both"/>
        <w:rPr>
          <w:rFonts w:ascii="Arial" w:hAnsi="Arial" w:cs="Arial"/>
          <w:sz w:val="20"/>
          <w:szCs w:val="20"/>
        </w:rPr>
      </w:pPr>
    </w:p>
    <w:p w14:paraId="06154C7B" w14:textId="4C6ACFEC"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V zadevah EU sta se v skladu z notranjo zakonodajo in uveljavljenimi postopki zagotavljala vsebinska usklajenost in ustrezno potrjevanje stališč Republike Slovenije do zakonodajnih in drugih a</w:t>
      </w:r>
      <w:r w:rsidR="00782F91" w:rsidRPr="00A335CB">
        <w:rPr>
          <w:rFonts w:ascii="Arial" w:hAnsi="Arial" w:cs="Arial"/>
          <w:sz w:val="20"/>
          <w:szCs w:val="20"/>
        </w:rPr>
        <w:t>ktov z delovnega področja MNZ. Služba za evropske zadeve in mednarodno sodelovanje (v nadaljnjem besedilu: S</w:t>
      </w:r>
      <w:r w:rsidRPr="00A335CB">
        <w:rPr>
          <w:rFonts w:ascii="Arial" w:hAnsi="Arial" w:cs="Arial"/>
          <w:sz w:val="20"/>
          <w:szCs w:val="20"/>
        </w:rPr>
        <w:t>EZMS</w:t>
      </w:r>
      <w:r w:rsidR="00782F91" w:rsidRPr="00A335CB">
        <w:rPr>
          <w:rFonts w:ascii="Arial" w:hAnsi="Arial" w:cs="Arial"/>
          <w:sz w:val="20"/>
          <w:szCs w:val="20"/>
        </w:rPr>
        <w:t>)</w:t>
      </w:r>
      <w:r w:rsidRPr="00A335CB">
        <w:rPr>
          <w:rFonts w:ascii="Arial" w:hAnsi="Arial" w:cs="Arial"/>
          <w:sz w:val="20"/>
          <w:szCs w:val="20"/>
        </w:rPr>
        <w:t xml:space="preserve"> je zagotavljal</w:t>
      </w:r>
      <w:r w:rsidR="00782F91" w:rsidRPr="00A335CB">
        <w:rPr>
          <w:rFonts w:ascii="Arial" w:hAnsi="Arial" w:cs="Arial"/>
          <w:sz w:val="20"/>
          <w:szCs w:val="20"/>
        </w:rPr>
        <w:t>a</w:t>
      </w:r>
      <w:r w:rsidRPr="00A335CB">
        <w:rPr>
          <w:rFonts w:ascii="Arial" w:hAnsi="Arial" w:cs="Arial"/>
          <w:sz w:val="20"/>
          <w:szCs w:val="20"/>
        </w:rPr>
        <w:t xml:space="preserve"> pripravo in usklajevanje stališč in drugih potrebnih odzivov s pristojnimi strokovn</w:t>
      </w:r>
      <w:r w:rsidR="00782F91" w:rsidRPr="00A335CB">
        <w:rPr>
          <w:rFonts w:ascii="Arial" w:hAnsi="Arial" w:cs="Arial"/>
          <w:sz w:val="20"/>
          <w:szCs w:val="20"/>
        </w:rPr>
        <w:t>imi službami znotraj MNZ</w:t>
      </w:r>
      <w:r w:rsidRPr="00A335CB">
        <w:rPr>
          <w:rFonts w:ascii="Arial" w:hAnsi="Arial" w:cs="Arial"/>
          <w:sz w:val="20"/>
          <w:szCs w:val="20"/>
        </w:rPr>
        <w:t xml:space="preserve"> in </w:t>
      </w:r>
      <w:r w:rsidR="00D85BA3">
        <w:rPr>
          <w:rFonts w:ascii="Arial" w:hAnsi="Arial" w:cs="Arial"/>
          <w:sz w:val="20"/>
          <w:szCs w:val="20"/>
        </w:rPr>
        <w:t>p</w:t>
      </w:r>
      <w:r w:rsidR="00D85BA3" w:rsidRPr="00A335CB">
        <w:rPr>
          <w:rFonts w:ascii="Arial" w:hAnsi="Arial" w:cs="Arial"/>
          <w:sz w:val="20"/>
          <w:szCs w:val="20"/>
        </w:rPr>
        <w:t xml:space="preserve">olicije </w:t>
      </w:r>
      <w:r w:rsidRPr="00A335CB">
        <w:rPr>
          <w:rFonts w:ascii="Arial" w:hAnsi="Arial" w:cs="Arial"/>
          <w:sz w:val="20"/>
          <w:szCs w:val="20"/>
        </w:rPr>
        <w:t>in med njimi ter z drugimi pristojnimi resornimi ministrstvi in vladnimi službami. Skrbel</w:t>
      </w:r>
      <w:r w:rsidR="00782F91" w:rsidRPr="00A335CB">
        <w:rPr>
          <w:rFonts w:ascii="Arial" w:hAnsi="Arial" w:cs="Arial"/>
          <w:sz w:val="20"/>
          <w:szCs w:val="20"/>
        </w:rPr>
        <w:t>a</w:t>
      </w:r>
      <w:r w:rsidRPr="00A335CB">
        <w:rPr>
          <w:rFonts w:ascii="Arial" w:hAnsi="Arial" w:cs="Arial"/>
          <w:sz w:val="20"/>
          <w:szCs w:val="20"/>
        </w:rPr>
        <w:t xml:space="preserve"> je tudi za pripravo ustreznih gradiv za predstavitev in potrjevanje predlogov stališč po uveljavljenih postopkih na Vladi Republike Slovenije, v Državnem svetu Republike Slovenije in Državnem zboru Republike Slovenije ter za ustrezno predstavitev te</w:t>
      </w:r>
      <w:r w:rsidR="00782F91" w:rsidRPr="00A335CB">
        <w:rPr>
          <w:rFonts w:ascii="Arial" w:hAnsi="Arial" w:cs="Arial"/>
          <w:sz w:val="20"/>
          <w:szCs w:val="20"/>
        </w:rPr>
        <w:t xml:space="preserve">h stališč v delovnih telesih </w:t>
      </w:r>
      <w:r w:rsidRPr="00A335CB">
        <w:rPr>
          <w:rFonts w:ascii="Arial" w:hAnsi="Arial" w:cs="Arial"/>
          <w:sz w:val="20"/>
          <w:szCs w:val="20"/>
        </w:rPr>
        <w:t>institucij</w:t>
      </w:r>
      <w:r w:rsidR="00D85BA3">
        <w:rPr>
          <w:rFonts w:ascii="Arial" w:hAnsi="Arial" w:cs="Arial"/>
          <w:sz w:val="20"/>
          <w:szCs w:val="20"/>
        </w:rPr>
        <w:t xml:space="preserve"> EU</w:t>
      </w:r>
      <w:r w:rsidRPr="00A335CB">
        <w:rPr>
          <w:rFonts w:ascii="Arial" w:hAnsi="Arial" w:cs="Arial"/>
          <w:sz w:val="20"/>
          <w:szCs w:val="20"/>
        </w:rPr>
        <w:t xml:space="preserve"> in v pogovorih najvišjih predstavnikov MNZ in </w:t>
      </w:r>
      <w:r w:rsidR="00D85BA3">
        <w:rPr>
          <w:rFonts w:ascii="Arial" w:hAnsi="Arial" w:cs="Arial"/>
          <w:sz w:val="20"/>
          <w:szCs w:val="20"/>
        </w:rPr>
        <w:t>p</w:t>
      </w:r>
      <w:r w:rsidR="00D85BA3" w:rsidRPr="00A335CB">
        <w:rPr>
          <w:rFonts w:ascii="Arial" w:hAnsi="Arial" w:cs="Arial"/>
          <w:sz w:val="20"/>
          <w:szCs w:val="20"/>
        </w:rPr>
        <w:t xml:space="preserve">olicije </w:t>
      </w:r>
      <w:r w:rsidRPr="00A335CB">
        <w:rPr>
          <w:rFonts w:ascii="Arial" w:hAnsi="Arial" w:cs="Arial"/>
          <w:sz w:val="20"/>
          <w:szCs w:val="20"/>
        </w:rPr>
        <w:t xml:space="preserve">z drugimi </w:t>
      </w:r>
      <w:r w:rsidR="00782F91" w:rsidRPr="00A335CB">
        <w:rPr>
          <w:rFonts w:ascii="Arial" w:hAnsi="Arial" w:cs="Arial"/>
          <w:sz w:val="20"/>
          <w:szCs w:val="20"/>
        </w:rPr>
        <w:t>mednarodnimi predstavniki. SEZMS</w:t>
      </w:r>
      <w:r w:rsidRPr="00A335CB">
        <w:rPr>
          <w:rFonts w:ascii="Arial" w:hAnsi="Arial" w:cs="Arial"/>
          <w:sz w:val="20"/>
          <w:szCs w:val="20"/>
        </w:rPr>
        <w:t xml:space="preserve"> je sodeloval</w:t>
      </w:r>
      <w:r w:rsidR="00782F91" w:rsidRPr="00A335CB">
        <w:rPr>
          <w:rFonts w:ascii="Arial" w:hAnsi="Arial" w:cs="Arial"/>
          <w:sz w:val="20"/>
          <w:szCs w:val="20"/>
        </w:rPr>
        <w:t>a</w:t>
      </w:r>
      <w:r w:rsidRPr="00A335CB">
        <w:rPr>
          <w:rFonts w:ascii="Arial" w:hAnsi="Arial" w:cs="Arial"/>
          <w:sz w:val="20"/>
          <w:szCs w:val="20"/>
        </w:rPr>
        <w:t xml:space="preserve"> s Stalnim predstavništvom Republike Slovenije pri Evropski uniji v Bruslju, usmerjal</w:t>
      </w:r>
      <w:r w:rsidR="00782F91" w:rsidRPr="00A335CB">
        <w:rPr>
          <w:rFonts w:ascii="Arial" w:hAnsi="Arial" w:cs="Arial"/>
          <w:sz w:val="20"/>
          <w:szCs w:val="20"/>
        </w:rPr>
        <w:t>a</w:t>
      </w:r>
      <w:r w:rsidRPr="00A335CB">
        <w:rPr>
          <w:rFonts w:ascii="Arial" w:hAnsi="Arial" w:cs="Arial"/>
          <w:sz w:val="20"/>
          <w:szCs w:val="20"/>
        </w:rPr>
        <w:t xml:space="preserve"> njihove aktivnosti in zagotavljal</w:t>
      </w:r>
      <w:r w:rsidR="00782F91" w:rsidRPr="00A335CB">
        <w:rPr>
          <w:rFonts w:ascii="Arial" w:hAnsi="Arial" w:cs="Arial"/>
          <w:sz w:val="20"/>
          <w:szCs w:val="20"/>
        </w:rPr>
        <w:t>a</w:t>
      </w:r>
      <w:r w:rsidRPr="00A335CB">
        <w:rPr>
          <w:rFonts w:ascii="Arial" w:hAnsi="Arial" w:cs="Arial"/>
          <w:sz w:val="20"/>
          <w:szCs w:val="20"/>
        </w:rPr>
        <w:t xml:space="preserve"> možnosti za njihovo delo, vključno s pripravo vsebinskih navodil in stališč, potrebnih za udeležbo na zasedanjih </w:t>
      </w:r>
      <w:proofErr w:type="spellStart"/>
      <w:r w:rsidRPr="00A335CB">
        <w:rPr>
          <w:rFonts w:ascii="Arial" w:hAnsi="Arial" w:cs="Arial"/>
          <w:sz w:val="20"/>
          <w:szCs w:val="20"/>
        </w:rPr>
        <w:t>Coreper</w:t>
      </w:r>
      <w:proofErr w:type="spellEnd"/>
      <w:r w:rsidRPr="00A335CB">
        <w:rPr>
          <w:rFonts w:ascii="Arial" w:hAnsi="Arial" w:cs="Arial"/>
          <w:sz w:val="20"/>
          <w:szCs w:val="20"/>
        </w:rPr>
        <w:t>.</w:t>
      </w:r>
    </w:p>
    <w:p w14:paraId="6A41417A" w14:textId="77777777" w:rsidR="00DA7739" w:rsidRPr="00A335CB" w:rsidRDefault="00DA7739" w:rsidP="00DA7739">
      <w:pPr>
        <w:spacing w:after="0" w:line="276" w:lineRule="auto"/>
        <w:jc w:val="both"/>
        <w:rPr>
          <w:rFonts w:ascii="Arial" w:hAnsi="Arial" w:cs="Arial"/>
          <w:sz w:val="20"/>
          <w:szCs w:val="20"/>
        </w:rPr>
      </w:pPr>
    </w:p>
    <w:p w14:paraId="7A23B2EB" w14:textId="471AA665" w:rsidR="008D3F61" w:rsidRPr="00A335CB" w:rsidRDefault="00782F91" w:rsidP="00DA7739">
      <w:pPr>
        <w:spacing w:after="0" w:line="276" w:lineRule="auto"/>
        <w:jc w:val="both"/>
        <w:rPr>
          <w:rFonts w:ascii="Arial" w:hAnsi="Arial" w:cs="Arial"/>
          <w:sz w:val="20"/>
          <w:szCs w:val="20"/>
        </w:rPr>
      </w:pPr>
      <w:r w:rsidRPr="00A335CB">
        <w:rPr>
          <w:rFonts w:ascii="Arial" w:hAnsi="Arial" w:cs="Arial"/>
          <w:sz w:val="20"/>
          <w:szCs w:val="20"/>
        </w:rPr>
        <w:t xml:space="preserve">V letu 2024 so bile izvedene </w:t>
      </w:r>
      <w:r w:rsidR="008D3F61" w:rsidRPr="00A335CB">
        <w:rPr>
          <w:rFonts w:ascii="Arial" w:hAnsi="Arial" w:cs="Arial"/>
          <w:sz w:val="20"/>
          <w:szCs w:val="20"/>
        </w:rPr>
        <w:t>tudi vse potrebne aktivnosti za skupno šest zasedanj Sveta za pravosodje in notranje zadeve. V prvi polovici leta, v času belgijskega predsedovanja Svetu EU, so bila izvedena tri zasedanja (en</w:t>
      </w:r>
      <w:r w:rsidR="00D85BA3">
        <w:rPr>
          <w:rFonts w:ascii="Arial" w:hAnsi="Arial" w:cs="Arial"/>
          <w:sz w:val="20"/>
          <w:szCs w:val="20"/>
        </w:rPr>
        <w:t>o</w:t>
      </w:r>
      <w:r w:rsidR="008D3F61" w:rsidRPr="00A335CB">
        <w:rPr>
          <w:rFonts w:ascii="Arial" w:hAnsi="Arial" w:cs="Arial"/>
          <w:sz w:val="20"/>
          <w:szCs w:val="20"/>
        </w:rPr>
        <w:t xml:space="preserve"> </w:t>
      </w:r>
      <w:r w:rsidR="00D85BA3" w:rsidRPr="00A335CB">
        <w:rPr>
          <w:rFonts w:ascii="Arial" w:hAnsi="Arial" w:cs="Arial"/>
          <w:sz w:val="20"/>
          <w:szCs w:val="20"/>
        </w:rPr>
        <w:t>neformaln</w:t>
      </w:r>
      <w:r w:rsidR="00D85BA3">
        <w:rPr>
          <w:rFonts w:ascii="Arial" w:hAnsi="Arial" w:cs="Arial"/>
          <w:sz w:val="20"/>
          <w:szCs w:val="20"/>
        </w:rPr>
        <w:t>o</w:t>
      </w:r>
      <w:r w:rsidR="00D85BA3" w:rsidRPr="00A335CB">
        <w:rPr>
          <w:rFonts w:ascii="Arial" w:hAnsi="Arial" w:cs="Arial"/>
          <w:sz w:val="20"/>
          <w:szCs w:val="20"/>
        </w:rPr>
        <w:t xml:space="preserve"> </w:t>
      </w:r>
      <w:r w:rsidR="008D3F61" w:rsidRPr="00A335CB">
        <w:rPr>
          <w:rFonts w:ascii="Arial" w:hAnsi="Arial" w:cs="Arial"/>
          <w:sz w:val="20"/>
          <w:szCs w:val="20"/>
        </w:rPr>
        <w:t xml:space="preserve">in </w:t>
      </w:r>
      <w:r w:rsidR="00D85BA3" w:rsidRPr="00A335CB">
        <w:rPr>
          <w:rFonts w:ascii="Arial" w:hAnsi="Arial" w:cs="Arial"/>
          <w:sz w:val="20"/>
          <w:szCs w:val="20"/>
        </w:rPr>
        <w:t>dv</w:t>
      </w:r>
      <w:r w:rsidR="00D85BA3">
        <w:rPr>
          <w:rFonts w:ascii="Arial" w:hAnsi="Arial" w:cs="Arial"/>
          <w:sz w:val="20"/>
          <w:szCs w:val="20"/>
        </w:rPr>
        <w:t>e</w:t>
      </w:r>
      <w:r w:rsidR="00D85BA3" w:rsidRPr="00A335CB">
        <w:rPr>
          <w:rFonts w:ascii="Arial" w:hAnsi="Arial" w:cs="Arial"/>
          <w:sz w:val="20"/>
          <w:szCs w:val="20"/>
        </w:rPr>
        <w:t xml:space="preserve"> redn</w:t>
      </w:r>
      <w:r w:rsidR="00D85BA3">
        <w:rPr>
          <w:rFonts w:ascii="Arial" w:hAnsi="Arial" w:cs="Arial"/>
          <w:sz w:val="20"/>
          <w:szCs w:val="20"/>
        </w:rPr>
        <w:t>i</w:t>
      </w:r>
      <w:r w:rsidR="008D3F61" w:rsidRPr="00A335CB">
        <w:rPr>
          <w:rFonts w:ascii="Arial" w:hAnsi="Arial" w:cs="Arial"/>
          <w:sz w:val="20"/>
          <w:szCs w:val="20"/>
        </w:rPr>
        <w:t>), v drugi polovici leta, v času madžarskega predsedovanja Svetu EU, pa prav tako tri zasedanja (en</w:t>
      </w:r>
      <w:r w:rsidR="00D85BA3">
        <w:rPr>
          <w:rFonts w:ascii="Arial" w:hAnsi="Arial" w:cs="Arial"/>
          <w:sz w:val="20"/>
          <w:szCs w:val="20"/>
        </w:rPr>
        <w:t>o</w:t>
      </w:r>
      <w:r w:rsidR="008D3F61" w:rsidRPr="00A335CB">
        <w:rPr>
          <w:rFonts w:ascii="Arial" w:hAnsi="Arial" w:cs="Arial"/>
          <w:sz w:val="20"/>
          <w:szCs w:val="20"/>
        </w:rPr>
        <w:t xml:space="preserve"> </w:t>
      </w:r>
      <w:r w:rsidR="00D85BA3" w:rsidRPr="00A335CB">
        <w:rPr>
          <w:rFonts w:ascii="Arial" w:hAnsi="Arial" w:cs="Arial"/>
          <w:sz w:val="20"/>
          <w:szCs w:val="20"/>
        </w:rPr>
        <w:t>neformaln</w:t>
      </w:r>
      <w:r w:rsidR="00D85BA3">
        <w:rPr>
          <w:rFonts w:ascii="Arial" w:hAnsi="Arial" w:cs="Arial"/>
          <w:sz w:val="20"/>
          <w:szCs w:val="20"/>
        </w:rPr>
        <w:t>o</w:t>
      </w:r>
      <w:r w:rsidR="00D85BA3" w:rsidRPr="00A335CB">
        <w:rPr>
          <w:rFonts w:ascii="Arial" w:hAnsi="Arial" w:cs="Arial"/>
          <w:sz w:val="20"/>
          <w:szCs w:val="20"/>
        </w:rPr>
        <w:t xml:space="preserve"> </w:t>
      </w:r>
      <w:r w:rsidR="008D3F61" w:rsidRPr="00A335CB">
        <w:rPr>
          <w:rFonts w:ascii="Arial" w:hAnsi="Arial" w:cs="Arial"/>
          <w:sz w:val="20"/>
          <w:szCs w:val="20"/>
        </w:rPr>
        <w:t xml:space="preserve">in </w:t>
      </w:r>
      <w:r w:rsidR="00D85BA3" w:rsidRPr="00A335CB">
        <w:rPr>
          <w:rFonts w:ascii="Arial" w:hAnsi="Arial" w:cs="Arial"/>
          <w:sz w:val="20"/>
          <w:szCs w:val="20"/>
        </w:rPr>
        <w:t>dv</w:t>
      </w:r>
      <w:r w:rsidR="00D85BA3">
        <w:rPr>
          <w:rFonts w:ascii="Arial" w:hAnsi="Arial" w:cs="Arial"/>
          <w:sz w:val="20"/>
          <w:szCs w:val="20"/>
        </w:rPr>
        <w:t>e</w:t>
      </w:r>
      <w:r w:rsidR="00D85BA3" w:rsidRPr="00A335CB">
        <w:rPr>
          <w:rFonts w:ascii="Arial" w:hAnsi="Arial" w:cs="Arial"/>
          <w:sz w:val="20"/>
          <w:szCs w:val="20"/>
        </w:rPr>
        <w:t xml:space="preserve"> redn</w:t>
      </w:r>
      <w:r w:rsidR="00D85BA3">
        <w:rPr>
          <w:rFonts w:ascii="Arial" w:hAnsi="Arial" w:cs="Arial"/>
          <w:sz w:val="20"/>
          <w:szCs w:val="20"/>
        </w:rPr>
        <w:t>i</w:t>
      </w:r>
      <w:r w:rsidR="008D3F61" w:rsidRPr="00A335CB">
        <w:rPr>
          <w:rFonts w:ascii="Arial" w:hAnsi="Arial" w:cs="Arial"/>
          <w:sz w:val="20"/>
          <w:szCs w:val="20"/>
        </w:rPr>
        <w:t xml:space="preserve">). Na vseh zasedanjih so sodelovale delegacije MNZ. Med glavnimi temami je bila potrditev in implementacija Pakta o migracijah in azilu, kjer je Slovenija podpirala celostno in harmonizirano izvajanje novih pravil. Slovenija se je zavzemala za okrepljeno politično upravljanje </w:t>
      </w:r>
      <w:proofErr w:type="spellStart"/>
      <w:r w:rsidR="008D3F61" w:rsidRPr="00A335CB">
        <w:rPr>
          <w:rFonts w:ascii="Arial" w:hAnsi="Arial" w:cs="Arial"/>
          <w:sz w:val="20"/>
          <w:szCs w:val="20"/>
        </w:rPr>
        <w:t>schengna</w:t>
      </w:r>
      <w:proofErr w:type="spellEnd"/>
      <w:r w:rsidR="008D3F61" w:rsidRPr="00A335CB">
        <w:rPr>
          <w:rFonts w:ascii="Arial" w:hAnsi="Arial" w:cs="Arial"/>
          <w:sz w:val="20"/>
          <w:szCs w:val="20"/>
        </w:rPr>
        <w:t>, ki se odraža v rednih zasedanjih schengenskega Sveta, ter kontinuiran pregled stanja v schengenskem območju</w:t>
      </w:r>
      <w:r w:rsidR="00A23986" w:rsidRPr="00A335CB">
        <w:rPr>
          <w:rFonts w:ascii="Arial" w:hAnsi="Arial" w:cs="Arial"/>
          <w:sz w:val="20"/>
          <w:szCs w:val="20"/>
        </w:rPr>
        <w:t>,</w:t>
      </w:r>
      <w:r w:rsidR="008D3F61" w:rsidRPr="00A335CB">
        <w:rPr>
          <w:rFonts w:ascii="Arial" w:hAnsi="Arial" w:cs="Arial"/>
          <w:sz w:val="20"/>
          <w:szCs w:val="20"/>
        </w:rPr>
        <w:t xml:space="preserve"> saj to lahko prispeva k ponovni izgradnji zaupanja med državami članicami in posledično čimprejšnji vrnitvi k polno delujočemu schengenskem</w:t>
      </w:r>
      <w:r w:rsidR="00A23986" w:rsidRPr="00A335CB">
        <w:rPr>
          <w:rFonts w:ascii="Arial" w:hAnsi="Arial" w:cs="Arial"/>
          <w:sz w:val="20"/>
          <w:szCs w:val="20"/>
        </w:rPr>
        <w:t>u območju. Med letom</w:t>
      </w:r>
      <w:r w:rsidR="008D3F61" w:rsidRPr="00A335CB">
        <w:rPr>
          <w:rFonts w:ascii="Arial" w:hAnsi="Arial" w:cs="Arial"/>
          <w:sz w:val="20"/>
          <w:szCs w:val="20"/>
        </w:rPr>
        <w:t xml:space="preserve"> 2024 so bili izpolnjeni vsi pogoji, da sta Bolga</w:t>
      </w:r>
      <w:r w:rsidR="00A23986" w:rsidRPr="00A335CB">
        <w:rPr>
          <w:rFonts w:ascii="Arial" w:hAnsi="Arial" w:cs="Arial"/>
          <w:sz w:val="20"/>
          <w:szCs w:val="20"/>
        </w:rPr>
        <w:t>rija in Romunija 1. 1.</w:t>
      </w:r>
      <w:r w:rsidR="008D3F61" w:rsidRPr="00A335CB">
        <w:rPr>
          <w:rFonts w:ascii="Arial" w:hAnsi="Arial" w:cs="Arial"/>
          <w:sz w:val="20"/>
          <w:szCs w:val="20"/>
        </w:rPr>
        <w:t xml:space="preserve"> 2025 postali polnopravni članici schengenskega območja, za kar se je Slovenija dalj časa tudi odločno zavzemala. Pri nudenju začasne zaščite razseljenim osebam iz Ukrajine je Slovenija podpirala nadaljnje nudenje začasne zaščite razseljenim osebam iz Ukrajine in razprave o izhodnih strategijah. V boju proti organiziranemu kriminalu in tihotapstvu z drogo je Slovenija pozdravila vzpostavitev Zavezništva evropskih pristanišč in </w:t>
      </w:r>
      <w:r w:rsidR="00721952" w:rsidRPr="00A335CB">
        <w:rPr>
          <w:rFonts w:ascii="Arial" w:hAnsi="Arial" w:cs="Arial"/>
          <w:sz w:val="20"/>
          <w:szCs w:val="20"/>
        </w:rPr>
        <w:t>spreje</w:t>
      </w:r>
      <w:r w:rsidR="00721952">
        <w:rPr>
          <w:rFonts w:ascii="Arial" w:hAnsi="Arial" w:cs="Arial"/>
          <w:sz w:val="20"/>
          <w:szCs w:val="20"/>
        </w:rPr>
        <w:t>tje</w:t>
      </w:r>
      <w:r w:rsidR="00721952" w:rsidRPr="00A335CB">
        <w:rPr>
          <w:rFonts w:ascii="Arial" w:hAnsi="Arial" w:cs="Arial"/>
          <w:sz w:val="20"/>
          <w:szCs w:val="20"/>
        </w:rPr>
        <w:t xml:space="preserve"> </w:t>
      </w:r>
      <w:r w:rsidR="008D3F61" w:rsidRPr="00A335CB">
        <w:rPr>
          <w:rFonts w:ascii="Arial" w:hAnsi="Arial" w:cs="Arial"/>
          <w:sz w:val="20"/>
          <w:szCs w:val="20"/>
        </w:rPr>
        <w:t xml:space="preserve">skupnih ukrepov proti korupciji in infiltraciji kriminalnih združb v pristaniščih. Zavzemala se je za krepitev izmenjave strateških in operativnih informacij ter dobrih praks med člani zavezništva. Na vsakem zasedanju Sveta je potekalo tudi spremljanje napredka glede </w:t>
      </w:r>
      <w:r w:rsidR="00D85BA3">
        <w:rPr>
          <w:rFonts w:ascii="Arial" w:hAnsi="Arial" w:cs="Arial"/>
          <w:sz w:val="20"/>
          <w:szCs w:val="20"/>
        </w:rPr>
        <w:t>uveljavitve</w:t>
      </w:r>
      <w:r w:rsidR="00D85BA3" w:rsidRPr="00A335CB">
        <w:rPr>
          <w:rFonts w:ascii="Arial" w:hAnsi="Arial" w:cs="Arial"/>
          <w:sz w:val="20"/>
          <w:szCs w:val="20"/>
        </w:rPr>
        <w:t xml:space="preserve"> </w:t>
      </w:r>
      <w:proofErr w:type="spellStart"/>
      <w:r w:rsidR="008D3F61" w:rsidRPr="00A335CB">
        <w:rPr>
          <w:rFonts w:ascii="Arial" w:hAnsi="Arial" w:cs="Arial"/>
          <w:sz w:val="20"/>
          <w:szCs w:val="20"/>
        </w:rPr>
        <w:t>interoperabilnosti</w:t>
      </w:r>
      <w:proofErr w:type="spellEnd"/>
      <w:r w:rsidR="008D3F61" w:rsidRPr="00A335CB">
        <w:rPr>
          <w:rFonts w:ascii="Arial" w:hAnsi="Arial" w:cs="Arial"/>
          <w:sz w:val="20"/>
          <w:szCs w:val="20"/>
        </w:rPr>
        <w:t xml:space="preserve">. Slovenija se je ves čas zavzemala za čimprejšnji zagon sistema za vstop in izstop v vseh državah članicah ter za začetek delovanja </w:t>
      </w:r>
      <w:proofErr w:type="spellStart"/>
      <w:r w:rsidR="008D3F61" w:rsidRPr="00A335CB">
        <w:rPr>
          <w:rFonts w:ascii="Arial" w:hAnsi="Arial" w:cs="Arial"/>
          <w:sz w:val="20"/>
          <w:szCs w:val="20"/>
        </w:rPr>
        <w:t>interoperabilnosti</w:t>
      </w:r>
      <w:proofErr w:type="spellEnd"/>
      <w:r w:rsidR="008D3F61" w:rsidRPr="00A335CB">
        <w:rPr>
          <w:rFonts w:ascii="Arial" w:hAnsi="Arial" w:cs="Arial"/>
          <w:sz w:val="20"/>
          <w:szCs w:val="20"/>
        </w:rPr>
        <w:t xml:space="preserve">. Pomembna tema je bila tudi vpliv zunanjih konfliktov na notranjo varnost in migracije. Slovenija se je zavzemala za spremljanje stanja ter za sodelovanje med državami članicami na področju izmenjave informacij, upravljanja meja, reforme varnostnega sistema in </w:t>
      </w:r>
      <w:r w:rsidR="00D85BA3" w:rsidRPr="00A335CB">
        <w:rPr>
          <w:rFonts w:ascii="Arial" w:hAnsi="Arial" w:cs="Arial"/>
          <w:sz w:val="20"/>
          <w:szCs w:val="20"/>
        </w:rPr>
        <w:t>podpor</w:t>
      </w:r>
      <w:r w:rsidR="00D85BA3">
        <w:rPr>
          <w:rFonts w:ascii="Arial" w:hAnsi="Arial" w:cs="Arial"/>
          <w:sz w:val="20"/>
          <w:szCs w:val="20"/>
        </w:rPr>
        <w:t>o</w:t>
      </w:r>
      <w:r w:rsidR="00D85BA3" w:rsidRPr="00A335CB">
        <w:rPr>
          <w:rFonts w:ascii="Arial" w:hAnsi="Arial" w:cs="Arial"/>
          <w:sz w:val="20"/>
          <w:szCs w:val="20"/>
        </w:rPr>
        <w:t xml:space="preserve"> </w:t>
      </w:r>
      <w:r w:rsidR="008D3F61" w:rsidRPr="00A335CB">
        <w:rPr>
          <w:rFonts w:ascii="Arial" w:hAnsi="Arial" w:cs="Arial"/>
          <w:sz w:val="20"/>
          <w:szCs w:val="20"/>
        </w:rPr>
        <w:t>pri izgradnji kapacitet v boju proti korupciji, hibridnim grožnjam in kibernetskim napado</w:t>
      </w:r>
      <w:r w:rsidR="0079347D" w:rsidRPr="00A335CB">
        <w:rPr>
          <w:rFonts w:ascii="Arial" w:hAnsi="Arial" w:cs="Arial"/>
          <w:sz w:val="20"/>
          <w:szCs w:val="20"/>
        </w:rPr>
        <w:t>m. Na področju zunanje dimenzije</w:t>
      </w:r>
      <w:r w:rsidR="008D3F61" w:rsidRPr="00A335CB">
        <w:rPr>
          <w:rFonts w:ascii="Arial" w:hAnsi="Arial" w:cs="Arial"/>
          <w:sz w:val="20"/>
          <w:szCs w:val="20"/>
        </w:rPr>
        <w:t xml:space="preserve"> migracij je Slovenija podpirala oblikovanje celovitih partnerstev, ki naj sledijo pristopu po meri, spodbujala </w:t>
      </w:r>
      <w:r w:rsidR="00D85BA3">
        <w:rPr>
          <w:rFonts w:ascii="Arial" w:hAnsi="Arial" w:cs="Arial"/>
          <w:sz w:val="20"/>
          <w:szCs w:val="20"/>
        </w:rPr>
        <w:t xml:space="preserve">je </w:t>
      </w:r>
      <w:r w:rsidR="008D3F61" w:rsidRPr="00A335CB">
        <w:rPr>
          <w:rFonts w:ascii="Arial" w:hAnsi="Arial" w:cs="Arial"/>
          <w:sz w:val="20"/>
          <w:szCs w:val="20"/>
        </w:rPr>
        <w:t xml:space="preserve">sodelovanje partnerskih držav k sodelovanju s </w:t>
      </w:r>
      <w:proofErr w:type="spellStart"/>
      <w:r w:rsidR="008D3F61" w:rsidRPr="00A335CB">
        <w:rPr>
          <w:rFonts w:ascii="Arial" w:hAnsi="Arial" w:cs="Arial"/>
          <w:sz w:val="20"/>
          <w:szCs w:val="20"/>
        </w:rPr>
        <w:t>Frontexom</w:t>
      </w:r>
      <w:proofErr w:type="spellEnd"/>
      <w:r w:rsidR="008D3F61" w:rsidRPr="00A335CB">
        <w:rPr>
          <w:rFonts w:ascii="Arial" w:hAnsi="Arial" w:cs="Arial"/>
          <w:sz w:val="20"/>
          <w:szCs w:val="20"/>
        </w:rPr>
        <w:t xml:space="preserve">, Agencijo Evropske unije za azil in Europolom ter se zavzemala za krepitev aktivnosti v boju proti tihotapljenju migrantov, predvsem vzdolž celotne zahodno-balkanske migracijske poti in v sodelovanju s partnerji v regiji. V povezavi z vračanjem je Slovenija podpirala nadaljevanje dela na prenovitvi zakonodaje na tem področju, bolj strateško rabo vizumske politike EU ter krepitev mandata agencije </w:t>
      </w:r>
      <w:proofErr w:type="spellStart"/>
      <w:r w:rsidR="008D3F61" w:rsidRPr="00A335CB">
        <w:rPr>
          <w:rFonts w:ascii="Arial" w:hAnsi="Arial" w:cs="Arial"/>
          <w:sz w:val="20"/>
          <w:szCs w:val="20"/>
        </w:rPr>
        <w:t>Frontex</w:t>
      </w:r>
      <w:proofErr w:type="spellEnd"/>
      <w:r w:rsidR="008D3F61" w:rsidRPr="00A335CB">
        <w:rPr>
          <w:rFonts w:ascii="Arial" w:hAnsi="Arial" w:cs="Arial"/>
          <w:sz w:val="20"/>
          <w:szCs w:val="20"/>
        </w:rPr>
        <w:t xml:space="preserve"> na področju vračanja, da bi ta lahko tretjim državam – vključno partnerjem na Zahodnem Balkanu – pomagala tudi pri sami operativni izvedbi vračanja v izvorne države. </w:t>
      </w:r>
    </w:p>
    <w:p w14:paraId="51759309" w14:textId="77777777" w:rsidR="00DA7739" w:rsidRPr="00A335CB" w:rsidRDefault="00DA7739" w:rsidP="00DA7739">
      <w:pPr>
        <w:spacing w:after="0" w:line="276" w:lineRule="auto"/>
        <w:jc w:val="both"/>
        <w:rPr>
          <w:rFonts w:ascii="Arial" w:hAnsi="Arial" w:cs="Arial"/>
          <w:sz w:val="20"/>
          <w:szCs w:val="20"/>
        </w:rPr>
      </w:pPr>
    </w:p>
    <w:p w14:paraId="4693CFF7" w14:textId="6DAF243E"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Področje migracij in s tem povezane vsebine so v letu 2024 najbolj zaznamovala pogajanja o zakonodajnih predlogih v okviru Pakta o migracijah in azilu, saj je bila želja zaključiti pogajanja še pred koncem medinstitucionalnega obdobja oziroma pred evropskimi volitvami.</w:t>
      </w:r>
    </w:p>
    <w:p w14:paraId="730E61DF" w14:textId="77777777" w:rsidR="00DA7739" w:rsidRPr="00A335CB" w:rsidRDefault="00DA7739" w:rsidP="00DA7739">
      <w:pPr>
        <w:spacing w:after="0" w:line="276" w:lineRule="auto"/>
        <w:jc w:val="both"/>
        <w:rPr>
          <w:rFonts w:ascii="Arial" w:hAnsi="Arial" w:cs="Arial"/>
          <w:sz w:val="20"/>
          <w:szCs w:val="20"/>
        </w:rPr>
      </w:pPr>
    </w:p>
    <w:p w14:paraId="2F9E1478" w14:textId="6E5AD335" w:rsidR="008D3F61" w:rsidRPr="00A335CB" w:rsidRDefault="008D3F61" w:rsidP="005D1A90">
      <w:pPr>
        <w:spacing w:after="0" w:line="276" w:lineRule="auto"/>
        <w:jc w:val="both"/>
        <w:rPr>
          <w:rFonts w:ascii="Arial" w:hAnsi="Arial" w:cs="Arial"/>
          <w:sz w:val="20"/>
          <w:szCs w:val="20"/>
        </w:rPr>
      </w:pPr>
      <w:r w:rsidRPr="00A335CB">
        <w:rPr>
          <w:rFonts w:ascii="Arial" w:hAnsi="Arial" w:cs="Arial"/>
          <w:sz w:val="20"/>
          <w:szCs w:val="20"/>
        </w:rPr>
        <w:t xml:space="preserve">Velik napredek </w:t>
      </w:r>
      <w:r w:rsidR="0079347D" w:rsidRPr="00A335CB">
        <w:rPr>
          <w:rFonts w:ascii="Arial" w:hAnsi="Arial" w:cs="Arial"/>
          <w:sz w:val="20"/>
          <w:szCs w:val="20"/>
        </w:rPr>
        <w:t xml:space="preserve">je bil dosežen </w:t>
      </w:r>
      <w:r w:rsidRPr="00A335CB">
        <w:rPr>
          <w:rFonts w:ascii="Arial" w:hAnsi="Arial" w:cs="Arial"/>
          <w:sz w:val="20"/>
          <w:szCs w:val="20"/>
        </w:rPr>
        <w:t>tudi na področju boja proti terorizmu, ekstremnem nasilju in rad</w:t>
      </w:r>
      <w:r w:rsidR="0079347D" w:rsidRPr="00A335CB">
        <w:rPr>
          <w:rFonts w:ascii="Arial" w:hAnsi="Arial" w:cs="Arial"/>
          <w:sz w:val="20"/>
          <w:szCs w:val="20"/>
        </w:rPr>
        <w:t>ikalizaciji, kjer je MNZ</w:t>
      </w:r>
      <w:r w:rsidRPr="00A335CB">
        <w:rPr>
          <w:rFonts w:ascii="Arial" w:hAnsi="Arial" w:cs="Arial"/>
          <w:sz w:val="20"/>
          <w:szCs w:val="20"/>
        </w:rPr>
        <w:t xml:space="preserve"> sodelovalo na vseh ravneh dogodkov </w:t>
      </w:r>
      <w:r w:rsidR="0079347D" w:rsidRPr="00A335CB">
        <w:rPr>
          <w:rFonts w:ascii="Arial" w:hAnsi="Arial" w:cs="Arial"/>
          <w:sz w:val="20"/>
          <w:szCs w:val="20"/>
        </w:rPr>
        <w:t>Internetnega foruma</w:t>
      </w:r>
      <w:r w:rsidR="00D85BA3">
        <w:rPr>
          <w:rFonts w:ascii="Arial" w:hAnsi="Arial" w:cs="Arial"/>
          <w:sz w:val="20"/>
          <w:szCs w:val="20"/>
        </w:rPr>
        <w:t xml:space="preserve"> EU</w:t>
      </w:r>
      <w:r w:rsidR="0079347D" w:rsidRPr="00A335CB">
        <w:rPr>
          <w:rFonts w:ascii="Arial" w:hAnsi="Arial" w:cs="Arial"/>
          <w:sz w:val="20"/>
          <w:szCs w:val="20"/>
        </w:rPr>
        <w:t>. MNZ</w:t>
      </w:r>
      <w:r w:rsidRPr="00A335CB">
        <w:rPr>
          <w:rFonts w:ascii="Arial" w:hAnsi="Arial" w:cs="Arial"/>
          <w:sz w:val="20"/>
          <w:szCs w:val="20"/>
        </w:rPr>
        <w:t xml:space="preserve"> je aktivno sodeloval</w:t>
      </w:r>
      <w:r w:rsidR="0079347D" w:rsidRPr="00A335CB">
        <w:rPr>
          <w:rFonts w:ascii="Arial" w:hAnsi="Arial" w:cs="Arial"/>
          <w:sz w:val="20"/>
          <w:szCs w:val="20"/>
        </w:rPr>
        <w:t>o</w:t>
      </w:r>
      <w:r w:rsidRPr="00A335CB">
        <w:rPr>
          <w:rFonts w:ascii="Arial" w:hAnsi="Arial" w:cs="Arial"/>
          <w:sz w:val="20"/>
          <w:szCs w:val="20"/>
        </w:rPr>
        <w:t xml:space="preserve"> pri pripravi Zakona o izvajanju Uredbe (EU) o obravnavanju razširjanja terorističnih spletnih vsebin (ZIUORTSV), ki je v </w:t>
      </w:r>
      <w:r w:rsidR="00D85BA3">
        <w:rPr>
          <w:rFonts w:ascii="Arial" w:hAnsi="Arial" w:cs="Arial"/>
          <w:sz w:val="20"/>
          <w:szCs w:val="20"/>
        </w:rPr>
        <w:t>državno</w:t>
      </w:r>
      <w:r w:rsidR="00D85BA3" w:rsidRPr="00A335CB">
        <w:rPr>
          <w:rFonts w:ascii="Arial" w:hAnsi="Arial" w:cs="Arial"/>
          <w:sz w:val="20"/>
          <w:szCs w:val="20"/>
        </w:rPr>
        <w:t xml:space="preserve"> </w:t>
      </w:r>
      <w:r w:rsidRPr="00A335CB">
        <w:rPr>
          <w:rFonts w:ascii="Arial" w:hAnsi="Arial" w:cs="Arial"/>
          <w:sz w:val="20"/>
          <w:szCs w:val="20"/>
        </w:rPr>
        <w:t>zakonodajo prenesel o</w:t>
      </w:r>
      <w:r w:rsidR="0079347D" w:rsidRPr="00A335CB">
        <w:rPr>
          <w:rFonts w:ascii="Arial" w:hAnsi="Arial" w:cs="Arial"/>
          <w:sz w:val="20"/>
          <w:szCs w:val="20"/>
        </w:rPr>
        <w:t>menjeno direktivo. Prav tako je MNZ</w:t>
      </w:r>
      <w:r w:rsidRPr="00A335CB">
        <w:rPr>
          <w:rFonts w:ascii="Arial" w:hAnsi="Arial" w:cs="Arial"/>
          <w:sz w:val="20"/>
          <w:szCs w:val="20"/>
        </w:rPr>
        <w:t xml:space="preserve"> v sodelovanju s prist</w:t>
      </w:r>
      <w:r w:rsidR="0079347D" w:rsidRPr="00A335CB">
        <w:rPr>
          <w:rFonts w:ascii="Arial" w:hAnsi="Arial" w:cs="Arial"/>
          <w:sz w:val="20"/>
          <w:szCs w:val="20"/>
        </w:rPr>
        <w:t>ojnim in drugimi resorji začelo</w:t>
      </w:r>
      <w:r w:rsidRPr="00A335CB">
        <w:rPr>
          <w:rFonts w:ascii="Arial" w:hAnsi="Arial" w:cs="Arial"/>
          <w:sz w:val="20"/>
          <w:szCs w:val="20"/>
        </w:rPr>
        <w:t xml:space="preserve"> preliminarne priprave izvedbe nadzornega obiska Izvršnega direktorata za boj proti terorizmu (CTED) Varnostnega sveta Združenih narodov.</w:t>
      </w:r>
    </w:p>
    <w:p w14:paraId="5E83FBFC" w14:textId="77777777" w:rsidR="008D3F61" w:rsidRPr="00A335CB" w:rsidRDefault="008D3F61" w:rsidP="005D1A90">
      <w:pPr>
        <w:spacing w:after="0" w:line="276" w:lineRule="auto"/>
        <w:jc w:val="both"/>
        <w:rPr>
          <w:rFonts w:ascii="Arial" w:hAnsi="Arial" w:cs="Arial"/>
          <w:sz w:val="20"/>
          <w:szCs w:val="20"/>
        </w:rPr>
      </w:pPr>
    </w:p>
    <w:p w14:paraId="0866DBD3" w14:textId="5C362DC0" w:rsidR="008D3F61" w:rsidRPr="00A335CB" w:rsidRDefault="0079347D" w:rsidP="005D1A90">
      <w:pPr>
        <w:spacing w:after="0" w:line="276" w:lineRule="auto"/>
        <w:jc w:val="both"/>
        <w:rPr>
          <w:rFonts w:ascii="Arial" w:hAnsi="Arial" w:cs="Arial"/>
          <w:sz w:val="20"/>
          <w:szCs w:val="20"/>
        </w:rPr>
      </w:pPr>
      <w:r w:rsidRPr="00A335CB">
        <w:rPr>
          <w:rFonts w:ascii="Arial" w:hAnsi="Arial" w:cs="Arial"/>
          <w:sz w:val="20"/>
          <w:szCs w:val="20"/>
        </w:rPr>
        <w:t>MNZ</w:t>
      </w:r>
      <w:r w:rsidR="008D3F61" w:rsidRPr="00A335CB">
        <w:rPr>
          <w:rFonts w:ascii="Arial" w:hAnsi="Arial" w:cs="Arial"/>
          <w:sz w:val="20"/>
          <w:szCs w:val="20"/>
        </w:rPr>
        <w:t xml:space="preserve"> je v letu 2024 aktivno sodeloval</w:t>
      </w:r>
      <w:r w:rsidRPr="00A335CB">
        <w:rPr>
          <w:rFonts w:ascii="Arial" w:hAnsi="Arial" w:cs="Arial"/>
          <w:sz w:val="20"/>
          <w:szCs w:val="20"/>
        </w:rPr>
        <w:t>o</w:t>
      </w:r>
      <w:r w:rsidR="008D3F61" w:rsidRPr="00A335CB">
        <w:rPr>
          <w:rFonts w:ascii="Arial" w:hAnsi="Arial" w:cs="Arial"/>
          <w:sz w:val="20"/>
          <w:szCs w:val="20"/>
        </w:rPr>
        <w:t xml:space="preserve"> pri pogajanjih v okviru Sveta EU o zakonodajnih aktih, ki se nanašajo na področje policijske</w:t>
      </w:r>
      <w:r w:rsidRPr="00A335CB">
        <w:rPr>
          <w:rFonts w:ascii="Arial" w:hAnsi="Arial" w:cs="Arial"/>
          <w:sz w:val="20"/>
          <w:szCs w:val="20"/>
        </w:rPr>
        <w:t>ga sodelovanja. Aktivnosti so bile osredotočene</w:t>
      </w:r>
      <w:r w:rsidR="008D3F61" w:rsidRPr="00A335CB">
        <w:rPr>
          <w:rFonts w:ascii="Arial" w:hAnsi="Arial" w:cs="Arial"/>
          <w:sz w:val="20"/>
          <w:szCs w:val="20"/>
        </w:rPr>
        <w:t xml:space="preserve"> na predlog uredbe o preprečevanju in boju proti spolnim zlorabam otrok, glede katere pa </w:t>
      </w:r>
      <w:r w:rsidR="004F3C5B" w:rsidRPr="00A335CB">
        <w:rPr>
          <w:rFonts w:ascii="Arial" w:hAnsi="Arial" w:cs="Arial"/>
          <w:sz w:val="20"/>
          <w:szCs w:val="20"/>
        </w:rPr>
        <w:t>držav</w:t>
      </w:r>
      <w:r w:rsidR="004F3C5B">
        <w:rPr>
          <w:rFonts w:ascii="Arial" w:hAnsi="Arial" w:cs="Arial"/>
          <w:sz w:val="20"/>
          <w:szCs w:val="20"/>
        </w:rPr>
        <w:t>am</w:t>
      </w:r>
      <w:r w:rsidR="004F3C5B" w:rsidRPr="00A335CB">
        <w:rPr>
          <w:rFonts w:ascii="Arial" w:hAnsi="Arial" w:cs="Arial"/>
          <w:sz w:val="20"/>
          <w:szCs w:val="20"/>
        </w:rPr>
        <w:t xml:space="preserve"> članic</w:t>
      </w:r>
      <w:r w:rsidR="004F3C5B">
        <w:rPr>
          <w:rFonts w:ascii="Arial" w:hAnsi="Arial" w:cs="Arial"/>
          <w:sz w:val="20"/>
          <w:szCs w:val="20"/>
        </w:rPr>
        <w:t>am</w:t>
      </w:r>
      <w:r w:rsidR="004F3C5B" w:rsidRPr="00A335CB">
        <w:rPr>
          <w:rFonts w:ascii="Arial" w:hAnsi="Arial" w:cs="Arial"/>
          <w:sz w:val="20"/>
          <w:szCs w:val="20"/>
        </w:rPr>
        <w:t xml:space="preserve"> </w:t>
      </w:r>
      <w:r w:rsidR="008D3F61" w:rsidRPr="00A335CB">
        <w:rPr>
          <w:rFonts w:ascii="Arial" w:hAnsi="Arial" w:cs="Arial"/>
          <w:sz w:val="20"/>
          <w:szCs w:val="20"/>
        </w:rPr>
        <w:t xml:space="preserve">ponovno ni </w:t>
      </w:r>
      <w:r w:rsidR="004F3C5B" w:rsidRPr="00A335CB">
        <w:rPr>
          <w:rFonts w:ascii="Arial" w:hAnsi="Arial" w:cs="Arial"/>
          <w:sz w:val="20"/>
          <w:szCs w:val="20"/>
        </w:rPr>
        <w:t>uspel</w:t>
      </w:r>
      <w:r w:rsidR="004F3C5B">
        <w:rPr>
          <w:rFonts w:ascii="Arial" w:hAnsi="Arial" w:cs="Arial"/>
          <w:sz w:val="20"/>
          <w:szCs w:val="20"/>
        </w:rPr>
        <w:t>o</w:t>
      </w:r>
      <w:r w:rsidR="004F3C5B" w:rsidRPr="00A335CB">
        <w:rPr>
          <w:rFonts w:ascii="Arial" w:hAnsi="Arial" w:cs="Arial"/>
          <w:sz w:val="20"/>
          <w:szCs w:val="20"/>
        </w:rPr>
        <w:t xml:space="preserve"> </w:t>
      </w:r>
      <w:r w:rsidR="008D3F61" w:rsidRPr="00A335CB">
        <w:rPr>
          <w:rFonts w:ascii="Arial" w:hAnsi="Arial" w:cs="Arial"/>
          <w:sz w:val="20"/>
          <w:szCs w:val="20"/>
        </w:rPr>
        <w:t xml:space="preserve">doseči dogovora. Najbolj sporen element predloga so odredbe o zaznavanju, na podlagi katerih bi ponudniki storitev morali pregledovati medsebojne komunikacije vseh uporabnikov storitev, da bi zaznali </w:t>
      </w:r>
      <w:r w:rsidR="008D3F61" w:rsidRPr="00A335CB">
        <w:rPr>
          <w:rFonts w:ascii="Arial" w:hAnsi="Arial" w:cs="Arial"/>
          <w:sz w:val="20"/>
        </w:rPr>
        <w:t xml:space="preserve">morebitne primere spolnih zlorab otrok prek spleta. Slovenija je ves čas pogajanj podpirala tiste dele uredbe, ki se nanašajo na zmanjševanje tveganja in preprečevanje spolnih zlorab otrok, nasprotovala pa predlogu odredb o zaznavanju zaradi nesorazmernosti takšnega posega v ustavno zagotovljeno pravico do zasebnosti komunikacij. Na decembrskem zasedanju Sveta </w:t>
      </w:r>
      <w:r w:rsidR="000E60A5">
        <w:rPr>
          <w:rFonts w:ascii="Arial" w:hAnsi="Arial" w:cs="Arial"/>
          <w:sz w:val="20"/>
        </w:rPr>
        <w:t>za pravosodje in notranje zadeve (</w:t>
      </w:r>
      <w:r w:rsidR="008D3F61" w:rsidRPr="00A335CB">
        <w:rPr>
          <w:rFonts w:ascii="Arial" w:hAnsi="Arial" w:cs="Arial"/>
          <w:sz w:val="20"/>
        </w:rPr>
        <w:t>PNZ</w:t>
      </w:r>
      <w:r w:rsidR="000E60A5">
        <w:rPr>
          <w:rFonts w:ascii="Arial" w:hAnsi="Arial" w:cs="Arial"/>
          <w:sz w:val="20"/>
        </w:rPr>
        <w:t>)</w:t>
      </w:r>
      <w:r w:rsidR="008D3F61" w:rsidRPr="00A335CB">
        <w:rPr>
          <w:rFonts w:ascii="Arial" w:hAnsi="Arial" w:cs="Arial"/>
          <w:sz w:val="20"/>
        </w:rPr>
        <w:t xml:space="preserve"> se je Slovenija vzdržala, predlog pa ni dosegel zadostne podpore za začetek pogajanj z Evropskim parlamentom. </w:t>
      </w:r>
      <w:r w:rsidR="001378D5" w:rsidRPr="00A335CB">
        <w:rPr>
          <w:rFonts w:ascii="Arial" w:hAnsi="Arial" w:cs="Arial"/>
          <w:sz w:val="20"/>
          <w:szCs w:val="20"/>
        </w:rPr>
        <w:t>Poleg tega je MNZ</w:t>
      </w:r>
      <w:r w:rsidR="008D3F61" w:rsidRPr="00A335CB">
        <w:rPr>
          <w:rFonts w:ascii="Arial" w:hAnsi="Arial" w:cs="Arial"/>
          <w:sz w:val="20"/>
          <w:szCs w:val="20"/>
        </w:rPr>
        <w:t xml:space="preserve"> aktivno sodeloval</w:t>
      </w:r>
      <w:r w:rsidR="001378D5" w:rsidRPr="00A335CB">
        <w:rPr>
          <w:rFonts w:ascii="Arial" w:hAnsi="Arial" w:cs="Arial"/>
          <w:sz w:val="20"/>
          <w:szCs w:val="20"/>
        </w:rPr>
        <w:t>o</w:t>
      </w:r>
      <w:r w:rsidR="008D3F61" w:rsidRPr="00A335CB">
        <w:rPr>
          <w:rFonts w:ascii="Arial" w:hAnsi="Arial" w:cs="Arial"/>
          <w:sz w:val="20"/>
          <w:szCs w:val="20"/>
        </w:rPr>
        <w:t xml:space="preserve"> pri delu Skupine strokovnjakov na </w:t>
      </w:r>
      <w:r w:rsidR="004F3C5B" w:rsidRPr="00A335CB">
        <w:rPr>
          <w:rFonts w:ascii="Arial" w:hAnsi="Arial" w:cs="Arial"/>
          <w:sz w:val="20"/>
          <w:szCs w:val="20"/>
        </w:rPr>
        <w:t>visok</w:t>
      </w:r>
      <w:r w:rsidR="004F3C5B">
        <w:rPr>
          <w:rFonts w:ascii="Arial" w:hAnsi="Arial" w:cs="Arial"/>
          <w:sz w:val="20"/>
          <w:szCs w:val="20"/>
        </w:rPr>
        <w:t>i</w:t>
      </w:r>
      <w:r w:rsidR="004F3C5B" w:rsidRPr="00A335CB">
        <w:rPr>
          <w:rFonts w:ascii="Arial" w:hAnsi="Arial" w:cs="Arial"/>
          <w:sz w:val="20"/>
          <w:szCs w:val="20"/>
        </w:rPr>
        <w:t xml:space="preserve"> </w:t>
      </w:r>
      <w:r w:rsidR="004F3C5B">
        <w:rPr>
          <w:rFonts w:ascii="Arial" w:hAnsi="Arial" w:cs="Arial"/>
          <w:sz w:val="20"/>
          <w:szCs w:val="20"/>
        </w:rPr>
        <w:t>ravni</w:t>
      </w:r>
      <w:r w:rsidR="004F3C5B" w:rsidRPr="00A335CB">
        <w:rPr>
          <w:rFonts w:ascii="Arial" w:hAnsi="Arial" w:cs="Arial"/>
          <w:sz w:val="20"/>
          <w:szCs w:val="20"/>
        </w:rPr>
        <w:t xml:space="preserve"> </w:t>
      </w:r>
      <w:r w:rsidR="008D3F61" w:rsidRPr="00A335CB">
        <w:rPr>
          <w:rFonts w:ascii="Arial" w:hAnsi="Arial" w:cs="Arial"/>
          <w:sz w:val="20"/>
          <w:szCs w:val="20"/>
        </w:rPr>
        <w:t xml:space="preserve">za dostop do podatkov. Da bi zagotovili zakonit in učinkovit dostop do podatkov za policijske organe, je skupina oblikovala 42 priporočil, ki se nanašajo na področja izgradnje kapacitet, sodelovanja s ponudniki storitev in razvoj zakonodajnih rešitev, kar </w:t>
      </w:r>
      <w:r w:rsidR="004F3C5B">
        <w:rPr>
          <w:rFonts w:ascii="Arial" w:hAnsi="Arial" w:cs="Arial"/>
          <w:sz w:val="20"/>
          <w:szCs w:val="20"/>
        </w:rPr>
        <w:t>so</w:t>
      </w:r>
      <w:r w:rsidR="004F3C5B" w:rsidRPr="00A335CB">
        <w:rPr>
          <w:rFonts w:ascii="Arial" w:hAnsi="Arial" w:cs="Arial"/>
          <w:sz w:val="20"/>
          <w:szCs w:val="20"/>
          <w:lang w:eastAsia="sl-SI"/>
        </w:rPr>
        <w:t xml:space="preserve"> </w:t>
      </w:r>
      <w:r w:rsidR="008D3F61" w:rsidRPr="00A335CB">
        <w:rPr>
          <w:rFonts w:ascii="Arial" w:hAnsi="Arial" w:cs="Arial"/>
          <w:sz w:val="20"/>
          <w:szCs w:val="20"/>
          <w:lang w:eastAsia="sl-SI"/>
        </w:rPr>
        <w:t xml:space="preserve">možnosti za nadaljnje ukrepanje in izvedbo priporočil v treh vsebinskih sklopih: digitalna </w:t>
      </w:r>
      <w:proofErr w:type="spellStart"/>
      <w:r w:rsidR="008D3F61" w:rsidRPr="00A335CB">
        <w:rPr>
          <w:rFonts w:ascii="Arial" w:hAnsi="Arial" w:cs="Arial"/>
          <w:sz w:val="20"/>
          <w:szCs w:val="20"/>
          <w:lang w:eastAsia="sl-SI"/>
        </w:rPr>
        <w:t>forenzika</w:t>
      </w:r>
      <w:proofErr w:type="spellEnd"/>
      <w:r w:rsidR="008D3F61" w:rsidRPr="00A335CB">
        <w:rPr>
          <w:rFonts w:ascii="Arial" w:hAnsi="Arial" w:cs="Arial"/>
          <w:sz w:val="20"/>
          <w:szCs w:val="20"/>
          <w:lang w:eastAsia="sl-SI"/>
        </w:rPr>
        <w:t>, hramba podatkov in zakonito prestrezanje.</w:t>
      </w:r>
    </w:p>
    <w:p w14:paraId="6D0BE8FE" w14:textId="77777777" w:rsidR="008D3F61" w:rsidRPr="00A335CB" w:rsidRDefault="008D3F61" w:rsidP="005D1A90">
      <w:pPr>
        <w:spacing w:after="0" w:line="276" w:lineRule="auto"/>
        <w:jc w:val="both"/>
        <w:rPr>
          <w:rFonts w:ascii="Arial" w:hAnsi="Arial" w:cs="Arial"/>
          <w:sz w:val="20"/>
          <w:szCs w:val="20"/>
        </w:rPr>
      </w:pPr>
    </w:p>
    <w:p w14:paraId="7CF65314" w14:textId="5A68D8E0" w:rsidR="008D3F61" w:rsidRPr="00A335CB" w:rsidRDefault="008D3F61" w:rsidP="005D1A90">
      <w:pPr>
        <w:spacing w:after="0" w:line="276" w:lineRule="auto"/>
        <w:jc w:val="both"/>
        <w:rPr>
          <w:rFonts w:ascii="Arial" w:hAnsi="Arial" w:cs="Arial"/>
          <w:sz w:val="20"/>
          <w:szCs w:val="20"/>
        </w:rPr>
      </w:pPr>
      <w:r w:rsidRPr="00A335CB">
        <w:rPr>
          <w:rFonts w:ascii="Arial" w:hAnsi="Arial" w:cs="Arial"/>
          <w:sz w:val="20"/>
          <w:szCs w:val="20"/>
        </w:rPr>
        <w:t xml:space="preserve">Na področju </w:t>
      </w:r>
      <w:proofErr w:type="spellStart"/>
      <w:r w:rsidRPr="00A335CB">
        <w:rPr>
          <w:rFonts w:ascii="Arial" w:hAnsi="Arial" w:cs="Arial"/>
          <w:sz w:val="20"/>
          <w:szCs w:val="20"/>
        </w:rPr>
        <w:t>Interoperabilnosti</w:t>
      </w:r>
      <w:proofErr w:type="spellEnd"/>
      <w:r w:rsidRPr="00A335CB">
        <w:rPr>
          <w:rFonts w:ascii="Arial" w:hAnsi="Arial" w:cs="Arial"/>
          <w:sz w:val="20"/>
          <w:szCs w:val="20"/>
        </w:rPr>
        <w:t xml:space="preserve"> informacijskih sistemov na območju svobode, varnosti in pravice je celo leto potekalo veliko aktivnosti v okviru priprav na zagon sistema vstopa in izstopa (SVI). Zaradi velikih zamud in težav pri zagotavljanju stabilnosti informacijskega sistema ter nepripravljenosti nekaterih držav na zagon je decembra 2024 Evropska komisija pripravila predlog za postopno uvedbo </w:t>
      </w:r>
      <w:r w:rsidR="001378D5" w:rsidRPr="00A335CB">
        <w:rPr>
          <w:rFonts w:ascii="Arial" w:hAnsi="Arial" w:cs="Arial"/>
          <w:sz w:val="20"/>
          <w:szCs w:val="20"/>
        </w:rPr>
        <w:t>sistema vstopa in izstopa. MNZ</w:t>
      </w:r>
      <w:r w:rsidRPr="00A335CB">
        <w:rPr>
          <w:rFonts w:ascii="Arial" w:hAnsi="Arial" w:cs="Arial"/>
          <w:sz w:val="20"/>
          <w:szCs w:val="20"/>
        </w:rPr>
        <w:t xml:space="preserve"> je v letu 2024 aktivno sodeloval</w:t>
      </w:r>
      <w:r w:rsidR="001378D5" w:rsidRPr="00A335CB">
        <w:rPr>
          <w:rFonts w:ascii="Arial" w:hAnsi="Arial" w:cs="Arial"/>
          <w:sz w:val="20"/>
          <w:szCs w:val="20"/>
        </w:rPr>
        <w:t>o</w:t>
      </w:r>
      <w:r w:rsidRPr="00A335CB">
        <w:rPr>
          <w:rFonts w:ascii="Arial" w:hAnsi="Arial" w:cs="Arial"/>
          <w:sz w:val="20"/>
          <w:szCs w:val="20"/>
        </w:rPr>
        <w:t xml:space="preserve"> pri pripravi vseh potrebnih gradiv in odzivov za E</w:t>
      </w:r>
      <w:r w:rsidR="001378D5" w:rsidRPr="00A335CB">
        <w:rPr>
          <w:rFonts w:ascii="Arial" w:hAnsi="Arial" w:cs="Arial"/>
          <w:sz w:val="20"/>
          <w:szCs w:val="20"/>
        </w:rPr>
        <w:t xml:space="preserve">vropsko komisijo </w:t>
      </w:r>
      <w:r w:rsidRPr="00A335CB">
        <w:rPr>
          <w:rFonts w:ascii="Arial" w:hAnsi="Arial" w:cs="Arial"/>
          <w:sz w:val="20"/>
          <w:szCs w:val="20"/>
        </w:rPr>
        <w:t xml:space="preserve">in </w:t>
      </w:r>
      <w:proofErr w:type="spellStart"/>
      <w:r w:rsidRPr="00A335CB">
        <w:rPr>
          <w:rFonts w:ascii="Arial" w:hAnsi="Arial" w:cs="Arial"/>
          <w:sz w:val="20"/>
          <w:szCs w:val="20"/>
        </w:rPr>
        <w:t>eu</w:t>
      </w:r>
      <w:proofErr w:type="spellEnd"/>
      <w:r w:rsidRPr="00A335CB">
        <w:rPr>
          <w:rFonts w:ascii="Arial" w:hAnsi="Arial" w:cs="Arial"/>
          <w:sz w:val="20"/>
          <w:szCs w:val="20"/>
        </w:rPr>
        <w:t xml:space="preserve">-LISO. Prav tako se aktivno vključuje v pripravo potrebnih stališč in gradiv za sodelovanje predstavnikov Slovenije v pogajanjih glede novega predloga postopnega zagona SVI. </w:t>
      </w:r>
    </w:p>
    <w:p w14:paraId="10DE1B62" w14:textId="77777777" w:rsidR="008D3F61" w:rsidRPr="00A335CB" w:rsidRDefault="008D3F61" w:rsidP="005D1A90">
      <w:pPr>
        <w:spacing w:after="0" w:line="276" w:lineRule="auto"/>
        <w:jc w:val="both"/>
        <w:rPr>
          <w:rFonts w:ascii="Arial" w:hAnsi="Arial" w:cs="Arial"/>
          <w:sz w:val="20"/>
          <w:szCs w:val="20"/>
        </w:rPr>
      </w:pPr>
    </w:p>
    <w:p w14:paraId="33CD2E7B" w14:textId="67B4BAA6"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 xml:space="preserve">Leto 2024 je pozitivno zaznamovalo tudi izjemno okrepljeno trilateralno sodelovanje z Italijansko republiko in Republiko Hrvaško. V tem formatu so se notranji ministri doslej srečali že petkrat (od tega štirikrat v 2024), da bi pregledali aktualne migracijske in varnostne izzive vzdolž </w:t>
      </w:r>
      <w:proofErr w:type="spellStart"/>
      <w:r w:rsidRPr="00A335CB">
        <w:rPr>
          <w:rFonts w:ascii="Arial" w:hAnsi="Arial" w:cs="Arial"/>
          <w:sz w:val="20"/>
          <w:szCs w:val="20"/>
        </w:rPr>
        <w:t>zahodnobalkanske</w:t>
      </w:r>
      <w:proofErr w:type="spellEnd"/>
      <w:r w:rsidRPr="00A335CB">
        <w:rPr>
          <w:rFonts w:ascii="Arial" w:hAnsi="Arial" w:cs="Arial"/>
          <w:sz w:val="20"/>
          <w:szCs w:val="20"/>
        </w:rPr>
        <w:t xml:space="preserve"> migracijske poti in drugod po EU ter se dogovorili o skupnih ukrepih za njihovo uspešno obravnavo. Med </w:t>
      </w:r>
      <w:r w:rsidR="00E36597">
        <w:rPr>
          <w:rFonts w:ascii="Arial" w:hAnsi="Arial" w:cs="Arial"/>
          <w:sz w:val="20"/>
          <w:szCs w:val="20"/>
        </w:rPr>
        <w:t>temi</w:t>
      </w:r>
      <w:r w:rsidR="00E36597" w:rsidRPr="00A335CB">
        <w:rPr>
          <w:rFonts w:ascii="Arial" w:hAnsi="Arial" w:cs="Arial"/>
          <w:sz w:val="20"/>
          <w:szCs w:val="20"/>
        </w:rPr>
        <w:t xml:space="preserve"> </w:t>
      </w:r>
      <w:r w:rsidRPr="00A335CB">
        <w:rPr>
          <w:rFonts w:ascii="Arial" w:hAnsi="Arial" w:cs="Arial"/>
          <w:sz w:val="20"/>
          <w:szCs w:val="20"/>
        </w:rPr>
        <w:t xml:space="preserve">dogovori </w:t>
      </w:r>
      <w:r w:rsidR="004F3C5B">
        <w:rPr>
          <w:rFonts w:ascii="Arial" w:hAnsi="Arial" w:cs="Arial"/>
          <w:sz w:val="20"/>
          <w:szCs w:val="20"/>
        </w:rPr>
        <w:t>je treba</w:t>
      </w:r>
      <w:r w:rsidR="004F3C5B" w:rsidRPr="00A335CB">
        <w:rPr>
          <w:rFonts w:ascii="Arial" w:hAnsi="Arial" w:cs="Arial"/>
          <w:sz w:val="20"/>
          <w:szCs w:val="20"/>
        </w:rPr>
        <w:t xml:space="preserve"> </w:t>
      </w:r>
      <w:r w:rsidR="00E36597">
        <w:rPr>
          <w:rFonts w:ascii="Arial" w:hAnsi="Arial" w:cs="Arial"/>
          <w:sz w:val="20"/>
          <w:szCs w:val="20"/>
        </w:rPr>
        <w:t>poudariti</w:t>
      </w:r>
      <w:r w:rsidRPr="00A335CB">
        <w:rPr>
          <w:rFonts w:ascii="Arial" w:hAnsi="Arial" w:cs="Arial"/>
          <w:sz w:val="20"/>
          <w:szCs w:val="20"/>
        </w:rPr>
        <w:t xml:space="preserve">, da se je na pobudo slovenske strani Italija odločila pridružiti OTF </w:t>
      </w:r>
      <w:proofErr w:type="spellStart"/>
      <w:r w:rsidRPr="00A335CB">
        <w:rPr>
          <w:rFonts w:ascii="Arial" w:hAnsi="Arial" w:cs="Arial"/>
          <w:sz w:val="20"/>
          <w:szCs w:val="20"/>
        </w:rPr>
        <w:t>ZeBRa</w:t>
      </w:r>
      <w:proofErr w:type="spellEnd"/>
      <w:r w:rsidRPr="00A335CB">
        <w:rPr>
          <w:rFonts w:ascii="Arial" w:hAnsi="Arial" w:cs="Arial"/>
          <w:sz w:val="20"/>
          <w:szCs w:val="20"/>
        </w:rPr>
        <w:t xml:space="preserve">, kar bo prispevalo k učinkovitejšemu boju proti tihotapljenju migrantov, vse tri policije pa so imenovale nacionalne kontaktne točke za hitrejšo izmenjavo operativnih informacij. Usklajuje se dogovor o vzpostavitvi trilateralnih patrulj na zunanji meji EU. Na trilateralnih srečanjih so se ministri zavzeli še za čimprejšnji podpis statusnega sporazuma med </w:t>
      </w:r>
      <w:proofErr w:type="spellStart"/>
      <w:r w:rsidRPr="00A335CB">
        <w:rPr>
          <w:rFonts w:ascii="Arial" w:hAnsi="Arial" w:cs="Arial"/>
          <w:sz w:val="20"/>
          <w:szCs w:val="20"/>
        </w:rPr>
        <w:t>Frontexom</w:t>
      </w:r>
      <w:proofErr w:type="spellEnd"/>
      <w:r w:rsidRPr="00A335CB">
        <w:rPr>
          <w:rFonts w:ascii="Arial" w:hAnsi="Arial" w:cs="Arial"/>
          <w:sz w:val="20"/>
          <w:szCs w:val="20"/>
        </w:rPr>
        <w:t xml:space="preserve"> in Bosno in Hercegovino, ki bo pomembno prispeval k varovanju oziroma upravljanju zunanje meje EU. </w:t>
      </w:r>
      <w:r w:rsidR="002912A8">
        <w:rPr>
          <w:rFonts w:ascii="Arial" w:hAnsi="Arial" w:cs="Arial"/>
          <w:sz w:val="20"/>
          <w:szCs w:val="20"/>
        </w:rPr>
        <w:t>Predlagali</w:t>
      </w:r>
      <w:r w:rsidR="002912A8" w:rsidRPr="00A335CB">
        <w:rPr>
          <w:rFonts w:ascii="Arial" w:hAnsi="Arial" w:cs="Arial"/>
          <w:sz w:val="20"/>
          <w:szCs w:val="20"/>
        </w:rPr>
        <w:t xml:space="preserve"> </w:t>
      </w:r>
      <w:r w:rsidRPr="00A335CB">
        <w:rPr>
          <w:rFonts w:ascii="Arial" w:hAnsi="Arial" w:cs="Arial"/>
          <w:sz w:val="20"/>
          <w:szCs w:val="20"/>
        </w:rPr>
        <w:t>pa so tudi uskladit</w:t>
      </w:r>
      <w:r w:rsidR="002912A8">
        <w:rPr>
          <w:rFonts w:ascii="Arial" w:hAnsi="Arial" w:cs="Arial"/>
          <w:sz w:val="20"/>
          <w:szCs w:val="20"/>
        </w:rPr>
        <w:t>e</w:t>
      </w:r>
      <w:r w:rsidRPr="00A335CB">
        <w:rPr>
          <w:rFonts w:ascii="Arial" w:hAnsi="Arial" w:cs="Arial"/>
          <w:sz w:val="20"/>
          <w:szCs w:val="20"/>
        </w:rPr>
        <w:t>v vizumskih režimov partnerjev v regiji Zahodnega Balkana z vizumsko politiko EU, da njihova letališča ne bodo vozlišča za nedovoljene migracije v EU.</w:t>
      </w:r>
    </w:p>
    <w:p w14:paraId="2A75B220" w14:textId="77777777" w:rsidR="00DA7739" w:rsidRPr="00A335CB" w:rsidRDefault="00DA7739" w:rsidP="00DA7739">
      <w:pPr>
        <w:spacing w:after="0" w:line="276" w:lineRule="auto"/>
        <w:jc w:val="both"/>
        <w:rPr>
          <w:rFonts w:ascii="Arial" w:hAnsi="Arial" w:cs="Arial"/>
        </w:rPr>
      </w:pPr>
    </w:p>
    <w:p w14:paraId="617D0125" w14:textId="6D6673AD"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Kot članica Salzburškega foruma je Slovenija v januarju 2024 pripravila pismo ministrov Salzburškega foru</w:t>
      </w:r>
      <w:r w:rsidR="0090399B" w:rsidRPr="00A335CB">
        <w:rPr>
          <w:rFonts w:ascii="Arial" w:hAnsi="Arial" w:cs="Arial"/>
          <w:sz w:val="20"/>
          <w:szCs w:val="20"/>
        </w:rPr>
        <w:t>ma, ki je bilo naslovljeno na Evropsko komisijo in Evropski parlament,</w:t>
      </w:r>
      <w:r w:rsidRPr="00A335CB">
        <w:rPr>
          <w:rFonts w:ascii="Arial" w:hAnsi="Arial" w:cs="Arial"/>
          <w:sz w:val="20"/>
          <w:szCs w:val="20"/>
        </w:rPr>
        <w:t xml:space="preserve"> v katerem ministri izražajo podporo krepitvi vloge Europola v pomoči državam članicam pri preprečevanju, odkrivanju in preiskovanju kaznivih dejanj, ki so ga pod</w:t>
      </w:r>
      <w:r w:rsidR="0090399B" w:rsidRPr="00A335CB">
        <w:rPr>
          <w:rFonts w:ascii="Arial" w:hAnsi="Arial" w:cs="Arial"/>
          <w:sz w:val="20"/>
          <w:szCs w:val="20"/>
        </w:rPr>
        <w:t>pisali vsi ministri držav Salzburškega foruma</w:t>
      </w:r>
      <w:r w:rsidRPr="00A335CB">
        <w:rPr>
          <w:rFonts w:ascii="Arial" w:hAnsi="Arial" w:cs="Arial"/>
          <w:sz w:val="20"/>
          <w:szCs w:val="20"/>
        </w:rPr>
        <w:t xml:space="preserve">. </w:t>
      </w:r>
    </w:p>
    <w:p w14:paraId="441D0D7B" w14:textId="77777777" w:rsidR="00DA7739" w:rsidRPr="00A335CB" w:rsidRDefault="00DA7739" w:rsidP="00DA7739">
      <w:pPr>
        <w:spacing w:after="0" w:line="276" w:lineRule="auto"/>
        <w:jc w:val="both"/>
        <w:rPr>
          <w:rFonts w:ascii="Arial" w:hAnsi="Arial" w:cs="Arial"/>
          <w:sz w:val="20"/>
          <w:szCs w:val="20"/>
        </w:rPr>
      </w:pPr>
    </w:p>
    <w:p w14:paraId="13A1C7D4" w14:textId="40F495C8" w:rsidR="008D3F61" w:rsidRPr="00A335CB" w:rsidRDefault="008D3F61" w:rsidP="00DA7739">
      <w:pPr>
        <w:spacing w:after="0" w:line="276" w:lineRule="auto"/>
        <w:jc w:val="both"/>
        <w:rPr>
          <w:rFonts w:ascii="Arial" w:hAnsi="Arial" w:cs="Arial"/>
          <w:bCs/>
          <w:sz w:val="20"/>
          <w:szCs w:val="20"/>
        </w:rPr>
      </w:pPr>
      <w:r w:rsidRPr="00A335CB">
        <w:rPr>
          <w:rFonts w:ascii="Arial" w:hAnsi="Arial" w:cs="Arial"/>
          <w:sz w:val="20"/>
          <w:szCs w:val="20"/>
        </w:rPr>
        <w:t>Pod okriljem avstrijskega in bolgarskega pr</w:t>
      </w:r>
      <w:r w:rsidR="005D5C0B" w:rsidRPr="00A335CB">
        <w:rPr>
          <w:rFonts w:ascii="Arial" w:hAnsi="Arial" w:cs="Arial"/>
          <w:sz w:val="20"/>
          <w:szCs w:val="20"/>
        </w:rPr>
        <w:t>edsedstva Salzburškega foruma s</w:t>
      </w:r>
      <w:r w:rsidRPr="00A335CB">
        <w:rPr>
          <w:rFonts w:ascii="Arial" w:hAnsi="Arial" w:cs="Arial"/>
          <w:sz w:val="20"/>
          <w:szCs w:val="20"/>
        </w:rPr>
        <w:t xml:space="preserve">o se </w:t>
      </w:r>
      <w:r w:rsidR="005D5C0B" w:rsidRPr="00A335CB">
        <w:rPr>
          <w:rFonts w:ascii="Arial" w:hAnsi="Arial" w:cs="Arial"/>
          <w:sz w:val="20"/>
          <w:szCs w:val="20"/>
        </w:rPr>
        <w:t xml:space="preserve">predstavniki MNZ </w:t>
      </w:r>
      <w:r w:rsidRPr="00A335CB">
        <w:rPr>
          <w:rFonts w:ascii="Arial" w:hAnsi="Arial" w:cs="Arial"/>
          <w:sz w:val="20"/>
          <w:szCs w:val="20"/>
        </w:rPr>
        <w:t xml:space="preserve">udeležili srečanj s področja zaščite prič in področja varovanja meje. Decembra 2024 je bolgarsko predsedstvo pripravilo pismo ministrov držav Salzburškega foruma novemu komisarju za notranje zadeve in migracije </w:t>
      </w:r>
      <w:proofErr w:type="spellStart"/>
      <w:r w:rsidRPr="00A335CB">
        <w:rPr>
          <w:rFonts w:ascii="Arial" w:hAnsi="Arial" w:cs="Arial"/>
          <w:sz w:val="20"/>
          <w:szCs w:val="20"/>
        </w:rPr>
        <w:t>Magnusu</w:t>
      </w:r>
      <w:proofErr w:type="spellEnd"/>
      <w:r w:rsidRPr="00A335CB">
        <w:rPr>
          <w:rFonts w:ascii="Arial" w:hAnsi="Arial" w:cs="Arial"/>
          <w:sz w:val="20"/>
          <w:szCs w:val="20"/>
        </w:rPr>
        <w:t xml:space="preserve"> </w:t>
      </w:r>
      <w:proofErr w:type="spellStart"/>
      <w:r w:rsidRPr="00A335CB">
        <w:rPr>
          <w:rFonts w:ascii="Arial" w:hAnsi="Arial" w:cs="Arial"/>
          <w:sz w:val="20"/>
          <w:szCs w:val="20"/>
        </w:rPr>
        <w:t>Brunnerju</w:t>
      </w:r>
      <w:proofErr w:type="spellEnd"/>
      <w:r w:rsidRPr="00A335CB">
        <w:rPr>
          <w:rFonts w:ascii="Arial" w:hAnsi="Arial" w:cs="Arial"/>
          <w:sz w:val="20"/>
          <w:szCs w:val="20"/>
        </w:rPr>
        <w:t xml:space="preserve">. V pismu ministri </w:t>
      </w:r>
      <w:r w:rsidR="002912A8">
        <w:rPr>
          <w:rFonts w:ascii="Arial" w:hAnsi="Arial" w:cs="Arial"/>
          <w:sz w:val="20"/>
          <w:szCs w:val="20"/>
        </w:rPr>
        <w:t>predlagajo</w:t>
      </w:r>
      <w:r w:rsidR="002912A8" w:rsidRPr="00A335CB">
        <w:rPr>
          <w:rFonts w:ascii="Arial" w:hAnsi="Arial" w:cs="Arial"/>
          <w:sz w:val="20"/>
          <w:szCs w:val="20"/>
        </w:rPr>
        <w:t xml:space="preserve"> </w:t>
      </w:r>
      <w:r w:rsidRPr="00A335CB">
        <w:rPr>
          <w:rFonts w:ascii="Arial" w:hAnsi="Arial" w:cs="Arial"/>
          <w:sz w:val="20"/>
          <w:szCs w:val="20"/>
        </w:rPr>
        <w:t>čimprejšnj</w:t>
      </w:r>
      <w:r w:rsidR="002912A8">
        <w:rPr>
          <w:rFonts w:ascii="Arial" w:hAnsi="Arial" w:cs="Arial"/>
          <w:sz w:val="20"/>
          <w:szCs w:val="20"/>
        </w:rPr>
        <w:t>i</w:t>
      </w:r>
      <w:r w:rsidRPr="00A335CB">
        <w:rPr>
          <w:rFonts w:ascii="Arial" w:hAnsi="Arial" w:cs="Arial"/>
          <w:sz w:val="20"/>
          <w:szCs w:val="20"/>
        </w:rPr>
        <w:t xml:space="preserve"> </w:t>
      </w:r>
      <w:r w:rsidR="004F3C5B">
        <w:rPr>
          <w:rFonts w:ascii="Arial" w:hAnsi="Arial" w:cs="Arial"/>
          <w:sz w:val="20"/>
          <w:szCs w:val="20"/>
        </w:rPr>
        <w:t>za</w:t>
      </w:r>
      <w:r w:rsidR="004F3C5B" w:rsidRPr="00A335CB">
        <w:rPr>
          <w:rFonts w:ascii="Arial" w:hAnsi="Arial" w:cs="Arial"/>
          <w:sz w:val="20"/>
          <w:szCs w:val="20"/>
        </w:rPr>
        <w:t>čet</w:t>
      </w:r>
      <w:r w:rsidR="002912A8">
        <w:rPr>
          <w:rFonts w:ascii="Arial" w:hAnsi="Arial" w:cs="Arial"/>
          <w:sz w:val="20"/>
          <w:szCs w:val="20"/>
        </w:rPr>
        <w:t>e</w:t>
      </w:r>
      <w:r w:rsidR="004F3C5B" w:rsidRPr="00A335CB">
        <w:rPr>
          <w:rFonts w:ascii="Arial" w:hAnsi="Arial" w:cs="Arial"/>
          <w:sz w:val="20"/>
          <w:szCs w:val="20"/>
        </w:rPr>
        <w:t xml:space="preserve">k </w:t>
      </w:r>
      <w:proofErr w:type="spellStart"/>
      <w:r w:rsidRPr="00A335CB">
        <w:rPr>
          <w:rFonts w:ascii="Arial" w:hAnsi="Arial" w:cs="Arial"/>
          <w:sz w:val="20"/>
          <w:szCs w:val="20"/>
        </w:rPr>
        <w:t>trialogov</w:t>
      </w:r>
      <w:proofErr w:type="spellEnd"/>
      <w:r w:rsidRPr="00A335CB">
        <w:rPr>
          <w:rFonts w:ascii="Arial" w:hAnsi="Arial" w:cs="Arial"/>
          <w:sz w:val="20"/>
          <w:szCs w:val="20"/>
        </w:rPr>
        <w:t xml:space="preserve"> glede Predloga Uredbe Evropskega parlamenta in Sveta o okrepitvi policijskega sodelovanja v zvezi s preprečevanjem, odkrivanjem in preiskovanjem tihotapljenja migrantov in trgovine z ljudmi, o okrepitvi Europolove podpore pri preprečevanju teh kaznivih dejanj in boju proti njim ter spremembi Uredbe (EU) 2016/794. </w:t>
      </w:r>
    </w:p>
    <w:p w14:paraId="20C7D2D2" w14:textId="77777777" w:rsidR="00DA7739" w:rsidRPr="00A335CB" w:rsidRDefault="00DA7739" w:rsidP="00DA7739">
      <w:pPr>
        <w:spacing w:after="0" w:line="276" w:lineRule="auto"/>
        <w:jc w:val="both"/>
        <w:rPr>
          <w:rFonts w:ascii="Arial" w:hAnsi="Arial" w:cs="Arial"/>
          <w:sz w:val="20"/>
          <w:szCs w:val="20"/>
        </w:rPr>
      </w:pPr>
    </w:p>
    <w:p w14:paraId="407BCC42" w14:textId="374429FF"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 xml:space="preserve">Sodelovanje z Zahodnim Balkanom ostaja ena </w:t>
      </w:r>
      <w:r w:rsidR="004F3C5B">
        <w:rPr>
          <w:rFonts w:ascii="Arial" w:hAnsi="Arial" w:cs="Arial"/>
          <w:sz w:val="20"/>
          <w:szCs w:val="20"/>
        </w:rPr>
        <w:t>o</w:t>
      </w:r>
      <w:r w:rsidR="004F3C5B" w:rsidRPr="00A335CB">
        <w:rPr>
          <w:rFonts w:ascii="Arial" w:hAnsi="Arial" w:cs="Arial"/>
          <w:sz w:val="20"/>
          <w:szCs w:val="20"/>
        </w:rPr>
        <w:t xml:space="preserve">d </w:t>
      </w:r>
      <w:r w:rsidR="004F3C5B">
        <w:rPr>
          <w:rFonts w:ascii="Arial" w:hAnsi="Arial" w:cs="Arial"/>
          <w:sz w:val="20"/>
          <w:szCs w:val="20"/>
        </w:rPr>
        <w:t>prednostnih nalog</w:t>
      </w:r>
      <w:r w:rsidR="004F3C5B" w:rsidRPr="00A335CB">
        <w:rPr>
          <w:rFonts w:ascii="Arial" w:hAnsi="Arial" w:cs="Arial"/>
          <w:sz w:val="20"/>
          <w:szCs w:val="20"/>
        </w:rPr>
        <w:t xml:space="preserve"> </w:t>
      </w:r>
      <w:r w:rsidRPr="00A335CB">
        <w:rPr>
          <w:rFonts w:ascii="Arial" w:hAnsi="Arial" w:cs="Arial"/>
          <w:sz w:val="20"/>
          <w:szCs w:val="20"/>
        </w:rPr>
        <w:t xml:space="preserve">delovanja Republike Slovenije. Največji del regionalnih aktivnosti poteka v okviru Brdo procesa, bilateralno sodelovanje v 2024 pa je potekalo predvsem s Črno goro in </w:t>
      </w:r>
      <w:r w:rsidR="00802972">
        <w:rPr>
          <w:rFonts w:ascii="Arial" w:hAnsi="Arial" w:cs="Arial"/>
          <w:sz w:val="20"/>
          <w:szCs w:val="20"/>
        </w:rPr>
        <w:t xml:space="preserve">Republiko </w:t>
      </w:r>
      <w:r w:rsidRPr="00A335CB">
        <w:rPr>
          <w:rFonts w:ascii="Arial" w:hAnsi="Arial" w:cs="Arial"/>
          <w:sz w:val="20"/>
          <w:szCs w:val="20"/>
        </w:rPr>
        <w:t>Severno Makedonijo. 12. neformalno srečanje ministrov za notranje zadeve Brdo procesa je potekalo 21. in 22.</w:t>
      </w:r>
      <w:r w:rsidR="004F3C5B">
        <w:rPr>
          <w:rFonts w:ascii="Arial" w:hAnsi="Arial" w:cs="Arial"/>
          <w:sz w:val="20"/>
          <w:szCs w:val="20"/>
        </w:rPr>
        <w:t> 3. </w:t>
      </w:r>
      <w:r w:rsidRPr="00A335CB">
        <w:rPr>
          <w:rFonts w:ascii="Arial" w:hAnsi="Arial" w:cs="Arial"/>
          <w:sz w:val="20"/>
          <w:szCs w:val="20"/>
        </w:rPr>
        <w:t>2024 na Brdu pri Kranju. Razprava ministrov je bila namenjena učinkovitem</w:t>
      </w:r>
      <w:r w:rsidR="004F3C5B">
        <w:rPr>
          <w:rFonts w:ascii="Arial" w:hAnsi="Arial" w:cs="Arial"/>
          <w:sz w:val="20"/>
          <w:szCs w:val="20"/>
        </w:rPr>
        <w:t>u</w:t>
      </w:r>
      <w:r w:rsidRPr="00A335CB">
        <w:rPr>
          <w:rFonts w:ascii="Arial" w:hAnsi="Arial" w:cs="Arial"/>
          <w:sz w:val="20"/>
          <w:szCs w:val="20"/>
        </w:rPr>
        <w:t xml:space="preserve"> upravljanju migracij s poudarkom na krepitvi boja proti tihotapljenju migrantov (osredotočenje skupnih preiskav na glavne organizatorje tihotapljenja migrantov, nujnost finančnih preiskav za izsleditev in zaseg premoženjske koristi, uporaba digitalnih tehnologij, družbenih medijev in šifriranih komunikacij in </w:t>
      </w:r>
      <w:r w:rsidR="002912A8">
        <w:rPr>
          <w:rFonts w:ascii="Arial" w:hAnsi="Arial" w:cs="Arial"/>
          <w:sz w:val="20"/>
          <w:szCs w:val="20"/>
        </w:rPr>
        <w:t>predlog za</w:t>
      </w:r>
      <w:r w:rsidRPr="00A335CB">
        <w:rPr>
          <w:rFonts w:ascii="Arial" w:hAnsi="Arial" w:cs="Arial"/>
          <w:sz w:val="20"/>
          <w:szCs w:val="20"/>
        </w:rPr>
        <w:t xml:space="preserve"> čim </w:t>
      </w:r>
      <w:r w:rsidR="002912A8" w:rsidRPr="00A335CB">
        <w:rPr>
          <w:rFonts w:ascii="Arial" w:hAnsi="Arial" w:cs="Arial"/>
          <w:sz w:val="20"/>
          <w:szCs w:val="20"/>
        </w:rPr>
        <w:t>širš</w:t>
      </w:r>
      <w:r w:rsidR="002912A8">
        <w:rPr>
          <w:rFonts w:ascii="Arial" w:hAnsi="Arial" w:cs="Arial"/>
          <w:sz w:val="20"/>
          <w:szCs w:val="20"/>
        </w:rPr>
        <w:t>o</w:t>
      </w:r>
      <w:r w:rsidR="002912A8" w:rsidRPr="00A335CB">
        <w:rPr>
          <w:rFonts w:ascii="Arial" w:hAnsi="Arial" w:cs="Arial"/>
          <w:sz w:val="20"/>
          <w:szCs w:val="20"/>
        </w:rPr>
        <w:t xml:space="preserve"> uporab</w:t>
      </w:r>
      <w:r w:rsidR="002912A8">
        <w:rPr>
          <w:rFonts w:ascii="Arial" w:hAnsi="Arial" w:cs="Arial"/>
          <w:sz w:val="20"/>
          <w:szCs w:val="20"/>
        </w:rPr>
        <w:t>o</w:t>
      </w:r>
      <w:r w:rsidR="002912A8" w:rsidRPr="00A335CB">
        <w:rPr>
          <w:rFonts w:ascii="Arial" w:hAnsi="Arial" w:cs="Arial"/>
          <w:sz w:val="20"/>
          <w:szCs w:val="20"/>
        </w:rPr>
        <w:t xml:space="preserve"> </w:t>
      </w:r>
      <w:r w:rsidRPr="00A335CB">
        <w:rPr>
          <w:rFonts w:ascii="Arial" w:hAnsi="Arial" w:cs="Arial"/>
          <w:sz w:val="20"/>
          <w:szCs w:val="20"/>
        </w:rPr>
        <w:t xml:space="preserve">orodij, ki so na voljo v okviru </w:t>
      </w:r>
      <w:r w:rsidR="004F3C5B">
        <w:rPr>
          <w:rFonts w:ascii="Arial" w:hAnsi="Arial" w:cs="Arial"/>
          <w:sz w:val="20"/>
          <w:szCs w:val="20"/>
        </w:rPr>
        <w:t xml:space="preserve">aktivnosti </w:t>
      </w:r>
      <w:r w:rsidRPr="00A335CB">
        <w:rPr>
          <w:rFonts w:ascii="Arial" w:hAnsi="Arial" w:cs="Arial"/>
          <w:sz w:val="20"/>
          <w:szCs w:val="20"/>
        </w:rPr>
        <w:t>EU).</w:t>
      </w:r>
      <w:r w:rsidRPr="00A335CB" w:rsidDel="00A07970">
        <w:rPr>
          <w:rFonts w:ascii="Arial" w:hAnsi="Arial" w:cs="Arial"/>
          <w:sz w:val="20"/>
          <w:szCs w:val="20"/>
        </w:rPr>
        <w:t xml:space="preserve"> </w:t>
      </w:r>
    </w:p>
    <w:p w14:paraId="53C47284" w14:textId="77777777" w:rsidR="00DA7739" w:rsidRPr="00A335CB" w:rsidRDefault="00DA7739" w:rsidP="00DA7739">
      <w:pPr>
        <w:spacing w:after="0" w:line="276" w:lineRule="auto"/>
        <w:jc w:val="both"/>
        <w:rPr>
          <w:rFonts w:ascii="Arial" w:hAnsi="Arial" w:cs="Arial"/>
          <w:sz w:val="20"/>
          <w:szCs w:val="20"/>
        </w:rPr>
      </w:pPr>
    </w:p>
    <w:p w14:paraId="0D857604" w14:textId="369F315F" w:rsidR="008D3F61" w:rsidRPr="00A335CB" w:rsidRDefault="008D3F61" w:rsidP="00DA7739">
      <w:pPr>
        <w:spacing w:after="0" w:line="276" w:lineRule="auto"/>
        <w:jc w:val="both"/>
        <w:rPr>
          <w:rFonts w:ascii="Arial" w:hAnsi="Arial" w:cs="Arial"/>
          <w:sz w:val="20"/>
          <w:szCs w:val="20"/>
        </w:rPr>
      </w:pPr>
      <w:r w:rsidRPr="00A335CB">
        <w:rPr>
          <w:rFonts w:ascii="Arial" w:hAnsi="Arial" w:cs="Arial"/>
          <w:sz w:val="20"/>
          <w:szCs w:val="20"/>
        </w:rPr>
        <w:t>V letu 2024</w:t>
      </w:r>
      <w:r w:rsidR="00CB1CD5" w:rsidRPr="00A335CB">
        <w:rPr>
          <w:rFonts w:ascii="Arial" w:hAnsi="Arial" w:cs="Arial"/>
          <w:sz w:val="20"/>
          <w:szCs w:val="20"/>
        </w:rPr>
        <w:t xml:space="preserve"> je MNZ okrepilo</w:t>
      </w:r>
      <w:r w:rsidRPr="00A335CB">
        <w:rPr>
          <w:rFonts w:ascii="Arial" w:hAnsi="Arial" w:cs="Arial"/>
          <w:sz w:val="20"/>
          <w:szCs w:val="20"/>
        </w:rPr>
        <w:t xml:space="preserve"> tudi stike in sodelovanje z državami Severne Afrike. </w:t>
      </w:r>
      <w:r w:rsidR="00CB1CD5" w:rsidRPr="00A335CB">
        <w:rPr>
          <w:rFonts w:ascii="Arial" w:hAnsi="Arial" w:cs="Arial"/>
          <w:sz w:val="20"/>
          <w:szCs w:val="20"/>
        </w:rPr>
        <w:t>V juniju 2024 je bila p</w:t>
      </w:r>
      <w:r w:rsidRPr="00A335CB">
        <w:rPr>
          <w:rFonts w:ascii="Arial" w:hAnsi="Arial" w:cs="Arial"/>
          <w:sz w:val="20"/>
          <w:szCs w:val="20"/>
        </w:rPr>
        <w:t>odpis</w:t>
      </w:r>
      <w:r w:rsidR="00CB1CD5" w:rsidRPr="00A335CB">
        <w:rPr>
          <w:rFonts w:ascii="Arial" w:hAnsi="Arial" w:cs="Arial"/>
          <w:sz w:val="20"/>
          <w:szCs w:val="20"/>
        </w:rPr>
        <w:t xml:space="preserve">ana skupna izjava, ki </w:t>
      </w:r>
      <w:r w:rsidRPr="00A335CB">
        <w:rPr>
          <w:rFonts w:ascii="Arial" w:hAnsi="Arial" w:cs="Arial"/>
          <w:sz w:val="20"/>
          <w:szCs w:val="20"/>
        </w:rPr>
        <w:t xml:space="preserve">predvideva vzpostavitev dvostranskega dialoga na področju migracij in varnosti s Kraljevino Maroko, prav tako pa </w:t>
      </w:r>
      <w:r w:rsidR="00CB1CD5" w:rsidRPr="00A335CB">
        <w:rPr>
          <w:rFonts w:ascii="Arial" w:hAnsi="Arial" w:cs="Arial"/>
          <w:sz w:val="20"/>
          <w:szCs w:val="20"/>
        </w:rPr>
        <w:t xml:space="preserve">je MNZ </w:t>
      </w:r>
      <w:r w:rsidRPr="00A335CB">
        <w:rPr>
          <w:rFonts w:ascii="Arial" w:hAnsi="Arial" w:cs="Arial"/>
          <w:sz w:val="20"/>
          <w:szCs w:val="20"/>
        </w:rPr>
        <w:t>junija na obisku v Sloveniji gosti</w:t>
      </w:r>
      <w:r w:rsidR="00CB1CD5" w:rsidRPr="00A335CB">
        <w:rPr>
          <w:rFonts w:ascii="Arial" w:hAnsi="Arial" w:cs="Arial"/>
          <w:sz w:val="20"/>
          <w:szCs w:val="20"/>
        </w:rPr>
        <w:t>lo</w:t>
      </w:r>
      <w:r w:rsidRPr="00A335CB">
        <w:rPr>
          <w:rFonts w:ascii="Arial" w:hAnsi="Arial" w:cs="Arial"/>
          <w:sz w:val="20"/>
          <w:szCs w:val="20"/>
        </w:rPr>
        <w:t xml:space="preserve"> delegacijo Alžirije pod vodstvom generalnega direktorja za konzularne zadeve in </w:t>
      </w:r>
      <w:r w:rsidR="00CB1CD5" w:rsidRPr="00A335CB">
        <w:rPr>
          <w:rFonts w:ascii="Arial" w:hAnsi="Arial" w:cs="Arial"/>
          <w:sz w:val="20"/>
          <w:szCs w:val="20"/>
        </w:rPr>
        <w:t>nacionalno skupnost. V</w:t>
      </w:r>
      <w:r w:rsidRPr="00A335CB">
        <w:rPr>
          <w:rFonts w:ascii="Arial" w:hAnsi="Arial" w:cs="Arial"/>
          <w:sz w:val="20"/>
          <w:szCs w:val="20"/>
        </w:rPr>
        <w:t xml:space="preserve"> letu </w:t>
      </w:r>
      <w:r w:rsidR="00CB1CD5" w:rsidRPr="00A335CB">
        <w:rPr>
          <w:rFonts w:ascii="Arial" w:hAnsi="Arial" w:cs="Arial"/>
          <w:sz w:val="20"/>
          <w:szCs w:val="20"/>
        </w:rPr>
        <w:t>2025 si bo MNZ prizadevalo</w:t>
      </w:r>
      <w:r w:rsidRPr="00A335CB">
        <w:rPr>
          <w:rFonts w:ascii="Arial" w:hAnsi="Arial" w:cs="Arial"/>
          <w:sz w:val="20"/>
          <w:szCs w:val="20"/>
        </w:rPr>
        <w:t xml:space="preserve"> za nadaljevanje dvostranskih dialogov na področju migracij in varnosti s ciljem nadgradnje sode</w:t>
      </w:r>
      <w:r w:rsidR="00DA7739" w:rsidRPr="00A335CB">
        <w:rPr>
          <w:rFonts w:ascii="Arial" w:hAnsi="Arial" w:cs="Arial"/>
          <w:sz w:val="20"/>
          <w:szCs w:val="20"/>
        </w:rPr>
        <w:t>lovanja med pristojnimi organi.</w:t>
      </w:r>
    </w:p>
    <w:p w14:paraId="5E2B277F" w14:textId="77777777" w:rsidR="00DA7739" w:rsidRPr="00A335CB" w:rsidRDefault="00DA7739" w:rsidP="00DA7739">
      <w:pPr>
        <w:spacing w:after="0" w:line="276" w:lineRule="auto"/>
        <w:jc w:val="both"/>
        <w:rPr>
          <w:rFonts w:ascii="Arial" w:hAnsi="Arial" w:cs="Arial"/>
          <w:sz w:val="20"/>
          <w:szCs w:val="20"/>
        </w:rPr>
      </w:pPr>
    </w:p>
    <w:p w14:paraId="42B34DD6" w14:textId="60A325F3" w:rsidR="00DA7739" w:rsidRPr="00A335CB" w:rsidRDefault="008D3F61" w:rsidP="00DA7739">
      <w:pPr>
        <w:autoSpaceDE w:val="0"/>
        <w:autoSpaceDN w:val="0"/>
        <w:adjustRightInd w:val="0"/>
        <w:spacing w:after="0" w:line="276" w:lineRule="auto"/>
        <w:jc w:val="both"/>
        <w:rPr>
          <w:rFonts w:ascii="Arial" w:eastAsia="Times New Roman" w:hAnsi="Arial" w:cs="Arial"/>
          <w:sz w:val="20"/>
          <w:szCs w:val="20"/>
          <w:lang w:eastAsia="sl-SI"/>
        </w:rPr>
      </w:pPr>
      <w:r w:rsidRPr="00A335CB">
        <w:rPr>
          <w:rFonts w:ascii="Arial" w:eastAsia="Times New Roman" w:hAnsi="Arial" w:cs="Arial"/>
          <w:sz w:val="20"/>
          <w:szCs w:val="20"/>
        </w:rPr>
        <w:t>V letu 2024 je potekalo tvorno sodelovanje z mednarodnim</w:t>
      </w:r>
      <w:r w:rsidR="00CB1CD5" w:rsidRPr="00A335CB">
        <w:rPr>
          <w:rFonts w:ascii="Arial" w:eastAsia="Times New Roman" w:hAnsi="Arial" w:cs="Arial"/>
          <w:sz w:val="20"/>
          <w:szCs w:val="20"/>
        </w:rPr>
        <w:t xml:space="preserve">i organizacijami. V zvezi z OZN so potekale </w:t>
      </w:r>
      <w:r w:rsidRPr="00A335CB">
        <w:rPr>
          <w:rFonts w:ascii="Arial" w:eastAsia="Times New Roman" w:hAnsi="Arial" w:cs="Arial"/>
          <w:sz w:val="20"/>
          <w:szCs w:val="20"/>
        </w:rPr>
        <w:t>aktivnosti</w:t>
      </w:r>
      <w:r w:rsidR="00CB1CD5" w:rsidRPr="00A335CB">
        <w:rPr>
          <w:rFonts w:ascii="Arial" w:eastAsia="Times New Roman" w:hAnsi="Arial" w:cs="Arial"/>
          <w:sz w:val="20"/>
          <w:szCs w:val="20"/>
        </w:rPr>
        <w:t>,</w:t>
      </w:r>
      <w:r w:rsidRPr="00A335CB">
        <w:rPr>
          <w:rFonts w:ascii="Arial" w:eastAsia="Times New Roman" w:hAnsi="Arial" w:cs="Arial"/>
          <w:sz w:val="20"/>
          <w:szCs w:val="20"/>
        </w:rPr>
        <w:t xml:space="preserve"> povezane z nestalnim članstvom Slovenije v Varnostnem </w:t>
      </w:r>
      <w:r w:rsidR="004F3C5B">
        <w:rPr>
          <w:rFonts w:ascii="Arial" w:eastAsia="Times New Roman" w:hAnsi="Arial" w:cs="Arial"/>
          <w:sz w:val="20"/>
          <w:szCs w:val="20"/>
        </w:rPr>
        <w:t>s</w:t>
      </w:r>
      <w:r w:rsidR="004F3C5B" w:rsidRPr="00A335CB">
        <w:rPr>
          <w:rFonts w:ascii="Arial" w:eastAsia="Times New Roman" w:hAnsi="Arial" w:cs="Arial"/>
          <w:sz w:val="20"/>
          <w:szCs w:val="20"/>
        </w:rPr>
        <w:t xml:space="preserve">vetu </w:t>
      </w:r>
      <w:r w:rsidRPr="00A335CB">
        <w:rPr>
          <w:rFonts w:ascii="Arial" w:eastAsia="Times New Roman" w:hAnsi="Arial" w:cs="Arial"/>
          <w:sz w:val="20"/>
          <w:szCs w:val="20"/>
        </w:rPr>
        <w:t xml:space="preserve">in ratifikacijo </w:t>
      </w:r>
      <w:r w:rsidRPr="00A335CB">
        <w:rPr>
          <w:rFonts w:ascii="Arial" w:eastAsia="Times New Roman" w:hAnsi="Arial" w:cs="Arial"/>
          <w:sz w:val="20"/>
          <w:szCs w:val="20"/>
          <w:lang w:eastAsia="sl-SI"/>
        </w:rPr>
        <w:t>Konvencije o zmanjšanju števila oseb brez državljanstva iz</w:t>
      </w:r>
      <w:r w:rsidR="00CB1CD5" w:rsidRPr="00A335CB">
        <w:rPr>
          <w:rFonts w:ascii="Arial" w:eastAsia="Times New Roman" w:hAnsi="Arial" w:cs="Arial"/>
          <w:sz w:val="20"/>
          <w:szCs w:val="20"/>
          <w:lang w:eastAsia="sl-SI"/>
        </w:rPr>
        <w:t xml:space="preserve"> leta 1961, na podlagi zaveze Republike Slovenije,</w:t>
      </w:r>
      <w:r w:rsidRPr="00A335CB">
        <w:rPr>
          <w:rFonts w:ascii="Arial" w:eastAsia="Times New Roman" w:hAnsi="Arial" w:cs="Arial"/>
          <w:sz w:val="20"/>
          <w:szCs w:val="20"/>
          <w:lang w:eastAsia="sl-SI"/>
        </w:rPr>
        <w:t xml:space="preserve"> podane </w:t>
      </w:r>
      <w:r w:rsidRPr="00ED7864">
        <w:rPr>
          <w:rFonts w:ascii="Arial" w:eastAsia="Times New Roman" w:hAnsi="Arial" w:cs="Arial"/>
          <w:sz w:val="20"/>
          <w:szCs w:val="20"/>
          <w:lang w:eastAsia="sl-SI"/>
        </w:rPr>
        <w:t xml:space="preserve">na zasedanju Globalnega foruma za begunce, ki je bil decembra 2023 v Ženevi. Aktivno sodelovanje je potekalo </w:t>
      </w:r>
      <w:r w:rsidR="00DA7739" w:rsidRPr="00ED7864">
        <w:rPr>
          <w:rFonts w:ascii="Arial" w:eastAsia="Times New Roman" w:hAnsi="Arial" w:cs="Arial"/>
          <w:sz w:val="20"/>
          <w:szCs w:val="20"/>
          <w:lang w:eastAsia="sl-SI"/>
        </w:rPr>
        <w:t xml:space="preserve">tudi z </w:t>
      </w:r>
      <w:r w:rsidR="00ED7864" w:rsidRPr="00ED7864">
        <w:rPr>
          <w:rFonts w:ascii="Arial" w:eastAsia="Times New Roman" w:hAnsi="Arial" w:cs="Arial"/>
          <w:sz w:val="20"/>
          <w:szCs w:val="20"/>
          <w:lang w:eastAsia="sl-SI"/>
        </w:rPr>
        <w:t>Mednarodnim centrom za razvoj migracijske politike (</w:t>
      </w:r>
      <w:r w:rsidR="00DA7739" w:rsidRPr="00ED7864">
        <w:rPr>
          <w:rFonts w:ascii="Arial" w:eastAsia="Times New Roman" w:hAnsi="Arial" w:cs="Arial"/>
          <w:sz w:val="20"/>
          <w:szCs w:val="20"/>
          <w:lang w:eastAsia="sl-SI"/>
        </w:rPr>
        <w:t>ICMPD</w:t>
      </w:r>
      <w:r w:rsidR="00ED7864" w:rsidRPr="00ED7864">
        <w:rPr>
          <w:rFonts w:ascii="Arial" w:eastAsia="Times New Roman" w:hAnsi="Arial" w:cs="Arial"/>
          <w:sz w:val="20"/>
          <w:szCs w:val="20"/>
          <w:lang w:eastAsia="sl-SI"/>
        </w:rPr>
        <w:t>)</w:t>
      </w:r>
      <w:r w:rsidR="00DA7739" w:rsidRPr="00ED7864">
        <w:rPr>
          <w:rFonts w:ascii="Arial" w:eastAsia="Times New Roman" w:hAnsi="Arial" w:cs="Arial"/>
          <w:sz w:val="20"/>
          <w:szCs w:val="20"/>
          <w:lang w:eastAsia="sl-SI"/>
        </w:rPr>
        <w:t xml:space="preserve"> in </w:t>
      </w:r>
      <w:r w:rsidR="00ED7864" w:rsidRPr="00ED7864">
        <w:rPr>
          <w:rFonts w:ascii="Arial" w:eastAsia="Times New Roman" w:hAnsi="Arial" w:cs="Arial"/>
          <w:sz w:val="20"/>
          <w:szCs w:val="20"/>
          <w:lang w:eastAsia="sl-SI"/>
        </w:rPr>
        <w:t>Mednarodno organizacijo za migrante (</w:t>
      </w:r>
      <w:r w:rsidR="00DA7739" w:rsidRPr="00ED7864">
        <w:rPr>
          <w:rFonts w:ascii="Arial" w:eastAsia="Times New Roman" w:hAnsi="Arial" w:cs="Arial"/>
          <w:sz w:val="20"/>
          <w:szCs w:val="20"/>
          <w:lang w:eastAsia="sl-SI"/>
        </w:rPr>
        <w:t>IOM</w:t>
      </w:r>
      <w:r w:rsidR="00ED7864" w:rsidRPr="00ED7864">
        <w:rPr>
          <w:rFonts w:ascii="Arial" w:eastAsia="Times New Roman" w:hAnsi="Arial" w:cs="Arial"/>
          <w:sz w:val="20"/>
          <w:szCs w:val="20"/>
          <w:lang w:eastAsia="sl-SI"/>
        </w:rPr>
        <w:t>)</w:t>
      </w:r>
      <w:r w:rsidR="00DA7739" w:rsidRPr="00ED7864">
        <w:rPr>
          <w:rFonts w:ascii="Arial" w:eastAsia="Times New Roman" w:hAnsi="Arial" w:cs="Arial"/>
          <w:sz w:val="20"/>
          <w:szCs w:val="20"/>
          <w:lang w:eastAsia="sl-SI"/>
        </w:rPr>
        <w:t>.</w:t>
      </w:r>
      <w:r w:rsidR="00DA7739" w:rsidRPr="00A335CB">
        <w:rPr>
          <w:rFonts w:ascii="Arial" w:eastAsia="Times New Roman" w:hAnsi="Arial" w:cs="Arial"/>
          <w:sz w:val="20"/>
          <w:szCs w:val="20"/>
          <w:lang w:eastAsia="sl-SI"/>
        </w:rPr>
        <w:t xml:space="preserve"> </w:t>
      </w:r>
    </w:p>
    <w:p w14:paraId="47C1DB14" w14:textId="33F5A6F5" w:rsidR="00DA7739" w:rsidRPr="00A335CB" w:rsidRDefault="00DA7739" w:rsidP="00DA7739">
      <w:pPr>
        <w:autoSpaceDE w:val="0"/>
        <w:autoSpaceDN w:val="0"/>
        <w:adjustRightInd w:val="0"/>
        <w:spacing w:after="0" w:line="276" w:lineRule="auto"/>
        <w:jc w:val="both"/>
        <w:rPr>
          <w:rFonts w:ascii="Arial" w:eastAsia="Times New Roman" w:hAnsi="Arial" w:cs="Arial"/>
          <w:sz w:val="20"/>
          <w:szCs w:val="20"/>
          <w:lang w:eastAsia="sl-SI"/>
        </w:rPr>
      </w:pPr>
    </w:p>
    <w:p w14:paraId="174908BE" w14:textId="035A6A7F" w:rsidR="008D3F61" w:rsidRPr="00A335CB" w:rsidRDefault="00CB1CD5" w:rsidP="00DA7739">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MNZ</w:t>
      </w:r>
      <w:r w:rsidR="008D3F61" w:rsidRPr="00A335CB">
        <w:rPr>
          <w:rFonts w:ascii="Arial" w:hAnsi="Arial" w:cs="Arial"/>
          <w:sz w:val="20"/>
          <w:szCs w:val="20"/>
        </w:rPr>
        <w:t xml:space="preserve"> je v skladu s svojimi pristojnos</w:t>
      </w:r>
      <w:r w:rsidRPr="00A335CB">
        <w:rPr>
          <w:rFonts w:ascii="Arial" w:hAnsi="Arial" w:cs="Arial"/>
          <w:sz w:val="20"/>
          <w:szCs w:val="20"/>
        </w:rPr>
        <w:t>tmi, usmeritvami in interesi</w:t>
      </w:r>
      <w:r w:rsidR="008D3F61" w:rsidRPr="00A335CB">
        <w:rPr>
          <w:rFonts w:ascii="Arial" w:hAnsi="Arial" w:cs="Arial"/>
          <w:sz w:val="20"/>
          <w:szCs w:val="20"/>
        </w:rPr>
        <w:t xml:space="preserve">, </w:t>
      </w:r>
      <w:r w:rsidR="004F3C5B">
        <w:rPr>
          <w:rFonts w:ascii="Arial" w:hAnsi="Arial" w:cs="Arial"/>
          <w:sz w:val="20"/>
          <w:szCs w:val="20"/>
        </w:rPr>
        <w:t>v skladu</w:t>
      </w:r>
      <w:r w:rsidR="004F3C5B" w:rsidRPr="00A335CB">
        <w:rPr>
          <w:rFonts w:ascii="Arial" w:hAnsi="Arial" w:cs="Arial"/>
          <w:sz w:val="20"/>
          <w:szCs w:val="20"/>
        </w:rPr>
        <w:t xml:space="preserve"> </w:t>
      </w:r>
      <w:r w:rsidR="008D3F61" w:rsidRPr="00A335CB">
        <w:rPr>
          <w:rFonts w:ascii="Arial" w:hAnsi="Arial" w:cs="Arial"/>
          <w:sz w:val="20"/>
          <w:szCs w:val="20"/>
        </w:rPr>
        <w:t>s Strategijo sodelovanja RS v mednarodnih operacijah in misijah, skrbel</w:t>
      </w:r>
      <w:r w:rsidRPr="00A335CB">
        <w:rPr>
          <w:rFonts w:ascii="Arial" w:hAnsi="Arial" w:cs="Arial"/>
          <w:sz w:val="20"/>
          <w:szCs w:val="20"/>
        </w:rPr>
        <w:t>o</w:t>
      </w:r>
      <w:r w:rsidR="008D3F61" w:rsidRPr="00A335CB">
        <w:rPr>
          <w:rFonts w:ascii="Arial" w:hAnsi="Arial" w:cs="Arial"/>
          <w:sz w:val="20"/>
          <w:szCs w:val="20"/>
        </w:rPr>
        <w:t xml:space="preserve"> za celovit pristop in nabor zmogljivosti za sodelovanje na področju </w:t>
      </w:r>
      <w:proofErr w:type="spellStart"/>
      <w:r w:rsidR="008D3F61" w:rsidRPr="00A335CB">
        <w:rPr>
          <w:rFonts w:ascii="Arial" w:hAnsi="Arial" w:cs="Arial"/>
          <w:sz w:val="20"/>
          <w:szCs w:val="20"/>
        </w:rPr>
        <w:t>civilnokriznega</w:t>
      </w:r>
      <w:proofErr w:type="spellEnd"/>
      <w:r w:rsidR="008D3F61" w:rsidRPr="00A335CB">
        <w:rPr>
          <w:rFonts w:ascii="Arial" w:hAnsi="Arial" w:cs="Arial"/>
          <w:sz w:val="20"/>
          <w:szCs w:val="20"/>
        </w:rPr>
        <w:t xml:space="preserve"> upravljanja. Za zagotavljanje celovitega p</w:t>
      </w:r>
      <w:r w:rsidRPr="00A335CB">
        <w:rPr>
          <w:rFonts w:ascii="Arial" w:hAnsi="Arial" w:cs="Arial"/>
          <w:sz w:val="20"/>
          <w:szCs w:val="20"/>
        </w:rPr>
        <w:t>ristopa je MNZ</w:t>
      </w:r>
      <w:r w:rsidR="008D3F61" w:rsidRPr="00A335CB">
        <w:rPr>
          <w:rFonts w:ascii="Arial" w:hAnsi="Arial" w:cs="Arial"/>
          <w:sz w:val="20"/>
          <w:szCs w:val="20"/>
        </w:rPr>
        <w:t xml:space="preserve"> skrbel</w:t>
      </w:r>
      <w:r w:rsidRPr="00A335CB">
        <w:rPr>
          <w:rFonts w:ascii="Arial" w:hAnsi="Arial" w:cs="Arial"/>
          <w:sz w:val="20"/>
          <w:szCs w:val="20"/>
        </w:rPr>
        <w:t>o</w:t>
      </w:r>
      <w:r w:rsidR="008D3F61" w:rsidRPr="00A335CB">
        <w:rPr>
          <w:rFonts w:ascii="Arial" w:hAnsi="Arial" w:cs="Arial"/>
          <w:sz w:val="20"/>
          <w:szCs w:val="20"/>
        </w:rPr>
        <w:t xml:space="preserve"> za usklajeno delovanje in učinkovitost ter komplementarnost med mednarodnimi in drugimi organizacijami ter subjekti </w:t>
      </w:r>
      <w:r w:rsidR="00E36597">
        <w:rPr>
          <w:rFonts w:ascii="Arial" w:hAnsi="Arial" w:cs="Arial"/>
          <w:sz w:val="20"/>
          <w:szCs w:val="20"/>
        </w:rPr>
        <w:t>državne</w:t>
      </w:r>
      <w:r w:rsidR="00E36597" w:rsidRPr="00A335CB">
        <w:rPr>
          <w:rFonts w:ascii="Arial" w:hAnsi="Arial" w:cs="Arial"/>
          <w:sz w:val="20"/>
          <w:szCs w:val="20"/>
        </w:rPr>
        <w:t xml:space="preserve"> </w:t>
      </w:r>
      <w:r w:rsidR="008D3F61" w:rsidRPr="00A335CB">
        <w:rPr>
          <w:rFonts w:ascii="Arial" w:hAnsi="Arial" w:cs="Arial"/>
          <w:sz w:val="20"/>
          <w:szCs w:val="20"/>
        </w:rPr>
        <w:t xml:space="preserve">varnosti in drugimi </w:t>
      </w:r>
      <w:r w:rsidR="00670EF4">
        <w:rPr>
          <w:rFonts w:ascii="Arial" w:hAnsi="Arial" w:cs="Arial"/>
          <w:sz w:val="20"/>
          <w:szCs w:val="20"/>
        </w:rPr>
        <w:t>s tem povezanimi</w:t>
      </w:r>
      <w:r w:rsidR="00670EF4" w:rsidRPr="00A335CB">
        <w:rPr>
          <w:rFonts w:ascii="Arial" w:hAnsi="Arial" w:cs="Arial"/>
          <w:sz w:val="20"/>
          <w:szCs w:val="20"/>
        </w:rPr>
        <w:t xml:space="preserve"> </w:t>
      </w:r>
      <w:r w:rsidR="000C5EF6">
        <w:rPr>
          <w:rFonts w:ascii="Arial" w:hAnsi="Arial" w:cs="Arial"/>
          <w:sz w:val="20"/>
          <w:szCs w:val="20"/>
        </w:rPr>
        <w:t>državnimi</w:t>
      </w:r>
      <w:r w:rsidR="000C5EF6" w:rsidRPr="00A335CB">
        <w:rPr>
          <w:rFonts w:ascii="Arial" w:hAnsi="Arial" w:cs="Arial"/>
          <w:sz w:val="20"/>
          <w:szCs w:val="20"/>
        </w:rPr>
        <w:t xml:space="preserve"> </w:t>
      </w:r>
      <w:r w:rsidR="008D3F61" w:rsidRPr="00A335CB">
        <w:rPr>
          <w:rFonts w:ascii="Arial" w:hAnsi="Arial" w:cs="Arial"/>
          <w:sz w:val="20"/>
          <w:szCs w:val="20"/>
        </w:rPr>
        <w:t>subjekti.</w:t>
      </w:r>
    </w:p>
    <w:p w14:paraId="4D58991A" w14:textId="77777777" w:rsidR="00CB1CD5" w:rsidRPr="00A335CB" w:rsidRDefault="00CB1CD5" w:rsidP="00DA7739">
      <w:pPr>
        <w:autoSpaceDE w:val="0"/>
        <w:autoSpaceDN w:val="0"/>
        <w:adjustRightInd w:val="0"/>
        <w:spacing w:after="0" w:line="276" w:lineRule="auto"/>
        <w:jc w:val="both"/>
        <w:rPr>
          <w:rFonts w:ascii="Arial" w:eastAsia="Times New Roman" w:hAnsi="Arial" w:cs="Arial"/>
          <w:sz w:val="20"/>
          <w:szCs w:val="20"/>
          <w:lang w:eastAsia="sl-SI"/>
        </w:rPr>
      </w:pPr>
    </w:p>
    <w:p w14:paraId="67E10CB4" w14:textId="0507883E" w:rsidR="008D3F61" w:rsidRPr="00A335CB" w:rsidRDefault="00CB1CD5" w:rsidP="00DA7739">
      <w:pPr>
        <w:spacing w:after="0" w:line="276" w:lineRule="auto"/>
        <w:jc w:val="both"/>
        <w:rPr>
          <w:rFonts w:ascii="Arial" w:hAnsi="Arial" w:cs="Arial"/>
          <w:sz w:val="20"/>
          <w:szCs w:val="20"/>
        </w:rPr>
      </w:pPr>
      <w:r w:rsidRPr="00A335CB">
        <w:rPr>
          <w:rFonts w:ascii="Arial" w:hAnsi="Arial" w:cs="Arial"/>
          <w:sz w:val="20"/>
          <w:szCs w:val="20"/>
        </w:rPr>
        <w:t>MNZ je v letu 2024 aktivno delovalo</w:t>
      </w:r>
      <w:r w:rsidR="008D3F61" w:rsidRPr="00A335CB">
        <w:rPr>
          <w:rFonts w:ascii="Arial" w:hAnsi="Arial" w:cs="Arial"/>
          <w:sz w:val="20"/>
          <w:szCs w:val="20"/>
        </w:rPr>
        <w:t xml:space="preserve"> na področju sklepanja mednarodnih pogodb in </w:t>
      </w:r>
      <w:proofErr w:type="spellStart"/>
      <w:r w:rsidR="008D3F61" w:rsidRPr="00A335CB">
        <w:rPr>
          <w:rFonts w:ascii="Arial" w:hAnsi="Arial" w:cs="Arial"/>
          <w:sz w:val="20"/>
          <w:szCs w:val="20"/>
        </w:rPr>
        <w:t>nepogodbenih</w:t>
      </w:r>
      <w:proofErr w:type="spellEnd"/>
      <w:r w:rsidR="008D3F61" w:rsidRPr="00A335CB">
        <w:rPr>
          <w:rFonts w:ascii="Arial" w:hAnsi="Arial" w:cs="Arial"/>
          <w:sz w:val="20"/>
          <w:szCs w:val="20"/>
        </w:rPr>
        <w:t xml:space="preserve"> aktov na področju notranjih zadev in policijskega sod</w:t>
      </w:r>
      <w:r w:rsidRPr="00A335CB">
        <w:rPr>
          <w:rFonts w:ascii="Arial" w:hAnsi="Arial" w:cs="Arial"/>
          <w:sz w:val="20"/>
          <w:szCs w:val="20"/>
        </w:rPr>
        <w:t xml:space="preserve">elovanja. Posebej bi </w:t>
      </w:r>
      <w:r w:rsidR="00E36597">
        <w:rPr>
          <w:rFonts w:ascii="Arial" w:hAnsi="Arial" w:cs="Arial"/>
          <w:sz w:val="20"/>
          <w:szCs w:val="20"/>
        </w:rPr>
        <w:t>omenilo</w:t>
      </w:r>
      <w:r w:rsidR="00E36597" w:rsidRPr="00A335CB">
        <w:rPr>
          <w:rFonts w:ascii="Arial" w:hAnsi="Arial" w:cs="Arial"/>
          <w:sz w:val="20"/>
          <w:szCs w:val="20"/>
        </w:rPr>
        <w:t xml:space="preserve"> </w:t>
      </w:r>
      <w:r w:rsidR="008D3F61" w:rsidRPr="00A335CB">
        <w:rPr>
          <w:rFonts w:ascii="Arial" w:hAnsi="Arial" w:cs="Arial"/>
          <w:sz w:val="20"/>
          <w:szCs w:val="20"/>
        </w:rPr>
        <w:t xml:space="preserve">Konvencijo o zmanjšanju števila oseb brez državljanstva (1961) in pripravo pravnih podlag za sodelovanje </w:t>
      </w:r>
      <w:r w:rsidR="000C5EF6">
        <w:rPr>
          <w:rFonts w:ascii="Arial" w:hAnsi="Arial" w:cs="Arial"/>
          <w:sz w:val="20"/>
          <w:szCs w:val="20"/>
        </w:rPr>
        <w:t>p</w:t>
      </w:r>
      <w:r w:rsidR="000C5EF6" w:rsidRPr="00A335CB">
        <w:rPr>
          <w:rFonts w:ascii="Arial" w:hAnsi="Arial" w:cs="Arial"/>
          <w:sz w:val="20"/>
          <w:szCs w:val="20"/>
        </w:rPr>
        <w:t xml:space="preserve">olicije </w:t>
      </w:r>
      <w:r w:rsidR="008D3F61" w:rsidRPr="00A335CB">
        <w:rPr>
          <w:rFonts w:ascii="Arial" w:hAnsi="Arial" w:cs="Arial"/>
          <w:sz w:val="20"/>
          <w:szCs w:val="20"/>
        </w:rPr>
        <w:t xml:space="preserve">na EURO 2024 v Nemčiji in </w:t>
      </w:r>
      <w:r w:rsidR="000C5EF6">
        <w:rPr>
          <w:rFonts w:ascii="Arial" w:hAnsi="Arial" w:cs="Arial"/>
          <w:sz w:val="20"/>
          <w:szCs w:val="20"/>
        </w:rPr>
        <w:t>o</w:t>
      </w:r>
      <w:r w:rsidR="000C5EF6" w:rsidRPr="00A335CB">
        <w:rPr>
          <w:rFonts w:ascii="Arial" w:hAnsi="Arial" w:cs="Arial"/>
          <w:sz w:val="20"/>
          <w:szCs w:val="20"/>
        </w:rPr>
        <w:t xml:space="preserve">limpijskih </w:t>
      </w:r>
      <w:r w:rsidR="008D3F61" w:rsidRPr="00A335CB">
        <w:rPr>
          <w:rFonts w:ascii="Arial" w:hAnsi="Arial" w:cs="Arial"/>
          <w:sz w:val="20"/>
          <w:szCs w:val="20"/>
        </w:rPr>
        <w:t>igrah v Parizu.</w:t>
      </w:r>
    </w:p>
    <w:p w14:paraId="68F710F1" w14:textId="77777777" w:rsidR="00DA7739" w:rsidRPr="00A335CB" w:rsidRDefault="00DA7739" w:rsidP="005D1A90">
      <w:pPr>
        <w:spacing w:after="0" w:line="276" w:lineRule="auto"/>
        <w:jc w:val="both"/>
        <w:rPr>
          <w:rFonts w:ascii="Arial" w:eastAsia="Times New Roman" w:hAnsi="Arial" w:cs="Arial"/>
          <w:sz w:val="20"/>
          <w:szCs w:val="20"/>
          <w:lang w:eastAsia="sl-SI"/>
        </w:rPr>
      </w:pPr>
    </w:p>
    <w:p w14:paraId="3FB1519F" w14:textId="1FB7D980" w:rsidR="008D3F61" w:rsidRPr="00A335CB" w:rsidRDefault="008D3F61" w:rsidP="005D1A90">
      <w:pPr>
        <w:spacing w:after="0" w:line="276" w:lineRule="auto"/>
        <w:jc w:val="both"/>
        <w:rPr>
          <w:rFonts w:ascii="Arial" w:hAnsi="Arial" w:cs="Arial"/>
          <w:b/>
          <w:bCs/>
          <w:sz w:val="20"/>
          <w:szCs w:val="20"/>
        </w:rPr>
      </w:pPr>
      <w:r w:rsidRPr="00ED7864">
        <w:rPr>
          <w:rFonts w:ascii="Arial" w:eastAsia="Times New Roman" w:hAnsi="Arial" w:cs="Arial"/>
          <w:sz w:val="20"/>
          <w:szCs w:val="20"/>
          <w:lang w:eastAsia="sl-SI"/>
        </w:rPr>
        <w:t xml:space="preserve">Za vsa potrebna logistična opravila v okviru projekta </w:t>
      </w:r>
      <w:r w:rsidR="000C5EF6" w:rsidRPr="00ED7864">
        <w:rPr>
          <w:rFonts w:ascii="Arial" w:eastAsia="Times New Roman" w:hAnsi="Arial" w:cs="Arial"/>
          <w:sz w:val="20"/>
          <w:szCs w:val="20"/>
          <w:lang w:eastAsia="sl-SI"/>
        </w:rPr>
        <w:t>»</w:t>
      </w:r>
      <w:r w:rsidRPr="00ED7864">
        <w:rPr>
          <w:rFonts w:ascii="Arial" w:eastAsia="Times New Roman" w:hAnsi="Arial" w:cs="Arial"/>
          <w:sz w:val="20"/>
          <w:szCs w:val="20"/>
          <w:lang w:eastAsia="sl-SI"/>
        </w:rPr>
        <w:t xml:space="preserve">EU sodelovanje predstavnikov MNZ in </w:t>
      </w:r>
      <w:r w:rsidR="000C5EF6" w:rsidRPr="00ED7864">
        <w:rPr>
          <w:rFonts w:ascii="Arial" w:eastAsia="Times New Roman" w:hAnsi="Arial" w:cs="Arial"/>
          <w:sz w:val="20"/>
          <w:szCs w:val="20"/>
          <w:lang w:eastAsia="sl-SI"/>
        </w:rPr>
        <w:t>policije«</w:t>
      </w:r>
      <w:r w:rsidRPr="00ED7864">
        <w:rPr>
          <w:rFonts w:ascii="Arial" w:eastAsia="Times New Roman" w:hAnsi="Arial" w:cs="Arial"/>
          <w:sz w:val="20"/>
          <w:szCs w:val="20"/>
          <w:lang w:eastAsia="sl-SI"/>
        </w:rPr>
        <w:t xml:space="preserve"> je v letu</w:t>
      </w:r>
      <w:r w:rsidRPr="00A335CB">
        <w:rPr>
          <w:rFonts w:ascii="Arial" w:eastAsia="Times New Roman" w:hAnsi="Arial" w:cs="Arial"/>
          <w:sz w:val="20"/>
          <w:szCs w:val="20"/>
          <w:lang w:eastAsia="sl-SI"/>
        </w:rPr>
        <w:t xml:space="preserve"> 2024 poskrbel</w:t>
      </w:r>
      <w:r w:rsidR="00CB1CD5" w:rsidRPr="00A335CB">
        <w:rPr>
          <w:rFonts w:ascii="Arial" w:eastAsia="Times New Roman" w:hAnsi="Arial" w:cs="Arial"/>
          <w:sz w:val="20"/>
          <w:szCs w:val="20"/>
          <w:lang w:eastAsia="sl-SI"/>
        </w:rPr>
        <w:t>a</w:t>
      </w:r>
      <w:r w:rsidRPr="00A335CB">
        <w:rPr>
          <w:rFonts w:ascii="Arial" w:eastAsia="Times New Roman" w:hAnsi="Arial" w:cs="Arial"/>
          <w:sz w:val="20"/>
          <w:szCs w:val="20"/>
          <w:lang w:eastAsia="sl-SI"/>
        </w:rPr>
        <w:t xml:space="preserve"> SEZMS, ki je na podlagi sklepa ministra poskrbel</w:t>
      </w:r>
      <w:r w:rsidR="00CB1CD5" w:rsidRPr="00A335CB">
        <w:rPr>
          <w:rFonts w:ascii="Arial" w:eastAsia="Times New Roman" w:hAnsi="Arial" w:cs="Arial"/>
          <w:sz w:val="20"/>
          <w:szCs w:val="20"/>
          <w:lang w:eastAsia="sl-SI"/>
        </w:rPr>
        <w:t>a</w:t>
      </w:r>
      <w:r w:rsidRPr="00A335CB">
        <w:rPr>
          <w:rFonts w:ascii="Arial" w:eastAsia="Times New Roman" w:hAnsi="Arial" w:cs="Arial"/>
          <w:sz w:val="20"/>
          <w:szCs w:val="20"/>
          <w:lang w:eastAsia="sl-SI"/>
        </w:rPr>
        <w:t xml:space="preserve"> za pripravo in obračun potnih nalogov, rezervacijo letalskih </w:t>
      </w:r>
      <w:r w:rsidR="000C5EF6">
        <w:rPr>
          <w:rFonts w:ascii="Arial" w:eastAsia="Times New Roman" w:hAnsi="Arial" w:cs="Arial"/>
          <w:sz w:val="20"/>
          <w:szCs w:val="20"/>
          <w:lang w:eastAsia="sl-SI"/>
        </w:rPr>
        <w:t>vozovnic</w:t>
      </w:r>
      <w:r w:rsidR="000C5EF6"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 xml:space="preserve">in hotelov za vse udeležence zasedanj v Bruslju oziroma drugje, ne glede na to, iz katere organizacijske enote </w:t>
      </w:r>
      <w:r w:rsidR="000C5EF6">
        <w:rPr>
          <w:rFonts w:ascii="Arial" w:eastAsia="Times New Roman" w:hAnsi="Arial" w:cs="Arial"/>
          <w:sz w:val="20"/>
          <w:szCs w:val="20"/>
          <w:lang w:eastAsia="sl-SI"/>
        </w:rPr>
        <w:t xml:space="preserve">prihajajo </w:t>
      </w:r>
      <w:r w:rsidRPr="00A335CB">
        <w:rPr>
          <w:rFonts w:ascii="Arial" w:eastAsia="Times New Roman" w:hAnsi="Arial" w:cs="Arial"/>
          <w:sz w:val="20"/>
          <w:szCs w:val="20"/>
          <w:lang w:eastAsia="sl-SI"/>
        </w:rPr>
        <w:t xml:space="preserve">nacionalni delegati oziroma eksperti. V letu 2024 je bila urejena potrebna logistika za 381 službenih poti. Hkrati je bila zagotovljena tudi popolna logistična podpora ministru pri njegovih poteh v tujino. </w:t>
      </w:r>
    </w:p>
    <w:p w14:paraId="3A491570" w14:textId="77777777" w:rsidR="001C6D21" w:rsidRPr="00A335CB" w:rsidRDefault="001C6D21" w:rsidP="005D1A90">
      <w:pPr>
        <w:spacing w:after="0" w:line="276" w:lineRule="auto"/>
        <w:jc w:val="both"/>
        <w:rPr>
          <w:rFonts w:ascii="Arial" w:hAnsi="Arial" w:cs="Arial"/>
          <w:b/>
          <w:bCs/>
          <w:sz w:val="20"/>
          <w:szCs w:val="20"/>
        </w:rPr>
      </w:pPr>
    </w:p>
    <w:p w14:paraId="3ED0541D" w14:textId="594F57E2" w:rsidR="00310F1D" w:rsidRPr="00A335CB" w:rsidRDefault="00590E45" w:rsidP="005D1A90">
      <w:pPr>
        <w:pStyle w:val="Naslov1"/>
        <w:spacing w:after="0" w:line="276" w:lineRule="auto"/>
        <w:jc w:val="both"/>
        <w:rPr>
          <w:color w:val="auto"/>
        </w:rPr>
      </w:pPr>
      <w:bookmarkStart w:id="86" w:name="_Toc203552995"/>
      <w:r w:rsidRPr="00A335CB">
        <w:rPr>
          <w:color w:val="auto"/>
        </w:rPr>
        <w:t>Preprečevanje in boj proti trgovini z ljudmi</w:t>
      </w:r>
      <w:bookmarkEnd w:id="86"/>
    </w:p>
    <w:p w14:paraId="2582C274" w14:textId="77777777" w:rsidR="00517DF2" w:rsidRPr="00A335CB" w:rsidRDefault="00517DF2" w:rsidP="005D1A90">
      <w:pPr>
        <w:spacing w:after="0" w:line="276" w:lineRule="auto"/>
        <w:rPr>
          <w:rFonts w:ascii="Arial" w:hAnsi="Arial" w:cs="Arial"/>
          <w:sz w:val="20"/>
          <w:szCs w:val="20"/>
        </w:rPr>
      </w:pPr>
    </w:p>
    <w:p w14:paraId="647ACCB3" w14:textId="765000CD" w:rsidR="008D3F61" w:rsidRPr="00A335CB" w:rsidRDefault="008D3F61" w:rsidP="005D1A90">
      <w:pPr>
        <w:spacing w:after="0" w:line="276" w:lineRule="auto"/>
        <w:jc w:val="both"/>
        <w:rPr>
          <w:rFonts w:ascii="Arial" w:hAnsi="Arial" w:cs="Arial"/>
          <w:sz w:val="20"/>
          <w:szCs w:val="20"/>
        </w:rPr>
      </w:pPr>
      <w:r w:rsidRPr="00A335CB">
        <w:rPr>
          <w:rFonts w:ascii="Arial" w:hAnsi="Arial" w:cs="Arial"/>
          <w:sz w:val="20"/>
          <w:szCs w:val="20"/>
        </w:rPr>
        <w:t>Služba za preprečevanje in boj proti trgovini z ljudmi (</w:t>
      </w:r>
      <w:r w:rsidR="00CB1CD5" w:rsidRPr="00A335CB">
        <w:rPr>
          <w:rFonts w:ascii="Arial" w:hAnsi="Arial" w:cs="Arial"/>
          <w:sz w:val="20"/>
          <w:szCs w:val="20"/>
        </w:rPr>
        <w:t xml:space="preserve">v nadaljnjem besedilu: </w:t>
      </w:r>
      <w:r w:rsidRPr="00A335CB">
        <w:rPr>
          <w:rFonts w:ascii="Arial" w:hAnsi="Arial" w:cs="Arial"/>
          <w:sz w:val="20"/>
          <w:szCs w:val="20"/>
        </w:rPr>
        <w:t>SPBTL) je v letu 2024 izvajala naloge v okviru svojih pristojnosti in aktivnosti, določene v Akcijskem načrtu za boj proti trgovini z ljudmi za obdobje 2023–2024.</w:t>
      </w:r>
    </w:p>
    <w:p w14:paraId="560BE9FC" w14:textId="77777777" w:rsidR="008D3F61" w:rsidRPr="00A335CB" w:rsidRDefault="008D3F61" w:rsidP="005D1A90">
      <w:pPr>
        <w:spacing w:after="0" w:line="276" w:lineRule="auto"/>
        <w:jc w:val="both"/>
        <w:rPr>
          <w:rFonts w:ascii="Arial" w:hAnsi="Arial" w:cs="Arial"/>
          <w:sz w:val="20"/>
          <w:szCs w:val="20"/>
        </w:rPr>
      </w:pPr>
    </w:p>
    <w:p w14:paraId="221C4529" w14:textId="0BADCB7C" w:rsidR="008D3F61" w:rsidRPr="00A335CB" w:rsidRDefault="008D3F61" w:rsidP="005D1A90">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Vlada Republike Slovenije je 10. 10</w:t>
      </w:r>
      <w:r w:rsidR="00CB1CD5" w:rsidRPr="00A335CB">
        <w:rPr>
          <w:rFonts w:ascii="Arial" w:hAnsi="Arial" w:cs="Arial"/>
          <w:sz w:val="20"/>
          <w:szCs w:val="20"/>
        </w:rPr>
        <w:t>.</w:t>
      </w:r>
      <w:r w:rsidRPr="00A335CB">
        <w:rPr>
          <w:rFonts w:ascii="Arial" w:hAnsi="Arial" w:cs="Arial"/>
          <w:sz w:val="20"/>
          <w:szCs w:val="20"/>
        </w:rPr>
        <w:t xml:space="preserve"> 2024 sprejela </w:t>
      </w:r>
      <w:r w:rsidRPr="002E7F82">
        <w:rPr>
          <w:rFonts w:ascii="Arial" w:hAnsi="Arial" w:cs="Arial"/>
          <w:sz w:val="20"/>
          <w:szCs w:val="20"/>
        </w:rPr>
        <w:t>sklep o spremembi sklepa</w:t>
      </w:r>
      <w:r w:rsidRPr="00A335CB">
        <w:rPr>
          <w:rFonts w:ascii="Arial" w:hAnsi="Arial" w:cs="Arial"/>
          <w:sz w:val="20"/>
          <w:szCs w:val="20"/>
        </w:rPr>
        <w:t xml:space="preserve"> o imenovanju </w:t>
      </w:r>
      <w:r w:rsidR="00660945">
        <w:rPr>
          <w:rFonts w:ascii="Arial" w:hAnsi="Arial" w:cs="Arial"/>
          <w:sz w:val="20"/>
          <w:szCs w:val="20"/>
        </w:rPr>
        <w:t>državne</w:t>
      </w:r>
      <w:r w:rsidR="00660945" w:rsidRPr="00A335CB">
        <w:rPr>
          <w:rFonts w:ascii="Arial" w:hAnsi="Arial" w:cs="Arial"/>
          <w:sz w:val="20"/>
          <w:szCs w:val="20"/>
        </w:rPr>
        <w:t xml:space="preserve"> </w:t>
      </w:r>
      <w:r w:rsidRPr="00A335CB">
        <w:rPr>
          <w:rFonts w:ascii="Arial" w:hAnsi="Arial" w:cs="Arial"/>
          <w:sz w:val="20"/>
          <w:szCs w:val="20"/>
        </w:rPr>
        <w:t>koordinatorice in članov Medresorske delovne skupine za boj proti trgovini z ljudmi</w:t>
      </w:r>
      <w:r w:rsidRPr="00A335CB">
        <w:rPr>
          <w:rFonts w:ascii="Arial" w:hAnsi="Arial" w:cs="Arial"/>
          <w:b/>
          <w:sz w:val="20"/>
          <w:szCs w:val="20"/>
        </w:rPr>
        <w:t xml:space="preserve"> </w:t>
      </w:r>
      <w:r w:rsidRPr="00A335CB">
        <w:rPr>
          <w:rFonts w:ascii="Arial" w:hAnsi="Arial" w:cs="Arial"/>
          <w:sz w:val="20"/>
          <w:szCs w:val="20"/>
        </w:rPr>
        <w:t>(</w:t>
      </w:r>
      <w:r w:rsidR="00CB1CD5" w:rsidRPr="00A335CB">
        <w:rPr>
          <w:rFonts w:ascii="Arial" w:hAnsi="Arial" w:cs="Arial"/>
          <w:sz w:val="20"/>
          <w:szCs w:val="20"/>
        </w:rPr>
        <w:t xml:space="preserve">v nadaljnjem besedilu: </w:t>
      </w:r>
      <w:r w:rsidRPr="00A335CB">
        <w:rPr>
          <w:rFonts w:ascii="Arial" w:hAnsi="Arial" w:cs="Arial"/>
          <w:sz w:val="20"/>
          <w:szCs w:val="20"/>
        </w:rPr>
        <w:t>MDS TZL)</w:t>
      </w:r>
      <w:r w:rsidRPr="00A335CB">
        <w:rPr>
          <w:rFonts w:ascii="Arial" w:hAnsi="Arial" w:cs="Arial"/>
          <w:b/>
          <w:sz w:val="20"/>
          <w:szCs w:val="20"/>
        </w:rPr>
        <w:t>,</w:t>
      </w:r>
      <w:r w:rsidRPr="00A335CB">
        <w:rPr>
          <w:rFonts w:ascii="Arial" w:hAnsi="Arial" w:cs="Arial"/>
          <w:sz w:val="20"/>
          <w:szCs w:val="20"/>
        </w:rPr>
        <w:t xml:space="preserve"> ki se je v letu 2024 sestala štirikrat. MDS TZL je pripravila letno poročilo o svojem delu za leto 2023, s katerim se </w:t>
      </w:r>
      <w:r w:rsidR="00CB1CD5" w:rsidRPr="00A335CB">
        <w:rPr>
          <w:rFonts w:ascii="Arial" w:hAnsi="Arial" w:cs="Arial"/>
          <w:sz w:val="20"/>
          <w:szCs w:val="20"/>
        </w:rPr>
        <w:t>je Vlada RS seznanila 19. 6.</w:t>
      </w:r>
      <w:r w:rsidRPr="00A335CB">
        <w:rPr>
          <w:rFonts w:ascii="Arial" w:hAnsi="Arial" w:cs="Arial"/>
          <w:sz w:val="20"/>
          <w:szCs w:val="20"/>
        </w:rPr>
        <w:t xml:space="preserve"> 2024. Poleg tega je bil z namenom obravnave problematike prepoznavanja in zaščite </w:t>
      </w:r>
      <w:r w:rsidR="00721952">
        <w:rPr>
          <w:rFonts w:ascii="Arial" w:hAnsi="Arial" w:cs="Arial"/>
          <w:sz w:val="20"/>
          <w:szCs w:val="20"/>
        </w:rPr>
        <w:t>morebitnih</w:t>
      </w:r>
      <w:r w:rsidR="00721952" w:rsidRPr="00A335CB">
        <w:rPr>
          <w:rFonts w:ascii="Arial" w:hAnsi="Arial" w:cs="Arial"/>
          <w:sz w:val="20"/>
          <w:szCs w:val="20"/>
        </w:rPr>
        <w:t xml:space="preserve"> </w:t>
      </w:r>
      <w:r w:rsidRPr="00A335CB">
        <w:rPr>
          <w:rFonts w:ascii="Arial" w:hAnsi="Arial" w:cs="Arial"/>
          <w:sz w:val="20"/>
          <w:szCs w:val="20"/>
        </w:rPr>
        <w:t>mladoletnih žrtev med prosilci za mednarodno zaščito enkrat sklican sestanek delovne skupine v ožji sestavi. Prav tako je MDS TZL začela v sodelovanju s Pravnim centrom za varstv</w:t>
      </w:r>
      <w:r w:rsidR="00ED7864">
        <w:rPr>
          <w:rFonts w:ascii="Arial" w:hAnsi="Arial" w:cs="Arial"/>
          <w:sz w:val="20"/>
          <w:szCs w:val="20"/>
        </w:rPr>
        <w:t xml:space="preserve">o človekovih pravic in okolje ter Uradom visokega komisarja Združenih narodov za </w:t>
      </w:r>
      <w:r w:rsidR="00ED7864" w:rsidRPr="00ED7864">
        <w:rPr>
          <w:rFonts w:ascii="Arial" w:hAnsi="Arial" w:cs="Arial"/>
          <w:sz w:val="20"/>
          <w:szCs w:val="20"/>
        </w:rPr>
        <w:t>begunce (</w:t>
      </w:r>
      <w:r w:rsidRPr="00ED7864">
        <w:rPr>
          <w:rFonts w:ascii="Arial" w:hAnsi="Arial" w:cs="Arial"/>
          <w:sz w:val="20"/>
          <w:szCs w:val="20"/>
        </w:rPr>
        <w:t>UNHCR</w:t>
      </w:r>
      <w:r w:rsidR="00ED7864" w:rsidRPr="00ED7864">
        <w:rPr>
          <w:rFonts w:ascii="Arial" w:hAnsi="Arial" w:cs="Arial"/>
          <w:sz w:val="20"/>
          <w:szCs w:val="20"/>
        </w:rPr>
        <w:t>)</w:t>
      </w:r>
      <w:r w:rsidRPr="00ED7864">
        <w:rPr>
          <w:rFonts w:ascii="Arial" w:hAnsi="Arial" w:cs="Arial"/>
          <w:sz w:val="20"/>
          <w:szCs w:val="20"/>
        </w:rPr>
        <w:t xml:space="preserve"> pripravljati</w:t>
      </w:r>
      <w:r w:rsidRPr="00A335CB">
        <w:rPr>
          <w:rFonts w:ascii="Arial" w:hAnsi="Arial" w:cs="Arial"/>
          <w:sz w:val="20"/>
          <w:szCs w:val="20"/>
        </w:rPr>
        <w:t xml:space="preserve"> standardne operativne postopke za </w:t>
      </w:r>
      <w:r w:rsidR="00884204">
        <w:rPr>
          <w:rFonts w:ascii="Arial" w:hAnsi="Arial" w:cs="Arial"/>
          <w:sz w:val="20"/>
          <w:szCs w:val="20"/>
        </w:rPr>
        <w:t>prepoznavanje</w:t>
      </w:r>
      <w:r w:rsidR="00884204" w:rsidRPr="00A335CB">
        <w:rPr>
          <w:rFonts w:ascii="Arial" w:hAnsi="Arial" w:cs="Arial"/>
          <w:sz w:val="20"/>
          <w:szCs w:val="20"/>
        </w:rPr>
        <w:t xml:space="preserve"> </w:t>
      </w:r>
      <w:r w:rsidRPr="00A335CB">
        <w:rPr>
          <w:rFonts w:ascii="Arial" w:hAnsi="Arial" w:cs="Arial"/>
          <w:sz w:val="20"/>
          <w:szCs w:val="20"/>
        </w:rPr>
        <w:t xml:space="preserve">in napotitev mladoletnih žrtev trgovine med prosilci za mednarodno zaščito, ki bodo del Priročnika za identifikacijo, pomoč in zaščito žrtev trgovine z ljudmi. </w:t>
      </w:r>
    </w:p>
    <w:p w14:paraId="3195FCDA" w14:textId="77777777" w:rsidR="008D3F61" w:rsidRPr="00A335CB" w:rsidRDefault="008D3F61" w:rsidP="005D1A90">
      <w:pPr>
        <w:spacing w:after="0" w:line="276" w:lineRule="auto"/>
        <w:jc w:val="both"/>
        <w:rPr>
          <w:rFonts w:ascii="Arial" w:hAnsi="Arial" w:cs="Arial"/>
          <w:sz w:val="20"/>
          <w:szCs w:val="20"/>
        </w:rPr>
      </w:pPr>
    </w:p>
    <w:p w14:paraId="6212118F" w14:textId="417140B4" w:rsidR="008D3F61" w:rsidRPr="00A335CB" w:rsidRDefault="00CB1CD5" w:rsidP="005D1A90">
      <w:pPr>
        <w:spacing w:after="0" w:line="276" w:lineRule="auto"/>
        <w:jc w:val="both"/>
        <w:rPr>
          <w:rFonts w:ascii="Arial" w:hAnsi="Arial" w:cs="Arial"/>
          <w:sz w:val="20"/>
          <w:szCs w:val="20"/>
        </w:rPr>
      </w:pPr>
      <w:r w:rsidRPr="00A335CB">
        <w:rPr>
          <w:rFonts w:ascii="Arial" w:hAnsi="Arial" w:cs="Arial"/>
          <w:sz w:val="20"/>
          <w:szCs w:val="20"/>
        </w:rPr>
        <w:t>Na področju preventive je MNZ</w:t>
      </w:r>
      <w:r w:rsidR="008D3F61" w:rsidRPr="00A335CB">
        <w:rPr>
          <w:rFonts w:ascii="Arial" w:hAnsi="Arial" w:cs="Arial"/>
          <w:sz w:val="20"/>
          <w:szCs w:val="20"/>
        </w:rPr>
        <w:t xml:space="preserve"> v</w:t>
      </w:r>
      <w:r w:rsidRPr="00A335CB">
        <w:rPr>
          <w:rFonts w:ascii="Arial" w:hAnsi="Arial" w:cs="Arial"/>
          <w:sz w:val="20"/>
          <w:szCs w:val="20"/>
        </w:rPr>
        <w:t xml:space="preserve"> šolskem letu 2023/2024 izvedlo</w:t>
      </w:r>
      <w:r w:rsidR="008D3F61" w:rsidRPr="00A335CB">
        <w:rPr>
          <w:rFonts w:ascii="Arial" w:hAnsi="Arial" w:cs="Arial"/>
          <w:sz w:val="20"/>
          <w:szCs w:val="20"/>
        </w:rPr>
        <w:t xml:space="preserve"> 103 delavnice v srednjih šolah ter 99 de</w:t>
      </w:r>
      <w:r w:rsidRPr="00A335CB">
        <w:rPr>
          <w:rFonts w:ascii="Arial" w:hAnsi="Arial" w:cs="Arial"/>
          <w:sz w:val="20"/>
          <w:szCs w:val="20"/>
        </w:rPr>
        <w:t>lavnic v osnovnih šolah, ki</w:t>
      </w:r>
      <w:r w:rsidR="008D3F61" w:rsidRPr="00A335CB">
        <w:rPr>
          <w:rFonts w:ascii="Arial" w:hAnsi="Arial" w:cs="Arial"/>
          <w:sz w:val="20"/>
          <w:szCs w:val="20"/>
        </w:rPr>
        <w:t xml:space="preserve"> se </w:t>
      </w:r>
      <w:r w:rsidRPr="00A335CB">
        <w:rPr>
          <w:rFonts w:ascii="Arial" w:hAnsi="Arial" w:cs="Arial"/>
          <w:sz w:val="20"/>
          <w:szCs w:val="20"/>
        </w:rPr>
        <w:t xml:space="preserve">jih </w:t>
      </w:r>
      <w:r w:rsidR="008D3F61" w:rsidRPr="00A335CB">
        <w:rPr>
          <w:rFonts w:ascii="Arial" w:hAnsi="Arial" w:cs="Arial"/>
          <w:sz w:val="20"/>
          <w:szCs w:val="20"/>
        </w:rPr>
        <w:t>je udeležilo 4</w:t>
      </w:r>
      <w:r w:rsidRPr="00A335CB">
        <w:rPr>
          <w:rFonts w:ascii="Arial" w:hAnsi="Arial" w:cs="Arial"/>
          <w:sz w:val="20"/>
          <w:szCs w:val="20"/>
        </w:rPr>
        <w:t>.</w:t>
      </w:r>
      <w:r w:rsidR="008D3F61" w:rsidRPr="00A335CB">
        <w:rPr>
          <w:rFonts w:ascii="Arial" w:hAnsi="Arial" w:cs="Arial"/>
          <w:sz w:val="20"/>
          <w:szCs w:val="20"/>
        </w:rPr>
        <w:t xml:space="preserve">243 učencev in dijakov. Na delavnicah so poleg učencev </w:t>
      </w:r>
      <w:r w:rsidR="00F40A8E" w:rsidRPr="00A335CB">
        <w:rPr>
          <w:rFonts w:ascii="Arial" w:hAnsi="Arial" w:cs="Arial"/>
          <w:sz w:val="20"/>
          <w:szCs w:val="20"/>
        </w:rPr>
        <w:t>oziroma</w:t>
      </w:r>
      <w:r w:rsidR="008D3F61" w:rsidRPr="00A335CB">
        <w:rPr>
          <w:rFonts w:ascii="Arial" w:hAnsi="Arial" w:cs="Arial"/>
          <w:sz w:val="20"/>
          <w:szCs w:val="20"/>
        </w:rPr>
        <w:t xml:space="preserve"> dijakov prisotni tudi razredni učitelji, pogosto pa tudi socialni pedagogi in vodstvo šole, skupaj jih je bilo 216. V</w:t>
      </w:r>
      <w:r w:rsidRPr="00A335CB">
        <w:rPr>
          <w:rFonts w:ascii="Arial" w:hAnsi="Arial" w:cs="Arial"/>
          <w:sz w:val="20"/>
          <w:szCs w:val="20"/>
        </w:rPr>
        <w:t xml:space="preserve"> šolskem letu 2024/2025</w:t>
      </w:r>
      <w:r w:rsidR="008D3F61" w:rsidRPr="00A335CB">
        <w:rPr>
          <w:rFonts w:ascii="Arial" w:hAnsi="Arial" w:cs="Arial"/>
          <w:sz w:val="20"/>
          <w:szCs w:val="20"/>
        </w:rPr>
        <w:t xml:space="preserve"> je bilo do 31. 12. 2024 izvedenih 28 delavnic v srednjih šolah ter 25 delavnic v osnovnih šolah. Na teh delavnicah je tako v letošnjem šolskem letu sodelovalo že 1</w:t>
      </w:r>
      <w:r w:rsidRPr="00A335CB">
        <w:rPr>
          <w:rFonts w:ascii="Arial" w:hAnsi="Arial" w:cs="Arial"/>
          <w:sz w:val="20"/>
          <w:szCs w:val="20"/>
        </w:rPr>
        <w:t>.</w:t>
      </w:r>
      <w:r w:rsidR="008D3F61" w:rsidRPr="00A335CB">
        <w:rPr>
          <w:rFonts w:ascii="Arial" w:hAnsi="Arial" w:cs="Arial"/>
          <w:sz w:val="20"/>
          <w:szCs w:val="20"/>
        </w:rPr>
        <w:t xml:space="preserve">041 učencev in dijakov ter 61 pedagogov </w:t>
      </w:r>
      <w:r w:rsidR="00F40A8E" w:rsidRPr="00A335CB">
        <w:rPr>
          <w:rFonts w:ascii="Arial" w:hAnsi="Arial" w:cs="Arial"/>
          <w:sz w:val="20"/>
          <w:szCs w:val="20"/>
        </w:rPr>
        <w:t>oziroma</w:t>
      </w:r>
      <w:r w:rsidR="008D3F61" w:rsidRPr="00A335CB">
        <w:rPr>
          <w:rFonts w:ascii="Arial" w:hAnsi="Arial" w:cs="Arial"/>
          <w:sz w:val="20"/>
          <w:szCs w:val="20"/>
        </w:rPr>
        <w:t xml:space="preserve"> drugih strokovnih delavcev na šoli. </w:t>
      </w:r>
    </w:p>
    <w:p w14:paraId="6A387709" w14:textId="77777777" w:rsidR="008D3F61" w:rsidRPr="00A335CB" w:rsidRDefault="008D3F61" w:rsidP="005D1A90">
      <w:pPr>
        <w:spacing w:after="0" w:line="276" w:lineRule="auto"/>
        <w:jc w:val="both"/>
        <w:rPr>
          <w:rFonts w:ascii="Arial" w:hAnsi="Arial" w:cs="Arial"/>
          <w:sz w:val="20"/>
          <w:szCs w:val="20"/>
        </w:rPr>
      </w:pPr>
    </w:p>
    <w:p w14:paraId="6B57CA31" w14:textId="47389E09" w:rsidR="008D3F61" w:rsidRPr="00A335CB" w:rsidRDefault="00CB1CD5" w:rsidP="005D1A90">
      <w:pPr>
        <w:spacing w:after="0" w:line="276" w:lineRule="auto"/>
        <w:jc w:val="both"/>
        <w:rPr>
          <w:rFonts w:ascii="Arial" w:hAnsi="Arial" w:cs="Arial"/>
          <w:sz w:val="20"/>
          <w:szCs w:val="20"/>
        </w:rPr>
      </w:pPr>
      <w:r w:rsidRPr="00A335CB">
        <w:rPr>
          <w:rFonts w:ascii="Arial" w:hAnsi="Arial" w:cs="Arial"/>
          <w:sz w:val="20"/>
          <w:szCs w:val="20"/>
        </w:rPr>
        <w:t>MNZ je sodelovalo</w:t>
      </w:r>
      <w:r w:rsidR="008D3F61" w:rsidRPr="00A335CB">
        <w:rPr>
          <w:rFonts w:ascii="Arial" w:hAnsi="Arial" w:cs="Arial"/>
          <w:sz w:val="20"/>
          <w:szCs w:val="20"/>
        </w:rPr>
        <w:t xml:space="preserve"> pri izvedbi strokovnih usposabljanj za inšpektorje Inšpektorata RS za delo, uslužbence upravnih enot in Finančne uprave</w:t>
      </w:r>
      <w:r w:rsidR="00ED7864">
        <w:rPr>
          <w:rFonts w:ascii="Arial" w:hAnsi="Arial" w:cs="Arial"/>
          <w:sz w:val="20"/>
          <w:szCs w:val="20"/>
        </w:rPr>
        <w:t xml:space="preserve"> Republike Slovenije, in sicer:</w:t>
      </w:r>
    </w:p>
    <w:p w14:paraId="21F4B9A1" w14:textId="4EF095E6" w:rsidR="008D3F61" w:rsidRPr="00A335CB" w:rsidRDefault="000C5EF6" w:rsidP="00ED7864">
      <w:pPr>
        <w:numPr>
          <w:ilvl w:val="0"/>
          <w:numId w:val="38"/>
        </w:numPr>
        <w:spacing w:after="0" w:line="276" w:lineRule="auto"/>
        <w:jc w:val="both"/>
        <w:rPr>
          <w:rFonts w:ascii="Arial" w:hAnsi="Arial" w:cs="Arial"/>
          <w:sz w:val="20"/>
          <w:szCs w:val="20"/>
        </w:rPr>
      </w:pPr>
      <w:r>
        <w:rPr>
          <w:rFonts w:ascii="Arial" w:eastAsia="Times New Roman" w:hAnsi="Arial" w:cs="Arial"/>
          <w:bCs/>
          <w:sz w:val="20"/>
          <w:szCs w:val="20"/>
          <w:lang w:eastAsia="sl-SI"/>
        </w:rPr>
        <w:t>P</w:t>
      </w:r>
      <w:r w:rsidR="00CB1CD5" w:rsidRPr="00A335CB">
        <w:rPr>
          <w:rFonts w:ascii="Arial" w:eastAsia="Times New Roman" w:hAnsi="Arial" w:cs="Arial"/>
          <w:bCs/>
          <w:sz w:val="20"/>
          <w:szCs w:val="20"/>
          <w:lang w:eastAsia="sl-SI"/>
        </w:rPr>
        <w:t>ripravljeno je bilo</w:t>
      </w:r>
      <w:r w:rsidR="008D3F61" w:rsidRPr="00A335CB">
        <w:rPr>
          <w:rFonts w:ascii="Arial" w:eastAsia="Times New Roman" w:hAnsi="Arial" w:cs="Arial"/>
          <w:bCs/>
          <w:sz w:val="20"/>
          <w:szCs w:val="20"/>
          <w:lang w:eastAsia="sl-SI"/>
        </w:rPr>
        <w:t xml:space="preserve"> strokovno usposabljanje za uslužbence</w:t>
      </w:r>
      <w:r w:rsidR="008D3F61" w:rsidRPr="00A335CB">
        <w:rPr>
          <w:rFonts w:ascii="Arial" w:hAnsi="Arial" w:cs="Arial"/>
          <w:sz w:val="20"/>
          <w:szCs w:val="20"/>
        </w:rPr>
        <w:t xml:space="preserve"> mobilnih enot in inšpektorjev za odkrivanje dela na črno. Strokovno usposabljanje je bilo izvedeno 3. 12. 2024 na Generalnem finančnem uradu v Ljubljani, udeležilo pa se ga je 72 uslužbencev. </w:t>
      </w:r>
      <w:r w:rsidR="008D3F61" w:rsidRPr="00A335CB">
        <w:rPr>
          <w:rFonts w:ascii="Arial" w:eastAsia="Times New Roman" w:hAnsi="Arial" w:cs="Arial"/>
          <w:sz w:val="20"/>
          <w:szCs w:val="20"/>
          <w:lang w:eastAsia="sl-SI"/>
        </w:rPr>
        <w:t>Udeleženci strokovnega usposabljanja so se seznanili z aktualnimi trendi trgovine z ljudmi in zakonodajnimi novostmi, pri čemer je bila poudarjena problematika prepoznavanja prisi</w:t>
      </w:r>
      <w:r w:rsidR="00ED7864">
        <w:rPr>
          <w:rFonts w:ascii="Arial" w:eastAsia="Times New Roman" w:hAnsi="Arial" w:cs="Arial"/>
          <w:sz w:val="20"/>
          <w:szCs w:val="20"/>
          <w:lang w:eastAsia="sl-SI"/>
        </w:rPr>
        <w:t>lnega dela oziroma delovnega izk</w:t>
      </w:r>
      <w:r w:rsidR="008D3F61" w:rsidRPr="00A335CB">
        <w:rPr>
          <w:rFonts w:ascii="Arial" w:eastAsia="Times New Roman" w:hAnsi="Arial" w:cs="Arial"/>
          <w:sz w:val="20"/>
          <w:szCs w:val="20"/>
          <w:lang w:eastAsia="sl-SI"/>
        </w:rPr>
        <w:t>oriščanja.</w:t>
      </w:r>
    </w:p>
    <w:p w14:paraId="44822AD5" w14:textId="15EC1F68" w:rsidR="008D3F61" w:rsidRPr="00A335CB" w:rsidRDefault="00CB1CD5" w:rsidP="00ED7864">
      <w:pPr>
        <w:numPr>
          <w:ilvl w:val="0"/>
          <w:numId w:val="38"/>
        </w:numPr>
        <w:spacing w:after="0" w:line="276" w:lineRule="auto"/>
        <w:jc w:val="both"/>
        <w:rPr>
          <w:rFonts w:ascii="Arial" w:hAnsi="Arial" w:cs="Arial"/>
          <w:sz w:val="20"/>
          <w:szCs w:val="20"/>
        </w:rPr>
      </w:pPr>
      <w:r w:rsidRPr="00A335CB">
        <w:rPr>
          <w:rFonts w:ascii="Arial" w:eastAsia="Times New Roman" w:hAnsi="Arial" w:cs="Arial"/>
          <w:bCs/>
          <w:sz w:val="20"/>
          <w:szCs w:val="20"/>
          <w:lang w:eastAsia="sl-SI"/>
        </w:rPr>
        <w:t xml:space="preserve">Pripravljeno je bilo </w:t>
      </w:r>
      <w:r w:rsidR="008D3F61" w:rsidRPr="00A335CB">
        <w:rPr>
          <w:rFonts w:ascii="Arial" w:eastAsia="Times New Roman" w:hAnsi="Arial" w:cs="Arial"/>
          <w:bCs/>
          <w:sz w:val="20"/>
          <w:szCs w:val="20"/>
          <w:lang w:eastAsia="sl-SI"/>
        </w:rPr>
        <w:t xml:space="preserve">strokovno </w:t>
      </w:r>
      <w:r w:rsidR="000C5EF6" w:rsidRPr="00A335CB">
        <w:rPr>
          <w:rFonts w:ascii="Arial" w:eastAsia="Times New Roman" w:hAnsi="Arial" w:cs="Arial"/>
          <w:bCs/>
          <w:sz w:val="20"/>
          <w:szCs w:val="20"/>
          <w:lang w:eastAsia="sl-SI"/>
        </w:rPr>
        <w:t>usposabljanj</w:t>
      </w:r>
      <w:r w:rsidR="000C5EF6">
        <w:rPr>
          <w:rFonts w:ascii="Arial" w:eastAsia="Times New Roman" w:hAnsi="Arial" w:cs="Arial"/>
          <w:bCs/>
          <w:sz w:val="20"/>
          <w:szCs w:val="20"/>
          <w:lang w:eastAsia="sl-SI"/>
        </w:rPr>
        <w:t>e</w:t>
      </w:r>
      <w:r w:rsidR="000C5EF6" w:rsidRPr="00A335CB">
        <w:rPr>
          <w:rFonts w:ascii="Arial" w:eastAsia="Times New Roman" w:hAnsi="Arial" w:cs="Arial"/>
          <w:bCs/>
          <w:sz w:val="20"/>
          <w:szCs w:val="20"/>
          <w:lang w:eastAsia="sl-SI"/>
        </w:rPr>
        <w:t xml:space="preserve"> </w:t>
      </w:r>
      <w:r w:rsidR="008D3F61" w:rsidRPr="00A335CB">
        <w:rPr>
          <w:rFonts w:ascii="Arial" w:eastAsia="Times New Roman" w:hAnsi="Arial" w:cs="Arial"/>
          <w:bCs/>
          <w:sz w:val="20"/>
          <w:szCs w:val="20"/>
          <w:lang w:eastAsia="sl-SI"/>
        </w:rPr>
        <w:t xml:space="preserve">za uslužbence upravnih enot s področja problematike trgovine z ljudmi. Strokovno usposabljanje je potekalo na daljavo </w:t>
      </w:r>
      <w:r w:rsidRPr="00A335CB">
        <w:rPr>
          <w:rFonts w:ascii="Arial" w:eastAsia="Times New Roman" w:hAnsi="Arial" w:cs="Arial"/>
          <w:bCs/>
          <w:sz w:val="20"/>
          <w:szCs w:val="20"/>
          <w:lang w:eastAsia="sl-SI"/>
        </w:rPr>
        <w:t>prek videokonference 8.</w:t>
      </w:r>
      <w:r w:rsidR="000C5EF6">
        <w:rPr>
          <w:rFonts w:ascii="Arial" w:eastAsia="Times New Roman" w:hAnsi="Arial" w:cs="Arial"/>
          <w:bCs/>
          <w:sz w:val="20"/>
          <w:szCs w:val="20"/>
          <w:lang w:eastAsia="sl-SI"/>
        </w:rPr>
        <w:t> </w:t>
      </w:r>
      <w:r w:rsidRPr="00A335CB">
        <w:rPr>
          <w:rFonts w:ascii="Arial" w:eastAsia="Times New Roman" w:hAnsi="Arial" w:cs="Arial"/>
          <w:bCs/>
          <w:sz w:val="20"/>
          <w:szCs w:val="20"/>
          <w:lang w:eastAsia="sl-SI"/>
        </w:rPr>
        <w:t>10.</w:t>
      </w:r>
      <w:r w:rsidR="000C5EF6">
        <w:rPr>
          <w:rFonts w:ascii="Arial" w:eastAsia="Times New Roman" w:hAnsi="Arial" w:cs="Arial"/>
          <w:bCs/>
          <w:sz w:val="20"/>
          <w:szCs w:val="20"/>
          <w:lang w:eastAsia="sl-SI"/>
        </w:rPr>
        <w:t> </w:t>
      </w:r>
      <w:r w:rsidR="008D3F61" w:rsidRPr="00A335CB">
        <w:rPr>
          <w:rFonts w:ascii="Arial" w:eastAsia="Times New Roman" w:hAnsi="Arial" w:cs="Arial"/>
          <w:bCs/>
          <w:sz w:val="20"/>
          <w:szCs w:val="20"/>
          <w:lang w:eastAsia="sl-SI"/>
        </w:rPr>
        <w:t xml:space="preserve">2024 in je bilo </w:t>
      </w:r>
      <w:r w:rsidR="008D3F61" w:rsidRPr="00A335CB">
        <w:rPr>
          <w:rFonts w:ascii="Arial" w:hAnsi="Arial" w:cs="Arial"/>
          <w:sz w:val="20"/>
          <w:szCs w:val="20"/>
        </w:rPr>
        <w:t xml:space="preserve">namenjeno uslužbencem upravnih enot, še zlasti tistih, ki opravljajo delo matičarjev, saj se ti ob sklenitvi zakonske zveze lahko srečajo tudi s pojavom prisilnih porok. Usposabljanja na daljavo se je udeležilo 219 uslužbencev upravnih enot. Poleg matičarjev so bili na tem usposabljanju prisotni še </w:t>
      </w:r>
      <w:r w:rsidR="008D3F61" w:rsidRPr="00A335CB">
        <w:rPr>
          <w:rFonts w:ascii="Arial" w:hAnsi="Arial" w:cs="Arial"/>
          <w:sz w:val="20"/>
          <w:szCs w:val="20"/>
          <w:lang w:eastAsia="sl-SI"/>
        </w:rPr>
        <w:t>uslužbenci, ki se ukvarjajo z izdajo enotnih dovoljenj za prebivanje in delo tujcem izven EU.</w:t>
      </w:r>
    </w:p>
    <w:p w14:paraId="5827E863" w14:textId="1E7D9613" w:rsidR="008D3F61" w:rsidRPr="00A335CB" w:rsidRDefault="00CB1CD5" w:rsidP="00DA7739">
      <w:pPr>
        <w:numPr>
          <w:ilvl w:val="0"/>
          <w:numId w:val="38"/>
        </w:numPr>
        <w:spacing w:after="0" w:line="276" w:lineRule="auto"/>
        <w:jc w:val="both"/>
        <w:rPr>
          <w:rFonts w:ascii="Arial" w:eastAsia="Times New Roman" w:hAnsi="Arial" w:cs="Arial"/>
          <w:bCs/>
          <w:sz w:val="20"/>
          <w:szCs w:val="20"/>
          <w:lang w:eastAsia="sl-SI"/>
        </w:rPr>
      </w:pPr>
      <w:r w:rsidRPr="00A335CB">
        <w:rPr>
          <w:rFonts w:ascii="Arial" w:eastAsia="Times New Roman" w:hAnsi="Arial" w:cs="Arial"/>
          <w:bCs/>
          <w:sz w:val="20"/>
          <w:szCs w:val="20"/>
          <w:lang w:eastAsia="sl-SI"/>
        </w:rPr>
        <w:t xml:space="preserve">Pripravljeno je bilo </w:t>
      </w:r>
      <w:r w:rsidR="008D3F61" w:rsidRPr="00A335CB">
        <w:rPr>
          <w:rFonts w:ascii="Arial" w:eastAsia="Times New Roman" w:hAnsi="Arial" w:cs="Arial"/>
          <w:bCs/>
          <w:sz w:val="20"/>
          <w:szCs w:val="20"/>
          <w:lang w:eastAsia="sl-SI"/>
        </w:rPr>
        <w:t xml:space="preserve">strokovno usposabljanje za inšpektorje Inšpektorata RS za delo s področja problematike trgovine z ljudmi s poudarkom na prisilnem delu </w:t>
      </w:r>
      <w:r w:rsidR="00F40A8E" w:rsidRPr="00A335CB">
        <w:rPr>
          <w:rFonts w:ascii="Arial" w:eastAsia="Times New Roman" w:hAnsi="Arial" w:cs="Arial"/>
          <w:bCs/>
          <w:sz w:val="20"/>
          <w:szCs w:val="20"/>
          <w:lang w:eastAsia="sl-SI"/>
        </w:rPr>
        <w:t>oziroma</w:t>
      </w:r>
      <w:r w:rsidR="008D3F61" w:rsidRPr="00A335CB">
        <w:rPr>
          <w:rFonts w:ascii="Arial" w:eastAsia="Times New Roman" w:hAnsi="Arial" w:cs="Arial"/>
          <w:bCs/>
          <w:sz w:val="20"/>
          <w:szCs w:val="20"/>
          <w:lang w:eastAsia="sl-SI"/>
        </w:rPr>
        <w:t xml:space="preserve"> delovnem izkoriščanju kot enega od namenov trgovanja z ljudmi. Predstavljene so bile tudi Smernice za inšpektorje za delo – prepoznava žrtev trgovine z ljudmi ter Priročnik za delodajalce – Preprečite prisilno delo. Strokovno usposabljanje je bilo izvedeno 12. </w:t>
      </w:r>
      <w:r w:rsidR="000C5EF6">
        <w:rPr>
          <w:rFonts w:ascii="Arial" w:eastAsia="Times New Roman" w:hAnsi="Arial" w:cs="Arial"/>
          <w:bCs/>
          <w:sz w:val="20"/>
          <w:szCs w:val="20"/>
          <w:lang w:eastAsia="sl-SI"/>
        </w:rPr>
        <w:t>12.</w:t>
      </w:r>
      <w:r w:rsidR="000C5EF6" w:rsidRPr="00A335CB">
        <w:rPr>
          <w:rFonts w:ascii="Arial" w:eastAsia="Times New Roman" w:hAnsi="Arial" w:cs="Arial"/>
          <w:bCs/>
          <w:sz w:val="20"/>
          <w:szCs w:val="20"/>
          <w:lang w:eastAsia="sl-SI"/>
        </w:rPr>
        <w:t xml:space="preserve"> </w:t>
      </w:r>
      <w:r w:rsidR="008D3F61" w:rsidRPr="00A335CB">
        <w:rPr>
          <w:rFonts w:ascii="Arial" w:eastAsia="Times New Roman" w:hAnsi="Arial" w:cs="Arial"/>
          <w:bCs/>
          <w:sz w:val="20"/>
          <w:szCs w:val="20"/>
          <w:lang w:eastAsia="sl-SI"/>
        </w:rPr>
        <w:t xml:space="preserve">2024 v kraju Olimje, udeležilo pa se ga je 130 inšpektorjev. </w:t>
      </w:r>
    </w:p>
    <w:p w14:paraId="1CD3D473" w14:textId="77777777" w:rsidR="00DA7739" w:rsidRPr="00A335CB" w:rsidRDefault="00DA7739" w:rsidP="005D1A90">
      <w:pPr>
        <w:tabs>
          <w:tab w:val="left" w:pos="5550"/>
        </w:tabs>
        <w:spacing w:after="0" w:line="276" w:lineRule="auto"/>
        <w:jc w:val="both"/>
        <w:rPr>
          <w:rFonts w:ascii="Arial" w:hAnsi="Arial" w:cs="Arial"/>
          <w:sz w:val="20"/>
          <w:szCs w:val="20"/>
        </w:rPr>
      </w:pPr>
    </w:p>
    <w:p w14:paraId="0E0AFC14" w14:textId="41D34173" w:rsidR="008D3F61" w:rsidRPr="00A335CB" w:rsidRDefault="008D3F61" w:rsidP="005D1A90">
      <w:pPr>
        <w:tabs>
          <w:tab w:val="left" w:pos="5550"/>
        </w:tabs>
        <w:spacing w:after="0" w:line="276" w:lineRule="auto"/>
        <w:jc w:val="both"/>
        <w:rPr>
          <w:rFonts w:ascii="Arial" w:hAnsi="Arial" w:cs="Arial"/>
          <w:sz w:val="20"/>
          <w:szCs w:val="20"/>
        </w:rPr>
      </w:pPr>
      <w:r w:rsidRPr="00A335CB">
        <w:rPr>
          <w:rFonts w:ascii="Arial" w:hAnsi="Arial" w:cs="Arial"/>
          <w:sz w:val="20"/>
          <w:szCs w:val="20"/>
        </w:rPr>
        <w:t xml:space="preserve">Ob evropskem dnevu boja proti trgovini z ljudmi je MNZ v sodelovanju z </w:t>
      </w:r>
      <w:r w:rsidRPr="002E7F82">
        <w:rPr>
          <w:rFonts w:ascii="Arial" w:hAnsi="Arial" w:cs="Arial"/>
          <w:sz w:val="20"/>
          <w:szCs w:val="20"/>
        </w:rPr>
        <w:t>Društvom Ključ</w:t>
      </w:r>
      <w:r w:rsidRPr="00A335CB">
        <w:rPr>
          <w:rFonts w:ascii="Arial" w:hAnsi="Arial" w:cs="Arial"/>
          <w:sz w:val="20"/>
          <w:szCs w:val="20"/>
          <w:shd w:val="clear" w:color="auto" w:fill="FAFAFA"/>
        </w:rPr>
        <w:t xml:space="preserve"> </w:t>
      </w:r>
      <w:r w:rsidRPr="00A335CB">
        <w:rPr>
          <w:rFonts w:ascii="Arial" w:hAnsi="Arial" w:cs="Arial"/>
          <w:sz w:val="20"/>
          <w:szCs w:val="20"/>
        </w:rPr>
        <w:t xml:space="preserve">izvedlo projekt, ki je bil osredotočen </w:t>
      </w:r>
      <w:r w:rsidRPr="00A335CB">
        <w:rPr>
          <w:rFonts w:ascii="Arial" w:hAnsi="Arial" w:cs="Arial"/>
          <w:sz w:val="20"/>
          <w:szCs w:val="20"/>
          <w:lang w:eastAsia="sl-SI"/>
        </w:rPr>
        <w:t>na ozaveščanje ranljivih skupin in širše javnosti glede trgovine z ljudmi s poudarkom na spolnih zlorabah</w:t>
      </w:r>
      <w:r w:rsidR="000C5EF6">
        <w:rPr>
          <w:rFonts w:ascii="Arial" w:hAnsi="Arial" w:cs="Arial"/>
          <w:sz w:val="20"/>
          <w:szCs w:val="20"/>
        </w:rPr>
        <w:t xml:space="preserve"> kot</w:t>
      </w:r>
      <w:r w:rsidRPr="00A335CB">
        <w:rPr>
          <w:rFonts w:ascii="Arial" w:hAnsi="Arial" w:cs="Arial"/>
          <w:sz w:val="20"/>
          <w:szCs w:val="20"/>
        </w:rPr>
        <w:t xml:space="preserve"> tudi </w:t>
      </w:r>
      <w:r w:rsidR="000C5EF6" w:rsidRPr="00A335CB">
        <w:rPr>
          <w:rFonts w:ascii="Arial" w:hAnsi="Arial" w:cs="Arial"/>
          <w:sz w:val="20"/>
          <w:szCs w:val="20"/>
          <w:lang w:eastAsia="sl-SI"/>
        </w:rPr>
        <w:t>ozaveščanj</w:t>
      </w:r>
      <w:r w:rsidR="000C5EF6">
        <w:rPr>
          <w:rFonts w:ascii="Arial" w:hAnsi="Arial" w:cs="Arial"/>
          <w:sz w:val="20"/>
          <w:szCs w:val="20"/>
          <w:lang w:eastAsia="sl-SI"/>
        </w:rPr>
        <w:t>e</w:t>
      </w:r>
      <w:r w:rsidR="000C5EF6" w:rsidRPr="00A335CB">
        <w:rPr>
          <w:rFonts w:ascii="Arial" w:hAnsi="Arial" w:cs="Arial"/>
          <w:sz w:val="20"/>
          <w:szCs w:val="20"/>
          <w:lang w:eastAsia="sl-SI"/>
        </w:rPr>
        <w:t xml:space="preserve"> </w:t>
      </w:r>
      <w:r w:rsidR="00721952">
        <w:rPr>
          <w:rFonts w:ascii="Arial" w:hAnsi="Arial" w:cs="Arial"/>
          <w:sz w:val="20"/>
          <w:szCs w:val="20"/>
          <w:lang w:eastAsia="sl-SI"/>
        </w:rPr>
        <w:t>morebitnih</w:t>
      </w:r>
      <w:r w:rsidR="00721952" w:rsidRPr="00A335CB">
        <w:rPr>
          <w:rFonts w:ascii="Arial" w:hAnsi="Arial" w:cs="Arial"/>
          <w:sz w:val="20"/>
          <w:szCs w:val="20"/>
          <w:lang w:eastAsia="sl-SI"/>
        </w:rPr>
        <w:t xml:space="preserve"> </w:t>
      </w:r>
      <w:r w:rsidRPr="00A335CB">
        <w:rPr>
          <w:rFonts w:ascii="Arial" w:hAnsi="Arial" w:cs="Arial"/>
          <w:sz w:val="20"/>
          <w:szCs w:val="20"/>
          <w:lang w:eastAsia="sl-SI"/>
        </w:rPr>
        <w:t>uporabnikov storitev, ki jih nudijo žrtve trgovine z ljudmi. V okviru projekta je bil za namen ozaveščanja pripravljen kratek videospot, ki je bil v času izvedbe strokovnega posveta pr</w:t>
      </w:r>
      <w:r w:rsidR="00636290" w:rsidRPr="00A335CB">
        <w:rPr>
          <w:rFonts w:ascii="Arial" w:hAnsi="Arial" w:cs="Arial"/>
          <w:sz w:val="20"/>
          <w:szCs w:val="20"/>
          <w:lang w:eastAsia="sl-SI"/>
        </w:rPr>
        <w:t>emierno predstavljen 18.</w:t>
      </w:r>
      <w:r w:rsidR="000C5EF6">
        <w:rPr>
          <w:rFonts w:ascii="Arial" w:hAnsi="Arial" w:cs="Arial"/>
          <w:sz w:val="20"/>
          <w:szCs w:val="20"/>
          <w:lang w:eastAsia="sl-SI"/>
        </w:rPr>
        <w:t> </w:t>
      </w:r>
      <w:r w:rsidR="00636290" w:rsidRPr="00A335CB">
        <w:rPr>
          <w:rFonts w:ascii="Arial" w:hAnsi="Arial" w:cs="Arial"/>
          <w:sz w:val="20"/>
          <w:szCs w:val="20"/>
          <w:lang w:eastAsia="sl-SI"/>
        </w:rPr>
        <w:t>10.</w:t>
      </w:r>
      <w:r w:rsidR="000C5EF6">
        <w:rPr>
          <w:rFonts w:ascii="Arial" w:hAnsi="Arial" w:cs="Arial"/>
          <w:sz w:val="20"/>
          <w:szCs w:val="20"/>
          <w:lang w:eastAsia="sl-SI"/>
        </w:rPr>
        <w:t> </w:t>
      </w:r>
      <w:r w:rsidR="00636290" w:rsidRPr="00A335CB">
        <w:rPr>
          <w:rFonts w:ascii="Arial" w:hAnsi="Arial" w:cs="Arial"/>
          <w:sz w:val="20"/>
          <w:szCs w:val="20"/>
          <w:lang w:eastAsia="sl-SI"/>
        </w:rPr>
        <w:t>2024</w:t>
      </w:r>
      <w:r w:rsidRPr="00A335CB">
        <w:rPr>
          <w:rFonts w:ascii="Arial" w:hAnsi="Arial" w:cs="Arial"/>
          <w:sz w:val="20"/>
          <w:szCs w:val="20"/>
          <w:lang w:eastAsia="sl-SI"/>
        </w:rPr>
        <w:t xml:space="preserve">. </w:t>
      </w:r>
      <w:r w:rsidRPr="00A335CB">
        <w:rPr>
          <w:rFonts w:ascii="Arial" w:hAnsi="Arial" w:cs="Arial"/>
          <w:sz w:val="20"/>
          <w:szCs w:val="20"/>
        </w:rPr>
        <w:t>Na posvetu so sodelovali različni strokovnjaki</w:t>
      </w:r>
      <w:r w:rsidR="000C5EF6">
        <w:rPr>
          <w:rFonts w:ascii="Arial" w:hAnsi="Arial" w:cs="Arial"/>
          <w:sz w:val="20"/>
          <w:szCs w:val="20"/>
        </w:rPr>
        <w:t xml:space="preserve"> kot</w:t>
      </w:r>
      <w:r w:rsidRPr="00A335CB">
        <w:rPr>
          <w:rFonts w:ascii="Arial" w:hAnsi="Arial" w:cs="Arial"/>
          <w:sz w:val="20"/>
          <w:szCs w:val="20"/>
        </w:rPr>
        <w:t xml:space="preserve"> tudi </w:t>
      </w:r>
      <w:r w:rsidR="000C5EF6">
        <w:rPr>
          <w:rFonts w:ascii="Arial" w:hAnsi="Arial" w:cs="Arial"/>
          <w:sz w:val="20"/>
          <w:szCs w:val="20"/>
        </w:rPr>
        <w:t>državna</w:t>
      </w:r>
      <w:r w:rsidR="000C5EF6" w:rsidRPr="00A335CB">
        <w:rPr>
          <w:rFonts w:ascii="Arial" w:hAnsi="Arial" w:cs="Arial"/>
          <w:sz w:val="20"/>
          <w:szCs w:val="20"/>
        </w:rPr>
        <w:t xml:space="preserve"> </w:t>
      </w:r>
      <w:r w:rsidRPr="00A335CB">
        <w:rPr>
          <w:rFonts w:ascii="Arial" w:hAnsi="Arial" w:cs="Arial"/>
          <w:sz w:val="20"/>
          <w:szCs w:val="20"/>
        </w:rPr>
        <w:t xml:space="preserve">koordinatorica za boj proti trgovini z ljudmi. </w:t>
      </w:r>
    </w:p>
    <w:p w14:paraId="4BE23224" w14:textId="77777777" w:rsidR="00CB1CD5" w:rsidRPr="00A335CB" w:rsidRDefault="00CB1CD5" w:rsidP="005D1A90">
      <w:pPr>
        <w:tabs>
          <w:tab w:val="left" w:pos="5550"/>
        </w:tabs>
        <w:spacing w:after="0" w:line="276" w:lineRule="auto"/>
        <w:jc w:val="both"/>
        <w:rPr>
          <w:rFonts w:ascii="Arial" w:hAnsi="Arial" w:cs="Arial"/>
          <w:sz w:val="20"/>
          <w:szCs w:val="20"/>
          <w:lang w:eastAsia="sl-SI"/>
        </w:rPr>
      </w:pPr>
    </w:p>
    <w:p w14:paraId="56754423" w14:textId="378A3B74" w:rsidR="008D3F61" w:rsidRPr="00A335CB" w:rsidRDefault="00377B5F" w:rsidP="005D1A90">
      <w:pPr>
        <w:spacing w:after="0" w:line="276" w:lineRule="auto"/>
        <w:jc w:val="both"/>
        <w:rPr>
          <w:rFonts w:ascii="Arial" w:hAnsi="Arial" w:cs="Arial"/>
          <w:sz w:val="20"/>
          <w:szCs w:val="20"/>
          <w:highlight w:val="yellow"/>
        </w:rPr>
      </w:pPr>
      <w:r w:rsidRPr="00A335CB">
        <w:rPr>
          <w:rFonts w:ascii="Arial" w:hAnsi="Arial" w:cs="Arial"/>
          <w:sz w:val="20"/>
          <w:szCs w:val="20"/>
        </w:rPr>
        <w:t>Predstavniki MNZ</w:t>
      </w:r>
      <w:r w:rsidR="008D3F61" w:rsidRPr="00A335CB">
        <w:rPr>
          <w:rFonts w:ascii="Arial" w:hAnsi="Arial" w:cs="Arial"/>
          <w:sz w:val="20"/>
          <w:szCs w:val="20"/>
        </w:rPr>
        <w:t xml:space="preserve"> so sodelovali </w:t>
      </w:r>
      <w:r w:rsidR="000C5EF6">
        <w:rPr>
          <w:rFonts w:ascii="Arial" w:hAnsi="Arial" w:cs="Arial"/>
          <w:sz w:val="20"/>
          <w:szCs w:val="20"/>
        </w:rPr>
        <w:t>prav tako</w:t>
      </w:r>
      <w:r w:rsidR="000C5EF6" w:rsidRPr="00A335CB">
        <w:rPr>
          <w:rFonts w:ascii="Arial" w:hAnsi="Arial" w:cs="Arial"/>
          <w:sz w:val="20"/>
          <w:szCs w:val="20"/>
        </w:rPr>
        <w:t xml:space="preserve"> </w:t>
      </w:r>
      <w:r w:rsidR="008D3F61" w:rsidRPr="00A335CB">
        <w:rPr>
          <w:rFonts w:ascii="Arial" w:hAnsi="Arial" w:cs="Arial"/>
          <w:sz w:val="20"/>
          <w:szCs w:val="20"/>
        </w:rPr>
        <w:t xml:space="preserve">v </w:t>
      </w:r>
      <w:r w:rsidR="008D3F61" w:rsidRPr="00A335CB">
        <w:rPr>
          <w:rFonts w:ascii="Arial" w:hAnsi="Arial" w:cs="Arial"/>
          <w:bCs/>
          <w:sz w:val="20"/>
          <w:szCs w:val="20"/>
        </w:rPr>
        <w:t>različnih mednarodnih dejavnostih</w:t>
      </w:r>
      <w:r w:rsidR="008D3F61" w:rsidRPr="00A335CB">
        <w:rPr>
          <w:rFonts w:ascii="Arial" w:hAnsi="Arial" w:cs="Arial"/>
          <w:sz w:val="20"/>
          <w:szCs w:val="20"/>
        </w:rPr>
        <w:t xml:space="preserve"> s področja dela v organizaciji </w:t>
      </w:r>
      <w:r w:rsidR="008D3F61" w:rsidRPr="00A335CB">
        <w:rPr>
          <w:rFonts w:ascii="Arial" w:hAnsi="Arial" w:cs="Arial"/>
          <w:bCs/>
          <w:sz w:val="20"/>
          <w:szCs w:val="20"/>
        </w:rPr>
        <w:t>Urada</w:t>
      </w:r>
      <w:r w:rsidR="008D3F61" w:rsidRPr="00A335CB">
        <w:rPr>
          <w:rFonts w:ascii="Arial" w:hAnsi="Arial" w:cs="Arial"/>
          <w:i/>
          <w:sz w:val="20"/>
          <w:szCs w:val="20"/>
        </w:rPr>
        <w:t> </w:t>
      </w:r>
      <w:r w:rsidR="008D3F61" w:rsidRPr="00A335CB">
        <w:rPr>
          <w:rFonts w:ascii="Arial" w:hAnsi="Arial" w:cs="Arial"/>
          <w:sz w:val="20"/>
          <w:szCs w:val="20"/>
        </w:rPr>
        <w:t>Združenih narodov za droge in kriminal (UNODC), Evropske komis</w:t>
      </w:r>
      <w:r w:rsidR="00296C1C" w:rsidRPr="00A335CB">
        <w:rPr>
          <w:rFonts w:ascii="Arial" w:hAnsi="Arial" w:cs="Arial"/>
          <w:sz w:val="20"/>
          <w:szCs w:val="20"/>
        </w:rPr>
        <w:t>ije, Sveta Evrope in OVSE. MNZ</w:t>
      </w:r>
      <w:r w:rsidR="008D3F61" w:rsidRPr="00A335CB">
        <w:rPr>
          <w:rFonts w:ascii="Arial" w:hAnsi="Arial" w:cs="Arial"/>
          <w:sz w:val="20"/>
          <w:szCs w:val="20"/>
        </w:rPr>
        <w:t xml:space="preserve"> je v sodelovanju z Uradom za človekove pravice in pravice narodnih manjšin Republike Hrvaške in Mednarodnim centrom za razvoj politike </w:t>
      </w:r>
      <w:r w:rsidR="00296C1C" w:rsidRPr="00A335CB">
        <w:rPr>
          <w:rFonts w:ascii="Arial" w:hAnsi="Arial" w:cs="Arial"/>
          <w:sz w:val="20"/>
          <w:szCs w:val="20"/>
        </w:rPr>
        <w:t>migracij (ICMPD) 6. in 7. 6. 2024 v Zagrebu organiziralo</w:t>
      </w:r>
      <w:r w:rsidR="008D3F61" w:rsidRPr="00A335CB">
        <w:rPr>
          <w:rFonts w:ascii="Arial" w:hAnsi="Arial" w:cs="Arial"/>
          <w:sz w:val="20"/>
          <w:szCs w:val="20"/>
        </w:rPr>
        <w:t xml:space="preserve"> redno letno srečanje Neformalne mreže nacionalnih koordinatorjev za boj proti trgovini z ljudmi jugovzhodne Evrope (NATC JVE), ki je bila ustanovljena oktobra 2010</w:t>
      </w:r>
      <w:r w:rsidR="008D3F61" w:rsidRPr="00A335CB">
        <w:rPr>
          <w:rFonts w:ascii="Arial" w:hAnsi="Arial" w:cs="Arial"/>
          <w:bCs/>
          <w:sz w:val="20"/>
          <w:szCs w:val="20"/>
        </w:rPr>
        <w:t xml:space="preserve"> </w:t>
      </w:r>
      <w:r w:rsidR="008D3F61" w:rsidRPr="00A335CB">
        <w:rPr>
          <w:rFonts w:ascii="Arial" w:hAnsi="Arial" w:cs="Arial"/>
          <w:sz w:val="20"/>
          <w:szCs w:val="20"/>
        </w:rPr>
        <w:t>na pobudo</w:t>
      </w:r>
      <w:r w:rsidR="00296C1C" w:rsidRPr="00A335CB">
        <w:rPr>
          <w:rFonts w:ascii="Arial" w:hAnsi="Arial" w:cs="Arial"/>
          <w:sz w:val="20"/>
          <w:szCs w:val="20"/>
        </w:rPr>
        <w:t xml:space="preserve"> MNZ. 10.</w:t>
      </w:r>
      <w:r w:rsidR="000C5EF6">
        <w:rPr>
          <w:rFonts w:ascii="Arial" w:hAnsi="Arial" w:cs="Arial"/>
          <w:sz w:val="20"/>
          <w:szCs w:val="20"/>
        </w:rPr>
        <w:t> </w:t>
      </w:r>
      <w:r w:rsidR="00296C1C" w:rsidRPr="00A335CB">
        <w:rPr>
          <w:rFonts w:ascii="Arial" w:hAnsi="Arial" w:cs="Arial"/>
          <w:sz w:val="20"/>
          <w:szCs w:val="20"/>
        </w:rPr>
        <w:t>12.</w:t>
      </w:r>
      <w:r w:rsidR="000C5EF6">
        <w:rPr>
          <w:rFonts w:ascii="Arial" w:hAnsi="Arial" w:cs="Arial"/>
          <w:sz w:val="20"/>
          <w:szCs w:val="20"/>
        </w:rPr>
        <w:t> </w:t>
      </w:r>
      <w:r w:rsidR="008D3F61" w:rsidRPr="00A335CB">
        <w:rPr>
          <w:rFonts w:ascii="Arial" w:hAnsi="Arial" w:cs="Arial"/>
          <w:sz w:val="20"/>
          <w:szCs w:val="20"/>
        </w:rPr>
        <w:t xml:space="preserve">2024 je bila na pobudo Sekretariata Konvencije Sveta Evrope o ukrepanju proti trgovini z ljudmi organizirana okrogla miza z namenom pregleda priporočil, ki so bila dana v 3. krogu ocenjevanja. Obveznost poročanja o izvedenih ukrepih je do 16. </w:t>
      </w:r>
      <w:r w:rsidR="00296C1C" w:rsidRPr="00A335CB">
        <w:rPr>
          <w:rFonts w:ascii="Arial" w:hAnsi="Arial" w:cs="Arial"/>
          <w:sz w:val="20"/>
          <w:szCs w:val="20"/>
        </w:rPr>
        <w:t>6.</w:t>
      </w:r>
      <w:r w:rsidR="008D3F61" w:rsidRPr="00A335CB">
        <w:rPr>
          <w:rFonts w:ascii="Arial" w:hAnsi="Arial" w:cs="Arial"/>
          <w:sz w:val="20"/>
          <w:szCs w:val="20"/>
        </w:rPr>
        <w:t xml:space="preserve"> 2025. </w:t>
      </w:r>
    </w:p>
    <w:p w14:paraId="6BC3C762" w14:textId="77777777" w:rsidR="008D3F61" w:rsidRPr="00A335CB" w:rsidRDefault="008D3F61" w:rsidP="005D1A90">
      <w:pPr>
        <w:spacing w:after="0" w:line="276" w:lineRule="auto"/>
        <w:jc w:val="both"/>
        <w:rPr>
          <w:rFonts w:ascii="Arial" w:hAnsi="Arial" w:cs="Arial"/>
          <w:sz w:val="20"/>
          <w:szCs w:val="20"/>
        </w:rPr>
      </w:pPr>
    </w:p>
    <w:p w14:paraId="50C4DE2E" w14:textId="731A39DB" w:rsidR="008D3F61" w:rsidRPr="00A335CB" w:rsidRDefault="008D3F61" w:rsidP="005D1A90">
      <w:pPr>
        <w:spacing w:after="0" w:line="276" w:lineRule="auto"/>
        <w:jc w:val="both"/>
        <w:rPr>
          <w:rFonts w:ascii="Arial" w:hAnsi="Arial" w:cs="Arial"/>
          <w:sz w:val="20"/>
          <w:szCs w:val="20"/>
        </w:rPr>
      </w:pPr>
      <w:r w:rsidRPr="00A335CB">
        <w:rPr>
          <w:rFonts w:ascii="Arial" w:hAnsi="Arial" w:cs="Arial"/>
          <w:sz w:val="20"/>
          <w:szCs w:val="20"/>
        </w:rPr>
        <w:t xml:space="preserve">V skladu z ustaljeno prakso je MNZ tudi v letu 2024 sodelovalo pri pripravi letnega poročila o trgovini z ljudmi Ministrstva za zunanje zadeve ZDA. Poročilo je tudi tokrat Slovenijo uvrstilo v drugo skupino držav, ki na področju boja proti trgovini z ljudmi ne izpolnjujejo v celoti minimalnih standardov, vendar </w:t>
      </w:r>
      <w:r w:rsidR="00E36597">
        <w:rPr>
          <w:rFonts w:ascii="Arial" w:hAnsi="Arial" w:cs="Arial"/>
          <w:sz w:val="20"/>
          <w:szCs w:val="20"/>
        </w:rPr>
        <w:t>se jih zelo trudijo doseči</w:t>
      </w:r>
      <w:r w:rsidRPr="00A335CB">
        <w:rPr>
          <w:rFonts w:ascii="Arial" w:hAnsi="Arial" w:cs="Arial"/>
          <w:sz w:val="20"/>
          <w:szCs w:val="20"/>
        </w:rPr>
        <w:t xml:space="preserve"> (t. i. TIER 2). Glavna težava je, da sodišča že nekaj let zapored niso izdala obsodilne sodbe za kaznivo dejanje trgovine z ljudmi, poročilo pa opozarja tudi na problematiko prepoznave in pregona trgovine z ljudmi za namen prisilnega dela in delovnega izkoriščanja ter </w:t>
      </w:r>
      <w:r w:rsidR="00884204">
        <w:rPr>
          <w:rFonts w:ascii="Arial" w:hAnsi="Arial" w:cs="Arial"/>
          <w:sz w:val="20"/>
          <w:szCs w:val="20"/>
        </w:rPr>
        <w:t>prepoznavanje</w:t>
      </w:r>
      <w:r w:rsidR="00884204" w:rsidRPr="00A335CB">
        <w:rPr>
          <w:rFonts w:ascii="Arial" w:hAnsi="Arial" w:cs="Arial"/>
          <w:sz w:val="20"/>
          <w:szCs w:val="20"/>
        </w:rPr>
        <w:t xml:space="preserve"> </w:t>
      </w:r>
      <w:r w:rsidRPr="00A335CB">
        <w:rPr>
          <w:rFonts w:ascii="Arial" w:hAnsi="Arial" w:cs="Arial"/>
          <w:sz w:val="20"/>
          <w:szCs w:val="20"/>
        </w:rPr>
        <w:t>žrtev trgovanja med prosilci za mednarodno zaščito.</w:t>
      </w:r>
      <w:r w:rsidR="00296C1C" w:rsidRPr="00A335CB">
        <w:rPr>
          <w:rFonts w:ascii="Arial" w:hAnsi="Arial" w:cs="Arial"/>
          <w:sz w:val="20"/>
          <w:szCs w:val="20"/>
        </w:rPr>
        <w:t xml:space="preserve"> Posebno pozornost je treba</w:t>
      </w:r>
      <w:r w:rsidRPr="00A335CB">
        <w:rPr>
          <w:rFonts w:ascii="Arial" w:hAnsi="Arial" w:cs="Arial"/>
          <w:sz w:val="20"/>
          <w:szCs w:val="20"/>
        </w:rPr>
        <w:t xml:space="preserve"> nameniti mladoletnikom brez spremstva odrasle osebe ter sistemski ureditvi nameščanja žrtev otrok trgovine z ljudmi. </w:t>
      </w:r>
    </w:p>
    <w:p w14:paraId="2B8C73FD" w14:textId="77777777" w:rsidR="008D3F61" w:rsidRPr="00A335CB" w:rsidRDefault="008D3F61" w:rsidP="005D1A90">
      <w:pPr>
        <w:spacing w:after="0" w:line="276" w:lineRule="auto"/>
        <w:jc w:val="both"/>
        <w:rPr>
          <w:rFonts w:ascii="Arial" w:hAnsi="Arial" w:cs="Arial"/>
          <w:sz w:val="20"/>
          <w:szCs w:val="20"/>
        </w:rPr>
      </w:pPr>
    </w:p>
    <w:p w14:paraId="5227CA86" w14:textId="486E73A9" w:rsidR="00EB4ABD" w:rsidRDefault="00EB4ABD" w:rsidP="00EB4ABD">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Na področju pomoči žrtvam trgovanja se je v skladu z določili Zakona o ratifikaciji Konvencije Sveta Evrope o ukrepanju proti trgovini z ljudmi izvajal projekt Oskrba žrtev trgovine z ljudmi – namestitev v varnem prostoru za obdobje 2022‒2024</w:t>
      </w:r>
      <w:r w:rsidRPr="00A335CB">
        <w:rPr>
          <w:rFonts w:ascii="Arial" w:hAnsi="Arial" w:cs="Arial"/>
          <w:bCs/>
          <w:sz w:val="20"/>
          <w:szCs w:val="20"/>
        </w:rPr>
        <w:t xml:space="preserve">, v katerega pa so bili </w:t>
      </w:r>
      <w:r w:rsidRPr="00A335CB">
        <w:rPr>
          <w:rFonts w:ascii="Arial" w:hAnsi="Arial" w:cs="Arial"/>
          <w:sz w:val="20"/>
          <w:szCs w:val="20"/>
        </w:rPr>
        <w:t xml:space="preserve">v letu 2024 na novo vključene </w:t>
      </w:r>
      <w:r w:rsidR="000C5EF6">
        <w:rPr>
          <w:rFonts w:ascii="Arial" w:hAnsi="Arial" w:cs="Arial"/>
          <w:sz w:val="20"/>
          <w:szCs w:val="20"/>
        </w:rPr>
        <w:t>štiri</w:t>
      </w:r>
      <w:r w:rsidR="000C5EF6" w:rsidRPr="00A335CB">
        <w:rPr>
          <w:rFonts w:ascii="Arial" w:hAnsi="Arial" w:cs="Arial"/>
          <w:sz w:val="20"/>
          <w:szCs w:val="20"/>
        </w:rPr>
        <w:t xml:space="preserve"> </w:t>
      </w:r>
      <w:r w:rsidRPr="00A335CB">
        <w:rPr>
          <w:rFonts w:ascii="Arial" w:hAnsi="Arial" w:cs="Arial"/>
          <w:sz w:val="20"/>
          <w:szCs w:val="20"/>
        </w:rPr>
        <w:t>žrtve trgovanja. Uspešno se je izvajala tudi operacija »Nadaljevanje zaščite žrtev ter programa njihove reintegracije za obdobje 2024</w:t>
      </w:r>
      <w:r w:rsidR="000C5EF6">
        <w:rPr>
          <w:rFonts w:ascii="Arial" w:hAnsi="Arial" w:cs="Arial"/>
          <w:sz w:val="20"/>
          <w:szCs w:val="20"/>
        </w:rPr>
        <w:t>–</w:t>
      </w:r>
      <w:r w:rsidRPr="00A335CB">
        <w:rPr>
          <w:rFonts w:ascii="Arial" w:hAnsi="Arial" w:cs="Arial"/>
          <w:sz w:val="20"/>
          <w:szCs w:val="20"/>
        </w:rPr>
        <w:t xml:space="preserve">2027«, v katero je bilo vključenih </w:t>
      </w:r>
      <w:r w:rsidR="000C5EF6">
        <w:rPr>
          <w:rFonts w:ascii="Arial" w:hAnsi="Arial" w:cs="Arial"/>
          <w:sz w:val="20"/>
          <w:szCs w:val="20"/>
        </w:rPr>
        <w:t>devet</w:t>
      </w:r>
      <w:r w:rsidR="000C5EF6" w:rsidRPr="00A335CB">
        <w:rPr>
          <w:rFonts w:ascii="Arial" w:hAnsi="Arial" w:cs="Arial"/>
          <w:sz w:val="20"/>
          <w:szCs w:val="20"/>
        </w:rPr>
        <w:t xml:space="preserve"> </w:t>
      </w:r>
      <w:r w:rsidRPr="00A335CB">
        <w:rPr>
          <w:rFonts w:ascii="Arial" w:hAnsi="Arial" w:cs="Arial"/>
          <w:sz w:val="20"/>
          <w:szCs w:val="20"/>
        </w:rPr>
        <w:t xml:space="preserve">oseb. </w:t>
      </w:r>
    </w:p>
    <w:p w14:paraId="5057FA27" w14:textId="77777777" w:rsidR="009C51CB" w:rsidRPr="00A335CB" w:rsidRDefault="009C51CB" w:rsidP="00EB4ABD">
      <w:pPr>
        <w:autoSpaceDE w:val="0"/>
        <w:autoSpaceDN w:val="0"/>
        <w:adjustRightInd w:val="0"/>
        <w:spacing w:after="0" w:line="276" w:lineRule="auto"/>
        <w:jc w:val="both"/>
        <w:rPr>
          <w:rFonts w:ascii="Arial" w:hAnsi="Arial" w:cs="Arial"/>
          <w:sz w:val="20"/>
          <w:szCs w:val="20"/>
        </w:rPr>
      </w:pPr>
    </w:p>
    <w:p w14:paraId="4DADAECF" w14:textId="1FB278CA" w:rsidR="001C6D21" w:rsidRPr="00A335CB" w:rsidRDefault="001C6D21" w:rsidP="005D1A90">
      <w:pPr>
        <w:spacing w:after="0" w:line="276" w:lineRule="auto"/>
        <w:jc w:val="both"/>
        <w:rPr>
          <w:rFonts w:ascii="Arial" w:hAnsi="Arial" w:cs="Arial"/>
          <w:sz w:val="20"/>
          <w:szCs w:val="20"/>
        </w:rPr>
      </w:pPr>
      <w:bookmarkStart w:id="87" w:name="_Toc65591467"/>
      <w:bookmarkStart w:id="88" w:name="_Toc65651018"/>
    </w:p>
    <w:p w14:paraId="062ECDAD" w14:textId="6FF4B666" w:rsidR="00310F1D" w:rsidRPr="00A335CB" w:rsidRDefault="00BD72BA" w:rsidP="005D1A90">
      <w:pPr>
        <w:pStyle w:val="Naslov1"/>
        <w:spacing w:after="0" w:line="276" w:lineRule="auto"/>
        <w:jc w:val="both"/>
        <w:rPr>
          <w:color w:val="auto"/>
        </w:rPr>
      </w:pPr>
      <w:bookmarkStart w:id="89" w:name="_Toc203552996"/>
      <w:r w:rsidRPr="00A335CB">
        <w:rPr>
          <w:color w:val="auto"/>
        </w:rPr>
        <w:t>Zagotavlja</w:t>
      </w:r>
      <w:r w:rsidR="003E68AE" w:rsidRPr="00A335CB">
        <w:rPr>
          <w:color w:val="auto"/>
        </w:rPr>
        <w:t>nje pogojev za delo Ministrstva za notranje zadeve,</w:t>
      </w:r>
      <w:r w:rsidR="00561D83" w:rsidRPr="00A335CB">
        <w:rPr>
          <w:color w:val="auto"/>
        </w:rPr>
        <w:t xml:space="preserve"> </w:t>
      </w:r>
      <w:bookmarkStart w:id="90" w:name="_Hlk125027042"/>
      <w:bookmarkEnd w:id="87"/>
      <w:bookmarkEnd w:id="88"/>
      <w:r w:rsidR="000C5EF6">
        <w:rPr>
          <w:color w:val="auto"/>
        </w:rPr>
        <w:t>p</w:t>
      </w:r>
      <w:r w:rsidR="000C5EF6" w:rsidRPr="00A335CB">
        <w:rPr>
          <w:color w:val="auto"/>
        </w:rPr>
        <w:t xml:space="preserve">olicije </w:t>
      </w:r>
      <w:r w:rsidR="00561D83" w:rsidRPr="00A335CB">
        <w:rPr>
          <w:color w:val="auto"/>
        </w:rPr>
        <w:t>in I</w:t>
      </w:r>
      <w:r w:rsidR="003E68AE" w:rsidRPr="00A335CB">
        <w:rPr>
          <w:color w:val="auto"/>
        </w:rPr>
        <w:t>nšpektorata Republike Slovenije za notranje zadeve</w:t>
      </w:r>
      <w:bookmarkEnd w:id="89"/>
    </w:p>
    <w:p w14:paraId="4840C977" w14:textId="77777777" w:rsidR="00517DF2" w:rsidRPr="00A335CB" w:rsidRDefault="00517DF2" w:rsidP="005D1A90">
      <w:pPr>
        <w:spacing w:after="0" w:line="276" w:lineRule="auto"/>
        <w:rPr>
          <w:rFonts w:ascii="Arial" w:hAnsi="Arial" w:cs="Arial"/>
          <w:sz w:val="20"/>
          <w:szCs w:val="20"/>
        </w:rPr>
      </w:pPr>
    </w:p>
    <w:bookmarkEnd w:id="90"/>
    <w:p w14:paraId="43EDA37D" w14:textId="72B6E3AC" w:rsidR="00627DFB" w:rsidRPr="00A335CB" w:rsidRDefault="007B3670" w:rsidP="005D1A90">
      <w:pPr>
        <w:spacing w:after="0" w:line="276" w:lineRule="auto"/>
        <w:jc w:val="both"/>
        <w:rPr>
          <w:rFonts w:ascii="Arial" w:hAnsi="Arial" w:cs="Arial"/>
          <w:b/>
          <w:sz w:val="20"/>
          <w:szCs w:val="20"/>
        </w:rPr>
      </w:pPr>
      <w:r w:rsidRPr="00A335CB">
        <w:rPr>
          <w:rFonts w:ascii="Arial" w:hAnsi="Arial" w:cs="Arial"/>
          <w:b/>
          <w:sz w:val="20"/>
          <w:szCs w:val="20"/>
        </w:rPr>
        <w:t>Postopki javnih naročil</w:t>
      </w:r>
    </w:p>
    <w:p w14:paraId="0EA5C330" w14:textId="3135F893" w:rsidR="00627DFB" w:rsidRPr="00A335CB" w:rsidRDefault="00627DFB" w:rsidP="005D1A90">
      <w:pPr>
        <w:spacing w:line="276" w:lineRule="auto"/>
        <w:jc w:val="both"/>
        <w:rPr>
          <w:rFonts w:ascii="Arial" w:hAnsi="Arial" w:cs="Arial"/>
          <w:b/>
          <w:strike/>
          <w:sz w:val="20"/>
          <w:szCs w:val="20"/>
        </w:rPr>
      </w:pPr>
      <w:r w:rsidRPr="00A335CB">
        <w:rPr>
          <w:rFonts w:ascii="Arial" w:hAnsi="Arial" w:cs="Arial"/>
          <w:sz w:val="20"/>
          <w:szCs w:val="20"/>
        </w:rPr>
        <w:t>Postopki javnih naročil se izvajajo na podlagi več različnih pravnih podlag, poleg izvajanja javnih naročil na podlagi Zakona o javnem naročanju ter Zakona o javnem naročanju na področju obrambe in varnosti, v manjšem delu tudi izvajanje javnih razpisov na podlagi Pravilnika o izvrševanju proračuna Republike Slovenije ter Zakona o javno</w:t>
      </w:r>
      <w:r w:rsidR="000C5EF6">
        <w:rPr>
          <w:rFonts w:ascii="Arial" w:hAnsi="Arial" w:cs="Arial"/>
          <w:sz w:val="20"/>
          <w:szCs w:val="20"/>
        </w:rPr>
        <w:t>-</w:t>
      </w:r>
      <w:r w:rsidRPr="00A335CB">
        <w:rPr>
          <w:rFonts w:ascii="Arial" w:hAnsi="Arial" w:cs="Arial"/>
          <w:sz w:val="20"/>
          <w:szCs w:val="20"/>
        </w:rPr>
        <w:t xml:space="preserve">zasebnem partnerstvu. </w:t>
      </w:r>
    </w:p>
    <w:p w14:paraId="083DB493" w14:textId="7E8DEE26" w:rsidR="00627DFB" w:rsidRPr="00A335CB" w:rsidRDefault="00627DFB" w:rsidP="005D1A90">
      <w:pPr>
        <w:tabs>
          <w:tab w:val="left" w:pos="9070"/>
        </w:tabs>
        <w:spacing w:line="276" w:lineRule="auto"/>
        <w:ind w:left="-6" w:hanging="11"/>
        <w:jc w:val="both"/>
        <w:rPr>
          <w:rFonts w:ascii="Arial" w:hAnsi="Arial" w:cs="Arial"/>
          <w:sz w:val="20"/>
          <w:szCs w:val="20"/>
        </w:rPr>
      </w:pPr>
      <w:r w:rsidRPr="00A335CB">
        <w:rPr>
          <w:rFonts w:ascii="Arial" w:hAnsi="Arial" w:cs="Arial"/>
          <w:sz w:val="20"/>
          <w:szCs w:val="20"/>
        </w:rPr>
        <w:t>V terminskem načrtu javnih naročil in javnih razpisov za leto 2024 je bilo načrtovanih 213 postopkov javnih naročil ali javnih razpisov, od katerih je bilo v izvedbi 128 postopkov (74 postopkov je bilo črtanih, 11 pa se jih je združilo z že obstoječimi postopki), kar vključuje tudi postopke po Zakonu o javnem naročanju na področju obrambe in varnosti. Med letom so se pojavile potrebe po izvedbi javnih naročil, ki prvotno v sprejetem terminskem načrtu javnih naročil in javnih razpisov za leto 2024 niso bila zajeta; teh je bilo 69, od katerih je bilo v izvedbi 62 postopkov (</w:t>
      </w:r>
      <w:r w:rsidR="000C5EF6">
        <w:rPr>
          <w:rFonts w:ascii="Arial" w:hAnsi="Arial" w:cs="Arial"/>
          <w:sz w:val="20"/>
          <w:szCs w:val="20"/>
        </w:rPr>
        <w:t>sedem</w:t>
      </w:r>
      <w:r w:rsidR="000C5EF6" w:rsidRPr="00A335CB">
        <w:rPr>
          <w:rFonts w:ascii="Arial" w:hAnsi="Arial" w:cs="Arial"/>
          <w:sz w:val="20"/>
          <w:szCs w:val="20"/>
        </w:rPr>
        <w:t xml:space="preserve"> </w:t>
      </w:r>
      <w:r w:rsidRPr="00A335CB">
        <w:rPr>
          <w:rFonts w:ascii="Arial" w:hAnsi="Arial" w:cs="Arial"/>
          <w:sz w:val="20"/>
          <w:szCs w:val="20"/>
        </w:rPr>
        <w:t>postopkov je bilo črtanih).</w:t>
      </w:r>
    </w:p>
    <w:p w14:paraId="42451E5B" w14:textId="25F62456" w:rsidR="00627DFB" w:rsidRPr="00A335CB" w:rsidRDefault="00627DFB" w:rsidP="005D1A90">
      <w:pPr>
        <w:tabs>
          <w:tab w:val="left" w:pos="9070"/>
        </w:tabs>
        <w:spacing w:after="0" w:line="276" w:lineRule="auto"/>
        <w:ind w:left="-6" w:hanging="11"/>
        <w:jc w:val="both"/>
        <w:rPr>
          <w:rFonts w:ascii="Arial" w:hAnsi="Arial" w:cs="Arial"/>
          <w:sz w:val="20"/>
          <w:szCs w:val="20"/>
        </w:rPr>
      </w:pPr>
      <w:r w:rsidRPr="00A335CB">
        <w:rPr>
          <w:rFonts w:ascii="Arial" w:hAnsi="Arial" w:cs="Arial"/>
          <w:sz w:val="20"/>
          <w:szCs w:val="20"/>
        </w:rPr>
        <w:t xml:space="preserve">Poleg navedenega je bilo izven terminskega načrta izvedenih več evidenčnih naročil male vrednosti ter </w:t>
      </w:r>
      <w:r w:rsidR="00721952">
        <w:rPr>
          <w:rFonts w:ascii="Arial" w:hAnsi="Arial" w:cs="Arial"/>
          <w:sz w:val="20"/>
          <w:szCs w:val="20"/>
        </w:rPr>
        <w:t>drugih</w:t>
      </w:r>
      <w:r w:rsidR="00721952" w:rsidRPr="00A335CB">
        <w:rPr>
          <w:rFonts w:ascii="Arial" w:hAnsi="Arial" w:cs="Arial"/>
          <w:sz w:val="20"/>
          <w:szCs w:val="20"/>
        </w:rPr>
        <w:t xml:space="preserve"> </w:t>
      </w:r>
      <w:r w:rsidRPr="00A335CB">
        <w:rPr>
          <w:rFonts w:ascii="Arial" w:hAnsi="Arial" w:cs="Arial"/>
          <w:sz w:val="20"/>
          <w:szCs w:val="20"/>
        </w:rPr>
        <w:t>izjem:</w:t>
      </w:r>
    </w:p>
    <w:p w14:paraId="70AA5050" w14:textId="7274631C" w:rsidR="00627DFB" w:rsidRPr="00A335CB" w:rsidRDefault="00627DFB" w:rsidP="005D1A90">
      <w:pPr>
        <w:pStyle w:val="Odstavekseznama"/>
        <w:numPr>
          <w:ilvl w:val="0"/>
          <w:numId w:val="21"/>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število pravnih podlag (pogodbe, naročilnice, aneksi)</w:t>
      </w:r>
      <w:r w:rsidR="000C5EF6">
        <w:rPr>
          <w:rFonts w:ascii="Arial" w:hAnsi="Arial" w:cs="Arial"/>
          <w:sz w:val="20"/>
          <w:szCs w:val="20"/>
        </w:rPr>
        <w:t>,</w:t>
      </w:r>
      <w:r w:rsidRPr="00A335CB">
        <w:rPr>
          <w:rFonts w:ascii="Arial" w:hAnsi="Arial" w:cs="Arial"/>
          <w:sz w:val="20"/>
          <w:szCs w:val="20"/>
        </w:rPr>
        <w:t xml:space="preserve"> izdanih na podlagi evidenčnih naročil male vrednosti: 725 pravnih podlag (688 pravnih podlag na podlagi izvedenih postopkov evidenčnih naročil ter 37 aneksov k pogodbam),</w:t>
      </w:r>
    </w:p>
    <w:p w14:paraId="50D8034C" w14:textId="6EDCCCE2" w:rsidR="00627DFB" w:rsidRPr="00A335CB" w:rsidRDefault="00627DFB" w:rsidP="005D1A90">
      <w:pPr>
        <w:pStyle w:val="Odstavekseznama"/>
        <w:numPr>
          <w:ilvl w:val="0"/>
          <w:numId w:val="21"/>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število pravnih podlag (pogodbe, naročilnice, aneksi)</w:t>
      </w:r>
      <w:r w:rsidR="00902586">
        <w:rPr>
          <w:rFonts w:ascii="Arial" w:hAnsi="Arial" w:cs="Arial"/>
          <w:sz w:val="20"/>
          <w:szCs w:val="20"/>
        </w:rPr>
        <w:t>,</w:t>
      </w:r>
      <w:r w:rsidRPr="00A335CB">
        <w:rPr>
          <w:rFonts w:ascii="Arial" w:hAnsi="Arial" w:cs="Arial"/>
          <w:sz w:val="20"/>
          <w:szCs w:val="20"/>
        </w:rPr>
        <w:t xml:space="preserve"> izdanih na podlagi petega odstavka 73.</w:t>
      </w:r>
      <w:r w:rsidR="00902586">
        <w:rPr>
          <w:rFonts w:ascii="Arial" w:hAnsi="Arial" w:cs="Arial"/>
          <w:sz w:val="20"/>
          <w:szCs w:val="20"/>
        </w:rPr>
        <w:t> </w:t>
      </w:r>
      <w:r w:rsidRPr="00A335CB">
        <w:rPr>
          <w:rFonts w:ascii="Arial" w:hAnsi="Arial" w:cs="Arial"/>
          <w:sz w:val="20"/>
          <w:szCs w:val="20"/>
        </w:rPr>
        <w:t>člena ZJN-3 (izločeni sklopi): 68 pravnih podlag (35 pravnih podlag na podlagi izvedenih postopkov ter 33 aneksov k pogodbam),</w:t>
      </w:r>
    </w:p>
    <w:p w14:paraId="0A036CBB" w14:textId="4AD4EF17" w:rsidR="00627DFB" w:rsidRPr="00A335CB" w:rsidRDefault="00627DFB" w:rsidP="005D1A90">
      <w:pPr>
        <w:pStyle w:val="Odstavekseznama"/>
        <w:numPr>
          <w:ilvl w:val="0"/>
          <w:numId w:val="21"/>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število pravnih podlag (pogodbe)</w:t>
      </w:r>
      <w:r w:rsidR="00902586">
        <w:rPr>
          <w:rFonts w:ascii="Arial" w:hAnsi="Arial" w:cs="Arial"/>
          <w:sz w:val="20"/>
          <w:szCs w:val="20"/>
        </w:rPr>
        <w:t>,</w:t>
      </w:r>
      <w:r w:rsidRPr="00A335CB">
        <w:rPr>
          <w:rFonts w:ascii="Arial" w:hAnsi="Arial" w:cs="Arial"/>
          <w:sz w:val="20"/>
          <w:szCs w:val="20"/>
        </w:rPr>
        <w:t xml:space="preserve"> izdanih na podlagi </w:t>
      </w:r>
      <w:r w:rsidR="00902586">
        <w:rPr>
          <w:rFonts w:ascii="Arial" w:hAnsi="Arial" w:cs="Arial"/>
          <w:sz w:val="20"/>
          <w:szCs w:val="20"/>
        </w:rPr>
        <w:t>tretje</w:t>
      </w:r>
      <w:r w:rsidRPr="00A335CB">
        <w:rPr>
          <w:rFonts w:ascii="Arial" w:hAnsi="Arial" w:cs="Arial"/>
          <w:sz w:val="20"/>
          <w:szCs w:val="20"/>
        </w:rPr>
        <w:t xml:space="preserve"> alineje a) točke prvega odstavka 21.</w:t>
      </w:r>
      <w:r w:rsidR="00902586">
        <w:rPr>
          <w:rFonts w:ascii="Arial" w:hAnsi="Arial" w:cs="Arial"/>
          <w:sz w:val="20"/>
          <w:szCs w:val="20"/>
        </w:rPr>
        <w:t> </w:t>
      </w:r>
      <w:r w:rsidRPr="00A335CB">
        <w:rPr>
          <w:rFonts w:ascii="Arial" w:hAnsi="Arial" w:cs="Arial"/>
          <w:sz w:val="20"/>
          <w:szCs w:val="20"/>
        </w:rPr>
        <w:t xml:space="preserve">člena ZJN-3 (socialne in druge posebne storitve do mejne vrednosti 750.000 EUR): </w:t>
      </w:r>
      <w:r w:rsidR="00902586">
        <w:rPr>
          <w:rFonts w:ascii="Arial" w:hAnsi="Arial" w:cs="Arial"/>
          <w:sz w:val="20"/>
          <w:szCs w:val="20"/>
        </w:rPr>
        <w:t>šest</w:t>
      </w:r>
      <w:r w:rsidR="00902586" w:rsidRPr="00A335CB">
        <w:rPr>
          <w:rFonts w:ascii="Arial" w:hAnsi="Arial" w:cs="Arial"/>
          <w:sz w:val="20"/>
          <w:szCs w:val="20"/>
        </w:rPr>
        <w:t xml:space="preserve"> </w:t>
      </w:r>
      <w:r w:rsidRPr="00A335CB">
        <w:rPr>
          <w:rFonts w:ascii="Arial" w:hAnsi="Arial" w:cs="Arial"/>
          <w:sz w:val="20"/>
          <w:szCs w:val="20"/>
        </w:rPr>
        <w:t>pravnih podlag (</w:t>
      </w:r>
      <w:r w:rsidR="00902586">
        <w:rPr>
          <w:rFonts w:ascii="Arial" w:hAnsi="Arial" w:cs="Arial"/>
          <w:sz w:val="20"/>
          <w:szCs w:val="20"/>
        </w:rPr>
        <w:t>pet</w:t>
      </w:r>
      <w:r w:rsidR="00902586" w:rsidRPr="00A335CB">
        <w:rPr>
          <w:rFonts w:ascii="Arial" w:hAnsi="Arial" w:cs="Arial"/>
          <w:sz w:val="20"/>
          <w:szCs w:val="20"/>
        </w:rPr>
        <w:t xml:space="preserve"> </w:t>
      </w:r>
      <w:r w:rsidRPr="00A335CB">
        <w:rPr>
          <w:rFonts w:ascii="Arial" w:hAnsi="Arial" w:cs="Arial"/>
          <w:sz w:val="20"/>
          <w:szCs w:val="20"/>
        </w:rPr>
        <w:t xml:space="preserve">pravnih podlag na podlagi izvedenih postopkov ter </w:t>
      </w:r>
      <w:r w:rsidR="00902586">
        <w:rPr>
          <w:rFonts w:ascii="Arial" w:hAnsi="Arial" w:cs="Arial"/>
          <w:sz w:val="20"/>
          <w:szCs w:val="20"/>
        </w:rPr>
        <w:t>en</w:t>
      </w:r>
      <w:r w:rsidR="00902586" w:rsidRPr="00A335CB">
        <w:rPr>
          <w:rFonts w:ascii="Arial" w:hAnsi="Arial" w:cs="Arial"/>
          <w:sz w:val="20"/>
          <w:szCs w:val="20"/>
        </w:rPr>
        <w:t xml:space="preserve"> </w:t>
      </w:r>
      <w:r w:rsidRPr="00A335CB">
        <w:rPr>
          <w:rFonts w:ascii="Arial" w:hAnsi="Arial" w:cs="Arial"/>
          <w:sz w:val="20"/>
          <w:szCs w:val="20"/>
        </w:rPr>
        <w:t>aneks k pogodbi),</w:t>
      </w:r>
    </w:p>
    <w:p w14:paraId="406EE78C" w14:textId="65E52962" w:rsidR="00627DFB" w:rsidRPr="00A335CB" w:rsidRDefault="00627DFB" w:rsidP="005D1A90">
      <w:pPr>
        <w:pStyle w:val="Odstavekseznama"/>
        <w:numPr>
          <w:ilvl w:val="0"/>
          <w:numId w:val="21"/>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število pravnih podlag (pogodbe)</w:t>
      </w:r>
      <w:r w:rsidR="00902586">
        <w:rPr>
          <w:rFonts w:ascii="Arial" w:hAnsi="Arial" w:cs="Arial"/>
          <w:sz w:val="20"/>
          <w:szCs w:val="20"/>
        </w:rPr>
        <w:t>,</w:t>
      </w:r>
      <w:r w:rsidRPr="00A335CB">
        <w:rPr>
          <w:rFonts w:ascii="Arial" w:hAnsi="Arial" w:cs="Arial"/>
          <w:sz w:val="20"/>
          <w:szCs w:val="20"/>
        </w:rPr>
        <w:t xml:space="preserve"> izdanih na podlagi evidenčnih naročil male vrednosti na področju obrambe in varnosti: </w:t>
      </w:r>
      <w:r w:rsidR="00902586">
        <w:rPr>
          <w:rFonts w:ascii="Arial" w:hAnsi="Arial" w:cs="Arial"/>
          <w:sz w:val="20"/>
          <w:szCs w:val="20"/>
        </w:rPr>
        <w:t>ena</w:t>
      </w:r>
      <w:r w:rsidR="00902586" w:rsidRPr="00A335CB">
        <w:rPr>
          <w:rFonts w:ascii="Arial" w:hAnsi="Arial" w:cs="Arial"/>
          <w:sz w:val="20"/>
          <w:szCs w:val="20"/>
        </w:rPr>
        <w:t xml:space="preserve"> </w:t>
      </w:r>
      <w:r w:rsidRPr="00A335CB">
        <w:rPr>
          <w:rFonts w:ascii="Arial" w:hAnsi="Arial" w:cs="Arial"/>
          <w:sz w:val="20"/>
          <w:szCs w:val="20"/>
        </w:rPr>
        <w:t>pravna podlaga.</w:t>
      </w:r>
    </w:p>
    <w:p w14:paraId="3348B24C" w14:textId="37243424" w:rsidR="00627DFB" w:rsidRPr="00A335CB" w:rsidRDefault="00627DFB" w:rsidP="005D1A90">
      <w:pPr>
        <w:autoSpaceDE w:val="0"/>
        <w:autoSpaceDN w:val="0"/>
        <w:adjustRightInd w:val="0"/>
        <w:spacing w:after="0" w:line="276" w:lineRule="auto"/>
        <w:jc w:val="both"/>
        <w:rPr>
          <w:rFonts w:ascii="Arial" w:hAnsi="Arial" w:cs="Arial"/>
          <w:sz w:val="20"/>
          <w:szCs w:val="20"/>
        </w:rPr>
      </w:pPr>
    </w:p>
    <w:p w14:paraId="717E2567" w14:textId="77777777" w:rsidR="00627DFB" w:rsidRPr="00A335CB" w:rsidRDefault="00627DFB" w:rsidP="005D1A90">
      <w:pPr>
        <w:tabs>
          <w:tab w:val="left" w:pos="9070"/>
        </w:tabs>
        <w:spacing w:after="0" w:line="276" w:lineRule="auto"/>
        <w:ind w:left="-6" w:hanging="11"/>
        <w:jc w:val="both"/>
        <w:rPr>
          <w:rFonts w:ascii="Arial" w:hAnsi="Arial" w:cs="Arial"/>
          <w:b/>
          <w:sz w:val="20"/>
          <w:szCs w:val="20"/>
        </w:rPr>
      </w:pPr>
      <w:r w:rsidRPr="00A335CB">
        <w:rPr>
          <w:rFonts w:ascii="Arial" w:hAnsi="Arial" w:cs="Arial"/>
          <w:b/>
          <w:sz w:val="20"/>
          <w:szCs w:val="20"/>
        </w:rPr>
        <w:t>Poleg navedenega so bile v letu 2024 izvedene naslednje naloge:</w:t>
      </w:r>
    </w:p>
    <w:p w14:paraId="0F6DCEB7" w14:textId="23718140"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u w:val="single"/>
        </w:rPr>
      </w:pPr>
      <w:r w:rsidRPr="00A335CB">
        <w:rPr>
          <w:rFonts w:ascii="Arial" w:hAnsi="Arial" w:cs="Arial"/>
          <w:sz w:val="20"/>
          <w:szCs w:val="20"/>
        </w:rPr>
        <w:t xml:space="preserve">priprava aneksov k pogodbam – razen aneksov na podlagi evidenčnih naročil, ki so </w:t>
      </w:r>
      <w:r w:rsidR="00902586">
        <w:rPr>
          <w:rFonts w:ascii="Arial" w:hAnsi="Arial" w:cs="Arial"/>
          <w:sz w:val="20"/>
          <w:szCs w:val="20"/>
        </w:rPr>
        <w:t xml:space="preserve">zajeti </w:t>
      </w:r>
      <w:r w:rsidRPr="00A335CB">
        <w:rPr>
          <w:rFonts w:ascii="Arial" w:hAnsi="Arial" w:cs="Arial"/>
          <w:sz w:val="20"/>
          <w:szCs w:val="20"/>
        </w:rPr>
        <w:t>že zgoraj (podaljšanje veljavnosti, povišanje cen ipd.) – 109 aneksov,</w:t>
      </w:r>
    </w:p>
    <w:p w14:paraId="02A00459" w14:textId="4469965C"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u w:val="single"/>
        </w:rPr>
      </w:pPr>
      <w:r w:rsidRPr="00A335CB">
        <w:rPr>
          <w:rFonts w:ascii="Arial" w:hAnsi="Arial" w:cs="Arial"/>
          <w:sz w:val="20"/>
          <w:szCs w:val="20"/>
        </w:rPr>
        <w:t xml:space="preserve">priprava referenčnih potrdil </w:t>
      </w:r>
      <w:r w:rsidR="00F40A8E" w:rsidRPr="00A335CB">
        <w:rPr>
          <w:rFonts w:ascii="Arial" w:hAnsi="Arial" w:cs="Arial"/>
          <w:sz w:val="20"/>
          <w:szCs w:val="20"/>
        </w:rPr>
        <w:t>oziroma</w:t>
      </w:r>
      <w:r w:rsidRPr="00A335CB">
        <w:rPr>
          <w:rFonts w:ascii="Arial" w:hAnsi="Arial" w:cs="Arial"/>
          <w:sz w:val="20"/>
          <w:szCs w:val="20"/>
        </w:rPr>
        <w:t xml:space="preserve"> potrditev referenc izvajalcem – 30 potrjenih referenc,</w:t>
      </w:r>
    </w:p>
    <w:p w14:paraId="4FD370D8" w14:textId="54783643"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u w:val="single"/>
        </w:rPr>
      </w:pPr>
      <w:r w:rsidRPr="00A335CB">
        <w:rPr>
          <w:rFonts w:ascii="Arial" w:hAnsi="Arial" w:cs="Arial"/>
          <w:sz w:val="20"/>
          <w:szCs w:val="20"/>
        </w:rPr>
        <w:t>sklepanje pravnih podlag (neposrednih pogodb, posameznih okvirnih sporazumov</w:t>
      </w:r>
      <w:r w:rsidR="00902586">
        <w:rPr>
          <w:rFonts w:ascii="Arial" w:hAnsi="Arial" w:cs="Arial"/>
          <w:sz w:val="20"/>
          <w:szCs w:val="20"/>
        </w:rPr>
        <w:t xml:space="preserve"> idr.</w:t>
      </w:r>
      <w:r w:rsidR="00902586" w:rsidRPr="00A335CB">
        <w:rPr>
          <w:rFonts w:ascii="Arial" w:hAnsi="Arial" w:cs="Arial"/>
          <w:sz w:val="20"/>
          <w:szCs w:val="20"/>
        </w:rPr>
        <w:t xml:space="preserve">) </w:t>
      </w:r>
      <w:r w:rsidRPr="00A335CB">
        <w:rPr>
          <w:rFonts w:ascii="Arial" w:hAnsi="Arial" w:cs="Arial"/>
          <w:sz w:val="20"/>
          <w:szCs w:val="20"/>
        </w:rPr>
        <w:t>na podlagi skupnih javnih naročil, ki jih izvede MJU ali drug organ po pooblastilu – 26 pravnih podlag,</w:t>
      </w:r>
    </w:p>
    <w:p w14:paraId="7D9CF63E" w14:textId="61CAD544"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nakup letalskih vozovnic: 830 postopkov nabave (odpiranje konkurence) letalskih vozovnic,</w:t>
      </w:r>
    </w:p>
    <w:p w14:paraId="099FAF53" w14:textId="767863C9"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nabava pisarniškega materiala: 266 naročil,</w:t>
      </w:r>
    </w:p>
    <w:p w14:paraId="4E15ADF0" w14:textId="025C80E7"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nabava papirja: 109 naročil,</w:t>
      </w:r>
    </w:p>
    <w:p w14:paraId="30BE9F2A" w14:textId="34A24EB4" w:rsidR="00627DFB" w:rsidRPr="00A335CB" w:rsidRDefault="004B07FF"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izvedba nadzora nad delom policijskih uprav</w:t>
      </w:r>
      <w:r w:rsidR="00627DFB" w:rsidRPr="00A335CB">
        <w:rPr>
          <w:rFonts w:ascii="Arial" w:hAnsi="Arial" w:cs="Arial"/>
          <w:sz w:val="20"/>
          <w:szCs w:val="20"/>
        </w:rPr>
        <w:t xml:space="preserve"> v letu 2024 ter vse naloge v zvezi s tem: </w:t>
      </w:r>
      <w:r w:rsidR="00902586">
        <w:rPr>
          <w:rFonts w:ascii="Arial" w:hAnsi="Arial" w:cs="Arial"/>
          <w:sz w:val="20"/>
          <w:szCs w:val="20"/>
        </w:rPr>
        <w:t>en</w:t>
      </w:r>
      <w:r w:rsidRPr="00A335CB">
        <w:rPr>
          <w:rFonts w:ascii="Arial" w:hAnsi="Arial" w:cs="Arial"/>
          <w:sz w:val="20"/>
          <w:szCs w:val="20"/>
        </w:rPr>
        <w:t xml:space="preserve"> nadzor (Policijska uprava</w:t>
      </w:r>
      <w:r w:rsidR="00627DFB" w:rsidRPr="00A335CB">
        <w:rPr>
          <w:rFonts w:ascii="Arial" w:hAnsi="Arial" w:cs="Arial"/>
          <w:sz w:val="20"/>
          <w:szCs w:val="20"/>
        </w:rPr>
        <w:t xml:space="preserve"> Novo mesto),</w:t>
      </w:r>
    </w:p>
    <w:p w14:paraId="1BECD2F8" w14:textId="51B21992"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 xml:space="preserve">priprava navodil, obvestil, opozoril </w:t>
      </w:r>
      <w:r w:rsidR="00F40A8E" w:rsidRPr="00A335CB">
        <w:rPr>
          <w:rFonts w:ascii="Arial" w:hAnsi="Arial" w:cs="Arial"/>
          <w:sz w:val="20"/>
          <w:szCs w:val="20"/>
        </w:rPr>
        <w:t>oziroma</w:t>
      </w:r>
      <w:r w:rsidRPr="00A335CB">
        <w:rPr>
          <w:rFonts w:ascii="Arial" w:hAnsi="Arial" w:cs="Arial"/>
          <w:sz w:val="20"/>
          <w:szCs w:val="20"/>
        </w:rPr>
        <w:t xml:space="preserve"> usmeritev za vse </w:t>
      </w:r>
      <w:r w:rsidR="004B07FF" w:rsidRPr="00A335CB">
        <w:rPr>
          <w:rFonts w:ascii="Arial" w:hAnsi="Arial" w:cs="Arial"/>
          <w:sz w:val="20"/>
          <w:szCs w:val="20"/>
        </w:rPr>
        <w:t xml:space="preserve">notranje organizacijske enote MNZ: </w:t>
      </w:r>
      <w:r w:rsidR="00902586">
        <w:rPr>
          <w:rFonts w:ascii="Arial" w:hAnsi="Arial" w:cs="Arial"/>
          <w:sz w:val="20"/>
          <w:szCs w:val="20"/>
        </w:rPr>
        <w:t>devet</w:t>
      </w:r>
      <w:r w:rsidR="00902586" w:rsidRPr="00A335CB">
        <w:rPr>
          <w:rFonts w:ascii="Arial" w:hAnsi="Arial" w:cs="Arial"/>
          <w:sz w:val="20"/>
          <w:szCs w:val="20"/>
        </w:rPr>
        <w:t xml:space="preserve"> </w:t>
      </w:r>
      <w:r w:rsidRPr="00A335CB">
        <w:rPr>
          <w:rFonts w:ascii="Arial" w:hAnsi="Arial" w:cs="Arial"/>
          <w:sz w:val="20"/>
          <w:szCs w:val="20"/>
        </w:rPr>
        <w:t>dopisov</w:t>
      </w:r>
      <w:r w:rsidR="004B07FF" w:rsidRPr="00A335CB">
        <w:rPr>
          <w:rFonts w:ascii="Arial" w:hAnsi="Arial" w:cs="Arial"/>
          <w:sz w:val="20"/>
          <w:szCs w:val="20"/>
        </w:rPr>
        <w:t>.</w:t>
      </w:r>
    </w:p>
    <w:p w14:paraId="3FFB251F" w14:textId="77777777" w:rsidR="004B07FF" w:rsidRPr="00A335CB" w:rsidRDefault="004B07FF" w:rsidP="004B07FF">
      <w:pPr>
        <w:autoSpaceDE w:val="0"/>
        <w:autoSpaceDN w:val="0"/>
        <w:adjustRightInd w:val="0"/>
        <w:spacing w:after="0"/>
        <w:jc w:val="both"/>
        <w:rPr>
          <w:rFonts w:ascii="Arial" w:hAnsi="Arial" w:cs="Arial"/>
          <w:sz w:val="20"/>
          <w:szCs w:val="20"/>
        </w:rPr>
      </w:pPr>
    </w:p>
    <w:p w14:paraId="67663D39" w14:textId="21F49B6B" w:rsidR="00627DFB" w:rsidRPr="00A335CB" w:rsidRDefault="004B07FF" w:rsidP="004B07FF">
      <w:pPr>
        <w:autoSpaceDE w:val="0"/>
        <w:autoSpaceDN w:val="0"/>
        <w:adjustRightInd w:val="0"/>
        <w:spacing w:after="0"/>
        <w:jc w:val="both"/>
        <w:rPr>
          <w:rFonts w:ascii="Arial" w:hAnsi="Arial" w:cs="Arial"/>
          <w:sz w:val="20"/>
          <w:szCs w:val="20"/>
        </w:rPr>
      </w:pPr>
      <w:r w:rsidRPr="00A335CB">
        <w:rPr>
          <w:rFonts w:ascii="Arial" w:hAnsi="Arial" w:cs="Arial"/>
          <w:sz w:val="20"/>
          <w:szCs w:val="20"/>
        </w:rPr>
        <w:t>Potekalo je:</w:t>
      </w:r>
    </w:p>
    <w:p w14:paraId="58479856" w14:textId="2B9573BE"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izvajanje skrbništva pogodb (spremljanje pogodb, pregled in potrjevanje večjega števila računov, reševanje problematike zamud pri dobavah, povišanja cen, priprava naročil – za vzdrževanje helikopterjev, nabavo uniform, informacijske opreme ipd.),</w:t>
      </w:r>
    </w:p>
    <w:p w14:paraId="4DABF2E8" w14:textId="388BC923"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 xml:space="preserve">koordinacija z MJU glede skupnih javnih naročil (zbiranje potreb in priprava potrebne dokumentacije ter </w:t>
      </w:r>
      <w:r w:rsidR="005E0375">
        <w:rPr>
          <w:rFonts w:ascii="Arial" w:hAnsi="Arial" w:cs="Arial"/>
          <w:sz w:val="20"/>
          <w:szCs w:val="20"/>
        </w:rPr>
        <w:t>predložitev</w:t>
      </w:r>
      <w:r w:rsidR="005E0375" w:rsidRPr="00A335CB">
        <w:rPr>
          <w:rFonts w:ascii="Arial" w:hAnsi="Arial" w:cs="Arial"/>
          <w:sz w:val="20"/>
          <w:szCs w:val="20"/>
        </w:rPr>
        <w:t xml:space="preserve"> </w:t>
      </w:r>
      <w:r w:rsidRPr="00A335CB">
        <w:rPr>
          <w:rFonts w:ascii="Arial" w:hAnsi="Arial" w:cs="Arial"/>
          <w:sz w:val="20"/>
          <w:szCs w:val="20"/>
        </w:rPr>
        <w:t>le-teh na MJU),</w:t>
      </w:r>
    </w:p>
    <w:p w14:paraId="58929C0D" w14:textId="65B0080C"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sodelovanje v medresorski komisiji za naročila, ki se izvajajo na podlagi 346.</w:t>
      </w:r>
      <w:r w:rsidR="00902586">
        <w:rPr>
          <w:rFonts w:ascii="Arial" w:hAnsi="Arial" w:cs="Arial"/>
          <w:sz w:val="20"/>
          <w:szCs w:val="20"/>
        </w:rPr>
        <w:t> </w:t>
      </w:r>
      <w:r w:rsidRPr="00A335CB">
        <w:rPr>
          <w:rFonts w:ascii="Arial" w:hAnsi="Arial" w:cs="Arial"/>
          <w:sz w:val="20"/>
          <w:szCs w:val="20"/>
        </w:rPr>
        <w:t>člena Pogodbe o delovanju EU</w:t>
      </w:r>
      <w:r w:rsidR="00902586">
        <w:rPr>
          <w:rFonts w:ascii="Arial" w:hAnsi="Arial" w:cs="Arial"/>
          <w:sz w:val="20"/>
          <w:szCs w:val="20"/>
        </w:rPr>
        <w:t>,</w:t>
      </w:r>
      <w:r w:rsidRPr="00A335CB">
        <w:rPr>
          <w:rFonts w:ascii="Arial" w:hAnsi="Arial" w:cs="Arial"/>
          <w:sz w:val="20"/>
          <w:szCs w:val="20"/>
        </w:rPr>
        <w:t xml:space="preserve"> ter naročila za izvajanje obveščevalne in protiobveščevalne dejavnosti (zaupna naročila),</w:t>
      </w:r>
    </w:p>
    <w:p w14:paraId="0B797C89" w14:textId="7B1C5F59"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sodelovanje v komisiji za nakup službenih živali,</w:t>
      </w:r>
    </w:p>
    <w:p w14:paraId="4EAB5721" w14:textId="2D31A760" w:rsidR="00627DFB" w:rsidRPr="00A335CB" w:rsidRDefault="00627DFB" w:rsidP="005D1A90">
      <w:pPr>
        <w:pStyle w:val="Odstavekseznama"/>
        <w:numPr>
          <w:ilvl w:val="0"/>
          <w:numId w:val="22"/>
        </w:numPr>
        <w:autoSpaceDE w:val="0"/>
        <w:autoSpaceDN w:val="0"/>
        <w:adjustRightInd w:val="0"/>
        <w:spacing w:after="0"/>
        <w:ind w:left="426" w:hanging="426"/>
        <w:jc w:val="both"/>
        <w:rPr>
          <w:rFonts w:ascii="Arial" w:hAnsi="Arial" w:cs="Arial"/>
          <w:sz w:val="20"/>
          <w:szCs w:val="20"/>
        </w:rPr>
      </w:pPr>
      <w:r w:rsidRPr="00A335CB">
        <w:rPr>
          <w:rFonts w:ascii="Arial" w:hAnsi="Arial" w:cs="Arial"/>
          <w:sz w:val="20"/>
          <w:szCs w:val="20"/>
        </w:rPr>
        <w:t xml:space="preserve">izvajanje nalog </w:t>
      </w:r>
      <w:proofErr w:type="spellStart"/>
      <w:r w:rsidRPr="00A335CB">
        <w:rPr>
          <w:rFonts w:ascii="Arial" w:hAnsi="Arial" w:cs="Arial"/>
          <w:sz w:val="20"/>
          <w:szCs w:val="20"/>
        </w:rPr>
        <w:t>tehničnostrokovnih</w:t>
      </w:r>
      <w:proofErr w:type="spellEnd"/>
      <w:r w:rsidRPr="00A335CB">
        <w:rPr>
          <w:rFonts w:ascii="Arial" w:hAnsi="Arial" w:cs="Arial"/>
          <w:sz w:val="20"/>
          <w:szCs w:val="20"/>
        </w:rPr>
        <w:t xml:space="preserve"> služb za letalske vozovnice, pisarniški material in papir.</w:t>
      </w:r>
    </w:p>
    <w:p w14:paraId="1E3A7225" w14:textId="77777777" w:rsidR="00627DFB" w:rsidRPr="00A335CB" w:rsidRDefault="00627DFB" w:rsidP="005D1A90">
      <w:pPr>
        <w:tabs>
          <w:tab w:val="left" w:pos="9070"/>
        </w:tabs>
        <w:spacing w:after="0" w:line="276" w:lineRule="auto"/>
        <w:ind w:left="-6" w:hanging="11"/>
        <w:jc w:val="both"/>
        <w:rPr>
          <w:rFonts w:ascii="Arial" w:hAnsi="Arial" w:cs="Arial"/>
          <w:sz w:val="20"/>
          <w:szCs w:val="20"/>
        </w:rPr>
      </w:pPr>
    </w:p>
    <w:p w14:paraId="6A705A0F" w14:textId="544663FB" w:rsidR="00627DFB" w:rsidRPr="00ED7864" w:rsidRDefault="00627DFB" w:rsidP="00C90C33">
      <w:pPr>
        <w:autoSpaceDE w:val="0"/>
        <w:autoSpaceDN w:val="0"/>
        <w:adjustRightInd w:val="0"/>
        <w:spacing w:line="276" w:lineRule="auto"/>
        <w:jc w:val="both"/>
        <w:rPr>
          <w:rFonts w:ascii="Arial" w:hAnsi="Arial" w:cs="Arial"/>
          <w:sz w:val="20"/>
          <w:szCs w:val="20"/>
        </w:rPr>
      </w:pPr>
      <w:r w:rsidRPr="00A335CB">
        <w:rPr>
          <w:rFonts w:ascii="Arial" w:hAnsi="Arial" w:cs="Arial"/>
          <w:sz w:val="20"/>
          <w:szCs w:val="20"/>
        </w:rPr>
        <w:t>Med pomembnejšimi postopki, ki so bili izvedeni, so prevozi zaseženih in poškodovanih v</w:t>
      </w:r>
      <w:r w:rsidR="004B07FF" w:rsidRPr="00A335CB">
        <w:rPr>
          <w:rFonts w:ascii="Arial" w:hAnsi="Arial" w:cs="Arial"/>
          <w:sz w:val="20"/>
          <w:szCs w:val="20"/>
        </w:rPr>
        <w:t>ozil do 3.500</w:t>
      </w:r>
      <w:r w:rsidR="00902586">
        <w:rPr>
          <w:rFonts w:ascii="Arial" w:hAnsi="Arial" w:cs="Arial"/>
          <w:sz w:val="20"/>
          <w:szCs w:val="20"/>
        </w:rPr>
        <w:t> </w:t>
      </w:r>
      <w:r w:rsidR="004B07FF" w:rsidRPr="00A335CB">
        <w:rPr>
          <w:rFonts w:ascii="Arial" w:hAnsi="Arial" w:cs="Arial"/>
          <w:sz w:val="20"/>
          <w:szCs w:val="20"/>
        </w:rPr>
        <w:t>kg (za potrebe Generalne policijske uprave, MNZ,</w:t>
      </w:r>
      <w:r w:rsidRPr="00A335CB">
        <w:rPr>
          <w:rFonts w:ascii="Arial" w:hAnsi="Arial" w:cs="Arial"/>
          <w:sz w:val="20"/>
          <w:szCs w:val="20"/>
        </w:rPr>
        <w:t xml:space="preserve"> IRSNZ in </w:t>
      </w:r>
      <w:r w:rsidR="004B07FF" w:rsidRPr="00A335CB">
        <w:rPr>
          <w:rFonts w:ascii="Arial" w:hAnsi="Arial" w:cs="Arial"/>
          <w:sz w:val="20"/>
          <w:szCs w:val="20"/>
        </w:rPr>
        <w:t>policijskih uprav</w:t>
      </w:r>
      <w:r w:rsidRPr="00A335CB">
        <w:rPr>
          <w:rFonts w:ascii="Arial" w:hAnsi="Arial" w:cs="Arial"/>
          <w:sz w:val="20"/>
          <w:szCs w:val="20"/>
        </w:rPr>
        <w:t>), prevozi zaseženih in poškodovanih vozil nad 3.500 kg (</w:t>
      </w:r>
      <w:r w:rsidR="004B07FF" w:rsidRPr="00A335CB">
        <w:rPr>
          <w:rFonts w:ascii="Arial" w:hAnsi="Arial" w:cs="Arial"/>
          <w:sz w:val="20"/>
          <w:szCs w:val="20"/>
        </w:rPr>
        <w:t>za potrebe Generalne policijske uprave, MNZ in policijskih uprav</w:t>
      </w:r>
      <w:r w:rsidRPr="00A335CB">
        <w:rPr>
          <w:rFonts w:ascii="Arial" w:hAnsi="Arial" w:cs="Arial"/>
          <w:sz w:val="20"/>
          <w:szCs w:val="20"/>
        </w:rPr>
        <w:t xml:space="preserve">), izdelava načrta notranje opreme in načrta označevalnega sistema, košnja, posek, odstranitev lesa in naplavin ter izvedba drugih vzdrževalnih del ob varnostni </w:t>
      </w:r>
      <w:r w:rsidRPr="00ED7864">
        <w:rPr>
          <w:rFonts w:ascii="Arial" w:hAnsi="Arial" w:cs="Arial"/>
          <w:sz w:val="20"/>
          <w:szCs w:val="20"/>
        </w:rPr>
        <w:t>ograji (ZTO) na</w:t>
      </w:r>
      <w:r w:rsidRPr="00A335CB">
        <w:rPr>
          <w:rFonts w:ascii="Arial" w:hAnsi="Arial" w:cs="Arial"/>
          <w:sz w:val="20"/>
          <w:szCs w:val="20"/>
        </w:rPr>
        <w:t xml:space="preserve"> območju meje z Republiko Hrvaško, </w:t>
      </w:r>
      <w:r w:rsidRPr="00A335CB">
        <w:rPr>
          <w:rFonts w:ascii="Arial" w:eastAsia="Times New Roman" w:hAnsi="Arial" w:cs="Arial"/>
          <w:sz w:val="20"/>
          <w:szCs w:val="20"/>
          <w:lang w:eastAsia="sl-SI"/>
        </w:rPr>
        <w:t xml:space="preserve">nabava pnevmatik z boljšim izkoristkom goriva in boljšim oprijemom na mokri podlagi, </w:t>
      </w:r>
      <w:r w:rsidRPr="00A335CB">
        <w:rPr>
          <w:rFonts w:ascii="Arial" w:hAnsi="Arial" w:cs="Arial"/>
          <w:sz w:val="20"/>
          <w:szCs w:val="20"/>
        </w:rPr>
        <w:t xml:space="preserve">razvoj aplikacij, njihovih potrebnih nadgradenj, prilagajanje spremenjenim </w:t>
      </w:r>
      <w:r w:rsidR="00F40A8E" w:rsidRPr="00A335CB">
        <w:rPr>
          <w:rFonts w:ascii="Arial" w:hAnsi="Arial" w:cs="Arial"/>
          <w:sz w:val="20"/>
          <w:szCs w:val="20"/>
        </w:rPr>
        <w:t>oziroma</w:t>
      </w:r>
      <w:r w:rsidRPr="00A335CB">
        <w:rPr>
          <w:rFonts w:ascii="Arial" w:hAnsi="Arial" w:cs="Arial"/>
          <w:sz w:val="20"/>
          <w:szCs w:val="20"/>
        </w:rPr>
        <w:t xml:space="preserve"> novim zahtevam ter njihovo vzdrževanje za potrebe Evropskega sistema za potovalne informacije in odobritve (ETIAS), razvoj aplikacij za področje </w:t>
      </w:r>
      <w:proofErr w:type="spellStart"/>
      <w:r w:rsidR="00902586">
        <w:rPr>
          <w:rFonts w:ascii="Arial" w:hAnsi="Arial" w:cs="Arial"/>
          <w:sz w:val="20"/>
          <w:szCs w:val="20"/>
        </w:rPr>
        <w:t>i</w:t>
      </w:r>
      <w:r w:rsidRPr="00A335CB">
        <w:rPr>
          <w:rFonts w:ascii="Arial" w:hAnsi="Arial" w:cs="Arial"/>
          <w:sz w:val="20"/>
          <w:szCs w:val="20"/>
        </w:rPr>
        <w:t>nteroperabilnosti</w:t>
      </w:r>
      <w:proofErr w:type="spellEnd"/>
      <w:r w:rsidRPr="00A335CB">
        <w:rPr>
          <w:rFonts w:ascii="Arial" w:hAnsi="Arial" w:cs="Arial"/>
          <w:sz w:val="20"/>
          <w:szCs w:val="20"/>
        </w:rPr>
        <w:t xml:space="preserve">, </w:t>
      </w:r>
      <w:r w:rsidR="00902586" w:rsidRPr="00A335CB">
        <w:rPr>
          <w:rFonts w:ascii="Arial" w:hAnsi="Arial" w:cs="Arial"/>
          <w:sz w:val="20"/>
          <w:szCs w:val="20"/>
        </w:rPr>
        <w:t>njihov</w:t>
      </w:r>
      <w:r w:rsidR="00902586">
        <w:rPr>
          <w:rFonts w:ascii="Arial" w:hAnsi="Arial" w:cs="Arial"/>
          <w:sz w:val="20"/>
          <w:szCs w:val="20"/>
        </w:rPr>
        <w:t>e</w:t>
      </w:r>
      <w:r w:rsidR="00902586" w:rsidRPr="00A335CB">
        <w:rPr>
          <w:rFonts w:ascii="Arial" w:hAnsi="Arial" w:cs="Arial"/>
          <w:sz w:val="20"/>
          <w:szCs w:val="20"/>
        </w:rPr>
        <w:t xml:space="preserve"> potrebn</w:t>
      </w:r>
      <w:r w:rsidR="00902586">
        <w:rPr>
          <w:rFonts w:ascii="Arial" w:hAnsi="Arial" w:cs="Arial"/>
          <w:sz w:val="20"/>
          <w:szCs w:val="20"/>
        </w:rPr>
        <w:t>e</w:t>
      </w:r>
      <w:r w:rsidR="00902586" w:rsidRPr="00A335CB">
        <w:rPr>
          <w:rFonts w:ascii="Arial" w:hAnsi="Arial" w:cs="Arial"/>
          <w:sz w:val="20"/>
          <w:szCs w:val="20"/>
        </w:rPr>
        <w:t xml:space="preserve"> nadgradnj</w:t>
      </w:r>
      <w:r w:rsidR="00902586">
        <w:rPr>
          <w:rFonts w:ascii="Arial" w:hAnsi="Arial" w:cs="Arial"/>
          <w:sz w:val="20"/>
          <w:szCs w:val="20"/>
        </w:rPr>
        <w:t>e</w:t>
      </w:r>
      <w:r w:rsidR="00902586" w:rsidRPr="00A335CB">
        <w:rPr>
          <w:rFonts w:ascii="Arial" w:hAnsi="Arial" w:cs="Arial"/>
          <w:sz w:val="20"/>
          <w:szCs w:val="20"/>
        </w:rPr>
        <w:t xml:space="preserve"> </w:t>
      </w:r>
      <w:r w:rsidRPr="00A335CB">
        <w:rPr>
          <w:rFonts w:ascii="Arial" w:hAnsi="Arial" w:cs="Arial"/>
          <w:sz w:val="20"/>
          <w:szCs w:val="20"/>
        </w:rPr>
        <w:t xml:space="preserve">in </w:t>
      </w:r>
      <w:r w:rsidR="00902586" w:rsidRPr="00A335CB">
        <w:rPr>
          <w:rFonts w:ascii="Arial" w:hAnsi="Arial" w:cs="Arial"/>
          <w:sz w:val="20"/>
          <w:szCs w:val="20"/>
        </w:rPr>
        <w:t>njihov</w:t>
      </w:r>
      <w:r w:rsidR="00902586">
        <w:rPr>
          <w:rFonts w:ascii="Arial" w:hAnsi="Arial" w:cs="Arial"/>
          <w:sz w:val="20"/>
          <w:szCs w:val="20"/>
        </w:rPr>
        <w:t>o</w:t>
      </w:r>
      <w:r w:rsidR="00902586" w:rsidRPr="00A335CB">
        <w:rPr>
          <w:rFonts w:ascii="Arial" w:hAnsi="Arial" w:cs="Arial"/>
          <w:sz w:val="20"/>
          <w:szCs w:val="20"/>
        </w:rPr>
        <w:t xml:space="preserve"> prilagajanj</w:t>
      </w:r>
      <w:r w:rsidR="00902586">
        <w:rPr>
          <w:rFonts w:ascii="Arial" w:hAnsi="Arial" w:cs="Arial"/>
          <w:sz w:val="20"/>
          <w:szCs w:val="20"/>
        </w:rPr>
        <w:t>e</w:t>
      </w:r>
      <w:r w:rsidR="00902586" w:rsidRPr="00A335CB">
        <w:rPr>
          <w:rFonts w:ascii="Arial" w:hAnsi="Arial" w:cs="Arial"/>
          <w:sz w:val="20"/>
          <w:szCs w:val="20"/>
        </w:rPr>
        <w:t xml:space="preserve"> </w:t>
      </w:r>
      <w:r w:rsidRPr="00A335CB">
        <w:rPr>
          <w:rFonts w:ascii="Arial" w:hAnsi="Arial" w:cs="Arial"/>
          <w:sz w:val="20"/>
          <w:szCs w:val="20"/>
        </w:rPr>
        <w:t xml:space="preserve">spremenjenim </w:t>
      </w:r>
      <w:r w:rsidR="00F40A8E" w:rsidRPr="00A335CB">
        <w:rPr>
          <w:rFonts w:ascii="Arial" w:hAnsi="Arial" w:cs="Arial"/>
          <w:sz w:val="20"/>
          <w:szCs w:val="20"/>
        </w:rPr>
        <w:t>oziroma</w:t>
      </w:r>
      <w:r w:rsidRPr="00A335CB">
        <w:rPr>
          <w:rFonts w:ascii="Arial" w:hAnsi="Arial" w:cs="Arial"/>
          <w:sz w:val="20"/>
          <w:szCs w:val="20"/>
        </w:rPr>
        <w:t xml:space="preserve"> novim zahtevam, </w:t>
      </w:r>
      <w:r w:rsidRPr="00A335CB">
        <w:rPr>
          <w:rFonts w:ascii="Arial" w:eastAsia="Times New Roman" w:hAnsi="Arial" w:cs="Arial"/>
          <w:sz w:val="20"/>
          <w:szCs w:val="20"/>
          <w:lang w:eastAsia="sl-SI"/>
        </w:rPr>
        <w:t xml:space="preserve">nakup in dobava strežnikov, </w:t>
      </w:r>
      <w:r w:rsidRPr="00A335CB">
        <w:rPr>
          <w:rFonts w:ascii="Arial" w:hAnsi="Arial" w:cs="Arial"/>
          <w:sz w:val="20"/>
          <w:szCs w:val="20"/>
          <w:lang w:eastAsia="sl-SI"/>
        </w:rPr>
        <w:t xml:space="preserve">pranje in čiščenje motornih vozil na območju Republike Slovenije, izvajanje servisiranja in pregleda ogrevalne tehnike, servisiranje in popravila službenih vozil in motornih koles, </w:t>
      </w:r>
      <w:r w:rsidRPr="00A335CB">
        <w:rPr>
          <w:rFonts w:ascii="Arial" w:eastAsia="Times New Roman" w:hAnsi="Arial" w:cs="Arial"/>
          <w:sz w:val="20"/>
          <w:szCs w:val="20"/>
        </w:rPr>
        <w:t xml:space="preserve">dobava letalskih vozovnic, dobava zaščitnih sredstev, dobava </w:t>
      </w:r>
      <w:r w:rsidRPr="00A335CB">
        <w:rPr>
          <w:rFonts w:ascii="Arial" w:hAnsi="Arial" w:cs="Arial"/>
          <w:sz w:val="20"/>
          <w:szCs w:val="20"/>
        </w:rPr>
        <w:t xml:space="preserve">posebnih in dopolnilnih delov uniform, </w:t>
      </w:r>
      <w:r w:rsidRPr="00A335CB">
        <w:rPr>
          <w:rFonts w:ascii="Arial" w:eastAsia="Times New Roman" w:hAnsi="Arial" w:cs="Arial"/>
          <w:sz w:val="20"/>
          <w:szCs w:val="20"/>
        </w:rPr>
        <w:t xml:space="preserve">nakup in dobava promocijskega materiala, dobava </w:t>
      </w:r>
      <w:r w:rsidRPr="00A335CB">
        <w:rPr>
          <w:rFonts w:ascii="Arial" w:hAnsi="Arial" w:cs="Arial"/>
          <w:sz w:val="20"/>
          <w:szCs w:val="20"/>
        </w:rPr>
        <w:t xml:space="preserve">hrane za službene pse, dobava specialnega tovornega vozila CBRN, dobava </w:t>
      </w:r>
      <w:proofErr w:type="spellStart"/>
      <w:r w:rsidRPr="00A335CB">
        <w:rPr>
          <w:rFonts w:ascii="Arial" w:hAnsi="Arial" w:cs="Arial"/>
          <w:sz w:val="20"/>
          <w:szCs w:val="20"/>
        </w:rPr>
        <w:t>okoljsko</w:t>
      </w:r>
      <w:proofErr w:type="spellEnd"/>
      <w:r w:rsidRPr="00A335CB">
        <w:rPr>
          <w:rFonts w:ascii="Arial" w:hAnsi="Arial" w:cs="Arial"/>
          <w:sz w:val="20"/>
          <w:szCs w:val="20"/>
        </w:rPr>
        <w:t xml:space="preserve"> manj obremenjujočih motornih vozil s pnevmatikami z boljšim izkoristkom goriva in boljšim oprijemom na mokri podlagi, </w:t>
      </w:r>
      <w:r w:rsidRPr="00A335CB">
        <w:rPr>
          <w:rFonts w:ascii="Arial" w:hAnsi="Arial" w:cs="Arial"/>
          <w:sz w:val="20"/>
          <w:szCs w:val="20"/>
          <w:lang w:eastAsia="sl-SI"/>
        </w:rPr>
        <w:t xml:space="preserve">dobava </w:t>
      </w:r>
      <w:proofErr w:type="spellStart"/>
      <w:r w:rsidRPr="00A335CB">
        <w:rPr>
          <w:rFonts w:ascii="Arial" w:hAnsi="Arial" w:cs="Arial"/>
          <w:sz w:val="20"/>
          <w:szCs w:val="20"/>
          <w:lang w:eastAsia="sl-SI"/>
        </w:rPr>
        <w:t>markirnih</w:t>
      </w:r>
      <w:proofErr w:type="spellEnd"/>
      <w:r w:rsidRPr="00A335CB">
        <w:rPr>
          <w:rFonts w:ascii="Arial" w:hAnsi="Arial" w:cs="Arial"/>
          <w:sz w:val="20"/>
          <w:szCs w:val="20"/>
          <w:lang w:eastAsia="sl-SI"/>
        </w:rPr>
        <w:t xml:space="preserve"> nabojev kalibra 9</w:t>
      </w:r>
      <w:r w:rsidR="00902586">
        <w:rPr>
          <w:rFonts w:ascii="Arial" w:hAnsi="Arial" w:cs="Arial"/>
          <w:sz w:val="20"/>
          <w:szCs w:val="20"/>
          <w:lang w:eastAsia="sl-SI"/>
        </w:rPr>
        <w:t> </w:t>
      </w:r>
      <w:r w:rsidRPr="00A335CB">
        <w:rPr>
          <w:rFonts w:ascii="Arial" w:hAnsi="Arial" w:cs="Arial"/>
          <w:sz w:val="20"/>
          <w:szCs w:val="20"/>
          <w:lang w:eastAsia="sl-SI"/>
        </w:rPr>
        <w:t xml:space="preserve">mm, </w:t>
      </w:r>
      <w:r w:rsidRPr="00A335CB">
        <w:rPr>
          <w:rFonts w:ascii="Arial" w:hAnsi="Arial" w:cs="Arial"/>
          <w:sz w:val="20"/>
          <w:szCs w:val="20"/>
        </w:rPr>
        <w:t xml:space="preserve">storitev zavarovanja oseb, živali in premoženja, zavarovanje helikopterjev, nakup strežniškega sistema, oprema za zagotavljanje širokopasovnega omrežja ITSP, izdelave projektne dokumentacije za </w:t>
      </w:r>
      <w:r w:rsidRPr="00ED7864">
        <w:rPr>
          <w:rFonts w:ascii="Arial" w:hAnsi="Arial" w:cs="Arial"/>
          <w:sz w:val="20"/>
          <w:szCs w:val="20"/>
        </w:rPr>
        <w:t>potrebe P</w:t>
      </w:r>
      <w:r w:rsidR="00ED7864" w:rsidRPr="00ED7864">
        <w:rPr>
          <w:rFonts w:ascii="Arial" w:hAnsi="Arial" w:cs="Arial"/>
          <w:sz w:val="20"/>
          <w:szCs w:val="20"/>
        </w:rPr>
        <w:t xml:space="preserve">ostaje pomorske policije </w:t>
      </w:r>
      <w:r w:rsidRPr="00ED7864">
        <w:rPr>
          <w:rFonts w:ascii="Arial" w:hAnsi="Arial" w:cs="Arial"/>
          <w:sz w:val="20"/>
          <w:szCs w:val="20"/>
        </w:rPr>
        <w:t xml:space="preserve">Koper, </w:t>
      </w:r>
      <w:r w:rsidR="00C90C33" w:rsidRPr="00ED7864">
        <w:rPr>
          <w:rFonts w:ascii="Arial" w:hAnsi="Arial" w:cs="Arial"/>
          <w:bCs/>
          <w:sz w:val="20"/>
          <w:szCs w:val="20"/>
        </w:rPr>
        <w:t>i</w:t>
      </w:r>
      <w:r w:rsidRPr="00ED7864">
        <w:rPr>
          <w:rFonts w:ascii="Arial" w:hAnsi="Arial" w:cs="Arial"/>
          <w:bCs/>
          <w:sz w:val="20"/>
          <w:szCs w:val="20"/>
        </w:rPr>
        <w:t xml:space="preserve">zvedba usmerjenih obdobnih preventivnih zdravstvenih pregledov javnih uslužbencev </w:t>
      </w:r>
      <w:r w:rsidR="00DF1CFD" w:rsidRPr="00ED7864">
        <w:rPr>
          <w:rFonts w:ascii="Arial" w:hAnsi="Arial" w:cs="Arial"/>
          <w:bCs/>
          <w:sz w:val="20"/>
          <w:szCs w:val="20"/>
        </w:rPr>
        <w:t xml:space="preserve">policije </w:t>
      </w:r>
      <w:r w:rsidR="00C90C33" w:rsidRPr="00ED7864">
        <w:rPr>
          <w:rFonts w:ascii="Arial" w:hAnsi="Arial" w:cs="Arial"/>
          <w:bCs/>
          <w:sz w:val="20"/>
          <w:szCs w:val="20"/>
        </w:rPr>
        <w:t>v obdobju 2024</w:t>
      </w:r>
      <w:r w:rsidR="00C90C33" w:rsidRPr="00A335CB">
        <w:rPr>
          <w:rFonts w:ascii="Arial" w:hAnsi="Arial" w:cs="Arial"/>
          <w:bCs/>
          <w:sz w:val="20"/>
          <w:szCs w:val="20"/>
        </w:rPr>
        <w:t>–2026</w:t>
      </w:r>
      <w:r w:rsidRPr="00A335CB">
        <w:rPr>
          <w:rFonts w:ascii="Arial" w:hAnsi="Arial" w:cs="Arial"/>
          <w:sz w:val="20"/>
          <w:szCs w:val="20"/>
          <w:lang w:eastAsia="sl-SI"/>
        </w:rPr>
        <w:t>)</w:t>
      </w:r>
      <w:r w:rsidR="00C90C33" w:rsidRPr="00A335CB">
        <w:rPr>
          <w:rFonts w:ascii="Arial" w:hAnsi="Arial" w:cs="Arial"/>
          <w:sz w:val="20"/>
          <w:szCs w:val="20"/>
          <w:lang w:eastAsia="sl-SI"/>
        </w:rPr>
        <w:t>, i</w:t>
      </w:r>
      <w:r w:rsidRPr="00A335CB">
        <w:rPr>
          <w:rFonts w:ascii="Arial" w:hAnsi="Arial" w:cs="Arial"/>
          <w:sz w:val="20"/>
          <w:szCs w:val="20"/>
          <w:lang w:eastAsia="sl-SI"/>
        </w:rPr>
        <w:t xml:space="preserve">zvajanje spremljanja prisilne odstranitve tujcev iz RS, </w:t>
      </w:r>
      <w:r w:rsidRPr="00A335CB">
        <w:rPr>
          <w:rFonts w:ascii="Arial" w:eastAsia="Times New Roman" w:hAnsi="Arial" w:cs="Arial"/>
          <w:sz w:val="20"/>
          <w:szCs w:val="20"/>
        </w:rPr>
        <w:t>nadaljevanje zaščite žrtev trgovine z ljudmi ter programa njihove reintegracije v R</w:t>
      </w:r>
      <w:r w:rsidR="00C90C33" w:rsidRPr="00A335CB">
        <w:rPr>
          <w:rFonts w:ascii="Arial" w:eastAsia="Times New Roman" w:hAnsi="Arial" w:cs="Arial"/>
          <w:sz w:val="20"/>
          <w:szCs w:val="20"/>
        </w:rPr>
        <w:t xml:space="preserve">epubliki </w:t>
      </w:r>
      <w:r w:rsidRPr="00A335CB">
        <w:rPr>
          <w:rFonts w:ascii="Arial" w:eastAsia="Times New Roman" w:hAnsi="Arial" w:cs="Arial"/>
          <w:sz w:val="20"/>
          <w:szCs w:val="20"/>
        </w:rPr>
        <w:t>S</w:t>
      </w:r>
      <w:r w:rsidR="00C90C33" w:rsidRPr="00A335CB">
        <w:rPr>
          <w:rFonts w:ascii="Arial" w:eastAsia="Times New Roman" w:hAnsi="Arial" w:cs="Arial"/>
          <w:sz w:val="20"/>
          <w:szCs w:val="20"/>
        </w:rPr>
        <w:t>loveniji</w:t>
      </w:r>
      <w:r w:rsidRPr="00A335CB">
        <w:rPr>
          <w:rFonts w:ascii="Arial" w:eastAsia="Times New Roman" w:hAnsi="Arial" w:cs="Arial"/>
          <w:sz w:val="20"/>
          <w:szCs w:val="20"/>
        </w:rPr>
        <w:t xml:space="preserve"> za obdobje 2024</w:t>
      </w:r>
      <w:r w:rsidR="00DF1CFD">
        <w:rPr>
          <w:rFonts w:ascii="Arial" w:eastAsia="Times New Roman" w:hAnsi="Arial" w:cs="Arial"/>
          <w:sz w:val="20"/>
          <w:szCs w:val="20"/>
        </w:rPr>
        <w:t>–</w:t>
      </w:r>
      <w:r w:rsidRPr="00A335CB">
        <w:rPr>
          <w:rFonts w:ascii="Arial" w:eastAsia="Times New Roman" w:hAnsi="Arial" w:cs="Arial"/>
          <w:sz w:val="20"/>
          <w:szCs w:val="20"/>
        </w:rPr>
        <w:t xml:space="preserve">2027, </w:t>
      </w:r>
      <w:r w:rsidR="00C90C33" w:rsidRPr="00A335CB">
        <w:rPr>
          <w:rFonts w:ascii="Arial" w:eastAsia="Times New Roman" w:hAnsi="Arial" w:cs="Arial"/>
          <w:sz w:val="20"/>
          <w:szCs w:val="20"/>
          <w:lang w:eastAsia="sl-SI"/>
        </w:rPr>
        <w:t>s</w:t>
      </w:r>
      <w:r w:rsidRPr="00A335CB">
        <w:rPr>
          <w:rFonts w:ascii="Arial" w:eastAsia="Times New Roman" w:hAnsi="Arial" w:cs="Arial"/>
          <w:sz w:val="20"/>
          <w:szCs w:val="20"/>
          <w:lang w:eastAsia="sl-SI"/>
        </w:rPr>
        <w:t>toritev pisnega prevajanja in tolmačenja za potrebe izvajanj</w:t>
      </w:r>
      <w:r w:rsidR="00C90C33" w:rsidRPr="00A335CB">
        <w:rPr>
          <w:rFonts w:ascii="Arial" w:eastAsia="Times New Roman" w:hAnsi="Arial" w:cs="Arial"/>
          <w:sz w:val="20"/>
          <w:szCs w:val="20"/>
          <w:lang w:eastAsia="sl-SI"/>
        </w:rPr>
        <w:t>a Zakona o mednarodni zaščiti, s</w:t>
      </w:r>
      <w:r w:rsidRPr="00A335CB">
        <w:rPr>
          <w:rFonts w:ascii="Arial" w:eastAsia="Times New Roman" w:hAnsi="Arial" w:cs="Arial"/>
          <w:sz w:val="20"/>
          <w:szCs w:val="20"/>
          <w:lang w:eastAsia="sl-SI"/>
        </w:rPr>
        <w:t xml:space="preserve">toritev pisnega prevajanja in tolmačenja za različne jezike, </w:t>
      </w:r>
      <w:proofErr w:type="spellStart"/>
      <w:r w:rsidRPr="00A335CB">
        <w:rPr>
          <w:rFonts w:ascii="Arial" w:hAnsi="Arial" w:cs="Arial"/>
          <w:sz w:val="20"/>
          <w:szCs w:val="20"/>
        </w:rPr>
        <w:t>okoljsko</w:t>
      </w:r>
      <w:proofErr w:type="spellEnd"/>
      <w:r w:rsidRPr="00A335CB">
        <w:rPr>
          <w:rFonts w:ascii="Arial" w:hAnsi="Arial" w:cs="Arial"/>
          <w:sz w:val="20"/>
          <w:szCs w:val="20"/>
        </w:rPr>
        <w:t xml:space="preserve"> manj obremenjujoče upravljanje in vzdrževanje objektov, vgrajenih sistemov in naprav ter </w:t>
      </w:r>
      <w:r w:rsidRPr="00ED7864">
        <w:rPr>
          <w:rFonts w:ascii="Arial" w:hAnsi="Arial" w:cs="Arial"/>
          <w:sz w:val="20"/>
          <w:szCs w:val="20"/>
        </w:rPr>
        <w:t xml:space="preserve">plačilo obratovalnih stroškov na območju </w:t>
      </w:r>
      <w:r w:rsidR="00DF1CFD" w:rsidRPr="00ED7864">
        <w:rPr>
          <w:rFonts w:ascii="Arial" w:hAnsi="Arial" w:cs="Arial"/>
          <w:sz w:val="20"/>
          <w:szCs w:val="20"/>
        </w:rPr>
        <w:t xml:space="preserve">nekdanjih </w:t>
      </w:r>
      <w:r w:rsidRPr="00ED7864">
        <w:rPr>
          <w:rFonts w:ascii="Arial" w:hAnsi="Arial" w:cs="Arial"/>
          <w:sz w:val="20"/>
          <w:szCs w:val="20"/>
        </w:rPr>
        <w:t>mejni</w:t>
      </w:r>
      <w:r w:rsidR="00C90C33" w:rsidRPr="00ED7864">
        <w:rPr>
          <w:rFonts w:ascii="Arial" w:hAnsi="Arial" w:cs="Arial"/>
          <w:sz w:val="20"/>
          <w:szCs w:val="20"/>
        </w:rPr>
        <w:t xml:space="preserve">h prehodov policijskih uprav Ljubljana, </w:t>
      </w:r>
      <w:r w:rsidRPr="00ED7864">
        <w:rPr>
          <w:rFonts w:ascii="Arial" w:hAnsi="Arial" w:cs="Arial"/>
          <w:sz w:val="20"/>
          <w:szCs w:val="20"/>
        </w:rPr>
        <w:t>Novo mest</w:t>
      </w:r>
      <w:r w:rsidR="00C90C33" w:rsidRPr="00ED7864">
        <w:rPr>
          <w:rFonts w:ascii="Arial" w:hAnsi="Arial" w:cs="Arial"/>
          <w:sz w:val="20"/>
          <w:szCs w:val="20"/>
        </w:rPr>
        <w:t>o in Kranj, i</w:t>
      </w:r>
      <w:r w:rsidRPr="00ED7864">
        <w:rPr>
          <w:rFonts w:ascii="Arial" w:hAnsi="Arial" w:cs="Arial"/>
          <w:sz w:val="20"/>
          <w:szCs w:val="20"/>
        </w:rPr>
        <w:t xml:space="preserve">zvedba naknadnega (ex-post) vrednotenja učinkov ukrepov </w:t>
      </w:r>
      <w:r w:rsidR="00660945" w:rsidRPr="00ED7864">
        <w:rPr>
          <w:rFonts w:ascii="Arial" w:hAnsi="Arial" w:cs="Arial"/>
          <w:sz w:val="20"/>
          <w:szCs w:val="20"/>
        </w:rPr>
        <w:t xml:space="preserve">državnih </w:t>
      </w:r>
      <w:r w:rsidRPr="00ED7864">
        <w:rPr>
          <w:rFonts w:ascii="Arial" w:hAnsi="Arial" w:cs="Arial"/>
          <w:sz w:val="20"/>
          <w:szCs w:val="20"/>
        </w:rPr>
        <w:t>programov AMIF in ISF, najem, postavitev in odvoz šotorov</w:t>
      </w:r>
      <w:r w:rsidR="00C90C33" w:rsidRPr="00ED7864">
        <w:rPr>
          <w:rFonts w:ascii="Arial" w:hAnsi="Arial" w:cs="Arial"/>
          <w:sz w:val="20"/>
          <w:szCs w:val="20"/>
        </w:rPr>
        <w:t xml:space="preserve"> in opreme za potrebe MNZ in Generalne policijske uprave</w:t>
      </w:r>
      <w:r w:rsidRPr="00ED7864">
        <w:rPr>
          <w:rFonts w:ascii="Arial" w:hAnsi="Arial" w:cs="Arial"/>
          <w:sz w:val="20"/>
          <w:szCs w:val="20"/>
        </w:rPr>
        <w:t xml:space="preserve">, </w:t>
      </w:r>
      <w:r w:rsidRPr="00ED7864">
        <w:rPr>
          <w:rFonts w:ascii="Arial" w:hAnsi="Arial" w:cs="Arial"/>
          <w:bCs/>
          <w:sz w:val="20"/>
          <w:szCs w:val="20"/>
        </w:rPr>
        <w:t>izvedba zamenjave hladilnega agregata za objekt N</w:t>
      </w:r>
      <w:r w:rsidR="00C90C33" w:rsidRPr="00ED7864">
        <w:rPr>
          <w:rFonts w:ascii="Arial" w:hAnsi="Arial" w:cs="Arial"/>
          <w:bCs/>
          <w:sz w:val="20"/>
          <w:szCs w:val="20"/>
        </w:rPr>
        <w:t>acionalnega forenzičnega laboratorija</w:t>
      </w:r>
      <w:r w:rsidRPr="00ED7864">
        <w:rPr>
          <w:rFonts w:ascii="Arial" w:hAnsi="Arial" w:cs="Arial"/>
          <w:sz w:val="20"/>
          <w:szCs w:val="20"/>
        </w:rPr>
        <w:t xml:space="preserve">, nakup programske opreme za centralni policijski informacijski sistem (CEPIS), </w:t>
      </w:r>
      <w:r w:rsidR="00DF1CFD" w:rsidRPr="00ED7864">
        <w:rPr>
          <w:rFonts w:ascii="Arial" w:hAnsi="Arial" w:cs="Arial"/>
          <w:sz w:val="20"/>
          <w:szCs w:val="20"/>
        </w:rPr>
        <w:t xml:space="preserve">razvoj </w:t>
      </w:r>
      <w:r w:rsidRPr="00ED7864">
        <w:rPr>
          <w:rFonts w:ascii="Arial" w:hAnsi="Arial" w:cs="Arial"/>
          <w:sz w:val="20"/>
          <w:szCs w:val="20"/>
        </w:rPr>
        <w:t>mobilne rešitv</w:t>
      </w:r>
      <w:r w:rsidR="00C90C33" w:rsidRPr="00ED7864">
        <w:rPr>
          <w:rFonts w:ascii="Arial" w:hAnsi="Arial" w:cs="Arial"/>
          <w:sz w:val="20"/>
          <w:szCs w:val="20"/>
        </w:rPr>
        <w:t xml:space="preserve">e nove generacije </w:t>
      </w:r>
      <w:proofErr w:type="spellStart"/>
      <w:r w:rsidR="00C90C33" w:rsidRPr="00ED7864">
        <w:rPr>
          <w:rFonts w:ascii="Arial" w:hAnsi="Arial" w:cs="Arial"/>
          <w:sz w:val="20"/>
          <w:szCs w:val="20"/>
        </w:rPr>
        <w:t>ePolicistNG</w:t>
      </w:r>
      <w:proofErr w:type="spellEnd"/>
      <w:r w:rsidR="00C90C33" w:rsidRPr="00ED7864">
        <w:rPr>
          <w:rFonts w:ascii="Arial" w:hAnsi="Arial" w:cs="Arial"/>
          <w:sz w:val="20"/>
          <w:szCs w:val="20"/>
        </w:rPr>
        <w:t>, n</w:t>
      </w:r>
      <w:r w:rsidRPr="00ED7864">
        <w:rPr>
          <w:rFonts w:ascii="Arial" w:hAnsi="Arial" w:cs="Arial"/>
          <w:sz w:val="20"/>
          <w:szCs w:val="20"/>
        </w:rPr>
        <w:t xml:space="preserve">abava, integracija in vzdrževane sistema za obrazno primerjavo in </w:t>
      </w:r>
      <w:proofErr w:type="spellStart"/>
      <w:r w:rsidRPr="00ED7864">
        <w:rPr>
          <w:rFonts w:ascii="Arial" w:hAnsi="Arial" w:cs="Arial"/>
          <w:sz w:val="20"/>
          <w:szCs w:val="20"/>
        </w:rPr>
        <w:t>videoanalitične</w:t>
      </w:r>
      <w:proofErr w:type="spellEnd"/>
      <w:r w:rsidRPr="00ED7864">
        <w:rPr>
          <w:rFonts w:ascii="Arial" w:hAnsi="Arial" w:cs="Arial"/>
          <w:sz w:val="20"/>
          <w:szCs w:val="20"/>
        </w:rPr>
        <w:t xml:space="preserve"> opreme za potrebe primerjave obrazov, </w:t>
      </w:r>
      <w:r w:rsidRPr="00ED7864">
        <w:rPr>
          <w:rFonts w:ascii="Arial" w:hAnsi="Arial" w:cs="Arial"/>
          <w:sz w:val="20"/>
          <w:szCs w:val="20"/>
          <w:lang w:eastAsia="sl-SI"/>
        </w:rPr>
        <w:t xml:space="preserve">nakup pisarniške galanterije in </w:t>
      </w:r>
      <w:r w:rsidR="00C90C33" w:rsidRPr="00ED7864">
        <w:rPr>
          <w:rFonts w:ascii="Arial" w:hAnsi="Arial" w:cs="Arial"/>
          <w:sz w:val="20"/>
          <w:szCs w:val="20"/>
          <w:lang w:eastAsia="sl-SI"/>
        </w:rPr>
        <w:t>pribora za obdobje 24 mesecev,</w:t>
      </w:r>
      <w:r w:rsidRPr="00ED7864">
        <w:rPr>
          <w:rFonts w:ascii="Arial" w:hAnsi="Arial" w:cs="Arial"/>
          <w:sz w:val="20"/>
          <w:szCs w:val="20"/>
          <w:lang w:eastAsia="sl-SI"/>
        </w:rPr>
        <w:t xml:space="preserve"> </w:t>
      </w:r>
      <w:r w:rsidRPr="00ED7864">
        <w:rPr>
          <w:rFonts w:ascii="Arial" w:hAnsi="Arial" w:cs="Arial"/>
          <w:sz w:val="20"/>
          <w:szCs w:val="20"/>
        </w:rPr>
        <w:t xml:space="preserve">obnovitev, nadgradnja in vzdrževanje obstoječe programske in strojne opreme IBM ter nakup in vzdrževanje nove programske opreme IBM na platformi z/OS, z vključenimi storitvami in usposabljanji, najem licenc sistema za zaščito mobilne telefonije KIS BIOCODED, vzdrževanje in servisiranje instrumentov proizvajalca </w:t>
      </w:r>
      <w:proofErr w:type="spellStart"/>
      <w:r w:rsidRPr="00ED7864">
        <w:rPr>
          <w:rFonts w:ascii="Arial" w:hAnsi="Arial" w:cs="Arial"/>
          <w:sz w:val="20"/>
          <w:szCs w:val="20"/>
        </w:rPr>
        <w:t>Horiba</w:t>
      </w:r>
      <w:proofErr w:type="spellEnd"/>
      <w:r w:rsidRPr="00ED7864">
        <w:rPr>
          <w:rFonts w:ascii="Arial" w:hAnsi="Arial" w:cs="Arial"/>
          <w:sz w:val="20"/>
          <w:szCs w:val="20"/>
        </w:rPr>
        <w:t xml:space="preserve">, nadgradnja </w:t>
      </w:r>
      <w:proofErr w:type="spellStart"/>
      <w:r w:rsidRPr="00ED7864">
        <w:rPr>
          <w:rFonts w:ascii="Arial" w:hAnsi="Arial" w:cs="Arial"/>
          <w:sz w:val="20"/>
          <w:szCs w:val="20"/>
        </w:rPr>
        <w:t>registrofonskega</w:t>
      </w:r>
      <w:proofErr w:type="spellEnd"/>
      <w:r w:rsidRPr="00ED7864">
        <w:rPr>
          <w:rFonts w:ascii="Arial" w:hAnsi="Arial" w:cs="Arial"/>
          <w:sz w:val="20"/>
          <w:szCs w:val="20"/>
        </w:rPr>
        <w:t xml:space="preserve"> sistema, nakup vozil za Upravo</w:t>
      </w:r>
      <w:r w:rsidR="00C90C33" w:rsidRPr="00ED7864">
        <w:rPr>
          <w:rFonts w:ascii="Arial" w:hAnsi="Arial" w:cs="Arial"/>
          <w:sz w:val="20"/>
          <w:szCs w:val="20"/>
        </w:rPr>
        <w:t xml:space="preserve"> kriminalistične policije </w:t>
      </w:r>
      <w:r w:rsidRPr="00ED7864">
        <w:rPr>
          <w:rFonts w:ascii="Arial" w:hAnsi="Arial" w:cs="Arial"/>
          <w:sz w:val="20"/>
          <w:szCs w:val="20"/>
        </w:rPr>
        <w:t>po zaupnem postopku, vzpostavitev varne komunikacije za posebne operativne namene, vzdrževanje sistema za prikrito komuniciranje.</w:t>
      </w:r>
    </w:p>
    <w:p w14:paraId="733BE715" w14:textId="77777777" w:rsidR="00627DFB" w:rsidRPr="00ED7864" w:rsidRDefault="00627DFB" w:rsidP="005D1A90">
      <w:pPr>
        <w:spacing w:after="0" w:line="276" w:lineRule="auto"/>
        <w:rPr>
          <w:rFonts w:ascii="Arial" w:hAnsi="Arial" w:cs="Arial"/>
          <w:sz w:val="20"/>
          <w:szCs w:val="20"/>
          <w:lang w:eastAsia="sl-SI"/>
        </w:rPr>
      </w:pPr>
      <w:r w:rsidRPr="00ED7864">
        <w:rPr>
          <w:rFonts w:ascii="Arial" w:hAnsi="Arial" w:cs="Arial"/>
          <w:sz w:val="20"/>
          <w:szCs w:val="20"/>
          <w:lang w:eastAsia="sl-SI"/>
        </w:rPr>
        <w:t>Pripravljena so bila naslednja poročila:</w:t>
      </w:r>
    </w:p>
    <w:p w14:paraId="5C1D1793" w14:textId="1D585896" w:rsidR="00627DFB" w:rsidRPr="00ED7864" w:rsidRDefault="00C90C33" w:rsidP="005D1A90">
      <w:pPr>
        <w:pStyle w:val="Odstavekseznama"/>
        <w:numPr>
          <w:ilvl w:val="0"/>
          <w:numId w:val="25"/>
        </w:numPr>
        <w:autoSpaceDE w:val="0"/>
        <w:autoSpaceDN w:val="0"/>
        <w:adjustRightInd w:val="0"/>
        <w:spacing w:after="0"/>
        <w:jc w:val="both"/>
        <w:rPr>
          <w:rFonts w:ascii="Arial" w:hAnsi="Arial" w:cs="Arial"/>
          <w:sz w:val="20"/>
          <w:szCs w:val="20"/>
        </w:rPr>
      </w:pPr>
      <w:r w:rsidRPr="00ED7864">
        <w:rPr>
          <w:rFonts w:ascii="Arial" w:hAnsi="Arial" w:cs="Arial"/>
          <w:sz w:val="20"/>
          <w:szCs w:val="20"/>
        </w:rPr>
        <w:t>p</w:t>
      </w:r>
      <w:r w:rsidR="00627DFB" w:rsidRPr="00ED7864">
        <w:rPr>
          <w:rFonts w:ascii="Arial" w:hAnsi="Arial" w:cs="Arial"/>
          <w:sz w:val="20"/>
          <w:szCs w:val="20"/>
        </w:rPr>
        <w:t>riprava letnega poročila o oddanih evidenčnih naročilih male vrednosti (</w:t>
      </w:r>
      <w:r w:rsidR="00627DFB" w:rsidRPr="00ED7864">
        <w:rPr>
          <w:rFonts w:ascii="Arial" w:hAnsi="Arial" w:cs="Arial"/>
          <w:sz w:val="20"/>
          <w:szCs w:val="20"/>
          <w:shd w:val="clear" w:color="auto" w:fill="FFFFFF"/>
        </w:rPr>
        <w:t xml:space="preserve">Podatki o oddanih javnih naročilih, katerih vrednost je nižja od vrednosti iz prvega odstavka 21. člena ZJN-3 in javna naročila, ki se oddajo kot posamezni izločeni sklopi v skladu s petim odstavkom 73. člena tega zakona, ter javna naročila iz 15., 16., 17. in 18. točke prvega odstavka 27. člena tega zakona </w:t>
      </w:r>
      <w:r w:rsidR="00DF1CFD" w:rsidRPr="00ED7864">
        <w:rPr>
          <w:rFonts w:ascii="Arial" w:hAnsi="Arial" w:cs="Arial"/>
          <w:sz w:val="20"/>
          <w:szCs w:val="20"/>
          <w:shd w:val="clear" w:color="auto" w:fill="FFFFFF"/>
        </w:rPr>
        <w:t xml:space="preserve">– </w:t>
      </w:r>
      <w:r w:rsidR="00627DFB" w:rsidRPr="00ED7864">
        <w:rPr>
          <w:rFonts w:ascii="Arial" w:hAnsi="Arial" w:cs="Arial"/>
          <w:sz w:val="20"/>
          <w:szCs w:val="20"/>
          <w:shd w:val="clear" w:color="auto" w:fill="FFFFFF"/>
        </w:rPr>
        <w:t xml:space="preserve">z objavo na portalu javnih naročil) </w:t>
      </w:r>
      <w:r w:rsidR="00627DFB" w:rsidRPr="00ED7864">
        <w:rPr>
          <w:rFonts w:ascii="Arial" w:hAnsi="Arial" w:cs="Arial"/>
          <w:sz w:val="20"/>
          <w:szCs w:val="20"/>
        </w:rPr>
        <w:t>(</w:t>
      </w:r>
      <w:r w:rsidR="00DF1CFD" w:rsidRPr="00ED7864">
        <w:rPr>
          <w:rFonts w:ascii="Arial" w:hAnsi="Arial" w:cs="Arial"/>
          <w:sz w:val="20"/>
          <w:szCs w:val="20"/>
        </w:rPr>
        <w:t>eno</w:t>
      </w:r>
      <w:r w:rsidR="00627DFB" w:rsidRPr="00ED7864">
        <w:rPr>
          <w:rFonts w:ascii="Arial" w:hAnsi="Arial" w:cs="Arial"/>
          <w:sz w:val="20"/>
          <w:szCs w:val="20"/>
        </w:rPr>
        <w:t>);</w:t>
      </w:r>
    </w:p>
    <w:p w14:paraId="631E417C" w14:textId="614B3DCB" w:rsidR="00627DFB" w:rsidRPr="00ED7864" w:rsidRDefault="00C90C33" w:rsidP="005D1A90">
      <w:pPr>
        <w:pStyle w:val="Odstavekseznama"/>
        <w:numPr>
          <w:ilvl w:val="0"/>
          <w:numId w:val="25"/>
        </w:numPr>
        <w:autoSpaceDE w:val="0"/>
        <w:autoSpaceDN w:val="0"/>
        <w:adjustRightInd w:val="0"/>
        <w:spacing w:after="0"/>
        <w:jc w:val="both"/>
        <w:rPr>
          <w:rFonts w:ascii="Arial" w:hAnsi="Arial" w:cs="Arial"/>
          <w:sz w:val="20"/>
          <w:szCs w:val="20"/>
        </w:rPr>
      </w:pPr>
      <w:r w:rsidRPr="00ED7864">
        <w:rPr>
          <w:rFonts w:ascii="Arial" w:hAnsi="Arial" w:cs="Arial"/>
          <w:sz w:val="20"/>
          <w:szCs w:val="20"/>
        </w:rPr>
        <w:t>p</w:t>
      </w:r>
      <w:r w:rsidR="00627DFB" w:rsidRPr="00ED7864">
        <w:rPr>
          <w:rFonts w:ascii="Arial" w:hAnsi="Arial" w:cs="Arial"/>
          <w:sz w:val="20"/>
          <w:szCs w:val="20"/>
        </w:rPr>
        <w:t>riprava vladnega gradiva – Poročilo Ministrstva za notranje zadeve Vladi Republike Slovenije o oddanih naročilih po 11. členu Zakona o javnem naročanju na področju obrambe in varnosti (</w:t>
      </w:r>
      <w:r w:rsidR="00DF1CFD" w:rsidRPr="00ED7864">
        <w:rPr>
          <w:rFonts w:ascii="Arial" w:hAnsi="Arial" w:cs="Arial"/>
          <w:sz w:val="20"/>
          <w:szCs w:val="20"/>
        </w:rPr>
        <w:t>eno</w:t>
      </w:r>
      <w:r w:rsidR="00627DFB" w:rsidRPr="00ED7864">
        <w:rPr>
          <w:rFonts w:ascii="Arial" w:hAnsi="Arial" w:cs="Arial"/>
          <w:sz w:val="20"/>
          <w:szCs w:val="20"/>
        </w:rPr>
        <w:t>);</w:t>
      </w:r>
    </w:p>
    <w:p w14:paraId="1AC31F25" w14:textId="556757EC" w:rsidR="00627DFB" w:rsidRPr="00ED7864" w:rsidRDefault="00DF1CFD" w:rsidP="005D1A90">
      <w:pPr>
        <w:pStyle w:val="Odstavekseznama"/>
        <w:numPr>
          <w:ilvl w:val="0"/>
          <w:numId w:val="25"/>
        </w:numPr>
        <w:autoSpaceDE w:val="0"/>
        <w:autoSpaceDN w:val="0"/>
        <w:adjustRightInd w:val="0"/>
        <w:spacing w:after="0"/>
        <w:jc w:val="both"/>
        <w:rPr>
          <w:rFonts w:ascii="Arial" w:hAnsi="Arial" w:cs="Arial"/>
          <w:sz w:val="20"/>
          <w:szCs w:val="20"/>
        </w:rPr>
      </w:pPr>
      <w:r w:rsidRPr="00ED7864">
        <w:rPr>
          <w:rFonts w:ascii="Arial" w:hAnsi="Arial" w:cs="Arial"/>
          <w:sz w:val="20"/>
          <w:szCs w:val="20"/>
        </w:rPr>
        <w:t xml:space="preserve">priprava </w:t>
      </w:r>
      <w:r w:rsidR="00627DFB" w:rsidRPr="00ED7864">
        <w:rPr>
          <w:rFonts w:ascii="Arial" w:hAnsi="Arial" w:cs="Arial"/>
          <w:sz w:val="20"/>
          <w:szCs w:val="20"/>
        </w:rPr>
        <w:t xml:space="preserve">mesečnih </w:t>
      </w:r>
      <w:r w:rsidRPr="00ED7864">
        <w:rPr>
          <w:rFonts w:ascii="Arial" w:hAnsi="Arial" w:cs="Arial"/>
          <w:sz w:val="20"/>
          <w:szCs w:val="20"/>
        </w:rPr>
        <w:t>poročil INTRASTAT</w:t>
      </w:r>
      <w:r w:rsidR="00627DFB" w:rsidRPr="00ED7864">
        <w:rPr>
          <w:rFonts w:ascii="Arial" w:hAnsi="Arial" w:cs="Arial"/>
          <w:sz w:val="20"/>
          <w:szCs w:val="20"/>
        </w:rPr>
        <w:t xml:space="preserve"> (12).</w:t>
      </w:r>
    </w:p>
    <w:p w14:paraId="4A8E93E6" w14:textId="77777777" w:rsidR="00627DFB" w:rsidRPr="00A335CB" w:rsidRDefault="00627DFB" w:rsidP="005D1A90">
      <w:pPr>
        <w:autoSpaceDE w:val="0"/>
        <w:autoSpaceDN w:val="0"/>
        <w:adjustRightInd w:val="0"/>
        <w:spacing w:after="0" w:line="276" w:lineRule="auto"/>
        <w:jc w:val="both"/>
        <w:rPr>
          <w:rFonts w:ascii="Arial" w:hAnsi="Arial" w:cs="Arial"/>
          <w:b/>
          <w:sz w:val="20"/>
          <w:szCs w:val="20"/>
        </w:rPr>
      </w:pPr>
    </w:p>
    <w:p w14:paraId="1DCF25F2" w14:textId="78A4CE74" w:rsidR="000330D3" w:rsidRPr="00A335CB" w:rsidRDefault="00DF1CFD" w:rsidP="005D1A90">
      <w:pPr>
        <w:tabs>
          <w:tab w:val="left" w:pos="9070"/>
        </w:tabs>
        <w:autoSpaceDE w:val="0"/>
        <w:autoSpaceDN w:val="0"/>
        <w:adjustRightInd w:val="0"/>
        <w:spacing w:after="0" w:line="276" w:lineRule="auto"/>
        <w:jc w:val="both"/>
        <w:rPr>
          <w:rFonts w:ascii="Arial" w:hAnsi="Arial" w:cs="Arial"/>
          <w:sz w:val="20"/>
          <w:szCs w:val="20"/>
          <w:lang w:eastAsia="sl-SI"/>
        </w:rPr>
      </w:pPr>
      <w:bookmarkStart w:id="91" w:name="_Toc65591470"/>
      <w:bookmarkStart w:id="92" w:name="_Toc65651021"/>
      <w:r w:rsidRPr="00A335CB">
        <w:rPr>
          <w:rFonts w:ascii="Arial" w:hAnsi="Arial" w:cs="Arial"/>
          <w:b/>
          <w:sz w:val="20"/>
          <w:szCs w:val="20"/>
          <w:lang w:eastAsia="sl-SI"/>
        </w:rPr>
        <w:t>Investicijsk</w:t>
      </w:r>
      <w:r>
        <w:rPr>
          <w:rFonts w:ascii="Arial" w:hAnsi="Arial" w:cs="Arial"/>
          <w:b/>
          <w:sz w:val="20"/>
          <w:szCs w:val="20"/>
          <w:lang w:eastAsia="sl-SI"/>
        </w:rPr>
        <w:t>a</w:t>
      </w:r>
      <w:r w:rsidRPr="00A335CB">
        <w:rPr>
          <w:rFonts w:ascii="Arial" w:hAnsi="Arial" w:cs="Arial"/>
          <w:b/>
          <w:sz w:val="20"/>
          <w:szCs w:val="20"/>
          <w:lang w:eastAsia="sl-SI"/>
        </w:rPr>
        <w:t xml:space="preserve"> </w:t>
      </w:r>
      <w:r w:rsidR="000330D3" w:rsidRPr="00A335CB">
        <w:rPr>
          <w:rFonts w:ascii="Arial" w:hAnsi="Arial" w:cs="Arial"/>
          <w:b/>
          <w:sz w:val="20"/>
          <w:szCs w:val="20"/>
          <w:lang w:eastAsia="sl-SI"/>
        </w:rPr>
        <w:t xml:space="preserve">vzdrževalna dela </w:t>
      </w:r>
      <w:r w:rsidR="00C90C33" w:rsidRPr="00A335CB">
        <w:rPr>
          <w:rFonts w:ascii="Arial" w:hAnsi="Arial" w:cs="Arial"/>
          <w:b/>
          <w:sz w:val="20"/>
          <w:szCs w:val="20"/>
          <w:lang w:eastAsia="sl-SI"/>
        </w:rPr>
        <w:t>(</w:t>
      </w:r>
      <w:r w:rsidR="000330D3" w:rsidRPr="00A335CB">
        <w:rPr>
          <w:rFonts w:ascii="Arial" w:hAnsi="Arial" w:cs="Arial"/>
          <w:b/>
          <w:sz w:val="20"/>
          <w:szCs w:val="20"/>
          <w:lang w:eastAsia="sl-SI"/>
        </w:rPr>
        <w:t>ter projektna dokumentacija</w:t>
      </w:r>
      <w:r w:rsidR="00C90C33" w:rsidRPr="00A335CB">
        <w:rPr>
          <w:rFonts w:ascii="Arial" w:hAnsi="Arial" w:cs="Arial"/>
          <w:b/>
          <w:sz w:val="20"/>
          <w:szCs w:val="20"/>
          <w:lang w:eastAsia="sl-SI"/>
        </w:rPr>
        <w:t>)</w:t>
      </w:r>
      <w:r w:rsidR="000330D3" w:rsidRPr="00A335CB">
        <w:rPr>
          <w:rFonts w:ascii="Arial" w:hAnsi="Arial" w:cs="Arial"/>
          <w:b/>
          <w:sz w:val="20"/>
          <w:szCs w:val="20"/>
          <w:lang w:eastAsia="sl-SI"/>
        </w:rPr>
        <w:t xml:space="preserve">, </w:t>
      </w:r>
      <w:r w:rsidR="000330D3" w:rsidRPr="00A335CB">
        <w:rPr>
          <w:rFonts w:ascii="Arial" w:hAnsi="Arial" w:cs="Arial"/>
          <w:sz w:val="20"/>
          <w:szCs w:val="20"/>
          <w:lang w:eastAsia="sl-SI"/>
        </w:rPr>
        <w:t xml:space="preserve">ki so se začela leta 2024 in so še v izvedbi: </w:t>
      </w:r>
    </w:p>
    <w:p w14:paraId="2EEF7115" w14:textId="0BB321C1" w:rsidR="000330D3" w:rsidRPr="00A335CB" w:rsidRDefault="00DF1CFD"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investicijsk</w:t>
      </w:r>
      <w:r>
        <w:rPr>
          <w:rFonts w:ascii="Arial" w:hAnsi="Arial" w:cs="Arial"/>
          <w:sz w:val="20"/>
          <w:szCs w:val="20"/>
          <w:lang w:eastAsia="sl-SI"/>
        </w:rPr>
        <w:t xml:space="preserve">a </w:t>
      </w:r>
      <w:r w:rsidR="000330D3" w:rsidRPr="00A335CB">
        <w:rPr>
          <w:rFonts w:ascii="Arial" w:hAnsi="Arial" w:cs="Arial"/>
          <w:sz w:val="20"/>
          <w:szCs w:val="20"/>
          <w:lang w:eastAsia="sl-SI"/>
        </w:rPr>
        <w:t>vzdrževalna dela za obnovo službenih stanovanj,</w:t>
      </w:r>
    </w:p>
    <w:p w14:paraId="32D20700" w14:textId="52C35587"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izdelava dokumentacije za rekonstrukcijo kotlov</w:t>
      </w:r>
      <w:r w:rsidR="00C90C33" w:rsidRPr="00A335CB">
        <w:rPr>
          <w:rFonts w:ascii="Arial" w:hAnsi="Arial" w:cs="Arial"/>
          <w:sz w:val="20"/>
          <w:szCs w:val="20"/>
          <w:lang w:eastAsia="sl-SI"/>
        </w:rPr>
        <w:t>nice na Prušnikovi za potrebe Policijske uprave</w:t>
      </w:r>
      <w:r w:rsidRPr="00A335CB">
        <w:rPr>
          <w:rFonts w:ascii="Arial" w:hAnsi="Arial" w:cs="Arial"/>
          <w:sz w:val="20"/>
          <w:szCs w:val="20"/>
          <w:lang w:eastAsia="sl-SI"/>
        </w:rPr>
        <w:t xml:space="preserve"> Ljubljana,</w:t>
      </w:r>
    </w:p>
    <w:p w14:paraId="3E6352B5" w14:textId="7222B17E"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prezračev</w:t>
      </w:r>
      <w:r w:rsidR="00C90C33" w:rsidRPr="00A335CB">
        <w:rPr>
          <w:rFonts w:ascii="Arial" w:hAnsi="Arial" w:cs="Arial"/>
          <w:sz w:val="20"/>
          <w:szCs w:val="20"/>
          <w:lang w:eastAsia="sl-SI"/>
        </w:rPr>
        <w:t xml:space="preserve">anje objekta št. 29 na </w:t>
      </w:r>
      <w:r w:rsidR="00DF1CFD" w:rsidRPr="00A335CB">
        <w:rPr>
          <w:rFonts w:ascii="Arial" w:hAnsi="Arial" w:cs="Arial"/>
          <w:sz w:val="20"/>
          <w:szCs w:val="20"/>
          <w:lang w:eastAsia="sl-SI"/>
        </w:rPr>
        <w:t>nekdanjem</w:t>
      </w:r>
      <w:r w:rsidR="00C90C33" w:rsidRPr="00A335CB">
        <w:rPr>
          <w:rFonts w:ascii="Arial" w:hAnsi="Arial" w:cs="Arial"/>
          <w:sz w:val="20"/>
          <w:szCs w:val="20"/>
          <w:lang w:eastAsia="sl-SI"/>
        </w:rPr>
        <w:t xml:space="preserve"> mejnem prehodu Obrežje,</w:t>
      </w:r>
    </w:p>
    <w:p w14:paraId="0368BD14" w14:textId="3FCAAAB0"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zamenjava agregata na objektu N</w:t>
      </w:r>
      <w:r w:rsidR="00C90C33" w:rsidRPr="00A335CB">
        <w:rPr>
          <w:rFonts w:ascii="Arial" w:hAnsi="Arial" w:cs="Arial"/>
          <w:sz w:val="20"/>
          <w:szCs w:val="20"/>
          <w:lang w:eastAsia="sl-SI"/>
        </w:rPr>
        <w:t>acionalnega forenzičnega laboratorija,</w:t>
      </w:r>
    </w:p>
    <w:p w14:paraId="642A5B24" w14:textId="04FD3FF8"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projektna dokumentacija za vzdrževalna dela na objektu Hangar Šentvid</w:t>
      </w:r>
      <w:r w:rsidR="00C90C33" w:rsidRPr="00A335CB">
        <w:rPr>
          <w:rFonts w:ascii="Arial" w:hAnsi="Arial" w:cs="Arial"/>
          <w:sz w:val="20"/>
          <w:szCs w:val="20"/>
          <w:lang w:eastAsia="sl-SI"/>
        </w:rPr>
        <w:t>,</w:t>
      </w:r>
    </w:p>
    <w:p w14:paraId="47F75ABB" w14:textId="38001A72"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projektna dokumentacij</w:t>
      </w:r>
      <w:r w:rsidR="00C90C33" w:rsidRPr="00A335CB">
        <w:rPr>
          <w:rFonts w:ascii="Arial" w:hAnsi="Arial" w:cs="Arial"/>
          <w:sz w:val="20"/>
          <w:szCs w:val="20"/>
          <w:lang w:eastAsia="sl-SI"/>
        </w:rPr>
        <w:t>a za preureditev delilnice hrane</w:t>
      </w:r>
      <w:r w:rsidRPr="00A335CB">
        <w:rPr>
          <w:rFonts w:ascii="Arial" w:hAnsi="Arial" w:cs="Arial"/>
          <w:sz w:val="20"/>
          <w:szCs w:val="20"/>
          <w:lang w:eastAsia="sl-SI"/>
        </w:rPr>
        <w:t xml:space="preserve"> </w:t>
      </w:r>
      <w:r w:rsidR="00C90C33" w:rsidRPr="00A335CB">
        <w:rPr>
          <w:rFonts w:ascii="Arial" w:hAnsi="Arial" w:cs="Arial"/>
          <w:sz w:val="20"/>
          <w:szCs w:val="20"/>
          <w:lang w:eastAsia="sl-SI"/>
        </w:rPr>
        <w:t>(</w:t>
      </w:r>
      <w:r w:rsidRPr="00A335CB">
        <w:rPr>
          <w:rFonts w:ascii="Arial" w:hAnsi="Arial" w:cs="Arial"/>
          <w:sz w:val="20"/>
          <w:szCs w:val="20"/>
          <w:lang w:eastAsia="sl-SI"/>
        </w:rPr>
        <w:t>Vodovodn</w:t>
      </w:r>
      <w:r w:rsidR="00C90C33" w:rsidRPr="00A335CB">
        <w:rPr>
          <w:rFonts w:ascii="Arial" w:hAnsi="Arial" w:cs="Arial"/>
          <w:sz w:val="20"/>
          <w:szCs w:val="20"/>
          <w:lang w:eastAsia="sl-SI"/>
        </w:rPr>
        <w:t>a 93a) v pisarne,</w:t>
      </w:r>
    </w:p>
    <w:p w14:paraId="77608BED" w14:textId="7B0EB29F"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projektna dokumentacija za rekonstrukcijo</w:t>
      </w:r>
      <w:r w:rsidR="00C90C33" w:rsidRPr="00A335CB">
        <w:rPr>
          <w:rFonts w:ascii="Arial" w:hAnsi="Arial" w:cs="Arial"/>
          <w:sz w:val="20"/>
          <w:szCs w:val="20"/>
          <w:lang w:eastAsia="sl-SI"/>
        </w:rPr>
        <w:t xml:space="preserve"> ogrevanja in </w:t>
      </w:r>
      <w:proofErr w:type="spellStart"/>
      <w:r w:rsidR="00C90C33" w:rsidRPr="00A335CB">
        <w:rPr>
          <w:rFonts w:ascii="Arial" w:hAnsi="Arial" w:cs="Arial"/>
          <w:sz w:val="20"/>
          <w:szCs w:val="20"/>
          <w:lang w:eastAsia="sl-SI"/>
        </w:rPr>
        <w:t>pohlajevanja</w:t>
      </w:r>
      <w:proofErr w:type="spellEnd"/>
      <w:r w:rsidR="00C90C33" w:rsidRPr="00A335CB">
        <w:rPr>
          <w:rFonts w:ascii="Arial" w:hAnsi="Arial" w:cs="Arial"/>
          <w:sz w:val="20"/>
          <w:szCs w:val="20"/>
          <w:lang w:eastAsia="sl-SI"/>
        </w:rPr>
        <w:t xml:space="preserve"> na Policijski postaji</w:t>
      </w:r>
      <w:r w:rsidRPr="00A335CB">
        <w:rPr>
          <w:rFonts w:ascii="Arial" w:hAnsi="Arial" w:cs="Arial"/>
          <w:sz w:val="20"/>
          <w:szCs w:val="20"/>
          <w:lang w:eastAsia="sl-SI"/>
        </w:rPr>
        <w:t xml:space="preserve"> Koper,</w:t>
      </w:r>
    </w:p>
    <w:p w14:paraId="4DE4F4B0" w14:textId="77777777"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izdelava načrta notranje opreme za projekt Litostroj jug,</w:t>
      </w:r>
    </w:p>
    <w:p w14:paraId="638BEBDC" w14:textId="77777777" w:rsidR="000330D3" w:rsidRPr="00A335CB" w:rsidRDefault="000330D3" w:rsidP="005D1A90">
      <w:pPr>
        <w:pStyle w:val="Odstavekseznama"/>
        <w:numPr>
          <w:ilvl w:val="0"/>
          <w:numId w:val="26"/>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izdelava načrta označevanja za projekt Litostroj jug,</w:t>
      </w:r>
    </w:p>
    <w:p w14:paraId="600C5021" w14:textId="77777777" w:rsidR="00C90C33" w:rsidRPr="00A335CB" w:rsidRDefault="00C90C33" w:rsidP="005D1A90">
      <w:pPr>
        <w:tabs>
          <w:tab w:val="left" w:pos="9070"/>
        </w:tabs>
        <w:autoSpaceDE w:val="0"/>
        <w:autoSpaceDN w:val="0"/>
        <w:adjustRightInd w:val="0"/>
        <w:spacing w:after="0" w:line="276" w:lineRule="auto"/>
        <w:jc w:val="both"/>
        <w:rPr>
          <w:rFonts w:ascii="Arial" w:hAnsi="Arial" w:cs="Arial"/>
          <w:b/>
          <w:sz w:val="20"/>
          <w:szCs w:val="20"/>
          <w:lang w:eastAsia="sl-SI"/>
        </w:rPr>
      </w:pPr>
    </w:p>
    <w:p w14:paraId="17905C91" w14:textId="77036200" w:rsidR="000330D3" w:rsidRPr="00A335CB" w:rsidRDefault="000330D3" w:rsidP="005D1A90">
      <w:pPr>
        <w:tabs>
          <w:tab w:val="left" w:pos="9070"/>
        </w:tabs>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b/>
          <w:sz w:val="20"/>
          <w:szCs w:val="20"/>
          <w:lang w:eastAsia="sl-SI"/>
        </w:rPr>
        <w:t xml:space="preserve">Projekti na področju investicijskega vzdrževanja in projektna dokumentacija, ki so bili </w:t>
      </w:r>
      <w:r w:rsidR="00721952">
        <w:rPr>
          <w:rFonts w:ascii="Arial" w:hAnsi="Arial" w:cs="Arial"/>
          <w:b/>
          <w:sz w:val="20"/>
          <w:szCs w:val="20"/>
          <w:lang w:eastAsia="sl-SI"/>
        </w:rPr>
        <w:t>izvedeni</w:t>
      </w:r>
      <w:r w:rsidR="00721952" w:rsidRPr="00A335CB">
        <w:rPr>
          <w:rFonts w:ascii="Arial" w:hAnsi="Arial" w:cs="Arial"/>
          <w:b/>
          <w:sz w:val="20"/>
          <w:szCs w:val="20"/>
          <w:lang w:eastAsia="sl-SI"/>
        </w:rPr>
        <w:t xml:space="preserve"> </w:t>
      </w:r>
      <w:r w:rsidRPr="00A335CB">
        <w:rPr>
          <w:rFonts w:ascii="Arial" w:hAnsi="Arial" w:cs="Arial"/>
          <w:b/>
          <w:sz w:val="20"/>
          <w:szCs w:val="20"/>
          <w:lang w:eastAsia="sl-SI"/>
        </w:rPr>
        <w:t>v letu 2024</w:t>
      </w:r>
      <w:r w:rsidRPr="00A335CB">
        <w:rPr>
          <w:rFonts w:ascii="Arial" w:hAnsi="Arial" w:cs="Arial"/>
          <w:sz w:val="20"/>
          <w:szCs w:val="20"/>
          <w:lang w:eastAsia="sl-SI"/>
        </w:rPr>
        <w:t xml:space="preserve">: </w:t>
      </w:r>
    </w:p>
    <w:p w14:paraId="183BEE9C" w14:textId="22C70BE6" w:rsidR="000330D3" w:rsidRPr="00A335CB" w:rsidRDefault="000330D3" w:rsidP="008756F1">
      <w:pPr>
        <w:pStyle w:val="Odstavekseznama"/>
        <w:numPr>
          <w:ilvl w:val="0"/>
          <w:numId w:val="36"/>
        </w:numPr>
        <w:tabs>
          <w:tab w:val="left" w:pos="993"/>
          <w:tab w:val="left" w:pos="9070"/>
        </w:tabs>
        <w:autoSpaceDE w:val="0"/>
        <w:autoSpaceDN w:val="0"/>
        <w:adjustRightInd w:val="0"/>
        <w:spacing w:after="0"/>
        <w:contextualSpacing/>
        <w:jc w:val="both"/>
        <w:rPr>
          <w:rFonts w:ascii="Arial" w:hAnsi="Arial" w:cs="Arial"/>
          <w:sz w:val="20"/>
          <w:szCs w:val="20"/>
          <w:lang w:eastAsia="sl-SI"/>
        </w:rPr>
      </w:pPr>
      <w:r w:rsidRPr="00A335CB">
        <w:rPr>
          <w:rFonts w:ascii="Arial" w:hAnsi="Arial" w:cs="Arial"/>
          <w:sz w:val="20"/>
          <w:szCs w:val="20"/>
          <w:lang w:eastAsia="sl-SI"/>
        </w:rPr>
        <w:t>odstranjevanje prometne infrastruktu</w:t>
      </w:r>
      <w:r w:rsidR="00C90C33" w:rsidRPr="00A335CB">
        <w:rPr>
          <w:rFonts w:ascii="Arial" w:hAnsi="Arial" w:cs="Arial"/>
          <w:sz w:val="20"/>
          <w:szCs w:val="20"/>
          <w:lang w:eastAsia="sl-SI"/>
        </w:rPr>
        <w:t xml:space="preserve">re </w:t>
      </w:r>
      <w:r w:rsidR="00DF1CFD">
        <w:rPr>
          <w:rFonts w:ascii="Arial" w:hAnsi="Arial" w:cs="Arial"/>
          <w:sz w:val="20"/>
          <w:szCs w:val="20"/>
          <w:lang w:eastAsia="sl-SI"/>
        </w:rPr>
        <w:t>–</w:t>
      </w:r>
      <w:r w:rsidR="00DF1CFD" w:rsidRPr="00A335CB">
        <w:rPr>
          <w:rFonts w:ascii="Arial" w:hAnsi="Arial" w:cs="Arial"/>
          <w:sz w:val="20"/>
          <w:szCs w:val="20"/>
          <w:lang w:eastAsia="sl-SI"/>
        </w:rPr>
        <w:t xml:space="preserve"> </w:t>
      </w:r>
      <w:r w:rsidR="00C90C33" w:rsidRPr="00A335CB">
        <w:rPr>
          <w:rFonts w:ascii="Arial" w:hAnsi="Arial" w:cs="Arial"/>
          <w:sz w:val="20"/>
          <w:szCs w:val="20"/>
          <w:lang w:eastAsia="sl-SI"/>
        </w:rPr>
        <w:t xml:space="preserve">poškodovanih kabin na </w:t>
      </w:r>
      <w:r w:rsidR="00DF1CFD">
        <w:rPr>
          <w:rFonts w:ascii="Arial" w:hAnsi="Arial" w:cs="Arial"/>
          <w:sz w:val="20"/>
          <w:szCs w:val="20"/>
          <w:lang w:eastAsia="sl-SI"/>
        </w:rPr>
        <w:t>šestih</w:t>
      </w:r>
      <w:r w:rsidR="00DF1CFD" w:rsidRPr="00A335CB">
        <w:rPr>
          <w:rFonts w:ascii="Arial" w:hAnsi="Arial" w:cs="Arial"/>
          <w:sz w:val="20"/>
          <w:szCs w:val="20"/>
          <w:lang w:eastAsia="sl-SI"/>
        </w:rPr>
        <w:t xml:space="preserve"> </w:t>
      </w:r>
      <w:r w:rsidRPr="00A335CB">
        <w:rPr>
          <w:rFonts w:ascii="Arial" w:hAnsi="Arial" w:cs="Arial"/>
          <w:sz w:val="20"/>
          <w:szCs w:val="20"/>
          <w:lang w:eastAsia="sl-SI"/>
        </w:rPr>
        <w:t>loka</w:t>
      </w:r>
      <w:r w:rsidR="008756F1" w:rsidRPr="00A335CB">
        <w:rPr>
          <w:rFonts w:ascii="Arial" w:hAnsi="Arial" w:cs="Arial"/>
          <w:sz w:val="20"/>
          <w:szCs w:val="20"/>
          <w:lang w:eastAsia="sl-SI"/>
        </w:rPr>
        <w:t>cijah nekdanjih mejnih prehodov,</w:t>
      </w:r>
    </w:p>
    <w:p w14:paraId="4E3D9889" w14:textId="77777777" w:rsidR="000330D3" w:rsidRPr="00ED7864"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ED7864">
        <w:rPr>
          <w:rFonts w:ascii="Arial" w:hAnsi="Arial" w:cs="Arial"/>
          <w:sz w:val="20"/>
          <w:szCs w:val="20"/>
          <w:lang w:eastAsia="sl-SI"/>
        </w:rPr>
        <w:t>postavitev stražarske hiške na lokaciji državnega zbora,</w:t>
      </w:r>
    </w:p>
    <w:p w14:paraId="2C118CA6" w14:textId="49204574" w:rsidR="000330D3" w:rsidRPr="00ED7864"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Cs w:val="20"/>
          <w:lang w:eastAsia="sl-SI"/>
        </w:rPr>
      </w:pPr>
      <w:r w:rsidRPr="00ED7864">
        <w:rPr>
          <w:rFonts w:ascii="Arial" w:hAnsi="Arial" w:cs="Arial"/>
          <w:sz w:val="20"/>
          <w:szCs w:val="20"/>
          <w:lang w:eastAsia="sl-SI"/>
        </w:rPr>
        <w:t>sanacija poško</w:t>
      </w:r>
      <w:r w:rsidR="00C90C33" w:rsidRPr="00ED7864">
        <w:rPr>
          <w:rFonts w:ascii="Arial" w:hAnsi="Arial" w:cs="Arial"/>
          <w:sz w:val="20"/>
          <w:szCs w:val="20"/>
          <w:lang w:eastAsia="sl-SI"/>
        </w:rPr>
        <w:t xml:space="preserve">dovanega nadstreška na </w:t>
      </w:r>
      <w:r w:rsidR="00DF1CFD" w:rsidRPr="00ED7864">
        <w:rPr>
          <w:rFonts w:ascii="Arial" w:hAnsi="Arial" w:cs="Arial"/>
          <w:sz w:val="20"/>
          <w:szCs w:val="20"/>
          <w:lang w:eastAsia="sl-SI"/>
        </w:rPr>
        <w:t>nekdanjem</w:t>
      </w:r>
      <w:r w:rsidR="00C90C33" w:rsidRPr="00ED7864">
        <w:rPr>
          <w:rFonts w:ascii="Arial" w:hAnsi="Arial" w:cs="Arial"/>
          <w:sz w:val="20"/>
          <w:szCs w:val="20"/>
          <w:lang w:eastAsia="sl-SI"/>
        </w:rPr>
        <w:t xml:space="preserve"> mejnem prehodu</w:t>
      </w:r>
      <w:r w:rsidRPr="00ED7864">
        <w:rPr>
          <w:rFonts w:ascii="Arial" w:hAnsi="Arial" w:cs="Arial"/>
          <w:sz w:val="20"/>
          <w:szCs w:val="20"/>
          <w:lang w:eastAsia="sl-SI"/>
        </w:rPr>
        <w:t xml:space="preserve"> Čepinci,</w:t>
      </w:r>
    </w:p>
    <w:p w14:paraId="384D7DB8" w14:textId="207144AE" w:rsidR="000330D3" w:rsidRPr="00ED7864"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ED7864">
        <w:rPr>
          <w:rFonts w:ascii="Arial" w:hAnsi="Arial" w:cs="Arial"/>
          <w:sz w:val="20"/>
          <w:szCs w:val="20"/>
          <w:lang w:eastAsia="sl-SI"/>
        </w:rPr>
        <w:t>rekonstrukcija dvoriščnega objek</w:t>
      </w:r>
      <w:r w:rsidR="00C90C33" w:rsidRPr="00ED7864">
        <w:rPr>
          <w:rFonts w:ascii="Arial" w:hAnsi="Arial" w:cs="Arial"/>
          <w:sz w:val="20"/>
          <w:szCs w:val="20"/>
          <w:lang w:eastAsia="sl-SI"/>
        </w:rPr>
        <w:t>ta Policijske uprave Novo mesto,</w:t>
      </w:r>
    </w:p>
    <w:p w14:paraId="0FDCC547" w14:textId="77777777" w:rsidR="000330D3" w:rsidRPr="00ED7864"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ED7864">
        <w:rPr>
          <w:rFonts w:ascii="Arial" w:hAnsi="Arial" w:cs="Arial"/>
          <w:sz w:val="20"/>
          <w:szCs w:val="20"/>
          <w:lang w:eastAsia="sl-SI"/>
        </w:rPr>
        <w:t>zamenjava strešne kritine na Policijski postaji Radovljica in na objektu,</w:t>
      </w:r>
    </w:p>
    <w:p w14:paraId="2388E892" w14:textId="7615573E" w:rsidR="000330D3" w:rsidRPr="00ED7864"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ED7864">
        <w:rPr>
          <w:rFonts w:ascii="Arial" w:hAnsi="Arial" w:cs="Arial"/>
          <w:sz w:val="20"/>
          <w:szCs w:val="20"/>
          <w:lang w:eastAsia="sl-SI"/>
        </w:rPr>
        <w:t xml:space="preserve">zamenjava strešne kritine na Vodovodni 93a v Ljubljani, </w:t>
      </w:r>
    </w:p>
    <w:p w14:paraId="564EF038" w14:textId="62FD45D5" w:rsidR="000330D3" w:rsidRPr="00ED7864"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ED7864">
        <w:rPr>
          <w:rFonts w:ascii="Arial" w:hAnsi="Arial" w:cs="Arial"/>
          <w:sz w:val="20"/>
          <w:szCs w:val="20"/>
          <w:lang w:eastAsia="sl-SI"/>
        </w:rPr>
        <w:t xml:space="preserve">izvedba </w:t>
      </w:r>
      <w:proofErr w:type="spellStart"/>
      <w:r w:rsidRPr="00ED7864">
        <w:rPr>
          <w:rFonts w:ascii="Arial" w:hAnsi="Arial" w:cs="Arial"/>
          <w:sz w:val="20"/>
          <w:szCs w:val="20"/>
          <w:lang w:eastAsia="sl-SI"/>
        </w:rPr>
        <w:t>p</w:t>
      </w:r>
      <w:r w:rsidR="00C90C33" w:rsidRPr="00ED7864">
        <w:rPr>
          <w:rFonts w:ascii="Arial" w:hAnsi="Arial" w:cs="Arial"/>
          <w:sz w:val="20"/>
          <w:szCs w:val="20"/>
          <w:lang w:eastAsia="sl-SI"/>
        </w:rPr>
        <w:t>reureditvenih</w:t>
      </w:r>
      <w:proofErr w:type="spellEnd"/>
      <w:r w:rsidR="00C90C33" w:rsidRPr="00ED7864">
        <w:rPr>
          <w:rFonts w:ascii="Arial" w:hAnsi="Arial" w:cs="Arial"/>
          <w:sz w:val="20"/>
          <w:szCs w:val="20"/>
          <w:lang w:eastAsia="sl-SI"/>
        </w:rPr>
        <w:t xml:space="preserve"> del za potrebe Letalske policijske enote</w:t>
      </w:r>
      <w:r w:rsidRPr="00ED7864">
        <w:rPr>
          <w:rFonts w:ascii="Arial" w:hAnsi="Arial" w:cs="Arial"/>
          <w:sz w:val="20"/>
          <w:szCs w:val="20"/>
          <w:lang w:eastAsia="sl-SI"/>
        </w:rPr>
        <w:t xml:space="preserve"> (pol</w:t>
      </w:r>
      <w:r w:rsidR="00C90C33" w:rsidRPr="00ED7864">
        <w:rPr>
          <w:rFonts w:ascii="Arial" w:hAnsi="Arial" w:cs="Arial"/>
          <w:sz w:val="20"/>
          <w:szCs w:val="20"/>
          <w:lang w:eastAsia="sl-SI"/>
        </w:rPr>
        <w:t>nilnica akumulatorskih baterij),</w:t>
      </w:r>
    </w:p>
    <w:p w14:paraId="2D62839D" w14:textId="2BC0D924" w:rsidR="000330D3" w:rsidRPr="00ED7864"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ED7864">
        <w:rPr>
          <w:rFonts w:ascii="Arial" w:hAnsi="Arial" w:cs="Arial"/>
          <w:sz w:val="20"/>
          <w:szCs w:val="20"/>
          <w:lang w:eastAsia="sl-SI"/>
        </w:rPr>
        <w:t>de</w:t>
      </w:r>
      <w:r w:rsidR="00C90C33" w:rsidRPr="00ED7864">
        <w:rPr>
          <w:rFonts w:ascii="Arial" w:hAnsi="Arial" w:cs="Arial"/>
          <w:sz w:val="20"/>
          <w:szCs w:val="20"/>
          <w:lang w:eastAsia="sl-SI"/>
        </w:rPr>
        <w:t xml:space="preserve">lna sanacija strehe na </w:t>
      </w:r>
      <w:r w:rsidR="00DF1CFD" w:rsidRPr="00ED7864">
        <w:rPr>
          <w:rFonts w:ascii="Arial" w:hAnsi="Arial" w:cs="Arial"/>
          <w:sz w:val="20"/>
          <w:szCs w:val="20"/>
          <w:lang w:eastAsia="sl-SI"/>
        </w:rPr>
        <w:t>nekdanjem</w:t>
      </w:r>
      <w:r w:rsidR="00C90C33" w:rsidRPr="00ED7864">
        <w:rPr>
          <w:rFonts w:ascii="Arial" w:hAnsi="Arial" w:cs="Arial"/>
          <w:sz w:val="20"/>
          <w:szCs w:val="20"/>
          <w:lang w:eastAsia="sl-SI"/>
        </w:rPr>
        <w:t xml:space="preserve"> mejnem prehodu</w:t>
      </w:r>
      <w:r w:rsidRPr="00ED7864">
        <w:rPr>
          <w:rFonts w:ascii="Arial" w:hAnsi="Arial" w:cs="Arial"/>
          <w:sz w:val="20"/>
          <w:szCs w:val="20"/>
          <w:lang w:eastAsia="sl-SI"/>
        </w:rPr>
        <w:t xml:space="preserve"> Dragonja</w:t>
      </w:r>
      <w:r w:rsidR="00C90C33" w:rsidRPr="00ED7864">
        <w:rPr>
          <w:rFonts w:ascii="Arial" w:hAnsi="Arial" w:cs="Arial"/>
          <w:sz w:val="20"/>
          <w:szCs w:val="20"/>
          <w:lang w:eastAsia="sl-SI"/>
        </w:rPr>
        <w:t>,</w:t>
      </w:r>
    </w:p>
    <w:p w14:paraId="13BDC343" w14:textId="205451C9" w:rsidR="00C90C33" w:rsidRPr="00ED7864" w:rsidRDefault="000330D3" w:rsidP="00C90C33">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ED7864">
        <w:rPr>
          <w:rFonts w:ascii="Arial" w:hAnsi="Arial" w:cs="Arial"/>
          <w:sz w:val="20"/>
          <w:szCs w:val="20"/>
          <w:lang w:eastAsia="sl-SI"/>
        </w:rPr>
        <w:t>vzdrževalna dela pri ureditvi pesjakov P</w:t>
      </w:r>
      <w:r w:rsidR="00ED7864" w:rsidRPr="00ED7864">
        <w:rPr>
          <w:rFonts w:ascii="Arial" w:hAnsi="Arial" w:cs="Arial"/>
          <w:sz w:val="20"/>
          <w:szCs w:val="20"/>
          <w:lang w:eastAsia="sl-SI"/>
        </w:rPr>
        <w:t xml:space="preserve">olicijske postaje vodnikov službenih psov </w:t>
      </w:r>
      <w:r w:rsidRPr="00ED7864">
        <w:rPr>
          <w:rFonts w:ascii="Arial" w:hAnsi="Arial" w:cs="Arial"/>
          <w:sz w:val="20"/>
          <w:szCs w:val="20"/>
          <w:lang w:eastAsia="sl-SI"/>
        </w:rPr>
        <w:t xml:space="preserve">Koper, </w:t>
      </w:r>
    </w:p>
    <w:p w14:paraId="3BCC2C2C" w14:textId="182136FB" w:rsidR="00C90C33" w:rsidRPr="00ED7864" w:rsidRDefault="00C90C33" w:rsidP="00C90C33">
      <w:pPr>
        <w:pStyle w:val="Odstavekseznama"/>
        <w:numPr>
          <w:ilvl w:val="0"/>
          <w:numId w:val="27"/>
        </w:numPr>
        <w:tabs>
          <w:tab w:val="left" w:pos="426"/>
          <w:tab w:val="left" w:pos="9070"/>
        </w:tabs>
        <w:autoSpaceDE w:val="0"/>
        <w:autoSpaceDN w:val="0"/>
        <w:adjustRightInd w:val="0"/>
        <w:spacing w:after="0"/>
        <w:ind w:left="426" w:hanging="426"/>
        <w:contextualSpacing/>
        <w:jc w:val="both"/>
        <w:rPr>
          <w:rFonts w:ascii="Arial" w:hAnsi="Arial" w:cs="Arial"/>
          <w:sz w:val="20"/>
          <w:szCs w:val="20"/>
          <w:lang w:eastAsia="sl-SI"/>
        </w:rPr>
      </w:pPr>
      <w:r w:rsidRPr="00ED7864">
        <w:rPr>
          <w:rFonts w:ascii="Arial" w:hAnsi="Arial" w:cs="Arial"/>
          <w:sz w:val="20"/>
          <w:szCs w:val="20"/>
          <w:lang w:eastAsia="sl-SI"/>
        </w:rPr>
        <w:t>sanacija bakrene strehe na Policijski postaji Murska Sobota in Postaji prometne policije Murska Sobota po neurju z vetrom,</w:t>
      </w:r>
    </w:p>
    <w:p w14:paraId="532CB482" w14:textId="77777777" w:rsidR="000330D3" w:rsidRPr="00A335CB"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A335CB">
        <w:rPr>
          <w:rFonts w:ascii="Arial" w:hAnsi="Arial" w:cs="Arial"/>
          <w:sz w:val="20"/>
          <w:szCs w:val="20"/>
          <w:lang w:eastAsia="sl-SI"/>
        </w:rPr>
        <w:t>menjava antenskih drogov po Sloveniji,</w:t>
      </w:r>
    </w:p>
    <w:p w14:paraId="7515C7C0" w14:textId="4376A027" w:rsidR="000330D3" w:rsidRPr="00A335CB" w:rsidRDefault="00DF1CFD"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A335CB">
        <w:rPr>
          <w:rFonts w:ascii="Arial" w:hAnsi="Arial" w:cs="Arial"/>
          <w:sz w:val="20"/>
          <w:szCs w:val="20"/>
          <w:lang w:eastAsia="sl-SI"/>
        </w:rPr>
        <w:t>investicijsk</w:t>
      </w:r>
      <w:r>
        <w:rPr>
          <w:rFonts w:ascii="Arial" w:hAnsi="Arial" w:cs="Arial"/>
          <w:sz w:val="20"/>
          <w:szCs w:val="20"/>
          <w:lang w:eastAsia="sl-SI"/>
        </w:rPr>
        <w:t xml:space="preserve">a </w:t>
      </w:r>
      <w:r w:rsidR="000330D3" w:rsidRPr="00A335CB">
        <w:rPr>
          <w:rFonts w:ascii="Arial" w:hAnsi="Arial" w:cs="Arial"/>
          <w:sz w:val="20"/>
          <w:szCs w:val="20"/>
          <w:lang w:eastAsia="sl-SI"/>
        </w:rPr>
        <w:t>vzdrževalna dela za obnovo službenih stanovanj,</w:t>
      </w:r>
    </w:p>
    <w:p w14:paraId="5F9CF980" w14:textId="38EAD00F" w:rsidR="000330D3" w:rsidRPr="00A335CB" w:rsidRDefault="000330D3" w:rsidP="002512E0">
      <w:pPr>
        <w:pStyle w:val="Odstavekseznama"/>
        <w:numPr>
          <w:ilvl w:val="0"/>
          <w:numId w:val="27"/>
        </w:numPr>
        <w:tabs>
          <w:tab w:val="left" w:pos="426"/>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 xml:space="preserve">izdelava projektne dokumentacije za rekonstrukcijo </w:t>
      </w:r>
      <w:r w:rsidR="00DF1CFD" w:rsidRPr="00A335CB">
        <w:rPr>
          <w:rFonts w:ascii="Arial" w:hAnsi="Arial" w:cs="Arial"/>
          <w:sz w:val="20"/>
          <w:szCs w:val="20"/>
          <w:lang w:eastAsia="sl-SI"/>
        </w:rPr>
        <w:t>objekt</w:t>
      </w:r>
      <w:r w:rsidR="00DF1CFD">
        <w:rPr>
          <w:rFonts w:ascii="Arial" w:hAnsi="Arial" w:cs="Arial"/>
          <w:sz w:val="20"/>
          <w:szCs w:val="20"/>
          <w:lang w:eastAsia="sl-SI"/>
        </w:rPr>
        <w:t>ov</w:t>
      </w:r>
      <w:r w:rsidR="00DF1CFD" w:rsidRPr="00A335CB">
        <w:rPr>
          <w:rFonts w:ascii="Arial" w:hAnsi="Arial" w:cs="Arial"/>
          <w:sz w:val="20"/>
          <w:szCs w:val="20"/>
          <w:lang w:eastAsia="sl-SI"/>
        </w:rPr>
        <w:t xml:space="preserve"> </w:t>
      </w:r>
      <w:r w:rsidRPr="00A335CB">
        <w:rPr>
          <w:rFonts w:ascii="Arial" w:hAnsi="Arial" w:cs="Arial"/>
          <w:sz w:val="20"/>
          <w:szCs w:val="20"/>
          <w:lang w:eastAsia="sl-SI"/>
        </w:rPr>
        <w:t>št. 7 in 30 v Vadbenem centru Vi</w:t>
      </w:r>
      <w:r w:rsidR="002512E0" w:rsidRPr="00A335CB">
        <w:rPr>
          <w:rFonts w:ascii="Arial" w:hAnsi="Arial" w:cs="Arial"/>
          <w:sz w:val="20"/>
          <w:szCs w:val="20"/>
          <w:lang w:eastAsia="sl-SI"/>
        </w:rPr>
        <w:t>nka Beznika Gotenica</w:t>
      </w:r>
      <w:r w:rsidRPr="00A335CB">
        <w:rPr>
          <w:rFonts w:ascii="Arial" w:hAnsi="Arial" w:cs="Arial"/>
          <w:sz w:val="20"/>
          <w:szCs w:val="20"/>
          <w:lang w:eastAsia="sl-SI"/>
        </w:rPr>
        <w:t>,</w:t>
      </w:r>
    </w:p>
    <w:p w14:paraId="241C7AF1" w14:textId="77777777" w:rsidR="000330D3" w:rsidRPr="00A335CB" w:rsidRDefault="000330D3" w:rsidP="005D1A90">
      <w:pPr>
        <w:pStyle w:val="Odstavekseznama"/>
        <w:numPr>
          <w:ilvl w:val="0"/>
          <w:numId w:val="27"/>
        </w:numPr>
        <w:tabs>
          <w:tab w:val="left" w:pos="426"/>
          <w:tab w:val="left" w:pos="9070"/>
        </w:tabs>
        <w:autoSpaceDE w:val="0"/>
        <w:autoSpaceDN w:val="0"/>
        <w:adjustRightInd w:val="0"/>
        <w:spacing w:after="0"/>
        <w:ind w:hanging="1080"/>
        <w:contextualSpacing/>
        <w:jc w:val="both"/>
        <w:rPr>
          <w:rFonts w:ascii="Arial" w:hAnsi="Arial" w:cs="Arial"/>
          <w:sz w:val="20"/>
          <w:szCs w:val="20"/>
          <w:lang w:eastAsia="sl-SI"/>
        </w:rPr>
      </w:pPr>
      <w:r w:rsidRPr="00A335CB">
        <w:rPr>
          <w:rFonts w:ascii="Arial" w:hAnsi="Arial" w:cs="Arial"/>
          <w:sz w:val="20"/>
          <w:szCs w:val="20"/>
          <w:lang w:eastAsia="sl-SI"/>
        </w:rPr>
        <w:t>izdelava programske naloge za sanacijo koče na Veliki Planini.</w:t>
      </w:r>
    </w:p>
    <w:p w14:paraId="73A5486A" w14:textId="77777777" w:rsidR="000330D3" w:rsidRPr="00A335CB" w:rsidRDefault="000330D3" w:rsidP="005D1A90">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p>
    <w:p w14:paraId="26D7F4AF" w14:textId="77777777" w:rsidR="000330D3" w:rsidRPr="00A335CB" w:rsidRDefault="000330D3" w:rsidP="005D1A90">
      <w:pPr>
        <w:spacing w:after="0" w:line="276" w:lineRule="auto"/>
        <w:jc w:val="both"/>
        <w:rPr>
          <w:rFonts w:ascii="Arial" w:hAnsi="Arial" w:cs="Arial"/>
          <w:b/>
          <w:sz w:val="20"/>
          <w:szCs w:val="20"/>
        </w:rPr>
      </w:pPr>
      <w:r w:rsidRPr="00A335CB">
        <w:rPr>
          <w:rFonts w:ascii="Arial" w:hAnsi="Arial" w:cs="Arial"/>
          <w:b/>
          <w:sz w:val="20"/>
          <w:szCs w:val="20"/>
        </w:rPr>
        <w:t xml:space="preserve">Nakup opreme v letu 2024: </w:t>
      </w:r>
    </w:p>
    <w:p w14:paraId="45D29FE3" w14:textId="77777777" w:rsidR="000330D3" w:rsidRPr="00A335CB" w:rsidRDefault="000330D3" w:rsidP="005D1A90">
      <w:pPr>
        <w:pStyle w:val="Odstavekseznama"/>
        <w:numPr>
          <w:ilvl w:val="0"/>
          <w:numId w:val="28"/>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izvedeni odpoklici klimatskih naprav po okvirnih sporazumih,</w:t>
      </w:r>
    </w:p>
    <w:p w14:paraId="3C4C97CA" w14:textId="77777777" w:rsidR="000330D3" w:rsidRPr="00A335CB" w:rsidRDefault="000330D3" w:rsidP="005D1A90">
      <w:pPr>
        <w:pStyle w:val="Odstavekseznama"/>
        <w:numPr>
          <w:ilvl w:val="0"/>
          <w:numId w:val="28"/>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izvedeni odpoklici pohištvene opreme po okvirnih sporazumih,</w:t>
      </w:r>
    </w:p>
    <w:p w14:paraId="6167EF6E" w14:textId="77777777" w:rsidR="000330D3" w:rsidRPr="00A335CB" w:rsidRDefault="000330D3" w:rsidP="005D1A90">
      <w:pPr>
        <w:pStyle w:val="Odstavekseznama"/>
        <w:numPr>
          <w:ilvl w:val="0"/>
          <w:numId w:val="28"/>
        </w:numPr>
        <w:tabs>
          <w:tab w:val="left" w:pos="993"/>
          <w:tab w:val="left" w:pos="9070"/>
        </w:tabs>
        <w:autoSpaceDE w:val="0"/>
        <w:autoSpaceDN w:val="0"/>
        <w:adjustRightInd w:val="0"/>
        <w:spacing w:after="0"/>
        <w:ind w:left="426" w:hanging="426"/>
        <w:contextualSpacing/>
        <w:jc w:val="both"/>
        <w:rPr>
          <w:rFonts w:ascii="Arial" w:hAnsi="Arial" w:cs="Arial"/>
          <w:sz w:val="20"/>
          <w:szCs w:val="20"/>
          <w:lang w:eastAsia="sl-SI"/>
        </w:rPr>
      </w:pPr>
      <w:r w:rsidRPr="00A335CB">
        <w:rPr>
          <w:rFonts w:ascii="Arial" w:hAnsi="Arial" w:cs="Arial"/>
          <w:sz w:val="20"/>
          <w:szCs w:val="20"/>
          <w:lang w:eastAsia="sl-SI"/>
        </w:rPr>
        <w:t xml:space="preserve">izveden nakup </w:t>
      </w:r>
      <w:proofErr w:type="spellStart"/>
      <w:r w:rsidRPr="00A335CB">
        <w:rPr>
          <w:rFonts w:ascii="Arial" w:hAnsi="Arial" w:cs="Arial"/>
          <w:sz w:val="20"/>
          <w:szCs w:val="20"/>
          <w:lang w:eastAsia="sl-SI"/>
        </w:rPr>
        <w:t>birotehnične</w:t>
      </w:r>
      <w:proofErr w:type="spellEnd"/>
      <w:r w:rsidRPr="00A335CB">
        <w:rPr>
          <w:rFonts w:ascii="Arial" w:hAnsi="Arial" w:cs="Arial"/>
          <w:sz w:val="20"/>
          <w:szCs w:val="20"/>
          <w:lang w:eastAsia="sl-SI"/>
        </w:rPr>
        <w:t xml:space="preserve"> opreme in dela opreme delavnic.</w:t>
      </w:r>
    </w:p>
    <w:p w14:paraId="6B594100" w14:textId="77777777" w:rsidR="000330D3" w:rsidRPr="00A335CB" w:rsidRDefault="000330D3" w:rsidP="005D1A90">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p>
    <w:p w14:paraId="06BF8998" w14:textId="2E1A4BDD" w:rsidR="000330D3" w:rsidRPr="00A335CB" w:rsidRDefault="000330D3" w:rsidP="002512E0">
      <w:pPr>
        <w:tabs>
          <w:tab w:val="left" w:pos="9070"/>
        </w:tabs>
        <w:autoSpaceDE w:val="0"/>
        <w:autoSpaceDN w:val="0"/>
        <w:adjustRightInd w:val="0"/>
        <w:spacing w:after="0" w:line="276" w:lineRule="auto"/>
        <w:ind w:left="1077" w:hanging="1077"/>
        <w:jc w:val="both"/>
        <w:rPr>
          <w:rFonts w:ascii="Arial" w:hAnsi="Arial" w:cs="Arial"/>
          <w:b/>
          <w:sz w:val="20"/>
          <w:szCs w:val="20"/>
          <w:lang w:eastAsia="sl-SI"/>
        </w:rPr>
      </w:pPr>
      <w:r w:rsidRPr="00A335CB">
        <w:rPr>
          <w:rFonts w:ascii="Arial" w:hAnsi="Arial" w:cs="Arial"/>
          <w:b/>
          <w:sz w:val="20"/>
          <w:szCs w:val="20"/>
          <w:lang w:eastAsia="sl-SI"/>
        </w:rPr>
        <w:t>Projekti novogradenj i</w:t>
      </w:r>
      <w:r w:rsidR="002512E0" w:rsidRPr="00A335CB">
        <w:rPr>
          <w:rFonts w:ascii="Arial" w:hAnsi="Arial" w:cs="Arial"/>
          <w:b/>
          <w:sz w:val="20"/>
          <w:szCs w:val="20"/>
          <w:lang w:eastAsia="sl-SI"/>
        </w:rPr>
        <w:t>n sanacije obstoječih objektov</w:t>
      </w:r>
    </w:p>
    <w:p w14:paraId="7D0E40F7" w14:textId="76120F90" w:rsidR="000330D3" w:rsidRPr="00A335CB" w:rsidRDefault="000330D3" w:rsidP="005D1A90">
      <w:pPr>
        <w:spacing w:line="276" w:lineRule="auto"/>
        <w:contextualSpacing/>
        <w:jc w:val="both"/>
        <w:rPr>
          <w:rFonts w:ascii="Arial" w:hAnsi="Arial" w:cs="Arial"/>
          <w:b/>
          <w:sz w:val="20"/>
          <w:szCs w:val="20"/>
        </w:rPr>
      </w:pPr>
      <w:r w:rsidRPr="00A335CB">
        <w:rPr>
          <w:rFonts w:ascii="Arial" w:hAnsi="Arial" w:cs="Arial"/>
          <w:b/>
          <w:sz w:val="20"/>
          <w:szCs w:val="20"/>
        </w:rPr>
        <w:t xml:space="preserve">Postaja pomorske policije Koper: </w:t>
      </w:r>
      <w:r w:rsidR="006656AA">
        <w:rPr>
          <w:rFonts w:ascii="Arial" w:hAnsi="Arial" w:cs="Arial"/>
          <w:sz w:val="20"/>
          <w:szCs w:val="20"/>
        </w:rPr>
        <w:t>P</w:t>
      </w:r>
      <w:r w:rsidRPr="00A335CB">
        <w:rPr>
          <w:rFonts w:ascii="Arial" w:hAnsi="Arial" w:cs="Arial"/>
          <w:sz w:val="20"/>
          <w:szCs w:val="20"/>
        </w:rPr>
        <w:t>odpisana je bila pogodba za izdelavo projektne dokumentacije za ureditev novih poslovnih prostorov. Delo poteka po terminske</w:t>
      </w:r>
      <w:r w:rsidR="00657616">
        <w:rPr>
          <w:rFonts w:ascii="Arial" w:hAnsi="Arial" w:cs="Arial"/>
          <w:sz w:val="20"/>
          <w:szCs w:val="20"/>
        </w:rPr>
        <w:t>m planu in bo dokončano v avgustu</w:t>
      </w:r>
      <w:r w:rsidRPr="00A335CB">
        <w:rPr>
          <w:rFonts w:ascii="Arial" w:hAnsi="Arial" w:cs="Arial"/>
          <w:sz w:val="20"/>
          <w:szCs w:val="20"/>
        </w:rPr>
        <w:t xml:space="preserve"> 2025. </w:t>
      </w:r>
    </w:p>
    <w:p w14:paraId="26DF3F24" w14:textId="77777777" w:rsidR="000330D3" w:rsidRPr="00A335CB" w:rsidRDefault="000330D3" w:rsidP="005D1A90">
      <w:pPr>
        <w:spacing w:line="276" w:lineRule="auto"/>
        <w:contextualSpacing/>
        <w:jc w:val="both"/>
        <w:rPr>
          <w:rFonts w:ascii="Arial" w:hAnsi="Arial" w:cs="Arial"/>
          <w:b/>
          <w:sz w:val="20"/>
          <w:szCs w:val="20"/>
        </w:rPr>
      </w:pPr>
    </w:p>
    <w:p w14:paraId="5D8601D9" w14:textId="0E7B1267" w:rsidR="000330D3" w:rsidRPr="00A335CB" w:rsidRDefault="000330D3" w:rsidP="005D1A90">
      <w:pPr>
        <w:spacing w:line="276" w:lineRule="auto"/>
        <w:contextualSpacing/>
        <w:jc w:val="both"/>
        <w:rPr>
          <w:rFonts w:ascii="Arial" w:hAnsi="Arial" w:cs="Arial"/>
          <w:b/>
          <w:sz w:val="20"/>
          <w:szCs w:val="20"/>
        </w:rPr>
      </w:pPr>
      <w:r w:rsidRPr="00A335CB">
        <w:rPr>
          <w:rFonts w:ascii="Arial" w:hAnsi="Arial" w:cs="Arial"/>
          <w:b/>
          <w:sz w:val="20"/>
          <w:szCs w:val="20"/>
        </w:rPr>
        <w:t xml:space="preserve">Policijska postaja Ajdovščina: </w:t>
      </w:r>
      <w:r w:rsidR="006656AA">
        <w:rPr>
          <w:rFonts w:ascii="Arial" w:hAnsi="Arial" w:cs="Arial"/>
          <w:sz w:val="20"/>
          <w:szCs w:val="20"/>
        </w:rPr>
        <w:t>Z</w:t>
      </w:r>
      <w:r w:rsidRPr="00A335CB">
        <w:rPr>
          <w:rFonts w:ascii="Arial" w:hAnsi="Arial" w:cs="Arial"/>
          <w:sz w:val="20"/>
          <w:szCs w:val="20"/>
        </w:rPr>
        <w:t>a novogradnjo je bila izdelana DGD projektna dokumentacija, aprila 2023 pa pridobljeno gradbeno dovoljenje. Javno naročilo za izbor izdelovalca PZI</w:t>
      </w:r>
      <w:r w:rsidR="00657616">
        <w:rPr>
          <w:rFonts w:ascii="Arial" w:hAnsi="Arial" w:cs="Arial"/>
          <w:sz w:val="20"/>
          <w:szCs w:val="20"/>
        </w:rPr>
        <w:t xml:space="preserve"> </w:t>
      </w:r>
      <w:r w:rsidRPr="00A335CB">
        <w:rPr>
          <w:rFonts w:ascii="Arial" w:hAnsi="Arial" w:cs="Arial"/>
          <w:sz w:val="20"/>
          <w:szCs w:val="20"/>
        </w:rPr>
        <w:t xml:space="preserve">dokumentacije je bilo v letu 2024 neuspešno. </w:t>
      </w:r>
      <w:r w:rsidR="00657616">
        <w:rPr>
          <w:rFonts w:ascii="Arial" w:hAnsi="Arial" w:cs="Arial"/>
          <w:sz w:val="20"/>
          <w:szCs w:val="20"/>
        </w:rPr>
        <w:t>V naslednjem letu se bo</w:t>
      </w:r>
      <w:r w:rsidR="00657616" w:rsidRPr="00657616">
        <w:rPr>
          <w:rFonts w:ascii="Arial" w:hAnsi="Arial" w:cs="Arial"/>
          <w:sz w:val="20"/>
          <w:szCs w:val="20"/>
        </w:rPr>
        <w:t xml:space="preserve"> na podlagi sprejete odločitve, da se projekt gradnje PP Ajdovščina nadaljuje v prvotnem obsegu in s predhodno pridobljenim gradbenim dovoljenjem, naročilo dopolnitev investicijske dokumentacije IP ter ponovilo postopek javnega naročila za pridobitev projektne dokumentacije PZI.</w:t>
      </w:r>
    </w:p>
    <w:p w14:paraId="7901BD64" w14:textId="77777777" w:rsidR="000330D3" w:rsidRPr="00A335CB" w:rsidRDefault="000330D3" w:rsidP="005D1A90">
      <w:pPr>
        <w:spacing w:line="276" w:lineRule="auto"/>
        <w:contextualSpacing/>
        <w:jc w:val="both"/>
        <w:rPr>
          <w:rFonts w:ascii="Arial" w:hAnsi="Arial" w:cs="Arial"/>
          <w:b/>
          <w:sz w:val="20"/>
          <w:szCs w:val="20"/>
        </w:rPr>
      </w:pPr>
    </w:p>
    <w:p w14:paraId="52CBA42E" w14:textId="65F30D49" w:rsidR="000330D3" w:rsidRPr="00A335CB" w:rsidRDefault="000330D3" w:rsidP="005D1A90">
      <w:pPr>
        <w:spacing w:line="276" w:lineRule="auto"/>
        <w:contextualSpacing/>
        <w:jc w:val="both"/>
        <w:rPr>
          <w:rFonts w:ascii="Arial" w:hAnsi="Arial" w:cs="Arial"/>
          <w:sz w:val="20"/>
          <w:szCs w:val="20"/>
        </w:rPr>
      </w:pPr>
      <w:r w:rsidRPr="00A335CB">
        <w:rPr>
          <w:rFonts w:ascii="Arial" w:hAnsi="Arial" w:cs="Arial"/>
          <w:b/>
          <w:sz w:val="20"/>
          <w:szCs w:val="20"/>
        </w:rPr>
        <w:t>Policijska postaja Tolmin:</w:t>
      </w:r>
      <w:r w:rsidRPr="00A335CB">
        <w:rPr>
          <w:rFonts w:ascii="Arial" w:hAnsi="Arial" w:cs="Arial"/>
          <w:sz w:val="20"/>
          <w:szCs w:val="20"/>
        </w:rPr>
        <w:t xml:space="preserve"> </w:t>
      </w:r>
      <w:r w:rsidR="006656AA">
        <w:rPr>
          <w:rFonts w:ascii="Arial" w:hAnsi="Arial" w:cs="Arial"/>
          <w:sz w:val="20"/>
          <w:szCs w:val="20"/>
        </w:rPr>
        <w:t>I</w:t>
      </w:r>
      <w:r w:rsidRPr="00A335CB">
        <w:rPr>
          <w:rFonts w:ascii="Arial" w:hAnsi="Arial" w:cs="Arial"/>
          <w:sz w:val="20"/>
          <w:szCs w:val="20"/>
        </w:rPr>
        <w:t>zdelana je bila nova investicijska dokumentacija (DIIP) za novo lokacijo izven poplavnega območja. V postopku javnega naročanja je prostorska preveritev nove l</w:t>
      </w:r>
      <w:r w:rsidR="002512E0" w:rsidRPr="00A335CB">
        <w:rPr>
          <w:rFonts w:ascii="Arial" w:hAnsi="Arial" w:cs="Arial"/>
          <w:sz w:val="20"/>
          <w:szCs w:val="20"/>
        </w:rPr>
        <w:t>okacije v bližini objektov MORS</w:t>
      </w:r>
      <w:r w:rsidRPr="00A335CB">
        <w:rPr>
          <w:rFonts w:ascii="Arial" w:hAnsi="Arial" w:cs="Arial"/>
          <w:sz w:val="20"/>
          <w:szCs w:val="20"/>
        </w:rPr>
        <w:t>.</w:t>
      </w:r>
    </w:p>
    <w:p w14:paraId="6966667B" w14:textId="77777777" w:rsidR="000330D3" w:rsidRPr="00A335CB" w:rsidRDefault="000330D3" w:rsidP="005D1A90">
      <w:pPr>
        <w:spacing w:line="276" w:lineRule="auto"/>
        <w:contextualSpacing/>
        <w:jc w:val="both"/>
        <w:rPr>
          <w:rFonts w:ascii="Arial" w:hAnsi="Arial" w:cs="Arial"/>
          <w:sz w:val="20"/>
          <w:szCs w:val="20"/>
        </w:rPr>
      </w:pPr>
    </w:p>
    <w:p w14:paraId="18765A7F" w14:textId="3851A66D" w:rsidR="000330D3" w:rsidRPr="00A335CB" w:rsidRDefault="000330D3" w:rsidP="005D1A90">
      <w:pPr>
        <w:spacing w:line="276" w:lineRule="auto"/>
        <w:contextualSpacing/>
        <w:jc w:val="both"/>
        <w:rPr>
          <w:rFonts w:ascii="Arial" w:hAnsi="Arial" w:cs="Arial"/>
          <w:sz w:val="20"/>
          <w:szCs w:val="20"/>
        </w:rPr>
      </w:pPr>
      <w:r w:rsidRPr="00A335CB">
        <w:rPr>
          <w:rFonts w:ascii="Arial" w:hAnsi="Arial" w:cs="Arial"/>
          <w:b/>
          <w:sz w:val="20"/>
          <w:szCs w:val="20"/>
        </w:rPr>
        <w:t xml:space="preserve">EVSP Novo mesto (Črnomelj): </w:t>
      </w:r>
      <w:r w:rsidR="006656AA">
        <w:rPr>
          <w:rFonts w:ascii="Arial" w:hAnsi="Arial" w:cs="Arial"/>
          <w:sz w:val="20"/>
          <w:szCs w:val="20"/>
        </w:rPr>
        <w:t>I</w:t>
      </w:r>
      <w:r w:rsidRPr="00A335CB">
        <w:rPr>
          <w:rFonts w:ascii="Arial" w:hAnsi="Arial" w:cs="Arial"/>
          <w:sz w:val="20"/>
          <w:szCs w:val="20"/>
        </w:rPr>
        <w:t xml:space="preserve">zdelana je bila investicijska dokumentacija (DIIP) ter pripravljene </w:t>
      </w:r>
      <w:r w:rsidR="006656AA">
        <w:rPr>
          <w:rFonts w:ascii="Arial" w:hAnsi="Arial" w:cs="Arial"/>
          <w:sz w:val="20"/>
          <w:szCs w:val="20"/>
        </w:rPr>
        <w:t xml:space="preserve">so bile </w:t>
      </w:r>
      <w:r w:rsidRPr="00A335CB">
        <w:rPr>
          <w:rFonts w:ascii="Arial" w:hAnsi="Arial" w:cs="Arial"/>
          <w:sz w:val="20"/>
          <w:szCs w:val="20"/>
        </w:rPr>
        <w:t>tehnične podlage za izbor izdelovalca projektne dokumentacije.</w:t>
      </w:r>
    </w:p>
    <w:p w14:paraId="0F7A7D80" w14:textId="77777777" w:rsidR="000330D3" w:rsidRPr="00A335CB" w:rsidRDefault="000330D3" w:rsidP="005D1A90">
      <w:pPr>
        <w:spacing w:line="276" w:lineRule="auto"/>
        <w:contextualSpacing/>
        <w:jc w:val="both"/>
        <w:rPr>
          <w:rFonts w:ascii="Arial" w:hAnsi="Arial" w:cs="Arial"/>
          <w:sz w:val="20"/>
          <w:szCs w:val="20"/>
        </w:rPr>
      </w:pPr>
    </w:p>
    <w:p w14:paraId="41C97B5F" w14:textId="77777777" w:rsidR="00657616" w:rsidRPr="00A335CB" w:rsidRDefault="000330D3" w:rsidP="00657616">
      <w:pPr>
        <w:spacing w:line="276" w:lineRule="auto"/>
        <w:contextualSpacing/>
        <w:jc w:val="both"/>
        <w:rPr>
          <w:rFonts w:ascii="Arial" w:hAnsi="Arial" w:cs="Arial"/>
          <w:sz w:val="20"/>
          <w:szCs w:val="20"/>
        </w:rPr>
      </w:pPr>
      <w:r w:rsidRPr="00A335CB">
        <w:rPr>
          <w:rFonts w:ascii="Arial" w:hAnsi="Arial" w:cs="Arial"/>
          <w:b/>
          <w:sz w:val="20"/>
          <w:szCs w:val="20"/>
        </w:rPr>
        <w:t xml:space="preserve">Novogradnja PU Koper: </w:t>
      </w:r>
      <w:r w:rsidR="006656AA">
        <w:rPr>
          <w:rFonts w:ascii="Arial" w:hAnsi="Arial" w:cs="Arial"/>
          <w:sz w:val="20"/>
          <w:szCs w:val="20"/>
        </w:rPr>
        <w:t>O</w:t>
      </w:r>
      <w:r w:rsidR="002512E0" w:rsidRPr="00A335CB">
        <w:rPr>
          <w:rFonts w:ascii="Arial" w:hAnsi="Arial" w:cs="Arial"/>
          <w:sz w:val="20"/>
          <w:szCs w:val="20"/>
        </w:rPr>
        <w:t xml:space="preserve">bravnavanih je bilo </w:t>
      </w:r>
      <w:r w:rsidRPr="00A335CB">
        <w:rPr>
          <w:rFonts w:ascii="Arial" w:hAnsi="Arial" w:cs="Arial"/>
          <w:sz w:val="20"/>
          <w:szCs w:val="20"/>
        </w:rPr>
        <w:t>več novih l</w:t>
      </w:r>
      <w:r w:rsidR="002512E0" w:rsidRPr="00A335CB">
        <w:rPr>
          <w:rFonts w:ascii="Arial" w:hAnsi="Arial" w:cs="Arial"/>
          <w:sz w:val="20"/>
          <w:szCs w:val="20"/>
        </w:rPr>
        <w:t xml:space="preserve">okacij, ki so bile na območju </w:t>
      </w:r>
      <w:r w:rsidR="006656AA">
        <w:rPr>
          <w:rFonts w:ascii="Arial" w:hAnsi="Arial" w:cs="Arial"/>
          <w:sz w:val="20"/>
          <w:szCs w:val="20"/>
        </w:rPr>
        <w:t>m</w:t>
      </w:r>
      <w:r w:rsidR="006656AA" w:rsidRPr="00A335CB">
        <w:rPr>
          <w:rFonts w:ascii="Arial" w:hAnsi="Arial" w:cs="Arial"/>
          <w:sz w:val="20"/>
          <w:szCs w:val="20"/>
        </w:rPr>
        <w:t xml:space="preserve">estne </w:t>
      </w:r>
      <w:r w:rsidR="002512E0" w:rsidRPr="00A335CB">
        <w:rPr>
          <w:rFonts w:ascii="Arial" w:hAnsi="Arial" w:cs="Arial"/>
          <w:sz w:val="20"/>
          <w:szCs w:val="20"/>
        </w:rPr>
        <w:t>občine</w:t>
      </w:r>
      <w:r w:rsidRPr="00A335CB">
        <w:rPr>
          <w:rFonts w:ascii="Arial" w:hAnsi="Arial" w:cs="Arial"/>
          <w:sz w:val="20"/>
          <w:szCs w:val="20"/>
        </w:rPr>
        <w:t xml:space="preserve"> Koper in občine Ankaran. Vse lokacije so se izkazale kot neprimerne. </w:t>
      </w:r>
      <w:r w:rsidR="00657616">
        <w:rPr>
          <w:rFonts w:ascii="Arial" w:hAnsi="Arial" w:cs="Arial"/>
          <w:sz w:val="20"/>
          <w:szCs w:val="20"/>
        </w:rPr>
        <w:t xml:space="preserve">V okviru delovne skupine je bilo predlagano, da se </w:t>
      </w:r>
      <w:r w:rsidR="00657616" w:rsidRPr="00A335CB">
        <w:rPr>
          <w:rFonts w:ascii="Arial" w:hAnsi="Arial" w:cs="Arial"/>
          <w:sz w:val="20"/>
          <w:szCs w:val="20"/>
        </w:rPr>
        <w:t>iskanje lokacij razširi tudi na območje Občine Izola in Hrpelje-Kozina.</w:t>
      </w:r>
    </w:p>
    <w:p w14:paraId="0B5436F8" w14:textId="1CCB87DE" w:rsidR="000330D3" w:rsidRPr="00A335CB" w:rsidRDefault="000330D3" w:rsidP="005D1A90">
      <w:pPr>
        <w:spacing w:line="276" w:lineRule="auto"/>
        <w:contextualSpacing/>
        <w:jc w:val="both"/>
        <w:rPr>
          <w:rFonts w:ascii="Arial" w:hAnsi="Arial" w:cs="Arial"/>
          <w:b/>
          <w:sz w:val="20"/>
          <w:szCs w:val="20"/>
        </w:rPr>
      </w:pPr>
    </w:p>
    <w:p w14:paraId="38CD72A7" w14:textId="20810ABB" w:rsidR="000330D3" w:rsidRPr="00A335CB" w:rsidRDefault="000330D3" w:rsidP="002512E0">
      <w:pPr>
        <w:spacing w:after="0" w:line="276" w:lineRule="auto"/>
        <w:jc w:val="both"/>
        <w:rPr>
          <w:rFonts w:ascii="Arial" w:hAnsi="Arial" w:cs="Arial"/>
          <w:b/>
          <w:sz w:val="20"/>
          <w:szCs w:val="20"/>
        </w:rPr>
      </w:pPr>
      <w:r w:rsidRPr="00A335CB">
        <w:rPr>
          <w:rFonts w:ascii="Arial" w:hAnsi="Arial" w:cs="Arial"/>
          <w:b/>
          <w:sz w:val="20"/>
          <w:szCs w:val="20"/>
        </w:rPr>
        <w:t xml:space="preserve">Energetska obnova objektov in projekti, vključeni v </w:t>
      </w:r>
      <w:r w:rsidR="002512E0" w:rsidRPr="00A335CB">
        <w:rPr>
          <w:rFonts w:ascii="Arial" w:hAnsi="Arial" w:cs="Arial"/>
          <w:b/>
          <w:sz w:val="20"/>
          <w:szCs w:val="20"/>
        </w:rPr>
        <w:t>Načrt za okrevanje in odpornost</w:t>
      </w:r>
    </w:p>
    <w:p w14:paraId="42484C51" w14:textId="77777777" w:rsidR="002512E0" w:rsidRPr="00A335CB" w:rsidRDefault="002512E0" w:rsidP="005D1A90">
      <w:pPr>
        <w:spacing w:line="276" w:lineRule="auto"/>
        <w:contextualSpacing/>
        <w:jc w:val="both"/>
        <w:rPr>
          <w:rFonts w:ascii="Arial" w:hAnsi="Arial" w:cs="Arial"/>
          <w:b/>
          <w:sz w:val="20"/>
          <w:szCs w:val="20"/>
        </w:rPr>
      </w:pPr>
    </w:p>
    <w:p w14:paraId="3CB4511A" w14:textId="432CFC73" w:rsidR="000330D3" w:rsidRPr="00A335CB" w:rsidRDefault="002512E0" w:rsidP="005D1A90">
      <w:pPr>
        <w:spacing w:line="276" w:lineRule="auto"/>
        <w:contextualSpacing/>
        <w:jc w:val="both"/>
        <w:rPr>
          <w:rFonts w:ascii="Arial" w:hAnsi="Arial" w:cs="Arial"/>
          <w:b/>
          <w:sz w:val="20"/>
          <w:szCs w:val="20"/>
        </w:rPr>
      </w:pPr>
      <w:r w:rsidRPr="00A335CB">
        <w:rPr>
          <w:rFonts w:ascii="Arial" w:hAnsi="Arial" w:cs="Arial"/>
          <w:b/>
          <w:sz w:val="20"/>
          <w:szCs w:val="20"/>
        </w:rPr>
        <w:t>Energetska obnova objektov</w:t>
      </w:r>
    </w:p>
    <w:p w14:paraId="23976D53" w14:textId="3ABB4B4B" w:rsidR="000330D3" w:rsidRPr="00A335CB" w:rsidRDefault="000330D3" w:rsidP="005D1A90">
      <w:pPr>
        <w:spacing w:line="276" w:lineRule="auto"/>
        <w:contextualSpacing/>
        <w:jc w:val="both"/>
        <w:rPr>
          <w:rFonts w:ascii="Arial" w:hAnsi="Arial" w:cs="Arial"/>
          <w:sz w:val="20"/>
          <w:szCs w:val="20"/>
        </w:rPr>
      </w:pPr>
      <w:r w:rsidRPr="00A335CB">
        <w:rPr>
          <w:rFonts w:ascii="Arial" w:hAnsi="Arial" w:cs="Arial"/>
          <w:sz w:val="20"/>
          <w:szCs w:val="20"/>
        </w:rPr>
        <w:t>V marcu 2024 s</w:t>
      </w:r>
      <w:r w:rsidR="002512E0" w:rsidRPr="00A335CB">
        <w:rPr>
          <w:rFonts w:ascii="Arial" w:hAnsi="Arial" w:cs="Arial"/>
          <w:sz w:val="20"/>
          <w:szCs w:val="20"/>
        </w:rPr>
        <w:t>e je zaključila izvedba celovite</w:t>
      </w:r>
      <w:r w:rsidRPr="00A335CB">
        <w:rPr>
          <w:rFonts w:ascii="Arial" w:hAnsi="Arial" w:cs="Arial"/>
          <w:sz w:val="20"/>
          <w:szCs w:val="20"/>
        </w:rPr>
        <w:t xml:space="preserve"> energets</w:t>
      </w:r>
      <w:r w:rsidR="002512E0" w:rsidRPr="00A335CB">
        <w:rPr>
          <w:rFonts w:ascii="Arial" w:hAnsi="Arial" w:cs="Arial"/>
          <w:sz w:val="20"/>
          <w:szCs w:val="20"/>
        </w:rPr>
        <w:t>ke sanacije objekta Policijske postaje</w:t>
      </w:r>
      <w:r w:rsidRPr="00A335CB">
        <w:rPr>
          <w:rFonts w:ascii="Arial" w:hAnsi="Arial" w:cs="Arial"/>
          <w:sz w:val="20"/>
          <w:szCs w:val="20"/>
        </w:rPr>
        <w:t xml:space="preserve"> Kranjs</w:t>
      </w:r>
      <w:r w:rsidR="002512E0" w:rsidRPr="00A335CB">
        <w:rPr>
          <w:rFonts w:ascii="Arial" w:hAnsi="Arial" w:cs="Arial"/>
          <w:sz w:val="20"/>
          <w:szCs w:val="20"/>
        </w:rPr>
        <w:t>ka Gora. V sklopu sanacije so bili izvedeni</w:t>
      </w:r>
      <w:r w:rsidRPr="00A335CB">
        <w:rPr>
          <w:rFonts w:ascii="Arial" w:hAnsi="Arial" w:cs="Arial"/>
          <w:sz w:val="20"/>
          <w:szCs w:val="20"/>
        </w:rPr>
        <w:t xml:space="preserve"> naslednji ukrepi: toplotna izolacija ovoja stavbe, hidroizolacija zidu v zemlji (do temeljev), menjava oken, menjava vhodnih vrat v kleti, izolacija plošče nad nadstropjem proti neogrevanemu podstrešju, vgradnja prezračevanja, zamenjava svetilk s svetilkami z LED</w:t>
      </w:r>
      <w:r w:rsidR="006656AA">
        <w:rPr>
          <w:rFonts w:ascii="Arial" w:hAnsi="Arial" w:cs="Arial"/>
          <w:sz w:val="20"/>
          <w:szCs w:val="20"/>
        </w:rPr>
        <w:t>-</w:t>
      </w:r>
      <w:r w:rsidRPr="00A335CB">
        <w:rPr>
          <w:rFonts w:ascii="Arial" w:hAnsi="Arial" w:cs="Arial"/>
          <w:sz w:val="20"/>
          <w:szCs w:val="20"/>
        </w:rPr>
        <w:t>paneli, namestitev termostatskih glav in termostatskih ventilov s samodejno regulacijo na vsa grelna telesa, zamenjava kotla, vgradnja toplotne črpalke (zrak-voda) in menjava enostopenjskih straniščnih kotličkov z dvostopenjskimi.</w:t>
      </w:r>
    </w:p>
    <w:p w14:paraId="0349D210" w14:textId="77777777" w:rsidR="000330D3" w:rsidRPr="00A335CB" w:rsidRDefault="000330D3" w:rsidP="005D1A90">
      <w:pPr>
        <w:spacing w:line="276" w:lineRule="auto"/>
        <w:contextualSpacing/>
        <w:jc w:val="both"/>
        <w:rPr>
          <w:rFonts w:ascii="Arial" w:hAnsi="Arial" w:cs="Arial"/>
          <w:sz w:val="20"/>
          <w:szCs w:val="20"/>
        </w:rPr>
      </w:pPr>
    </w:p>
    <w:p w14:paraId="420C592C" w14:textId="77777777" w:rsidR="000330D3" w:rsidRPr="00A335CB" w:rsidRDefault="000330D3" w:rsidP="005D1A90">
      <w:pPr>
        <w:spacing w:line="276" w:lineRule="auto"/>
        <w:contextualSpacing/>
        <w:jc w:val="both"/>
        <w:rPr>
          <w:rFonts w:ascii="Arial" w:hAnsi="Arial" w:cs="Arial"/>
          <w:sz w:val="20"/>
          <w:szCs w:val="20"/>
        </w:rPr>
      </w:pPr>
      <w:r w:rsidRPr="00A335CB">
        <w:rPr>
          <w:rFonts w:ascii="Arial" w:hAnsi="Arial" w:cs="Arial"/>
          <w:sz w:val="20"/>
          <w:szCs w:val="20"/>
        </w:rPr>
        <w:t>Učinki izvedene energetske sanacije:</w:t>
      </w:r>
    </w:p>
    <w:p w14:paraId="6EC5D103" w14:textId="3E44497F" w:rsidR="000330D3" w:rsidRPr="00A335CB" w:rsidRDefault="000330D3" w:rsidP="005D1A90">
      <w:pPr>
        <w:pStyle w:val="Odstavekseznama"/>
        <w:numPr>
          <w:ilvl w:val="0"/>
          <w:numId w:val="29"/>
        </w:numPr>
        <w:ind w:left="426" w:hanging="426"/>
        <w:contextualSpacing/>
        <w:jc w:val="both"/>
        <w:rPr>
          <w:rFonts w:ascii="Arial" w:hAnsi="Arial" w:cs="Arial"/>
          <w:sz w:val="20"/>
          <w:szCs w:val="20"/>
        </w:rPr>
      </w:pPr>
      <w:r w:rsidRPr="00A335CB">
        <w:rPr>
          <w:rFonts w:ascii="Arial" w:hAnsi="Arial" w:cs="Arial"/>
          <w:sz w:val="20"/>
          <w:szCs w:val="20"/>
        </w:rPr>
        <w:t>zmanjšanje končne energije objekta, ki vključuje električno energijo, toplotno energijo za ogrevanje objekta in energijo za pripravo TSV) za 67</w:t>
      </w:r>
      <w:r w:rsidR="006656AA">
        <w:rPr>
          <w:rFonts w:ascii="Arial" w:hAnsi="Arial" w:cs="Arial"/>
          <w:sz w:val="20"/>
          <w:szCs w:val="20"/>
        </w:rPr>
        <w:t> </w:t>
      </w:r>
      <w:r w:rsidRPr="00A335CB">
        <w:rPr>
          <w:rFonts w:ascii="Arial" w:hAnsi="Arial" w:cs="Arial"/>
          <w:sz w:val="20"/>
          <w:szCs w:val="20"/>
        </w:rPr>
        <w:t>%,</w:t>
      </w:r>
    </w:p>
    <w:p w14:paraId="35F063BD" w14:textId="5CC47164" w:rsidR="000330D3" w:rsidRPr="00A335CB" w:rsidRDefault="000330D3" w:rsidP="00B02B37">
      <w:pPr>
        <w:pStyle w:val="Odstavekseznama"/>
        <w:numPr>
          <w:ilvl w:val="0"/>
          <w:numId w:val="29"/>
        </w:numPr>
        <w:spacing w:after="0"/>
        <w:ind w:left="426" w:hanging="426"/>
        <w:contextualSpacing/>
        <w:jc w:val="both"/>
        <w:rPr>
          <w:rFonts w:ascii="Arial" w:hAnsi="Arial" w:cs="Arial"/>
          <w:sz w:val="20"/>
          <w:szCs w:val="20"/>
        </w:rPr>
      </w:pPr>
      <w:r w:rsidRPr="00A335CB">
        <w:rPr>
          <w:rFonts w:ascii="Arial" w:hAnsi="Arial" w:cs="Arial"/>
          <w:sz w:val="20"/>
          <w:szCs w:val="20"/>
        </w:rPr>
        <w:t>znižanje emisij CO</w:t>
      </w:r>
      <w:r w:rsidRPr="00C83663">
        <w:rPr>
          <w:rFonts w:ascii="Arial" w:hAnsi="Arial" w:cs="Arial"/>
          <w:sz w:val="20"/>
          <w:szCs w:val="20"/>
          <w:vertAlign w:val="subscript"/>
        </w:rPr>
        <w:t>2</w:t>
      </w:r>
      <w:r w:rsidRPr="00A335CB">
        <w:rPr>
          <w:rFonts w:ascii="Arial" w:hAnsi="Arial" w:cs="Arial"/>
          <w:sz w:val="20"/>
          <w:szCs w:val="20"/>
        </w:rPr>
        <w:t xml:space="preserve"> za 62</w:t>
      </w:r>
      <w:r w:rsidR="006656AA">
        <w:rPr>
          <w:rFonts w:ascii="Arial" w:hAnsi="Arial" w:cs="Arial"/>
          <w:sz w:val="20"/>
          <w:szCs w:val="20"/>
        </w:rPr>
        <w:t> </w:t>
      </w:r>
      <w:r w:rsidRPr="00A335CB">
        <w:rPr>
          <w:rFonts w:ascii="Arial" w:hAnsi="Arial" w:cs="Arial"/>
          <w:sz w:val="20"/>
          <w:szCs w:val="20"/>
        </w:rPr>
        <w:t>%.</w:t>
      </w:r>
    </w:p>
    <w:p w14:paraId="2E43CCBB" w14:textId="77777777" w:rsidR="00B02B37" w:rsidRDefault="00B02B37" w:rsidP="005D1A90">
      <w:pPr>
        <w:spacing w:after="0" w:line="276" w:lineRule="auto"/>
        <w:jc w:val="both"/>
        <w:rPr>
          <w:rFonts w:ascii="Arial" w:hAnsi="Arial" w:cs="Arial"/>
          <w:b/>
          <w:sz w:val="20"/>
          <w:szCs w:val="20"/>
        </w:rPr>
      </w:pPr>
    </w:p>
    <w:p w14:paraId="46466D9A" w14:textId="043CDF01" w:rsidR="000330D3" w:rsidRPr="00A335CB" w:rsidRDefault="000330D3" w:rsidP="005D1A90">
      <w:pPr>
        <w:spacing w:after="0" w:line="276" w:lineRule="auto"/>
        <w:jc w:val="both"/>
        <w:rPr>
          <w:rFonts w:ascii="Arial" w:hAnsi="Arial" w:cs="Arial"/>
          <w:b/>
          <w:sz w:val="20"/>
          <w:szCs w:val="20"/>
        </w:rPr>
      </w:pPr>
      <w:r w:rsidRPr="00A335CB">
        <w:rPr>
          <w:rFonts w:ascii="Arial" w:hAnsi="Arial" w:cs="Arial"/>
          <w:b/>
          <w:sz w:val="20"/>
          <w:szCs w:val="20"/>
        </w:rPr>
        <w:t>Načrt za okrevanje in odpor</w:t>
      </w:r>
      <w:r w:rsidR="002512E0" w:rsidRPr="00A335CB">
        <w:rPr>
          <w:rFonts w:ascii="Arial" w:hAnsi="Arial" w:cs="Arial"/>
          <w:b/>
          <w:sz w:val="20"/>
          <w:szCs w:val="20"/>
        </w:rPr>
        <w:t xml:space="preserve">nost </w:t>
      </w:r>
      <w:r w:rsidR="006656AA">
        <w:rPr>
          <w:rFonts w:ascii="Arial" w:hAnsi="Arial" w:cs="Arial"/>
          <w:b/>
          <w:sz w:val="20"/>
          <w:szCs w:val="20"/>
        </w:rPr>
        <w:t>–</w:t>
      </w:r>
      <w:r w:rsidR="006656AA" w:rsidRPr="00A335CB">
        <w:rPr>
          <w:rFonts w:ascii="Arial" w:hAnsi="Arial" w:cs="Arial"/>
          <w:b/>
          <w:sz w:val="20"/>
          <w:szCs w:val="20"/>
        </w:rPr>
        <w:t xml:space="preserve"> </w:t>
      </w:r>
      <w:r w:rsidR="002512E0" w:rsidRPr="00A335CB">
        <w:rPr>
          <w:rFonts w:ascii="Arial" w:hAnsi="Arial" w:cs="Arial"/>
          <w:b/>
          <w:sz w:val="20"/>
          <w:szCs w:val="20"/>
        </w:rPr>
        <w:t>projekt postavitve 30</w:t>
      </w:r>
      <w:r w:rsidRPr="00A335CB">
        <w:rPr>
          <w:rFonts w:ascii="Arial" w:hAnsi="Arial" w:cs="Arial"/>
          <w:b/>
          <w:sz w:val="20"/>
          <w:szCs w:val="20"/>
        </w:rPr>
        <w:t xml:space="preserve"> poln</w:t>
      </w:r>
      <w:r w:rsidR="002512E0" w:rsidRPr="00A335CB">
        <w:rPr>
          <w:rFonts w:ascii="Arial" w:hAnsi="Arial" w:cs="Arial"/>
          <w:b/>
          <w:sz w:val="20"/>
          <w:szCs w:val="20"/>
        </w:rPr>
        <w:t>ilnih postaj za vozila policije:</w:t>
      </w:r>
    </w:p>
    <w:p w14:paraId="16E78849" w14:textId="1CE4BD48" w:rsidR="000330D3" w:rsidRPr="00A335CB" w:rsidRDefault="002512E0" w:rsidP="005D1A90">
      <w:pPr>
        <w:pStyle w:val="Odstavekseznama"/>
        <w:numPr>
          <w:ilvl w:val="0"/>
          <w:numId w:val="30"/>
        </w:numPr>
        <w:ind w:left="426" w:hanging="426"/>
        <w:contextualSpacing/>
        <w:jc w:val="both"/>
        <w:rPr>
          <w:rFonts w:ascii="Arial" w:hAnsi="Arial" w:cs="Arial"/>
          <w:sz w:val="20"/>
          <w:szCs w:val="20"/>
        </w:rPr>
      </w:pPr>
      <w:r w:rsidRPr="00A335CB">
        <w:rPr>
          <w:rFonts w:ascii="Arial" w:hAnsi="Arial" w:cs="Arial"/>
          <w:sz w:val="20"/>
          <w:szCs w:val="20"/>
        </w:rPr>
        <w:t>v</w:t>
      </w:r>
      <w:r w:rsidR="000330D3" w:rsidRPr="00A335CB">
        <w:rPr>
          <w:rFonts w:ascii="Arial" w:hAnsi="Arial" w:cs="Arial"/>
          <w:sz w:val="20"/>
          <w:szCs w:val="20"/>
        </w:rPr>
        <w:t xml:space="preserve"> septembru 2024 je bil izdelan DIIP,</w:t>
      </w:r>
    </w:p>
    <w:p w14:paraId="4B641C1B" w14:textId="0B3FD8A8" w:rsidR="000330D3" w:rsidRPr="00A335CB" w:rsidRDefault="002512E0" w:rsidP="005D1A90">
      <w:pPr>
        <w:pStyle w:val="Odstavekseznama"/>
        <w:numPr>
          <w:ilvl w:val="0"/>
          <w:numId w:val="30"/>
        </w:numPr>
        <w:ind w:left="426" w:hanging="426"/>
        <w:contextualSpacing/>
        <w:jc w:val="both"/>
        <w:rPr>
          <w:rFonts w:ascii="Arial" w:hAnsi="Arial" w:cs="Arial"/>
          <w:sz w:val="20"/>
          <w:szCs w:val="20"/>
        </w:rPr>
      </w:pPr>
      <w:r w:rsidRPr="00A335CB">
        <w:rPr>
          <w:rFonts w:ascii="Arial" w:hAnsi="Arial" w:cs="Arial"/>
          <w:sz w:val="20"/>
          <w:szCs w:val="20"/>
        </w:rPr>
        <w:t>v</w:t>
      </w:r>
      <w:r w:rsidR="000330D3" w:rsidRPr="00A335CB">
        <w:rPr>
          <w:rFonts w:ascii="Arial" w:hAnsi="Arial" w:cs="Arial"/>
          <w:sz w:val="20"/>
          <w:szCs w:val="20"/>
        </w:rPr>
        <w:t xml:space="preserve"> decembru 2024 so bile pripravljen</w:t>
      </w:r>
      <w:r w:rsidRPr="00A335CB">
        <w:rPr>
          <w:rFonts w:ascii="Arial" w:hAnsi="Arial" w:cs="Arial"/>
          <w:sz w:val="20"/>
          <w:szCs w:val="20"/>
        </w:rPr>
        <w:t>e tehnične podlage za izvedbo javnega naročila</w:t>
      </w:r>
      <w:r w:rsidR="000330D3" w:rsidRPr="00A335CB">
        <w:rPr>
          <w:rFonts w:ascii="Arial" w:hAnsi="Arial" w:cs="Arial"/>
          <w:sz w:val="20"/>
          <w:szCs w:val="20"/>
        </w:rPr>
        <w:t xml:space="preserve"> (obja</w:t>
      </w:r>
      <w:r w:rsidRPr="00A335CB">
        <w:rPr>
          <w:rFonts w:ascii="Arial" w:hAnsi="Arial" w:cs="Arial"/>
          <w:sz w:val="20"/>
          <w:szCs w:val="20"/>
        </w:rPr>
        <w:t>va javnega razpisa na portalu javnih naročil v prvi</w:t>
      </w:r>
      <w:r w:rsidR="000330D3" w:rsidRPr="00A335CB">
        <w:rPr>
          <w:rFonts w:ascii="Arial" w:hAnsi="Arial" w:cs="Arial"/>
          <w:sz w:val="20"/>
          <w:szCs w:val="20"/>
        </w:rPr>
        <w:t xml:space="preserve"> polovici januarja 2025).</w:t>
      </w:r>
    </w:p>
    <w:p w14:paraId="5A970B81" w14:textId="624AACA5" w:rsidR="000330D3" w:rsidRPr="00A335CB" w:rsidRDefault="000330D3" w:rsidP="005D1A90">
      <w:pPr>
        <w:spacing w:after="0" w:line="276" w:lineRule="auto"/>
        <w:jc w:val="both"/>
        <w:rPr>
          <w:rFonts w:ascii="Arial" w:hAnsi="Arial" w:cs="Arial"/>
          <w:b/>
          <w:sz w:val="20"/>
          <w:szCs w:val="20"/>
        </w:rPr>
      </w:pPr>
      <w:r w:rsidRPr="00A335CB">
        <w:rPr>
          <w:rFonts w:ascii="Arial" w:hAnsi="Arial" w:cs="Arial"/>
          <w:b/>
          <w:sz w:val="20"/>
          <w:szCs w:val="20"/>
        </w:rPr>
        <w:t>Odstranjevanje začasnih tehničnih o</w:t>
      </w:r>
      <w:r w:rsidR="002512E0" w:rsidRPr="00A335CB">
        <w:rPr>
          <w:rFonts w:ascii="Arial" w:hAnsi="Arial" w:cs="Arial"/>
          <w:b/>
          <w:sz w:val="20"/>
          <w:szCs w:val="20"/>
        </w:rPr>
        <w:t>vir na meji z Republiko Hrvaško</w:t>
      </w:r>
    </w:p>
    <w:p w14:paraId="6FA12994" w14:textId="4D5E0B0B" w:rsidR="000330D3" w:rsidRPr="00A335CB" w:rsidRDefault="000330D3" w:rsidP="00B02B37">
      <w:pPr>
        <w:autoSpaceDE w:val="0"/>
        <w:autoSpaceDN w:val="0"/>
        <w:adjustRightInd w:val="0"/>
        <w:spacing w:after="0" w:line="276" w:lineRule="auto"/>
        <w:jc w:val="both"/>
        <w:rPr>
          <w:rFonts w:ascii="Arial" w:eastAsiaTheme="minorHAnsi" w:hAnsi="Arial" w:cs="Arial"/>
          <w:sz w:val="20"/>
          <w:szCs w:val="20"/>
        </w:rPr>
      </w:pPr>
      <w:r w:rsidRPr="00A335CB">
        <w:rPr>
          <w:rFonts w:ascii="Arial" w:eastAsiaTheme="minorHAnsi" w:hAnsi="Arial" w:cs="Arial"/>
          <w:sz w:val="20"/>
          <w:szCs w:val="20"/>
        </w:rPr>
        <w:t xml:space="preserve">Odstranjevanje panelne ograje izvaja MNZ po pogodbi s podjetjem </w:t>
      </w:r>
      <w:proofErr w:type="spellStart"/>
      <w:r w:rsidRPr="00A335CB">
        <w:rPr>
          <w:rFonts w:ascii="Arial" w:eastAsiaTheme="minorHAnsi" w:hAnsi="Arial" w:cs="Arial"/>
          <w:sz w:val="20"/>
          <w:szCs w:val="20"/>
        </w:rPr>
        <w:t>Minis</w:t>
      </w:r>
      <w:proofErr w:type="spellEnd"/>
      <w:r w:rsidRPr="00A335CB">
        <w:rPr>
          <w:rFonts w:ascii="Arial" w:eastAsiaTheme="minorHAnsi" w:hAnsi="Arial" w:cs="Arial"/>
          <w:sz w:val="20"/>
          <w:szCs w:val="20"/>
        </w:rPr>
        <w:t>, d.</w:t>
      </w:r>
      <w:r w:rsidR="00310EBA">
        <w:rPr>
          <w:rFonts w:ascii="Arial" w:eastAsiaTheme="minorHAnsi" w:hAnsi="Arial" w:cs="Arial"/>
          <w:sz w:val="20"/>
          <w:szCs w:val="20"/>
        </w:rPr>
        <w:t> </w:t>
      </w:r>
      <w:r w:rsidRPr="00A335CB">
        <w:rPr>
          <w:rFonts w:ascii="Arial" w:eastAsiaTheme="minorHAnsi" w:hAnsi="Arial" w:cs="Arial"/>
          <w:sz w:val="20"/>
          <w:szCs w:val="20"/>
        </w:rPr>
        <w:t>o.</w:t>
      </w:r>
      <w:r w:rsidR="00310EBA">
        <w:rPr>
          <w:rFonts w:ascii="Arial" w:eastAsiaTheme="minorHAnsi" w:hAnsi="Arial" w:cs="Arial"/>
          <w:sz w:val="20"/>
          <w:szCs w:val="20"/>
        </w:rPr>
        <w:t> </w:t>
      </w:r>
      <w:r w:rsidRPr="00A335CB">
        <w:rPr>
          <w:rFonts w:ascii="Arial" w:eastAsiaTheme="minorHAnsi" w:hAnsi="Arial" w:cs="Arial"/>
          <w:sz w:val="20"/>
          <w:szCs w:val="20"/>
        </w:rPr>
        <w:t>o., in sicer je pogodba sklenjena za dve leti z možnostjo podaljšanja še za dve leti. Odstranitev panelne ograje poteka sukcesivno v skladu s posameznimi naročili naročnika. V letu 2024 je bilo pogodbeno zaključeno 19.</w:t>
      </w:r>
      <w:r w:rsidR="00310EBA">
        <w:rPr>
          <w:rFonts w:ascii="Arial" w:eastAsiaTheme="minorHAnsi" w:hAnsi="Arial" w:cs="Arial"/>
          <w:sz w:val="20"/>
          <w:szCs w:val="20"/>
        </w:rPr>
        <w:t> </w:t>
      </w:r>
      <w:r w:rsidRPr="00A335CB">
        <w:rPr>
          <w:rFonts w:ascii="Arial" w:eastAsiaTheme="minorHAnsi" w:hAnsi="Arial" w:cs="Arial"/>
          <w:sz w:val="20"/>
          <w:szCs w:val="20"/>
        </w:rPr>
        <w:t xml:space="preserve">naročilo. Z vsemi izdanimi naročili je bilo v letu 2024 odstranjeno 31.887,50 </w:t>
      </w:r>
      <w:r w:rsidR="00310EBA" w:rsidRPr="00A335CB">
        <w:rPr>
          <w:rFonts w:ascii="Arial" w:eastAsiaTheme="minorHAnsi" w:hAnsi="Arial" w:cs="Arial"/>
          <w:sz w:val="20"/>
          <w:szCs w:val="20"/>
        </w:rPr>
        <w:t>metr</w:t>
      </w:r>
      <w:r w:rsidR="00310EBA">
        <w:rPr>
          <w:rFonts w:ascii="Arial" w:eastAsiaTheme="minorHAnsi" w:hAnsi="Arial" w:cs="Arial"/>
          <w:sz w:val="20"/>
          <w:szCs w:val="20"/>
        </w:rPr>
        <w:t>a</w:t>
      </w:r>
      <w:r w:rsidR="00310EBA" w:rsidRPr="00A335CB">
        <w:rPr>
          <w:rFonts w:ascii="Arial" w:eastAsiaTheme="minorHAnsi" w:hAnsi="Arial" w:cs="Arial"/>
          <w:sz w:val="20"/>
          <w:szCs w:val="20"/>
        </w:rPr>
        <w:t xml:space="preserve"> </w:t>
      </w:r>
      <w:r w:rsidR="002512E0" w:rsidRPr="00A335CB">
        <w:rPr>
          <w:rFonts w:ascii="Arial" w:eastAsiaTheme="minorHAnsi" w:hAnsi="Arial" w:cs="Arial"/>
          <w:sz w:val="20"/>
          <w:szCs w:val="20"/>
        </w:rPr>
        <w:t>panelne ograje na območju policijskih uprav</w:t>
      </w:r>
      <w:r w:rsidRPr="00A335CB">
        <w:rPr>
          <w:rFonts w:ascii="Arial" w:eastAsiaTheme="minorHAnsi" w:hAnsi="Arial" w:cs="Arial"/>
          <w:sz w:val="20"/>
          <w:szCs w:val="20"/>
        </w:rPr>
        <w:t xml:space="preserve"> Ljubljana,</w:t>
      </w:r>
      <w:r w:rsidR="002512E0" w:rsidRPr="00A335CB">
        <w:rPr>
          <w:rFonts w:ascii="Arial" w:eastAsiaTheme="minorHAnsi" w:hAnsi="Arial" w:cs="Arial"/>
          <w:sz w:val="20"/>
          <w:szCs w:val="20"/>
        </w:rPr>
        <w:t xml:space="preserve"> Novo mesto in </w:t>
      </w:r>
      <w:r w:rsidRPr="00A335CB">
        <w:rPr>
          <w:rFonts w:ascii="Arial" w:eastAsiaTheme="minorHAnsi" w:hAnsi="Arial" w:cs="Arial"/>
          <w:sz w:val="20"/>
          <w:szCs w:val="20"/>
        </w:rPr>
        <w:t>Celje. Celotna količina odstranjene ZTO do 31.</w:t>
      </w:r>
      <w:r w:rsidR="00310EBA">
        <w:rPr>
          <w:rFonts w:ascii="Arial" w:eastAsiaTheme="minorHAnsi" w:hAnsi="Arial" w:cs="Arial"/>
          <w:sz w:val="20"/>
          <w:szCs w:val="20"/>
        </w:rPr>
        <w:t> </w:t>
      </w:r>
      <w:r w:rsidRPr="00A335CB">
        <w:rPr>
          <w:rFonts w:ascii="Arial" w:eastAsiaTheme="minorHAnsi" w:hAnsi="Arial" w:cs="Arial"/>
          <w:sz w:val="20"/>
          <w:szCs w:val="20"/>
        </w:rPr>
        <w:t>12.</w:t>
      </w:r>
      <w:r w:rsidR="00310EBA">
        <w:rPr>
          <w:rFonts w:ascii="Arial" w:eastAsiaTheme="minorHAnsi" w:hAnsi="Arial" w:cs="Arial"/>
          <w:sz w:val="20"/>
          <w:szCs w:val="20"/>
        </w:rPr>
        <w:t> </w:t>
      </w:r>
      <w:r w:rsidRPr="00A335CB">
        <w:rPr>
          <w:rFonts w:ascii="Arial" w:eastAsiaTheme="minorHAnsi" w:hAnsi="Arial" w:cs="Arial"/>
          <w:sz w:val="20"/>
          <w:szCs w:val="20"/>
        </w:rPr>
        <w:t xml:space="preserve">2024 po pogodbi z </w:t>
      </w:r>
      <w:proofErr w:type="spellStart"/>
      <w:r w:rsidRPr="00A335CB">
        <w:rPr>
          <w:rFonts w:ascii="Arial" w:eastAsiaTheme="minorHAnsi" w:hAnsi="Arial" w:cs="Arial"/>
          <w:sz w:val="20"/>
          <w:szCs w:val="20"/>
        </w:rPr>
        <w:t>Minis</w:t>
      </w:r>
      <w:proofErr w:type="spellEnd"/>
      <w:r w:rsidR="00310EBA">
        <w:rPr>
          <w:rFonts w:ascii="Arial" w:eastAsiaTheme="minorHAnsi" w:hAnsi="Arial" w:cs="Arial"/>
          <w:sz w:val="20"/>
          <w:szCs w:val="20"/>
        </w:rPr>
        <w:t>,</w:t>
      </w:r>
      <w:r w:rsidRPr="00A335CB">
        <w:rPr>
          <w:rFonts w:ascii="Arial" w:eastAsiaTheme="minorHAnsi" w:hAnsi="Arial" w:cs="Arial"/>
          <w:sz w:val="20"/>
          <w:szCs w:val="20"/>
        </w:rPr>
        <w:t xml:space="preserve"> d.</w:t>
      </w:r>
      <w:r w:rsidR="00310EBA">
        <w:rPr>
          <w:rFonts w:ascii="Arial" w:eastAsiaTheme="minorHAnsi" w:hAnsi="Arial" w:cs="Arial"/>
          <w:sz w:val="20"/>
          <w:szCs w:val="20"/>
        </w:rPr>
        <w:t> </w:t>
      </w:r>
      <w:r w:rsidRPr="00A335CB">
        <w:rPr>
          <w:rFonts w:ascii="Arial" w:eastAsiaTheme="minorHAnsi" w:hAnsi="Arial" w:cs="Arial"/>
          <w:sz w:val="20"/>
          <w:szCs w:val="20"/>
        </w:rPr>
        <w:t>o.</w:t>
      </w:r>
      <w:r w:rsidR="00310EBA">
        <w:rPr>
          <w:rFonts w:ascii="Arial" w:eastAsiaTheme="minorHAnsi" w:hAnsi="Arial" w:cs="Arial"/>
          <w:sz w:val="20"/>
          <w:szCs w:val="20"/>
        </w:rPr>
        <w:t> </w:t>
      </w:r>
      <w:r w:rsidRPr="00A335CB">
        <w:rPr>
          <w:rFonts w:ascii="Arial" w:eastAsiaTheme="minorHAnsi" w:hAnsi="Arial" w:cs="Arial"/>
          <w:sz w:val="20"/>
          <w:szCs w:val="20"/>
        </w:rPr>
        <w:t>o.</w:t>
      </w:r>
      <w:r w:rsidR="00310EBA">
        <w:rPr>
          <w:rFonts w:ascii="Arial" w:eastAsiaTheme="minorHAnsi" w:hAnsi="Arial" w:cs="Arial"/>
          <w:sz w:val="20"/>
          <w:szCs w:val="20"/>
        </w:rPr>
        <w:t>,</w:t>
      </w:r>
      <w:r w:rsidRPr="00A335CB">
        <w:rPr>
          <w:rFonts w:ascii="Arial" w:hAnsi="Arial" w:cs="Arial"/>
          <w:sz w:val="20"/>
          <w:szCs w:val="20"/>
        </w:rPr>
        <w:t xml:space="preserve"> je bilo 76.361,57</w:t>
      </w:r>
      <w:r w:rsidR="00310EBA">
        <w:rPr>
          <w:rFonts w:ascii="Arial" w:hAnsi="Arial" w:cs="Arial"/>
          <w:sz w:val="20"/>
          <w:szCs w:val="20"/>
        </w:rPr>
        <w:t> </w:t>
      </w:r>
      <w:r w:rsidRPr="00A335CB">
        <w:rPr>
          <w:rFonts w:ascii="Arial" w:hAnsi="Arial" w:cs="Arial"/>
          <w:sz w:val="20"/>
          <w:szCs w:val="20"/>
        </w:rPr>
        <w:t>me</w:t>
      </w:r>
      <w:r w:rsidR="002512E0" w:rsidRPr="00A335CB">
        <w:rPr>
          <w:rFonts w:ascii="Arial" w:hAnsi="Arial" w:cs="Arial"/>
          <w:sz w:val="20"/>
          <w:szCs w:val="20"/>
        </w:rPr>
        <w:t>tr</w:t>
      </w:r>
      <w:r w:rsidR="00310EBA">
        <w:rPr>
          <w:rFonts w:ascii="Arial" w:hAnsi="Arial" w:cs="Arial"/>
          <w:sz w:val="20"/>
          <w:szCs w:val="20"/>
        </w:rPr>
        <w:t>a</w:t>
      </w:r>
      <w:r w:rsidR="002512E0" w:rsidRPr="00A335CB">
        <w:rPr>
          <w:rFonts w:ascii="Arial" w:hAnsi="Arial" w:cs="Arial"/>
          <w:sz w:val="20"/>
          <w:szCs w:val="20"/>
        </w:rPr>
        <w:t xml:space="preserve"> ZTO panelne ograje, skupaj</w:t>
      </w:r>
      <w:r w:rsidRPr="00A335CB">
        <w:rPr>
          <w:rFonts w:ascii="Arial" w:hAnsi="Arial" w:cs="Arial"/>
          <w:sz w:val="20"/>
          <w:szCs w:val="20"/>
        </w:rPr>
        <w:t xml:space="preserve"> s predhodno odstranjeno panelno ograjo ter </w:t>
      </w:r>
      <w:proofErr w:type="spellStart"/>
      <w:r w:rsidRPr="00A335CB">
        <w:rPr>
          <w:rFonts w:ascii="Arial" w:hAnsi="Arial" w:cs="Arial"/>
          <w:sz w:val="20"/>
          <w:szCs w:val="20"/>
        </w:rPr>
        <w:t>končertino</w:t>
      </w:r>
      <w:proofErr w:type="spellEnd"/>
      <w:r w:rsidRPr="00A335CB">
        <w:rPr>
          <w:rFonts w:ascii="Arial" w:hAnsi="Arial" w:cs="Arial"/>
          <w:sz w:val="20"/>
          <w:szCs w:val="20"/>
        </w:rPr>
        <w:t xml:space="preserve">, ki jo je odstranjevala Slovenska vojska, pa je 113.316,57 </w:t>
      </w:r>
      <w:r w:rsidR="00402E21" w:rsidRPr="00A335CB">
        <w:rPr>
          <w:rFonts w:ascii="Arial" w:hAnsi="Arial" w:cs="Arial"/>
          <w:sz w:val="20"/>
          <w:szCs w:val="20"/>
        </w:rPr>
        <w:t>metr</w:t>
      </w:r>
      <w:r w:rsidR="00402E21">
        <w:rPr>
          <w:rFonts w:ascii="Arial" w:hAnsi="Arial" w:cs="Arial"/>
          <w:sz w:val="20"/>
          <w:szCs w:val="20"/>
        </w:rPr>
        <w:t>a</w:t>
      </w:r>
      <w:r w:rsidR="00402E21" w:rsidRPr="00A335CB">
        <w:rPr>
          <w:rFonts w:ascii="Arial" w:hAnsi="Arial" w:cs="Arial"/>
          <w:sz w:val="20"/>
          <w:szCs w:val="20"/>
        </w:rPr>
        <w:t xml:space="preserve"> </w:t>
      </w:r>
      <w:r w:rsidRPr="00A335CB">
        <w:rPr>
          <w:rFonts w:ascii="Arial" w:hAnsi="Arial" w:cs="Arial"/>
          <w:sz w:val="20"/>
          <w:szCs w:val="20"/>
        </w:rPr>
        <w:t>ZTO.</w:t>
      </w:r>
    </w:p>
    <w:p w14:paraId="6621663B" w14:textId="77777777" w:rsidR="00B02B37" w:rsidRDefault="00B02B37" w:rsidP="005D1A90">
      <w:pPr>
        <w:spacing w:after="0" w:line="276" w:lineRule="auto"/>
        <w:jc w:val="both"/>
        <w:rPr>
          <w:rFonts w:ascii="Arial" w:hAnsi="Arial" w:cs="Arial"/>
          <w:b/>
          <w:sz w:val="20"/>
          <w:szCs w:val="20"/>
        </w:rPr>
      </w:pPr>
    </w:p>
    <w:p w14:paraId="14C50B2E" w14:textId="14965401" w:rsidR="000330D3" w:rsidRPr="00A335CB" w:rsidRDefault="000330D3" w:rsidP="005D1A90">
      <w:pPr>
        <w:spacing w:after="0" w:line="276" w:lineRule="auto"/>
        <w:jc w:val="both"/>
        <w:rPr>
          <w:rFonts w:ascii="Arial" w:hAnsi="Arial" w:cs="Arial"/>
          <w:b/>
          <w:sz w:val="20"/>
          <w:szCs w:val="20"/>
        </w:rPr>
      </w:pPr>
      <w:r w:rsidRPr="00A335CB">
        <w:rPr>
          <w:rFonts w:ascii="Arial" w:hAnsi="Arial" w:cs="Arial"/>
          <w:b/>
          <w:sz w:val="20"/>
          <w:szCs w:val="20"/>
        </w:rPr>
        <w:t>Pridobivanje st</w:t>
      </w:r>
      <w:r w:rsidR="002512E0" w:rsidRPr="00A335CB">
        <w:rPr>
          <w:rFonts w:ascii="Arial" w:hAnsi="Arial" w:cs="Arial"/>
          <w:b/>
          <w:sz w:val="20"/>
          <w:szCs w:val="20"/>
        </w:rPr>
        <w:t>varnega premoženja v letu 2024</w:t>
      </w:r>
    </w:p>
    <w:p w14:paraId="664A934A" w14:textId="0F1C34B2" w:rsidR="000330D3" w:rsidRPr="00A335CB" w:rsidRDefault="000330D3" w:rsidP="005D1A90">
      <w:pPr>
        <w:spacing w:after="0" w:line="276" w:lineRule="auto"/>
        <w:jc w:val="both"/>
        <w:rPr>
          <w:rFonts w:ascii="Arial" w:hAnsi="Arial" w:cs="Arial"/>
          <w:sz w:val="20"/>
          <w:szCs w:val="20"/>
        </w:rPr>
      </w:pPr>
      <w:r w:rsidRPr="00A335CB">
        <w:rPr>
          <w:rFonts w:ascii="Arial" w:hAnsi="Arial" w:cs="Arial"/>
          <w:sz w:val="20"/>
          <w:szCs w:val="20"/>
        </w:rPr>
        <w:t>V letu 2024 sta bili v upravljanje MNZ pridobljeni nepremičnini 660 2397/8 v izmeri 12</w:t>
      </w:r>
      <w:r w:rsidR="00273A0A">
        <w:rPr>
          <w:rFonts w:ascii="Arial" w:hAnsi="Arial" w:cs="Arial"/>
          <w:sz w:val="20"/>
          <w:szCs w:val="20"/>
        </w:rPr>
        <w:t>.</w:t>
      </w:r>
      <w:r w:rsidRPr="00A335CB">
        <w:rPr>
          <w:rFonts w:ascii="Arial" w:hAnsi="Arial" w:cs="Arial"/>
          <w:sz w:val="20"/>
          <w:szCs w:val="20"/>
        </w:rPr>
        <w:t>423</w:t>
      </w:r>
      <w:r w:rsidR="00273A0A">
        <w:rPr>
          <w:rFonts w:ascii="Arial" w:hAnsi="Arial" w:cs="Arial"/>
          <w:sz w:val="20"/>
          <w:szCs w:val="20"/>
        </w:rPr>
        <w:t> </w:t>
      </w:r>
      <w:r w:rsidRPr="00A335CB">
        <w:rPr>
          <w:rFonts w:ascii="Arial" w:hAnsi="Arial" w:cs="Arial"/>
          <w:sz w:val="20"/>
          <w:szCs w:val="20"/>
        </w:rPr>
        <w:t>m</w:t>
      </w:r>
      <w:r w:rsidRPr="00A335CB">
        <w:rPr>
          <w:rFonts w:ascii="Arial" w:hAnsi="Arial" w:cs="Arial"/>
          <w:sz w:val="20"/>
          <w:szCs w:val="20"/>
          <w:vertAlign w:val="superscript"/>
        </w:rPr>
        <w:t>2</w:t>
      </w:r>
      <w:r w:rsidRPr="00A335CB">
        <w:rPr>
          <w:rFonts w:ascii="Arial" w:hAnsi="Arial" w:cs="Arial"/>
          <w:sz w:val="20"/>
          <w:szCs w:val="20"/>
        </w:rPr>
        <w:t xml:space="preserve"> in 660 2395/1 v izmeri 105 m</w:t>
      </w:r>
      <w:r w:rsidRPr="00A335CB">
        <w:rPr>
          <w:rFonts w:ascii="Arial" w:hAnsi="Arial" w:cs="Arial"/>
          <w:sz w:val="20"/>
          <w:szCs w:val="20"/>
          <w:vertAlign w:val="superscript"/>
        </w:rPr>
        <w:t>2</w:t>
      </w:r>
      <w:r w:rsidR="002512E0" w:rsidRPr="00A335CB">
        <w:rPr>
          <w:rFonts w:ascii="Arial" w:hAnsi="Arial" w:cs="Arial"/>
          <w:sz w:val="20"/>
          <w:szCs w:val="20"/>
        </w:rPr>
        <w:t xml:space="preserve"> za potrebe Policijske uprave</w:t>
      </w:r>
      <w:r w:rsidRPr="00A335CB">
        <w:rPr>
          <w:rFonts w:ascii="Arial" w:hAnsi="Arial" w:cs="Arial"/>
          <w:sz w:val="20"/>
          <w:szCs w:val="20"/>
        </w:rPr>
        <w:t xml:space="preserve"> Maribor. Podaljšano je bil najemno razmerje za poslovne prostore za potrebe Službe za evropska sredstva na naslovu Likozarjeva ulica 3 v Ljubljani in za potrebe Direktorata za migracije na naslovu Cesta dveh cesarjev 403 v Ljubljani, kjer so bili pridobljeni še dodatni poslovni prostori. </w:t>
      </w:r>
    </w:p>
    <w:p w14:paraId="560164D5" w14:textId="77777777" w:rsidR="000330D3" w:rsidRPr="00A335CB" w:rsidRDefault="000330D3" w:rsidP="005D1A90">
      <w:pPr>
        <w:spacing w:after="0" w:line="276" w:lineRule="auto"/>
        <w:jc w:val="both"/>
        <w:rPr>
          <w:rFonts w:ascii="Arial" w:hAnsi="Arial" w:cs="Arial"/>
          <w:sz w:val="20"/>
          <w:szCs w:val="20"/>
        </w:rPr>
      </w:pPr>
    </w:p>
    <w:p w14:paraId="0E862F40" w14:textId="34F192F6" w:rsidR="000330D3" w:rsidRPr="00A335CB" w:rsidRDefault="000330D3" w:rsidP="005D1A90">
      <w:pPr>
        <w:spacing w:after="0" w:line="276" w:lineRule="auto"/>
        <w:jc w:val="both"/>
        <w:rPr>
          <w:rFonts w:ascii="Arial" w:hAnsi="Arial" w:cs="Arial"/>
          <w:b/>
          <w:sz w:val="20"/>
          <w:szCs w:val="20"/>
        </w:rPr>
      </w:pPr>
      <w:r w:rsidRPr="00A335CB">
        <w:rPr>
          <w:rFonts w:ascii="Arial" w:hAnsi="Arial" w:cs="Arial"/>
          <w:b/>
          <w:sz w:val="20"/>
          <w:szCs w:val="20"/>
        </w:rPr>
        <w:t>Odsvojitev st</w:t>
      </w:r>
      <w:r w:rsidR="002512E0" w:rsidRPr="00A335CB">
        <w:rPr>
          <w:rFonts w:ascii="Arial" w:hAnsi="Arial" w:cs="Arial"/>
          <w:b/>
          <w:sz w:val="20"/>
          <w:szCs w:val="20"/>
        </w:rPr>
        <w:t>varnega premoženja v letu 2024</w:t>
      </w:r>
    </w:p>
    <w:p w14:paraId="4CCF64FE" w14:textId="6B654349" w:rsidR="000330D3" w:rsidRPr="00A335CB" w:rsidRDefault="002C6569" w:rsidP="005D1A90">
      <w:pPr>
        <w:spacing w:after="0" w:line="276" w:lineRule="auto"/>
        <w:jc w:val="both"/>
        <w:rPr>
          <w:rFonts w:ascii="Arial" w:hAnsi="Arial" w:cs="Arial"/>
          <w:sz w:val="20"/>
          <w:szCs w:val="20"/>
        </w:rPr>
      </w:pPr>
      <w:r w:rsidRPr="00A335CB">
        <w:rPr>
          <w:rFonts w:ascii="Arial" w:hAnsi="Arial" w:cs="Arial"/>
          <w:sz w:val="20"/>
          <w:szCs w:val="20"/>
        </w:rPr>
        <w:t>V letu 2024 so bila prodan</w:t>
      </w:r>
      <w:r w:rsidR="000330D3" w:rsidRPr="00A335CB">
        <w:rPr>
          <w:rFonts w:ascii="Arial" w:hAnsi="Arial" w:cs="Arial"/>
          <w:sz w:val="20"/>
          <w:szCs w:val="20"/>
        </w:rPr>
        <w:t>a štirih stanovanja</w:t>
      </w:r>
      <w:r w:rsidRPr="00A335CB">
        <w:rPr>
          <w:rFonts w:ascii="Arial" w:hAnsi="Arial" w:cs="Arial"/>
          <w:sz w:val="20"/>
          <w:szCs w:val="20"/>
        </w:rPr>
        <w:t>,</w:t>
      </w:r>
      <w:r w:rsidR="000330D3" w:rsidRPr="00A335CB">
        <w:rPr>
          <w:rFonts w:ascii="Arial" w:hAnsi="Arial" w:cs="Arial"/>
          <w:sz w:val="20"/>
          <w:szCs w:val="20"/>
        </w:rPr>
        <w:t xml:space="preserve"> in sicer: stanovanje na naslovu Savinjska ulica 3, Celje</w:t>
      </w:r>
      <w:r w:rsidR="00273A0A">
        <w:rPr>
          <w:rFonts w:ascii="Arial" w:hAnsi="Arial" w:cs="Arial"/>
          <w:sz w:val="20"/>
          <w:szCs w:val="20"/>
        </w:rPr>
        <w:t>,</w:t>
      </w:r>
      <w:r w:rsidR="000330D3" w:rsidRPr="00A335CB">
        <w:rPr>
          <w:rFonts w:ascii="Arial" w:hAnsi="Arial" w:cs="Arial"/>
          <w:sz w:val="20"/>
          <w:szCs w:val="20"/>
        </w:rPr>
        <w:t xml:space="preserve"> 1077-1663-5 v izmeri 72,4 m</w:t>
      </w:r>
      <w:r w:rsidR="000330D3" w:rsidRPr="00A335CB">
        <w:rPr>
          <w:rFonts w:ascii="Arial" w:hAnsi="Arial" w:cs="Arial"/>
          <w:sz w:val="20"/>
          <w:szCs w:val="20"/>
          <w:vertAlign w:val="superscript"/>
        </w:rPr>
        <w:t>2</w:t>
      </w:r>
      <w:r w:rsidR="000330D3" w:rsidRPr="00A335CB">
        <w:rPr>
          <w:rFonts w:ascii="Arial" w:hAnsi="Arial" w:cs="Arial"/>
          <w:sz w:val="20"/>
          <w:szCs w:val="20"/>
        </w:rPr>
        <w:t xml:space="preserve"> za kupnino 86.000,00 </w:t>
      </w:r>
      <w:r w:rsidR="00273A0A" w:rsidRPr="00A335CB">
        <w:rPr>
          <w:rFonts w:ascii="Arial" w:hAnsi="Arial" w:cs="Arial"/>
          <w:sz w:val="20"/>
          <w:szCs w:val="20"/>
        </w:rPr>
        <w:t>evr</w:t>
      </w:r>
      <w:r w:rsidR="00273A0A">
        <w:rPr>
          <w:rFonts w:ascii="Arial" w:hAnsi="Arial" w:cs="Arial"/>
          <w:sz w:val="20"/>
          <w:szCs w:val="20"/>
        </w:rPr>
        <w:t>a</w:t>
      </w:r>
      <w:r w:rsidR="000330D3" w:rsidRPr="00A335CB">
        <w:rPr>
          <w:rFonts w:ascii="Arial" w:hAnsi="Arial" w:cs="Arial"/>
          <w:sz w:val="20"/>
          <w:szCs w:val="20"/>
        </w:rPr>
        <w:t>, stanovanje na naslovu Trubarjeva ulica 2, Celje</w:t>
      </w:r>
      <w:r w:rsidR="00273A0A">
        <w:rPr>
          <w:rFonts w:ascii="Arial" w:hAnsi="Arial" w:cs="Arial"/>
          <w:sz w:val="20"/>
          <w:szCs w:val="20"/>
        </w:rPr>
        <w:t>,</w:t>
      </w:r>
      <w:r w:rsidR="000330D3" w:rsidRPr="00A335CB">
        <w:rPr>
          <w:rFonts w:ascii="Arial" w:hAnsi="Arial" w:cs="Arial"/>
          <w:sz w:val="20"/>
          <w:szCs w:val="20"/>
        </w:rPr>
        <w:t xml:space="preserve"> 1077-1173-9 v izmeri 57,4 m</w:t>
      </w:r>
      <w:r w:rsidR="000330D3" w:rsidRPr="00A335CB">
        <w:rPr>
          <w:rFonts w:ascii="Arial" w:hAnsi="Arial" w:cs="Arial"/>
          <w:sz w:val="20"/>
          <w:szCs w:val="20"/>
          <w:vertAlign w:val="superscript"/>
        </w:rPr>
        <w:t>2</w:t>
      </w:r>
      <w:r w:rsidR="000330D3" w:rsidRPr="00A335CB">
        <w:rPr>
          <w:rFonts w:ascii="Arial" w:hAnsi="Arial" w:cs="Arial"/>
          <w:sz w:val="20"/>
          <w:szCs w:val="20"/>
        </w:rPr>
        <w:t xml:space="preserve"> za kupnino 110.000,00 </w:t>
      </w:r>
      <w:r w:rsidR="00273A0A" w:rsidRPr="00A335CB">
        <w:rPr>
          <w:rFonts w:ascii="Arial" w:hAnsi="Arial" w:cs="Arial"/>
          <w:sz w:val="20"/>
          <w:szCs w:val="20"/>
        </w:rPr>
        <w:t>evr</w:t>
      </w:r>
      <w:r w:rsidR="00273A0A">
        <w:rPr>
          <w:rFonts w:ascii="Arial" w:hAnsi="Arial" w:cs="Arial"/>
          <w:sz w:val="20"/>
          <w:szCs w:val="20"/>
        </w:rPr>
        <w:t>a</w:t>
      </w:r>
      <w:r w:rsidR="000330D3" w:rsidRPr="00A335CB">
        <w:rPr>
          <w:rFonts w:ascii="Arial" w:hAnsi="Arial" w:cs="Arial"/>
          <w:sz w:val="20"/>
          <w:szCs w:val="20"/>
        </w:rPr>
        <w:t>, stanovanje na naslovu Bizeljska cesta 52, Bizeljsko</w:t>
      </w:r>
      <w:r w:rsidR="00273A0A">
        <w:rPr>
          <w:rFonts w:ascii="Arial" w:hAnsi="Arial" w:cs="Arial"/>
          <w:sz w:val="20"/>
          <w:szCs w:val="20"/>
        </w:rPr>
        <w:t>,</w:t>
      </w:r>
      <w:r w:rsidR="000330D3" w:rsidRPr="00A335CB">
        <w:rPr>
          <w:rFonts w:ascii="Arial" w:hAnsi="Arial" w:cs="Arial"/>
          <w:sz w:val="20"/>
          <w:szCs w:val="20"/>
        </w:rPr>
        <w:t xml:space="preserve"> 1257-711-5 v izmeri 65,1 m</w:t>
      </w:r>
      <w:r w:rsidR="000330D3" w:rsidRPr="00A335CB">
        <w:rPr>
          <w:rFonts w:ascii="Arial" w:hAnsi="Arial" w:cs="Arial"/>
          <w:sz w:val="20"/>
          <w:szCs w:val="20"/>
          <w:vertAlign w:val="superscript"/>
        </w:rPr>
        <w:t>2</w:t>
      </w:r>
      <w:r w:rsidR="000330D3" w:rsidRPr="00A335CB">
        <w:rPr>
          <w:rFonts w:ascii="Arial" w:hAnsi="Arial" w:cs="Arial"/>
          <w:sz w:val="20"/>
          <w:szCs w:val="20"/>
        </w:rPr>
        <w:t xml:space="preserve"> za kupnino 67.000,00 </w:t>
      </w:r>
      <w:r w:rsidR="00273A0A" w:rsidRPr="00A335CB">
        <w:rPr>
          <w:rFonts w:ascii="Arial" w:hAnsi="Arial" w:cs="Arial"/>
          <w:sz w:val="20"/>
          <w:szCs w:val="20"/>
        </w:rPr>
        <w:t>evr</w:t>
      </w:r>
      <w:r w:rsidR="00273A0A">
        <w:rPr>
          <w:rFonts w:ascii="Arial" w:hAnsi="Arial" w:cs="Arial"/>
          <w:sz w:val="20"/>
          <w:szCs w:val="20"/>
        </w:rPr>
        <w:t>a</w:t>
      </w:r>
      <w:r w:rsidR="000330D3" w:rsidRPr="00A335CB">
        <w:rPr>
          <w:rFonts w:ascii="Arial" w:hAnsi="Arial" w:cs="Arial"/>
          <w:sz w:val="20"/>
          <w:szCs w:val="20"/>
        </w:rPr>
        <w:t>, stanovanje na naslovu Ulica 1.</w:t>
      </w:r>
      <w:r w:rsidR="00273A0A">
        <w:rPr>
          <w:rFonts w:ascii="Arial" w:hAnsi="Arial" w:cs="Arial"/>
          <w:sz w:val="20"/>
          <w:szCs w:val="20"/>
        </w:rPr>
        <w:t> </w:t>
      </w:r>
      <w:r w:rsidR="000330D3" w:rsidRPr="00A335CB">
        <w:rPr>
          <w:rFonts w:ascii="Arial" w:hAnsi="Arial" w:cs="Arial"/>
          <w:sz w:val="20"/>
          <w:szCs w:val="20"/>
        </w:rPr>
        <w:t>maja 4, Metlika</w:t>
      </w:r>
      <w:r w:rsidR="00273A0A">
        <w:rPr>
          <w:rFonts w:ascii="Arial" w:hAnsi="Arial" w:cs="Arial"/>
          <w:sz w:val="20"/>
          <w:szCs w:val="20"/>
        </w:rPr>
        <w:t>,</w:t>
      </w:r>
      <w:r w:rsidR="000330D3" w:rsidRPr="00A335CB">
        <w:rPr>
          <w:rFonts w:ascii="Arial" w:hAnsi="Arial" w:cs="Arial"/>
          <w:sz w:val="20"/>
          <w:szCs w:val="20"/>
        </w:rPr>
        <w:t xml:space="preserve"> 1515-919-2 v izmeri 52,2 m</w:t>
      </w:r>
      <w:r w:rsidR="000330D3" w:rsidRPr="00A335CB">
        <w:rPr>
          <w:rFonts w:ascii="Arial" w:hAnsi="Arial" w:cs="Arial"/>
          <w:sz w:val="20"/>
          <w:szCs w:val="20"/>
          <w:vertAlign w:val="superscript"/>
        </w:rPr>
        <w:t>2</w:t>
      </w:r>
      <w:r w:rsidR="000330D3" w:rsidRPr="00A335CB">
        <w:rPr>
          <w:rFonts w:ascii="Arial" w:hAnsi="Arial" w:cs="Arial"/>
          <w:sz w:val="20"/>
          <w:szCs w:val="20"/>
        </w:rPr>
        <w:t xml:space="preserve"> za kupnino 87.600,00 </w:t>
      </w:r>
      <w:r w:rsidR="00273A0A" w:rsidRPr="00A335CB">
        <w:rPr>
          <w:rFonts w:ascii="Arial" w:hAnsi="Arial" w:cs="Arial"/>
          <w:sz w:val="20"/>
          <w:szCs w:val="20"/>
        </w:rPr>
        <w:t>evr</w:t>
      </w:r>
      <w:r w:rsidR="00273A0A">
        <w:rPr>
          <w:rFonts w:ascii="Arial" w:hAnsi="Arial" w:cs="Arial"/>
          <w:sz w:val="20"/>
          <w:szCs w:val="20"/>
        </w:rPr>
        <w:t>a</w:t>
      </w:r>
      <w:r w:rsidR="000330D3" w:rsidRPr="00A335CB">
        <w:rPr>
          <w:rFonts w:ascii="Arial" w:hAnsi="Arial" w:cs="Arial"/>
          <w:sz w:val="20"/>
          <w:szCs w:val="20"/>
        </w:rPr>
        <w:t xml:space="preserve">. </w:t>
      </w:r>
      <w:r w:rsidRPr="00A335CB">
        <w:rPr>
          <w:rFonts w:ascii="Arial" w:hAnsi="Arial" w:cs="Arial"/>
          <w:sz w:val="20"/>
          <w:szCs w:val="20"/>
        </w:rPr>
        <w:t xml:space="preserve">Prodan je bil </w:t>
      </w:r>
      <w:r w:rsidR="000330D3" w:rsidRPr="00A335CB">
        <w:rPr>
          <w:rFonts w:ascii="Arial" w:hAnsi="Arial" w:cs="Arial"/>
          <w:sz w:val="20"/>
          <w:szCs w:val="20"/>
        </w:rPr>
        <w:t>solastniški delež hišniškega stanovanja na naslovu Rusjanov trg 4, Ljubljana</w:t>
      </w:r>
      <w:r w:rsidR="00273A0A">
        <w:rPr>
          <w:rFonts w:ascii="Arial" w:hAnsi="Arial" w:cs="Arial"/>
          <w:sz w:val="20"/>
          <w:szCs w:val="20"/>
        </w:rPr>
        <w:t>,</w:t>
      </w:r>
      <w:r w:rsidR="000330D3" w:rsidRPr="00A335CB">
        <w:rPr>
          <w:rFonts w:ascii="Arial" w:hAnsi="Arial" w:cs="Arial"/>
          <w:sz w:val="20"/>
          <w:szCs w:val="20"/>
        </w:rPr>
        <w:t xml:space="preserve"> 1772-1828-3 v izmeri 0,9 m</w:t>
      </w:r>
      <w:r w:rsidR="000330D3" w:rsidRPr="00A335CB">
        <w:rPr>
          <w:rFonts w:ascii="Arial" w:hAnsi="Arial" w:cs="Arial"/>
          <w:sz w:val="20"/>
          <w:szCs w:val="20"/>
          <w:vertAlign w:val="superscript"/>
        </w:rPr>
        <w:t>2</w:t>
      </w:r>
      <w:r w:rsidR="000330D3" w:rsidRPr="00A335CB">
        <w:rPr>
          <w:rFonts w:ascii="Arial" w:hAnsi="Arial" w:cs="Arial"/>
          <w:sz w:val="20"/>
          <w:szCs w:val="20"/>
        </w:rPr>
        <w:t xml:space="preserve"> za kupnino 3.600,00 evr</w:t>
      </w:r>
      <w:r w:rsidR="00273A0A">
        <w:rPr>
          <w:rFonts w:ascii="Arial" w:hAnsi="Arial" w:cs="Arial"/>
          <w:sz w:val="20"/>
          <w:szCs w:val="20"/>
        </w:rPr>
        <w:t>a</w:t>
      </w:r>
      <w:r w:rsidR="000330D3" w:rsidRPr="00A335CB">
        <w:rPr>
          <w:rFonts w:ascii="Arial" w:hAnsi="Arial" w:cs="Arial"/>
          <w:sz w:val="20"/>
          <w:szCs w:val="20"/>
        </w:rPr>
        <w:t xml:space="preserve">. </w:t>
      </w:r>
      <w:r w:rsidR="000330D3" w:rsidRPr="00A335CB">
        <w:rPr>
          <w:rFonts w:ascii="Arial" w:eastAsiaTheme="minorHAnsi" w:hAnsi="Arial" w:cs="Arial"/>
          <w:sz w:val="20"/>
          <w:szCs w:val="20"/>
        </w:rPr>
        <w:t xml:space="preserve">Z menjalno pogodbo se je uredila menjava nepremičnin v Kočevju, in sicer so se nepremičnine 1577 1718/2, 1718/4, 1719/7 in 1719/8, katerih skupna vrednost je 2.287,52 </w:t>
      </w:r>
      <w:r w:rsidR="00273A0A" w:rsidRPr="00A335CB">
        <w:rPr>
          <w:rFonts w:ascii="Arial" w:eastAsiaTheme="minorHAnsi" w:hAnsi="Arial" w:cs="Arial"/>
          <w:sz w:val="20"/>
          <w:szCs w:val="20"/>
        </w:rPr>
        <w:t>evr</w:t>
      </w:r>
      <w:r w:rsidR="00273A0A">
        <w:rPr>
          <w:rFonts w:ascii="Arial" w:eastAsiaTheme="minorHAnsi" w:hAnsi="Arial" w:cs="Arial"/>
          <w:sz w:val="20"/>
          <w:szCs w:val="20"/>
        </w:rPr>
        <w:t>a</w:t>
      </w:r>
      <w:r w:rsidR="000330D3" w:rsidRPr="00A335CB">
        <w:rPr>
          <w:rFonts w:ascii="Arial" w:eastAsiaTheme="minorHAnsi" w:hAnsi="Arial" w:cs="Arial"/>
          <w:sz w:val="20"/>
          <w:szCs w:val="20"/>
        </w:rPr>
        <w:t xml:space="preserve">, zamenjale za nepremičnino parcela 1577 1719/5. Vrednost parcele je 2.354,80 </w:t>
      </w:r>
      <w:r w:rsidR="00273A0A" w:rsidRPr="00A335CB">
        <w:rPr>
          <w:rFonts w:ascii="Arial" w:eastAsiaTheme="minorHAnsi" w:hAnsi="Arial" w:cs="Arial"/>
          <w:sz w:val="20"/>
          <w:szCs w:val="20"/>
        </w:rPr>
        <w:t>evr</w:t>
      </w:r>
      <w:r w:rsidR="00273A0A">
        <w:rPr>
          <w:rFonts w:ascii="Arial" w:eastAsiaTheme="minorHAnsi" w:hAnsi="Arial" w:cs="Arial"/>
          <w:sz w:val="20"/>
          <w:szCs w:val="20"/>
        </w:rPr>
        <w:t>a</w:t>
      </w:r>
      <w:r w:rsidR="000330D3" w:rsidRPr="00A335CB">
        <w:rPr>
          <w:rFonts w:ascii="Arial" w:eastAsiaTheme="minorHAnsi" w:hAnsi="Arial" w:cs="Arial"/>
          <w:sz w:val="20"/>
          <w:szCs w:val="20"/>
        </w:rPr>
        <w:t xml:space="preserve">, nepremičnine </w:t>
      </w:r>
      <w:r w:rsidR="00273A0A" w:rsidRPr="00A335CB">
        <w:rPr>
          <w:rFonts w:ascii="Arial" w:eastAsiaTheme="minorHAnsi" w:hAnsi="Arial" w:cs="Arial"/>
          <w:sz w:val="20"/>
          <w:szCs w:val="20"/>
        </w:rPr>
        <w:t>s</w:t>
      </w:r>
      <w:r w:rsidR="00273A0A">
        <w:rPr>
          <w:rFonts w:ascii="Arial" w:eastAsiaTheme="minorHAnsi" w:hAnsi="Arial" w:cs="Arial"/>
          <w:sz w:val="20"/>
          <w:szCs w:val="20"/>
        </w:rPr>
        <w:t>o</w:t>
      </w:r>
      <w:r w:rsidR="00273A0A" w:rsidRPr="00A335CB">
        <w:rPr>
          <w:rFonts w:ascii="Arial" w:eastAsiaTheme="minorHAnsi" w:hAnsi="Arial" w:cs="Arial"/>
          <w:sz w:val="20"/>
          <w:szCs w:val="20"/>
        </w:rPr>
        <w:t xml:space="preserve"> </w:t>
      </w:r>
      <w:r w:rsidR="000330D3" w:rsidRPr="00A335CB">
        <w:rPr>
          <w:rFonts w:ascii="Arial" w:eastAsiaTheme="minorHAnsi" w:hAnsi="Arial" w:cs="Arial"/>
          <w:sz w:val="20"/>
          <w:szCs w:val="20"/>
        </w:rPr>
        <w:t>na naslovu Reška cesta 9, 1330 Kočevje, kjer je MNZ upravljavec stanovanja št. 2 (1577</w:t>
      </w:r>
      <w:r w:rsidRPr="00A335CB">
        <w:rPr>
          <w:rFonts w:ascii="Arial" w:eastAsiaTheme="minorHAnsi" w:hAnsi="Arial" w:cs="Arial"/>
          <w:sz w:val="20"/>
          <w:szCs w:val="20"/>
        </w:rPr>
        <w:t xml:space="preserve">-1780-2). Z menjalno pogodbo </w:t>
      </w:r>
      <w:r w:rsidR="000330D3" w:rsidRPr="00A335CB">
        <w:rPr>
          <w:rFonts w:ascii="Arial" w:eastAsiaTheme="minorHAnsi" w:hAnsi="Arial" w:cs="Arial"/>
          <w:sz w:val="20"/>
          <w:szCs w:val="20"/>
        </w:rPr>
        <w:t xml:space="preserve">je </w:t>
      </w:r>
      <w:r w:rsidRPr="00A335CB">
        <w:rPr>
          <w:rFonts w:ascii="Arial" w:eastAsiaTheme="minorHAnsi" w:hAnsi="Arial" w:cs="Arial"/>
          <w:sz w:val="20"/>
          <w:szCs w:val="20"/>
        </w:rPr>
        <w:t xml:space="preserve">bilo urejeno </w:t>
      </w:r>
      <w:r w:rsidR="000330D3" w:rsidRPr="00A335CB">
        <w:rPr>
          <w:rFonts w:ascii="Arial" w:eastAsiaTheme="minorHAnsi" w:hAnsi="Arial" w:cs="Arial"/>
          <w:sz w:val="20"/>
          <w:szCs w:val="20"/>
        </w:rPr>
        <w:t>zemljiškoknjižno stanje nepremičnin v Vinici, na naslovu Vinica 41A</w:t>
      </w:r>
      <w:r w:rsidR="00273A0A">
        <w:rPr>
          <w:rFonts w:ascii="Arial" w:eastAsiaTheme="minorHAnsi" w:hAnsi="Arial" w:cs="Arial"/>
          <w:sz w:val="20"/>
          <w:szCs w:val="20"/>
        </w:rPr>
        <w:t>;</w:t>
      </w:r>
      <w:r w:rsidR="000330D3" w:rsidRPr="00A335CB">
        <w:rPr>
          <w:rFonts w:ascii="Arial" w:eastAsiaTheme="minorHAnsi" w:hAnsi="Arial" w:cs="Arial"/>
          <w:sz w:val="20"/>
          <w:szCs w:val="20"/>
        </w:rPr>
        <w:t xml:space="preserve"> gre za menjavo nepremičnin 1563 14/36 za 1563 14/38 v izmeri 157 m</w:t>
      </w:r>
      <w:r w:rsidR="000330D3" w:rsidRPr="00A335CB">
        <w:rPr>
          <w:rFonts w:ascii="Arial" w:eastAsiaTheme="minorHAnsi" w:hAnsi="Arial" w:cs="Arial"/>
          <w:sz w:val="20"/>
          <w:szCs w:val="20"/>
          <w:vertAlign w:val="superscript"/>
        </w:rPr>
        <w:t>2</w:t>
      </w:r>
      <w:r w:rsidR="000330D3" w:rsidRPr="00A335CB">
        <w:rPr>
          <w:rFonts w:ascii="Arial" w:eastAsiaTheme="minorHAnsi" w:hAnsi="Arial" w:cs="Arial"/>
          <w:sz w:val="20"/>
          <w:szCs w:val="20"/>
        </w:rPr>
        <w:t xml:space="preserve"> za vrednost 1.586,00</w:t>
      </w:r>
      <w:r w:rsidR="00273A0A">
        <w:rPr>
          <w:rFonts w:ascii="Arial" w:eastAsiaTheme="minorHAnsi" w:hAnsi="Arial" w:cs="Arial"/>
          <w:sz w:val="20"/>
          <w:szCs w:val="20"/>
        </w:rPr>
        <w:t> evra</w:t>
      </w:r>
      <w:r w:rsidR="000330D3" w:rsidRPr="00A335CB">
        <w:rPr>
          <w:rFonts w:ascii="Arial" w:eastAsiaTheme="minorHAnsi" w:hAnsi="Arial" w:cs="Arial"/>
          <w:sz w:val="20"/>
          <w:szCs w:val="20"/>
        </w:rPr>
        <w:t xml:space="preserve">. </w:t>
      </w:r>
      <w:r w:rsidRPr="00A335CB">
        <w:rPr>
          <w:rFonts w:ascii="Arial" w:hAnsi="Arial" w:cs="Arial"/>
          <w:sz w:val="20"/>
          <w:szCs w:val="20"/>
        </w:rPr>
        <w:t xml:space="preserve">Izvedena je bila </w:t>
      </w:r>
      <w:r w:rsidR="000330D3" w:rsidRPr="00A335CB">
        <w:rPr>
          <w:rFonts w:ascii="Arial" w:hAnsi="Arial" w:cs="Arial"/>
          <w:sz w:val="20"/>
          <w:szCs w:val="20"/>
        </w:rPr>
        <w:t xml:space="preserve">prodaja montažnih objektov na nekdanjem </w:t>
      </w:r>
      <w:r w:rsidR="00273A0A">
        <w:rPr>
          <w:rFonts w:ascii="Arial" w:hAnsi="Arial" w:cs="Arial"/>
          <w:sz w:val="20"/>
          <w:szCs w:val="20"/>
        </w:rPr>
        <w:t>ž</w:t>
      </w:r>
      <w:r w:rsidR="00273A0A" w:rsidRPr="00A335CB">
        <w:rPr>
          <w:rFonts w:ascii="Arial" w:hAnsi="Arial" w:cs="Arial"/>
          <w:sz w:val="20"/>
          <w:szCs w:val="20"/>
        </w:rPr>
        <w:t xml:space="preserve">elezniškem </w:t>
      </w:r>
      <w:r w:rsidR="000330D3" w:rsidRPr="00A335CB">
        <w:rPr>
          <w:rFonts w:ascii="Arial" w:hAnsi="Arial" w:cs="Arial"/>
          <w:sz w:val="20"/>
          <w:szCs w:val="20"/>
        </w:rPr>
        <w:t>mejnem prehodu Ilirska Bistrica in Rakitovec</w:t>
      </w:r>
      <w:r w:rsidRPr="00A335CB">
        <w:rPr>
          <w:rFonts w:ascii="Arial" w:hAnsi="Arial" w:cs="Arial"/>
          <w:sz w:val="20"/>
          <w:szCs w:val="20"/>
        </w:rPr>
        <w:t>,</w:t>
      </w:r>
      <w:r w:rsidR="000330D3" w:rsidRPr="00A335CB">
        <w:rPr>
          <w:rFonts w:ascii="Arial" w:hAnsi="Arial" w:cs="Arial"/>
          <w:sz w:val="20"/>
          <w:szCs w:val="20"/>
        </w:rPr>
        <w:t xml:space="preserve"> </w:t>
      </w:r>
      <w:r w:rsidR="00670EF4">
        <w:rPr>
          <w:rFonts w:ascii="Arial" w:hAnsi="Arial" w:cs="Arial"/>
          <w:sz w:val="20"/>
          <w:szCs w:val="20"/>
        </w:rPr>
        <w:t>in sicer</w:t>
      </w:r>
      <w:r w:rsidR="00670EF4" w:rsidRPr="00A335CB">
        <w:rPr>
          <w:rFonts w:ascii="Arial" w:hAnsi="Arial" w:cs="Arial"/>
          <w:sz w:val="20"/>
          <w:szCs w:val="20"/>
        </w:rPr>
        <w:t xml:space="preserve"> </w:t>
      </w:r>
      <w:r w:rsidRPr="00A335CB">
        <w:rPr>
          <w:rFonts w:ascii="Arial" w:hAnsi="Arial" w:cs="Arial"/>
          <w:sz w:val="20"/>
          <w:szCs w:val="20"/>
        </w:rPr>
        <w:t>za kupnino 2.616,00 evrov</w:t>
      </w:r>
      <w:r w:rsidR="00670EF4">
        <w:rPr>
          <w:rFonts w:ascii="Arial" w:hAnsi="Arial" w:cs="Arial"/>
          <w:sz w:val="20"/>
          <w:szCs w:val="20"/>
        </w:rPr>
        <w:t>,</w:t>
      </w:r>
      <w:r w:rsidRPr="00A335CB">
        <w:rPr>
          <w:rFonts w:ascii="Arial" w:hAnsi="Arial" w:cs="Arial"/>
          <w:sz w:val="20"/>
          <w:szCs w:val="20"/>
        </w:rPr>
        <w:t xml:space="preserve"> in </w:t>
      </w:r>
      <w:r w:rsidR="00273A0A">
        <w:rPr>
          <w:rFonts w:ascii="Arial" w:hAnsi="Arial" w:cs="Arial"/>
          <w:sz w:val="20"/>
          <w:szCs w:val="20"/>
        </w:rPr>
        <w:t>ž</w:t>
      </w:r>
      <w:r w:rsidR="00273A0A" w:rsidRPr="00A335CB">
        <w:rPr>
          <w:rFonts w:ascii="Arial" w:hAnsi="Arial" w:cs="Arial"/>
          <w:sz w:val="20"/>
          <w:szCs w:val="20"/>
        </w:rPr>
        <w:t xml:space="preserve">elezniški </w:t>
      </w:r>
      <w:r w:rsidRPr="00A335CB">
        <w:rPr>
          <w:rFonts w:ascii="Arial" w:hAnsi="Arial" w:cs="Arial"/>
          <w:sz w:val="20"/>
          <w:szCs w:val="20"/>
        </w:rPr>
        <w:t>mejni prehod</w:t>
      </w:r>
      <w:r w:rsidR="000330D3" w:rsidRPr="00A335CB">
        <w:rPr>
          <w:rFonts w:ascii="Arial" w:hAnsi="Arial" w:cs="Arial"/>
          <w:sz w:val="20"/>
          <w:szCs w:val="20"/>
        </w:rPr>
        <w:t xml:space="preserve"> Ilirska Bistrica za kupnino 6.517,00</w:t>
      </w:r>
      <w:r w:rsidR="00273A0A">
        <w:rPr>
          <w:rFonts w:ascii="Arial" w:hAnsi="Arial" w:cs="Arial"/>
          <w:sz w:val="20"/>
          <w:szCs w:val="20"/>
        </w:rPr>
        <w:t> </w:t>
      </w:r>
      <w:r w:rsidR="00273A0A" w:rsidRPr="00A335CB">
        <w:rPr>
          <w:rFonts w:ascii="Arial" w:hAnsi="Arial" w:cs="Arial"/>
          <w:sz w:val="20"/>
          <w:szCs w:val="20"/>
        </w:rPr>
        <w:t>evr</w:t>
      </w:r>
      <w:r w:rsidR="00273A0A">
        <w:rPr>
          <w:rFonts w:ascii="Arial" w:hAnsi="Arial" w:cs="Arial"/>
          <w:sz w:val="20"/>
          <w:szCs w:val="20"/>
        </w:rPr>
        <w:t>a</w:t>
      </w:r>
      <w:r w:rsidR="000330D3" w:rsidRPr="00A335CB">
        <w:rPr>
          <w:rFonts w:ascii="Arial" w:hAnsi="Arial" w:cs="Arial"/>
          <w:sz w:val="20"/>
          <w:szCs w:val="20"/>
        </w:rPr>
        <w:t>. V postopku javne dražbe j</w:t>
      </w:r>
      <w:r w:rsidRPr="00A335CB">
        <w:rPr>
          <w:rFonts w:ascii="Arial" w:hAnsi="Arial" w:cs="Arial"/>
          <w:sz w:val="20"/>
          <w:szCs w:val="20"/>
        </w:rPr>
        <w:t>e bila prodana bakrena streha Policijske uprave</w:t>
      </w:r>
      <w:r w:rsidR="000330D3" w:rsidRPr="00A335CB">
        <w:rPr>
          <w:rFonts w:ascii="Arial" w:hAnsi="Arial" w:cs="Arial"/>
          <w:sz w:val="20"/>
          <w:szCs w:val="20"/>
        </w:rPr>
        <w:t xml:space="preserve"> Murska Sobota za kupnino 23.000,00 </w:t>
      </w:r>
      <w:r w:rsidR="00273A0A" w:rsidRPr="00A335CB">
        <w:rPr>
          <w:rFonts w:ascii="Arial" w:hAnsi="Arial" w:cs="Arial"/>
          <w:sz w:val="20"/>
          <w:szCs w:val="20"/>
        </w:rPr>
        <w:t>evr</w:t>
      </w:r>
      <w:r w:rsidR="00273A0A">
        <w:rPr>
          <w:rFonts w:ascii="Arial" w:hAnsi="Arial" w:cs="Arial"/>
          <w:sz w:val="20"/>
          <w:szCs w:val="20"/>
        </w:rPr>
        <w:t>a</w:t>
      </w:r>
      <w:r w:rsidR="000330D3" w:rsidRPr="00A335CB">
        <w:rPr>
          <w:rFonts w:ascii="Arial" w:hAnsi="Arial" w:cs="Arial"/>
          <w:sz w:val="20"/>
          <w:szCs w:val="20"/>
        </w:rPr>
        <w:t xml:space="preserve">. Izvedeno je bilo dvoje javnih zbiranj ponudb za prodajo rabljenih prevoznih sredstev po sklopih. Za sklop 1 je bila sklenjena pogodba za kupnino </w:t>
      </w:r>
      <w:r w:rsidR="00273A0A" w:rsidRPr="00A335CB">
        <w:rPr>
          <w:rFonts w:ascii="Arial" w:hAnsi="Arial" w:cs="Arial"/>
          <w:sz w:val="20"/>
          <w:szCs w:val="20"/>
        </w:rPr>
        <w:t>za 99 vozil</w:t>
      </w:r>
      <w:r w:rsidR="00273A0A">
        <w:rPr>
          <w:rFonts w:ascii="Arial" w:hAnsi="Arial" w:cs="Arial"/>
          <w:sz w:val="20"/>
          <w:szCs w:val="20"/>
        </w:rPr>
        <w:t>, ki znaša</w:t>
      </w:r>
      <w:r w:rsidR="00273A0A" w:rsidRPr="00A335CB">
        <w:rPr>
          <w:rFonts w:ascii="Arial" w:hAnsi="Arial" w:cs="Arial"/>
          <w:sz w:val="20"/>
          <w:szCs w:val="20"/>
        </w:rPr>
        <w:t xml:space="preserve"> </w:t>
      </w:r>
      <w:r w:rsidR="000330D3" w:rsidRPr="00A335CB">
        <w:rPr>
          <w:rFonts w:ascii="Arial" w:hAnsi="Arial" w:cs="Arial"/>
          <w:sz w:val="20"/>
          <w:szCs w:val="20"/>
        </w:rPr>
        <w:t>147.570,00</w:t>
      </w:r>
      <w:r w:rsidR="00273A0A">
        <w:rPr>
          <w:rFonts w:ascii="Arial" w:hAnsi="Arial" w:cs="Arial"/>
          <w:sz w:val="20"/>
          <w:szCs w:val="20"/>
        </w:rPr>
        <w:t> </w:t>
      </w:r>
      <w:r w:rsidR="00273A0A" w:rsidRPr="00A335CB">
        <w:rPr>
          <w:rFonts w:ascii="Arial" w:hAnsi="Arial" w:cs="Arial"/>
          <w:sz w:val="20"/>
          <w:szCs w:val="20"/>
        </w:rPr>
        <w:t>evr</w:t>
      </w:r>
      <w:r w:rsidR="00273A0A">
        <w:rPr>
          <w:rFonts w:ascii="Arial" w:hAnsi="Arial" w:cs="Arial"/>
          <w:sz w:val="20"/>
          <w:szCs w:val="20"/>
        </w:rPr>
        <w:t>a</w:t>
      </w:r>
      <w:r w:rsidR="000330D3" w:rsidRPr="00A335CB">
        <w:rPr>
          <w:rFonts w:ascii="Arial" w:hAnsi="Arial" w:cs="Arial"/>
          <w:sz w:val="20"/>
          <w:szCs w:val="20"/>
        </w:rPr>
        <w:t xml:space="preserve">. </w:t>
      </w:r>
    </w:p>
    <w:p w14:paraId="4B624DB2" w14:textId="77777777" w:rsidR="000330D3" w:rsidRPr="00A335CB" w:rsidRDefault="000330D3" w:rsidP="005D1A90">
      <w:pPr>
        <w:autoSpaceDE w:val="0"/>
        <w:autoSpaceDN w:val="0"/>
        <w:adjustRightInd w:val="0"/>
        <w:spacing w:after="0" w:line="276" w:lineRule="auto"/>
        <w:jc w:val="both"/>
        <w:rPr>
          <w:rFonts w:ascii="Arial" w:hAnsi="Arial" w:cs="Arial"/>
          <w:b/>
          <w:sz w:val="20"/>
          <w:szCs w:val="20"/>
          <w:lang w:eastAsia="sl-SI"/>
        </w:rPr>
      </w:pPr>
    </w:p>
    <w:p w14:paraId="154B954F" w14:textId="37C950B2" w:rsidR="000330D3" w:rsidRPr="00A335CB" w:rsidRDefault="002C6569" w:rsidP="005D1A90">
      <w:pPr>
        <w:autoSpaceDE w:val="0"/>
        <w:autoSpaceDN w:val="0"/>
        <w:adjustRightInd w:val="0"/>
        <w:spacing w:after="0" w:line="276" w:lineRule="auto"/>
        <w:jc w:val="both"/>
        <w:rPr>
          <w:rFonts w:ascii="Arial" w:eastAsiaTheme="minorHAnsi" w:hAnsi="Arial" w:cs="Arial"/>
          <w:b/>
          <w:sz w:val="20"/>
          <w:szCs w:val="20"/>
        </w:rPr>
      </w:pPr>
      <w:r w:rsidRPr="00A335CB">
        <w:rPr>
          <w:rFonts w:ascii="Arial" w:hAnsi="Arial" w:cs="Arial"/>
          <w:b/>
          <w:sz w:val="20"/>
          <w:szCs w:val="20"/>
          <w:lang w:eastAsia="sl-SI"/>
        </w:rPr>
        <w:t>Prevozna sredstva</w:t>
      </w:r>
    </w:p>
    <w:p w14:paraId="4B874457" w14:textId="197EBD1E" w:rsidR="000330D3" w:rsidRPr="00A335CB" w:rsidRDefault="000330D3" w:rsidP="00B02B3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335CB">
        <w:rPr>
          <w:rFonts w:ascii="Arial" w:hAnsi="Arial" w:cs="Arial"/>
          <w:sz w:val="20"/>
          <w:szCs w:val="20"/>
        </w:rPr>
        <w:t xml:space="preserve">Za nabavo prevoznih sredstev policije, MNZ in IRSNZ so se v letu 2024 izvajale aktivnosti za obnovo voznega parka glede na potrebe in razpoložljive finančne vire. V letu 2024 je bilo po pogodbah o nakupu in dobavi za policijo prevzetih </w:t>
      </w:r>
      <w:r w:rsidR="00273A0A">
        <w:rPr>
          <w:rFonts w:ascii="Arial" w:hAnsi="Arial" w:cs="Arial"/>
          <w:sz w:val="20"/>
          <w:szCs w:val="20"/>
        </w:rPr>
        <w:t>sedem</w:t>
      </w:r>
      <w:r w:rsidR="00273A0A" w:rsidRPr="00A335CB">
        <w:rPr>
          <w:rFonts w:ascii="Arial" w:hAnsi="Arial" w:cs="Arial"/>
          <w:sz w:val="20"/>
          <w:szCs w:val="20"/>
        </w:rPr>
        <w:t> </w:t>
      </w:r>
      <w:r w:rsidRPr="00A335CB">
        <w:rPr>
          <w:rFonts w:ascii="Arial" w:hAnsi="Arial" w:cs="Arial"/>
          <w:sz w:val="20"/>
          <w:szCs w:val="20"/>
        </w:rPr>
        <w:t>prevoznih sredstev. Dodatna prevozna sredstva se zagotavlja</w:t>
      </w:r>
      <w:r w:rsidR="00273A0A">
        <w:rPr>
          <w:rFonts w:ascii="Arial" w:hAnsi="Arial" w:cs="Arial"/>
          <w:sz w:val="20"/>
          <w:szCs w:val="20"/>
        </w:rPr>
        <w:t>jo</w:t>
      </w:r>
      <w:r w:rsidRPr="00A335CB">
        <w:rPr>
          <w:rFonts w:ascii="Arial" w:hAnsi="Arial" w:cs="Arial"/>
          <w:sz w:val="20"/>
          <w:szCs w:val="20"/>
        </w:rPr>
        <w:t xml:space="preserve"> z operativnim najemom vozil, ki se je v praksi izkazal kot ustrezna rešitev za zagotavljanje zadostnega števila primernih prevoznih sredstev in </w:t>
      </w:r>
      <w:r w:rsidR="00721952">
        <w:rPr>
          <w:rFonts w:ascii="Arial" w:hAnsi="Arial" w:cs="Arial"/>
          <w:sz w:val="20"/>
          <w:szCs w:val="20"/>
        </w:rPr>
        <w:t>spremljanje</w:t>
      </w:r>
      <w:r w:rsidR="00721952" w:rsidRPr="00A335CB">
        <w:rPr>
          <w:rFonts w:ascii="Arial" w:hAnsi="Arial" w:cs="Arial"/>
          <w:sz w:val="20"/>
          <w:szCs w:val="20"/>
        </w:rPr>
        <w:t xml:space="preserve"> </w:t>
      </w:r>
      <w:r w:rsidRPr="00A335CB">
        <w:rPr>
          <w:rFonts w:ascii="Arial" w:hAnsi="Arial" w:cs="Arial"/>
          <w:sz w:val="20"/>
          <w:szCs w:val="20"/>
        </w:rPr>
        <w:t xml:space="preserve">cilja znižanja povprečne starosti prevoznih sredstev. </w:t>
      </w:r>
    </w:p>
    <w:p w14:paraId="32908E1A" w14:textId="77777777" w:rsidR="00B02B37" w:rsidRDefault="00B02B37" w:rsidP="005D1A90">
      <w:pPr>
        <w:spacing w:after="0" w:line="276" w:lineRule="auto"/>
        <w:jc w:val="both"/>
        <w:rPr>
          <w:rFonts w:ascii="Arial" w:hAnsi="Arial" w:cs="Arial"/>
          <w:b/>
          <w:sz w:val="20"/>
          <w:szCs w:val="20"/>
        </w:rPr>
      </w:pPr>
    </w:p>
    <w:p w14:paraId="1F55AC21" w14:textId="32DF10B4" w:rsidR="000330D3" w:rsidRPr="00A335CB" w:rsidRDefault="00810780" w:rsidP="005D1A90">
      <w:pPr>
        <w:spacing w:after="0" w:line="276" w:lineRule="auto"/>
        <w:jc w:val="both"/>
        <w:rPr>
          <w:rFonts w:ascii="Arial" w:hAnsi="Arial" w:cs="Arial"/>
          <w:b/>
          <w:sz w:val="20"/>
          <w:szCs w:val="20"/>
        </w:rPr>
      </w:pPr>
      <w:r w:rsidRPr="00A335CB">
        <w:rPr>
          <w:rFonts w:ascii="Arial" w:hAnsi="Arial" w:cs="Arial"/>
          <w:b/>
          <w:sz w:val="20"/>
          <w:szCs w:val="20"/>
        </w:rPr>
        <w:t>Osebna oprema</w:t>
      </w:r>
    </w:p>
    <w:p w14:paraId="34B91E65" w14:textId="73A03AA6" w:rsidR="000330D3" w:rsidRPr="00A335CB" w:rsidRDefault="000330D3" w:rsidP="005D1A90">
      <w:pPr>
        <w:spacing w:after="0" w:line="276" w:lineRule="auto"/>
        <w:jc w:val="both"/>
        <w:rPr>
          <w:rFonts w:ascii="Arial" w:hAnsi="Arial" w:cs="Arial"/>
          <w:sz w:val="20"/>
          <w:szCs w:val="20"/>
        </w:rPr>
      </w:pPr>
      <w:r w:rsidRPr="00A335CB">
        <w:rPr>
          <w:rFonts w:ascii="Arial" w:hAnsi="Arial" w:cs="Arial"/>
          <w:sz w:val="20"/>
          <w:szCs w:val="20"/>
        </w:rPr>
        <w:t xml:space="preserve">Za nabavo osebne opreme je bilo v letu 2024 </w:t>
      </w:r>
      <w:r w:rsidR="00564AF1" w:rsidRPr="00A335CB">
        <w:rPr>
          <w:rFonts w:ascii="Arial" w:hAnsi="Arial" w:cs="Arial"/>
          <w:sz w:val="20"/>
          <w:szCs w:val="20"/>
        </w:rPr>
        <w:t>namenjen</w:t>
      </w:r>
      <w:r w:rsidR="00564AF1">
        <w:rPr>
          <w:rFonts w:ascii="Arial" w:hAnsi="Arial" w:cs="Arial"/>
          <w:sz w:val="20"/>
          <w:szCs w:val="20"/>
        </w:rPr>
        <w:t>ih</w:t>
      </w:r>
      <w:r w:rsidR="00564AF1" w:rsidRPr="00A335CB">
        <w:rPr>
          <w:rFonts w:ascii="Arial" w:hAnsi="Arial" w:cs="Arial"/>
          <w:sz w:val="20"/>
          <w:szCs w:val="20"/>
        </w:rPr>
        <w:t xml:space="preserve"> </w:t>
      </w:r>
      <w:r w:rsidRPr="00A335CB">
        <w:rPr>
          <w:rFonts w:ascii="Arial" w:hAnsi="Arial" w:cs="Arial"/>
          <w:sz w:val="20"/>
          <w:szCs w:val="20"/>
        </w:rPr>
        <w:t xml:space="preserve">2,9 milijona evrov. Glavnina opreme je bila dobavljena na </w:t>
      </w:r>
      <w:r w:rsidR="005E0375">
        <w:rPr>
          <w:rFonts w:ascii="Arial" w:hAnsi="Arial" w:cs="Arial"/>
          <w:sz w:val="20"/>
          <w:szCs w:val="20"/>
        </w:rPr>
        <w:t>podlagi</w:t>
      </w:r>
      <w:r w:rsidR="005E0375" w:rsidRPr="00A335CB">
        <w:rPr>
          <w:rFonts w:ascii="Arial" w:hAnsi="Arial" w:cs="Arial"/>
          <w:sz w:val="20"/>
          <w:szCs w:val="20"/>
        </w:rPr>
        <w:t xml:space="preserve"> </w:t>
      </w:r>
      <w:r w:rsidRPr="00A335CB">
        <w:rPr>
          <w:rFonts w:ascii="Arial" w:hAnsi="Arial" w:cs="Arial"/>
          <w:sz w:val="20"/>
          <w:szCs w:val="20"/>
        </w:rPr>
        <w:t xml:space="preserve">predhodno sklenjenih okvirnih sporazumov, ki jih uporabljamo z namenom čim bolj konstantne dobave </w:t>
      </w:r>
      <w:r w:rsidR="00F40A8E" w:rsidRPr="00A335CB">
        <w:rPr>
          <w:rFonts w:ascii="Arial" w:hAnsi="Arial" w:cs="Arial"/>
          <w:sz w:val="20"/>
          <w:szCs w:val="20"/>
        </w:rPr>
        <w:t>oziroma</w:t>
      </w:r>
      <w:r w:rsidRPr="00A335CB">
        <w:rPr>
          <w:rFonts w:ascii="Arial" w:hAnsi="Arial" w:cs="Arial"/>
          <w:sz w:val="20"/>
          <w:szCs w:val="20"/>
        </w:rPr>
        <w:t xml:space="preserve"> preprečitve motenj pri preskrbi z opremo. Razpoložljiva sredstva </w:t>
      </w:r>
      <w:r w:rsidR="00273A0A">
        <w:rPr>
          <w:rFonts w:ascii="Arial" w:hAnsi="Arial" w:cs="Arial"/>
          <w:sz w:val="20"/>
          <w:szCs w:val="20"/>
        </w:rPr>
        <w:t>in</w:t>
      </w:r>
      <w:r w:rsidR="00273A0A" w:rsidRPr="00A335CB">
        <w:rPr>
          <w:rFonts w:ascii="Arial" w:hAnsi="Arial" w:cs="Arial"/>
          <w:sz w:val="20"/>
          <w:szCs w:val="20"/>
        </w:rPr>
        <w:t xml:space="preserve"> </w:t>
      </w:r>
      <w:r w:rsidRPr="00A335CB">
        <w:rPr>
          <w:rFonts w:ascii="Arial" w:hAnsi="Arial" w:cs="Arial"/>
          <w:sz w:val="20"/>
          <w:szCs w:val="20"/>
        </w:rPr>
        <w:t xml:space="preserve">aktualna zaloga v skladišču osebne opreme </w:t>
      </w:r>
      <w:r w:rsidR="00273A0A">
        <w:rPr>
          <w:rFonts w:ascii="Arial" w:hAnsi="Arial" w:cs="Arial"/>
          <w:sz w:val="20"/>
          <w:szCs w:val="20"/>
        </w:rPr>
        <w:t>so</w:t>
      </w:r>
      <w:r w:rsidR="00273A0A" w:rsidRPr="00A335CB">
        <w:rPr>
          <w:rFonts w:ascii="Arial" w:hAnsi="Arial" w:cs="Arial"/>
          <w:sz w:val="20"/>
          <w:szCs w:val="20"/>
        </w:rPr>
        <w:t xml:space="preserve"> </w:t>
      </w:r>
      <w:r w:rsidRPr="00A335CB">
        <w:rPr>
          <w:rFonts w:ascii="Arial" w:hAnsi="Arial" w:cs="Arial"/>
          <w:sz w:val="20"/>
          <w:szCs w:val="20"/>
        </w:rPr>
        <w:t>bil</w:t>
      </w:r>
      <w:r w:rsidR="00273A0A">
        <w:rPr>
          <w:rFonts w:ascii="Arial" w:hAnsi="Arial" w:cs="Arial"/>
          <w:sz w:val="20"/>
          <w:szCs w:val="20"/>
        </w:rPr>
        <w:t>i</w:t>
      </w:r>
      <w:r w:rsidRPr="00A335CB">
        <w:rPr>
          <w:rFonts w:ascii="Arial" w:hAnsi="Arial" w:cs="Arial"/>
          <w:sz w:val="20"/>
          <w:szCs w:val="20"/>
        </w:rPr>
        <w:t xml:space="preserve"> </w:t>
      </w:r>
      <w:r w:rsidR="00273A0A" w:rsidRPr="00A335CB">
        <w:rPr>
          <w:rFonts w:ascii="Arial" w:hAnsi="Arial" w:cs="Arial"/>
          <w:sz w:val="20"/>
          <w:szCs w:val="20"/>
        </w:rPr>
        <w:t>namenjen</w:t>
      </w:r>
      <w:r w:rsidR="00273A0A">
        <w:rPr>
          <w:rFonts w:ascii="Arial" w:hAnsi="Arial" w:cs="Arial"/>
          <w:sz w:val="20"/>
          <w:szCs w:val="20"/>
        </w:rPr>
        <w:t>i</w:t>
      </w:r>
      <w:r w:rsidR="00273A0A" w:rsidRPr="00A335CB">
        <w:rPr>
          <w:rFonts w:ascii="Arial" w:hAnsi="Arial" w:cs="Arial"/>
          <w:sz w:val="20"/>
          <w:szCs w:val="20"/>
        </w:rPr>
        <w:t xml:space="preserve"> </w:t>
      </w:r>
      <w:r w:rsidRPr="00A335CB">
        <w:rPr>
          <w:rFonts w:ascii="Arial" w:hAnsi="Arial" w:cs="Arial"/>
          <w:sz w:val="20"/>
          <w:szCs w:val="20"/>
        </w:rPr>
        <w:t xml:space="preserve">za zagotovitev policijske uniforme, ki policistom pripada </w:t>
      </w:r>
      <w:r w:rsidR="00273A0A">
        <w:rPr>
          <w:rFonts w:ascii="Arial" w:hAnsi="Arial" w:cs="Arial"/>
          <w:sz w:val="20"/>
          <w:szCs w:val="20"/>
        </w:rPr>
        <w:t>v skladu</w:t>
      </w:r>
      <w:r w:rsidR="00273A0A" w:rsidRPr="00A335CB">
        <w:rPr>
          <w:rFonts w:ascii="Arial" w:hAnsi="Arial" w:cs="Arial"/>
          <w:sz w:val="20"/>
          <w:szCs w:val="20"/>
        </w:rPr>
        <w:t xml:space="preserve"> </w:t>
      </w:r>
      <w:r w:rsidRPr="00A335CB">
        <w:rPr>
          <w:rFonts w:ascii="Arial" w:hAnsi="Arial" w:cs="Arial"/>
          <w:sz w:val="20"/>
          <w:szCs w:val="20"/>
        </w:rPr>
        <w:t>s Pravili o dodeljevanju policijske uniforme. Policisti so prejeli policijsko uniformo, ki so jo naročili v aplikaciji Točkovni sistemi</w:t>
      </w:r>
      <w:r w:rsidR="00564AF1">
        <w:rPr>
          <w:rFonts w:ascii="Arial" w:hAnsi="Arial" w:cs="Arial"/>
          <w:sz w:val="20"/>
          <w:szCs w:val="20"/>
        </w:rPr>
        <w:t>,</w:t>
      </w:r>
      <w:r w:rsidRPr="00A335CB">
        <w:rPr>
          <w:rFonts w:ascii="Arial" w:hAnsi="Arial" w:cs="Arial"/>
          <w:sz w:val="20"/>
          <w:szCs w:val="20"/>
        </w:rPr>
        <w:t xml:space="preserve"> ter specialistično uniformo, ki jim pripada </w:t>
      </w:r>
      <w:r w:rsidR="00564AF1">
        <w:rPr>
          <w:rFonts w:ascii="Arial" w:hAnsi="Arial" w:cs="Arial"/>
          <w:sz w:val="20"/>
          <w:szCs w:val="20"/>
        </w:rPr>
        <w:t>v skladu</w:t>
      </w:r>
      <w:r w:rsidR="00564AF1" w:rsidRPr="00A335CB">
        <w:rPr>
          <w:rFonts w:ascii="Arial" w:hAnsi="Arial" w:cs="Arial"/>
          <w:sz w:val="20"/>
          <w:szCs w:val="20"/>
        </w:rPr>
        <w:t xml:space="preserve"> </w:t>
      </w:r>
      <w:r w:rsidRPr="00A335CB">
        <w:rPr>
          <w:rFonts w:ascii="Arial" w:hAnsi="Arial" w:cs="Arial"/>
          <w:sz w:val="20"/>
          <w:szCs w:val="20"/>
        </w:rPr>
        <w:t>z zapa</w:t>
      </w:r>
      <w:r w:rsidR="00D464A8" w:rsidRPr="00A335CB">
        <w:rPr>
          <w:rFonts w:ascii="Arial" w:hAnsi="Arial" w:cs="Arial"/>
          <w:sz w:val="20"/>
          <w:szCs w:val="20"/>
        </w:rPr>
        <w:t>dlimi roki uporabnosti (opremo so prejeli policisti</w:t>
      </w:r>
      <w:r w:rsidRPr="00A335CB">
        <w:rPr>
          <w:rFonts w:ascii="Arial" w:hAnsi="Arial" w:cs="Arial"/>
          <w:sz w:val="20"/>
          <w:szCs w:val="20"/>
        </w:rPr>
        <w:t xml:space="preserve">, ki izvajajo delovne naloge motorista, vodnika službenih psov, konjenika, policista v </w:t>
      </w:r>
      <w:r w:rsidR="00ED7864" w:rsidRPr="00ED7864">
        <w:rPr>
          <w:rFonts w:ascii="Arial" w:hAnsi="Arial" w:cs="Arial"/>
          <w:sz w:val="20"/>
          <w:szCs w:val="20"/>
        </w:rPr>
        <w:t>Posebni policijski enoti</w:t>
      </w:r>
      <w:r w:rsidRPr="00ED7864">
        <w:rPr>
          <w:rFonts w:ascii="Arial" w:hAnsi="Arial" w:cs="Arial"/>
          <w:sz w:val="20"/>
          <w:szCs w:val="20"/>
        </w:rPr>
        <w:t xml:space="preserve"> itd.).</w:t>
      </w:r>
      <w:r w:rsidRPr="00A335CB">
        <w:rPr>
          <w:rFonts w:ascii="Arial" w:hAnsi="Arial" w:cs="Arial"/>
          <w:sz w:val="20"/>
          <w:szCs w:val="20"/>
        </w:rPr>
        <w:t xml:space="preserve"> Prav tako se je nadaljevalo opremljanje neuniformiranih policistov z novimi delovnimi oblačili. Projekt zamenjave starih delovnih oblačil</w:t>
      </w:r>
      <w:r w:rsidR="00BD2C22" w:rsidRPr="00A335CB">
        <w:rPr>
          <w:rFonts w:ascii="Arial" w:hAnsi="Arial" w:cs="Arial"/>
          <w:sz w:val="20"/>
          <w:szCs w:val="20"/>
        </w:rPr>
        <w:t>,</w:t>
      </w:r>
      <w:r w:rsidRPr="00A335CB">
        <w:rPr>
          <w:rFonts w:ascii="Arial" w:hAnsi="Arial" w:cs="Arial"/>
          <w:sz w:val="20"/>
          <w:szCs w:val="20"/>
        </w:rPr>
        <w:t xml:space="preserve"> </w:t>
      </w:r>
      <w:r w:rsidR="00564AF1">
        <w:rPr>
          <w:rFonts w:ascii="Arial" w:hAnsi="Arial" w:cs="Arial"/>
          <w:sz w:val="20"/>
          <w:szCs w:val="20"/>
        </w:rPr>
        <w:t>v skladu</w:t>
      </w:r>
      <w:r w:rsidR="00564AF1" w:rsidRPr="00A335CB">
        <w:rPr>
          <w:rFonts w:ascii="Arial" w:hAnsi="Arial" w:cs="Arial"/>
          <w:sz w:val="20"/>
          <w:szCs w:val="20"/>
        </w:rPr>
        <w:t xml:space="preserve"> </w:t>
      </w:r>
      <w:r w:rsidRPr="00A335CB">
        <w:rPr>
          <w:rFonts w:ascii="Arial" w:hAnsi="Arial" w:cs="Arial"/>
          <w:sz w:val="20"/>
          <w:szCs w:val="20"/>
        </w:rPr>
        <w:t>s Pravili o spremembi Pravil o vrsti in količini delovne obleke ter rokih uporabe, vračanju in zamenjavi delov delovne in civilne službene obleke</w:t>
      </w:r>
      <w:r w:rsidR="00BD2C22" w:rsidRPr="00A335CB">
        <w:rPr>
          <w:rFonts w:ascii="Arial" w:hAnsi="Arial" w:cs="Arial"/>
          <w:sz w:val="20"/>
          <w:szCs w:val="20"/>
        </w:rPr>
        <w:t>,</w:t>
      </w:r>
      <w:r w:rsidRPr="00A335CB">
        <w:rPr>
          <w:rFonts w:ascii="Arial" w:hAnsi="Arial" w:cs="Arial"/>
          <w:sz w:val="20"/>
          <w:szCs w:val="20"/>
        </w:rPr>
        <w:t xml:space="preserve"> bo </w:t>
      </w:r>
      <w:r w:rsidR="00564AF1">
        <w:rPr>
          <w:rFonts w:ascii="Arial" w:hAnsi="Arial" w:cs="Arial"/>
          <w:sz w:val="20"/>
          <w:szCs w:val="20"/>
        </w:rPr>
        <w:t>zaključen</w:t>
      </w:r>
      <w:r w:rsidR="00564AF1" w:rsidRPr="00A335CB">
        <w:rPr>
          <w:rFonts w:ascii="Arial" w:hAnsi="Arial" w:cs="Arial"/>
          <w:sz w:val="20"/>
          <w:szCs w:val="20"/>
        </w:rPr>
        <w:t xml:space="preserve"> </w:t>
      </w:r>
      <w:r w:rsidR="00657616">
        <w:rPr>
          <w:rFonts w:ascii="Arial" w:hAnsi="Arial" w:cs="Arial"/>
          <w:sz w:val="20"/>
          <w:szCs w:val="20"/>
        </w:rPr>
        <w:t>v letu 2025.</w:t>
      </w:r>
    </w:p>
    <w:p w14:paraId="3CCFC935" w14:textId="77777777" w:rsidR="000330D3" w:rsidRPr="00A335CB" w:rsidRDefault="000330D3" w:rsidP="005D1A90">
      <w:pPr>
        <w:spacing w:after="0" w:line="276" w:lineRule="auto"/>
        <w:jc w:val="both"/>
        <w:rPr>
          <w:rFonts w:ascii="Arial" w:hAnsi="Arial" w:cs="Arial"/>
          <w:sz w:val="20"/>
          <w:szCs w:val="20"/>
        </w:rPr>
      </w:pPr>
    </w:p>
    <w:p w14:paraId="0A66B8CB" w14:textId="73500F1E" w:rsidR="000330D3" w:rsidRPr="00A335CB" w:rsidRDefault="00810780" w:rsidP="005D1A90">
      <w:pPr>
        <w:spacing w:after="0" w:line="276" w:lineRule="auto"/>
        <w:jc w:val="both"/>
        <w:rPr>
          <w:rFonts w:ascii="Arial" w:hAnsi="Arial" w:cs="Arial"/>
          <w:b/>
          <w:sz w:val="20"/>
          <w:szCs w:val="20"/>
        </w:rPr>
      </w:pPr>
      <w:r w:rsidRPr="00A335CB">
        <w:rPr>
          <w:rFonts w:ascii="Arial" w:hAnsi="Arial" w:cs="Arial"/>
          <w:b/>
          <w:sz w:val="20"/>
          <w:szCs w:val="20"/>
        </w:rPr>
        <w:t>Zaščitna oprema</w:t>
      </w:r>
    </w:p>
    <w:p w14:paraId="21CC029D" w14:textId="7FF454FA" w:rsidR="000330D3" w:rsidRPr="00A335CB" w:rsidRDefault="000330D3" w:rsidP="005D1A90">
      <w:pPr>
        <w:spacing w:after="0" w:line="276" w:lineRule="auto"/>
        <w:jc w:val="both"/>
        <w:rPr>
          <w:rFonts w:ascii="Arial" w:hAnsi="Arial" w:cs="Arial"/>
          <w:sz w:val="20"/>
          <w:szCs w:val="20"/>
        </w:rPr>
      </w:pPr>
      <w:r w:rsidRPr="00A335CB">
        <w:rPr>
          <w:rFonts w:ascii="Arial" w:hAnsi="Arial" w:cs="Arial"/>
          <w:sz w:val="20"/>
          <w:szCs w:val="20"/>
        </w:rPr>
        <w:t>Za nabavo zaščitnih sredstev je bilo v letu 2024 namenjenih 1,1 milijona evrov. Pri tem je bila nabavlje</w:t>
      </w:r>
      <w:r w:rsidR="009E1866" w:rsidRPr="00A335CB">
        <w:rPr>
          <w:rFonts w:ascii="Arial" w:hAnsi="Arial" w:cs="Arial"/>
          <w:sz w:val="20"/>
          <w:szCs w:val="20"/>
        </w:rPr>
        <w:t xml:space="preserve">na različna zaščitna oprema, kot </w:t>
      </w:r>
      <w:r w:rsidRPr="00A335CB">
        <w:rPr>
          <w:rFonts w:ascii="Arial" w:hAnsi="Arial" w:cs="Arial"/>
          <w:sz w:val="20"/>
          <w:szCs w:val="20"/>
        </w:rPr>
        <w:t xml:space="preserve">so specialne </w:t>
      </w:r>
      <w:proofErr w:type="spellStart"/>
      <w:r w:rsidRPr="00A335CB">
        <w:rPr>
          <w:rFonts w:ascii="Arial" w:hAnsi="Arial" w:cs="Arial"/>
          <w:sz w:val="20"/>
          <w:szCs w:val="20"/>
        </w:rPr>
        <w:t>celoobrazne</w:t>
      </w:r>
      <w:proofErr w:type="spellEnd"/>
      <w:r w:rsidRPr="00A335CB">
        <w:rPr>
          <w:rFonts w:ascii="Arial" w:hAnsi="Arial" w:cs="Arial"/>
          <w:sz w:val="20"/>
          <w:szCs w:val="20"/>
        </w:rPr>
        <w:t xml:space="preserve"> zaščitne maske, </w:t>
      </w:r>
      <w:proofErr w:type="spellStart"/>
      <w:r w:rsidRPr="00A335CB">
        <w:rPr>
          <w:rFonts w:ascii="Arial" w:hAnsi="Arial" w:cs="Arial"/>
          <w:sz w:val="20"/>
          <w:szCs w:val="20"/>
        </w:rPr>
        <w:t>protieksplozijska</w:t>
      </w:r>
      <w:proofErr w:type="spellEnd"/>
      <w:r w:rsidRPr="00A335CB">
        <w:rPr>
          <w:rFonts w:ascii="Arial" w:hAnsi="Arial" w:cs="Arial"/>
          <w:sz w:val="20"/>
          <w:szCs w:val="20"/>
        </w:rPr>
        <w:t xml:space="preserve"> obleka, balistični in JRM</w:t>
      </w:r>
      <w:r w:rsidR="00564AF1">
        <w:rPr>
          <w:rFonts w:ascii="Arial" w:hAnsi="Arial" w:cs="Arial"/>
          <w:sz w:val="20"/>
          <w:szCs w:val="20"/>
        </w:rPr>
        <w:t>-</w:t>
      </w:r>
      <w:r w:rsidRPr="00A335CB">
        <w:rPr>
          <w:rFonts w:ascii="Arial" w:hAnsi="Arial" w:cs="Arial"/>
          <w:sz w:val="20"/>
          <w:szCs w:val="20"/>
        </w:rPr>
        <w:t xml:space="preserve">ščiti, aktivni glušniki, zaščitna oprema za vadbeni sistem </w:t>
      </w:r>
      <w:proofErr w:type="spellStart"/>
      <w:r w:rsidRPr="00A335CB">
        <w:rPr>
          <w:rFonts w:ascii="Arial" w:hAnsi="Arial" w:cs="Arial"/>
          <w:sz w:val="20"/>
          <w:szCs w:val="20"/>
        </w:rPr>
        <w:t>Simunition</w:t>
      </w:r>
      <w:proofErr w:type="spellEnd"/>
      <w:r w:rsidRPr="00A335CB">
        <w:rPr>
          <w:rFonts w:ascii="Arial" w:hAnsi="Arial" w:cs="Arial"/>
          <w:sz w:val="20"/>
          <w:szCs w:val="20"/>
        </w:rPr>
        <w:t xml:space="preserve">, nosilci za prikrito nošnjo skupaj z balističnimi ploščami in prvič v zgodovini </w:t>
      </w:r>
      <w:proofErr w:type="spellStart"/>
      <w:r w:rsidRPr="00A335CB">
        <w:rPr>
          <w:rFonts w:ascii="Arial" w:hAnsi="Arial" w:cs="Arial"/>
          <w:sz w:val="20"/>
          <w:szCs w:val="20"/>
        </w:rPr>
        <w:t>protivrezne</w:t>
      </w:r>
      <w:proofErr w:type="spellEnd"/>
      <w:r w:rsidRPr="00A335CB">
        <w:rPr>
          <w:rFonts w:ascii="Arial" w:hAnsi="Arial" w:cs="Arial"/>
          <w:sz w:val="20"/>
          <w:szCs w:val="20"/>
        </w:rPr>
        <w:t xml:space="preserve"> obleke. Izvedeni so bili odpoklici zaščitnih telovnikov in majic z balistično in </w:t>
      </w:r>
      <w:proofErr w:type="spellStart"/>
      <w:r w:rsidRPr="00A335CB">
        <w:rPr>
          <w:rFonts w:ascii="Arial" w:hAnsi="Arial" w:cs="Arial"/>
          <w:sz w:val="20"/>
          <w:szCs w:val="20"/>
        </w:rPr>
        <w:t>protivrezno</w:t>
      </w:r>
      <w:proofErr w:type="spellEnd"/>
      <w:r w:rsidRPr="00A335CB">
        <w:rPr>
          <w:rFonts w:ascii="Arial" w:hAnsi="Arial" w:cs="Arial"/>
          <w:sz w:val="20"/>
          <w:szCs w:val="20"/>
        </w:rPr>
        <w:t xml:space="preserve"> in </w:t>
      </w:r>
      <w:proofErr w:type="spellStart"/>
      <w:r w:rsidRPr="00A335CB">
        <w:rPr>
          <w:rFonts w:ascii="Arial" w:hAnsi="Arial" w:cs="Arial"/>
          <w:sz w:val="20"/>
          <w:szCs w:val="20"/>
        </w:rPr>
        <w:t>protivbodno</w:t>
      </w:r>
      <w:proofErr w:type="spellEnd"/>
      <w:r w:rsidRPr="00A335CB">
        <w:rPr>
          <w:rFonts w:ascii="Arial" w:hAnsi="Arial" w:cs="Arial"/>
          <w:sz w:val="20"/>
          <w:szCs w:val="20"/>
        </w:rPr>
        <w:t xml:space="preserve"> zaščito, zaščitnih filtrov za </w:t>
      </w:r>
      <w:proofErr w:type="spellStart"/>
      <w:r w:rsidRPr="00A335CB">
        <w:rPr>
          <w:rFonts w:ascii="Arial" w:hAnsi="Arial" w:cs="Arial"/>
          <w:sz w:val="20"/>
          <w:szCs w:val="20"/>
        </w:rPr>
        <w:t>celoobrazne</w:t>
      </w:r>
      <w:proofErr w:type="spellEnd"/>
      <w:r w:rsidRPr="00A335CB">
        <w:rPr>
          <w:rFonts w:ascii="Arial" w:hAnsi="Arial" w:cs="Arial"/>
          <w:sz w:val="20"/>
          <w:szCs w:val="20"/>
        </w:rPr>
        <w:t xml:space="preserve"> zaščitne maske ter balističnih plošč po sklenjenih okvirnih sporazumih.</w:t>
      </w:r>
    </w:p>
    <w:p w14:paraId="5BD01CA0" w14:textId="77777777" w:rsidR="000330D3" w:rsidRPr="00A335CB" w:rsidRDefault="000330D3" w:rsidP="005D1A90">
      <w:pPr>
        <w:spacing w:after="0" w:line="276" w:lineRule="auto"/>
        <w:jc w:val="both"/>
        <w:rPr>
          <w:rFonts w:ascii="Arial" w:hAnsi="Arial" w:cs="Arial"/>
          <w:b/>
          <w:sz w:val="20"/>
        </w:rPr>
      </w:pPr>
    </w:p>
    <w:p w14:paraId="59E70F9F" w14:textId="77777777" w:rsidR="000330D3" w:rsidRPr="00A335CB" w:rsidRDefault="000330D3" w:rsidP="005D1A90">
      <w:pPr>
        <w:spacing w:after="0" w:line="276" w:lineRule="auto"/>
        <w:jc w:val="both"/>
        <w:rPr>
          <w:rFonts w:ascii="Arial" w:hAnsi="Arial" w:cs="Arial"/>
          <w:b/>
          <w:sz w:val="20"/>
        </w:rPr>
      </w:pPr>
      <w:r w:rsidRPr="00A335CB">
        <w:rPr>
          <w:rFonts w:ascii="Arial" w:hAnsi="Arial" w:cs="Arial"/>
          <w:b/>
          <w:sz w:val="20"/>
        </w:rPr>
        <w:t>Druga osebna varovalna oprema</w:t>
      </w:r>
    </w:p>
    <w:p w14:paraId="465D9838" w14:textId="5ED736B1" w:rsidR="000330D3" w:rsidRPr="00A335CB" w:rsidRDefault="000330D3" w:rsidP="005D1A90">
      <w:pPr>
        <w:spacing w:after="0" w:line="276" w:lineRule="auto"/>
        <w:jc w:val="both"/>
        <w:rPr>
          <w:rFonts w:ascii="Arial" w:hAnsi="Arial" w:cs="Arial"/>
          <w:sz w:val="20"/>
        </w:rPr>
      </w:pPr>
      <w:r w:rsidRPr="00A335CB">
        <w:rPr>
          <w:rFonts w:ascii="Arial" w:hAnsi="Arial" w:cs="Arial"/>
          <w:sz w:val="20"/>
        </w:rPr>
        <w:t xml:space="preserve">Za nabavo druge osebne varovalne opreme </w:t>
      </w:r>
      <w:r w:rsidR="00C10E1C">
        <w:rPr>
          <w:rFonts w:ascii="Arial" w:hAnsi="Arial" w:cs="Arial"/>
          <w:sz w:val="20"/>
        </w:rPr>
        <w:t>so</w:t>
      </w:r>
      <w:r w:rsidR="00C10E1C" w:rsidRPr="00A335CB">
        <w:rPr>
          <w:rFonts w:ascii="Arial" w:hAnsi="Arial" w:cs="Arial"/>
          <w:sz w:val="20"/>
        </w:rPr>
        <w:t xml:space="preserve"> </w:t>
      </w:r>
      <w:r w:rsidRPr="00A335CB">
        <w:rPr>
          <w:rFonts w:ascii="Arial" w:hAnsi="Arial" w:cs="Arial"/>
          <w:sz w:val="20"/>
        </w:rPr>
        <w:t>bil</w:t>
      </w:r>
      <w:r w:rsidR="00C10E1C">
        <w:rPr>
          <w:rFonts w:ascii="Arial" w:hAnsi="Arial" w:cs="Arial"/>
          <w:sz w:val="20"/>
        </w:rPr>
        <w:t>a</w:t>
      </w:r>
      <w:r w:rsidRPr="00A335CB">
        <w:rPr>
          <w:rFonts w:ascii="Arial" w:hAnsi="Arial" w:cs="Arial"/>
          <w:sz w:val="20"/>
        </w:rPr>
        <w:t xml:space="preserve"> v letu 2024 namenjen</w:t>
      </w:r>
      <w:r w:rsidR="00C10E1C">
        <w:rPr>
          <w:rFonts w:ascii="Arial" w:hAnsi="Arial" w:cs="Arial"/>
          <w:sz w:val="20"/>
        </w:rPr>
        <w:t>a</w:t>
      </w:r>
      <w:r w:rsidR="00564AF1">
        <w:rPr>
          <w:rFonts w:ascii="Arial" w:hAnsi="Arial" w:cs="Arial"/>
          <w:sz w:val="20"/>
        </w:rPr>
        <w:t xml:space="preserve"> </w:t>
      </w:r>
      <w:r w:rsidR="00C10E1C">
        <w:rPr>
          <w:rFonts w:ascii="Arial" w:hAnsi="Arial" w:cs="Arial"/>
          <w:sz w:val="20"/>
        </w:rPr>
        <w:t>sredstva v višini</w:t>
      </w:r>
      <w:r w:rsidRPr="00A335CB">
        <w:rPr>
          <w:rFonts w:ascii="Arial" w:hAnsi="Arial" w:cs="Arial"/>
          <w:sz w:val="20"/>
        </w:rPr>
        <w:t xml:space="preserve"> 604.260,73</w:t>
      </w:r>
      <w:r w:rsidR="00564AF1">
        <w:rPr>
          <w:rFonts w:ascii="Arial" w:hAnsi="Arial" w:cs="Arial"/>
          <w:sz w:val="20"/>
        </w:rPr>
        <w:t> </w:t>
      </w:r>
      <w:r w:rsidRPr="00A335CB">
        <w:rPr>
          <w:rFonts w:ascii="Arial" w:hAnsi="Arial" w:cs="Arial"/>
          <w:sz w:val="20"/>
        </w:rPr>
        <w:t>evr</w:t>
      </w:r>
      <w:r w:rsidR="00564AF1">
        <w:rPr>
          <w:rFonts w:ascii="Arial" w:hAnsi="Arial" w:cs="Arial"/>
          <w:sz w:val="20"/>
        </w:rPr>
        <w:t>a</w:t>
      </w:r>
      <w:r w:rsidRPr="00A335CB">
        <w:rPr>
          <w:rFonts w:ascii="Arial" w:hAnsi="Arial" w:cs="Arial"/>
          <w:sz w:val="20"/>
        </w:rPr>
        <w:t>. Nabavlje</w:t>
      </w:r>
      <w:r w:rsidR="009E1866" w:rsidRPr="00A335CB">
        <w:rPr>
          <w:rFonts w:ascii="Arial" w:hAnsi="Arial" w:cs="Arial"/>
          <w:sz w:val="20"/>
        </w:rPr>
        <w:t>nih in danih</w:t>
      </w:r>
      <w:r w:rsidRPr="00A335CB">
        <w:rPr>
          <w:rFonts w:ascii="Arial" w:hAnsi="Arial" w:cs="Arial"/>
          <w:sz w:val="20"/>
        </w:rPr>
        <w:t xml:space="preserve"> v uporabo je bilo 107 različnih kosov opreme za varovanje glave, sluha, oči in obraza, dihal, rok, nog, trupa in trebuha ter celega telesa, kot so različni zaščitni čevlji, halje, kombinezoni, hlače, tunike, jakne, očala, čelade, vizirji, rokavice, varovalni pasovi za varovanje pred padci z višine ali v globino, karabini, vrvi, plezalne čelade, blažilniki padca, sidrne vrvi ipd., od tega pa je bilo za 265.784,24 evr</w:t>
      </w:r>
      <w:r w:rsidR="00564AF1">
        <w:rPr>
          <w:rFonts w:ascii="Arial" w:hAnsi="Arial" w:cs="Arial"/>
          <w:sz w:val="20"/>
        </w:rPr>
        <w:t>a</w:t>
      </w:r>
      <w:r w:rsidRPr="00A335CB">
        <w:rPr>
          <w:rFonts w:ascii="Arial" w:hAnsi="Arial" w:cs="Arial"/>
          <w:sz w:val="20"/>
        </w:rPr>
        <w:t xml:space="preserve"> nabavljenih tudi rokavic za enkratno uporabo.</w:t>
      </w:r>
    </w:p>
    <w:p w14:paraId="2A8D03B9" w14:textId="77777777" w:rsidR="000330D3" w:rsidRPr="00A335CB" w:rsidRDefault="000330D3" w:rsidP="005D1A90">
      <w:pPr>
        <w:spacing w:after="0" w:line="276" w:lineRule="auto"/>
        <w:jc w:val="both"/>
        <w:rPr>
          <w:rFonts w:ascii="Arial" w:hAnsi="Arial" w:cs="Arial"/>
          <w:sz w:val="20"/>
          <w:szCs w:val="20"/>
        </w:rPr>
      </w:pPr>
    </w:p>
    <w:p w14:paraId="7ED49D01" w14:textId="70F51CDA" w:rsidR="000330D3" w:rsidRPr="00A335CB" w:rsidRDefault="000330D3" w:rsidP="005D1A90">
      <w:pPr>
        <w:spacing w:after="0" w:line="276" w:lineRule="auto"/>
        <w:jc w:val="both"/>
        <w:rPr>
          <w:rFonts w:ascii="Arial" w:hAnsi="Arial" w:cs="Arial"/>
          <w:b/>
          <w:sz w:val="20"/>
          <w:szCs w:val="20"/>
        </w:rPr>
      </w:pPr>
      <w:r w:rsidRPr="00A335CB">
        <w:rPr>
          <w:rFonts w:ascii="Arial" w:hAnsi="Arial" w:cs="Arial"/>
          <w:b/>
          <w:sz w:val="20"/>
          <w:szCs w:val="20"/>
        </w:rPr>
        <w:t xml:space="preserve">Oborožitev, strelivo in plinska </w:t>
      </w:r>
      <w:r w:rsidR="009E1866" w:rsidRPr="00A335CB">
        <w:rPr>
          <w:rFonts w:ascii="Arial" w:hAnsi="Arial" w:cs="Arial"/>
          <w:b/>
          <w:sz w:val="20"/>
          <w:szCs w:val="20"/>
        </w:rPr>
        <w:t>sredstva</w:t>
      </w:r>
    </w:p>
    <w:p w14:paraId="3D983689" w14:textId="5D6FEA31" w:rsidR="000330D3" w:rsidRPr="00A335CB" w:rsidRDefault="000330D3" w:rsidP="005D1A90">
      <w:pPr>
        <w:spacing w:after="0" w:line="276" w:lineRule="auto"/>
        <w:jc w:val="both"/>
        <w:rPr>
          <w:rFonts w:ascii="Arial" w:hAnsi="Arial" w:cs="Arial"/>
          <w:sz w:val="20"/>
          <w:szCs w:val="20"/>
        </w:rPr>
      </w:pPr>
      <w:r w:rsidRPr="00A335CB">
        <w:rPr>
          <w:rFonts w:ascii="Arial" w:hAnsi="Arial" w:cs="Arial"/>
          <w:sz w:val="20"/>
          <w:szCs w:val="20"/>
        </w:rPr>
        <w:t>Za nabavo oborožitve, streliva in plinskih sredstev so bila v letu 2024 načrtovana sredstva v višini 0,7</w:t>
      </w:r>
      <w:r w:rsidR="00C10E1C">
        <w:rPr>
          <w:rFonts w:ascii="Arial" w:hAnsi="Arial" w:cs="Arial"/>
          <w:sz w:val="20"/>
          <w:szCs w:val="20"/>
        </w:rPr>
        <w:t> </w:t>
      </w:r>
      <w:r w:rsidRPr="00A335CB">
        <w:rPr>
          <w:rFonts w:ascii="Arial" w:hAnsi="Arial" w:cs="Arial"/>
          <w:sz w:val="20"/>
          <w:szCs w:val="20"/>
        </w:rPr>
        <w:t xml:space="preserve">milijona evrov. Nabavljena je bila prva količina </w:t>
      </w:r>
      <w:proofErr w:type="spellStart"/>
      <w:r w:rsidRPr="00A335CB">
        <w:rPr>
          <w:rFonts w:ascii="Arial" w:hAnsi="Arial" w:cs="Arial"/>
          <w:sz w:val="20"/>
          <w:szCs w:val="20"/>
        </w:rPr>
        <w:t>nizkotoksičnega</w:t>
      </w:r>
      <w:proofErr w:type="spellEnd"/>
      <w:r w:rsidRPr="00A335CB">
        <w:rPr>
          <w:rFonts w:ascii="Arial" w:hAnsi="Arial" w:cs="Arial"/>
          <w:sz w:val="20"/>
          <w:szCs w:val="20"/>
        </w:rPr>
        <w:t xml:space="preserve"> streliva za vadbeno streljanje na zaprtih streliščih, prav tako se je </w:t>
      </w:r>
      <w:r w:rsidR="00C10E1C" w:rsidRPr="00A335CB">
        <w:rPr>
          <w:rFonts w:ascii="Arial" w:hAnsi="Arial" w:cs="Arial"/>
          <w:sz w:val="20"/>
          <w:szCs w:val="20"/>
        </w:rPr>
        <w:t>obnovil</w:t>
      </w:r>
      <w:r w:rsidR="00C10E1C">
        <w:rPr>
          <w:rFonts w:ascii="Arial" w:hAnsi="Arial" w:cs="Arial"/>
          <w:sz w:val="20"/>
          <w:szCs w:val="20"/>
        </w:rPr>
        <w:t>a</w:t>
      </w:r>
      <w:r w:rsidR="00C10E1C" w:rsidRPr="00A335CB">
        <w:rPr>
          <w:rFonts w:ascii="Arial" w:hAnsi="Arial" w:cs="Arial"/>
          <w:sz w:val="20"/>
          <w:szCs w:val="20"/>
        </w:rPr>
        <w:t xml:space="preserve"> zalog</w:t>
      </w:r>
      <w:r w:rsidR="00C10E1C">
        <w:rPr>
          <w:rFonts w:ascii="Arial" w:hAnsi="Arial" w:cs="Arial"/>
          <w:sz w:val="20"/>
          <w:szCs w:val="20"/>
        </w:rPr>
        <w:t>a</w:t>
      </w:r>
      <w:r w:rsidR="00C10E1C" w:rsidRPr="00A335CB">
        <w:rPr>
          <w:rFonts w:ascii="Arial" w:hAnsi="Arial" w:cs="Arial"/>
          <w:sz w:val="20"/>
          <w:szCs w:val="20"/>
        </w:rPr>
        <w:t xml:space="preserve"> </w:t>
      </w:r>
      <w:r w:rsidR="00C10E1C">
        <w:rPr>
          <w:rFonts w:ascii="Arial" w:hAnsi="Arial" w:cs="Arial"/>
          <w:sz w:val="20"/>
          <w:szCs w:val="20"/>
        </w:rPr>
        <w:t>malokalibrskega</w:t>
      </w:r>
      <w:r w:rsidR="00C10E1C" w:rsidRPr="00A335CB">
        <w:rPr>
          <w:rFonts w:ascii="Arial" w:hAnsi="Arial" w:cs="Arial"/>
          <w:sz w:val="20"/>
          <w:szCs w:val="20"/>
        </w:rPr>
        <w:t xml:space="preserve"> </w:t>
      </w:r>
      <w:r w:rsidRPr="00A335CB">
        <w:rPr>
          <w:rFonts w:ascii="Arial" w:hAnsi="Arial" w:cs="Arial"/>
          <w:sz w:val="20"/>
          <w:szCs w:val="20"/>
        </w:rPr>
        <w:t>streliva. Sklenjen je bil nov</w:t>
      </w:r>
      <w:r w:rsidR="00C10E1C">
        <w:rPr>
          <w:rFonts w:ascii="Arial" w:hAnsi="Arial" w:cs="Arial"/>
          <w:sz w:val="20"/>
          <w:szCs w:val="20"/>
        </w:rPr>
        <w:t>i</w:t>
      </w:r>
      <w:r w:rsidRPr="00A335CB">
        <w:rPr>
          <w:rFonts w:ascii="Arial" w:hAnsi="Arial" w:cs="Arial"/>
          <w:sz w:val="20"/>
          <w:szCs w:val="20"/>
        </w:rPr>
        <w:t xml:space="preserve"> okvirni sporazum za dobavo streliva za vadbeni sistem </w:t>
      </w:r>
      <w:proofErr w:type="spellStart"/>
      <w:r w:rsidRPr="00A335CB">
        <w:rPr>
          <w:rFonts w:ascii="Arial" w:hAnsi="Arial" w:cs="Arial"/>
          <w:sz w:val="20"/>
          <w:szCs w:val="20"/>
        </w:rPr>
        <w:t>Simunition</w:t>
      </w:r>
      <w:proofErr w:type="spellEnd"/>
      <w:r w:rsidRPr="00A335CB">
        <w:rPr>
          <w:rFonts w:ascii="Arial" w:hAnsi="Arial" w:cs="Arial"/>
          <w:sz w:val="20"/>
          <w:szCs w:val="20"/>
        </w:rPr>
        <w:t>. Opravljeni so bili številni odpoklici po sklenjenih okvirnih sporazumih za različno strelivo in plinska sredstva, med drugim tudi malih plinskih razpršilcev za vse policiste. Nabavljeni so bili še rezervni deli za orožje in puška za omamljanje živali.</w:t>
      </w:r>
    </w:p>
    <w:p w14:paraId="1370F353" w14:textId="77777777" w:rsidR="000330D3" w:rsidRPr="00A335CB" w:rsidRDefault="000330D3" w:rsidP="005D1A90">
      <w:pPr>
        <w:spacing w:after="0" w:line="276" w:lineRule="auto"/>
        <w:jc w:val="both"/>
        <w:rPr>
          <w:rFonts w:ascii="Arial" w:hAnsi="Arial" w:cs="Arial"/>
          <w:b/>
          <w:sz w:val="20"/>
          <w:szCs w:val="20"/>
          <w:lang w:eastAsia="sl-SI"/>
        </w:rPr>
      </w:pPr>
    </w:p>
    <w:p w14:paraId="6F336A8D" w14:textId="2D4DBC60" w:rsidR="000330D3" w:rsidRPr="00A335CB" w:rsidRDefault="009E1866" w:rsidP="005D1A90">
      <w:pPr>
        <w:spacing w:after="0" w:line="276" w:lineRule="auto"/>
        <w:jc w:val="both"/>
        <w:rPr>
          <w:rFonts w:ascii="Arial" w:hAnsi="Arial" w:cs="Arial"/>
          <w:b/>
          <w:sz w:val="20"/>
          <w:szCs w:val="20"/>
        </w:rPr>
      </w:pPr>
      <w:r w:rsidRPr="00A335CB">
        <w:rPr>
          <w:rFonts w:ascii="Arial" w:hAnsi="Arial" w:cs="Arial"/>
          <w:b/>
          <w:sz w:val="20"/>
          <w:szCs w:val="20"/>
          <w:lang w:eastAsia="sl-SI"/>
        </w:rPr>
        <w:t>Posebna tehnična sredstva</w:t>
      </w:r>
    </w:p>
    <w:p w14:paraId="228B944B" w14:textId="03FA4566" w:rsidR="000330D3" w:rsidRPr="00A335CB" w:rsidRDefault="000330D3" w:rsidP="005D1A90">
      <w:pPr>
        <w:spacing w:after="0" w:line="276" w:lineRule="auto"/>
        <w:jc w:val="both"/>
        <w:rPr>
          <w:rFonts w:ascii="Arial" w:hAnsi="Arial" w:cs="Arial"/>
          <w:sz w:val="20"/>
          <w:szCs w:val="20"/>
        </w:rPr>
      </w:pPr>
      <w:r w:rsidRPr="00A335CB">
        <w:rPr>
          <w:rFonts w:ascii="Arial" w:hAnsi="Arial" w:cs="Arial"/>
          <w:sz w:val="20"/>
          <w:szCs w:val="20"/>
        </w:rPr>
        <w:t xml:space="preserve">V letu 2024 je bilo za nabavo </w:t>
      </w:r>
      <w:r w:rsidR="00C10E1C" w:rsidRPr="00A335CB">
        <w:rPr>
          <w:rFonts w:ascii="Arial" w:hAnsi="Arial" w:cs="Arial"/>
          <w:sz w:val="20"/>
          <w:szCs w:val="20"/>
        </w:rPr>
        <w:t>posebn</w:t>
      </w:r>
      <w:r w:rsidR="00C10E1C">
        <w:rPr>
          <w:rFonts w:ascii="Arial" w:hAnsi="Arial" w:cs="Arial"/>
          <w:sz w:val="20"/>
          <w:szCs w:val="20"/>
        </w:rPr>
        <w:t>ih</w:t>
      </w:r>
      <w:r w:rsidR="00C10E1C" w:rsidRPr="00A335CB">
        <w:rPr>
          <w:rFonts w:ascii="Arial" w:hAnsi="Arial" w:cs="Arial"/>
          <w:sz w:val="20"/>
          <w:szCs w:val="20"/>
        </w:rPr>
        <w:t xml:space="preserve"> </w:t>
      </w:r>
      <w:r w:rsidRPr="00A335CB">
        <w:rPr>
          <w:rFonts w:ascii="Arial" w:hAnsi="Arial" w:cs="Arial"/>
          <w:sz w:val="20"/>
          <w:szCs w:val="20"/>
        </w:rPr>
        <w:t>tehničnih</w:t>
      </w:r>
      <w:r w:rsidR="009E1866" w:rsidRPr="00A335CB">
        <w:rPr>
          <w:rFonts w:ascii="Arial" w:hAnsi="Arial" w:cs="Arial"/>
          <w:sz w:val="20"/>
          <w:szCs w:val="20"/>
        </w:rPr>
        <w:t xml:space="preserve"> sredstev namenjenih 536.000 evrov sredstev, ki</w:t>
      </w:r>
      <w:r w:rsidRPr="00A335CB">
        <w:rPr>
          <w:rFonts w:ascii="Arial" w:hAnsi="Arial" w:cs="Arial"/>
          <w:sz w:val="20"/>
          <w:szCs w:val="20"/>
        </w:rPr>
        <w:t xml:space="preserve"> so bila porabljena za nakup sistema </w:t>
      </w:r>
      <w:proofErr w:type="spellStart"/>
      <w:r w:rsidRPr="00A335CB">
        <w:rPr>
          <w:rFonts w:ascii="Arial" w:hAnsi="Arial" w:cs="Arial"/>
          <w:sz w:val="20"/>
          <w:szCs w:val="20"/>
        </w:rPr>
        <w:t>protidronske</w:t>
      </w:r>
      <w:proofErr w:type="spellEnd"/>
      <w:r w:rsidRPr="00A335CB">
        <w:rPr>
          <w:rFonts w:ascii="Arial" w:hAnsi="Arial" w:cs="Arial"/>
          <w:sz w:val="20"/>
          <w:szCs w:val="20"/>
        </w:rPr>
        <w:t xml:space="preserve"> zaščite, opreme za </w:t>
      </w:r>
      <w:proofErr w:type="spellStart"/>
      <w:r w:rsidRPr="00A335CB">
        <w:rPr>
          <w:rFonts w:ascii="Arial" w:hAnsi="Arial" w:cs="Arial"/>
          <w:sz w:val="20"/>
          <w:szCs w:val="20"/>
        </w:rPr>
        <w:t>drone</w:t>
      </w:r>
      <w:proofErr w:type="spellEnd"/>
      <w:r w:rsidRPr="00A335CB">
        <w:rPr>
          <w:rFonts w:ascii="Arial" w:hAnsi="Arial" w:cs="Arial"/>
          <w:sz w:val="20"/>
          <w:szCs w:val="20"/>
        </w:rPr>
        <w:t xml:space="preserve"> in brezpilotne zrakoplove, opreme za varovanje oseb in objektov, dopolnitev odslužene opreme za službene pse in konje, alpinistično-jamarske in </w:t>
      </w:r>
      <w:proofErr w:type="spellStart"/>
      <w:r w:rsidRPr="00A335CB">
        <w:rPr>
          <w:rFonts w:ascii="Arial" w:hAnsi="Arial" w:cs="Arial"/>
          <w:sz w:val="20"/>
          <w:szCs w:val="20"/>
        </w:rPr>
        <w:t>turnosmučarske</w:t>
      </w:r>
      <w:proofErr w:type="spellEnd"/>
      <w:r w:rsidRPr="00A335CB">
        <w:rPr>
          <w:rFonts w:ascii="Arial" w:hAnsi="Arial" w:cs="Arial"/>
          <w:sz w:val="20"/>
          <w:szCs w:val="20"/>
        </w:rPr>
        <w:t xml:space="preserve"> opreme ter glasbil Policijskega orkestra. Z navedenimi sredstvi </w:t>
      </w:r>
      <w:r w:rsidR="00C10E1C">
        <w:rPr>
          <w:rFonts w:ascii="Arial" w:hAnsi="Arial" w:cs="Arial"/>
          <w:sz w:val="20"/>
          <w:szCs w:val="20"/>
        </w:rPr>
        <w:t>sta</w:t>
      </w:r>
      <w:r w:rsidR="00C10E1C" w:rsidRPr="00A335CB">
        <w:rPr>
          <w:rFonts w:ascii="Arial" w:hAnsi="Arial" w:cs="Arial"/>
          <w:sz w:val="20"/>
          <w:szCs w:val="20"/>
        </w:rPr>
        <w:t xml:space="preserve"> </w:t>
      </w:r>
      <w:r w:rsidRPr="00A335CB">
        <w:rPr>
          <w:rFonts w:ascii="Arial" w:hAnsi="Arial" w:cs="Arial"/>
          <w:sz w:val="20"/>
          <w:szCs w:val="20"/>
        </w:rPr>
        <w:t xml:space="preserve">bila prav tako omogočena zamenjava dotrajanih suhih potapljaških oblek in nakup suhih reševalnih oblek, transportnih torb in </w:t>
      </w:r>
      <w:proofErr w:type="spellStart"/>
      <w:r w:rsidRPr="00A335CB">
        <w:rPr>
          <w:rFonts w:ascii="Arial" w:hAnsi="Arial" w:cs="Arial"/>
          <w:sz w:val="20"/>
          <w:szCs w:val="20"/>
        </w:rPr>
        <w:t>boroskopa</w:t>
      </w:r>
      <w:proofErr w:type="spellEnd"/>
      <w:r w:rsidRPr="00A335CB">
        <w:rPr>
          <w:rFonts w:ascii="Arial" w:hAnsi="Arial" w:cs="Arial"/>
          <w:sz w:val="20"/>
          <w:szCs w:val="20"/>
        </w:rPr>
        <w:t>. Izveden je bil tudi odpoklic po okvirnem sporazumu za dobavo kamer za osebno uporabo in električnih paralizatorjev.</w:t>
      </w:r>
    </w:p>
    <w:p w14:paraId="24CC21EB" w14:textId="77777777" w:rsidR="00935B15" w:rsidRDefault="00935B15" w:rsidP="005D1A90">
      <w:pPr>
        <w:spacing w:after="0" w:line="276" w:lineRule="auto"/>
        <w:jc w:val="both"/>
        <w:rPr>
          <w:rFonts w:ascii="Arial" w:hAnsi="Arial" w:cs="Arial"/>
          <w:b/>
          <w:sz w:val="20"/>
          <w:szCs w:val="20"/>
          <w:lang w:eastAsia="sl-SI"/>
        </w:rPr>
      </w:pPr>
    </w:p>
    <w:p w14:paraId="18E5A86A" w14:textId="411A30BA" w:rsidR="000330D3" w:rsidRPr="00A335CB" w:rsidRDefault="009E1866" w:rsidP="005D1A90">
      <w:pPr>
        <w:spacing w:after="0" w:line="276" w:lineRule="auto"/>
        <w:jc w:val="both"/>
        <w:rPr>
          <w:rFonts w:ascii="Arial" w:hAnsi="Arial" w:cs="Arial"/>
          <w:b/>
          <w:sz w:val="20"/>
          <w:szCs w:val="20"/>
        </w:rPr>
      </w:pPr>
      <w:r w:rsidRPr="00A335CB">
        <w:rPr>
          <w:rFonts w:ascii="Arial" w:hAnsi="Arial" w:cs="Arial"/>
          <w:b/>
          <w:sz w:val="20"/>
          <w:szCs w:val="20"/>
          <w:lang w:eastAsia="sl-SI"/>
        </w:rPr>
        <w:t>Zavarovanja</w:t>
      </w:r>
    </w:p>
    <w:p w14:paraId="39D4FD3D" w14:textId="6A335994" w:rsidR="00233676" w:rsidRPr="00A335CB" w:rsidRDefault="000330D3" w:rsidP="005D1A90">
      <w:pPr>
        <w:spacing w:after="0" w:line="276" w:lineRule="auto"/>
        <w:jc w:val="both"/>
        <w:rPr>
          <w:rFonts w:ascii="Arial" w:hAnsi="Arial" w:cs="Arial"/>
          <w:sz w:val="20"/>
          <w:szCs w:val="20"/>
        </w:rPr>
      </w:pPr>
      <w:r w:rsidRPr="00A335CB">
        <w:rPr>
          <w:rFonts w:ascii="Arial" w:hAnsi="Arial" w:cs="Arial"/>
          <w:sz w:val="20"/>
          <w:szCs w:val="20"/>
        </w:rPr>
        <w:t>V letu 2024 je bilo izvedeno javno naročilo in na podlagi tega</w:t>
      </w:r>
      <w:r w:rsidR="00C10E1C">
        <w:rPr>
          <w:rFonts w:ascii="Arial" w:hAnsi="Arial" w:cs="Arial"/>
          <w:sz w:val="20"/>
          <w:szCs w:val="20"/>
        </w:rPr>
        <w:t xml:space="preserve"> so bile</w:t>
      </w:r>
      <w:r w:rsidRPr="00A335CB">
        <w:rPr>
          <w:rFonts w:ascii="Arial" w:hAnsi="Arial" w:cs="Arial"/>
          <w:sz w:val="20"/>
          <w:szCs w:val="20"/>
        </w:rPr>
        <w:t xml:space="preserve"> sklenjene pogodbe o zavarovanju za obdobje dveh let z možnostjo podaljšanja za 12 mesecev za nezgodno zavarovanje policistov in drugih uslužbencev policije (povišale so se zavarovalne vsote), zavarovanje službenih živali, zavarovanje brezpilotnih letalnih naprav in zavarovanje vodnih plovil. Na </w:t>
      </w:r>
      <w:r w:rsidR="00C10E1C">
        <w:rPr>
          <w:rFonts w:ascii="Arial" w:hAnsi="Arial" w:cs="Arial"/>
          <w:sz w:val="20"/>
          <w:szCs w:val="20"/>
        </w:rPr>
        <w:t>podlagi</w:t>
      </w:r>
      <w:r w:rsidR="00C10E1C" w:rsidRPr="00A335CB">
        <w:rPr>
          <w:rFonts w:ascii="Arial" w:hAnsi="Arial" w:cs="Arial"/>
          <w:sz w:val="20"/>
          <w:szCs w:val="20"/>
        </w:rPr>
        <w:t xml:space="preserve"> </w:t>
      </w:r>
      <w:r w:rsidRPr="00A335CB">
        <w:rPr>
          <w:rFonts w:ascii="Arial" w:hAnsi="Arial" w:cs="Arial"/>
          <w:sz w:val="20"/>
          <w:szCs w:val="20"/>
        </w:rPr>
        <w:t>izvedenega javnega naročila je bilo sklenjeno tudi zavarovanje helikopterjev za obdobje enega leta – do 30. 9. 2025. Za tri nove helikopterje je poleg obveznega sklenjeno tudi kasko zavarovanje.</w:t>
      </w:r>
    </w:p>
    <w:p w14:paraId="6DE63198" w14:textId="7CD6F88C" w:rsidR="000330D3" w:rsidRPr="00A335CB" w:rsidRDefault="00797C81" w:rsidP="005D1A90">
      <w:pPr>
        <w:spacing w:after="0" w:line="276" w:lineRule="auto"/>
        <w:jc w:val="both"/>
        <w:rPr>
          <w:rFonts w:ascii="Arial" w:hAnsi="Arial" w:cs="Arial"/>
          <w:sz w:val="20"/>
          <w:szCs w:val="20"/>
        </w:rPr>
      </w:pPr>
      <w:r w:rsidRPr="00A335CB">
        <w:rPr>
          <w:rFonts w:ascii="Arial" w:hAnsi="Arial" w:cs="Arial"/>
          <w:sz w:val="20"/>
          <w:szCs w:val="20"/>
        </w:rPr>
        <w:t>Poleg navedenih</w:t>
      </w:r>
      <w:r w:rsidR="000330D3" w:rsidRPr="00A335CB">
        <w:rPr>
          <w:rFonts w:ascii="Arial" w:hAnsi="Arial" w:cs="Arial"/>
          <w:sz w:val="20"/>
          <w:szCs w:val="20"/>
        </w:rPr>
        <w:t xml:space="preserve"> zavarov</w:t>
      </w:r>
      <w:r w:rsidRPr="00A335CB">
        <w:rPr>
          <w:rFonts w:ascii="Arial" w:hAnsi="Arial" w:cs="Arial"/>
          <w:sz w:val="20"/>
          <w:szCs w:val="20"/>
        </w:rPr>
        <w:t xml:space="preserve">anj se je v preteklem letu </w:t>
      </w:r>
      <w:r w:rsidR="000330D3" w:rsidRPr="00A335CB">
        <w:rPr>
          <w:rFonts w:ascii="Arial" w:hAnsi="Arial" w:cs="Arial"/>
          <w:sz w:val="20"/>
          <w:szCs w:val="20"/>
        </w:rPr>
        <w:t xml:space="preserve">urejalo </w:t>
      </w:r>
      <w:r w:rsidRPr="00A335CB">
        <w:rPr>
          <w:rFonts w:ascii="Arial" w:hAnsi="Arial" w:cs="Arial"/>
          <w:sz w:val="20"/>
          <w:szCs w:val="20"/>
        </w:rPr>
        <w:t xml:space="preserve">tudi </w:t>
      </w:r>
      <w:r w:rsidR="000330D3" w:rsidRPr="00A335CB">
        <w:rPr>
          <w:rFonts w:ascii="Arial" w:hAnsi="Arial" w:cs="Arial"/>
          <w:sz w:val="20"/>
          <w:szCs w:val="20"/>
        </w:rPr>
        <w:t xml:space="preserve">nezgodno zavarovanje za uslužbence policije v Ukrajini, ki tam delujejo kot varnostniki varovanih oseb ali pa so na misiji, in na drugih območjih večjih tveganj (npr. </w:t>
      </w:r>
      <w:r w:rsidRPr="00A335CB">
        <w:rPr>
          <w:rFonts w:ascii="Arial" w:hAnsi="Arial" w:cs="Arial"/>
          <w:sz w:val="20"/>
          <w:szCs w:val="20"/>
        </w:rPr>
        <w:t>Izrael). Ta območja so obravnavana</w:t>
      </w:r>
      <w:r w:rsidR="000330D3" w:rsidRPr="00A335CB">
        <w:rPr>
          <w:rFonts w:ascii="Arial" w:hAnsi="Arial" w:cs="Arial"/>
          <w:sz w:val="20"/>
          <w:szCs w:val="20"/>
        </w:rPr>
        <w:t xml:space="preserve"> kot vojna območja, zato so premije za nezgodno zavarovanje bistveno višje kot običajne, kritje pa se lahko pridobi le </w:t>
      </w:r>
      <w:r w:rsidRPr="00A335CB">
        <w:rPr>
          <w:rFonts w:ascii="Arial" w:hAnsi="Arial" w:cs="Arial"/>
          <w:sz w:val="20"/>
          <w:szCs w:val="20"/>
        </w:rPr>
        <w:t xml:space="preserve">na svetovnem zavarovalnem trgu. </w:t>
      </w:r>
      <w:r w:rsidR="000330D3" w:rsidRPr="00A335CB">
        <w:rPr>
          <w:rFonts w:ascii="Arial" w:hAnsi="Arial" w:cs="Arial"/>
          <w:sz w:val="20"/>
          <w:szCs w:val="20"/>
        </w:rPr>
        <w:t xml:space="preserve">Prijave škodnih primerov na pogodbene zavarovalnice so bile vložene tekoče, </w:t>
      </w:r>
      <w:r w:rsidR="00C10E1C">
        <w:rPr>
          <w:rFonts w:ascii="Arial" w:hAnsi="Arial" w:cs="Arial"/>
          <w:sz w:val="20"/>
          <w:szCs w:val="20"/>
        </w:rPr>
        <w:t>v skladu</w:t>
      </w:r>
      <w:r w:rsidR="00C10E1C" w:rsidRPr="00A335CB">
        <w:rPr>
          <w:rFonts w:ascii="Arial" w:hAnsi="Arial" w:cs="Arial"/>
          <w:sz w:val="20"/>
          <w:szCs w:val="20"/>
        </w:rPr>
        <w:t xml:space="preserve"> </w:t>
      </w:r>
      <w:r w:rsidR="000330D3" w:rsidRPr="00A335CB">
        <w:rPr>
          <w:rFonts w:ascii="Arial" w:hAnsi="Arial" w:cs="Arial"/>
          <w:sz w:val="20"/>
          <w:szCs w:val="20"/>
        </w:rPr>
        <w:t>z obvestili in dokumentacijo o nastali škodi.</w:t>
      </w:r>
    </w:p>
    <w:p w14:paraId="3511CB69" w14:textId="3A82AA00" w:rsidR="00974F16" w:rsidRDefault="00974F16" w:rsidP="005D1A90">
      <w:pPr>
        <w:spacing w:after="0" w:line="276" w:lineRule="auto"/>
        <w:jc w:val="both"/>
        <w:rPr>
          <w:rFonts w:ascii="Arial" w:hAnsi="Arial" w:cs="Arial"/>
          <w:b/>
          <w:sz w:val="20"/>
          <w:szCs w:val="20"/>
        </w:rPr>
      </w:pPr>
    </w:p>
    <w:p w14:paraId="0F67DDD1" w14:textId="623C0ED4" w:rsidR="000330D3" w:rsidRPr="00A335CB" w:rsidRDefault="00797C81" w:rsidP="005D1A90">
      <w:pPr>
        <w:spacing w:after="0" w:line="276" w:lineRule="auto"/>
        <w:jc w:val="both"/>
        <w:rPr>
          <w:rFonts w:ascii="Arial" w:hAnsi="Arial" w:cs="Arial"/>
          <w:b/>
          <w:sz w:val="20"/>
          <w:szCs w:val="20"/>
        </w:rPr>
      </w:pPr>
      <w:r w:rsidRPr="00A335CB">
        <w:rPr>
          <w:rFonts w:ascii="Arial" w:hAnsi="Arial" w:cs="Arial"/>
          <w:b/>
          <w:sz w:val="20"/>
          <w:szCs w:val="20"/>
        </w:rPr>
        <w:t>Logistični center</w:t>
      </w:r>
    </w:p>
    <w:p w14:paraId="71B8EE96" w14:textId="2DD8C199" w:rsidR="00DC1CCC" w:rsidRDefault="00DC1CCC" w:rsidP="00DC1CC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DC1CCC">
        <w:rPr>
          <w:rFonts w:ascii="Arial" w:hAnsi="Arial" w:cs="Arial"/>
          <w:bCs/>
          <w:sz w:val="20"/>
          <w:szCs w:val="20"/>
        </w:rPr>
        <w:t>MNZ je v letu 2024 zagotovilo dodatne prostore v obliki kratkotrajnega najema. Problematika logističnega centra ostaja nerešena in bo zahtevala poglobljeno obravnavo v prihodnjem obdobju.</w:t>
      </w:r>
    </w:p>
    <w:p w14:paraId="4343BF22" w14:textId="77777777" w:rsidR="00DC1CCC" w:rsidRDefault="00DC1CCC" w:rsidP="00DC1CC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p>
    <w:p w14:paraId="2B5FC4AC" w14:textId="3DE98944" w:rsidR="000330D3" w:rsidRPr="00A335CB" w:rsidRDefault="000330D3" w:rsidP="00DC1CC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Cs/>
          <w:sz w:val="20"/>
          <w:szCs w:val="20"/>
        </w:rPr>
      </w:pPr>
      <w:r w:rsidRPr="00A335CB">
        <w:rPr>
          <w:rFonts w:ascii="Arial" w:hAnsi="Arial" w:cs="Arial"/>
          <w:bCs/>
          <w:sz w:val="20"/>
          <w:szCs w:val="20"/>
        </w:rPr>
        <w:t xml:space="preserve">V letu 2022 je bilo ustavljeno izvajanje prenove oziroma selitve logističnega centra. MNZ je v letu 2023 </w:t>
      </w:r>
      <w:r w:rsidR="005E0375">
        <w:rPr>
          <w:rFonts w:ascii="Arial" w:hAnsi="Arial" w:cs="Arial"/>
          <w:bCs/>
          <w:sz w:val="20"/>
          <w:szCs w:val="20"/>
        </w:rPr>
        <w:t>začelo zagotavljati</w:t>
      </w:r>
      <w:r w:rsidRPr="00A335CB">
        <w:rPr>
          <w:rFonts w:ascii="Arial" w:hAnsi="Arial" w:cs="Arial"/>
          <w:bCs/>
          <w:sz w:val="20"/>
          <w:szCs w:val="20"/>
        </w:rPr>
        <w:t xml:space="preserve"> dodatnih prostorov v obliki kratkotrajnega najema, ki je potekal tudi v letu 2024, s čimer se je reševala problematika </w:t>
      </w:r>
      <w:r w:rsidR="005E0375" w:rsidRPr="00A335CB">
        <w:rPr>
          <w:rFonts w:ascii="Arial" w:hAnsi="Arial" w:cs="Arial"/>
          <w:bCs/>
          <w:sz w:val="20"/>
          <w:szCs w:val="20"/>
        </w:rPr>
        <w:t>zagot</w:t>
      </w:r>
      <w:r w:rsidR="005E0375">
        <w:rPr>
          <w:rFonts w:ascii="Arial" w:hAnsi="Arial" w:cs="Arial"/>
          <w:bCs/>
          <w:sz w:val="20"/>
          <w:szCs w:val="20"/>
        </w:rPr>
        <w:t>avljanja</w:t>
      </w:r>
      <w:r w:rsidR="005E0375" w:rsidRPr="00A335CB">
        <w:rPr>
          <w:rFonts w:ascii="Arial" w:hAnsi="Arial" w:cs="Arial"/>
          <w:bCs/>
          <w:sz w:val="20"/>
          <w:szCs w:val="20"/>
        </w:rPr>
        <w:t xml:space="preserve"> </w:t>
      </w:r>
      <w:r w:rsidRPr="00A335CB">
        <w:rPr>
          <w:rFonts w:ascii="Arial" w:hAnsi="Arial" w:cs="Arial"/>
          <w:bCs/>
          <w:sz w:val="20"/>
          <w:szCs w:val="20"/>
        </w:rPr>
        <w:t xml:space="preserve">dodatnih ustreznih skladiščnih prostorov. Problematika logističnega centra ostaja nerešena </w:t>
      </w:r>
      <w:r w:rsidRPr="00A335CB">
        <w:rPr>
          <w:rFonts w:ascii="Arial" w:hAnsi="Arial" w:cs="Arial"/>
          <w:sz w:val="20"/>
          <w:szCs w:val="20"/>
        </w:rPr>
        <w:t>in bo potrebna celostna obravnava problema.</w:t>
      </w:r>
      <w:r w:rsidRPr="00A335CB">
        <w:rPr>
          <w:rFonts w:ascii="Arial" w:hAnsi="Arial" w:cs="Arial"/>
          <w:bCs/>
          <w:sz w:val="20"/>
          <w:szCs w:val="20"/>
        </w:rPr>
        <w:t xml:space="preserve"> </w:t>
      </w:r>
    </w:p>
    <w:p w14:paraId="39BEE6E9" w14:textId="77777777" w:rsidR="00DC1CCC" w:rsidRDefault="00DC1CCC" w:rsidP="005D1A90">
      <w:pPr>
        <w:spacing w:after="0" w:line="276" w:lineRule="auto"/>
        <w:jc w:val="both"/>
        <w:rPr>
          <w:rFonts w:ascii="Arial" w:hAnsi="Arial" w:cs="Arial"/>
          <w:b/>
          <w:sz w:val="20"/>
          <w:szCs w:val="20"/>
        </w:rPr>
      </w:pPr>
    </w:p>
    <w:p w14:paraId="1408B83A" w14:textId="49681A1F" w:rsidR="000330D3" w:rsidRPr="00A335CB" w:rsidRDefault="00797C81" w:rsidP="005D1A90">
      <w:pPr>
        <w:spacing w:after="0" w:line="276" w:lineRule="auto"/>
        <w:jc w:val="both"/>
        <w:rPr>
          <w:rFonts w:ascii="Arial" w:hAnsi="Arial" w:cs="Arial"/>
          <w:b/>
          <w:sz w:val="20"/>
          <w:szCs w:val="20"/>
        </w:rPr>
      </w:pPr>
      <w:r w:rsidRPr="00A335CB">
        <w:rPr>
          <w:rFonts w:ascii="Arial" w:hAnsi="Arial" w:cs="Arial"/>
          <w:b/>
          <w:sz w:val="20"/>
          <w:szCs w:val="20"/>
        </w:rPr>
        <w:t>Službena stanovanja</w:t>
      </w:r>
    </w:p>
    <w:p w14:paraId="1E693FAF" w14:textId="6EA987B0" w:rsidR="000330D3" w:rsidRPr="00A335CB" w:rsidRDefault="000330D3" w:rsidP="005D1A90">
      <w:pPr>
        <w:spacing w:after="0" w:line="276" w:lineRule="auto"/>
        <w:jc w:val="both"/>
        <w:rPr>
          <w:rFonts w:ascii="Arial" w:hAnsi="Arial" w:cs="Arial"/>
          <w:sz w:val="20"/>
          <w:szCs w:val="20"/>
        </w:rPr>
      </w:pPr>
      <w:r w:rsidRPr="00A335CB">
        <w:rPr>
          <w:rFonts w:ascii="Arial" w:hAnsi="Arial" w:cs="Arial"/>
          <w:sz w:val="20"/>
          <w:szCs w:val="20"/>
        </w:rPr>
        <w:t>V letu 2024 je bila ustanovljena Delovna skupina vlade za zagotavljanje zemljišč za gradnjo javnih najemnih stanovanj in službenih stanovanj z namenom, poleg izgradnje javnih najemnih stanovanj, zagotoviti službena stanovanja za vsa tri udeležena ministrstva</w:t>
      </w:r>
      <w:r w:rsidR="00C10E1C">
        <w:rPr>
          <w:rFonts w:ascii="Arial" w:hAnsi="Arial" w:cs="Arial"/>
          <w:sz w:val="20"/>
          <w:szCs w:val="20"/>
        </w:rPr>
        <w:t xml:space="preserve"> –</w:t>
      </w:r>
      <w:r w:rsidRPr="00A335CB">
        <w:rPr>
          <w:rFonts w:ascii="Arial" w:hAnsi="Arial" w:cs="Arial"/>
          <w:sz w:val="20"/>
          <w:szCs w:val="20"/>
        </w:rPr>
        <w:t xml:space="preserve"> </w:t>
      </w:r>
      <w:r w:rsidR="00E36D30" w:rsidRPr="00A335CB">
        <w:rPr>
          <w:rFonts w:ascii="Arial" w:hAnsi="Arial" w:cs="Arial"/>
          <w:sz w:val="20"/>
          <w:szCs w:val="20"/>
        </w:rPr>
        <w:t>MORS, MJU in MNZ</w:t>
      </w:r>
      <w:r w:rsidRPr="00A335CB">
        <w:rPr>
          <w:rFonts w:ascii="Arial" w:hAnsi="Arial" w:cs="Arial"/>
          <w:sz w:val="20"/>
          <w:szCs w:val="20"/>
        </w:rPr>
        <w:t>. Uvodno srečanje predmetne delovne skupine, katerega namen je bil pregled</w:t>
      </w:r>
      <w:r w:rsidR="006B1328">
        <w:rPr>
          <w:rFonts w:ascii="Arial" w:hAnsi="Arial" w:cs="Arial"/>
          <w:sz w:val="20"/>
          <w:szCs w:val="20"/>
        </w:rPr>
        <w:t>ati</w:t>
      </w:r>
      <w:r w:rsidRPr="00A335CB">
        <w:rPr>
          <w:rFonts w:ascii="Arial" w:hAnsi="Arial" w:cs="Arial"/>
          <w:sz w:val="20"/>
          <w:szCs w:val="20"/>
        </w:rPr>
        <w:t xml:space="preserve"> potreb</w:t>
      </w:r>
      <w:r w:rsidR="006B1328">
        <w:rPr>
          <w:rFonts w:ascii="Arial" w:hAnsi="Arial" w:cs="Arial"/>
          <w:sz w:val="20"/>
          <w:szCs w:val="20"/>
        </w:rPr>
        <w:t>e</w:t>
      </w:r>
      <w:r w:rsidRPr="00A335CB">
        <w:rPr>
          <w:rFonts w:ascii="Arial" w:hAnsi="Arial" w:cs="Arial"/>
          <w:sz w:val="20"/>
          <w:szCs w:val="20"/>
        </w:rPr>
        <w:t xml:space="preserve"> in </w:t>
      </w:r>
      <w:r w:rsidR="006B1328" w:rsidRPr="00A335CB">
        <w:rPr>
          <w:rFonts w:ascii="Arial" w:hAnsi="Arial" w:cs="Arial"/>
          <w:sz w:val="20"/>
          <w:szCs w:val="20"/>
        </w:rPr>
        <w:t>preučit</w:t>
      </w:r>
      <w:r w:rsidR="006B1328">
        <w:rPr>
          <w:rFonts w:ascii="Arial" w:hAnsi="Arial" w:cs="Arial"/>
          <w:sz w:val="20"/>
          <w:szCs w:val="20"/>
        </w:rPr>
        <w:t>i</w:t>
      </w:r>
      <w:r w:rsidR="006B1328" w:rsidRPr="00A335CB">
        <w:rPr>
          <w:rFonts w:ascii="Arial" w:hAnsi="Arial" w:cs="Arial"/>
          <w:sz w:val="20"/>
          <w:szCs w:val="20"/>
        </w:rPr>
        <w:t xml:space="preserve"> </w:t>
      </w:r>
      <w:r w:rsidR="00721952">
        <w:rPr>
          <w:rFonts w:ascii="Arial" w:hAnsi="Arial" w:cs="Arial"/>
          <w:sz w:val="20"/>
          <w:szCs w:val="20"/>
        </w:rPr>
        <w:t>možnosti</w:t>
      </w:r>
      <w:r w:rsidR="006B1328" w:rsidRPr="00A335CB">
        <w:rPr>
          <w:rFonts w:ascii="Arial" w:hAnsi="Arial" w:cs="Arial"/>
          <w:sz w:val="20"/>
          <w:szCs w:val="20"/>
        </w:rPr>
        <w:t xml:space="preserve"> </w:t>
      </w:r>
      <w:r w:rsidRPr="00A335CB">
        <w:rPr>
          <w:rFonts w:ascii="Arial" w:hAnsi="Arial" w:cs="Arial"/>
          <w:sz w:val="20"/>
          <w:szCs w:val="20"/>
        </w:rPr>
        <w:t xml:space="preserve">ter </w:t>
      </w:r>
      <w:r w:rsidR="006B1328" w:rsidRPr="00A335CB">
        <w:rPr>
          <w:rFonts w:ascii="Arial" w:hAnsi="Arial" w:cs="Arial"/>
          <w:sz w:val="20"/>
          <w:szCs w:val="20"/>
        </w:rPr>
        <w:t>določit</w:t>
      </w:r>
      <w:r w:rsidR="006B1328">
        <w:rPr>
          <w:rFonts w:ascii="Arial" w:hAnsi="Arial" w:cs="Arial"/>
          <w:sz w:val="20"/>
          <w:szCs w:val="20"/>
        </w:rPr>
        <w:t>i</w:t>
      </w:r>
      <w:r w:rsidR="006B1328" w:rsidRPr="00A335CB">
        <w:rPr>
          <w:rFonts w:ascii="Arial" w:hAnsi="Arial" w:cs="Arial"/>
          <w:sz w:val="20"/>
          <w:szCs w:val="20"/>
        </w:rPr>
        <w:t xml:space="preserve"> </w:t>
      </w:r>
      <w:proofErr w:type="spellStart"/>
      <w:r w:rsidRPr="00A335CB">
        <w:rPr>
          <w:rFonts w:ascii="Arial" w:hAnsi="Arial" w:cs="Arial"/>
          <w:sz w:val="20"/>
          <w:szCs w:val="20"/>
        </w:rPr>
        <w:t>časovnice</w:t>
      </w:r>
      <w:proofErr w:type="spellEnd"/>
      <w:r w:rsidRPr="00A335CB">
        <w:rPr>
          <w:rFonts w:ascii="Arial" w:hAnsi="Arial" w:cs="Arial"/>
          <w:sz w:val="20"/>
          <w:szCs w:val="20"/>
        </w:rPr>
        <w:t xml:space="preserve"> izvedbe nalog, je bilo izvedeno </w:t>
      </w:r>
      <w:r w:rsidR="00E36D30" w:rsidRPr="00A335CB">
        <w:rPr>
          <w:rFonts w:ascii="Arial" w:hAnsi="Arial" w:cs="Arial"/>
          <w:sz w:val="20"/>
          <w:szCs w:val="20"/>
        </w:rPr>
        <w:t>v decembru</w:t>
      </w:r>
      <w:r w:rsidRPr="00A335CB">
        <w:rPr>
          <w:rFonts w:ascii="Arial" w:hAnsi="Arial" w:cs="Arial"/>
          <w:sz w:val="20"/>
          <w:szCs w:val="20"/>
        </w:rPr>
        <w:t xml:space="preserve"> 2024. Na podlagi izdelanih ugotovitev je bilo ugotovljeno, da na območju Ljubljane in Kranja ni na voljo dovolj prostih službenih stanovanj, hkrati pa bi bilo</w:t>
      </w:r>
      <w:r w:rsidR="002905DF">
        <w:rPr>
          <w:rFonts w:ascii="Arial" w:hAnsi="Arial" w:cs="Arial"/>
          <w:sz w:val="20"/>
          <w:szCs w:val="20"/>
        </w:rPr>
        <w:t xml:space="preserve"> službeni stanovanjski fond</w:t>
      </w:r>
      <w:r w:rsidRPr="00A335CB">
        <w:rPr>
          <w:rFonts w:ascii="Arial" w:hAnsi="Arial" w:cs="Arial"/>
          <w:sz w:val="20"/>
          <w:szCs w:val="20"/>
        </w:rPr>
        <w:t xml:space="preserve"> zaradi stroškov smiselno pomladiti.</w:t>
      </w:r>
    </w:p>
    <w:p w14:paraId="5EBF8BE8" w14:textId="77777777" w:rsidR="00BA1F48" w:rsidRPr="00A335CB" w:rsidRDefault="00BA1F48" w:rsidP="005D1A90">
      <w:pPr>
        <w:spacing w:after="0" w:line="276" w:lineRule="auto"/>
        <w:jc w:val="both"/>
        <w:rPr>
          <w:rFonts w:ascii="Arial" w:hAnsi="Arial" w:cs="Arial"/>
          <w:sz w:val="20"/>
          <w:szCs w:val="20"/>
        </w:rPr>
      </w:pPr>
    </w:p>
    <w:p w14:paraId="424BE3AC" w14:textId="226B81C9" w:rsidR="00310F1D" w:rsidRPr="00A335CB" w:rsidRDefault="003E68AE" w:rsidP="005D1A90">
      <w:pPr>
        <w:pStyle w:val="Naslov1"/>
        <w:spacing w:after="0" w:line="276" w:lineRule="auto"/>
        <w:jc w:val="both"/>
        <w:rPr>
          <w:rStyle w:val="Krepko"/>
          <w:b/>
          <w:bCs w:val="0"/>
          <w:color w:val="auto"/>
        </w:rPr>
      </w:pPr>
      <w:bookmarkStart w:id="93" w:name="_Toc203552997"/>
      <w:r w:rsidRPr="00A335CB">
        <w:rPr>
          <w:rStyle w:val="Krepko"/>
          <w:b/>
          <w:bCs w:val="0"/>
          <w:color w:val="auto"/>
        </w:rPr>
        <w:t>Podatki o proračunu Ministrstva za notranje zadeve</w:t>
      </w:r>
      <w:r w:rsidR="00FA76F8" w:rsidRPr="00A335CB">
        <w:rPr>
          <w:rStyle w:val="Krepko"/>
          <w:b/>
          <w:bCs w:val="0"/>
          <w:color w:val="auto"/>
        </w:rPr>
        <w:t xml:space="preserve">, kadrovski podatki, pravne zadeve in druge </w:t>
      </w:r>
      <w:r w:rsidR="00896369" w:rsidRPr="00A335CB">
        <w:rPr>
          <w:rStyle w:val="Krepko"/>
          <w:b/>
          <w:bCs w:val="0"/>
          <w:color w:val="auto"/>
        </w:rPr>
        <w:t>dejavnosti</w:t>
      </w:r>
      <w:bookmarkEnd w:id="93"/>
    </w:p>
    <w:p w14:paraId="1B02A581" w14:textId="77777777" w:rsidR="00BA1F48" w:rsidRPr="00A335CB" w:rsidRDefault="00BA1F48" w:rsidP="005D1A90">
      <w:pPr>
        <w:spacing w:after="0" w:line="276" w:lineRule="auto"/>
        <w:rPr>
          <w:rFonts w:ascii="Arial" w:hAnsi="Arial" w:cs="Arial"/>
          <w:sz w:val="20"/>
          <w:szCs w:val="20"/>
        </w:rPr>
      </w:pPr>
    </w:p>
    <w:p w14:paraId="117DFEDA" w14:textId="77777777" w:rsidR="00C26E08" w:rsidRPr="00A335CB" w:rsidRDefault="00C26E08" w:rsidP="005D1A90">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94" w:name="_Toc126820175"/>
      <w:bookmarkStart w:id="95" w:name="_Toc126820280"/>
      <w:bookmarkStart w:id="96" w:name="_Toc126820317"/>
      <w:bookmarkStart w:id="97" w:name="_Toc126821510"/>
      <w:bookmarkStart w:id="98" w:name="_Toc160704630"/>
      <w:bookmarkStart w:id="99" w:name="_Toc161053810"/>
      <w:bookmarkStart w:id="100" w:name="_Toc161053854"/>
      <w:bookmarkStart w:id="101" w:name="_Toc163819695"/>
      <w:bookmarkStart w:id="102" w:name="_Toc164169679"/>
      <w:bookmarkStart w:id="103" w:name="_Toc164169735"/>
      <w:bookmarkStart w:id="104" w:name="_Toc164169779"/>
      <w:bookmarkStart w:id="105" w:name="_Toc164169969"/>
      <w:bookmarkStart w:id="106" w:name="_Toc164171634"/>
      <w:bookmarkStart w:id="107" w:name="_Toc164171746"/>
      <w:bookmarkStart w:id="108" w:name="_Toc193199783"/>
      <w:bookmarkStart w:id="109" w:name="_Toc195707075"/>
      <w:bookmarkStart w:id="110" w:name="_Toc203552479"/>
      <w:bookmarkStart w:id="111" w:name="_Toc203552678"/>
      <w:bookmarkStart w:id="112" w:name="_Toc203552815"/>
      <w:bookmarkStart w:id="113" w:name="_Toc203552998"/>
      <w:bookmarkEnd w:id="91"/>
      <w:bookmarkEnd w:id="9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7D779DD" w14:textId="77777777" w:rsidR="00C26E08" w:rsidRPr="00A335CB" w:rsidRDefault="00C26E08" w:rsidP="005D1A90">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14" w:name="_Toc126821511"/>
      <w:bookmarkStart w:id="115" w:name="_Toc160704631"/>
      <w:bookmarkStart w:id="116" w:name="_Toc161053811"/>
      <w:bookmarkStart w:id="117" w:name="_Toc161053855"/>
      <w:bookmarkStart w:id="118" w:name="_Toc163819696"/>
      <w:bookmarkStart w:id="119" w:name="_Toc164169680"/>
      <w:bookmarkStart w:id="120" w:name="_Toc164169736"/>
      <w:bookmarkStart w:id="121" w:name="_Toc164169780"/>
      <w:bookmarkStart w:id="122" w:name="_Toc164169970"/>
      <w:bookmarkStart w:id="123" w:name="_Toc164171635"/>
      <w:bookmarkStart w:id="124" w:name="_Toc164171747"/>
      <w:bookmarkStart w:id="125" w:name="_Toc193199784"/>
      <w:bookmarkStart w:id="126" w:name="_Toc195707076"/>
      <w:bookmarkStart w:id="127" w:name="_Toc203552480"/>
      <w:bookmarkStart w:id="128" w:name="_Toc203552679"/>
      <w:bookmarkStart w:id="129" w:name="_Toc203552816"/>
      <w:bookmarkStart w:id="130" w:name="_Toc20355299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33F9D8B" w14:textId="77777777" w:rsidR="00C26E08" w:rsidRPr="00A335CB" w:rsidRDefault="00C26E08" w:rsidP="005D1A90">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31" w:name="_Toc126821512"/>
      <w:bookmarkStart w:id="132" w:name="_Toc160704632"/>
      <w:bookmarkStart w:id="133" w:name="_Toc161053812"/>
      <w:bookmarkStart w:id="134" w:name="_Toc161053856"/>
      <w:bookmarkStart w:id="135" w:name="_Toc163819697"/>
      <w:bookmarkStart w:id="136" w:name="_Toc164169681"/>
      <w:bookmarkStart w:id="137" w:name="_Toc164169737"/>
      <w:bookmarkStart w:id="138" w:name="_Toc164169781"/>
      <w:bookmarkStart w:id="139" w:name="_Toc164169971"/>
      <w:bookmarkStart w:id="140" w:name="_Toc164171636"/>
      <w:bookmarkStart w:id="141" w:name="_Toc164171748"/>
      <w:bookmarkStart w:id="142" w:name="_Toc193199785"/>
      <w:bookmarkStart w:id="143" w:name="_Toc195707077"/>
      <w:bookmarkStart w:id="144" w:name="_Toc203552481"/>
      <w:bookmarkStart w:id="145" w:name="_Toc203552680"/>
      <w:bookmarkStart w:id="146" w:name="_Toc203552817"/>
      <w:bookmarkStart w:id="147" w:name="_Toc20355300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A676E0C" w14:textId="77777777" w:rsidR="00C26E08" w:rsidRPr="00A335CB" w:rsidRDefault="00C26E08" w:rsidP="005D1A90">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48" w:name="_Toc126821513"/>
      <w:bookmarkStart w:id="149" w:name="_Toc160704633"/>
      <w:bookmarkStart w:id="150" w:name="_Toc161053813"/>
      <w:bookmarkStart w:id="151" w:name="_Toc161053857"/>
      <w:bookmarkStart w:id="152" w:name="_Toc163819698"/>
      <w:bookmarkStart w:id="153" w:name="_Toc164169682"/>
      <w:bookmarkStart w:id="154" w:name="_Toc164169738"/>
      <w:bookmarkStart w:id="155" w:name="_Toc164169782"/>
      <w:bookmarkStart w:id="156" w:name="_Toc164169972"/>
      <w:bookmarkStart w:id="157" w:name="_Toc164171637"/>
      <w:bookmarkStart w:id="158" w:name="_Toc164171749"/>
      <w:bookmarkStart w:id="159" w:name="_Toc193199786"/>
      <w:bookmarkStart w:id="160" w:name="_Toc195707078"/>
      <w:bookmarkStart w:id="161" w:name="_Toc203552482"/>
      <w:bookmarkStart w:id="162" w:name="_Toc203552681"/>
      <w:bookmarkStart w:id="163" w:name="_Toc203552818"/>
      <w:bookmarkStart w:id="164" w:name="_Toc203553001"/>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592E0E9" w14:textId="77777777" w:rsidR="00C26E08" w:rsidRPr="00A335CB" w:rsidRDefault="00C26E08" w:rsidP="005D1A90">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lang w:eastAsia="sl-SI"/>
        </w:rPr>
      </w:pPr>
      <w:bookmarkStart w:id="165" w:name="_Toc126821514"/>
      <w:bookmarkStart w:id="166" w:name="_Toc160704634"/>
      <w:bookmarkStart w:id="167" w:name="_Toc161053814"/>
      <w:bookmarkStart w:id="168" w:name="_Toc161053858"/>
      <w:bookmarkStart w:id="169" w:name="_Toc163819699"/>
      <w:bookmarkStart w:id="170" w:name="_Toc164169683"/>
      <w:bookmarkStart w:id="171" w:name="_Toc164169739"/>
      <w:bookmarkStart w:id="172" w:name="_Toc164169783"/>
      <w:bookmarkStart w:id="173" w:name="_Toc164169973"/>
      <w:bookmarkStart w:id="174" w:name="_Toc164171638"/>
      <w:bookmarkStart w:id="175" w:name="_Toc164171750"/>
      <w:bookmarkStart w:id="176" w:name="_Toc193199787"/>
      <w:bookmarkStart w:id="177" w:name="_Toc195707079"/>
      <w:bookmarkStart w:id="178" w:name="_Toc203552483"/>
      <w:bookmarkStart w:id="179" w:name="_Toc203552682"/>
      <w:bookmarkStart w:id="180" w:name="_Toc203552819"/>
      <w:bookmarkStart w:id="181" w:name="_Toc20355300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C2537E5" w14:textId="4528A757" w:rsidR="00696BF5" w:rsidRPr="00A335CB" w:rsidRDefault="00286577" w:rsidP="005D1A90">
      <w:pPr>
        <w:pStyle w:val="Naslov2"/>
        <w:spacing w:after="0" w:line="276" w:lineRule="auto"/>
        <w:jc w:val="both"/>
      </w:pPr>
      <w:bookmarkStart w:id="182" w:name="_Toc203553003"/>
      <w:r w:rsidRPr="00A335CB">
        <w:t>Izvrševanje proračuna za leto</w:t>
      </w:r>
      <w:r w:rsidR="00130AE7" w:rsidRPr="00A335CB">
        <w:t> </w:t>
      </w:r>
      <w:r w:rsidR="00627DFB" w:rsidRPr="00A335CB">
        <w:t>2024</w:t>
      </w:r>
      <w:bookmarkEnd w:id="182"/>
    </w:p>
    <w:p w14:paraId="1BBF753E" w14:textId="77777777" w:rsidR="00696BF5" w:rsidRPr="00A335CB" w:rsidRDefault="00696BF5" w:rsidP="005D1A90">
      <w:pPr>
        <w:spacing w:after="0" w:line="276" w:lineRule="auto"/>
        <w:rPr>
          <w:rFonts w:ascii="Arial" w:hAnsi="Arial" w:cs="Arial"/>
          <w:sz w:val="20"/>
          <w:szCs w:val="20"/>
          <w:lang w:eastAsia="sl-SI"/>
        </w:rPr>
      </w:pPr>
    </w:p>
    <w:p w14:paraId="254366CC" w14:textId="705DB277" w:rsidR="00627DFB" w:rsidRPr="00A335CB" w:rsidRDefault="00670EF4" w:rsidP="005F76F3">
      <w:pPr>
        <w:autoSpaceDE w:val="0"/>
        <w:autoSpaceDN w:val="0"/>
        <w:adjustRightInd w:val="0"/>
        <w:spacing w:line="276" w:lineRule="auto"/>
        <w:jc w:val="both"/>
        <w:rPr>
          <w:rFonts w:ascii="Arial" w:hAnsi="Arial" w:cs="Arial"/>
          <w:sz w:val="20"/>
          <w:szCs w:val="20"/>
        </w:rPr>
      </w:pPr>
      <w:r w:rsidRPr="00A335CB">
        <w:rPr>
          <w:rFonts w:ascii="Arial" w:hAnsi="Arial" w:cs="Arial"/>
          <w:sz w:val="20"/>
          <w:szCs w:val="20"/>
        </w:rPr>
        <w:t>Izvedba</w:t>
      </w:r>
      <w:r w:rsidR="00627DFB" w:rsidRPr="00A335CB">
        <w:rPr>
          <w:rFonts w:ascii="Arial" w:hAnsi="Arial" w:cs="Arial"/>
          <w:sz w:val="20"/>
          <w:szCs w:val="20"/>
        </w:rPr>
        <w:t xml:space="preserve"> proračuna glede na veljavni proračun v okviru vse</w:t>
      </w:r>
      <w:r w:rsidR="00E36D30" w:rsidRPr="00A335CB">
        <w:rPr>
          <w:rFonts w:ascii="Arial" w:hAnsi="Arial" w:cs="Arial"/>
          <w:sz w:val="20"/>
          <w:szCs w:val="20"/>
        </w:rPr>
        <w:t>h sredstev, ki znašajo 527,3 milijona evrov</w:t>
      </w:r>
      <w:r w:rsidR="006B1328">
        <w:rPr>
          <w:rFonts w:ascii="Arial" w:hAnsi="Arial" w:cs="Arial"/>
          <w:sz w:val="20"/>
          <w:szCs w:val="20"/>
        </w:rPr>
        <w:t>,</w:t>
      </w:r>
      <w:r w:rsidR="00E36D30" w:rsidRPr="00A335CB">
        <w:rPr>
          <w:rFonts w:ascii="Arial" w:hAnsi="Arial" w:cs="Arial"/>
          <w:sz w:val="20"/>
          <w:szCs w:val="20"/>
        </w:rPr>
        <w:t xml:space="preserve"> znaša 494,1 milijona evrov</w:t>
      </w:r>
      <w:r w:rsidR="00627DFB" w:rsidRPr="00A335CB">
        <w:rPr>
          <w:rFonts w:ascii="Arial" w:hAnsi="Arial" w:cs="Arial"/>
          <w:sz w:val="20"/>
          <w:szCs w:val="20"/>
        </w:rPr>
        <w:t xml:space="preserve">, kar </w:t>
      </w:r>
      <w:r w:rsidR="00721952">
        <w:rPr>
          <w:rFonts w:ascii="Arial" w:hAnsi="Arial" w:cs="Arial"/>
          <w:sz w:val="20"/>
          <w:szCs w:val="20"/>
        </w:rPr>
        <w:t>je</w:t>
      </w:r>
      <w:r w:rsidR="00721952" w:rsidRPr="00A335CB">
        <w:rPr>
          <w:rFonts w:ascii="Arial" w:hAnsi="Arial" w:cs="Arial"/>
          <w:sz w:val="20"/>
          <w:szCs w:val="20"/>
        </w:rPr>
        <w:t xml:space="preserve"> </w:t>
      </w:r>
      <w:r w:rsidR="00627DFB" w:rsidRPr="00A335CB">
        <w:rPr>
          <w:rFonts w:ascii="Arial" w:hAnsi="Arial" w:cs="Arial"/>
          <w:sz w:val="20"/>
          <w:szCs w:val="20"/>
        </w:rPr>
        <w:t>94</w:t>
      </w:r>
      <w:r w:rsidR="006B1328">
        <w:rPr>
          <w:rFonts w:ascii="Arial" w:hAnsi="Arial" w:cs="Arial"/>
          <w:sz w:val="20"/>
          <w:szCs w:val="20"/>
        </w:rPr>
        <w:t>-</w:t>
      </w:r>
      <w:r w:rsidR="00627DFB" w:rsidRPr="00A335CB">
        <w:rPr>
          <w:rFonts w:ascii="Arial" w:hAnsi="Arial" w:cs="Arial"/>
          <w:sz w:val="20"/>
          <w:szCs w:val="20"/>
        </w:rPr>
        <w:t>odstotn</w:t>
      </w:r>
      <w:r w:rsidR="00721952">
        <w:rPr>
          <w:rFonts w:ascii="Arial" w:hAnsi="Arial" w:cs="Arial"/>
          <w:sz w:val="20"/>
          <w:szCs w:val="20"/>
        </w:rPr>
        <w:t>a</w:t>
      </w:r>
      <w:r w:rsidR="00627DFB" w:rsidRPr="00A335CB">
        <w:rPr>
          <w:rFonts w:ascii="Arial" w:hAnsi="Arial" w:cs="Arial"/>
          <w:sz w:val="20"/>
          <w:szCs w:val="20"/>
        </w:rPr>
        <w:t xml:space="preserve"> </w:t>
      </w:r>
      <w:r w:rsidR="00721952" w:rsidRPr="00A335CB">
        <w:rPr>
          <w:rFonts w:ascii="Arial" w:hAnsi="Arial" w:cs="Arial"/>
          <w:sz w:val="20"/>
          <w:szCs w:val="20"/>
        </w:rPr>
        <w:t>porab</w:t>
      </w:r>
      <w:r w:rsidR="00721952">
        <w:rPr>
          <w:rFonts w:ascii="Arial" w:hAnsi="Arial" w:cs="Arial"/>
          <w:sz w:val="20"/>
          <w:szCs w:val="20"/>
        </w:rPr>
        <w:t>a</w:t>
      </w:r>
      <w:r w:rsidR="00721952" w:rsidRPr="00A335CB">
        <w:rPr>
          <w:rFonts w:ascii="Arial" w:hAnsi="Arial" w:cs="Arial"/>
          <w:sz w:val="20"/>
          <w:szCs w:val="20"/>
        </w:rPr>
        <w:t xml:space="preserve"> </w:t>
      </w:r>
      <w:r w:rsidR="00627DFB" w:rsidRPr="00A335CB">
        <w:rPr>
          <w:rFonts w:ascii="Arial" w:hAnsi="Arial" w:cs="Arial"/>
          <w:sz w:val="20"/>
          <w:szCs w:val="20"/>
        </w:rPr>
        <w:t>vseh sredstev. V okviru integra</w:t>
      </w:r>
      <w:r w:rsidR="00FF1567" w:rsidRPr="00A335CB">
        <w:rPr>
          <w:rFonts w:ascii="Arial" w:hAnsi="Arial" w:cs="Arial"/>
          <w:sz w:val="20"/>
          <w:szCs w:val="20"/>
        </w:rPr>
        <w:t xml:space="preserve">lnih sredstev v višini 498,0 </w:t>
      </w:r>
      <w:r w:rsidR="006B1328" w:rsidRPr="00A335CB">
        <w:rPr>
          <w:rFonts w:ascii="Arial" w:hAnsi="Arial" w:cs="Arial"/>
          <w:sz w:val="20"/>
          <w:szCs w:val="20"/>
        </w:rPr>
        <w:t>milijon</w:t>
      </w:r>
      <w:r w:rsidR="006B1328">
        <w:rPr>
          <w:rFonts w:ascii="Arial" w:hAnsi="Arial" w:cs="Arial"/>
          <w:sz w:val="20"/>
          <w:szCs w:val="20"/>
        </w:rPr>
        <w:t>a</w:t>
      </w:r>
      <w:r w:rsidR="006B1328" w:rsidRPr="00A335CB">
        <w:rPr>
          <w:rFonts w:ascii="Arial" w:hAnsi="Arial" w:cs="Arial"/>
          <w:sz w:val="20"/>
          <w:szCs w:val="20"/>
        </w:rPr>
        <w:t xml:space="preserve"> </w:t>
      </w:r>
      <w:r w:rsidR="00FF1567" w:rsidRPr="00A335CB">
        <w:rPr>
          <w:rFonts w:ascii="Arial" w:hAnsi="Arial" w:cs="Arial"/>
          <w:sz w:val="20"/>
          <w:szCs w:val="20"/>
        </w:rPr>
        <w:t>evrov</w:t>
      </w:r>
      <w:r w:rsidR="00627DFB" w:rsidRPr="00A335CB">
        <w:rPr>
          <w:rFonts w:ascii="Arial" w:hAnsi="Arial" w:cs="Arial"/>
          <w:sz w:val="20"/>
          <w:szCs w:val="20"/>
        </w:rPr>
        <w:t xml:space="preserve"> za celotn</w:t>
      </w:r>
      <w:r w:rsidR="006B1328">
        <w:rPr>
          <w:rFonts w:ascii="Arial" w:hAnsi="Arial" w:cs="Arial"/>
          <w:sz w:val="20"/>
          <w:szCs w:val="20"/>
        </w:rPr>
        <w:t>i</w:t>
      </w:r>
      <w:r w:rsidR="00627DFB" w:rsidRPr="00A335CB">
        <w:rPr>
          <w:rFonts w:ascii="Arial" w:hAnsi="Arial" w:cs="Arial"/>
          <w:sz w:val="20"/>
          <w:szCs w:val="20"/>
        </w:rPr>
        <w:t xml:space="preserve"> organ je ob oteženem izvrševanju (razmere na trgu, zamude dobav, dolgi postopki javnih naročil, neuspeli postop</w:t>
      </w:r>
      <w:r w:rsidR="00FF1567" w:rsidRPr="00A335CB">
        <w:rPr>
          <w:rFonts w:ascii="Arial" w:hAnsi="Arial" w:cs="Arial"/>
          <w:sz w:val="20"/>
          <w:szCs w:val="20"/>
        </w:rPr>
        <w:t xml:space="preserve">ki) </w:t>
      </w:r>
      <w:r>
        <w:rPr>
          <w:rFonts w:ascii="Arial" w:hAnsi="Arial" w:cs="Arial"/>
          <w:sz w:val="20"/>
          <w:szCs w:val="20"/>
        </w:rPr>
        <w:t>izvedba</w:t>
      </w:r>
      <w:r w:rsidR="006B1328">
        <w:rPr>
          <w:rFonts w:ascii="Arial" w:hAnsi="Arial" w:cs="Arial"/>
          <w:sz w:val="20"/>
          <w:szCs w:val="20"/>
        </w:rPr>
        <w:t xml:space="preserve"> </w:t>
      </w:r>
      <w:r w:rsidR="00FF1567" w:rsidRPr="00A335CB">
        <w:rPr>
          <w:rFonts w:ascii="Arial" w:hAnsi="Arial" w:cs="Arial"/>
          <w:sz w:val="20"/>
          <w:szCs w:val="20"/>
        </w:rPr>
        <w:t>skupaj znašala 481,0</w:t>
      </w:r>
      <w:r w:rsidR="006B1328">
        <w:rPr>
          <w:rFonts w:ascii="Arial" w:hAnsi="Arial" w:cs="Arial"/>
          <w:sz w:val="20"/>
          <w:szCs w:val="20"/>
        </w:rPr>
        <w:t> </w:t>
      </w:r>
      <w:r w:rsidR="00FF1567" w:rsidRPr="00A335CB">
        <w:rPr>
          <w:rFonts w:ascii="Arial" w:hAnsi="Arial" w:cs="Arial"/>
          <w:sz w:val="20"/>
          <w:szCs w:val="20"/>
        </w:rPr>
        <w:t>milijon</w:t>
      </w:r>
      <w:r w:rsidR="006B1328">
        <w:rPr>
          <w:rFonts w:ascii="Arial" w:hAnsi="Arial" w:cs="Arial"/>
          <w:sz w:val="20"/>
          <w:szCs w:val="20"/>
        </w:rPr>
        <w:t>a</w:t>
      </w:r>
      <w:r w:rsidR="00FF1567" w:rsidRPr="00A335CB">
        <w:rPr>
          <w:rFonts w:ascii="Arial" w:hAnsi="Arial" w:cs="Arial"/>
          <w:sz w:val="20"/>
          <w:szCs w:val="20"/>
        </w:rPr>
        <w:t xml:space="preserve"> evrov,</w:t>
      </w:r>
      <w:r w:rsidR="00627DFB" w:rsidRPr="00A335CB">
        <w:rPr>
          <w:rFonts w:ascii="Arial" w:hAnsi="Arial" w:cs="Arial"/>
          <w:sz w:val="20"/>
          <w:szCs w:val="20"/>
        </w:rPr>
        <w:t xml:space="preserve"> kar pomeni 97</w:t>
      </w:r>
      <w:r w:rsidR="006B1328">
        <w:rPr>
          <w:rFonts w:ascii="Arial" w:hAnsi="Arial" w:cs="Arial"/>
          <w:sz w:val="20"/>
          <w:szCs w:val="20"/>
        </w:rPr>
        <w:t>-odstotno</w:t>
      </w:r>
      <w:r w:rsidR="00627DFB" w:rsidRPr="00A335CB">
        <w:rPr>
          <w:rFonts w:ascii="Arial" w:hAnsi="Arial" w:cs="Arial"/>
          <w:sz w:val="20"/>
          <w:szCs w:val="20"/>
        </w:rPr>
        <w:t xml:space="preserve"> </w:t>
      </w:r>
      <w:r w:rsidRPr="00A335CB">
        <w:rPr>
          <w:rFonts w:ascii="Arial" w:hAnsi="Arial" w:cs="Arial"/>
          <w:sz w:val="20"/>
          <w:szCs w:val="20"/>
        </w:rPr>
        <w:t>izvedbo</w:t>
      </w:r>
      <w:r w:rsidR="005F76F3" w:rsidRPr="00A335CB">
        <w:rPr>
          <w:rFonts w:ascii="Arial" w:hAnsi="Arial" w:cs="Arial"/>
          <w:sz w:val="20"/>
          <w:szCs w:val="20"/>
        </w:rPr>
        <w:t>.</w:t>
      </w:r>
    </w:p>
    <w:p w14:paraId="25CB5396" w14:textId="77777777" w:rsidR="00627DFB" w:rsidRPr="00A335CB" w:rsidRDefault="00627DFB" w:rsidP="005D1A90">
      <w:pPr>
        <w:autoSpaceDE w:val="0"/>
        <w:autoSpaceDN w:val="0"/>
        <w:adjustRightInd w:val="0"/>
        <w:spacing w:after="0" w:line="276" w:lineRule="auto"/>
        <w:rPr>
          <w:rFonts w:ascii="Arial" w:hAnsi="Arial" w:cs="Arial"/>
          <w:sz w:val="20"/>
          <w:szCs w:val="20"/>
        </w:rPr>
      </w:pPr>
    </w:p>
    <w:tbl>
      <w:tblPr>
        <w:tblW w:w="8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600"/>
        <w:gridCol w:w="2000"/>
        <w:gridCol w:w="1480"/>
        <w:gridCol w:w="1400"/>
        <w:gridCol w:w="1480"/>
        <w:gridCol w:w="1300"/>
      </w:tblGrid>
      <w:tr w:rsidR="00BD47E0" w:rsidRPr="00A335CB" w14:paraId="058611E6" w14:textId="77777777" w:rsidTr="00C3676E">
        <w:trPr>
          <w:trHeight w:val="780"/>
        </w:trPr>
        <w:tc>
          <w:tcPr>
            <w:tcW w:w="2600" w:type="dxa"/>
            <w:gridSpan w:val="2"/>
            <w:shd w:val="clear" w:color="000000" w:fill="DDDDDD"/>
            <w:vAlign w:val="center"/>
            <w:hideMark/>
          </w:tcPr>
          <w:p w14:paraId="0452732B" w14:textId="30911353" w:rsidR="00627DFB" w:rsidRPr="00A335CB" w:rsidRDefault="00627DFB" w:rsidP="005D1A90">
            <w:pPr>
              <w:spacing w:after="0" w:line="276" w:lineRule="auto"/>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SPU/PU/PSV_NADSKUPINA</w:t>
            </w:r>
          </w:p>
        </w:tc>
        <w:tc>
          <w:tcPr>
            <w:tcW w:w="1480" w:type="dxa"/>
            <w:shd w:val="clear" w:color="000000" w:fill="DDDDDD"/>
            <w:vAlign w:val="center"/>
            <w:hideMark/>
          </w:tcPr>
          <w:p w14:paraId="6A18EBA5" w14:textId="77777777" w:rsidR="00627DFB" w:rsidRPr="00A335CB" w:rsidRDefault="00627DFB" w:rsidP="005D1A90">
            <w:pPr>
              <w:spacing w:after="0" w:line="276" w:lineRule="auto"/>
              <w:jc w:val="center"/>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SP 2024</w:t>
            </w:r>
          </w:p>
        </w:tc>
        <w:tc>
          <w:tcPr>
            <w:tcW w:w="1400" w:type="dxa"/>
            <w:shd w:val="clear" w:color="000000" w:fill="DDDDDD"/>
            <w:vAlign w:val="center"/>
            <w:hideMark/>
          </w:tcPr>
          <w:p w14:paraId="59150D87" w14:textId="77777777" w:rsidR="00627DFB" w:rsidRPr="00A335CB" w:rsidRDefault="00627DFB" w:rsidP="005D1A90">
            <w:pPr>
              <w:spacing w:after="0" w:line="276" w:lineRule="auto"/>
              <w:jc w:val="center"/>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VP 2024</w:t>
            </w:r>
          </w:p>
        </w:tc>
        <w:tc>
          <w:tcPr>
            <w:tcW w:w="1480" w:type="dxa"/>
            <w:shd w:val="clear" w:color="000000" w:fill="DDDDDD"/>
            <w:vAlign w:val="center"/>
            <w:hideMark/>
          </w:tcPr>
          <w:p w14:paraId="17B4E629" w14:textId="77777777" w:rsidR="00627DFB" w:rsidRPr="00A335CB" w:rsidRDefault="00627DFB" w:rsidP="005D1A90">
            <w:pPr>
              <w:spacing w:after="0" w:line="276" w:lineRule="auto"/>
              <w:jc w:val="center"/>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REAL. 2024</w:t>
            </w:r>
          </w:p>
        </w:tc>
        <w:tc>
          <w:tcPr>
            <w:tcW w:w="1300" w:type="dxa"/>
            <w:shd w:val="clear" w:color="000000" w:fill="DDDDDD"/>
            <w:vAlign w:val="center"/>
            <w:hideMark/>
          </w:tcPr>
          <w:p w14:paraId="11EE7EE0" w14:textId="77777777" w:rsidR="00627DFB" w:rsidRPr="00A335CB" w:rsidRDefault="00627DFB" w:rsidP="005D1A90">
            <w:pPr>
              <w:spacing w:after="0" w:line="276" w:lineRule="auto"/>
              <w:jc w:val="center"/>
              <w:rPr>
                <w:rFonts w:ascii="Arial" w:eastAsia="Times New Roman" w:hAnsi="Arial" w:cs="Arial"/>
                <w:b/>
                <w:bCs/>
                <w:sz w:val="18"/>
                <w:szCs w:val="18"/>
                <w:lang w:eastAsia="sl-SI"/>
              </w:rPr>
            </w:pPr>
            <w:r w:rsidRPr="00A335CB">
              <w:rPr>
                <w:rFonts w:ascii="Arial" w:eastAsia="Times New Roman" w:hAnsi="Arial" w:cs="Arial"/>
                <w:b/>
                <w:bCs/>
                <w:sz w:val="18"/>
                <w:szCs w:val="18"/>
                <w:lang w:eastAsia="sl-SI"/>
              </w:rPr>
              <w:t>% REAL. 2024 v VP</w:t>
            </w:r>
          </w:p>
        </w:tc>
      </w:tr>
      <w:tr w:rsidR="00BD47E0" w:rsidRPr="00A335CB" w14:paraId="18A27678" w14:textId="77777777" w:rsidTr="00C3676E">
        <w:trPr>
          <w:trHeight w:val="615"/>
        </w:trPr>
        <w:tc>
          <w:tcPr>
            <w:tcW w:w="600" w:type="dxa"/>
            <w:shd w:val="clear" w:color="auto" w:fill="C6D9F1" w:themeFill="text2" w:themeFillTint="33"/>
            <w:vAlign w:val="center"/>
            <w:hideMark/>
          </w:tcPr>
          <w:p w14:paraId="036952B7" w14:textId="77777777" w:rsidR="00627DFB" w:rsidRPr="00A335CB" w:rsidRDefault="00627DFB" w:rsidP="005D1A90">
            <w:pPr>
              <w:spacing w:after="0" w:line="276" w:lineRule="auto"/>
              <w:jc w:val="right"/>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17</w:t>
            </w:r>
          </w:p>
        </w:tc>
        <w:tc>
          <w:tcPr>
            <w:tcW w:w="2000" w:type="dxa"/>
            <w:shd w:val="clear" w:color="auto" w:fill="C6D9F1" w:themeFill="text2" w:themeFillTint="33"/>
            <w:vAlign w:val="center"/>
            <w:hideMark/>
          </w:tcPr>
          <w:p w14:paraId="7A96E5C2" w14:textId="77777777" w:rsidR="00627DFB" w:rsidRPr="00A335CB" w:rsidRDefault="00627DFB" w:rsidP="005D1A90">
            <w:pPr>
              <w:spacing w:after="0" w:line="276" w:lineRule="auto"/>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MNZ</w:t>
            </w:r>
          </w:p>
        </w:tc>
        <w:tc>
          <w:tcPr>
            <w:tcW w:w="1480" w:type="dxa"/>
            <w:shd w:val="clear" w:color="auto" w:fill="C6D9F1" w:themeFill="text2" w:themeFillTint="33"/>
            <w:vAlign w:val="center"/>
            <w:hideMark/>
          </w:tcPr>
          <w:p w14:paraId="09F934EC" w14:textId="77777777" w:rsidR="00627DFB" w:rsidRPr="00A335CB" w:rsidRDefault="00627DFB" w:rsidP="005D1A90">
            <w:pPr>
              <w:spacing w:line="276" w:lineRule="auto"/>
              <w:jc w:val="right"/>
              <w:rPr>
                <w:rFonts w:ascii="Arial" w:eastAsia="Times New Roman" w:hAnsi="Arial" w:cs="Arial"/>
                <w:b/>
                <w:bCs/>
                <w:sz w:val="20"/>
                <w:szCs w:val="20"/>
              </w:rPr>
            </w:pPr>
            <w:r w:rsidRPr="00A335CB">
              <w:rPr>
                <w:rFonts w:ascii="Arial" w:hAnsi="Arial" w:cs="Arial"/>
                <w:b/>
                <w:bCs/>
                <w:sz w:val="20"/>
                <w:szCs w:val="20"/>
              </w:rPr>
              <w:t>519.489.923</w:t>
            </w:r>
          </w:p>
        </w:tc>
        <w:tc>
          <w:tcPr>
            <w:tcW w:w="1400" w:type="dxa"/>
            <w:shd w:val="clear" w:color="auto" w:fill="C6D9F1" w:themeFill="text2" w:themeFillTint="33"/>
            <w:vAlign w:val="center"/>
            <w:hideMark/>
          </w:tcPr>
          <w:p w14:paraId="386FF583" w14:textId="77777777" w:rsidR="00627DFB" w:rsidRPr="00A335CB" w:rsidRDefault="00627DFB" w:rsidP="005D1A90">
            <w:pPr>
              <w:spacing w:line="276" w:lineRule="auto"/>
              <w:jc w:val="right"/>
              <w:rPr>
                <w:rFonts w:ascii="Arial" w:hAnsi="Arial" w:cs="Arial"/>
                <w:b/>
                <w:bCs/>
                <w:sz w:val="20"/>
                <w:szCs w:val="20"/>
              </w:rPr>
            </w:pPr>
            <w:r w:rsidRPr="00A335CB">
              <w:rPr>
                <w:rFonts w:ascii="Arial" w:hAnsi="Arial" w:cs="Arial"/>
                <w:b/>
                <w:bCs/>
                <w:sz w:val="20"/>
                <w:szCs w:val="20"/>
              </w:rPr>
              <w:t>515.713.686</w:t>
            </w:r>
          </w:p>
        </w:tc>
        <w:tc>
          <w:tcPr>
            <w:tcW w:w="1480" w:type="dxa"/>
            <w:shd w:val="clear" w:color="auto" w:fill="C6D9F1" w:themeFill="text2" w:themeFillTint="33"/>
            <w:vAlign w:val="center"/>
            <w:hideMark/>
          </w:tcPr>
          <w:p w14:paraId="3A2A69C6" w14:textId="77777777" w:rsidR="00627DFB" w:rsidRPr="00A335CB" w:rsidRDefault="00627DFB" w:rsidP="005D1A90">
            <w:pPr>
              <w:spacing w:line="276" w:lineRule="auto"/>
              <w:jc w:val="right"/>
              <w:rPr>
                <w:rFonts w:ascii="Arial" w:hAnsi="Arial" w:cs="Arial"/>
                <w:b/>
                <w:bCs/>
                <w:sz w:val="20"/>
                <w:szCs w:val="20"/>
              </w:rPr>
            </w:pPr>
            <w:r w:rsidRPr="00A335CB">
              <w:rPr>
                <w:rFonts w:ascii="Arial" w:hAnsi="Arial" w:cs="Arial"/>
                <w:b/>
                <w:bCs/>
                <w:sz w:val="20"/>
                <w:szCs w:val="20"/>
              </w:rPr>
              <w:t>495.440.096</w:t>
            </w:r>
          </w:p>
        </w:tc>
        <w:tc>
          <w:tcPr>
            <w:tcW w:w="1300" w:type="dxa"/>
            <w:shd w:val="clear" w:color="auto" w:fill="C6D9F1" w:themeFill="text2" w:themeFillTint="33"/>
            <w:vAlign w:val="center"/>
            <w:hideMark/>
          </w:tcPr>
          <w:p w14:paraId="082899D7" w14:textId="09A7CC64" w:rsidR="00627DFB" w:rsidRPr="00A335CB" w:rsidRDefault="00627DFB" w:rsidP="005D1A90">
            <w:pPr>
              <w:spacing w:line="276" w:lineRule="auto"/>
              <w:jc w:val="center"/>
              <w:rPr>
                <w:rFonts w:ascii="Arial" w:hAnsi="Arial" w:cs="Arial"/>
                <w:b/>
                <w:bCs/>
                <w:sz w:val="20"/>
                <w:szCs w:val="20"/>
              </w:rPr>
            </w:pPr>
            <w:r w:rsidRPr="00A335CB">
              <w:rPr>
                <w:rFonts w:ascii="Arial" w:hAnsi="Arial" w:cs="Arial"/>
                <w:b/>
                <w:bCs/>
                <w:sz w:val="20"/>
                <w:szCs w:val="20"/>
              </w:rPr>
              <w:t>96</w:t>
            </w:r>
            <w:r w:rsidR="00FF1567" w:rsidRPr="00A335CB">
              <w:rPr>
                <w:rFonts w:ascii="Arial" w:hAnsi="Arial" w:cs="Arial"/>
                <w:b/>
                <w:bCs/>
                <w:sz w:val="20"/>
                <w:szCs w:val="20"/>
              </w:rPr>
              <w:t xml:space="preserve"> </w:t>
            </w:r>
            <w:r w:rsidRPr="00A335CB">
              <w:rPr>
                <w:rFonts w:ascii="Arial" w:hAnsi="Arial" w:cs="Arial"/>
                <w:b/>
                <w:bCs/>
                <w:sz w:val="20"/>
                <w:szCs w:val="20"/>
              </w:rPr>
              <w:t>%</w:t>
            </w:r>
          </w:p>
        </w:tc>
      </w:tr>
      <w:tr w:rsidR="00BD47E0" w:rsidRPr="00A335CB" w14:paraId="173163E2" w14:textId="77777777" w:rsidTr="00C3676E">
        <w:trPr>
          <w:trHeight w:val="420"/>
        </w:trPr>
        <w:tc>
          <w:tcPr>
            <w:tcW w:w="600" w:type="dxa"/>
            <w:shd w:val="clear" w:color="auto" w:fill="FFFFFF" w:themeFill="background1"/>
            <w:vAlign w:val="center"/>
            <w:hideMark/>
          </w:tcPr>
          <w:p w14:paraId="2BA79743" w14:textId="77777777" w:rsidR="00627DFB" w:rsidRPr="00A335CB" w:rsidRDefault="00627DFB"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w:t>
            </w:r>
          </w:p>
        </w:tc>
        <w:tc>
          <w:tcPr>
            <w:tcW w:w="2000" w:type="dxa"/>
            <w:shd w:val="clear" w:color="auto" w:fill="FFFFFF" w:themeFill="background1"/>
            <w:vAlign w:val="center"/>
            <w:hideMark/>
          </w:tcPr>
          <w:p w14:paraId="5762AB9F" w14:textId="77777777" w:rsidR="00627DFB" w:rsidRPr="00A335CB" w:rsidRDefault="00627DFB"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Integralna sredstva</w:t>
            </w:r>
          </w:p>
        </w:tc>
        <w:tc>
          <w:tcPr>
            <w:tcW w:w="1480" w:type="dxa"/>
            <w:shd w:val="clear" w:color="auto" w:fill="FFFFFF" w:themeFill="background1"/>
            <w:noWrap/>
            <w:vAlign w:val="center"/>
            <w:hideMark/>
          </w:tcPr>
          <w:p w14:paraId="7F5EDB22"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491.887.720</w:t>
            </w:r>
          </w:p>
        </w:tc>
        <w:tc>
          <w:tcPr>
            <w:tcW w:w="1400" w:type="dxa"/>
            <w:shd w:val="clear" w:color="auto" w:fill="FFFFFF" w:themeFill="background1"/>
            <w:noWrap/>
            <w:vAlign w:val="center"/>
            <w:hideMark/>
          </w:tcPr>
          <w:p w14:paraId="7509A886"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486.990.612</w:t>
            </w:r>
          </w:p>
        </w:tc>
        <w:tc>
          <w:tcPr>
            <w:tcW w:w="1480" w:type="dxa"/>
            <w:shd w:val="clear" w:color="auto" w:fill="FFFFFF" w:themeFill="background1"/>
            <w:noWrap/>
            <w:vAlign w:val="center"/>
            <w:hideMark/>
          </w:tcPr>
          <w:p w14:paraId="0E932294"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481.835.193</w:t>
            </w:r>
          </w:p>
        </w:tc>
        <w:tc>
          <w:tcPr>
            <w:tcW w:w="1300" w:type="dxa"/>
            <w:shd w:val="clear" w:color="auto" w:fill="FFFFFF" w:themeFill="background1"/>
            <w:vAlign w:val="center"/>
            <w:hideMark/>
          </w:tcPr>
          <w:p w14:paraId="3DA25205" w14:textId="5DE186DE" w:rsidR="00627DFB" w:rsidRPr="00A335CB" w:rsidRDefault="00627DFB" w:rsidP="005D1A90">
            <w:pPr>
              <w:spacing w:line="276" w:lineRule="auto"/>
              <w:jc w:val="center"/>
              <w:rPr>
                <w:rFonts w:ascii="Arial" w:hAnsi="Arial" w:cs="Arial"/>
                <w:sz w:val="20"/>
                <w:szCs w:val="20"/>
              </w:rPr>
            </w:pPr>
            <w:r w:rsidRPr="00A335CB">
              <w:rPr>
                <w:rFonts w:ascii="Arial" w:hAnsi="Arial" w:cs="Arial"/>
                <w:sz w:val="20"/>
                <w:szCs w:val="20"/>
              </w:rPr>
              <w:t>99</w:t>
            </w:r>
            <w:r w:rsidR="00FF1567" w:rsidRPr="00A335CB">
              <w:rPr>
                <w:rFonts w:ascii="Arial" w:hAnsi="Arial" w:cs="Arial"/>
                <w:sz w:val="20"/>
                <w:szCs w:val="20"/>
              </w:rPr>
              <w:t xml:space="preserve"> </w:t>
            </w:r>
            <w:r w:rsidRPr="00A335CB">
              <w:rPr>
                <w:rFonts w:ascii="Arial" w:hAnsi="Arial" w:cs="Arial"/>
                <w:sz w:val="20"/>
                <w:szCs w:val="20"/>
              </w:rPr>
              <w:t>%</w:t>
            </w:r>
          </w:p>
        </w:tc>
      </w:tr>
      <w:tr w:rsidR="00BD47E0" w:rsidRPr="00A335CB" w14:paraId="0D7FF30E" w14:textId="77777777" w:rsidTr="00C3676E">
        <w:trPr>
          <w:trHeight w:val="255"/>
        </w:trPr>
        <w:tc>
          <w:tcPr>
            <w:tcW w:w="600" w:type="dxa"/>
            <w:shd w:val="clear" w:color="000000" w:fill="FFFFFF"/>
            <w:vAlign w:val="center"/>
            <w:hideMark/>
          </w:tcPr>
          <w:p w14:paraId="5CD19550" w14:textId="77777777" w:rsidR="00627DFB" w:rsidRPr="00A335CB" w:rsidRDefault="00627DFB"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2</w:t>
            </w:r>
          </w:p>
        </w:tc>
        <w:tc>
          <w:tcPr>
            <w:tcW w:w="2000" w:type="dxa"/>
            <w:shd w:val="clear" w:color="000000" w:fill="FFFFFF"/>
            <w:vAlign w:val="center"/>
            <w:hideMark/>
          </w:tcPr>
          <w:p w14:paraId="6F5A1173" w14:textId="77777777" w:rsidR="00627DFB" w:rsidRPr="00A335CB" w:rsidRDefault="00627DFB"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Namenska sredstva</w:t>
            </w:r>
          </w:p>
        </w:tc>
        <w:tc>
          <w:tcPr>
            <w:tcW w:w="1480" w:type="dxa"/>
            <w:shd w:val="clear" w:color="auto" w:fill="auto"/>
            <w:noWrap/>
            <w:vAlign w:val="center"/>
            <w:hideMark/>
          </w:tcPr>
          <w:p w14:paraId="6D5C5E7D"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4.416.790</w:t>
            </w:r>
          </w:p>
        </w:tc>
        <w:tc>
          <w:tcPr>
            <w:tcW w:w="1400" w:type="dxa"/>
            <w:shd w:val="clear" w:color="auto" w:fill="auto"/>
            <w:noWrap/>
            <w:vAlign w:val="center"/>
            <w:hideMark/>
          </w:tcPr>
          <w:p w14:paraId="0BA1C90A"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9.151.490</w:t>
            </w:r>
          </w:p>
        </w:tc>
        <w:tc>
          <w:tcPr>
            <w:tcW w:w="1480" w:type="dxa"/>
            <w:shd w:val="clear" w:color="auto" w:fill="auto"/>
            <w:noWrap/>
            <w:vAlign w:val="center"/>
            <w:hideMark/>
          </w:tcPr>
          <w:p w14:paraId="58AA4033"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5.216.306</w:t>
            </w:r>
          </w:p>
        </w:tc>
        <w:tc>
          <w:tcPr>
            <w:tcW w:w="1300" w:type="dxa"/>
            <w:shd w:val="clear" w:color="000000" w:fill="FFFFFF"/>
            <w:vAlign w:val="center"/>
            <w:hideMark/>
          </w:tcPr>
          <w:p w14:paraId="166DCDE1" w14:textId="6A09FD3A" w:rsidR="00627DFB" w:rsidRPr="00A335CB" w:rsidRDefault="00627DFB" w:rsidP="005D1A90">
            <w:pPr>
              <w:spacing w:line="276" w:lineRule="auto"/>
              <w:jc w:val="center"/>
              <w:rPr>
                <w:rFonts w:ascii="Arial" w:hAnsi="Arial" w:cs="Arial"/>
                <w:sz w:val="20"/>
                <w:szCs w:val="20"/>
              </w:rPr>
            </w:pPr>
            <w:r w:rsidRPr="00A335CB">
              <w:rPr>
                <w:rFonts w:ascii="Arial" w:hAnsi="Arial" w:cs="Arial"/>
                <w:sz w:val="20"/>
                <w:szCs w:val="20"/>
              </w:rPr>
              <w:t>57</w:t>
            </w:r>
            <w:r w:rsidR="00FF1567" w:rsidRPr="00A335CB">
              <w:rPr>
                <w:rFonts w:ascii="Arial" w:hAnsi="Arial" w:cs="Arial"/>
                <w:sz w:val="20"/>
                <w:szCs w:val="20"/>
              </w:rPr>
              <w:t xml:space="preserve"> </w:t>
            </w:r>
            <w:r w:rsidRPr="00A335CB">
              <w:rPr>
                <w:rFonts w:ascii="Arial" w:hAnsi="Arial" w:cs="Arial"/>
                <w:sz w:val="20"/>
                <w:szCs w:val="20"/>
              </w:rPr>
              <w:t>%</w:t>
            </w:r>
          </w:p>
        </w:tc>
      </w:tr>
      <w:tr w:rsidR="00BD47E0" w:rsidRPr="00A335CB" w14:paraId="6162DCEB" w14:textId="77777777" w:rsidTr="00C3676E">
        <w:trPr>
          <w:trHeight w:val="255"/>
        </w:trPr>
        <w:tc>
          <w:tcPr>
            <w:tcW w:w="600" w:type="dxa"/>
            <w:shd w:val="clear" w:color="000000" w:fill="FFFFFF"/>
            <w:vAlign w:val="center"/>
            <w:hideMark/>
          </w:tcPr>
          <w:p w14:paraId="009C0A0D" w14:textId="77777777" w:rsidR="00627DFB" w:rsidRPr="00A335CB" w:rsidRDefault="00627DFB"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3</w:t>
            </w:r>
          </w:p>
        </w:tc>
        <w:tc>
          <w:tcPr>
            <w:tcW w:w="2000" w:type="dxa"/>
            <w:shd w:val="clear" w:color="000000" w:fill="FFFFFF"/>
            <w:vAlign w:val="center"/>
            <w:hideMark/>
          </w:tcPr>
          <w:p w14:paraId="7D3A3D68" w14:textId="489F1BF0" w:rsidR="00627DFB" w:rsidRPr="00A335CB" w:rsidRDefault="006B1328" w:rsidP="005D1A90">
            <w:pPr>
              <w:spacing w:after="0" w:line="276" w:lineRule="auto"/>
              <w:rPr>
                <w:rFonts w:ascii="Arial" w:eastAsia="Times New Roman" w:hAnsi="Arial" w:cs="Arial"/>
                <w:sz w:val="20"/>
                <w:szCs w:val="20"/>
                <w:lang w:eastAsia="sl-SI"/>
              </w:rPr>
            </w:pPr>
            <w:r>
              <w:rPr>
                <w:rFonts w:ascii="Arial" w:eastAsia="Times New Roman" w:hAnsi="Arial" w:cs="Arial"/>
                <w:sz w:val="20"/>
                <w:szCs w:val="20"/>
                <w:lang w:eastAsia="sl-SI"/>
              </w:rPr>
              <w:t>S</w:t>
            </w:r>
            <w:r w:rsidR="00627DFB" w:rsidRPr="00A335CB">
              <w:rPr>
                <w:rFonts w:ascii="Arial" w:eastAsia="Times New Roman" w:hAnsi="Arial" w:cs="Arial"/>
                <w:sz w:val="20"/>
                <w:szCs w:val="20"/>
                <w:lang w:eastAsia="sl-SI"/>
              </w:rPr>
              <w:t>redstva</w:t>
            </w:r>
            <w:r>
              <w:rPr>
                <w:rFonts w:ascii="Arial" w:eastAsia="Times New Roman" w:hAnsi="Arial" w:cs="Arial"/>
                <w:sz w:val="20"/>
                <w:szCs w:val="20"/>
                <w:lang w:eastAsia="sl-SI"/>
              </w:rPr>
              <w:t xml:space="preserve"> EU</w:t>
            </w:r>
          </w:p>
        </w:tc>
        <w:tc>
          <w:tcPr>
            <w:tcW w:w="1480" w:type="dxa"/>
            <w:shd w:val="clear" w:color="auto" w:fill="auto"/>
            <w:noWrap/>
            <w:vAlign w:val="center"/>
            <w:hideMark/>
          </w:tcPr>
          <w:p w14:paraId="3E52B0D3"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19.028.758</w:t>
            </w:r>
          </w:p>
        </w:tc>
        <w:tc>
          <w:tcPr>
            <w:tcW w:w="1400" w:type="dxa"/>
            <w:shd w:val="clear" w:color="auto" w:fill="auto"/>
            <w:noWrap/>
            <w:vAlign w:val="center"/>
            <w:hideMark/>
          </w:tcPr>
          <w:p w14:paraId="05565F34"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17.931.418</w:t>
            </w:r>
          </w:p>
        </w:tc>
        <w:tc>
          <w:tcPr>
            <w:tcW w:w="1480" w:type="dxa"/>
            <w:shd w:val="clear" w:color="auto" w:fill="auto"/>
            <w:noWrap/>
            <w:vAlign w:val="center"/>
            <w:hideMark/>
          </w:tcPr>
          <w:p w14:paraId="5D8F0B7B"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7.320.878</w:t>
            </w:r>
          </w:p>
        </w:tc>
        <w:tc>
          <w:tcPr>
            <w:tcW w:w="1300" w:type="dxa"/>
            <w:shd w:val="clear" w:color="000000" w:fill="FFFFFF"/>
            <w:vAlign w:val="center"/>
            <w:hideMark/>
          </w:tcPr>
          <w:p w14:paraId="53B8535C" w14:textId="1FF26D45" w:rsidR="00627DFB" w:rsidRPr="00A335CB" w:rsidRDefault="00627DFB" w:rsidP="005D1A90">
            <w:pPr>
              <w:spacing w:line="276" w:lineRule="auto"/>
              <w:jc w:val="center"/>
              <w:rPr>
                <w:rFonts w:ascii="Arial" w:hAnsi="Arial" w:cs="Arial"/>
                <w:sz w:val="20"/>
                <w:szCs w:val="20"/>
              </w:rPr>
            </w:pPr>
            <w:r w:rsidRPr="00A335CB">
              <w:rPr>
                <w:rFonts w:ascii="Arial" w:hAnsi="Arial" w:cs="Arial"/>
                <w:sz w:val="20"/>
                <w:szCs w:val="20"/>
              </w:rPr>
              <w:t>41</w:t>
            </w:r>
            <w:r w:rsidR="00FF1567" w:rsidRPr="00A335CB">
              <w:rPr>
                <w:rFonts w:ascii="Arial" w:hAnsi="Arial" w:cs="Arial"/>
                <w:sz w:val="20"/>
                <w:szCs w:val="20"/>
              </w:rPr>
              <w:t xml:space="preserve"> </w:t>
            </w:r>
            <w:r w:rsidRPr="00A335CB">
              <w:rPr>
                <w:rFonts w:ascii="Arial" w:hAnsi="Arial" w:cs="Arial"/>
                <w:sz w:val="20"/>
                <w:szCs w:val="20"/>
              </w:rPr>
              <w:t>%</w:t>
            </w:r>
          </w:p>
        </w:tc>
      </w:tr>
      <w:tr w:rsidR="00BD47E0" w:rsidRPr="00A335CB" w14:paraId="3234A3E8" w14:textId="77777777" w:rsidTr="00C3676E">
        <w:trPr>
          <w:trHeight w:val="255"/>
        </w:trPr>
        <w:tc>
          <w:tcPr>
            <w:tcW w:w="600" w:type="dxa"/>
            <w:shd w:val="clear" w:color="000000" w:fill="FFFFFF"/>
            <w:vAlign w:val="center"/>
            <w:hideMark/>
          </w:tcPr>
          <w:p w14:paraId="28C1FDD0" w14:textId="77777777" w:rsidR="00627DFB" w:rsidRPr="00A335CB" w:rsidRDefault="00627DFB" w:rsidP="005D1A90">
            <w:pPr>
              <w:spacing w:after="0"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4</w:t>
            </w:r>
          </w:p>
        </w:tc>
        <w:tc>
          <w:tcPr>
            <w:tcW w:w="2000" w:type="dxa"/>
            <w:shd w:val="clear" w:color="000000" w:fill="FFFFFF"/>
            <w:vAlign w:val="center"/>
            <w:hideMark/>
          </w:tcPr>
          <w:p w14:paraId="3532D141" w14:textId="1AFF964A" w:rsidR="00627DFB" w:rsidRPr="00A335CB" w:rsidRDefault="00627DFB" w:rsidP="005D1A90">
            <w:pPr>
              <w:spacing w:after="0" w:line="276" w:lineRule="auto"/>
              <w:rPr>
                <w:rFonts w:ascii="Arial" w:eastAsia="Times New Roman" w:hAnsi="Arial" w:cs="Arial"/>
                <w:sz w:val="20"/>
                <w:szCs w:val="20"/>
                <w:lang w:eastAsia="sl-SI"/>
              </w:rPr>
            </w:pPr>
            <w:r w:rsidRPr="00A335CB">
              <w:rPr>
                <w:rFonts w:ascii="Arial" w:eastAsia="Times New Roman" w:hAnsi="Arial" w:cs="Arial"/>
                <w:sz w:val="20"/>
                <w:szCs w:val="20"/>
                <w:lang w:eastAsia="sl-SI"/>
              </w:rPr>
              <w:t xml:space="preserve">Integralna sredstva </w:t>
            </w:r>
            <w:r w:rsidR="006B1328">
              <w:rPr>
                <w:rFonts w:ascii="Arial" w:eastAsia="Times New Roman" w:hAnsi="Arial" w:cs="Arial"/>
                <w:sz w:val="20"/>
                <w:szCs w:val="20"/>
                <w:lang w:eastAsia="sl-SI"/>
              </w:rPr>
              <w:t>–</w:t>
            </w:r>
            <w:r w:rsidR="006B1328" w:rsidRPr="00A335CB">
              <w:rPr>
                <w:rFonts w:ascii="Arial" w:eastAsia="Times New Roman" w:hAnsi="Arial" w:cs="Arial"/>
                <w:sz w:val="20"/>
                <w:szCs w:val="20"/>
                <w:lang w:eastAsia="sl-SI"/>
              </w:rPr>
              <w:t xml:space="preserve"> </w:t>
            </w:r>
            <w:r w:rsidRPr="00A335CB">
              <w:rPr>
                <w:rFonts w:ascii="Arial" w:eastAsia="Times New Roman" w:hAnsi="Arial" w:cs="Arial"/>
                <w:sz w:val="20"/>
                <w:szCs w:val="20"/>
                <w:lang w:eastAsia="sl-SI"/>
              </w:rPr>
              <w:t>slovenska udeležba</w:t>
            </w:r>
          </w:p>
        </w:tc>
        <w:tc>
          <w:tcPr>
            <w:tcW w:w="1480" w:type="dxa"/>
            <w:shd w:val="clear" w:color="auto" w:fill="auto"/>
            <w:noWrap/>
            <w:vAlign w:val="center"/>
            <w:hideMark/>
          </w:tcPr>
          <w:p w14:paraId="79928965"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4.156.655</w:t>
            </w:r>
          </w:p>
        </w:tc>
        <w:tc>
          <w:tcPr>
            <w:tcW w:w="1400" w:type="dxa"/>
            <w:shd w:val="clear" w:color="auto" w:fill="auto"/>
            <w:noWrap/>
            <w:vAlign w:val="center"/>
            <w:hideMark/>
          </w:tcPr>
          <w:p w14:paraId="05ADDF48"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1.640.167</w:t>
            </w:r>
          </w:p>
        </w:tc>
        <w:tc>
          <w:tcPr>
            <w:tcW w:w="1480" w:type="dxa"/>
            <w:shd w:val="clear" w:color="auto" w:fill="auto"/>
            <w:noWrap/>
            <w:vAlign w:val="center"/>
            <w:hideMark/>
          </w:tcPr>
          <w:p w14:paraId="7A5B7CBC" w14:textId="77777777" w:rsidR="00627DFB" w:rsidRPr="00A335CB" w:rsidRDefault="00627DFB" w:rsidP="005D1A90">
            <w:pPr>
              <w:spacing w:line="276" w:lineRule="auto"/>
              <w:jc w:val="right"/>
              <w:rPr>
                <w:rFonts w:ascii="Arial" w:hAnsi="Arial" w:cs="Arial"/>
                <w:sz w:val="20"/>
                <w:szCs w:val="20"/>
              </w:rPr>
            </w:pPr>
            <w:r w:rsidRPr="00A335CB">
              <w:rPr>
                <w:rFonts w:ascii="Arial" w:hAnsi="Arial" w:cs="Arial"/>
                <w:sz w:val="20"/>
                <w:szCs w:val="20"/>
              </w:rPr>
              <w:t>1.067.720</w:t>
            </w:r>
          </w:p>
        </w:tc>
        <w:tc>
          <w:tcPr>
            <w:tcW w:w="1300" w:type="dxa"/>
            <w:shd w:val="clear" w:color="000000" w:fill="FFFFFF"/>
            <w:vAlign w:val="center"/>
            <w:hideMark/>
          </w:tcPr>
          <w:p w14:paraId="22CD1F40" w14:textId="5B1D19C9" w:rsidR="00627DFB" w:rsidRPr="00A335CB" w:rsidRDefault="00627DFB" w:rsidP="005D1A90">
            <w:pPr>
              <w:spacing w:line="276" w:lineRule="auto"/>
              <w:jc w:val="center"/>
              <w:rPr>
                <w:rFonts w:ascii="Arial" w:hAnsi="Arial" w:cs="Arial"/>
                <w:sz w:val="20"/>
                <w:szCs w:val="20"/>
              </w:rPr>
            </w:pPr>
            <w:r w:rsidRPr="00A335CB">
              <w:rPr>
                <w:rFonts w:ascii="Arial" w:hAnsi="Arial" w:cs="Arial"/>
                <w:sz w:val="20"/>
                <w:szCs w:val="20"/>
              </w:rPr>
              <w:t>65</w:t>
            </w:r>
            <w:r w:rsidR="00FF1567" w:rsidRPr="00A335CB">
              <w:rPr>
                <w:rFonts w:ascii="Arial" w:hAnsi="Arial" w:cs="Arial"/>
                <w:sz w:val="20"/>
                <w:szCs w:val="20"/>
              </w:rPr>
              <w:t xml:space="preserve"> </w:t>
            </w:r>
            <w:r w:rsidRPr="00A335CB">
              <w:rPr>
                <w:rFonts w:ascii="Arial" w:hAnsi="Arial" w:cs="Arial"/>
                <w:sz w:val="20"/>
                <w:szCs w:val="20"/>
              </w:rPr>
              <w:t>%</w:t>
            </w:r>
          </w:p>
        </w:tc>
      </w:tr>
    </w:tbl>
    <w:p w14:paraId="2880C3F7" w14:textId="3EA76994" w:rsidR="00627DFB" w:rsidRPr="00A335CB" w:rsidRDefault="00EF3FB4" w:rsidP="009C51CB">
      <w:pPr>
        <w:autoSpaceDE w:val="0"/>
        <w:autoSpaceDN w:val="0"/>
        <w:adjustRightInd w:val="0"/>
        <w:spacing w:after="0" w:line="276" w:lineRule="auto"/>
        <w:rPr>
          <w:rFonts w:ascii="Arial" w:hAnsi="Arial" w:cs="Arial"/>
          <w:sz w:val="20"/>
          <w:szCs w:val="20"/>
        </w:rPr>
      </w:pPr>
      <w:r w:rsidRPr="00A335CB">
        <w:rPr>
          <w:rFonts w:ascii="Arial" w:hAnsi="Arial" w:cs="Arial"/>
          <w:b/>
          <w:sz w:val="20"/>
          <w:szCs w:val="20"/>
        </w:rPr>
        <w:t>Preglednica</w:t>
      </w:r>
      <w:r w:rsidR="005F76F3" w:rsidRPr="00A335CB">
        <w:rPr>
          <w:rFonts w:ascii="Arial" w:hAnsi="Arial" w:cs="Arial"/>
          <w:b/>
          <w:sz w:val="20"/>
          <w:szCs w:val="20"/>
        </w:rPr>
        <w:t>:</w:t>
      </w:r>
      <w:r w:rsidR="005F76F3" w:rsidRPr="00A335CB">
        <w:rPr>
          <w:rFonts w:ascii="Arial" w:hAnsi="Arial" w:cs="Arial"/>
          <w:sz w:val="20"/>
          <w:szCs w:val="20"/>
        </w:rPr>
        <w:t xml:space="preserve"> </w:t>
      </w:r>
      <w:r w:rsidR="00670EF4" w:rsidRPr="00A335CB">
        <w:rPr>
          <w:rFonts w:ascii="Arial" w:hAnsi="Arial" w:cs="Arial"/>
          <w:sz w:val="20"/>
          <w:szCs w:val="20"/>
        </w:rPr>
        <w:t>Izvedba</w:t>
      </w:r>
      <w:r w:rsidR="009C51CB">
        <w:rPr>
          <w:rFonts w:ascii="Arial" w:hAnsi="Arial" w:cs="Arial"/>
          <w:sz w:val="20"/>
          <w:szCs w:val="20"/>
        </w:rPr>
        <w:t xml:space="preserve"> proračuna MNZ v letu 2024</w:t>
      </w:r>
    </w:p>
    <w:p w14:paraId="527E2F45" w14:textId="77777777" w:rsidR="009C51CB" w:rsidRDefault="009C51CB" w:rsidP="009C51CB">
      <w:pPr>
        <w:spacing w:after="0" w:line="276" w:lineRule="auto"/>
        <w:jc w:val="both"/>
        <w:rPr>
          <w:rFonts w:ascii="Arial" w:hAnsi="Arial" w:cs="Arial"/>
          <w:sz w:val="20"/>
          <w:szCs w:val="20"/>
        </w:rPr>
      </w:pPr>
    </w:p>
    <w:p w14:paraId="6EEA958C" w14:textId="4EF97158" w:rsidR="00627DFB" w:rsidRPr="00A335CB" w:rsidRDefault="00627DFB" w:rsidP="005D1A90">
      <w:pPr>
        <w:spacing w:line="276" w:lineRule="auto"/>
        <w:jc w:val="both"/>
        <w:rPr>
          <w:rFonts w:ascii="Arial" w:hAnsi="Arial" w:cs="Arial"/>
          <w:sz w:val="20"/>
          <w:szCs w:val="20"/>
        </w:rPr>
      </w:pPr>
      <w:r w:rsidRPr="00A335CB">
        <w:rPr>
          <w:rFonts w:ascii="Arial" w:hAnsi="Arial" w:cs="Arial"/>
          <w:sz w:val="20"/>
          <w:szCs w:val="20"/>
        </w:rPr>
        <w:t xml:space="preserve">Proračun se je na integralnih sredstvih znižal, saj </w:t>
      </w:r>
      <w:r w:rsidR="00FD5E3C" w:rsidRPr="00A335CB">
        <w:rPr>
          <w:rFonts w:ascii="Arial" w:hAnsi="Arial" w:cs="Arial"/>
          <w:sz w:val="20"/>
          <w:szCs w:val="20"/>
        </w:rPr>
        <w:t xml:space="preserve">je MNZ na </w:t>
      </w:r>
      <w:r w:rsidRPr="00A335CB">
        <w:rPr>
          <w:rFonts w:ascii="Arial" w:hAnsi="Arial" w:cs="Arial"/>
          <w:sz w:val="20"/>
          <w:szCs w:val="20"/>
        </w:rPr>
        <w:t xml:space="preserve">podlagi </w:t>
      </w:r>
      <w:r w:rsidR="002912A8">
        <w:rPr>
          <w:rFonts w:ascii="Arial" w:hAnsi="Arial" w:cs="Arial"/>
          <w:sz w:val="20"/>
          <w:szCs w:val="20"/>
        </w:rPr>
        <w:t>predloga</w:t>
      </w:r>
      <w:r w:rsidR="002912A8" w:rsidRPr="00A335CB">
        <w:rPr>
          <w:rFonts w:ascii="Arial" w:hAnsi="Arial" w:cs="Arial"/>
          <w:sz w:val="20"/>
          <w:szCs w:val="20"/>
        </w:rPr>
        <w:t xml:space="preserve"> </w:t>
      </w:r>
      <w:r w:rsidRPr="00A335CB">
        <w:rPr>
          <w:rFonts w:ascii="Arial" w:hAnsi="Arial" w:cs="Arial"/>
          <w:sz w:val="20"/>
          <w:szCs w:val="20"/>
        </w:rPr>
        <w:t>Ministrstva za finance ostanke sredstev na stroških dela in ostanek sredstev</w:t>
      </w:r>
      <w:r w:rsidR="00FD5E3C" w:rsidRPr="00A335CB">
        <w:rPr>
          <w:rFonts w:ascii="Arial" w:hAnsi="Arial" w:cs="Arial"/>
          <w:sz w:val="20"/>
          <w:szCs w:val="20"/>
        </w:rPr>
        <w:t>,</w:t>
      </w:r>
      <w:r w:rsidRPr="00A335CB">
        <w:rPr>
          <w:rFonts w:ascii="Arial" w:hAnsi="Arial" w:cs="Arial"/>
          <w:sz w:val="20"/>
          <w:szCs w:val="20"/>
        </w:rPr>
        <w:t xml:space="preserve"> pridobljenih za plačilo avansa</w:t>
      </w:r>
      <w:r w:rsidR="00FD5E3C" w:rsidRPr="00A335CB">
        <w:rPr>
          <w:rFonts w:ascii="Arial" w:hAnsi="Arial" w:cs="Arial"/>
          <w:sz w:val="20"/>
          <w:szCs w:val="20"/>
        </w:rPr>
        <w:t>,</w:t>
      </w:r>
      <w:r w:rsidRPr="00A335CB">
        <w:rPr>
          <w:rFonts w:ascii="Arial" w:hAnsi="Arial" w:cs="Arial"/>
          <w:sz w:val="20"/>
          <w:szCs w:val="20"/>
        </w:rPr>
        <w:t xml:space="preserve"> ter ostanke slovensk</w:t>
      </w:r>
      <w:r w:rsidR="00FD5E3C" w:rsidRPr="00A335CB">
        <w:rPr>
          <w:rFonts w:ascii="Arial" w:hAnsi="Arial" w:cs="Arial"/>
          <w:sz w:val="20"/>
          <w:szCs w:val="20"/>
        </w:rPr>
        <w:t>e udeležbe prerazporedilo</w:t>
      </w:r>
      <w:r w:rsidRPr="00A335CB">
        <w:rPr>
          <w:rFonts w:ascii="Arial" w:hAnsi="Arial" w:cs="Arial"/>
          <w:sz w:val="20"/>
          <w:szCs w:val="20"/>
        </w:rPr>
        <w:t xml:space="preserve"> v proračunsko rezervacijo </w:t>
      </w:r>
      <w:r w:rsidR="00F40A8E" w:rsidRPr="00A335CB">
        <w:rPr>
          <w:rFonts w:ascii="Arial" w:hAnsi="Arial" w:cs="Arial"/>
          <w:sz w:val="20"/>
          <w:szCs w:val="20"/>
        </w:rPr>
        <w:t>oziroma</w:t>
      </w:r>
      <w:r w:rsidRPr="00A335CB">
        <w:rPr>
          <w:rFonts w:ascii="Arial" w:hAnsi="Arial" w:cs="Arial"/>
          <w:sz w:val="20"/>
          <w:szCs w:val="20"/>
        </w:rPr>
        <w:t xml:space="preserve"> po predlogu </w:t>
      </w:r>
      <w:r w:rsidR="00FD5E3C" w:rsidRPr="00A335CB">
        <w:rPr>
          <w:rFonts w:ascii="Arial" w:hAnsi="Arial" w:cs="Arial"/>
          <w:sz w:val="20"/>
          <w:szCs w:val="20"/>
        </w:rPr>
        <w:t>Ministrstva za finance pokrivalo</w:t>
      </w:r>
      <w:r w:rsidRPr="00A335CB">
        <w:rPr>
          <w:rFonts w:ascii="Arial" w:hAnsi="Arial" w:cs="Arial"/>
          <w:sz w:val="20"/>
          <w:szCs w:val="20"/>
        </w:rPr>
        <w:t xml:space="preserve"> primanjkljaje za plačila vrtcev ter socialna nadomestila. Na namenskih sredstvih </w:t>
      </w:r>
      <w:r w:rsidR="00FD5E3C" w:rsidRPr="00A335CB">
        <w:rPr>
          <w:rFonts w:ascii="Arial" w:hAnsi="Arial" w:cs="Arial"/>
          <w:sz w:val="20"/>
          <w:szCs w:val="20"/>
        </w:rPr>
        <w:t>je MNZ na podlagi sklepa Vlade Republike Slovenije povišalo</w:t>
      </w:r>
      <w:r w:rsidRPr="00A335CB">
        <w:rPr>
          <w:rFonts w:ascii="Arial" w:hAnsi="Arial" w:cs="Arial"/>
          <w:sz w:val="20"/>
          <w:szCs w:val="20"/>
        </w:rPr>
        <w:t xml:space="preserve"> </w:t>
      </w:r>
      <w:r w:rsidR="006B1328" w:rsidRPr="00A335CB">
        <w:rPr>
          <w:rFonts w:ascii="Arial" w:hAnsi="Arial" w:cs="Arial"/>
          <w:sz w:val="20"/>
          <w:szCs w:val="20"/>
        </w:rPr>
        <w:t>načrt</w:t>
      </w:r>
      <w:r w:rsidRPr="00A335CB">
        <w:rPr>
          <w:rFonts w:ascii="Arial" w:hAnsi="Arial" w:cs="Arial"/>
          <w:sz w:val="20"/>
          <w:szCs w:val="20"/>
        </w:rPr>
        <w:t xml:space="preserve"> za namen financiranja predvsem investicij, ki v proračun niso bile vključene, je pa bila njihova izvedba nujna. </w:t>
      </w:r>
    </w:p>
    <w:p w14:paraId="264E5E7B" w14:textId="0E518CBF" w:rsidR="00627DFB" w:rsidRPr="00A335CB" w:rsidRDefault="00973180" w:rsidP="00973180">
      <w:pPr>
        <w:spacing w:after="0" w:line="276" w:lineRule="auto"/>
        <w:jc w:val="both"/>
        <w:rPr>
          <w:rFonts w:ascii="Arial" w:hAnsi="Arial" w:cs="Arial"/>
          <w:b/>
          <w:sz w:val="20"/>
          <w:szCs w:val="20"/>
        </w:rPr>
      </w:pPr>
      <w:proofErr w:type="spellStart"/>
      <w:r w:rsidRPr="00A335CB">
        <w:rPr>
          <w:rFonts w:ascii="Arial" w:hAnsi="Arial" w:cs="Arial"/>
          <w:b/>
          <w:sz w:val="20"/>
          <w:szCs w:val="20"/>
        </w:rPr>
        <w:t>Novouvrščeni</w:t>
      </w:r>
      <w:proofErr w:type="spellEnd"/>
      <w:r w:rsidRPr="00A335CB">
        <w:rPr>
          <w:rFonts w:ascii="Arial" w:hAnsi="Arial" w:cs="Arial"/>
          <w:b/>
          <w:sz w:val="20"/>
          <w:szCs w:val="20"/>
        </w:rPr>
        <w:t xml:space="preserve"> projekti v NRP med letom:</w:t>
      </w:r>
    </w:p>
    <w:p w14:paraId="278B63BC" w14:textId="77777777" w:rsidR="00627DFB" w:rsidRPr="00A335CB" w:rsidRDefault="00627DFB" w:rsidP="005D1A90">
      <w:pPr>
        <w:pStyle w:val="Odstavekseznama"/>
        <w:numPr>
          <w:ilvl w:val="0"/>
          <w:numId w:val="31"/>
        </w:numPr>
        <w:spacing w:after="160"/>
        <w:ind w:left="426" w:hanging="426"/>
        <w:contextualSpacing/>
        <w:jc w:val="both"/>
        <w:rPr>
          <w:rFonts w:ascii="Arial" w:hAnsi="Arial" w:cs="Arial"/>
          <w:sz w:val="20"/>
          <w:szCs w:val="20"/>
        </w:rPr>
      </w:pPr>
      <w:r w:rsidRPr="00A335CB">
        <w:rPr>
          <w:rFonts w:ascii="Arial" w:hAnsi="Arial" w:cs="Arial"/>
          <w:bCs/>
          <w:iCs/>
          <w:sz w:val="20"/>
          <w:szCs w:val="20"/>
        </w:rPr>
        <w:t>1714-24-0002</w:t>
      </w:r>
      <w:r w:rsidRPr="00A335CB">
        <w:rPr>
          <w:rFonts w:ascii="Arial" w:hAnsi="Arial" w:cs="Arial"/>
          <w:bCs/>
          <w:sz w:val="20"/>
          <w:szCs w:val="20"/>
        </w:rPr>
        <w:t xml:space="preserve"> Prenova sistema </w:t>
      </w:r>
      <w:proofErr w:type="spellStart"/>
      <w:r w:rsidRPr="00A335CB">
        <w:rPr>
          <w:rFonts w:ascii="Arial" w:hAnsi="Arial" w:cs="Arial"/>
          <w:bCs/>
          <w:sz w:val="20"/>
          <w:szCs w:val="20"/>
        </w:rPr>
        <w:t>Eurosur</w:t>
      </w:r>
      <w:proofErr w:type="spellEnd"/>
    </w:p>
    <w:p w14:paraId="297DEEFA" w14:textId="575A9A0B" w:rsidR="00627DFB" w:rsidRPr="00A335CB" w:rsidRDefault="00627DFB" w:rsidP="005D1A90">
      <w:pPr>
        <w:pStyle w:val="Odstavekseznama"/>
        <w:numPr>
          <w:ilvl w:val="0"/>
          <w:numId w:val="31"/>
        </w:numPr>
        <w:spacing w:after="160"/>
        <w:ind w:left="426" w:hanging="426"/>
        <w:contextualSpacing/>
        <w:jc w:val="both"/>
        <w:rPr>
          <w:rFonts w:ascii="Arial" w:hAnsi="Arial" w:cs="Arial"/>
          <w:b/>
          <w:sz w:val="20"/>
          <w:szCs w:val="20"/>
        </w:rPr>
      </w:pPr>
      <w:r w:rsidRPr="00A335CB">
        <w:rPr>
          <w:rFonts w:ascii="Arial" w:hAnsi="Arial" w:cs="Arial"/>
          <w:iCs/>
          <w:sz w:val="20"/>
          <w:szCs w:val="20"/>
        </w:rPr>
        <w:t>1714-24-0003</w:t>
      </w:r>
      <w:r w:rsidR="00973180" w:rsidRPr="00A335CB">
        <w:rPr>
          <w:rFonts w:ascii="Arial" w:hAnsi="Arial" w:cs="Arial"/>
          <w:kern w:val="36"/>
          <w:sz w:val="20"/>
          <w:szCs w:val="20"/>
        </w:rPr>
        <w:t xml:space="preserve"> </w:t>
      </w:r>
      <w:r w:rsidRPr="00A335CB">
        <w:rPr>
          <w:rFonts w:ascii="Arial" w:hAnsi="Arial" w:cs="Arial"/>
          <w:sz w:val="20"/>
          <w:szCs w:val="20"/>
          <w:shd w:val="clear" w:color="auto" w:fill="FFFFFF"/>
        </w:rPr>
        <w:t>Vzpostavitev nacionalnega koordinacijskega centra</w:t>
      </w:r>
    </w:p>
    <w:p w14:paraId="5F45B1D4" w14:textId="699130A9" w:rsidR="00627DFB" w:rsidRPr="00A335CB" w:rsidRDefault="00627DFB" w:rsidP="005D1A90">
      <w:pPr>
        <w:pStyle w:val="Odstavekseznama"/>
        <w:numPr>
          <w:ilvl w:val="0"/>
          <w:numId w:val="31"/>
        </w:numPr>
        <w:spacing w:after="160"/>
        <w:ind w:left="426" w:hanging="426"/>
        <w:contextualSpacing/>
        <w:jc w:val="both"/>
        <w:rPr>
          <w:rFonts w:ascii="Arial" w:hAnsi="Arial" w:cs="Arial"/>
          <w:sz w:val="20"/>
          <w:szCs w:val="20"/>
        </w:rPr>
      </w:pPr>
      <w:r w:rsidRPr="00A335CB">
        <w:rPr>
          <w:rFonts w:ascii="Arial" w:hAnsi="Arial" w:cs="Arial"/>
          <w:iCs/>
          <w:sz w:val="20"/>
          <w:szCs w:val="20"/>
        </w:rPr>
        <w:t>1714-24-0004 Investicije v infrastrukturo Centra za tujce</w:t>
      </w:r>
    </w:p>
    <w:p w14:paraId="0FC3F706" w14:textId="222CCC91" w:rsidR="00627DFB" w:rsidRPr="00A335CB" w:rsidRDefault="00627DFB" w:rsidP="005D1A90">
      <w:pPr>
        <w:pStyle w:val="Odstavekseznama"/>
        <w:numPr>
          <w:ilvl w:val="0"/>
          <w:numId w:val="31"/>
        </w:numPr>
        <w:spacing w:after="160"/>
        <w:ind w:left="426" w:hanging="426"/>
        <w:contextualSpacing/>
        <w:jc w:val="both"/>
        <w:rPr>
          <w:rFonts w:ascii="Arial" w:hAnsi="Arial" w:cs="Arial"/>
          <w:b/>
          <w:sz w:val="20"/>
          <w:szCs w:val="20"/>
        </w:rPr>
      </w:pPr>
      <w:r w:rsidRPr="00A335CB">
        <w:rPr>
          <w:rFonts w:ascii="Arial" w:hAnsi="Arial" w:cs="Arial"/>
          <w:bCs/>
          <w:iCs/>
          <w:sz w:val="20"/>
          <w:szCs w:val="20"/>
        </w:rPr>
        <w:t>1714-24-0005</w:t>
      </w:r>
      <w:r w:rsidRPr="00A335CB">
        <w:rPr>
          <w:rFonts w:ascii="Arial" w:hAnsi="Arial" w:cs="Arial"/>
          <w:bCs/>
          <w:sz w:val="20"/>
          <w:szCs w:val="20"/>
        </w:rPr>
        <w:t xml:space="preserve"> </w:t>
      </w:r>
      <w:r w:rsidRPr="00A335CB">
        <w:rPr>
          <w:rFonts w:ascii="Arial" w:hAnsi="Arial" w:cs="Arial"/>
          <w:sz w:val="20"/>
          <w:szCs w:val="20"/>
          <w:shd w:val="clear" w:color="auto" w:fill="FFFFFF"/>
        </w:rPr>
        <w:t>Helikopterja za izvajanje nujne medicinske pomoči</w:t>
      </w:r>
    </w:p>
    <w:p w14:paraId="6BE84EF5" w14:textId="77777777" w:rsidR="00627DFB" w:rsidRPr="00A335CB" w:rsidRDefault="00627DFB" w:rsidP="005D1A90">
      <w:pPr>
        <w:pStyle w:val="Odstavekseznama"/>
        <w:numPr>
          <w:ilvl w:val="0"/>
          <w:numId w:val="31"/>
        </w:numPr>
        <w:spacing w:after="160"/>
        <w:ind w:left="426" w:hanging="426"/>
        <w:contextualSpacing/>
        <w:jc w:val="both"/>
        <w:rPr>
          <w:rFonts w:ascii="Arial" w:hAnsi="Arial" w:cs="Arial"/>
          <w:b/>
          <w:sz w:val="20"/>
          <w:szCs w:val="20"/>
        </w:rPr>
      </w:pPr>
      <w:r w:rsidRPr="00A335CB">
        <w:rPr>
          <w:rFonts w:ascii="Arial" w:hAnsi="Arial" w:cs="Arial"/>
          <w:bCs/>
          <w:iCs/>
          <w:sz w:val="20"/>
          <w:szCs w:val="20"/>
        </w:rPr>
        <w:t>1714-24-0006</w:t>
      </w:r>
      <w:r w:rsidRPr="00A335CB">
        <w:rPr>
          <w:rFonts w:ascii="Arial" w:hAnsi="Arial" w:cs="Arial"/>
          <w:bCs/>
          <w:sz w:val="20"/>
          <w:szCs w:val="20"/>
        </w:rPr>
        <w:t xml:space="preserve"> </w:t>
      </w:r>
      <w:r w:rsidRPr="00A335CB">
        <w:rPr>
          <w:rFonts w:ascii="Arial" w:hAnsi="Arial" w:cs="Arial"/>
          <w:kern w:val="36"/>
          <w:sz w:val="20"/>
          <w:szCs w:val="20"/>
        </w:rPr>
        <w:t>Sistem upravljanja vračanja tujcev</w:t>
      </w:r>
      <w:r w:rsidRPr="00A335CB">
        <w:rPr>
          <w:rFonts w:ascii="Arial" w:hAnsi="Arial" w:cs="Arial"/>
          <w:bCs/>
          <w:iCs/>
          <w:sz w:val="20"/>
          <w:szCs w:val="20"/>
        </w:rPr>
        <w:t xml:space="preserve"> </w:t>
      </w:r>
    </w:p>
    <w:p w14:paraId="4A2A0C88" w14:textId="77777777" w:rsidR="00627DFB" w:rsidRPr="00A335CB" w:rsidRDefault="00627DFB" w:rsidP="005D1A90">
      <w:pPr>
        <w:pStyle w:val="Odstavekseznama"/>
        <w:numPr>
          <w:ilvl w:val="0"/>
          <w:numId w:val="31"/>
        </w:numPr>
        <w:spacing w:after="160"/>
        <w:ind w:left="426" w:hanging="426"/>
        <w:contextualSpacing/>
        <w:jc w:val="both"/>
        <w:rPr>
          <w:rFonts w:ascii="Arial" w:hAnsi="Arial" w:cs="Arial"/>
          <w:b/>
          <w:sz w:val="20"/>
          <w:szCs w:val="20"/>
        </w:rPr>
      </w:pPr>
      <w:r w:rsidRPr="00A335CB">
        <w:rPr>
          <w:rFonts w:ascii="Arial" w:hAnsi="Arial" w:cs="Arial"/>
          <w:bCs/>
          <w:iCs/>
          <w:sz w:val="20"/>
          <w:szCs w:val="20"/>
        </w:rPr>
        <w:t>1714-24-0007</w:t>
      </w:r>
      <w:r w:rsidRPr="00A335CB">
        <w:rPr>
          <w:rFonts w:ascii="Arial" w:hAnsi="Arial" w:cs="Arial"/>
          <w:bCs/>
          <w:sz w:val="20"/>
          <w:szCs w:val="20"/>
        </w:rPr>
        <w:t xml:space="preserve"> </w:t>
      </w:r>
      <w:r w:rsidRPr="00A335CB">
        <w:rPr>
          <w:rFonts w:ascii="Arial" w:hAnsi="Arial" w:cs="Arial"/>
          <w:sz w:val="20"/>
          <w:szCs w:val="20"/>
          <w:shd w:val="clear" w:color="auto" w:fill="FFFFFF"/>
        </w:rPr>
        <w:t>Ureditev prostorov na letališčih Brnik in Maribor</w:t>
      </w:r>
    </w:p>
    <w:p w14:paraId="4A2F9D3D" w14:textId="62C87FE0" w:rsidR="00627DFB" w:rsidRPr="00A335CB" w:rsidRDefault="00627DFB" w:rsidP="005D1A90">
      <w:pPr>
        <w:pStyle w:val="Odstavekseznama"/>
        <w:numPr>
          <w:ilvl w:val="0"/>
          <w:numId w:val="31"/>
        </w:numPr>
        <w:spacing w:after="160"/>
        <w:ind w:left="426" w:hanging="426"/>
        <w:contextualSpacing/>
        <w:jc w:val="both"/>
        <w:rPr>
          <w:rFonts w:ascii="Arial" w:hAnsi="Arial" w:cs="Arial"/>
          <w:b/>
          <w:sz w:val="20"/>
          <w:szCs w:val="20"/>
        </w:rPr>
      </w:pPr>
      <w:r w:rsidRPr="00A335CB">
        <w:rPr>
          <w:rFonts w:ascii="Arial" w:hAnsi="Arial" w:cs="Arial"/>
          <w:bCs/>
          <w:iCs/>
          <w:sz w:val="20"/>
          <w:szCs w:val="20"/>
        </w:rPr>
        <w:t>1714-24-0009</w:t>
      </w:r>
      <w:r w:rsidRPr="00A335CB">
        <w:rPr>
          <w:rFonts w:ascii="Arial" w:hAnsi="Arial" w:cs="Arial"/>
          <w:bCs/>
          <w:sz w:val="20"/>
          <w:szCs w:val="20"/>
        </w:rPr>
        <w:t xml:space="preserve"> </w:t>
      </w:r>
      <w:r w:rsidRPr="00A335CB">
        <w:rPr>
          <w:rFonts w:ascii="Arial" w:hAnsi="Arial" w:cs="Arial"/>
          <w:sz w:val="20"/>
          <w:szCs w:val="20"/>
          <w:shd w:val="clear" w:color="auto" w:fill="FFFFFF"/>
        </w:rPr>
        <w:t>Informacijsko-telekomunikacijska infrastruktura</w:t>
      </w:r>
    </w:p>
    <w:p w14:paraId="1FB01337" w14:textId="0702E7CF" w:rsidR="00627DFB" w:rsidRPr="00A335CB" w:rsidRDefault="00973180" w:rsidP="00973180">
      <w:pPr>
        <w:spacing w:after="0" w:line="276" w:lineRule="auto"/>
        <w:jc w:val="both"/>
        <w:rPr>
          <w:rFonts w:ascii="Arial" w:hAnsi="Arial" w:cs="Arial"/>
          <w:b/>
          <w:sz w:val="20"/>
          <w:szCs w:val="20"/>
        </w:rPr>
      </w:pPr>
      <w:r w:rsidRPr="00A335CB">
        <w:rPr>
          <w:rFonts w:ascii="Arial" w:hAnsi="Arial" w:cs="Arial"/>
          <w:b/>
          <w:sz w:val="20"/>
          <w:szCs w:val="20"/>
        </w:rPr>
        <w:t>Podaljšanje projekta in spremenjena izhodiščna vrednost:</w:t>
      </w:r>
    </w:p>
    <w:p w14:paraId="40DDE798" w14:textId="0204A2DB" w:rsidR="00627DFB" w:rsidRPr="00A335CB" w:rsidRDefault="00627DFB" w:rsidP="005D1A90">
      <w:pPr>
        <w:pStyle w:val="Odstavekseznama"/>
        <w:numPr>
          <w:ilvl w:val="0"/>
          <w:numId w:val="32"/>
        </w:numPr>
        <w:ind w:left="426" w:hanging="426"/>
        <w:contextualSpacing/>
        <w:jc w:val="both"/>
        <w:rPr>
          <w:rFonts w:ascii="Arial" w:hAnsi="Arial" w:cs="Arial"/>
          <w:b/>
          <w:sz w:val="20"/>
          <w:szCs w:val="20"/>
        </w:rPr>
      </w:pPr>
      <w:r w:rsidRPr="00A335CB">
        <w:rPr>
          <w:rFonts w:ascii="Arial" w:hAnsi="Arial" w:cs="Arial"/>
          <w:bCs/>
          <w:iCs/>
          <w:sz w:val="20"/>
          <w:szCs w:val="20"/>
        </w:rPr>
        <w:t>1714-23-0018</w:t>
      </w:r>
      <w:r w:rsidRPr="00A335CB">
        <w:rPr>
          <w:rFonts w:ascii="Arial" w:hAnsi="Arial" w:cs="Arial"/>
          <w:bCs/>
          <w:sz w:val="20"/>
          <w:szCs w:val="20"/>
        </w:rPr>
        <w:t xml:space="preserve"> </w:t>
      </w:r>
      <w:r w:rsidRPr="00A335CB">
        <w:rPr>
          <w:rFonts w:ascii="Arial" w:hAnsi="Arial" w:cs="Arial"/>
          <w:sz w:val="20"/>
          <w:szCs w:val="20"/>
          <w:shd w:val="clear" w:color="auto" w:fill="FFFFFF"/>
        </w:rPr>
        <w:t>Specialna oprema za kriminalistično policijo</w:t>
      </w:r>
    </w:p>
    <w:p w14:paraId="58AC6FA6" w14:textId="27067C1E" w:rsidR="00627DFB" w:rsidRPr="00A335CB" w:rsidRDefault="00973180" w:rsidP="00973180">
      <w:pPr>
        <w:spacing w:after="0" w:line="276" w:lineRule="auto"/>
        <w:jc w:val="both"/>
        <w:rPr>
          <w:rFonts w:ascii="Arial" w:hAnsi="Arial" w:cs="Arial"/>
          <w:b/>
          <w:sz w:val="20"/>
          <w:szCs w:val="20"/>
        </w:rPr>
      </w:pPr>
      <w:r w:rsidRPr="00A335CB">
        <w:rPr>
          <w:rFonts w:ascii="Arial" w:hAnsi="Arial" w:cs="Arial"/>
          <w:b/>
          <w:sz w:val="20"/>
          <w:szCs w:val="20"/>
        </w:rPr>
        <w:t>Pripravljeno je bilo gradivo, ki pa ni bil obravnavano:</w:t>
      </w:r>
    </w:p>
    <w:p w14:paraId="539309C1" w14:textId="06E86EC6" w:rsidR="00627DFB" w:rsidRPr="00A335CB" w:rsidRDefault="00627DFB" w:rsidP="005D1A90">
      <w:pPr>
        <w:pStyle w:val="Odstavekseznama"/>
        <w:numPr>
          <w:ilvl w:val="0"/>
          <w:numId w:val="32"/>
        </w:numPr>
        <w:autoSpaceDE w:val="0"/>
        <w:autoSpaceDN w:val="0"/>
        <w:adjustRightInd w:val="0"/>
        <w:spacing w:after="0"/>
        <w:ind w:left="426" w:hanging="426"/>
        <w:contextualSpacing/>
        <w:jc w:val="both"/>
        <w:rPr>
          <w:rFonts w:ascii="Arial" w:hAnsi="Arial" w:cs="Arial"/>
          <w:sz w:val="20"/>
          <w:szCs w:val="20"/>
        </w:rPr>
      </w:pPr>
      <w:r w:rsidRPr="00A335CB">
        <w:rPr>
          <w:rFonts w:ascii="Arial" w:hAnsi="Arial" w:cs="Arial"/>
          <w:kern w:val="36"/>
          <w:sz w:val="20"/>
          <w:szCs w:val="20"/>
        </w:rPr>
        <w:t xml:space="preserve">1714-21-0018 </w:t>
      </w:r>
      <w:r w:rsidRPr="00A335CB">
        <w:rPr>
          <w:rFonts w:ascii="Arial" w:hAnsi="Arial" w:cs="Arial"/>
          <w:sz w:val="20"/>
          <w:szCs w:val="20"/>
          <w:shd w:val="clear" w:color="auto" w:fill="FFFFFF"/>
        </w:rPr>
        <w:t xml:space="preserve">Rešitev prostorske problematike PP Šentjur in </w:t>
      </w:r>
      <w:r w:rsidRPr="00A335CB">
        <w:rPr>
          <w:rFonts w:ascii="Arial" w:hAnsi="Arial" w:cs="Arial"/>
          <w:iCs/>
          <w:sz w:val="20"/>
          <w:szCs w:val="20"/>
        </w:rPr>
        <w:t>1</w:t>
      </w:r>
      <w:r w:rsidRPr="00A335CB">
        <w:rPr>
          <w:rFonts w:ascii="Arial" w:hAnsi="Arial" w:cs="Arial"/>
          <w:sz w:val="20"/>
          <w:szCs w:val="20"/>
          <w:shd w:val="clear" w:color="auto" w:fill="FFFFFF"/>
        </w:rPr>
        <w:t xml:space="preserve">714-21-0020 Rešitev prostorske problematike PP Rače – </w:t>
      </w:r>
      <w:r w:rsidRPr="00A335CB">
        <w:rPr>
          <w:rFonts w:ascii="Arial" w:hAnsi="Arial" w:cs="Arial"/>
          <w:sz w:val="20"/>
          <w:szCs w:val="20"/>
        </w:rPr>
        <w:t xml:space="preserve">glede na to, da projekta nista del zadnjega sprejetega oziroma veljavnega proračuna, ju je </w:t>
      </w:r>
      <w:r w:rsidR="00E12955" w:rsidRPr="00A335CB">
        <w:rPr>
          <w:rFonts w:ascii="Arial" w:hAnsi="Arial" w:cs="Arial"/>
          <w:sz w:val="20"/>
          <w:szCs w:val="20"/>
        </w:rPr>
        <w:t>treba</w:t>
      </w:r>
      <w:r w:rsidRPr="00A335CB">
        <w:rPr>
          <w:rFonts w:ascii="Arial" w:hAnsi="Arial" w:cs="Arial"/>
          <w:sz w:val="20"/>
          <w:szCs w:val="20"/>
        </w:rPr>
        <w:t xml:space="preserve"> ponovno uvrstiti, pri čemer pa v tekočem letu v proračun ni dovoljeno uvrstiti projekta/ukrepa, ki za tekoče leto nima dinamike financiranja.</w:t>
      </w:r>
    </w:p>
    <w:p w14:paraId="1084DAE0" w14:textId="7FE3355C" w:rsidR="00627DFB" w:rsidRPr="00A335CB" w:rsidRDefault="00627DFB" w:rsidP="005D1A90">
      <w:pPr>
        <w:pStyle w:val="Odstavekseznama"/>
        <w:numPr>
          <w:ilvl w:val="0"/>
          <w:numId w:val="32"/>
        </w:numPr>
        <w:spacing w:after="160"/>
        <w:ind w:left="426" w:hanging="426"/>
        <w:contextualSpacing/>
        <w:jc w:val="both"/>
        <w:rPr>
          <w:rFonts w:ascii="Arial" w:hAnsi="Arial" w:cs="Arial"/>
          <w:sz w:val="20"/>
          <w:szCs w:val="20"/>
        </w:rPr>
      </w:pPr>
      <w:r w:rsidRPr="00A335CB">
        <w:rPr>
          <w:rFonts w:ascii="Arial" w:hAnsi="Arial" w:cs="Arial"/>
          <w:sz w:val="20"/>
          <w:szCs w:val="20"/>
        </w:rPr>
        <w:t>1711-16-0001 Sistem upravljanja skladov AMIF-ISF – zaradi</w:t>
      </w:r>
      <w:r w:rsidR="00973180" w:rsidRPr="00A335CB">
        <w:rPr>
          <w:rFonts w:ascii="Arial" w:hAnsi="Arial" w:cs="Arial"/>
          <w:sz w:val="20"/>
          <w:szCs w:val="20"/>
        </w:rPr>
        <w:t xml:space="preserve"> blokad v </w:t>
      </w:r>
      <w:proofErr w:type="spellStart"/>
      <w:r w:rsidR="00973180" w:rsidRPr="00A335CB">
        <w:rPr>
          <w:rFonts w:ascii="Arial" w:hAnsi="Arial" w:cs="Arial"/>
          <w:sz w:val="20"/>
          <w:szCs w:val="20"/>
        </w:rPr>
        <w:t>Sapri</w:t>
      </w:r>
      <w:proofErr w:type="spellEnd"/>
      <w:r w:rsidR="00973180" w:rsidRPr="00A335CB">
        <w:rPr>
          <w:rFonts w:ascii="Arial" w:hAnsi="Arial" w:cs="Arial"/>
          <w:sz w:val="20"/>
          <w:szCs w:val="20"/>
        </w:rPr>
        <w:t xml:space="preserve"> je bilo</w:t>
      </w:r>
      <w:r w:rsidRPr="00A335CB">
        <w:rPr>
          <w:rFonts w:ascii="Arial" w:hAnsi="Arial" w:cs="Arial"/>
          <w:sz w:val="20"/>
          <w:szCs w:val="20"/>
        </w:rPr>
        <w:t xml:space="preserve"> gradiv</w:t>
      </w:r>
      <w:r w:rsidR="00973180" w:rsidRPr="00A335CB">
        <w:rPr>
          <w:rFonts w:ascii="Arial" w:hAnsi="Arial" w:cs="Arial"/>
          <w:sz w:val="20"/>
          <w:szCs w:val="20"/>
        </w:rPr>
        <w:t xml:space="preserve">o za spremembo vrednosti poslano Ministrstvu za finance </w:t>
      </w:r>
      <w:r w:rsidRPr="00A335CB">
        <w:rPr>
          <w:rFonts w:ascii="Arial" w:hAnsi="Arial" w:cs="Arial"/>
          <w:sz w:val="20"/>
          <w:szCs w:val="20"/>
        </w:rPr>
        <w:t>v oktobru, a ni prišlo do o</w:t>
      </w:r>
      <w:r w:rsidR="00973180" w:rsidRPr="00A335CB">
        <w:rPr>
          <w:rFonts w:ascii="Arial" w:hAnsi="Arial" w:cs="Arial"/>
          <w:sz w:val="20"/>
          <w:szCs w:val="20"/>
        </w:rPr>
        <w:t xml:space="preserve">bravnave. Konec leta 2024 </w:t>
      </w:r>
      <w:r w:rsidRPr="00A335CB">
        <w:rPr>
          <w:rFonts w:ascii="Arial" w:hAnsi="Arial" w:cs="Arial"/>
          <w:sz w:val="20"/>
          <w:szCs w:val="20"/>
        </w:rPr>
        <w:t xml:space="preserve">se </w:t>
      </w:r>
      <w:r w:rsidR="00973180" w:rsidRPr="00A335CB">
        <w:rPr>
          <w:rFonts w:ascii="Arial" w:hAnsi="Arial" w:cs="Arial"/>
          <w:sz w:val="20"/>
          <w:szCs w:val="20"/>
        </w:rPr>
        <w:t>je projekt zaključi</w:t>
      </w:r>
      <w:r w:rsidR="00E12955">
        <w:rPr>
          <w:rFonts w:ascii="Arial" w:hAnsi="Arial" w:cs="Arial"/>
          <w:sz w:val="20"/>
          <w:szCs w:val="20"/>
        </w:rPr>
        <w:t>l</w:t>
      </w:r>
      <w:r w:rsidR="00973180" w:rsidRPr="00A335CB">
        <w:rPr>
          <w:rFonts w:ascii="Arial" w:hAnsi="Arial" w:cs="Arial"/>
          <w:sz w:val="20"/>
          <w:szCs w:val="20"/>
        </w:rPr>
        <w:t>, zato sprememba vrednosti nato</w:t>
      </w:r>
      <w:r w:rsidRPr="00A335CB">
        <w:rPr>
          <w:rFonts w:ascii="Arial" w:hAnsi="Arial" w:cs="Arial"/>
          <w:sz w:val="20"/>
          <w:szCs w:val="20"/>
        </w:rPr>
        <w:t xml:space="preserve"> ni bila več smiselna.</w:t>
      </w:r>
    </w:p>
    <w:p w14:paraId="53CD7C78" w14:textId="1DEE52CA" w:rsidR="00627DFB" w:rsidRPr="00A335CB" w:rsidRDefault="00973180" w:rsidP="00973180">
      <w:pPr>
        <w:spacing w:after="0" w:line="276" w:lineRule="auto"/>
        <w:jc w:val="both"/>
        <w:rPr>
          <w:rFonts w:ascii="Arial" w:hAnsi="Arial" w:cs="Arial"/>
          <w:b/>
          <w:sz w:val="20"/>
          <w:szCs w:val="20"/>
        </w:rPr>
      </w:pPr>
      <w:r w:rsidRPr="00A335CB">
        <w:rPr>
          <w:rFonts w:ascii="Arial" w:hAnsi="Arial" w:cs="Arial"/>
          <w:b/>
          <w:sz w:val="20"/>
          <w:szCs w:val="20"/>
        </w:rPr>
        <w:t>Projekti, ki so bili odprti s proračunom 2025</w:t>
      </w:r>
      <w:r w:rsidR="00E12955">
        <w:rPr>
          <w:rFonts w:ascii="Arial" w:hAnsi="Arial" w:cs="Arial"/>
          <w:b/>
          <w:sz w:val="20"/>
          <w:szCs w:val="20"/>
        </w:rPr>
        <w:t>–</w:t>
      </w:r>
      <w:r w:rsidRPr="00A335CB">
        <w:rPr>
          <w:rFonts w:ascii="Arial" w:hAnsi="Arial" w:cs="Arial"/>
          <w:b/>
          <w:sz w:val="20"/>
          <w:szCs w:val="20"/>
        </w:rPr>
        <w:t>2026:</w:t>
      </w:r>
    </w:p>
    <w:p w14:paraId="0D2CF12C" w14:textId="5AEAC3F9" w:rsidR="00627DFB" w:rsidRPr="00A335CB" w:rsidRDefault="00627DFB" w:rsidP="005D1A90">
      <w:pPr>
        <w:pStyle w:val="Odstavekseznama"/>
        <w:numPr>
          <w:ilvl w:val="0"/>
          <w:numId w:val="33"/>
        </w:numPr>
        <w:ind w:left="426" w:hanging="284"/>
        <w:contextualSpacing/>
        <w:jc w:val="both"/>
        <w:rPr>
          <w:rFonts w:ascii="Arial" w:hAnsi="Arial" w:cs="Arial"/>
          <w:sz w:val="20"/>
          <w:szCs w:val="20"/>
        </w:rPr>
      </w:pPr>
      <w:r w:rsidRPr="00A335CB">
        <w:rPr>
          <w:rFonts w:ascii="Arial" w:hAnsi="Arial" w:cs="Arial"/>
          <w:sz w:val="20"/>
          <w:szCs w:val="20"/>
        </w:rPr>
        <w:t xml:space="preserve">1714-25-0002 </w:t>
      </w:r>
      <w:r w:rsidRPr="00A335CB">
        <w:rPr>
          <w:rFonts w:ascii="Arial" w:hAnsi="Arial" w:cs="Arial"/>
          <w:bCs/>
          <w:sz w:val="20"/>
          <w:szCs w:val="20"/>
        </w:rPr>
        <w:t>Oprema za kriminalistično policijo 2026</w:t>
      </w:r>
      <w:r w:rsidR="00E12955">
        <w:rPr>
          <w:rFonts w:ascii="Arial" w:hAnsi="Arial" w:cs="Arial"/>
          <w:bCs/>
          <w:sz w:val="20"/>
          <w:szCs w:val="20"/>
        </w:rPr>
        <w:t>–</w:t>
      </w:r>
      <w:r w:rsidRPr="00A335CB">
        <w:rPr>
          <w:rFonts w:ascii="Arial" w:hAnsi="Arial" w:cs="Arial"/>
          <w:bCs/>
          <w:sz w:val="20"/>
          <w:szCs w:val="20"/>
        </w:rPr>
        <w:t>2030</w:t>
      </w:r>
    </w:p>
    <w:p w14:paraId="102CD5D7" w14:textId="207FBAAE" w:rsidR="00627DFB" w:rsidRPr="00A335CB" w:rsidRDefault="00627DFB" w:rsidP="005D1A90">
      <w:pPr>
        <w:pStyle w:val="Odstavekseznama"/>
        <w:numPr>
          <w:ilvl w:val="0"/>
          <w:numId w:val="33"/>
        </w:numPr>
        <w:ind w:left="426" w:hanging="284"/>
        <w:contextualSpacing/>
        <w:jc w:val="both"/>
        <w:rPr>
          <w:rFonts w:ascii="Arial" w:hAnsi="Arial" w:cs="Arial"/>
          <w:sz w:val="20"/>
          <w:szCs w:val="20"/>
        </w:rPr>
      </w:pPr>
      <w:r w:rsidRPr="00A335CB">
        <w:rPr>
          <w:rFonts w:ascii="Arial" w:hAnsi="Arial" w:cs="Arial"/>
          <w:sz w:val="20"/>
          <w:szCs w:val="20"/>
        </w:rPr>
        <w:t xml:space="preserve">1714-25-0001 </w:t>
      </w:r>
      <w:r w:rsidRPr="00A335CB">
        <w:rPr>
          <w:rFonts w:ascii="Arial" w:hAnsi="Arial" w:cs="Arial"/>
          <w:bCs/>
          <w:sz w:val="20"/>
          <w:szCs w:val="20"/>
        </w:rPr>
        <w:t>Posebna tehnična sredstva 2026–2030</w:t>
      </w:r>
    </w:p>
    <w:p w14:paraId="23145D11" w14:textId="77777777" w:rsidR="00627DFB" w:rsidRPr="00A335CB" w:rsidRDefault="00627DFB" w:rsidP="005D1A90">
      <w:pPr>
        <w:pStyle w:val="Odstavekseznama"/>
        <w:numPr>
          <w:ilvl w:val="0"/>
          <w:numId w:val="33"/>
        </w:numPr>
        <w:ind w:left="426" w:hanging="284"/>
        <w:contextualSpacing/>
        <w:jc w:val="both"/>
        <w:rPr>
          <w:rFonts w:ascii="Arial" w:hAnsi="Arial" w:cs="Arial"/>
          <w:sz w:val="20"/>
          <w:szCs w:val="20"/>
        </w:rPr>
      </w:pPr>
      <w:r w:rsidRPr="00A335CB">
        <w:rPr>
          <w:rFonts w:ascii="Arial" w:hAnsi="Arial" w:cs="Arial"/>
          <w:sz w:val="20"/>
          <w:szCs w:val="20"/>
        </w:rPr>
        <w:t xml:space="preserve">1714-25-0003 Evidenčni projekt </w:t>
      </w:r>
      <w:r w:rsidRPr="00A335CB">
        <w:rPr>
          <w:rFonts w:ascii="Arial" w:hAnsi="Arial" w:cs="Arial"/>
          <w:bCs/>
          <w:sz w:val="20"/>
          <w:szCs w:val="20"/>
        </w:rPr>
        <w:t>Oprema in investicijsko vzdrževanje</w:t>
      </w:r>
    </w:p>
    <w:p w14:paraId="5F432559" w14:textId="5F29705D" w:rsidR="00627DFB" w:rsidRPr="00A335CB" w:rsidRDefault="00627DFB" w:rsidP="005D1A90">
      <w:pPr>
        <w:pStyle w:val="Odstavekseznama"/>
        <w:numPr>
          <w:ilvl w:val="0"/>
          <w:numId w:val="33"/>
        </w:numPr>
        <w:ind w:left="426" w:hanging="284"/>
        <w:contextualSpacing/>
        <w:jc w:val="both"/>
        <w:rPr>
          <w:rFonts w:ascii="Arial" w:hAnsi="Arial" w:cs="Arial"/>
          <w:sz w:val="20"/>
          <w:szCs w:val="20"/>
        </w:rPr>
      </w:pPr>
      <w:r w:rsidRPr="00A335CB">
        <w:rPr>
          <w:rFonts w:ascii="Arial" w:hAnsi="Arial" w:cs="Arial"/>
          <w:sz w:val="20"/>
          <w:szCs w:val="20"/>
        </w:rPr>
        <w:t>1714-25-0004 Analitska forenzična oprema 2026</w:t>
      </w:r>
      <w:r w:rsidR="00E12955">
        <w:rPr>
          <w:rFonts w:ascii="Arial" w:hAnsi="Arial" w:cs="Arial"/>
          <w:sz w:val="20"/>
          <w:szCs w:val="20"/>
        </w:rPr>
        <w:t>–</w:t>
      </w:r>
      <w:r w:rsidRPr="00A335CB">
        <w:rPr>
          <w:rFonts w:ascii="Arial" w:hAnsi="Arial" w:cs="Arial"/>
          <w:sz w:val="20"/>
          <w:szCs w:val="20"/>
        </w:rPr>
        <w:t>2030</w:t>
      </w:r>
    </w:p>
    <w:p w14:paraId="335D6CEC" w14:textId="2460E8B0" w:rsidR="00973180" w:rsidRPr="009C51CB" w:rsidRDefault="00627DFB" w:rsidP="009C51CB">
      <w:pPr>
        <w:pStyle w:val="Odstavekseznama"/>
        <w:numPr>
          <w:ilvl w:val="0"/>
          <w:numId w:val="33"/>
        </w:numPr>
        <w:spacing w:after="0"/>
        <w:ind w:left="426" w:hanging="284"/>
        <w:contextualSpacing/>
        <w:jc w:val="both"/>
        <w:rPr>
          <w:rFonts w:ascii="Arial" w:hAnsi="Arial" w:cs="Arial"/>
          <w:sz w:val="20"/>
          <w:szCs w:val="20"/>
        </w:rPr>
      </w:pPr>
      <w:r w:rsidRPr="00A335CB">
        <w:rPr>
          <w:rFonts w:ascii="Arial" w:hAnsi="Arial" w:cs="Arial"/>
          <w:sz w:val="20"/>
          <w:szCs w:val="20"/>
        </w:rPr>
        <w:t>1711-25-0001 Manjše obnove in sanacije objektov MNZ</w:t>
      </w:r>
    </w:p>
    <w:p w14:paraId="07F09ACD" w14:textId="609BD3F9" w:rsidR="00082517" w:rsidRPr="00A335CB" w:rsidRDefault="007B327C" w:rsidP="005D1A90">
      <w:pPr>
        <w:pStyle w:val="Naslov2"/>
        <w:spacing w:after="0" w:line="276" w:lineRule="auto"/>
        <w:jc w:val="both"/>
      </w:pPr>
      <w:bookmarkStart w:id="183" w:name="_Toc65591471"/>
      <w:bookmarkStart w:id="184" w:name="_Toc65651022"/>
      <w:bookmarkStart w:id="185" w:name="_Toc203553004"/>
      <w:r w:rsidRPr="00A335CB">
        <w:t>Črpanje evropskih sredstev</w:t>
      </w:r>
      <w:bookmarkEnd w:id="183"/>
      <w:bookmarkEnd w:id="184"/>
      <w:bookmarkEnd w:id="185"/>
    </w:p>
    <w:p w14:paraId="551FD57E" w14:textId="77777777" w:rsidR="00E876AC" w:rsidRPr="00A335CB" w:rsidRDefault="00E876AC" w:rsidP="005D1A90">
      <w:pPr>
        <w:spacing w:after="0" w:line="276" w:lineRule="auto"/>
        <w:rPr>
          <w:rFonts w:ascii="Arial" w:hAnsi="Arial" w:cs="Arial"/>
          <w:sz w:val="20"/>
          <w:szCs w:val="20"/>
          <w:lang w:eastAsia="sl-SI"/>
        </w:rPr>
      </w:pPr>
    </w:p>
    <w:p w14:paraId="160ADDE9" w14:textId="4DFFD483" w:rsidR="00AC5711" w:rsidRPr="00A335CB" w:rsidRDefault="00AC5711" w:rsidP="005D1A90">
      <w:pPr>
        <w:spacing w:after="0" w:line="276" w:lineRule="auto"/>
        <w:jc w:val="both"/>
        <w:rPr>
          <w:rFonts w:ascii="Arial" w:hAnsi="Arial" w:cs="Arial"/>
          <w:sz w:val="20"/>
          <w:szCs w:val="20"/>
        </w:rPr>
      </w:pPr>
      <w:r w:rsidRPr="00A335CB">
        <w:rPr>
          <w:rFonts w:ascii="Arial" w:hAnsi="Arial" w:cs="Arial"/>
          <w:sz w:val="20"/>
          <w:szCs w:val="20"/>
        </w:rPr>
        <w:t>Cilj MNZ je zagotoviti optimalno črpanje evropskih sredstev s spremljanjem izvajanja projektov in prerazporeditvijo neporabljenih sredstev na nove projekte. Obdobje upravičenosti za izvedbo projektov Sklada za azil, migracije in vključevanje (</w:t>
      </w:r>
      <w:r w:rsidR="00973180" w:rsidRPr="00A335CB">
        <w:rPr>
          <w:rFonts w:ascii="Arial" w:hAnsi="Arial" w:cs="Arial"/>
          <w:sz w:val="20"/>
          <w:szCs w:val="20"/>
        </w:rPr>
        <w:t xml:space="preserve">v nadaljnjem besedilu: </w:t>
      </w:r>
      <w:r w:rsidRPr="00A335CB">
        <w:rPr>
          <w:rFonts w:ascii="Arial" w:hAnsi="Arial" w:cs="Arial"/>
          <w:sz w:val="20"/>
          <w:szCs w:val="20"/>
        </w:rPr>
        <w:t>AMIF) ter Sklada za notranjo varnost (</w:t>
      </w:r>
      <w:r w:rsidR="00973180" w:rsidRPr="00A335CB">
        <w:rPr>
          <w:rFonts w:ascii="Arial" w:hAnsi="Arial" w:cs="Arial"/>
          <w:sz w:val="20"/>
          <w:szCs w:val="20"/>
        </w:rPr>
        <w:t xml:space="preserve">v nadaljnjem besedilu: </w:t>
      </w:r>
      <w:r w:rsidRPr="00A335CB">
        <w:rPr>
          <w:rFonts w:ascii="Arial" w:hAnsi="Arial" w:cs="Arial"/>
          <w:sz w:val="20"/>
          <w:szCs w:val="20"/>
        </w:rPr>
        <w:t xml:space="preserve">SNV) finančnega okvira 2014–2020 se je </w:t>
      </w:r>
      <w:r w:rsidR="00441181">
        <w:rPr>
          <w:rFonts w:ascii="Arial" w:hAnsi="Arial" w:cs="Arial"/>
          <w:sz w:val="20"/>
          <w:szCs w:val="20"/>
        </w:rPr>
        <w:t>zaključilo</w:t>
      </w:r>
      <w:r w:rsidR="00441181" w:rsidRPr="00A335CB">
        <w:rPr>
          <w:rFonts w:ascii="Arial" w:hAnsi="Arial" w:cs="Arial"/>
          <w:sz w:val="20"/>
          <w:szCs w:val="20"/>
        </w:rPr>
        <w:t xml:space="preserve"> </w:t>
      </w:r>
      <w:r w:rsidRPr="00A335CB">
        <w:rPr>
          <w:rFonts w:ascii="Arial" w:hAnsi="Arial" w:cs="Arial"/>
          <w:sz w:val="20"/>
          <w:szCs w:val="20"/>
        </w:rPr>
        <w:t xml:space="preserve">konec leta 2023, v letu 2024 pa je bila izvedena kontrola upravičenosti vseh preostalih zahtevkov za povračilo, opravljene </w:t>
      </w:r>
      <w:r w:rsidR="00441181">
        <w:rPr>
          <w:rFonts w:ascii="Arial" w:hAnsi="Arial" w:cs="Arial"/>
          <w:sz w:val="20"/>
          <w:szCs w:val="20"/>
        </w:rPr>
        <w:t xml:space="preserve">so bile </w:t>
      </w:r>
      <w:r w:rsidRPr="00A335CB">
        <w:rPr>
          <w:rFonts w:ascii="Arial" w:hAnsi="Arial" w:cs="Arial"/>
          <w:sz w:val="20"/>
          <w:szCs w:val="20"/>
        </w:rPr>
        <w:t>kontrole na kraju samem ter pripravljeni letni izkazi in i</w:t>
      </w:r>
      <w:r w:rsidR="00973180" w:rsidRPr="00A335CB">
        <w:rPr>
          <w:rFonts w:ascii="Arial" w:hAnsi="Arial" w:cs="Arial"/>
          <w:sz w:val="20"/>
          <w:szCs w:val="20"/>
        </w:rPr>
        <w:t>mplementacijska poročila, ki</w:t>
      </w:r>
      <w:r w:rsidRPr="00A335CB">
        <w:rPr>
          <w:rFonts w:ascii="Arial" w:hAnsi="Arial" w:cs="Arial"/>
          <w:sz w:val="20"/>
          <w:szCs w:val="20"/>
        </w:rPr>
        <w:t xml:space="preserve"> jih </w:t>
      </w:r>
      <w:r w:rsidR="00973180" w:rsidRPr="00A335CB">
        <w:rPr>
          <w:rFonts w:ascii="Arial" w:hAnsi="Arial" w:cs="Arial"/>
          <w:sz w:val="20"/>
          <w:szCs w:val="20"/>
        </w:rPr>
        <w:t xml:space="preserve">je MNZ </w:t>
      </w:r>
      <w:r w:rsidRPr="00A335CB">
        <w:rPr>
          <w:rFonts w:ascii="Arial" w:hAnsi="Arial" w:cs="Arial"/>
          <w:sz w:val="20"/>
          <w:szCs w:val="20"/>
        </w:rPr>
        <w:t>konec decembra 2024</w:t>
      </w:r>
      <w:r w:rsidR="00973180" w:rsidRPr="00A335CB">
        <w:rPr>
          <w:rFonts w:ascii="Arial" w:hAnsi="Arial" w:cs="Arial"/>
          <w:sz w:val="20"/>
          <w:szCs w:val="20"/>
        </w:rPr>
        <w:t xml:space="preserve"> </w:t>
      </w:r>
      <w:r w:rsidR="00670EF4">
        <w:rPr>
          <w:rFonts w:ascii="Arial" w:hAnsi="Arial" w:cs="Arial"/>
          <w:sz w:val="20"/>
          <w:szCs w:val="20"/>
        </w:rPr>
        <w:t>predložilo</w:t>
      </w:r>
      <w:r w:rsidR="00670EF4" w:rsidRPr="00A335CB">
        <w:rPr>
          <w:rFonts w:ascii="Arial" w:hAnsi="Arial" w:cs="Arial"/>
          <w:sz w:val="20"/>
          <w:szCs w:val="20"/>
        </w:rPr>
        <w:t xml:space="preserve"> </w:t>
      </w:r>
      <w:r w:rsidRPr="00A335CB">
        <w:rPr>
          <w:rFonts w:ascii="Arial" w:hAnsi="Arial" w:cs="Arial"/>
          <w:sz w:val="20"/>
          <w:szCs w:val="20"/>
        </w:rPr>
        <w:t xml:space="preserve">Evropski komisiji. </w:t>
      </w:r>
    </w:p>
    <w:p w14:paraId="39EFEFBD" w14:textId="77777777" w:rsidR="00AC5711" w:rsidRPr="00A335CB" w:rsidRDefault="00AC5711" w:rsidP="005D1A90">
      <w:pPr>
        <w:spacing w:after="0" w:line="276" w:lineRule="auto"/>
        <w:jc w:val="both"/>
        <w:rPr>
          <w:rFonts w:ascii="Arial" w:hAnsi="Arial" w:cs="Arial"/>
          <w:sz w:val="20"/>
          <w:szCs w:val="20"/>
        </w:rPr>
      </w:pPr>
    </w:p>
    <w:p w14:paraId="44CCF310" w14:textId="7FA998F6" w:rsidR="00AC5711" w:rsidRPr="00A335CB" w:rsidRDefault="00AC5711" w:rsidP="005D1A90">
      <w:pPr>
        <w:spacing w:after="0" w:line="276" w:lineRule="auto"/>
        <w:jc w:val="both"/>
        <w:rPr>
          <w:rFonts w:ascii="Arial" w:hAnsi="Arial" w:cs="Arial"/>
          <w:sz w:val="20"/>
          <w:szCs w:val="20"/>
        </w:rPr>
      </w:pPr>
      <w:r w:rsidRPr="00A335CB">
        <w:rPr>
          <w:rFonts w:ascii="Arial" w:hAnsi="Arial" w:cs="Arial"/>
          <w:sz w:val="20"/>
          <w:szCs w:val="20"/>
        </w:rPr>
        <w:t>V letu 2024 se je dokončno vzpostavil sistem črpanja sredstev za programe obdobja 2021–2027 ‒ AMIF (44,5 milijona evrov), SNV (32,25 milijona evrov) ter Instrumenta za upravljanje meja in vizume (</w:t>
      </w:r>
      <w:r w:rsidR="00973180" w:rsidRPr="00A335CB">
        <w:rPr>
          <w:rFonts w:ascii="Arial" w:hAnsi="Arial" w:cs="Arial"/>
          <w:sz w:val="20"/>
          <w:szCs w:val="20"/>
        </w:rPr>
        <w:t xml:space="preserve">v nadaljnjem besedilu: IUMV) </w:t>
      </w:r>
      <w:r w:rsidRPr="00A335CB">
        <w:rPr>
          <w:rFonts w:ascii="Arial" w:hAnsi="Arial" w:cs="Arial"/>
          <w:sz w:val="20"/>
          <w:szCs w:val="20"/>
        </w:rPr>
        <w:t>(108,1 </w:t>
      </w:r>
      <w:r w:rsidR="00441181" w:rsidRPr="00A335CB">
        <w:rPr>
          <w:rFonts w:ascii="Arial" w:hAnsi="Arial" w:cs="Arial"/>
          <w:sz w:val="20"/>
          <w:szCs w:val="20"/>
        </w:rPr>
        <w:t>milijon</w:t>
      </w:r>
      <w:r w:rsidR="00441181">
        <w:rPr>
          <w:rFonts w:ascii="Arial" w:hAnsi="Arial" w:cs="Arial"/>
          <w:sz w:val="20"/>
          <w:szCs w:val="20"/>
        </w:rPr>
        <w:t>a</w:t>
      </w:r>
      <w:r w:rsidR="00441181" w:rsidRPr="00A335CB">
        <w:rPr>
          <w:rFonts w:ascii="Arial" w:hAnsi="Arial" w:cs="Arial"/>
          <w:sz w:val="20"/>
          <w:szCs w:val="20"/>
        </w:rPr>
        <w:t xml:space="preserve"> </w:t>
      </w:r>
      <w:r w:rsidRPr="00A335CB">
        <w:rPr>
          <w:rFonts w:ascii="Arial" w:hAnsi="Arial" w:cs="Arial"/>
          <w:sz w:val="20"/>
          <w:szCs w:val="20"/>
        </w:rPr>
        <w:t>evro</w:t>
      </w:r>
      <w:r w:rsidR="00973180" w:rsidRPr="00A335CB">
        <w:rPr>
          <w:rFonts w:ascii="Arial" w:hAnsi="Arial" w:cs="Arial"/>
          <w:sz w:val="20"/>
          <w:szCs w:val="20"/>
        </w:rPr>
        <w:t>v)</w:t>
      </w:r>
      <w:r w:rsidRPr="00A335CB">
        <w:rPr>
          <w:rFonts w:ascii="Arial" w:hAnsi="Arial" w:cs="Arial"/>
          <w:sz w:val="20"/>
          <w:szCs w:val="20"/>
        </w:rPr>
        <w:t>. Upravičeno obdobj</w:t>
      </w:r>
      <w:r w:rsidR="00973180" w:rsidRPr="00A335CB">
        <w:rPr>
          <w:rFonts w:ascii="Arial" w:hAnsi="Arial" w:cs="Arial"/>
          <w:sz w:val="20"/>
          <w:szCs w:val="20"/>
        </w:rPr>
        <w:t>e črpanja sredstev se zaključi</w:t>
      </w:r>
      <w:r w:rsidRPr="00A335CB">
        <w:rPr>
          <w:rFonts w:ascii="Arial" w:hAnsi="Arial" w:cs="Arial"/>
          <w:sz w:val="20"/>
          <w:szCs w:val="20"/>
        </w:rPr>
        <w:t xml:space="preserve"> 31.</w:t>
      </w:r>
      <w:r w:rsidR="00441181">
        <w:rPr>
          <w:rFonts w:ascii="Arial" w:hAnsi="Arial" w:cs="Arial"/>
          <w:sz w:val="20"/>
          <w:szCs w:val="20"/>
        </w:rPr>
        <w:t> </w:t>
      </w:r>
      <w:r w:rsidRPr="00A335CB">
        <w:rPr>
          <w:rFonts w:ascii="Arial" w:hAnsi="Arial" w:cs="Arial"/>
          <w:sz w:val="20"/>
          <w:szCs w:val="20"/>
        </w:rPr>
        <w:t>12.</w:t>
      </w:r>
      <w:r w:rsidR="00441181">
        <w:rPr>
          <w:rFonts w:ascii="Arial" w:hAnsi="Arial" w:cs="Arial"/>
          <w:sz w:val="20"/>
          <w:szCs w:val="20"/>
        </w:rPr>
        <w:t> </w:t>
      </w:r>
      <w:r w:rsidRPr="00A335CB">
        <w:rPr>
          <w:rFonts w:ascii="Arial" w:hAnsi="Arial" w:cs="Arial"/>
          <w:sz w:val="20"/>
          <w:szCs w:val="20"/>
        </w:rPr>
        <w:t xml:space="preserve">2029. Za vse oddane projektne prijave so bile izdane odločitve o podpori, pregledana je bila večina </w:t>
      </w:r>
      <w:r w:rsidR="00670EF4">
        <w:rPr>
          <w:rFonts w:ascii="Arial" w:hAnsi="Arial" w:cs="Arial"/>
          <w:sz w:val="20"/>
          <w:szCs w:val="20"/>
        </w:rPr>
        <w:t>predloženih</w:t>
      </w:r>
      <w:r w:rsidR="00670EF4" w:rsidRPr="00A335CB">
        <w:rPr>
          <w:rFonts w:ascii="Arial" w:hAnsi="Arial" w:cs="Arial"/>
          <w:sz w:val="20"/>
          <w:szCs w:val="20"/>
        </w:rPr>
        <w:t xml:space="preserve"> </w:t>
      </w:r>
      <w:r w:rsidRPr="00A335CB">
        <w:rPr>
          <w:rFonts w:ascii="Arial" w:hAnsi="Arial" w:cs="Arial"/>
          <w:sz w:val="20"/>
          <w:szCs w:val="20"/>
        </w:rPr>
        <w:t>zahtevkov za povračilo, pripravljeni so bili zahtevki za plačilo Evropski komisiji v o</w:t>
      </w:r>
      <w:r w:rsidR="00973180" w:rsidRPr="00A335CB">
        <w:rPr>
          <w:rFonts w:ascii="Arial" w:hAnsi="Arial" w:cs="Arial"/>
          <w:sz w:val="20"/>
          <w:szCs w:val="20"/>
        </w:rPr>
        <w:t>kviru AMIF v višini 4,77 milijona evrov</w:t>
      </w:r>
      <w:r w:rsidRPr="00A335CB">
        <w:rPr>
          <w:rFonts w:ascii="Arial" w:hAnsi="Arial" w:cs="Arial"/>
          <w:sz w:val="20"/>
          <w:szCs w:val="20"/>
        </w:rPr>
        <w:t xml:space="preserve"> (od tega</w:t>
      </w:r>
      <w:r w:rsidR="00973180" w:rsidRPr="00A335CB">
        <w:rPr>
          <w:rFonts w:ascii="Arial" w:hAnsi="Arial" w:cs="Arial"/>
          <w:sz w:val="20"/>
          <w:szCs w:val="20"/>
        </w:rPr>
        <w:t xml:space="preserve"> za MNZ in policijo 0,74 milijona evrov), v okviru ISF 3</w:t>
      </w:r>
      <w:r w:rsidR="00441181">
        <w:rPr>
          <w:rFonts w:ascii="Arial" w:hAnsi="Arial" w:cs="Arial"/>
          <w:sz w:val="20"/>
          <w:szCs w:val="20"/>
        </w:rPr>
        <w:t> </w:t>
      </w:r>
      <w:r w:rsidR="00973180" w:rsidRPr="00A335CB">
        <w:rPr>
          <w:rFonts w:ascii="Arial" w:hAnsi="Arial" w:cs="Arial"/>
          <w:sz w:val="20"/>
          <w:szCs w:val="20"/>
        </w:rPr>
        <w:t>milijon</w:t>
      </w:r>
      <w:r w:rsidR="00441181">
        <w:rPr>
          <w:rFonts w:ascii="Arial" w:hAnsi="Arial" w:cs="Arial"/>
          <w:sz w:val="20"/>
          <w:szCs w:val="20"/>
        </w:rPr>
        <w:t>e</w:t>
      </w:r>
      <w:r w:rsidR="00973180" w:rsidRPr="00A335CB">
        <w:rPr>
          <w:rFonts w:ascii="Arial" w:hAnsi="Arial" w:cs="Arial"/>
          <w:sz w:val="20"/>
          <w:szCs w:val="20"/>
        </w:rPr>
        <w:t xml:space="preserve"> evrov (od tega za MNZ in policijo 3 milijone evrov) in v okviru IUMV 2,2 milijona evrov</w:t>
      </w:r>
      <w:r w:rsidRPr="00A335CB">
        <w:rPr>
          <w:rFonts w:ascii="Arial" w:hAnsi="Arial" w:cs="Arial"/>
          <w:sz w:val="20"/>
          <w:szCs w:val="20"/>
        </w:rPr>
        <w:t xml:space="preserve"> (od tega</w:t>
      </w:r>
      <w:r w:rsidR="00973180" w:rsidRPr="00A335CB">
        <w:rPr>
          <w:rFonts w:ascii="Arial" w:hAnsi="Arial" w:cs="Arial"/>
          <w:sz w:val="20"/>
          <w:szCs w:val="20"/>
        </w:rPr>
        <w:t xml:space="preserve"> za MNZ in </w:t>
      </w:r>
      <w:r w:rsidR="00441181">
        <w:rPr>
          <w:rFonts w:ascii="Arial" w:hAnsi="Arial" w:cs="Arial"/>
          <w:sz w:val="20"/>
          <w:szCs w:val="20"/>
        </w:rPr>
        <w:t>p</w:t>
      </w:r>
      <w:r w:rsidR="00441181" w:rsidRPr="00A335CB">
        <w:rPr>
          <w:rFonts w:ascii="Arial" w:hAnsi="Arial" w:cs="Arial"/>
          <w:sz w:val="20"/>
          <w:szCs w:val="20"/>
        </w:rPr>
        <w:t xml:space="preserve">olicijo </w:t>
      </w:r>
      <w:r w:rsidR="00973180" w:rsidRPr="00A335CB">
        <w:rPr>
          <w:rFonts w:ascii="Arial" w:hAnsi="Arial" w:cs="Arial"/>
          <w:sz w:val="20"/>
          <w:szCs w:val="20"/>
        </w:rPr>
        <w:t>milijon evrov</w:t>
      </w:r>
      <w:r w:rsidRPr="00A335CB">
        <w:rPr>
          <w:rFonts w:ascii="Arial" w:hAnsi="Arial" w:cs="Arial"/>
          <w:sz w:val="20"/>
          <w:szCs w:val="20"/>
        </w:rPr>
        <w:t xml:space="preserve">). </w:t>
      </w:r>
    </w:p>
    <w:p w14:paraId="059578A5" w14:textId="77777777" w:rsidR="00AC5711" w:rsidRPr="00A335CB" w:rsidRDefault="00AC5711" w:rsidP="005D1A90">
      <w:pPr>
        <w:spacing w:after="0" w:line="276" w:lineRule="auto"/>
        <w:jc w:val="both"/>
        <w:rPr>
          <w:rFonts w:ascii="Arial" w:hAnsi="Arial" w:cs="Arial"/>
          <w:sz w:val="20"/>
          <w:szCs w:val="20"/>
        </w:rPr>
      </w:pPr>
    </w:p>
    <w:p w14:paraId="12976312" w14:textId="2226039E" w:rsidR="009A64DC" w:rsidRPr="00A335CB" w:rsidRDefault="00AC5711" w:rsidP="005D1A90">
      <w:pPr>
        <w:spacing w:after="0" w:line="276" w:lineRule="auto"/>
        <w:jc w:val="both"/>
        <w:rPr>
          <w:rFonts w:ascii="Arial" w:hAnsi="Arial" w:cs="Arial"/>
          <w:sz w:val="20"/>
          <w:szCs w:val="20"/>
        </w:rPr>
      </w:pPr>
      <w:r w:rsidRPr="00A335CB">
        <w:rPr>
          <w:rFonts w:ascii="Arial" w:hAnsi="Arial" w:cs="Arial"/>
          <w:sz w:val="20"/>
          <w:szCs w:val="20"/>
        </w:rPr>
        <w:t xml:space="preserve">V okviru Načrta za okrevanje in odpornost </w:t>
      </w:r>
      <w:r w:rsidR="00A51A6D" w:rsidRPr="00A335CB">
        <w:rPr>
          <w:rFonts w:ascii="Arial" w:hAnsi="Arial" w:cs="Arial"/>
          <w:sz w:val="20"/>
          <w:szCs w:val="20"/>
        </w:rPr>
        <w:t xml:space="preserve">je bilo v letu 2024 </w:t>
      </w:r>
      <w:r w:rsidRPr="00A335CB">
        <w:rPr>
          <w:rFonts w:ascii="Arial" w:hAnsi="Arial" w:cs="Arial"/>
          <w:sz w:val="20"/>
          <w:szCs w:val="20"/>
        </w:rPr>
        <w:t>v okviru projekta Digitalizaci</w:t>
      </w:r>
      <w:r w:rsidR="00A51A6D" w:rsidRPr="00A335CB">
        <w:rPr>
          <w:rFonts w:ascii="Arial" w:hAnsi="Arial" w:cs="Arial"/>
          <w:sz w:val="20"/>
          <w:szCs w:val="20"/>
        </w:rPr>
        <w:t xml:space="preserve">ja notranje varnosti </w:t>
      </w:r>
      <w:r w:rsidR="00441181" w:rsidRPr="00A335CB">
        <w:rPr>
          <w:rFonts w:ascii="Arial" w:hAnsi="Arial" w:cs="Arial"/>
          <w:sz w:val="20"/>
          <w:szCs w:val="20"/>
        </w:rPr>
        <w:t>realiziran</w:t>
      </w:r>
      <w:r w:rsidR="00441181">
        <w:rPr>
          <w:rFonts w:ascii="Arial" w:hAnsi="Arial" w:cs="Arial"/>
          <w:sz w:val="20"/>
          <w:szCs w:val="20"/>
        </w:rPr>
        <w:t>ih</w:t>
      </w:r>
      <w:r w:rsidR="00441181" w:rsidRPr="00A335CB">
        <w:rPr>
          <w:rFonts w:ascii="Arial" w:hAnsi="Arial" w:cs="Arial"/>
          <w:sz w:val="20"/>
          <w:szCs w:val="20"/>
        </w:rPr>
        <w:t xml:space="preserve"> </w:t>
      </w:r>
      <w:r w:rsidR="00A51A6D" w:rsidRPr="00A335CB">
        <w:rPr>
          <w:rFonts w:ascii="Arial" w:hAnsi="Arial" w:cs="Arial"/>
          <w:sz w:val="20"/>
          <w:szCs w:val="20"/>
        </w:rPr>
        <w:t>3,2 milijona evrov</w:t>
      </w:r>
      <w:r w:rsidRPr="00A335CB">
        <w:rPr>
          <w:rFonts w:ascii="Arial" w:hAnsi="Arial" w:cs="Arial"/>
          <w:sz w:val="20"/>
          <w:szCs w:val="20"/>
        </w:rPr>
        <w:t>. Do 31.</w:t>
      </w:r>
      <w:r w:rsidR="00441181">
        <w:rPr>
          <w:rFonts w:ascii="Arial" w:hAnsi="Arial" w:cs="Arial"/>
          <w:sz w:val="20"/>
          <w:szCs w:val="20"/>
        </w:rPr>
        <w:t> </w:t>
      </w:r>
      <w:r w:rsidRPr="00A335CB">
        <w:rPr>
          <w:rFonts w:ascii="Arial" w:hAnsi="Arial" w:cs="Arial"/>
          <w:sz w:val="20"/>
          <w:szCs w:val="20"/>
        </w:rPr>
        <w:t>12.</w:t>
      </w:r>
      <w:r w:rsidR="00441181">
        <w:rPr>
          <w:rFonts w:ascii="Arial" w:hAnsi="Arial" w:cs="Arial"/>
          <w:sz w:val="20"/>
          <w:szCs w:val="20"/>
        </w:rPr>
        <w:t> </w:t>
      </w:r>
      <w:r w:rsidRPr="00A335CB">
        <w:rPr>
          <w:rFonts w:ascii="Arial" w:hAnsi="Arial" w:cs="Arial"/>
          <w:sz w:val="20"/>
          <w:szCs w:val="20"/>
        </w:rPr>
        <w:t>2025 mora biti izpolnjen mejnik – operativn</w:t>
      </w:r>
      <w:r w:rsidR="00441181">
        <w:rPr>
          <w:rFonts w:ascii="Arial" w:hAnsi="Arial" w:cs="Arial"/>
          <w:sz w:val="20"/>
          <w:szCs w:val="20"/>
        </w:rPr>
        <w:t>i</w:t>
      </w:r>
      <w:r w:rsidRPr="00A335CB">
        <w:rPr>
          <w:rFonts w:ascii="Arial" w:hAnsi="Arial" w:cs="Arial"/>
          <w:sz w:val="20"/>
          <w:szCs w:val="20"/>
        </w:rPr>
        <w:t xml:space="preserve"> oblak </w:t>
      </w:r>
      <w:r w:rsidR="00441181">
        <w:rPr>
          <w:rFonts w:ascii="Arial" w:hAnsi="Arial" w:cs="Arial"/>
          <w:sz w:val="20"/>
          <w:szCs w:val="20"/>
        </w:rPr>
        <w:t>p</w:t>
      </w:r>
      <w:r w:rsidR="00441181" w:rsidRPr="00A335CB">
        <w:rPr>
          <w:rFonts w:ascii="Arial" w:hAnsi="Arial" w:cs="Arial"/>
          <w:sz w:val="20"/>
          <w:szCs w:val="20"/>
        </w:rPr>
        <w:t>olicije</w:t>
      </w:r>
      <w:r w:rsidRPr="00A335CB">
        <w:rPr>
          <w:rFonts w:ascii="Arial" w:hAnsi="Arial" w:cs="Arial"/>
          <w:sz w:val="20"/>
          <w:szCs w:val="20"/>
        </w:rPr>
        <w:t>. Upravičeno obdobje za črpanje sredstev se zaključi 30.</w:t>
      </w:r>
      <w:r w:rsidR="00441181">
        <w:rPr>
          <w:rFonts w:ascii="Arial" w:hAnsi="Arial" w:cs="Arial"/>
          <w:sz w:val="20"/>
          <w:szCs w:val="20"/>
        </w:rPr>
        <w:t> </w:t>
      </w:r>
      <w:r w:rsidRPr="00A335CB">
        <w:rPr>
          <w:rFonts w:ascii="Arial" w:hAnsi="Arial" w:cs="Arial"/>
          <w:sz w:val="20"/>
          <w:szCs w:val="20"/>
        </w:rPr>
        <w:t>6.</w:t>
      </w:r>
      <w:r w:rsidR="00441181">
        <w:rPr>
          <w:rFonts w:ascii="Arial" w:hAnsi="Arial" w:cs="Arial"/>
          <w:sz w:val="20"/>
          <w:szCs w:val="20"/>
        </w:rPr>
        <w:t> </w:t>
      </w:r>
      <w:r w:rsidRPr="00A335CB">
        <w:rPr>
          <w:rFonts w:ascii="Arial" w:hAnsi="Arial" w:cs="Arial"/>
          <w:sz w:val="20"/>
          <w:szCs w:val="20"/>
        </w:rPr>
        <w:t>2026.</w:t>
      </w:r>
      <w:bookmarkStart w:id="186" w:name="_Toc65591472"/>
      <w:bookmarkStart w:id="187" w:name="_Toc65651023"/>
    </w:p>
    <w:p w14:paraId="248E22CB" w14:textId="77777777" w:rsidR="009A64DC" w:rsidRPr="00A335CB" w:rsidRDefault="009A64DC" w:rsidP="005D1A90">
      <w:pPr>
        <w:spacing w:after="0" w:line="276" w:lineRule="auto"/>
        <w:jc w:val="both"/>
        <w:rPr>
          <w:rFonts w:ascii="Arial" w:hAnsi="Arial" w:cs="Arial"/>
          <w:sz w:val="20"/>
          <w:szCs w:val="20"/>
        </w:rPr>
      </w:pPr>
    </w:p>
    <w:p w14:paraId="547C7F55" w14:textId="4A413A88" w:rsidR="00696BF5" w:rsidRPr="00A335CB" w:rsidRDefault="007B327C" w:rsidP="005D1A90">
      <w:pPr>
        <w:pStyle w:val="Naslov2"/>
        <w:spacing w:after="0" w:line="276" w:lineRule="auto"/>
        <w:jc w:val="both"/>
      </w:pPr>
      <w:bookmarkStart w:id="188" w:name="_Toc203553005"/>
      <w:r w:rsidRPr="00A335CB">
        <w:t>Kadrovski podatki</w:t>
      </w:r>
      <w:bookmarkEnd w:id="186"/>
      <w:bookmarkEnd w:id="187"/>
      <w:bookmarkEnd w:id="188"/>
    </w:p>
    <w:p w14:paraId="436F623A" w14:textId="77777777" w:rsidR="00696BF5" w:rsidRPr="00A335CB" w:rsidRDefault="00696BF5" w:rsidP="005D1A90">
      <w:pPr>
        <w:spacing w:after="0" w:line="276" w:lineRule="auto"/>
        <w:rPr>
          <w:rFonts w:ascii="Arial" w:hAnsi="Arial" w:cs="Arial"/>
          <w:sz w:val="20"/>
          <w:szCs w:val="20"/>
          <w:lang w:eastAsia="sl-SI"/>
        </w:rPr>
      </w:pPr>
    </w:p>
    <w:p w14:paraId="57534D8B" w14:textId="31A3FB18" w:rsidR="001541A2" w:rsidRPr="00A335CB" w:rsidRDefault="001541A2" w:rsidP="001541A2">
      <w:pPr>
        <w:spacing w:after="0"/>
        <w:jc w:val="both"/>
        <w:rPr>
          <w:rFonts w:ascii="Arial" w:hAnsi="Arial" w:cs="Arial"/>
          <w:b/>
          <w:color w:val="111111"/>
          <w:sz w:val="20"/>
          <w:szCs w:val="20"/>
        </w:rPr>
      </w:pPr>
      <w:r w:rsidRPr="00A335CB">
        <w:rPr>
          <w:rFonts w:ascii="Arial" w:hAnsi="Arial" w:cs="Arial"/>
          <w:b/>
          <w:color w:val="111111"/>
          <w:sz w:val="20"/>
          <w:szCs w:val="20"/>
        </w:rPr>
        <w:t>Priprava</w:t>
      </w:r>
      <w:r w:rsidR="00A51A6D" w:rsidRPr="00A335CB">
        <w:rPr>
          <w:rFonts w:ascii="Arial" w:hAnsi="Arial" w:cs="Arial"/>
          <w:b/>
          <w:color w:val="111111"/>
          <w:sz w:val="20"/>
          <w:szCs w:val="20"/>
        </w:rPr>
        <w:t xml:space="preserve"> na prehod v nov plačni sistem</w:t>
      </w:r>
    </w:p>
    <w:p w14:paraId="31D2BECA" w14:textId="7C7959AD" w:rsidR="001541A2" w:rsidRPr="00A335CB" w:rsidRDefault="001541A2" w:rsidP="00A51A6D">
      <w:pPr>
        <w:spacing w:after="0"/>
        <w:jc w:val="both"/>
        <w:rPr>
          <w:rFonts w:ascii="Arial" w:hAnsi="Arial" w:cs="Arial"/>
          <w:color w:val="111111"/>
          <w:sz w:val="20"/>
          <w:szCs w:val="20"/>
        </w:rPr>
      </w:pPr>
      <w:r w:rsidRPr="00A335CB">
        <w:rPr>
          <w:rFonts w:ascii="Arial" w:hAnsi="Arial" w:cs="Arial"/>
          <w:color w:val="111111"/>
          <w:sz w:val="20"/>
          <w:szCs w:val="20"/>
        </w:rPr>
        <w:t xml:space="preserve">V zvezi s prenovo plačnega sistema, katere temelj </w:t>
      </w:r>
      <w:r w:rsidR="00721952">
        <w:rPr>
          <w:rFonts w:ascii="Arial" w:hAnsi="Arial" w:cs="Arial"/>
          <w:color w:val="111111"/>
          <w:sz w:val="20"/>
          <w:szCs w:val="20"/>
        </w:rPr>
        <w:t>je</w:t>
      </w:r>
      <w:r w:rsidR="00721952" w:rsidRPr="00A335CB">
        <w:rPr>
          <w:rFonts w:ascii="Arial" w:hAnsi="Arial" w:cs="Arial"/>
          <w:color w:val="111111"/>
          <w:sz w:val="20"/>
          <w:szCs w:val="20"/>
        </w:rPr>
        <w:t xml:space="preserve"> </w:t>
      </w:r>
      <w:r w:rsidRPr="00A335CB">
        <w:rPr>
          <w:rFonts w:ascii="Arial" w:hAnsi="Arial" w:cs="Arial"/>
          <w:color w:val="111111"/>
          <w:sz w:val="20"/>
          <w:szCs w:val="20"/>
        </w:rPr>
        <w:t xml:space="preserve">Zakon o skupnih temeljih sistema plač v javnem sektorju, </w:t>
      </w:r>
      <w:r w:rsidR="00A51A6D" w:rsidRPr="00A335CB">
        <w:rPr>
          <w:rFonts w:ascii="Arial" w:hAnsi="Arial" w:cs="Arial"/>
          <w:color w:val="111111"/>
          <w:sz w:val="20"/>
          <w:szCs w:val="20"/>
        </w:rPr>
        <w:t>so bile v decembru 2024 pripravljene</w:t>
      </w:r>
      <w:r w:rsidRPr="00A335CB">
        <w:rPr>
          <w:rFonts w:ascii="Arial" w:hAnsi="Arial" w:cs="Arial"/>
          <w:color w:val="111111"/>
          <w:sz w:val="20"/>
          <w:szCs w:val="20"/>
        </w:rPr>
        <w:t xml:space="preserve"> spremembe in dopolnitve internih aktov o notranji organizaciji, sistemizaciji, delovnih mestih in nazivih v Ministrstvu za notranje zadeve, </w:t>
      </w:r>
      <w:r w:rsidR="00441181">
        <w:rPr>
          <w:rFonts w:ascii="Arial" w:hAnsi="Arial" w:cs="Arial"/>
          <w:color w:val="111111"/>
          <w:sz w:val="20"/>
          <w:szCs w:val="20"/>
        </w:rPr>
        <w:t>p</w:t>
      </w:r>
      <w:r w:rsidR="00441181" w:rsidRPr="00A335CB">
        <w:rPr>
          <w:rFonts w:ascii="Arial" w:hAnsi="Arial" w:cs="Arial"/>
          <w:color w:val="111111"/>
          <w:sz w:val="20"/>
          <w:szCs w:val="20"/>
        </w:rPr>
        <w:t xml:space="preserve">oliciji </w:t>
      </w:r>
      <w:r w:rsidRPr="00A335CB">
        <w:rPr>
          <w:rFonts w:ascii="Arial" w:hAnsi="Arial" w:cs="Arial"/>
          <w:color w:val="111111"/>
          <w:sz w:val="20"/>
          <w:szCs w:val="20"/>
        </w:rPr>
        <w:t xml:space="preserve">in Inšpektoratu </w:t>
      </w:r>
      <w:r w:rsidR="00A51A6D" w:rsidRPr="00A335CB">
        <w:rPr>
          <w:rFonts w:ascii="Arial" w:hAnsi="Arial" w:cs="Arial"/>
          <w:color w:val="111111"/>
          <w:sz w:val="20"/>
          <w:szCs w:val="20"/>
        </w:rPr>
        <w:t>RS za notranje zadeve ter izvedene</w:t>
      </w:r>
      <w:r w:rsidRPr="00A335CB">
        <w:rPr>
          <w:rFonts w:ascii="Arial" w:hAnsi="Arial" w:cs="Arial"/>
          <w:color w:val="111111"/>
          <w:sz w:val="20"/>
          <w:szCs w:val="20"/>
        </w:rPr>
        <w:t xml:space="preserve"> aktivnosti za prevedbo plač in pripravo delovnopravnih aktov za vse zaposlene v naved</w:t>
      </w:r>
      <w:r w:rsidR="00A51A6D" w:rsidRPr="00A335CB">
        <w:rPr>
          <w:rFonts w:ascii="Arial" w:hAnsi="Arial" w:cs="Arial"/>
          <w:color w:val="111111"/>
          <w:sz w:val="20"/>
          <w:szCs w:val="20"/>
        </w:rPr>
        <w:t>enih organih v</w:t>
      </w:r>
      <w:r w:rsidRPr="00A335CB">
        <w:rPr>
          <w:rFonts w:ascii="Arial" w:hAnsi="Arial" w:cs="Arial"/>
          <w:color w:val="111111"/>
          <w:sz w:val="20"/>
          <w:szCs w:val="20"/>
        </w:rPr>
        <w:t xml:space="preserve"> januarju 2025. </w:t>
      </w:r>
    </w:p>
    <w:p w14:paraId="75B1664E" w14:textId="77777777" w:rsidR="00A51A6D" w:rsidRPr="00A335CB" w:rsidRDefault="00A51A6D" w:rsidP="005D1A90">
      <w:pPr>
        <w:spacing w:after="0" w:line="276" w:lineRule="auto"/>
        <w:jc w:val="both"/>
        <w:rPr>
          <w:rFonts w:ascii="Arial" w:hAnsi="Arial" w:cs="Arial"/>
          <w:sz w:val="20"/>
          <w:szCs w:val="20"/>
        </w:rPr>
      </w:pPr>
    </w:p>
    <w:p w14:paraId="60D0F6E8" w14:textId="359A2605" w:rsidR="000330D3" w:rsidRPr="00A335CB" w:rsidRDefault="000330D3" w:rsidP="005D1A90">
      <w:pPr>
        <w:spacing w:after="0" w:line="276" w:lineRule="auto"/>
        <w:jc w:val="both"/>
        <w:rPr>
          <w:rFonts w:ascii="Arial" w:hAnsi="Arial" w:cs="Arial"/>
          <w:b/>
          <w:sz w:val="20"/>
          <w:szCs w:val="20"/>
        </w:rPr>
      </w:pPr>
      <w:r w:rsidRPr="00A335CB">
        <w:rPr>
          <w:rFonts w:ascii="Arial" w:hAnsi="Arial" w:cs="Arial"/>
          <w:b/>
          <w:sz w:val="20"/>
          <w:szCs w:val="20"/>
        </w:rPr>
        <w:t xml:space="preserve">Vzpostavitev sistema certificiranja nacionalne </w:t>
      </w:r>
      <w:r w:rsidR="00A51A6D" w:rsidRPr="00A335CB">
        <w:rPr>
          <w:rFonts w:ascii="Arial" w:hAnsi="Arial" w:cs="Arial"/>
          <w:b/>
          <w:sz w:val="20"/>
          <w:szCs w:val="20"/>
        </w:rPr>
        <w:t>poklicne kvalifikacije policist</w:t>
      </w:r>
    </w:p>
    <w:p w14:paraId="6506356B" w14:textId="56723187" w:rsidR="00D17F7E" w:rsidRPr="00A335CB" w:rsidRDefault="000330D3" w:rsidP="00EF3FB4">
      <w:pPr>
        <w:spacing w:line="276" w:lineRule="auto"/>
        <w:jc w:val="both"/>
        <w:rPr>
          <w:rFonts w:ascii="Arial" w:hAnsi="Arial" w:cs="Arial"/>
          <w:sz w:val="20"/>
          <w:szCs w:val="20"/>
        </w:rPr>
      </w:pPr>
      <w:r w:rsidRPr="00A335CB">
        <w:rPr>
          <w:rFonts w:ascii="Arial" w:hAnsi="Arial" w:cs="Arial"/>
          <w:sz w:val="20"/>
          <w:szCs w:val="20"/>
        </w:rPr>
        <w:t>Delovna skupina za organizacijo, implementacijo, spremljanje in obvladovanje postopkov za ugotavljanje in potrjevanje nacionalne poklicne kvalifikacije Policist (</w:t>
      </w:r>
      <w:r w:rsidR="00A51A6D" w:rsidRPr="00A335CB">
        <w:rPr>
          <w:rFonts w:ascii="Arial" w:hAnsi="Arial" w:cs="Arial"/>
          <w:sz w:val="20"/>
          <w:szCs w:val="20"/>
        </w:rPr>
        <w:t xml:space="preserve">v nadaljnjem besedilu: </w:t>
      </w:r>
      <w:r w:rsidRPr="00A335CB">
        <w:rPr>
          <w:rFonts w:ascii="Arial" w:hAnsi="Arial" w:cs="Arial"/>
          <w:sz w:val="20"/>
          <w:szCs w:val="20"/>
        </w:rPr>
        <w:t xml:space="preserve">NPK Policist) je v letu 2024 poskrbela za uspešno implementacijo sistema certificiranja. Tako so bili v letu 2024 izvedeni štirje postopki preverjanja in potrjevanja NPK Policist (junija, septembra, oktobra in novembra), na katere je bilo napotenih 40 policistov, od katerih jih je 32 uspešno pridobilo certifikat NPK Policist. Izvajanje omenjenih postopkov se </w:t>
      </w:r>
      <w:r w:rsidR="00441181">
        <w:rPr>
          <w:rFonts w:ascii="Arial" w:hAnsi="Arial" w:cs="Arial"/>
          <w:sz w:val="20"/>
          <w:szCs w:val="20"/>
        </w:rPr>
        <w:t>neprekinjeno</w:t>
      </w:r>
      <w:r w:rsidR="00441181" w:rsidRPr="00A335CB">
        <w:rPr>
          <w:rFonts w:ascii="Arial" w:hAnsi="Arial" w:cs="Arial"/>
          <w:sz w:val="20"/>
          <w:szCs w:val="20"/>
        </w:rPr>
        <w:t xml:space="preserve"> </w:t>
      </w:r>
      <w:r w:rsidRPr="00A335CB">
        <w:rPr>
          <w:rFonts w:ascii="Arial" w:hAnsi="Arial" w:cs="Arial"/>
          <w:sz w:val="20"/>
          <w:szCs w:val="20"/>
        </w:rPr>
        <w:t>nadalju</w:t>
      </w:r>
      <w:r w:rsidR="00EF3FB4" w:rsidRPr="00A335CB">
        <w:rPr>
          <w:rFonts w:ascii="Arial" w:hAnsi="Arial" w:cs="Arial"/>
          <w:sz w:val="20"/>
          <w:szCs w:val="20"/>
        </w:rPr>
        <w:t xml:space="preserve">je v letu 2025. </w:t>
      </w:r>
    </w:p>
    <w:p w14:paraId="63B15E34" w14:textId="6BDCA57E" w:rsidR="000330D3" w:rsidRPr="00A335CB" w:rsidRDefault="00A51A6D" w:rsidP="005D1A90">
      <w:pPr>
        <w:spacing w:after="0" w:line="276" w:lineRule="auto"/>
        <w:jc w:val="both"/>
        <w:rPr>
          <w:rFonts w:ascii="Arial" w:hAnsi="Arial" w:cs="Arial"/>
          <w:b/>
          <w:sz w:val="20"/>
          <w:szCs w:val="20"/>
        </w:rPr>
      </w:pPr>
      <w:r w:rsidRPr="00A335CB">
        <w:rPr>
          <w:rFonts w:ascii="Arial" w:hAnsi="Arial" w:cs="Arial"/>
          <w:b/>
          <w:sz w:val="20"/>
          <w:szCs w:val="20"/>
        </w:rPr>
        <w:t>Izvedba kadrovskega načrta (</w:t>
      </w:r>
      <w:r w:rsidRPr="00A335CB">
        <w:rPr>
          <w:rFonts w:ascii="Arial" w:hAnsi="Arial" w:cs="Arial"/>
          <w:sz w:val="20"/>
          <w:szCs w:val="20"/>
        </w:rPr>
        <w:t>v nadaljnjem besedilu: KN)</w:t>
      </w:r>
    </w:p>
    <w:p w14:paraId="2677DD2A" w14:textId="5B324541" w:rsidR="000330D3" w:rsidRDefault="000330D3" w:rsidP="005D1A90">
      <w:pPr>
        <w:spacing w:line="276" w:lineRule="auto"/>
        <w:jc w:val="both"/>
        <w:rPr>
          <w:rFonts w:ascii="Arial" w:hAnsi="Arial" w:cs="Arial"/>
          <w:sz w:val="20"/>
          <w:szCs w:val="20"/>
        </w:rPr>
      </w:pPr>
      <w:r w:rsidRPr="00A335CB">
        <w:rPr>
          <w:rFonts w:ascii="Arial" w:hAnsi="Arial" w:cs="Arial"/>
          <w:sz w:val="20"/>
          <w:szCs w:val="20"/>
        </w:rPr>
        <w:t>Na podlagi Skupnega kadrovskega načrta (</w:t>
      </w:r>
      <w:r w:rsidR="00A51A6D" w:rsidRPr="00A335CB">
        <w:rPr>
          <w:rFonts w:ascii="Arial" w:hAnsi="Arial" w:cs="Arial"/>
          <w:sz w:val="20"/>
          <w:szCs w:val="20"/>
        </w:rPr>
        <w:t xml:space="preserve">v nadaljnjem besedilu: </w:t>
      </w:r>
      <w:r w:rsidRPr="00A335CB">
        <w:rPr>
          <w:rFonts w:ascii="Arial" w:hAnsi="Arial" w:cs="Arial"/>
          <w:sz w:val="20"/>
          <w:szCs w:val="20"/>
        </w:rPr>
        <w:t>SKN) za leti 2023 in 2024 (Sklep Vlade Republike Slovenije št. 10002-8/2022/16 z dne 22. decembra 2022, s spremembami) je dovoljeno število zaposlitev v letu 2023 v MNZ 677 in v policiji 8.241, v letu 2024 pa v MNZ 682 in v policiji 8.241.</w:t>
      </w:r>
    </w:p>
    <w:p w14:paraId="3297AA07" w14:textId="0906BEB5" w:rsidR="00C909D9" w:rsidRDefault="00C909D9" w:rsidP="005D1A90">
      <w:pPr>
        <w:spacing w:line="276" w:lineRule="auto"/>
        <w:jc w:val="both"/>
        <w:rPr>
          <w:rFonts w:ascii="Arial" w:hAnsi="Arial" w:cs="Arial"/>
          <w:sz w:val="20"/>
          <w:szCs w:val="20"/>
        </w:rPr>
      </w:pPr>
    </w:p>
    <w:p w14:paraId="62CECB24" w14:textId="59302DCB" w:rsidR="00C909D9" w:rsidRDefault="00C909D9" w:rsidP="005D1A90">
      <w:pPr>
        <w:spacing w:line="276" w:lineRule="auto"/>
        <w:jc w:val="both"/>
        <w:rPr>
          <w:rFonts w:ascii="Arial" w:hAnsi="Arial" w:cs="Arial"/>
          <w:sz w:val="20"/>
          <w:szCs w:val="20"/>
        </w:rPr>
      </w:pPr>
    </w:p>
    <w:p w14:paraId="2859A4BB" w14:textId="3F0FD64E" w:rsidR="00C909D9" w:rsidRDefault="00C909D9" w:rsidP="005D1A90">
      <w:pPr>
        <w:spacing w:line="276" w:lineRule="auto"/>
        <w:jc w:val="both"/>
        <w:rPr>
          <w:rFonts w:ascii="Arial" w:hAnsi="Arial" w:cs="Arial"/>
          <w:sz w:val="20"/>
          <w:szCs w:val="20"/>
        </w:rPr>
      </w:pPr>
    </w:p>
    <w:p w14:paraId="5D9D54E9" w14:textId="3116BDA8" w:rsidR="00C909D9" w:rsidRDefault="00C909D9" w:rsidP="005D1A90">
      <w:pPr>
        <w:spacing w:line="276" w:lineRule="auto"/>
        <w:jc w:val="both"/>
        <w:rPr>
          <w:rFonts w:ascii="Arial" w:hAnsi="Arial" w:cs="Arial"/>
          <w:sz w:val="20"/>
          <w:szCs w:val="20"/>
        </w:rPr>
      </w:pPr>
    </w:p>
    <w:p w14:paraId="50769FAF" w14:textId="77777777" w:rsidR="00C909D9" w:rsidRPr="00A335CB" w:rsidRDefault="00C909D9" w:rsidP="005D1A90">
      <w:pPr>
        <w:spacing w:line="276" w:lineRule="auto"/>
        <w:jc w:val="both"/>
        <w:rPr>
          <w:rFonts w:ascii="Arial" w:hAnsi="Arial" w:cs="Arial"/>
          <w:sz w:val="20"/>
          <w:szCs w:val="20"/>
        </w:rPr>
      </w:pPr>
    </w:p>
    <w:tbl>
      <w:tblPr>
        <w:tblStyle w:val="Tabelamrea"/>
        <w:tblW w:w="4926" w:type="pct"/>
        <w:tblLayout w:type="fixed"/>
        <w:tblLook w:val="04A0" w:firstRow="1" w:lastRow="0" w:firstColumn="1" w:lastColumn="0" w:noHBand="0" w:noVBand="1"/>
      </w:tblPr>
      <w:tblGrid>
        <w:gridCol w:w="1268"/>
        <w:gridCol w:w="853"/>
        <w:gridCol w:w="1276"/>
        <w:gridCol w:w="1642"/>
        <w:gridCol w:w="910"/>
        <w:gridCol w:w="1276"/>
        <w:gridCol w:w="1701"/>
      </w:tblGrid>
      <w:tr w:rsidR="00BD47E0" w:rsidRPr="00A335CB" w14:paraId="56210323" w14:textId="77777777" w:rsidTr="008756F1">
        <w:trPr>
          <w:trHeight w:val="401"/>
        </w:trPr>
        <w:tc>
          <w:tcPr>
            <w:tcW w:w="710" w:type="pct"/>
            <w:shd w:val="clear" w:color="auto" w:fill="D9D9D9" w:themeFill="background1" w:themeFillShade="D9"/>
          </w:tcPr>
          <w:p w14:paraId="5F6C59CA" w14:textId="77777777" w:rsidR="000330D3" w:rsidRPr="00A335CB" w:rsidRDefault="000330D3" w:rsidP="005D1A90">
            <w:pPr>
              <w:spacing w:line="276" w:lineRule="auto"/>
              <w:rPr>
                <w:rFonts w:ascii="Arial" w:hAnsi="Arial" w:cs="Arial"/>
                <w:sz w:val="20"/>
                <w:szCs w:val="20"/>
              </w:rPr>
            </w:pPr>
          </w:p>
        </w:tc>
        <w:tc>
          <w:tcPr>
            <w:tcW w:w="2112" w:type="pct"/>
            <w:gridSpan w:val="3"/>
            <w:shd w:val="clear" w:color="auto" w:fill="D9D9D9" w:themeFill="background1" w:themeFillShade="D9"/>
          </w:tcPr>
          <w:p w14:paraId="5ABD89CD" w14:textId="77777777" w:rsidR="000330D3" w:rsidRPr="00A335CB" w:rsidRDefault="000330D3" w:rsidP="005D1A90">
            <w:pPr>
              <w:spacing w:line="276" w:lineRule="auto"/>
              <w:jc w:val="center"/>
              <w:rPr>
                <w:rFonts w:ascii="Arial" w:hAnsi="Arial" w:cs="Arial"/>
                <w:b/>
                <w:sz w:val="20"/>
                <w:szCs w:val="20"/>
              </w:rPr>
            </w:pPr>
            <w:r w:rsidRPr="00A335CB">
              <w:rPr>
                <w:rFonts w:ascii="Arial" w:hAnsi="Arial" w:cs="Arial"/>
                <w:b/>
                <w:sz w:val="20"/>
                <w:szCs w:val="20"/>
              </w:rPr>
              <w:t>31. 12. 2023</w:t>
            </w:r>
          </w:p>
        </w:tc>
        <w:tc>
          <w:tcPr>
            <w:tcW w:w="2179" w:type="pct"/>
            <w:gridSpan w:val="3"/>
            <w:shd w:val="clear" w:color="auto" w:fill="D9D9D9" w:themeFill="background1" w:themeFillShade="D9"/>
          </w:tcPr>
          <w:p w14:paraId="345C5B22" w14:textId="77777777" w:rsidR="000330D3" w:rsidRPr="00A335CB" w:rsidRDefault="000330D3" w:rsidP="005D1A90">
            <w:pPr>
              <w:spacing w:line="276" w:lineRule="auto"/>
              <w:jc w:val="center"/>
              <w:rPr>
                <w:rFonts w:ascii="Arial" w:hAnsi="Arial" w:cs="Arial"/>
                <w:b/>
                <w:sz w:val="20"/>
                <w:szCs w:val="20"/>
              </w:rPr>
            </w:pPr>
            <w:r w:rsidRPr="00A335CB">
              <w:rPr>
                <w:rFonts w:ascii="Arial" w:hAnsi="Arial" w:cs="Arial"/>
                <w:b/>
                <w:sz w:val="20"/>
                <w:szCs w:val="20"/>
              </w:rPr>
              <w:t>31. 12. 2024</w:t>
            </w:r>
          </w:p>
        </w:tc>
      </w:tr>
      <w:tr w:rsidR="00BD47E0" w:rsidRPr="00A335CB" w14:paraId="47928330" w14:textId="77777777" w:rsidTr="008756F1">
        <w:trPr>
          <w:cantSplit/>
          <w:trHeight w:hRule="exact" w:val="851"/>
        </w:trPr>
        <w:tc>
          <w:tcPr>
            <w:tcW w:w="710" w:type="pct"/>
            <w:shd w:val="clear" w:color="auto" w:fill="D9D9D9" w:themeFill="background1" w:themeFillShade="D9"/>
          </w:tcPr>
          <w:p w14:paraId="4B82431C" w14:textId="77777777" w:rsidR="000330D3" w:rsidRPr="00A335CB" w:rsidRDefault="000330D3" w:rsidP="005D1A90">
            <w:pPr>
              <w:spacing w:line="276" w:lineRule="auto"/>
              <w:rPr>
                <w:rFonts w:ascii="Arial" w:hAnsi="Arial" w:cs="Arial"/>
                <w:sz w:val="20"/>
                <w:szCs w:val="20"/>
              </w:rPr>
            </w:pPr>
          </w:p>
        </w:tc>
        <w:tc>
          <w:tcPr>
            <w:tcW w:w="477" w:type="pct"/>
            <w:shd w:val="clear" w:color="auto" w:fill="D9D9D9" w:themeFill="background1" w:themeFillShade="D9"/>
            <w:vAlign w:val="bottom"/>
          </w:tcPr>
          <w:p w14:paraId="5F556A81"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KN</w:t>
            </w:r>
          </w:p>
        </w:tc>
        <w:tc>
          <w:tcPr>
            <w:tcW w:w="715" w:type="pct"/>
            <w:shd w:val="clear" w:color="auto" w:fill="D9D9D9" w:themeFill="background1" w:themeFillShade="D9"/>
            <w:vAlign w:val="bottom"/>
          </w:tcPr>
          <w:p w14:paraId="6AE3AED4"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Št. vseh zaposlenih</w:t>
            </w:r>
          </w:p>
        </w:tc>
        <w:tc>
          <w:tcPr>
            <w:tcW w:w="920" w:type="pct"/>
            <w:shd w:val="clear" w:color="auto" w:fill="D9D9D9" w:themeFill="background1" w:themeFillShade="D9"/>
            <w:vAlign w:val="bottom"/>
          </w:tcPr>
          <w:p w14:paraId="3BB6DE4C"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Št. zaposlenih, ki štejejo v KN</w:t>
            </w:r>
          </w:p>
        </w:tc>
        <w:tc>
          <w:tcPr>
            <w:tcW w:w="510" w:type="pct"/>
            <w:shd w:val="clear" w:color="auto" w:fill="D9D9D9" w:themeFill="background1" w:themeFillShade="D9"/>
            <w:vAlign w:val="bottom"/>
          </w:tcPr>
          <w:p w14:paraId="717AD702"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KN</w:t>
            </w:r>
          </w:p>
        </w:tc>
        <w:tc>
          <w:tcPr>
            <w:tcW w:w="715" w:type="pct"/>
            <w:shd w:val="clear" w:color="auto" w:fill="D9D9D9" w:themeFill="background1" w:themeFillShade="D9"/>
            <w:vAlign w:val="bottom"/>
          </w:tcPr>
          <w:p w14:paraId="109759EC"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Št. vseh zaposlenih</w:t>
            </w:r>
          </w:p>
        </w:tc>
        <w:tc>
          <w:tcPr>
            <w:tcW w:w="953" w:type="pct"/>
            <w:shd w:val="clear" w:color="auto" w:fill="D9D9D9" w:themeFill="background1" w:themeFillShade="D9"/>
            <w:vAlign w:val="bottom"/>
          </w:tcPr>
          <w:p w14:paraId="19615F52"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Št. zaposlenih, ki štejejo v KN</w:t>
            </w:r>
          </w:p>
        </w:tc>
      </w:tr>
      <w:tr w:rsidR="00BD47E0" w:rsidRPr="00A335CB" w14:paraId="1731D14F" w14:textId="77777777" w:rsidTr="00411229">
        <w:trPr>
          <w:trHeight w:hRule="exact" w:val="567"/>
        </w:trPr>
        <w:tc>
          <w:tcPr>
            <w:tcW w:w="710" w:type="pct"/>
            <w:vAlign w:val="center"/>
          </w:tcPr>
          <w:p w14:paraId="5ABF9D54"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1711 MNZ</w:t>
            </w:r>
          </w:p>
        </w:tc>
        <w:tc>
          <w:tcPr>
            <w:tcW w:w="477" w:type="pct"/>
            <w:vAlign w:val="center"/>
          </w:tcPr>
          <w:p w14:paraId="04039801"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657</w:t>
            </w:r>
          </w:p>
        </w:tc>
        <w:tc>
          <w:tcPr>
            <w:tcW w:w="715" w:type="pct"/>
            <w:vAlign w:val="center"/>
          </w:tcPr>
          <w:p w14:paraId="18EB14D7"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653</w:t>
            </w:r>
          </w:p>
        </w:tc>
        <w:tc>
          <w:tcPr>
            <w:tcW w:w="920" w:type="pct"/>
            <w:vAlign w:val="center"/>
          </w:tcPr>
          <w:p w14:paraId="0D8B319C"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633</w:t>
            </w:r>
          </w:p>
        </w:tc>
        <w:tc>
          <w:tcPr>
            <w:tcW w:w="510" w:type="pct"/>
            <w:vAlign w:val="center"/>
          </w:tcPr>
          <w:p w14:paraId="2FFAD54F"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662</w:t>
            </w:r>
          </w:p>
        </w:tc>
        <w:tc>
          <w:tcPr>
            <w:tcW w:w="715" w:type="pct"/>
            <w:vAlign w:val="center"/>
          </w:tcPr>
          <w:p w14:paraId="44D614E9"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633</w:t>
            </w:r>
          </w:p>
        </w:tc>
        <w:tc>
          <w:tcPr>
            <w:tcW w:w="953" w:type="pct"/>
            <w:vAlign w:val="center"/>
          </w:tcPr>
          <w:p w14:paraId="63ED06FC"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614</w:t>
            </w:r>
          </w:p>
        </w:tc>
      </w:tr>
      <w:tr w:rsidR="00BD47E0" w:rsidRPr="00A335CB" w14:paraId="45A5C032" w14:textId="77777777" w:rsidTr="00411229">
        <w:trPr>
          <w:trHeight w:hRule="exact" w:val="567"/>
        </w:trPr>
        <w:tc>
          <w:tcPr>
            <w:tcW w:w="710" w:type="pct"/>
            <w:vAlign w:val="center"/>
          </w:tcPr>
          <w:p w14:paraId="6D377C6B"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1714 POLICIJA</w:t>
            </w:r>
          </w:p>
        </w:tc>
        <w:tc>
          <w:tcPr>
            <w:tcW w:w="477" w:type="pct"/>
            <w:vAlign w:val="center"/>
          </w:tcPr>
          <w:p w14:paraId="04AD01F8"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8.241</w:t>
            </w:r>
          </w:p>
        </w:tc>
        <w:tc>
          <w:tcPr>
            <w:tcW w:w="715" w:type="pct"/>
            <w:vAlign w:val="center"/>
          </w:tcPr>
          <w:p w14:paraId="7C314C8D"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8.162</w:t>
            </w:r>
          </w:p>
        </w:tc>
        <w:tc>
          <w:tcPr>
            <w:tcW w:w="920" w:type="pct"/>
            <w:vAlign w:val="center"/>
          </w:tcPr>
          <w:p w14:paraId="0A52A5AD"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8.157</w:t>
            </w:r>
          </w:p>
        </w:tc>
        <w:tc>
          <w:tcPr>
            <w:tcW w:w="510" w:type="pct"/>
            <w:vAlign w:val="center"/>
          </w:tcPr>
          <w:p w14:paraId="1FAA996B"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8.241</w:t>
            </w:r>
          </w:p>
        </w:tc>
        <w:tc>
          <w:tcPr>
            <w:tcW w:w="715" w:type="pct"/>
            <w:vAlign w:val="center"/>
          </w:tcPr>
          <w:p w14:paraId="6ECC60DB"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7.899</w:t>
            </w:r>
          </w:p>
        </w:tc>
        <w:tc>
          <w:tcPr>
            <w:tcW w:w="953" w:type="pct"/>
            <w:vAlign w:val="center"/>
          </w:tcPr>
          <w:p w14:paraId="31AC9A3C"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7.888</w:t>
            </w:r>
          </w:p>
        </w:tc>
      </w:tr>
      <w:tr w:rsidR="00BD47E0" w:rsidRPr="00A335CB" w14:paraId="694447C4" w14:textId="77777777" w:rsidTr="00411229">
        <w:trPr>
          <w:trHeight w:hRule="exact" w:val="567"/>
        </w:trPr>
        <w:tc>
          <w:tcPr>
            <w:tcW w:w="710" w:type="pct"/>
            <w:vAlign w:val="center"/>
          </w:tcPr>
          <w:p w14:paraId="02CB1430" w14:textId="77777777" w:rsidR="000330D3" w:rsidRPr="00A335CB" w:rsidRDefault="000330D3" w:rsidP="005D1A90">
            <w:pPr>
              <w:spacing w:line="276" w:lineRule="auto"/>
              <w:rPr>
                <w:rFonts w:ascii="Arial" w:hAnsi="Arial" w:cs="Arial"/>
                <w:b/>
                <w:sz w:val="20"/>
                <w:szCs w:val="20"/>
              </w:rPr>
            </w:pPr>
            <w:r w:rsidRPr="00A335CB">
              <w:rPr>
                <w:rFonts w:ascii="Arial" w:hAnsi="Arial" w:cs="Arial"/>
                <w:b/>
                <w:sz w:val="20"/>
                <w:szCs w:val="20"/>
              </w:rPr>
              <w:t>1715 IRSNZ</w:t>
            </w:r>
          </w:p>
        </w:tc>
        <w:tc>
          <w:tcPr>
            <w:tcW w:w="477" w:type="pct"/>
            <w:vAlign w:val="center"/>
          </w:tcPr>
          <w:p w14:paraId="43D216A1"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20</w:t>
            </w:r>
          </w:p>
        </w:tc>
        <w:tc>
          <w:tcPr>
            <w:tcW w:w="715" w:type="pct"/>
            <w:vAlign w:val="center"/>
          </w:tcPr>
          <w:p w14:paraId="6DBB0A3C"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20</w:t>
            </w:r>
          </w:p>
        </w:tc>
        <w:tc>
          <w:tcPr>
            <w:tcW w:w="920" w:type="pct"/>
            <w:vAlign w:val="center"/>
          </w:tcPr>
          <w:p w14:paraId="3B849848"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20</w:t>
            </w:r>
          </w:p>
        </w:tc>
        <w:tc>
          <w:tcPr>
            <w:tcW w:w="510" w:type="pct"/>
            <w:vAlign w:val="center"/>
          </w:tcPr>
          <w:p w14:paraId="68D2DEFE"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20</w:t>
            </w:r>
          </w:p>
        </w:tc>
        <w:tc>
          <w:tcPr>
            <w:tcW w:w="715" w:type="pct"/>
            <w:vAlign w:val="center"/>
          </w:tcPr>
          <w:p w14:paraId="7CC19222"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20</w:t>
            </w:r>
          </w:p>
        </w:tc>
        <w:tc>
          <w:tcPr>
            <w:tcW w:w="953" w:type="pct"/>
            <w:vAlign w:val="center"/>
          </w:tcPr>
          <w:p w14:paraId="291016B8" w14:textId="77777777" w:rsidR="000330D3" w:rsidRPr="00A335CB" w:rsidRDefault="000330D3" w:rsidP="005D1A90">
            <w:pPr>
              <w:spacing w:line="276" w:lineRule="auto"/>
              <w:jc w:val="right"/>
              <w:rPr>
                <w:rFonts w:ascii="Arial" w:hAnsi="Arial" w:cs="Arial"/>
                <w:sz w:val="20"/>
                <w:szCs w:val="20"/>
              </w:rPr>
            </w:pPr>
            <w:r w:rsidRPr="00A335CB">
              <w:rPr>
                <w:rFonts w:ascii="Arial" w:hAnsi="Arial" w:cs="Arial"/>
                <w:sz w:val="20"/>
                <w:szCs w:val="20"/>
              </w:rPr>
              <w:t>20</w:t>
            </w:r>
          </w:p>
        </w:tc>
      </w:tr>
    </w:tbl>
    <w:p w14:paraId="0EEBB491" w14:textId="75E2EB05" w:rsidR="00EF3FB4" w:rsidRPr="00A335CB" w:rsidRDefault="000330D3" w:rsidP="00A51A6D">
      <w:pPr>
        <w:spacing w:after="0" w:line="276" w:lineRule="auto"/>
        <w:jc w:val="both"/>
        <w:rPr>
          <w:rFonts w:ascii="Arial" w:hAnsi="Arial" w:cs="Arial"/>
          <w:sz w:val="20"/>
          <w:szCs w:val="20"/>
        </w:rPr>
      </w:pPr>
      <w:r w:rsidRPr="00A335CB">
        <w:rPr>
          <w:rFonts w:ascii="Arial" w:hAnsi="Arial" w:cs="Arial"/>
          <w:b/>
          <w:sz w:val="20"/>
          <w:szCs w:val="20"/>
        </w:rPr>
        <w:t>Preglednica:</w:t>
      </w:r>
      <w:r w:rsidRPr="00A335CB">
        <w:rPr>
          <w:rFonts w:ascii="Arial" w:hAnsi="Arial" w:cs="Arial"/>
          <w:sz w:val="20"/>
          <w:szCs w:val="20"/>
        </w:rPr>
        <w:t xml:space="preserve"> Kadrovski načrt</w:t>
      </w:r>
      <w:r w:rsidR="00441181">
        <w:rPr>
          <w:rFonts w:ascii="Arial" w:hAnsi="Arial" w:cs="Arial"/>
          <w:sz w:val="20"/>
          <w:szCs w:val="20"/>
        </w:rPr>
        <w:t xml:space="preserve"> za leti</w:t>
      </w:r>
      <w:r w:rsidRPr="00A335CB">
        <w:rPr>
          <w:rFonts w:ascii="Arial" w:hAnsi="Arial" w:cs="Arial"/>
          <w:sz w:val="20"/>
          <w:szCs w:val="20"/>
        </w:rPr>
        <w:t xml:space="preserve"> 2023</w:t>
      </w:r>
      <w:r w:rsidR="00441181">
        <w:rPr>
          <w:rFonts w:ascii="Arial" w:hAnsi="Arial" w:cs="Arial"/>
          <w:sz w:val="20"/>
          <w:szCs w:val="20"/>
        </w:rPr>
        <w:t xml:space="preserve"> in</w:t>
      </w:r>
      <w:r w:rsidR="00A51A6D" w:rsidRPr="00A335CB">
        <w:rPr>
          <w:rFonts w:ascii="Arial" w:hAnsi="Arial" w:cs="Arial"/>
          <w:sz w:val="20"/>
          <w:szCs w:val="20"/>
        </w:rPr>
        <w:t xml:space="preserve"> 2024</w:t>
      </w:r>
    </w:p>
    <w:p w14:paraId="47C84D58" w14:textId="77777777" w:rsidR="00A51A6D" w:rsidRPr="00A335CB" w:rsidRDefault="00A51A6D" w:rsidP="00A51A6D">
      <w:pPr>
        <w:spacing w:after="0" w:line="276" w:lineRule="auto"/>
        <w:jc w:val="both"/>
        <w:rPr>
          <w:rFonts w:ascii="Arial" w:hAnsi="Arial" w:cs="Arial"/>
          <w:sz w:val="20"/>
          <w:szCs w:val="20"/>
        </w:rPr>
      </w:pPr>
    </w:p>
    <w:p w14:paraId="792F0A9A" w14:textId="315116FD" w:rsidR="000330D3" w:rsidRPr="00A335CB" w:rsidRDefault="000330D3" w:rsidP="005D1A90">
      <w:pPr>
        <w:spacing w:line="276" w:lineRule="auto"/>
        <w:jc w:val="both"/>
        <w:rPr>
          <w:rFonts w:ascii="Arial" w:hAnsi="Arial" w:cs="Arial"/>
          <w:b/>
          <w:sz w:val="20"/>
          <w:szCs w:val="20"/>
        </w:rPr>
      </w:pPr>
      <w:r w:rsidRPr="00A335CB">
        <w:rPr>
          <w:rFonts w:ascii="Arial" w:hAnsi="Arial" w:cs="Arial"/>
          <w:b/>
          <w:sz w:val="20"/>
          <w:szCs w:val="20"/>
        </w:rPr>
        <w:t>Sistemizacija in zasedba 2023–2024:</w:t>
      </w:r>
    </w:p>
    <w:tbl>
      <w:tblPr>
        <w:tblW w:w="9072" w:type="dxa"/>
        <w:tblCellMar>
          <w:left w:w="70" w:type="dxa"/>
          <w:right w:w="70" w:type="dxa"/>
        </w:tblCellMar>
        <w:tblLook w:val="04A0" w:firstRow="1" w:lastRow="0" w:firstColumn="1" w:lastColumn="0" w:noHBand="0" w:noVBand="1"/>
      </w:tblPr>
      <w:tblGrid>
        <w:gridCol w:w="2552"/>
        <w:gridCol w:w="1559"/>
        <w:gridCol w:w="1701"/>
        <w:gridCol w:w="1559"/>
        <w:gridCol w:w="1701"/>
      </w:tblGrid>
      <w:tr w:rsidR="00BD47E0" w:rsidRPr="00A335CB" w14:paraId="389DD3BF" w14:textId="77777777" w:rsidTr="008756F1">
        <w:trPr>
          <w:trHeight w:val="273"/>
        </w:trPr>
        <w:tc>
          <w:tcPr>
            <w:tcW w:w="255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1CB6A67D" w14:textId="77777777" w:rsidR="000330D3" w:rsidRPr="00A335CB" w:rsidRDefault="000330D3" w:rsidP="005D1A90">
            <w:pPr>
              <w:spacing w:line="276" w:lineRule="auto"/>
              <w:ind w:left="360"/>
              <w:rPr>
                <w:rFonts w:ascii="Arial" w:eastAsia="Times New Roman" w:hAnsi="Arial" w:cs="Arial"/>
                <w:b/>
                <w:bCs/>
                <w:sz w:val="20"/>
                <w:szCs w:val="20"/>
                <w:lang w:eastAsia="sl-SI"/>
              </w:rPr>
            </w:pPr>
          </w:p>
        </w:tc>
        <w:tc>
          <w:tcPr>
            <w:tcW w:w="326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1DDCA8" w14:textId="77777777" w:rsidR="000330D3" w:rsidRPr="00A335CB" w:rsidRDefault="000330D3" w:rsidP="005D1A90">
            <w:pPr>
              <w:spacing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31. 12. 2023</w:t>
            </w:r>
          </w:p>
        </w:tc>
        <w:tc>
          <w:tcPr>
            <w:tcW w:w="326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A6EB4D" w14:textId="77777777" w:rsidR="000330D3" w:rsidRPr="00A335CB" w:rsidRDefault="000330D3" w:rsidP="005D1A90">
            <w:pPr>
              <w:spacing w:line="276" w:lineRule="auto"/>
              <w:jc w:val="center"/>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31. 12. 2024</w:t>
            </w:r>
          </w:p>
        </w:tc>
      </w:tr>
      <w:tr w:rsidR="00BD47E0" w:rsidRPr="00A335CB" w14:paraId="7FE89168" w14:textId="77777777" w:rsidTr="008756F1">
        <w:trPr>
          <w:trHeight w:val="535"/>
        </w:trPr>
        <w:tc>
          <w:tcPr>
            <w:tcW w:w="255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9D11A02" w14:textId="77777777" w:rsidR="000330D3" w:rsidRPr="00A335CB" w:rsidRDefault="000330D3" w:rsidP="005D1A90">
            <w:pPr>
              <w:spacing w:line="276" w:lineRule="auto"/>
              <w:rPr>
                <w:rFonts w:ascii="Arial" w:eastAsia="Times New Roman" w:hAnsi="Arial" w:cs="Arial"/>
                <w:b/>
                <w:bCs/>
                <w:sz w:val="20"/>
                <w:szCs w:val="20"/>
                <w:lang w:eastAsia="sl-SI"/>
              </w:rPr>
            </w:pP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05DF8D7B" w14:textId="77777777" w:rsidR="000330D3" w:rsidRPr="00A335CB" w:rsidRDefault="000330D3" w:rsidP="005D1A90">
            <w:pPr>
              <w:spacing w:line="276" w:lineRule="auto"/>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Sistemizirana del. mesta</w:t>
            </w: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6C43577C" w14:textId="77777777" w:rsidR="000330D3" w:rsidRPr="00A335CB" w:rsidRDefault="000330D3" w:rsidP="005D1A90">
            <w:pPr>
              <w:spacing w:line="276" w:lineRule="auto"/>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Zasedena del. mesta</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6E802BE7" w14:textId="77777777" w:rsidR="000330D3" w:rsidRPr="00A335CB" w:rsidRDefault="000330D3" w:rsidP="005D1A90">
            <w:pPr>
              <w:spacing w:line="276" w:lineRule="auto"/>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Sistemizirana del. mesta</w:t>
            </w: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4621207F" w14:textId="77777777" w:rsidR="000330D3" w:rsidRPr="00A335CB" w:rsidRDefault="000330D3" w:rsidP="005D1A90">
            <w:pPr>
              <w:spacing w:line="276" w:lineRule="auto"/>
              <w:rPr>
                <w:rFonts w:ascii="Arial" w:eastAsia="Times New Roman" w:hAnsi="Arial" w:cs="Arial"/>
                <w:b/>
                <w:bCs/>
                <w:sz w:val="20"/>
                <w:szCs w:val="20"/>
                <w:lang w:eastAsia="sl-SI"/>
              </w:rPr>
            </w:pPr>
            <w:r w:rsidRPr="00A335CB">
              <w:rPr>
                <w:rFonts w:ascii="Arial" w:eastAsia="Times New Roman" w:hAnsi="Arial" w:cs="Arial"/>
                <w:b/>
                <w:bCs/>
                <w:sz w:val="20"/>
                <w:szCs w:val="20"/>
                <w:lang w:eastAsia="sl-SI"/>
              </w:rPr>
              <w:t>Zasedena del. mesta</w:t>
            </w:r>
          </w:p>
        </w:tc>
      </w:tr>
      <w:tr w:rsidR="00BD47E0" w:rsidRPr="00A335CB" w14:paraId="5CBA5959" w14:textId="77777777" w:rsidTr="00411229">
        <w:trPr>
          <w:trHeight w:val="2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81F4ADB" w14:textId="77777777" w:rsidR="000330D3" w:rsidRPr="00A335CB" w:rsidRDefault="000330D3" w:rsidP="005D1A90">
            <w:pPr>
              <w:spacing w:line="276" w:lineRule="auto"/>
              <w:rPr>
                <w:rFonts w:ascii="Arial" w:eastAsia="Times New Roman" w:hAnsi="Arial" w:cs="Arial"/>
                <w:b/>
                <w:sz w:val="20"/>
                <w:szCs w:val="20"/>
                <w:lang w:eastAsia="sl-SI"/>
              </w:rPr>
            </w:pPr>
            <w:r w:rsidRPr="00A335CB">
              <w:rPr>
                <w:rFonts w:ascii="Arial" w:eastAsia="Times New Roman" w:hAnsi="Arial" w:cs="Arial"/>
                <w:b/>
                <w:sz w:val="20"/>
                <w:szCs w:val="20"/>
                <w:lang w:eastAsia="sl-SI"/>
              </w:rPr>
              <w:t>MNZ</w:t>
            </w:r>
          </w:p>
        </w:tc>
        <w:tc>
          <w:tcPr>
            <w:tcW w:w="1559" w:type="dxa"/>
            <w:tcBorders>
              <w:top w:val="nil"/>
              <w:left w:val="nil"/>
              <w:bottom w:val="single" w:sz="4" w:space="0" w:color="auto"/>
              <w:right w:val="single" w:sz="4" w:space="0" w:color="auto"/>
            </w:tcBorders>
            <w:shd w:val="clear" w:color="auto" w:fill="auto"/>
            <w:noWrap/>
            <w:vAlign w:val="center"/>
            <w:hideMark/>
          </w:tcPr>
          <w:p w14:paraId="038761A5"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1.005</w:t>
            </w:r>
          </w:p>
        </w:tc>
        <w:tc>
          <w:tcPr>
            <w:tcW w:w="1701" w:type="dxa"/>
            <w:tcBorders>
              <w:top w:val="nil"/>
              <w:left w:val="nil"/>
              <w:bottom w:val="single" w:sz="4" w:space="0" w:color="auto"/>
              <w:right w:val="single" w:sz="4" w:space="0" w:color="auto"/>
            </w:tcBorders>
            <w:shd w:val="clear" w:color="auto" w:fill="auto"/>
            <w:noWrap/>
            <w:vAlign w:val="center"/>
            <w:hideMark/>
          </w:tcPr>
          <w:p w14:paraId="7BB99F40"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653</w:t>
            </w:r>
          </w:p>
        </w:tc>
        <w:tc>
          <w:tcPr>
            <w:tcW w:w="1559" w:type="dxa"/>
            <w:tcBorders>
              <w:top w:val="nil"/>
              <w:left w:val="nil"/>
              <w:bottom w:val="single" w:sz="4" w:space="0" w:color="auto"/>
              <w:right w:val="single" w:sz="4" w:space="0" w:color="auto"/>
            </w:tcBorders>
            <w:shd w:val="clear" w:color="auto" w:fill="auto"/>
            <w:noWrap/>
            <w:vAlign w:val="center"/>
          </w:tcPr>
          <w:p w14:paraId="1B1F4FD1"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1.030</w:t>
            </w:r>
          </w:p>
        </w:tc>
        <w:tc>
          <w:tcPr>
            <w:tcW w:w="1701" w:type="dxa"/>
            <w:tcBorders>
              <w:top w:val="nil"/>
              <w:left w:val="nil"/>
              <w:bottom w:val="single" w:sz="4" w:space="0" w:color="auto"/>
              <w:right w:val="single" w:sz="4" w:space="0" w:color="auto"/>
            </w:tcBorders>
            <w:shd w:val="clear" w:color="auto" w:fill="auto"/>
            <w:noWrap/>
            <w:vAlign w:val="center"/>
          </w:tcPr>
          <w:p w14:paraId="1B45B841"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633</w:t>
            </w:r>
          </w:p>
        </w:tc>
      </w:tr>
      <w:tr w:rsidR="00BD47E0" w:rsidRPr="00A335CB" w14:paraId="3D895D6A" w14:textId="77777777" w:rsidTr="00411229">
        <w:trPr>
          <w:trHeight w:val="2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4028CF6" w14:textId="77777777" w:rsidR="000330D3" w:rsidRPr="00A335CB" w:rsidRDefault="000330D3" w:rsidP="005D1A90">
            <w:pPr>
              <w:spacing w:line="276" w:lineRule="auto"/>
              <w:rPr>
                <w:rFonts w:ascii="Arial" w:eastAsia="Times New Roman" w:hAnsi="Arial" w:cs="Arial"/>
                <w:b/>
                <w:sz w:val="20"/>
                <w:szCs w:val="20"/>
                <w:lang w:eastAsia="sl-SI"/>
              </w:rPr>
            </w:pPr>
            <w:r w:rsidRPr="00A335CB">
              <w:rPr>
                <w:rFonts w:ascii="Arial" w:eastAsia="Times New Roman" w:hAnsi="Arial" w:cs="Arial"/>
                <w:b/>
                <w:sz w:val="20"/>
                <w:szCs w:val="20"/>
                <w:lang w:eastAsia="sl-SI"/>
              </w:rPr>
              <w:t>POLICIJA</w:t>
            </w:r>
          </w:p>
        </w:tc>
        <w:tc>
          <w:tcPr>
            <w:tcW w:w="1559" w:type="dxa"/>
            <w:tcBorders>
              <w:top w:val="nil"/>
              <w:left w:val="nil"/>
              <w:bottom w:val="single" w:sz="4" w:space="0" w:color="auto"/>
              <w:right w:val="single" w:sz="4" w:space="0" w:color="auto"/>
            </w:tcBorders>
            <w:shd w:val="clear" w:color="auto" w:fill="auto"/>
            <w:noWrap/>
            <w:vAlign w:val="center"/>
            <w:hideMark/>
          </w:tcPr>
          <w:p w14:paraId="20E6AD35"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11.060</w:t>
            </w:r>
          </w:p>
        </w:tc>
        <w:tc>
          <w:tcPr>
            <w:tcW w:w="1701" w:type="dxa"/>
            <w:tcBorders>
              <w:top w:val="nil"/>
              <w:left w:val="nil"/>
              <w:bottom w:val="single" w:sz="4" w:space="0" w:color="auto"/>
              <w:right w:val="single" w:sz="4" w:space="0" w:color="auto"/>
            </w:tcBorders>
            <w:shd w:val="clear" w:color="auto" w:fill="auto"/>
            <w:noWrap/>
            <w:vAlign w:val="center"/>
            <w:hideMark/>
          </w:tcPr>
          <w:p w14:paraId="4C8F9D33"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8.162</w:t>
            </w:r>
          </w:p>
        </w:tc>
        <w:tc>
          <w:tcPr>
            <w:tcW w:w="1559" w:type="dxa"/>
            <w:tcBorders>
              <w:top w:val="nil"/>
              <w:left w:val="nil"/>
              <w:bottom w:val="single" w:sz="4" w:space="0" w:color="auto"/>
              <w:right w:val="single" w:sz="4" w:space="0" w:color="auto"/>
            </w:tcBorders>
            <w:shd w:val="clear" w:color="auto" w:fill="auto"/>
            <w:noWrap/>
            <w:vAlign w:val="center"/>
          </w:tcPr>
          <w:p w14:paraId="3C8E8A4A"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11.257</w:t>
            </w:r>
          </w:p>
        </w:tc>
        <w:tc>
          <w:tcPr>
            <w:tcW w:w="1701" w:type="dxa"/>
            <w:tcBorders>
              <w:top w:val="nil"/>
              <w:left w:val="nil"/>
              <w:bottom w:val="single" w:sz="4" w:space="0" w:color="auto"/>
              <w:right w:val="single" w:sz="4" w:space="0" w:color="auto"/>
            </w:tcBorders>
            <w:shd w:val="clear" w:color="auto" w:fill="auto"/>
            <w:noWrap/>
            <w:vAlign w:val="center"/>
          </w:tcPr>
          <w:p w14:paraId="435C0DC7"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7.899</w:t>
            </w:r>
          </w:p>
        </w:tc>
      </w:tr>
      <w:tr w:rsidR="00BD47E0" w:rsidRPr="00A335CB" w14:paraId="6DBA470A" w14:textId="77777777" w:rsidTr="00411229">
        <w:trPr>
          <w:trHeight w:val="2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9D18858" w14:textId="77777777" w:rsidR="000330D3" w:rsidRPr="00A335CB" w:rsidRDefault="000330D3" w:rsidP="005D1A90">
            <w:pPr>
              <w:spacing w:line="276" w:lineRule="auto"/>
              <w:rPr>
                <w:rFonts w:ascii="Arial" w:eastAsia="Times New Roman" w:hAnsi="Arial" w:cs="Arial"/>
                <w:b/>
                <w:sz w:val="20"/>
                <w:szCs w:val="20"/>
                <w:lang w:eastAsia="sl-SI"/>
              </w:rPr>
            </w:pPr>
            <w:r w:rsidRPr="00A335CB">
              <w:rPr>
                <w:rFonts w:ascii="Arial" w:eastAsia="Times New Roman" w:hAnsi="Arial" w:cs="Arial"/>
                <w:b/>
                <w:sz w:val="20"/>
                <w:szCs w:val="20"/>
                <w:lang w:eastAsia="sl-SI"/>
              </w:rPr>
              <w:t>IRSNZ</w:t>
            </w:r>
          </w:p>
        </w:tc>
        <w:tc>
          <w:tcPr>
            <w:tcW w:w="1559" w:type="dxa"/>
            <w:tcBorders>
              <w:top w:val="nil"/>
              <w:left w:val="nil"/>
              <w:bottom w:val="single" w:sz="4" w:space="0" w:color="auto"/>
              <w:right w:val="single" w:sz="4" w:space="0" w:color="auto"/>
            </w:tcBorders>
            <w:shd w:val="clear" w:color="auto" w:fill="auto"/>
            <w:noWrap/>
            <w:vAlign w:val="center"/>
            <w:hideMark/>
          </w:tcPr>
          <w:p w14:paraId="566873D4"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30</w:t>
            </w:r>
          </w:p>
        </w:tc>
        <w:tc>
          <w:tcPr>
            <w:tcW w:w="1701" w:type="dxa"/>
            <w:tcBorders>
              <w:top w:val="nil"/>
              <w:left w:val="nil"/>
              <w:bottom w:val="single" w:sz="4" w:space="0" w:color="auto"/>
              <w:right w:val="single" w:sz="4" w:space="0" w:color="auto"/>
            </w:tcBorders>
            <w:shd w:val="clear" w:color="auto" w:fill="auto"/>
            <w:noWrap/>
            <w:vAlign w:val="center"/>
            <w:hideMark/>
          </w:tcPr>
          <w:p w14:paraId="00308062"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20</w:t>
            </w:r>
          </w:p>
        </w:tc>
        <w:tc>
          <w:tcPr>
            <w:tcW w:w="1559" w:type="dxa"/>
            <w:tcBorders>
              <w:top w:val="nil"/>
              <w:left w:val="nil"/>
              <w:bottom w:val="single" w:sz="4" w:space="0" w:color="auto"/>
              <w:right w:val="single" w:sz="4" w:space="0" w:color="auto"/>
            </w:tcBorders>
            <w:shd w:val="clear" w:color="auto" w:fill="auto"/>
            <w:noWrap/>
            <w:vAlign w:val="center"/>
          </w:tcPr>
          <w:p w14:paraId="5FB9E673"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30</w:t>
            </w:r>
          </w:p>
        </w:tc>
        <w:tc>
          <w:tcPr>
            <w:tcW w:w="1701" w:type="dxa"/>
            <w:tcBorders>
              <w:top w:val="nil"/>
              <w:left w:val="nil"/>
              <w:bottom w:val="single" w:sz="4" w:space="0" w:color="auto"/>
              <w:right w:val="single" w:sz="4" w:space="0" w:color="auto"/>
            </w:tcBorders>
            <w:shd w:val="clear" w:color="auto" w:fill="auto"/>
            <w:noWrap/>
            <w:vAlign w:val="center"/>
          </w:tcPr>
          <w:p w14:paraId="79CAA21E" w14:textId="77777777" w:rsidR="000330D3" w:rsidRPr="00A335CB" w:rsidRDefault="000330D3" w:rsidP="005D1A90">
            <w:pPr>
              <w:spacing w:line="276" w:lineRule="auto"/>
              <w:jc w:val="right"/>
              <w:rPr>
                <w:rFonts w:ascii="Arial" w:eastAsia="Times New Roman" w:hAnsi="Arial" w:cs="Arial"/>
                <w:sz w:val="20"/>
                <w:szCs w:val="20"/>
                <w:lang w:eastAsia="sl-SI"/>
              </w:rPr>
            </w:pPr>
            <w:r w:rsidRPr="00A335CB">
              <w:rPr>
                <w:rFonts w:ascii="Arial" w:eastAsia="Times New Roman" w:hAnsi="Arial" w:cs="Arial"/>
                <w:sz w:val="20"/>
                <w:szCs w:val="20"/>
                <w:lang w:eastAsia="sl-SI"/>
              </w:rPr>
              <w:t>20</w:t>
            </w:r>
          </w:p>
        </w:tc>
      </w:tr>
    </w:tbl>
    <w:p w14:paraId="05826439" w14:textId="4D8FFCE2" w:rsidR="00974F16" w:rsidRPr="009C51CB" w:rsidRDefault="000330D3" w:rsidP="005D1A90">
      <w:pPr>
        <w:spacing w:line="276" w:lineRule="auto"/>
        <w:jc w:val="both"/>
        <w:rPr>
          <w:rFonts w:ascii="Arial" w:hAnsi="Arial" w:cs="Arial"/>
          <w:sz w:val="20"/>
          <w:szCs w:val="20"/>
        </w:rPr>
      </w:pPr>
      <w:r w:rsidRPr="00A335CB">
        <w:rPr>
          <w:rFonts w:ascii="Arial" w:hAnsi="Arial" w:cs="Arial"/>
          <w:b/>
          <w:sz w:val="20"/>
          <w:szCs w:val="20"/>
        </w:rPr>
        <w:t>Preglednica:</w:t>
      </w:r>
      <w:r w:rsidRPr="00A335CB">
        <w:rPr>
          <w:rFonts w:ascii="Arial" w:hAnsi="Arial" w:cs="Arial"/>
          <w:sz w:val="20"/>
          <w:szCs w:val="20"/>
        </w:rPr>
        <w:t xml:space="preserve"> Podatki o sistematizaciji in zasedbi delovnih mest v letih 2023 in 2024</w:t>
      </w:r>
    </w:p>
    <w:p w14:paraId="3D0EC474" w14:textId="3BF01C81" w:rsidR="000330D3" w:rsidRPr="00A335CB" w:rsidRDefault="000330D3" w:rsidP="005D1A90">
      <w:pPr>
        <w:spacing w:line="276" w:lineRule="auto"/>
        <w:jc w:val="both"/>
        <w:rPr>
          <w:rFonts w:ascii="Arial" w:hAnsi="Arial" w:cs="Arial"/>
          <w:b/>
          <w:sz w:val="20"/>
          <w:szCs w:val="20"/>
        </w:rPr>
      </w:pPr>
      <w:r w:rsidRPr="00A335CB">
        <w:rPr>
          <w:rFonts w:ascii="Arial" w:hAnsi="Arial" w:cs="Arial"/>
          <w:b/>
          <w:sz w:val="20"/>
          <w:szCs w:val="20"/>
        </w:rPr>
        <w:t>Fluktuacija:</w:t>
      </w:r>
    </w:p>
    <w:p w14:paraId="7A937BE4" w14:textId="77777777" w:rsidR="000330D3" w:rsidRPr="00A335CB" w:rsidRDefault="000330D3" w:rsidP="005D1A90">
      <w:pPr>
        <w:pStyle w:val="Odstavekseznama"/>
        <w:spacing w:after="160"/>
        <w:ind w:left="0"/>
        <w:jc w:val="both"/>
        <w:rPr>
          <w:rFonts w:ascii="Arial" w:hAnsi="Arial" w:cs="Arial"/>
          <w:b/>
          <w:sz w:val="20"/>
          <w:szCs w:val="20"/>
        </w:rPr>
      </w:pPr>
      <w:r w:rsidRPr="00A335CB">
        <w:rPr>
          <w:rFonts w:ascii="Arial" w:hAnsi="Arial" w:cs="Arial"/>
          <w:noProof/>
          <w:lang w:eastAsia="sl-SI"/>
        </w:rPr>
        <w:drawing>
          <wp:inline distT="0" distB="0" distL="0" distR="0" wp14:anchorId="06D4339E" wp14:editId="42F389B0">
            <wp:extent cx="5667375" cy="2747963"/>
            <wp:effectExtent l="0" t="0" r="9525" b="14605"/>
            <wp:docPr id="40" name="Grafikon 40" descr="Stolpčni grafikon prikazuje število odhodov in prihodov zaposlenih v ministrstvu, policiji in inšpektoratu v letu 2024.">
              <a:extLst xmlns:a="http://schemas.openxmlformats.org/drawingml/2006/main">
                <a:ext uri="{FF2B5EF4-FFF2-40B4-BE49-F238E27FC236}">
                  <a16:creationId xmlns:a16="http://schemas.microsoft.com/office/drawing/2014/main" id="{25FE3C8A-792A-49BA-BE9B-E13252A22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2B9AEC7" w14:textId="3BB86DC1" w:rsidR="000330D3" w:rsidRPr="00A335CB" w:rsidRDefault="000330D3" w:rsidP="00171B51">
      <w:pPr>
        <w:spacing w:after="0" w:line="276" w:lineRule="auto"/>
        <w:jc w:val="both"/>
        <w:rPr>
          <w:rFonts w:ascii="Arial" w:hAnsi="Arial" w:cs="Arial"/>
          <w:sz w:val="20"/>
          <w:szCs w:val="20"/>
        </w:rPr>
      </w:pPr>
      <w:r w:rsidRPr="00A335CB">
        <w:rPr>
          <w:rFonts w:ascii="Arial" w:hAnsi="Arial" w:cs="Arial"/>
          <w:b/>
          <w:sz w:val="20"/>
          <w:szCs w:val="20"/>
        </w:rPr>
        <w:t>Graf:</w:t>
      </w:r>
      <w:r w:rsidRPr="00A335CB">
        <w:rPr>
          <w:rFonts w:ascii="Arial" w:hAnsi="Arial" w:cs="Arial"/>
          <w:sz w:val="20"/>
          <w:szCs w:val="20"/>
        </w:rPr>
        <w:t xml:space="preserve"> Podatki o fluktuaciji od 1. </w:t>
      </w:r>
      <w:r w:rsidR="00441181">
        <w:rPr>
          <w:rFonts w:ascii="Arial" w:hAnsi="Arial" w:cs="Arial"/>
          <w:sz w:val="20"/>
          <w:szCs w:val="20"/>
        </w:rPr>
        <w:t>1.</w:t>
      </w:r>
      <w:r w:rsidR="00441181" w:rsidRPr="00A335CB">
        <w:rPr>
          <w:rFonts w:ascii="Arial" w:hAnsi="Arial" w:cs="Arial"/>
          <w:sz w:val="20"/>
          <w:szCs w:val="20"/>
        </w:rPr>
        <w:t> </w:t>
      </w:r>
      <w:r w:rsidR="00D12CC2" w:rsidRPr="00A335CB">
        <w:rPr>
          <w:rFonts w:ascii="Arial" w:hAnsi="Arial" w:cs="Arial"/>
          <w:sz w:val="20"/>
          <w:szCs w:val="20"/>
        </w:rPr>
        <w:t>2024 do 31. </w:t>
      </w:r>
      <w:r w:rsidR="00441181">
        <w:rPr>
          <w:rFonts w:ascii="Arial" w:hAnsi="Arial" w:cs="Arial"/>
          <w:sz w:val="20"/>
          <w:szCs w:val="20"/>
        </w:rPr>
        <w:t>12.</w:t>
      </w:r>
      <w:r w:rsidR="00441181" w:rsidRPr="00A335CB">
        <w:rPr>
          <w:rFonts w:ascii="Arial" w:hAnsi="Arial" w:cs="Arial"/>
          <w:sz w:val="20"/>
          <w:szCs w:val="20"/>
        </w:rPr>
        <w:t> </w:t>
      </w:r>
      <w:r w:rsidR="00D12CC2" w:rsidRPr="00A335CB">
        <w:rPr>
          <w:rFonts w:ascii="Arial" w:hAnsi="Arial" w:cs="Arial"/>
          <w:sz w:val="20"/>
          <w:szCs w:val="20"/>
        </w:rPr>
        <w:t>2024</w:t>
      </w:r>
    </w:p>
    <w:p w14:paraId="7BE5E960" w14:textId="63B1C6BE" w:rsidR="001541A2" w:rsidRPr="00A335CB" w:rsidRDefault="001541A2" w:rsidP="001541A2">
      <w:pPr>
        <w:spacing w:after="0" w:line="276" w:lineRule="auto"/>
        <w:jc w:val="both"/>
        <w:rPr>
          <w:rFonts w:ascii="Arial" w:hAnsi="Arial" w:cs="Arial"/>
          <w:b/>
          <w:sz w:val="20"/>
          <w:szCs w:val="20"/>
        </w:rPr>
      </w:pPr>
    </w:p>
    <w:p w14:paraId="3E36F904" w14:textId="77777777" w:rsidR="001541A2" w:rsidRPr="00A335CB" w:rsidRDefault="001541A2" w:rsidP="001541A2">
      <w:pPr>
        <w:pStyle w:val="Naslov2"/>
      </w:pPr>
      <w:bookmarkStart w:id="189" w:name="_Toc203553006"/>
      <w:r w:rsidRPr="00A335CB">
        <w:t>Varnost in zdravje pri delu</w:t>
      </w:r>
      <w:bookmarkEnd w:id="189"/>
    </w:p>
    <w:p w14:paraId="5DFBF315" w14:textId="71B9DB90"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 xml:space="preserve">Za višjo raven varnosti in zdravja pri delu so se v skladu s predpisi in izjavo o varnosti z oceno tveganja redno </w:t>
      </w:r>
      <w:r w:rsidR="004F174D" w:rsidRPr="00A335CB">
        <w:rPr>
          <w:rFonts w:ascii="Arial" w:hAnsi="Arial" w:cs="Arial"/>
          <w:sz w:val="20"/>
          <w:szCs w:val="20"/>
        </w:rPr>
        <w:t>spremljal</w:t>
      </w:r>
      <w:r w:rsidR="004F174D">
        <w:rPr>
          <w:rFonts w:ascii="Arial" w:hAnsi="Arial" w:cs="Arial"/>
          <w:sz w:val="20"/>
          <w:szCs w:val="20"/>
        </w:rPr>
        <w:t>i</w:t>
      </w:r>
      <w:r w:rsidR="004F174D" w:rsidRPr="00A335CB">
        <w:rPr>
          <w:rFonts w:ascii="Arial" w:hAnsi="Arial" w:cs="Arial"/>
          <w:sz w:val="20"/>
          <w:szCs w:val="20"/>
        </w:rPr>
        <w:t xml:space="preserve"> </w:t>
      </w:r>
      <w:r w:rsidRPr="00A335CB">
        <w:rPr>
          <w:rFonts w:ascii="Arial" w:hAnsi="Arial" w:cs="Arial"/>
          <w:sz w:val="20"/>
          <w:szCs w:val="20"/>
        </w:rPr>
        <w:t xml:space="preserve">nevarnosti in tveganja, ki so ali bi lahko </w:t>
      </w:r>
      <w:r w:rsidR="004F174D" w:rsidRPr="00A335CB">
        <w:rPr>
          <w:rFonts w:ascii="Arial" w:hAnsi="Arial" w:cs="Arial"/>
          <w:sz w:val="20"/>
          <w:szCs w:val="20"/>
        </w:rPr>
        <w:t>nastopil</w:t>
      </w:r>
      <w:r w:rsidR="004F174D">
        <w:rPr>
          <w:rFonts w:ascii="Arial" w:hAnsi="Arial" w:cs="Arial"/>
          <w:sz w:val="20"/>
          <w:szCs w:val="20"/>
        </w:rPr>
        <w:t>i</w:t>
      </w:r>
      <w:r w:rsidRPr="00A335CB">
        <w:rPr>
          <w:rFonts w:ascii="Arial" w:hAnsi="Arial" w:cs="Arial"/>
          <w:sz w:val="20"/>
          <w:szCs w:val="20"/>
        </w:rPr>
        <w:t xml:space="preserve">, izvajali </w:t>
      </w:r>
      <w:r w:rsidR="004F174D">
        <w:rPr>
          <w:rFonts w:ascii="Arial" w:hAnsi="Arial" w:cs="Arial"/>
          <w:sz w:val="20"/>
          <w:szCs w:val="20"/>
        </w:rPr>
        <w:t xml:space="preserve">so se tudi </w:t>
      </w:r>
      <w:r w:rsidRPr="00A335CB">
        <w:rPr>
          <w:rFonts w:ascii="Arial" w:hAnsi="Arial" w:cs="Arial"/>
          <w:sz w:val="20"/>
          <w:szCs w:val="20"/>
        </w:rPr>
        <w:t xml:space="preserve">ukrepi za preprečevanje, odpravljanje in obvladovanje nevarnosti pri delu. V okviru spremljanja pojavnosti nalezljivih bolezni in priporočil Nacionalnega inštituta za javno zdravje ter preventivnih in zaščitnih ukrepov za preprečevanje in obvladovanje okužb so se izvajale aktivnosti v zvezi s pojavljanjem okužb </w:t>
      </w:r>
      <w:proofErr w:type="spellStart"/>
      <w:r w:rsidRPr="00A335CB">
        <w:rPr>
          <w:rFonts w:ascii="Arial" w:hAnsi="Arial" w:cs="Arial"/>
          <w:sz w:val="20"/>
          <w:szCs w:val="20"/>
        </w:rPr>
        <w:t>impetigo</w:t>
      </w:r>
      <w:proofErr w:type="spellEnd"/>
      <w:r w:rsidRPr="00A335CB">
        <w:rPr>
          <w:rFonts w:ascii="Arial" w:hAnsi="Arial" w:cs="Arial"/>
          <w:sz w:val="20"/>
          <w:szCs w:val="20"/>
        </w:rPr>
        <w:t>, občasnimi porasti okužb s SARS-CoV-2 ter izbruhom opičjih koz (</w:t>
      </w:r>
      <w:proofErr w:type="spellStart"/>
      <w:r w:rsidRPr="00A335CB">
        <w:rPr>
          <w:rFonts w:ascii="Arial" w:hAnsi="Arial" w:cs="Arial"/>
          <w:sz w:val="20"/>
          <w:szCs w:val="20"/>
        </w:rPr>
        <w:t>mpox</w:t>
      </w:r>
      <w:proofErr w:type="spellEnd"/>
      <w:r w:rsidRPr="00A335CB">
        <w:rPr>
          <w:rFonts w:ascii="Arial" w:hAnsi="Arial" w:cs="Arial"/>
          <w:sz w:val="20"/>
          <w:szCs w:val="20"/>
        </w:rPr>
        <w:t xml:space="preserve">) v Afriki, ki jih je povzročil novi podtip virusa (bolj nalezljiv, težji potek bolezni in višja umrljivost), kar je Svetovna zdravstvena organizacija razglasila kot javnozdravstveno grožnjo mednarodnega pomena. Notranjim organizacijskim enotam so bila v zvezi s tem </w:t>
      </w:r>
      <w:r w:rsidR="00670EF4">
        <w:rPr>
          <w:rFonts w:ascii="Arial" w:hAnsi="Arial" w:cs="Arial"/>
          <w:sz w:val="20"/>
          <w:szCs w:val="20"/>
        </w:rPr>
        <w:t>predložena</w:t>
      </w:r>
      <w:r w:rsidR="00670EF4" w:rsidRPr="00A335CB">
        <w:rPr>
          <w:rFonts w:ascii="Arial" w:hAnsi="Arial" w:cs="Arial"/>
          <w:sz w:val="20"/>
          <w:szCs w:val="20"/>
        </w:rPr>
        <w:t xml:space="preserve"> </w:t>
      </w:r>
      <w:r w:rsidRPr="00A335CB">
        <w:rPr>
          <w:rFonts w:ascii="Arial" w:hAnsi="Arial" w:cs="Arial"/>
          <w:sz w:val="20"/>
          <w:szCs w:val="20"/>
        </w:rPr>
        <w:t xml:space="preserve">ustrezna obvestila oziroma preventivni in zaščitni ukrepi za preprečevanje in obvladovanje okužb. Za policiste in kriminaliste, ki bi pri operativnem delu lahko prišli v stik s sintetičnimi opioidi, so bile zagotovljene prevedene Smernice za varno ravnanje s sintetičnimi opioidi za uslužbence organov odkrivanja in pregona ter uslužbence carine (OZN, Urad združenih narodov za droge in kriminal, Dunaj 2021), ki podrobneje opredeljujejo toksičnost, potentnost opioidov in tveganje za izpostavljenost opioidom, poti izpostavljenosti, tehnično-tehnološke ukrepe za varnost in zdravje, organizacijske ukrepe in usposabljanje, osebno varovalno opremo za rutinsko operativno delo in visoko tvegano operativno delo ter priporočeno minimalno osebno varovalno opremo glede na vrsto naloge, pri kateri vemo ali sumimo, da so prisotni sintetični opioidi, postopke dekontaminacije ter previdnostne ukrepe pri rutinskih in visoko tveganih varnostnih pregledih, previdnostne ukrepe za </w:t>
      </w:r>
      <w:proofErr w:type="spellStart"/>
      <w:r w:rsidRPr="00A335CB">
        <w:rPr>
          <w:rFonts w:ascii="Arial" w:hAnsi="Arial" w:cs="Arial"/>
          <w:sz w:val="20"/>
          <w:szCs w:val="20"/>
        </w:rPr>
        <w:t>forenzike</w:t>
      </w:r>
      <w:proofErr w:type="spellEnd"/>
      <w:r w:rsidRPr="00A335CB">
        <w:rPr>
          <w:rFonts w:ascii="Arial" w:hAnsi="Arial" w:cs="Arial"/>
          <w:sz w:val="20"/>
          <w:szCs w:val="20"/>
        </w:rPr>
        <w:t xml:space="preserve"> in ravnanje z dokaznim materialom ter ne</w:t>
      </w:r>
      <w:r w:rsidR="004F174D">
        <w:rPr>
          <w:rFonts w:ascii="Arial" w:hAnsi="Arial" w:cs="Arial"/>
          <w:sz w:val="20"/>
          <w:szCs w:val="20"/>
        </w:rPr>
        <w:t xml:space="preserve"> </w:t>
      </w:r>
      <w:r w:rsidRPr="00A335CB">
        <w:rPr>
          <w:rFonts w:ascii="Arial" w:hAnsi="Arial" w:cs="Arial"/>
          <w:sz w:val="20"/>
          <w:szCs w:val="20"/>
        </w:rPr>
        <w:t>nazadnje nujno medicinsko pomoč in odziv na predoziranje s sintetičnimi opioidi.</w:t>
      </w:r>
    </w:p>
    <w:p w14:paraId="25A9444C" w14:textId="77777777" w:rsidR="001541A2" w:rsidRPr="00A335CB" w:rsidRDefault="001541A2" w:rsidP="001541A2">
      <w:pPr>
        <w:spacing w:after="0" w:line="276" w:lineRule="auto"/>
        <w:jc w:val="both"/>
        <w:rPr>
          <w:rFonts w:ascii="Arial" w:hAnsi="Arial" w:cs="Arial"/>
          <w:sz w:val="20"/>
          <w:szCs w:val="20"/>
        </w:rPr>
      </w:pPr>
    </w:p>
    <w:p w14:paraId="69ADDF04" w14:textId="6DC6C127"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V okviru izvajanja zdravstvenih ukrepov je bilo v letu 2024 izvedenih skupno 3.152 preventivnih zdravstvenih pregledov javnih uslužbencev, 1.073 v Službi za varnost in zdravje pri delu, Ambulanti medicine dela</w:t>
      </w:r>
      <w:r w:rsidR="004F174D">
        <w:rPr>
          <w:rFonts w:ascii="Arial" w:hAnsi="Arial" w:cs="Arial"/>
          <w:sz w:val="20"/>
          <w:szCs w:val="20"/>
        </w:rPr>
        <w:t>,</w:t>
      </w:r>
      <w:r w:rsidRPr="00A335CB">
        <w:rPr>
          <w:rFonts w:ascii="Arial" w:hAnsi="Arial" w:cs="Arial"/>
          <w:sz w:val="20"/>
          <w:szCs w:val="20"/>
        </w:rPr>
        <w:t xml:space="preserve"> in 2.079 pri zunanjih pooblaščenih izvajalcih medicine dela. Klinična psihologa specialista sta v letu 2024 opravila 742 preventivnih psiholoških pregledov uslužbencev policije, 203 </w:t>
      </w:r>
      <w:r w:rsidR="004F174D" w:rsidRPr="00A335CB">
        <w:rPr>
          <w:rFonts w:ascii="Arial" w:hAnsi="Arial" w:cs="Arial"/>
          <w:sz w:val="20"/>
          <w:szCs w:val="20"/>
        </w:rPr>
        <w:t>kontroln</w:t>
      </w:r>
      <w:r w:rsidR="004F174D">
        <w:rPr>
          <w:rFonts w:ascii="Arial" w:hAnsi="Arial" w:cs="Arial"/>
          <w:sz w:val="20"/>
          <w:szCs w:val="20"/>
        </w:rPr>
        <w:t>e</w:t>
      </w:r>
      <w:r w:rsidR="004F174D" w:rsidRPr="00A335CB">
        <w:rPr>
          <w:rFonts w:ascii="Arial" w:hAnsi="Arial" w:cs="Arial"/>
          <w:sz w:val="20"/>
          <w:szCs w:val="20"/>
        </w:rPr>
        <w:t xml:space="preserve"> pregled</w:t>
      </w:r>
      <w:r w:rsidR="004F174D">
        <w:rPr>
          <w:rFonts w:ascii="Arial" w:hAnsi="Arial" w:cs="Arial"/>
          <w:sz w:val="20"/>
          <w:szCs w:val="20"/>
        </w:rPr>
        <w:t>e</w:t>
      </w:r>
      <w:r w:rsidR="004F174D" w:rsidRPr="00A335CB">
        <w:rPr>
          <w:rFonts w:ascii="Arial" w:hAnsi="Arial" w:cs="Arial"/>
          <w:sz w:val="20"/>
          <w:szCs w:val="20"/>
        </w:rPr>
        <w:t xml:space="preserve"> </w:t>
      </w:r>
      <w:r w:rsidRPr="00A335CB">
        <w:rPr>
          <w:rFonts w:ascii="Arial" w:hAnsi="Arial" w:cs="Arial"/>
          <w:sz w:val="20"/>
          <w:szCs w:val="20"/>
        </w:rPr>
        <w:t xml:space="preserve">in 141 klinično psiholoških obravnav, 20 kriznih intervencij ter 111 psihoterapevtskih oziroma svetovalnih obravnav (14 uslužbencev policije). Izvedla sta tudi delavnico Veščine v medosebnih odnosih, ki je bila namenjena vsem javnim uslužbencem za izboljšanje komunikacije v timih in z zunanjimi deležniki, učinkovitejše upravljanje konfliktov in prepoznavanje znakov tistih stisk, za katere je nujno vključiti strokovno pomoč. Psihologom Delovne skupine za psihološko pomoč in podporo sta nudila konzultacije ter zanje pripravila usposabljanje iz ocenjevanja psiholoških profilov, izbirnega postopka </w:t>
      </w:r>
      <w:r w:rsidR="004F174D">
        <w:rPr>
          <w:rFonts w:ascii="Arial" w:hAnsi="Arial" w:cs="Arial"/>
          <w:sz w:val="20"/>
          <w:szCs w:val="20"/>
        </w:rPr>
        <w:t>in</w:t>
      </w:r>
      <w:r w:rsidR="004F174D" w:rsidRPr="00A335CB">
        <w:rPr>
          <w:rFonts w:ascii="Arial" w:hAnsi="Arial" w:cs="Arial"/>
          <w:sz w:val="20"/>
          <w:szCs w:val="20"/>
        </w:rPr>
        <w:t xml:space="preserve"> </w:t>
      </w:r>
      <w:r w:rsidRPr="00A335CB">
        <w:rPr>
          <w:rFonts w:ascii="Arial" w:hAnsi="Arial" w:cs="Arial"/>
          <w:sz w:val="20"/>
          <w:szCs w:val="20"/>
        </w:rPr>
        <w:t xml:space="preserve">ocenjevanja samomorilne ogroženosti. </w:t>
      </w:r>
    </w:p>
    <w:p w14:paraId="4E517A43" w14:textId="77777777" w:rsidR="001541A2" w:rsidRPr="00A335CB" w:rsidRDefault="001541A2" w:rsidP="001541A2">
      <w:pPr>
        <w:spacing w:after="0" w:line="276" w:lineRule="auto"/>
        <w:jc w:val="both"/>
        <w:rPr>
          <w:rFonts w:ascii="Arial" w:hAnsi="Arial" w:cs="Arial"/>
          <w:sz w:val="20"/>
          <w:szCs w:val="20"/>
        </w:rPr>
      </w:pPr>
    </w:p>
    <w:p w14:paraId="26CC4611" w14:textId="1E9F0A2B"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Preventivno cepljenje je bilo izvedeno za 1.502 oseb</w:t>
      </w:r>
      <w:r w:rsidR="00A51A6D" w:rsidRPr="00A335CB">
        <w:rPr>
          <w:rFonts w:ascii="Arial" w:hAnsi="Arial" w:cs="Arial"/>
          <w:sz w:val="20"/>
          <w:szCs w:val="20"/>
        </w:rPr>
        <w:t>i</w:t>
      </w:r>
      <w:r w:rsidRPr="00A335CB">
        <w:rPr>
          <w:rFonts w:ascii="Arial" w:hAnsi="Arial" w:cs="Arial"/>
          <w:sz w:val="20"/>
          <w:szCs w:val="20"/>
        </w:rPr>
        <w:t xml:space="preserve"> (</w:t>
      </w:r>
      <w:r w:rsidR="00A51A6D" w:rsidRPr="00A335CB">
        <w:rPr>
          <w:rFonts w:ascii="Arial" w:hAnsi="Arial" w:cs="Arial"/>
          <w:sz w:val="20"/>
          <w:szCs w:val="20"/>
        </w:rPr>
        <w:t>javni uslužbenci MNZ</w:t>
      </w:r>
      <w:r w:rsidRPr="00A335CB">
        <w:rPr>
          <w:rFonts w:ascii="Arial" w:hAnsi="Arial" w:cs="Arial"/>
          <w:sz w:val="20"/>
          <w:szCs w:val="20"/>
        </w:rPr>
        <w:t xml:space="preserve"> in organov v sestavi ter pomožni policisti), in sicer v Službi za varnost in zdravje pri delu, Ambulanti medicine dela</w:t>
      </w:r>
      <w:r w:rsidR="004F174D">
        <w:rPr>
          <w:rFonts w:ascii="Arial" w:hAnsi="Arial" w:cs="Arial"/>
          <w:sz w:val="20"/>
          <w:szCs w:val="20"/>
        </w:rPr>
        <w:t>,</w:t>
      </w:r>
      <w:r w:rsidRPr="00A335CB">
        <w:rPr>
          <w:rFonts w:ascii="Arial" w:hAnsi="Arial" w:cs="Arial"/>
          <w:sz w:val="20"/>
          <w:szCs w:val="20"/>
        </w:rPr>
        <w:t xml:space="preserve"> ali na terenu. Za javne uslužbence, napotene na delo v tujino, je bilo organizirano cepljenje na Nacionalnem inštitutu za javno zdravje.</w:t>
      </w:r>
    </w:p>
    <w:p w14:paraId="05A8B8F8" w14:textId="77777777" w:rsidR="001541A2" w:rsidRPr="00A335CB" w:rsidRDefault="001541A2" w:rsidP="001541A2">
      <w:pPr>
        <w:spacing w:after="0" w:line="276" w:lineRule="auto"/>
        <w:jc w:val="both"/>
        <w:rPr>
          <w:rFonts w:ascii="Arial" w:hAnsi="Arial" w:cs="Arial"/>
          <w:sz w:val="20"/>
          <w:szCs w:val="20"/>
        </w:rPr>
      </w:pPr>
    </w:p>
    <w:p w14:paraId="34CCBDD0" w14:textId="7CECE0B0"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V izvajanju so bile obsežne aktivnosti, povezane z ocenjevanjem tveganja v skladu s Pravilnikom o zagotavljanju varnosti in zdravja delavcev pri ročnem premeščanju bre</w:t>
      </w:r>
      <w:r w:rsidR="00A51A6D" w:rsidRPr="00A335CB">
        <w:rPr>
          <w:rFonts w:ascii="Arial" w:hAnsi="Arial" w:cs="Arial"/>
          <w:sz w:val="20"/>
          <w:szCs w:val="20"/>
        </w:rPr>
        <w:t>men, ki se nadaljujejo še v letu</w:t>
      </w:r>
      <w:r w:rsidRPr="00A335CB">
        <w:rPr>
          <w:rFonts w:ascii="Arial" w:hAnsi="Arial" w:cs="Arial"/>
          <w:sz w:val="20"/>
          <w:szCs w:val="20"/>
        </w:rPr>
        <w:t xml:space="preserve"> 2025. Vključevale so izdelavo strokovnih podlag za ocenjevanje tveganja pri ročnem pr</w:t>
      </w:r>
      <w:r w:rsidR="00A51A6D" w:rsidRPr="00A335CB">
        <w:rPr>
          <w:rFonts w:ascii="Arial" w:hAnsi="Arial" w:cs="Arial"/>
          <w:sz w:val="20"/>
          <w:szCs w:val="20"/>
        </w:rPr>
        <w:t>emeščanju bremen v MNZ</w:t>
      </w:r>
      <w:r w:rsidRPr="00A335CB">
        <w:rPr>
          <w:rFonts w:ascii="Arial" w:hAnsi="Arial" w:cs="Arial"/>
          <w:sz w:val="20"/>
          <w:szCs w:val="20"/>
        </w:rPr>
        <w:t xml:space="preserve">, IRSNZ in </w:t>
      </w:r>
      <w:r w:rsidR="004F174D">
        <w:rPr>
          <w:rFonts w:ascii="Arial" w:hAnsi="Arial" w:cs="Arial"/>
          <w:sz w:val="20"/>
          <w:szCs w:val="20"/>
        </w:rPr>
        <w:t>p</w:t>
      </w:r>
      <w:r w:rsidR="004F174D" w:rsidRPr="00A335CB">
        <w:rPr>
          <w:rFonts w:ascii="Arial" w:hAnsi="Arial" w:cs="Arial"/>
          <w:sz w:val="20"/>
          <w:szCs w:val="20"/>
        </w:rPr>
        <w:t xml:space="preserve">oliciji </w:t>
      </w:r>
      <w:r w:rsidRPr="00A335CB">
        <w:rPr>
          <w:rFonts w:ascii="Arial" w:hAnsi="Arial" w:cs="Arial"/>
          <w:sz w:val="20"/>
          <w:szCs w:val="20"/>
        </w:rPr>
        <w:t xml:space="preserve">v skladu z navedenim pravilnikom ter izvajanje ocenjevanja tveganj pri ročnem premeščanju bremen na vseh </w:t>
      </w:r>
      <w:r w:rsidR="00A51A6D" w:rsidRPr="00A335CB">
        <w:rPr>
          <w:rFonts w:ascii="Arial" w:hAnsi="Arial" w:cs="Arial"/>
          <w:sz w:val="20"/>
          <w:szCs w:val="20"/>
        </w:rPr>
        <w:t xml:space="preserve">delovnih mestih v MNZ </w:t>
      </w:r>
      <w:r w:rsidRPr="00A335CB">
        <w:rPr>
          <w:rFonts w:ascii="Arial" w:hAnsi="Arial" w:cs="Arial"/>
          <w:sz w:val="20"/>
          <w:szCs w:val="20"/>
        </w:rPr>
        <w:t>in organih v sestavi, ki je zajemalo pregled in popis delovnih procesov ter v tem okviru ocenjevanje tveganj, povezanih z ročnim premeščanjem bremen. Izvedeni so bili tudi sprotni posvetovalni sestanki s predstavniki sindikatov v zvezi z že izvedenimi in načrtovanimi aktivnostmi ter posledičnimi spremembami in dopolnitvami izjave o varnosti z oceno tveganja.</w:t>
      </w:r>
    </w:p>
    <w:p w14:paraId="2D9AA57D" w14:textId="77777777" w:rsidR="001541A2" w:rsidRPr="00A335CB" w:rsidRDefault="001541A2" w:rsidP="001541A2">
      <w:pPr>
        <w:spacing w:after="0" w:line="276" w:lineRule="auto"/>
        <w:jc w:val="both"/>
        <w:rPr>
          <w:rFonts w:ascii="Arial" w:hAnsi="Arial" w:cs="Arial"/>
          <w:sz w:val="20"/>
          <w:szCs w:val="20"/>
        </w:rPr>
      </w:pPr>
    </w:p>
    <w:p w14:paraId="20CB667B" w14:textId="77777777"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Glede na določila Pravilnika o izdelavi ocen požarne ogroženosti je bila v okviru javnih naročil v skladu s 166 novimi ocenami požarne ogroženosti zagotovljena izdelava posodobljenih požarnih redov, načrtov evakuacije in požarnih načrtov za vseh 142 objektov v policijskih upravah, za posamezne objekte ministrstva in Generalne policijske uprave pa so prilagoditve ukrepov varstva pred požarom izdelovali diplomirani varnostni inženirji Službe za varnost in zdravje pri delu.</w:t>
      </w:r>
    </w:p>
    <w:p w14:paraId="36274DC2" w14:textId="77777777" w:rsidR="001541A2" w:rsidRPr="00A335CB" w:rsidRDefault="001541A2" w:rsidP="001541A2">
      <w:pPr>
        <w:spacing w:after="0" w:line="276" w:lineRule="auto"/>
        <w:jc w:val="both"/>
        <w:rPr>
          <w:rFonts w:ascii="Arial" w:hAnsi="Arial" w:cs="Arial"/>
          <w:sz w:val="20"/>
          <w:szCs w:val="20"/>
        </w:rPr>
      </w:pPr>
    </w:p>
    <w:p w14:paraId="1CDED37C" w14:textId="212A1AEA"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 xml:space="preserve">Na področju varstva pred sevanji </w:t>
      </w:r>
      <w:r w:rsidR="004F174D" w:rsidRPr="00A335CB">
        <w:rPr>
          <w:rFonts w:ascii="Arial" w:hAnsi="Arial" w:cs="Arial"/>
          <w:sz w:val="20"/>
          <w:szCs w:val="20"/>
        </w:rPr>
        <w:t>s</w:t>
      </w:r>
      <w:r w:rsidR="004F174D">
        <w:rPr>
          <w:rFonts w:ascii="Arial" w:hAnsi="Arial" w:cs="Arial"/>
          <w:sz w:val="20"/>
          <w:szCs w:val="20"/>
        </w:rPr>
        <w:t>o</w:t>
      </w:r>
      <w:r w:rsidR="004F174D" w:rsidRPr="00A335CB">
        <w:rPr>
          <w:rFonts w:ascii="Arial" w:hAnsi="Arial" w:cs="Arial"/>
          <w:sz w:val="20"/>
          <w:szCs w:val="20"/>
        </w:rPr>
        <w:t xml:space="preserve"> </w:t>
      </w:r>
      <w:r w:rsidR="004F174D">
        <w:rPr>
          <w:rFonts w:ascii="Arial" w:hAnsi="Arial" w:cs="Arial"/>
          <w:sz w:val="20"/>
          <w:szCs w:val="20"/>
        </w:rPr>
        <w:t>s</w:t>
      </w:r>
      <w:r w:rsidRPr="00A335CB">
        <w:rPr>
          <w:rFonts w:ascii="Arial" w:hAnsi="Arial" w:cs="Arial"/>
          <w:sz w:val="20"/>
          <w:szCs w:val="20"/>
        </w:rPr>
        <w:t xml:space="preserve">e na Institutu Jožef Stefan, pooblaščenem izvedencu varstva pred sevanji, </w:t>
      </w:r>
      <w:r w:rsidR="004F174D" w:rsidRPr="00A335CB">
        <w:rPr>
          <w:rFonts w:ascii="Arial" w:hAnsi="Arial" w:cs="Arial"/>
          <w:sz w:val="20"/>
          <w:szCs w:val="20"/>
        </w:rPr>
        <w:t>izvajal</w:t>
      </w:r>
      <w:r w:rsidR="004F174D">
        <w:rPr>
          <w:rFonts w:ascii="Arial" w:hAnsi="Arial" w:cs="Arial"/>
          <w:sz w:val="20"/>
          <w:szCs w:val="20"/>
        </w:rPr>
        <w:t>i</w:t>
      </w:r>
      <w:r w:rsidR="004F174D" w:rsidRPr="00A335CB">
        <w:rPr>
          <w:rFonts w:ascii="Arial" w:hAnsi="Arial" w:cs="Arial"/>
          <w:sz w:val="20"/>
          <w:szCs w:val="20"/>
        </w:rPr>
        <w:t xml:space="preserve"> </w:t>
      </w:r>
      <w:r w:rsidRPr="00A335CB">
        <w:rPr>
          <w:rFonts w:ascii="Arial" w:hAnsi="Arial" w:cs="Arial"/>
          <w:sz w:val="20"/>
          <w:szCs w:val="20"/>
        </w:rPr>
        <w:t xml:space="preserve">redno odčitavanje osebnih in </w:t>
      </w:r>
      <w:proofErr w:type="spellStart"/>
      <w:r w:rsidRPr="00A335CB">
        <w:rPr>
          <w:rFonts w:ascii="Arial" w:hAnsi="Arial" w:cs="Arial"/>
          <w:sz w:val="20"/>
          <w:szCs w:val="20"/>
        </w:rPr>
        <w:t>okoljskih</w:t>
      </w:r>
      <w:proofErr w:type="spellEnd"/>
      <w:r w:rsidRPr="00A335CB">
        <w:rPr>
          <w:rFonts w:ascii="Arial" w:hAnsi="Arial" w:cs="Arial"/>
          <w:sz w:val="20"/>
          <w:szCs w:val="20"/>
        </w:rPr>
        <w:t xml:space="preserve"> dozimetrov ionizirajočega sevanja ter pregledi in meritve ionizirajočega sevanja na stacionarnem RTG-aparatu v času varovanja dneva odprtih vrat na sedežu predsednika Republike Slovenije ter </w:t>
      </w:r>
      <w:r w:rsidR="00721952">
        <w:rPr>
          <w:rFonts w:ascii="Arial" w:hAnsi="Arial" w:cs="Arial"/>
          <w:sz w:val="20"/>
          <w:szCs w:val="20"/>
        </w:rPr>
        <w:t>drugih</w:t>
      </w:r>
      <w:r w:rsidR="00721952" w:rsidRPr="00A335CB">
        <w:rPr>
          <w:rFonts w:ascii="Arial" w:hAnsi="Arial" w:cs="Arial"/>
          <w:sz w:val="20"/>
          <w:szCs w:val="20"/>
        </w:rPr>
        <w:t xml:space="preserve"> </w:t>
      </w:r>
      <w:r w:rsidRPr="00A335CB">
        <w:rPr>
          <w:rFonts w:ascii="Arial" w:hAnsi="Arial" w:cs="Arial"/>
          <w:sz w:val="20"/>
          <w:szCs w:val="20"/>
        </w:rPr>
        <w:t>virov sevanja. Zagotovljene so bile tudi redne meritve ionizirajočega sevanja pri poklicno izpostavljenih policistih, razvrščenih v razred B</w:t>
      </w:r>
      <w:r w:rsidR="005E4F25">
        <w:rPr>
          <w:rFonts w:ascii="Arial" w:hAnsi="Arial" w:cs="Arial"/>
          <w:sz w:val="20"/>
          <w:szCs w:val="20"/>
        </w:rPr>
        <w:t>,</w:t>
      </w:r>
      <w:r w:rsidRPr="00A335CB">
        <w:rPr>
          <w:rFonts w:ascii="Arial" w:hAnsi="Arial" w:cs="Arial"/>
          <w:sz w:val="20"/>
          <w:szCs w:val="20"/>
        </w:rPr>
        <w:t xml:space="preserve"> </w:t>
      </w:r>
      <w:r w:rsidR="005E4F25">
        <w:rPr>
          <w:rFonts w:ascii="Arial" w:hAnsi="Arial" w:cs="Arial"/>
          <w:sz w:val="20"/>
          <w:szCs w:val="20"/>
        </w:rPr>
        <w:t>prav tako je bilo</w:t>
      </w:r>
      <w:r w:rsidR="005E4F25" w:rsidRPr="00A335CB">
        <w:rPr>
          <w:rFonts w:ascii="Arial" w:hAnsi="Arial" w:cs="Arial"/>
          <w:sz w:val="20"/>
          <w:szCs w:val="20"/>
        </w:rPr>
        <w:t xml:space="preserve"> </w:t>
      </w:r>
      <w:r w:rsidRPr="00A335CB">
        <w:rPr>
          <w:rFonts w:ascii="Arial" w:hAnsi="Arial" w:cs="Arial"/>
          <w:sz w:val="20"/>
          <w:szCs w:val="20"/>
        </w:rPr>
        <w:t xml:space="preserve">vzpostavljeno redno umerjanje merilnika </w:t>
      </w:r>
      <w:proofErr w:type="spellStart"/>
      <w:r w:rsidRPr="00A335CB">
        <w:rPr>
          <w:rFonts w:ascii="Arial" w:hAnsi="Arial" w:cs="Arial"/>
          <w:sz w:val="20"/>
          <w:szCs w:val="20"/>
        </w:rPr>
        <w:t>dozne</w:t>
      </w:r>
      <w:proofErr w:type="spellEnd"/>
      <w:r w:rsidRPr="00A335CB">
        <w:rPr>
          <w:rFonts w:ascii="Arial" w:hAnsi="Arial" w:cs="Arial"/>
          <w:sz w:val="20"/>
          <w:szCs w:val="20"/>
        </w:rPr>
        <w:t xml:space="preserve"> hitrosti, ki se uporablja pri delu s prenosnim kontinuiranim rentgenskim aparatom. </w:t>
      </w:r>
    </w:p>
    <w:p w14:paraId="2B6404E1" w14:textId="77777777" w:rsidR="001541A2" w:rsidRPr="00A335CB" w:rsidRDefault="001541A2" w:rsidP="001541A2">
      <w:pPr>
        <w:spacing w:after="0" w:line="276" w:lineRule="auto"/>
        <w:jc w:val="both"/>
        <w:rPr>
          <w:rFonts w:ascii="Arial" w:hAnsi="Arial" w:cs="Arial"/>
          <w:sz w:val="20"/>
          <w:szCs w:val="20"/>
        </w:rPr>
      </w:pPr>
    </w:p>
    <w:p w14:paraId="371BF47F" w14:textId="59EC82F0"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 xml:space="preserve">Različnih usposabljanj in preverjanj usposobljenosti se je udeležilo 5.957 javnih uslužbencev, in sicer s področja varnosti in zdravja pri delu (2.769), varstva pred požarom (2.474), varstva pred sevanji (4) in prve pomoči (710). Skupno je bilo opravljenih tudi 833 ur zdravstvene zaščite za specifične potrebe </w:t>
      </w:r>
      <w:r w:rsidR="005E4F25">
        <w:rPr>
          <w:rFonts w:ascii="Arial" w:hAnsi="Arial" w:cs="Arial"/>
          <w:sz w:val="20"/>
          <w:szCs w:val="20"/>
        </w:rPr>
        <w:t>p</w:t>
      </w:r>
      <w:r w:rsidR="005E4F25" w:rsidRPr="00A335CB">
        <w:rPr>
          <w:rFonts w:ascii="Arial" w:hAnsi="Arial" w:cs="Arial"/>
          <w:sz w:val="20"/>
          <w:szCs w:val="20"/>
        </w:rPr>
        <w:t xml:space="preserve">olicije </w:t>
      </w:r>
      <w:r w:rsidRPr="00A335CB">
        <w:rPr>
          <w:rFonts w:ascii="Arial" w:hAnsi="Arial" w:cs="Arial"/>
          <w:sz w:val="20"/>
          <w:szCs w:val="20"/>
        </w:rPr>
        <w:t>na terenu (577 ur za Višjo policijsko šolo in</w:t>
      </w:r>
      <w:r w:rsidR="00A51A6D" w:rsidRPr="00A335CB">
        <w:rPr>
          <w:rFonts w:ascii="Arial" w:hAnsi="Arial" w:cs="Arial"/>
          <w:sz w:val="20"/>
          <w:szCs w:val="20"/>
        </w:rPr>
        <w:t xml:space="preserve"> 232 ur za potrebe različnih enot </w:t>
      </w:r>
      <w:r w:rsidR="005E4F25">
        <w:rPr>
          <w:rFonts w:ascii="Arial" w:hAnsi="Arial" w:cs="Arial"/>
          <w:sz w:val="20"/>
          <w:szCs w:val="20"/>
        </w:rPr>
        <w:t>p</w:t>
      </w:r>
      <w:r w:rsidRPr="00A335CB">
        <w:rPr>
          <w:rFonts w:ascii="Arial" w:hAnsi="Arial" w:cs="Arial"/>
          <w:sz w:val="20"/>
          <w:szCs w:val="20"/>
        </w:rPr>
        <w:t xml:space="preserve">olicije). </w:t>
      </w:r>
    </w:p>
    <w:p w14:paraId="467F6DEC" w14:textId="77777777" w:rsidR="001541A2" w:rsidRPr="00A335CB" w:rsidRDefault="001541A2" w:rsidP="001541A2">
      <w:pPr>
        <w:spacing w:after="0" w:line="276" w:lineRule="auto"/>
        <w:jc w:val="both"/>
        <w:rPr>
          <w:rFonts w:ascii="Arial" w:hAnsi="Arial" w:cs="Arial"/>
          <w:sz w:val="20"/>
          <w:szCs w:val="20"/>
        </w:rPr>
      </w:pPr>
    </w:p>
    <w:p w14:paraId="0980B07C" w14:textId="65C9DC5F" w:rsidR="001541A2" w:rsidRPr="00A335CB" w:rsidRDefault="001541A2" w:rsidP="001541A2">
      <w:pPr>
        <w:spacing w:after="0" w:line="276" w:lineRule="auto"/>
        <w:jc w:val="both"/>
        <w:rPr>
          <w:rFonts w:ascii="Arial" w:hAnsi="Arial" w:cs="Arial"/>
          <w:sz w:val="20"/>
          <w:szCs w:val="20"/>
        </w:rPr>
      </w:pPr>
      <w:r w:rsidRPr="00A335CB">
        <w:rPr>
          <w:rFonts w:ascii="Arial" w:hAnsi="Arial" w:cs="Arial"/>
          <w:sz w:val="20"/>
          <w:szCs w:val="20"/>
        </w:rPr>
        <w:t xml:space="preserve">Urad za organizacijo in kadre je sodeloval v splošnih nadzorih na področju kadrovskih zadev, varnosti in zdravja pri delu ter varstva pred požarom v </w:t>
      </w:r>
      <w:r w:rsidR="008E4C92">
        <w:rPr>
          <w:rFonts w:ascii="Arial" w:hAnsi="Arial" w:cs="Arial"/>
          <w:sz w:val="20"/>
          <w:szCs w:val="20"/>
        </w:rPr>
        <w:t>p</w:t>
      </w:r>
      <w:r w:rsidR="008E4C92" w:rsidRPr="00A335CB">
        <w:rPr>
          <w:rFonts w:ascii="Arial" w:hAnsi="Arial" w:cs="Arial"/>
          <w:sz w:val="20"/>
          <w:szCs w:val="20"/>
        </w:rPr>
        <w:t xml:space="preserve">oliciji </w:t>
      </w:r>
      <w:r w:rsidRPr="00A335CB">
        <w:rPr>
          <w:rFonts w:ascii="Arial" w:hAnsi="Arial" w:cs="Arial"/>
          <w:sz w:val="20"/>
          <w:szCs w:val="20"/>
        </w:rPr>
        <w:t>(</w:t>
      </w:r>
      <w:r w:rsidR="00573566" w:rsidRPr="00A335CB">
        <w:rPr>
          <w:rFonts w:ascii="Arial" w:hAnsi="Arial" w:cs="Arial"/>
          <w:sz w:val="20"/>
          <w:szCs w:val="20"/>
        </w:rPr>
        <w:t>Policijska uprava</w:t>
      </w:r>
      <w:r w:rsidRPr="00A335CB">
        <w:rPr>
          <w:rFonts w:ascii="Arial" w:hAnsi="Arial" w:cs="Arial"/>
          <w:sz w:val="20"/>
          <w:szCs w:val="20"/>
        </w:rPr>
        <w:t xml:space="preserve"> Novo mesto in policijske postaje v njeni sestavi od 2. 4. do 10. 5. 2024, Specialna enota od 2. 10. do 8. 10. 2024).</w:t>
      </w:r>
    </w:p>
    <w:p w14:paraId="0332F30E" w14:textId="5E436E82" w:rsidR="001541A2" w:rsidRPr="00A335CB" w:rsidRDefault="001541A2" w:rsidP="001541A2">
      <w:pPr>
        <w:pStyle w:val="Naslov2"/>
        <w:numPr>
          <w:ilvl w:val="0"/>
          <w:numId w:val="0"/>
        </w:numPr>
        <w:spacing w:line="276" w:lineRule="auto"/>
        <w:jc w:val="both"/>
        <w:rPr>
          <w:rStyle w:val="st"/>
        </w:rPr>
      </w:pPr>
    </w:p>
    <w:p w14:paraId="27E387FA" w14:textId="1090199A" w:rsidR="00693369" w:rsidRPr="00A335CB" w:rsidRDefault="00563420" w:rsidP="00CC1375">
      <w:pPr>
        <w:pStyle w:val="Naslov2"/>
        <w:spacing w:after="0" w:line="276" w:lineRule="auto"/>
        <w:jc w:val="both"/>
        <w:rPr>
          <w:rStyle w:val="st"/>
        </w:rPr>
      </w:pPr>
      <w:bookmarkStart w:id="190" w:name="_Toc203553007"/>
      <w:r w:rsidRPr="00A335CB">
        <w:rPr>
          <w:rStyle w:val="st"/>
        </w:rPr>
        <w:t>Področje sodnih sporov in odškodninskih zahtevkov</w:t>
      </w:r>
      <w:bookmarkEnd w:id="190"/>
    </w:p>
    <w:p w14:paraId="676A85C6" w14:textId="77777777" w:rsidR="00CC1375" w:rsidRPr="00A335CB" w:rsidRDefault="00CC1375" w:rsidP="00CC1375">
      <w:pPr>
        <w:spacing w:after="0" w:line="276" w:lineRule="auto"/>
        <w:jc w:val="both"/>
        <w:rPr>
          <w:rFonts w:ascii="Arial" w:hAnsi="Arial" w:cs="Arial"/>
          <w:sz w:val="20"/>
          <w:szCs w:val="20"/>
        </w:rPr>
      </w:pPr>
    </w:p>
    <w:p w14:paraId="2281CD50" w14:textId="0843F708" w:rsidR="00627DFB" w:rsidRPr="00A335CB" w:rsidRDefault="00627DFB" w:rsidP="005D1A90">
      <w:pPr>
        <w:spacing w:line="276" w:lineRule="auto"/>
        <w:jc w:val="both"/>
        <w:rPr>
          <w:rFonts w:ascii="Arial" w:hAnsi="Arial" w:cs="Arial"/>
          <w:sz w:val="20"/>
          <w:szCs w:val="20"/>
        </w:rPr>
      </w:pPr>
      <w:r w:rsidRPr="00A335CB">
        <w:rPr>
          <w:rFonts w:ascii="Arial" w:hAnsi="Arial" w:cs="Arial"/>
          <w:sz w:val="20"/>
          <w:szCs w:val="20"/>
        </w:rPr>
        <w:t xml:space="preserve">Na področju </w:t>
      </w:r>
      <w:r w:rsidRPr="00A335CB">
        <w:rPr>
          <w:rFonts w:ascii="Arial" w:hAnsi="Arial" w:cs="Arial"/>
          <w:b/>
          <w:sz w:val="20"/>
          <w:szCs w:val="20"/>
        </w:rPr>
        <w:t>reševanja civilnih in upravnih sodnih sporov</w:t>
      </w:r>
      <w:r w:rsidRPr="00A335CB">
        <w:rPr>
          <w:rFonts w:ascii="Arial" w:hAnsi="Arial" w:cs="Arial"/>
          <w:sz w:val="20"/>
          <w:szCs w:val="20"/>
        </w:rPr>
        <w:t xml:space="preserve"> je bilo v letu 2024 v </w:t>
      </w:r>
      <w:r w:rsidRPr="00A335CB">
        <w:rPr>
          <w:rFonts w:ascii="Arial" w:eastAsiaTheme="majorEastAsia" w:hAnsi="Arial" w:cs="Arial"/>
          <w:sz w:val="20"/>
          <w:szCs w:val="20"/>
        </w:rPr>
        <w:t xml:space="preserve">obravnavi 288 zadev sodnih sporov (civilnopravnih sporov in sporov pred </w:t>
      </w:r>
      <w:r w:rsidR="00144A2E">
        <w:rPr>
          <w:rFonts w:ascii="Arial" w:eastAsiaTheme="majorEastAsia" w:hAnsi="Arial" w:cs="Arial"/>
          <w:sz w:val="20"/>
          <w:szCs w:val="20"/>
        </w:rPr>
        <w:t>u</w:t>
      </w:r>
      <w:r w:rsidR="00144A2E" w:rsidRPr="00A335CB">
        <w:rPr>
          <w:rFonts w:ascii="Arial" w:eastAsiaTheme="majorEastAsia" w:hAnsi="Arial" w:cs="Arial"/>
          <w:sz w:val="20"/>
          <w:szCs w:val="20"/>
        </w:rPr>
        <w:t xml:space="preserve">pravnim </w:t>
      </w:r>
      <w:r w:rsidRPr="00A335CB">
        <w:rPr>
          <w:rFonts w:ascii="Arial" w:eastAsiaTheme="majorEastAsia" w:hAnsi="Arial" w:cs="Arial"/>
          <w:sz w:val="20"/>
          <w:szCs w:val="20"/>
        </w:rPr>
        <w:t xml:space="preserve">sodiščem). </w:t>
      </w:r>
      <w:r w:rsidRPr="00A335CB">
        <w:rPr>
          <w:rFonts w:ascii="Arial" w:hAnsi="Arial" w:cs="Arial"/>
          <w:sz w:val="20"/>
          <w:szCs w:val="20"/>
        </w:rPr>
        <w:t xml:space="preserve">Na rednih sodiščih so bili obravnavani gospodarski spori, odškodninski spori, spori zaradi </w:t>
      </w:r>
      <w:proofErr w:type="spellStart"/>
      <w:r w:rsidRPr="00A335CB">
        <w:rPr>
          <w:rFonts w:ascii="Arial" w:hAnsi="Arial" w:cs="Arial"/>
          <w:sz w:val="20"/>
          <w:szCs w:val="20"/>
        </w:rPr>
        <w:t>mobinga</w:t>
      </w:r>
      <w:proofErr w:type="spellEnd"/>
      <w:r w:rsidRPr="00A335CB">
        <w:rPr>
          <w:rFonts w:ascii="Arial" w:hAnsi="Arial" w:cs="Arial"/>
          <w:sz w:val="20"/>
          <w:szCs w:val="20"/>
        </w:rPr>
        <w:t xml:space="preserve"> na delovnem mestu, spori zaradi delovnopravnih razmerij, spori iz najemnih razmerij, izvršb, stečajnih postopkov, spori, povezani s problematiko odškodnin za razlaščene nepremičnine na mejnih prehodih. </w:t>
      </w:r>
      <w:r w:rsidRPr="00A335CB">
        <w:rPr>
          <w:rFonts w:ascii="Arial" w:eastAsiaTheme="majorEastAsia" w:hAnsi="Arial" w:cs="Arial"/>
          <w:sz w:val="20"/>
          <w:szCs w:val="20"/>
        </w:rPr>
        <w:t>Aktualnih ostaja tudi še 13 odprtih sodnih sporov izbrisanih ter 44 sodnih sporov</w:t>
      </w:r>
      <w:r w:rsidRPr="00A335CB">
        <w:rPr>
          <w:rFonts w:ascii="Arial" w:eastAsiaTheme="majorEastAsia" w:hAnsi="Arial" w:cs="Arial"/>
          <w:b/>
          <w:sz w:val="20"/>
          <w:szCs w:val="20"/>
        </w:rPr>
        <w:t xml:space="preserve"> </w:t>
      </w:r>
      <w:r w:rsidRPr="00A335CB">
        <w:rPr>
          <w:rFonts w:ascii="Arial" w:hAnsi="Arial" w:cs="Arial"/>
          <w:sz w:val="20"/>
          <w:szCs w:val="20"/>
        </w:rPr>
        <w:t>protestnikov shoda 5.</w:t>
      </w:r>
      <w:r w:rsidR="00144A2E">
        <w:rPr>
          <w:rFonts w:ascii="Arial" w:hAnsi="Arial" w:cs="Arial"/>
          <w:sz w:val="20"/>
          <w:szCs w:val="20"/>
        </w:rPr>
        <w:t> </w:t>
      </w:r>
      <w:r w:rsidRPr="00A335CB">
        <w:rPr>
          <w:rFonts w:ascii="Arial" w:hAnsi="Arial" w:cs="Arial"/>
          <w:sz w:val="20"/>
          <w:szCs w:val="20"/>
        </w:rPr>
        <w:t>10.</w:t>
      </w:r>
      <w:r w:rsidR="00144A2E">
        <w:rPr>
          <w:rFonts w:ascii="Arial" w:hAnsi="Arial" w:cs="Arial"/>
          <w:sz w:val="20"/>
          <w:szCs w:val="20"/>
        </w:rPr>
        <w:t> </w:t>
      </w:r>
      <w:r w:rsidRPr="00A335CB">
        <w:rPr>
          <w:rFonts w:ascii="Arial" w:hAnsi="Arial" w:cs="Arial"/>
          <w:sz w:val="20"/>
          <w:szCs w:val="20"/>
        </w:rPr>
        <w:t xml:space="preserve">2021 v Ljubljani. </w:t>
      </w:r>
    </w:p>
    <w:p w14:paraId="68AE348D" w14:textId="32689A0A" w:rsidR="00627DFB" w:rsidRPr="00A335CB" w:rsidRDefault="00627DFB" w:rsidP="005D1A90">
      <w:pPr>
        <w:spacing w:line="276" w:lineRule="auto"/>
        <w:jc w:val="both"/>
        <w:rPr>
          <w:rFonts w:ascii="Arial" w:hAnsi="Arial" w:cs="Arial"/>
          <w:sz w:val="20"/>
          <w:szCs w:val="20"/>
        </w:rPr>
      </w:pPr>
      <w:r w:rsidRPr="00A335CB">
        <w:rPr>
          <w:rFonts w:ascii="Arial" w:hAnsi="Arial" w:cs="Arial"/>
          <w:sz w:val="20"/>
          <w:szCs w:val="20"/>
        </w:rPr>
        <w:t xml:space="preserve">Na področju upravnih sporov s področja obravnave tujcev (dovolitev zadrževanja tujcev, zavrnitve tujcev na meji, omejitev gibanja v centru za tujce, podaljšanje omejitve gibanja in preizkusa utemeljenosti omejitve gibanja) je bilo v letu 2024 </w:t>
      </w:r>
      <w:r w:rsidR="00144A2E" w:rsidRPr="00A335CB">
        <w:rPr>
          <w:rFonts w:ascii="Arial" w:hAnsi="Arial" w:cs="Arial"/>
          <w:sz w:val="20"/>
          <w:szCs w:val="20"/>
        </w:rPr>
        <w:t>obravnavan</w:t>
      </w:r>
      <w:r w:rsidR="00144A2E">
        <w:rPr>
          <w:rFonts w:ascii="Arial" w:hAnsi="Arial" w:cs="Arial"/>
          <w:sz w:val="20"/>
          <w:szCs w:val="20"/>
        </w:rPr>
        <w:t>ih</w:t>
      </w:r>
      <w:r w:rsidR="00144A2E" w:rsidRPr="00A335CB">
        <w:rPr>
          <w:rFonts w:ascii="Arial" w:hAnsi="Arial" w:cs="Arial"/>
          <w:sz w:val="20"/>
          <w:szCs w:val="20"/>
        </w:rPr>
        <w:t xml:space="preserve"> </w:t>
      </w:r>
      <w:r w:rsidRPr="00A335CB">
        <w:rPr>
          <w:rFonts w:ascii="Arial" w:hAnsi="Arial" w:cs="Arial"/>
          <w:sz w:val="20"/>
          <w:szCs w:val="20"/>
        </w:rPr>
        <w:t xml:space="preserve">40 upravnih sporov, od tega je bilo rešenih 25, v obravnavi pa ostaja še 15 nerešenih sodnih sporov. </w:t>
      </w:r>
    </w:p>
    <w:p w14:paraId="51CFC34D" w14:textId="280D2BD3" w:rsidR="000B1BAF" w:rsidRDefault="000B1BAF" w:rsidP="000B1BAF">
      <w:pPr>
        <w:spacing w:after="0" w:line="276" w:lineRule="auto"/>
        <w:jc w:val="both"/>
        <w:rPr>
          <w:rFonts w:ascii="Arial" w:hAnsi="Arial" w:cs="Arial"/>
          <w:b/>
          <w:sz w:val="20"/>
          <w:szCs w:val="20"/>
        </w:rPr>
      </w:pPr>
      <w:r w:rsidRPr="000B1BAF">
        <w:rPr>
          <w:rFonts w:ascii="Arial" w:hAnsi="Arial" w:cs="Arial"/>
          <w:b/>
          <w:sz w:val="20"/>
          <w:szCs w:val="20"/>
        </w:rPr>
        <w:t>Na področju reševanja odškodninskih zahtevkov</w:t>
      </w:r>
      <w:r w:rsidRPr="000B1BAF">
        <w:rPr>
          <w:rFonts w:ascii="Arial" w:hAnsi="Arial" w:cs="Arial"/>
          <w:sz w:val="20"/>
          <w:szCs w:val="20"/>
        </w:rPr>
        <w:t xml:space="preserve"> je bilo v letu 2024 v reševanju 296 primerov odškodninskih zahtevkov (160 novih primerov in 136 zahtevkov iz preteklih let). Gre za vložene odškodninske zahtevke uslužbencev, ki jim je škoda nastala na delu ali v zvezi z delom, ter zahtevke tretjih oseb, ki jim je bila povzročena škoda. </w:t>
      </w:r>
    </w:p>
    <w:p w14:paraId="7A226446" w14:textId="77777777" w:rsidR="000B1BAF" w:rsidRDefault="000B1BAF" w:rsidP="005D1A90">
      <w:pPr>
        <w:autoSpaceDE w:val="0"/>
        <w:autoSpaceDN w:val="0"/>
        <w:adjustRightInd w:val="0"/>
        <w:spacing w:after="0" w:line="276" w:lineRule="auto"/>
        <w:jc w:val="both"/>
        <w:rPr>
          <w:rFonts w:ascii="Arial" w:hAnsi="Arial" w:cs="Arial"/>
          <w:b/>
          <w:sz w:val="20"/>
          <w:szCs w:val="20"/>
        </w:rPr>
      </w:pPr>
    </w:p>
    <w:p w14:paraId="5AF1487E" w14:textId="32C37922" w:rsidR="00627DFB" w:rsidRPr="00A335CB" w:rsidRDefault="00627DFB" w:rsidP="005D1A90">
      <w:pPr>
        <w:spacing w:line="276" w:lineRule="auto"/>
        <w:jc w:val="both"/>
        <w:rPr>
          <w:rFonts w:ascii="Arial" w:hAnsi="Arial" w:cs="Arial"/>
          <w:sz w:val="20"/>
          <w:szCs w:val="20"/>
        </w:rPr>
      </w:pPr>
      <w:r w:rsidRPr="00A335CB">
        <w:rPr>
          <w:rFonts w:ascii="Arial" w:eastAsiaTheme="minorHAnsi" w:hAnsi="Arial" w:cs="Arial"/>
          <w:iCs/>
          <w:sz w:val="20"/>
          <w:szCs w:val="20"/>
        </w:rPr>
        <w:t xml:space="preserve">Na področju </w:t>
      </w:r>
      <w:r w:rsidRPr="00A335CB">
        <w:rPr>
          <w:rFonts w:ascii="Arial" w:eastAsiaTheme="minorHAnsi" w:hAnsi="Arial" w:cs="Arial"/>
          <w:b/>
          <w:bCs/>
          <w:iCs/>
          <w:sz w:val="20"/>
          <w:szCs w:val="20"/>
        </w:rPr>
        <w:t>sistema MOPED-DOCS</w:t>
      </w:r>
      <w:r w:rsidRPr="00A335CB">
        <w:rPr>
          <w:rFonts w:ascii="Arial" w:eastAsiaTheme="minorHAnsi" w:hAnsi="Arial" w:cs="Arial"/>
          <w:iCs/>
          <w:sz w:val="20"/>
          <w:szCs w:val="20"/>
        </w:rPr>
        <w:t xml:space="preserve"> </w:t>
      </w:r>
      <w:r w:rsidR="00144A2E" w:rsidRPr="00A335CB">
        <w:rPr>
          <w:rFonts w:ascii="Arial" w:eastAsiaTheme="minorHAnsi" w:hAnsi="Arial" w:cs="Arial"/>
          <w:iCs/>
          <w:sz w:val="20"/>
          <w:szCs w:val="20"/>
        </w:rPr>
        <w:t>s</w:t>
      </w:r>
      <w:r w:rsidR="00144A2E">
        <w:rPr>
          <w:rFonts w:ascii="Arial" w:eastAsiaTheme="minorHAnsi" w:hAnsi="Arial" w:cs="Arial"/>
          <w:iCs/>
          <w:sz w:val="20"/>
          <w:szCs w:val="20"/>
        </w:rPr>
        <w:t>ta</w:t>
      </w:r>
      <w:r w:rsidR="00144A2E" w:rsidRPr="00A335CB">
        <w:rPr>
          <w:rFonts w:ascii="Arial" w:eastAsiaTheme="minorHAnsi" w:hAnsi="Arial" w:cs="Arial"/>
          <w:iCs/>
          <w:sz w:val="20"/>
          <w:szCs w:val="20"/>
        </w:rPr>
        <w:t xml:space="preserve"> </w:t>
      </w:r>
      <w:r w:rsidR="00144A2E">
        <w:rPr>
          <w:rFonts w:ascii="Arial" w:eastAsiaTheme="minorHAnsi" w:hAnsi="Arial" w:cs="Arial"/>
          <w:iCs/>
          <w:sz w:val="20"/>
          <w:szCs w:val="20"/>
        </w:rPr>
        <w:t>s</w:t>
      </w:r>
      <w:r w:rsidRPr="00A335CB">
        <w:rPr>
          <w:rFonts w:ascii="Arial" w:eastAsiaTheme="minorHAnsi" w:hAnsi="Arial" w:cs="Arial"/>
          <w:iCs/>
          <w:sz w:val="20"/>
          <w:szCs w:val="20"/>
        </w:rPr>
        <w:t>e izvajal</w:t>
      </w:r>
      <w:r w:rsidR="00144A2E">
        <w:rPr>
          <w:rFonts w:ascii="Arial" w:eastAsiaTheme="minorHAnsi" w:hAnsi="Arial" w:cs="Arial"/>
          <w:iCs/>
          <w:sz w:val="20"/>
          <w:szCs w:val="20"/>
        </w:rPr>
        <w:t>a</w:t>
      </w:r>
      <w:r w:rsidRPr="00A335CB">
        <w:rPr>
          <w:rFonts w:ascii="Arial" w:eastAsiaTheme="minorHAnsi" w:hAnsi="Arial" w:cs="Arial"/>
          <w:iCs/>
          <w:sz w:val="20"/>
          <w:szCs w:val="20"/>
        </w:rPr>
        <w:t xml:space="preserve"> redni pregled novosti na področju direktiv in drugih pravnih aktov EU in obveščanje pristojnih služb o teh novostih.</w:t>
      </w:r>
      <w:r w:rsidRPr="00A335CB">
        <w:rPr>
          <w:rFonts w:ascii="Arial" w:hAnsi="Arial" w:cs="Arial"/>
          <w:sz w:val="20"/>
          <w:szCs w:val="20"/>
        </w:rPr>
        <w:t xml:space="preserve"> </w:t>
      </w:r>
    </w:p>
    <w:p w14:paraId="7576F6F1" w14:textId="100AEEE9" w:rsidR="00627DFB" w:rsidRPr="00A335CB" w:rsidRDefault="00627DFB" w:rsidP="005F76F3">
      <w:pPr>
        <w:spacing w:after="0" w:line="276" w:lineRule="auto"/>
        <w:jc w:val="both"/>
        <w:rPr>
          <w:rFonts w:ascii="Arial" w:hAnsi="Arial" w:cs="Arial"/>
          <w:sz w:val="20"/>
          <w:szCs w:val="20"/>
        </w:rPr>
      </w:pPr>
      <w:r w:rsidRPr="00A335CB">
        <w:rPr>
          <w:rFonts w:ascii="Arial" w:eastAsiaTheme="minorHAnsi" w:hAnsi="Arial" w:cs="Arial"/>
          <w:b/>
          <w:bCs/>
          <w:sz w:val="20"/>
          <w:szCs w:val="20"/>
        </w:rPr>
        <w:t xml:space="preserve">Stanje prenosa direktiv v pravni red RS in odprtih </w:t>
      </w:r>
      <w:r w:rsidR="00144A2E" w:rsidRPr="00A335CB">
        <w:rPr>
          <w:rFonts w:ascii="Arial" w:eastAsiaTheme="minorHAnsi" w:hAnsi="Arial" w:cs="Arial"/>
          <w:b/>
          <w:bCs/>
          <w:sz w:val="20"/>
          <w:szCs w:val="20"/>
        </w:rPr>
        <w:t>postopk</w:t>
      </w:r>
      <w:r w:rsidR="00144A2E">
        <w:rPr>
          <w:rFonts w:ascii="Arial" w:eastAsiaTheme="minorHAnsi" w:hAnsi="Arial" w:cs="Arial"/>
          <w:b/>
          <w:bCs/>
          <w:sz w:val="20"/>
          <w:szCs w:val="20"/>
        </w:rPr>
        <w:t>o</w:t>
      </w:r>
      <w:r w:rsidR="008F48C7">
        <w:rPr>
          <w:rFonts w:ascii="Arial" w:eastAsiaTheme="minorHAnsi" w:hAnsi="Arial" w:cs="Arial"/>
          <w:b/>
          <w:bCs/>
          <w:sz w:val="20"/>
          <w:szCs w:val="20"/>
        </w:rPr>
        <w:t>v</w:t>
      </w:r>
      <w:r w:rsidR="00144A2E" w:rsidRPr="00A335CB">
        <w:rPr>
          <w:rFonts w:ascii="Arial" w:eastAsiaTheme="minorHAnsi" w:hAnsi="Arial" w:cs="Arial"/>
          <w:b/>
          <w:bCs/>
          <w:sz w:val="20"/>
          <w:szCs w:val="20"/>
        </w:rPr>
        <w:t xml:space="preserve"> </w:t>
      </w:r>
      <w:r w:rsidRPr="00A335CB">
        <w:rPr>
          <w:rFonts w:ascii="Arial" w:eastAsiaTheme="minorHAnsi" w:hAnsi="Arial" w:cs="Arial"/>
          <w:b/>
          <w:bCs/>
          <w:sz w:val="20"/>
          <w:szCs w:val="20"/>
        </w:rPr>
        <w:t>ugotavljanja kršitev prava EU</w:t>
      </w:r>
    </w:p>
    <w:p w14:paraId="614D3201" w14:textId="58194C71" w:rsidR="00627DFB" w:rsidRPr="00A335CB" w:rsidRDefault="00627DFB" w:rsidP="00C91C5B">
      <w:pPr>
        <w:spacing w:after="0" w:line="276" w:lineRule="auto"/>
        <w:jc w:val="both"/>
        <w:rPr>
          <w:rFonts w:ascii="Arial" w:hAnsi="Arial" w:cs="Arial"/>
          <w:sz w:val="20"/>
          <w:szCs w:val="20"/>
        </w:rPr>
      </w:pPr>
      <w:r w:rsidRPr="00A335CB">
        <w:rPr>
          <w:rFonts w:ascii="Arial" w:hAnsi="Arial" w:cs="Arial"/>
          <w:sz w:val="20"/>
          <w:szCs w:val="20"/>
        </w:rPr>
        <w:t>Na področju ugotavljanja kršitev prava EU</w:t>
      </w:r>
      <w:r w:rsidR="00C91C5B" w:rsidRPr="00A335CB">
        <w:rPr>
          <w:rFonts w:ascii="Arial" w:hAnsi="Arial" w:cs="Arial"/>
          <w:sz w:val="20"/>
          <w:szCs w:val="20"/>
        </w:rPr>
        <w:t xml:space="preserve"> je Republika Slovenija v</w:t>
      </w:r>
      <w:r w:rsidRPr="00A335CB">
        <w:rPr>
          <w:rFonts w:ascii="Arial" w:hAnsi="Arial" w:cs="Arial"/>
          <w:sz w:val="20"/>
          <w:szCs w:val="20"/>
        </w:rPr>
        <w:t xml:space="preserve"> decembru 2024 prejela obrazloženo mnenje Evropske komisije zaradi </w:t>
      </w:r>
      <w:proofErr w:type="spellStart"/>
      <w:r w:rsidRPr="00A335CB">
        <w:rPr>
          <w:rFonts w:ascii="Arial" w:hAnsi="Arial" w:cs="Arial"/>
          <w:sz w:val="20"/>
          <w:szCs w:val="20"/>
        </w:rPr>
        <w:t>nenotifikacije</w:t>
      </w:r>
      <w:proofErr w:type="spellEnd"/>
      <w:r w:rsidRPr="00A335CB">
        <w:rPr>
          <w:rFonts w:ascii="Arial" w:hAnsi="Arial" w:cs="Arial"/>
          <w:sz w:val="20"/>
          <w:szCs w:val="20"/>
        </w:rPr>
        <w:t xml:space="preserve"> predpisov za prenos Direktive (EU) 2021/1883 Evropskega parlamenta in Sveta z dne 20. oktobra 2021 o pogojih za vstop in prebivanje državljanov tretjih držav za namen visokokvalificirane zaposlitve in razveljavitvi Direktive Sveta 2009/50/ES v slovenski pravni red. V okviru koordinacije postopkov ugotavljanja kršitev prava EU se je </w:t>
      </w:r>
      <w:r w:rsidR="008F48C7">
        <w:rPr>
          <w:rFonts w:ascii="Arial" w:hAnsi="Arial" w:cs="Arial"/>
          <w:sz w:val="20"/>
          <w:szCs w:val="20"/>
        </w:rPr>
        <w:t>za</w:t>
      </w:r>
      <w:r w:rsidR="008F48C7" w:rsidRPr="00A335CB">
        <w:rPr>
          <w:rFonts w:ascii="Arial" w:hAnsi="Arial" w:cs="Arial"/>
          <w:sz w:val="20"/>
          <w:szCs w:val="20"/>
        </w:rPr>
        <w:t>čel</w:t>
      </w:r>
      <w:r w:rsidR="008F48C7">
        <w:rPr>
          <w:rFonts w:ascii="Arial" w:hAnsi="Arial" w:cs="Arial"/>
          <w:sz w:val="20"/>
          <w:szCs w:val="20"/>
        </w:rPr>
        <w:t>a</w:t>
      </w:r>
      <w:r w:rsidR="008F48C7" w:rsidRPr="00A335CB">
        <w:rPr>
          <w:rFonts w:ascii="Arial" w:hAnsi="Arial" w:cs="Arial"/>
          <w:sz w:val="20"/>
          <w:szCs w:val="20"/>
        </w:rPr>
        <w:t xml:space="preserve"> </w:t>
      </w:r>
      <w:r w:rsidRPr="00A335CB">
        <w:rPr>
          <w:rFonts w:ascii="Arial" w:hAnsi="Arial" w:cs="Arial"/>
          <w:sz w:val="20"/>
          <w:szCs w:val="20"/>
        </w:rPr>
        <w:t>priprav</w:t>
      </w:r>
      <w:r w:rsidR="008F48C7">
        <w:rPr>
          <w:rFonts w:ascii="Arial" w:hAnsi="Arial" w:cs="Arial"/>
          <w:sz w:val="20"/>
          <w:szCs w:val="20"/>
        </w:rPr>
        <w:t>a</w:t>
      </w:r>
      <w:r w:rsidRPr="00A335CB">
        <w:rPr>
          <w:rFonts w:ascii="Arial" w:hAnsi="Arial" w:cs="Arial"/>
          <w:sz w:val="20"/>
          <w:szCs w:val="20"/>
        </w:rPr>
        <w:t xml:space="preserve"> ustreznega odgovora Evropski komisiji na obrazloženo mnenje. </w:t>
      </w:r>
    </w:p>
    <w:p w14:paraId="3D066E14" w14:textId="77777777" w:rsidR="00C91C5B" w:rsidRPr="00A335CB" w:rsidRDefault="00C91C5B" w:rsidP="00C91C5B">
      <w:pPr>
        <w:spacing w:after="0" w:line="276" w:lineRule="auto"/>
        <w:jc w:val="both"/>
        <w:rPr>
          <w:rFonts w:ascii="Arial" w:hAnsi="Arial" w:cs="Arial"/>
          <w:sz w:val="20"/>
          <w:szCs w:val="20"/>
        </w:rPr>
      </w:pPr>
    </w:p>
    <w:p w14:paraId="7A221995" w14:textId="790A4951" w:rsidR="00E92E78" w:rsidRPr="00A335CB" w:rsidRDefault="00265B7A" w:rsidP="00C91C5B">
      <w:pPr>
        <w:pStyle w:val="Naslov2"/>
        <w:spacing w:after="0" w:line="276" w:lineRule="auto"/>
        <w:jc w:val="both"/>
      </w:pPr>
      <w:bookmarkStart w:id="191" w:name="_Toc203553008"/>
      <w:r w:rsidRPr="00A335CB">
        <w:t>P</w:t>
      </w:r>
      <w:r w:rsidR="00CF5E90" w:rsidRPr="00A335CB">
        <w:t>revajanj</w:t>
      </w:r>
      <w:r w:rsidRPr="00A335CB">
        <w:t xml:space="preserve">e </w:t>
      </w:r>
      <w:r w:rsidR="00CF5E90" w:rsidRPr="00A335CB">
        <w:t>in tolmačenj</w:t>
      </w:r>
      <w:r w:rsidRPr="00A335CB">
        <w:t>e</w:t>
      </w:r>
      <w:bookmarkStart w:id="192" w:name="_Toc326563871"/>
      <w:bookmarkStart w:id="193" w:name="_Toc350355034"/>
      <w:bookmarkStart w:id="194" w:name="_Toc414526136"/>
      <w:bookmarkEnd w:id="191"/>
    </w:p>
    <w:p w14:paraId="1AAB979F" w14:textId="77777777" w:rsidR="00C91C5B" w:rsidRPr="00A335CB" w:rsidRDefault="00C91C5B" w:rsidP="00C91C5B">
      <w:pPr>
        <w:spacing w:after="0"/>
        <w:rPr>
          <w:rFonts w:ascii="Arial" w:hAnsi="Arial" w:cs="Arial"/>
          <w:sz w:val="20"/>
          <w:szCs w:val="20"/>
          <w:lang w:eastAsia="sl-SI"/>
        </w:rPr>
      </w:pPr>
    </w:p>
    <w:p w14:paraId="5D39FAA6" w14:textId="6158B22C" w:rsidR="00A255C3" w:rsidRPr="00A335CB" w:rsidRDefault="00A255C3" w:rsidP="00A255C3">
      <w:pPr>
        <w:autoSpaceDE w:val="0"/>
        <w:autoSpaceDN w:val="0"/>
        <w:adjustRightInd w:val="0"/>
        <w:spacing w:after="0" w:line="276" w:lineRule="auto"/>
        <w:jc w:val="both"/>
        <w:rPr>
          <w:rFonts w:ascii="Arial" w:hAnsi="Arial" w:cs="Arial"/>
          <w:b/>
          <w:sz w:val="20"/>
          <w:szCs w:val="20"/>
        </w:rPr>
      </w:pPr>
      <w:r w:rsidRPr="00A335CB">
        <w:rPr>
          <w:rFonts w:ascii="Arial" w:hAnsi="Arial" w:cs="Arial"/>
          <w:b/>
          <w:sz w:val="20"/>
          <w:szCs w:val="20"/>
        </w:rPr>
        <w:t>Izvajanje storitev prevajanja, lektoriranja in tolmačenja</w:t>
      </w:r>
    </w:p>
    <w:p w14:paraId="1451A061" w14:textId="145B48A4" w:rsidR="00A255C3" w:rsidRPr="00A335CB" w:rsidRDefault="00A255C3" w:rsidP="00A255C3">
      <w:pPr>
        <w:spacing w:line="276" w:lineRule="auto"/>
        <w:jc w:val="both"/>
        <w:rPr>
          <w:rFonts w:ascii="Arial" w:hAnsi="Arial" w:cs="Arial"/>
          <w:sz w:val="20"/>
          <w:szCs w:val="20"/>
          <w:lang w:eastAsia="sl-SI"/>
        </w:rPr>
      </w:pPr>
      <w:r w:rsidRPr="00A335CB">
        <w:rPr>
          <w:rFonts w:ascii="Arial" w:hAnsi="Arial" w:cs="Arial"/>
          <w:sz w:val="20"/>
          <w:szCs w:val="20"/>
          <w:lang w:eastAsia="sl-SI"/>
        </w:rPr>
        <w:t>Služba za prevajanje in lektoriranje ter informacijsko-knjižnično dejavnost (</w:t>
      </w:r>
      <w:r w:rsidR="00C91C5B" w:rsidRPr="00A335CB">
        <w:rPr>
          <w:rFonts w:ascii="Arial" w:hAnsi="Arial" w:cs="Arial"/>
          <w:sz w:val="20"/>
          <w:szCs w:val="20"/>
          <w:lang w:eastAsia="sl-SI"/>
        </w:rPr>
        <w:t>v nadaljnjem besedilu: SPLIKD) je v letu 2024 prejela</w:t>
      </w:r>
      <w:r w:rsidRPr="00A335CB">
        <w:rPr>
          <w:rFonts w:ascii="Arial" w:hAnsi="Arial" w:cs="Arial"/>
          <w:sz w:val="20"/>
          <w:szCs w:val="20"/>
          <w:lang w:eastAsia="sl-SI"/>
        </w:rPr>
        <w:t xml:space="preserve"> 1.850 zahtevkov za prevajalske, </w:t>
      </w:r>
      <w:proofErr w:type="spellStart"/>
      <w:r w:rsidRPr="00A335CB">
        <w:rPr>
          <w:rFonts w:ascii="Arial" w:hAnsi="Arial" w:cs="Arial"/>
          <w:sz w:val="20"/>
          <w:szCs w:val="20"/>
          <w:lang w:eastAsia="sl-SI"/>
        </w:rPr>
        <w:t>tolmaške</w:t>
      </w:r>
      <w:proofErr w:type="spellEnd"/>
      <w:r w:rsidRPr="00A335CB">
        <w:rPr>
          <w:rFonts w:ascii="Arial" w:hAnsi="Arial" w:cs="Arial"/>
          <w:sz w:val="20"/>
          <w:szCs w:val="20"/>
          <w:lang w:eastAsia="sl-SI"/>
        </w:rPr>
        <w:t xml:space="preserve"> in lektorske storitve. </w:t>
      </w:r>
    </w:p>
    <w:p w14:paraId="25348280" w14:textId="6FEF27ED" w:rsidR="00C91C5B" w:rsidRPr="00A335CB" w:rsidRDefault="00C91C5B" w:rsidP="00C91C5B">
      <w:pPr>
        <w:spacing w:after="0" w:line="276" w:lineRule="auto"/>
        <w:jc w:val="both"/>
        <w:rPr>
          <w:rFonts w:ascii="Arial" w:hAnsi="Arial" w:cs="Arial"/>
          <w:b/>
          <w:sz w:val="20"/>
          <w:szCs w:val="20"/>
        </w:rPr>
      </w:pPr>
      <w:r w:rsidRPr="00A335CB">
        <w:rPr>
          <w:rFonts w:ascii="Arial" w:hAnsi="Arial" w:cs="Arial"/>
          <w:b/>
          <w:sz w:val="20"/>
          <w:szCs w:val="20"/>
        </w:rPr>
        <w:t>Prevajanje</w:t>
      </w:r>
    </w:p>
    <w:p w14:paraId="29CEAC38" w14:textId="4FE9F0BF" w:rsidR="006378F8" w:rsidRPr="00C909D9" w:rsidRDefault="00C91C5B" w:rsidP="00C909D9">
      <w:pPr>
        <w:spacing w:line="276" w:lineRule="auto"/>
        <w:jc w:val="both"/>
        <w:rPr>
          <w:rFonts w:ascii="Arial" w:hAnsi="Arial" w:cs="Arial"/>
          <w:sz w:val="20"/>
          <w:szCs w:val="20"/>
          <w:lang w:eastAsia="sl-SI"/>
        </w:rPr>
      </w:pPr>
      <w:r w:rsidRPr="00A335CB">
        <w:rPr>
          <w:rFonts w:ascii="Arial" w:hAnsi="Arial" w:cs="Arial"/>
          <w:sz w:val="20"/>
          <w:szCs w:val="20"/>
        </w:rPr>
        <w:t>P</w:t>
      </w:r>
      <w:r w:rsidR="00A255C3" w:rsidRPr="00A335CB">
        <w:rPr>
          <w:rFonts w:ascii="Arial" w:hAnsi="Arial" w:cs="Arial"/>
          <w:sz w:val="20"/>
          <w:szCs w:val="20"/>
        </w:rPr>
        <w:t xml:space="preserve">revedena so bila besedila, ki so jih v prevod poslale organizacijske enote MNZ, </w:t>
      </w:r>
      <w:r w:rsidR="008F48C7">
        <w:rPr>
          <w:rFonts w:ascii="Arial" w:hAnsi="Arial" w:cs="Arial"/>
          <w:sz w:val="20"/>
          <w:szCs w:val="20"/>
        </w:rPr>
        <w:t>p</w:t>
      </w:r>
      <w:r w:rsidR="008F48C7" w:rsidRPr="00A335CB">
        <w:rPr>
          <w:rFonts w:ascii="Arial" w:hAnsi="Arial" w:cs="Arial"/>
          <w:sz w:val="20"/>
          <w:szCs w:val="20"/>
        </w:rPr>
        <w:t xml:space="preserve">olicije </w:t>
      </w:r>
      <w:r w:rsidR="00A255C3" w:rsidRPr="00A335CB">
        <w:rPr>
          <w:rFonts w:ascii="Arial" w:hAnsi="Arial" w:cs="Arial"/>
          <w:sz w:val="20"/>
          <w:szCs w:val="20"/>
        </w:rPr>
        <w:t xml:space="preserve">in IRSNZ. Besedila, vezana na ministrski del, so se nanašala predvsem na mednarodno sodelovanje ali sodelovanje z institucijami ali telesi EU. S področja policijskega dela </w:t>
      </w:r>
      <w:r w:rsidRPr="00A335CB">
        <w:rPr>
          <w:rFonts w:ascii="Arial" w:hAnsi="Arial" w:cs="Arial"/>
          <w:sz w:val="20"/>
          <w:szCs w:val="20"/>
        </w:rPr>
        <w:t>s</w:t>
      </w:r>
      <w:r w:rsidR="00A255C3" w:rsidRPr="00A335CB">
        <w:rPr>
          <w:rFonts w:ascii="Arial" w:hAnsi="Arial" w:cs="Arial"/>
          <w:sz w:val="20"/>
          <w:szCs w:val="20"/>
        </w:rPr>
        <w:t xml:space="preserve">o obravnavali besedila iz predkazenskih in </w:t>
      </w:r>
      <w:proofErr w:type="spellStart"/>
      <w:r w:rsidR="00A255C3" w:rsidRPr="00A335CB">
        <w:rPr>
          <w:rFonts w:ascii="Arial" w:hAnsi="Arial" w:cs="Arial"/>
          <w:sz w:val="20"/>
          <w:szCs w:val="20"/>
        </w:rPr>
        <w:t>prekrškovnih</w:t>
      </w:r>
      <w:proofErr w:type="spellEnd"/>
      <w:r w:rsidR="00A255C3" w:rsidRPr="00A335CB">
        <w:rPr>
          <w:rFonts w:ascii="Arial" w:hAnsi="Arial" w:cs="Arial"/>
          <w:sz w:val="20"/>
          <w:szCs w:val="20"/>
        </w:rPr>
        <w:t xml:space="preserve"> postopkov, zaprosila za mednarodno pravno pomoč ter dokumentacijo, zaseženo v predkazenskih postopkih. Uslužbenci SPLIKD zagotavljajo prevode v obe smeri in pokrivajo naslednje jezike: angleščina, nemščina, italijanščina, francoščina. Po potrebi opravijo tudi </w:t>
      </w:r>
      <w:proofErr w:type="spellStart"/>
      <w:r w:rsidR="00A255C3" w:rsidRPr="00A335CB">
        <w:rPr>
          <w:rFonts w:ascii="Arial" w:hAnsi="Arial" w:cs="Arial"/>
          <w:sz w:val="20"/>
          <w:szCs w:val="20"/>
        </w:rPr>
        <w:t>predprevajalska</w:t>
      </w:r>
      <w:proofErr w:type="spellEnd"/>
      <w:r w:rsidR="00A255C3" w:rsidRPr="00A335CB">
        <w:rPr>
          <w:rFonts w:ascii="Arial" w:hAnsi="Arial" w:cs="Arial"/>
          <w:sz w:val="20"/>
          <w:szCs w:val="20"/>
        </w:rPr>
        <w:t xml:space="preserve"> opravila ali uredijo že prevedena besedila. </w:t>
      </w:r>
      <w:r w:rsidR="00A255C3" w:rsidRPr="00A335CB">
        <w:rPr>
          <w:rFonts w:ascii="Arial" w:hAnsi="Arial" w:cs="Arial"/>
          <w:sz w:val="20"/>
          <w:szCs w:val="20"/>
          <w:lang w:eastAsia="sl-SI"/>
        </w:rPr>
        <w:t>V naročilo zunanjim izvajalcem ali v iz</w:t>
      </w:r>
      <w:r w:rsidRPr="00A335CB">
        <w:rPr>
          <w:rFonts w:ascii="Arial" w:hAnsi="Arial" w:cs="Arial"/>
          <w:sz w:val="20"/>
          <w:szCs w:val="20"/>
          <w:lang w:eastAsia="sl-SI"/>
        </w:rPr>
        <w:t>vedbo z notranjimi prevajalci s</w:t>
      </w:r>
      <w:r w:rsidR="00A255C3" w:rsidRPr="00A335CB">
        <w:rPr>
          <w:rFonts w:ascii="Arial" w:hAnsi="Arial" w:cs="Arial"/>
          <w:sz w:val="20"/>
          <w:szCs w:val="20"/>
          <w:lang w:eastAsia="sl-SI"/>
        </w:rPr>
        <w:t xml:space="preserve">o v SPLIKD prejeli skupno približno 16.500 prevajalskih strani besedil, od tega so notranji prevajalci prevedli </w:t>
      </w:r>
      <w:r w:rsidR="008F48C7">
        <w:rPr>
          <w:rFonts w:ascii="Arial" w:hAnsi="Arial" w:cs="Arial"/>
          <w:sz w:val="20"/>
          <w:szCs w:val="20"/>
          <w:lang w:eastAsia="sl-SI"/>
        </w:rPr>
        <w:t>približno</w:t>
      </w:r>
      <w:r w:rsidR="008F48C7" w:rsidRPr="00A335CB">
        <w:rPr>
          <w:rFonts w:ascii="Arial" w:hAnsi="Arial" w:cs="Arial"/>
          <w:sz w:val="20"/>
          <w:szCs w:val="20"/>
          <w:lang w:eastAsia="sl-SI"/>
        </w:rPr>
        <w:t xml:space="preserve"> </w:t>
      </w:r>
      <w:r w:rsidR="00A255C3" w:rsidRPr="00A335CB">
        <w:rPr>
          <w:rFonts w:ascii="Arial" w:hAnsi="Arial" w:cs="Arial"/>
          <w:sz w:val="20"/>
          <w:szCs w:val="20"/>
          <w:lang w:eastAsia="sl-SI"/>
        </w:rPr>
        <w:t xml:space="preserve">9.500 prevajalskih strani. </w:t>
      </w:r>
    </w:p>
    <w:p w14:paraId="1EFFC799" w14:textId="6B474FD6" w:rsidR="00C91C5B" w:rsidRPr="00A335CB" w:rsidRDefault="00C91C5B" w:rsidP="00A255C3">
      <w:pPr>
        <w:autoSpaceDE w:val="0"/>
        <w:autoSpaceDN w:val="0"/>
        <w:adjustRightInd w:val="0"/>
        <w:spacing w:after="0" w:line="276" w:lineRule="auto"/>
        <w:jc w:val="both"/>
        <w:rPr>
          <w:rFonts w:ascii="Arial" w:hAnsi="Arial" w:cs="Arial"/>
          <w:b/>
          <w:sz w:val="20"/>
          <w:szCs w:val="20"/>
          <w:lang w:eastAsia="sl-SI"/>
        </w:rPr>
      </w:pPr>
      <w:r w:rsidRPr="00A335CB">
        <w:rPr>
          <w:rFonts w:ascii="Arial" w:hAnsi="Arial" w:cs="Arial"/>
          <w:b/>
          <w:sz w:val="20"/>
          <w:szCs w:val="20"/>
          <w:lang w:eastAsia="sl-SI"/>
        </w:rPr>
        <w:t>Tolmačenje</w:t>
      </w:r>
    </w:p>
    <w:p w14:paraId="15319568" w14:textId="27009492" w:rsidR="00A255C3" w:rsidRPr="00A335CB" w:rsidRDefault="00A255C3" w:rsidP="00A255C3">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SPLIKD je skupaj z zunanjimi izvajalci opravila 167 tolmačen</w:t>
      </w:r>
      <w:r w:rsidR="00C91C5B" w:rsidRPr="00A335CB">
        <w:rPr>
          <w:rFonts w:ascii="Arial" w:hAnsi="Arial" w:cs="Arial"/>
          <w:sz w:val="20"/>
          <w:szCs w:val="20"/>
          <w:lang w:eastAsia="sl-SI"/>
        </w:rPr>
        <w:t>j na najvišji ravni, od tega s</w:t>
      </w:r>
      <w:r w:rsidRPr="00A335CB">
        <w:rPr>
          <w:rFonts w:ascii="Arial" w:hAnsi="Arial" w:cs="Arial"/>
          <w:sz w:val="20"/>
          <w:szCs w:val="20"/>
          <w:lang w:eastAsia="sl-SI"/>
        </w:rPr>
        <w:t>o z notranjimi tolmači zagotovili kar 70</w:t>
      </w:r>
      <w:r w:rsidR="008F48C7">
        <w:rPr>
          <w:rFonts w:ascii="Arial" w:hAnsi="Arial" w:cs="Arial"/>
          <w:sz w:val="20"/>
          <w:szCs w:val="20"/>
          <w:lang w:eastAsia="sl-SI"/>
        </w:rPr>
        <w:t> </w:t>
      </w:r>
      <w:r w:rsidRPr="00A335CB">
        <w:rPr>
          <w:rFonts w:ascii="Arial" w:hAnsi="Arial" w:cs="Arial"/>
          <w:sz w:val="20"/>
          <w:szCs w:val="20"/>
          <w:lang w:eastAsia="sl-SI"/>
        </w:rPr>
        <w:t>ur tolmačenja. Storitve konsekutivnega in simultanega tolmačenja so bile zagotovljene za potrebe sestankov in srečanj ministra ali njegovih delegacij z notranjimi ministri in delegacijami ali veleposlaniki drugih držav. V ta obseg spada</w:t>
      </w:r>
      <w:r w:rsidR="008F48C7">
        <w:rPr>
          <w:rFonts w:ascii="Arial" w:hAnsi="Arial" w:cs="Arial"/>
          <w:sz w:val="20"/>
          <w:szCs w:val="20"/>
          <w:lang w:eastAsia="sl-SI"/>
        </w:rPr>
        <w:t>jo</w:t>
      </w:r>
      <w:r w:rsidRPr="00A335CB">
        <w:rPr>
          <w:rFonts w:ascii="Arial" w:hAnsi="Arial" w:cs="Arial"/>
          <w:sz w:val="20"/>
          <w:szCs w:val="20"/>
          <w:lang w:eastAsia="sl-SI"/>
        </w:rPr>
        <w:t xml:space="preserve"> tolmačenje v okviru medresorskega sodelovanja v komisiji za mejo (z Republiko Avstrijo in Italijansko republiko), tolmačenje iz slovenskega</w:t>
      </w:r>
      <w:r w:rsidR="008F48C7">
        <w:rPr>
          <w:rFonts w:ascii="Arial" w:hAnsi="Arial" w:cs="Arial"/>
          <w:sz w:val="20"/>
          <w:szCs w:val="20"/>
          <w:lang w:eastAsia="sl-SI"/>
        </w:rPr>
        <w:t xml:space="preserve"> jezika</w:t>
      </w:r>
      <w:r w:rsidRPr="00A335CB">
        <w:rPr>
          <w:rFonts w:ascii="Arial" w:hAnsi="Arial" w:cs="Arial"/>
          <w:sz w:val="20"/>
          <w:szCs w:val="20"/>
          <w:lang w:eastAsia="sl-SI"/>
        </w:rPr>
        <w:t xml:space="preserve"> v </w:t>
      </w:r>
      <w:r w:rsidR="008F48C7" w:rsidRPr="00A335CB">
        <w:rPr>
          <w:rFonts w:ascii="Arial" w:hAnsi="Arial" w:cs="Arial"/>
          <w:sz w:val="20"/>
          <w:szCs w:val="20"/>
          <w:lang w:eastAsia="sl-SI"/>
        </w:rPr>
        <w:t>anglešk</w:t>
      </w:r>
      <w:r w:rsidR="008F48C7">
        <w:rPr>
          <w:rFonts w:ascii="Arial" w:hAnsi="Arial" w:cs="Arial"/>
          <w:sz w:val="20"/>
          <w:szCs w:val="20"/>
          <w:lang w:eastAsia="sl-SI"/>
        </w:rPr>
        <w:t>ega</w:t>
      </w:r>
      <w:r w:rsidRPr="00A335CB">
        <w:rPr>
          <w:rFonts w:ascii="Arial" w:hAnsi="Arial" w:cs="Arial"/>
          <w:sz w:val="20"/>
          <w:szCs w:val="20"/>
          <w:lang w:eastAsia="sl-SI"/>
        </w:rPr>
        <w:t xml:space="preserve"> in obratno na konferenci Proces Brdo, tolmačenja za notranjega ministra in generalnega direktorja policije, tolmačenje na senatih ob pritožbah zoper delo policistov itd. </w:t>
      </w:r>
    </w:p>
    <w:p w14:paraId="2A3D7712" w14:textId="77777777" w:rsidR="00A255C3" w:rsidRPr="00A335CB" w:rsidRDefault="00A255C3" w:rsidP="00A255C3">
      <w:pPr>
        <w:autoSpaceDE w:val="0"/>
        <w:autoSpaceDN w:val="0"/>
        <w:adjustRightInd w:val="0"/>
        <w:spacing w:after="0" w:line="276" w:lineRule="auto"/>
        <w:jc w:val="both"/>
        <w:rPr>
          <w:rFonts w:ascii="Arial" w:hAnsi="Arial" w:cs="Arial"/>
          <w:sz w:val="20"/>
          <w:szCs w:val="20"/>
          <w:lang w:eastAsia="sl-SI"/>
        </w:rPr>
      </w:pPr>
    </w:p>
    <w:p w14:paraId="34161FB5" w14:textId="77777777" w:rsidR="00C91C5B" w:rsidRPr="00A335CB" w:rsidRDefault="00A255C3" w:rsidP="00A255C3">
      <w:pPr>
        <w:autoSpaceDE w:val="0"/>
        <w:autoSpaceDN w:val="0"/>
        <w:adjustRightInd w:val="0"/>
        <w:spacing w:after="0" w:line="276" w:lineRule="auto"/>
        <w:jc w:val="both"/>
        <w:rPr>
          <w:rFonts w:ascii="Arial" w:hAnsi="Arial" w:cs="Arial"/>
          <w:b/>
          <w:sz w:val="20"/>
          <w:szCs w:val="20"/>
          <w:lang w:eastAsia="sl-SI"/>
        </w:rPr>
      </w:pPr>
      <w:r w:rsidRPr="00A335CB">
        <w:rPr>
          <w:rFonts w:ascii="Arial" w:hAnsi="Arial" w:cs="Arial"/>
          <w:b/>
          <w:sz w:val="20"/>
          <w:szCs w:val="20"/>
          <w:lang w:eastAsia="sl-SI"/>
        </w:rPr>
        <w:t>Le</w:t>
      </w:r>
      <w:r w:rsidR="00C91C5B" w:rsidRPr="00A335CB">
        <w:rPr>
          <w:rFonts w:ascii="Arial" w:hAnsi="Arial" w:cs="Arial"/>
          <w:b/>
          <w:sz w:val="20"/>
          <w:szCs w:val="20"/>
          <w:lang w:eastAsia="sl-SI"/>
        </w:rPr>
        <w:t>ktoriranje</w:t>
      </w:r>
    </w:p>
    <w:p w14:paraId="130DC189" w14:textId="5C507091" w:rsidR="00A255C3" w:rsidRPr="00A335CB" w:rsidRDefault="00C91C5B" w:rsidP="00A255C3">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S</w:t>
      </w:r>
      <w:r w:rsidR="00A255C3" w:rsidRPr="00A335CB">
        <w:rPr>
          <w:rFonts w:ascii="Arial" w:hAnsi="Arial" w:cs="Arial"/>
          <w:sz w:val="20"/>
          <w:szCs w:val="20"/>
          <w:lang w:eastAsia="sl-SI"/>
        </w:rPr>
        <w:t>toritve lektoriranja (vladna gradiva, letna in druga poročila ter publikacije) so bile v letu 2024 zagotovljene s po</w:t>
      </w:r>
      <w:r w:rsidRPr="00A335CB">
        <w:rPr>
          <w:rFonts w:ascii="Arial" w:hAnsi="Arial" w:cs="Arial"/>
          <w:sz w:val="20"/>
          <w:szCs w:val="20"/>
          <w:lang w:eastAsia="sl-SI"/>
        </w:rPr>
        <w:t>močjo Sektorja za prevajanje Generalnega sekretariata Vlade Republike Slovenije</w:t>
      </w:r>
      <w:r w:rsidR="00A255C3" w:rsidRPr="00A335CB">
        <w:rPr>
          <w:rFonts w:ascii="Arial" w:hAnsi="Arial" w:cs="Arial"/>
          <w:sz w:val="20"/>
          <w:szCs w:val="20"/>
          <w:lang w:eastAsia="sl-SI"/>
        </w:rPr>
        <w:t>, lektoriranih je bilo približno 3.800 strani v slovenskem, angleškem in nemškem jeziku.</w:t>
      </w:r>
    </w:p>
    <w:p w14:paraId="11C67000" w14:textId="77777777" w:rsidR="00A255C3" w:rsidRPr="00A335CB" w:rsidRDefault="00A255C3" w:rsidP="00A255C3">
      <w:pPr>
        <w:autoSpaceDE w:val="0"/>
        <w:autoSpaceDN w:val="0"/>
        <w:adjustRightInd w:val="0"/>
        <w:spacing w:after="0" w:line="276" w:lineRule="auto"/>
        <w:jc w:val="both"/>
        <w:rPr>
          <w:rFonts w:ascii="Arial" w:hAnsi="Arial" w:cs="Arial"/>
          <w:sz w:val="20"/>
          <w:szCs w:val="20"/>
          <w:lang w:eastAsia="sl-SI"/>
        </w:rPr>
      </w:pPr>
    </w:p>
    <w:p w14:paraId="171D0B80" w14:textId="27F8F7EE" w:rsidR="00C91C5B" w:rsidRPr="00A335CB" w:rsidRDefault="00A255C3" w:rsidP="00C91C5B">
      <w:pPr>
        <w:spacing w:after="0" w:line="276" w:lineRule="auto"/>
        <w:jc w:val="both"/>
        <w:rPr>
          <w:rFonts w:ascii="Arial" w:hAnsi="Arial" w:cs="Arial"/>
          <w:b/>
          <w:sz w:val="20"/>
          <w:szCs w:val="20"/>
          <w:lang w:eastAsia="sl-SI"/>
        </w:rPr>
      </w:pPr>
      <w:r w:rsidRPr="00A335CB">
        <w:rPr>
          <w:rFonts w:ascii="Arial" w:hAnsi="Arial" w:cs="Arial"/>
          <w:b/>
          <w:sz w:val="20"/>
          <w:szCs w:val="20"/>
          <w:lang w:eastAsia="sl-SI"/>
        </w:rPr>
        <w:t>Term</w:t>
      </w:r>
      <w:r w:rsidR="00C91C5B" w:rsidRPr="00A335CB">
        <w:rPr>
          <w:rFonts w:ascii="Arial" w:hAnsi="Arial" w:cs="Arial"/>
          <w:b/>
          <w:sz w:val="20"/>
          <w:szCs w:val="20"/>
          <w:lang w:eastAsia="sl-SI"/>
        </w:rPr>
        <w:t>inologija</w:t>
      </w:r>
    </w:p>
    <w:p w14:paraId="04C37191" w14:textId="14FB481D" w:rsidR="00A255C3" w:rsidRPr="00A335CB" w:rsidRDefault="00C91C5B" w:rsidP="00C909D9">
      <w:pPr>
        <w:spacing w:after="0" w:line="276" w:lineRule="auto"/>
        <w:jc w:val="both"/>
        <w:rPr>
          <w:rFonts w:ascii="Arial" w:hAnsi="Arial" w:cs="Arial"/>
          <w:sz w:val="20"/>
          <w:szCs w:val="20"/>
          <w:lang w:eastAsia="sl-SI"/>
        </w:rPr>
      </w:pPr>
      <w:r w:rsidRPr="00A335CB">
        <w:rPr>
          <w:rFonts w:ascii="Arial" w:hAnsi="Arial" w:cs="Arial"/>
          <w:sz w:val="20"/>
          <w:szCs w:val="20"/>
          <w:lang w:eastAsia="sl-SI"/>
        </w:rPr>
        <w:t>MNZ je tudi v letu 2024 sodelovalo</w:t>
      </w:r>
      <w:r w:rsidR="00A255C3" w:rsidRPr="00A335CB">
        <w:rPr>
          <w:rFonts w:ascii="Arial" w:hAnsi="Arial" w:cs="Arial"/>
          <w:sz w:val="20"/>
          <w:szCs w:val="20"/>
          <w:lang w:eastAsia="sl-SI"/>
        </w:rPr>
        <w:t xml:space="preserve"> pri pisanju definicij gesel in zagotavljanju tujejezičnih ustreznic za Kriminalistični terminološki slovar, ki nastaja pod okriljem Terminološke sekcije Inštituta za slovenski jezik Frana Ramovša ZRC SAZU v sodelovanju s Fakulteto za varnostne vede, </w:t>
      </w:r>
      <w:r w:rsidR="00971CBA">
        <w:rPr>
          <w:rFonts w:ascii="Arial" w:hAnsi="Arial" w:cs="Arial"/>
          <w:sz w:val="20"/>
          <w:szCs w:val="20"/>
          <w:lang w:eastAsia="sl-SI"/>
        </w:rPr>
        <w:t>p</w:t>
      </w:r>
      <w:r w:rsidR="00971CBA" w:rsidRPr="00A335CB">
        <w:rPr>
          <w:rFonts w:ascii="Arial" w:hAnsi="Arial" w:cs="Arial"/>
          <w:sz w:val="20"/>
          <w:szCs w:val="20"/>
          <w:lang w:eastAsia="sl-SI"/>
        </w:rPr>
        <w:t xml:space="preserve">olicijo </w:t>
      </w:r>
      <w:r w:rsidR="00A255C3" w:rsidRPr="00A335CB">
        <w:rPr>
          <w:rFonts w:ascii="Arial" w:hAnsi="Arial" w:cs="Arial"/>
          <w:sz w:val="20"/>
          <w:szCs w:val="20"/>
          <w:lang w:eastAsia="sl-SI"/>
        </w:rPr>
        <w:t>in Nacionalnim forenzičnim laboratorijem. Vsi prevajalci v SPLIKD so tudi področni strokovnjaki za terminologijo in sodelujejo s sorodnimi službami iz evropskih institucij ter pri pripravi gesel za slovar Evropske migracijske mreže (EMN).</w:t>
      </w:r>
    </w:p>
    <w:p w14:paraId="20C9DCA8" w14:textId="77777777" w:rsidR="00C909D9" w:rsidRDefault="00C909D9" w:rsidP="00C91C5B">
      <w:pPr>
        <w:spacing w:after="0" w:line="276" w:lineRule="auto"/>
        <w:jc w:val="both"/>
        <w:rPr>
          <w:rFonts w:ascii="Arial" w:hAnsi="Arial" w:cs="Arial"/>
          <w:b/>
          <w:sz w:val="20"/>
          <w:szCs w:val="20"/>
          <w:lang w:eastAsia="sl-SI"/>
        </w:rPr>
      </w:pPr>
    </w:p>
    <w:p w14:paraId="23C60541" w14:textId="11F28AF7" w:rsidR="00C91C5B" w:rsidRPr="00A335CB" w:rsidRDefault="00C91C5B" w:rsidP="00C91C5B">
      <w:pPr>
        <w:spacing w:after="0" w:line="276" w:lineRule="auto"/>
        <w:jc w:val="both"/>
        <w:rPr>
          <w:rFonts w:ascii="Arial" w:hAnsi="Arial" w:cs="Arial"/>
          <w:b/>
          <w:sz w:val="20"/>
          <w:szCs w:val="20"/>
          <w:lang w:eastAsia="sl-SI"/>
        </w:rPr>
      </w:pPr>
      <w:r w:rsidRPr="00A335CB">
        <w:rPr>
          <w:rFonts w:ascii="Arial" w:hAnsi="Arial" w:cs="Arial"/>
          <w:b/>
          <w:sz w:val="20"/>
          <w:szCs w:val="20"/>
          <w:lang w:eastAsia="sl-SI"/>
        </w:rPr>
        <w:t>Strokovne podlage</w:t>
      </w:r>
    </w:p>
    <w:p w14:paraId="58E878AD" w14:textId="070A476C" w:rsidR="00A255C3" w:rsidRPr="00A335CB" w:rsidRDefault="00A255C3" w:rsidP="00C909D9">
      <w:pPr>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SPLIKD je v letu 2024 pripravila strokovne podlage za javna naročila na področju storitev prevajanja, lektoriranja in tolmačenja za potrebe </w:t>
      </w:r>
      <w:r w:rsidR="00C91C5B" w:rsidRPr="00A335CB">
        <w:rPr>
          <w:rFonts w:ascii="Arial" w:hAnsi="Arial" w:cs="Arial"/>
          <w:sz w:val="20"/>
          <w:szCs w:val="20"/>
          <w:lang w:eastAsia="sl-SI"/>
        </w:rPr>
        <w:t>MNZ, Generalne policijske uprave</w:t>
      </w:r>
      <w:r w:rsidRPr="00A335CB">
        <w:rPr>
          <w:rFonts w:ascii="Arial" w:hAnsi="Arial" w:cs="Arial"/>
          <w:sz w:val="20"/>
          <w:szCs w:val="20"/>
          <w:lang w:eastAsia="sl-SI"/>
        </w:rPr>
        <w:t>, IRSNZ in za izvajanje pisnega prevajanja in tolmačenja za potrebe policije v postopkih s tujci na terenu ter dokumentacijo za skupno javno naročilo za prevajanje, lektoriranje, konferenčno tolmačenje ter redakcijo mednarodni</w:t>
      </w:r>
      <w:r w:rsidR="00C91C5B" w:rsidRPr="00A335CB">
        <w:rPr>
          <w:rFonts w:ascii="Arial" w:hAnsi="Arial" w:cs="Arial"/>
          <w:sz w:val="20"/>
          <w:szCs w:val="20"/>
          <w:lang w:eastAsia="sl-SI"/>
        </w:rPr>
        <w:t>h sporazumov, izvedeno prek Generalnega sekretariata Vlade Republike Slovenije</w:t>
      </w:r>
      <w:r w:rsidRPr="00A335CB">
        <w:rPr>
          <w:rFonts w:ascii="Arial" w:hAnsi="Arial" w:cs="Arial"/>
          <w:sz w:val="20"/>
          <w:szCs w:val="20"/>
          <w:lang w:eastAsia="sl-SI"/>
        </w:rPr>
        <w:t xml:space="preserve">. SPLIKD je bila aktivno udeležena v pripravo strokovnih podlag za morebitno uvedbo novega instituta policijskega tolmača v novelo </w:t>
      </w:r>
      <w:proofErr w:type="spellStart"/>
      <w:r w:rsidRPr="00A335CB">
        <w:rPr>
          <w:rFonts w:ascii="Arial" w:hAnsi="Arial" w:cs="Arial"/>
          <w:sz w:val="20"/>
          <w:szCs w:val="20"/>
          <w:lang w:eastAsia="sl-SI"/>
        </w:rPr>
        <w:t>ZODPol</w:t>
      </w:r>
      <w:proofErr w:type="spellEnd"/>
      <w:r w:rsidRPr="00A335CB">
        <w:rPr>
          <w:rFonts w:ascii="Arial" w:hAnsi="Arial" w:cs="Arial"/>
          <w:sz w:val="20"/>
          <w:szCs w:val="20"/>
          <w:lang w:eastAsia="sl-SI"/>
        </w:rPr>
        <w:t xml:space="preserve">. </w:t>
      </w:r>
    </w:p>
    <w:p w14:paraId="1F189513" w14:textId="77777777" w:rsidR="00C909D9" w:rsidRDefault="00C909D9" w:rsidP="00A255C3">
      <w:pPr>
        <w:spacing w:after="0" w:line="276" w:lineRule="auto"/>
        <w:jc w:val="both"/>
        <w:rPr>
          <w:rFonts w:ascii="Arial" w:hAnsi="Arial" w:cs="Arial"/>
          <w:b/>
          <w:sz w:val="20"/>
          <w:szCs w:val="20"/>
        </w:rPr>
      </w:pPr>
    </w:p>
    <w:p w14:paraId="696A7D1B" w14:textId="5522475D" w:rsidR="00A255C3" w:rsidRPr="00A335CB" w:rsidRDefault="00A255C3" w:rsidP="00A255C3">
      <w:pPr>
        <w:spacing w:after="0" w:line="276" w:lineRule="auto"/>
        <w:jc w:val="both"/>
        <w:rPr>
          <w:rFonts w:ascii="Arial" w:hAnsi="Arial" w:cs="Arial"/>
          <w:sz w:val="20"/>
          <w:szCs w:val="20"/>
          <w:lang w:eastAsia="sl-SI"/>
        </w:rPr>
      </w:pPr>
      <w:r w:rsidRPr="00A335CB">
        <w:rPr>
          <w:rFonts w:ascii="Arial" w:hAnsi="Arial" w:cs="Arial"/>
          <w:b/>
          <w:sz w:val="20"/>
          <w:szCs w:val="20"/>
        </w:rPr>
        <w:t xml:space="preserve">Izvajanje storitev specialne knjižnice </w:t>
      </w:r>
    </w:p>
    <w:p w14:paraId="594C463C" w14:textId="53B7BBE9" w:rsidR="00A255C3" w:rsidRPr="00A335CB" w:rsidRDefault="00A255C3" w:rsidP="00C91C5B">
      <w:pPr>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V letu 2024 je bilo obdelanih 670 bibliografskih zapisov različnega knjižničnega gradiva. Pridobljenih je bilo 161 monografskih publikacij in 18 naslovov tujih strokovnih revij. Specialna knjižnica ima 640 aktivnih članov. Izdelanih je bilo 20 retrospektivnih poizvedb in 23 bibliografij. </w:t>
      </w:r>
      <w:r w:rsidR="00971CBA" w:rsidRPr="00A335CB">
        <w:rPr>
          <w:rFonts w:ascii="Arial" w:hAnsi="Arial" w:cs="Arial"/>
          <w:sz w:val="20"/>
          <w:szCs w:val="20"/>
          <w:lang w:eastAsia="sl-SI"/>
        </w:rPr>
        <w:t>Opravljen</w:t>
      </w:r>
      <w:r w:rsidR="00971CBA">
        <w:rPr>
          <w:rFonts w:ascii="Arial" w:hAnsi="Arial" w:cs="Arial"/>
          <w:sz w:val="20"/>
          <w:szCs w:val="20"/>
          <w:lang w:eastAsia="sl-SI"/>
        </w:rPr>
        <w:t>ih</w:t>
      </w:r>
      <w:r w:rsidR="00971CBA" w:rsidRPr="00A335CB">
        <w:rPr>
          <w:rFonts w:ascii="Arial" w:hAnsi="Arial" w:cs="Arial"/>
          <w:sz w:val="20"/>
          <w:szCs w:val="20"/>
          <w:lang w:eastAsia="sl-SI"/>
        </w:rPr>
        <w:t xml:space="preserve"> </w:t>
      </w:r>
      <w:r w:rsidRPr="00A335CB">
        <w:rPr>
          <w:rFonts w:ascii="Arial" w:hAnsi="Arial" w:cs="Arial"/>
          <w:sz w:val="20"/>
          <w:szCs w:val="20"/>
          <w:lang w:eastAsia="sl-SI"/>
        </w:rPr>
        <w:t xml:space="preserve">je bilo 1.487 iskanj po podatkovnih zbirkah in pripravljenih 5.126 izpisov iz COBISS-a. </w:t>
      </w:r>
      <w:r w:rsidR="00670EF4">
        <w:rPr>
          <w:rFonts w:ascii="Arial" w:hAnsi="Arial" w:cs="Arial"/>
          <w:sz w:val="20"/>
          <w:szCs w:val="20"/>
          <w:lang w:eastAsia="sl-SI"/>
        </w:rPr>
        <w:t>Predloženih</w:t>
      </w:r>
      <w:r w:rsidR="00670EF4" w:rsidRPr="00A335CB">
        <w:rPr>
          <w:rFonts w:ascii="Arial" w:hAnsi="Arial" w:cs="Arial"/>
          <w:sz w:val="20"/>
          <w:szCs w:val="20"/>
          <w:lang w:eastAsia="sl-SI"/>
        </w:rPr>
        <w:t xml:space="preserve"> </w:t>
      </w:r>
      <w:r w:rsidRPr="00A335CB">
        <w:rPr>
          <w:rFonts w:ascii="Arial" w:hAnsi="Arial" w:cs="Arial"/>
          <w:sz w:val="20"/>
          <w:szCs w:val="20"/>
          <w:lang w:eastAsia="sl-SI"/>
        </w:rPr>
        <w:t>je bilo 2.150 različnih informacij. Zagotovljene so bile strokovne podlage za nakup in sukcesivno dobavo tujih strokovnih revij za obdobje dveh let. Specialna knjižnica MNZ je bila vpisana v razvid knjižnice in je prejela potrdilo o vpisu v razvid knjižnic Narodne in univerzitetne knjižnice (NUK). Izveden je bil delni odpis knjižničnega gradiva.</w:t>
      </w:r>
    </w:p>
    <w:p w14:paraId="416F1919" w14:textId="77777777" w:rsidR="00C91C5B" w:rsidRPr="00A335CB" w:rsidRDefault="00C91C5B" w:rsidP="00C91C5B">
      <w:pPr>
        <w:spacing w:after="0" w:line="276" w:lineRule="auto"/>
        <w:jc w:val="both"/>
        <w:rPr>
          <w:rFonts w:ascii="Arial" w:hAnsi="Arial" w:cs="Arial"/>
          <w:sz w:val="20"/>
          <w:szCs w:val="20"/>
          <w:lang w:eastAsia="sl-SI"/>
        </w:rPr>
      </w:pPr>
    </w:p>
    <w:p w14:paraId="2655CBFB" w14:textId="58BE719C" w:rsidR="006708DD" w:rsidRPr="00A335CB" w:rsidRDefault="000B51CB" w:rsidP="005D1A90">
      <w:pPr>
        <w:pStyle w:val="Naslov2"/>
        <w:spacing w:after="0" w:line="276" w:lineRule="auto"/>
        <w:jc w:val="both"/>
      </w:pPr>
      <w:bookmarkStart w:id="195" w:name="_Toc203553009"/>
      <w:r w:rsidRPr="00A335CB">
        <w:t>Komuniciranje z javnostmi</w:t>
      </w:r>
      <w:bookmarkEnd w:id="195"/>
    </w:p>
    <w:p w14:paraId="353B9812" w14:textId="56F99764" w:rsidR="009A76F7" w:rsidRPr="00A335CB" w:rsidRDefault="009A76F7" w:rsidP="005D1A90">
      <w:pPr>
        <w:spacing w:after="0" w:line="276" w:lineRule="auto"/>
        <w:jc w:val="both"/>
        <w:rPr>
          <w:rFonts w:ascii="Arial" w:hAnsi="Arial" w:cs="Arial"/>
          <w:sz w:val="20"/>
          <w:szCs w:val="20"/>
          <w:lang w:eastAsia="sl-SI"/>
        </w:rPr>
      </w:pPr>
    </w:p>
    <w:p w14:paraId="124A5D7D" w14:textId="7677F8B4" w:rsidR="00024DD1" w:rsidRPr="00A335CB" w:rsidRDefault="00024DD1" w:rsidP="00C91C5B">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Služba za odnose z javnostmi (</w:t>
      </w:r>
      <w:r w:rsidR="00C91C5B" w:rsidRPr="00A335CB">
        <w:rPr>
          <w:rFonts w:ascii="Arial" w:hAnsi="Arial" w:cs="Arial"/>
          <w:sz w:val="20"/>
          <w:szCs w:val="20"/>
          <w:lang w:eastAsia="sl-SI"/>
        </w:rPr>
        <w:t xml:space="preserve">v nadaljnjem besedilu: </w:t>
      </w:r>
      <w:r w:rsidRPr="00A335CB">
        <w:rPr>
          <w:rFonts w:ascii="Arial" w:hAnsi="Arial" w:cs="Arial"/>
          <w:sz w:val="20"/>
          <w:szCs w:val="20"/>
          <w:lang w:eastAsia="sl-SI"/>
        </w:rPr>
        <w:t xml:space="preserve">SOJ) je v letu 2024 komunicirala z zunanjo (domačo in tujo) in notranjo javnostjo o temah z delovnega področja MNZ. Obveščanje je potekalo v okviru ustaljenih oblik komuniciranja, kot so sporočila za javnost, novinarske konference, izjave za javnost, odgovori na vprašanja novinarjev in občanov. Prav tako so v SOJ skrbeli za pripravo in objavljanje novic na spletni strani, intranetu in družbenih omrežjih ministrstva. Dnevno so spremljali odzive domačih in tujih medijev, odzive na družbenih omrežjih ter pripravljali in izvajali medijske dejavnosti. SOJ je prav tako zagotavljal komunikacijsko podporo dejavnostim vseh organizacijskih enot MNZ in IRSNZ, pri čemer so aktivno sodelovali tudi pri organizaciji in izvedbi protokolarnih in drugih dogodkov (na primer posvetov, konferenc in podobno). </w:t>
      </w:r>
    </w:p>
    <w:p w14:paraId="49F12E85" w14:textId="77777777" w:rsidR="00024DD1" w:rsidRPr="00A335CB" w:rsidRDefault="00024DD1" w:rsidP="00C91C5B">
      <w:pPr>
        <w:autoSpaceDE w:val="0"/>
        <w:autoSpaceDN w:val="0"/>
        <w:adjustRightInd w:val="0"/>
        <w:spacing w:after="0" w:line="276" w:lineRule="auto"/>
        <w:jc w:val="both"/>
        <w:rPr>
          <w:rFonts w:ascii="Arial" w:hAnsi="Arial" w:cs="Arial"/>
          <w:sz w:val="20"/>
          <w:szCs w:val="20"/>
          <w:lang w:eastAsia="sl-SI"/>
        </w:rPr>
      </w:pPr>
    </w:p>
    <w:p w14:paraId="4492814D" w14:textId="26137EBA" w:rsidR="00024DD1" w:rsidRPr="00A335CB" w:rsidRDefault="00024DD1" w:rsidP="00C91C5B">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Pri komuniciranju z zunanjo in notranjo javnostjo so v letu 2024 najbolj izstopala nasled</w:t>
      </w:r>
      <w:r w:rsidR="00C91C5B" w:rsidRPr="00A335CB">
        <w:rPr>
          <w:rFonts w:ascii="Arial" w:hAnsi="Arial" w:cs="Arial"/>
          <w:sz w:val="20"/>
          <w:szCs w:val="20"/>
          <w:lang w:eastAsia="sl-SI"/>
        </w:rPr>
        <w:t>nja delovna področja MNZ</w:t>
      </w:r>
      <w:r w:rsidRPr="00A335CB">
        <w:rPr>
          <w:rFonts w:ascii="Arial" w:hAnsi="Arial" w:cs="Arial"/>
          <w:sz w:val="20"/>
          <w:szCs w:val="20"/>
          <w:lang w:eastAsia="sl-SI"/>
        </w:rPr>
        <w:t>: migracije, tujska zakonodaja, vzpostavitev ponovnega začasnega nadzora na notranji schengenski meji s Hrvaško in Madžarsko ter nadzori nad delom policije in izdane usmeritve. Posebna pozornost je bila namenjena komunikacijskim dejavnostim o romski tematiki in obravnavi vseh vrst nasilja.</w:t>
      </w:r>
    </w:p>
    <w:p w14:paraId="437750C6" w14:textId="77777777" w:rsidR="00024DD1" w:rsidRPr="00A335CB" w:rsidRDefault="00024DD1" w:rsidP="00C91C5B">
      <w:pPr>
        <w:autoSpaceDE w:val="0"/>
        <w:autoSpaceDN w:val="0"/>
        <w:adjustRightInd w:val="0"/>
        <w:spacing w:after="0" w:line="276" w:lineRule="auto"/>
        <w:jc w:val="both"/>
        <w:rPr>
          <w:rFonts w:ascii="Arial" w:hAnsi="Arial" w:cs="Arial"/>
          <w:sz w:val="20"/>
          <w:szCs w:val="20"/>
          <w:lang w:eastAsia="sl-SI"/>
        </w:rPr>
      </w:pPr>
    </w:p>
    <w:p w14:paraId="536281B0" w14:textId="4AB0BC2D" w:rsidR="00024DD1" w:rsidRPr="00A335CB" w:rsidRDefault="00024DD1" w:rsidP="00C91C5B">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Ključni cilj pri delu SOJ je bil tudi v letu 2024 zagotoviti pravočasno, celovito in </w:t>
      </w:r>
      <w:r w:rsidR="001834F2">
        <w:rPr>
          <w:rFonts w:ascii="Arial" w:hAnsi="Arial" w:cs="Arial"/>
          <w:sz w:val="20"/>
          <w:szCs w:val="20"/>
          <w:lang w:eastAsia="sl-SI"/>
        </w:rPr>
        <w:t>jasno</w:t>
      </w:r>
      <w:r w:rsidR="001834F2" w:rsidRPr="00A335CB">
        <w:rPr>
          <w:rFonts w:ascii="Arial" w:hAnsi="Arial" w:cs="Arial"/>
          <w:sz w:val="20"/>
          <w:szCs w:val="20"/>
          <w:lang w:eastAsia="sl-SI"/>
        </w:rPr>
        <w:t xml:space="preserve"> </w:t>
      </w:r>
      <w:r w:rsidRPr="00A335CB">
        <w:rPr>
          <w:rFonts w:ascii="Arial" w:hAnsi="Arial" w:cs="Arial"/>
          <w:sz w:val="20"/>
          <w:szCs w:val="20"/>
          <w:lang w:eastAsia="sl-SI"/>
        </w:rPr>
        <w:t>komuniciranje o delu in novostih z delovnega področja MNZ.</w:t>
      </w:r>
    </w:p>
    <w:p w14:paraId="05161AE7" w14:textId="77777777" w:rsidR="00024DD1" w:rsidRPr="00A335CB" w:rsidRDefault="00024DD1" w:rsidP="00C91C5B">
      <w:pPr>
        <w:autoSpaceDE w:val="0"/>
        <w:autoSpaceDN w:val="0"/>
        <w:adjustRightInd w:val="0"/>
        <w:spacing w:after="0" w:line="276" w:lineRule="auto"/>
        <w:jc w:val="both"/>
        <w:rPr>
          <w:rFonts w:ascii="Arial" w:hAnsi="Arial" w:cs="Arial"/>
          <w:sz w:val="20"/>
          <w:szCs w:val="20"/>
          <w:lang w:eastAsia="sl-SI"/>
        </w:rPr>
      </w:pPr>
    </w:p>
    <w:p w14:paraId="3C12BADA" w14:textId="4FE4F11D" w:rsidR="00024DD1" w:rsidRPr="00A335CB" w:rsidRDefault="00024DD1" w:rsidP="00C91C5B">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Statistični podatki ključnih nalog SOJ </w:t>
      </w:r>
      <w:r w:rsidR="00C91C5B" w:rsidRPr="00A335CB">
        <w:rPr>
          <w:rFonts w:ascii="Arial" w:hAnsi="Arial" w:cs="Arial"/>
          <w:sz w:val="20"/>
          <w:szCs w:val="20"/>
          <w:lang w:eastAsia="sl-SI"/>
        </w:rPr>
        <w:t>v letu 2024:</w:t>
      </w:r>
    </w:p>
    <w:p w14:paraId="35971A1B" w14:textId="41853A59" w:rsidR="00024DD1" w:rsidRPr="00A335CB" w:rsidRDefault="00024DD1" w:rsidP="00C91C5B">
      <w:pPr>
        <w:pStyle w:val="Odstavekseznama"/>
        <w:numPr>
          <w:ilvl w:val="0"/>
          <w:numId w:val="34"/>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tedenske napovedi in komunikacijski načrti: 49,</w:t>
      </w:r>
    </w:p>
    <w:p w14:paraId="00D160A5" w14:textId="230A7C04" w:rsidR="00024DD1" w:rsidRPr="00A335CB" w:rsidRDefault="00024DD1" w:rsidP="00C91C5B">
      <w:pPr>
        <w:pStyle w:val="Odstavekseznama"/>
        <w:numPr>
          <w:ilvl w:val="0"/>
          <w:numId w:val="34"/>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sporočila za javnost in objave novic na spletni strani, vabila medijem: 370,</w:t>
      </w:r>
    </w:p>
    <w:p w14:paraId="7B753D74" w14:textId="080310E1" w:rsidR="00024DD1" w:rsidRPr="00A335CB" w:rsidRDefault="00024DD1" w:rsidP="00C91C5B">
      <w:pPr>
        <w:pStyle w:val="Odstavekseznama"/>
        <w:numPr>
          <w:ilvl w:val="0"/>
          <w:numId w:val="34"/>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objave na družbenih omrežjih (Facebook in X): 714,</w:t>
      </w:r>
    </w:p>
    <w:p w14:paraId="5BC38F17" w14:textId="639B9145" w:rsidR="00024DD1" w:rsidRPr="00A335CB" w:rsidRDefault="00024DD1" w:rsidP="00C91C5B">
      <w:pPr>
        <w:pStyle w:val="Odstavekseznama"/>
        <w:numPr>
          <w:ilvl w:val="0"/>
          <w:numId w:val="34"/>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odgovori na novinarska vprašanja, popravki, intervjuji: 608,</w:t>
      </w:r>
    </w:p>
    <w:p w14:paraId="785545C9" w14:textId="3E58E459" w:rsidR="00024DD1" w:rsidRPr="00A335CB" w:rsidRDefault="00024DD1" w:rsidP="00C91C5B">
      <w:pPr>
        <w:pStyle w:val="Odstavekseznama"/>
        <w:numPr>
          <w:ilvl w:val="0"/>
          <w:numId w:val="34"/>
        </w:numPr>
        <w:autoSpaceDE w:val="0"/>
        <w:autoSpaceDN w:val="0"/>
        <w:adjustRightInd w:val="0"/>
        <w:spacing w:after="0"/>
        <w:ind w:left="426" w:hanging="426"/>
        <w:jc w:val="both"/>
        <w:rPr>
          <w:rFonts w:ascii="Arial" w:hAnsi="Arial" w:cs="Arial"/>
          <w:sz w:val="20"/>
          <w:szCs w:val="20"/>
          <w:lang w:eastAsia="sl-SI"/>
        </w:rPr>
      </w:pPr>
      <w:r w:rsidRPr="00A335CB">
        <w:rPr>
          <w:rFonts w:ascii="Arial" w:hAnsi="Arial" w:cs="Arial"/>
          <w:sz w:val="20"/>
          <w:szCs w:val="20"/>
          <w:lang w:eastAsia="sl-SI"/>
        </w:rPr>
        <w:t>odgovori na vprašanja občanov (e-pošta, družbena omrežja): 95,</w:t>
      </w:r>
    </w:p>
    <w:p w14:paraId="61C4C2E9" w14:textId="2A3F9770" w:rsidR="009A76F7" w:rsidRPr="00A335CB" w:rsidRDefault="00024DD1" w:rsidP="00C91C5B">
      <w:pPr>
        <w:pStyle w:val="Odstavekseznama"/>
        <w:numPr>
          <w:ilvl w:val="0"/>
          <w:numId w:val="34"/>
        </w:numPr>
        <w:spacing w:after="0"/>
        <w:ind w:left="426" w:hanging="426"/>
        <w:jc w:val="both"/>
        <w:rPr>
          <w:rFonts w:ascii="Arial" w:hAnsi="Arial" w:cs="Arial"/>
          <w:sz w:val="20"/>
          <w:szCs w:val="20"/>
          <w:lang w:eastAsia="sl-SI"/>
        </w:rPr>
      </w:pPr>
      <w:r w:rsidRPr="00A335CB">
        <w:rPr>
          <w:rFonts w:ascii="Arial" w:hAnsi="Arial" w:cs="Arial"/>
          <w:sz w:val="20"/>
          <w:szCs w:val="20"/>
          <w:lang w:eastAsia="sl-SI"/>
        </w:rPr>
        <w:t>govori, poslanice, zahvale, voščila: 47.</w:t>
      </w:r>
    </w:p>
    <w:p w14:paraId="619E381E" w14:textId="46DEAB86" w:rsidR="009A76F7" w:rsidRPr="00A335CB" w:rsidRDefault="009A76F7" w:rsidP="005D1A90">
      <w:pPr>
        <w:spacing w:after="0" w:line="276" w:lineRule="auto"/>
        <w:jc w:val="both"/>
        <w:rPr>
          <w:rFonts w:ascii="Arial" w:hAnsi="Arial" w:cs="Arial"/>
          <w:sz w:val="20"/>
          <w:szCs w:val="20"/>
          <w:lang w:eastAsia="sl-SI"/>
        </w:rPr>
      </w:pPr>
    </w:p>
    <w:p w14:paraId="74185BC3" w14:textId="03D96434" w:rsidR="00310F1D" w:rsidRPr="00A335CB" w:rsidRDefault="009B17EC" w:rsidP="005D1A90">
      <w:pPr>
        <w:pStyle w:val="Naslov1"/>
        <w:spacing w:after="0" w:line="276" w:lineRule="auto"/>
        <w:jc w:val="both"/>
        <w:rPr>
          <w:color w:val="auto"/>
        </w:rPr>
      </w:pPr>
      <w:bookmarkStart w:id="196" w:name="_Toc203553010"/>
      <w:bookmarkEnd w:id="192"/>
      <w:bookmarkEnd w:id="193"/>
      <w:bookmarkEnd w:id="194"/>
      <w:r w:rsidRPr="00A335CB">
        <w:rPr>
          <w:color w:val="auto"/>
        </w:rPr>
        <w:t>Projekti, namenjeni večji učinkovitosti dela M</w:t>
      </w:r>
      <w:r w:rsidR="003E68AE" w:rsidRPr="00A335CB">
        <w:rPr>
          <w:color w:val="auto"/>
        </w:rPr>
        <w:t>inistrstva za notranje zadeve</w:t>
      </w:r>
      <w:bookmarkEnd w:id="196"/>
    </w:p>
    <w:p w14:paraId="1EB43B44" w14:textId="77777777" w:rsidR="00BA1F48" w:rsidRPr="00A335CB" w:rsidRDefault="00BA1F48" w:rsidP="005D1A90">
      <w:pPr>
        <w:spacing w:after="0" w:line="276" w:lineRule="auto"/>
        <w:rPr>
          <w:rFonts w:ascii="Arial" w:hAnsi="Arial" w:cs="Arial"/>
        </w:rPr>
      </w:pPr>
    </w:p>
    <w:p w14:paraId="72D2E0CD" w14:textId="77777777" w:rsidR="007A117A" w:rsidRPr="00A335CB" w:rsidRDefault="007A117A" w:rsidP="005D1A90">
      <w:pPr>
        <w:pStyle w:val="Odstavekseznama"/>
        <w:keepNext/>
        <w:numPr>
          <w:ilvl w:val="0"/>
          <w:numId w:val="1"/>
        </w:numPr>
        <w:tabs>
          <w:tab w:val="left" w:pos="567"/>
        </w:tabs>
        <w:spacing w:after="160"/>
        <w:contextualSpacing/>
        <w:jc w:val="both"/>
        <w:outlineLvl w:val="1"/>
        <w:rPr>
          <w:rFonts w:ascii="Arial" w:eastAsia="Times New Roman" w:hAnsi="Arial" w:cs="Arial"/>
          <w:b/>
          <w:bCs/>
          <w:iCs/>
          <w:vanish/>
          <w:sz w:val="20"/>
          <w:szCs w:val="20"/>
          <w:highlight w:val="yellow"/>
          <w:lang w:eastAsia="sl-SI"/>
        </w:rPr>
      </w:pPr>
      <w:bookmarkStart w:id="197" w:name="_Toc160704641"/>
      <w:bookmarkStart w:id="198" w:name="_Toc161053822"/>
      <w:bookmarkStart w:id="199" w:name="_Toc161053866"/>
      <w:bookmarkStart w:id="200" w:name="_Toc163819707"/>
      <w:bookmarkStart w:id="201" w:name="_Toc164169691"/>
      <w:bookmarkStart w:id="202" w:name="_Toc164169747"/>
      <w:bookmarkStart w:id="203" w:name="_Toc164169791"/>
      <w:bookmarkStart w:id="204" w:name="_Toc164169981"/>
      <w:bookmarkStart w:id="205" w:name="_Toc164171646"/>
      <w:bookmarkStart w:id="206" w:name="_Toc164171758"/>
      <w:bookmarkStart w:id="207" w:name="_Toc193199796"/>
      <w:bookmarkStart w:id="208" w:name="_Toc195707089"/>
      <w:bookmarkStart w:id="209" w:name="_Toc203552493"/>
      <w:bookmarkStart w:id="210" w:name="_Toc203552692"/>
      <w:bookmarkStart w:id="211" w:name="_Toc203552829"/>
      <w:bookmarkStart w:id="212" w:name="_Toc20355301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0F7F249" w14:textId="712CFBC6" w:rsidR="007A117A" w:rsidRPr="00A335CB" w:rsidRDefault="007A117A" w:rsidP="005D1A90">
      <w:pPr>
        <w:pStyle w:val="Naslov2"/>
        <w:spacing w:after="0" w:line="276" w:lineRule="auto"/>
        <w:jc w:val="both"/>
      </w:pPr>
      <w:bookmarkStart w:id="213" w:name="_Toc203553012"/>
      <w:r w:rsidRPr="00A335CB">
        <w:t>Projekti digitalizacije in informatizacije</w:t>
      </w:r>
      <w:bookmarkEnd w:id="213"/>
    </w:p>
    <w:p w14:paraId="2B560A77" w14:textId="3504C99C" w:rsidR="00653B9D" w:rsidRPr="00A335CB" w:rsidRDefault="00653B9D" w:rsidP="005D1A90">
      <w:pPr>
        <w:tabs>
          <w:tab w:val="left" w:pos="2811"/>
        </w:tabs>
        <w:spacing w:after="0" w:line="276" w:lineRule="auto"/>
        <w:jc w:val="both"/>
        <w:rPr>
          <w:rFonts w:ascii="Arial" w:hAnsi="Arial" w:cs="Arial"/>
          <w:sz w:val="20"/>
          <w:szCs w:val="20"/>
        </w:rPr>
      </w:pPr>
    </w:p>
    <w:p w14:paraId="33F3D895" w14:textId="052E7808" w:rsidR="00A423E5" w:rsidRPr="00A335CB" w:rsidRDefault="00A423E5" w:rsidP="005F76F3">
      <w:pPr>
        <w:autoSpaceDE w:val="0"/>
        <w:autoSpaceDN w:val="0"/>
        <w:adjustRightInd w:val="0"/>
        <w:spacing w:after="0" w:line="276" w:lineRule="auto"/>
        <w:jc w:val="both"/>
        <w:rPr>
          <w:rFonts w:ascii="Arial" w:hAnsi="Arial" w:cs="Arial"/>
          <w:sz w:val="20"/>
          <w:szCs w:val="20"/>
        </w:rPr>
      </w:pPr>
      <w:r w:rsidRPr="00A335CB">
        <w:rPr>
          <w:rFonts w:ascii="Arial" w:hAnsi="Arial" w:cs="Arial"/>
          <w:b/>
          <w:sz w:val="20"/>
          <w:szCs w:val="20"/>
        </w:rPr>
        <w:t>Izboljšave inf</w:t>
      </w:r>
      <w:r w:rsidR="005F76F3" w:rsidRPr="00A335CB">
        <w:rPr>
          <w:rFonts w:ascii="Arial" w:hAnsi="Arial" w:cs="Arial"/>
          <w:b/>
          <w:sz w:val="20"/>
          <w:szCs w:val="20"/>
        </w:rPr>
        <w:t>ormacijskega okolja in procesov</w:t>
      </w:r>
    </w:p>
    <w:p w14:paraId="2CC8A572" w14:textId="361A98DF" w:rsidR="00A423E5" w:rsidRDefault="00A423E5" w:rsidP="00C909D9">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V letu 2024 se je v informacijskem okolju MNZ izvedlo več aktivnosti za dvigovanje informacijske varnosti in zagotavljanje neprekinjenega delovanja. Izvedena je bila kategorizacija IKT</w:t>
      </w:r>
      <w:r w:rsidR="001834F2">
        <w:rPr>
          <w:rFonts w:ascii="Arial" w:hAnsi="Arial" w:cs="Arial"/>
          <w:sz w:val="20"/>
          <w:szCs w:val="20"/>
          <w:lang w:eastAsia="sl-SI"/>
        </w:rPr>
        <w:t>-</w:t>
      </w:r>
      <w:r w:rsidRPr="00A335CB">
        <w:rPr>
          <w:rFonts w:ascii="Arial" w:hAnsi="Arial" w:cs="Arial"/>
          <w:sz w:val="20"/>
          <w:szCs w:val="20"/>
          <w:lang w:eastAsia="sl-SI"/>
        </w:rPr>
        <w:t>opreme s stališča vrste, načina upravljanja in različne izpostavljenosti za različna tveganja. Za vsako od kategoriziranih skupin opreme je bila narejena analiza možnosti pojava in posledic vseh možnih groženj, ki jih navaja metodologija s področja varnostnih tveganj MJU (</w:t>
      </w:r>
      <w:r w:rsidR="001834F2">
        <w:rPr>
          <w:rFonts w:ascii="Arial" w:hAnsi="Arial" w:cs="Arial"/>
          <w:sz w:val="20"/>
          <w:szCs w:val="20"/>
          <w:lang w:eastAsia="sl-SI"/>
        </w:rPr>
        <w:t>z</w:t>
      </w:r>
      <w:r w:rsidR="001834F2" w:rsidRPr="00A335CB">
        <w:rPr>
          <w:rFonts w:ascii="Arial" w:hAnsi="Arial" w:cs="Arial"/>
          <w:sz w:val="20"/>
          <w:szCs w:val="20"/>
          <w:lang w:eastAsia="sl-SI"/>
        </w:rPr>
        <w:t xml:space="preserve">daj </w:t>
      </w:r>
      <w:r w:rsidRPr="00A335CB">
        <w:rPr>
          <w:rFonts w:ascii="Arial" w:hAnsi="Arial" w:cs="Arial"/>
          <w:sz w:val="20"/>
          <w:szCs w:val="20"/>
          <w:lang w:eastAsia="sl-SI"/>
        </w:rPr>
        <w:t>MDP). Narejen je bil predlog ukrepov za obvladovanje in zmanjševanje tvega</w:t>
      </w:r>
      <w:r w:rsidR="00462E9D" w:rsidRPr="00A335CB">
        <w:rPr>
          <w:rFonts w:ascii="Arial" w:hAnsi="Arial" w:cs="Arial"/>
          <w:sz w:val="20"/>
          <w:szCs w:val="20"/>
          <w:lang w:eastAsia="sl-SI"/>
        </w:rPr>
        <w:t>nj</w:t>
      </w:r>
      <w:r w:rsidRPr="00A335CB">
        <w:rPr>
          <w:rFonts w:ascii="Arial" w:hAnsi="Arial" w:cs="Arial"/>
          <w:sz w:val="20"/>
          <w:szCs w:val="20"/>
          <w:lang w:eastAsia="sl-SI"/>
        </w:rPr>
        <w:t xml:space="preserve">. Nekateri ukrepi se zaradi pomanjkanja kadrov izvajajo počasneje, kot bi bilo potrebno za zagotavljanje zadostne </w:t>
      </w:r>
      <w:r w:rsidR="00516C90">
        <w:rPr>
          <w:rFonts w:ascii="Arial" w:hAnsi="Arial" w:cs="Arial"/>
          <w:sz w:val="20"/>
          <w:szCs w:val="20"/>
          <w:lang w:eastAsia="sl-SI"/>
        </w:rPr>
        <w:t>ravni</w:t>
      </w:r>
      <w:r w:rsidR="00516C90" w:rsidRPr="00A335CB">
        <w:rPr>
          <w:rFonts w:ascii="Arial" w:hAnsi="Arial" w:cs="Arial"/>
          <w:sz w:val="20"/>
          <w:szCs w:val="20"/>
          <w:lang w:eastAsia="sl-SI"/>
        </w:rPr>
        <w:t xml:space="preserve"> </w:t>
      </w:r>
      <w:r w:rsidRPr="00A335CB">
        <w:rPr>
          <w:rFonts w:ascii="Arial" w:hAnsi="Arial" w:cs="Arial"/>
          <w:sz w:val="20"/>
          <w:szCs w:val="20"/>
          <w:lang w:eastAsia="sl-SI"/>
        </w:rPr>
        <w:t>varnosti in izpolnjevanja zahtev za neprekinjeno poslovanje. Izvedena kategorizacija IKT</w:t>
      </w:r>
      <w:r w:rsidR="00516C90">
        <w:rPr>
          <w:rFonts w:ascii="Arial" w:hAnsi="Arial" w:cs="Arial"/>
          <w:sz w:val="20"/>
          <w:szCs w:val="20"/>
          <w:lang w:eastAsia="sl-SI"/>
        </w:rPr>
        <w:t>-</w:t>
      </w:r>
      <w:r w:rsidRPr="00A335CB">
        <w:rPr>
          <w:rFonts w:ascii="Arial" w:hAnsi="Arial" w:cs="Arial"/>
          <w:sz w:val="20"/>
          <w:szCs w:val="20"/>
          <w:lang w:eastAsia="sl-SI"/>
        </w:rPr>
        <w:t>sredstev poleg sistematične analize tveganj omogoča tudi natančnejše planiranje nabav posameznih vrst sredstev in programskih licenc. Opaženo je bilo, da se ponekod IKT</w:t>
      </w:r>
      <w:r w:rsidR="00516C90">
        <w:rPr>
          <w:rFonts w:ascii="Arial" w:hAnsi="Arial" w:cs="Arial"/>
          <w:sz w:val="20"/>
          <w:szCs w:val="20"/>
          <w:lang w:eastAsia="sl-SI"/>
        </w:rPr>
        <w:t>-</w:t>
      </w:r>
      <w:r w:rsidRPr="00A335CB">
        <w:rPr>
          <w:rFonts w:ascii="Arial" w:hAnsi="Arial" w:cs="Arial"/>
          <w:sz w:val="20"/>
          <w:szCs w:val="20"/>
          <w:lang w:eastAsia="sl-SI"/>
        </w:rPr>
        <w:t xml:space="preserve">sredstva, ki npr. ostajajo </w:t>
      </w:r>
      <w:r w:rsidR="00516C90">
        <w:rPr>
          <w:rFonts w:ascii="Arial" w:hAnsi="Arial" w:cs="Arial"/>
          <w:sz w:val="20"/>
          <w:szCs w:val="20"/>
          <w:lang w:eastAsia="sl-SI"/>
        </w:rPr>
        <w:t>ob</w:t>
      </w:r>
      <w:r w:rsidR="00516C90" w:rsidRPr="00A335CB">
        <w:rPr>
          <w:rFonts w:ascii="Arial" w:hAnsi="Arial" w:cs="Arial"/>
          <w:sz w:val="20"/>
          <w:szCs w:val="20"/>
          <w:lang w:eastAsia="sl-SI"/>
        </w:rPr>
        <w:t xml:space="preserve"> </w:t>
      </w:r>
      <w:r w:rsidRPr="00A335CB">
        <w:rPr>
          <w:rFonts w:ascii="Arial" w:hAnsi="Arial" w:cs="Arial"/>
          <w:sz w:val="20"/>
          <w:szCs w:val="20"/>
          <w:lang w:eastAsia="sl-SI"/>
        </w:rPr>
        <w:t>odhodu uporabnikov, ne uporabljajo,</w:t>
      </w:r>
      <w:r w:rsidR="00C91C5B" w:rsidRPr="00A335CB">
        <w:rPr>
          <w:rFonts w:ascii="Arial" w:hAnsi="Arial" w:cs="Arial"/>
          <w:sz w:val="20"/>
          <w:szCs w:val="20"/>
          <w:lang w:eastAsia="sl-SI"/>
        </w:rPr>
        <w:t xml:space="preserve"> zato je bil vsem organizacijskim enotam</w:t>
      </w:r>
      <w:r w:rsidRPr="00A335CB">
        <w:rPr>
          <w:rFonts w:ascii="Arial" w:hAnsi="Arial" w:cs="Arial"/>
          <w:sz w:val="20"/>
          <w:szCs w:val="20"/>
          <w:lang w:eastAsia="sl-SI"/>
        </w:rPr>
        <w:t xml:space="preserve"> </w:t>
      </w:r>
      <w:r w:rsidR="00670EF4">
        <w:rPr>
          <w:rFonts w:ascii="Arial" w:hAnsi="Arial" w:cs="Arial"/>
          <w:sz w:val="20"/>
          <w:szCs w:val="20"/>
          <w:lang w:eastAsia="sl-SI"/>
        </w:rPr>
        <w:t>poslan</w:t>
      </w:r>
      <w:r w:rsidR="00670EF4" w:rsidRPr="00A335CB">
        <w:rPr>
          <w:rFonts w:ascii="Arial" w:hAnsi="Arial" w:cs="Arial"/>
          <w:sz w:val="20"/>
          <w:szCs w:val="20"/>
          <w:lang w:eastAsia="sl-SI"/>
        </w:rPr>
        <w:t xml:space="preserve"> </w:t>
      </w:r>
      <w:r w:rsidRPr="00A335CB">
        <w:rPr>
          <w:rFonts w:ascii="Arial" w:hAnsi="Arial" w:cs="Arial"/>
          <w:sz w:val="20"/>
          <w:szCs w:val="20"/>
          <w:lang w:eastAsia="sl-SI"/>
        </w:rPr>
        <w:t>opomnik, naj se IKT</w:t>
      </w:r>
      <w:r w:rsidR="00516C90">
        <w:rPr>
          <w:rFonts w:ascii="Arial" w:hAnsi="Arial" w:cs="Arial"/>
          <w:sz w:val="20"/>
          <w:szCs w:val="20"/>
          <w:lang w:eastAsia="sl-SI"/>
        </w:rPr>
        <w:t>-</w:t>
      </w:r>
      <w:r w:rsidRPr="00A335CB">
        <w:rPr>
          <w:rFonts w:ascii="Arial" w:hAnsi="Arial" w:cs="Arial"/>
          <w:sz w:val="20"/>
          <w:szCs w:val="20"/>
          <w:lang w:eastAsia="sl-SI"/>
        </w:rPr>
        <w:t xml:space="preserve">sredstva, ki niso v aktivni uporabi, bodisi vračajo v Službo za informatiko, kjer se lahko pripravijo za druge uporabnike, bodisi določijo za odpis. </w:t>
      </w:r>
    </w:p>
    <w:p w14:paraId="35676DDE" w14:textId="77777777" w:rsidR="00C909D9" w:rsidRPr="00A335CB" w:rsidRDefault="00C909D9" w:rsidP="00C909D9">
      <w:pPr>
        <w:autoSpaceDE w:val="0"/>
        <w:autoSpaceDN w:val="0"/>
        <w:adjustRightInd w:val="0"/>
        <w:spacing w:after="0" w:line="276" w:lineRule="auto"/>
        <w:jc w:val="both"/>
        <w:rPr>
          <w:rFonts w:ascii="Arial" w:hAnsi="Arial" w:cs="Arial"/>
          <w:sz w:val="20"/>
          <w:szCs w:val="20"/>
          <w:lang w:eastAsia="sl-SI"/>
        </w:rPr>
      </w:pPr>
    </w:p>
    <w:p w14:paraId="4C140806" w14:textId="4BE86EBE" w:rsidR="00A423E5" w:rsidRDefault="00A423E5" w:rsidP="00C909D9">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V letu 2024 se je izvedla menjava zastarelega sistema za izdelavo varnostnih kopij sistema. Varnostne kopije se </w:t>
      </w:r>
      <w:r w:rsidR="0063205A">
        <w:rPr>
          <w:rFonts w:ascii="Arial" w:hAnsi="Arial" w:cs="Arial"/>
          <w:sz w:val="20"/>
          <w:szCs w:val="20"/>
          <w:lang w:eastAsia="sl-SI"/>
        </w:rPr>
        <w:t>z</w:t>
      </w:r>
      <w:r w:rsidR="0063205A" w:rsidRPr="00A335CB">
        <w:rPr>
          <w:rFonts w:ascii="Arial" w:hAnsi="Arial" w:cs="Arial"/>
          <w:sz w:val="20"/>
          <w:szCs w:val="20"/>
          <w:lang w:eastAsia="sl-SI"/>
        </w:rPr>
        <w:t xml:space="preserve">daj </w:t>
      </w:r>
      <w:r w:rsidRPr="00A335CB">
        <w:rPr>
          <w:rFonts w:ascii="Arial" w:hAnsi="Arial" w:cs="Arial"/>
          <w:sz w:val="20"/>
          <w:szCs w:val="20"/>
          <w:lang w:eastAsia="sl-SI"/>
        </w:rPr>
        <w:t xml:space="preserve">hranijo tudi na oddaljeni lokaciji, kar je nujni pogoj za vzpostavitev varne e-hrambe, za dvig odpornosti sistema pa bo potrebna nadgradnja kapacitet te povezave in samega oddaljenega sistema. </w:t>
      </w:r>
    </w:p>
    <w:p w14:paraId="2EED4CAF" w14:textId="77777777" w:rsidR="00C909D9" w:rsidRPr="00A335CB" w:rsidRDefault="00C909D9" w:rsidP="00C909D9">
      <w:pPr>
        <w:autoSpaceDE w:val="0"/>
        <w:autoSpaceDN w:val="0"/>
        <w:adjustRightInd w:val="0"/>
        <w:spacing w:after="0" w:line="276" w:lineRule="auto"/>
        <w:jc w:val="both"/>
        <w:rPr>
          <w:rFonts w:ascii="Arial" w:hAnsi="Arial" w:cs="Arial"/>
          <w:sz w:val="20"/>
          <w:szCs w:val="20"/>
          <w:lang w:eastAsia="sl-SI"/>
        </w:rPr>
      </w:pPr>
    </w:p>
    <w:p w14:paraId="3784B296" w14:textId="12D353A9" w:rsidR="00A423E5" w:rsidRPr="00A335CB" w:rsidRDefault="00A423E5" w:rsidP="005D1A90">
      <w:pPr>
        <w:autoSpaceDE w:val="0"/>
        <w:autoSpaceDN w:val="0"/>
        <w:adjustRightInd w:val="0"/>
        <w:spacing w:line="276" w:lineRule="auto"/>
        <w:jc w:val="both"/>
        <w:rPr>
          <w:rFonts w:ascii="Arial" w:hAnsi="Arial" w:cs="Arial"/>
          <w:sz w:val="20"/>
          <w:szCs w:val="20"/>
          <w:lang w:eastAsia="sl-SI"/>
        </w:rPr>
      </w:pPr>
      <w:r w:rsidRPr="00A335CB">
        <w:rPr>
          <w:rFonts w:ascii="Arial" w:hAnsi="Arial" w:cs="Arial"/>
          <w:sz w:val="20"/>
          <w:szCs w:val="20"/>
          <w:lang w:eastAsia="sl-SI"/>
        </w:rPr>
        <w:t xml:space="preserve">V drugi polovici leta so se </w:t>
      </w:r>
      <w:r w:rsidR="0063205A">
        <w:rPr>
          <w:rFonts w:ascii="Arial" w:hAnsi="Arial" w:cs="Arial"/>
          <w:sz w:val="20"/>
          <w:szCs w:val="20"/>
          <w:lang w:eastAsia="sl-SI"/>
        </w:rPr>
        <w:t>za</w:t>
      </w:r>
      <w:r w:rsidR="0063205A" w:rsidRPr="00A335CB">
        <w:rPr>
          <w:rFonts w:ascii="Arial" w:hAnsi="Arial" w:cs="Arial"/>
          <w:sz w:val="20"/>
          <w:szCs w:val="20"/>
          <w:lang w:eastAsia="sl-SI"/>
        </w:rPr>
        <w:t xml:space="preserve">čele </w:t>
      </w:r>
      <w:r w:rsidRPr="00A335CB">
        <w:rPr>
          <w:rFonts w:ascii="Arial" w:hAnsi="Arial" w:cs="Arial"/>
          <w:sz w:val="20"/>
          <w:szCs w:val="20"/>
          <w:lang w:eastAsia="sl-SI"/>
        </w:rPr>
        <w:t>izvajati aktivnosti za selitev dela zaposlenih MNZ na ustrezni del omrežja MNZ, saj se trenut</w:t>
      </w:r>
      <w:r w:rsidR="00C91C5B" w:rsidRPr="00A335CB">
        <w:rPr>
          <w:rFonts w:ascii="Arial" w:hAnsi="Arial" w:cs="Arial"/>
          <w:sz w:val="20"/>
          <w:szCs w:val="20"/>
          <w:lang w:eastAsia="sl-SI"/>
        </w:rPr>
        <w:t>no zaradi vezanosti na omrežje p</w:t>
      </w:r>
      <w:r w:rsidRPr="00A335CB">
        <w:rPr>
          <w:rFonts w:ascii="Arial" w:hAnsi="Arial" w:cs="Arial"/>
          <w:sz w:val="20"/>
          <w:szCs w:val="20"/>
          <w:lang w:eastAsia="sl-SI"/>
        </w:rPr>
        <w:t xml:space="preserve">olicije soočajo s prekinitvami delovanja dokumentnega sistema. Izvedena je bila analiza uporabniških potreb po dodatnem najetju komunikacijskih vodov, kar je </w:t>
      </w:r>
      <w:r w:rsidR="0063205A">
        <w:rPr>
          <w:rFonts w:ascii="Arial" w:hAnsi="Arial" w:cs="Arial"/>
          <w:sz w:val="20"/>
          <w:szCs w:val="20"/>
          <w:lang w:eastAsia="sl-SI"/>
        </w:rPr>
        <w:t xml:space="preserve">osnovni </w:t>
      </w:r>
      <w:r w:rsidR="0063205A" w:rsidRPr="00A335CB">
        <w:rPr>
          <w:rFonts w:ascii="Arial" w:hAnsi="Arial" w:cs="Arial"/>
          <w:sz w:val="20"/>
          <w:szCs w:val="20"/>
          <w:lang w:eastAsia="sl-SI"/>
        </w:rPr>
        <w:t xml:space="preserve">pogoj </w:t>
      </w:r>
      <w:r w:rsidRPr="00A335CB">
        <w:rPr>
          <w:rFonts w:ascii="Arial" w:hAnsi="Arial" w:cs="Arial"/>
          <w:sz w:val="20"/>
          <w:szCs w:val="20"/>
          <w:lang w:eastAsia="sl-SI"/>
        </w:rPr>
        <w:t xml:space="preserve">za selitev. </w:t>
      </w:r>
    </w:p>
    <w:p w14:paraId="2F9A4EEC" w14:textId="16F77C38" w:rsidR="00C909D9" w:rsidRDefault="00A423E5" w:rsidP="00C909D9">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Za beleženje in spremljanje poteka reševanja zahtev uporabnikov po IKT</w:t>
      </w:r>
      <w:r w:rsidR="0063205A">
        <w:rPr>
          <w:rFonts w:ascii="Arial" w:hAnsi="Arial" w:cs="Arial"/>
          <w:sz w:val="20"/>
          <w:szCs w:val="20"/>
          <w:lang w:eastAsia="sl-SI"/>
        </w:rPr>
        <w:t>-</w:t>
      </w:r>
      <w:r w:rsidRPr="00A335CB">
        <w:rPr>
          <w:rFonts w:ascii="Arial" w:hAnsi="Arial" w:cs="Arial"/>
          <w:sz w:val="20"/>
          <w:szCs w:val="20"/>
          <w:lang w:eastAsia="sl-SI"/>
        </w:rPr>
        <w:t xml:space="preserve">pomoči in za spremljanje reševanja varnostnih dogodkov je bila v </w:t>
      </w:r>
      <w:r w:rsidR="0063205A">
        <w:rPr>
          <w:rFonts w:ascii="Arial" w:hAnsi="Arial" w:cs="Arial"/>
          <w:sz w:val="20"/>
          <w:szCs w:val="20"/>
          <w:lang w:eastAsia="sl-SI"/>
        </w:rPr>
        <w:t xml:space="preserve">letu </w:t>
      </w:r>
      <w:r w:rsidRPr="00A335CB">
        <w:rPr>
          <w:rFonts w:ascii="Arial" w:hAnsi="Arial" w:cs="Arial"/>
          <w:sz w:val="20"/>
          <w:szCs w:val="20"/>
          <w:lang w:eastAsia="sl-SI"/>
        </w:rPr>
        <w:t>2024 uvedena odprtokodna rešitev, ki omogoča tudi celotn</w:t>
      </w:r>
      <w:r w:rsidR="0063205A">
        <w:rPr>
          <w:rFonts w:ascii="Arial" w:hAnsi="Arial" w:cs="Arial"/>
          <w:sz w:val="20"/>
          <w:szCs w:val="20"/>
          <w:lang w:eastAsia="sl-SI"/>
        </w:rPr>
        <w:t>i</w:t>
      </w:r>
      <w:r w:rsidRPr="00A335CB">
        <w:rPr>
          <w:rFonts w:ascii="Arial" w:hAnsi="Arial" w:cs="Arial"/>
          <w:sz w:val="20"/>
          <w:szCs w:val="20"/>
          <w:lang w:eastAsia="sl-SI"/>
        </w:rPr>
        <w:t xml:space="preserve"> potek spremljanja reševanja težav uporabnikov, </w:t>
      </w:r>
      <w:r w:rsidR="0063205A">
        <w:rPr>
          <w:rFonts w:ascii="Arial" w:hAnsi="Arial" w:cs="Arial"/>
          <w:sz w:val="20"/>
          <w:szCs w:val="20"/>
          <w:lang w:eastAsia="sl-SI"/>
        </w:rPr>
        <w:t>če</w:t>
      </w:r>
      <w:r w:rsidRPr="00A335CB">
        <w:rPr>
          <w:rFonts w:ascii="Arial" w:hAnsi="Arial" w:cs="Arial"/>
          <w:sz w:val="20"/>
          <w:szCs w:val="20"/>
          <w:lang w:eastAsia="sl-SI"/>
        </w:rPr>
        <w:t xml:space="preserve"> jih le-ti v skladu z navodili </w:t>
      </w:r>
      <w:r w:rsidR="00670EF4">
        <w:rPr>
          <w:rFonts w:ascii="Arial" w:hAnsi="Arial" w:cs="Arial"/>
          <w:sz w:val="20"/>
          <w:szCs w:val="20"/>
          <w:lang w:eastAsia="sl-SI"/>
        </w:rPr>
        <w:t>pošljejo</w:t>
      </w:r>
      <w:r w:rsidR="00670EF4" w:rsidRPr="00A335CB">
        <w:rPr>
          <w:rFonts w:ascii="Arial" w:hAnsi="Arial" w:cs="Arial"/>
          <w:sz w:val="20"/>
          <w:szCs w:val="20"/>
          <w:lang w:eastAsia="sl-SI"/>
        </w:rPr>
        <w:t xml:space="preserve"> </w:t>
      </w:r>
      <w:r w:rsidRPr="00A335CB">
        <w:rPr>
          <w:rFonts w:ascii="Arial" w:hAnsi="Arial" w:cs="Arial"/>
          <w:sz w:val="20"/>
          <w:szCs w:val="20"/>
          <w:lang w:eastAsia="sl-SI"/>
        </w:rPr>
        <w:t xml:space="preserve">na elektronsko pošto. Še vedno številni uporabniki uporabljajo telefon ali zahtevke </w:t>
      </w:r>
      <w:r w:rsidR="00670EF4">
        <w:rPr>
          <w:rFonts w:ascii="Arial" w:hAnsi="Arial" w:cs="Arial"/>
          <w:sz w:val="20"/>
          <w:szCs w:val="20"/>
          <w:lang w:eastAsia="sl-SI"/>
        </w:rPr>
        <w:t>predložijo</w:t>
      </w:r>
      <w:r w:rsidR="00670EF4" w:rsidRPr="00A335CB">
        <w:rPr>
          <w:rFonts w:ascii="Arial" w:hAnsi="Arial" w:cs="Arial"/>
          <w:sz w:val="20"/>
          <w:szCs w:val="20"/>
          <w:lang w:eastAsia="sl-SI"/>
        </w:rPr>
        <w:t xml:space="preserve"> </w:t>
      </w:r>
      <w:r w:rsidRPr="00A335CB">
        <w:rPr>
          <w:rFonts w:ascii="Arial" w:hAnsi="Arial" w:cs="Arial"/>
          <w:sz w:val="20"/>
          <w:szCs w:val="20"/>
          <w:lang w:eastAsia="sl-SI"/>
        </w:rPr>
        <w:t>posameznikom. Na elektronski predal, namenjen IKT</w:t>
      </w:r>
      <w:r w:rsidR="0063205A">
        <w:rPr>
          <w:rFonts w:ascii="Arial" w:hAnsi="Arial" w:cs="Arial"/>
          <w:sz w:val="20"/>
          <w:szCs w:val="20"/>
          <w:lang w:eastAsia="sl-SI"/>
        </w:rPr>
        <w:t>-</w:t>
      </w:r>
      <w:r w:rsidRPr="00A335CB">
        <w:rPr>
          <w:rFonts w:ascii="Arial" w:hAnsi="Arial" w:cs="Arial"/>
          <w:sz w:val="20"/>
          <w:szCs w:val="20"/>
          <w:lang w:eastAsia="sl-SI"/>
        </w:rPr>
        <w:t xml:space="preserve">pomoči uporabnikom, pa je od uvedbe sistema v zadnjem tednu julija prispelo </w:t>
      </w:r>
      <w:r w:rsidR="0063205A">
        <w:rPr>
          <w:rFonts w:ascii="Arial" w:hAnsi="Arial" w:cs="Arial"/>
          <w:sz w:val="20"/>
          <w:szCs w:val="20"/>
          <w:lang w:eastAsia="sl-SI"/>
        </w:rPr>
        <w:t>približno</w:t>
      </w:r>
      <w:r w:rsidR="0063205A" w:rsidRPr="00A335CB">
        <w:rPr>
          <w:rFonts w:ascii="Arial" w:hAnsi="Arial" w:cs="Arial"/>
          <w:sz w:val="20"/>
          <w:szCs w:val="20"/>
          <w:lang w:eastAsia="sl-SI"/>
        </w:rPr>
        <w:t xml:space="preserve"> </w:t>
      </w:r>
      <w:r w:rsidRPr="00A335CB">
        <w:rPr>
          <w:rFonts w:ascii="Arial" w:hAnsi="Arial" w:cs="Arial"/>
          <w:sz w:val="20"/>
          <w:szCs w:val="20"/>
          <w:lang w:eastAsia="sl-SI"/>
        </w:rPr>
        <w:t>2</w:t>
      </w:r>
      <w:r w:rsidR="0063205A">
        <w:rPr>
          <w:rFonts w:ascii="Arial" w:hAnsi="Arial" w:cs="Arial"/>
          <w:sz w:val="20"/>
          <w:szCs w:val="20"/>
          <w:lang w:eastAsia="sl-SI"/>
        </w:rPr>
        <w:t>.</w:t>
      </w:r>
      <w:r w:rsidRPr="00A335CB">
        <w:rPr>
          <w:rFonts w:ascii="Arial" w:hAnsi="Arial" w:cs="Arial"/>
          <w:sz w:val="20"/>
          <w:szCs w:val="20"/>
          <w:lang w:eastAsia="sl-SI"/>
        </w:rPr>
        <w:t xml:space="preserve">000 zahtevkov. </w:t>
      </w:r>
    </w:p>
    <w:p w14:paraId="2F65331B" w14:textId="77777777" w:rsidR="00C909D9" w:rsidRDefault="00C909D9" w:rsidP="00C909D9">
      <w:pPr>
        <w:autoSpaceDE w:val="0"/>
        <w:autoSpaceDN w:val="0"/>
        <w:adjustRightInd w:val="0"/>
        <w:spacing w:after="0" w:line="276" w:lineRule="auto"/>
        <w:jc w:val="both"/>
        <w:rPr>
          <w:rFonts w:ascii="Arial" w:hAnsi="Arial" w:cs="Arial"/>
          <w:sz w:val="20"/>
          <w:szCs w:val="20"/>
          <w:lang w:eastAsia="sl-SI"/>
        </w:rPr>
      </w:pPr>
    </w:p>
    <w:p w14:paraId="24D2BDE8" w14:textId="7E1BA1A1" w:rsidR="00C909D9" w:rsidRDefault="00A423E5" w:rsidP="00C909D9">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V letu 2024 je bil narejen načrt postavitve sistema MS Exchange za elektronsko pošto. Večina organov državne uprave namesto Lotus Notes/Domino Server</w:t>
      </w:r>
      <w:r w:rsidR="0063205A">
        <w:rPr>
          <w:rFonts w:ascii="Arial" w:hAnsi="Arial" w:cs="Arial"/>
          <w:sz w:val="20"/>
          <w:szCs w:val="20"/>
          <w:lang w:eastAsia="sl-SI"/>
        </w:rPr>
        <w:t xml:space="preserve"> že uporablja </w:t>
      </w:r>
      <w:r w:rsidR="0063205A" w:rsidRPr="00A335CB">
        <w:rPr>
          <w:rFonts w:ascii="Arial" w:hAnsi="Arial" w:cs="Arial"/>
          <w:sz w:val="20"/>
          <w:szCs w:val="20"/>
          <w:lang w:eastAsia="sl-SI"/>
        </w:rPr>
        <w:t>MS Exchange</w:t>
      </w:r>
      <w:r w:rsidRPr="00A335CB">
        <w:rPr>
          <w:rFonts w:ascii="Arial" w:hAnsi="Arial" w:cs="Arial"/>
          <w:sz w:val="20"/>
          <w:szCs w:val="20"/>
          <w:lang w:eastAsia="sl-SI"/>
        </w:rPr>
        <w:t xml:space="preserve">. V okviru izdelave načrta postavitve sistema je MNZ sicer v določeni meri odvisen od MDP. </w:t>
      </w:r>
      <w:r w:rsidR="00911567">
        <w:rPr>
          <w:rFonts w:ascii="Arial" w:hAnsi="Arial" w:cs="Arial"/>
          <w:sz w:val="20"/>
          <w:szCs w:val="20"/>
          <w:lang w:eastAsia="sl-SI"/>
        </w:rPr>
        <w:t>Prva pogoja</w:t>
      </w:r>
      <w:r w:rsidR="00911567" w:rsidRPr="00A335CB">
        <w:rPr>
          <w:rFonts w:ascii="Arial" w:hAnsi="Arial" w:cs="Arial"/>
          <w:sz w:val="20"/>
          <w:szCs w:val="20"/>
          <w:lang w:eastAsia="sl-SI"/>
        </w:rPr>
        <w:t xml:space="preserve"> </w:t>
      </w:r>
      <w:r w:rsidRPr="00A335CB">
        <w:rPr>
          <w:rFonts w:ascii="Arial" w:hAnsi="Arial" w:cs="Arial"/>
          <w:sz w:val="20"/>
          <w:szCs w:val="20"/>
          <w:lang w:eastAsia="sl-SI"/>
        </w:rPr>
        <w:t xml:space="preserve">za implementacijo sta stalna sinhronizacija seznama elektronskih naslovov MNZ z MDP ter sistem za varnostno upravljanje mobilnih naprav. Sinhronizacijo bo MNZ reševal s sistemom za upravljanje identitet, ki ga je vzpostavil v </w:t>
      </w:r>
      <w:r w:rsidR="00911567">
        <w:rPr>
          <w:rFonts w:ascii="Arial" w:hAnsi="Arial" w:cs="Arial"/>
          <w:sz w:val="20"/>
          <w:szCs w:val="20"/>
          <w:lang w:eastAsia="sl-SI"/>
        </w:rPr>
        <w:t xml:space="preserve">letu </w:t>
      </w:r>
      <w:r w:rsidRPr="00A335CB">
        <w:rPr>
          <w:rFonts w:ascii="Arial" w:hAnsi="Arial" w:cs="Arial"/>
          <w:sz w:val="20"/>
          <w:szCs w:val="20"/>
          <w:lang w:eastAsia="sl-SI"/>
        </w:rPr>
        <w:t xml:space="preserve">2024, sistem za varnostno upravljanje mobilnih naprav pa </w:t>
      </w:r>
      <w:r w:rsidR="00462E9D" w:rsidRPr="00A335CB">
        <w:rPr>
          <w:rFonts w:ascii="Arial" w:hAnsi="Arial" w:cs="Arial"/>
          <w:sz w:val="20"/>
          <w:szCs w:val="20"/>
          <w:lang w:eastAsia="sl-SI"/>
        </w:rPr>
        <w:t xml:space="preserve">se </w:t>
      </w:r>
      <w:r w:rsidRPr="00A335CB">
        <w:rPr>
          <w:rFonts w:ascii="Arial" w:hAnsi="Arial" w:cs="Arial"/>
          <w:sz w:val="20"/>
          <w:szCs w:val="20"/>
          <w:lang w:eastAsia="sl-SI"/>
        </w:rPr>
        <w:t xml:space="preserve">bo nabavil v </w:t>
      </w:r>
      <w:r w:rsidR="00911567">
        <w:rPr>
          <w:rFonts w:ascii="Arial" w:hAnsi="Arial" w:cs="Arial"/>
          <w:sz w:val="20"/>
          <w:szCs w:val="20"/>
          <w:lang w:eastAsia="sl-SI"/>
        </w:rPr>
        <w:t xml:space="preserve">letu </w:t>
      </w:r>
      <w:r w:rsidRPr="00A335CB">
        <w:rPr>
          <w:rFonts w:ascii="Arial" w:hAnsi="Arial" w:cs="Arial"/>
          <w:sz w:val="20"/>
          <w:szCs w:val="20"/>
          <w:lang w:eastAsia="sl-SI"/>
        </w:rPr>
        <w:t>2025. Sistem za varnostno uprav</w:t>
      </w:r>
      <w:r w:rsidR="00462E9D" w:rsidRPr="00A335CB">
        <w:rPr>
          <w:rFonts w:ascii="Arial" w:hAnsi="Arial" w:cs="Arial"/>
          <w:sz w:val="20"/>
          <w:szCs w:val="20"/>
          <w:lang w:eastAsia="sl-SI"/>
        </w:rPr>
        <w:t>ljanje mobilnih naprav je pomemben za prehod na nov</w:t>
      </w:r>
      <w:r w:rsidR="00911567">
        <w:rPr>
          <w:rFonts w:ascii="Arial" w:hAnsi="Arial" w:cs="Arial"/>
          <w:sz w:val="20"/>
          <w:szCs w:val="20"/>
          <w:lang w:eastAsia="sl-SI"/>
        </w:rPr>
        <w:t>i</w:t>
      </w:r>
      <w:r w:rsidR="00462E9D" w:rsidRPr="00A335CB">
        <w:rPr>
          <w:rFonts w:ascii="Arial" w:hAnsi="Arial" w:cs="Arial"/>
          <w:sz w:val="20"/>
          <w:szCs w:val="20"/>
          <w:lang w:eastAsia="sl-SI"/>
        </w:rPr>
        <w:t xml:space="preserve"> sistem elektronske pošte, hkrati pa je tudi eden </w:t>
      </w:r>
      <w:r w:rsidR="00911567">
        <w:rPr>
          <w:rFonts w:ascii="Arial" w:hAnsi="Arial" w:cs="Arial"/>
          <w:sz w:val="20"/>
          <w:szCs w:val="20"/>
          <w:lang w:eastAsia="sl-SI"/>
        </w:rPr>
        <w:t>o</w:t>
      </w:r>
      <w:r w:rsidR="00462E9D" w:rsidRPr="00A335CB">
        <w:rPr>
          <w:rFonts w:ascii="Arial" w:hAnsi="Arial" w:cs="Arial"/>
          <w:sz w:val="20"/>
          <w:szCs w:val="20"/>
          <w:lang w:eastAsia="sl-SI"/>
        </w:rPr>
        <w:t xml:space="preserve">d ukrepov za dvigovanje informacijske varnosti. </w:t>
      </w:r>
    </w:p>
    <w:p w14:paraId="05149501" w14:textId="77777777" w:rsidR="00C909D9" w:rsidRDefault="00C909D9" w:rsidP="00C909D9">
      <w:pPr>
        <w:autoSpaceDE w:val="0"/>
        <w:autoSpaceDN w:val="0"/>
        <w:adjustRightInd w:val="0"/>
        <w:spacing w:after="0" w:line="276" w:lineRule="auto"/>
        <w:jc w:val="both"/>
        <w:rPr>
          <w:rFonts w:ascii="Arial" w:hAnsi="Arial" w:cs="Arial"/>
          <w:sz w:val="20"/>
          <w:szCs w:val="20"/>
          <w:lang w:eastAsia="sl-SI"/>
        </w:rPr>
      </w:pPr>
    </w:p>
    <w:p w14:paraId="182F9871" w14:textId="2D2CA56B" w:rsidR="00A423E5" w:rsidRPr="00A335CB" w:rsidRDefault="00A423E5" w:rsidP="00C909D9">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V </w:t>
      </w:r>
      <w:r w:rsidR="00911567">
        <w:rPr>
          <w:rFonts w:ascii="Arial" w:hAnsi="Arial" w:cs="Arial"/>
          <w:sz w:val="20"/>
          <w:szCs w:val="20"/>
          <w:lang w:eastAsia="sl-SI"/>
        </w:rPr>
        <w:t xml:space="preserve">letu </w:t>
      </w:r>
      <w:r w:rsidRPr="00A335CB">
        <w:rPr>
          <w:rFonts w:ascii="Arial" w:hAnsi="Arial" w:cs="Arial"/>
          <w:sz w:val="20"/>
          <w:szCs w:val="20"/>
          <w:lang w:eastAsia="sl-SI"/>
        </w:rPr>
        <w:t xml:space="preserve">2024 se je nabavila in vzpostavila nova strojna in </w:t>
      </w:r>
      <w:proofErr w:type="spellStart"/>
      <w:r w:rsidRPr="00A335CB">
        <w:rPr>
          <w:rFonts w:ascii="Arial" w:hAnsi="Arial" w:cs="Arial"/>
          <w:sz w:val="20"/>
          <w:szCs w:val="20"/>
          <w:lang w:eastAsia="sl-SI"/>
        </w:rPr>
        <w:t>virtualizacijska</w:t>
      </w:r>
      <w:proofErr w:type="spellEnd"/>
      <w:r w:rsidRPr="00A335CB">
        <w:rPr>
          <w:rFonts w:ascii="Arial" w:hAnsi="Arial" w:cs="Arial"/>
          <w:sz w:val="20"/>
          <w:szCs w:val="20"/>
          <w:lang w:eastAsia="sl-SI"/>
        </w:rPr>
        <w:t xml:space="preserve"> oprema za strežniški segment, ki je namenjen za skupno delo MNZ ter organov v sestavi. Konec leta se</w:t>
      </w:r>
      <w:r w:rsidR="0077602C" w:rsidRPr="00A335CB">
        <w:rPr>
          <w:rFonts w:ascii="Arial" w:hAnsi="Arial" w:cs="Arial"/>
          <w:sz w:val="20"/>
          <w:szCs w:val="20"/>
          <w:lang w:eastAsia="sl-SI"/>
        </w:rPr>
        <w:t xml:space="preserve"> je na njem </w:t>
      </w:r>
      <w:r w:rsidR="00911567">
        <w:rPr>
          <w:rFonts w:ascii="Arial" w:hAnsi="Arial" w:cs="Arial"/>
          <w:sz w:val="20"/>
          <w:szCs w:val="20"/>
          <w:lang w:eastAsia="sl-SI"/>
        </w:rPr>
        <w:t>za</w:t>
      </w:r>
      <w:r w:rsidR="00911567" w:rsidRPr="00A335CB">
        <w:rPr>
          <w:rFonts w:ascii="Arial" w:hAnsi="Arial" w:cs="Arial"/>
          <w:sz w:val="20"/>
          <w:szCs w:val="20"/>
          <w:lang w:eastAsia="sl-SI"/>
        </w:rPr>
        <w:t xml:space="preserve">čel </w:t>
      </w:r>
      <w:r w:rsidR="0077602C" w:rsidRPr="00A335CB">
        <w:rPr>
          <w:rFonts w:ascii="Arial" w:hAnsi="Arial" w:cs="Arial"/>
          <w:sz w:val="20"/>
          <w:szCs w:val="20"/>
          <w:lang w:eastAsia="sl-SI"/>
        </w:rPr>
        <w:t>nameščati informacijski sistem</w:t>
      </w:r>
      <w:r w:rsidRPr="00A335CB">
        <w:rPr>
          <w:rFonts w:ascii="Arial" w:hAnsi="Arial" w:cs="Arial"/>
          <w:sz w:val="20"/>
          <w:szCs w:val="20"/>
          <w:lang w:eastAsia="sl-SI"/>
        </w:rPr>
        <w:t xml:space="preserve"> MUZA, razvojni sistem za digitalizacijo nabav in komponente za postavitev MS Share</w:t>
      </w:r>
      <w:r w:rsidR="00911567">
        <w:rPr>
          <w:rFonts w:ascii="Arial" w:hAnsi="Arial" w:cs="Arial"/>
          <w:sz w:val="20"/>
          <w:szCs w:val="20"/>
          <w:lang w:eastAsia="sl-SI"/>
        </w:rPr>
        <w:t>P</w:t>
      </w:r>
      <w:r w:rsidRPr="00A335CB">
        <w:rPr>
          <w:rFonts w:ascii="Arial" w:hAnsi="Arial" w:cs="Arial"/>
          <w:sz w:val="20"/>
          <w:szCs w:val="20"/>
          <w:lang w:eastAsia="sl-SI"/>
        </w:rPr>
        <w:t>oint.</w:t>
      </w:r>
    </w:p>
    <w:p w14:paraId="7A43345C" w14:textId="77777777" w:rsidR="00C909D9" w:rsidRDefault="00C909D9" w:rsidP="007A53D1">
      <w:pPr>
        <w:autoSpaceDE w:val="0"/>
        <w:autoSpaceDN w:val="0"/>
        <w:adjustRightInd w:val="0"/>
        <w:spacing w:after="0" w:line="276" w:lineRule="auto"/>
        <w:jc w:val="both"/>
        <w:rPr>
          <w:rFonts w:ascii="Arial" w:hAnsi="Arial" w:cs="Arial"/>
          <w:sz w:val="20"/>
          <w:szCs w:val="20"/>
          <w:lang w:eastAsia="sl-SI"/>
        </w:rPr>
      </w:pPr>
    </w:p>
    <w:p w14:paraId="7424D1CE" w14:textId="180E5E45" w:rsidR="00C205D4" w:rsidRPr="00A335CB" w:rsidRDefault="00024DD1" w:rsidP="007A53D1">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V okviru projekta digitalizacije dokumentarnega gradiva, ki se financira iz sredstev Načrta za okrevanje in odpornost</w:t>
      </w:r>
      <w:r w:rsidR="0077602C" w:rsidRPr="00A335CB">
        <w:rPr>
          <w:rFonts w:ascii="Arial" w:hAnsi="Arial" w:cs="Arial"/>
          <w:sz w:val="20"/>
          <w:szCs w:val="20"/>
          <w:lang w:eastAsia="sl-SI"/>
        </w:rPr>
        <w:t>,</w:t>
      </w:r>
      <w:r w:rsidRPr="00A335CB">
        <w:rPr>
          <w:rFonts w:ascii="Arial" w:hAnsi="Arial" w:cs="Arial"/>
          <w:sz w:val="20"/>
          <w:szCs w:val="20"/>
          <w:lang w:eastAsia="sl-SI"/>
        </w:rPr>
        <w:t xml:space="preserve"> je bila v l</w:t>
      </w:r>
      <w:r w:rsidR="00462E9D" w:rsidRPr="00A335CB">
        <w:rPr>
          <w:rFonts w:ascii="Arial" w:hAnsi="Arial" w:cs="Arial"/>
          <w:sz w:val="20"/>
          <w:szCs w:val="20"/>
          <w:lang w:eastAsia="sl-SI"/>
        </w:rPr>
        <w:t>etu 2024 nabavljena vsa načrtovana</w:t>
      </w:r>
      <w:r w:rsidR="0077602C" w:rsidRPr="00A335CB">
        <w:rPr>
          <w:rFonts w:ascii="Arial" w:hAnsi="Arial" w:cs="Arial"/>
          <w:sz w:val="20"/>
          <w:szCs w:val="20"/>
          <w:lang w:eastAsia="sl-SI"/>
        </w:rPr>
        <w:t xml:space="preserve"> IT</w:t>
      </w:r>
      <w:r w:rsidR="00911567">
        <w:rPr>
          <w:rFonts w:ascii="Arial" w:hAnsi="Arial" w:cs="Arial"/>
          <w:sz w:val="20"/>
          <w:szCs w:val="20"/>
          <w:lang w:eastAsia="sl-SI"/>
        </w:rPr>
        <w:t>-</w:t>
      </w:r>
      <w:r w:rsidRPr="00A335CB">
        <w:rPr>
          <w:rFonts w:ascii="Arial" w:hAnsi="Arial" w:cs="Arial"/>
          <w:sz w:val="20"/>
          <w:szCs w:val="20"/>
          <w:lang w:eastAsia="sl-SI"/>
        </w:rPr>
        <w:t xml:space="preserve">oprema. V tem letu se je uredil </w:t>
      </w:r>
      <w:r w:rsidR="00911567">
        <w:rPr>
          <w:rFonts w:ascii="Arial" w:hAnsi="Arial" w:cs="Arial"/>
          <w:sz w:val="20"/>
          <w:szCs w:val="20"/>
          <w:lang w:eastAsia="sl-SI"/>
        </w:rPr>
        <w:t xml:space="preserve">tudi </w:t>
      </w:r>
      <w:r w:rsidRPr="00A335CB">
        <w:rPr>
          <w:rFonts w:ascii="Arial" w:hAnsi="Arial" w:cs="Arial"/>
          <w:sz w:val="20"/>
          <w:szCs w:val="20"/>
          <w:lang w:eastAsia="sl-SI"/>
        </w:rPr>
        <w:t>sistem na oddaljeni lokaciji v Novem mestu. Izvedena je bila nadgradnja informacijskega sistema in v presojo na Arhiv R</w:t>
      </w:r>
      <w:r w:rsidR="0077602C" w:rsidRPr="00A335CB">
        <w:rPr>
          <w:rFonts w:ascii="Arial" w:hAnsi="Arial" w:cs="Arial"/>
          <w:sz w:val="20"/>
          <w:szCs w:val="20"/>
          <w:lang w:eastAsia="sl-SI"/>
        </w:rPr>
        <w:t xml:space="preserve">epublike </w:t>
      </w:r>
      <w:r w:rsidRPr="00A335CB">
        <w:rPr>
          <w:rFonts w:ascii="Arial" w:hAnsi="Arial" w:cs="Arial"/>
          <w:sz w:val="20"/>
          <w:szCs w:val="20"/>
          <w:lang w:eastAsia="sl-SI"/>
        </w:rPr>
        <w:t>S</w:t>
      </w:r>
      <w:r w:rsidR="0077602C" w:rsidRPr="00A335CB">
        <w:rPr>
          <w:rFonts w:ascii="Arial" w:hAnsi="Arial" w:cs="Arial"/>
          <w:sz w:val="20"/>
          <w:szCs w:val="20"/>
          <w:lang w:eastAsia="sl-SI"/>
        </w:rPr>
        <w:t>lovenije</w:t>
      </w:r>
      <w:r w:rsidRPr="00A335CB">
        <w:rPr>
          <w:rFonts w:ascii="Arial" w:hAnsi="Arial" w:cs="Arial"/>
          <w:sz w:val="20"/>
          <w:szCs w:val="20"/>
          <w:lang w:eastAsia="sl-SI"/>
        </w:rPr>
        <w:t xml:space="preserve"> je bila oddana pobuda za akreditacijo le-tega, ki bo </w:t>
      </w:r>
      <w:r w:rsidR="00911567">
        <w:rPr>
          <w:rFonts w:ascii="Arial" w:hAnsi="Arial" w:cs="Arial"/>
          <w:sz w:val="20"/>
          <w:szCs w:val="20"/>
          <w:lang w:eastAsia="sl-SI"/>
        </w:rPr>
        <w:t>do</w:t>
      </w:r>
      <w:r w:rsidRPr="00A335CB">
        <w:rPr>
          <w:rFonts w:ascii="Arial" w:hAnsi="Arial" w:cs="Arial"/>
          <w:sz w:val="20"/>
          <w:szCs w:val="20"/>
          <w:lang w:eastAsia="sl-SI"/>
        </w:rPr>
        <w:t>končana v prvi polovici 202</w:t>
      </w:r>
      <w:r w:rsidR="0077602C" w:rsidRPr="00A335CB">
        <w:rPr>
          <w:rFonts w:ascii="Arial" w:hAnsi="Arial" w:cs="Arial"/>
          <w:sz w:val="20"/>
          <w:szCs w:val="20"/>
          <w:lang w:eastAsia="sl-SI"/>
        </w:rPr>
        <w:t>5. Prav tako so bila na Arhiv Republike Slovenije</w:t>
      </w:r>
      <w:r w:rsidRPr="00A335CB">
        <w:rPr>
          <w:rFonts w:ascii="Arial" w:hAnsi="Arial" w:cs="Arial"/>
          <w:sz w:val="20"/>
          <w:szCs w:val="20"/>
          <w:lang w:eastAsia="sl-SI"/>
        </w:rPr>
        <w:t xml:space="preserve"> predana v potrditev Notranja pravila za zaj</w:t>
      </w:r>
      <w:r w:rsidR="007A53D1" w:rsidRPr="00A335CB">
        <w:rPr>
          <w:rFonts w:ascii="Arial" w:hAnsi="Arial" w:cs="Arial"/>
          <w:sz w:val="20"/>
          <w:szCs w:val="20"/>
          <w:lang w:eastAsia="sl-SI"/>
        </w:rPr>
        <w:t>em in e-hrambo dokumentov MNZ</w:t>
      </w:r>
      <w:r w:rsidRPr="00A335CB">
        <w:rPr>
          <w:rFonts w:ascii="Arial" w:hAnsi="Arial" w:cs="Arial"/>
          <w:sz w:val="20"/>
          <w:szCs w:val="20"/>
          <w:lang w:eastAsia="sl-SI"/>
        </w:rPr>
        <w:t>. V okviru projekta aktivno poteka</w:t>
      </w:r>
      <w:r w:rsidR="00911567">
        <w:rPr>
          <w:rFonts w:ascii="Arial" w:hAnsi="Arial" w:cs="Arial"/>
          <w:sz w:val="20"/>
          <w:szCs w:val="20"/>
          <w:lang w:eastAsia="sl-SI"/>
        </w:rPr>
        <w:t xml:space="preserve"> tudi</w:t>
      </w:r>
      <w:r w:rsidRPr="00A335CB">
        <w:rPr>
          <w:rFonts w:ascii="Arial" w:hAnsi="Arial" w:cs="Arial"/>
          <w:sz w:val="20"/>
          <w:szCs w:val="20"/>
          <w:lang w:eastAsia="sl-SI"/>
        </w:rPr>
        <w:t xml:space="preserve"> digitalizaci</w:t>
      </w:r>
      <w:r w:rsidR="007A53D1" w:rsidRPr="00A335CB">
        <w:rPr>
          <w:rFonts w:ascii="Arial" w:hAnsi="Arial" w:cs="Arial"/>
          <w:sz w:val="20"/>
          <w:szCs w:val="20"/>
          <w:lang w:eastAsia="sl-SI"/>
        </w:rPr>
        <w:t xml:space="preserve">ja dokumentarnega gradiva MNZ. </w:t>
      </w:r>
    </w:p>
    <w:p w14:paraId="0C808DD5" w14:textId="77777777" w:rsidR="007A53D1" w:rsidRPr="00A335CB" w:rsidRDefault="007A53D1" w:rsidP="005D1A90">
      <w:pPr>
        <w:autoSpaceDE w:val="0"/>
        <w:autoSpaceDN w:val="0"/>
        <w:adjustRightInd w:val="0"/>
        <w:spacing w:after="0" w:line="276" w:lineRule="auto"/>
        <w:jc w:val="both"/>
        <w:rPr>
          <w:rFonts w:ascii="Arial" w:hAnsi="Arial" w:cs="Arial"/>
          <w:b/>
          <w:sz w:val="20"/>
          <w:szCs w:val="20"/>
          <w:lang w:eastAsia="sl-SI"/>
        </w:rPr>
      </w:pPr>
    </w:p>
    <w:p w14:paraId="57D0E20A" w14:textId="1969D797" w:rsidR="00A423E5" w:rsidRPr="00A335CB" w:rsidRDefault="00A423E5" w:rsidP="005D1A90">
      <w:pPr>
        <w:autoSpaceDE w:val="0"/>
        <w:autoSpaceDN w:val="0"/>
        <w:adjustRightInd w:val="0"/>
        <w:spacing w:after="0" w:line="276" w:lineRule="auto"/>
        <w:jc w:val="both"/>
        <w:rPr>
          <w:rFonts w:ascii="Arial" w:hAnsi="Arial" w:cs="Arial"/>
          <w:b/>
          <w:sz w:val="20"/>
          <w:szCs w:val="20"/>
          <w:lang w:eastAsia="sl-SI"/>
        </w:rPr>
      </w:pPr>
      <w:r w:rsidRPr="00A335CB">
        <w:rPr>
          <w:rFonts w:ascii="Arial" w:hAnsi="Arial" w:cs="Arial"/>
          <w:b/>
          <w:sz w:val="20"/>
          <w:szCs w:val="20"/>
          <w:lang w:eastAsia="sl-SI"/>
        </w:rPr>
        <w:t xml:space="preserve">EUPP </w:t>
      </w:r>
    </w:p>
    <w:p w14:paraId="037C896E" w14:textId="614A2C1C" w:rsidR="00A423E5" w:rsidRPr="00A335CB" w:rsidRDefault="00A423E5"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Tehnološko sta bila prenovljena portala </w:t>
      </w:r>
      <w:r w:rsidR="00911567">
        <w:rPr>
          <w:rFonts w:ascii="Arial" w:hAnsi="Arial" w:cs="Arial"/>
          <w:sz w:val="20"/>
          <w:szCs w:val="20"/>
          <w:lang w:eastAsia="sl-SI"/>
        </w:rPr>
        <w:t>»</w:t>
      </w:r>
      <w:r w:rsidRPr="00A335CB">
        <w:rPr>
          <w:rFonts w:ascii="Arial" w:hAnsi="Arial" w:cs="Arial"/>
          <w:sz w:val="20"/>
          <w:szCs w:val="20"/>
          <w:lang w:eastAsia="sl-SI"/>
        </w:rPr>
        <w:t>Nesreče na smučiščih</w:t>
      </w:r>
      <w:r w:rsidR="00911567">
        <w:rPr>
          <w:rFonts w:ascii="Arial" w:hAnsi="Arial" w:cs="Arial"/>
          <w:sz w:val="20"/>
          <w:szCs w:val="20"/>
          <w:lang w:eastAsia="sl-SI"/>
        </w:rPr>
        <w:t>«</w:t>
      </w:r>
      <w:r w:rsidRPr="00A335CB">
        <w:rPr>
          <w:rFonts w:ascii="Arial" w:hAnsi="Arial" w:cs="Arial"/>
          <w:sz w:val="20"/>
          <w:szCs w:val="20"/>
          <w:lang w:eastAsia="sl-SI"/>
        </w:rPr>
        <w:t xml:space="preserve"> in </w:t>
      </w:r>
      <w:r w:rsidR="00911567">
        <w:rPr>
          <w:rFonts w:ascii="Arial" w:hAnsi="Arial" w:cs="Arial"/>
          <w:sz w:val="20"/>
          <w:szCs w:val="20"/>
          <w:lang w:eastAsia="sl-SI"/>
        </w:rPr>
        <w:t>»</w:t>
      </w:r>
      <w:r w:rsidRPr="00A335CB">
        <w:rPr>
          <w:rFonts w:ascii="Arial" w:hAnsi="Arial" w:cs="Arial"/>
          <w:sz w:val="20"/>
          <w:szCs w:val="20"/>
          <w:lang w:eastAsia="sl-SI"/>
        </w:rPr>
        <w:t>Delovna mesta</w:t>
      </w:r>
      <w:r w:rsidR="00911567">
        <w:rPr>
          <w:rFonts w:ascii="Arial" w:hAnsi="Arial" w:cs="Arial"/>
          <w:sz w:val="20"/>
          <w:szCs w:val="20"/>
          <w:lang w:eastAsia="sl-SI"/>
        </w:rPr>
        <w:t>«</w:t>
      </w:r>
      <w:r w:rsidRPr="00A335CB">
        <w:rPr>
          <w:rFonts w:ascii="Arial" w:hAnsi="Arial" w:cs="Arial"/>
          <w:sz w:val="20"/>
          <w:szCs w:val="20"/>
          <w:lang w:eastAsia="sl-SI"/>
        </w:rPr>
        <w:t xml:space="preserve">. Prenova je bila potrebna za zadostitev varnostnim zahtevam okolja MDP in za varnejše e-prijave zunanjih uporabnikov. </w:t>
      </w:r>
    </w:p>
    <w:p w14:paraId="5BB0F4BC" w14:textId="4BE0D2EB" w:rsidR="00A423E5" w:rsidRPr="00A335CB" w:rsidRDefault="00A423E5"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S prenovo so bile izboljšane komunikacije prek spl</w:t>
      </w:r>
      <w:r w:rsidR="007A53D1" w:rsidRPr="00A335CB">
        <w:rPr>
          <w:rFonts w:ascii="Arial" w:hAnsi="Arial" w:cs="Arial"/>
          <w:sz w:val="20"/>
          <w:szCs w:val="20"/>
          <w:lang w:eastAsia="sl-SI"/>
        </w:rPr>
        <w:t xml:space="preserve">etnih servisov z </w:t>
      </w:r>
      <w:r w:rsidR="007A53D1" w:rsidRPr="00ED7864">
        <w:rPr>
          <w:rFonts w:ascii="Arial" w:hAnsi="Arial" w:cs="Arial"/>
          <w:sz w:val="20"/>
          <w:szCs w:val="20"/>
          <w:lang w:eastAsia="sl-SI"/>
        </w:rPr>
        <w:t>zunanjimi viri</w:t>
      </w:r>
      <w:r w:rsidRPr="00ED7864">
        <w:rPr>
          <w:rFonts w:ascii="Arial" w:hAnsi="Arial" w:cs="Arial"/>
          <w:sz w:val="20"/>
          <w:szCs w:val="20"/>
          <w:lang w:eastAsia="sl-SI"/>
        </w:rPr>
        <w:t>: AJPES, ZZZS, M</w:t>
      </w:r>
      <w:r w:rsidR="007A53D1" w:rsidRPr="00ED7864">
        <w:rPr>
          <w:rFonts w:ascii="Arial" w:hAnsi="Arial" w:cs="Arial"/>
          <w:sz w:val="20"/>
          <w:szCs w:val="20"/>
          <w:lang w:eastAsia="sl-SI"/>
        </w:rPr>
        <w:t xml:space="preserve">inistrstvo za pravosodje </w:t>
      </w:r>
      <w:r w:rsidR="00911567" w:rsidRPr="00ED7864">
        <w:rPr>
          <w:rFonts w:ascii="Arial" w:hAnsi="Arial" w:cs="Arial"/>
          <w:sz w:val="20"/>
          <w:szCs w:val="20"/>
          <w:lang w:eastAsia="sl-SI"/>
        </w:rPr>
        <w:t xml:space="preserve">– </w:t>
      </w:r>
      <w:r w:rsidRPr="00ED7864">
        <w:rPr>
          <w:rFonts w:ascii="Arial" w:hAnsi="Arial" w:cs="Arial"/>
          <w:sz w:val="20"/>
          <w:szCs w:val="20"/>
          <w:lang w:eastAsia="sl-SI"/>
        </w:rPr>
        <w:t>kazenska evidenca, E-RISK (register prebivalstva) in</w:t>
      </w:r>
      <w:r w:rsidRPr="00A335CB">
        <w:rPr>
          <w:rFonts w:ascii="Arial" w:hAnsi="Arial" w:cs="Arial"/>
          <w:sz w:val="20"/>
          <w:szCs w:val="20"/>
          <w:lang w:eastAsia="sl-SI"/>
        </w:rPr>
        <w:t xml:space="preserve"> Finančna uprava R</w:t>
      </w:r>
      <w:r w:rsidR="007A53D1" w:rsidRPr="00A335CB">
        <w:rPr>
          <w:rFonts w:ascii="Arial" w:hAnsi="Arial" w:cs="Arial"/>
          <w:sz w:val="20"/>
          <w:szCs w:val="20"/>
          <w:lang w:eastAsia="sl-SI"/>
        </w:rPr>
        <w:t xml:space="preserve">epublike </w:t>
      </w:r>
      <w:r w:rsidRPr="00A335CB">
        <w:rPr>
          <w:rFonts w:ascii="Arial" w:hAnsi="Arial" w:cs="Arial"/>
          <w:sz w:val="20"/>
          <w:szCs w:val="20"/>
          <w:lang w:eastAsia="sl-SI"/>
        </w:rPr>
        <w:t>S</w:t>
      </w:r>
      <w:r w:rsidR="007A53D1" w:rsidRPr="00A335CB">
        <w:rPr>
          <w:rFonts w:ascii="Arial" w:hAnsi="Arial" w:cs="Arial"/>
          <w:sz w:val="20"/>
          <w:szCs w:val="20"/>
          <w:lang w:eastAsia="sl-SI"/>
        </w:rPr>
        <w:t>lovenije</w:t>
      </w:r>
      <w:r w:rsidRPr="00A335CB">
        <w:rPr>
          <w:rFonts w:ascii="Arial" w:hAnsi="Arial" w:cs="Arial"/>
          <w:sz w:val="20"/>
          <w:szCs w:val="20"/>
          <w:lang w:eastAsia="sl-SI"/>
        </w:rPr>
        <w:t xml:space="preserve">.  </w:t>
      </w:r>
    </w:p>
    <w:p w14:paraId="2EA9BDD8" w14:textId="77777777" w:rsidR="00A423E5" w:rsidRPr="00A335CB" w:rsidRDefault="00A423E5" w:rsidP="005D1A90">
      <w:pPr>
        <w:autoSpaceDE w:val="0"/>
        <w:autoSpaceDN w:val="0"/>
        <w:adjustRightInd w:val="0"/>
        <w:spacing w:after="0" w:line="276" w:lineRule="auto"/>
        <w:jc w:val="both"/>
        <w:rPr>
          <w:rFonts w:ascii="Arial" w:hAnsi="Arial" w:cs="Arial"/>
          <w:sz w:val="20"/>
          <w:szCs w:val="20"/>
          <w:lang w:eastAsia="sl-SI"/>
        </w:rPr>
      </w:pPr>
    </w:p>
    <w:p w14:paraId="40E4D060" w14:textId="3A4D6793" w:rsidR="00A423E5" w:rsidRPr="00A335CB" w:rsidRDefault="00A423E5" w:rsidP="005D1A90">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sz w:val="20"/>
          <w:szCs w:val="20"/>
          <w:lang w:eastAsia="sl-SI"/>
        </w:rPr>
        <w:t xml:space="preserve">Poleg tehnoloških posodobitev so bile na </w:t>
      </w:r>
      <w:r w:rsidR="007A53D1" w:rsidRPr="00A335CB">
        <w:rPr>
          <w:rFonts w:ascii="Arial" w:hAnsi="Arial" w:cs="Arial"/>
          <w:sz w:val="20"/>
          <w:szCs w:val="20"/>
          <w:lang w:eastAsia="sl-SI"/>
        </w:rPr>
        <w:t>več modulih</w:t>
      </w:r>
      <w:r w:rsidRPr="00A335CB">
        <w:rPr>
          <w:rFonts w:ascii="Arial" w:hAnsi="Arial" w:cs="Arial"/>
          <w:sz w:val="20"/>
          <w:szCs w:val="20"/>
          <w:lang w:eastAsia="sl-SI"/>
        </w:rPr>
        <w:t xml:space="preserve"> narejene številne procesne in funkcionalne nadgradnje. </w:t>
      </w:r>
    </w:p>
    <w:p w14:paraId="724C3F3D" w14:textId="02279656" w:rsidR="00A423E5" w:rsidRPr="00A335CB" w:rsidRDefault="00A423E5" w:rsidP="005D1A90">
      <w:pPr>
        <w:autoSpaceDE w:val="0"/>
        <w:autoSpaceDN w:val="0"/>
        <w:adjustRightInd w:val="0"/>
        <w:spacing w:after="0" w:line="276" w:lineRule="auto"/>
        <w:jc w:val="both"/>
        <w:rPr>
          <w:rFonts w:ascii="Arial" w:hAnsi="Arial" w:cs="Arial"/>
          <w:sz w:val="20"/>
          <w:szCs w:val="20"/>
          <w:lang w:eastAsia="sl-SI"/>
        </w:rPr>
      </w:pPr>
    </w:p>
    <w:p w14:paraId="25FA0B27" w14:textId="36BF89BB" w:rsidR="00D41B82" w:rsidRPr="00C909D9" w:rsidRDefault="00D41B82" w:rsidP="00C909D9">
      <w:pPr>
        <w:autoSpaceDE w:val="0"/>
        <w:autoSpaceDN w:val="0"/>
        <w:adjustRightInd w:val="0"/>
        <w:spacing w:after="0" w:line="276" w:lineRule="auto"/>
        <w:jc w:val="both"/>
        <w:rPr>
          <w:rFonts w:ascii="Arial" w:hAnsi="Arial" w:cs="Arial"/>
          <w:sz w:val="20"/>
          <w:szCs w:val="20"/>
          <w:lang w:eastAsia="sl-SI"/>
        </w:rPr>
      </w:pPr>
      <w:r w:rsidRPr="00A335CB">
        <w:rPr>
          <w:rFonts w:ascii="Arial" w:hAnsi="Arial" w:cs="Arial"/>
          <w:bCs/>
          <w:sz w:val="20"/>
          <w:szCs w:val="20"/>
          <w:lang w:eastAsia="sl-SI"/>
        </w:rPr>
        <w:t>V letu 2024 se je nadaljevala tudi prenova</w:t>
      </w:r>
      <w:r w:rsidRPr="00A335CB">
        <w:rPr>
          <w:rFonts w:ascii="Arial" w:hAnsi="Arial" w:cs="Arial"/>
          <w:b/>
          <w:bCs/>
          <w:sz w:val="20"/>
          <w:szCs w:val="20"/>
          <w:lang w:eastAsia="sl-SI"/>
        </w:rPr>
        <w:t xml:space="preserve"> informacijske podpore poslovnemu procesu razporeditve obveznikov </w:t>
      </w:r>
      <w:r w:rsidR="007A53D1" w:rsidRPr="00A335CB">
        <w:rPr>
          <w:rFonts w:ascii="Arial" w:hAnsi="Arial" w:cs="Arial"/>
          <w:b/>
          <w:bCs/>
          <w:sz w:val="20"/>
          <w:szCs w:val="20"/>
          <w:lang w:eastAsia="sl-SI"/>
        </w:rPr>
        <w:t xml:space="preserve">MNZ </w:t>
      </w:r>
      <w:r w:rsidRPr="00A335CB">
        <w:rPr>
          <w:rFonts w:ascii="Arial" w:hAnsi="Arial" w:cs="Arial"/>
          <w:b/>
          <w:bCs/>
          <w:sz w:val="20"/>
          <w:szCs w:val="20"/>
          <w:lang w:eastAsia="sl-SI"/>
        </w:rPr>
        <w:t>z organoma v sestavi na delovno dolžnost</w:t>
      </w:r>
      <w:r w:rsidRPr="00A335CB">
        <w:rPr>
          <w:rFonts w:ascii="Arial" w:hAnsi="Arial" w:cs="Arial"/>
          <w:bCs/>
          <w:sz w:val="20"/>
          <w:szCs w:val="20"/>
          <w:lang w:eastAsia="sl-SI"/>
        </w:rPr>
        <w:t xml:space="preserve">. </w:t>
      </w:r>
      <w:r w:rsidRPr="00A335CB">
        <w:rPr>
          <w:rFonts w:ascii="Arial" w:hAnsi="Arial" w:cs="Arial"/>
          <w:sz w:val="20"/>
          <w:szCs w:val="20"/>
          <w:lang w:eastAsia="sl-SI"/>
        </w:rPr>
        <w:t>Poslovni proces razporeditve obvezniko</w:t>
      </w:r>
      <w:r w:rsidR="007A53D1" w:rsidRPr="00A335CB">
        <w:rPr>
          <w:rFonts w:ascii="Arial" w:hAnsi="Arial" w:cs="Arial"/>
          <w:sz w:val="20"/>
          <w:szCs w:val="20"/>
          <w:lang w:eastAsia="sl-SI"/>
        </w:rPr>
        <w:t>v MNZ</w:t>
      </w:r>
      <w:r w:rsidRPr="00A335CB">
        <w:rPr>
          <w:rFonts w:ascii="Arial" w:hAnsi="Arial" w:cs="Arial"/>
          <w:sz w:val="20"/>
          <w:szCs w:val="20"/>
          <w:lang w:eastAsia="sl-SI"/>
        </w:rPr>
        <w:t xml:space="preserve"> z organoma v sestavi na delovno dolžnost se kot sestavni del obrambnega načrtovanja izvaja na podlagi določb Zakona o obrambi, Uredbe o obrambnem načrtovanju ter Uredbe o kriterijih za razporejanje državljanov. Evidenca obveznikov se vodi </w:t>
      </w:r>
      <w:r w:rsidR="00911567">
        <w:rPr>
          <w:rFonts w:ascii="Arial" w:hAnsi="Arial" w:cs="Arial"/>
          <w:sz w:val="20"/>
          <w:szCs w:val="20"/>
          <w:lang w:eastAsia="sl-SI"/>
        </w:rPr>
        <w:t>v skladu</w:t>
      </w:r>
      <w:r w:rsidR="00911567" w:rsidRPr="00A335CB">
        <w:rPr>
          <w:rFonts w:ascii="Arial" w:hAnsi="Arial" w:cs="Arial"/>
          <w:sz w:val="20"/>
          <w:szCs w:val="20"/>
          <w:lang w:eastAsia="sl-SI"/>
        </w:rPr>
        <w:t xml:space="preserve"> </w:t>
      </w:r>
      <w:r w:rsidRPr="00A335CB">
        <w:rPr>
          <w:rFonts w:ascii="Arial" w:hAnsi="Arial" w:cs="Arial"/>
          <w:sz w:val="20"/>
          <w:szCs w:val="20"/>
          <w:lang w:eastAsia="sl-SI"/>
        </w:rPr>
        <w:t xml:space="preserve">z Zakonom o organiziranosti in delu v policiji. V letu 2022 je bil na podlagi popisa in analize izvajanja obravnavanega poslovnega procesa izdelan predlog za nadgradnjo sistema MFERAC, ki je bil v proučitev in mnenje </w:t>
      </w:r>
      <w:r w:rsidR="00670EF4">
        <w:rPr>
          <w:rFonts w:ascii="Arial" w:hAnsi="Arial" w:cs="Arial"/>
          <w:sz w:val="20"/>
          <w:szCs w:val="20"/>
          <w:lang w:eastAsia="sl-SI"/>
        </w:rPr>
        <w:t>predložen</w:t>
      </w:r>
      <w:r w:rsidR="00670EF4" w:rsidRPr="00A335CB">
        <w:rPr>
          <w:rFonts w:ascii="Arial" w:hAnsi="Arial" w:cs="Arial"/>
          <w:sz w:val="20"/>
          <w:szCs w:val="20"/>
          <w:lang w:eastAsia="sl-SI"/>
        </w:rPr>
        <w:t xml:space="preserve"> </w:t>
      </w:r>
      <w:r w:rsidRPr="00A335CB">
        <w:rPr>
          <w:rFonts w:ascii="Arial" w:hAnsi="Arial" w:cs="Arial"/>
          <w:sz w:val="20"/>
          <w:szCs w:val="20"/>
          <w:lang w:eastAsia="sl-SI"/>
        </w:rPr>
        <w:t xml:space="preserve">pristojnemu Ministrstvu za finance. Predlog se nanaša na vzpostavitev poenotene sistemske informacijske rešitve za izvajanje poslovnega procesa v Ministrstvu za notranje zadeve z organoma v sestavi. V njem so </w:t>
      </w:r>
      <w:r w:rsidR="00E36597">
        <w:rPr>
          <w:rFonts w:ascii="Arial" w:hAnsi="Arial" w:cs="Arial"/>
          <w:sz w:val="20"/>
          <w:szCs w:val="20"/>
          <w:lang w:eastAsia="sl-SI"/>
        </w:rPr>
        <w:t>poudarjene</w:t>
      </w:r>
      <w:r w:rsidR="00E36597" w:rsidRPr="00A335CB">
        <w:rPr>
          <w:rFonts w:ascii="Arial" w:hAnsi="Arial" w:cs="Arial"/>
          <w:sz w:val="20"/>
          <w:szCs w:val="20"/>
          <w:lang w:eastAsia="sl-SI"/>
        </w:rPr>
        <w:t xml:space="preserve"> </w:t>
      </w:r>
      <w:r w:rsidRPr="00A335CB">
        <w:rPr>
          <w:rFonts w:ascii="Arial" w:hAnsi="Arial" w:cs="Arial"/>
          <w:sz w:val="20"/>
          <w:szCs w:val="20"/>
          <w:lang w:eastAsia="sl-SI"/>
        </w:rPr>
        <w:t xml:space="preserve">tudi ključne prednosti in pridobitve, ki se nanašajo tako na delovanje MNZ kot tudi širše na raven celotne državne uprave. Po odločitvi Ministrstva za finance bo predlog uvrščen v načrt prihodnjih nadgradenj sistema MFERAC. Glede na dinamiko prenove sistema v okviru projekta MFERAC05 tudi v letu 2024 </w:t>
      </w:r>
      <w:r w:rsidR="002912A8" w:rsidRPr="00A335CB">
        <w:rPr>
          <w:rFonts w:ascii="Arial" w:hAnsi="Arial" w:cs="Arial"/>
          <w:sz w:val="20"/>
          <w:szCs w:val="20"/>
          <w:lang w:eastAsia="sl-SI"/>
        </w:rPr>
        <w:t>ministrstv</w:t>
      </w:r>
      <w:r w:rsidR="002912A8">
        <w:rPr>
          <w:rFonts w:ascii="Arial" w:hAnsi="Arial" w:cs="Arial"/>
          <w:sz w:val="20"/>
          <w:szCs w:val="20"/>
          <w:lang w:eastAsia="sl-SI"/>
        </w:rPr>
        <w:t>u</w:t>
      </w:r>
      <w:r w:rsidR="002912A8" w:rsidRPr="00A335CB">
        <w:rPr>
          <w:rFonts w:ascii="Arial" w:hAnsi="Arial" w:cs="Arial"/>
          <w:sz w:val="20"/>
          <w:szCs w:val="20"/>
          <w:lang w:eastAsia="sl-SI"/>
        </w:rPr>
        <w:t xml:space="preserve"> </w:t>
      </w:r>
      <w:r w:rsidRPr="00A335CB">
        <w:rPr>
          <w:rFonts w:ascii="Arial" w:hAnsi="Arial" w:cs="Arial"/>
          <w:sz w:val="20"/>
          <w:szCs w:val="20"/>
          <w:lang w:eastAsia="sl-SI"/>
        </w:rPr>
        <w:t>še ni</w:t>
      </w:r>
      <w:r w:rsidR="002912A8">
        <w:rPr>
          <w:rFonts w:ascii="Arial" w:hAnsi="Arial" w:cs="Arial"/>
          <w:sz w:val="20"/>
          <w:szCs w:val="20"/>
          <w:lang w:eastAsia="sl-SI"/>
        </w:rPr>
        <w:t>so</w:t>
      </w:r>
      <w:r w:rsidRPr="00A335CB">
        <w:rPr>
          <w:rFonts w:ascii="Arial" w:hAnsi="Arial" w:cs="Arial"/>
          <w:sz w:val="20"/>
          <w:szCs w:val="20"/>
          <w:lang w:eastAsia="sl-SI"/>
        </w:rPr>
        <w:t xml:space="preserve"> </w:t>
      </w:r>
      <w:r w:rsidR="002912A8" w:rsidRPr="00A335CB">
        <w:rPr>
          <w:rFonts w:ascii="Arial" w:hAnsi="Arial" w:cs="Arial"/>
          <w:sz w:val="20"/>
          <w:szCs w:val="20"/>
          <w:lang w:eastAsia="sl-SI"/>
        </w:rPr>
        <w:t>bil</w:t>
      </w:r>
      <w:r w:rsidR="002912A8">
        <w:rPr>
          <w:rFonts w:ascii="Arial" w:hAnsi="Arial" w:cs="Arial"/>
          <w:sz w:val="20"/>
          <w:szCs w:val="20"/>
          <w:lang w:eastAsia="sl-SI"/>
        </w:rPr>
        <w:t>e</w:t>
      </w:r>
      <w:r w:rsidR="002912A8" w:rsidRPr="00A335CB">
        <w:rPr>
          <w:rFonts w:ascii="Arial" w:hAnsi="Arial" w:cs="Arial"/>
          <w:sz w:val="20"/>
          <w:szCs w:val="20"/>
          <w:lang w:eastAsia="sl-SI"/>
        </w:rPr>
        <w:t xml:space="preserve"> </w:t>
      </w:r>
      <w:r w:rsidR="002912A8">
        <w:rPr>
          <w:rFonts w:ascii="Arial" w:hAnsi="Arial" w:cs="Arial"/>
          <w:sz w:val="20"/>
          <w:szCs w:val="20"/>
          <w:lang w:eastAsia="sl-SI"/>
        </w:rPr>
        <w:t>predlagane</w:t>
      </w:r>
      <w:r w:rsidR="002912A8" w:rsidRPr="00A335CB">
        <w:rPr>
          <w:rFonts w:ascii="Arial" w:hAnsi="Arial" w:cs="Arial"/>
          <w:sz w:val="20"/>
          <w:szCs w:val="20"/>
          <w:lang w:eastAsia="sl-SI"/>
        </w:rPr>
        <w:t xml:space="preserve"> </w:t>
      </w:r>
      <w:r w:rsidRPr="00A335CB">
        <w:rPr>
          <w:rFonts w:ascii="Arial" w:hAnsi="Arial" w:cs="Arial"/>
          <w:sz w:val="20"/>
          <w:szCs w:val="20"/>
          <w:lang w:eastAsia="sl-SI"/>
        </w:rPr>
        <w:t>nadaljnj</w:t>
      </w:r>
      <w:r w:rsidR="002912A8">
        <w:rPr>
          <w:rFonts w:ascii="Arial" w:hAnsi="Arial" w:cs="Arial"/>
          <w:sz w:val="20"/>
          <w:szCs w:val="20"/>
          <w:lang w:eastAsia="sl-SI"/>
        </w:rPr>
        <w:t>e</w:t>
      </w:r>
      <w:r w:rsidRPr="00A335CB">
        <w:rPr>
          <w:rFonts w:ascii="Arial" w:hAnsi="Arial" w:cs="Arial"/>
          <w:sz w:val="20"/>
          <w:szCs w:val="20"/>
          <w:lang w:eastAsia="sl-SI"/>
        </w:rPr>
        <w:t xml:space="preserve"> aktivnosti za pripravo podrobnejših vsebinskih zahtev predlagane nadgradnje sistema.</w:t>
      </w:r>
    </w:p>
    <w:p w14:paraId="3A5DD978" w14:textId="1C2DD967" w:rsidR="00A423E5" w:rsidRPr="00A335CB" w:rsidRDefault="0030695C" w:rsidP="005F76F3">
      <w:pPr>
        <w:autoSpaceDE w:val="0"/>
        <w:autoSpaceDN w:val="0"/>
        <w:adjustRightInd w:val="0"/>
        <w:spacing w:after="0" w:line="276" w:lineRule="auto"/>
        <w:rPr>
          <w:rFonts w:ascii="Arial" w:hAnsi="Arial" w:cs="Arial"/>
          <w:b/>
          <w:bCs/>
          <w:sz w:val="20"/>
          <w:szCs w:val="20"/>
          <w:lang w:eastAsia="sl-SI"/>
        </w:rPr>
      </w:pPr>
      <w:r w:rsidRPr="00A335CB">
        <w:rPr>
          <w:rFonts w:ascii="Arial" w:hAnsi="Arial" w:cs="Arial"/>
          <w:b/>
          <w:bCs/>
          <w:sz w:val="20"/>
          <w:szCs w:val="20"/>
          <w:lang w:eastAsia="sl-SI"/>
        </w:rPr>
        <w:t>MIGRA III</w:t>
      </w:r>
      <w:r w:rsidR="00A423E5" w:rsidRPr="00A335CB">
        <w:rPr>
          <w:rFonts w:ascii="Arial" w:hAnsi="Arial" w:cs="Arial"/>
          <w:b/>
          <w:bCs/>
          <w:sz w:val="20"/>
          <w:szCs w:val="20"/>
          <w:lang w:eastAsia="sl-SI"/>
        </w:rPr>
        <w:t xml:space="preserve"> in </w:t>
      </w:r>
      <w:proofErr w:type="spellStart"/>
      <w:r w:rsidR="00A423E5" w:rsidRPr="00A335CB">
        <w:rPr>
          <w:rFonts w:ascii="Arial" w:hAnsi="Arial" w:cs="Arial"/>
          <w:b/>
          <w:bCs/>
          <w:sz w:val="20"/>
          <w:szCs w:val="20"/>
          <w:lang w:eastAsia="sl-SI"/>
        </w:rPr>
        <w:t>Migra</w:t>
      </w:r>
      <w:proofErr w:type="spellEnd"/>
      <w:r w:rsidR="00A423E5" w:rsidRPr="00A335CB">
        <w:rPr>
          <w:rFonts w:ascii="Arial" w:hAnsi="Arial" w:cs="Arial"/>
          <w:b/>
          <w:bCs/>
          <w:sz w:val="20"/>
          <w:szCs w:val="20"/>
          <w:lang w:eastAsia="sl-SI"/>
        </w:rPr>
        <w:t xml:space="preserve"> II</w:t>
      </w:r>
    </w:p>
    <w:p w14:paraId="757FB002" w14:textId="79C83F95" w:rsidR="00A423E5" w:rsidRPr="00A335CB" w:rsidRDefault="00A423E5" w:rsidP="007A53D1">
      <w:pPr>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lang w:eastAsia="sl-SI"/>
        </w:rPr>
        <w:t xml:space="preserve">V letu 2024 so bile izvedene funkcionalne nadgradnje programa za vodenje evidence za podporo črpanju evropskih sredstev </w:t>
      </w:r>
      <w:proofErr w:type="spellStart"/>
      <w:r w:rsidRPr="00A335CB">
        <w:rPr>
          <w:rFonts w:ascii="Arial" w:hAnsi="Arial" w:cs="Arial"/>
          <w:sz w:val="20"/>
          <w:szCs w:val="20"/>
          <w:lang w:eastAsia="sl-SI"/>
        </w:rPr>
        <w:t>Migra</w:t>
      </w:r>
      <w:proofErr w:type="spellEnd"/>
      <w:r w:rsidRPr="00A335CB">
        <w:rPr>
          <w:rFonts w:ascii="Arial" w:hAnsi="Arial" w:cs="Arial"/>
          <w:sz w:val="20"/>
          <w:szCs w:val="20"/>
          <w:lang w:eastAsia="sl-SI"/>
        </w:rPr>
        <w:t xml:space="preserve"> III, ki so bile potrebne za izpolnitev zahtev poročanja in evidentiranja črpanja evropskih sredstev.</w:t>
      </w:r>
      <w:r w:rsidR="007A53D1" w:rsidRPr="00A335CB">
        <w:rPr>
          <w:rFonts w:ascii="Arial" w:hAnsi="Arial" w:cs="Arial"/>
          <w:sz w:val="20"/>
          <w:szCs w:val="20"/>
        </w:rPr>
        <w:t xml:space="preserve"> </w:t>
      </w:r>
    </w:p>
    <w:p w14:paraId="4AC9B858" w14:textId="77777777" w:rsidR="007A53D1" w:rsidRPr="00A335CB" w:rsidRDefault="007A53D1"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3B0F6645" w14:textId="334720FF" w:rsidR="00952501" w:rsidRPr="00A335CB" w:rsidRDefault="005F76F3"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335CB">
        <w:rPr>
          <w:rFonts w:ascii="Arial" w:hAnsi="Arial" w:cs="Arial"/>
          <w:b/>
          <w:sz w:val="20"/>
          <w:szCs w:val="20"/>
        </w:rPr>
        <w:t>Projekt MFERAC05</w:t>
      </w:r>
    </w:p>
    <w:p w14:paraId="3C371394" w14:textId="2871A8AA" w:rsidR="00627DFB" w:rsidRPr="00A335CB" w:rsidRDefault="00627DFB"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Informacijski sistem MFERAC je prenovljen na spletni vmesnik. Vzpostavljeno je bilo strežniško okolje za predelano aplikacijo, poteka pa postopno uvajanje vseh uporabnikov MNZ z organoma v sesta</w:t>
      </w:r>
      <w:r w:rsidR="007A53D1" w:rsidRPr="00A335CB">
        <w:rPr>
          <w:rFonts w:ascii="Arial" w:hAnsi="Arial" w:cs="Arial"/>
          <w:sz w:val="20"/>
          <w:szCs w:val="20"/>
        </w:rPr>
        <w:t>vi. Konec leta 2024 je bilo v informacijskem sistemu</w:t>
      </w:r>
      <w:r w:rsidRPr="00A335CB">
        <w:rPr>
          <w:rFonts w:ascii="Arial" w:hAnsi="Arial" w:cs="Arial"/>
          <w:sz w:val="20"/>
          <w:szCs w:val="20"/>
        </w:rPr>
        <w:t xml:space="preserve"> MFERAC05 1</w:t>
      </w:r>
      <w:r w:rsidR="007A53D1" w:rsidRPr="00A335CB">
        <w:rPr>
          <w:rFonts w:ascii="Arial" w:hAnsi="Arial" w:cs="Arial"/>
          <w:sz w:val="20"/>
          <w:szCs w:val="20"/>
        </w:rPr>
        <w:t>.</w:t>
      </w:r>
      <w:r w:rsidRPr="00A335CB">
        <w:rPr>
          <w:rFonts w:ascii="Arial" w:hAnsi="Arial" w:cs="Arial"/>
          <w:sz w:val="20"/>
          <w:szCs w:val="20"/>
        </w:rPr>
        <w:t xml:space="preserve">160 aktivnih uporabnikov (MFERAC05 </w:t>
      </w:r>
      <w:r w:rsidR="00911567">
        <w:rPr>
          <w:rFonts w:ascii="Arial" w:hAnsi="Arial" w:cs="Arial"/>
          <w:sz w:val="20"/>
          <w:szCs w:val="20"/>
        </w:rPr>
        <w:t>z</w:t>
      </w:r>
      <w:r w:rsidR="00911567" w:rsidRPr="00A335CB">
        <w:rPr>
          <w:rFonts w:ascii="Arial" w:hAnsi="Arial" w:cs="Arial"/>
          <w:sz w:val="20"/>
          <w:szCs w:val="20"/>
        </w:rPr>
        <w:t xml:space="preserve">daj </w:t>
      </w:r>
      <w:r w:rsidR="00911567">
        <w:rPr>
          <w:rFonts w:ascii="Arial" w:hAnsi="Arial" w:cs="Arial"/>
          <w:sz w:val="20"/>
          <w:szCs w:val="20"/>
        </w:rPr>
        <w:t xml:space="preserve">zajema </w:t>
      </w:r>
      <w:r w:rsidRPr="00A335CB">
        <w:rPr>
          <w:rFonts w:ascii="Arial" w:hAnsi="Arial" w:cs="Arial"/>
          <w:sz w:val="20"/>
          <w:szCs w:val="20"/>
        </w:rPr>
        <w:t xml:space="preserve">tako finančno, računovodsko </w:t>
      </w:r>
      <w:r w:rsidR="00911567">
        <w:rPr>
          <w:rFonts w:ascii="Arial" w:hAnsi="Arial" w:cs="Arial"/>
          <w:sz w:val="20"/>
          <w:szCs w:val="20"/>
        </w:rPr>
        <w:t>kot tudi</w:t>
      </w:r>
      <w:r w:rsidRPr="00A335CB">
        <w:rPr>
          <w:rFonts w:ascii="Arial" w:hAnsi="Arial" w:cs="Arial"/>
          <w:sz w:val="20"/>
          <w:szCs w:val="20"/>
        </w:rPr>
        <w:t xml:space="preserve"> kadrovsko področje), v starem MFERAC pa je še vedno aktivnih 460 uporabnikov.</w:t>
      </w:r>
    </w:p>
    <w:p w14:paraId="27F6ED2F" w14:textId="77777777" w:rsidR="00627DFB" w:rsidRPr="00A335CB" w:rsidRDefault="00627DFB"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eastAsiaTheme="minorHAnsi" w:hAnsi="Arial" w:cs="Arial"/>
          <w:sz w:val="20"/>
          <w:szCs w:val="20"/>
        </w:rPr>
      </w:pPr>
      <w:r w:rsidRPr="00A335CB">
        <w:rPr>
          <w:rFonts w:ascii="Arial" w:hAnsi="Arial" w:cs="Arial"/>
          <w:sz w:val="20"/>
          <w:szCs w:val="20"/>
        </w:rPr>
        <w:t xml:space="preserve"> </w:t>
      </w:r>
    </w:p>
    <w:p w14:paraId="5220BB9B" w14:textId="2B6059BA" w:rsidR="007A53D1" w:rsidRPr="00A335CB" w:rsidRDefault="00627DFB" w:rsidP="007A53D1">
      <w:pPr>
        <w:autoSpaceDE w:val="0"/>
        <w:autoSpaceDN w:val="0"/>
        <w:adjustRightInd w:val="0"/>
        <w:spacing w:after="0" w:line="276" w:lineRule="auto"/>
        <w:jc w:val="both"/>
        <w:rPr>
          <w:rFonts w:ascii="Arial" w:eastAsiaTheme="minorHAnsi" w:hAnsi="Arial" w:cs="Arial"/>
          <w:sz w:val="20"/>
          <w:szCs w:val="20"/>
        </w:rPr>
      </w:pPr>
      <w:r w:rsidRPr="00A335CB">
        <w:rPr>
          <w:rFonts w:ascii="Arial" w:eastAsiaTheme="minorHAnsi" w:hAnsi="Arial" w:cs="Arial"/>
          <w:sz w:val="20"/>
          <w:szCs w:val="20"/>
        </w:rPr>
        <w:t>V letu 2024 se (razen nekaterih poročil in šifrantov) zaključuje tudi prehod na področju kadrovskih evidenc in v pretežni meri tudi na področju obračuna plač, prenova na računovodskem področju pa je v teku. Dinamika prehoda je odvisna od dinamike prenove IS MFERAC, ki jo vodi Ministrstvo za finance. Implementacija zakonskih sprememb v informacijski sistem MFERAC se izvaja izkl</w:t>
      </w:r>
      <w:r w:rsidR="007A53D1" w:rsidRPr="00A335CB">
        <w:rPr>
          <w:rFonts w:ascii="Arial" w:eastAsiaTheme="minorHAnsi" w:hAnsi="Arial" w:cs="Arial"/>
          <w:sz w:val="20"/>
          <w:szCs w:val="20"/>
        </w:rPr>
        <w:t>jučno v prenovljenem IS MFERAC.</w:t>
      </w:r>
    </w:p>
    <w:p w14:paraId="2B2C2486" w14:textId="77777777" w:rsidR="007A53D1" w:rsidRPr="00A335CB" w:rsidRDefault="007A53D1" w:rsidP="007A53D1">
      <w:pPr>
        <w:autoSpaceDE w:val="0"/>
        <w:autoSpaceDN w:val="0"/>
        <w:adjustRightInd w:val="0"/>
        <w:spacing w:after="0" w:line="276" w:lineRule="auto"/>
        <w:jc w:val="both"/>
        <w:rPr>
          <w:rFonts w:ascii="Arial" w:eastAsiaTheme="minorHAnsi" w:hAnsi="Arial" w:cs="Arial"/>
          <w:sz w:val="20"/>
          <w:szCs w:val="20"/>
        </w:rPr>
      </w:pPr>
    </w:p>
    <w:p w14:paraId="640DB5A6" w14:textId="1EC5F8BA" w:rsidR="007A53D1" w:rsidRPr="00A335CB" w:rsidRDefault="00627DFB" w:rsidP="007A53D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 xml:space="preserve">V letu 2021 se je začela in v letu 2024 še nadaljevala uvedba nove funkcionalnosti </w:t>
      </w:r>
      <w:r w:rsidR="00670EF4">
        <w:rPr>
          <w:rFonts w:ascii="Arial" w:hAnsi="Arial" w:cs="Arial"/>
          <w:sz w:val="20"/>
          <w:szCs w:val="20"/>
        </w:rPr>
        <w:t>predložitve</w:t>
      </w:r>
      <w:r w:rsidR="00670EF4" w:rsidRPr="00A335CB">
        <w:rPr>
          <w:rFonts w:ascii="Arial" w:hAnsi="Arial" w:cs="Arial"/>
          <w:sz w:val="20"/>
          <w:szCs w:val="20"/>
        </w:rPr>
        <w:t xml:space="preserve"> </w:t>
      </w:r>
      <w:r w:rsidRPr="00A335CB">
        <w:rPr>
          <w:rFonts w:ascii="Arial" w:hAnsi="Arial" w:cs="Arial"/>
          <w:sz w:val="20"/>
          <w:szCs w:val="20"/>
        </w:rPr>
        <w:t xml:space="preserve">plačilnih list delojemalcem v elektronski obliki, ki so dostopne na spletni strani storitve IS MFERAC </w:t>
      </w:r>
      <w:r w:rsidR="00911567">
        <w:rPr>
          <w:rFonts w:ascii="Arial" w:hAnsi="Arial" w:cs="Arial"/>
          <w:sz w:val="20"/>
          <w:szCs w:val="20"/>
        </w:rPr>
        <w:t>–</w:t>
      </w:r>
      <w:r w:rsidR="00911567" w:rsidRPr="00A335CB">
        <w:rPr>
          <w:rFonts w:ascii="Arial" w:hAnsi="Arial" w:cs="Arial"/>
          <w:sz w:val="20"/>
          <w:szCs w:val="20"/>
        </w:rPr>
        <w:t xml:space="preserve"> </w:t>
      </w:r>
      <w:r w:rsidRPr="00A335CB">
        <w:rPr>
          <w:rFonts w:ascii="Arial" w:hAnsi="Arial" w:cs="Arial"/>
          <w:sz w:val="20"/>
          <w:szCs w:val="20"/>
        </w:rPr>
        <w:t>Osebni portal, vzpostavljen</w:t>
      </w:r>
      <w:r w:rsidR="00911567">
        <w:rPr>
          <w:rFonts w:ascii="Arial" w:hAnsi="Arial" w:cs="Arial"/>
          <w:sz w:val="20"/>
          <w:szCs w:val="20"/>
        </w:rPr>
        <w:t>i</w:t>
      </w:r>
      <w:r w:rsidRPr="00A335CB">
        <w:rPr>
          <w:rFonts w:ascii="Arial" w:hAnsi="Arial" w:cs="Arial"/>
          <w:sz w:val="20"/>
          <w:szCs w:val="20"/>
        </w:rPr>
        <w:t xml:space="preserve"> v ločenem omrežju MNZ. Stran storitev IS MFERAC </w:t>
      </w:r>
      <w:r w:rsidR="00911567">
        <w:rPr>
          <w:rFonts w:ascii="Arial" w:hAnsi="Arial" w:cs="Arial"/>
          <w:sz w:val="20"/>
          <w:szCs w:val="20"/>
        </w:rPr>
        <w:t>–</w:t>
      </w:r>
      <w:r w:rsidR="00911567" w:rsidRPr="00A335CB">
        <w:rPr>
          <w:rFonts w:ascii="Arial" w:hAnsi="Arial" w:cs="Arial"/>
          <w:sz w:val="20"/>
          <w:szCs w:val="20"/>
        </w:rPr>
        <w:t xml:space="preserve"> </w:t>
      </w:r>
      <w:r w:rsidRPr="00A335CB">
        <w:rPr>
          <w:rFonts w:ascii="Arial" w:hAnsi="Arial" w:cs="Arial"/>
          <w:sz w:val="20"/>
          <w:szCs w:val="20"/>
        </w:rPr>
        <w:t>Osebni portal je namenjena elektronski vročitvi dokumentov in pregledu p</w:t>
      </w:r>
      <w:r w:rsidR="007A53D1" w:rsidRPr="00A335CB">
        <w:rPr>
          <w:rFonts w:ascii="Arial" w:hAnsi="Arial" w:cs="Arial"/>
          <w:sz w:val="20"/>
          <w:szCs w:val="20"/>
        </w:rPr>
        <w:t>odatkov, ki se pripravljajo v</w:t>
      </w:r>
      <w:r w:rsidRPr="00A335CB">
        <w:rPr>
          <w:rFonts w:ascii="Arial" w:hAnsi="Arial" w:cs="Arial"/>
          <w:sz w:val="20"/>
          <w:szCs w:val="20"/>
        </w:rPr>
        <w:t xml:space="preserve"> MFERAC. Za dostop do Osebnega portala (tudi do elektronske plačilne liste) mora imeti javni uslužbenec veljavno </w:t>
      </w:r>
      <w:proofErr w:type="spellStart"/>
      <w:r w:rsidRPr="00A335CB">
        <w:rPr>
          <w:rFonts w:ascii="Arial" w:hAnsi="Arial" w:cs="Arial"/>
          <w:sz w:val="20"/>
          <w:szCs w:val="20"/>
        </w:rPr>
        <w:t>avtentikacijo</w:t>
      </w:r>
      <w:proofErr w:type="spellEnd"/>
      <w:r w:rsidRPr="00A335CB">
        <w:rPr>
          <w:rFonts w:ascii="Arial" w:hAnsi="Arial" w:cs="Arial"/>
          <w:sz w:val="20"/>
          <w:szCs w:val="20"/>
        </w:rPr>
        <w:t xml:space="preserve"> SI-PASS, za prijavo pa kvalificirano digitalno potrdilo ali </w:t>
      </w:r>
      <w:proofErr w:type="spellStart"/>
      <w:r w:rsidRPr="00A335CB">
        <w:rPr>
          <w:rFonts w:ascii="Arial" w:hAnsi="Arial" w:cs="Arial"/>
          <w:sz w:val="20"/>
          <w:szCs w:val="20"/>
        </w:rPr>
        <w:t>smsPASS</w:t>
      </w:r>
      <w:proofErr w:type="spellEnd"/>
      <w:r w:rsidRPr="00A335CB">
        <w:rPr>
          <w:rFonts w:ascii="Arial" w:hAnsi="Arial" w:cs="Arial"/>
          <w:sz w:val="20"/>
          <w:szCs w:val="20"/>
        </w:rPr>
        <w:t xml:space="preserve">, po novem pa je </w:t>
      </w:r>
      <w:r w:rsidR="00911567" w:rsidRPr="00A335CB">
        <w:rPr>
          <w:rFonts w:ascii="Arial" w:hAnsi="Arial" w:cs="Arial"/>
          <w:sz w:val="20"/>
          <w:szCs w:val="20"/>
        </w:rPr>
        <w:t>mo</w:t>
      </w:r>
      <w:r w:rsidR="00911567">
        <w:rPr>
          <w:rFonts w:ascii="Arial" w:hAnsi="Arial" w:cs="Arial"/>
          <w:sz w:val="20"/>
          <w:szCs w:val="20"/>
        </w:rPr>
        <w:t>goč</w:t>
      </w:r>
      <w:r w:rsidR="00911567" w:rsidRPr="00A335CB">
        <w:rPr>
          <w:rFonts w:ascii="Arial" w:hAnsi="Arial" w:cs="Arial"/>
          <w:sz w:val="20"/>
          <w:szCs w:val="20"/>
        </w:rPr>
        <w:t xml:space="preserve"> </w:t>
      </w:r>
      <w:r w:rsidRPr="00A335CB">
        <w:rPr>
          <w:rFonts w:ascii="Arial" w:hAnsi="Arial" w:cs="Arial"/>
          <w:sz w:val="20"/>
          <w:szCs w:val="20"/>
        </w:rPr>
        <w:t xml:space="preserve">dostop tudi z osebno izkaznico in čitalnikom ali </w:t>
      </w:r>
      <w:r w:rsidR="00911567">
        <w:rPr>
          <w:rFonts w:ascii="Arial" w:hAnsi="Arial" w:cs="Arial"/>
          <w:sz w:val="20"/>
          <w:szCs w:val="20"/>
        </w:rPr>
        <w:t xml:space="preserve">mobilno aplikacijo </w:t>
      </w:r>
      <w:proofErr w:type="spellStart"/>
      <w:r w:rsidR="00911567">
        <w:rPr>
          <w:rFonts w:ascii="Arial" w:hAnsi="Arial" w:cs="Arial"/>
          <w:sz w:val="20"/>
          <w:szCs w:val="20"/>
        </w:rPr>
        <w:t>eO</w:t>
      </w:r>
      <w:r w:rsidRPr="00A335CB">
        <w:rPr>
          <w:rFonts w:ascii="Arial" w:hAnsi="Arial" w:cs="Arial"/>
          <w:sz w:val="20"/>
          <w:szCs w:val="20"/>
        </w:rPr>
        <w:t>sebn</w:t>
      </w:r>
      <w:r w:rsidR="00911567">
        <w:rPr>
          <w:rFonts w:ascii="Arial" w:hAnsi="Arial" w:cs="Arial"/>
          <w:sz w:val="20"/>
          <w:szCs w:val="20"/>
        </w:rPr>
        <w:t>a</w:t>
      </w:r>
      <w:proofErr w:type="spellEnd"/>
      <w:r w:rsidR="007A53D1" w:rsidRPr="00A335CB">
        <w:rPr>
          <w:rFonts w:ascii="Arial" w:hAnsi="Arial" w:cs="Arial"/>
          <w:sz w:val="20"/>
          <w:szCs w:val="20"/>
        </w:rPr>
        <w:t xml:space="preserve">. </w:t>
      </w:r>
      <w:r w:rsidRPr="00A335CB">
        <w:rPr>
          <w:rFonts w:ascii="Arial" w:hAnsi="Arial" w:cs="Arial"/>
          <w:sz w:val="20"/>
          <w:szCs w:val="20"/>
        </w:rPr>
        <w:t>Uvedba, dostop in vročanje elektronskih plačilnih list so pomembni za zagotavljanje racionalnosti poslovanja (</w:t>
      </w:r>
      <w:r w:rsidR="00911567">
        <w:rPr>
          <w:rFonts w:ascii="Arial" w:hAnsi="Arial" w:cs="Arial"/>
          <w:sz w:val="20"/>
          <w:szCs w:val="20"/>
        </w:rPr>
        <w:t>znižanje</w:t>
      </w:r>
      <w:r w:rsidR="00911567" w:rsidRPr="00A335CB">
        <w:rPr>
          <w:rFonts w:ascii="Arial" w:hAnsi="Arial" w:cs="Arial"/>
          <w:sz w:val="20"/>
          <w:szCs w:val="20"/>
        </w:rPr>
        <w:t xml:space="preserve"> </w:t>
      </w:r>
      <w:r w:rsidRPr="00A335CB">
        <w:rPr>
          <w:rFonts w:ascii="Arial" w:hAnsi="Arial" w:cs="Arial"/>
          <w:sz w:val="20"/>
          <w:szCs w:val="20"/>
        </w:rPr>
        <w:t xml:space="preserve">materialnih stroškov tiskanja dokumentov, </w:t>
      </w:r>
      <w:proofErr w:type="spellStart"/>
      <w:r w:rsidRPr="00A335CB">
        <w:rPr>
          <w:rFonts w:ascii="Arial" w:hAnsi="Arial" w:cs="Arial"/>
          <w:sz w:val="20"/>
          <w:szCs w:val="20"/>
        </w:rPr>
        <w:t>eHramba</w:t>
      </w:r>
      <w:proofErr w:type="spellEnd"/>
      <w:r w:rsidRPr="00A335CB">
        <w:rPr>
          <w:rFonts w:ascii="Arial" w:hAnsi="Arial" w:cs="Arial"/>
          <w:sz w:val="20"/>
          <w:szCs w:val="20"/>
        </w:rPr>
        <w:t>, prihranek čas</w:t>
      </w:r>
      <w:r w:rsidR="00911567">
        <w:rPr>
          <w:rFonts w:ascii="Arial" w:hAnsi="Arial" w:cs="Arial"/>
          <w:sz w:val="20"/>
          <w:szCs w:val="20"/>
        </w:rPr>
        <w:t>a</w:t>
      </w:r>
      <w:r w:rsidRPr="00A335CB">
        <w:rPr>
          <w:rFonts w:ascii="Arial" w:hAnsi="Arial" w:cs="Arial"/>
          <w:sz w:val="20"/>
          <w:szCs w:val="20"/>
        </w:rPr>
        <w:t xml:space="preserve"> zaradi dostave tiskanih dokumentov, osebn</w:t>
      </w:r>
      <w:r w:rsidR="00911567">
        <w:rPr>
          <w:rFonts w:ascii="Arial" w:hAnsi="Arial" w:cs="Arial"/>
          <w:sz w:val="20"/>
          <w:szCs w:val="20"/>
        </w:rPr>
        <w:t>i</w:t>
      </w:r>
      <w:r w:rsidRPr="00A335CB">
        <w:rPr>
          <w:rFonts w:ascii="Arial" w:hAnsi="Arial" w:cs="Arial"/>
          <w:sz w:val="20"/>
          <w:szCs w:val="20"/>
        </w:rPr>
        <w:t xml:space="preserve"> pristop itd.). Konec leta 2024 je bilo registriranih že 3</w:t>
      </w:r>
      <w:r w:rsidR="007A53D1" w:rsidRPr="00A335CB">
        <w:rPr>
          <w:rFonts w:ascii="Arial" w:hAnsi="Arial" w:cs="Arial"/>
          <w:sz w:val="20"/>
          <w:szCs w:val="20"/>
        </w:rPr>
        <w:t>.</w:t>
      </w:r>
      <w:r w:rsidRPr="00A335CB">
        <w:rPr>
          <w:rFonts w:ascii="Arial" w:hAnsi="Arial" w:cs="Arial"/>
          <w:sz w:val="20"/>
          <w:szCs w:val="20"/>
        </w:rPr>
        <w:t xml:space="preserve">510 javnih uslužbencev, ki so se odločili </w:t>
      </w:r>
      <w:r w:rsidR="00911567">
        <w:rPr>
          <w:rFonts w:ascii="Arial" w:hAnsi="Arial" w:cs="Arial"/>
          <w:sz w:val="20"/>
          <w:szCs w:val="20"/>
        </w:rPr>
        <w:t>za</w:t>
      </w:r>
      <w:r w:rsidR="00911567" w:rsidRPr="00A335CB">
        <w:rPr>
          <w:rFonts w:ascii="Arial" w:hAnsi="Arial" w:cs="Arial"/>
          <w:sz w:val="20"/>
          <w:szCs w:val="20"/>
        </w:rPr>
        <w:t xml:space="preserve"> </w:t>
      </w:r>
      <w:r w:rsidR="00911567">
        <w:rPr>
          <w:rFonts w:ascii="Arial" w:hAnsi="Arial" w:cs="Arial"/>
          <w:sz w:val="20"/>
          <w:szCs w:val="20"/>
        </w:rPr>
        <w:t xml:space="preserve">prijavo na </w:t>
      </w:r>
      <w:r w:rsidR="00911567" w:rsidRPr="00A335CB">
        <w:rPr>
          <w:rFonts w:ascii="Arial" w:hAnsi="Arial" w:cs="Arial"/>
          <w:sz w:val="20"/>
          <w:szCs w:val="20"/>
        </w:rPr>
        <w:t>Osebn</w:t>
      </w:r>
      <w:r w:rsidR="00911567">
        <w:rPr>
          <w:rFonts w:ascii="Arial" w:hAnsi="Arial" w:cs="Arial"/>
          <w:sz w:val="20"/>
          <w:szCs w:val="20"/>
        </w:rPr>
        <w:t>i</w:t>
      </w:r>
      <w:r w:rsidR="00911567" w:rsidRPr="00A335CB">
        <w:rPr>
          <w:rFonts w:ascii="Arial" w:hAnsi="Arial" w:cs="Arial"/>
          <w:sz w:val="20"/>
          <w:szCs w:val="20"/>
        </w:rPr>
        <w:t xml:space="preserve"> portal </w:t>
      </w:r>
      <w:r w:rsidR="00911567">
        <w:rPr>
          <w:rFonts w:ascii="Arial" w:hAnsi="Arial" w:cs="Arial"/>
          <w:sz w:val="20"/>
          <w:szCs w:val="20"/>
        </w:rPr>
        <w:t>oziroma njegovo</w:t>
      </w:r>
      <w:r w:rsidR="00911567" w:rsidRPr="00A335CB">
        <w:rPr>
          <w:rFonts w:ascii="Arial" w:hAnsi="Arial" w:cs="Arial"/>
          <w:sz w:val="20"/>
          <w:szCs w:val="20"/>
        </w:rPr>
        <w:t xml:space="preserve"> </w:t>
      </w:r>
      <w:r w:rsidR="007A53D1" w:rsidRPr="00A335CB">
        <w:rPr>
          <w:rFonts w:ascii="Arial" w:hAnsi="Arial" w:cs="Arial"/>
          <w:sz w:val="20"/>
          <w:szCs w:val="20"/>
        </w:rPr>
        <w:t>uporabo.</w:t>
      </w:r>
    </w:p>
    <w:p w14:paraId="696BA205" w14:textId="77777777" w:rsidR="007A53D1" w:rsidRPr="00A335CB" w:rsidRDefault="007A53D1"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p>
    <w:p w14:paraId="4CB5FB78" w14:textId="398C16E9" w:rsidR="00952501" w:rsidRPr="00A335CB" w:rsidRDefault="00952501"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335CB">
        <w:rPr>
          <w:rFonts w:ascii="Arial" w:hAnsi="Arial" w:cs="Arial"/>
          <w:b/>
          <w:sz w:val="20"/>
          <w:szCs w:val="20"/>
        </w:rPr>
        <w:t xml:space="preserve">Izvedba prehoda na elektronsko izmenjavo podatkov v zvezi s povračili izplačil bolniških nadomestil </w:t>
      </w:r>
      <w:r w:rsidRPr="00A335CB">
        <w:rPr>
          <w:rFonts w:ascii="Arial" w:hAnsi="Arial" w:cs="Arial"/>
          <w:sz w:val="20"/>
          <w:szCs w:val="20"/>
        </w:rPr>
        <w:t>(</w:t>
      </w:r>
      <w:r w:rsidR="007A53D1" w:rsidRPr="00A335CB">
        <w:rPr>
          <w:rFonts w:ascii="Arial" w:hAnsi="Arial" w:cs="Arial"/>
          <w:sz w:val="20"/>
          <w:szCs w:val="20"/>
        </w:rPr>
        <w:t>v nadal</w:t>
      </w:r>
      <w:r w:rsidR="00865626">
        <w:rPr>
          <w:rFonts w:ascii="Arial" w:hAnsi="Arial" w:cs="Arial"/>
          <w:sz w:val="20"/>
          <w:szCs w:val="20"/>
        </w:rPr>
        <w:t>j</w:t>
      </w:r>
      <w:r w:rsidR="007A53D1" w:rsidRPr="00A335CB">
        <w:rPr>
          <w:rFonts w:ascii="Arial" w:hAnsi="Arial" w:cs="Arial"/>
          <w:sz w:val="20"/>
          <w:szCs w:val="20"/>
        </w:rPr>
        <w:t xml:space="preserve">njem besedilu: </w:t>
      </w:r>
      <w:proofErr w:type="spellStart"/>
      <w:r w:rsidRPr="00A335CB">
        <w:rPr>
          <w:rFonts w:ascii="Arial" w:hAnsi="Arial" w:cs="Arial"/>
          <w:sz w:val="20"/>
          <w:szCs w:val="20"/>
        </w:rPr>
        <w:t>eNDM</w:t>
      </w:r>
      <w:proofErr w:type="spellEnd"/>
      <w:r w:rsidRPr="00A335CB">
        <w:rPr>
          <w:rFonts w:ascii="Arial" w:hAnsi="Arial" w:cs="Arial"/>
          <w:sz w:val="20"/>
          <w:szCs w:val="20"/>
        </w:rPr>
        <w:t>)</w:t>
      </w:r>
    </w:p>
    <w:p w14:paraId="691EC354" w14:textId="4DD85E4F" w:rsidR="00C909D9" w:rsidRDefault="00627DFB" w:rsidP="00C909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r w:rsidRPr="00A335CB">
        <w:rPr>
          <w:rFonts w:ascii="Arial" w:hAnsi="Arial" w:cs="Arial"/>
          <w:sz w:val="20"/>
          <w:szCs w:val="20"/>
        </w:rPr>
        <w:t xml:space="preserve">S 1. 1. 2023 je ZZZS uvedel obvezno elektronsko vlaganje </w:t>
      </w:r>
      <w:proofErr w:type="spellStart"/>
      <w:r w:rsidRPr="00A335CB">
        <w:rPr>
          <w:rFonts w:ascii="Arial" w:hAnsi="Arial" w:cs="Arial"/>
          <w:sz w:val="20"/>
          <w:szCs w:val="20"/>
        </w:rPr>
        <w:t>eNDM</w:t>
      </w:r>
      <w:proofErr w:type="spellEnd"/>
      <w:r w:rsidRPr="00A335CB">
        <w:rPr>
          <w:rFonts w:ascii="Arial" w:hAnsi="Arial" w:cs="Arial"/>
          <w:sz w:val="20"/>
          <w:szCs w:val="20"/>
        </w:rPr>
        <w:t xml:space="preserve"> (Pravila obveznega zdravstvenega zavarovanja). Apl</w:t>
      </w:r>
      <w:r w:rsidR="007A53D1" w:rsidRPr="00A335CB">
        <w:rPr>
          <w:rFonts w:ascii="Arial" w:hAnsi="Arial" w:cs="Arial"/>
          <w:sz w:val="20"/>
          <w:szCs w:val="20"/>
        </w:rPr>
        <w:t xml:space="preserve">ikacija za vodenje odsotnosti javnih uslužbencev </w:t>
      </w:r>
      <w:r w:rsidR="00C4392C">
        <w:rPr>
          <w:rFonts w:ascii="Arial" w:hAnsi="Arial" w:cs="Arial"/>
          <w:sz w:val="20"/>
          <w:szCs w:val="20"/>
        </w:rPr>
        <w:t>p</w:t>
      </w:r>
      <w:r w:rsidR="00C4392C" w:rsidRPr="00A335CB">
        <w:rPr>
          <w:rFonts w:ascii="Arial" w:hAnsi="Arial" w:cs="Arial"/>
          <w:sz w:val="20"/>
          <w:szCs w:val="20"/>
        </w:rPr>
        <w:t xml:space="preserve">olicije </w:t>
      </w:r>
      <w:r w:rsidR="007A53D1" w:rsidRPr="00A335CB">
        <w:rPr>
          <w:rFonts w:ascii="Arial" w:hAnsi="Arial" w:cs="Arial"/>
          <w:sz w:val="20"/>
          <w:szCs w:val="20"/>
        </w:rPr>
        <w:t>(</w:t>
      </w:r>
      <w:proofErr w:type="spellStart"/>
      <w:r w:rsidR="007A53D1" w:rsidRPr="00A335CB">
        <w:rPr>
          <w:rFonts w:ascii="Arial" w:hAnsi="Arial" w:cs="Arial"/>
          <w:sz w:val="20"/>
          <w:szCs w:val="20"/>
        </w:rPr>
        <w:t>ISPPure</w:t>
      </w:r>
      <w:proofErr w:type="spellEnd"/>
      <w:r w:rsidR="007A53D1" w:rsidRPr="00A335CB">
        <w:rPr>
          <w:rFonts w:ascii="Arial" w:hAnsi="Arial" w:cs="Arial"/>
          <w:sz w:val="20"/>
          <w:szCs w:val="20"/>
        </w:rPr>
        <w:t>), v kateri so obračunski podatki</w:t>
      </w:r>
      <w:r w:rsidRPr="00A335CB">
        <w:rPr>
          <w:rFonts w:ascii="Arial" w:hAnsi="Arial" w:cs="Arial"/>
          <w:sz w:val="20"/>
          <w:szCs w:val="20"/>
        </w:rPr>
        <w:t xml:space="preserve"> za obračun in izplačilo plač, ne razpolaga s podatkom o številki </w:t>
      </w:r>
      <w:proofErr w:type="spellStart"/>
      <w:r w:rsidRPr="00A335CB">
        <w:rPr>
          <w:rFonts w:ascii="Arial" w:hAnsi="Arial" w:cs="Arial"/>
          <w:sz w:val="20"/>
          <w:szCs w:val="20"/>
        </w:rPr>
        <w:t>eBolniškega</w:t>
      </w:r>
      <w:proofErr w:type="spellEnd"/>
      <w:r w:rsidRPr="00A335CB">
        <w:rPr>
          <w:rFonts w:ascii="Arial" w:hAnsi="Arial" w:cs="Arial"/>
          <w:sz w:val="20"/>
          <w:szCs w:val="20"/>
        </w:rPr>
        <w:t xml:space="preserve"> lista (</w:t>
      </w:r>
      <w:proofErr w:type="spellStart"/>
      <w:r w:rsidRPr="00A335CB">
        <w:rPr>
          <w:rFonts w:ascii="Arial" w:hAnsi="Arial" w:cs="Arial"/>
          <w:sz w:val="20"/>
          <w:szCs w:val="20"/>
        </w:rPr>
        <w:t>eBol</w:t>
      </w:r>
      <w:proofErr w:type="spellEnd"/>
      <w:r w:rsidRPr="00A335CB">
        <w:rPr>
          <w:rFonts w:ascii="Arial" w:hAnsi="Arial" w:cs="Arial"/>
          <w:sz w:val="20"/>
          <w:szCs w:val="20"/>
        </w:rPr>
        <w:t>), aplikacija za o</w:t>
      </w:r>
      <w:r w:rsidR="007A53D1" w:rsidRPr="00A335CB">
        <w:rPr>
          <w:rFonts w:ascii="Arial" w:hAnsi="Arial" w:cs="Arial"/>
          <w:sz w:val="20"/>
          <w:szCs w:val="20"/>
        </w:rPr>
        <w:t>bračun stroškov dela v sklopu</w:t>
      </w:r>
      <w:r w:rsidRPr="00A335CB">
        <w:rPr>
          <w:rFonts w:ascii="Arial" w:hAnsi="Arial" w:cs="Arial"/>
          <w:sz w:val="20"/>
          <w:szCs w:val="20"/>
        </w:rPr>
        <w:t xml:space="preserve"> MFERAC pa ne omogoč</w:t>
      </w:r>
      <w:r w:rsidR="007A53D1" w:rsidRPr="00A335CB">
        <w:rPr>
          <w:rFonts w:ascii="Arial" w:hAnsi="Arial" w:cs="Arial"/>
          <w:sz w:val="20"/>
          <w:szCs w:val="20"/>
        </w:rPr>
        <w:t>a evidentiranja odsotnosti za javne uslužbence</w:t>
      </w:r>
      <w:r w:rsidRPr="00A335CB">
        <w:rPr>
          <w:rFonts w:ascii="Arial" w:hAnsi="Arial" w:cs="Arial"/>
          <w:sz w:val="20"/>
          <w:szCs w:val="20"/>
        </w:rPr>
        <w:t xml:space="preserve"> </w:t>
      </w:r>
      <w:r w:rsidR="00C4392C">
        <w:rPr>
          <w:rFonts w:ascii="Arial" w:hAnsi="Arial" w:cs="Arial"/>
          <w:sz w:val="20"/>
          <w:szCs w:val="20"/>
        </w:rPr>
        <w:t>p</w:t>
      </w:r>
      <w:r w:rsidR="00C4392C" w:rsidRPr="00A335CB">
        <w:rPr>
          <w:rFonts w:ascii="Arial" w:hAnsi="Arial" w:cs="Arial"/>
          <w:sz w:val="20"/>
          <w:szCs w:val="20"/>
        </w:rPr>
        <w:t>olicije</w:t>
      </w:r>
      <w:r w:rsidRPr="00A335CB">
        <w:rPr>
          <w:rFonts w:ascii="Arial" w:hAnsi="Arial" w:cs="Arial"/>
          <w:sz w:val="20"/>
          <w:szCs w:val="20"/>
        </w:rPr>
        <w:t xml:space="preserve">, ki svoje delo opravljajo po razporedu. Navedeno povzroča veliko dodatnih ročnih aktivnosti pri pripravi </w:t>
      </w:r>
      <w:proofErr w:type="spellStart"/>
      <w:r w:rsidRPr="00A335CB">
        <w:rPr>
          <w:rFonts w:ascii="Arial" w:hAnsi="Arial" w:cs="Arial"/>
          <w:sz w:val="20"/>
          <w:szCs w:val="20"/>
        </w:rPr>
        <w:t>eNDM</w:t>
      </w:r>
      <w:proofErr w:type="spellEnd"/>
      <w:r w:rsidRPr="00A335CB">
        <w:rPr>
          <w:rFonts w:ascii="Arial" w:hAnsi="Arial" w:cs="Arial"/>
          <w:sz w:val="20"/>
          <w:szCs w:val="20"/>
        </w:rPr>
        <w:t xml:space="preserve">, v katerem je obvezen podatek tako številka </w:t>
      </w:r>
      <w:proofErr w:type="spellStart"/>
      <w:r w:rsidRPr="00A335CB">
        <w:rPr>
          <w:rFonts w:ascii="Arial" w:hAnsi="Arial" w:cs="Arial"/>
          <w:sz w:val="20"/>
          <w:szCs w:val="20"/>
        </w:rPr>
        <w:t>eBol</w:t>
      </w:r>
      <w:proofErr w:type="spellEnd"/>
      <w:r w:rsidRPr="00A335CB">
        <w:rPr>
          <w:rFonts w:ascii="Arial" w:hAnsi="Arial" w:cs="Arial"/>
          <w:sz w:val="20"/>
          <w:szCs w:val="20"/>
        </w:rPr>
        <w:t xml:space="preserve"> </w:t>
      </w:r>
      <w:r w:rsidR="00C4392C" w:rsidRPr="00A335CB">
        <w:rPr>
          <w:rFonts w:ascii="Arial" w:hAnsi="Arial" w:cs="Arial"/>
          <w:sz w:val="20"/>
          <w:szCs w:val="20"/>
        </w:rPr>
        <w:t>k</w:t>
      </w:r>
      <w:r w:rsidR="00C4392C">
        <w:rPr>
          <w:rFonts w:ascii="Arial" w:hAnsi="Arial" w:cs="Arial"/>
          <w:sz w:val="20"/>
          <w:szCs w:val="20"/>
        </w:rPr>
        <w:t>ot</w:t>
      </w:r>
      <w:r w:rsidR="00C4392C" w:rsidRPr="00A335CB">
        <w:rPr>
          <w:rFonts w:ascii="Arial" w:hAnsi="Arial" w:cs="Arial"/>
          <w:sz w:val="20"/>
          <w:szCs w:val="20"/>
        </w:rPr>
        <w:t xml:space="preserve"> </w:t>
      </w:r>
      <w:r w:rsidRPr="00A335CB">
        <w:rPr>
          <w:rFonts w:ascii="Arial" w:hAnsi="Arial" w:cs="Arial"/>
          <w:sz w:val="20"/>
          <w:szCs w:val="20"/>
        </w:rPr>
        <w:t>tudi informacija o posebnem del</w:t>
      </w:r>
      <w:r w:rsidR="007A53D1" w:rsidRPr="00A335CB">
        <w:rPr>
          <w:rFonts w:ascii="Arial" w:hAnsi="Arial" w:cs="Arial"/>
          <w:sz w:val="20"/>
          <w:szCs w:val="20"/>
        </w:rPr>
        <w:t>ovnem koledarju, kadar gre za javne uslužbence</w:t>
      </w:r>
      <w:r w:rsidRPr="00A335CB">
        <w:rPr>
          <w:rFonts w:ascii="Arial" w:hAnsi="Arial" w:cs="Arial"/>
          <w:sz w:val="20"/>
          <w:szCs w:val="20"/>
        </w:rPr>
        <w:t>, ki svoje delo opravlja</w:t>
      </w:r>
      <w:r w:rsidR="00C4392C">
        <w:rPr>
          <w:rFonts w:ascii="Arial" w:hAnsi="Arial" w:cs="Arial"/>
          <w:sz w:val="20"/>
          <w:szCs w:val="20"/>
        </w:rPr>
        <w:t>jo</w:t>
      </w:r>
      <w:r w:rsidRPr="00A335CB">
        <w:rPr>
          <w:rFonts w:ascii="Arial" w:hAnsi="Arial" w:cs="Arial"/>
          <w:sz w:val="20"/>
          <w:szCs w:val="20"/>
        </w:rPr>
        <w:t xml:space="preserve"> po razporedu. Zaradi velikega števila ročnih aktivnosti (prepisovanja podatkov, naknadnih kontrol</w:t>
      </w:r>
      <w:r w:rsidR="00C4392C">
        <w:rPr>
          <w:rFonts w:ascii="Arial" w:hAnsi="Arial" w:cs="Arial"/>
          <w:sz w:val="20"/>
          <w:szCs w:val="20"/>
        </w:rPr>
        <w:t xml:space="preserve"> ipd.</w:t>
      </w:r>
      <w:r w:rsidRPr="00A335CB">
        <w:rPr>
          <w:rFonts w:ascii="Arial" w:hAnsi="Arial" w:cs="Arial"/>
          <w:sz w:val="20"/>
          <w:szCs w:val="20"/>
        </w:rPr>
        <w:t>) se postopki izvajajo z zamikom, ki je večji od običajnega. V tekočem letu se na podlagi prejetih refundacij znižuje poraba na plačnih postavkah</w:t>
      </w:r>
      <w:r w:rsidR="00C4392C">
        <w:rPr>
          <w:rFonts w:ascii="Arial" w:hAnsi="Arial" w:cs="Arial"/>
          <w:sz w:val="20"/>
          <w:szCs w:val="20"/>
        </w:rPr>
        <w:t xml:space="preserve"> –</w:t>
      </w:r>
      <w:r w:rsidRPr="00A335CB">
        <w:rPr>
          <w:rFonts w:ascii="Arial" w:hAnsi="Arial" w:cs="Arial"/>
          <w:sz w:val="20"/>
          <w:szCs w:val="20"/>
        </w:rPr>
        <w:t xml:space="preserve"> zaradi zamika pri pripravi </w:t>
      </w:r>
      <w:proofErr w:type="spellStart"/>
      <w:r w:rsidRPr="00A335CB">
        <w:rPr>
          <w:rFonts w:ascii="Arial" w:hAnsi="Arial" w:cs="Arial"/>
          <w:sz w:val="20"/>
          <w:szCs w:val="20"/>
        </w:rPr>
        <w:t>eNDM</w:t>
      </w:r>
      <w:proofErr w:type="spellEnd"/>
      <w:r w:rsidRPr="00A335CB">
        <w:rPr>
          <w:rFonts w:ascii="Arial" w:hAnsi="Arial" w:cs="Arial"/>
          <w:sz w:val="20"/>
          <w:szCs w:val="20"/>
        </w:rPr>
        <w:t xml:space="preserve"> je zato poraba na plačnih postavkah višja</w:t>
      </w:r>
      <w:r w:rsidR="00C4392C">
        <w:rPr>
          <w:rFonts w:ascii="Arial" w:hAnsi="Arial" w:cs="Arial"/>
          <w:sz w:val="20"/>
          <w:szCs w:val="20"/>
        </w:rPr>
        <w:t>,</w:t>
      </w:r>
      <w:r w:rsidRPr="00A335CB">
        <w:rPr>
          <w:rFonts w:ascii="Arial" w:hAnsi="Arial" w:cs="Arial"/>
          <w:sz w:val="20"/>
          <w:szCs w:val="20"/>
        </w:rPr>
        <w:t xml:space="preserve"> kot bi bila, če bi se lahko </w:t>
      </w:r>
      <w:proofErr w:type="spellStart"/>
      <w:r w:rsidRPr="00A335CB">
        <w:rPr>
          <w:rFonts w:ascii="Arial" w:hAnsi="Arial" w:cs="Arial"/>
          <w:sz w:val="20"/>
          <w:szCs w:val="20"/>
        </w:rPr>
        <w:t>eNDM</w:t>
      </w:r>
      <w:proofErr w:type="spellEnd"/>
      <w:r w:rsidRPr="00A335CB">
        <w:rPr>
          <w:rFonts w:ascii="Arial" w:hAnsi="Arial" w:cs="Arial"/>
          <w:sz w:val="20"/>
          <w:szCs w:val="20"/>
        </w:rPr>
        <w:t xml:space="preserve"> pripravljali brez dodatnih ročnih a</w:t>
      </w:r>
      <w:r w:rsidR="007A53D1" w:rsidRPr="00A335CB">
        <w:rPr>
          <w:rFonts w:ascii="Arial" w:hAnsi="Arial" w:cs="Arial"/>
          <w:sz w:val="20"/>
          <w:szCs w:val="20"/>
        </w:rPr>
        <w:t>ktivnosti, večja pa je tudi možnost napak.</w:t>
      </w:r>
    </w:p>
    <w:p w14:paraId="00A6D319" w14:textId="77777777" w:rsidR="00C909D9" w:rsidRDefault="00C909D9" w:rsidP="00C909D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sz w:val="20"/>
          <w:szCs w:val="20"/>
        </w:rPr>
      </w:pPr>
    </w:p>
    <w:p w14:paraId="51C56E40" w14:textId="260D5912" w:rsidR="00627DFB" w:rsidRPr="00A335CB" w:rsidRDefault="00627DFB"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sz w:val="20"/>
          <w:szCs w:val="20"/>
        </w:rPr>
      </w:pPr>
      <w:r w:rsidRPr="00A335CB">
        <w:rPr>
          <w:rFonts w:ascii="Arial" w:hAnsi="Arial" w:cs="Arial"/>
          <w:sz w:val="20"/>
          <w:szCs w:val="20"/>
        </w:rPr>
        <w:t xml:space="preserve">V letu 2024 </w:t>
      </w:r>
      <w:r w:rsidR="007A53D1" w:rsidRPr="00A335CB">
        <w:rPr>
          <w:rFonts w:ascii="Arial" w:hAnsi="Arial" w:cs="Arial"/>
          <w:sz w:val="20"/>
          <w:szCs w:val="20"/>
        </w:rPr>
        <w:t xml:space="preserve">je bila vzpostavljena izmenjava </w:t>
      </w:r>
      <w:proofErr w:type="spellStart"/>
      <w:r w:rsidR="00C4392C">
        <w:rPr>
          <w:rFonts w:ascii="Arial" w:hAnsi="Arial" w:cs="Arial"/>
          <w:sz w:val="20"/>
          <w:szCs w:val="20"/>
        </w:rPr>
        <w:t>eB</w:t>
      </w:r>
      <w:r w:rsidR="00C4392C" w:rsidRPr="00A335CB">
        <w:rPr>
          <w:rFonts w:ascii="Arial" w:hAnsi="Arial" w:cs="Arial"/>
          <w:sz w:val="20"/>
          <w:szCs w:val="20"/>
        </w:rPr>
        <w:t>ol</w:t>
      </w:r>
      <w:proofErr w:type="spellEnd"/>
      <w:r w:rsidR="00C4392C" w:rsidRPr="00A335CB">
        <w:rPr>
          <w:rFonts w:ascii="Arial" w:hAnsi="Arial" w:cs="Arial"/>
          <w:sz w:val="20"/>
          <w:szCs w:val="20"/>
        </w:rPr>
        <w:t xml:space="preserve"> </w:t>
      </w:r>
      <w:r w:rsidR="007A53D1" w:rsidRPr="00A335CB">
        <w:rPr>
          <w:rFonts w:ascii="Arial" w:hAnsi="Arial" w:cs="Arial"/>
          <w:sz w:val="20"/>
          <w:szCs w:val="20"/>
        </w:rPr>
        <w:t>z</w:t>
      </w:r>
      <w:r w:rsidRPr="00A335CB">
        <w:rPr>
          <w:rFonts w:ascii="Arial" w:hAnsi="Arial" w:cs="Arial"/>
          <w:sz w:val="20"/>
          <w:szCs w:val="20"/>
        </w:rPr>
        <w:t xml:space="preserve"> MFERAC in </w:t>
      </w:r>
      <w:r w:rsidR="007A53D1" w:rsidRPr="00A335CB">
        <w:rPr>
          <w:rFonts w:ascii="Arial" w:hAnsi="Arial" w:cs="Arial"/>
          <w:sz w:val="20"/>
          <w:szCs w:val="20"/>
        </w:rPr>
        <w:t xml:space="preserve">izveden prehod na oddajo </w:t>
      </w:r>
      <w:proofErr w:type="spellStart"/>
      <w:r w:rsidR="007A53D1" w:rsidRPr="00A335CB">
        <w:rPr>
          <w:rFonts w:ascii="Arial" w:hAnsi="Arial" w:cs="Arial"/>
          <w:sz w:val="20"/>
          <w:szCs w:val="20"/>
        </w:rPr>
        <w:t>eNDM</w:t>
      </w:r>
      <w:proofErr w:type="spellEnd"/>
      <w:r w:rsidR="007A53D1" w:rsidRPr="00A335CB">
        <w:rPr>
          <w:rFonts w:ascii="Arial" w:hAnsi="Arial" w:cs="Arial"/>
          <w:sz w:val="20"/>
          <w:szCs w:val="20"/>
        </w:rPr>
        <w:t xml:space="preserve"> neposredno iz </w:t>
      </w:r>
      <w:r w:rsidRPr="00A335CB">
        <w:rPr>
          <w:rFonts w:ascii="Arial" w:hAnsi="Arial" w:cs="Arial"/>
          <w:sz w:val="20"/>
          <w:szCs w:val="20"/>
        </w:rPr>
        <w:t>MFERAC, ki pa zaenk</w:t>
      </w:r>
      <w:r w:rsidR="007A53D1" w:rsidRPr="00A335CB">
        <w:rPr>
          <w:rFonts w:ascii="Arial" w:hAnsi="Arial" w:cs="Arial"/>
          <w:sz w:val="20"/>
          <w:szCs w:val="20"/>
        </w:rPr>
        <w:t xml:space="preserve">rat še ni optimalno prilagojen in </w:t>
      </w:r>
      <w:r w:rsidRPr="00A335CB">
        <w:rPr>
          <w:rFonts w:ascii="Arial" w:hAnsi="Arial" w:cs="Arial"/>
          <w:sz w:val="20"/>
          <w:szCs w:val="20"/>
        </w:rPr>
        <w:t xml:space="preserve">prihaja tudi do sistemskih težav. Matična </w:t>
      </w:r>
      <w:r w:rsidR="007A53D1" w:rsidRPr="00A335CB">
        <w:rPr>
          <w:rFonts w:ascii="Arial" w:hAnsi="Arial" w:cs="Arial"/>
          <w:sz w:val="20"/>
          <w:szCs w:val="20"/>
        </w:rPr>
        <w:t>računovodstva</w:t>
      </w:r>
      <w:r w:rsidRPr="00A335CB">
        <w:rPr>
          <w:rFonts w:ascii="Arial" w:hAnsi="Arial" w:cs="Arial"/>
          <w:sz w:val="20"/>
          <w:szCs w:val="20"/>
        </w:rPr>
        <w:t xml:space="preserve"> </w:t>
      </w:r>
      <w:r w:rsidR="007A53D1" w:rsidRPr="00A335CB">
        <w:rPr>
          <w:rFonts w:ascii="Arial" w:hAnsi="Arial" w:cs="Arial"/>
          <w:sz w:val="20"/>
          <w:szCs w:val="20"/>
        </w:rPr>
        <w:t xml:space="preserve">zato prejemajo opozorila, </w:t>
      </w:r>
      <w:r w:rsidRPr="00A335CB">
        <w:rPr>
          <w:rFonts w:ascii="Arial" w:hAnsi="Arial" w:cs="Arial"/>
          <w:sz w:val="20"/>
          <w:szCs w:val="20"/>
        </w:rPr>
        <w:t>da v aplikaciji za ob</w:t>
      </w:r>
      <w:r w:rsidR="007A53D1" w:rsidRPr="00A335CB">
        <w:rPr>
          <w:rFonts w:ascii="Arial" w:hAnsi="Arial" w:cs="Arial"/>
          <w:sz w:val="20"/>
          <w:szCs w:val="20"/>
        </w:rPr>
        <w:t xml:space="preserve">račun stroškov dela v okviru </w:t>
      </w:r>
      <w:r w:rsidRPr="00A335CB">
        <w:rPr>
          <w:rFonts w:ascii="Arial" w:hAnsi="Arial" w:cs="Arial"/>
          <w:sz w:val="20"/>
          <w:szCs w:val="20"/>
        </w:rPr>
        <w:t xml:space="preserve">MFERAC uvožene podatke iz ISPP ročno dopolnjujejo/povezujejo s številko </w:t>
      </w:r>
      <w:proofErr w:type="spellStart"/>
      <w:r w:rsidRPr="00A335CB">
        <w:rPr>
          <w:rFonts w:ascii="Arial" w:hAnsi="Arial" w:cs="Arial"/>
          <w:sz w:val="20"/>
          <w:szCs w:val="20"/>
        </w:rPr>
        <w:t>eBol</w:t>
      </w:r>
      <w:proofErr w:type="spellEnd"/>
      <w:r w:rsidRPr="00A335CB">
        <w:rPr>
          <w:rFonts w:ascii="Arial" w:hAnsi="Arial" w:cs="Arial"/>
          <w:sz w:val="20"/>
          <w:szCs w:val="20"/>
        </w:rPr>
        <w:t>, kar je pogoj za izvedbo obračuna stroškov dela</w:t>
      </w:r>
      <w:r w:rsidR="007A53D1" w:rsidRPr="00A335CB">
        <w:rPr>
          <w:rFonts w:ascii="Arial" w:hAnsi="Arial" w:cs="Arial"/>
          <w:sz w:val="20"/>
          <w:szCs w:val="20"/>
        </w:rPr>
        <w:t>. Zaradi pereče problematike je MNZ</w:t>
      </w:r>
      <w:r w:rsidRPr="00A335CB">
        <w:rPr>
          <w:rFonts w:ascii="Arial" w:hAnsi="Arial" w:cs="Arial"/>
          <w:sz w:val="20"/>
          <w:szCs w:val="20"/>
        </w:rPr>
        <w:t xml:space="preserve"> </w:t>
      </w:r>
      <w:r w:rsidRPr="00ED7864">
        <w:rPr>
          <w:rFonts w:ascii="Arial" w:hAnsi="Arial" w:cs="Arial"/>
          <w:sz w:val="20"/>
          <w:szCs w:val="20"/>
        </w:rPr>
        <w:t xml:space="preserve">z </w:t>
      </w:r>
      <w:r w:rsidR="007A53D1" w:rsidRPr="00ED7864">
        <w:rPr>
          <w:rFonts w:ascii="Arial" w:hAnsi="Arial" w:cs="Arial"/>
          <w:sz w:val="20"/>
          <w:szCs w:val="20"/>
        </w:rPr>
        <w:t>ZZZS</w:t>
      </w:r>
      <w:r w:rsidRPr="00ED7864">
        <w:rPr>
          <w:rFonts w:ascii="Arial" w:hAnsi="Arial" w:cs="Arial"/>
          <w:sz w:val="20"/>
          <w:szCs w:val="20"/>
        </w:rPr>
        <w:t xml:space="preserve"> in Mini</w:t>
      </w:r>
      <w:r w:rsidR="007A53D1" w:rsidRPr="00ED7864">
        <w:rPr>
          <w:rFonts w:ascii="Arial" w:hAnsi="Arial" w:cs="Arial"/>
          <w:sz w:val="20"/>
          <w:szCs w:val="20"/>
        </w:rPr>
        <w:t>strstvom</w:t>
      </w:r>
      <w:r w:rsidR="007A53D1" w:rsidRPr="00A335CB">
        <w:rPr>
          <w:rFonts w:ascii="Arial" w:hAnsi="Arial" w:cs="Arial"/>
          <w:sz w:val="20"/>
          <w:szCs w:val="20"/>
        </w:rPr>
        <w:t xml:space="preserve"> za finance organiziralo</w:t>
      </w:r>
      <w:r w:rsidRPr="00A335CB">
        <w:rPr>
          <w:rFonts w:ascii="Arial" w:hAnsi="Arial" w:cs="Arial"/>
          <w:sz w:val="20"/>
          <w:szCs w:val="20"/>
        </w:rPr>
        <w:t xml:space="preserve"> delovni sestanek</w:t>
      </w:r>
      <w:r w:rsidR="007A53D1" w:rsidRPr="00A335CB">
        <w:rPr>
          <w:rFonts w:ascii="Arial" w:hAnsi="Arial" w:cs="Arial"/>
          <w:sz w:val="20"/>
          <w:szCs w:val="20"/>
        </w:rPr>
        <w:t>,</w:t>
      </w:r>
      <w:r w:rsidRPr="00A335CB">
        <w:rPr>
          <w:rFonts w:ascii="Arial" w:hAnsi="Arial" w:cs="Arial"/>
          <w:sz w:val="20"/>
          <w:szCs w:val="20"/>
        </w:rPr>
        <w:t xml:space="preserve"> na katerem</w:t>
      </w:r>
      <w:r w:rsidR="007A53D1" w:rsidRPr="00A335CB">
        <w:rPr>
          <w:rFonts w:ascii="Arial" w:hAnsi="Arial" w:cs="Arial"/>
          <w:sz w:val="20"/>
          <w:szCs w:val="20"/>
        </w:rPr>
        <w:t xml:space="preserve"> je MNZ opozorilo</w:t>
      </w:r>
      <w:r w:rsidRPr="00A335CB">
        <w:rPr>
          <w:rFonts w:ascii="Arial" w:hAnsi="Arial" w:cs="Arial"/>
          <w:sz w:val="20"/>
          <w:szCs w:val="20"/>
        </w:rPr>
        <w:t xml:space="preserve"> na sistemske napake in možnosti poenostavitev pri oddaji </w:t>
      </w:r>
      <w:proofErr w:type="spellStart"/>
      <w:r w:rsidRPr="00A335CB">
        <w:rPr>
          <w:rFonts w:ascii="Arial" w:hAnsi="Arial" w:cs="Arial"/>
          <w:sz w:val="20"/>
          <w:szCs w:val="20"/>
        </w:rPr>
        <w:t>eNDM</w:t>
      </w:r>
      <w:proofErr w:type="spellEnd"/>
      <w:r w:rsidRPr="00A335CB">
        <w:rPr>
          <w:rFonts w:ascii="Arial" w:hAnsi="Arial" w:cs="Arial"/>
          <w:sz w:val="20"/>
          <w:szCs w:val="20"/>
        </w:rPr>
        <w:t>.</w:t>
      </w:r>
    </w:p>
    <w:p w14:paraId="25DAD7F1" w14:textId="786E4FC2" w:rsidR="00627DFB" w:rsidRPr="00A335CB" w:rsidRDefault="00627DFB" w:rsidP="005F76F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A335CB">
        <w:rPr>
          <w:rFonts w:ascii="Arial" w:hAnsi="Arial" w:cs="Arial"/>
          <w:b/>
          <w:sz w:val="20"/>
          <w:szCs w:val="20"/>
        </w:rPr>
        <w:t>Prehod na spremenjen</w:t>
      </w:r>
      <w:r w:rsidR="00C4392C">
        <w:rPr>
          <w:rFonts w:ascii="Arial" w:hAnsi="Arial" w:cs="Arial"/>
          <w:b/>
          <w:sz w:val="20"/>
          <w:szCs w:val="20"/>
        </w:rPr>
        <w:t>i</w:t>
      </w:r>
      <w:r w:rsidRPr="00A335CB">
        <w:rPr>
          <w:rFonts w:ascii="Arial" w:hAnsi="Arial" w:cs="Arial"/>
          <w:b/>
          <w:sz w:val="20"/>
          <w:szCs w:val="20"/>
        </w:rPr>
        <w:t xml:space="preserve"> način obračuna in plačila prispevkov za zaposlene, ki so napoteni na delo v tujino</w:t>
      </w:r>
    </w:p>
    <w:p w14:paraId="579AEE20" w14:textId="0EB93D11" w:rsidR="00627DFB" w:rsidRPr="00A335CB" w:rsidRDefault="00627DFB" w:rsidP="005D1A90">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b/>
          <w:sz w:val="20"/>
          <w:szCs w:val="20"/>
        </w:rPr>
      </w:pPr>
      <w:r w:rsidRPr="00A335CB">
        <w:rPr>
          <w:rFonts w:ascii="Arial" w:hAnsi="Arial" w:cs="Arial"/>
          <w:sz w:val="20"/>
          <w:szCs w:val="20"/>
        </w:rPr>
        <w:t>Zaradi spremembe 144. člena ZPIZ-2, ki je bila uvelja</w:t>
      </w:r>
      <w:r w:rsidR="007A53D1" w:rsidRPr="00A335CB">
        <w:rPr>
          <w:rFonts w:ascii="Arial" w:hAnsi="Arial" w:cs="Arial"/>
          <w:sz w:val="20"/>
          <w:szCs w:val="20"/>
        </w:rPr>
        <w:t>vljena s spremembami ZČmlS-1</w:t>
      </w:r>
      <w:r w:rsidR="00C4392C">
        <w:rPr>
          <w:rFonts w:ascii="Arial" w:hAnsi="Arial" w:cs="Arial"/>
          <w:sz w:val="20"/>
          <w:szCs w:val="20"/>
        </w:rPr>
        <w:t>,</w:t>
      </w:r>
      <w:r w:rsidR="007A53D1" w:rsidRPr="00A335CB">
        <w:rPr>
          <w:rFonts w:ascii="Arial" w:hAnsi="Arial" w:cs="Arial"/>
          <w:sz w:val="20"/>
          <w:szCs w:val="20"/>
        </w:rPr>
        <w:t xml:space="preserve"> je MNZ </w:t>
      </w:r>
      <w:r w:rsidRPr="00A335CB">
        <w:rPr>
          <w:rFonts w:ascii="Arial" w:hAnsi="Arial" w:cs="Arial"/>
          <w:sz w:val="20"/>
          <w:szCs w:val="20"/>
        </w:rPr>
        <w:t>1.</w:t>
      </w:r>
      <w:r w:rsidR="00C4392C">
        <w:rPr>
          <w:rFonts w:ascii="Arial" w:hAnsi="Arial" w:cs="Arial"/>
          <w:sz w:val="20"/>
          <w:szCs w:val="20"/>
        </w:rPr>
        <w:t> </w:t>
      </w:r>
      <w:r w:rsidRPr="00A335CB">
        <w:rPr>
          <w:rFonts w:ascii="Arial" w:hAnsi="Arial" w:cs="Arial"/>
          <w:sz w:val="20"/>
          <w:szCs w:val="20"/>
        </w:rPr>
        <w:t>1.</w:t>
      </w:r>
      <w:r w:rsidR="00C4392C">
        <w:rPr>
          <w:rFonts w:ascii="Arial" w:hAnsi="Arial" w:cs="Arial"/>
          <w:sz w:val="20"/>
          <w:szCs w:val="20"/>
        </w:rPr>
        <w:t> </w:t>
      </w:r>
      <w:r w:rsidR="007A53D1" w:rsidRPr="00A335CB">
        <w:rPr>
          <w:rFonts w:ascii="Arial" w:hAnsi="Arial" w:cs="Arial"/>
          <w:sz w:val="20"/>
          <w:szCs w:val="20"/>
        </w:rPr>
        <w:t>2024 prešlo</w:t>
      </w:r>
      <w:r w:rsidRPr="00A335CB">
        <w:rPr>
          <w:rFonts w:ascii="Arial" w:hAnsi="Arial" w:cs="Arial"/>
          <w:sz w:val="20"/>
          <w:szCs w:val="20"/>
        </w:rPr>
        <w:t xml:space="preserve"> na spremenjen</w:t>
      </w:r>
      <w:r w:rsidR="00C4392C">
        <w:rPr>
          <w:rFonts w:ascii="Arial" w:hAnsi="Arial" w:cs="Arial"/>
          <w:sz w:val="20"/>
          <w:szCs w:val="20"/>
        </w:rPr>
        <w:t>i</w:t>
      </w:r>
      <w:r w:rsidRPr="00A335CB">
        <w:rPr>
          <w:rFonts w:ascii="Arial" w:hAnsi="Arial" w:cs="Arial"/>
          <w:sz w:val="20"/>
          <w:szCs w:val="20"/>
        </w:rPr>
        <w:t xml:space="preserve"> način obračuna plač za javne uslužbence</w:t>
      </w:r>
      <w:r w:rsidR="007A53D1" w:rsidRPr="00A335CB">
        <w:rPr>
          <w:rFonts w:ascii="Arial" w:hAnsi="Arial" w:cs="Arial"/>
          <w:sz w:val="20"/>
          <w:szCs w:val="20"/>
        </w:rPr>
        <w:t>,</w:t>
      </w:r>
      <w:r w:rsidRPr="00A335CB">
        <w:rPr>
          <w:rFonts w:ascii="Arial" w:hAnsi="Arial" w:cs="Arial"/>
          <w:sz w:val="20"/>
          <w:szCs w:val="20"/>
        </w:rPr>
        <w:t xml:space="preserve"> napotene na delo v tujino, pri čemer </w:t>
      </w:r>
      <w:r w:rsidR="0013762D" w:rsidRPr="00A335CB">
        <w:rPr>
          <w:rFonts w:ascii="Arial" w:hAnsi="Arial" w:cs="Arial"/>
          <w:sz w:val="20"/>
          <w:szCs w:val="20"/>
        </w:rPr>
        <w:t xml:space="preserve">je bilo treba </w:t>
      </w:r>
      <w:r w:rsidRPr="00A335CB">
        <w:rPr>
          <w:rFonts w:ascii="Arial" w:hAnsi="Arial" w:cs="Arial"/>
          <w:sz w:val="20"/>
          <w:szCs w:val="20"/>
        </w:rPr>
        <w:t xml:space="preserve">poleg ročnega obračuna plače dodatno </w:t>
      </w:r>
      <w:r w:rsidR="0013762D" w:rsidRPr="00A335CB">
        <w:rPr>
          <w:rFonts w:ascii="Arial" w:hAnsi="Arial" w:cs="Arial"/>
          <w:sz w:val="20"/>
          <w:szCs w:val="20"/>
        </w:rPr>
        <w:t xml:space="preserve">zagotoviti </w:t>
      </w:r>
      <w:r w:rsidRPr="00A335CB">
        <w:rPr>
          <w:rFonts w:ascii="Arial" w:hAnsi="Arial" w:cs="Arial"/>
          <w:sz w:val="20"/>
          <w:szCs w:val="20"/>
        </w:rPr>
        <w:t>še izračun osnove za obračun in plačilo prispevkov</w:t>
      </w:r>
      <w:r w:rsidRPr="00A335CB">
        <w:rPr>
          <w:rFonts w:ascii="Arial" w:hAnsi="Arial" w:cs="Arial"/>
          <w:b/>
          <w:sz w:val="20"/>
          <w:szCs w:val="20"/>
        </w:rPr>
        <w:t xml:space="preserve">. </w:t>
      </w:r>
    </w:p>
    <w:p w14:paraId="4FD5C5AE" w14:textId="07826EEF" w:rsidR="00627DFB" w:rsidRPr="00A335CB" w:rsidRDefault="00952501" w:rsidP="005F76F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76" w:lineRule="auto"/>
        <w:jc w:val="both"/>
        <w:rPr>
          <w:rFonts w:ascii="Arial" w:hAnsi="Arial" w:cs="Arial"/>
          <w:b/>
          <w:sz w:val="20"/>
          <w:szCs w:val="20"/>
        </w:rPr>
      </w:pPr>
      <w:r w:rsidRPr="00A335CB">
        <w:rPr>
          <w:rFonts w:ascii="Arial" w:hAnsi="Arial" w:cs="Arial"/>
          <w:b/>
          <w:sz w:val="20"/>
          <w:szCs w:val="20"/>
        </w:rPr>
        <w:t>Matične številke</w:t>
      </w:r>
      <w:r w:rsidR="00386944">
        <w:rPr>
          <w:rFonts w:ascii="Arial" w:hAnsi="Arial" w:cs="Arial"/>
          <w:b/>
          <w:sz w:val="20"/>
          <w:szCs w:val="20"/>
        </w:rPr>
        <w:t xml:space="preserve"> – </w:t>
      </w:r>
      <w:proofErr w:type="spellStart"/>
      <w:r w:rsidR="00386944">
        <w:rPr>
          <w:rFonts w:ascii="Arial" w:hAnsi="Arial" w:cs="Arial"/>
          <w:b/>
          <w:sz w:val="20"/>
          <w:szCs w:val="20"/>
        </w:rPr>
        <w:t>eR</w:t>
      </w:r>
      <w:r w:rsidRPr="00A335CB">
        <w:rPr>
          <w:rFonts w:ascii="Arial" w:hAnsi="Arial" w:cs="Arial"/>
          <w:b/>
          <w:sz w:val="20"/>
          <w:szCs w:val="20"/>
        </w:rPr>
        <w:t>ačuni</w:t>
      </w:r>
      <w:proofErr w:type="spellEnd"/>
    </w:p>
    <w:p w14:paraId="0C2FBA2C" w14:textId="1FB5D240" w:rsidR="00627DFB" w:rsidRPr="00A335CB" w:rsidRDefault="00627DFB" w:rsidP="005D1A90">
      <w:pPr>
        <w:pStyle w:val="ZADEVA"/>
        <w:tabs>
          <w:tab w:val="clear" w:pos="1701"/>
          <w:tab w:val="left" w:pos="0"/>
        </w:tabs>
        <w:spacing w:line="276" w:lineRule="auto"/>
        <w:ind w:left="0" w:firstLine="0"/>
        <w:jc w:val="both"/>
        <w:rPr>
          <w:rFonts w:cs="Arial"/>
          <w:b w:val="0"/>
          <w:lang w:val="sl-SI"/>
        </w:rPr>
      </w:pPr>
      <w:r w:rsidRPr="00A335CB">
        <w:rPr>
          <w:rFonts w:cs="Arial"/>
          <w:b w:val="0"/>
          <w:lang w:val="sl-SI"/>
        </w:rPr>
        <w:t xml:space="preserve">V letu 2024 </w:t>
      </w:r>
      <w:r w:rsidR="00F1793F" w:rsidRPr="00A335CB">
        <w:rPr>
          <w:rFonts w:cs="Arial"/>
          <w:b w:val="0"/>
          <w:lang w:val="sl-SI"/>
        </w:rPr>
        <w:t xml:space="preserve">je MNZ </w:t>
      </w:r>
      <w:r w:rsidRPr="00A335CB">
        <w:rPr>
          <w:rFonts w:cs="Arial"/>
          <w:b w:val="0"/>
          <w:lang w:val="sl-SI"/>
        </w:rPr>
        <w:t>z dopisom ob</w:t>
      </w:r>
      <w:r w:rsidR="00F1793F" w:rsidRPr="00A335CB">
        <w:rPr>
          <w:rFonts w:cs="Arial"/>
          <w:b w:val="0"/>
          <w:lang w:val="sl-SI"/>
        </w:rPr>
        <w:t>vestilo vse poslovne partnerje, da je</w:t>
      </w:r>
      <w:r w:rsidRPr="00A335CB">
        <w:rPr>
          <w:rFonts w:cs="Arial"/>
          <w:b w:val="0"/>
          <w:lang w:val="sl-SI"/>
        </w:rPr>
        <w:t xml:space="preserve"> z uvedb</w:t>
      </w:r>
      <w:r w:rsidR="00F1793F" w:rsidRPr="00A335CB">
        <w:rPr>
          <w:rFonts w:cs="Arial"/>
          <w:b w:val="0"/>
          <w:lang w:val="sl-SI"/>
        </w:rPr>
        <w:t xml:space="preserve">o </w:t>
      </w:r>
      <w:proofErr w:type="spellStart"/>
      <w:r w:rsidR="00F1793F" w:rsidRPr="00A335CB">
        <w:rPr>
          <w:rFonts w:cs="Arial"/>
          <w:b w:val="0"/>
          <w:lang w:val="sl-SI"/>
        </w:rPr>
        <w:t>eRačuna</w:t>
      </w:r>
      <w:proofErr w:type="spellEnd"/>
      <w:r w:rsidR="00F1793F" w:rsidRPr="00A335CB">
        <w:rPr>
          <w:rFonts w:cs="Arial"/>
          <w:b w:val="0"/>
          <w:lang w:val="sl-SI"/>
        </w:rPr>
        <w:t xml:space="preserve"> v pogodbah do</w:t>
      </w:r>
      <w:r w:rsidR="00FD0516">
        <w:rPr>
          <w:rFonts w:cs="Arial"/>
          <w:b w:val="0"/>
          <w:lang w:val="sl-SI"/>
        </w:rPr>
        <w:t>dalo</w:t>
      </w:r>
      <w:r w:rsidRPr="00A335CB">
        <w:rPr>
          <w:rFonts w:cs="Arial"/>
          <w:b w:val="0"/>
          <w:lang w:val="sl-SI"/>
        </w:rPr>
        <w:t xml:space="preserve"> referenčno številko kupca, kar pa v praksi ne deluje dovolj učinkovito, saj imajo izdajatelji računov težave pri pripravi in ustrezni navedbi tega podatka. Za ustreznejše razvrščanje in usmerjanje prejetih </w:t>
      </w:r>
      <w:proofErr w:type="spellStart"/>
      <w:r w:rsidRPr="00A335CB">
        <w:rPr>
          <w:rFonts w:cs="Arial"/>
          <w:b w:val="0"/>
          <w:lang w:val="sl-SI"/>
        </w:rPr>
        <w:t>eRačunov</w:t>
      </w:r>
      <w:proofErr w:type="spellEnd"/>
      <w:r w:rsidRPr="00A335CB">
        <w:rPr>
          <w:rFonts w:cs="Arial"/>
          <w:b w:val="0"/>
          <w:lang w:val="sl-SI"/>
        </w:rPr>
        <w:t xml:space="preserve"> </w:t>
      </w:r>
      <w:r w:rsidR="00F1793F" w:rsidRPr="00A335CB">
        <w:rPr>
          <w:rFonts w:cs="Arial"/>
          <w:b w:val="0"/>
          <w:lang w:val="sl-SI"/>
        </w:rPr>
        <w:t>je MNZ zato posodobilo</w:t>
      </w:r>
      <w:r w:rsidRPr="00A335CB">
        <w:rPr>
          <w:rFonts w:cs="Arial"/>
          <w:b w:val="0"/>
          <w:lang w:val="sl-SI"/>
        </w:rPr>
        <w:t xml:space="preserve"> infor</w:t>
      </w:r>
      <w:r w:rsidR="00F1793F" w:rsidRPr="00A335CB">
        <w:rPr>
          <w:rFonts w:cs="Arial"/>
          <w:b w:val="0"/>
          <w:lang w:val="sl-SI"/>
        </w:rPr>
        <w:t>macijski sistem in s tem omočilo</w:t>
      </w:r>
      <w:r w:rsidRPr="00A335CB">
        <w:rPr>
          <w:rFonts w:cs="Arial"/>
          <w:b w:val="0"/>
          <w:lang w:val="sl-SI"/>
        </w:rPr>
        <w:t xml:space="preserve"> prejemanje računov pos</w:t>
      </w:r>
      <w:r w:rsidR="00F1793F" w:rsidRPr="00A335CB">
        <w:rPr>
          <w:rFonts w:cs="Arial"/>
          <w:b w:val="0"/>
          <w:lang w:val="sl-SI"/>
        </w:rPr>
        <w:t>ameznim policijskim upravam in G</w:t>
      </w:r>
      <w:r w:rsidRPr="00A335CB">
        <w:rPr>
          <w:rFonts w:cs="Arial"/>
          <w:b w:val="0"/>
          <w:lang w:val="sl-SI"/>
        </w:rPr>
        <w:t xml:space="preserve">eneralni policijski upravi, ki imajo isto davčno številko, na podlagi njihove matične številke. Hkrati pri razvrščanju in usmerjanju </w:t>
      </w:r>
      <w:r w:rsidR="00F1793F" w:rsidRPr="00A335CB">
        <w:rPr>
          <w:rFonts w:cs="Arial"/>
          <w:b w:val="0"/>
          <w:lang w:val="sl-SI"/>
        </w:rPr>
        <w:t>MNZ ugotavlja</w:t>
      </w:r>
      <w:r w:rsidRPr="00A335CB">
        <w:rPr>
          <w:rFonts w:cs="Arial"/>
          <w:b w:val="0"/>
          <w:lang w:val="sl-SI"/>
        </w:rPr>
        <w:t>, da nekateri izdajatelji računov polja pravn</w:t>
      </w:r>
      <w:r w:rsidR="00F1793F" w:rsidRPr="00A335CB">
        <w:rPr>
          <w:rFonts w:cs="Arial"/>
          <w:b w:val="0"/>
          <w:lang w:val="sl-SI"/>
        </w:rPr>
        <w:t>a podlaga (pogodba, naročilnica</w:t>
      </w:r>
      <w:r w:rsidR="00386944">
        <w:rPr>
          <w:rFonts w:cs="Arial"/>
          <w:b w:val="0"/>
          <w:lang w:val="sl-SI"/>
        </w:rPr>
        <w:t xml:space="preserve"> ipd.</w:t>
      </w:r>
      <w:r w:rsidR="00386944" w:rsidRPr="00A335CB">
        <w:rPr>
          <w:rFonts w:cs="Arial"/>
          <w:b w:val="0"/>
          <w:lang w:val="sl-SI"/>
        </w:rPr>
        <w:t>)</w:t>
      </w:r>
      <w:r w:rsidR="00386944">
        <w:rPr>
          <w:rFonts w:cs="Arial"/>
          <w:b w:val="0"/>
          <w:lang w:val="sl-SI"/>
        </w:rPr>
        <w:t xml:space="preserve"> </w:t>
      </w:r>
      <w:r w:rsidR="00386944" w:rsidRPr="00A335CB">
        <w:rPr>
          <w:rFonts w:cs="Arial"/>
          <w:b w:val="0"/>
          <w:lang w:val="sl-SI"/>
        </w:rPr>
        <w:t>ne izpolnjujejo pravilno</w:t>
      </w:r>
      <w:r w:rsidR="00F1793F" w:rsidRPr="00A335CB">
        <w:rPr>
          <w:rFonts w:cs="Arial"/>
          <w:b w:val="0"/>
          <w:lang w:val="sl-SI"/>
        </w:rPr>
        <w:t>, zato bodo</w:t>
      </w:r>
      <w:r w:rsidRPr="00A335CB">
        <w:rPr>
          <w:rFonts w:cs="Arial"/>
          <w:b w:val="0"/>
          <w:lang w:val="sl-SI"/>
        </w:rPr>
        <w:t xml:space="preserve"> tudi na </w:t>
      </w:r>
      <w:r w:rsidR="00386944" w:rsidRPr="00A335CB">
        <w:rPr>
          <w:rFonts w:cs="Arial"/>
          <w:b w:val="0"/>
          <w:lang w:val="sl-SI"/>
        </w:rPr>
        <w:t>te</w:t>
      </w:r>
      <w:r w:rsidR="00386944">
        <w:rPr>
          <w:rFonts w:cs="Arial"/>
          <w:b w:val="0"/>
          <w:lang w:val="sl-SI"/>
        </w:rPr>
        <w:t>j</w:t>
      </w:r>
      <w:r w:rsidR="00386944" w:rsidRPr="00A335CB">
        <w:rPr>
          <w:rFonts w:cs="Arial"/>
          <w:b w:val="0"/>
          <w:lang w:val="sl-SI"/>
        </w:rPr>
        <w:t xml:space="preserve"> </w:t>
      </w:r>
      <w:r w:rsidR="00386944">
        <w:rPr>
          <w:rFonts w:cs="Arial"/>
          <w:b w:val="0"/>
          <w:lang w:val="sl-SI"/>
        </w:rPr>
        <w:t>ravni</w:t>
      </w:r>
      <w:r w:rsidR="00386944" w:rsidRPr="00A335CB">
        <w:rPr>
          <w:rFonts w:cs="Arial"/>
          <w:b w:val="0"/>
          <w:lang w:val="sl-SI"/>
        </w:rPr>
        <w:t xml:space="preserve"> </w:t>
      </w:r>
      <w:r w:rsidR="00F1793F" w:rsidRPr="00A335CB">
        <w:rPr>
          <w:rFonts w:cs="Arial"/>
          <w:b w:val="0"/>
          <w:lang w:val="sl-SI"/>
        </w:rPr>
        <w:t xml:space="preserve">v prihodnosti </w:t>
      </w:r>
      <w:r w:rsidR="00386944" w:rsidRPr="00A335CB">
        <w:rPr>
          <w:rFonts w:cs="Arial"/>
          <w:b w:val="0"/>
          <w:lang w:val="sl-SI"/>
        </w:rPr>
        <w:t>izveden</w:t>
      </w:r>
      <w:r w:rsidR="00386944">
        <w:rPr>
          <w:rFonts w:cs="Arial"/>
          <w:b w:val="0"/>
          <w:lang w:val="sl-SI"/>
        </w:rPr>
        <w:t>i</w:t>
      </w:r>
      <w:r w:rsidR="00386944" w:rsidRPr="00A335CB">
        <w:rPr>
          <w:rFonts w:cs="Arial"/>
          <w:b w:val="0"/>
          <w:lang w:val="sl-SI"/>
        </w:rPr>
        <w:t xml:space="preserve"> poostren</w:t>
      </w:r>
      <w:r w:rsidR="00386944">
        <w:rPr>
          <w:rFonts w:cs="Arial"/>
          <w:b w:val="0"/>
          <w:lang w:val="sl-SI"/>
        </w:rPr>
        <w:t>i</w:t>
      </w:r>
      <w:r w:rsidR="00386944" w:rsidRPr="00A335CB">
        <w:rPr>
          <w:rFonts w:cs="Arial"/>
          <w:b w:val="0"/>
          <w:lang w:val="sl-SI"/>
        </w:rPr>
        <w:t xml:space="preserve"> </w:t>
      </w:r>
      <w:r w:rsidR="00386944">
        <w:rPr>
          <w:rFonts w:cs="Arial"/>
          <w:b w:val="0"/>
          <w:lang w:val="sl-SI"/>
        </w:rPr>
        <w:t>nadzori</w:t>
      </w:r>
      <w:r w:rsidR="00F1793F" w:rsidRPr="00A335CB">
        <w:rPr>
          <w:rFonts w:cs="Arial"/>
          <w:b w:val="0"/>
          <w:lang w:val="sl-SI"/>
        </w:rPr>
        <w:t>, jih bodo v</w:t>
      </w:r>
      <w:r w:rsidRPr="00A335CB">
        <w:rPr>
          <w:rFonts w:cs="Arial"/>
          <w:b w:val="0"/>
          <w:lang w:val="sl-SI"/>
        </w:rPr>
        <w:t xml:space="preserve"> do</w:t>
      </w:r>
      <w:r w:rsidR="00F1793F" w:rsidRPr="00A335CB">
        <w:rPr>
          <w:rFonts w:cs="Arial"/>
          <w:b w:val="0"/>
          <w:lang w:val="sl-SI"/>
        </w:rPr>
        <w:t xml:space="preserve">ločenem delu tudi </w:t>
      </w:r>
      <w:r w:rsidR="00386944" w:rsidRPr="00A335CB">
        <w:rPr>
          <w:rFonts w:cs="Arial"/>
          <w:b w:val="0"/>
          <w:lang w:val="sl-SI"/>
        </w:rPr>
        <w:t>avtomatiziran</w:t>
      </w:r>
      <w:r w:rsidR="00386944">
        <w:rPr>
          <w:rFonts w:cs="Arial"/>
          <w:b w:val="0"/>
          <w:lang w:val="sl-SI"/>
        </w:rPr>
        <w:t>i</w:t>
      </w:r>
      <w:r w:rsidR="00F1793F" w:rsidRPr="00A335CB">
        <w:rPr>
          <w:rFonts w:cs="Arial"/>
          <w:b w:val="0"/>
          <w:lang w:val="sl-SI"/>
        </w:rPr>
        <w:t xml:space="preserve">. MNZ je izdajatelje računov tudi opozorilo, </w:t>
      </w:r>
      <w:r w:rsidRPr="00A335CB">
        <w:rPr>
          <w:rFonts w:cs="Arial"/>
          <w:b w:val="0"/>
          <w:lang w:val="sl-SI"/>
        </w:rPr>
        <w:t>da so kot priloge računa lahko datoteke v skupni veli</w:t>
      </w:r>
      <w:r w:rsidR="00F1793F" w:rsidRPr="00A335CB">
        <w:rPr>
          <w:rFonts w:cs="Arial"/>
          <w:b w:val="0"/>
          <w:lang w:val="sl-SI"/>
        </w:rPr>
        <w:t>kosti do največ 25 MB. Če</w:t>
      </w:r>
      <w:r w:rsidRPr="00A335CB">
        <w:rPr>
          <w:rFonts w:cs="Arial"/>
          <w:b w:val="0"/>
          <w:lang w:val="sl-SI"/>
        </w:rPr>
        <w:t xml:space="preserve"> gre za večjo količino podatkov v prilogah računa, jih je treba odložiti v odložišče velikih datotek. Skupno število znakov v naslovu vseh prilog je lahko največ 128. Če je skupna dolžina znakov v naslovu vseh prilog večja, je treba priloge priložiti v</w:t>
      </w:r>
      <w:r w:rsidR="00F1793F" w:rsidRPr="00A335CB">
        <w:rPr>
          <w:rFonts w:cs="Arial"/>
          <w:b w:val="0"/>
          <w:lang w:val="sl-SI"/>
        </w:rPr>
        <w:t xml:space="preserve"> stisnjeni mapi, tako imenovani »ZIP</w:t>
      </w:r>
      <w:r w:rsidR="00386944">
        <w:rPr>
          <w:rFonts w:cs="Arial"/>
          <w:b w:val="0"/>
          <w:lang w:val="sl-SI"/>
        </w:rPr>
        <w:t>-</w:t>
      </w:r>
      <w:r w:rsidR="00F1793F" w:rsidRPr="00A335CB">
        <w:rPr>
          <w:rFonts w:cs="Arial"/>
          <w:b w:val="0"/>
          <w:lang w:val="sl-SI"/>
        </w:rPr>
        <w:t>datoteki</w:t>
      </w:r>
      <w:r w:rsidR="00386944">
        <w:rPr>
          <w:rFonts w:cs="Arial"/>
          <w:b w:val="0"/>
          <w:lang w:val="sl-SI"/>
        </w:rPr>
        <w:t>«</w:t>
      </w:r>
      <w:r w:rsidR="00F1793F" w:rsidRPr="00A335CB">
        <w:rPr>
          <w:rFonts w:cs="Arial"/>
          <w:b w:val="0"/>
          <w:lang w:val="sl-SI"/>
        </w:rPr>
        <w:t>, ki jo</w:t>
      </w:r>
      <w:r w:rsidRPr="00A335CB">
        <w:rPr>
          <w:rFonts w:cs="Arial"/>
          <w:b w:val="0"/>
          <w:lang w:val="sl-SI"/>
        </w:rPr>
        <w:t xml:space="preserve"> omogoča operacijski sistem MS Windows. Predvido</w:t>
      </w:r>
      <w:r w:rsidR="00F1793F" w:rsidRPr="00A335CB">
        <w:rPr>
          <w:rFonts w:cs="Arial"/>
          <w:b w:val="0"/>
          <w:lang w:val="sl-SI"/>
        </w:rPr>
        <w:t>ma v začetku leta 2025 bod</w:t>
      </w:r>
      <w:r w:rsidRPr="00A335CB">
        <w:rPr>
          <w:rFonts w:cs="Arial"/>
          <w:b w:val="0"/>
          <w:lang w:val="sl-SI"/>
        </w:rPr>
        <w:t xml:space="preserve">o </w:t>
      </w:r>
      <w:r w:rsidR="00F1793F" w:rsidRPr="00A335CB">
        <w:rPr>
          <w:rFonts w:cs="Arial"/>
          <w:b w:val="0"/>
          <w:lang w:val="sl-SI"/>
        </w:rPr>
        <w:t>izvedene nastavitve samodejnih blokad, ki bodo zavračale e-račune</w:t>
      </w:r>
      <w:r w:rsidRPr="00A335CB">
        <w:rPr>
          <w:rFonts w:cs="Arial"/>
          <w:b w:val="0"/>
          <w:lang w:val="sl-SI"/>
        </w:rPr>
        <w:t xml:space="preserve">, ki nimajo navedene prave matične številke </w:t>
      </w:r>
      <w:r w:rsidR="00F40A8E" w:rsidRPr="00A335CB">
        <w:rPr>
          <w:rFonts w:cs="Arial"/>
          <w:b w:val="0"/>
          <w:lang w:val="sl-SI"/>
        </w:rPr>
        <w:t>oziroma</w:t>
      </w:r>
      <w:r w:rsidRPr="00A335CB">
        <w:rPr>
          <w:rFonts w:cs="Arial"/>
          <w:b w:val="0"/>
          <w:lang w:val="sl-SI"/>
        </w:rPr>
        <w:t xml:space="preserve"> je sploh nimajo navedene.</w:t>
      </w:r>
    </w:p>
    <w:p w14:paraId="700343D5" w14:textId="10D0937C" w:rsidR="00C60ECA" w:rsidRPr="00A335CB" w:rsidRDefault="00C60ECA" w:rsidP="005D1A90">
      <w:pPr>
        <w:pStyle w:val="Opredelitev"/>
        <w:spacing w:before="0" w:after="0" w:line="276" w:lineRule="auto"/>
        <w:rPr>
          <w:b w:val="0"/>
          <w:color w:val="auto"/>
        </w:rPr>
      </w:pPr>
    </w:p>
    <w:p w14:paraId="61E56B03" w14:textId="2B15B162" w:rsidR="00695CD8" w:rsidRPr="00A335CB" w:rsidRDefault="009B17EC" w:rsidP="005D1A90">
      <w:pPr>
        <w:pStyle w:val="Naslov2"/>
        <w:spacing w:after="0" w:line="276" w:lineRule="auto"/>
        <w:jc w:val="both"/>
      </w:pPr>
      <w:bookmarkStart w:id="214" w:name="_Toc203553013"/>
      <w:r w:rsidRPr="00A335CB">
        <w:t xml:space="preserve">Sodelovanje pri raziskovalni dejavnosti v okviru </w:t>
      </w:r>
      <w:r w:rsidR="007A117A" w:rsidRPr="00A335CB">
        <w:t>ciljnih raziskovalnih projektov</w:t>
      </w:r>
      <w:bookmarkEnd w:id="214"/>
    </w:p>
    <w:p w14:paraId="43EA3902" w14:textId="1B04E5F7" w:rsidR="00653B9D" w:rsidRPr="00A335CB" w:rsidRDefault="00653B9D" w:rsidP="005D1A90">
      <w:pPr>
        <w:spacing w:after="0" w:line="276" w:lineRule="auto"/>
        <w:jc w:val="both"/>
        <w:rPr>
          <w:rFonts w:ascii="Arial" w:hAnsi="Arial" w:cs="Arial"/>
          <w:bCs/>
          <w:sz w:val="20"/>
          <w:szCs w:val="20"/>
        </w:rPr>
      </w:pPr>
    </w:p>
    <w:p w14:paraId="0B99D593" w14:textId="11BAB6B3" w:rsidR="00653B9D" w:rsidRPr="00A335CB" w:rsidRDefault="00653B9D" w:rsidP="005D1A90">
      <w:pPr>
        <w:spacing w:after="0" w:line="276" w:lineRule="auto"/>
        <w:jc w:val="both"/>
        <w:rPr>
          <w:rFonts w:ascii="Arial" w:hAnsi="Arial" w:cs="Arial"/>
          <w:bCs/>
          <w:sz w:val="20"/>
          <w:szCs w:val="20"/>
        </w:rPr>
      </w:pPr>
      <w:r w:rsidRPr="00A335CB">
        <w:rPr>
          <w:rFonts w:ascii="Arial" w:hAnsi="Arial" w:cs="Arial"/>
          <w:bCs/>
          <w:sz w:val="20"/>
          <w:szCs w:val="20"/>
        </w:rPr>
        <w:t>V letu 2024 se je nadaljevalo sodelovanje pri raziskovalni dejavnosti v okviru treh ciljnih raziskovalnih projektov</w:t>
      </w:r>
      <w:r w:rsidR="00604C66" w:rsidRPr="00A335CB">
        <w:rPr>
          <w:rFonts w:ascii="Arial" w:hAnsi="Arial" w:cs="Arial"/>
          <w:bCs/>
          <w:sz w:val="20"/>
          <w:szCs w:val="20"/>
        </w:rPr>
        <w:t>, ki jih sofinancira MNZ</w:t>
      </w:r>
      <w:r w:rsidRPr="00A335CB">
        <w:rPr>
          <w:rFonts w:ascii="Arial" w:hAnsi="Arial" w:cs="Arial"/>
          <w:bCs/>
          <w:sz w:val="20"/>
          <w:szCs w:val="20"/>
        </w:rPr>
        <w:t xml:space="preserve"> in jih je predlagal DPDVN. Projekt, ki je bil izbran na razpisu Javne agencije za raziskovalno dejavnost RS »CRP 2022«</w:t>
      </w:r>
      <w:r w:rsidR="00386944">
        <w:rPr>
          <w:rFonts w:ascii="Arial" w:hAnsi="Arial" w:cs="Arial"/>
          <w:bCs/>
          <w:sz w:val="20"/>
          <w:szCs w:val="20"/>
        </w:rPr>
        <w:t>,</w:t>
      </w:r>
      <w:r w:rsidRPr="00A335CB">
        <w:rPr>
          <w:rFonts w:ascii="Arial" w:hAnsi="Arial" w:cs="Arial"/>
          <w:bCs/>
          <w:sz w:val="20"/>
          <w:szCs w:val="20"/>
        </w:rPr>
        <w:t xml:space="preserve"> se je zaključil, nadaljeval se je projekt, ki je bil izbran na razpisu »CRP 2023«, začel pa se je izvajati projekt, ki je bil izbran na razpisu »CRP 2024«.</w:t>
      </w:r>
    </w:p>
    <w:p w14:paraId="27A325B2" w14:textId="77777777" w:rsidR="00653B9D" w:rsidRPr="00A335CB" w:rsidRDefault="00653B9D" w:rsidP="005D1A90">
      <w:pPr>
        <w:spacing w:after="0" w:line="276" w:lineRule="auto"/>
        <w:jc w:val="both"/>
        <w:rPr>
          <w:rFonts w:ascii="Arial" w:hAnsi="Arial" w:cs="Arial"/>
          <w:bCs/>
          <w:sz w:val="20"/>
          <w:szCs w:val="20"/>
        </w:rPr>
      </w:pPr>
    </w:p>
    <w:p w14:paraId="38E9E778" w14:textId="639BE2F1" w:rsidR="00653B9D" w:rsidRPr="00A335CB" w:rsidRDefault="00604C66" w:rsidP="005D1A90">
      <w:pPr>
        <w:pStyle w:val="Opredelitev"/>
        <w:spacing w:before="0" w:after="0" w:line="276" w:lineRule="auto"/>
        <w:rPr>
          <w:b w:val="0"/>
          <w:color w:val="auto"/>
        </w:rPr>
      </w:pPr>
      <w:r w:rsidRPr="00A335CB">
        <w:rPr>
          <w:b w:val="0"/>
          <w:color w:val="auto"/>
        </w:rPr>
        <w:t>MNZ</w:t>
      </w:r>
      <w:r w:rsidR="00653B9D" w:rsidRPr="00A335CB">
        <w:rPr>
          <w:b w:val="0"/>
          <w:color w:val="auto"/>
        </w:rPr>
        <w:t xml:space="preserve"> je na razpisu </w:t>
      </w:r>
      <w:r w:rsidR="00653B9D" w:rsidRPr="00A335CB">
        <w:rPr>
          <w:b w:val="0"/>
          <w:bCs/>
          <w:color w:val="auto"/>
        </w:rPr>
        <w:t xml:space="preserve">Javne agencije za raziskovalno dejavnost RS »CRP 2022« sodelovalo s ciljnim raziskovalnim projektom </w:t>
      </w:r>
      <w:r w:rsidR="00653B9D" w:rsidRPr="00A335CB">
        <w:rPr>
          <w:color w:val="auto"/>
        </w:rPr>
        <w:t>Ustreznost in nadaljnji razvoj sistemske ureditve zasebnega varovanja in področnega strokovnega interesnega združevanja v Republiki Sloveniji</w:t>
      </w:r>
      <w:r w:rsidR="00653B9D" w:rsidRPr="00A335CB">
        <w:rPr>
          <w:b w:val="0"/>
          <w:color w:val="auto"/>
        </w:rPr>
        <w:t xml:space="preserve">. V letu 2023 je bil pripravljen in izveden empirični del raziskave, </w:t>
      </w:r>
      <w:r w:rsidR="007351C2" w:rsidRPr="00A335CB">
        <w:rPr>
          <w:b w:val="0"/>
          <w:color w:val="auto"/>
        </w:rPr>
        <w:t>ugotovljen</w:t>
      </w:r>
      <w:r w:rsidR="007351C2">
        <w:rPr>
          <w:b w:val="0"/>
          <w:color w:val="auto"/>
        </w:rPr>
        <w:t>i</w:t>
      </w:r>
      <w:r w:rsidR="007351C2" w:rsidRPr="00A335CB">
        <w:rPr>
          <w:b w:val="0"/>
          <w:color w:val="auto"/>
        </w:rPr>
        <w:t xml:space="preserve"> </w:t>
      </w:r>
      <w:r w:rsidR="00653B9D" w:rsidRPr="00A335CB">
        <w:rPr>
          <w:b w:val="0"/>
          <w:color w:val="auto"/>
        </w:rPr>
        <w:t xml:space="preserve">so </w:t>
      </w:r>
      <w:r w:rsidR="007351C2" w:rsidRPr="00A335CB">
        <w:rPr>
          <w:b w:val="0"/>
          <w:color w:val="auto"/>
        </w:rPr>
        <w:t>bil</w:t>
      </w:r>
      <w:r w:rsidR="007351C2">
        <w:rPr>
          <w:b w:val="0"/>
          <w:color w:val="auto"/>
        </w:rPr>
        <w:t>i</w:t>
      </w:r>
      <w:r w:rsidR="007351C2" w:rsidRPr="00A335CB">
        <w:rPr>
          <w:b w:val="0"/>
          <w:color w:val="auto"/>
        </w:rPr>
        <w:t xml:space="preserve"> </w:t>
      </w:r>
      <w:r w:rsidR="00653B9D" w:rsidRPr="00A335CB">
        <w:rPr>
          <w:b w:val="0"/>
          <w:color w:val="auto"/>
        </w:rPr>
        <w:t xml:space="preserve">prednosti, slabosti in tveganja na področju zasebnega varovanja ter pripravljeni elementi strategije nadaljnjega razvoja zasebnega varovanja v Sloveniji, v letu 2024 pa je bil projekt zaključen s končnim poročilom, ki nudi znanstveno podlago za pripravo nove strategije zasebnega varovanja.  </w:t>
      </w:r>
    </w:p>
    <w:p w14:paraId="0061BD37" w14:textId="77777777" w:rsidR="00653B9D" w:rsidRPr="00A335CB" w:rsidRDefault="00653B9D" w:rsidP="005D1A90">
      <w:pPr>
        <w:pStyle w:val="Opredelitev"/>
        <w:spacing w:before="0" w:after="0" w:line="276" w:lineRule="auto"/>
        <w:rPr>
          <w:b w:val="0"/>
          <w:color w:val="auto"/>
        </w:rPr>
      </w:pPr>
    </w:p>
    <w:p w14:paraId="40A4998F" w14:textId="0C752C6F" w:rsidR="00653B9D" w:rsidRPr="00A335CB" w:rsidRDefault="00653B9D" w:rsidP="005D1A90">
      <w:pPr>
        <w:pStyle w:val="Opredelitev"/>
        <w:spacing w:before="0" w:after="0" w:line="276" w:lineRule="auto"/>
        <w:rPr>
          <w:b w:val="0"/>
          <w:bCs/>
          <w:color w:val="auto"/>
        </w:rPr>
      </w:pPr>
      <w:r w:rsidRPr="00A335CB">
        <w:rPr>
          <w:b w:val="0"/>
          <w:color w:val="auto"/>
        </w:rPr>
        <w:t xml:space="preserve">Na razpisu </w:t>
      </w:r>
      <w:r w:rsidRPr="00A335CB">
        <w:rPr>
          <w:b w:val="0"/>
          <w:bCs/>
          <w:color w:val="auto"/>
        </w:rPr>
        <w:t>Javne agencije za raziskovalno dejavnost RS »CRP 202</w:t>
      </w:r>
      <w:r w:rsidR="00604C66" w:rsidRPr="00A335CB">
        <w:rPr>
          <w:b w:val="0"/>
          <w:bCs/>
          <w:color w:val="auto"/>
        </w:rPr>
        <w:t>3« je bil na predlog MNZ</w:t>
      </w:r>
      <w:r w:rsidRPr="00A335CB">
        <w:rPr>
          <w:b w:val="0"/>
          <w:bCs/>
          <w:color w:val="auto"/>
        </w:rPr>
        <w:t xml:space="preserve"> uvrščen ciljni raziskovalni projekt </w:t>
      </w:r>
      <w:r w:rsidRPr="00A335CB">
        <w:rPr>
          <w:color w:val="auto"/>
        </w:rPr>
        <w:t>Model strateškega načrtovanja, ki vključuje vodenje s cilji in poslovno odličnost pri zagotavljanju notranje varnosti</w:t>
      </w:r>
      <w:r w:rsidR="007351C2">
        <w:rPr>
          <w:color w:val="auto"/>
        </w:rPr>
        <w:t>,</w:t>
      </w:r>
      <w:r w:rsidRPr="00A335CB">
        <w:rPr>
          <w:color w:val="auto"/>
        </w:rPr>
        <w:t xml:space="preserve"> ter njegova implementacija</w:t>
      </w:r>
      <w:r w:rsidRPr="00A335CB">
        <w:rPr>
          <w:b w:val="0"/>
          <w:color w:val="auto"/>
        </w:rPr>
        <w:t>.</w:t>
      </w:r>
      <w:r w:rsidRPr="00A335CB">
        <w:rPr>
          <w:b w:val="0"/>
          <w:bCs/>
          <w:color w:val="auto"/>
        </w:rPr>
        <w:t xml:space="preserve"> </w:t>
      </w:r>
      <w:r w:rsidRPr="00A335CB">
        <w:rPr>
          <w:b w:val="0"/>
          <w:color w:val="auto"/>
        </w:rPr>
        <w:t>V letu 2024 je bil</w:t>
      </w:r>
      <w:r w:rsidR="00604C66" w:rsidRPr="00A335CB">
        <w:rPr>
          <w:b w:val="0"/>
          <w:color w:val="auto"/>
        </w:rPr>
        <w:t>a</w:t>
      </w:r>
      <w:r w:rsidRPr="00A335CB">
        <w:rPr>
          <w:b w:val="0"/>
          <w:color w:val="auto"/>
        </w:rPr>
        <w:t xml:space="preserve"> pripravljena podlaga za evalvacijo modela za upravljanje kakovosti in uspešnosti v policiji. Z</w:t>
      </w:r>
      <w:r w:rsidRPr="00A335CB">
        <w:rPr>
          <w:b w:val="0"/>
          <w:bCs/>
          <w:color w:val="auto"/>
        </w:rPr>
        <w:t xml:space="preserve">aradi razlogov na strani izvajalca, na katere </w:t>
      </w:r>
      <w:r w:rsidR="00604C66" w:rsidRPr="00A335CB">
        <w:rPr>
          <w:b w:val="0"/>
          <w:bCs/>
          <w:color w:val="auto"/>
        </w:rPr>
        <w:t>MNZ ni moglo</w:t>
      </w:r>
      <w:r w:rsidRPr="00A335CB">
        <w:rPr>
          <w:b w:val="0"/>
          <w:bCs/>
          <w:color w:val="auto"/>
        </w:rPr>
        <w:t xml:space="preserve"> vplivati, </w:t>
      </w:r>
      <w:r w:rsidRPr="00A335CB">
        <w:rPr>
          <w:b w:val="0"/>
          <w:color w:val="auto"/>
        </w:rPr>
        <w:t xml:space="preserve">je prišlo </w:t>
      </w:r>
      <w:r w:rsidRPr="00A335CB">
        <w:rPr>
          <w:b w:val="0"/>
          <w:bCs/>
          <w:color w:val="auto"/>
        </w:rPr>
        <w:t xml:space="preserve">do nepredvidenega zamika izvajanja večine projektnih aktivnosti v leto 2025, zaradi česar bo tudi plačilo teh aktivnosti s strani MNZ izvedeno v letu 2025 </w:t>
      </w:r>
      <w:r w:rsidR="00604C66" w:rsidRPr="00A335CB">
        <w:rPr>
          <w:b w:val="0"/>
          <w:bCs/>
          <w:color w:val="auto"/>
        </w:rPr>
        <w:t>namesto v letu 2024, MNZ</w:t>
      </w:r>
      <w:r w:rsidRPr="00A335CB">
        <w:rPr>
          <w:b w:val="0"/>
          <w:bCs/>
          <w:color w:val="auto"/>
        </w:rPr>
        <w:t xml:space="preserve"> pa bo z izvajalcem sklenilo aneks o sofinanciranju in izvajanju projekta.</w:t>
      </w:r>
    </w:p>
    <w:p w14:paraId="05A3CDBC" w14:textId="77777777" w:rsidR="00653B9D" w:rsidRPr="00A335CB" w:rsidRDefault="00653B9D" w:rsidP="005D1A90">
      <w:pPr>
        <w:pStyle w:val="Opredelitev"/>
        <w:spacing w:before="0" w:after="0" w:line="276" w:lineRule="auto"/>
        <w:rPr>
          <w:b w:val="0"/>
          <w:bCs/>
          <w:color w:val="auto"/>
        </w:rPr>
      </w:pPr>
    </w:p>
    <w:p w14:paraId="5712CC9F" w14:textId="45C2309C" w:rsidR="00653B9D" w:rsidRPr="00A335CB" w:rsidRDefault="00653B9D" w:rsidP="005D1A90">
      <w:pPr>
        <w:pStyle w:val="Opredelitev"/>
        <w:spacing w:before="0" w:after="0" w:line="276" w:lineRule="auto"/>
        <w:rPr>
          <w:b w:val="0"/>
          <w:color w:val="auto"/>
        </w:rPr>
      </w:pPr>
      <w:r w:rsidRPr="00A335CB">
        <w:rPr>
          <w:b w:val="0"/>
          <w:bCs/>
          <w:color w:val="auto"/>
        </w:rPr>
        <w:t xml:space="preserve">Na podlagi skupnega predloga MNZ, </w:t>
      </w:r>
      <w:r w:rsidR="002A06B7">
        <w:rPr>
          <w:b w:val="0"/>
          <w:bCs/>
          <w:color w:val="auto"/>
        </w:rPr>
        <w:t>p</w:t>
      </w:r>
      <w:r w:rsidR="002A06B7" w:rsidRPr="00A335CB">
        <w:rPr>
          <w:b w:val="0"/>
          <w:bCs/>
          <w:color w:val="auto"/>
        </w:rPr>
        <w:t>olicije</w:t>
      </w:r>
      <w:r w:rsidRPr="00A335CB">
        <w:rPr>
          <w:b w:val="0"/>
          <w:bCs/>
          <w:color w:val="auto"/>
        </w:rPr>
        <w:t xml:space="preserve">, </w:t>
      </w:r>
      <w:r w:rsidR="0074144B" w:rsidRPr="00A335CB">
        <w:rPr>
          <w:b w:val="0"/>
          <w:bCs/>
          <w:color w:val="auto"/>
        </w:rPr>
        <w:t xml:space="preserve">MJU in MORS </w:t>
      </w:r>
      <w:r w:rsidRPr="00A335CB">
        <w:rPr>
          <w:b w:val="0"/>
          <w:bCs/>
          <w:color w:val="auto"/>
        </w:rPr>
        <w:t xml:space="preserve">je bil na razpisu Javne agencije za raziskovalno dejavnost RS »CRP 2024« izbran projekt </w:t>
      </w:r>
      <w:r w:rsidRPr="00A335CB">
        <w:rPr>
          <w:bCs/>
          <w:color w:val="auto"/>
        </w:rPr>
        <w:t xml:space="preserve">MONSOON </w:t>
      </w:r>
      <w:r w:rsidR="002A06B7">
        <w:rPr>
          <w:bCs/>
          <w:color w:val="auto"/>
        </w:rPr>
        <w:t>–</w:t>
      </w:r>
      <w:r w:rsidR="002A06B7" w:rsidRPr="00A335CB">
        <w:rPr>
          <w:bCs/>
          <w:color w:val="auto"/>
        </w:rPr>
        <w:t xml:space="preserve"> </w:t>
      </w:r>
      <w:r w:rsidRPr="00A335CB">
        <w:rPr>
          <w:bCs/>
          <w:color w:val="auto"/>
        </w:rPr>
        <w:t>Razvoj modela in prototipa tehnične rešitve za obvladovanje varnostnih pojavov na lokalni ravni</w:t>
      </w:r>
      <w:r w:rsidRPr="00A335CB">
        <w:rPr>
          <w:b w:val="0"/>
          <w:bCs/>
          <w:color w:val="auto"/>
        </w:rPr>
        <w:t xml:space="preserve">. Projekt, katerega namen je županom in drugim odločevalcem na občinski ravni ponuditi informatiziran model za predvidevanje in načrtovanje pravočasnih odzivov na varnostne pojave, ki ogrožajo ljudi v lokalnih skupnostih, vključno z ilegalnimi migracijami, epidemijami in naravnimi nesrečami, se je začel izvajati konec leta 2024. Projektna skupina je začela zbirati podatke o vlogi lokalnih skupnosti pri ocenjevanju in obvladovanju varnostnih pojavov velikih razsežnosti, pregledovati znanstveno literaturo in zakonodajo ter zbirati </w:t>
      </w:r>
      <w:r w:rsidR="00721952">
        <w:rPr>
          <w:b w:val="0"/>
          <w:bCs/>
          <w:color w:val="auto"/>
        </w:rPr>
        <w:t>morebitne</w:t>
      </w:r>
      <w:r w:rsidR="00721952" w:rsidRPr="00A335CB">
        <w:rPr>
          <w:b w:val="0"/>
          <w:bCs/>
          <w:color w:val="auto"/>
        </w:rPr>
        <w:t xml:space="preserve"> </w:t>
      </w:r>
      <w:r w:rsidRPr="00A335CB">
        <w:rPr>
          <w:b w:val="0"/>
          <w:bCs/>
          <w:color w:val="auto"/>
        </w:rPr>
        <w:t>interese lokalnih skupnosti za sodelovanje v raziskavi. Vzpostavljena je bila tudi spletna stran projekta.</w:t>
      </w:r>
    </w:p>
    <w:p w14:paraId="5D785329" w14:textId="77777777" w:rsidR="00695CD8" w:rsidRPr="00A335CB" w:rsidRDefault="00695CD8" w:rsidP="005D1A90">
      <w:pPr>
        <w:pStyle w:val="Opredelitev"/>
        <w:spacing w:before="0" w:after="0" w:line="276" w:lineRule="auto"/>
        <w:rPr>
          <w:b w:val="0"/>
          <w:color w:val="auto"/>
        </w:rPr>
      </w:pPr>
    </w:p>
    <w:p w14:paraId="2F13DA86" w14:textId="77777777" w:rsidR="00695CD8" w:rsidRPr="00A335CB" w:rsidRDefault="00695CD8" w:rsidP="005D1A90">
      <w:pPr>
        <w:pStyle w:val="Opredelitev"/>
        <w:spacing w:before="0" w:after="0" w:line="276" w:lineRule="auto"/>
        <w:rPr>
          <w:color w:val="auto"/>
        </w:rPr>
      </w:pPr>
    </w:p>
    <w:sectPr w:rsidR="00695CD8" w:rsidRPr="00A335CB" w:rsidSect="00FE3D30">
      <w:footerReference w:type="default" r:id="rId2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37D0" w14:textId="77777777" w:rsidR="001B7AD6" w:rsidRDefault="001B7AD6" w:rsidP="00185694">
      <w:pPr>
        <w:spacing w:after="0" w:line="240" w:lineRule="auto"/>
      </w:pPr>
      <w:r>
        <w:separator/>
      </w:r>
    </w:p>
  </w:endnote>
  <w:endnote w:type="continuationSeparator" w:id="0">
    <w:p w14:paraId="067DDC83" w14:textId="77777777" w:rsidR="001B7AD6" w:rsidRDefault="001B7AD6" w:rsidP="0018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ヒラギノ角ゴ Pro W3">
    <w:altName w:val="MS Gothic"/>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CF73" w14:textId="51E3062E" w:rsidR="006378F8" w:rsidRPr="000539D5" w:rsidRDefault="006378F8" w:rsidP="00040894">
    <w:pPr>
      <w:pStyle w:val="Noga"/>
      <w:tabs>
        <w:tab w:val="clear" w:pos="4536"/>
        <w:tab w:val="clear" w:pos="9072"/>
        <w:tab w:val="center" w:pos="4535"/>
        <w:tab w:val="right" w:pos="9070"/>
      </w:tabs>
      <w:rPr>
        <w:rFonts w:ascii="Arial" w:hAnsi="Arial" w:cs="Arial"/>
        <w:sz w:val="20"/>
        <w:szCs w:val="20"/>
      </w:rPr>
    </w:pPr>
    <w:r>
      <w:tab/>
    </w:r>
    <w:sdt>
      <w:sdtPr>
        <w:id w:val="-1160468091"/>
        <w:docPartObj>
          <w:docPartGallery w:val="Page Numbers (Bottom of Page)"/>
          <w:docPartUnique/>
        </w:docPartObj>
      </w:sdtPr>
      <w:sdtEndPr>
        <w:rPr>
          <w:rFonts w:ascii="Arial" w:hAnsi="Arial" w:cs="Arial"/>
          <w:sz w:val="20"/>
          <w:szCs w:val="20"/>
        </w:rPr>
      </w:sdtEndPr>
      <w:sdtContent>
        <w:r w:rsidRPr="000539D5">
          <w:rPr>
            <w:rFonts w:ascii="Arial" w:hAnsi="Arial" w:cs="Arial"/>
            <w:sz w:val="20"/>
            <w:szCs w:val="20"/>
          </w:rPr>
          <w:fldChar w:fldCharType="begin"/>
        </w:r>
        <w:r w:rsidRPr="000539D5">
          <w:rPr>
            <w:rFonts w:ascii="Arial" w:hAnsi="Arial" w:cs="Arial"/>
            <w:sz w:val="20"/>
            <w:szCs w:val="20"/>
          </w:rPr>
          <w:instrText>PAGE   \* MERGEFORMAT</w:instrText>
        </w:r>
        <w:r w:rsidRPr="000539D5">
          <w:rPr>
            <w:rFonts w:ascii="Arial" w:hAnsi="Arial" w:cs="Arial"/>
            <w:sz w:val="20"/>
            <w:szCs w:val="20"/>
          </w:rPr>
          <w:fldChar w:fldCharType="separate"/>
        </w:r>
        <w:r w:rsidR="0057399B">
          <w:rPr>
            <w:rFonts w:ascii="Arial" w:hAnsi="Arial" w:cs="Arial"/>
            <w:noProof/>
            <w:sz w:val="20"/>
            <w:szCs w:val="20"/>
          </w:rPr>
          <w:t>3</w:t>
        </w:r>
        <w:r w:rsidRPr="000539D5">
          <w:rPr>
            <w:rFonts w:ascii="Arial" w:hAnsi="Arial" w:cs="Arial"/>
            <w:sz w:val="20"/>
            <w:szCs w:val="20"/>
          </w:rPr>
          <w:fldChar w:fldCharType="end"/>
        </w:r>
      </w:sdtContent>
    </w:sdt>
    <w:r>
      <w:rPr>
        <w:rFonts w:ascii="Arial" w:hAnsi="Arial" w:cs="Arial"/>
        <w:sz w:val="20"/>
        <w:szCs w:val="20"/>
      </w:rPr>
      <w:tab/>
    </w:r>
  </w:p>
  <w:p w14:paraId="3B1A5BA7" w14:textId="1B5C1894" w:rsidR="006378F8" w:rsidRDefault="006378F8" w:rsidP="0026017C">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EC5" w14:textId="77777777" w:rsidR="001B7AD6" w:rsidRDefault="001B7AD6" w:rsidP="00185694">
      <w:pPr>
        <w:spacing w:after="0" w:line="240" w:lineRule="auto"/>
      </w:pPr>
      <w:r>
        <w:separator/>
      </w:r>
    </w:p>
  </w:footnote>
  <w:footnote w:type="continuationSeparator" w:id="0">
    <w:p w14:paraId="5FDF8C1C" w14:textId="77777777" w:rsidR="001B7AD6" w:rsidRDefault="001B7AD6" w:rsidP="00185694">
      <w:pPr>
        <w:spacing w:after="0" w:line="240" w:lineRule="auto"/>
      </w:pPr>
      <w:r>
        <w:continuationSeparator/>
      </w:r>
    </w:p>
  </w:footnote>
  <w:footnote w:id="1">
    <w:p w14:paraId="093ABED4" w14:textId="77777777" w:rsidR="006378F8" w:rsidRPr="009C51CB" w:rsidRDefault="006378F8" w:rsidP="00653B9D">
      <w:pPr>
        <w:pStyle w:val="Sprotnaopomba-besedilo"/>
        <w:rPr>
          <w:rFonts w:ascii="Arial" w:hAnsi="Arial" w:cs="Arial"/>
          <w:sz w:val="16"/>
          <w:szCs w:val="16"/>
        </w:rPr>
      </w:pPr>
      <w:r w:rsidRPr="009C51CB">
        <w:rPr>
          <w:rStyle w:val="Sprotnaopomba-sklic"/>
          <w:rFonts w:ascii="Arial" w:hAnsi="Arial" w:cs="Arial"/>
          <w:sz w:val="16"/>
          <w:szCs w:val="16"/>
        </w:rPr>
        <w:footnoteRef/>
      </w:r>
      <w:r w:rsidRPr="009C51CB">
        <w:rPr>
          <w:rFonts w:ascii="Arial" w:hAnsi="Arial" w:cs="Arial"/>
          <w:sz w:val="16"/>
          <w:szCs w:val="16"/>
        </w:rPr>
        <w:t xml:space="preserve"> V oklepaju so prikazani primerjalni podatki za leto 2023.</w:t>
      </w:r>
    </w:p>
  </w:footnote>
  <w:footnote w:id="2">
    <w:p w14:paraId="75088372" w14:textId="0AAAF03E" w:rsidR="006378F8" w:rsidRPr="009C51CB" w:rsidRDefault="006378F8" w:rsidP="00653B9D">
      <w:pPr>
        <w:spacing w:after="0" w:line="240" w:lineRule="auto"/>
        <w:ind w:left="227" w:hanging="227"/>
        <w:jc w:val="both"/>
        <w:rPr>
          <w:sz w:val="16"/>
          <w:szCs w:val="16"/>
        </w:rPr>
      </w:pPr>
      <w:r w:rsidRPr="009C51CB">
        <w:rPr>
          <w:rStyle w:val="Sprotnaopomba-sklic"/>
          <w:rFonts w:ascii="Arial" w:hAnsi="Arial" w:cs="Arial"/>
          <w:sz w:val="16"/>
          <w:szCs w:val="16"/>
        </w:rPr>
        <w:footnoteRef/>
      </w:r>
      <w:r w:rsidRPr="009C51CB">
        <w:rPr>
          <w:rFonts w:ascii="Arial" w:hAnsi="Arial" w:cs="Arial"/>
          <w:sz w:val="16"/>
          <w:szCs w:val="16"/>
        </w:rPr>
        <w:t xml:space="preserve"> </w:t>
      </w:r>
      <w:r w:rsidRPr="009C51CB">
        <w:rPr>
          <w:rFonts w:ascii="Arial" w:hAnsi="Arial" w:cs="Arial"/>
          <w:sz w:val="16"/>
          <w:szCs w:val="16"/>
        </w:rPr>
        <w:tab/>
      </w:r>
      <w:r w:rsidRPr="009C51CB">
        <w:rPr>
          <w:rFonts w:ascii="Arial" w:hAnsi="Arial" w:cs="Arial"/>
          <w:sz w:val="16"/>
          <w:szCs w:val="16"/>
        </w:rPr>
        <w:t xml:space="preserve">Letna nihanja pri varnostnem preverjanju tujih državljanov so posledica okoliščine, da se obdobni remont v jedrski elektrarni Krško izvaja vsakih 18 mesecev. </w:t>
      </w:r>
    </w:p>
  </w:footnote>
  <w:footnote w:id="3">
    <w:p w14:paraId="1C913EF7" w14:textId="524FBB1B" w:rsidR="006378F8" w:rsidRPr="00350975" w:rsidRDefault="006378F8" w:rsidP="008D3F61">
      <w:pPr>
        <w:pStyle w:val="Sprotnaopomba-besedilo"/>
        <w:rPr>
          <w:rFonts w:ascii="Arial" w:hAnsi="Arial" w:cs="Arial"/>
          <w:sz w:val="16"/>
        </w:rPr>
      </w:pPr>
      <w:r w:rsidRPr="00350975">
        <w:rPr>
          <w:rStyle w:val="Sprotnaopomba-sklic"/>
          <w:rFonts w:ascii="Arial" w:hAnsi="Arial" w:cs="Arial"/>
          <w:sz w:val="16"/>
        </w:rPr>
        <w:footnoteRef/>
      </w:r>
      <w:r w:rsidRPr="00350975">
        <w:rPr>
          <w:rFonts w:ascii="Arial" w:hAnsi="Arial" w:cs="Arial"/>
          <w:sz w:val="16"/>
        </w:rPr>
        <w:t xml:space="preserve"> </w:t>
      </w:r>
      <w:proofErr w:type="spellStart"/>
      <w:r w:rsidRPr="00350975">
        <w:rPr>
          <w:rFonts w:ascii="Arial" w:hAnsi="Arial" w:cs="Arial"/>
          <w:sz w:val="16"/>
        </w:rPr>
        <w:t>Prognosis</w:t>
      </w:r>
      <w:proofErr w:type="spellEnd"/>
      <w:r w:rsidRPr="00350975">
        <w:rPr>
          <w:rFonts w:ascii="Arial" w:hAnsi="Arial" w:cs="Arial"/>
          <w:sz w:val="16"/>
        </w:rPr>
        <w:t xml:space="preserve"> </w:t>
      </w:r>
      <w:proofErr w:type="spellStart"/>
      <w:r w:rsidRPr="00350975">
        <w:rPr>
          <w:rFonts w:ascii="Arial" w:hAnsi="Arial" w:cs="Arial"/>
          <w:sz w:val="16"/>
        </w:rPr>
        <w:t>Network</w:t>
      </w:r>
      <w:proofErr w:type="spellEnd"/>
      <w:r>
        <w:rPr>
          <w:rFonts w:ascii="Arial" w:hAnsi="Arial" w:cs="Arial"/>
          <w:sz w:val="16"/>
        </w:rPr>
        <w:t>.</w:t>
      </w:r>
    </w:p>
  </w:footnote>
  <w:footnote w:id="4">
    <w:p w14:paraId="0B2942C1" w14:textId="68882609" w:rsidR="006378F8" w:rsidRPr="00350975" w:rsidRDefault="006378F8" w:rsidP="008D3F61">
      <w:pPr>
        <w:pStyle w:val="Sprotnaopomba-besedilo"/>
        <w:rPr>
          <w:rFonts w:ascii="Arial" w:hAnsi="Arial" w:cs="Arial"/>
          <w:sz w:val="16"/>
        </w:rPr>
      </w:pPr>
      <w:r w:rsidRPr="00350975">
        <w:rPr>
          <w:rStyle w:val="Sprotnaopomba-sklic"/>
          <w:rFonts w:ascii="Arial" w:hAnsi="Arial" w:cs="Arial"/>
          <w:sz w:val="16"/>
        </w:rPr>
        <w:footnoteRef/>
      </w:r>
      <w:r w:rsidRPr="00350975">
        <w:rPr>
          <w:rFonts w:ascii="Arial" w:hAnsi="Arial" w:cs="Arial"/>
          <w:sz w:val="16"/>
        </w:rPr>
        <w:t xml:space="preserve"> Legal </w:t>
      </w:r>
      <w:proofErr w:type="spellStart"/>
      <w:r w:rsidRPr="00350975">
        <w:rPr>
          <w:rFonts w:ascii="Arial" w:hAnsi="Arial" w:cs="Arial"/>
          <w:sz w:val="16"/>
        </w:rPr>
        <w:t>Network</w:t>
      </w:r>
      <w:proofErr w:type="spellEnd"/>
      <w:r>
        <w:rPr>
          <w:rFonts w:ascii="Arial" w:hAnsi="Arial" w:cs="Arial"/>
          <w:sz w:val="16"/>
        </w:rPr>
        <w:t>.</w:t>
      </w:r>
    </w:p>
  </w:footnote>
  <w:footnote w:id="5">
    <w:p w14:paraId="48F2A25B" w14:textId="20006E44" w:rsidR="006378F8" w:rsidRPr="00350975" w:rsidRDefault="006378F8" w:rsidP="008D3F61">
      <w:pPr>
        <w:pStyle w:val="Sprotnaopomba-besedilo"/>
        <w:rPr>
          <w:rFonts w:ascii="Arial" w:hAnsi="Arial" w:cs="Arial"/>
          <w:sz w:val="16"/>
        </w:rPr>
      </w:pPr>
      <w:r w:rsidRPr="00350975">
        <w:rPr>
          <w:rStyle w:val="Sprotnaopomba-sklic"/>
          <w:rFonts w:ascii="Arial" w:hAnsi="Arial" w:cs="Arial"/>
          <w:sz w:val="16"/>
        </w:rPr>
        <w:footnoteRef/>
      </w:r>
      <w:r w:rsidRPr="00350975">
        <w:rPr>
          <w:rFonts w:ascii="Arial" w:hAnsi="Arial" w:cs="Arial"/>
          <w:sz w:val="16"/>
        </w:rPr>
        <w:t xml:space="preserve"> IT </w:t>
      </w:r>
      <w:proofErr w:type="spellStart"/>
      <w:r w:rsidRPr="00350975">
        <w:rPr>
          <w:rFonts w:ascii="Arial" w:hAnsi="Arial" w:cs="Arial"/>
          <w:sz w:val="16"/>
        </w:rPr>
        <w:t>Network</w:t>
      </w:r>
      <w:proofErr w:type="spellEnd"/>
      <w:r>
        <w:rPr>
          <w:rFonts w:ascii="Arial" w:hAnsi="Arial" w:cs="Arial"/>
          <w:sz w:val="16"/>
        </w:rPr>
        <w:t>.</w:t>
      </w:r>
    </w:p>
  </w:footnote>
  <w:footnote w:id="6">
    <w:p w14:paraId="1F4B5866" w14:textId="35799E19" w:rsidR="006378F8" w:rsidRDefault="006378F8" w:rsidP="008D3F61">
      <w:pPr>
        <w:pStyle w:val="Sprotnaopomba-besedilo"/>
      </w:pPr>
      <w:r w:rsidRPr="00350975">
        <w:rPr>
          <w:rStyle w:val="Sprotnaopomba-sklic"/>
          <w:rFonts w:ascii="Arial" w:hAnsi="Arial" w:cs="Arial"/>
          <w:sz w:val="16"/>
        </w:rPr>
        <w:footnoteRef/>
      </w:r>
      <w:r w:rsidRPr="00350975">
        <w:rPr>
          <w:rFonts w:ascii="Arial" w:hAnsi="Arial" w:cs="Arial"/>
          <w:sz w:val="16"/>
        </w:rPr>
        <w:t xml:space="preserve"> Legal </w:t>
      </w:r>
      <w:proofErr w:type="spellStart"/>
      <w:r w:rsidRPr="00350975">
        <w:rPr>
          <w:rFonts w:ascii="Arial" w:hAnsi="Arial" w:cs="Arial"/>
          <w:sz w:val="16"/>
        </w:rPr>
        <w:t>Migration</w:t>
      </w:r>
      <w:proofErr w:type="spellEnd"/>
      <w:r w:rsidRPr="00350975">
        <w:rPr>
          <w:rFonts w:ascii="Arial" w:hAnsi="Arial" w:cs="Arial"/>
          <w:sz w:val="16"/>
        </w:rPr>
        <w:t xml:space="preserve"> </w:t>
      </w:r>
      <w:proofErr w:type="spellStart"/>
      <w:r w:rsidRPr="00350975">
        <w:rPr>
          <w:rFonts w:ascii="Arial" w:hAnsi="Arial" w:cs="Arial"/>
          <w:sz w:val="16"/>
        </w:rPr>
        <w:t>Working</w:t>
      </w:r>
      <w:proofErr w:type="spellEnd"/>
      <w:r w:rsidRPr="00350975">
        <w:rPr>
          <w:rFonts w:ascii="Arial" w:hAnsi="Arial" w:cs="Arial"/>
          <w:sz w:val="16"/>
        </w:rPr>
        <w:t xml:space="preserve"> </w:t>
      </w:r>
      <w:proofErr w:type="spellStart"/>
      <w:r w:rsidRPr="00350975">
        <w:rPr>
          <w:rFonts w:ascii="Arial" w:hAnsi="Arial" w:cs="Arial"/>
          <w:sz w:val="16"/>
        </w:rPr>
        <w:t>Group</w:t>
      </w:r>
      <w:proofErr w:type="spellEnd"/>
      <w:r>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588"/>
    <w:multiLevelType w:val="hybridMultilevel"/>
    <w:tmpl w:val="ADCE4EF2"/>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1376A0"/>
    <w:multiLevelType w:val="hybridMultilevel"/>
    <w:tmpl w:val="A792F66C"/>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09E140A2"/>
    <w:multiLevelType w:val="multilevel"/>
    <w:tmpl w:val="716A829C"/>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A190504"/>
    <w:multiLevelType w:val="hybridMultilevel"/>
    <w:tmpl w:val="5AAABAA8"/>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AB3AE4"/>
    <w:multiLevelType w:val="hybridMultilevel"/>
    <w:tmpl w:val="FC1ED500"/>
    <w:lvl w:ilvl="0" w:tplc="84088EA8">
      <w:start w:val="1"/>
      <w:numFmt w:val="bullet"/>
      <w:lvlText w:val=""/>
      <w:lvlJc w:val="left"/>
      <w:pPr>
        <w:ind w:left="776" w:hanging="360"/>
      </w:pPr>
      <w:rPr>
        <w:rFonts w:ascii="Symbol" w:hAnsi="Symbol"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5" w15:restartNumberingAfterBreak="0">
    <w:nsid w:val="120922CD"/>
    <w:multiLevelType w:val="hybridMultilevel"/>
    <w:tmpl w:val="8B803FDC"/>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F70D62"/>
    <w:multiLevelType w:val="hybridMultilevel"/>
    <w:tmpl w:val="39BEBF82"/>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B63328"/>
    <w:multiLevelType w:val="multilevel"/>
    <w:tmpl w:val="68BC9544"/>
    <w:lvl w:ilvl="0">
      <w:start w:val="1"/>
      <w:numFmt w:val="decimal"/>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1D904F64"/>
    <w:multiLevelType w:val="hybridMultilevel"/>
    <w:tmpl w:val="E08E3716"/>
    <w:lvl w:ilvl="0" w:tplc="67B63AE6">
      <w:start w:val="1"/>
      <w:numFmt w:val="bullet"/>
      <w:lvlText w:val=""/>
      <w:lvlJc w:val="left"/>
      <w:pPr>
        <w:ind w:left="360" w:hanging="360"/>
      </w:pPr>
      <w:rPr>
        <w:rFonts w:ascii="Symbol" w:hAnsi="Symbol" w:hint="default"/>
      </w:rPr>
    </w:lvl>
    <w:lvl w:ilvl="1" w:tplc="AE8235E0">
      <w:numFmt w:val="bullet"/>
      <w:lvlText w:val="·"/>
      <w:lvlJc w:val="left"/>
      <w:pPr>
        <w:ind w:left="1425" w:hanging="705"/>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2D45B71"/>
    <w:multiLevelType w:val="hybridMultilevel"/>
    <w:tmpl w:val="B3C66912"/>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4754D0A"/>
    <w:multiLevelType w:val="hybridMultilevel"/>
    <w:tmpl w:val="7F7ADD5E"/>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2B4B86"/>
    <w:multiLevelType w:val="hybridMultilevel"/>
    <w:tmpl w:val="19FE945E"/>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077911"/>
    <w:multiLevelType w:val="hybridMultilevel"/>
    <w:tmpl w:val="6E16CAE6"/>
    <w:lvl w:ilvl="0" w:tplc="19BA3A84">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D">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051BBC"/>
    <w:multiLevelType w:val="hybridMultilevel"/>
    <w:tmpl w:val="30EA02F2"/>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2244E71"/>
    <w:multiLevelType w:val="hybridMultilevel"/>
    <w:tmpl w:val="49F46F8C"/>
    <w:lvl w:ilvl="0" w:tplc="67B63AE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23590A"/>
    <w:multiLevelType w:val="hybridMultilevel"/>
    <w:tmpl w:val="9336207E"/>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5204E19"/>
    <w:multiLevelType w:val="hybridMultilevel"/>
    <w:tmpl w:val="12325D3A"/>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5646BE1"/>
    <w:multiLevelType w:val="hybridMultilevel"/>
    <w:tmpl w:val="B2A289FA"/>
    <w:lvl w:ilvl="0" w:tplc="67B63AE6">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DD29DE"/>
    <w:multiLevelType w:val="hybridMultilevel"/>
    <w:tmpl w:val="D5C2FEA8"/>
    <w:lvl w:ilvl="0" w:tplc="10A27776">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C070DC1"/>
    <w:multiLevelType w:val="hybridMultilevel"/>
    <w:tmpl w:val="A4E2F8BC"/>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19C4A84"/>
    <w:multiLevelType w:val="hybridMultilevel"/>
    <w:tmpl w:val="35043AE0"/>
    <w:lvl w:ilvl="0" w:tplc="19BA3A84">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8203448">
      <w:start w:val="781"/>
      <w:numFmt w:val="bullet"/>
      <w:lvlText w:val=""/>
      <w:lvlJc w:val="left"/>
      <w:pPr>
        <w:ind w:left="2160" w:hanging="360"/>
      </w:pPr>
      <w:rPr>
        <w:rFonts w:ascii="Wingdings" w:eastAsia="Calibri" w:hAnsi="Wingdings" w:cs="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AD5EB1"/>
    <w:multiLevelType w:val="hybridMultilevel"/>
    <w:tmpl w:val="08AC291E"/>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E6443B"/>
    <w:multiLevelType w:val="hybridMultilevel"/>
    <w:tmpl w:val="7C207008"/>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A817CE7"/>
    <w:multiLevelType w:val="hybridMultilevel"/>
    <w:tmpl w:val="F1C48944"/>
    <w:lvl w:ilvl="0" w:tplc="2CA6542E">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C6E6ABA"/>
    <w:multiLevelType w:val="hybridMultilevel"/>
    <w:tmpl w:val="6CC40D96"/>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3D54695"/>
    <w:multiLevelType w:val="hybridMultilevel"/>
    <w:tmpl w:val="204A0A9A"/>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BC6D4A"/>
    <w:multiLevelType w:val="hybridMultilevel"/>
    <w:tmpl w:val="EFC62128"/>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9E566A7"/>
    <w:multiLevelType w:val="hybridMultilevel"/>
    <w:tmpl w:val="7FECEFC6"/>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A0238D0"/>
    <w:multiLevelType w:val="hybridMultilevel"/>
    <w:tmpl w:val="8B4C4EA8"/>
    <w:lvl w:ilvl="0" w:tplc="8F94A668">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C249C8"/>
    <w:multiLevelType w:val="hybridMultilevel"/>
    <w:tmpl w:val="5FC458EC"/>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A71662"/>
    <w:multiLevelType w:val="hybridMultilevel"/>
    <w:tmpl w:val="89E22004"/>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A53F32"/>
    <w:multiLevelType w:val="hybridMultilevel"/>
    <w:tmpl w:val="2ECA5378"/>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213DD9"/>
    <w:multiLevelType w:val="hybridMultilevel"/>
    <w:tmpl w:val="CAC8D118"/>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3A0063A"/>
    <w:multiLevelType w:val="hybridMultilevel"/>
    <w:tmpl w:val="098A75E6"/>
    <w:lvl w:ilvl="0" w:tplc="67B63AE6">
      <w:start w:val="1"/>
      <w:numFmt w:val="bullet"/>
      <w:lvlText w:val=""/>
      <w:lvlJc w:val="left"/>
      <w:pPr>
        <w:ind w:left="720" w:hanging="360"/>
      </w:pPr>
      <w:rPr>
        <w:rFonts w:ascii="Symbol" w:hAnsi="Symbol" w:hint="default"/>
      </w:rPr>
    </w:lvl>
    <w:lvl w:ilvl="1" w:tplc="AE8235E0">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4FC31BF"/>
    <w:multiLevelType w:val="hybridMultilevel"/>
    <w:tmpl w:val="63E6FFB6"/>
    <w:lvl w:ilvl="0" w:tplc="67B63A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8506CFD"/>
    <w:multiLevelType w:val="hybridMultilevel"/>
    <w:tmpl w:val="DBF029C6"/>
    <w:lvl w:ilvl="0" w:tplc="67B63AE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8650465"/>
    <w:multiLevelType w:val="hybridMultilevel"/>
    <w:tmpl w:val="ECB8CE64"/>
    <w:lvl w:ilvl="0" w:tplc="67B63AE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A026D4B"/>
    <w:multiLevelType w:val="hybridMultilevel"/>
    <w:tmpl w:val="81203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D8607B"/>
    <w:multiLevelType w:val="hybridMultilevel"/>
    <w:tmpl w:val="CA84B65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650838926">
    <w:abstractNumId w:val="7"/>
  </w:num>
  <w:num w:numId="2" w16cid:durableId="964121213">
    <w:abstractNumId w:val="14"/>
  </w:num>
  <w:num w:numId="3" w16cid:durableId="1771505839">
    <w:abstractNumId w:val="18"/>
  </w:num>
  <w:num w:numId="4" w16cid:durableId="233711410">
    <w:abstractNumId w:val="2"/>
  </w:num>
  <w:num w:numId="5" w16cid:durableId="1536651997">
    <w:abstractNumId w:val="33"/>
  </w:num>
  <w:num w:numId="6" w16cid:durableId="1750158266">
    <w:abstractNumId w:val="1"/>
  </w:num>
  <w:num w:numId="7" w16cid:durableId="920026966">
    <w:abstractNumId w:val="12"/>
  </w:num>
  <w:num w:numId="8" w16cid:durableId="507259571">
    <w:abstractNumId w:val="38"/>
  </w:num>
  <w:num w:numId="9" w16cid:durableId="2031102063">
    <w:abstractNumId w:val="36"/>
  </w:num>
  <w:num w:numId="10" w16cid:durableId="115418598">
    <w:abstractNumId w:val="13"/>
  </w:num>
  <w:num w:numId="11" w16cid:durableId="1616593255">
    <w:abstractNumId w:val="15"/>
  </w:num>
  <w:num w:numId="12" w16cid:durableId="1192258225">
    <w:abstractNumId w:val="30"/>
  </w:num>
  <w:num w:numId="13" w16cid:durableId="161093435">
    <w:abstractNumId w:val="37"/>
  </w:num>
  <w:num w:numId="14" w16cid:durableId="1629319801">
    <w:abstractNumId w:val="23"/>
  </w:num>
  <w:num w:numId="15" w16cid:durableId="189490314">
    <w:abstractNumId w:val="28"/>
  </w:num>
  <w:num w:numId="16" w16cid:durableId="439372437">
    <w:abstractNumId w:val="20"/>
  </w:num>
  <w:num w:numId="17" w16cid:durableId="674111784">
    <w:abstractNumId w:val="5"/>
  </w:num>
  <w:num w:numId="18" w16cid:durableId="185560907">
    <w:abstractNumId w:val="19"/>
  </w:num>
  <w:num w:numId="19" w16cid:durableId="992878156">
    <w:abstractNumId w:val="25"/>
  </w:num>
  <w:num w:numId="20" w16cid:durableId="372507764">
    <w:abstractNumId w:val="35"/>
  </w:num>
  <w:num w:numId="21" w16cid:durableId="540869481">
    <w:abstractNumId w:val="34"/>
  </w:num>
  <w:num w:numId="22" w16cid:durableId="1190491047">
    <w:abstractNumId w:val="32"/>
  </w:num>
  <w:num w:numId="23" w16cid:durableId="1215845805">
    <w:abstractNumId w:val="10"/>
  </w:num>
  <w:num w:numId="24" w16cid:durableId="1797261352">
    <w:abstractNumId w:val="11"/>
  </w:num>
  <w:num w:numId="25" w16cid:durableId="542866074">
    <w:abstractNumId w:val="8"/>
  </w:num>
  <w:num w:numId="26" w16cid:durableId="569463196">
    <w:abstractNumId w:val="31"/>
  </w:num>
  <w:num w:numId="27" w16cid:durableId="1996910359">
    <w:abstractNumId w:val="9"/>
  </w:num>
  <w:num w:numId="28" w16cid:durableId="1619994114">
    <w:abstractNumId w:val="29"/>
  </w:num>
  <w:num w:numId="29" w16cid:durableId="1815291875">
    <w:abstractNumId w:val="3"/>
  </w:num>
  <w:num w:numId="30" w16cid:durableId="518392550">
    <w:abstractNumId w:val="0"/>
  </w:num>
  <w:num w:numId="31" w16cid:durableId="80223276">
    <w:abstractNumId w:val="21"/>
  </w:num>
  <w:num w:numId="32" w16cid:durableId="994184478">
    <w:abstractNumId w:val="16"/>
  </w:num>
  <w:num w:numId="33" w16cid:durableId="2001762082">
    <w:abstractNumId w:val="26"/>
  </w:num>
  <w:num w:numId="34" w16cid:durableId="537161114">
    <w:abstractNumId w:val="17"/>
  </w:num>
  <w:num w:numId="35" w16cid:durableId="916868843">
    <w:abstractNumId w:val="4"/>
  </w:num>
  <w:num w:numId="36" w16cid:durableId="758598675">
    <w:abstractNumId w:val="27"/>
  </w:num>
  <w:num w:numId="37" w16cid:durableId="599796140">
    <w:abstractNumId w:val="6"/>
  </w:num>
  <w:num w:numId="38" w16cid:durableId="470827700">
    <w:abstractNumId w:val="22"/>
  </w:num>
  <w:num w:numId="39" w16cid:durableId="66940911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it-IT" w:vendorID="64" w:dllVersion="6" w:nlCheck="1" w:checkStyle="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94"/>
    <w:rsid w:val="000004BF"/>
    <w:rsid w:val="00001364"/>
    <w:rsid w:val="00001779"/>
    <w:rsid w:val="000029D2"/>
    <w:rsid w:val="0000327C"/>
    <w:rsid w:val="00004009"/>
    <w:rsid w:val="0000532B"/>
    <w:rsid w:val="0000752C"/>
    <w:rsid w:val="00010266"/>
    <w:rsid w:val="00010E23"/>
    <w:rsid w:val="0001283C"/>
    <w:rsid w:val="000128DC"/>
    <w:rsid w:val="000171A8"/>
    <w:rsid w:val="00017AF0"/>
    <w:rsid w:val="0002039C"/>
    <w:rsid w:val="00020834"/>
    <w:rsid w:val="00020C29"/>
    <w:rsid w:val="00021428"/>
    <w:rsid w:val="0002178C"/>
    <w:rsid w:val="0002248E"/>
    <w:rsid w:val="00022760"/>
    <w:rsid w:val="000249BC"/>
    <w:rsid w:val="00024DD1"/>
    <w:rsid w:val="00025A1F"/>
    <w:rsid w:val="00027F8E"/>
    <w:rsid w:val="00030350"/>
    <w:rsid w:val="00031F81"/>
    <w:rsid w:val="00032233"/>
    <w:rsid w:val="000330D3"/>
    <w:rsid w:val="0003318C"/>
    <w:rsid w:val="00036CCB"/>
    <w:rsid w:val="0004071C"/>
    <w:rsid w:val="00040771"/>
    <w:rsid w:val="000407AE"/>
    <w:rsid w:val="00040894"/>
    <w:rsid w:val="000410F3"/>
    <w:rsid w:val="000451A7"/>
    <w:rsid w:val="000463B8"/>
    <w:rsid w:val="000477E2"/>
    <w:rsid w:val="00052F4E"/>
    <w:rsid w:val="000537A3"/>
    <w:rsid w:val="000539D5"/>
    <w:rsid w:val="000542E2"/>
    <w:rsid w:val="000616D0"/>
    <w:rsid w:val="00063CA5"/>
    <w:rsid w:val="0006722F"/>
    <w:rsid w:val="000677BE"/>
    <w:rsid w:val="0007147A"/>
    <w:rsid w:val="000714F3"/>
    <w:rsid w:val="00072FEA"/>
    <w:rsid w:val="0007345D"/>
    <w:rsid w:val="00076868"/>
    <w:rsid w:val="000804D1"/>
    <w:rsid w:val="00081D64"/>
    <w:rsid w:val="00081EEE"/>
    <w:rsid w:val="000823FE"/>
    <w:rsid w:val="0008247A"/>
    <w:rsid w:val="00082517"/>
    <w:rsid w:val="0008431E"/>
    <w:rsid w:val="00085767"/>
    <w:rsid w:val="00085BA7"/>
    <w:rsid w:val="00090200"/>
    <w:rsid w:val="00090839"/>
    <w:rsid w:val="000A21F0"/>
    <w:rsid w:val="000A278E"/>
    <w:rsid w:val="000A364E"/>
    <w:rsid w:val="000A372B"/>
    <w:rsid w:val="000A4F1B"/>
    <w:rsid w:val="000A5A2B"/>
    <w:rsid w:val="000B1BAF"/>
    <w:rsid w:val="000B4DC0"/>
    <w:rsid w:val="000B51CB"/>
    <w:rsid w:val="000B7ED6"/>
    <w:rsid w:val="000C3182"/>
    <w:rsid w:val="000C379A"/>
    <w:rsid w:val="000C4B3A"/>
    <w:rsid w:val="000C51F0"/>
    <w:rsid w:val="000C5C46"/>
    <w:rsid w:val="000C5EF6"/>
    <w:rsid w:val="000D0033"/>
    <w:rsid w:val="000D129D"/>
    <w:rsid w:val="000D1E27"/>
    <w:rsid w:val="000D1E97"/>
    <w:rsid w:val="000D3EA8"/>
    <w:rsid w:val="000D61D3"/>
    <w:rsid w:val="000D623B"/>
    <w:rsid w:val="000D676B"/>
    <w:rsid w:val="000E0812"/>
    <w:rsid w:val="000E1C82"/>
    <w:rsid w:val="000E3094"/>
    <w:rsid w:val="000E5C9C"/>
    <w:rsid w:val="000E60A5"/>
    <w:rsid w:val="000E6FEE"/>
    <w:rsid w:val="000F0978"/>
    <w:rsid w:val="000F0BE8"/>
    <w:rsid w:val="000F159B"/>
    <w:rsid w:val="000F18C3"/>
    <w:rsid w:val="000F50D9"/>
    <w:rsid w:val="000F59AA"/>
    <w:rsid w:val="00100459"/>
    <w:rsid w:val="0010073D"/>
    <w:rsid w:val="001021D1"/>
    <w:rsid w:val="0010416C"/>
    <w:rsid w:val="0010456A"/>
    <w:rsid w:val="00110676"/>
    <w:rsid w:val="001129D5"/>
    <w:rsid w:val="00114907"/>
    <w:rsid w:val="00116002"/>
    <w:rsid w:val="00116BD2"/>
    <w:rsid w:val="001223A8"/>
    <w:rsid w:val="001245BE"/>
    <w:rsid w:val="00130AE7"/>
    <w:rsid w:val="00131325"/>
    <w:rsid w:val="00133771"/>
    <w:rsid w:val="0013762D"/>
    <w:rsid w:val="001378D5"/>
    <w:rsid w:val="00140FE7"/>
    <w:rsid w:val="001414A8"/>
    <w:rsid w:val="00141D17"/>
    <w:rsid w:val="00141F18"/>
    <w:rsid w:val="00142B2C"/>
    <w:rsid w:val="00144A2E"/>
    <w:rsid w:val="00150524"/>
    <w:rsid w:val="0015158D"/>
    <w:rsid w:val="00151652"/>
    <w:rsid w:val="001534E8"/>
    <w:rsid w:val="00153B1F"/>
    <w:rsid w:val="001541A2"/>
    <w:rsid w:val="0015512A"/>
    <w:rsid w:val="00155D9C"/>
    <w:rsid w:val="001564AE"/>
    <w:rsid w:val="00161085"/>
    <w:rsid w:val="0016396C"/>
    <w:rsid w:val="0016470B"/>
    <w:rsid w:val="0016597A"/>
    <w:rsid w:val="00166ADF"/>
    <w:rsid w:val="00171B51"/>
    <w:rsid w:val="001728A0"/>
    <w:rsid w:val="001728C8"/>
    <w:rsid w:val="001815CB"/>
    <w:rsid w:val="001834F2"/>
    <w:rsid w:val="0018370C"/>
    <w:rsid w:val="00185694"/>
    <w:rsid w:val="001858BE"/>
    <w:rsid w:val="00185EC5"/>
    <w:rsid w:val="001866E1"/>
    <w:rsid w:val="00187347"/>
    <w:rsid w:val="0018777B"/>
    <w:rsid w:val="0019074A"/>
    <w:rsid w:val="00195D18"/>
    <w:rsid w:val="001A0205"/>
    <w:rsid w:val="001A22ED"/>
    <w:rsid w:val="001A243A"/>
    <w:rsid w:val="001A2CF8"/>
    <w:rsid w:val="001A3C2D"/>
    <w:rsid w:val="001A5DBE"/>
    <w:rsid w:val="001A7135"/>
    <w:rsid w:val="001A7368"/>
    <w:rsid w:val="001A7394"/>
    <w:rsid w:val="001B0878"/>
    <w:rsid w:val="001B0FB9"/>
    <w:rsid w:val="001B1F59"/>
    <w:rsid w:val="001B3539"/>
    <w:rsid w:val="001B5634"/>
    <w:rsid w:val="001B71B8"/>
    <w:rsid w:val="001B7A31"/>
    <w:rsid w:val="001B7AD6"/>
    <w:rsid w:val="001C651D"/>
    <w:rsid w:val="001C6579"/>
    <w:rsid w:val="001C6D21"/>
    <w:rsid w:val="001C70FC"/>
    <w:rsid w:val="001D0247"/>
    <w:rsid w:val="001D2776"/>
    <w:rsid w:val="001D2DD6"/>
    <w:rsid w:val="001D478C"/>
    <w:rsid w:val="001D47F1"/>
    <w:rsid w:val="001D49F7"/>
    <w:rsid w:val="001D57E4"/>
    <w:rsid w:val="001D787D"/>
    <w:rsid w:val="001E01C9"/>
    <w:rsid w:val="001E11D4"/>
    <w:rsid w:val="001E198B"/>
    <w:rsid w:val="001E28E0"/>
    <w:rsid w:val="001E2A30"/>
    <w:rsid w:val="001E3BB2"/>
    <w:rsid w:val="001E53BE"/>
    <w:rsid w:val="001E72F2"/>
    <w:rsid w:val="001E7B17"/>
    <w:rsid w:val="001F13C3"/>
    <w:rsid w:val="001F35F3"/>
    <w:rsid w:val="001F4A23"/>
    <w:rsid w:val="001F5B19"/>
    <w:rsid w:val="001F66FD"/>
    <w:rsid w:val="002001C4"/>
    <w:rsid w:val="0020448D"/>
    <w:rsid w:val="00210C32"/>
    <w:rsid w:val="0021112B"/>
    <w:rsid w:val="00212741"/>
    <w:rsid w:val="00220413"/>
    <w:rsid w:val="00226DD0"/>
    <w:rsid w:val="00231FDF"/>
    <w:rsid w:val="00233676"/>
    <w:rsid w:val="002340FD"/>
    <w:rsid w:val="00235F7D"/>
    <w:rsid w:val="002363FD"/>
    <w:rsid w:val="00236FD1"/>
    <w:rsid w:val="0023701E"/>
    <w:rsid w:val="00237D24"/>
    <w:rsid w:val="00245440"/>
    <w:rsid w:val="00245B54"/>
    <w:rsid w:val="00246680"/>
    <w:rsid w:val="00246D19"/>
    <w:rsid w:val="00247F77"/>
    <w:rsid w:val="002512E0"/>
    <w:rsid w:val="0025150B"/>
    <w:rsid w:val="00251C1C"/>
    <w:rsid w:val="00253FEA"/>
    <w:rsid w:val="0025447F"/>
    <w:rsid w:val="002562C5"/>
    <w:rsid w:val="00257BA5"/>
    <w:rsid w:val="0026017C"/>
    <w:rsid w:val="0026498C"/>
    <w:rsid w:val="00265424"/>
    <w:rsid w:val="002655F9"/>
    <w:rsid w:val="00265B7A"/>
    <w:rsid w:val="002677AD"/>
    <w:rsid w:val="00270107"/>
    <w:rsid w:val="002713AC"/>
    <w:rsid w:val="002714C2"/>
    <w:rsid w:val="00273242"/>
    <w:rsid w:val="00273A0A"/>
    <w:rsid w:val="00280725"/>
    <w:rsid w:val="00283F78"/>
    <w:rsid w:val="00284A7D"/>
    <w:rsid w:val="002853AC"/>
    <w:rsid w:val="00286577"/>
    <w:rsid w:val="00287167"/>
    <w:rsid w:val="002905DF"/>
    <w:rsid w:val="002912A8"/>
    <w:rsid w:val="002921CA"/>
    <w:rsid w:val="002960A9"/>
    <w:rsid w:val="00296C1C"/>
    <w:rsid w:val="00296C26"/>
    <w:rsid w:val="002A06B7"/>
    <w:rsid w:val="002A1B2B"/>
    <w:rsid w:val="002A680D"/>
    <w:rsid w:val="002A7034"/>
    <w:rsid w:val="002B0325"/>
    <w:rsid w:val="002B4062"/>
    <w:rsid w:val="002B5183"/>
    <w:rsid w:val="002C324C"/>
    <w:rsid w:val="002C5615"/>
    <w:rsid w:val="002C6569"/>
    <w:rsid w:val="002D237A"/>
    <w:rsid w:val="002D3FF4"/>
    <w:rsid w:val="002D453B"/>
    <w:rsid w:val="002D4CE0"/>
    <w:rsid w:val="002D70EF"/>
    <w:rsid w:val="002D7CDB"/>
    <w:rsid w:val="002E17FD"/>
    <w:rsid w:val="002E4430"/>
    <w:rsid w:val="002E5CFA"/>
    <w:rsid w:val="002E69BE"/>
    <w:rsid w:val="002E71D3"/>
    <w:rsid w:val="002E7F82"/>
    <w:rsid w:val="002F0853"/>
    <w:rsid w:val="002F36F0"/>
    <w:rsid w:val="002F6D97"/>
    <w:rsid w:val="003045D6"/>
    <w:rsid w:val="003049C7"/>
    <w:rsid w:val="00304ACF"/>
    <w:rsid w:val="003054D4"/>
    <w:rsid w:val="00305FE7"/>
    <w:rsid w:val="0030695C"/>
    <w:rsid w:val="00310457"/>
    <w:rsid w:val="00310EBA"/>
    <w:rsid w:val="00310F1D"/>
    <w:rsid w:val="0031275E"/>
    <w:rsid w:val="0031405E"/>
    <w:rsid w:val="003148EA"/>
    <w:rsid w:val="00314CD1"/>
    <w:rsid w:val="00315DD5"/>
    <w:rsid w:val="00316D6F"/>
    <w:rsid w:val="00317770"/>
    <w:rsid w:val="00323E52"/>
    <w:rsid w:val="00325F64"/>
    <w:rsid w:val="0032769E"/>
    <w:rsid w:val="003302C4"/>
    <w:rsid w:val="00331614"/>
    <w:rsid w:val="003322FF"/>
    <w:rsid w:val="0033242B"/>
    <w:rsid w:val="00333C89"/>
    <w:rsid w:val="00335045"/>
    <w:rsid w:val="00336668"/>
    <w:rsid w:val="0034123D"/>
    <w:rsid w:val="00341FFA"/>
    <w:rsid w:val="00342556"/>
    <w:rsid w:val="003426EC"/>
    <w:rsid w:val="00344CC4"/>
    <w:rsid w:val="00345CB0"/>
    <w:rsid w:val="003474EC"/>
    <w:rsid w:val="00350517"/>
    <w:rsid w:val="00351F7F"/>
    <w:rsid w:val="0035372E"/>
    <w:rsid w:val="00355250"/>
    <w:rsid w:val="00357217"/>
    <w:rsid w:val="00362AB1"/>
    <w:rsid w:val="00363921"/>
    <w:rsid w:val="0036410F"/>
    <w:rsid w:val="00364A9E"/>
    <w:rsid w:val="00365E89"/>
    <w:rsid w:val="003671C0"/>
    <w:rsid w:val="00374597"/>
    <w:rsid w:val="00376BDA"/>
    <w:rsid w:val="00377B5F"/>
    <w:rsid w:val="00377F1C"/>
    <w:rsid w:val="0038119F"/>
    <w:rsid w:val="00386944"/>
    <w:rsid w:val="00386A8C"/>
    <w:rsid w:val="003872F7"/>
    <w:rsid w:val="00392988"/>
    <w:rsid w:val="003929B2"/>
    <w:rsid w:val="00395560"/>
    <w:rsid w:val="00395D79"/>
    <w:rsid w:val="00395E4A"/>
    <w:rsid w:val="003A0B33"/>
    <w:rsid w:val="003A4158"/>
    <w:rsid w:val="003A4FFA"/>
    <w:rsid w:val="003A5C5C"/>
    <w:rsid w:val="003A6E7C"/>
    <w:rsid w:val="003B04AF"/>
    <w:rsid w:val="003B0958"/>
    <w:rsid w:val="003B0E8E"/>
    <w:rsid w:val="003B5EE8"/>
    <w:rsid w:val="003B5F13"/>
    <w:rsid w:val="003B6824"/>
    <w:rsid w:val="003C0F33"/>
    <w:rsid w:val="003C2314"/>
    <w:rsid w:val="003C2696"/>
    <w:rsid w:val="003C4165"/>
    <w:rsid w:val="003C5407"/>
    <w:rsid w:val="003D0A3D"/>
    <w:rsid w:val="003D1907"/>
    <w:rsid w:val="003D22B6"/>
    <w:rsid w:val="003D3FC4"/>
    <w:rsid w:val="003E68AE"/>
    <w:rsid w:val="003F380E"/>
    <w:rsid w:val="003F41BC"/>
    <w:rsid w:val="0040214A"/>
    <w:rsid w:val="00402E21"/>
    <w:rsid w:val="004033E5"/>
    <w:rsid w:val="00403E32"/>
    <w:rsid w:val="004046C7"/>
    <w:rsid w:val="00404A3E"/>
    <w:rsid w:val="004107D7"/>
    <w:rsid w:val="00411229"/>
    <w:rsid w:val="0041345B"/>
    <w:rsid w:val="0042548D"/>
    <w:rsid w:val="00432C2E"/>
    <w:rsid w:val="0043326A"/>
    <w:rsid w:val="004345CF"/>
    <w:rsid w:val="00440504"/>
    <w:rsid w:val="00441181"/>
    <w:rsid w:val="0044164B"/>
    <w:rsid w:val="0044187E"/>
    <w:rsid w:val="004418E1"/>
    <w:rsid w:val="00442FC3"/>
    <w:rsid w:val="004507FE"/>
    <w:rsid w:val="00452990"/>
    <w:rsid w:val="00453ADC"/>
    <w:rsid w:val="00456C12"/>
    <w:rsid w:val="00457A86"/>
    <w:rsid w:val="00460C6D"/>
    <w:rsid w:val="0046178C"/>
    <w:rsid w:val="00461E98"/>
    <w:rsid w:val="00462E9D"/>
    <w:rsid w:val="00464726"/>
    <w:rsid w:val="00464E59"/>
    <w:rsid w:val="00465120"/>
    <w:rsid w:val="00465A8D"/>
    <w:rsid w:val="00465FD0"/>
    <w:rsid w:val="0047241C"/>
    <w:rsid w:val="00473633"/>
    <w:rsid w:val="00474918"/>
    <w:rsid w:val="00474ED6"/>
    <w:rsid w:val="00481848"/>
    <w:rsid w:val="00486CB9"/>
    <w:rsid w:val="00486E53"/>
    <w:rsid w:val="00495EB0"/>
    <w:rsid w:val="004966FE"/>
    <w:rsid w:val="0049711C"/>
    <w:rsid w:val="0049743D"/>
    <w:rsid w:val="0049798C"/>
    <w:rsid w:val="004A03A9"/>
    <w:rsid w:val="004A061B"/>
    <w:rsid w:val="004A27DB"/>
    <w:rsid w:val="004A2A3B"/>
    <w:rsid w:val="004A31BD"/>
    <w:rsid w:val="004A3544"/>
    <w:rsid w:val="004B07FF"/>
    <w:rsid w:val="004B09E9"/>
    <w:rsid w:val="004B43B5"/>
    <w:rsid w:val="004C0FB6"/>
    <w:rsid w:val="004C1B2F"/>
    <w:rsid w:val="004C1C6D"/>
    <w:rsid w:val="004C2268"/>
    <w:rsid w:val="004C30E5"/>
    <w:rsid w:val="004C499F"/>
    <w:rsid w:val="004C6CDA"/>
    <w:rsid w:val="004C7196"/>
    <w:rsid w:val="004C76FC"/>
    <w:rsid w:val="004D2F85"/>
    <w:rsid w:val="004E182A"/>
    <w:rsid w:val="004E2888"/>
    <w:rsid w:val="004E5DA3"/>
    <w:rsid w:val="004E636F"/>
    <w:rsid w:val="004E7D0B"/>
    <w:rsid w:val="004F174D"/>
    <w:rsid w:val="004F3C5B"/>
    <w:rsid w:val="004F53FF"/>
    <w:rsid w:val="004F61B6"/>
    <w:rsid w:val="004F6DC1"/>
    <w:rsid w:val="004F759F"/>
    <w:rsid w:val="0050204A"/>
    <w:rsid w:val="00503CC2"/>
    <w:rsid w:val="0050603A"/>
    <w:rsid w:val="00516C90"/>
    <w:rsid w:val="0051741C"/>
    <w:rsid w:val="00517DF2"/>
    <w:rsid w:val="0052309D"/>
    <w:rsid w:val="00530452"/>
    <w:rsid w:val="005318D4"/>
    <w:rsid w:val="00532974"/>
    <w:rsid w:val="0053431A"/>
    <w:rsid w:val="00535444"/>
    <w:rsid w:val="00546255"/>
    <w:rsid w:val="00546445"/>
    <w:rsid w:val="00546F0A"/>
    <w:rsid w:val="00551D92"/>
    <w:rsid w:val="005532C7"/>
    <w:rsid w:val="005544B1"/>
    <w:rsid w:val="005545B6"/>
    <w:rsid w:val="0055613D"/>
    <w:rsid w:val="00561A47"/>
    <w:rsid w:val="00561D83"/>
    <w:rsid w:val="00563420"/>
    <w:rsid w:val="00563B1B"/>
    <w:rsid w:val="00564AF1"/>
    <w:rsid w:val="00565296"/>
    <w:rsid w:val="005654EE"/>
    <w:rsid w:val="00565D09"/>
    <w:rsid w:val="00565DE1"/>
    <w:rsid w:val="00565FDB"/>
    <w:rsid w:val="005661EF"/>
    <w:rsid w:val="00573566"/>
    <w:rsid w:val="0057399B"/>
    <w:rsid w:val="00577CC3"/>
    <w:rsid w:val="00580CB3"/>
    <w:rsid w:val="00583CBB"/>
    <w:rsid w:val="0058505B"/>
    <w:rsid w:val="005850E9"/>
    <w:rsid w:val="005877C3"/>
    <w:rsid w:val="0059048E"/>
    <w:rsid w:val="00590945"/>
    <w:rsid w:val="00590E45"/>
    <w:rsid w:val="00591841"/>
    <w:rsid w:val="00592A0C"/>
    <w:rsid w:val="00592B3E"/>
    <w:rsid w:val="00592E00"/>
    <w:rsid w:val="0059342D"/>
    <w:rsid w:val="005A024A"/>
    <w:rsid w:val="005A2F55"/>
    <w:rsid w:val="005B44EF"/>
    <w:rsid w:val="005B5543"/>
    <w:rsid w:val="005B6049"/>
    <w:rsid w:val="005C051B"/>
    <w:rsid w:val="005C25B4"/>
    <w:rsid w:val="005C407D"/>
    <w:rsid w:val="005C4F25"/>
    <w:rsid w:val="005C7634"/>
    <w:rsid w:val="005D1A90"/>
    <w:rsid w:val="005D5C0B"/>
    <w:rsid w:val="005D686D"/>
    <w:rsid w:val="005E0026"/>
    <w:rsid w:val="005E0375"/>
    <w:rsid w:val="005E209B"/>
    <w:rsid w:val="005E2ABF"/>
    <w:rsid w:val="005E4278"/>
    <w:rsid w:val="005E4F25"/>
    <w:rsid w:val="005E71E9"/>
    <w:rsid w:val="005F1C78"/>
    <w:rsid w:val="005F1CDB"/>
    <w:rsid w:val="005F2936"/>
    <w:rsid w:val="005F39E7"/>
    <w:rsid w:val="005F4C80"/>
    <w:rsid w:val="005F5489"/>
    <w:rsid w:val="005F5690"/>
    <w:rsid w:val="005F7559"/>
    <w:rsid w:val="005F76F3"/>
    <w:rsid w:val="00604098"/>
    <w:rsid w:val="00604C66"/>
    <w:rsid w:val="006053D0"/>
    <w:rsid w:val="006060A3"/>
    <w:rsid w:val="00606F2E"/>
    <w:rsid w:val="006070C9"/>
    <w:rsid w:val="00607629"/>
    <w:rsid w:val="006103B3"/>
    <w:rsid w:val="006104A8"/>
    <w:rsid w:val="006106E9"/>
    <w:rsid w:val="006109CF"/>
    <w:rsid w:val="00613455"/>
    <w:rsid w:val="00614EFB"/>
    <w:rsid w:val="006166A4"/>
    <w:rsid w:val="00616C47"/>
    <w:rsid w:val="00623C0C"/>
    <w:rsid w:val="0062446A"/>
    <w:rsid w:val="0062481B"/>
    <w:rsid w:val="00627241"/>
    <w:rsid w:val="00627DFB"/>
    <w:rsid w:val="0063205A"/>
    <w:rsid w:val="00632E5D"/>
    <w:rsid w:val="00635A2F"/>
    <w:rsid w:val="00636290"/>
    <w:rsid w:val="006377E2"/>
    <w:rsid w:val="006378F8"/>
    <w:rsid w:val="00637CFA"/>
    <w:rsid w:val="00641FCC"/>
    <w:rsid w:val="00641FEA"/>
    <w:rsid w:val="006468A3"/>
    <w:rsid w:val="0065292D"/>
    <w:rsid w:val="00653B9D"/>
    <w:rsid w:val="0065403B"/>
    <w:rsid w:val="00657616"/>
    <w:rsid w:val="00657CBF"/>
    <w:rsid w:val="00660945"/>
    <w:rsid w:val="00660EEB"/>
    <w:rsid w:val="00660F71"/>
    <w:rsid w:val="006618B7"/>
    <w:rsid w:val="006632BA"/>
    <w:rsid w:val="0066394B"/>
    <w:rsid w:val="00664201"/>
    <w:rsid w:val="00665224"/>
    <w:rsid w:val="006656AA"/>
    <w:rsid w:val="00666592"/>
    <w:rsid w:val="006708DD"/>
    <w:rsid w:val="00670A02"/>
    <w:rsid w:val="00670EF4"/>
    <w:rsid w:val="006740EA"/>
    <w:rsid w:val="00674627"/>
    <w:rsid w:val="006811E5"/>
    <w:rsid w:val="00681BE0"/>
    <w:rsid w:val="00687CDB"/>
    <w:rsid w:val="006918A7"/>
    <w:rsid w:val="00693369"/>
    <w:rsid w:val="006950E1"/>
    <w:rsid w:val="00695140"/>
    <w:rsid w:val="00695CD8"/>
    <w:rsid w:val="00695D04"/>
    <w:rsid w:val="00696297"/>
    <w:rsid w:val="00696368"/>
    <w:rsid w:val="00696BF5"/>
    <w:rsid w:val="00697DBF"/>
    <w:rsid w:val="006A0F9D"/>
    <w:rsid w:val="006A567C"/>
    <w:rsid w:val="006A5ED1"/>
    <w:rsid w:val="006A642E"/>
    <w:rsid w:val="006A7B32"/>
    <w:rsid w:val="006B1328"/>
    <w:rsid w:val="006B34F5"/>
    <w:rsid w:val="006B3C34"/>
    <w:rsid w:val="006B4247"/>
    <w:rsid w:val="006B58C9"/>
    <w:rsid w:val="006B5ABF"/>
    <w:rsid w:val="006B5BEA"/>
    <w:rsid w:val="006C0884"/>
    <w:rsid w:val="006C257D"/>
    <w:rsid w:val="006C2CA0"/>
    <w:rsid w:val="006C4663"/>
    <w:rsid w:val="006C4B80"/>
    <w:rsid w:val="006C4BBD"/>
    <w:rsid w:val="006C4C60"/>
    <w:rsid w:val="006C5039"/>
    <w:rsid w:val="006C7B3E"/>
    <w:rsid w:val="006C7F1B"/>
    <w:rsid w:val="006D083E"/>
    <w:rsid w:val="006D1752"/>
    <w:rsid w:val="006D1EEA"/>
    <w:rsid w:val="006D495D"/>
    <w:rsid w:val="006E007D"/>
    <w:rsid w:val="006E13DD"/>
    <w:rsid w:val="006E7EDA"/>
    <w:rsid w:val="006F4287"/>
    <w:rsid w:val="006F5551"/>
    <w:rsid w:val="006F6068"/>
    <w:rsid w:val="007006D3"/>
    <w:rsid w:val="0070101C"/>
    <w:rsid w:val="00702363"/>
    <w:rsid w:val="00703BFF"/>
    <w:rsid w:val="00711C4D"/>
    <w:rsid w:val="00712379"/>
    <w:rsid w:val="00712C8C"/>
    <w:rsid w:val="00716BD6"/>
    <w:rsid w:val="007171E8"/>
    <w:rsid w:val="00721952"/>
    <w:rsid w:val="0072233B"/>
    <w:rsid w:val="00723F60"/>
    <w:rsid w:val="00732F81"/>
    <w:rsid w:val="007351C2"/>
    <w:rsid w:val="00735357"/>
    <w:rsid w:val="007404FB"/>
    <w:rsid w:val="0074144B"/>
    <w:rsid w:val="00741518"/>
    <w:rsid w:val="00741953"/>
    <w:rsid w:val="00741EC0"/>
    <w:rsid w:val="007443C5"/>
    <w:rsid w:val="00750E0E"/>
    <w:rsid w:val="00751D2F"/>
    <w:rsid w:val="00753E77"/>
    <w:rsid w:val="00757EB1"/>
    <w:rsid w:val="00760F34"/>
    <w:rsid w:val="00761B08"/>
    <w:rsid w:val="007623E1"/>
    <w:rsid w:val="007639CD"/>
    <w:rsid w:val="007657AE"/>
    <w:rsid w:val="007673FC"/>
    <w:rsid w:val="00770FD1"/>
    <w:rsid w:val="0077194D"/>
    <w:rsid w:val="00773B16"/>
    <w:rsid w:val="00775CD1"/>
    <w:rsid w:val="0077602C"/>
    <w:rsid w:val="0077642C"/>
    <w:rsid w:val="00777539"/>
    <w:rsid w:val="00777834"/>
    <w:rsid w:val="00780C38"/>
    <w:rsid w:val="00780CD6"/>
    <w:rsid w:val="00782F91"/>
    <w:rsid w:val="00783B1A"/>
    <w:rsid w:val="00787716"/>
    <w:rsid w:val="00787E91"/>
    <w:rsid w:val="00791D1F"/>
    <w:rsid w:val="0079347D"/>
    <w:rsid w:val="00795293"/>
    <w:rsid w:val="00797C81"/>
    <w:rsid w:val="007A117A"/>
    <w:rsid w:val="007A12D1"/>
    <w:rsid w:val="007A23DF"/>
    <w:rsid w:val="007A3AD0"/>
    <w:rsid w:val="007A3C7F"/>
    <w:rsid w:val="007A53D1"/>
    <w:rsid w:val="007A5A26"/>
    <w:rsid w:val="007B1DAE"/>
    <w:rsid w:val="007B28C6"/>
    <w:rsid w:val="007B327C"/>
    <w:rsid w:val="007B35FE"/>
    <w:rsid w:val="007B3670"/>
    <w:rsid w:val="007B3903"/>
    <w:rsid w:val="007B393E"/>
    <w:rsid w:val="007B3A3E"/>
    <w:rsid w:val="007B4CAF"/>
    <w:rsid w:val="007B5BA0"/>
    <w:rsid w:val="007C07F4"/>
    <w:rsid w:val="007C2EED"/>
    <w:rsid w:val="007D157C"/>
    <w:rsid w:val="007D3371"/>
    <w:rsid w:val="007D4420"/>
    <w:rsid w:val="007D614E"/>
    <w:rsid w:val="007E1714"/>
    <w:rsid w:val="007E21DA"/>
    <w:rsid w:val="007E2EB2"/>
    <w:rsid w:val="007E6DEE"/>
    <w:rsid w:val="007E7135"/>
    <w:rsid w:val="007E790D"/>
    <w:rsid w:val="007E7C7F"/>
    <w:rsid w:val="007F0783"/>
    <w:rsid w:val="007F20F2"/>
    <w:rsid w:val="007F49AD"/>
    <w:rsid w:val="007F544C"/>
    <w:rsid w:val="00800513"/>
    <w:rsid w:val="00800593"/>
    <w:rsid w:val="008024B7"/>
    <w:rsid w:val="00802972"/>
    <w:rsid w:val="008043B9"/>
    <w:rsid w:val="0080642D"/>
    <w:rsid w:val="00806ADD"/>
    <w:rsid w:val="008073FA"/>
    <w:rsid w:val="008101C4"/>
    <w:rsid w:val="00810780"/>
    <w:rsid w:val="00811514"/>
    <w:rsid w:val="0081547B"/>
    <w:rsid w:val="008203E8"/>
    <w:rsid w:val="008239D0"/>
    <w:rsid w:val="0082467C"/>
    <w:rsid w:val="00825E45"/>
    <w:rsid w:val="00826A1B"/>
    <w:rsid w:val="00826BE2"/>
    <w:rsid w:val="00827C46"/>
    <w:rsid w:val="008306E3"/>
    <w:rsid w:val="008318A1"/>
    <w:rsid w:val="00834AD4"/>
    <w:rsid w:val="00836006"/>
    <w:rsid w:val="00840109"/>
    <w:rsid w:val="00842DF6"/>
    <w:rsid w:val="00843C09"/>
    <w:rsid w:val="00844965"/>
    <w:rsid w:val="00851660"/>
    <w:rsid w:val="0085377D"/>
    <w:rsid w:val="0085702C"/>
    <w:rsid w:val="00857DD0"/>
    <w:rsid w:val="00860A54"/>
    <w:rsid w:val="00861F9D"/>
    <w:rsid w:val="008623A3"/>
    <w:rsid w:val="00862A24"/>
    <w:rsid w:val="0086341D"/>
    <w:rsid w:val="00864FC1"/>
    <w:rsid w:val="00865626"/>
    <w:rsid w:val="00865CBF"/>
    <w:rsid w:val="00865DD7"/>
    <w:rsid w:val="00871F18"/>
    <w:rsid w:val="00872224"/>
    <w:rsid w:val="0087437A"/>
    <w:rsid w:val="008756F1"/>
    <w:rsid w:val="00876A4D"/>
    <w:rsid w:val="0087768D"/>
    <w:rsid w:val="008829E2"/>
    <w:rsid w:val="00884204"/>
    <w:rsid w:val="00893656"/>
    <w:rsid w:val="00896369"/>
    <w:rsid w:val="008A4499"/>
    <w:rsid w:val="008A5738"/>
    <w:rsid w:val="008A599F"/>
    <w:rsid w:val="008A6DA3"/>
    <w:rsid w:val="008A746A"/>
    <w:rsid w:val="008B074E"/>
    <w:rsid w:val="008B091D"/>
    <w:rsid w:val="008B1378"/>
    <w:rsid w:val="008B4A7F"/>
    <w:rsid w:val="008B5CD6"/>
    <w:rsid w:val="008B7A3C"/>
    <w:rsid w:val="008C03ED"/>
    <w:rsid w:val="008C3E4D"/>
    <w:rsid w:val="008C3FC3"/>
    <w:rsid w:val="008C4CFD"/>
    <w:rsid w:val="008C635E"/>
    <w:rsid w:val="008D24BA"/>
    <w:rsid w:val="008D2926"/>
    <w:rsid w:val="008D3D50"/>
    <w:rsid w:val="008D3F61"/>
    <w:rsid w:val="008D4235"/>
    <w:rsid w:val="008D5E89"/>
    <w:rsid w:val="008D6446"/>
    <w:rsid w:val="008D6C70"/>
    <w:rsid w:val="008D7A58"/>
    <w:rsid w:val="008E1007"/>
    <w:rsid w:val="008E22CA"/>
    <w:rsid w:val="008E24D4"/>
    <w:rsid w:val="008E26A9"/>
    <w:rsid w:val="008E4C92"/>
    <w:rsid w:val="008E5803"/>
    <w:rsid w:val="008E5EBE"/>
    <w:rsid w:val="008F231A"/>
    <w:rsid w:val="008F3500"/>
    <w:rsid w:val="008F48C7"/>
    <w:rsid w:val="008F4E3C"/>
    <w:rsid w:val="00902586"/>
    <w:rsid w:val="0090399B"/>
    <w:rsid w:val="00904692"/>
    <w:rsid w:val="009057A4"/>
    <w:rsid w:val="00907D19"/>
    <w:rsid w:val="009112E1"/>
    <w:rsid w:val="00911567"/>
    <w:rsid w:val="00914908"/>
    <w:rsid w:val="009168CF"/>
    <w:rsid w:val="00916CF7"/>
    <w:rsid w:val="009177C2"/>
    <w:rsid w:val="00920286"/>
    <w:rsid w:val="00921F8E"/>
    <w:rsid w:val="00923338"/>
    <w:rsid w:val="00923607"/>
    <w:rsid w:val="00925808"/>
    <w:rsid w:val="0092703D"/>
    <w:rsid w:val="0092753D"/>
    <w:rsid w:val="00931F5F"/>
    <w:rsid w:val="00932E92"/>
    <w:rsid w:val="00933F94"/>
    <w:rsid w:val="00934061"/>
    <w:rsid w:val="00934334"/>
    <w:rsid w:val="009354F7"/>
    <w:rsid w:val="00935925"/>
    <w:rsid w:val="00935AE4"/>
    <w:rsid w:val="00935B15"/>
    <w:rsid w:val="00936D2A"/>
    <w:rsid w:val="00940A0F"/>
    <w:rsid w:val="00940AF7"/>
    <w:rsid w:val="009429A4"/>
    <w:rsid w:val="00942AF1"/>
    <w:rsid w:val="00944C67"/>
    <w:rsid w:val="0094769F"/>
    <w:rsid w:val="00952501"/>
    <w:rsid w:val="00954BCE"/>
    <w:rsid w:val="0096244A"/>
    <w:rsid w:val="00962EF7"/>
    <w:rsid w:val="0096382C"/>
    <w:rsid w:val="009657F4"/>
    <w:rsid w:val="009672E3"/>
    <w:rsid w:val="009703BB"/>
    <w:rsid w:val="009712B4"/>
    <w:rsid w:val="009714DB"/>
    <w:rsid w:val="00971CBA"/>
    <w:rsid w:val="00971D2C"/>
    <w:rsid w:val="0097302B"/>
    <w:rsid w:val="00973180"/>
    <w:rsid w:val="0097385D"/>
    <w:rsid w:val="00974425"/>
    <w:rsid w:val="0097478F"/>
    <w:rsid w:val="00974F16"/>
    <w:rsid w:val="009761EE"/>
    <w:rsid w:val="0097766D"/>
    <w:rsid w:val="009808AC"/>
    <w:rsid w:val="009826F0"/>
    <w:rsid w:val="009832E4"/>
    <w:rsid w:val="00983F40"/>
    <w:rsid w:val="00984A19"/>
    <w:rsid w:val="009914AD"/>
    <w:rsid w:val="0099623A"/>
    <w:rsid w:val="009962E7"/>
    <w:rsid w:val="00997178"/>
    <w:rsid w:val="009A0061"/>
    <w:rsid w:val="009A5A77"/>
    <w:rsid w:val="009A5F9D"/>
    <w:rsid w:val="009A64DC"/>
    <w:rsid w:val="009A6CC1"/>
    <w:rsid w:val="009A766C"/>
    <w:rsid w:val="009A76F7"/>
    <w:rsid w:val="009B17EC"/>
    <w:rsid w:val="009B187E"/>
    <w:rsid w:val="009B203A"/>
    <w:rsid w:val="009B25EC"/>
    <w:rsid w:val="009B4857"/>
    <w:rsid w:val="009C00C7"/>
    <w:rsid w:val="009C073A"/>
    <w:rsid w:val="009C29CA"/>
    <w:rsid w:val="009C46FF"/>
    <w:rsid w:val="009C51CB"/>
    <w:rsid w:val="009C64B6"/>
    <w:rsid w:val="009C6C49"/>
    <w:rsid w:val="009C6E59"/>
    <w:rsid w:val="009D0E01"/>
    <w:rsid w:val="009D4554"/>
    <w:rsid w:val="009D7CDE"/>
    <w:rsid w:val="009E0BBF"/>
    <w:rsid w:val="009E1866"/>
    <w:rsid w:val="009E2969"/>
    <w:rsid w:val="009E3005"/>
    <w:rsid w:val="009E38EB"/>
    <w:rsid w:val="009E567E"/>
    <w:rsid w:val="009F01F8"/>
    <w:rsid w:val="009F0BFA"/>
    <w:rsid w:val="009F4940"/>
    <w:rsid w:val="009F5F8B"/>
    <w:rsid w:val="009F6315"/>
    <w:rsid w:val="00A06A9B"/>
    <w:rsid w:val="00A1011A"/>
    <w:rsid w:val="00A10405"/>
    <w:rsid w:val="00A10905"/>
    <w:rsid w:val="00A12D79"/>
    <w:rsid w:val="00A14477"/>
    <w:rsid w:val="00A16294"/>
    <w:rsid w:val="00A173B5"/>
    <w:rsid w:val="00A17426"/>
    <w:rsid w:val="00A17806"/>
    <w:rsid w:val="00A17960"/>
    <w:rsid w:val="00A17A2B"/>
    <w:rsid w:val="00A20110"/>
    <w:rsid w:val="00A211E1"/>
    <w:rsid w:val="00A23986"/>
    <w:rsid w:val="00A24539"/>
    <w:rsid w:val="00A2472A"/>
    <w:rsid w:val="00A25564"/>
    <w:rsid w:val="00A255C3"/>
    <w:rsid w:val="00A26CA4"/>
    <w:rsid w:val="00A27D44"/>
    <w:rsid w:val="00A30788"/>
    <w:rsid w:val="00A3096C"/>
    <w:rsid w:val="00A31154"/>
    <w:rsid w:val="00A32272"/>
    <w:rsid w:val="00A32F2E"/>
    <w:rsid w:val="00A335CB"/>
    <w:rsid w:val="00A33C58"/>
    <w:rsid w:val="00A358BF"/>
    <w:rsid w:val="00A36085"/>
    <w:rsid w:val="00A423E5"/>
    <w:rsid w:val="00A4376E"/>
    <w:rsid w:val="00A4439F"/>
    <w:rsid w:val="00A44A61"/>
    <w:rsid w:val="00A47F99"/>
    <w:rsid w:val="00A50C4A"/>
    <w:rsid w:val="00A51A6D"/>
    <w:rsid w:val="00A52188"/>
    <w:rsid w:val="00A5273F"/>
    <w:rsid w:val="00A54F72"/>
    <w:rsid w:val="00A57AF3"/>
    <w:rsid w:val="00A57B3A"/>
    <w:rsid w:val="00A64AD5"/>
    <w:rsid w:val="00A662FF"/>
    <w:rsid w:val="00A70F3C"/>
    <w:rsid w:val="00A72202"/>
    <w:rsid w:val="00A7716B"/>
    <w:rsid w:val="00A77A83"/>
    <w:rsid w:val="00A82ED5"/>
    <w:rsid w:val="00A832F2"/>
    <w:rsid w:val="00A8420E"/>
    <w:rsid w:val="00A84A67"/>
    <w:rsid w:val="00A87139"/>
    <w:rsid w:val="00A87219"/>
    <w:rsid w:val="00A872AE"/>
    <w:rsid w:val="00A92D78"/>
    <w:rsid w:val="00A92F50"/>
    <w:rsid w:val="00A943D3"/>
    <w:rsid w:val="00AA3C08"/>
    <w:rsid w:val="00AA7CF9"/>
    <w:rsid w:val="00AB1289"/>
    <w:rsid w:val="00AB2690"/>
    <w:rsid w:val="00AB6E96"/>
    <w:rsid w:val="00AB70AD"/>
    <w:rsid w:val="00AB7571"/>
    <w:rsid w:val="00AC11F3"/>
    <w:rsid w:val="00AC134B"/>
    <w:rsid w:val="00AC15BC"/>
    <w:rsid w:val="00AC1C23"/>
    <w:rsid w:val="00AC4BD9"/>
    <w:rsid w:val="00AC502A"/>
    <w:rsid w:val="00AC5711"/>
    <w:rsid w:val="00AC5C43"/>
    <w:rsid w:val="00AC6680"/>
    <w:rsid w:val="00AD37CE"/>
    <w:rsid w:val="00AD533F"/>
    <w:rsid w:val="00AD5573"/>
    <w:rsid w:val="00AD59AB"/>
    <w:rsid w:val="00AD6074"/>
    <w:rsid w:val="00AD69EB"/>
    <w:rsid w:val="00AE1C29"/>
    <w:rsid w:val="00AE1E68"/>
    <w:rsid w:val="00AE1EF9"/>
    <w:rsid w:val="00AE37F6"/>
    <w:rsid w:val="00AE41C1"/>
    <w:rsid w:val="00AE4264"/>
    <w:rsid w:val="00AE7CD5"/>
    <w:rsid w:val="00AF19F2"/>
    <w:rsid w:val="00AF2811"/>
    <w:rsid w:val="00AF3574"/>
    <w:rsid w:val="00AF3BD9"/>
    <w:rsid w:val="00AF3FE3"/>
    <w:rsid w:val="00AF4188"/>
    <w:rsid w:val="00AF4A0C"/>
    <w:rsid w:val="00AF5B41"/>
    <w:rsid w:val="00AF67FE"/>
    <w:rsid w:val="00AF7CC1"/>
    <w:rsid w:val="00B0262A"/>
    <w:rsid w:val="00B02664"/>
    <w:rsid w:val="00B02B37"/>
    <w:rsid w:val="00B04061"/>
    <w:rsid w:val="00B040AB"/>
    <w:rsid w:val="00B0467B"/>
    <w:rsid w:val="00B057F7"/>
    <w:rsid w:val="00B05B94"/>
    <w:rsid w:val="00B10076"/>
    <w:rsid w:val="00B11536"/>
    <w:rsid w:val="00B20FD6"/>
    <w:rsid w:val="00B22E59"/>
    <w:rsid w:val="00B23084"/>
    <w:rsid w:val="00B2323E"/>
    <w:rsid w:val="00B354D9"/>
    <w:rsid w:val="00B4088A"/>
    <w:rsid w:val="00B4129C"/>
    <w:rsid w:val="00B4492F"/>
    <w:rsid w:val="00B470C8"/>
    <w:rsid w:val="00B475E1"/>
    <w:rsid w:val="00B51316"/>
    <w:rsid w:val="00B5289B"/>
    <w:rsid w:val="00B5619C"/>
    <w:rsid w:val="00B60BBD"/>
    <w:rsid w:val="00B61C3D"/>
    <w:rsid w:val="00B624A4"/>
    <w:rsid w:val="00B64306"/>
    <w:rsid w:val="00B717A5"/>
    <w:rsid w:val="00B720DC"/>
    <w:rsid w:val="00B7232F"/>
    <w:rsid w:val="00B72ABD"/>
    <w:rsid w:val="00B74BD9"/>
    <w:rsid w:val="00B75880"/>
    <w:rsid w:val="00B77D8D"/>
    <w:rsid w:val="00B80458"/>
    <w:rsid w:val="00B80D9D"/>
    <w:rsid w:val="00B82CF3"/>
    <w:rsid w:val="00B84443"/>
    <w:rsid w:val="00B84AC3"/>
    <w:rsid w:val="00B85B88"/>
    <w:rsid w:val="00B90B42"/>
    <w:rsid w:val="00B9360A"/>
    <w:rsid w:val="00B946A9"/>
    <w:rsid w:val="00B950CD"/>
    <w:rsid w:val="00B95350"/>
    <w:rsid w:val="00B96B61"/>
    <w:rsid w:val="00B96B97"/>
    <w:rsid w:val="00BA0FE7"/>
    <w:rsid w:val="00BA1F48"/>
    <w:rsid w:val="00BA27ED"/>
    <w:rsid w:val="00BA36C3"/>
    <w:rsid w:val="00BA376F"/>
    <w:rsid w:val="00BA5475"/>
    <w:rsid w:val="00BA59D0"/>
    <w:rsid w:val="00BA7799"/>
    <w:rsid w:val="00BA7871"/>
    <w:rsid w:val="00BB2AFC"/>
    <w:rsid w:val="00BB30FD"/>
    <w:rsid w:val="00BB346C"/>
    <w:rsid w:val="00BC0875"/>
    <w:rsid w:val="00BC1DD4"/>
    <w:rsid w:val="00BD03D0"/>
    <w:rsid w:val="00BD03D2"/>
    <w:rsid w:val="00BD1648"/>
    <w:rsid w:val="00BD2A5C"/>
    <w:rsid w:val="00BD2C22"/>
    <w:rsid w:val="00BD341C"/>
    <w:rsid w:val="00BD47E0"/>
    <w:rsid w:val="00BD567F"/>
    <w:rsid w:val="00BD6C59"/>
    <w:rsid w:val="00BD72BA"/>
    <w:rsid w:val="00BE045C"/>
    <w:rsid w:val="00BE571C"/>
    <w:rsid w:val="00BE76CE"/>
    <w:rsid w:val="00BF7C0B"/>
    <w:rsid w:val="00C0608A"/>
    <w:rsid w:val="00C10BD2"/>
    <w:rsid w:val="00C10E1C"/>
    <w:rsid w:val="00C10E88"/>
    <w:rsid w:val="00C113F4"/>
    <w:rsid w:val="00C116E2"/>
    <w:rsid w:val="00C12FF0"/>
    <w:rsid w:val="00C159B0"/>
    <w:rsid w:val="00C16026"/>
    <w:rsid w:val="00C205D4"/>
    <w:rsid w:val="00C22FF1"/>
    <w:rsid w:val="00C23950"/>
    <w:rsid w:val="00C26E08"/>
    <w:rsid w:val="00C33AD2"/>
    <w:rsid w:val="00C34BCE"/>
    <w:rsid w:val="00C34F8F"/>
    <w:rsid w:val="00C35988"/>
    <w:rsid w:val="00C3676E"/>
    <w:rsid w:val="00C41FE1"/>
    <w:rsid w:val="00C424F2"/>
    <w:rsid w:val="00C434A3"/>
    <w:rsid w:val="00C436EC"/>
    <w:rsid w:val="00C4392C"/>
    <w:rsid w:val="00C4442B"/>
    <w:rsid w:val="00C5046D"/>
    <w:rsid w:val="00C50931"/>
    <w:rsid w:val="00C50C6A"/>
    <w:rsid w:val="00C5154C"/>
    <w:rsid w:val="00C55B61"/>
    <w:rsid w:val="00C56C37"/>
    <w:rsid w:val="00C56FA5"/>
    <w:rsid w:val="00C60ECA"/>
    <w:rsid w:val="00C625A8"/>
    <w:rsid w:val="00C630D8"/>
    <w:rsid w:val="00C71D59"/>
    <w:rsid w:val="00C72B26"/>
    <w:rsid w:val="00C73184"/>
    <w:rsid w:val="00C74098"/>
    <w:rsid w:val="00C75511"/>
    <w:rsid w:val="00C77E54"/>
    <w:rsid w:val="00C80938"/>
    <w:rsid w:val="00C814D6"/>
    <w:rsid w:val="00C82482"/>
    <w:rsid w:val="00C82FA6"/>
    <w:rsid w:val="00C83065"/>
    <w:rsid w:val="00C83663"/>
    <w:rsid w:val="00C83891"/>
    <w:rsid w:val="00C87F97"/>
    <w:rsid w:val="00C901D9"/>
    <w:rsid w:val="00C909D9"/>
    <w:rsid w:val="00C90C33"/>
    <w:rsid w:val="00C91352"/>
    <w:rsid w:val="00C91C5B"/>
    <w:rsid w:val="00C92CAE"/>
    <w:rsid w:val="00C9330E"/>
    <w:rsid w:val="00C94228"/>
    <w:rsid w:val="00C944AD"/>
    <w:rsid w:val="00C95B3B"/>
    <w:rsid w:val="00CA12FD"/>
    <w:rsid w:val="00CA2F0A"/>
    <w:rsid w:val="00CA5D09"/>
    <w:rsid w:val="00CB0E7B"/>
    <w:rsid w:val="00CB1CD5"/>
    <w:rsid w:val="00CB2725"/>
    <w:rsid w:val="00CB4123"/>
    <w:rsid w:val="00CB5841"/>
    <w:rsid w:val="00CC1375"/>
    <w:rsid w:val="00CC5A9F"/>
    <w:rsid w:val="00CC5EDF"/>
    <w:rsid w:val="00CC6786"/>
    <w:rsid w:val="00CC7AFB"/>
    <w:rsid w:val="00CD0A87"/>
    <w:rsid w:val="00CD1FC1"/>
    <w:rsid w:val="00CD42BF"/>
    <w:rsid w:val="00CD7C36"/>
    <w:rsid w:val="00CE1ACE"/>
    <w:rsid w:val="00CE2C77"/>
    <w:rsid w:val="00CE440E"/>
    <w:rsid w:val="00CE568E"/>
    <w:rsid w:val="00CE5A5B"/>
    <w:rsid w:val="00CE7259"/>
    <w:rsid w:val="00CE77C5"/>
    <w:rsid w:val="00CF08FB"/>
    <w:rsid w:val="00CF268F"/>
    <w:rsid w:val="00CF5E90"/>
    <w:rsid w:val="00CF6BE8"/>
    <w:rsid w:val="00CF6F90"/>
    <w:rsid w:val="00CF78BC"/>
    <w:rsid w:val="00D00266"/>
    <w:rsid w:val="00D00B1F"/>
    <w:rsid w:val="00D04440"/>
    <w:rsid w:val="00D10874"/>
    <w:rsid w:val="00D11443"/>
    <w:rsid w:val="00D12CC2"/>
    <w:rsid w:val="00D15351"/>
    <w:rsid w:val="00D17F7E"/>
    <w:rsid w:val="00D21529"/>
    <w:rsid w:val="00D216C9"/>
    <w:rsid w:val="00D23059"/>
    <w:rsid w:val="00D2372F"/>
    <w:rsid w:val="00D23D12"/>
    <w:rsid w:val="00D23FC7"/>
    <w:rsid w:val="00D24FA6"/>
    <w:rsid w:val="00D2528E"/>
    <w:rsid w:val="00D26963"/>
    <w:rsid w:val="00D31B54"/>
    <w:rsid w:val="00D3211C"/>
    <w:rsid w:val="00D32B74"/>
    <w:rsid w:val="00D35A27"/>
    <w:rsid w:val="00D35C92"/>
    <w:rsid w:val="00D37761"/>
    <w:rsid w:val="00D41B82"/>
    <w:rsid w:val="00D43278"/>
    <w:rsid w:val="00D44011"/>
    <w:rsid w:val="00D4553E"/>
    <w:rsid w:val="00D45931"/>
    <w:rsid w:val="00D45C99"/>
    <w:rsid w:val="00D464A8"/>
    <w:rsid w:val="00D46B82"/>
    <w:rsid w:val="00D5173C"/>
    <w:rsid w:val="00D529D2"/>
    <w:rsid w:val="00D52C3E"/>
    <w:rsid w:val="00D53740"/>
    <w:rsid w:val="00D54064"/>
    <w:rsid w:val="00D54FAC"/>
    <w:rsid w:val="00D55EF6"/>
    <w:rsid w:val="00D5756F"/>
    <w:rsid w:val="00D578B2"/>
    <w:rsid w:val="00D60AD7"/>
    <w:rsid w:val="00D60FC8"/>
    <w:rsid w:val="00D63E60"/>
    <w:rsid w:val="00D64043"/>
    <w:rsid w:val="00D66211"/>
    <w:rsid w:val="00D71710"/>
    <w:rsid w:val="00D740A2"/>
    <w:rsid w:val="00D8059D"/>
    <w:rsid w:val="00D81EAD"/>
    <w:rsid w:val="00D85A5F"/>
    <w:rsid w:val="00D85BA3"/>
    <w:rsid w:val="00D908A3"/>
    <w:rsid w:val="00D9340E"/>
    <w:rsid w:val="00D9364D"/>
    <w:rsid w:val="00D9764D"/>
    <w:rsid w:val="00DA2320"/>
    <w:rsid w:val="00DA5289"/>
    <w:rsid w:val="00DA750A"/>
    <w:rsid w:val="00DA7739"/>
    <w:rsid w:val="00DB056D"/>
    <w:rsid w:val="00DB0F60"/>
    <w:rsid w:val="00DB22A6"/>
    <w:rsid w:val="00DB357B"/>
    <w:rsid w:val="00DB3CE6"/>
    <w:rsid w:val="00DB5EBF"/>
    <w:rsid w:val="00DB6AD1"/>
    <w:rsid w:val="00DC02C6"/>
    <w:rsid w:val="00DC0E4C"/>
    <w:rsid w:val="00DC1CCC"/>
    <w:rsid w:val="00DC324B"/>
    <w:rsid w:val="00DC3960"/>
    <w:rsid w:val="00DC41F4"/>
    <w:rsid w:val="00DC5AE4"/>
    <w:rsid w:val="00DC6B16"/>
    <w:rsid w:val="00DD5C36"/>
    <w:rsid w:val="00DD65B7"/>
    <w:rsid w:val="00DD71C5"/>
    <w:rsid w:val="00DD7817"/>
    <w:rsid w:val="00DE155E"/>
    <w:rsid w:val="00DE1578"/>
    <w:rsid w:val="00DE298A"/>
    <w:rsid w:val="00DE3CEA"/>
    <w:rsid w:val="00DE44D0"/>
    <w:rsid w:val="00DE4747"/>
    <w:rsid w:val="00DE7254"/>
    <w:rsid w:val="00DF0D65"/>
    <w:rsid w:val="00DF1086"/>
    <w:rsid w:val="00DF1CFD"/>
    <w:rsid w:val="00DF28B1"/>
    <w:rsid w:val="00DF29B5"/>
    <w:rsid w:val="00DF3C90"/>
    <w:rsid w:val="00DF4515"/>
    <w:rsid w:val="00DF4838"/>
    <w:rsid w:val="00DF4FAE"/>
    <w:rsid w:val="00DF6A61"/>
    <w:rsid w:val="00DF6FB2"/>
    <w:rsid w:val="00DF7968"/>
    <w:rsid w:val="00E00D3E"/>
    <w:rsid w:val="00E03464"/>
    <w:rsid w:val="00E037FB"/>
    <w:rsid w:val="00E047EE"/>
    <w:rsid w:val="00E076A3"/>
    <w:rsid w:val="00E07B09"/>
    <w:rsid w:val="00E07E46"/>
    <w:rsid w:val="00E11566"/>
    <w:rsid w:val="00E11FEC"/>
    <w:rsid w:val="00E12109"/>
    <w:rsid w:val="00E12955"/>
    <w:rsid w:val="00E1732B"/>
    <w:rsid w:val="00E17569"/>
    <w:rsid w:val="00E2146B"/>
    <w:rsid w:val="00E23FCC"/>
    <w:rsid w:val="00E258A5"/>
    <w:rsid w:val="00E26EB5"/>
    <w:rsid w:val="00E271A1"/>
    <w:rsid w:val="00E334A4"/>
    <w:rsid w:val="00E349AB"/>
    <w:rsid w:val="00E35F27"/>
    <w:rsid w:val="00E36597"/>
    <w:rsid w:val="00E36D30"/>
    <w:rsid w:val="00E37BD0"/>
    <w:rsid w:val="00E37E91"/>
    <w:rsid w:val="00E42FB5"/>
    <w:rsid w:val="00E50273"/>
    <w:rsid w:val="00E5298B"/>
    <w:rsid w:val="00E53005"/>
    <w:rsid w:val="00E533E8"/>
    <w:rsid w:val="00E55793"/>
    <w:rsid w:val="00E55EBD"/>
    <w:rsid w:val="00E61D06"/>
    <w:rsid w:val="00E6709D"/>
    <w:rsid w:val="00E71C1F"/>
    <w:rsid w:val="00E72152"/>
    <w:rsid w:val="00E736CD"/>
    <w:rsid w:val="00E73D47"/>
    <w:rsid w:val="00E762E6"/>
    <w:rsid w:val="00E77F16"/>
    <w:rsid w:val="00E8160E"/>
    <w:rsid w:val="00E81A5B"/>
    <w:rsid w:val="00E83C6D"/>
    <w:rsid w:val="00E84A2D"/>
    <w:rsid w:val="00E86CE9"/>
    <w:rsid w:val="00E876AC"/>
    <w:rsid w:val="00E9002A"/>
    <w:rsid w:val="00E908B4"/>
    <w:rsid w:val="00E92E78"/>
    <w:rsid w:val="00E92FE6"/>
    <w:rsid w:val="00E9549E"/>
    <w:rsid w:val="00E973F6"/>
    <w:rsid w:val="00EA1488"/>
    <w:rsid w:val="00EA45EB"/>
    <w:rsid w:val="00EA4E9B"/>
    <w:rsid w:val="00EA537C"/>
    <w:rsid w:val="00EA6488"/>
    <w:rsid w:val="00EA72E0"/>
    <w:rsid w:val="00EB046F"/>
    <w:rsid w:val="00EB05B0"/>
    <w:rsid w:val="00EB1C4C"/>
    <w:rsid w:val="00EB3A4C"/>
    <w:rsid w:val="00EB4ABD"/>
    <w:rsid w:val="00EB5C76"/>
    <w:rsid w:val="00EB606B"/>
    <w:rsid w:val="00EC030E"/>
    <w:rsid w:val="00EC214F"/>
    <w:rsid w:val="00EC25AD"/>
    <w:rsid w:val="00EC5E7D"/>
    <w:rsid w:val="00EC7D2B"/>
    <w:rsid w:val="00ED1C61"/>
    <w:rsid w:val="00ED2EBA"/>
    <w:rsid w:val="00ED4AEA"/>
    <w:rsid w:val="00ED4E32"/>
    <w:rsid w:val="00ED51C3"/>
    <w:rsid w:val="00ED67E1"/>
    <w:rsid w:val="00ED7864"/>
    <w:rsid w:val="00ED7D91"/>
    <w:rsid w:val="00EE0099"/>
    <w:rsid w:val="00EE055D"/>
    <w:rsid w:val="00EE5641"/>
    <w:rsid w:val="00EF3FB4"/>
    <w:rsid w:val="00EF483C"/>
    <w:rsid w:val="00EF5A28"/>
    <w:rsid w:val="00EF6EA3"/>
    <w:rsid w:val="00F035B9"/>
    <w:rsid w:val="00F06D07"/>
    <w:rsid w:val="00F10E36"/>
    <w:rsid w:val="00F1143E"/>
    <w:rsid w:val="00F13202"/>
    <w:rsid w:val="00F139AD"/>
    <w:rsid w:val="00F13B6F"/>
    <w:rsid w:val="00F143EB"/>
    <w:rsid w:val="00F14D58"/>
    <w:rsid w:val="00F15AC2"/>
    <w:rsid w:val="00F16A17"/>
    <w:rsid w:val="00F17183"/>
    <w:rsid w:val="00F1793F"/>
    <w:rsid w:val="00F24617"/>
    <w:rsid w:val="00F24A9A"/>
    <w:rsid w:val="00F24DE4"/>
    <w:rsid w:val="00F2573A"/>
    <w:rsid w:val="00F25D77"/>
    <w:rsid w:val="00F31DF5"/>
    <w:rsid w:val="00F37A12"/>
    <w:rsid w:val="00F37EB6"/>
    <w:rsid w:val="00F400EE"/>
    <w:rsid w:val="00F40A8E"/>
    <w:rsid w:val="00F428DE"/>
    <w:rsid w:val="00F43AD8"/>
    <w:rsid w:val="00F55391"/>
    <w:rsid w:val="00F55C8F"/>
    <w:rsid w:val="00F564E8"/>
    <w:rsid w:val="00F605E0"/>
    <w:rsid w:val="00F61920"/>
    <w:rsid w:val="00F65DB8"/>
    <w:rsid w:val="00F65E50"/>
    <w:rsid w:val="00F67488"/>
    <w:rsid w:val="00F7132A"/>
    <w:rsid w:val="00F7200D"/>
    <w:rsid w:val="00F720E0"/>
    <w:rsid w:val="00F721AE"/>
    <w:rsid w:val="00F743C7"/>
    <w:rsid w:val="00F756E0"/>
    <w:rsid w:val="00F829B5"/>
    <w:rsid w:val="00F8339C"/>
    <w:rsid w:val="00F85BA2"/>
    <w:rsid w:val="00F911DB"/>
    <w:rsid w:val="00F92851"/>
    <w:rsid w:val="00F9477F"/>
    <w:rsid w:val="00F96F3F"/>
    <w:rsid w:val="00FA01DA"/>
    <w:rsid w:val="00FA2219"/>
    <w:rsid w:val="00FA404D"/>
    <w:rsid w:val="00FA4FA6"/>
    <w:rsid w:val="00FA62E4"/>
    <w:rsid w:val="00FA76F8"/>
    <w:rsid w:val="00FB1A45"/>
    <w:rsid w:val="00FB1ADC"/>
    <w:rsid w:val="00FB2211"/>
    <w:rsid w:val="00FB53E0"/>
    <w:rsid w:val="00FB541B"/>
    <w:rsid w:val="00FB7E3F"/>
    <w:rsid w:val="00FC5707"/>
    <w:rsid w:val="00FC6FD6"/>
    <w:rsid w:val="00FC7CAB"/>
    <w:rsid w:val="00FD0516"/>
    <w:rsid w:val="00FD1265"/>
    <w:rsid w:val="00FD3131"/>
    <w:rsid w:val="00FD38AB"/>
    <w:rsid w:val="00FD5E3C"/>
    <w:rsid w:val="00FE1974"/>
    <w:rsid w:val="00FE3131"/>
    <w:rsid w:val="00FE390C"/>
    <w:rsid w:val="00FE3D30"/>
    <w:rsid w:val="00FF03A5"/>
    <w:rsid w:val="00FF0BED"/>
    <w:rsid w:val="00FF1567"/>
    <w:rsid w:val="00FF2E4A"/>
    <w:rsid w:val="00FF5849"/>
    <w:rsid w:val="00FF65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492CC"/>
  <w15:docId w15:val="{05C238AA-6C00-4015-BD34-EC03C060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5694"/>
    <w:pPr>
      <w:spacing w:after="160" w:line="259" w:lineRule="auto"/>
    </w:pPr>
    <w:rPr>
      <w:lang w:eastAsia="en-US"/>
    </w:rPr>
  </w:style>
  <w:style w:type="paragraph" w:styleId="Naslov1">
    <w:name w:val="heading 1"/>
    <w:basedOn w:val="Navaden"/>
    <w:next w:val="Navaden"/>
    <w:link w:val="Naslov1Znak"/>
    <w:qFormat/>
    <w:locked/>
    <w:rsid w:val="00286577"/>
    <w:pPr>
      <w:keepNext/>
      <w:keepLines/>
      <w:numPr>
        <w:numId w:val="4"/>
      </w:numPr>
      <w:tabs>
        <w:tab w:val="left" w:pos="567"/>
      </w:tabs>
      <w:spacing w:line="260" w:lineRule="exact"/>
      <w:contextualSpacing/>
      <w:outlineLvl w:val="0"/>
    </w:pPr>
    <w:rPr>
      <w:rFonts w:ascii="Arial" w:eastAsiaTheme="majorEastAsia" w:hAnsi="Arial" w:cs="Arial"/>
      <w:b/>
      <w:color w:val="365F91" w:themeColor="accent1" w:themeShade="BF"/>
      <w:sz w:val="20"/>
      <w:szCs w:val="20"/>
    </w:rPr>
  </w:style>
  <w:style w:type="paragraph" w:styleId="Naslov2">
    <w:name w:val="heading 2"/>
    <w:basedOn w:val="Navaden"/>
    <w:next w:val="Navaden"/>
    <w:link w:val="Naslov2Znak"/>
    <w:uiPriority w:val="99"/>
    <w:qFormat/>
    <w:rsid w:val="00286577"/>
    <w:pPr>
      <w:keepNext/>
      <w:numPr>
        <w:ilvl w:val="1"/>
        <w:numId w:val="1"/>
      </w:numPr>
      <w:tabs>
        <w:tab w:val="left" w:pos="567"/>
      </w:tabs>
      <w:spacing w:line="260" w:lineRule="exact"/>
      <w:contextualSpacing/>
      <w:outlineLvl w:val="1"/>
    </w:pPr>
    <w:rPr>
      <w:rFonts w:ascii="Arial" w:eastAsia="Times New Roman" w:hAnsi="Arial" w:cs="Arial"/>
      <w:b/>
      <w:bCs/>
      <w:iCs/>
      <w:sz w:val="20"/>
      <w:szCs w:val="20"/>
      <w:lang w:eastAsia="sl-SI"/>
    </w:rPr>
  </w:style>
  <w:style w:type="paragraph" w:styleId="Naslov3">
    <w:name w:val="heading 3"/>
    <w:basedOn w:val="Navaden"/>
    <w:next w:val="Navaden"/>
    <w:link w:val="Naslov3Znak"/>
    <w:uiPriority w:val="99"/>
    <w:qFormat/>
    <w:rsid w:val="009A766C"/>
    <w:pPr>
      <w:keepNext/>
      <w:keepLines/>
      <w:numPr>
        <w:ilvl w:val="2"/>
        <w:numId w:val="1"/>
      </w:numPr>
      <w:tabs>
        <w:tab w:val="left" w:pos="567"/>
      </w:tabs>
      <w:spacing w:before="40" w:after="0"/>
      <w:outlineLvl w:val="2"/>
    </w:pPr>
    <w:rPr>
      <w:rFonts w:ascii="Arial" w:eastAsia="Times New Roman" w:hAnsi="Arial"/>
      <w:b/>
      <w:sz w:val="24"/>
      <w:szCs w:val="24"/>
    </w:rPr>
  </w:style>
  <w:style w:type="paragraph" w:styleId="Naslov4">
    <w:name w:val="heading 4"/>
    <w:basedOn w:val="Navaden"/>
    <w:next w:val="Navaden"/>
    <w:link w:val="Naslov4Znak"/>
    <w:semiHidden/>
    <w:unhideWhenUsed/>
    <w:qFormat/>
    <w:locked/>
    <w:rsid w:val="00C80938"/>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locked/>
    <w:rsid w:val="00C80938"/>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locked/>
    <w:rsid w:val="00C80938"/>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locked/>
    <w:rsid w:val="00C80938"/>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locked/>
    <w:rsid w:val="00C809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locked/>
    <w:rsid w:val="00C809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286577"/>
    <w:rPr>
      <w:rFonts w:ascii="Arial" w:eastAsia="Times New Roman" w:hAnsi="Arial" w:cs="Arial"/>
      <w:b/>
      <w:bCs/>
      <w:iCs/>
      <w:sz w:val="20"/>
      <w:szCs w:val="20"/>
    </w:rPr>
  </w:style>
  <w:style w:type="character" w:customStyle="1" w:styleId="Naslov3Znak">
    <w:name w:val="Naslov 3 Znak"/>
    <w:basedOn w:val="Privzetapisavaodstavka"/>
    <w:link w:val="Naslov3"/>
    <w:uiPriority w:val="99"/>
    <w:locked/>
    <w:rsid w:val="009A766C"/>
    <w:rPr>
      <w:rFonts w:ascii="Arial" w:eastAsia="Times New Roman" w:hAnsi="Arial"/>
      <w:b/>
      <w:sz w:val="24"/>
      <w:szCs w:val="24"/>
      <w:lang w:eastAsia="en-US"/>
    </w:rPr>
  </w:style>
  <w:style w:type="paragraph" w:customStyle="1" w:styleId="Default">
    <w:name w:val="Default"/>
    <w:uiPriority w:val="99"/>
    <w:rsid w:val="00185694"/>
    <w:pPr>
      <w:autoSpaceDE w:val="0"/>
      <w:autoSpaceDN w:val="0"/>
      <w:adjustRightInd w:val="0"/>
    </w:pPr>
    <w:rPr>
      <w:rFonts w:ascii="Verdana" w:eastAsia="Times New Roman" w:hAnsi="Verdana" w:cs="Verdana"/>
      <w:color w:val="000000"/>
      <w:sz w:val="24"/>
      <w:szCs w:val="24"/>
    </w:rPr>
  </w:style>
  <w:style w:type="paragraph" w:styleId="Besedilooblaka">
    <w:name w:val="Balloon Text"/>
    <w:basedOn w:val="Navaden"/>
    <w:link w:val="BesedilooblakaZnak"/>
    <w:uiPriority w:val="99"/>
    <w:semiHidden/>
    <w:rsid w:val="001856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185694"/>
    <w:rPr>
      <w:rFonts w:ascii="Segoe UI" w:hAnsi="Segoe UI" w:cs="Segoe UI"/>
      <w:sz w:val="18"/>
      <w:szCs w:val="18"/>
    </w:rPr>
  </w:style>
  <w:style w:type="paragraph" w:styleId="Odstavekseznama">
    <w:name w:val="List Paragraph"/>
    <w:aliases w:val="ne-puščica"/>
    <w:basedOn w:val="Navaden"/>
    <w:link w:val="OdstavekseznamaZnak"/>
    <w:uiPriority w:val="34"/>
    <w:qFormat/>
    <w:rsid w:val="00185694"/>
    <w:pPr>
      <w:spacing w:after="200" w:line="276" w:lineRule="auto"/>
      <w:ind w:left="708"/>
    </w:pPr>
  </w:style>
  <w:style w:type="character" w:customStyle="1" w:styleId="st">
    <w:name w:val="st"/>
    <w:rsid w:val="00185694"/>
  </w:style>
  <w:style w:type="character" w:styleId="Poudarek">
    <w:name w:val="Emphasis"/>
    <w:basedOn w:val="Privzetapisavaodstavka"/>
    <w:uiPriority w:val="20"/>
    <w:qFormat/>
    <w:rsid w:val="00185694"/>
    <w:rPr>
      <w:rFonts w:cs="Times New Roman"/>
      <w:i/>
    </w:rPr>
  </w:style>
  <w:style w:type="character" w:customStyle="1" w:styleId="jlqj4b">
    <w:name w:val="jlqj4b"/>
    <w:uiPriority w:val="99"/>
    <w:rsid w:val="00185694"/>
  </w:style>
  <w:style w:type="paragraph" w:customStyle="1" w:styleId="Desno">
    <w:name w:val="Desno"/>
    <w:basedOn w:val="Navaden"/>
    <w:uiPriority w:val="99"/>
    <w:rsid w:val="00185694"/>
    <w:pPr>
      <w:spacing w:before="120" w:after="120" w:line="240" w:lineRule="auto"/>
      <w:jc w:val="both"/>
    </w:pPr>
    <w:rPr>
      <w:rFonts w:ascii="Arial" w:eastAsia="Times New Roman" w:hAnsi="Arial" w:cs="Arial"/>
      <w:sz w:val="18"/>
      <w:szCs w:val="18"/>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
    <w:basedOn w:val="Navaden"/>
    <w:link w:val="Sprotnaopomba-besediloZnak"/>
    <w:uiPriority w:val="99"/>
    <w:semiHidden/>
    <w:rsid w:val="00185694"/>
    <w:pPr>
      <w:spacing w:after="0" w:line="240" w:lineRule="auto"/>
    </w:pPr>
    <w:rPr>
      <w:sz w:val="20"/>
      <w:szCs w:val="20"/>
    </w:rPr>
  </w:style>
  <w:style w:type="character" w:customStyle="1" w:styleId="Sprotnaopomba-besediloZnak">
    <w:name w:val="Sprotna opomba - besedilo Znak"/>
    <w:aliases w:val="Sprotna opomba - besedilo Znak1 Char Znak1,Sprotna opomba - besedilo Znak Znak Char Znak1,Znak Znak Znak Char Znak1,Znak Znak Znak Znak Znak Znak Znak Char Znak1,Znak Znak1 Char Znak1,????? ?????? ???? Znak"/>
    <w:basedOn w:val="Privzetapisavaodstavka"/>
    <w:link w:val="Sprotnaopomba-besedilo"/>
    <w:uiPriority w:val="99"/>
    <w:semiHidden/>
    <w:locked/>
    <w:rsid w:val="00185694"/>
    <w:rPr>
      <w:rFonts w:ascii="Calibri" w:hAnsi="Calibri" w:cs="Times New Roman"/>
      <w:sz w:val="20"/>
      <w:szCs w:val="20"/>
    </w:rPr>
  </w:style>
  <w:style w:type="character" w:styleId="Sprotnaopomba-sklic">
    <w:name w:val="footnote reference"/>
    <w:basedOn w:val="Privzetapisavaodstavka"/>
    <w:uiPriority w:val="99"/>
    <w:semiHidden/>
    <w:rsid w:val="00185694"/>
    <w:rPr>
      <w:rFonts w:cs="Times New Roman"/>
      <w:vertAlign w:val="superscript"/>
    </w:rPr>
  </w:style>
  <w:style w:type="paragraph" w:customStyle="1" w:styleId="Opredelitev">
    <w:name w:val="Opredelitev"/>
    <w:basedOn w:val="Navaden"/>
    <w:uiPriority w:val="99"/>
    <w:rsid w:val="00185694"/>
    <w:pPr>
      <w:spacing w:before="120" w:after="120" w:line="240" w:lineRule="auto"/>
      <w:jc w:val="both"/>
    </w:pPr>
    <w:rPr>
      <w:rFonts w:ascii="Arial" w:hAnsi="Arial" w:cs="Arial"/>
      <w:b/>
      <w:color w:val="000000"/>
      <w:sz w:val="20"/>
      <w:szCs w:val="20"/>
      <w:lang w:eastAsia="sl-SI"/>
    </w:rPr>
  </w:style>
  <w:style w:type="paragraph" w:styleId="Glava">
    <w:name w:val="header"/>
    <w:basedOn w:val="Navaden"/>
    <w:link w:val="GlavaZnak"/>
    <w:uiPriority w:val="99"/>
    <w:rsid w:val="00604098"/>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604098"/>
    <w:rPr>
      <w:rFonts w:ascii="Calibri" w:hAnsi="Calibri" w:cs="Times New Roman"/>
    </w:rPr>
  </w:style>
  <w:style w:type="paragraph" w:styleId="Noga">
    <w:name w:val="footer"/>
    <w:basedOn w:val="Navaden"/>
    <w:link w:val="NogaZnak"/>
    <w:uiPriority w:val="99"/>
    <w:rsid w:val="00D60FC8"/>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D60FC8"/>
    <w:rPr>
      <w:rFonts w:cs="Times New Roman"/>
    </w:rPr>
  </w:style>
  <w:style w:type="character" w:styleId="Pripombasklic">
    <w:name w:val="annotation reference"/>
    <w:basedOn w:val="Privzetapisavaodstavka"/>
    <w:uiPriority w:val="99"/>
    <w:semiHidden/>
    <w:rsid w:val="008B1378"/>
    <w:rPr>
      <w:rFonts w:cs="Times New Roman"/>
      <w:sz w:val="16"/>
      <w:szCs w:val="16"/>
    </w:rPr>
  </w:style>
  <w:style w:type="paragraph" w:styleId="Pripombabesedilo">
    <w:name w:val="annotation text"/>
    <w:basedOn w:val="Navaden"/>
    <w:link w:val="PripombabesediloZnak"/>
    <w:uiPriority w:val="99"/>
    <w:semiHidden/>
    <w:rsid w:val="008B1378"/>
    <w:rPr>
      <w:sz w:val="20"/>
      <w:szCs w:val="20"/>
    </w:rPr>
  </w:style>
  <w:style w:type="character" w:customStyle="1" w:styleId="PripombabesediloZnak">
    <w:name w:val="Pripomba – besedilo Znak"/>
    <w:basedOn w:val="Privzetapisavaodstavka"/>
    <w:link w:val="Pripombabesedilo"/>
    <w:uiPriority w:val="99"/>
    <w:semiHidden/>
    <w:locked/>
    <w:rsid w:val="00591841"/>
    <w:rPr>
      <w:rFonts w:cs="Times New Roman"/>
      <w:sz w:val="20"/>
      <w:szCs w:val="20"/>
      <w:lang w:eastAsia="en-US"/>
    </w:rPr>
  </w:style>
  <w:style w:type="paragraph" w:styleId="Zadevapripombe">
    <w:name w:val="annotation subject"/>
    <w:basedOn w:val="Pripombabesedilo"/>
    <w:next w:val="Pripombabesedilo"/>
    <w:link w:val="ZadevapripombeZnak"/>
    <w:uiPriority w:val="99"/>
    <w:semiHidden/>
    <w:rsid w:val="008B1378"/>
    <w:rPr>
      <w:b/>
      <w:bCs/>
    </w:rPr>
  </w:style>
  <w:style w:type="character" w:customStyle="1" w:styleId="ZadevapripombeZnak">
    <w:name w:val="Zadeva pripombe Znak"/>
    <w:basedOn w:val="PripombabesediloZnak"/>
    <w:link w:val="Zadevapripombe"/>
    <w:uiPriority w:val="99"/>
    <w:semiHidden/>
    <w:locked/>
    <w:rsid w:val="00591841"/>
    <w:rPr>
      <w:rFonts w:cs="Times New Roman"/>
      <w:b/>
      <w:bCs/>
      <w:sz w:val="20"/>
      <w:szCs w:val="20"/>
      <w:lang w:eastAsia="en-US"/>
    </w:rPr>
  </w:style>
  <w:style w:type="character" w:customStyle="1" w:styleId="Sprotnaopomba-besediloZnak1CharZnak">
    <w:name w:val="Sprotna opomba - besedilo Znak1 Char Znak"/>
    <w:aliases w:val="Sprotna opomba - besedilo Znak Znak Char Znak,Znak Znak Znak Char Znak,Znak Znak Znak Znak Znak Znak Znak Char Znak,Znak Znak1 Char Znak,Znak Znak Znak Znak Znak Znak1 Char Znak,????? ?????? ???? Znak Znak"/>
    <w:uiPriority w:val="99"/>
    <w:rsid w:val="006918A7"/>
  </w:style>
  <w:style w:type="table" w:styleId="Tabelaseznam3poudarek5">
    <w:name w:val="List Table 3 Accent 5"/>
    <w:basedOn w:val="Navadnatabela"/>
    <w:uiPriority w:val="48"/>
    <w:rsid w:val="00971D2C"/>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styleId="Navadensplet">
    <w:name w:val="Normal (Web)"/>
    <w:basedOn w:val="Navaden"/>
    <w:uiPriority w:val="99"/>
    <w:unhideWhenUsed/>
    <w:rsid w:val="00EE564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rsid w:val="00286577"/>
    <w:rPr>
      <w:rFonts w:ascii="Arial" w:eastAsiaTheme="majorEastAsia" w:hAnsi="Arial" w:cs="Arial"/>
      <w:b/>
      <w:color w:val="365F91" w:themeColor="accent1" w:themeShade="BF"/>
      <w:sz w:val="20"/>
      <w:szCs w:val="20"/>
      <w:lang w:eastAsia="en-US"/>
    </w:rPr>
  </w:style>
  <w:style w:type="paragraph" w:styleId="Kazalovsebine2">
    <w:name w:val="toc 2"/>
    <w:basedOn w:val="Navaden"/>
    <w:next w:val="Navaden"/>
    <w:autoRedefine/>
    <w:uiPriority w:val="39"/>
    <w:locked/>
    <w:rsid w:val="00E271A1"/>
    <w:pPr>
      <w:tabs>
        <w:tab w:val="left" w:pos="660"/>
        <w:tab w:val="right" w:pos="9060"/>
      </w:tabs>
      <w:spacing w:after="0" w:line="276" w:lineRule="auto"/>
    </w:pPr>
    <w:rPr>
      <w:rFonts w:asciiTheme="minorHAnsi" w:hAnsiTheme="minorHAnsi"/>
      <w:b/>
      <w:bCs/>
      <w:sz w:val="20"/>
      <w:szCs w:val="20"/>
    </w:rPr>
  </w:style>
  <w:style w:type="character" w:customStyle="1" w:styleId="Naslov4Znak">
    <w:name w:val="Naslov 4 Znak"/>
    <w:basedOn w:val="Privzetapisavaodstavka"/>
    <w:link w:val="Naslov4"/>
    <w:semiHidden/>
    <w:rsid w:val="00C80938"/>
    <w:rPr>
      <w:rFonts w:asciiTheme="majorHAnsi" w:eastAsiaTheme="majorEastAsia" w:hAnsiTheme="majorHAnsi" w:cstheme="majorBidi"/>
      <w:i/>
      <w:iCs/>
      <w:color w:val="365F91" w:themeColor="accent1" w:themeShade="BF"/>
      <w:lang w:eastAsia="en-US"/>
    </w:rPr>
  </w:style>
  <w:style w:type="character" w:customStyle="1" w:styleId="Naslov5Znak">
    <w:name w:val="Naslov 5 Znak"/>
    <w:basedOn w:val="Privzetapisavaodstavka"/>
    <w:link w:val="Naslov5"/>
    <w:semiHidden/>
    <w:rsid w:val="00C80938"/>
    <w:rPr>
      <w:rFonts w:asciiTheme="majorHAnsi" w:eastAsiaTheme="majorEastAsia" w:hAnsiTheme="majorHAnsi" w:cstheme="majorBidi"/>
      <w:color w:val="365F91" w:themeColor="accent1" w:themeShade="BF"/>
      <w:lang w:eastAsia="en-US"/>
    </w:rPr>
  </w:style>
  <w:style w:type="character" w:customStyle="1" w:styleId="Naslov6Znak">
    <w:name w:val="Naslov 6 Znak"/>
    <w:basedOn w:val="Privzetapisavaodstavka"/>
    <w:link w:val="Naslov6"/>
    <w:semiHidden/>
    <w:rsid w:val="00C80938"/>
    <w:rPr>
      <w:rFonts w:asciiTheme="majorHAnsi" w:eastAsiaTheme="majorEastAsia" w:hAnsiTheme="majorHAnsi" w:cstheme="majorBidi"/>
      <w:color w:val="243F60" w:themeColor="accent1" w:themeShade="7F"/>
      <w:lang w:eastAsia="en-US"/>
    </w:rPr>
  </w:style>
  <w:style w:type="character" w:customStyle="1" w:styleId="Naslov7Znak">
    <w:name w:val="Naslov 7 Znak"/>
    <w:basedOn w:val="Privzetapisavaodstavka"/>
    <w:link w:val="Naslov7"/>
    <w:semiHidden/>
    <w:rsid w:val="00C80938"/>
    <w:rPr>
      <w:rFonts w:asciiTheme="majorHAnsi" w:eastAsiaTheme="majorEastAsia" w:hAnsiTheme="majorHAnsi" w:cstheme="majorBidi"/>
      <w:i/>
      <w:iCs/>
      <w:color w:val="243F60" w:themeColor="accent1" w:themeShade="7F"/>
      <w:lang w:eastAsia="en-US"/>
    </w:rPr>
  </w:style>
  <w:style w:type="character" w:customStyle="1" w:styleId="Naslov8Znak">
    <w:name w:val="Naslov 8 Znak"/>
    <w:basedOn w:val="Privzetapisavaodstavka"/>
    <w:link w:val="Naslov8"/>
    <w:semiHidden/>
    <w:rsid w:val="00C80938"/>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C80938"/>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365E89"/>
    <w:pPr>
      <w:numPr>
        <w:numId w:val="0"/>
      </w:numPr>
      <w:tabs>
        <w:tab w:val="clear" w:pos="567"/>
      </w:tabs>
      <w:spacing w:before="240"/>
      <w:outlineLvl w:val="9"/>
    </w:pPr>
    <w:rPr>
      <w:rFonts w:asciiTheme="majorHAnsi" w:hAnsiTheme="majorHAnsi"/>
      <w:b w:val="0"/>
      <w:sz w:val="32"/>
      <w:lang w:eastAsia="sl-SI"/>
    </w:rPr>
  </w:style>
  <w:style w:type="paragraph" w:styleId="Kazalovsebine1">
    <w:name w:val="toc 1"/>
    <w:basedOn w:val="Navaden"/>
    <w:next w:val="Navaden"/>
    <w:autoRedefine/>
    <w:uiPriority w:val="39"/>
    <w:locked/>
    <w:rsid w:val="00DB056D"/>
    <w:pPr>
      <w:tabs>
        <w:tab w:val="left" w:pos="440"/>
        <w:tab w:val="right" w:pos="9060"/>
      </w:tabs>
      <w:spacing w:after="0" w:line="276" w:lineRule="auto"/>
    </w:pPr>
    <w:rPr>
      <w:rFonts w:asciiTheme="majorHAnsi" w:hAnsiTheme="majorHAnsi"/>
      <w:b/>
      <w:bCs/>
      <w:caps/>
      <w:sz w:val="24"/>
      <w:szCs w:val="24"/>
    </w:rPr>
  </w:style>
  <w:style w:type="character" w:styleId="Hiperpovezava">
    <w:name w:val="Hyperlink"/>
    <w:basedOn w:val="Privzetapisavaodstavka"/>
    <w:uiPriority w:val="99"/>
    <w:unhideWhenUsed/>
    <w:rsid w:val="00365E89"/>
    <w:rPr>
      <w:color w:val="0000FF" w:themeColor="hyperlink"/>
      <w:u w:val="single"/>
    </w:rPr>
  </w:style>
  <w:style w:type="paragraph" w:styleId="Kazalovsebine3">
    <w:name w:val="toc 3"/>
    <w:basedOn w:val="Navaden"/>
    <w:next w:val="Navaden"/>
    <w:autoRedefine/>
    <w:uiPriority w:val="39"/>
    <w:locked/>
    <w:rsid w:val="000D623B"/>
    <w:pPr>
      <w:spacing w:after="0"/>
      <w:ind w:left="220"/>
    </w:pPr>
    <w:rPr>
      <w:rFonts w:asciiTheme="minorHAnsi" w:hAnsiTheme="minorHAnsi"/>
      <w:sz w:val="20"/>
      <w:szCs w:val="20"/>
    </w:rPr>
  </w:style>
  <w:style w:type="paragraph" w:customStyle="1" w:styleId="bodytext">
    <w:name w:val="bodytext"/>
    <w:basedOn w:val="Navaden"/>
    <w:rsid w:val="00C77E5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tlid-translation">
    <w:name w:val="tlid-translation"/>
    <w:rsid w:val="00C77E54"/>
  </w:style>
  <w:style w:type="table" w:styleId="Tabelamrea">
    <w:name w:val="Table Grid"/>
    <w:basedOn w:val="Navadnatabela"/>
    <w:locked/>
    <w:rsid w:val="0002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e-puščica Znak"/>
    <w:link w:val="Odstavekseznama"/>
    <w:uiPriority w:val="34"/>
    <w:locked/>
    <w:rsid w:val="007C07F4"/>
    <w:rPr>
      <w:lang w:eastAsia="en-US"/>
    </w:rPr>
  </w:style>
  <w:style w:type="paragraph" w:customStyle="1" w:styleId="datumtevilka">
    <w:name w:val="datum številka"/>
    <w:basedOn w:val="Navaden"/>
    <w:qFormat/>
    <w:rsid w:val="007C07F4"/>
    <w:pPr>
      <w:tabs>
        <w:tab w:val="left" w:pos="1701"/>
      </w:tabs>
      <w:spacing w:after="0" w:line="260" w:lineRule="exact"/>
    </w:pPr>
    <w:rPr>
      <w:rFonts w:ascii="Arial" w:eastAsia="Times New Roman" w:hAnsi="Arial"/>
      <w:sz w:val="20"/>
      <w:szCs w:val="20"/>
      <w:lang w:eastAsia="sl-SI"/>
    </w:rPr>
  </w:style>
  <w:style w:type="paragraph" w:customStyle="1" w:styleId="Odstavekseznama2">
    <w:name w:val="Odstavek seznama2"/>
    <w:basedOn w:val="Navaden"/>
    <w:rsid w:val="00341FFA"/>
    <w:pPr>
      <w:ind w:left="720"/>
      <w:contextualSpacing/>
    </w:pPr>
    <w:rPr>
      <w:rFonts w:eastAsia="Times New Roman"/>
    </w:rPr>
  </w:style>
  <w:style w:type="character" w:customStyle="1" w:styleId="subcontenttextbold2">
    <w:name w:val="subcontenttextbold2"/>
    <w:rsid w:val="00486E53"/>
    <w:rPr>
      <w:b/>
      <w:bCs/>
      <w:color w:val="000000"/>
    </w:rPr>
  </w:style>
  <w:style w:type="paragraph" w:customStyle="1" w:styleId="alineazaodstavkom1">
    <w:name w:val="alineazaodstavkom1"/>
    <w:basedOn w:val="Navaden"/>
    <w:rsid w:val="00486E53"/>
    <w:pPr>
      <w:spacing w:after="0" w:line="240" w:lineRule="auto"/>
      <w:ind w:left="425" w:hanging="425"/>
      <w:jc w:val="both"/>
    </w:pPr>
    <w:rPr>
      <w:rFonts w:ascii="Arial" w:eastAsia="Times New Roman" w:hAnsi="Arial" w:cs="Arial"/>
      <w:lang w:eastAsia="sl-SI"/>
    </w:rPr>
  </w:style>
  <w:style w:type="character" w:styleId="Krepko">
    <w:name w:val="Strong"/>
    <w:basedOn w:val="Privzetapisavaodstavka"/>
    <w:qFormat/>
    <w:locked/>
    <w:rsid w:val="009B17EC"/>
    <w:rPr>
      <w:b/>
      <w:bCs/>
    </w:rPr>
  </w:style>
  <w:style w:type="paragraph" w:styleId="Revizija">
    <w:name w:val="Revision"/>
    <w:hidden/>
    <w:uiPriority w:val="99"/>
    <w:semiHidden/>
    <w:rsid w:val="00660F71"/>
    <w:rPr>
      <w:lang w:eastAsia="en-US"/>
    </w:rPr>
  </w:style>
  <w:style w:type="paragraph" w:customStyle="1" w:styleId="ZADEVA">
    <w:name w:val="ZADEVA"/>
    <w:basedOn w:val="Navaden"/>
    <w:qFormat/>
    <w:rsid w:val="005318D4"/>
    <w:pPr>
      <w:tabs>
        <w:tab w:val="left" w:pos="1701"/>
      </w:tabs>
      <w:spacing w:after="0" w:line="260" w:lineRule="exact"/>
      <w:ind w:left="1701" w:hanging="1701"/>
    </w:pPr>
    <w:rPr>
      <w:rFonts w:ascii="Arial" w:eastAsia="Times New Roman" w:hAnsi="Arial"/>
      <w:b/>
      <w:sz w:val="20"/>
      <w:szCs w:val="24"/>
      <w:lang w:val="it-IT"/>
    </w:rPr>
  </w:style>
  <w:style w:type="paragraph" w:styleId="Brezrazmikov">
    <w:name w:val="No Spacing"/>
    <w:uiPriority w:val="1"/>
    <w:qFormat/>
    <w:rsid w:val="00E2146B"/>
    <w:rPr>
      <w:kern w:val="2"/>
      <w:lang w:eastAsia="en-US"/>
    </w:rPr>
  </w:style>
  <w:style w:type="paragraph" w:customStyle="1" w:styleId="Standard">
    <w:name w:val="Standard"/>
    <w:rsid w:val="00FC7CAB"/>
    <w:pPr>
      <w:suppressAutoHyphens/>
      <w:autoSpaceDN w:val="0"/>
      <w:spacing w:after="200" w:line="276" w:lineRule="auto"/>
      <w:textAlignment w:val="baseline"/>
    </w:pPr>
    <w:rPr>
      <w:rFonts w:cs="Calibri"/>
      <w:lang w:eastAsia="zh-CN" w:bidi="hi-IN"/>
    </w:rPr>
  </w:style>
  <w:style w:type="paragraph" w:styleId="Kazalovsebine4">
    <w:name w:val="toc 4"/>
    <w:basedOn w:val="Navaden"/>
    <w:next w:val="Navaden"/>
    <w:autoRedefine/>
    <w:locked/>
    <w:rsid w:val="00040894"/>
    <w:pPr>
      <w:spacing w:after="0"/>
      <w:ind w:left="440"/>
    </w:pPr>
    <w:rPr>
      <w:rFonts w:asciiTheme="minorHAnsi" w:hAnsiTheme="minorHAnsi"/>
      <w:sz w:val="20"/>
      <w:szCs w:val="20"/>
    </w:rPr>
  </w:style>
  <w:style w:type="paragraph" w:styleId="Kazalovsebine5">
    <w:name w:val="toc 5"/>
    <w:basedOn w:val="Navaden"/>
    <w:next w:val="Navaden"/>
    <w:autoRedefine/>
    <w:locked/>
    <w:rsid w:val="00040894"/>
    <w:pPr>
      <w:spacing w:after="0"/>
      <w:ind w:left="660"/>
    </w:pPr>
    <w:rPr>
      <w:rFonts w:asciiTheme="minorHAnsi" w:hAnsiTheme="minorHAnsi"/>
      <w:sz w:val="20"/>
      <w:szCs w:val="20"/>
    </w:rPr>
  </w:style>
  <w:style w:type="paragraph" w:styleId="Kazalovsebine6">
    <w:name w:val="toc 6"/>
    <w:basedOn w:val="Navaden"/>
    <w:next w:val="Navaden"/>
    <w:autoRedefine/>
    <w:locked/>
    <w:rsid w:val="00040894"/>
    <w:pPr>
      <w:spacing w:after="0"/>
      <w:ind w:left="880"/>
    </w:pPr>
    <w:rPr>
      <w:rFonts w:asciiTheme="minorHAnsi" w:hAnsiTheme="minorHAnsi"/>
      <w:sz w:val="20"/>
      <w:szCs w:val="20"/>
    </w:rPr>
  </w:style>
  <w:style w:type="paragraph" w:styleId="Kazalovsebine7">
    <w:name w:val="toc 7"/>
    <w:basedOn w:val="Navaden"/>
    <w:next w:val="Navaden"/>
    <w:autoRedefine/>
    <w:locked/>
    <w:rsid w:val="00040894"/>
    <w:pPr>
      <w:spacing w:after="0"/>
      <w:ind w:left="1100"/>
    </w:pPr>
    <w:rPr>
      <w:rFonts w:asciiTheme="minorHAnsi" w:hAnsiTheme="minorHAnsi"/>
      <w:sz w:val="20"/>
      <w:szCs w:val="20"/>
    </w:rPr>
  </w:style>
  <w:style w:type="paragraph" w:styleId="Kazalovsebine8">
    <w:name w:val="toc 8"/>
    <w:basedOn w:val="Navaden"/>
    <w:next w:val="Navaden"/>
    <w:autoRedefine/>
    <w:locked/>
    <w:rsid w:val="00040894"/>
    <w:pPr>
      <w:spacing w:after="0"/>
      <w:ind w:left="1320"/>
    </w:pPr>
    <w:rPr>
      <w:rFonts w:asciiTheme="minorHAnsi" w:hAnsiTheme="minorHAnsi"/>
      <w:sz w:val="20"/>
      <w:szCs w:val="20"/>
    </w:rPr>
  </w:style>
  <w:style w:type="paragraph" w:styleId="Kazalovsebine9">
    <w:name w:val="toc 9"/>
    <w:basedOn w:val="Navaden"/>
    <w:next w:val="Navaden"/>
    <w:autoRedefine/>
    <w:locked/>
    <w:rsid w:val="00040894"/>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096">
      <w:bodyDiv w:val="1"/>
      <w:marLeft w:val="0"/>
      <w:marRight w:val="0"/>
      <w:marTop w:val="0"/>
      <w:marBottom w:val="0"/>
      <w:divBdr>
        <w:top w:val="none" w:sz="0" w:space="0" w:color="auto"/>
        <w:left w:val="none" w:sz="0" w:space="0" w:color="auto"/>
        <w:bottom w:val="none" w:sz="0" w:space="0" w:color="auto"/>
        <w:right w:val="none" w:sz="0" w:space="0" w:color="auto"/>
      </w:divBdr>
    </w:div>
    <w:div w:id="521407112">
      <w:bodyDiv w:val="1"/>
      <w:marLeft w:val="0"/>
      <w:marRight w:val="0"/>
      <w:marTop w:val="0"/>
      <w:marBottom w:val="0"/>
      <w:divBdr>
        <w:top w:val="none" w:sz="0" w:space="0" w:color="auto"/>
        <w:left w:val="none" w:sz="0" w:space="0" w:color="auto"/>
        <w:bottom w:val="none" w:sz="0" w:space="0" w:color="auto"/>
        <w:right w:val="none" w:sz="0" w:space="0" w:color="auto"/>
      </w:divBdr>
    </w:div>
    <w:div w:id="1620260990">
      <w:bodyDiv w:val="1"/>
      <w:marLeft w:val="0"/>
      <w:marRight w:val="0"/>
      <w:marTop w:val="0"/>
      <w:marBottom w:val="0"/>
      <w:divBdr>
        <w:top w:val="none" w:sz="0" w:space="0" w:color="auto"/>
        <w:left w:val="none" w:sz="0" w:space="0" w:color="auto"/>
        <w:bottom w:val="none" w:sz="0" w:space="0" w:color="auto"/>
        <w:right w:val="none" w:sz="0" w:space="0" w:color="auto"/>
      </w:divBdr>
    </w:div>
    <w:div w:id="1937597164">
      <w:marLeft w:val="0"/>
      <w:marRight w:val="0"/>
      <w:marTop w:val="0"/>
      <w:marBottom w:val="0"/>
      <w:divBdr>
        <w:top w:val="none" w:sz="0" w:space="0" w:color="auto"/>
        <w:left w:val="none" w:sz="0" w:space="0" w:color="auto"/>
        <w:bottom w:val="none" w:sz="0" w:space="0" w:color="auto"/>
        <w:right w:val="none" w:sz="0" w:space="0" w:color="auto"/>
      </w:divBdr>
    </w:div>
    <w:div w:id="1937597165">
      <w:marLeft w:val="0"/>
      <w:marRight w:val="0"/>
      <w:marTop w:val="0"/>
      <w:marBottom w:val="0"/>
      <w:divBdr>
        <w:top w:val="none" w:sz="0" w:space="0" w:color="auto"/>
        <w:left w:val="none" w:sz="0" w:space="0" w:color="auto"/>
        <w:bottom w:val="none" w:sz="0" w:space="0" w:color="auto"/>
        <w:right w:val="none" w:sz="0" w:space="0" w:color="auto"/>
      </w:divBdr>
    </w:div>
    <w:div w:id="1937597166">
      <w:marLeft w:val="0"/>
      <w:marRight w:val="0"/>
      <w:marTop w:val="0"/>
      <w:marBottom w:val="0"/>
      <w:divBdr>
        <w:top w:val="none" w:sz="0" w:space="0" w:color="auto"/>
        <w:left w:val="none" w:sz="0" w:space="0" w:color="auto"/>
        <w:bottom w:val="none" w:sz="0" w:space="0" w:color="auto"/>
        <w:right w:val="none" w:sz="0" w:space="0" w:color="auto"/>
      </w:divBdr>
    </w:div>
    <w:div w:id="20312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rizold\RT4V_001%20drzavljanstvoFos_tipD%20brezEU-z%20tip_drzfosrocno.xls"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rizold\RT4D_001_delovna%20razli&#269;ica.xls"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Zvezek2"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grizold\RT4D_001_delovna%20razli&#269;ica.xls"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Zvezek32"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nz.sigov.si\dfs\Users\ivaknap\Moji%20dokumenti\IVA\DRU&#352;TVA\&#352;t.%20dru&#353;tev%20po%20skupini-statistika-graf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nz.sigov.si\dfs\Users\ivaknap\Moji%20dokumenti\IVA\DRU&#352;TVA\&#352;t.%20dru&#353;tev%20po%20skupini-statistika-graf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nz.sigov.si\dfs\Users\ivaknap\Moji%20dokumenti\IVA\POL.%20STRANKE\PV-p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rizold\AppData\Local\Temp\notesCBF031\statistika%20DECEMBER%202024.xls"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87806662204039E-2"/>
          <c:y val="6.1755039607121885E-2"/>
          <c:w val="0.90710848643919506"/>
          <c:h val="0.66998656417947755"/>
        </c:manualLayout>
      </c:layout>
      <c:barChart>
        <c:barDir val="col"/>
        <c:grouping val="clustered"/>
        <c:varyColors val="0"/>
        <c:ser>
          <c:idx val="0"/>
          <c:order val="0"/>
          <c:tx>
            <c:strRef>
              <c:f>List1!$B$1</c:f>
              <c:strCache>
                <c:ptCount val="1"/>
                <c:pt idx="0">
                  <c:v>Število vloženih pritožb</c:v>
                </c:pt>
              </c:strCache>
            </c:strRef>
          </c:tx>
          <c:spPr>
            <a:solidFill>
              <a:schemeClr val="accent1"/>
            </a:solidFill>
            <a:ln>
              <a:noFill/>
            </a:ln>
            <a:effectLst/>
          </c:spPr>
          <c:invertIfNegative val="0"/>
          <c:dLbls>
            <c:dLbl>
              <c:idx val="0"/>
              <c:layout>
                <c:manualLayout>
                  <c:x val="-3.2326383142256845E-3"/>
                  <c:y val="2.643150834814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2A-41BF-AA05-017474EDD080}"/>
                </c:ext>
              </c:extLst>
            </c:dLbl>
            <c:dLbl>
              <c:idx val="1"/>
              <c:layout>
                <c:manualLayout>
                  <c:x val="-8.5762347038291031E-4"/>
                  <c:y val="1.6366512206452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2A-41BF-AA05-017474EDD080}"/>
                </c:ext>
              </c:extLst>
            </c:dLbl>
            <c:dLbl>
              <c:idx val="2"/>
              <c:layout>
                <c:manualLayout>
                  <c:x val="-8.5762347038282325E-4"/>
                  <c:y val="2.1555837943465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2A-41BF-AA05-017474EDD080}"/>
                </c:ext>
              </c:extLst>
            </c:dLbl>
            <c:dLbl>
              <c:idx val="3"/>
              <c:layout>
                <c:manualLayout>
                  <c:x val="1.3659140487738285E-3"/>
                  <c:y val="2.18694932757978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2A-41BF-AA05-017474EDD080}"/>
                </c:ext>
              </c:extLst>
            </c:dLbl>
            <c:dLbl>
              <c:idx val="4"/>
              <c:layout>
                <c:manualLayout>
                  <c:x val="1.5173913734598636E-3"/>
                  <c:y val="2.67451636804784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2A-41BF-AA05-017474EDD080}"/>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2020</c:v>
                </c:pt>
                <c:pt idx="1">
                  <c:v>2021</c:v>
                </c:pt>
                <c:pt idx="2">
                  <c:v>2022</c:v>
                </c:pt>
                <c:pt idx="3">
                  <c:v>2023</c:v>
                </c:pt>
                <c:pt idx="4">
                  <c:v>2024</c:v>
                </c:pt>
              </c:numCache>
            </c:numRef>
          </c:cat>
          <c:val>
            <c:numRef>
              <c:f>List1!$B$2:$B$6</c:f>
              <c:numCache>
                <c:formatCode>General</c:formatCode>
                <c:ptCount val="5"/>
                <c:pt idx="0">
                  <c:v>433</c:v>
                </c:pt>
                <c:pt idx="1">
                  <c:v>476</c:v>
                </c:pt>
                <c:pt idx="2">
                  <c:v>510</c:v>
                </c:pt>
                <c:pt idx="3">
                  <c:v>466</c:v>
                </c:pt>
                <c:pt idx="4">
                  <c:v>508</c:v>
                </c:pt>
              </c:numCache>
            </c:numRef>
          </c:val>
          <c:extLst>
            <c:ext xmlns:c16="http://schemas.microsoft.com/office/drawing/2014/chart" uri="{C3380CC4-5D6E-409C-BE32-E72D297353CC}">
              <c16:uniqueId val="{00000005-5A2A-41BF-AA05-017474EDD080}"/>
            </c:ext>
          </c:extLst>
        </c:ser>
        <c:ser>
          <c:idx val="1"/>
          <c:order val="1"/>
          <c:tx>
            <c:strRef>
              <c:f>List1!$C$1</c:f>
              <c:strCache>
                <c:ptCount val="1"/>
                <c:pt idx="0">
                  <c:v>Število opravljenih sej senata</c:v>
                </c:pt>
              </c:strCache>
            </c:strRef>
          </c:tx>
          <c:spPr>
            <a:solidFill>
              <a:schemeClr val="accent2"/>
            </a:solidFill>
            <a:ln>
              <a:noFill/>
            </a:ln>
            <a:effectLst/>
          </c:spPr>
          <c:invertIfNegative val="0"/>
          <c:dLbls>
            <c:dLbl>
              <c:idx val="0"/>
              <c:layout>
                <c:manualLayout>
                  <c:x val="-2.1770717904701093E-17"/>
                  <c:y val="1.82419177125043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AB-4982-9C66-25BC080EC440}"/>
                </c:ext>
              </c:extLst>
            </c:dLbl>
            <c:dLbl>
              <c:idx val="1"/>
              <c:layout>
                <c:manualLayout>
                  <c:x val="-4.3541435809402185E-17"/>
                  <c:y val="2.49419334528576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AB-4982-9C66-25BC080EC440}"/>
                </c:ext>
              </c:extLst>
            </c:dLbl>
            <c:dLbl>
              <c:idx val="2"/>
              <c:layout>
                <c:manualLayout>
                  <c:x val="-8.708287161880437E-17"/>
                  <c:y val="1.72360707471292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AB-4982-9C66-25BC080EC440}"/>
                </c:ext>
              </c:extLst>
            </c:dLbl>
            <c:dLbl>
              <c:idx val="3"/>
              <c:layout>
                <c:manualLayout>
                  <c:x val="0"/>
                  <c:y val="2.08843775074190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AB-4982-9C66-25BC080EC440}"/>
                </c:ext>
              </c:extLst>
            </c:dLbl>
            <c:dLbl>
              <c:idx val="4"/>
              <c:layout>
                <c:manualLayout>
                  <c:x val="0"/>
                  <c:y val="1.41843617670658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AB-4982-9C66-25BC080EC440}"/>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2020</c:v>
                </c:pt>
                <c:pt idx="1">
                  <c:v>2021</c:v>
                </c:pt>
                <c:pt idx="2">
                  <c:v>2022</c:v>
                </c:pt>
                <c:pt idx="3">
                  <c:v>2023</c:v>
                </c:pt>
                <c:pt idx="4">
                  <c:v>2024</c:v>
                </c:pt>
              </c:numCache>
            </c:numRef>
          </c:cat>
          <c:val>
            <c:numRef>
              <c:f>List1!$C$2:$C$6</c:f>
              <c:numCache>
                <c:formatCode>General</c:formatCode>
                <c:ptCount val="5"/>
                <c:pt idx="0">
                  <c:v>60</c:v>
                </c:pt>
                <c:pt idx="1">
                  <c:v>66</c:v>
                </c:pt>
                <c:pt idx="2">
                  <c:v>46</c:v>
                </c:pt>
                <c:pt idx="3">
                  <c:v>58</c:v>
                </c:pt>
                <c:pt idx="4">
                  <c:v>52</c:v>
                </c:pt>
              </c:numCache>
            </c:numRef>
          </c:val>
          <c:extLst>
            <c:ext xmlns:c16="http://schemas.microsoft.com/office/drawing/2014/chart" uri="{C3380CC4-5D6E-409C-BE32-E72D297353CC}">
              <c16:uniqueId val="{00000006-5A2A-41BF-AA05-017474EDD080}"/>
            </c:ext>
          </c:extLst>
        </c:ser>
        <c:ser>
          <c:idx val="2"/>
          <c:order val="2"/>
          <c:tx>
            <c:strRef>
              <c:f>List1!$D$1</c:f>
              <c:strCache>
                <c:ptCount val="1"/>
                <c:pt idx="0">
                  <c:v>Število utemeljenih pritožb na seji senata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List1!$A$2:$A$6</c:f>
              <c:numCache>
                <c:formatCode>General</c:formatCode>
                <c:ptCount val="5"/>
                <c:pt idx="0">
                  <c:v>2020</c:v>
                </c:pt>
                <c:pt idx="1">
                  <c:v>2021</c:v>
                </c:pt>
                <c:pt idx="2">
                  <c:v>2022</c:v>
                </c:pt>
                <c:pt idx="3">
                  <c:v>2023</c:v>
                </c:pt>
                <c:pt idx="4">
                  <c:v>2024</c:v>
                </c:pt>
              </c:numCache>
            </c:numRef>
          </c:cat>
          <c:val>
            <c:numRef>
              <c:f>List1!$D$2:$D$6</c:f>
              <c:numCache>
                <c:formatCode>General</c:formatCode>
                <c:ptCount val="5"/>
                <c:pt idx="0">
                  <c:v>10</c:v>
                </c:pt>
                <c:pt idx="1">
                  <c:v>13</c:v>
                </c:pt>
                <c:pt idx="2">
                  <c:v>12</c:v>
                </c:pt>
                <c:pt idx="3">
                  <c:v>11</c:v>
                </c:pt>
                <c:pt idx="4">
                  <c:v>15</c:v>
                </c:pt>
              </c:numCache>
            </c:numRef>
          </c:val>
          <c:extLst>
            <c:ext xmlns:c16="http://schemas.microsoft.com/office/drawing/2014/chart" uri="{C3380CC4-5D6E-409C-BE32-E72D297353CC}">
              <c16:uniqueId val="{00000007-5A2A-41BF-AA05-017474EDD080}"/>
            </c:ext>
          </c:extLst>
        </c:ser>
        <c:dLbls>
          <c:dLblPos val="ctr"/>
          <c:showLegendKey val="0"/>
          <c:showVal val="1"/>
          <c:showCatName val="0"/>
          <c:showSerName val="0"/>
          <c:showPercent val="0"/>
          <c:showBubbleSize val="0"/>
        </c:dLbls>
        <c:gapWidth val="219"/>
        <c:axId val="184453448"/>
        <c:axId val="1"/>
      </c:barChart>
      <c:catAx>
        <c:axId val="184453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84453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65-43DA-BD7E-9B3FE368B9E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65-43DA-BD7E-9B3FE368B9E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A65-43DA-BD7E-9B3FE368B9E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A65-43DA-BD7E-9B3FE368B9E8}"/>
              </c:ext>
            </c:extLst>
          </c:dPt>
          <c:dLbls>
            <c:dLbl>
              <c:idx val="0"/>
              <c:layout>
                <c:manualLayout>
                  <c:x val="-7.7777777777777779E-2"/>
                  <c:y val="0"/>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65-43DA-BD7E-9B3FE368B9E8}"/>
                </c:ext>
              </c:extLst>
            </c:dLbl>
            <c:dLbl>
              <c:idx val="1"/>
              <c:layout>
                <c:manualLayout>
                  <c:x val="-1.9444444444444545E-2"/>
                  <c:y val="-4.629629629629629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65-43DA-BD7E-9B3FE368B9E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List2!$D$13:$G$13</c:f>
              <c:strCache>
                <c:ptCount val="4"/>
                <c:pt idx="0">
                  <c:v>Potrdilo o prijavi stalnega prebivanja za državljane EU</c:v>
                </c:pt>
                <c:pt idx="1">
                  <c:v>Potrdilo o prijavi prebivanja za državljane EU</c:v>
                </c:pt>
                <c:pt idx="2">
                  <c:v>Dovoljenje za stalno prebivanje za državljane tretjih držav</c:v>
                </c:pt>
                <c:pt idx="3">
                  <c:v>Dovoljenje za začasno prebivanje za državljane tretjih držav</c:v>
                </c:pt>
              </c:strCache>
            </c:strRef>
          </c:cat>
          <c:val>
            <c:numRef>
              <c:f>List2!$D$14:$G$14</c:f>
              <c:numCache>
                <c:formatCode>#,##0</c:formatCode>
                <c:ptCount val="4"/>
                <c:pt idx="0">
                  <c:v>14562</c:v>
                </c:pt>
                <c:pt idx="1">
                  <c:v>15028</c:v>
                </c:pt>
                <c:pt idx="2">
                  <c:v>138125</c:v>
                </c:pt>
                <c:pt idx="3">
                  <c:v>86778</c:v>
                </c:pt>
              </c:numCache>
            </c:numRef>
          </c:val>
          <c:extLst>
            <c:ext xmlns:c16="http://schemas.microsoft.com/office/drawing/2014/chart" uri="{C3380CC4-5D6E-409C-BE32-E72D297353CC}">
              <c16:uniqueId val="{00000008-7A65-43DA-BD7E-9B3FE368B9E8}"/>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List7!$E$6</c:f>
              <c:strCache>
                <c:ptCount val="1"/>
                <c:pt idx="0">
                  <c:v>Število</c:v>
                </c:pt>
              </c:strCache>
            </c:strRef>
          </c:tx>
          <c:spPr>
            <a:solidFill>
              <a:schemeClr val="accent1"/>
            </a:solidFill>
            <a:ln>
              <a:noFill/>
            </a:ln>
            <a:effectLst/>
          </c:spPr>
          <c:invertIfNegative val="0"/>
          <c:cat>
            <c:strRef>
              <c:f>List7!$D$7:$D$11</c:f>
              <c:strCache>
                <c:ptCount val="5"/>
                <c:pt idx="0">
                  <c:v>Dovoljenje za prvo začasno prebivanje</c:v>
                </c:pt>
                <c:pt idx="1">
                  <c:v>Podaljšanje dovoljenja za začasno prebivanje</c:v>
                </c:pt>
                <c:pt idx="2">
                  <c:v>Nadaljnje dovoljenje za začasno prebivanje</c:v>
                </c:pt>
                <c:pt idx="3">
                  <c:v>Potrdilo o prijavi prebivanje za državljana EU</c:v>
                </c:pt>
                <c:pt idx="4">
                  <c:v>Obnova potrdila o prijavi prebivanja</c:v>
                </c:pt>
              </c:strCache>
            </c:strRef>
          </c:cat>
          <c:val>
            <c:numRef>
              <c:f>List7!$E$7:$E$11</c:f>
              <c:numCache>
                <c:formatCode>#,##0</c:formatCode>
                <c:ptCount val="5"/>
                <c:pt idx="0">
                  <c:v>26500</c:v>
                </c:pt>
                <c:pt idx="1">
                  <c:v>53955</c:v>
                </c:pt>
                <c:pt idx="2">
                  <c:v>2312</c:v>
                </c:pt>
                <c:pt idx="3">
                  <c:v>4550</c:v>
                </c:pt>
                <c:pt idx="4">
                  <c:v>1026</c:v>
                </c:pt>
              </c:numCache>
            </c:numRef>
          </c:val>
          <c:extLst>
            <c:ext xmlns:c16="http://schemas.microsoft.com/office/drawing/2014/chart" uri="{C3380CC4-5D6E-409C-BE32-E72D297353CC}">
              <c16:uniqueId val="{00000000-032B-4631-A8B7-58FA427D7436}"/>
            </c:ext>
          </c:extLst>
        </c:ser>
        <c:dLbls>
          <c:showLegendKey val="0"/>
          <c:showVal val="0"/>
          <c:showCatName val="0"/>
          <c:showSerName val="0"/>
          <c:showPercent val="0"/>
          <c:showBubbleSize val="0"/>
        </c:dLbls>
        <c:gapWidth val="219"/>
        <c:overlap val="-27"/>
        <c:axId val="699138944"/>
        <c:axId val="699141896"/>
      </c:barChart>
      <c:catAx>
        <c:axId val="69913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141896"/>
        <c:crosses val="autoZero"/>
        <c:auto val="1"/>
        <c:lblAlgn val="ctr"/>
        <c:lblOffset val="100"/>
        <c:noMultiLvlLbl val="0"/>
      </c:catAx>
      <c:valAx>
        <c:axId val="699141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138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List1!$D$5</c:f>
              <c:strCache>
                <c:ptCount val="1"/>
                <c:pt idx="0">
                  <c:v>Število izdanih prvih dovoljenj za začasno prebivanje</c:v>
                </c:pt>
              </c:strCache>
            </c:strRef>
          </c:tx>
          <c:spPr>
            <a:solidFill>
              <a:schemeClr val="accent1"/>
            </a:solidFill>
            <a:ln>
              <a:noFill/>
            </a:ln>
            <a:effectLst/>
          </c:spPr>
          <c:invertIfNegative val="0"/>
          <c:dLbls>
            <c:dLbl>
              <c:idx val="0"/>
              <c:tx>
                <c:rich>
                  <a:bodyPr/>
                  <a:lstStyle/>
                  <a:p>
                    <a:fld id="{5B592241-797E-40BA-9379-2F50D97C8984}" type="CELLRANGE">
                      <a:rPr lang="en-US"/>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537-4005-A17E-3E6A05642DAB}"/>
                </c:ext>
              </c:extLst>
            </c:dLbl>
            <c:dLbl>
              <c:idx val="1"/>
              <c:tx>
                <c:rich>
                  <a:bodyPr/>
                  <a:lstStyle/>
                  <a:p>
                    <a:fld id="{CAB84C4A-01F0-4E23-981B-294FD318FEA8}"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537-4005-A17E-3E6A05642DAB}"/>
                </c:ext>
              </c:extLst>
            </c:dLbl>
            <c:dLbl>
              <c:idx val="2"/>
              <c:tx>
                <c:rich>
                  <a:bodyPr/>
                  <a:lstStyle/>
                  <a:p>
                    <a:fld id="{DB9D41A0-8348-4279-AE23-5BE2BF8874DF}"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537-4005-A17E-3E6A05642DAB}"/>
                </c:ext>
              </c:extLst>
            </c:dLbl>
            <c:dLbl>
              <c:idx val="3"/>
              <c:tx>
                <c:rich>
                  <a:bodyPr/>
                  <a:lstStyle/>
                  <a:p>
                    <a:fld id="{704D4485-2FD4-4DA7-9E67-7598941A3A9F}"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537-4005-A17E-3E6A05642DAB}"/>
                </c:ext>
              </c:extLst>
            </c:dLbl>
            <c:dLbl>
              <c:idx val="4"/>
              <c:tx>
                <c:rich>
                  <a:bodyPr/>
                  <a:lstStyle/>
                  <a:p>
                    <a:fld id="{69BBDADC-B729-4D44-AA12-7B0FF055D1E9}"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537-4005-A17E-3E6A05642DAB}"/>
                </c:ext>
              </c:extLst>
            </c:dLbl>
            <c:dLbl>
              <c:idx val="5"/>
              <c:tx>
                <c:rich>
                  <a:bodyPr/>
                  <a:lstStyle/>
                  <a:p>
                    <a:fld id="{A2230660-8695-40C0-82E8-CC5D79CAD7AE}"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537-4005-A17E-3E6A05642DAB}"/>
                </c:ext>
              </c:extLst>
            </c:dLbl>
            <c:dLbl>
              <c:idx val="6"/>
              <c:tx>
                <c:rich>
                  <a:bodyPr/>
                  <a:lstStyle/>
                  <a:p>
                    <a:fld id="{5A7DA1AB-E355-421E-A570-EB6D613D3DD6}"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537-4005-A17E-3E6A05642DA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List1!$E$4:$K$4</c:f>
              <c:numCache>
                <c:formatCode>General</c:formatCode>
                <c:ptCount val="7"/>
                <c:pt idx="0">
                  <c:v>2018</c:v>
                </c:pt>
                <c:pt idx="1">
                  <c:v>2019</c:v>
                </c:pt>
                <c:pt idx="2">
                  <c:v>2020</c:v>
                </c:pt>
                <c:pt idx="3">
                  <c:v>2021</c:v>
                </c:pt>
                <c:pt idx="4">
                  <c:v>2022</c:v>
                </c:pt>
                <c:pt idx="5">
                  <c:v>2023</c:v>
                </c:pt>
                <c:pt idx="6">
                  <c:v>2024</c:v>
                </c:pt>
              </c:numCache>
            </c:numRef>
          </c:cat>
          <c:val>
            <c:numRef>
              <c:f>List1!$E$5:$K$5</c:f>
              <c:numCache>
                <c:formatCode>#,##0</c:formatCode>
                <c:ptCount val="7"/>
                <c:pt idx="0">
                  <c:v>31072</c:v>
                </c:pt>
                <c:pt idx="1">
                  <c:v>34267</c:v>
                </c:pt>
                <c:pt idx="2">
                  <c:v>20430</c:v>
                </c:pt>
                <c:pt idx="3">
                  <c:v>28863</c:v>
                </c:pt>
                <c:pt idx="4">
                  <c:v>33085</c:v>
                </c:pt>
                <c:pt idx="5">
                  <c:v>30961</c:v>
                </c:pt>
                <c:pt idx="6">
                  <c:v>26500</c:v>
                </c:pt>
              </c:numCache>
            </c:numRef>
          </c:val>
          <c:extLst>
            <c:ext xmlns:c15="http://schemas.microsoft.com/office/drawing/2012/chart" uri="{02D57815-91ED-43cb-92C2-25804820EDAC}">
              <c15:datalabelsRange>
                <c15:f>List1!$E$3:$K$3</c15:f>
                <c15:dlblRangeCache>
                  <c:ptCount val="7"/>
                  <c:pt idx="1">
                    <c:v>+10%</c:v>
                  </c:pt>
                  <c:pt idx="2">
                    <c:v>-40%</c:v>
                  </c:pt>
                  <c:pt idx="3">
                    <c:v>+41%</c:v>
                  </c:pt>
                  <c:pt idx="4">
                    <c:v>+15%</c:v>
                  </c:pt>
                  <c:pt idx="5">
                    <c:v>-6%</c:v>
                  </c:pt>
                  <c:pt idx="6">
                    <c:v>-14%</c:v>
                  </c:pt>
                </c15:dlblRangeCache>
              </c15:datalabelsRange>
            </c:ext>
            <c:ext xmlns:c16="http://schemas.microsoft.com/office/drawing/2014/chart" uri="{C3380CC4-5D6E-409C-BE32-E72D297353CC}">
              <c16:uniqueId val="{00000007-A537-4005-A17E-3E6A05642DAB}"/>
            </c:ext>
          </c:extLst>
        </c:ser>
        <c:dLbls>
          <c:dLblPos val="outEnd"/>
          <c:showLegendKey val="0"/>
          <c:showVal val="1"/>
          <c:showCatName val="0"/>
          <c:showSerName val="0"/>
          <c:showPercent val="0"/>
          <c:showBubbleSize val="0"/>
        </c:dLbls>
        <c:gapWidth val="219"/>
        <c:overlap val="-27"/>
        <c:axId val="699142224"/>
        <c:axId val="699135992"/>
      </c:barChart>
      <c:catAx>
        <c:axId val="69914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135992"/>
        <c:crosses val="autoZero"/>
        <c:auto val="1"/>
        <c:lblAlgn val="ctr"/>
        <c:lblOffset val="100"/>
        <c:noMultiLvlLbl val="0"/>
      </c:catAx>
      <c:valAx>
        <c:axId val="699135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99142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C03-43FF-9CB7-C8707A94F0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C03-43FF-9CB7-C8707A94F07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C03-43FF-9CB7-C8707A94F07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C03-43FF-9CB7-C8707A94F078}"/>
              </c:ext>
            </c:extLst>
          </c:dPt>
          <c:dLbls>
            <c:dLbl>
              <c:idx val="3"/>
              <c:layout>
                <c:manualLayout>
                  <c:x val="3.3333333333333333E-2"/>
                  <c:y val="5.3047226700083302E-18"/>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03-43FF-9CB7-C8707A94F07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List6!$B$6:$B$9</c:f>
              <c:strCache>
                <c:ptCount val="4"/>
                <c:pt idx="0">
                  <c:v>Preostala izdana prva dovoljenja za začasno prebivanje</c:v>
                </c:pt>
                <c:pt idx="1">
                  <c:v>Bosna in Hercegovina </c:v>
                </c:pt>
                <c:pt idx="2">
                  <c:v>Srbija </c:v>
                </c:pt>
                <c:pt idx="3">
                  <c:v>Kosovo </c:v>
                </c:pt>
              </c:strCache>
            </c:strRef>
          </c:cat>
          <c:val>
            <c:numRef>
              <c:f>List6!$C$6:$C$9</c:f>
              <c:numCache>
                <c:formatCode>#,##0</c:formatCode>
                <c:ptCount val="4"/>
                <c:pt idx="0">
                  <c:v>9929</c:v>
                </c:pt>
                <c:pt idx="1">
                  <c:v>8295</c:v>
                </c:pt>
                <c:pt idx="2">
                  <c:v>4425</c:v>
                </c:pt>
                <c:pt idx="3">
                  <c:v>3851</c:v>
                </c:pt>
              </c:numCache>
            </c:numRef>
          </c:val>
          <c:extLst>
            <c:ext xmlns:c16="http://schemas.microsoft.com/office/drawing/2014/chart" uri="{C3380CC4-5D6E-409C-BE32-E72D297353CC}">
              <c16:uniqueId val="{00000008-9C03-43FF-9CB7-C8707A94F07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a:solidFill>
                  <a:sysClr val="windowText" lastClr="000000"/>
                </a:solidFill>
              </a:rPr>
              <a:t>Fluktuacija 2024</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List1!$D$3</c:f>
              <c:strCache>
                <c:ptCount val="1"/>
                <c:pt idx="0">
                  <c:v>PRIHODI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List1!$C$4:$C$6</c:f>
              <c:strCache>
                <c:ptCount val="3"/>
                <c:pt idx="0">
                  <c:v>MINISTRSTVO ZA NOTRANJE ZADEVE</c:v>
                </c:pt>
                <c:pt idx="1">
                  <c:v>POLICIJA</c:v>
                </c:pt>
                <c:pt idx="2">
                  <c:v>INŠPEKTORAT RS ZA NOTRANJE ZADEVE</c:v>
                </c:pt>
              </c:strCache>
            </c:strRef>
          </c:cat>
          <c:val>
            <c:numRef>
              <c:f>List1!$D$4:$D$6</c:f>
              <c:numCache>
                <c:formatCode>General</c:formatCode>
                <c:ptCount val="3"/>
                <c:pt idx="0">
                  <c:v>55</c:v>
                </c:pt>
                <c:pt idx="1">
                  <c:v>365</c:v>
                </c:pt>
                <c:pt idx="2">
                  <c:v>0</c:v>
                </c:pt>
              </c:numCache>
            </c:numRef>
          </c:val>
          <c:extLst>
            <c:ext xmlns:c16="http://schemas.microsoft.com/office/drawing/2014/chart" uri="{C3380CC4-5D6E-409C-BE32-E72D297353CC}">
              <c16:uniqueId val="{00000000-F487-4608-AA41-B0061B635DBE}"/>
            </c:ext>
          </c:extLst>
        </c:ser>
        <c:ser>
          <c:idx val="1"/>
          <c:order val="1"/>
          <c:tx>
            <c:strRef>
              <c:f>List1!$E$3</c:f>
              <c:strCache>
                <c:ptCount val="1"/>
                <c:pt idx="0">
                  <c:v>ODHODI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List1!$C$4:$C$6</c:f>
              <c:strCache>
                <c:ptCount val="3"/>
                <c:pt idx="0">
                  <c:v>MINISTRSTVO ZA NOTRANJE ZADEVE</c:v>
                </c:pt>
                <c:pt idx="1">
                  <c:v>POLICIJA</c:v>
                </c:pt>
                <c:pt idx="2">
                  <c:v>INŠPEKTORAT RS ZA NOTRANJE ZADEVE</c:v>
                </c:pt>
              </c:strCache>
            </c:strRef>
          </c:cat>
          <c:val>
            <c:numRef>
              <c:f>List1!$E$4:$E$6</c:f>
              <c:numCache>
                <c:formatCode>General</c:formatCode>
                <c:ptCount val="3"/>
                <c:pt idx="0">
                  <c:v>71</c:v>
                </c:pt>
                <c:pt idx="1">
                  <c:v>582</c:v>
                </c:pt>
                <c:pt idx="2">
                  <c:v>0</c:v>
                </c:pt>
              </c:numCache>
            </c:numRef>
          </c:val>
          <c:extLst>
            <c:ext xmlns:c16="http://schemas.microsoft.com/office/drawing/2014/chart" uri="{C3380CC4-5D6E-409C-BE32-E72D297353CC}">
              <c16:uniqueId val="{00000001-F487-4608-AA41-B0061B635DBE}"/>
            </c:ext>
          </c:extLst>
        </c:ser>
        <c:dLbls>
          <c:showLegendKey val="0"/>
          <c:showVal val="0"/>
          <c:showCatName val="0"/>
          <c:showSerName val="0"/>
          <c:showPercent val="0"/>
          <c:showBubbleSize val="0"/>
        </c:dLbls>
        <c:gapWidth val="219"/>
        <c:overlap val="-27"/>
        <c:axId val="1036498480"/>
        <c:axId val="1036496184"/>
      </c:barChart>
      <c:catAx>
        <c:axId val="103649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036496184"/>
        <c:crosses val="autoZero"/>
        <c:auto val="1"/>
        <c:lblAlgn val="ctr"/>
        <c:lblOffset val="100"/>
        <c:noMultiLvlLbl val="0"/>
      </c:catAx>
      <c:valAx>
        <c:axId val="1036496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03649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a:solidFill>
                  <a:sysClr val="windowText" lastClr="000000"/>
                </a:solidFill>
              </a:rPr>
              <a:t>Pridobitev državljanstva po redni naturalizaciji 2024</a:t>
            </a:r>
          </a:p>
        </c:rich>
      </c:tx>
      <c:layout>
        <c:manualLayout>
          <c:xMode val="edge"/>
          <c:yMode val="edge"/>
          <c:x val="0.15494203849518812"/>
          <c:y val="2.777777777777777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2024</c:v>
                </c:pt>
              </c:strCache>
            </c:strRef>
          </c:tx>
          <c:spPr>
            <a:solidFill>
              <a:schemeClr val="accent1"/>
            </a:solidFill>
            <a:ln>
              <a:noFill/>
            </a:ln>
            <a:effectLst/>
          </c:spPr>
          <c:invertIfNegative val="0"/>
          <c:cat>
            <c:strRef>
              <c:f>List1!$A$2:$A$12</c:f>
              <c:strCache>
                <c:ptCount val="11"/>
                <c:pt idx="0">
                  <c:v>BIH</c:v>
                </c:pt>
                <c:pt idx="1">
                  <c:v>S. Makedonija</c:v>
                </c:pt>
                <c:pt idx="2">
                  <c:v>Kosovo</c:v>
                </c:pt>
                <c:pt idx="3">
                  <c:v>Srbija</c:v>
                </c:pt>
                <c:pt idx="4">
                  <c:v>Rusija</c:v>
                </c:pt>
                <c:pt idx="5">
                  <c:v>Hrvaška</c:v>
                </c:pt>
                <c:pt idx="6">
                  <c:v>Bolgarija</c:v>
                </c:pt>
                <c:pt idx="7">
                  <c:v>Ukrajina</c:v>
                </c:pt>
                <c:pt idx="8">
                  <c:v>Argentina</c:v>
                </c:pt>
                <c:pt idx="9">
                  <c:v>Italija</c:v>
                </c:pt>
                <c:pt idx="10">
                  <c:v>Ostali</c:v>
                </c:pt>
              </c:strCache>
            </c:strRef>
          </c:cat>
          <c:val>
            <c:numRef>
              <c:f>List1!$B$2:$B$12</c:f>
              <c:numCache>
                <c:formatCode>General</c:formatCode>
                <c:ptCount val="11"/>
                <c:pt idx="0">
                  <c:v>776</c:v>
                </c:pt>
                <c:pt idx="1">
                  <c:v>270</c:v>
                </c:pt>
                <c:pt idx="2">
                  <c:v>199</c:v>
                </c:pt>
                <c:pt idx="3">
                  <c:v>193</c:v>
                </c:pt>
                <c:pt idx="4">
                  <c:v>44</c:v>
                </c:pt>
                <c:pt idx="5">
                  <c:v>43</c:v>
                </c:pt>
                <c:pt idx="6">
                  <c:v>34</c:v>
                </c:pt>
                <c:pt idx="7">
                  <c:v>25</c:v>
                </c:pt>
                <c:pt idx="8">
                  <c:v>16</c:v>
                </c:pt>
                <c:pt idx="9">
                  <c:v>15</c:v>
                </c:pt>
                <c:pt idx="10">
                  <c:v>151</c:v>
                </c:pt>
              </c:numCache>
            </c:numRef>
          </c:val>
          <c:extLst>
            <c:ext xmlns:c16="http://schemas.microsoft.com/office/drawing/2014/chart" uri="{C3380CC4-5D6E-409C-BE32-E72D297353CC}">
              <c16:uniqueId val="{00000000-251A-4B5C-A9BB-BC057BA823C9}"/>
            </c:ext>
          </c:extLst>
        </c:ser>
        <c:ser>
          <c:idx val="1"/>
          <c:order val="1"/>
          <c:tx>
            <c:strRef>
              <c:f>List1!$C$1</c:f>
              <c:strCache>
                <c:ptCount val="1"/>
                <c:pt idx="0">
                  <c:v>2023</c:v>
                </c:pt>
              </c:strCache>
            </c:strRef>
          </c:tx>
          <c:spPr>
            <a:solidFill>
              <a:schemeClr val="accent2"/>
            </a:solidFill>
            <a:ln>
              <a:noFill/>
            </a:ln>
            <a:effectLst/>
          </c:spPr>
          <c:invertIfNegative val="0"/>
          <c:cat>
            <c:strRef>
              <c:f>List1!$A$2:$A$12</c:f>
              <c:strCache>
                <c:ptCount val="11"/>
                <c:pt idx="0">
                  <c:v>BIH</c:v>
                </c:pt>
                <c:pt idx="1">
                  <c:v>S. Makedonija</c:v>
                </c:pt>
                <c:pt idx="2">
                  <c:v>Kosovo</c:v>
                </c:pt>
                <c:pt idx="3">
                  <c:v>Srbija</c:v>
                </c:pt>
                <c:pt idx="4">
                  <c:v>Rusija</c:v>
                </c:pt>
                <c:pt idx="5">
                  <c:v>Hrvaška</c:v>
                </c:pt>
                <c:pt idx="6">
                  <c:v>Bolgarija</c:v>
                </c:pt>
                <c:pt idx="7">
                  <c:v>Ukrajina</c:v>
                </c:pt>
                <c:pt idx="8">
                  <c:v>Argentina</c:v>
                </c:pt>
                <c:pt idx="9">
                  <c:v>Italija</c:v>
                </c:pt>
                <c:pt idx="10">
                  <c:v>Ostali</c:v>
                </c:pt>
              </c:strCache>
            </c:strRef>
          </c:cat>
          <c:val>
            <c:numRef>
              <c:f>List1!$C$2:$C$12</c:f>
              <c:numCache>
                <c:formatCode>General</c:formatCode>
                <c:ptCount val="11"/>
                <c:pt idx="0">
                  <c:v>880</c:v>
                </c:pt>
                <c:pt idx="1">
                  <c:v>210</c:v>
                </c:pt>
                <c:pt idx="2">
                  <c:v>168</c:v>
                </c:pt>
                <c:pt idx="3">
                  <c:v>209</c:v>
                </c:pt>
                <c:pt idx="4">
                  <c:v>22</c:v>
                </c:pt>
                <c:pt idx="5">
                  <c:v>25</c:v>
                </c:pt>
                <c:pt idx="6">
                  <c:v>29</c:v>
                </c:pt>
                <c:pt idx="7">
                  <c:v>17</c:v>
                </c:pt>
                <c:pt idx="8">
                  <c:v>18</c:v>
                </c:pt>
                <c:pt idx="9">
                  <c:v>21</c:v>
                </c:pt>
                <c:pt idx="10">
                  <c:v>124</c:v>
                </c:pt>
              </c:numCache>
            </c:numRef>
          </c:val>
          <c:extLst>
            <c:ext xmlns:c16="http://schemas.microsoft.com/office/drawing/2014/chart" uri="{C3380CC4-5D6E-409C-BE32-E72D297353CC}">
              <c16:uniqueId val="{00000001-251A-4B5C-A9BB-BC057BA823C9}"/>
            </c:ext>
          </c:extLst>
        </c:ser>
        <c:dLbls>
          <c:showLegendKey val="0"/>
          <c:showVal val="0"/>
          <c:showCatName val="0"/>
          <c:showSerName val="0"/>
          <c:showPercent val="0"/>
          <c:showBubbleSize val="0"/>
        </c:dLbls>
        <c:gapWidth val="219"/>
        <c:overlap val="-27"/>
        <c:axId val="338116864"/>
        <c:axId val="338119160"/>
      </c:barChart>
      <c:catAx>
        <c:axId val="33811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338119160"/>
        <c:crosses val="autoZero"/>
        <c:auto val="1"/>
        <c:lblAlgn val="ctr"/>
        <c:lblOffset val="100"/>
        <c:noMultiLvlLbl val="0"/>
      </c:catAx>
      <c:valAx>
        <c:axId val="338119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33811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a:solidFill>
                  <a:sysClr val="windowText" lastClr="000000"/>
                </a:solidFill>
              </a:rPr>
              <a:t>Pridobitev državljanstva po izredni naturalizaciji 2024</a:t>
            </a:r>
            <a:endParaRPr lang="en-US" sz="1000">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List1!$B$1</c:f>
              <c:strCache>
                <c:ptCount val="1"/>
                <c:pt idx="0">
                  <c:v>2024</c:v>
                </c:pt>
              </c:strCache>
            </c:strRef>
          </c:tx>
          <c:spPr>
            <a:solidFill>
              <a:schemeClr val="accent1"/>
            </a:solidFill>
            <a:ln>
              <a:noFill/>
            </a:ln>
            <a:effectLst/>
          </c:spPr>
          <c:invertIfNegative val="0"/>
          <c:cat>
            <c:strRef>
              <c:f>List1!$A$2:$A$8</c:f>
              <c:strCache>
                <c:ptCount val="6"/>
                <c:pt idx="0">
                  <c:v>Srbija</c:v>
                </c:pt>
                <c:pt idx="1">
                  <c:v>S. Makedonija</c:v>
                </c:pt>
                <c:pt idx="2">
                  <c:v>Italija</c:v>
                </c:pt>
                <c:pt idx="3">
                  <c:v>Argentina</c:v>
                </c:pt>
                <c:pt idx="4">
                  <c:v>BIH</c:v>
                </c:pt>
                <c:pt idx="5">
                  <c:v>Ostali</c:v>
                </c:pt>
              </c:strCache>
            </c:strRef>
          </c:cat>
          <c:val>
            <c:numRef>
              <c:f>List1!$B$2:$B$8</c:f>
              <c:numCache>
                <c:formatCode>General</c:formatCode>
                <c:ptCount val="7"/>
                <c:pt idx="0">
                  <c:v>65</c:v>
                </c:pt>
                <c:pt idx="1">
                  <c:v>20</c:v>
                </c:pt>
                <c:pt idx="2">
                  <c:v>19</c:v>
                </c:pt>
                <c:pt idx="3">
                  <c:v>17</c:v>
                </c:pt>
                <c:pt idx="4">
                  <c:v>11</c:v>
                </c:pt>
                <c:pt idx="5">
                  <c:v>87</c:v>
                </c:pt>
              </c:numCache>
            </c:numRef>
          </c:val>
          <c:extLst>
            <c:ext xmlns:c16="http://schemas.microsoft.com/office/drawing/2014/chart" uri="{C3380CC4-5D6E-409C-BE32-E72D297353CC}">
              <c16:uniqueId val="{00000000-548D-4F4C-8CAE-7FA59DDC585E}"/>
            </c:ext>
          </c:extLst>
        </c:ser>
        <c:ser>
          <c:idx val="1"/>
          <c:order val="1"/>
          <c:tx>
            <c:strRef>
              <c:f>List1!$C$1</c:f>
              <c:strCache>
                <c:ptCount val="1"/>
                <c:pt idx="0">
                  <c:v>2023</c:v>
                </c:pt>
              </c:strCache>
            </c:strRef>
          </c:tx>
          <c:spPr>
            <a:solidFill>
              <a:schemeClr val="accent2"/>
            </a:solidFill>
            <a:ln>
              <a:noFill/>
            </a:ln>
            <a:effectLst/>
          </c:spPr>
          <c:invertIfNegative val="0"/>
          <c:cat>
            <c:strRef>
              <c:f>List1!$A$2:$A$8</c:f>
              <c:strCache>
                <c:ptCount val="6"/>
                <c:pt idx="0">
                  <c:v>Srbija</c:v>
                </c:pt>
                <c:pt idx="1">
                  <c:v>S. Makedonija</c:v>
                </c:pt>
                <c:pt idx="2">
                  <c:v>Italija</c:v>
                </c:pt>
                <c:pt idx="3">
                  <c:v>Argentina</c:v>
                </c:pt>
                <c:pt idx="4">
                  <c:v>BIH</c:v>
                </c:pt>
                <c:pt idx="5">
                  <c:v>Ostali</c:v>
                </c:pt>
              </c:strCache>
            </c:strRef>
          </c:cat>
          <c:val>
            <c:numRef>
              <c:f>List1!$C$2:$C$8</c:f>
              <c:numCache>
                <c:formatCode>General</c:formatCode>
                <c:ptCount val="7"/>
                <c:pt idx="0">
                  <c:v>122</c:v>
                </c:pt>
                <c:pt idx="1">
                  <c:v>25</c:v>
                </c:pt>
                <c:pt idx="2">
                  <c:v>41</c:v>
                </c:pt>
                <c:pt idx="3">
                  <c:v>27</c:v>
                </c:pt>
                <c:pt idx="4">
                  <c:v>18</c:v>
                </c:pt>
                <c:pt idx="5">
                  <c:v>95</c:v>
                </c:pt>
              </c:numCache>
            </c:numRef>
          </c:val>
          <c:extLst>
            <c:ext xmlns:c16="http://schemas.microsoft.com/office/drawing/2014/chart" uri="{C3380CC4-5D6E-409C-BE32-E72D297353CC}">
              <c16:uniqueId val="{00000001-548D-4F4C-8CAE-7FA59DDC585E}"/>
            </c:ext>
          </c:extLst>
        </c:ser>
        <c:dLbls>
          <c:showLegendKey val="0"/>
          <c:showVal val="0"/>
          <c:showCatName val="0"/>
          <c:showSerName val="0"/>
          <c:showPercent val="0"/>
          <c:showBubbleSize val="0"/>
        </c:dLbls>
        <c:gapWidth val="219"/>
        <c:overlap val="-27"/>
        <c:axId val="272980232"/>
        <c:axId val="272982856"/>
      </c:barChart>
      <c:catAx>
        <c:axId val="272980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272982856"/>
        <c:crosses val="autoZero"/>
        <c:auto val="1"/>
        <c:lblAlgn val="ctr"/>
        <c:lblOffset val="100"/>
        <c:noMultiLvlLbl val="0"/>
      </c:catAx>
      <c:valAx>
        <c:axId val="272982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272980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a:solidFill>
                  <a:sysClr val="windowText" lastClr="000000"/>
                </a:solidFill>
                <a:latin typeface="Arial" panose="020B0604020202020204" pitchFamily="34" charset="0"/>
                <a:cs typeface="Arial" panose="020B0604020202020204" pitchFamily="34" charset="0"/>
              </a:rPr>
              <a:t>Število kosov orožja (fizične osebe), za katere je izdan orožni list</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List2!$B$100</c:f>
              <c:strCache>
                <c:ptCount val="1"/>
                <c:pt idx="0">
                  <c:v>Število kosov orožja (fizične osebe)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792-478F-86F1-DF86F2040BC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792-478F-86F1-DF86F2040BC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792-478F-86F1-DF86F2040BC3}"/>
              </c:ext>
            </c:extLst>
          </c:dPt>
          <c:dLbls>
            <c:dLbl>
              <c:idx val="0"/>
              <c:layout>
                <c:manualLayout>
                  <c:x val="-0.19173248959063363"/>
                  <c:y val="-0.33228237095363089"/>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792-478F-86F1-DF86F2040BC3}"/>
                </c:ext>
              </c:extLst>
            </c:dLbl>
            <c:dLbl>
              <c:idx val="1"/>
              <c:layout>
                <c:manualLayout>
                  <c:x val="0.18128705116048976"/>
                  <c:y val="0.10151173811606883"/>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15:layout>
                    <c:manualLayout>
                      <c:w val="0.24091623036649215"/>
                      <c:h val="0.10967592592592593"/>
                    </c:manualLayout>
                  </c15:layout>
                </c:ext>
                <c:ext xmlns:c16="http://schemas.microsoft.com/office/drawing/2014/chart" uri="{C3380CC4-5D6E-409C-BE32-E72D297353CC}">
                  <c16:uniqueId val="{00000003-E792-478F-86F1-DF86F2040BC3}"/>
                </c:ext>
              </c:extLst>
            </c:dLbl>
            <c:dLbl>
              <c:idx val="2"/>
              <c:layout>
                <c:manualLayout>
                  <c:x val="0.11144514985365045"/>
                  <c:y val="0.11854622338874307"/>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792-478F-86F1-DF86F2040BC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List2!$A$101:$A$103</c:f>
              <c:strCache>
                <c:ptCount val="3"/>
                <c:pt idx="0">
                  <c:v>lov</c:v>
                </c:pt>
                <c:pt idx="1">
                  <c:v>šport</c:v>
                </c:pt>
                <c:pt idx="2">
                  <c:v>varnost </c:v>
                </c:pt>
              </c:strCache>
            </c:strRef>
          </c:cat>
          <c:val>
            <c:numRef>
              <c:f>List2!$B$101:$B$103</c:f>
              <c:numCache>
                <c:formatCode>#,##0</c:formatCode>
                <c:ptCount val="3"/>
                <c:pt idx="0">
                  <c:v>79685</c:v>
                </c:pt>
                <c:pt idx="1">
                  <c:v>17660</c:v>
                </c:pt>
                <c:pt idx="2">
                  <c:v>6114</c:v>
                </c:pt>
              </c:numCache>
            </c:numRef>
          </c:val>
          <c:extLst>
            <c:ext xmlns:c16="http://schemas.microsoft.com/office/drawing/2014/chart" uri="{C3380CC4-5D6E-409C-BE32-E72D297353CC}">
              <c16:uniqueId val="{00000006-E792-478F-86F1-DF86F2040BC3}"/>
            </c:ext>
          </c:extLst>
        </c:ser>
        <c:dLbls>
          <c:dLblPos val="ctr"/>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a:solidFill>
                  <a:sysClr val="windowText" lastClr="000000"/>
                </a:solidFill>
              </a:rPr>
              <a:t>Število izdanih dovoljenj za uvoz, izvoz, prenos, tranzit eksplozivov, streliva in pirotehničnih izdelkov</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List4!$B$46</c:f>
              <c:strCache>
                <c:ptCount val="1"/>
                <c:pt idx="0">
                  <c:v>Število izdanih dovoljenj za uvoz, izvoz, prenos…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List4!$A$47:$A$56</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List4!$B$47:$B$56</c:f>
              <c:numCache>
                <c:formatCode>General</c:formatCode>
                <c:ptCount val="10"/>
                <c:pt idx="0">
                  <c:v>506</c:v>
                </c:pt>
                <c:pt idx="1">
                  <c:v>670</c:v>
                </c:pt>
                <c:pt idx="2">
                  <c:v>764</c:v>
                </c:pt>
                <c:pt idx="3">
                  <c:v>661</c:v>
                </c:pt>
                <c:pt idx="4">
                  <c:v>707</c:v>
                </c:pt>
                <c:pt idx="5">
                  <c:v>858</c:v>
                </c:pt>
                <c:pt idx="6">
                  <c:v>914</c:v>
                </c:pt>
                <c:pt idx="7">
                  <c:v>892</c:v>
                </c:pt>
                <c:pt idx="8">
                  <c:v>934</c:v>
                </c:pt>
                <c:pt idx="9">
                  <c:v>1041</c:v>
                </c:pt>
              </c:numCache>
            </c:numRef>
          </c:val>
          <c:extLst>
            <c:ext xmlns:c16="http://schemas.microsoft.com/office/drawing/2014/chart" uri="{C3380CC4-5D6E-409C-BE32-E72D297353CC}">
              <c16:uniqueId val="{00000000-8344-4D62-990E-54B1082FA3FC}"/>
            </c:ext>
          </c:extLst>
        </c:ser>
        <c:dLbls>
          <c:dLblPos val="outEnd"/>
          <c:showLegendKey val="0"/>
          <c:showVal val="1"/>
          <c:showCatName val="0"/>
          <c:showSerName val="0"/>
          <c:showPercent val="0"/>
          <c:showBubbleSize val="0"/>
        </c:dLbls>
        <c:gapWidth val="219"/>
        <c:overlap val="-27"/>
        <c:axId val="663469360"/>
        <c:axId val="663472968"/>
      </c:barChart>
      <c:catAx>
        <c:axId val="66346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63472968"/>
        <c:crosses val="autoZero"/>
        <c:auto val="1"/>
        <c:lblAlgn val="ctr"/>
        <c:lblOffset val="100"/>
        <c:noMultiLvlLbl val="0"/>
      </c:catAx>
      <c:valAx>
        <c:axId val="663472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63469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sl-SI" sz="1000">
                <a:solidFill>
                  <a:sysClr val="windowText" lastClr="000000"/>
                </a:solidFill>
              </a:rPr>
              <a:t>Število vpisanih in izbrisanih strank po letih</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'[PV-ps.xlsx]List1'!$B$1</c:f>
              <c:strCache>
                <c:ptCount val="1"/>
                <c:pt idx="0">
                  <c:v>ŠT. VPISANIH PS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'[PV-ps.xlsx]List1'!$A$2:$A$32</c:f>
              <c:numCache>
                <c:formatCode>General</c:formatCode>
                <c:ptCount val="31"/>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numCache>
            </c:numRef>
          </c:cat>
          <c:val>
            <c:numRef>
              <c:f>'[PV-ps.xlsx]List1'!$B$2:$B$32</c:f>
              <c:numCache>
                <c:formatCode>General</c:formatCode>
                <c:ptCount val="31"/>
                <c:pt idx="0">
                  <c:v>19</c:v>
                </c:pt>
                <c:pt idx="1">
                  <c:v>7</c:v>
                </c:pt>
                <c:pt idx="2">
                  <c:v>11</c:v>
                </c:pt>
                <c:pt idx="4">
                  <c:v>1</c:v>
                </c:pt>
                <c:pt idx="6">
                  <c:v>5</c:v>
                </c:pt>
                <c:pt idx="8">
                  <c:v>4</c:v>
                </c:pt>
                <c:pt idx="9">
                  <c:v>1</c:v>
                </c:pt>
                <c:pt idx="10">
                  <c:v>3</c:v>
                </c:pt>
                <c:pt idx="12">
                  <c:v>18</c:v>
                </c:pt>
                <c:pt idx="13">
                  <c:v>4</c:v>
                </c:pt>
                <c:pt idx="14">
                  <c:v>2</c:v>
                </c:pt>
                <c:pt idx="15">
                  <c:v>3</c:v>
                </c:pt>
                <c:pt idx="16">
                  <c:v>14</c:v>
                </c:pt>
                <c:pt idx="17">
                  <c:v>4</c:v>
                </c:pt>
                <c:pt idx="18">
                  <c:v>1</c:v>
                </c:pt>
                <c:pt idx="19">
                  <c:v>5</c:v>
                </c:pt>
                <c:pt idx="20">
                  <c:v>13</c:v>
                </c:pt>
                <c:pt idx="22">
                  <c:v>2</c:v>
                </c:pt>
                <c:pt idx="23">
                  <c:v>4</c:v>
                </c:pt>
                <c:pt idx="24">
                  <c:v>16</c:v>
                </c:pt>
                <c:pt idx="25">
                  <c:v>1</c:v>
                </c:pt>
                <c:pt idx="27">
                  <c:v>6</c:v>
                </c:pt>
                <c:pt idx="28">
                  <c:v>7</c:v>
                </c:pt>
                <c:pt idx="29">
                  <c:v>0</c:v>
                </c:pt>
                <c:pt idx="30">
                  <c:v>5</c:v>
                </c:pt>
              </c:numCache>
            </c:numRef>
          </c:val>
          <c:extLst>
            <c:ext xmlns:c16="http://schemas.microsoft.com/office/drawing/2014/chart" uri="{C3380CC4-5D6E-409C-BE32-E72D297353CC}">
              <c16:uniqueId val="{00000000-0C89-4ADC-BECA-E12401C4055B}"/>
            </c:ext>
          </c:extLst>
        </c:ser>
        <c:ser>
          <c:idx val="1"/>
          <c:order val="1"/>
          <c:tx>
            <c:strRef>
              <c:f>'[PV-ps.xlsx]List1'!$C$1</c:f>
              <c:strCache>
                <c:ptCount val="1"/>
                <c:pt idx="0">
                  <c:v>ŠT. IZBRISANIH PS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'[PV-ps.xlsx]List1'!$A$2:$A$32</c:f>
              <c:numCache>
                <c:formatCode>General</c:formatCode>
                <c:ptCount val="31"/>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pt idx="30">
                  <c:v>2024</c:v>
                </c:pt>
              </c:numCache>
            </c:numRef>
          </c:cat>
          <c:val>
            <c:numRef>
              <c:f>'[PV-ps.xlsx]List1'!$C$2:$C$32</c:f>
              <c:numCache>
                <c:formatCode>General</c:formatCode>
                <c:ptCount val="31"/>
                <c:pt idx="1">
                  <c:v>5</c:v>
                </c:pt>
                <c:pt idx="6">
                  <c:v>3</c:v>
                </c:pt>
                <c:pt idx="7">
                  <c:v>1</c:v>
                </c:pt>
                <c:pt idx="9">
                  <c:v>3</c:v>
                </c:pt>
                <c:pt idx="10">
                  <c:v>1</c:v>
                </c:pt>
                <c:pt idx="11">
                  <c:v>1</c:v>
                </c:pt>
                <c:pt idx="13">
                  <c:v>2</c:v>
                </c:pt>
                <c:pt idx="14">
                  <c:v>1</c:v>
                </c:pt>
                <c:pt idx="16">
                  <c:v>2</c:v>
                </c:pt>
                <c:pt idx="17">
                  <c:v>2</c:v>
                </c:pt>
                <c:pt idx="18">
                  <c:v>1</c:v>
                </c:pt>
                <c:pt idx="19">
                  <c:v>1</c:v>
                </c:pt>
                <c:pt idx="20">
                  <c:v>7</c:v>
                </c:pt>
                <c:pt idx="21">
                  <c:v>1</c:v>
                </c:pt>
                <c:pt idx="22">
                  <c:v>1</c:v>
                </c:pt>
                <c:pt idx="23">
                  <c:v>2</c:v>
                </c:pt>
                <c:pt idx="24">
                  <c:v>4</c:v>
                </c:pt>
                <c:pt idx="25">
                  <c:v>11</c:v>
                </c:pt>
                <c:pt idx="26">
                  <c:v>1</c:v>
                </c:pt>
                <c:pt idx="27">
                  <c:v>3</c:v>
                </c:pt>
                <c:pt idx="28">
                  <c:v>2</c:v>
                </c:pt>
                <c:pt idx="29">
                  <c:v>8</c:v>
                </c:pt>
                <c:pt idx="30">
                  <c:v>8</c:v>
                </c:pt>
              </c:numCache>
            </c:numRef>
          </c:val>
          <c:extLst>
            <c:ext xmlns:c16="http://schemas.microsoft.com/office/drawing/2014/chart" uri="{C3380CC4-5D6E-409C-BE32-E72D297353CC}">
              <c16:uniqueId val="{00000001-0C89-4ADC-BECA-E12401C4055B}"/>
            </c:ext>
          </c:extLst>
        </c:ser>
        <c:dLbls>
          <c:dLblPos val="outEnd"/>
          <c:showLegendKey val="0"/>
          <c:showVal val="1"/>
          <c:showCatName val="0"/>
          <c:showSerName val="0"/>
          <c:showPercent val="0"/>
          <c:showBubbleSize val="0"/>
        </c:dLbls>
        <c:gapWidth val="219"/>
        <c:overlap val="-27"/>
        <c:axId val="484197376"/>
        <c:axId val="484193768"/>
      </c:barChart>
      <c:catAx>
        <c:axId val="48419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84193768"/>
        <c:crosses val="autoZero"/>
        <c:auto val="1"/>
        <c:lblAlgn val="ctr"/>
        <c:lblOffset val="100"/>
        <c:noMultiLvlLbl val="0"/>
      </c:catAx>
      <c:valAx>
        <c:axId val="484193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48419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List1!$E$3</c:f>
              <c:strCache>
                <c:ptCount val="1"/>
                <c:pt idx="0">
                  <c:v>Število vloženih prošenj</c:v>
                </c:pt>
              </c:strCache>
            </c:strRef>
          </c:tx>
          <c:spPr>
            <a:solidFill>
              <a:schemeClr val="accent1"/>
            </a:solidFill>
            <a:ln>
              <a:noFill/>
            </a:ln>
            <a:effectLst/>
          </c:spPr>
          <c:invertIfNegative val="0"/>
          <c:dLbls>
            <c:dLbl>
              <c:idx val="0"/>
              <c:tx>
                <c:rich>
                  <a:bodyPr/>
                  <a:lstStyle/>
                  <a:p>
                    <a:fld id="{D51AFCA9-9609-45B1-8968-9BE4821C0ECA}" type="CELLRANGE">
                      <a:rPr lang="en-US"/>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B9B-474F-A937-05C3AE84ED7F}"/>
                </c:ext>
              </c:extLst>
            </c:dLbl>
            <c:dLbl>
              <c:idx val="1"/>
              <c:tx>
                <c:rich>
                  <a:bodyPr/>
                  <a:lstStyle/>
                  <a:p>
                    <a:fld id="{0119DB69-25BA-455D-AA2B-941811117775}"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B9B-474F-A937-05C3AE84ED7F}"/>
                </c:ext>
              </c:extLst>
            </c:dLbl>
            <c:dLbl>
              <c:idx val="2"/>
              <c:tx>
                <c:rich>
                  <a:bodyPr/>
                  <a:lstStyle/>
                  <a:p>
                    <a:fld id="{B9C02A00-F597-44EB-BB69-BE1C812E1883}"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B9B-474F-A937-05C3AE84ED7F}"/>
                </c:ext>
              </c:extLst>
            </c:dLbl>
            <c:dLbl>
              <c:idx val="3"/>
              <c:tx>
                <c:rich>
                  <a:bodyPr/>
                  <a:lstStyle/>
                  <a:p>
                    <a:fld id="{58094C1B-B831-44E1-A631-AE6D68DE7974}"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AB9B-474F-A937-05C3AE84ED7F}"/>
                </c:ext>
              </c:extLst>
            </c:dLbl>
            <c:dLbl>
              <c:idx val="4"/>
              <c:tx>
                <c:rich>
                  <a:bodyPr/>
                  <a:lstStyle/>
                  <a:p>
                    <a:fld id="{587B0785-9ACF-4CBF-853C-006BAA59C267}"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B9B-474F-A937-05C3AE84ED7F}"/>
                </c:ext>
              </c:extLst>
            </c:dLbl>
            <c:dLbl>
              <c:idx val="5"/>
              <c:tx>
                <c:rich>
                  <a:bodyPr/>
                  <a:lstStyle/>
                  <a:p>
                    <a:fld id="{6239F5AE-E3B6-48F7-9344-8F0C2A81E995}"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AB9B-474F-A937-05C3AE84ED7F}"/>
                </c:ext>
              </c:extLst>
            </c:dLbl>
            <c:dLbl>
              <c:idx val="6"/>
              <c:tx>
                <c:rich>
                  <a:bodyPr/>
                  <a:lstStyle/>
                  <a:p>
                    <a:fld id="{C74039F3-8010-46CE-986A-F07490E4045A}" type="CELLRANGE">
                      <a:rPr lang="sl-SI"/>
                      <a:pPr/>
                      <a:t>[OBSEG CELIC]</a:t>
                    </a:fld>
                    <a:endParaRPr lang="sl-SI"/>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AB9B-474F-A937-05C3AE84ED7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List1!$D$4:$D$10</c:f>
              <c:numCache>
                <c:formatCode>General</c:formatCode>
                <c:ptCount val="7"/>
                <c:pt idx="0">
                  <c:v>2018</c:v>
                </c:pt>
                <c:pt idx="1">
                  <c:v>2019</c:v>
                </c:pt>
                <c:pt idx="2">
                  <c:v>2020</c:v>
                </c:pt>
                <c:pt idx="3">
                  <c:v>2021</c:v>
                </c:pt>
                <c:pt idx="4">
                  <c:v>2022</c:v>
                </c:pt>
                <c:pt idx="5">
                  <c:v>2023</c:v>
                </c:pt>
                <c:pt idx="6">
                  <c:v>2024</c:v>
                </c:pt>
              </c:numCache>
            </c:numRef>
          </c:cat>
          <c:val>
            <c:numRef>
              <c:f>List1!$E$4:$E$10</c:f>
              <c:numCache>
                <c:formatCode>#,##0</c:formatCode>
                <c:ptCount val="7"/>
                <c:pt idx="0">
                  <c:v>2875</c:v>
                </c:pt>
                <c:pt idx="1">
                  <c:v>3821</c:v>
                </c:pt>
                <c:pt idx="2">
                  <c:v>3548</c:v>
                </c:pt>
                <c:pt idx="3">
                  <c:v>5301</c:v>
                </c:pt>
                <c:pt idx="4">
                  <c:v>6787</c:v>
                </c:pt>
                <c:pt idx="5">
                  <c:v>7261</c:v>
                </c:pt>
                <c:pt idx="6">
                  <c:v>5634</c:v>
                </c:pt>
              </c:numCache>
            </c:numRef>
          </c:val>
          <c:extLst>
            <c:ext xmlns:c15="http://schemas.microsoft.com/office/drawing/2012/chart" uri="{02D57815-91ED-43cb-92C2-25804820EDAC}">
              <c15:datalabelsRange>
                <c15:f>List1!$G$4:$G$10</c15:f>
                <c15:dlblRangeCache>
                  <c:ptCount val="7"/>
                  <c:pt idx="1">
                    <c:v>+33%</c:v>
                  </c:pt>
                  <c:pt idx="2">
                    <c:v>-7%</c:v>
                  </c:pt>
                  <c:pt idx="3">
                    <c:v>+49%</c:v>
                  </c:pt>
                  <c:pt idx="4">
                    <c:v>+28%</c:v>
                  </c:pt>
                  <c:pt idx="5">
                    <c:v>+7%</c:v>
                  </c:pt>
                  <c:pt idx="6">
                    <c:v>-22%</c:v>
                  </c:pt>
                </c15:dlblRangeCache>
              </c15:datalabelsRange>
            </c:ext>
            <c:ext xmlns:c16="http://schemas.microsoft.com/office/drawing/2014/chart" uri="{C3380CC4-5D6E-409C-BE32-E72D297353CC}">
              <c16:uniqueId val="{00000007-AB9B-474F-A937-05C3AE84ED7F}"/>
            </c:ext>
          </c:extLst>
        </c:ser>
        <c:dLbls>
          <c:showLegendKey val="0"/>
          <c:showVal val="0"/>
          <c:showCatName val="0"/>
          <c:showSerName val="0"/>
          <c:showPercent val="0"/>
          <c:showBubbleSize val="0"/>
        </c:dLbls>
        <c:gapWidth val="219"/>
        <c:overlap val="-27"/>
        <c:axId val="574508328"/>
        <c:axId val="574509640"/>
      </c:barChart>
      <c:catAx>
        <c:axId val="57450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74509640"/>
        <c:crosses val="autoZero"/>
        <c:auto val="1"/>
        <c:lblAlgn val="ctr"/>
        <c:lblOffset val="100"/>
        <c:noMultiLvlLbl val="0"/>
      </c:catAx>
      <c:valAx>
        <c:axId val="574509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745083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7FF-41C4-8326-240D23C099F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7FF-41C4-8326-240D23C099F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7FF-41C4-8326-240D23C099F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7FF-41C4-8326-240D23C099F2}"/>
              </c:ext>
            </c:extLst>
          </c:dPt>
          <c:dLbls>
            <c:dLbl>
              <c:idx val="3"/>
              <c:layout>
                <c:manualLayout>
                  <c:x val="3.0555555555555607E-2"/>
                  <c:y val="-2.77777777777777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7FF-41C4-8326-240D23C099F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List2!$B$5:$B$8</c:f>
              <c:strCache>
                <c:ptCount val="4"/>
                <c:pt idx="0">
                  <c:v>Preostale prošnje</c:v>
                </c:pt>
                <c:pt idx="1">
                  <c:v>Maroko</c:v>
                </c:pt>
                <c:pt idx="2">
                  <c:v>Alžirija</c:v>
                </c:pt>
                <c:pt idx="3">
                  <c:v>Afganistan</c:v>
                </c:pt>
              </c:strCache>
            </c:strRef>
          </c:cat>
          <c:val>
            <c:numRef>
              <c:f>List2!$C$5:$C$8</c:f>
              <c:numCache>
                <c:formatCode>#,##0</c:formatCode>
                <c:ptCount val="4"/>
                <c:pt idx="0">
                  <c:v>1252</c:v>
                </c:pt>
                <c:pt idx="1">
                  <c:v>3548</c:v>
                </c:pt>
                <c:pt idx="2">
                  <c:v>452</c:v>
                </c:pt>
                <c:pt idx="3">
                  <c:v>382</c:v>
                </c:pt>
              </c:numCache>
            </c:numRef>
          </c:val>
          <c:extLst>
            <c:ext xmlns:c16="http://schemas.microsoft.com/office/drawing/2014/chart" uri="{C3380CC4-5D6E-409C-BE32-E72D297353CC}">
              <c16:uniqueId val="{00000008-07FF-41C4-8326-240D23C099F2}"/>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2FF-4D16-B131-97AE3E876E8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2FF-4D16-B131-97AE3E876E8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2FF-4D16-B131-97AE3E876E8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2FF-4D16-B131-97AE3E876E8A}"/>
              </c:ext>
            </c:extLst>
          </c:dPt>
          <c:dLbls>
            <c:dLbl>
              <c:idx val="0"/>
              <c:layout>
                <c:manualLayout>
                  <c:x val="-3.6675637064354297E-2"/>
                  <c:y val="-4.6295849010693753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2FF-4D16-B131-97AE3E876E8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List3!$C$7:$C$10</c:f>
              <c:strCache>
                <c:ptCount val="4"/>
                <c:pt idx="0">
                  <c:v>Ugodeno</c:v>
                </c:pt>
                <c:pt idx="1">
                  <c:v>Zavrnjeno</c:v>
                </c:pt>
                <c:pt idx="2">
                  <c:v>Ustavitev</c:v>
                </c:pt>
                <c:pt idx="3">
                  <c:v>Zavrženo</c:v>
                </c:pt>
              </c:strCache>
            </c:strRef>
          </c:cat>
          <c:val>
            <c:numRef>
              <c:f>List3!$D$7:$D$10</c:f>
              <c:numCache>
                <c:formatCode>#,##0</c:formatCode>
                <c:ptCount val="4"/>
                <c:pt idx="0">
                  <c:v>184</c:v>
                </c:pt>
                <c:pt idx="1">
                  <c:v>208</c:v>
                </c:pt>
                <c:pt idx="2">
                  <c:v>3215</c:v>
                </c:pt>
                <c:pt idx="3">
                  <c:v>2387</c:v>
                </c:pt>
              </c:numCache>
            </c:numRef>
          </c:val>
          <c:extLst>
            <c:ext xmlns:c16="http://schemas.microsoft.com/office/drawing/2014/chart" uri="{C3380CC4-5D6E-409C-BE32-E72D297353CC}">
              <c16:uniqueId val="{00000008-62FF-4D16-B131-97AE3E876E8A}"/>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CD4575-A6DC-462B-B2F9-A5A1E7DD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Pages>
  <Words>26946</Words>
  <Characters>153594</Characters>
  <Application>Microsoft Office Word</Application>
  <DocSecurity>0</DocSecurity>
  <Lines>1279</Lines>
  <Paragraphs>360</Paragraphs>
  <ScaleCrop>false</ScaleCrop>
  <HeadingPairs>
    <vt:vector size="4" baseType="variant">
      <vt:variant>
        <vt:lpstr>Naslov</vt:lpstr>
      </vt:variant>
      <vt:variant>
        <vt:i4>1</vt:i4>
      </vt:variant>
      <vt:variant>
        <vt:lpstr>Podnaslovi</vt:lpstr>
      </vt:variant>
      <vt:variant>
        <vt:i4>27</vt:i4>
      </vt:variant>
    </vt:vector>
  </HeadingPairs>
  <TitlesOfParts>
    <vt:vector size="28" baseType="lpstr">
      <vt:lpstr>Štefanova ulica 2, 1501 Ljubljana</vt:lpstr>
      <vt:lpstr>Splošno</vt:lpstr>
      <vt:lpstr>Naloge za zagotavljanje javne varnosti v državi</vt:lpstr>
      <vt:lpstr>Usmerjanje in nadzor nad delom policije ter reševanje pritožb zoper policiste</vt:lpstr>
      <vt:lpstr>Zakonito in učinkovito opravljanje upravnih in drugih nalog v pristojnosti Minis</vt:lpstr>
      <vt:lpstr>    </vt:lpstr>
      <vt:lpstr>    </vt:lpstr>
      <vt:lpstr>    </vt:lpstr>
      <vt:lpstr>    </vt:lpstr>
      <vt:lpstr>    </vt:lpstr>
      <vt:lpstr>    Področje zasebnega varovanja, detektivske dejavnosti, varnosti na smučiščih in o</vt:lpstr>
      <vt:lpstr>    Varovanje in obravnavanje tajnih podatkov </vt:lpstr>
      <vt:lpstr>    Dvig varnostne kulture pri obravnavanju in varovanju tajnih in osebnih podatkov </vt:lpstr>
      <vt:lpstr>    Varnostno načrtovanje in preverjanje tujih državljanov po Zakonu o varstvu pred </vt:lpstr>
      <vt:lpstr>    Upravne notranje zadeve</vt:lpstr>
      <vt:lpstr>        Zagotavljanje podatkov iz centralnega registra prebivalstva</vt:lpstr>
      <vt:lpstr>        Urejanje zaznamkov v zvezi z odvzeto volilno pravico</vt:lpstr>
      <vt:lpstr>        Aktivnosti v času volitev v Evropski parlament </vt:lpstr>
      <vt:lpstr>        Implementacija novele Zakona o centralnem registru prebivalstva</vt:lpstr>
      <vt:lpstr>        Širitev uporabe elektronske prijave in odjave prebivališč </vt:lpstr>
      <vt:lpstr>        Drugi pomembnejši podatki s področja registracije prebivalstva in javnih listin</vt:lpstr>
      <vt:lpstr>        Pridobitev državljanstva</vt:lpstr>
      <vt:lpstr>        Področje orožja</vt:lpstr>
      <vt:lpstr>        Področje eksplozivov</vt:lpstr>
      <vt:lpstr>        Področje društev, javnih zbiranj in političnih strank</vt:lpstr>
      <vt:lpstr>        Informacijski sistem upravnih notranjih zadev (ISUNZ)</vt:lpstr>
      <vt:lpstr>        Druge aktivnosti na področju upravnih notranjih zadev v letu 2024</vt:lpstr>
      <vt:lpstr>Upravljanje migracij</vt:lpstr>
    </vt:vector>
  </TitlesOfParts>
  <Company>MNZ</Company>
  <LinksUpToDate>false</LinksUpToDate>
  <CharactersWithSpaces>180180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Štefanova ulica 2, 1501 Ljubljana</dc:title>
  <dc:subject/>
  <dc:creator>Uporabnik sistema Windows</dc:creator>
  <cp:keywords/>
  <dc:description/>
  <cp:lastModifiedBy>Sabina Langus Boc</cp:lastModifiedBy>
  <cp:revision>4</cp:revision>
  <cp:lastPrinted>2025-07-16T07:47:00Z</cp:lastPrinted>
  <dcterms:created xsi:type="dcterms:W3CDTF">2026-01-26T14:23:00Z</dcterms:created>
  <dcterms:modified xsi:type="dcterms:W3CDTF">2026-01-26T14:39:00Z</dcterms:modified>
</cp:coreProperties>
</file>