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BD" w:rsidRPr="00371FBD" w:rsidRDefault="00371FBD" w:rsidP="00371FBD">
      <w:pPr>
        <w:jc w:val="left"/>
        <w:rPr>
          <w:rFonts w:eastAsia="Arial" w:cs="Times New Roman"/>
          <w:szCs w:val="20"/>
          <w:lang w:eastAsia="sl-SI"/>
        </w:rPr>
      </w:pPr>
      <w:r w:rsidRPr="00371FBD">
        <w:rPr>
          <w:rFonts w:eastAsia="Arial" w:cs="Times New Roman"/>
          <w:b/>
          <w:szCs w:val="20"/>
          <w:lang w:eastAsia="sl-SI"/>
        </w:rPr>
        <w:t>OKTOBER 2025 - PRITOŽBE ZOPER POLICISTE ZAKLJUČENE NA SEJI SENATA MNZ</w:t>
      </w:r>
      <w:r w:rsidRPr="00371FBD">
        <w:rPr>
          <w:rFonts w:eastAsia="Arial" w:cs="Times New Roman"/>
          <w:b/>
          <w:szCs w:val="20"/>
          <w:lang w:eastAsia="sl-SI"/>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433"/>
        <w:gridCol w:w="3859"/>
        <w:gridCol w:w="847"/>
        <w:gridCol w:w="734"/>
        <w:gridCol w:w="905"/>
        <w:gridCol w:w="992"/>
        <w:gridCol w:w="4128"/>
        <w:gridCol w:w="1008"/>
      </w:tblGrid>
      <w:tr w:rsidR="00371FBD" w:rsidRPr="00371FBD" w:rsidTr="00B830BD">
        <w:tc>
          <w:tcPr>
            <w:tcW w:w="720" w:type="dxa"/>
            <w:vMerge w:val="restart"/>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Št.</w:t>
            </w:r>
          </w:p>
        </w:tc>
        <w:tc>
          <w:tcPr>
            <w:tcW w:w="1440" w:type="dxa"/>
            <w:vMerge w:val="restart"/>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Pritožbeni razlogi</w:t>
            </w:r>
          </w:p>
        </w:tc>
        <w:tc>
          <w:tcPr>
            <w:tcW w:w="720" w:type="dxa"/>
            <w:vMerge w:val="restart"/>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Datum pritožbe</w:t>
            </w:r>
          </w:p>
        </w:tc>
        <w:tc>
          <w:tcPr>
            <w:tcW w:w="720" w:type="dxa"/>
            <w:vMerge w:val="restart"/>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Datum senata</w:t>
            </w:r>
          </w:p>
        </w:tc>
        <w:tc>
          <w:tcPr>
            <w:tcW w:w="720" w:type="dxa"/>
            <w:vMerge w:val="restart"/>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Št. zadeve</w:t>
            </w:r>
          </w:p>
        </w:tc>
        <w:tc>
          <w:tcPr>
            <w:tcW w:w="0" w:type="auto"/>
            <w:gridSpan w:val="3"/>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ODLOČITEV SENATA</w:t>
            </w:r>
          </w:p>
        </w:tc>
      </w:tr>
      <w:tr w:rsidR="00371FBD" w:rsidRPr="00371FBD" w:rsidTr="00B830BD">
        <w:tc>
          <w:tcPr>
            <w:tcW w:w="0" w:type="auto"/>
            <w:vMerge/>
          </w:tcPr>
          <w:p w:rsidR="00371FBD" w:rsidRPr="00371FBD" w:rsidRDefault="00371FBD" w:rsidP="00371FBD">
            <w:pPr>
              <w:jc w:val="left"/>
              <w:rPr>
                <w:rFonts w:eastAsia="Arial" w:cs="Times New Roman"/>
                <w:szCs w:val="20"/>
                <w:lang w:eastAsia="sl-SI"/>
              </w:rPr>
            </w:pPr>
          </w:p>
        </w:tc>
        <w:tc>
          <w:tcPr>
            <w:tcW w:w="0" w:type="auto"/>
            <w:vMerge/>
          </w:tcPr>
          <w:p w:rsidR="00371FBD" w:rsidRPr="00371FBD" w:rsidRDefault="00371FBD" w:rsidP="00371FBD">
            <w:pPr>
              <w:jc w:val="left"/>
              <w:rPr>
                <w:rFonts w:eastAsia="Arial" w:cs="Times New Roman"/>
                <w:szCs w:val="20"/>
                <w:lang w:eastAsia="sl-SI"/>
              </w:rPr>
            </w:pPr>
          </w:p>
        </w:tc>
        <w:tc>
          <w:tcPr>
            <w:tcW w:w="0" w:type="auto"/>
            <w:vMerge/>
          </w:tcPr>
          <w:p w:rsidR="00371FBD" w:rsidRPr="00371FBD" w:rsidRDefault="00371FBD" w:rsidP="00371FBD">
            <w:pPr>
              <w:jc w:val="left"/>
              <w:rPr>
                <w:rFonts w:eastAsia="Arial" w:cs="Times New Roman"/>
                <w:szCs w:val="20"/>
                <w:lang w:eastAsia="sl-SI"/>
              </w:rPr>
            </w:pPr>
          </w:p>
        </w:tc>
        <w:tc>
          <w:tcPr>
            <w:tcW w:w="0" w:type="auto"/>
            <w:vMerge/>
          </w:tcPr>
          <w:p w:rsidR="00371FBD" w:rsidRPr="00371FBD" w:rsidRDefault="00371FBD" w:rsidP="00371FBD">
            <w:pPr>
              <w:jc w:val="left"/>
              <w:rPr>
                <w:rFonts w:eastAsia="Arial" w:cs="Times New Roman"/>
                <w:szCs w:val="20"/>
                <w:lang w:eastAsia="sl-SI"/>
              </w:rPr>
            </w:pPr>
          </w:p>
        </w:tc>
        <w:tc>
          <w:tcPr>
            <w:tcW w:w="0" w:type="auto"/>
            <w:vMerge/>
          </w:tcPr>
          <w:p w:rsidR="00371FBD" w:rsidRPr="00371FBD" w:rsidRDefault="00371FBD" w:rsidP="00371FBD">
            <w:pPr>
              <w:jc w:val="left"/>
              <w:rPr>
                <w:rFonts w:eastAsia="Arial" w:cs="Times New Roman"/>
                <w:szCs w:val="20"/>
                <w:lang w:eastAsia="sl-SI"/>
              </w:rPr>
            </w:pPr>
          </w:p>
        </w:tc>
        <w:tc>
          <w:tcPr>
            <w:tcW w:w="1440" w:type="dxa"/>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Policijska uprava</w:t>
            </w:r>
          </w:p>
        </w:tc>
        <w:tc>
          <w:tcPr>
            <w:tcW w:w="7200" w:type="dxa"/>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Kratka vsebina</w:t>
            </w:r>
          </w:p>
        </w:tc>
        <w:tc>
          <w:tcPr>
            <w:tcW w:w="1440" w:type="dxa"/>
            <w:shd w:val="clear" w:color="auto" w:fill="C8C800"/>
          </w:tcPr>
          <w:p w:rsidR="00371FBD" w:rsidRPr="00371FBD" w:rsidRDefault="00371FBD" w:rsidP="00371FBD">
            <w:pPr>
              <w:jc w:val="center"/>
              <w:rPr>
                <w:rFonts w:eastAsia="Arial" w:cs="Times New Roman"/>
                <w:szCs w:val="20"/>
                <w:lang w:eastAsia="sl-SI"/>
              </w:rPr>
            </w:pPr>
            <w:r w:rsidRPr="00371FBD">
              <w:rPr>
                <w:rFonts w:eastAsia="Arial" w:cs="Times New Roman"/>
                <w:b/>
                <w:sz w:val="16"/>
                <w:szCs w:val="20"/>
                <w:lang w:eastAsia="sl-SI"/>
              </w:rPr>
              <w:t>Utemeljen (DA/NE)</w:t>
            </w:r>
          </w:p>
        </w:tc>
      </w:tr>
      <w:tr w:rsidR="00371FBD" w:rsidRPr="00371FBD" w:rsidTr="00B830BD">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1</w:t>
            </w:r>
          </w:p>
        </w:tc>
        <w:tc>
          <w:tcPr>
            <w:tcW w:w="0" w:type="auto"/>
          </w:tcPr>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Policistka naj bi pri zbiranju obvestil od mladoletnika, verbalno napadla, ga prekinjala, mu vsiljevala svoje mnenje ignoriral mladoletnikovo pravico da se svobodno izrazi, policistka naj bi mladoletniku grozila, da bo na črni listi policije, prav tako naj ne bi pritožnice seznanila z razlogi zbiranja obvestil - 21. člen (varstvo človekove osebnosti in dostojanstva) Ustave RS,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policistka naj bi od pritožnika zahtevala, da se naj takoj oglasi na kraju - 22. člen (enako varstvo pravic) Ustave RS,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mladoletnik naj bi bil pridržan - 32. člen (svoboda gibanja) Ustave RS,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policistka naj bi mladoletniku na kraju dogodka s strogim in jasnim tonom pojasnjevala situacijo in mu grozila z globo - 21. člen (varstvo človekove osebnosti in dostojanstva) Ustave RS,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policistka naj ne bi ustrezno reagirala na to, da naj bi oškodovanec fizično obračunal z mladoletnikom - 22. člen (enako varstvo pravic) Ustave RS,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mladoletnik naj bi ob vozilu stal pomočen - 21. člen (varstvo človekove osebnosti in dostojanstva) Ustave RS,  </w:t>
            </w:r>
          </w:p>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 informacijo o dogodku v katerem sta bila udeležena oba mladoletnika, naj bi v šoli ostalim učencem posredoval sin policistke - 35. člen (varstvo pravic zasebnosti pravic in osebnostnih pravic) Ustave RS.</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14. 3. 2025</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1. 10. 2025</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2600-134/2025</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PU MARIBOR</w:t>
            </w:r>
          </w:p>
        </w:tc>
        <w:tc>
          <w:tcPr>
            <w:tcW w:w="0" w:type="auto"/>
          </w:tcPr>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Policista sta razgovor z mlad. opravila v prisotnosti pritožnice, kateri je bil strokoven, jasen, brez povzdigovanja glasu. Prav tako je bila pritožnica seznanjena glede namena razgovora ter tudi glede ukrepov, ki bodo uvedeni zoper mlad. Tudi glede očitka pritožnice, ki se je nanašal na seznam, ki bi ga vodila policija, so si bile izjave nasprotujoče. Policistka je pritožniku pojasnila kaj se je zgodilo in prosila, da bi se zglasil na kraj dogodka, da se lahko opravi razgovor z mlad. Na razgovor se je pritožnik tudi zglasil, kjer mu je bil pojasnjen dogodek v katerem je bil udeležen mlad. Policistka je na kraju dogodka, na podlagi določb prvega odstavka, 51. člena Zakona o prekrških, pričela z zbiranjem obvestil ter dokazov o prekršku od oškodovanke in njenega moža. Na podlagi zbranih obvestil, je policistka ugotovila, da so izpolnjeni vsi pogoji prekrška, po prvem odstavku 7. člena Zakona o varstvu javnega reda in miru. Policistka je na podlagi prvega odstavka, 74. člena in tretjega odstavka 76. člena Zakona o splošnem upravnem postopku, izjave prič, zapisala v zapisniku o izjavi prič ter na podlagi četrte alineje, 40. člena </w:t>
            </w:r>
            <w:proofErr w:type="spellStart"/>
            <w:r w:rsidRPr="00371FBD">
              <w:rPr>
                <w:rFonts w:eastAsia="Arial" w:cs="Times New Roman"/>
                <w:sz w:val="16"/>
                <w:szCs w:val="20"/>
                <w:lang w:eastAsia="sl-SI"/>
              </w:rPr>
              <w:t>ZNPPol</w:t>
            </w:r>
            <w:proofErr w:type="spellEnd"/>
            <w:r w:rsidRPr="00371FBD">
              <w:rPr>
                <w:rFonts w:eastAsia="Arial" w:cs="Times New Roman"/>
                <w:sz w:val="16"/>
                <w:szCs w:val="20"/>
                <w:lang w:eastAsia="sl-SI"/>
              </w:rPr>
              <w:t xml:space="preserve">, na kraju ugotovila identiteto mlad. Mlad. je povedal svoje podatke, na podlagi katerih je ugotovila, da je kot mlad. storil prekršek po Zakonu o javnem redu in miru, zaradi česar mu je predlagala, da pokliče starše iz mobilnega telefona in jim pove o dogodku, drugače bo le te obveščala policija. Policistka je v prisotnosti pritožnika, mlad. in dveh prič pojasnila, da gre v dogodku za kršitev javnega reda in miru po prvem odstavku 7. člena Zakona o javnem redu in miru in ker je mlad. da bo na podlagi 103. člena Zakona o prekrških, podan </w:t>
            </w:r>
            <w:proofErr w:type="spellStart"/>
            <w:r w:rsidRPr="00371FBD">
              <w:rPr>
                <w:rFonts w:eastAsia="Arial" w:cs="Times New Roman"/>
                <w:sz w:val="16"/>
                <w:szCs w:val="20"/>
                <w:lang w:eastAsia="sl-SI"/>
              </w:rPr>
              <w:t>obdolžilni</w:t>
            </w:r>
            <w:proofErr w:type="spellEnd"/>
            <w:r w:rsidRPr="00371FBD">
              <w:rPr>
                <w:rFonts w:eastAsia="Arial" w:cs="Times New Roman"/>
                <w:sz w:val="16"/>
                <w:szCs w:val="20"/>
                <w:lang w:eastAsia="sl-SI"/>
              </w:rPr>
              <w:t xml:space="preserve"> predlog na okrajno sodišče, prav tako je seznanila, da bo obveščen Center za socialno delo. Ugotovljeno je bilo, da je postopek potekal strokovno, zakonito in odločno brez kakršnega koli povzdigovanja glasu, groženj ali prerekanj ter ob upoštevanju dejstva, da je v postopku mlad. Mlad. v postopku ni povedal, da naj bi oškodovanec z njim fizično obračunal. Z navedbo, da naj bi oškodovanec bil fizično nasilen do mlad. so bili seznanjeni ob prejemu pritožbe, zoper delo policistke. Policisti so pričeli z obravnavo zadeve </w:t>
            </w:r>
            <w:r w:rsidRPr="00371FBD">
              <w:rPr>
                <w:rFonts w:eastAsia="Arial" w:cs="Times New Roman"/>
                <w:sz w:val="16"/>
                <w:szCs w:val="20"/>
                <w:lang w:eastAsia="sl-SI"/>
              </w:rPr>
              <w:lastRenderedPageBreak/>
              <w:t xml:space="preserve">in so na podlagi določb prvega odstavka 51. člena Zakona o prekrških, zbirali obvestila ter dokazov o prekršku po drugem odstavku 6. člena Zakona o javnem redu in miru. Kot je razvidno iz prejete dokumentacije policijske postaje, se v skladu z 52. členom Zakona o prekrških vodi hitri postopek. Na podlagi dokumentacije iz okrajnega sodišča ne izhaja, da bi naj bi oškodovanec udaril mladoletnika. Mlad. je policistki , ki ga je vprašala zakaj je moker povedal, da se je kopal v bazenu in da si je po kopanju oblekel oblačilo preko mokrih kopalk. V osnovni šoli so bili z dogodkom seznanjeni iz govoric, podrobneje pa na podlagi poslane pritožbe starša mlad. Razrednik je učence razreda opozoril na primerno obnašanje in na dogodek, v katerem sta bila udeležena mlad. Pojasnil jim je, da ravnanje ni bilo pravilno in da morajo biti odgovorni za svoja ravnanja, tudi ko niso v šoli. Razrednik je za dogodke izvedel v prostem času in ne od svojih učencev, niti ne od učencev, ki jih uči, niti ne od sina policistke. Navedb glede očitanega pritožbenega razloga, na podlagi pridobljene dokumentacije in razgovorov, ni bilo mogoče potrditi, da je govorice o dogodku, po šoli govoril sin policistke. </w:t>
            </w:r>
          </w:p>
          <w:p w:rsidR="00371FBD" w:rsidRPr="00371FBD" w:rsidRDefault="00371FBD" w:rsidP="00371FBD">
            <w:pPr>
              <w:jc w:val="right"/>
              <w:rPr>
                <w:rFonts w:eastAsia="Arial" w:cs="Times New Roman"/>
                <w:szCs w:val="20"/>
                <w:lang w:eastAsia="sl-SI"/>
              </w:rPr>
            </w:pPr>
            <w:r w:rsidRPr="00371FBD">
              <w:rPr>
                <w:rFonts w:eastAsia="Arial" w:cs="Times New Roman"/>
                <w:sz w:val="16"/>
                <w:szCs w:val="20"/>
                <w:lang w:eastAsia="sl-SI"/>
              </w:rPr>
              <w:t>NE</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lastRenderedPageBreak/>
              <w:t>NE</w:t>
            </w:r>
          </w:p>
        </w:tc>
      </w:tr>
      <w:tr w:rsidR="00371FBD" w:rsidRPr="00371FBD" w:rsidTr="00B830BD">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2</w:t>
            </w:r>
          </w:p>
        </w:tc>
        <w:tc>
          <w:tcPr>
            <w:tcW w:w="0" w:type="auto"/>
          </w:tcPr>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Nestrokovna in protipravna uporaba prisilnih sredstev s povzročitvijo telesnih poškodb pritožniku in poškodbo ročne ure (18. člen Ustave RS – prepoved mučenja),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 neupravičeno pridržanje pritožnika (19. člen Ustave RS – varstvo osebne svobode), </w:t>
            </w:r>
          </w:p>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 opustitev dejanja/</w:t>
            </w:r>
            <w:proofErr w:type="spellStart"/>
            <w:r w:rsidRPr="00371FBD">
              <w:rPr>
                <w:rFonts w:eastAsia="Arial" w:cs="Times New Roman"/>
                <w:sz w:val="16"/>
                <w:szCs w:val="20"/>
                <w:lang w:eastAsia="sl-SI"/>
              </w:rPr>
              <w:t>neukrepanje</w:t>
            </w:r>
            <w:proofErr w:type="spellEnd"/>
            <w:r w:rsidRPr="00371FBD">
              <w:rPr>
                <w:rFonts w:eastAsia="Arial" w:cs="Times New Roman"/>
                <w:sz w:val="16"/>
                <w:szCs w:val="20"/>
                <w:lang w:eastAsia="sl-SI"/>
              </w:rPr>
              <w:t xml:space="preserve"> policistov – nesprejem prijave oz. ovadbe (22. člen Ustave RS – enako varstvo pravic).</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26. 4. 2024</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2. 10. 2025</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2600-169/2024</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PU MARIBOR</w:t>
            </w:r>
          </w:p>
        </w:tc>
        <w:tc>
          <w:tcPr>
            <w:tcW w:w="0" w:type="auto"/>
          </w:tcPr>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Pritožnik očita policistu, da ga je po tem, ko naj bi nameraval pobegniti z osebnim vozilom, policist z desno roko, stisnjeno v pest, močno udaril v predel levega dela obraza. Takoj za tem pa ga je z obema rokama prijel za oblačila in ga na silo izvlekel iz vozila. Policist ga je tako protipravno telesno poškodoval, ravnal nestrokovno, protipravno uporabil prisilna sredstva zoper njega in na ta način kršil njegovo dostojanstvo. V dopolnitvi pritožbe pa pritožnik še očita policistu, da mu je pri uporabi fizične sile, ko ga je potegnil iz vozila, poškodoval tudi ročno uro. Policista sta postopek s pritožnikom evidentirala v poročilo o opravljenem delu, nista pa poročala o uporabi prisilnega sredstva v obliki uradnega zaznamka in ne v poročilu o opravljenem delu, saj po njunih navedbah prisilna sredstva nista uporabila. Iz vsega ugotovljenega izhajajo dejstva, ki očitek pritožnika potrjujejo, in sicer: poškodbeni list, zbrana obvestila od zdravnika, navedbe pritožnika, ki je ves čas postopka izpostavljal, da ga je policist udaril, navedbe prič (svojcev), poškodba ure, ki jo je imel na roki, posnetek govorne komunikacije med pritožnikom in operaterko OKC PU Maribor, potrdilo o odvzemu predmetov, kjer je evidentirano, da je ura poškodovana. Nasprotno pa </w:t>
            </w:r>
            <w:r w:rsidRPr="00371FBD">
              <w:rPr>
                <w:rFonts w:eastAsia="Arial" w:cs="Times New Roman"/>
                <w:sz w:val="16"/>
                <w:szCs w:val="20"/>
                <w:lang w:eastAsia="sl-SI"/>
              </w:rPr>
              <w:lastRenderedPageBreak/>
              <w:t xml:space="preserve">le policista zanikata udarec oz. kakršenkoli fizični kontakt oz. uporabo prisilnih sredstev. Policist je sicer izpostavil grožnje, ki naj bi mu jih pritožnik izrekel in o tem naslednji dan sestavil uradni zaznamek (vendar pa se ni počutil ogroženega), po navedbah poročevalca zadeva ni bila obravnavana. Senat je sledil dokazom, predvsem poškodbenemu listu in odločni nameri pritožnika, da poda ovadbo zoper policista zaradi udarca v obraz, in izpovedbam prič – predvsem žene pritožnika, in vztrajanju pritožnika na kraju, ko je vsem policistom dejal, da ga je policist udaril, kar so tudi potrdili. Po oceni senata so izjave pritožnika in priče bolj verodostojne od izpovedi policista, zato je senat soglasno odločil, da je prvi pritožbeni razlog utemeljen.               </w:t>
            </w:r>
          </w:p>
          <w:p w:rsidR="00371FBD" w:rsidRPr="00371FBD" w:rsidRDefault="00371FBD" w:rsidP="00371FBD">
            <w:pPr>
              <w:jc w:val="right"/>
              <w:rPr>
                <w:rFonts w:eastAsia="Arial" w:cs="Times New Roman"/>
                <w:sz w:val="16"/>
                <w:szCs w:val="20"/>
                <w:lang w:eastAsia="sl-SI"/>
              </w:rPr>
            </w:pPr>
            <w:r w:rsidRPr="00371FBD">
              <w:rPr>
                <w:rFonts w:eastAsia="Arial" w:cs="Times New Roman"/>
                <w:sz w:val="16"/>
                <w:szCs w:val="20"/>
                <w:lang w:eastAsia="sl-SI"/>
              </w:rPr>
              <w:t xml:space="preserve">                                                                  DA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Ugotovljeno je bilo, da sta policista pritožniku odredila pridržanje na podlagi 1. točke 1. odstavka 24. člena </w:t>
            </w:r>
            <w:proofErr w:type="spellStart"/>
            <w:r w:rsidRPr="00371FBD">
              <w:rPr>
                <w:rFonts w:eastAsia="Arial" w:cs="Times New Roman"/>
                <w:sz w:val="16"/>
                <w:szCs w:val="20"/>
                <w:lang w:eastAsia="sl-SI"/>
              </w:rPr>
              <w:t>ZPrCP</w:t>
            </w:r>
            <w:proofErr w:type="spellEnd"/>
            <w:r w:rsidRPr="00371FBD">
              <w:rPr>
                <w:rFonts w:eastAsia="Arial" w:cs="Times New Roman"/>
                <w:sz w:val="16"/>
                <w:szCs w:val="20"/>
                <w:lang w:eastAsia="sl-SI"/>
              </w:rPr>
              <w:t xml:space="preserve">, ki določa, da policist pridrži voznika motornega vozila, pri katerem je bilo s sredstvi ali napravami za ugotavljanje alkohola ugotovljeno, da ima v organizmu več kot 1,10 grama alkohola na kilogram krvi ali več kot 0,52 miligrama alkohola v litru izdihanega zraka. Vendar pa se lahko policist na podlagi 2. odstavka istega člena </w:t>
            </w:r>
            <w:proofErr w:type="spellStart"/>
            <w:r w:rsidRPr="00371FBD">
              <w:rPr>
                <w:rFonts w:eastAsia="Arial" w:cs="Times New Roman"/>
                <w:sz w:val="16"/>
                <w:szCs w:val="20"/>
                <w:lang w:eastAsia="sl-SI"/>
              </w:rPr>
              <w:t>ZPrCP</w:t>
            </w:r>
            <w:proofErr w:type="spellEnd"/>
            <w:r w:rsidRPr="00371FBD">
              <w:rPr>
                <w:rFonts w:eastAsia="Arial" w:cs="Times New Roman"/>
                <w:sz w:val="16"/>
                <w:szCs w:val="20"/>
                <w:lang w:eastAsia="sl-SI"/>
              </w:rPr>
              <w:t xml:space="preserve"> odloči, da pridržanja ne odredi, če je mogoče na drug ustrezen način preprečiti udeležbo voznika motornega vozila v cestnem prometu, pri čemer policist upošteva med postopkom ugotovljene objektivne in subjektivne okoliščine, zlasti ravnanje voznika motornega vozila med postopkom in ugotovljeno količino alkohola. Za ustrezen način preprečitve udeležbe voznika motornega vozila v cestnem prometu se šteje tudi okoliščina, da je kraj postopka neposredno pred objektom, v katerem voznik motornega vozila dejansko biva in če voznik motornega vozila to dejstvo verjetno izkaže in če je iz okoliščin mogoče sklepati, da je tja namenjen in da ne bo nadaljeval z vožnjo. Iz sklepa o pridržanju izhaja, da je bil zaloten pri prekršku iz 4. odstavka 105. člena </w:t>
            </w:r>
            <w:proofErr w:type="spellStart"/>
            <w:r w:rsidRPr="00371FBD">
              <w:rPr>
                <w:rFonts w:eastAsia="Arial" w:cs="Times New Roman"/>
                <w:sz w:val="16"/>
                <w:szCs w:val="20"/>
                <w:lang w:eastAsia="sl-SI"/>
              </w:rPr>
              <w:t>ZPrCP</w:t>
            </w:r>
            <w:proofErr w:type="spellEnd"/>
            <w:r w:rsidRPr="00371FBD">
              <w:rPr>
                <w:rFonts w:eastAsia="Arial" w:cs="Times New Roman"/>
                <w:sz w:val="16"/>
                <w:szCs w:val="20"/>
                <w:lang w:eastAsia="sl-SI"/>
              </w:rPr>
              <w:t xml:space="preserve">, saj je kot voznik v cestnem prometu opravil preizkus alkoholiziranosti, ki je ob pravilni uporabi pokazal rezultat 0,79 mg/l, zapisnik je pritožnik podpisal. Postopek s pritožnikom je bil sicer izveden v bližini njegovega doma, vendar pa je pritožnik kljub večkratnemu ustavljanju policistov nadaljeval vožnjo oz. ni upošteval ukazov policista, da ustavi na bližnjem parkirišču in je vozil dalje, zato je moral policist zapeljati pred njegovo vozilo, da je zmanjšal hitrost in naposled ustavil vozilo. Iz teh ravnanj pritožnika je nedvoumno mogoče razbrati neupoštevanje ukazov policistov in nadaljevanje vožnje, zato je bilo mogoče </w:t>
            </w:r>
            <w:r w:rsidRPr="00371FBD">
              <w:rPr>
                <w:rFonts w:eastAsia="Arial" w:cs="Times New Roman"/>
                <w:sz w:val="16"/>
                <w:szCs w:val="20"/>
                <w:lang w:eastAsia="sl-SI"/>
              </w:rPr>
              <w:lastRenderedPageBreak/>
              <w:t xml:space="preserve">pričakovati, da bi tudi po postopku in odvzemu vozniškega dovoljenja lahko nadaljeval z vožnjo. Očitek, da bi bil pritožnik nezakonito pridržan, na podlagi navedenega in predvsem dejstva, da je pritožnik s predhodnim neupoštevanjem ukazov policistov nakazoval, da bi lahko nadaljeval z vožnjo, in zakonsko možnostjo policista, ki »se lahko odloči, da pridržanja ne odredi«, če so izpolnjene zgoraj opisane okoliščine, senat ni potrdil in je soglasno odločil, da je drugi pritožbeni razlog neutemeljen, čeprav so bila ugotovljena nekatera neskladja v dokumentaciji, kar pa ni vplivalo na samo izvedbo pridržanja.                                                    </w:t>
            </w:r>
          </w:p>
          <w:p w:rsidR="00371FBD" w:rsidRPr="00371FBD" w:rsidRDefault="00371FBD" w:rsidP="00371FBD">
            <w:pPr>
              <w:jc w:val="right"/>
              <w:rPr>
                <w:rFonts w:eastAsia="Arial" w:cs="Times New Roman"/>
                <w:sz w:val="16"/>
                <w:szCs w:val="20"/>
                <w:lang w:eastAsia="sl-SI"/>
              </w:rPr>
            </w:pPr>
            <w:r w:rsidRPr="00371FBD">
              <w:rPr>
                <w:rFonts w:eastAsia="Arial" w:cs="Times New Roman"/>
                <w:sz w:val="16"/>
                <w:szCs w:val="20"/>
                <w:lang w:eastAsia="sl-SI"/>
              </w:rPr>
              <w:t xml:space="preserve">NE </w:t>
            </w:r>
          </w:p>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Pritožnik je v dopolnitvi pritožbe očital, da je prijavo oz. kazensko ovadbo zoper policista, ki ga je udaril, podal ob klicu na 113 preko medicinske sestre UKC Maribor in jo istega dne želel podati na PP Maribor I dežurnemu policistu, ki pa ga je napotil na PPP Maribor, kjer je dežurni policist povedal, da je že bil seznanjen z njegovim prihodom, da pa prijave ne more podati in da naj gre na policijo pri občini (PP MB I). Tako prijave pritožnika ni hotel nihče sprejeti. Pri poslušanju posnetka govorne komunikacije (poročevalec je sestavil tudi uradni zaznamek o prepisu te komunikacije) je slišati, da je pritožnik operaterki OKC PU Maribor povedal, da ga je policist udaril z »</w:t>
            </w:r>
            <w:proofErr w:type="spellStart"/>
            <w:r w:rsidRPr="00371FBD">
              <w:rPr>
                <w:rFonts w:eastAsia="Arial" w:cs="Times New Roman"/>
                <w:sz w:val="16"/>
                <w:szCs w:val="20"/>
                <w:lang w:eastAsia="sl-SI"/>
              </w:rPr>
              <w:t>bokserom</w:t>
            </w:r>
            <w:proofErr w:type="spellEnd"/>
            <w:r w:rsidRPr="00371FBD">
              <w:rPr>
                <w:rFonts w:eastAsia="Arial" w:cs="Times New Roman"/>
                <w:sz w:val="16"/>
                <w:szCs w:val="20"/>
                <w:lang w:eastAsia="sl-SI"/>
              </w:rPr>
              <w:t xml:space="preserve">, </w:t>
            </w:r>
            <w:proofErr w:type="spellStart"/>
            <w:r w:rsidRPr="00371FBD">
              <w:rPr>
                <w:rFonts w:eastAsia="Arial" w:cs="Times New Roman"/>
                <w:sz w:val="16"/>
                <w:szCs w:val="20"/>
                <w:lang w:eastAsia="sl-SI"/>
              </w:rPr>
              <w:t>sa</w:t>
            </w:r>
            <w:proofErr w:type="spellEnd"/>
            <w:r w:rsidRPr="00371FBD">
              <w:rPr>
                <w:rFonts w:eastAsia="Arial" w:cs="Times New Roman"/>
                <w:sz w:val="16"/>
                <w:szCs w:val="20"/>
                <w:lang w:eastAsia="sl-SI"/>
              </w:rPr>
              <w:t xml:space="preserve"> </w:t>
            </w:r>
            <w:proofErr w:type="spellStart"/>
            <w:r w:rsidRPr="00371FBD">
              <w:rPr>
                <w:rFonts w:eastAsia="Arial" w:cs="Times New Roman"/>
                <w:sz w:val="16"/>
                <w:szCs w:val="20"/>
                <w:lang w:eastAsia="sl-SI"/>
              </w:rPr>
              <w:t>odprtom</w:t>
            </w:r>
            <w:proofErr w:type="spellEnd"/>
            <w:r w:rsidRPr="00371FBD">
              <w:rPr>
                <w:rFonts w:eastAsia="Arial" w:cs="Times New Roman"/>
                <w:sz w:val="16"/>
                <w:szCs w:val="20"/>
                <w:lang w:eastAsia="sl-SI"/>
              </w:rPr>
              <w:t xml:space="preserve"> </w:t>
            </w:r>
            <w:proofErr w:type="spellStart"/>
            <w:r w:rsidRPr="00371FBD">
              <w:rPr>
                <w:rFonts w:eastAsia="Arial" w:cs="Times New Roman"/>
                <w:sz w:val="16"/>
                <w:szCs w:val="20"/>
                <w:lang w:eastAsia="sl-SI"/>
              </w:rPr>
              <w:t>šakom</w:t>
            </w:r>
            <w:proofErr w:type="spellEnd"/>
            <w:r w:rsidRPr="00371FBD">
              <w:rPr>
                <w:rFonts w:eastAsia="Arial" w:cs="Times New Roman"/>
                <w:sz w:val="16"/>
                <w:szCs w:val="20"/>
                <w:lang w:eastAsia="sl-SI"/>
              </w:rPr>
              <w:t xml:space="preserve">«, in dodatno dopolnil navedbe, da ga je »s </w:t>
            </w:r>
            <w:proofErr w:type="spellStart"/>
            <w:r w:rsidRPr="00371FBD">
              <w:rPr>
                <w:rFonts w:eastAsia="Arial" w:cs="Times New Roman"/>
                <w:sz w:val="16"/>
                <w:szCs w:val="20"/>
                <w:lang w:eastAsia="sl-SI"/>
              </w:rPr>
              <w:t>pešico</w:t>
            </w:r>
            <w:proofErr w:type="spellEnd"/>
            <w:r w:rsidRPr="00371FBD">
              <w:rPr>
                <w:rFonts w:eastAsia="Arial" w:cs="Times New Roman"/>
                <w:sz w:val="16"/>
                <w:szCs w:val="20"/>
                <w:lang w:eastAsia="sl-SI"/>
              </w:rPr>
              <w:t xml:space="preserve"> u predel glave, da mu je tudi ura </w:t>
            </w:r>
            <w:proofErr w:type="spellStart"/>
            <w:r w:rsidRPr="00371FBD">
              <w:rPr>
                <w:rFonts w:eastAsia="Arial" w:cs="Times New Roman"/>
                <w:sz w:val="16"/>
                <w:szCs w:val="20"/>
                <w:lang w:eastAsia="sl-SI"/>
              </w:rPr>
              <w:t>polamana</w:t>
            </w:r>
            <w:proofErr w:type="spellEnd"/>
            <w:r w:rsidRPr="00371FBD">
              <w:rPr>
                <w:rFonts w:eastAsia="Arial" w:cs="Times New Roman"/>
                <w:sz w:val="16"/>
                <w:szCs w:val="20"/>
                <w:lang w:eastAsia="sl-SI"/>
              </w:rPr>
              <w:t xml:space="preserve">« in da pritožbe ni mogel podati. Na vprašanje operaterke, kaj želi podati, je pritožnik nedvoumno odgovoril, da ovadbo. Operaterka mu je v nadaljevanju pogovora dejala, da je najbolje, da gre naslednji dan zjutraj ali isti dan na policijsko postajo (pri sodišču – </w:t>
            </w:r>
            <w:proofErr w:type="spellStart"/>
            <w:r w:rsidRPr="00371FBD">
              <w:rPr>
                <w:rFonts w:eastAsia="Arial" w:cs="Times New Roman"/>
                <w:sz w:val="16"/>
                <w:szCs w:val="20"/>
                <w:lang w:eastAsia="sl-SI"/>
              </w:rPr>
              <w:t>t.j</w:t>
            </w:r>
            <w:proofErr w:type="spellEnd"/>
            <w:r w:rsidRPr="00371FBD">
              <w:rPr>
                <w:rFonts w:eastAsia="Arial" w:cs="Times New Roman"/>
                <w:sz w:val="16"/>
                <w:szCs w:val="20"/>
                <w:lang w:eastAsia="sl-SI"/>
              </w:rPr>
              <w:t xml:space="preserve">. PP Maribor I) z vsemi papirji. Policistka, ki je takrat opravljala delo operaterke OKC, je v razgovoru povedala, da je bil klic posvetovalne narave in ni spadal med dogodke, zaradi katerih je potrebno takojšnje obveščanje v povezavi s 5. členom Pravil o obveščanju in periodičnem poročanju v Policiji in ni šlo za interventni dogodek, saj je klicatelj želel samo nasvet. Pojasnila mu je tudi postopek pritožbe nad delom policije in ga napotila na policijsko postajo (po obravnavi v UKC). V zvezi z obravnavanim klicem ni bil opravljen zapis v evidenco dogodkov. Glede na navedeno je bilo ugotovljeno, da policistka - operaterka, ki je prevzela klic na 113, ni ravnala v skladu z Usmeritvami o obveščanju, poročanju in evidentiranju odklonskih ravnanj, pojavov in tveganj ter ukrepov za zagotavljanje notranje varnosti v policiji. Slednje v 5. členu določajo, da če policija prejme </w:t>
            </w:r>
            <w:r w:rsidRPr="00371FBD">
              <w:rPr>
                <w:rFonts w:eastAsia="Arial" w:cs="Times New Roman"/>
                <w:sz w:val="16"/>
                <w:szCs w:val="20"/>
                <w:lang w:eastAsia="sl-SI"/>
              </w:rPr>
              <w:lastRenderedPageBreak/>
              <w:t xml:space="preserve">ovadbo ali sama zazna razloge za sum, da je policist storil kaznivo dejanje, za katero se storilec preganja po uradni dolžnosti, o tem takoj obvesti posebni oddelek. Slednjega o ovadbi ali zaznavi obvesti enota, ki je pristojna za notranjo varnost, ali operativno-komunikacijski center generalne policijske uprave. Navedene usmeritve izrecno v 9. členu določajo še, da kaznivo dejanje, ki ga je osumljen uslužbenec policije, v skladu z navodili o evidentiranju kaznivih dejanj evidentira policijska enota, ki je ugotovila razloge za sum, da je bilo strojeno kaznivo dejanje. Ker policistka klica pritožnika ni vpisala v dnevnik dogodkov OKC, in ni sprejela naznanila kaznivega dejanja, ter nadalje obvestila dežurnega uslužbenca oddelka za notranje preiskave SD PU, ki bi v skladu z usmeritvami obveščal še Specializirano državno tožilstvo, je bil zaradi opustitev dejanj policistke kršen še Dogovor o medsebojnem sodelovanju policije in posebnega oddelka. Na podlagi slednjega bi morala policija ob podanih razlogih za sum, da je uradna oseba, zaposlena v Policiji storila kaznivo dejanje, za katerega se storilec preganja po uradni dolžnosti, takoj obvestiti Posebni oddelek SDT in mu odstopiti vso pisno razpoložljivo gradivo ter na zahtevo državnega tožilca Posebnega oddelka izvesti vse nujne ukrepe za zavarovanje dokazov in policistom posebnega oddelka nuditi tehnično in strokovno pomoč ter na morebitno zahtevo posebnega oddelka posredovati pisno gradivo in podatke iz evidenc policije. Zaradi opustitev dejanj policistke – takrat operaterke OKC PU Maribor niso bili odrejeni in izvedeni prvi nujni ukrepi, ki morajo biti izvedeni ob takšni naznanitvi kaznivega dejanja uslužbenca policije. Pritožnik je ravnal po navodilih policistke in se napotil na PP Maribor I, kjer prav tako niso sprejeli pritožnikove prijave (ovadbe, niti pritožbe, kar je sicer navajala njegova žena) in so ga napotili na PPP Maribor, od tam pa nazaj na PP Maribor I. Glede na sosledje dogodkov in izpoved pritožnika in njegove žene (ki je podrobno opisala okoliščine prijave na PP Maribor I in na PPP Maribor) ter zanikanju policistov, da je pritožnik želel podati ovadbo oz. sploh bil na PPP MB, je senat bolj verjel izpovedi pritožnika oz. njegovi ženi. Nedvoumno je, da je pritožnik jasno namero po vložitvi ovadbe izkazal že ob klicu na 113, in je nadalje ravnal v skladu z napotitvijo policistke OKC. Poleg kršitev navedenih usmeritev oz. dogovora sta tudi dežurna policista PP Maribor I in PPP Maribor kršila še Pravila policije, ki v 84. členu določajo, da dežurni vpisuje sporočila, obvestila, naročila, ugotovitve in ukrepe v svoje poročilo ter dopolnjuje dnevnik </w:t>
            </w:r>
            <w:r w:rsidRPr="00371FBD">
              <w:rPr>
                <w:rFonts w:eastAsia="Arial" w:cs="Times New Roman"/>
                <w:sz w:val="16"/>
                <w:szCs w:val="20"/>
                <w:lang w:eastAsia="sl-SI"/>
              </w:rPr>
              <w:lastRenderedPageBreak/>
              <w:t xml:space="preserve">dogodkov OKC s časovnimi podatki o poteku posameznih dogodkov in izvedbi posameznih ukrepov. Senat je potrdil pritožnikove navedbe, ki jih je podkrepila njegova žena v razgovorih pri poročevalcu in tudi bolj prepričljivo izkazala njihov obisk in namero na PP MB 1 in PPP MB, kot policisti, ki samo trdijo, da jih ni nihče obiskal oz. se ne spomnijo, da bi podajali ovadbo, zato je soglasno odločil, da je tretji pritožbeni razlog utemeljen.                       </w:t>
            </w:r>
          </w:p>
          <w:p w:rsidR="00371FBD" w:rsidRPr="00371FBD" w:rsidRDefault="00371FBD" w:rsidP="00371FBD">
            <w:pPr>
              <w:jc w:val="right"/>
              <w:rPr>
                <w:rFonts w:eastAsia="Arial" w:cs="Times New Roman"/>
                <w:szCs w:val="20"/>
                <w:lang w:eastAsia="sl-SI"/>
              </w:rPr>
            </w:pPr>
            <w:r w:rsidRPr="00371FBD">
              <w:rPr>
                <w:rFonts w:eastAsia="Arial" w:cs="Times New Roman"/>
                <w:sz w:val="16"/>
                <w:szCs w:val="20"/>
                <w:lang w:eastAsia="sl-SI"/>
              </w:rPr>
              <w:t>DA</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lastRenderedPageBreak/>
              <w:t>DA</w:t>
            </w:r>
          </w:p>
        </w:tc>
      </w:tr>
      <w:tr w:rsidR="00371FBD" w:rsidRPr="00371FBD" w:rsidTr="00B830BD">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lastRenderedPageBreak/>
              <w:t>3</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 opustitev dejanja policista in nerazumno dolgo reševanje prijavljenega kaznivega dejanja in nepravočasno obveščanje pristojnega državnega tožilstva (22. člen Ustave RS - enako varstvo  pravic).</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16. 12. 2024</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9. 10. 2025</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2600-601/2024</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t>PU KOPER</w:t>
            </w:r>
          </w:p>
        </w:tc>
        <w:tc>
          <w:tcPr>
            <w:tcW w:w="0" w:type="auto"/>
          </w:tcPr>
          <w:p w:rsidR="00371FBD" w:rsidRPr="00371FBD" w:rsidRDefault="00371FBD" w:rsidP="00371FBD">
            <w:pPr>
              <w:jc w:val="left"/>
              <w:rPr>
                <w:rFonts w:eastAsia="Arial" w:cs="Times New Roman"/>
                <w:sz w:val="16"/>
                <w:szCs w:val="20"/>
                <w:lang w:eastAsia="sl-SI"/>
              </w:rPr>
            </w:pPr>
            <w:r w:rsidRPr="00371FBD">
              <w:rPr>
                <w:rFonts w:eastAsia="Arial" w:cs="Times New Roman"/>
                <w:sz w:val="16"/>
                <w:szCs w:val="20"/>
                <w:lang w:eastAsia="sl-SI"/>
              </w:rPr>
              <w:t xml:space="preserve">Na podlagi celotne pritožbene dokumentacije in slišanega na seji senata, je bilo ugotovljeno, da je policist na podlagi določil četrtega člena </w:t>
            </w:r>
            <w:proofErr w:type="spellStart"/>
            <w:r w:rsidRPr="00371FBD">
              <w:rPr>
                <w:rFonts w:eastAsia="Arial" w:cs="Times New Roman"/>
                <w:sz w:val="16"/>
                <w:szCs w:val="20"/>
                <w:lang w:eastAsia="sl-SI"/>
              </w:rPr>
              <w:t>ZNPPol</w:t>
            </w:r>
            <w:proofErr w:type="spellEnd"/>
            <w:r w:rsidRPr="00371FBD">
              <w:rPr>
                <w:rFonts w:eastAsia="Arial" w:cs="Times New Roman"/>
                <w:sz w:val="16"/>
                <w:szCs w:val="20"/>
                <w:lang w:eastAsia="sl-SI"/>
              </w:rPr>
              <w:t xml:space="preserve"> opravljal naloge policije iz 2. alineje prvega odstavka 4. člena </w:t>
            </w:r>
            <w:proofErr w:type="spellStart"/>
            <w:r w:rsidRPr="00371FBD">
              <w:rPr>
                <w:rFonts w:eastAsia="Arial" w:cs="Times New Roman"/>
                <w:sz w:val="16"/>
                <w:szCs w:val="20"/>
                <w:lang w:eastAsia="sl-SI"/>
              </w:rPr>
              <w:t>ZNPPol</w:t>
            </w:r>
            <w:proofErr w:type="spellEnd"/>
            <w:r w:rsidRPr="00371FBD">
              <w:rPr>
                <w:rFonts w:eastAsia="Arial" w:cs="Times New Roman"/>
                <w:sz w:val="16"/>
                <w:szCs w:val="20"/>
                <w:lang w:eastAsia="sl-SI"/>
              </w:rPr>
              <w:t xml:space="preserve">. SKP PU Koper je z dopisom e-naznanilo kaznivega dejanja odstopilo v nadaljnje reševanje PP Koper. Policistu je bila predmetna ovadba dodeljena v reševanje 26. 5. 2024. V zgoraj navedenem odstopnem dopisu SKP PU Koper so bila zapisana natančna navodila, kako postopati v nadaljevanju. Iz celotne dokumentacije in slišanega na seji senata izhaja, da policist ni upošteval zgoraj navedenih navodil, ki so med drugim zahtevala posvet z državnim tožilcem, kontaktiranje prijavitelja in seznanitev z ugotovitvami. Pri nadaljnjem pregledu dokumentacije je bilo ugotovljeno, da je od 30. 5. 2024 do 10. 6. 2024 policist opravil večino preiskovalnih dejanj obravnavanega kaznivega dejanja, razen zaslišanja osumljenca. Policist je navedel, da je osumljenega večkrat iskal na naslovu odvetniške pisarne, ga klical po telefonu na številko, objavljeno na vratih pisarne in spletu, vendar se mu na klice ni oglasil. Čeprav zakon policistu omogoča, da se najprej posluži hitrejših in manj formalnih metod, kot so telefonski klici ali osebno vročanje vabila, so te metode učinkovite le, če dosežejo želen izid v kratkem času. Torej, ko je policist ugotovil, da je tako iskanje osumljenca neučinkovito, saj ni pripeljalo do zbiranja obvestil oz. zaslišanja v razumnem času, bi mu moral poslati pisno vabilo. S tem bi zagotovil, da se zaradi neustreznega vabljenja postopek ne bi vlekel več mesecev. Tako policist ni ravnal v skladu z določili četrtega odstavka 147. člena ZKP, ki določa, če gre za kaznivo dejanje, glede katerega ni predpisano obvezno obveščanje državnega tožilca pred podajo ovadbe, pošlje policija ovadbo državnemu tožilcu šele potem, ko zbere obvestila in opravi druge ukrepe, ki so potrebni za odločitev državnega tožilca, vendar </w:t>
            </w:r>
            <w:r w:rsidRPr="00371FBD">
              <w:rPr>
                <w:rFonts w:eastAsia="Arial" w:cs="Times New Roman"/>
                <w:sz w:val="16"/>
                <w:szCs w:val="20"/>
                <w:lang w:eastAsia="sl-SI"/>
              </w:rPr>
              <w:lastRenderedPageBreak/>
              <w:t xml:space="preserve">najkasneje v 30 dneh od podaje ovadbe. V kolikor bi policist ravnal po naročilih SKP PU Koper, bi bil primer preiskovan v skladu s kriminalistično stroko in zakonom, tako pa temu ni bilo tako. Iz vsega navedenega senat pritrjuje pritožnikovemu očitku, da mu je policist z opustitvijo dolžnih ravnanj kratil človekove pravice in temeljne svoboščine.   </w:t>
            </w:r>
          </w:p>
          <w:p w:rsidR="00371FBD" w:rsidRPr="00371FBD" w:rsidRDefault="00371FBD" w:rsidP="00371FBD">
            <w:pPr>
              <w:jc w:val="right"/>
              <w:rPr>
                <w:rFonts w:eastAsia="Arial" w:cs="Times New Roman"/>
                <w:szCs w:val="20"/>
                <w:lang w:eastAsia="sl-SI"/>
              </w:rPr>
            </w:pPr>
            <w:r w:rsidRPr="00371FBD">
              <w:rPr>
                <w:rFonts w:eastAsia="Arial" w:cs="Times New Roman"/>
                <w:sz w:val="16"/>
                <w:szCs w:val="20"/>
                <w:lang w:eastAsia="sl-SI"/>
              </w:rPr>
              <w:t>DA</w:t>
            </w:r>
          </w:p>
        </w:tc>
        <w:tc>
          <w:tcPr>
            <w:tcW w:w="0" w:type="auto"/>
          </w:tcPr>
          <w:p w:rsidR="00371FBD" w:rsidRPr="00371FBD" w:rsidRDefault="00371FBD" w:rsidP="00371FBD">
            <w:pPr>
              <w:jc w:val="left"/>
              <w:rPr>
                <w:rFonts w:eastAsia="Arial" w:cs="Times New Roman"/>
                <w:szCs w:val="20"/>
                <w:lang w:eastAsia="sl-SI"/>
              </w:rPr>
            </w:pPr>
            <w:r w:rsidRPr="00371FBD">
              <w:rPr>
                <w:rFonts w:eastAsia="Arial" w:cs="Times New Roman"/>
                <w:sz w:val="16"/>
                <w:szCs w:val="20"/>
                <w:lang w:eastAsia="sl-SI"/>
              </w:rPr>
              <w:lastRenderedPageBreak/>
              <w:t>DA</w:t>
            </w:r>
          </w:p>
        </w:tc>
      </w:tr>
    </w:tbl>
    <w:p w:rsidR="00371FBD" w:rsidRPr="00371FBD" w:rsidRDefault="00371FBD" w:rsidP="00371FBD">
      <w:pPr>
        <w:jc w:val="left"/>
        <w:rPr>
          <w:rFonts w:eastAsia="Arial" w:cs="Times New Roman"/>
          <w:szCs w:val="20"/>
          <w:lang w:eastAsia="sl-SI"/>
        </w:rPr>
      </w:pPr>
    </w:p>
    <w:p w:rsidR="002916A7" w:rsidRDefault="00371FBD">
      <w:bookmarkStart w:id="0" w:name="_GoBack"/>
      <w:bookmarkEnd w:id="0"/>
    </w:p>
    <w:sectPr w:rsidR="002916A7">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BD"/>
    <w:rsid w:val="00077398"/>
    <w:rsid w:val="001158B9"/>
    <w:rsid w:val="0016779B"/>
    <w:rsid w:val="00334DC0"/>
    <w:rsid w:val="00345683"/>
    <w:rsid w:val="00371FBD"/>
    <w:rsid w:val="005B084F"/>
    <w:rsid w:val="007840E4"/>
    <w:rsid w:val="00C35498"/>
    <w:rsid w:val="00E3096B"/>
    <w:rsid w:val="00EF3C2F"/>
    <w:rsid w:val="00FB38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5F2E5-EFF3-4CBF-BC51-180192EB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096B"/>
    <w:pPr>
      <w:spacing w:after="0" w:line="240" w:lineRule="auto"/>
      <w:jc w:val="both"/>
    </w:pPr>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15002</Characters>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2025-11-04T06:39:00Z</dcterms:created>
  <dcterms:modified xsi:type="dcterms:W3CDTF">2025-11-04T06:40:00Z</dcterms:modified>
</cp:coreProperties>
</file>