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90" w:rsidRDefault="00DB3890" w:rsidP="00DB3890">
      <w:r>
        <w:rPr>
          <w:b/>
        </w:rPr>
        <w:t>FEBRUAR 2026 - PRITOŽBE ZOPER POLICISTE ZAKLJUČENE NA SEJI SENATA MNZ</w:t>
      </w:r>
      <w:r>
        <w:rPr>
          <w:b/>
        </w:rPr>
        <w:br/>
      </w:r>
    </w:p>
    <w:tbl>
      <w:tblPr>
        <w:tblW w:w="11520" w:type="auto"/>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443"/>
        <w:gridCol w:w="2941"/>
        <w:gridCol w:w="844"/>
        <w:gridCol w:w="742"/>
        <w:gridCol w:w="916"/>
        <w:gridCol w:w="1131"/>
        <w:gridCol w:w="4868"/>
        <w:gridCol w:w="1021"/>
      </w:tblGrid>
      <w:tr w:rsidR="00DB3890" w:rsidTr="000E1D0D">
        <w:tc>
          <w:tcPr>
            <w:tcW w:w="720" w:type="dxa"/>
            <w:vMerge w:val="restart"/>
            <w:shd w:val="clear" w:color="auto" w:fill="C8C800"/>
          </w:tcPr>
          <w:p w:rsidR="00DB3890" w:rsidRDefault="00DB3890" w:rsidP="000E1D0D">
            <w:pPr>
              <w:jc w:val="center"/>
            </w:pPr>
            <w:r>
              <w:rPr>
                <w:b/>
                <w:sz w:val="16"/>
              </w:rPr>
              <w:t>Št.</w:t>
            </w:r>
          </w:p>
        </w:tc>
        <w:tc>
          <w:tcPr>
            <w:tcW w:w="1440" w:type="dxa"/>
            <w:vMerge w:val="restart"/>
            <w:shd w:val="clear" w:color="auto" w:fill="C8C800"/>
          </w:tcPr>
          <w:p w:rsidR="00DB3890" w:rsidRDefault="00DB3890" w:rsidP="000E1D0D">
            <w:pPr>
              <w:jc w:val="center"/>
            </w:pPr>
            <w:r>
              <w:rPr>
                <w:b/>
                <w:sz w:val="16"/>
              </w:rPr>
              <w:t>Pritožbeni razlogi</w:t>
            </w:r>
          </w:p>
        </w:tc>
        <w:tc>
          <w:tcPr>
            <w:tcW w:w="720" w:type="dxa"/>
            <w:vMerge w:val="restart"/>
            <w:shd w:val="clear" w:color="auto" w:fill="C8C800"/>
          </w:tcPr>
          <w:p w:rsidR="00DB3890" w:rsidRDefault="00DB3890" w:rsidP="000E1D0D">
            <w:pPr>
              <w:jc w:val="center"/>
            </w:pPr>
            <w:r>
              <w:rPr>
                <w:b/>
                <w:sz w:val="16"/>
              </w:rPr>
              <w:t>Datum pritožbe</w:t>
            </w:r>
          </w:p>
        </w:tc>
        <w:tc>
          <w:tcPr>
            <w:tcW w:w="720" w:type="dxa"/>
            <w:vMerge w:val="restart"/>
            <w:shd w:val="clear" w:color="auto" w:fill="C8C800"/>
          </w:tcPr>
          <w:p w:rsidR="00DB3890" w:rsidRDefault="00DB3890" w:rsidP="000E1D0D">
            <w:pPr>
              <w:jc w:val="center"/>
            </w:pPr>
            <w:r>
              <w:rPr>
                <w:b/>
                <w:sz w:val="16"/>
              </w:rPr>
              <w:t>Datum senata</w:t>
            </w:r>
          </w:p>
        </w:tc>
        <w:tc>
          <w:tcPr>
            <w:tcW w:w="720" w:type="dxa"/>
            <w:vMerge w:val="restart"/>
            <w:shd w:val="clear" w:color="auto" w:fill="C8C800"/>
          </w:tcPr>
          <w:p w:rsidR="00DB3890" w:rsidRDefault="00DB3890" w:rsidP="000E1D0D">
            <w:pPr>
              <w:jc w:val="center"/>
            </w:pPr>
            <w:r>
              <w:rPr>
                <w:b/>
                <w:sz w:val="16"/>
              </w:rPr>
              <w:t>Št. zadeve</w:t>
            </w:r>
          </w:p>
        </w:tc>
        <w:tc>
          <w:tcPr>
            <w:tcW w:w="0" w:type="auto"/>
            <w:gridSpan w:val="3"/>
            <w:shd w:val="clear" w:color="auto" w:fill="C8C800"/>
          </w:tcPr>
          <w:p w:rsidR="00DB3890" w:rsidRDefault="00DB3890" w:rsidP="000E1D0D">
            <w:pPr>
              <w:jc w:val="center"/>
            </w:pPr>
            <w:r>
              <w:rPr>
                <w:b/>
                <w:sz w:val="16"/>
              </w:rPr>
              <w:t>ODLOČITEV SENATA</w:t>
            </w:r>
          </w:p>
        </w:tc>
      </w:tr>
      <w:tr w:rsidR="00DB3890" w:rsidTr="000E1D0D">
        <w:tc>
          <w:tcPr>
            <w:tcW w:w="0" w:type="auto"/>
            <w:vMerge/>
          </w:tcPr>
          <w:p w:rsidR="00DB3890" w:rsidRDefault="00DB3890" w:rsidP="000E1D0D"/>
        </w:tc>
        <w:tc>
          <w:tcPr>
            <w:tcW w:w="0" w:type="auto"/>
            <w:vMerge/>
          </w:tcPr>
          <w:p w:rsidR="00DB3890" w:rsidRDefault="00DB3890" w:rsidP="000E1D0D"/>
        </w:tc>
        <w:tc>
          <w:tcPr>
            <w:tcW w:w="0" w:type="auto"/>
            <w:vMerge/>
          </w:tcPr>
          <w:p w:rsidR="00DB3890" w:rsidRDefault="00DB3890" w:rsidP="000E1D0D"/>
        </w:tc>
        <w:tc>
          <w:tcPr>
            <w:tcW w:w="0" w:type="auto"/>
            <w:vMerge/>
          </w:tcPr>
          <w:p w:rsidR="00DB3890" w:rsidRDefault="00DB3890" w:rsidP="000E1D0D"/>
        </w:tc>
        <w:tc>
          <w:tcPr>
            <w:tcW w:w="0" w:type="auto"/>
            <w:vMerge/>
          </w:tcPr>
          <w:p w:rsidR="00DB3890" w:rsidRDefault="00DB3890" w:rsidP="000E1D0D"/>
        </w:tc>
        <w:tc>
          <w:tcPr>
            <w:tcW w:w="1440" w:type="dxa"/>
            <w:shd w:val="clear" w:color="auto" w:fill="C8C800"/>
          </w:tcPr>
          <w:p w:rsidR="00DB3890" w:rsidRDefault="00DB3890" w:rsidP="000E1D0D">
            <w:pPr>
              <w:jc w:val="center"/>
            </w:pPr>
            <w:r>
              <w:rPr>
                <w:b/>
                <w:sz w:val="16"/>
              </w:rPr>
              <w:t>Policijska uprava</w:t>
            </w:r>
          </w:p>
        </w:tc>
        <w:tc>
          <w:tcPr>
            <w:tcW w:w="7200" w:type="dxa"/>
            <w:shd w:val="clear" w:color="auto" w:fill="C8C800"/>
          </w:tcPr>
          <w:p w:rsidR="00DB3890" w:rsidRDefault="00DB3890" w:rsidP="000E1D0D">
            <w:pPr>
              <w:jc w:val="center"/>
            </w:pPr>
            <w:r>
              <w:rPr>
                <w:b/>
                <w:sz w:val="16"/>
              </w:rPr>
              <w:t>Kratka vsebina</w:t>
            </w:r>
          </w:p>
        </w:tc>
        <w:tc>
          <w:tcPr>
            <w:tcW w:w="1440" w:type="dxa"/>
            <w:shd w:val="clear" w:color="auto" w:fill="C8C800"/>
          </w:tcPr>
          <w:p w:rsidR="00DB3890" w:rsidRDefault="00DB3890" w:rsidP="000E1D0D">
            <w:pPr>
              <w:jc w:val="center"/>
            </w:pPr>
            <w:r>
              <w:rPr>
                <w:b/>
                <w:sz w:val="16"/>
              </w:rPr>
              <w:t>Utemeljen (DA/NE)</w:t>
            </w:r>
          </w:p>
        </w:tc>
      </w:tr>
      <w:tr w:rsidR="00DB3890" w:rsidTr="000E1D0D">
        <w:tc>
          <w:tcPr>
            <w:tcW w:w="0" w:type="auto"/>
          </w:tcPr>
          <w:p w:rsidR="00DB3890" w:rsidRDefault="00DB3890" w:rsidP="000E1D0D">
            <w:r>
              <w:rPr>
                <w:sz w:val="16"/>
              </w:rPr>
              <w:t>1</w:t>
            </w:r>
          </w:p>
        </w:tc>
        <w:tc>
          <w:tcPr>
            <w:tcW w:w="0" w:type="auto"/>
          </w:tcPr>
          <w:p w:rsidR="00DB3890" w:rsidRDefault="00DB3890" w:rsidP="000E1D0D">
            <w:r>
              <w:rPr>
                <w:sz w:val="16"/>
              </w:rPr>
              <w:t>- neupravičena in groba uporaba prisilnih sredstev (34. člen Ustave Republike Slovenije – pravica do osebnega jamstva in varnosti)</w:t>
            </w:r>
          </w:p>
        </w:tc>
        <w:tc>
          <w:tcPr>
            <w:tcW w:w="0" w:type="auto"/>
          </w:tcPr>
          <w:p w:rsidR="00DB3890" w:rsidRDefault="00DB3890" w:rsidP="000E1D0D">
            <w:r>
              <w:rPr>
                <w:sz w:val="16"/>
              </w:rPr>
              <w:t>4. 10. 2025</w:t>
            </w:r>
          </w:p>
        </w:tc>
        <w:tc>
          <w:tcPr>
            <w:tcW w:w="0" w:type="auto"/>
          </w:tcPr>
          <w:p w:rsidR="00DB3890" w:rsidRDefault="00DB3890" w:rsidP="000E1D0D">
            <w:r>
              <w:rPr>
                <w:sz w:val="16"/>
              </w:rPr>
              <w:t>4. 2. 2026</w:t>
            </w:r>
          </w:p>
        </w:tc>
        <w:tc>
          <w:tcPr>
            <w:tcW w:w="0" w:type="auto"/>
          </w:tcPr>
          <w:p w:rsidR="00DB3890" w:rsidRDefault="00DB3890" w:rsidP="000E1D0D">
            <w:r>
              <w:rPr>
                <w:sz w:val="16"/>
              </w:rPr>
              <w:t>2600-463/2024</w:t>
            </w:r>
          </w:p>
        </w:tc>
        <w:tc>
          <w:tcPr>
            <w:tcW w:w="0" w:type="auto"/>
          </w:tcPr>
          <w:p w:rsidR="00DB3890" w:rsidRDefault="00DB3890" w:rsidP="000E1D0D">
            <w:r>
              <w:rPr>
                <w:sz w:val="16"/>
              </w:rPr>
              <w:t>PU LJUBLJANA</w:t>
            </w:r>
          </w:p>
        </w:tc>
        <w:tc>
          <w:tcPr>
            <w:tcW w:w="0" w:type="auto"/>
          </w:tcPr>
          <w:p w:rsidR="00DB3890" w:rsidRDefault="00DB3890" w:rsidP="000E1D0D">
            <w:pPr>
              <w:rPr>
                <w:sz w:val="16"/>
              </w:rPr>
            </w:pPr>
            <w:r>
              <w:rPr>
                <w:sz w:val="16"/>
              </w:rPr>
              <w:t xml:space="preserve">Ugotovljeno je bilo, da OKC bil obveščen, da je prišlo do nasilja, in sicer, da je moški z roko udaril nosečo žensko v trebuh ter da potrebujejo reševalno vozilo, v ozadju se je slišalo kričanje. Na kraj postopka je prva prišla ena patrulja, v sestavi dveh policistov, kjer sta opazila, da se je kršitev JRM končala. Opazila sta skupino treh ljudi, ki so jima mahali. Ko sta policista izstopila iz vozila, so jima pokazali moškega, ki je udaril žensko, kateri je stal nekoliko oddaljen od njih. En policist je ostal pri skupini oseb, drug policist pa se je takoj napotil do moškega, ki je deloval vidno razburjen. Policist naj bi pritožnika že med hojo proti njemu večkrat opozoril naj se umiri. Poziv oziroma opozorilo, da se pritožnik umiri, naj bi policist med hojo večkrat ponovil, dokler ni prišel tik do pritožnika. Ko je policist prišel do pritožnika, ga je s svojo desno roko prijel za njegovo levo roko, z namenom, da ga umiri in z njim vzpostavi pomirjujoč stik. Po tem, ko je policist prijel pritožnika za njegovo levo roko z namenom pomiritve, je hotel pritožnik, z mahanjem z levo roko, ki jo je držal policist in v nadaljevanju še z desno roko, umakniti roko policista s svoje leve roke in mu istočasno govoril, naj ga spusti. Policist roke ni spustil, ampak jo je še vedno držal. To početje in mahanje z desno roko je videl policist iz druge patrulje, ki se je na kraj pripeljala nekaj minut kasneje. Policist je pritožnikovo ravnanje prepoznal kot aktivno upiranje, zaradi tega je policist uporabil prisilno sredstvo in sicer prijem za desno roko in zvijanjem le te na hrbet s pripravo za uporabo sredstev za vklepanje. Na uporabo prisilnih sredstev policista pritožnika zaradi navedenih okoliščin nista uspela opozoriti. Policist je z uporabo telesne sile umiril pritožnika. Nato pa je policist pritožniku ukazal naj se umiri, sicer bodo zoper njega uporabljena sredstva za vklepanje – lisice. V tem trenutku je pritožnik policistoma odgovoril, da je miren ter da naj mu ne zvijata desne roke, ker je imel operacijo, zaradi česar je policist spustil desno roko ter nato še drug  policist levo roku. Zoper pritožnika sredstva za vezanje – lisice, niso bila uporabljena, saj se je ob izreku ukaza pred uporabo le-teh dejansko umiril. Ko se je pritožnik umiril, sta policista začela policijski postopek ugotavljanja identitete. Pritožnik je bil z uporabo telesne sile obvladan brez vidnih poškodb, je pa tožil po bolečinah v desnem komolcu.  Iz pritožbene dokumentacije, izjav na seji senata in pridobljenih dokazov izhaja, da policist pritožnika dejansko ni seznanil o zakoniti policijski nalogi, prav tako ga ni opozoril na uporabo prisilnih sredstev v primeru da ukaza policista ne bo upošteval. Na podlagi ugotovitve dejanskega stanja je senat </w:t>
            </w:r>
            <w:r>
              <w:rPr>
                <w:sz w:val="16"/>
              </w:rPr>
              <w:lastRenderedPageBreak/>
              <w:t>pritrdil očitku pritožnika, da so bila prisilna sredstva uporabljena neupravičeno in nesorazmerno.</w:t>
            </w:r>
          </w:p>
          <w:p w:rsidR="00DB3890" w:rsidRDefault="00DB3890" w:rsidP="000E1D0D">
            <w:pPr>
              <w:jc w:val="right"/>
            </w:pPr>
            <w:r>
              <w:rPr>
                <w:sz w:val="16"/>
              </w:rPr>
              <w:t>DA</w:t>
            </w:r>
          </w:p>
        </w:tc>
        <w:tc>
          <w:tcPr>
            <w:tcW w:w="0" w:type="auto"/>
          </w:tcPr>
          <w:p w:rsidR="00DB3890" w:rsidRDefault="00DB3890" w:rsidP="000E1D0D">
            <w:r>
              <w:rPr>
                <w:sz w:val="16"/>
              </w:rPr>
              <w:lastRenderedPageBreak/>
              <w:t>DA</w:t>
            </w:r>
          </w:p>
        </w:tc>
      </w:tr>
      <w:tr w:rsidR="00DB3890" w:rsidTr="000E1D0D">
        <w:tc>
          <w:tcPr>
            <w:tcW w:w="0" w:type="auto"/>
          </w:tcPr>
          <w:p w:rsidR="00DB3890" w:rsidRDefault="00DB3890" w:rsidP="000E1D0D">
            <w:r>
              <w:rPr>
                <w:sz w:val="16"/>
              </w:rPr>
              <w:t>2</w:t>
            </w:r>
          </w:p>
        </w:tc>
        <w:tc>
          <w:tcPr>
            <w:tcW w:w="0" w:type="auto"/>
          </w:tcPr>
          <w:p w:rsidR="00DB3890" w:rsidRDefault="00DB3890" w:rsidP="000E1D0D">
            <w:pPr>
              <w:rPr>
                <w:sz w:val="16"/>
              </w:rPr>
            </w:pPr>
            <w:r>
              <w:rPr>
                <w:sz w:val="16"/>
              </w:rPr>
              <w:t xml:space="preserve">- opustitev nudenja zdravniške pomoči, saj policisti ob prihodu na kraj niso zagotovili zdravniške pomoči zaradi poškodb, ki jih je utrpel ob napadu nanj na prireditvenem prostoru - 22. členu Ustave RS, enako varstvo pravic,  </w:t>
            </w:r>
          </w:p>
          <w:p w:rsidR="00DB3890" w:rsidRDefault="00DB3890" w:rsidP="000E1D0D">
            <w:pPr>
              <w:rPr>
                <w:sz w:val="16"/>
              </w:rPr>
            </w:pPr>
            <w:r>
              <w:rPr>
                <w:sz w:val="16"/>
              </w:rPr>
              <w:t xml:space="preserve">- neustrezno zbiranje obvestil glede kaznivega dejanja oziroma prekrška, v katerem nastopa kot oškodovanec, ko so ga na prireditvenem prostoru preteple neznane osebe -  22. členu Ustave RS, enako varstvo pravic,  </w:t>
            </w:r>
          </w:p>
          <w:p w:rsidR="00DB3890" w:rsidRDefault="00DB3890" w:rsidP="000E1D0D">
            <w:pPr>
              <w:rPr>
                <w:sz w:val="16"/>
              </w:rPr>
            </w:pPr>
            <w:r>
              <w:rPr>
                <w:sz w:val="16"/>
              </w:rPr>
              <w:t xml:space="preserve">- nerazumno dolg postopek policistov, saj zaradi trajanja postopka ni mogel iskati zdravniške pomoči na urgenci - 22. členu Ustave RS, enako varstvo pravic,   </w:t>
            </w:r>
          </w:p>
          <w:p w:rsidR="00DB3890" w:rsidRDefault="00DB3890" w:rsidP="000E1D0D">
            <w:r>
              <w:rPr>
                <w:sz w:val="16"/>
              </w:rPr>
              <w:t>- uporaba prisilnih sredstev nepotrebna, prekomerna in neupravičena, pri uporabi prisilnih sredstev pa je bil telesno poškodovan - 34. členu Ustave RS, pravica do osebnega dostojanstva in varnosti.</w:t>
            </w:r>
          </w:p>
        </w:tc>
        <w:tc>
          <w:tcPr>
            <w:tcW w:w="0" w:type="auto"/>
          </w:tcPr>
          <w:p w:rsidR="00DB3890" w:rsidRDefault="00DB3890" w:rsidP="000E1D0D">
            <w:r>
              <w:rPr>
                <w:sz w:val="16"/>
              </w:rPr>
              <w:t>3. 2. 2025</w:t>
            </w:r>
          </w:p>
        </w:tc>
        <w:tc>
          <w:tcPr>
            <w:tcW w:w="0" w:type="auto"/>
          </w:tcPr>
          <w:p w:rsidR="00DB3890" w:rsidRDefault="00DB3890" w:rsidP="000E1D0D">
            <w:r>
              <w:rPr>
                <w:sz w:val="16"/>
              </w:rPr>
              <w:t>25. 2. 2026</w:t>
            </w:r>
          </w:p>
        </w:tc>
        <w:tc>
          <w:tcPr>
            <w:tcW w:w="0" w:type="auto"/>
          </w:tcPr>
          <w:p w:rsidR="00DB3890" w:rsidRDefault="00DB3890" w:rsidP="000E1D0D">
            <w:r>
              <w:rPr>
                <w:sz w:val="16"/>
              </w:rPr>
              <w:t>2600-52/2026</w:t>
            </w:r>
          </w:p>
        </w:tc>
        <w:tc>
          <w:tcPr>
            <w:tcW w:w="0" w:type="auto"/>
          </w:tcPr>
          <w:p w:rsidR="00DB3890" w:rsidRDefault="00DB3890" w:rsidP="000E1D0D">
            <w:r>
              <w:rPr>
                <w:sz w:val="16"/>
              </w:rPr>
              <w:t>PU LJUBLJANA</w:t>
            </w:r>
          </w:p>
        </w:tc>
        <w:tc>
          <w:tcPr>
            <w:tcW w:w="0" w:type="auto"/>
          </w:tcPr>
          <w:p w:rsidR="00DB3890" w:rsidRDefault="00DB3890" w:rsidP="000E1D0D">
            <w:pPr>
              <w:rPr>
                <w:sz w:val="16"/>
              </w:rPr>
            </w:pPr>
            <w:r>
              <w:rPr>
                <w:sz w:val="16"/>
              </w:rPr>
              <w:t>Pritožniku je bila ob klicu na 113, ko je naznanil, da je prijatelj poškodovan, ponujena zdravniška pomoč, katero je zavrnil (kar je slišano iz posnetka telefonskega klica). Pritožnik je bil ob prihodu policistov na kraj vidno poškodovan po obrazu, zaradi česar mu je bila ponujena zdravniška pomoč, katero je prav tako odklonil, prav tako v postopku in ob uporabi prisilnih sredstev, ni tožil po bolečinah in je ponujeno zdravniško pomoč odklonil. Med postopkom in tudi po uporabi prisilnih sredstev ni kazal ali omenjal bolečin v ramenu. Policisti na kraju intervenirali zaradi kršitve javnega reda in miru, katero je naznanil varnostnik in v kateri je bil. udeležen pritožnik in obravnavan kot kršitelj, zaradi česar, mu je bilo na kraju izdano obvestilo o prekršku in plačilni nalog. V postopku obravnave kršitve javnega reda in miru, mu je bila dana možnost, da se izjavi o očitanem prekršku. V podani izjavi je dejanja zanikal, ni pa predočil ali predlagal drugih dokazov. Policista sta pridobila dve izjavi prič, na podlagi katerih je bila izrečena globa za prekršek. Kjer pa je pritožnik nastopa kot oškodovanec, kar se nanaša na napad na prireditvenem prostoru pred prihodom policistov, pa prijava ni bila sprejeta, saj je bil seznanjen z možnostjo prijave, vendar je le to zavrnil. Prav tako je bil  seznanjen z možnostjo naknadne prijave prekrška ali kaznivega dejanja, na pristojni policijski postaji. Policisti so med obravnavo prve naznanjene kršitve, posredovali hkratno še v enem primeru in sicer so varnostnikom pomagati pri obvladovanju kršitelja. Tako so policisti na kraju, v zvezi kršitev javnega reda in miru, zbirali obvestila in dokaze, kar zajema opravljanje razgovorov, pridobivanje izjav od udeležencev in prič. Iz razloga uspešne in učinkovite ugotovitve ter razjasnitve vseh dejstev in okoliščin v postopku, morajo policisti na kraju ugotoviti status in vlogo udeleženih oseb. Zaradi navedenega so policisti upravičeno, le za nujno potreben čas, začasno omejili gibanje ter z njim izvedli postopek  Glede poškodbe ki jo je utrpel pritožnik, posledica uporabe prisilnega sredstva se dopušča možnost, da je poškodbo utrpel pri padcu, da je do poškodbe prišlo med prerivanjem pri točilnem pultu v notranjosti prireditve, kjer naj bi padel na tla in naj bi ga neznanci udarili in brcali. V nadaljevanju dopušča tudi možnost, da je do poškodbe prišlo v dogodku, kjer naj bi z desno roko za vrat prijel in povlekel drugo osebo, zaradi česar naj bi oba padla po tleh.</w:t>
            </w:r>
          </w:p>
          <w:p w:rsidR="00DB3890" w:rsidRDefault="00DB3890" w:rsidP="000E1D0D">
            <w:pPr>
              <w:jc w:val="right"/>
            </w:pPr>
            <w:r>
              <w:rPr>
                <w:sz w:val="16"/>
              </w:rPr>
              <w:t>NE</w:t>
            </w:r>
          </w:p>
        </w:tc>
        <w:tc>
          <w:tcPr>
            <w:tcW w:w="0" w:type="auto"/>
          </w:tcPr>
          <w:p w:rsidR="00DB3890" w:rsidRDefault="00DB3890" w:rsidP="000E1D0D">
            <w:r>
              <w:rPr>
                <w:sz w:val="16"/>
              </w:rPr>
              <w:t>NE</w:t>
            </w:r>
          </w:p>
        </w:tc>
      </w:tr>
    </w:tbl>
    <w:p w:rsidR="00DB3890" w:rsidRDefault="00DB3890" w:rsidP="00DB3890"/>
    <w:p w:rsidR="00F86DE4" w:rsidRDefault="00F86DE4">
      <w:bookmarkStart w:id="0" w:name="_GoBack"/>
      <w:bookmarkEnd w:id="0"/>
    </w:p>
    <w:sectPr w:rsidR="00F86DE4">
      <w:pgSz w:w="15840" w:h="12240" w:orient="landscape"/>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90"/>
    <w:rsid w:val="00DB3890"/>
    <w:rsid w:val="00F86D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7D7E6-5AA3-478D-B016-1D801180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B3890"/>
    <w:pPr>
      <w:spacing w:after="0" w:line="240" w:lineRule="auto"/>
    </w:pPr>
    <w:rPr>
      <w:rFonts w:ascii="Arial" w:eastAsia="Arial"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2026-03-11T12:31:00Z</dcterms:created>
  <dcterms:modified xsi:type="dcterms:W3CDTF">2026-03-11T12:31:00Z</dcterms:modified>
</cp:coreProperties>
</file>