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65113B" w:rsidRDefault="00A43B2B" w:rsidP="0065113B">
      <w:pPr>
        <w:spacing w:line="276" w:lineRule="auto"/>
        <w:rPr>
          <w:rFonts w:ascii="Arial" w:hAnsi="Arial" w:cs="Arial"/>
          <w:b/>
          <w:sz w:val="18"/>
          <w:szCs w:val="18"/>
        </w:rPr>
      </w:pPr>
      <w:r w:rsidRPr="0065113B">
        <w:rPr>
          <w:rFonts w:ascii="Arial" w:hAnsi="Arial" w:cs="Arial"/>
          <w:b/>
          <w:sz w:val="18"/>
          <w:szCs w:val="18"/>
          <w:u w:val="single"/>
        </w:rPr>
        <w:t>JULIJ</w:t>
      </w:r>
      <w:r w:rsidR="002534CB" w:rsidRPr="0065113B">
        <w:rPr>
          <w:rFonts w:ascii="Arial" w:hAnsi="Arial" w:cs="Arial"/>
          <w:b/>
          <w:sz w:val="18"/>
          <w:szCs w:val="18"/>
          <w:u w:val="single"/>
        </w:rPr>
        <w:t xml:space="preserve"> 2020</w:t>
      </w:r>
      <w:r w:rsidR="00D13B93" w:rsidRPr="0065113B">
        <w:rPr>
          <w:rFonts w:ascii="Arial" w:hAnsi="Arial" w:cs="Arial"/>
          <w:b/>
          <w:sz w:val="18"/>
          <w:szCs w:val="18"/>
        </w:rPr>
        <w:t xml:space="preserve"> - PRITOŽBE ZOPER POLICISTE ZAKLJUČENE NA SEJI SENATA MNZ </w:t>
      </w:r>
    </w:p>
    <w:p w:rsidR="00776C9E" w:rsidRPr="0065113B" w:rsidRDefault="00776C9E" w:rsidP="0065113B">
      <w:pPr>
        <w:tabs>
          <w:tab w:val="left" w:pos="6300"/>
        </w:tabs>
        <w:spacing w:line="276" w:lineRule="auto"/>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65113B" w:rsidTr="00F367DC">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65113B" w:rsidRDefault="00776C9E" w:rsidP="0065113B">
            <w:pPr>
              <w:tabs>
                <w:tab w:val="left" w:pos="6300"/>
              </w:tabs>
              <w:spacing w:line="276" w:lineRule="auto"/>
              <w:rPr>
                <w:rFonts w:ascii="Arial" w:hAnsi="Arial" w:cs="Arial"/>
                <w:b/>
                <w:bCs/>
                <w:sz w:val="18"/>
                <w:szCs w:val="18"/>
              </w:rPr>
            </w:pPr>
            <w:r w:rsidRPr="0065113B">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65113B" w:rsidRDefault="00776C9E" w:rsidP="0065113B">
            <w:pPr>
              <w:tabs>
                <w:tab w:val="left" w:pos="6300"/>
              </w:tabs>
              <w:spacing w:line="276" w:lineRule="auto"/>
              <w:rPr>
                <w:rFonts w:ascii="Arial" w:hAnsi="Arial" w:cs="Arial"/>
                <w:b/>
                <w:bCs/>
                <w:sz w:val="18"/>
                <w:szCs w:val="18"/>
              </w:rPr>
            </w:pPr>
            <w:r w:rsidRPr="0065113B">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65113B" w:rsidRDefault="00776C9E" w:rsidP="0065113B">
            <w:pPr>
              <w:tabs>
                <w:tab w:val="left" w:pos="6300"/>
              </w:tabs>
              <w:spacing w:line="276" w:lineRule="auto"/>
              <w:rPr>
                <w:rFonts w:ascii="Arial" w:hAnsi="Arial" w:cs="Arial"/>
                <w:b/>
                <w:bCs/>
                <w:sz w:val="18"/>
                <w:szCs w:val="18"/>
              </w:rPr>
            </w:pPr>
            <w:r w:rsidRPr="0065113B">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65113B" w:rsidRDefault="00776C9E" w:rsidP="0065113B">
            <w:pPr>
              <w:tabs>
                <w:tab w:val="left" w:pos="6300"/>
              </w:tabs>
              <w:spacing w:line="276" w:lineRule="auto"/>
              <w:rPr>
                <w:rFonts w:ascii="Arial" w:hAnsi="Arial" w:cs="Arial"/>
                <w:b/>
                <w:bCs/>
                <w:sz w:val="18"/>
                <w:szCs w:val="18"/>
              </w:rPr>
            </w:pPr>
            <w:r w:rsidRPr="0065113B">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65113B" w:rsidRDefault="00776C9E" w:rsidP="0065113B">
            <w:pPr>
              <w:tabs>
                <w:tab w:val="left" w:pos="6300"/>
              </w:tabs>
              <w:spacing w:line="276" w:lineRule="auto"/>
              <w:rPr>
                <w:rFonts w:ascii="Arial" w:hAnsi="Arial" w:cs="Arial"/>
                <w:b/>
                <w:bCs/>
                <w:sz w:val="18"/>
                <w:szCs w:val="18"/>
              </w:rPr>
            </w:pPr>
            <w:r w:rsidRPr="0065113B">
              <w:rPr>
                <w:rFonts w:ascii="Arial" w:hAnsi="Arial" w:cs="Arial"/>
                <w:b/>
                <w:bCs/>
                <w:sz w:val="18"/>
                <w:szCs w:val="18"/>
              </w:rPr>
              <w:t>ODLOČITEV SENATA</w:t>
            </w:r>
          </w:p>
        </w:tc>
      </w:tr>
      <w:tr w:rsidR="00776C9E" w:rsidRPr="0065113B" w:rsidTr="00F367DC">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65113B" w:rsidRDefault="00776C9E" w:rsidP="0065113B">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65113B" w:rsidRDefault="00776C9E" w:rsidP="0065113B">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65113B" w:rsidRDefault="00776C9E" w:rsidP="0065113B">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65113B" w:rsidRDefault="00776C9E" w:rsidP="0065113B">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65113B" w:rsidRDefault="00776C9E" w:rsidP="0065113B">
            <w:pPr>
              <w:tabs>
                <w:tab w:val="left" w:pos="6300"/>
              </w:tabs>
              <w:spacing w:before="60" w:line="276" w:lineRule="auto"/>
              <w:ind w:right="-70"/>
              <w:rPr>
                <w:rFonts w:ascii="Arial" w:hAnsi="Arial" w:cs="Arial"/>
                <w:b/>
                <w:bCs/>
                <w:sz w:val="18"/>
                <w:szCs w:val="18"/>
              </w:rPr>
            </w:pPr>
            <w:r w:rsidRPr="0065113B">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65113B" w:rsidRDefault="00776C9E" w:rsidP="0065113B">
            <w:pPr>
              <w:tabs>
                <w:tab w:val="left" w:pos="6300"/>
              </w:tabs>
              <w:spacing w:before="60" w:line="276" w:lineRule="auto"/>
              <w:rPr>
                <w:rFonts w:ascii="Arial" w:hAnsi="Arial" w:cs="Arial"/>
                <w:b/>
                <w:bCs/>
                <w:sz w:val="18"/>
                <w:szCs w:val="18"/>
              </w:rPr>
            </w:pPr>
            <w:r w:rsidRPr="0065113B">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65113B" w:rsidRDefault="00776C9E" w:rsidP="0065113B">
            <w:pPr>
              <w:tabs>
                <w:tab w:val="left" w:pos="6300"/>
              </w:tabs>
              <w:spacing w:before="60" w:line="276" w:lineRule="auto"/>
              <w:rPr>
                <w:rFonts w:ascii="Arial" w:hAnsi="Arial" w:cs="Arial"/>
                <w:b/>
                <w:bCs/>
                <w:sz w:val="18"/>
                <w:szCs w:val="18"/>
              </w:rPr>
            </w:pPr>
            <w:r w:rsidRPr="0065113B">
              <w:rPr>
                <w:rFonts w:ascii="Arial" w:hAnsi="Arial" w:cs="Arial"/>
                <w:b/>
                <w:bCs/>
                <w:sz w:val="18"/>
                <w:szCs w:val="18"/>
              </w:rPr>
              <w:t>Utemeljen (DA/NE)</w:t>
            </w:r>
          </w:p>
        </w:tc>
      </w:tr>
      <w:tr w:rsidR="00291291" w:rsidRPr="0065113B" w:rsidTr="00F367DC">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1291" w:rsidRPr="0065113B" w:rsidRDefault="00291291" w:rsidP="0065113B">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91291" w:rsidRPr="0065113B" w:rsidRDefault="00291291" w:rsidP="0065113B">
            <w:pPr>
              <w:numPr>
                <w:ilvl w:val="0"/>
                <w:numId w:val="10"/>
              </w:numPr>
              <w:spacing w:line="276" w:lineRule="auto"/>
              <w:ind w:left="204" w:hanging="199"/>
              <w:rPr>
                <w:rFonts w:ascii="Arial" w:hAnsi="Arial" w:cs="Arial"/>
                <w:sz w:val="18"/>
                <w:szCs w:val="18"/>
              </w:rPr>
            </w:pPr>
            <w:r w:rsidRPr="0065113B">
              <w:rPr>
                <w:rFonts w:ascii="Arial" w:hAnsi="Arial" w:cs="Arial"/>
                <w:sz w:val="18"/>
                <w:szCs w:val="18"/>
                <w:lang w:eastAsia="en-US"/>
              </w:rPr>
              <w:t>O</w:t>
            </w:r>
            <w:r w:rsidRPr="0065113B">
              <w:rPr>
                <w:rFonts w:ascii="Arial" w:hAnsi="Arial" w:cs="Arial"/>
                <w:sz w:val="18"/>
                <w:szCs w:val="18"/>
              </w:rPr>
              <w:t>pustitev dejanja oziroma neukrepanje policistov PP; poseg v pravico pritožnikov po zdravem življenjskem okolju 72. člen Ustave in pravico do varnosti 34. člen Ustave.</w:t>
            </w:r>
          </w:p>
          <w:p w:rsidR="00291291" w:rsidRPr="0065113B" w:rsidRDefault="00291291" w:rsidP="0065113B">
            <w:pPr>
              <w:numPr>
                <w:ilvl w:val="0"/>
                <w:numId w:val="10"/>
              </w:numPr>
              <w:spacing w:line="276" w:lineRule="auto"/>
              <w:ind w:left="204" w:hanging="199"/>
              <w:rPr>
                <w:rFonts w:ascii="Arial" w:hAnsi="Arial" w:cs="Arial"/>
                <w:sz w:val="18"/>
                <w:szCs w:val="18"/>
              </w:rPr>
            </w:pPr>
            <w:r w:rsidRPr="0065113B">
              <w:rPr>
                <w:rFonts w:ascii="Arial" w:hAnsi="Arial" w:cs="Arial"/>
                <w:sz w:val="18"/>
                <w:szCs w:val="18"/>
              </w:rPr>
              <w:t xml:space="preserve">komunikacija, ki se kaže v nedostojnem in nekorektnem odnosu policista OKC PU do pritožnice; poseg v pravico do varstva človekove osebnosti in dostojanstva 21. člen Ustave. </w:t>
            </w:r>
          </w:p>
          <w:p w:rsidR="00291291" w:rsidRPr="0065113B" w:rsidRDefault="00291291" w:rsidP="0065113B">
            <w:pPr>
              <w:numPr>
                <w:ilvl w:val="0"/>
                <w:numId w:val="10"/>
              </w:numPr>
              <w:spacing w:line="276" w:lineRule="auto"/>
              <w:ind w:left="204" w:hanging="199"/>
              <w:rPr>
                <w:rFonts w:ascii="Arial" w:hAnsi="Arial" w:cs="Arial"/>
                <w:sz w:val="18"/>
                <w:szCs w:val="18"/>
              </w:rPr>
            </w:pPr>
            <w:r w:rsidRPr="0065113B">
              <w:rPr>
                <w:rFonts w:ascii="Arial" w:hAnsi="Arial" w:cs="Arial"/>
                <w:sz w:val="18"/>
                <w:szCs w:val="18"/>
              </w:rPr>
              <w:t xml:space="preserve">opustitev dejanja oziroma neukrepanje policista OKC PU do pritožnika; poseg v pravico po zdravem življenjskem okolju 72. člen Ustave in pravico do varnosti 34. člen Ustave. </w:t>
            </w:r>
          </w:p>
          <w:p w:rsidR="00291291" w:rsidRPr="0065113B" w:rsidRDefault="00291291" w:rsidP="0065113B">
            <w:pPr>
              <w:numPr>
                <w:ilvl w:val="0"/>
                <w:numId w:val="10"/>
              </w:numPr>
              <w:spacing w:line="276" w:lineRule="auto"/>
              <w:ind w:left="204" w:hanging="199"/>
              <w:rPr>
                <w:rFonts w:ascii="Arial" w:hAnsi="Arial" w:cs="Arial"/>
                <w:sz w:val="18"/>
                <w:szCs w:val="18"/>
              </w:rPr>
            </w:pPr>
            <w:r w:rsidRPr="0065113B">
              <w:rPr>
                <w:rFonts w:ascii="Arial" w:hAnsi="Arial" w:cs="Arial"/>
                <w:sz w:val="18"/>
                <w:szCs w:val="18"/>
              </w:rPr>
              <w:t xml:space="preserve">komunikacija, ki se kaže v nedostojnem in nekorektnem odnosu dežurnega policista PP do pritožnice; poseg v pravico do varstva človekove osebnosti in dostojanstva 21. člen Ustave. </w:t>
            </w:r>
          </w:p>
          <w:p w:rsidR="00291291" w:rsidRPr="0065113B" w:rsidRDefault="00291291" w:rsidP="0065113B">
            <w:pPr>
              <w:numPr>
                <w:ilvl w:val="0"/>
                <w:numId w:val="10"/>
              </w:numPr>
              <w:spacing w:line="276" w:lineRule="auto"/>
              <w:ind w:left="204" w:hanging="199"/>
              <w:rPr>
                <w:rFonts w:ascii="Arial" w:hAnsi="Arial" w:cs="Arial"/>
                <w:sz w:val="18"/>
                <w:szCs w:val="18"/>
              </w:rPr>
            </w:pPr>
            <w:r w:rsidRPr="0065113B">
              <w:rPr>
                <w:rFonts w:ascii="Arial" w:hAnsi="Arial" w:cs="Arial"/>
                <w:sz w:val="18"/>
                <w:szCs w:val="18"/>
              </w:rPr>
              <w:t xml:space="preserve">komunikacija, ki se kaže v nedostojnem ter nekorektnem odnosu in nestrokovnosti ravnanja komandirja PP do pritožnice in pritožnika; poseg v pravico do  varstva človekove osebnosti in dostojanstva 21. člen Ustave in enakega varstva pravic 22. člen Ustave. </w:t>
            </w:r>
          </w:p>
          <w:p w:rsidR="00291291" w:rsidRPr="0065113B" w:rsidRDefault="00291291" w:rsidP="0065113B">
            <w:pPr>
              <w:numPr>
                <w:ilvl w:val="0"/>
                <w:numId w:val="10"/>
              </w:numPr>
              <w:spacing w:line="276" w:lineRule="auto"/>
              <w:ind w:left="204" w:hanging="199"/>
              <w:rPr>
                <w:rFonts w:ascii="Arial" w:hAnsi="Arial" w:cs="Arial"/>
                <w:sz w:val="18"/>
                <w:szCs w:val="18"/>
              </w:rPr>
            </w:pPr>
            <w:r w:rsidRPr="0065113B">
              <w:rPr>
                <w:rFonts w:ascii="Arial" w:hAnsi="Arial" w:cs="Arial"/>
                <w:sz w:val="18"/>
                <w:szCs w:val="18"/>
              </w:rPr>
              <w:t xml:space="preserve">opustitev dejanja oziroma neukrepanje komandirja PP; poseg v pravico po zdravem življenjskem okolju 72. člen </w:t>
            </w:r>
            <w:r w:rsidRPr="0065113B">
              <w:rPr>
                <w:rFonts w:ascii="Arial" w:hAnsi="Arial" w:cs="Arial"/>
                <w:sz w:val="18"/>
                <w:szCs w:val="18"/>
              </w:rPr>
              <w:lastRenderedPageBreak/>
              <w:t xml:space="preserve">Ustave in pravico do varnosti 34. člen Ustave. </w:t>
            </w:r>
          </w:p>
          <w:p w:rsidR="00291291" w:rsidRPr="0065113B" w:rsidRDefault="00291291" w:rsidP="0065113B">
            <w:pPr>
              <w:numPr>
                <w:ilvl w:val="0"/>
                <w:numId w:val="10"/>
              </w:numPr>
              <w:spacing w:line="276" w:lineRule="auto"/>
              <w:ind w:left="204" w:hanging="199"/>
              <w:rPr>
                <w:rFonts w:ascii="Arial" w:hAnsi="Arial" w:cs="Arial"/>
                <w:sz w:val="18"/>
                <w:szCs w:val="18"/>
              </w:rPr>
            </w:pPr>
            <w:r w:rsidRPr="0065113B">
              <w:rPr>
                <w:rFonts w:ascii="Arial" w:hAnsi="Arial" w:cs="Arial"/>
                <w:sz w:val="18"/>
                <w:szCs w:val="18"/>
              </w:rPr>
              <w:t xml:space="preserve">opustitev dejanja oziroma neukrepanje inšpektorja SUP PU; poseg v pravico po zdravem življenjskem okolju 72. člen Ustave in pravico do varnosti 34. člen Ustave.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lastRenderedPageBreak/>
              <w:t>1. 10. 2019, 2. 10. 2019</w:t>
            </w:r>
            <w:r w:rsidR="00F367DC" w:rsidRPr="0065113B">
              <w:rPr>
                <w:rFonts w:ascii="Arial" w:hAnsi="Arial" w:cs="Arial"/>
                <w:sz w:val="18"/>
                <w:szCs w:val="18"/>
              </w:rPr>
              <w:t>,</w:t>
            </w:r>
          </w:p>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4. 11. 2019</w:t>
            </w:r>
            <w:r w:rsidR="00F367DC" w:rsidRPr="0065113B">
              <w:rPr>
                <w:rFonts w:ascii="Arial" w:hAnsi="Arial" w:cs="Arial"/>
                <w:sz w:val="18"/>
                <w:szCs w:val="18"/>
              </w:rPr>
              <w:t>.</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7. 7. 2020</w:t>
            </w:r>
          </w:p>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2600-368/2019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EA6A9E" w:rsidRDefault="00291291" w:rsidP="00EA6A9E">
            <w:pPr>
              <w:spacing w:line="276" w:lineRule="auto"/>
              <w:rPr>
                <w:rFonts w:ascii="Arial" w:hAnsi="Arial" w:cs="Arial"/>
                <w:sz w:val="18"/>
                <w:szCs w:val="18"/>
              </w:rPr>
            </w:pPr>
            <w:r w:rsidRPr="0065113B">
              <w:rPr>
                <w:rFonts w:ascii="Arial" w:hAnsi="Arial" w:cs="Arial"/>
                <w:sz w:val="18"/>
                <w:szCs w:val="18"/>
              </w:rPr>
              <w:t xml:space="preserve">V zvezi z navedenim prvim pritožbenim razlogom, ki se nanaša na opustitev dejanja oziroma neukrepanje policistov pri interveniranju v gostinskem lokalu glede kršitve nočnega miru in počitka, ne zagotovitve javnega reda in miru ter nepravilno ugotovljenega dejanskega stanja glede obstoja javne prireditve, je bilo ugotovljeno, da sta se policista kljub različnim informacijam glede pravnomočnosti in dokončnosti dovoljenja za začasno čezmerno obremenitev okolja s hrupom ter ostalimi ugotovitvam na terenu odzvala in ukrepala s taktičnim preudarkom, saj vseh okoliščin nista poznala. Tako sta taktično preudarila, da bosta ukrepala na podlagi dejstev in okoliščin, ki so jima bile znane v tistem trenutku, tako sta zahtevala, da se jakost glasbe (glasna glasb je namreč motila pritožnika pri njunem nočnem počitku) dodatno zniža in sta s tem zagotovila javni red in mir ter v nadaljevanju po izvedenem ugotovitvenem postopku izvedbo prekrškovnega postopka na podlagi ugotovljene kršitve po določbah ZJRM-1. </w:t>
            </w:r>
            <w:r w:rsidRPr="0065113B">
              <w:rPr>
                <w:rFonts w:ascii="Arial" w:hAnsi="Arial" w:cs="Arial"/>
                <w:sz w:val="18"/>
                <w:szCs w:val="18"/>
                <w:lang w:eastAsia="en-US"/>
              </w:rPr>
              <w:t xml:space="preserve">Pri tem je treba poudariti, da je bila odločitev o prekršku po ZJRM-1 sprejeta s strani prekrškovnega organa in na to odločitev pritožbeni senat nima vpliva. Prekrškovni organ je namreč samostojen pri svojem odločanju, zoper njegove odločitve pa se lahko uporabijo veljavna pravna sredstva, med katera pritožbeni postopek ne sodi.) </w:t>
            </w:r>
            <w:r w:rsidRPr="0065113B">
              <w:rPr>
                <w:rFonts w:ascii="Arial" w:hAnsi="Arial" w:cs="Arial"/>
                <w:sz w:val="18"/>
                <w:szCs w:val="18"/>
              </w:rPr>
              <w:t>Pritožbeni očitek je neutemeljen.</w:t>
            </w:r>
          </w:p>
          <w:p w:rsidR="00291291" w:rsidRPr="0065113B" w:rsidRDefault="00E300B3" w:rsidP="00EA6A9E">
            <w:pPr>
              <w:spacing w:line="276" w:lineRule="auto"/>
              <w:jc w:val="right"/>
              <w:rPr>
                <w:rFonts w:ascii="Arial" w:hAnsi="Arial" w:cs="Arial"/>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p w:rsidR="00EA6A9E" w:rsidRDefault="00291291" w:rsidP="0065113B">
            <w:pPr>
              <w:spacing w:line="276" w:lineRule="auto"/>
              <w:rPr>
                <w:rFonts w:ascii="Arial" w:hAnsi="Arial" w:cs="Arial"/>
                <w:sz w:val="18"/>
                <w:szCs w:val="18"/>
              </w:rPr>
            </w:pPr>
            <w:r w:rsidRPr="0065113B">
              <w:rPr>
                <w:rFonts w:ascii="Arial" w:hAnsi="Arial" w:cs="Arial"/>
                <w:sz w:val="18"/>
                <w:szCs w:val="18"/>
              </w:rPr>
              <w:t>Policist OKC PU je v telefonskem pogovoru pritožnico poimenoval z imenom njen matere, s čimer je v pritožnici vzbudil dvom, da Policija neupravičeno vodi, hrani in obdeluje njene osebne podatke in jo v pogovoru namerno zavajal glede statusa dovoljenja za začasno čezmerno obremenitev okolja s hrupom.</w:t>
            </w:r>
          </w:p>
          <w:p w:rsidR="00EA6A9E" w:rsidRDefault="00EA6A9E" w:rsidP="0065113B">
            <w:pPr>
              <w:spacing w:line="276" w:lineRule="auto"/>
              <w:rPr>
                <w:rFonts w:ascii="Arial" w:hAnsi="Arial" w:cs="Arial"/>
                <w:sz w:val="18"/>
                <w:szCs w:val="18"/>
              </w:rPr>
            </w:pPr>
          </w:p>
          <w:p w:rsidR="00291291" w:rsidRPr="0065113B" w:rsidRDefault="00291291" w:rsidP="0065113B">
            <w:pPr>
              <w:spacing w:line="276" w:lineRule="auto"/>
              <w:rPr>
                <w:rFonts w:ascii="Arial" w:hAnsi="Arial" w:cs="Arial"/>
                <w:sz w:val="18"/>
                <w:szCs w:val="18"/>
              </w:rPr>
            </w:pPr>
            <w:r w:rsidRPr="0065113B">
              <w:rPr>
                <w:rFonts w:ascii="Arial" w:hAnsi="Arial" w:cs="Arial"/>
                <w:sz w:val="18"/>
                <w:szCs w:val="18"/>
              </w:rPr>
              <w:t xml:space="preserve">V zvezi poimenovanja pritožnice s strani policista OKC PU z imenom njene matere, je pritožnica prejela pisne obrazložitve s Policije, v katerih so ji pojasnili vse pravne podlage glede aplikacije za beleženje klicev na OKC, dostope, uporabo in zakonske podlage za pridobitev podatkov ter tudi posredovanje podatkov. Nepravilnosti niso bile ugotovljene. </w:t>
            </w:r>
          </w:p>
          <w:p w:rsidR="00291291" w:rsidRPr="0065113B" w:rsidRDefault="00291291" w:rsidP="0065113B">
            <w:pPr>
              <w:spacing w:line="276" w:lineRule="auto"/>
              <w:rPr>
                <w:rFonts w:ascii="Arial" w:hAnsi="Arial" w:cs="Arial"/>
                <w:sz w:val="18"/>
                <w:szCs w:val="18"/>
              </w:rPr>
            </w:pPr>
          </w:p>
          <w:p w:rsidR="00EA6A9E" w:rsidRDefault="00291291" w:rsidP="00EA6A9E">
            <w:pPr>
              <w:spacing w:line="276" w:lineRule="auto"/>
              <w:rPr>
                <w:rFonts w:ascii="Arial" w:hAnsi="Arial" w:cs="Arial"/>
                <w:sz w:val="18"/>
                <w:szCs w:val="18"/>
              </w:rPr>
            </w:pPr>
            <w:r w:rsidRPr="0065113B">
              <w:rPr>
                <w:rFonts w:ascii="Arial" w:hAnsi="Arial" w:cs="Arial"/>
                <w:sz w:val="18"/>
                <w:szCs w:val="18"/>
              </w:rPr>
              <w:t>Navedbe pritožnice o nekorektni komunikaciji niso potrjene, iz ugotovitev ni izhajalo, da bi policist namerno želel zavajati  pritožnico glede pravnomočnosti dovoljenja, temveč ji je zadevo skušal pojasnili na podlagi informacij, ki jih je tisti trenutek ime in po svojih najboljših močeh ter znanju. Prav tako ji je v zvezi pravnomočnosti dovoljenja pojasnil, da iz dokumenta ne razbere ali je pravnomočen ali ne ter, da se bo zadeva glede tega preverila naknadno pri pristojnem organu, kar so nadalje tudi storili.</w:t>
            </w:r>
          </w:p>
          <w:p w:rsidR="00291291" w:rsidRPr="0065113B" w:rsidRDefault="00E300B3" w:rsidP="00EA6A9E">
            <w:pPr>
              <w:spacing w:line="276" w:lineRule="auto"/>
              <w:jc w:val="right"/>
              <w:rPr>
                <w:rFonts w:ascii="Arial" w:hAnsi="Arial" w:cs="Arial"/>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p w:rsidR="00EA6A9E" w:rsidRDefault="00291291" w:rsidP="00EA6A9E">
            <w:pPr>
              <w:spacing w:line="276" w:lineRule="auto"/>
              <w:rPr>
                <w:rFonts w:ascii="Arial" w:hAnsi="Arial" w:cs="Arial"/>
                <w:sz w:val="18"/>
                <w:szCs w:val="18"/>
              </w:rPr>
            </w:pPr>
            <w:r w:rsidRPr="0065113B">
              <w:rPr>
                <w:rFonts w:ascii="Arial" w:hAnsi="Arial" w:cs="Arial"/>
                <w:sz w:val="18"/>
                <w:szCs w:val="18"/>
              </w:rPr>
              <w:t>Policist OKC PU naj ne bi kljub večkratnim klicem pritožnika ukrepal in naj ne bi zagotovil spoštovanja javnega reda in miru s strani gostinskega lokala. Ugotovljeno je bilo, da je policist OKC PU vsakič sprejel klic pritožnika, na prvi klic je na pritožnikov naslov poslal policijsko patruljo, da uredijo zadevo, ob tem je pritožnika dodatno obvestil, ko je bila patrulja pred njegovo hišo, prav tako mu je posredoval informacije, ki jih je v danem trenutku imel ter mu v nadaljnji komunikaciji pojasnil ugotovitve in možnosti. Glede na napotitve patrulje, ki jo je opravil policist OKC PU, klicev in pogovorov s pritožnikom, preverjanja in podajanja informacij, ki jih je v danem trenutku imel, je bilo ugotovljeno, da je ukrepal v skladu s svojimi pristojnostmi. Pritožbeni očitek je neutemeljen.</w:t>
            </w:r>
          </w:p>
          <w:p w:rsidR="00291291" w:rsidRPr="0065113B" w:rsidRDefault="00E300B3" w:rsidP="00EA6A9E">
            <w:pPr>
              <w:spacing w:line="276" w:lineRule="auto"/>
              <w:jc w:val="right"/>
              <w:rPr>
                <w:rFonts w:ascii="Arial" w:hAnsi="Arial" w:cs="Arial"/>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p w:rsidR="00EA6A9E" w:rsidRDefault="00291291" w:rsidP="00EA6A9E">
            <w:pPr>
              <w:spacing w:line="276" w:lineRule="auto"/>
              <w:rPr>
                <w:rFonts w:ascii="Arial" w:hAnsi="Arial" w:cs="Arial"/>
                <w:sz w:val="18"/>
                <w:szCs w:val="18"/>
              </w:rPr>
            </w:pPr>
            <w:r w:rsidRPr="0065113B">
              <w:rPr>
                <w:rFonts w:ascii="Arial" w:hAnsi="Arial" w:cs="Arial"/>
                <w:sz w:val="18"/>
                <w:szCs w:val="18"/>
              </w:rPr>
              <w:t>Pritožnica očita policistu nekorektno komunikacijo v kateri ni prejela odgovore na njena vprašanja; ji ni takoj odobril oziroma omogočil vpogleda v dokument (dovoljenje); naj bi pritožnico v komunikaciji prepričeval, da naj svojo zahtevo poda pisno (med njima naj bi prišlo do pregovarjanja), s čimer naj bi jo želel odvrniti oziroma ji preprečiti, da bi uradna oseba PP sprejela njeno zahtevo ustno na zapisnik. O pristojnosti odobritve vpogleda v dokument je prejela obrazložitve glede poslovanja PP in pristojnosti, nadalje nekorektna in nedostojna komunikacija na strani policista ni bila potrjena. Pritožbeni očitek je neutemeljen.</w:t>
            </w:r>
          </w:p>
          <w:p w:rsidR="0065113B" w:rsidRPr="0065113B" w:rsidRDefault="00E300B3" w:rsidP="00EA6A9E">
            <w:pPr>
              <w:spacing w:line="276" w:lineRule="auto"/>
              <w:jc w:val="right"/>
              <w:rPr>
                <w:rFonts w:ascii="Arial" w:hAnsi="Arial" w:cs="Arial"/>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p w:rsidR="00EA6A9E" w:rsidRDefault="00291291" w:rsidP="00EA6A9E">
            <w:pPr>
              <w:spacing w:line="276" w:lineRule="auto"/>
              <w:rPr>
                <w:rFonts w:ascii="Arial" w:hAnsi="Arial" w:cs="Arial"/>
                <w:sz w:val="18"/>
                <w:szCs w:val="18"/>
              </w:rPr>
            </w:pPr>
            <w:r w:rsidRPr="0065113B">
              <w:rPr>
                <w:rFonts w:ascii="Arial" w:hAnsi="Arial" w:cs="Arial"/>
                <w:sz w:val="18"/>
                <w:szCs w:val="18"/>
              </w:rPr>
              <w:t xml:space="preserve">Pritožnica navaja nekorektno komunikacijo komandirja PP s tem, ko naj bi v elektronski pošti namerno zavajal pritožnico in jiu posredoval lažne informacije o neobstoju dokumenta na PP, katerega so tam imeli. Ugotovljeno je bilo, da je pritožnica zahtevala vpogled v dokument, za katerega komandir PP preden je posredoval odgovor ni vedel, saj dokument na PP ni bil ustrezno dokumentiran. Prav tako je v komunikaciji prišlo do napačnega razumevanja glede zahteve in odgovora, ter ne do namernega </w:t>
            </w:r>
            <w:r w:rsidRPr="0065113B">
              <w:rPr>
                <w:rFonts w:ascii="Arial" w:hAnsi="Arial" w:cs="Arial"/>
                <w:sz w:val="18"/>
                <w:szCs w:val="18"/>
              </w:rPr>
              <w:lastRenderedPageBreak/>
              <w:t>zavajanja. Očitka, da je komandir namerno zavajal pritožnico in v odgovoru namerno napisal neresnico člani senata zaradi različnosti razlag in odsotnosti drugih dokazov, niso potrdili. Pritožbeni očitek je neutemeljen.</w:t>
            </w:r>
          </w:p>
          <w:p w:rsidR="00291291" w:rsidRPr="0065113B" w:rsidRDefault="00E300B3" w:rsidP="00EA6A9E">
            <w:pPr>
              <w:spacing w:line="276" w:lineRule="auto"/>
              <w:jc w:val="right"/>
              <w:rPr>
                <w:rFonts w:ascii="Arial" w:hAnsi="Arial" w:cs="Arial"/>
                <w:b/>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p w:rsidR="00EA6A9E" w:rsidRDefault="00291291" w:rsidP="00EA6A9E">
            <w:pPr>
              <w:spacing w:line="276" w:lineRule="auto"/>
              <w:rPr>
                <w:rFonts w:ascii="Arial" w:hAnsi="Arial" w:cs="Arial"/>
                <w:sz w:val="18"/>
                <w:szCs w:val="18"/>
              </w:rPr>
            </w:pPr>
            <w:r w:rsidRPr="0065113B">
              <w:rPr>
                <w:rFonts w:ascii="Arial" w:hAnsi="Arial" w:cs="Arial"/>
                <w:sz w:val="18"/>
                <w:szCs w:val="18"/>
              </w:rPr>
              <w:t>Pritožnica očita komandirju PP, da ji v odgovorih vezanih na njeno zahtevo glede zahteve za vpogled v dokument, ni uspel odgovoriti v obsegu njene zahteve in ji onemogočil zahtevan vpogled v dokument. V obravnavanem primeru je komandir PP odgovoril pritožnikoma po Uredbi, kar glede na vsebino vloge pritožnikov ne zadostuje, saj pritožnikoma ne omogoča pravnega varstva. Iz vsebine vloge je razvidno, da sta pritožnika zahtevala vpogled v dotični dokument, za katerega se je ugotovilo, da je na PP obstajal. Vloga pritožnikov je torej zajemala zahtevane podatke iz 116. člena ZNPPol in bi se morala na PP NM tudi obravnavati skladno z navedenim členom ZNPPol in 82. členom ZUP-a. V primeru pozitivne odločitve, bi torej komandir pritožnikoma določil osebo na PP NM, ki bi pritožnikoma omogočila vpogled v zahtevano dokumentacijo (pozitivna odločitev). V primeru negativne odločitve, bi bil komandir oziroma oseba, ki bi jo komandir pooblastil dolžan izdati sklep s pravnim varstvom na podlagi katerega bi imela pritožnika v primeru nestrinjanja možnost pritožbe na drugostopenjski organ. Iz zbrane dokumentacije je sicer razvidno, da je komandir pritožnikoma poslal odgovor po Uredbi.  A Uredbo se uporablja v primeru, ko stranka podaja</w:t>
            </w:r>
            <w:r w:rsidRPr="0065113B">
              <w:rPr>
                <w:rFonts w:ascii="Arial" w:hAnsi="Arial" w:cs="Arial"/>
                <w:sz w:val="18"/>
                <w:szCs w:val="18"/>
                <w:shd w:val="clear" w:color="auto" w:fill="FFFFFF"/>
              </w:rPr>
              <w:t xml:space="preserve"> svoje predloge, pripombe, kritike glede kakovosti poslovanja organa s strankami.</w:t>
            </w:r>
            <w:r w:rsidRPr="0065113B">
              <w:rPr>
                <w:rFonts w:ascii="Arial" w:hAnsi="Arial" w:cs="Arial"/>
                <w:sz w:val="18"/>
                <w:szCs w:val="18"/>
              </w:rPr>
              <w:t xml:space="preserve"> V tem primeru pa sta pritožnika od organa zahtevala vpogled (gre za zahtevo, ne pripombo), zaradi česar bi se morala uporabiti druga pravna podlaga in v primeru negativne odločitve postopati kot že opisano zgoraj.  Pritožbeni očitek je utemeljen.</w:t>
            </w:r>
          </w:p>
          <w:p w:rsidR="00291291" w:rsidRPr="0065113B" w:rsidRDefault="00E300B3" w:rsidP="00EA6A9E">
            <w:pPr>
              <w:spacing w:line="276" w:lineRule="auto"/>
              <w:jc w:val="right"/>
              <w:rPr>
                <w:rFonts w:ascii="Arial" w:hAnsi="Arial" w:cs="Arial"/>
                <w:sz w:val="18"/>
                <w:szCs w:val="18"/>
              </w:rPr>
            </w:pPr>
            <w:r w:rsidRPr="0065113B">
              <w:rPr>
                <w:rFonts w:ascii="Arial" w:hAnsi="Arial" w:cs="Arial"/>
                <w:b/>
                <w:sz w:val="18"/>
                <w:szCs w:val="18"/>
              </w:rPr>
              <w:t>DA</w:t>
            </w:r>
            <w:r w:rsidR="00291291" w:rsidRPr="0065113B">
              <w:rPr>
                <w:rFonts w:ascii="Arial" w:hAnsi="Arial" w:cs="Arial"/>
                <w:b/>
                <w:sz w:val="18"/>
                <w:szCs w:val="18"/>
              </w:rPr>
              <w:t xml:space="preserve"> </w:t>
            </w:r>
          </w:p>
          <w:p w:rsidR="00EA6A9E" w:rsidRDefault="00291291" w:rsidP="00EA6A9E">
            <w:pPr>
              <w:spacing w:line="276" w:lineRule="auto"/>
              <w:rPr>
                <w:rFonts w:ascii="Arial" w:hAnsi="Arial" w:cs="Arial"/>
                <w:sz w:val="18"/>
                <w:szCs w:val="18"/>
              </w:rPr>
            </w:pPr>
            <w:r w:rsidRPr="0065113B">
              <w:rPr>
                <w:rFonts w:ascii="Arial" w:hAnsi="Arial" w:cs="Arial"/>
                <w:sz w:val="18"/>
                <w:szCs w:val="18"/>
              </w:rPr>
              <w:t>Pritožnik trdi, da naj bi se komandir PP po telefonu, ko mu je želel podati dodatna pojasnila v zvezi dovoljenja, vedel do njega nesramno, naj bi bil v komunikaciji z njim osoren, nadut, ponižujoč (komandir naj bi ga imel za neumnega), kar ga je globoko užalilo, počutil se je ponižanega. Iz slišane komunikacije pritožnikov očitek ni bil potrjen. Člani senata niso delili mnenja s pritožnikom, ko je navajal način oziroma kako je on osebno občutil in sprejel komunikacijo komandirja in niso potrdili njegovih očitkov. Pritožbeni očitek je neutemeljen.</w:t>
            </w:r>
          </w:p>
          <w:p w:rsidR="00291291" w:rsidRPr="0065113B" w:rsidRDefault="00E300B3" w:rsidP="00EA6A9E">
            <w:pPr>
              <w:spacing w:line="276" w:lineRule="auto"/>
              <w:jc w:val="right"/>
              <w:rPr>
                <w:rFonts w:ascii="Arial" w:hAnsi="Arial" w:cs="Arial"/>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p w:rsidR="00EA6A9E" w:rsidRDefault="00291291" w:rsidP="00EA6A9E">
            <w:pPr>
              <w:spacing w:line="276" w:lineRule="auto"/>
              <w:rPr>
                <w:rFonts w:ascii="Arial" w:hAnsi="Arial" w:cs="Arial"/>
                <w:sz w:val="18"/>
                <w:szCs w:val="18"/>
              </w:rPr>
            </w:pPr>
            <w:r w:rsidRPr="0065113B">
              <w:rPr>
                <w:rFonts w:ascii="Arial" w:hAnsi="Arial" w:cs="Arial"/>
                <w:sz w:val="18"/>
                <w:szCs w:val="18"/>
              </w:rPr>
              <w:t xml:space="preserve">Pritožnika navajata, da komandir PP ni dal jasnih navodil policistom PP kako naj ukrepajo, kljub temu, da sta ga na problematiko zlorab nedokončnih </w:t>
            </w:r>
            <w:r w:rsidRPr="0065113B">
              <w:rPr>
                <w:rFonts w:ascii="Arial" w:hAnsi="Arial" w:cs="Arial"/>
                <w:sz w:val="18"/>
                <w:szCs w:val="18"/>
              </w:rPr>
              <w:lastRenderedPageBreak/>
              <w:t>dovoljenj opozorila, naj ne bi ukrepal na tem področju v obdobju štirih mesecev. Člani senata so odločili, da očitki pritožnikov in njuno nestrinjanje z metodami in načinom dela komandirja kot ga opisujeta, ne more biti predmet pritožbenega postopka. Dajanje navodil in usmeritev podrejenim sodi v delovnopravno razmerje in ne v pritožbeni postopek. Kdaj in kako je komandir seznanjal policiste je stvar notranje organizacije enote za katero je odgovoren komandir policijske postaje neposredno direktorju policijske uprave. Kljub temu se je senat seznanil s celotno dokumentacijo in je mnenja, da so očitki pritožnikov neutemeljeni.</w:t>
            </w:r>
          </w:p>
          <w:p w:rsidR="00291291" w:rsidRPr="0065113B" w:rsidRDefault="00E300B3" w:rsidP="00EA6A9E">
            <w:pPr>
              <w:spacing w:line="276" w:lineRule="auto"/>
              <w:jc w:val="right"/>
              <w:rPr>
                <w:rFonts w:ascii="Arial" w:hAnsi="Arial" w:cs="Arial"/>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p w:rsidR="00EA6A9E" w:rsidRDefault="00291291" w:rsidP="00EA6A9E">
            <w:pPr>
              <w:spacing w:line="276" w:lineRule="auto"/>
              <w:rPr>
                <w:rFonts w:ascii="Arial" w:hAnsi="Arial" w:cs="Arial"/>
                <w:sz w:val="18"/>
                <w:szCs w:val="18"/>
              </w:rPr>
            </w:pPr>
            <w:r w:rsidRPr="0065113B">
              <w:rPr>
                <w:rFonts w:ascii="Arial" w:hAnsi="Arial" w:cs="Arial"/>
                <w:sz w:val="18"/>
                <w:szCs w:val="18"/>
              </w:rPr>
              <w:t>Pritožnik je  poklical na SUP PU kjer je opravil razgovor z inšpektorjem. Slednjemu je predstavil problematiko javnih prireditev in s tem povezanega hrupa, a naj samostojni inšpektor po prepričanju pritožnika kljub temu, ne bi ukrepal v okviru svojih pristojnosti, saj se po mnenju pritožnika problematika javnega reda in miru ter izvajanja javnih prireditev ni rešila. Naloge policijske uprave določa ZODPol, katere sestavni del je inšpektor SUP PU , so del organizacijske sheme policije. Tudi iz teh razlogov pravna regulativa ni urejena v ZNPPol, saj je organizacija in pristojnosti sestavnih delov policije ločena od zakonodaje, ki ureja pooblastila. Kakor je bilo že ugotovljeno, nestrinjanje z metodami in načinom dela ne morejo biti predmet pritožbenega postopka. Senat je soglasno odločil, da očitki pritožnika in njegovo nestrinjanje z metodami in načinom dela samostojnega inšpektorja SUP PU kot ga opisuje, ne more biti predmet pritožbenega postopka. Kljub temu se je senat seznanil s celotno dokumentacijo in je mnenja, da so očitki pritožnika neutemeljeni.</w:t>
            </w:r>
          </w:p>
          <w:p w:rsidR="00291291" w:rsidRPr="0065113B" w:rsidRDefault="00E300B3" w:rsidP="00EA6A9E">
            <w:pPr>
              <w:spacing w:line="276" w:lineRule="auto"/>
              <w:jc w:val="right"/>
              <w:rPr>
                <w:rFonts w:ascii="Arial" w:hAnsi="Arial" w:cs="Arial"/>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tc>
      </w:tr>
      <w:tr w:rsidR="00291291" w:rsidRPr="0065113B" w:rsidTr="00F367DC">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1291" w:rsidRPr="0065113B" w:rsidRDefault="00291291" w:rsidP="0065113B">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91291" w:rsidRPr="0065113B" w:rsidRDefault="00291291" w:rsidP="0065113B">
            <w:pPr>
              <w:numPr>
                <w:ilvl w:val="0"/>
                <w:numId w:val="11"/>
              </w:numPr>
              <w:spacing w:line="276" w:lineRule="auto"/>
              <w:ind w:left="204" w:hanging="199"/>
              <w:rPr>
                <w:rFonts w:ascii="Arial" w:hAnsi="Arial" w:cs="Arial"/>
                <w:sz w:val="18"/>
                <w:szCs w:val="18"/>
              </w:rPr>
            </w:pPr>
            <w:r w:rsidRPr="0065113B">
              <w:rPr>
                <w:rFonts w:ascii="Arial" w:hAnsi="Arial" w:cs="Arial"/>
                <w:sz w:val="18"/>
                <w:szCs w:val="18"/>
              </w:rPr>
              <w:t>Neupravičeno prisiljevanje v podajanje izjave, neupravičena uporaba fizične sile ter nezakonit zaseg predmetov.</w:t>
            </w:r>
          </w:p>
          <w:p w:rsidR="00291291" w:rsidRPr="0065113B" w:rsidRDefault="00291291" w:rsidP="0065113B">
            <w:pPr>
              <w:numPr>
                <w:ilvl w:val="0"/>
                <w:numId w:val="11"/>
              </w:numPr>
              <w:spacing w:line="276" w:lineRule="auto"/>
              <w:ind w:left="204" w:hanging="199"/>
              <w:rPr>
                <w:rFonts w:ascii="Arial" w:hAnsi="Arial" w:cs="Arial"/>
                <w:sz w:val="18"/>
                <w:szCs w:val="18"/>
              </w:rPr>
            </w:pPr>
            <w:r w:rsidRPr="0065113B">
              <w:rPr>
                <w:rFonts w:ascii="Arial" w:hAnsi="Arial" w:cs="Arial"/>
                <w:sz w:val="18"/>
                <w:szCs w:val="18"/>
              </w:rPr>
              <w:t>Nekorekten odnos policista na policijski postaji</w:t>
            </w:r>
            <w:r w:rsidRPr="0065113B">
              <w:rPr>
                <w:rFonts w:ascii="Arial" w:hAnsi="Arial" w:cs="Arial"/>
                <w:sz w:val="18"/>
                <w:szCs w:val="18"/>
                <w:lang w:eastAsia="en-US"/>
              </w:rPr>
              <w:t>.</w:t>
            </w:r>
          </w:p>
          <w:p w:rsidR="00291291" w:rsidRPr="0065113B" w:rsidRDefault="00291291" w:rsidP="0065113B">
            <w:pPr>
              <w:spacing w:line="276" w:lineRule="auto"/>
              <w:ind w:left="204" w:hanging="199"/>
              <w:rPr>
                <w:rFonts w:ascii="Arial" w:hAnsi="Arial" w:cs="Arial"/>
                <w:sz w:val="18"/>
                <w:szCs w:val="18"/>
                <w:lang w:eastAsia="en-U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6. 9. 2020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8. 7. 2020</w:t>
            </w:r>
          </w:p>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2600-330/2019</w:t>
            </w:r>
          </w:p>
          <w:p w:rsidR="00291291" w:rsidRPr="0065113B" w:rsidRDefault="00291291" w:rsidP="0065113B">
            <w:pPr>
              <w:tabs>
                <w:tab w:val="left" w:pos="6300"/>
              </w:tabs>
              <w:spacing w:line="276" w:lineRule="auto"/>
              <w:rPr>
                <w:rFonts w:ascii="Arial" w:hAnsi="Arial" w:cs="Arial"/>
                <w:sz w:val="18"/>
                <w:szCs w:val="18"/>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EA6A9E" w:rsidRDefault="00291291" w:rsidP="00EA6A9E">
            <w:pPr>
              <w:spacing w:line="276" w:lineRule="auto"/>
              <w:rPr>
                <w:rFonts w:ascii="Arial" w:hAnsi="Arial" w:cs="Arial"/>
                <w:b/>
                <w:sz w:val="18"/>
                <w:szCs w:val="18"/>
              </w:rPr>
            </w:pPr>
            <w:r w:rsidRPr="0065113B">
              <w:rPr>
                <w:rFonts w:ascii="Arial" w:hAnsi="Arial" w:cs="Arial"/>
                <w:sz w:val="18"/>
                <w:szCs w:val="18"/>
              </w:rPr>
              <w:t>Očitka pritožnika, da naj bi ga policist prisiljeval v podajo informacije o preprodaji prepovedanih drog in ga pri tem ˝klofutnil˝, na podlagi pridobljenih dokazov ni bilo mogoče potrditi. Policisti so odločno zanikali kakršnokoli nasilje nad pritožnikom ter pojasnili, da je bil pritožnik zelo nesramen do njih, vendar z njim niso hoteli stopnjevati postopka. Da je bil nesramen do policistov oz. žaljiv so potrdile tudi na kraju prisotne priče, ki so povedale, da je pritožnik preklinjal in vpil na policiste tudi po končanem postopku, govoril je o zasegu tablet oz. drog, pri čemer pa niso zaznale, da bi omenjal uporabo fizične sile policistov zoper njega.</w:t>
            </w:r>
          </w:p>
          <w:p w:rsidR="00291291" w:rsidRPr="0065113B" w:rsidRDefault="00E300B3" w:rsidP="00EA6A9E">
            <w:pPr>
              <w:spacing w:line="276" w:lineRule="auto"/>
              <w:jc w:val="right"/>
              <w:rPr>
                <w:rFonts w:ascii="Arial" w:hAnsi="Arial" w:cs="Arial"/>
                <w:b/>
                <w:sz w:val="18"/>
                <w:szCs w:val="18"/>
              </w:rPr>
            </w:pPr>
            <w:r w:rsidRPr="0065113B">
              <w:rPr>
                <w:rFonts w:ascii="Arial" w:hAnsi="Arial" w:cs="Arial"/>
                <w:b/>
                <w:sz w:val="18"/>
                <w:szCs w:val="18"/>
              </w:rPr>
              <w:t>NE</w:t>
            </w:r>
            <w:r w:rsidR="00291291" w:rsidRPr="0065113B">
              <w:rPr>
                <w:rFonts w:ascii="Arial" w:hAnsi="Arial" w:cs="Arial"/>
                <w:b/>
                <w:sz w:val="18"/>
                <w:szCs w:val="18"/>
              </w:rPr>
              <w:t xml:space="preserve"> </w:t>
            </w:r>
          </w:p>
          <w:p w:rsidR="00EA6A9E" w:rsidRDefault="00291291" w:rsidP="00EA6A9E">
            <w:pPr>
              <w:spacing w:line="276" w:lineRule="auto"/>
              <w:rPr>
                <w:rFonts w:ascii="Arial" w:hAnsi="Arial" w:cs="Arial"/>
                <w:b/>
                <w:sz w:val="18"/>
                <w:szCs w:val="18"/>
              </w:rPr>
            </w:pPr>
            <w:r w:rsidRPr="0065113B">
              <w:rPr>
                <w:rFonts w:ascii="Arial" w:hAnsi="Arial" w:cs="Arial"/>
                <w:sz w:val="18"/>
                <w:szCs w:val="18"/>
              </w:rPr>
              <w:lastRenderedPageBreak/>
              <w:t>V 2. pritožbenem razlogu pa je pritožnik policistu očital nespoštljiv in posmehljiv odnos, ko je prišel na policijsko postajo, da bi podal pritožbo, pri čemer ga policist ni seznanil s pritožbenim postopkom in možnimi načini za podajo pritožbe. Policist je navedbe pritožnika v postopku preverjanja pritožbe in na seji senata odločno zanikal in pojasnil, da je pritožnik policijsko postajo zapustil preden ga je uspel seznaniti na kakšen način lahko pritožbo poda. Glede na to, da je bila poleg pritožnika n</w:t>
            </w:r>
            <w:r w:rsidRPr="0065113B">
              <w:rPr>
                <w:rFonts w:ascii="Arial" w:hAnsi="Arial" w:cs="Arial"/>
                <w:sz w:val="18"/>
                <w:szCs w:val="18"/>
                <w:lang w:eastAsia="en-US"/>
              </w:rPr>
              <w:t>a policijski postaji prisotna tudi priča in ker je v razgovoru s poročevalcem ter na seji senata potrdila, da je bil policist na policijski postaji nekorekten in žaljiv do pritožnika, je bil senat mnenja, da je bilo v tem primeru njegovo ravnanje nestrokovno. Dežurni policist mora biti v postopku vsekakor strokoven in pritožnika na ustrezen način seznaniti tudi s postopkom podaje pritožbe zoper delo policistov ter v primeru izražene zahteve po podaji pritožbe na zapisnik, pa to tudi ustrezno sprejeti</w:t>
            </w:r>
            <w:r w:rsidRPr="0065113B">
              <w:rPr>
                <w:rFonts w:ascii="Arial" w:hAnsi="Arial" w:cs="Arial"/>
                <w:b/>
                <w:sz w:val="18"/>
                <w:szCs w:val="18"/>
              </w:rPr>
              <w:t>.</w:t>
            </w:r>
          </w:p>
          <w:p w:rsidR="00291291" w:rsidRPr="0065113B" w:rsidRDefault="00E300B3" w:rsidP="00EA6A9E">
            <w:pPr>
              <w:spacing w:line="276" w:lineRule="auto"/>
              <w:jc w:val="right"/>
              <w:rPr>
                <w:rFonts w:ascii="Arial" w:hAnsi="Arial" w:cs="Arial"/>
                <w:b/>
                <w:sz w:val="18"/>
                <w:szCs w:val="18"/>
              </w:rPr>
            </w:pPr>
            <w:r w:rsidRPr="0065113B">
              <w:rPr>
                <w:rFonts w:ascii="Arial" w:hAnsi="Arial" w:cs="Arial"/>
                <w:b/>
                <w:sz w:val="18"/>
                <w:szCs w:val="18"/>
              </w:rPr>
              <w:t>DA</w:t>
            </w:r>
            <w:r w:rsidR="00291291" w:rsidRPr="0065113B">
              <w:rPr>
                <w:rFonts w:ascii="Arial" w:hAnsi="Arial" w:cs="Arial"/>
                <w:b/>
                <w:sz w:val="18"/>
                <w:szCs w:val="18"/>
              </w:rPr>
              <w:t xml:space="preserve"> </w:t>
            </w:r>
          </w:p>
        </w:tc>
      </w:tr>
      <w:tr w:rsidR="00291291" w:rsidRPr="0065113B" w:rsidTr="00F367DC">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1291" w:rsidRPr="0065113B" w:rsidRDefault="00291291" w:rsidP="0065113B">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91291" w:rsidRPr="0065113B" w:rsidRDefault="00291291" w:rsidP="0065113B">
            <w:pPr>
              <w:spacing w:line="276" w:lineRule="auto"/>
              <w:ind w:left="204" w:hanging="199"/>
              <w:rPr>
                <w:rFonts w:ascii="Arial" w:hAnsi="Arial" w:cs="Arial"/>
                <w:sz w:val="18"/>
                <w:szCs w:val="18"/>
              </w:rPr>
            </w:pPr>
          </w:p>
          <w:p w:rsidR="00291291" w:rsidRPr="0065113B" w:rsidRDefault="00291291" w:rsidP="0065113B">
            <w:pPr>
              <w:numPr>
                <w:ilvl w:val="0"/>
                <w:numId w:val="12"/>
              </w:numPr>
              <w:tabs>
                <w:tab w:val="clear" w:pos="960"/>
              </w:tabs>
              <w:spacing w:line="276" w:lineRule="auto"/>
              <w:ind w:left="204" w:hanging="199"/>
              <w:rPr>
                <w:rFonts w:ascii="Arial" w:hAnsi="Arial" w:cs="Arial"/>
                <w:sz w:val="18"/>
                <w:szCs w:val="18"/>
              </w:rPr>
            </w:pPr>
            <w:r w:rsidRPr="0065113B">
              <w:rPr>
                <w:rFonts w:ascii="Arial" w:hAnsi="Arial" w:cs="Arial"/>
                <w:sz w:val="18"/>
                <w:szCs w:val="18"/>
              </w:rPr>
              <w:t>Policist OKC, po sprejetem klicu pritožnice na 113, ko je naznanila naraščajoč prepir, na kraj ni želel poslati policistov (kršitev 34. člena Ustave RS – pravica do osebnega dostojanstva in varnosti),</w:t>
            </w:r>
          </w:p>
          <w:p w:rsidR="00291291" w:rsidRPr="0065113B" w:rsidRDefault="00291291" w:rsidP="0065113B">
            <w:pPr>
              <w:numPr>
                <w:ilvl w:val="0"/>
                <w:numId w:val="12"/>
              </w:numPr>
              <w:tabs>
                <w:tab w:val="clear" w:pos="960"/>
              </w:tabs>
              <w:spacing w:line="276" w:lineRule="auto"/>
              <w:ind w:left="204" w:hanging="199"/>
              <w:rPr>
                <w:rFonts w:ascii="Arial" w:hAnsi="Arial" w:cs="Arial"/>
                <w:sz w:val="18"/>
                <w:szCs w:val="18"/>
              </w:rPr>
            </w:pPr>
            <w:r w:rsidRPr="0065113B">
              <w:rPr>
                <w:rFonts w:ascii="Arial" w:hAnsi="Arial" w:cs="Arial"/>
                <w:sz w:val="18"/>
                <w:szCs w:val="18"/>
              </w:rPr>
              <w:t>policist na kraju ni ugotovil dejanskega stanja in posledično na kraju neenako obravnavala osebe, ki so bile udeležene v dogodku (kršitev 14. člena Ustave RS – enakost pred zakonom in 22. člena Ustave RS – enako varstvo pravic).</w:t>
            </w:r>
          </w:p>
          <w:p w:rsidR="00291291" w:rsidRPr="0065113B" w:rsidRDefault="00291291" w:rsidP="0065113B">
            <w:pPr>
              <w:spacing w:line="276" w:lineRule="auto"/>
              <w:ind w:left="204" w:hanging="199"/>
              <w:rPr>
                <w:rFonts w:ascii="Arial" w:hAnsi="Arial" w:cs="Arial"/>
                <w:sz w:val="18"/>
                <w:szCs w:val="18"/>
              </w:rPr>
            </w:pPr>
          </w:p>
          <w:p w:rsidR="00291291" w:rsidRPr="0065113B" w:rsidRDefault="00291291" w:rsidP="0065113B">
            <w:pPr>
              <w:spacing w:line="276" w:lineRule="auto"/>
              <w:ind w:left="204" w:hanging="199"/>
              <w:rPr>
                <w:rFonts w:ascii="Arial" w:hAnsi="Arial" w:cs="Arial"/>
                <w:sz w:val="18"/>
                <w:szCs w:val="18"/>
              </w:rPr>
            </w:pPr>
          </w:p>
          <w:p w:rsidR="00291291" w:rsidRPr="0065113B" w:rsidRDefault="00291291" w:rsidP="0065113B">
            <w:pPr>
              <w:spacing w:line="276" w:lineRule="auto"/>
              <w:ind w:left="204" w:hanging="199"/>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26. 11. 2019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13. 7. 2020</w:t>
            </w:r>
          </w:p>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2600-460/2019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widowControl w:val="0"/>
              <w:spacing w:line="276" w:lineRule="auto"/>
              <w:rPr>
                <w:rFonts w:ascii="Arial" w:hAnsi="Arial" w:cs="Arial"/>
                <w:bCs/>
                <w:sz w:val="18"/>
                <w:szCs w:val="18"/>
              </w:rPr>
            </w:pPr>
            <w:r w:rsidRPr="0065113B">
              <w:rPr>
                <w:rFonts w:ascii="Arial" w:hAnsi="Arial" w:cs="Arial"/>
                <w:bCs/>
                <w:sz w:val="18"/>
                <w:szCs w:val="18"/>
              </w:rPr>
              <w:t>Pritožnica je s pomočjo treh moških, po predhodno pridobljenem dovoljenju pristojnih institucij, pred stanovanjskim blokom izvajala montažo fizične zapore za parkirno mesto, ki sovpada z lastništvom stanovanja. Pristopila sta mlajša ženska in moški, ki sta jo pričela verbalno napadati in žaliti, zaradi česar je pritožnica ob 12:25 poklicala na 113 in prosila za intervencijo policije. Po dveh minutah je na 113 poklicala tudi mlajša ženska in zahtevala, da policisti preidejo na kraj, ker pritožnica na nacionalni bazi želi njenega brata. Policist OKC je na kraj napotil patruljo PP, ki je na kraj prispela po 10-tih minutah. Policista sta ugotovila, da kršitev ni več v teku. Pritožnica in njeni delavci so nadaljevali z izvajanjem del, mlajša občana pa sta se nahajala v hodniku stanovanjskega bloka. Policist, ki je vodil postopek na kraju, je zbral obvestila od mlajših občanov ter nato pritožnici zaradi očitka, da je žalila moškega, da je »</w:t>
            </w:r>
            <w:proofErr w:type="spellStart"/>
            <w:r w:rsidRPr="0065113B">
              <w:rPr>
                <w:rFonts w:ascii="Arial" w:hAnsi="Arial" w:cs="Arial"/>
                <w:bCs/>
                <w:sz w:val="18"/>
                <w:szCs w:val="18"/>
              </w:rPr>
              <w:t>jugovič</w:t>
            </w:r>
            <w:proofErr w:type="spellEnd"/>
            <w:r w:rsidRPr="0065113B">
              <w:rPr>
                <w:rFonts w:ascii="Arial" w:hAnsi="Arial" w:cs="Arial"/>
                <w:bCs/>
                <w:sz w:val="18"/>
                <w:szCs w:val="18"/>
              </w:rPr>
              <w:t>«, na kraju izdal in vročil plačilni nalog po 20. členu ZJRM-1, nakar sta policista s kraja odšla. Ker je pritožnica menila, da je bila v dogodku neenako obravnavana, je na MNZ zoper delo policista OKC in policista PP, ki je vodil postopek na kraju, podala pisno pritožbo.</w:t>
            </w:r>
          </w:p>
          <w:p w:rsidR="00291291" w:rsidRPr="0065113B" w:rsidRDefault="00291291" w:rsidP="0065113B">
            <w:pPr>
              <w:widowControl w:val="0"/>
              <w:spacing w:line="276" w:lineRule="auto"/>
              <w:rPr>
                <w:rFonts w:ascii="Arial" w:hAnsi="Arial" w:cs="Arial"/>
                <w:bCs/>
                <w:sz w:val="18"/>
                <w:szCs w:val="18"/>
              </w:rPr>
            </w:pPr>
          </w:p>
          <w:p w:rsidR="00EA6A9E" w:rsidRDefault="00291291" w:rsidP="00EA6A9E">
            <w:pPr>
              <w:widowControl w:val="0"/>
              <w:spacing w:line="276" w:lineRule="auto"/>
              <w:jc w:val="right"/>
              <w:rPr>
                <w:rFonts w:ascii="Arial" w:hAnsi="Arial" w:cs="Arial"/>
                <w:bCs/>
                <w:sz w:val="18"/>
                <w:szCs w:val="18"/>
              </w:rPr>
            </w:pPr>
            <w:r w:rsidRPr="0065113B">
              <w:rPr>
                <w:rFonts w:ascii="Arial" w:hAnsi="Arial" w:cs="Arial"/>
                <w:bCs/>
                <w:sz w:val="18"/>
                <w:szCs w:val="18"/>
              </w:rPr>
              <w:t>Iz zavarovanih posnetkov komunikacije pritožnice in policista OKC izhaja, da je po daljšem pogovoru (kjer sprva ni ugodil želji pritožnice, da policisti pridejo na kraj) policist OKC pritožnico ob zaključku seznanil, da bodo policisti prišli na kraj in dogodek preiskali. Da je OKC napotil na kraj patruljo PP izhaja tudi iz zapisa DDOKC.</w:t>
            </w:r>
          </w:p>
          <w:p w:rsidR="00EA6A9E" w:rsidRDefault="00E300B3" w:rsidP="00EA6A9E">
            <w:pPr>
              <w:widowControl w:val="0"/>
              <w:spacing w:line="276" w:lineRule="auto"/>
              <w:jc w:val="right"/>
              <w:rPr>
                <w:rFonts w:ascii="Arial" w:hAnsi="Arial" w:cs="Arial"/>
                <w:bCs/>
                <w:sz w:val="18"/>
                <w:szCs w:val="18"/>
              </w:rPr>
            </w:pPr>
            <w:r w:rsidRPr="0065113B">
              <w:rPr>
                <w:rFonts w:ascii="Arial" w:hAnsi="Arial" w:cs="Arial"/>
                <w:b/>
                <w:bCs/>
                <w:sz w:val="18"/>
                <w:szCs w:val="18"/>
              </w:rPr>
              <w:lastRenderedPageBreak/>
              <w:t>NE</w:t>
            </w:r>
          </w:p>
          <w:p w:rsidR="00EA6A9E" w:rsidRDefault="00291291" w:rsidP="00EA6A9E">
            <w:pPr>
              <w:widowControl w:val="0"/>
              <w:spacing w:line="276" w:lineRule="auto"/>
              <w:rPr>
                <w:rFonts w:ascii="Arial" w:hAnsi="Arial" w:cs="Arial"/>
                <w:bCs/>
                <w:sz w:val="18"/>
                <w:szCs w:val="18"/>
              </w:rPr>
            </w:pPr>
            <w:r w:rsidRPr="0065113B">
              <w:rPr>
                <w:rFonts w:ascii="Arial" w:hAnsi="Arial" w:cs="Arial"/>
                <w:bCs/>
                <w:sz w:val="18"/>
                <w:szCs w:val="18"/>
              </w:rPr>
              <w:t>Posnetki izkazujejo, da je prva na 113 poklicala in prosila za intervencijo pritožnica (policist njene prijave kršitve sploh ni obravnaval), čez 2 minuti pa o istem dogodku tudi mlajša ženska. Policist na kraju ni ravnal v skladu z ZP-1, ni zbral vseh dokazov, in posledično ni ugotovil dejanskega stanja, kar izhaja iz pritožbene dokumentacije, navedeno pa potrjuje jo tudi izjave na seji senata in sodba sodišča, ki je po podani ZSV pritožnice odločilo, da se PLN odpravi in postopek ustavi ker ni dokazano, da je pritožnica storila očitani prekršek.</w:t>
            </w:r>
          </w:p>
          <w:p w:rsidR="00291291" w:rsidRPr="0065113B" w:rsidRDefault="00E300B3" w:rsidP="00EA6A9E">
            <w:pPr>
              <w:widowControl w:val="0"/>
              <w:spacing w:line="276" w:lineRule="auto"/>
              <w:jc w:val="right"/>
              <w:rPr>
                <w:rFonts w:ascii="Arial" w:hAnsi="Arial" w:cs="Arial"/>
                <w:bCs/>
                <w:sz w:val="18"/>
                <w:szCs w:val="18"/>
              </w:rPr>
            </w:pPr>
            <w:r w:rsidRPr="0065113B">
              <w:rPr>
                <w:rFonts w:ascii="Arial" w:hAnsi="Arial" w:cs="Arial"/>
                <w:b/>
                <w:bCs/>
                <w:sz w:val="18"/>
                <w:szCs w:val="18"/>
              </w:rPr>
              <w:t>DA</w:t>
            </w:r>
            <w:r w:rsidR="00291291" w:rsidRPr="0065113B">
              <w:rPr>
                <w:rFonts w:ascii="Arial" w:hAnsi="Arial" w:cs="Arial"/>
                <w:bCs/>
                <w:sz w:val="18"/>
                <w:szCs w:val="18"/>
              </w:rPr>
              <w:t xml:space="preserve"> </w:t>
            </w:r>
          </w:p>
        </w:tc>
      </w:tr>
      <w:tr w:rsidR="00291291" w:rsidRPr="0065113B" w:rsidTr="00F367DC">
        <w:trPr>
          <w:trHeight w:val="26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1291" w:rsidRPr="0065113B" w:rsidRDefault="00291291" w:rsidP="0065113B">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91291" w:rsidRPr="0065113B" w:rsidRDefault="00291291" w:rsidP="0065113B">
            <w:pPr>
              <w:numPr>
                <w:ilvl w:val="0"/>
                <w:numId w:val="13"/>
              </w:numPr>
              <w:spacing w:line="276" w:lineRule="auto"/>
              <w:ind w:left="204" w:hanging="199"/>
              <w:rPr>
                <w:rFonts w:ascii="Arial" w:hAnsi="Arial" w:cs="Arial"/>
                <w:bCs/>
                <w:sz w:val="18"/>
                <w:szCs w:val="18"/>
              </w:rPr>
            </w:pPr>
            <w:r w:rsidRPr="0065113B">
              <w:rPr>
                <w:rFonts w:ascii="Arial" w:hAnsi="Arial" w:cs="Arial"/>
                <w:sz w:val="18"/>
                <w:szCs w:val="18"/>
                <w:lang w:eastAsia="en-US"/>
              </w:rPr>
              <w:t>Nekorektna komunikacija in neustrezno ravnanje policista s pritožnikom pri postopku.</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25. 2. 2020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20. 7. 2020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291291" w:rsidRPr="0065113B" w:rsidRDefault="00291291" w:rsidP="0065113B">
            <w:pPr>
              <w:tabs>
                <w:tab w:val="left" w:pos="6300"/>
              </w:tabs>
              <w:spacing w:line="276" w:lineRule="auto"/>
              <w:rPr>
                <w:rFonts w:ascii="Arial" w:hAnsi="Arial" w:cs="Arial"/>
                <w:sz w:val="18"/>
                <w:szCs w:val="18"/>
              </w:rPr>
            </w:pPr>
            <w:r w:rsidRPr="0065113B">
              <w:rPr>
                <w:rFonts w:ascii="Arial" w:hAnsi="Arial" w:cs="Arial"/>
                <w:sz w:val="18"/>
                <w:szCs w:val="18"/>
              </w:rPr>
              <w:t>KR</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EA6A9E" w:rsidRDefault="00291291" w:rsidP="00EA6A9E">
            <w:pPr>
              <w:spacing w:line="276" w:lineRule="auto"/>
              <w:rPr>
                <w:rFonts w:ascii="Arial" w:hAnsi="Arial" w:cs="Arial"/>
                <w:sz w:val="18"/>
                <w:szCs w:val="18"/>
                <w:lang w:eastAsia="en-US"/>
              </w:rPr>
            </w:pPr>
            <w:r w:rsidRPr="0065113B">
              <w:rPr>
                <w:rFonts w:ascii="Arial" w:hAnsi="Arial" w:cs="Arial"/>
                <w:sz w:val="18"/>
                <w:szCs w:val="18"/>
                <w:lang w:eastAsia="en-US"/>
              </w:rPr>
              <w:t>Ugotovljeno je bilo, da sta policista pritožnika iskala na njegovem naslovu zaradi prijete prijave, pri čemer je policist po zaključku le te, pritožnika seznanil in tudi opozoril na dejstvo, da je prejel več prijav, ki se nanašajo na njegovo neustrezno ravnanje. Senat je bil sicer mnenja, da bi bilo primerneje, če bi tovrstne prijave obravnaval drug policist, glede na to, da je policist tudi privatno le povezan s fitnesom, v katerem je zaposlena oseba, ki mu je najavila neustrezno ravnanje pritožnika. Ne glede na navedeno pa so člani senata odločili, da pritožniku s tem njegove pravice in svoboščine niso bile kršene, saj je bilo postopku preverjanja pritožbe ugotovljeno, da so bile prijave občanov dejansko podane v večjem številu, vendar se v zvezi s tem niso želeli izpostavljati in v postopkih nastopati kot priče. Glede navedb pritožnika o neustreznem glasnem in dolgotrajnem zvonjenju in močnem trkanju oz. zbijanju po vratih, je bil senata mnenja, da takšen način vsekakor ni primeren, vendar tega na podlagi pridobljenih dokazov v pritožbenem postopku, ni bilo mogoče potrditi.</w:t>
            </w:r>
          </w:p>
          <w:p w:rsidR="00291291" w:rsidRPr="0065113B" w:rsidRDefault="00291291" w:rsidP="00EA6A9E">
            <w:pPr>
              <w:spacing w:line="276" w:lineRule="auto"/>
              <w:jc w:val="right"/>
              <w:rPr>
                <w:rFonts w:ascii="Arial" w:hAnsi="Arial" w:cs="Arial"/>
                <w:sz w:val="18"/>
                <w:szCs w:val="18"/>
                <w:lang w:eastAsia="en-US"/>
              </w:rPr>
            </w:pPr>
            <w:r w:rsidRPr="0065113B">
              <w:rPr>
                <w:rFonts w:ascii="Arial" w:hAnsi="Arial" w:cs="Arial"/>
                <w:b/>
                <w:sz w:val="18"/>
                <w:szCs w:val="18"/>
                <w:lang w:eastAsia="en-US"/>
              </w:rPr>
              <w:t>NE</w:t>
            </w:r>
            <w:bookmarkStart w:id="0" w:name="_GoBack"/>
            <w:bookmarkEnd w:id="0"/>
            <w:r w:rsidRPr="0065113B">
              <w:rPr>
                <w:rFonts w:ascii="Arial" w:hAnsi="Arial" w:cs="Arial"/>
                <w:sz w:val="18"/>
                <w:szCs w:val="18"/>
                <w:lang w:eastAsia="en-US"/>
              </w:rPr>
              <w:t xml:space="preserve"> </w:t>
            </w:r>
          </w:p>
        </w:tc>
      </w:tr>
    </w:tbl>
    <w:p w:rsidR="00776C9E" w:rsidRPr="0065113B" w:rsidRDefault="00776C9E" w:rsidP="0065113B">
      <w:pPr>
        <w:spacing w:line="276" w:lineRule="auto"/>
        <w:rPr>
          <w:rFonts w:ascii="Arial" w:hAnsi="Arial" w:cs="Arial"/>
          <w:sz w:val="18"/>
          <w:szCs w:val="18"/>
        </w:rPr>
      </w:pPr>
    </w:p>
    <w:sectPr w:rsidR="00776C9E" w:rsidRPr="0065113B"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724"/>
    <w:multiLevelType w:val="hybridMultilevel"/>
    <w:tmpl w:val="DA22F23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AD3251"/>
    <w:multiLevelType w:val="hybridMultilevel"/>
    <w:tmpl w:val="F442344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729F5"/>
    <w:multiLevelType w:val="hybridMultilevel"/>
    <w:tmpl w:val="B524A0E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D56CD3"/>
    <w:multiLevelType w:val="hybridMultilevel"/>
    <w:tmpl w:val="3AAC2C0E"/>
    <w:lvl w:ilvl="0" w:tplc="712C3564">
      <w:numFmt w:val="bullet"/>
      <w:lvlText w:val="-"/>
      <w:lvlJc w:val="left"/>
      <w:pPr>
        <w:tabs>
          <w:tab w:val="num" w:pos="960"/>
        </w:tabs>
        <w:ind w:left="960" w:hanging="360"/>
      </w:pPr>
      <w:rPr>
        <w:rFonts w:ascii="Arial" w:eastAsia="Times New Roman" w:hAnsi="Arial" w:cs="Arial" w:hint="default"/>
      </w:rPr>
    </w:lvl>
    <w:lvl w:ilvl="1" w:tplc="0424000F">
      <w:start w:val="1"/>
      <w:numFmt w:val="decimal"/>
      <w:lvlText w:val="%2."/>
      <w:lvlJc w:val="left"/>
      <w:pPr>
        <w:tabs>
          <w:tab w:val="num" w:pos="1800"/>
        </w:tabs>
        <w:ind w:left="1800" w:hanging="360"/>
      </w:pPr>
      <w:rPr>
        <w:rFont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5"/>
  </w:num>
  <w:num w:numId="5">
    <w:abstractNumId w:val="12"/>
  </w:num>
  <w:num w:numId="6">
    <w:abstractNumId w:val="3"/>
  </w:num>
  <w:num w:numId="7">
    <w:abstractNumId w:val="9"/>
  </w:num>
  <w:num w:numId="8">
    <w:abstractNumId w:val="7"/>
  </w:num>
  <w:num w:numId="9">
    <w:abstractNumId w:val="11"/>
  </w:num>
  <w:num w:numId="10">
    <w:abstractNumId w:val="1"/>
  </w:num>
  <w:num w:numId="11">
    <w:abstractNumId w:val="2"/>
  </w:num>
  <w:num w:numId="12">
    <w:abstractNumId w:val="4"/>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209BD"/>
    <w:rsid w:val="00151F9F"/>
    <w:rsid w:val="00177C19"/>
    <w:rsid w:val="00187DEE"/>
    <w:rsid w:val="00194B6D"/>
    <w:rsid w:val="001B582A"/>
    <w:rsid w:val="001D468C"/>
    <w:rsid w:val="001E6963"/>
    <w:rsid w:val="00212F07"/>
    <w:rsid w:val="00214946"/>
    <w:rsid w:val="002255BA"/>
    <w:rsid w:val="002534CB"/>
    <w:rsid w:val="00276B6D"/>
    <w:rsid w:val="00291291"/>
    <w:rsid w:val="002B141F"/>
    <w:rsid w:val="002C4EDC"/>
    <w:rsid w:val="002D3641"/>
    <w:rsid w:val="002E06C7"/>
    <w:rsid w:val="002E2C98"/>
    <w:rsid w:val="00327B7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50A0"/>
    <w:rsid w:val="0052774C"/>
    <w:rsid w:val="005363F2"/>
    <w:rsid w:val="00543535"/>
    <w:rsid w:val="005519A4"/>
    <w:rsid w:val="00553135"/>
    <w:rsid w:val="005716E4"/>
    <w:rsid w:val="005A7754"/>
    <w:rsid w:val="005E409C"/>
    <w:rsid w:val="005F04E1"/>
    <w:rsid w:val="005F1B58"/>
    <w:rsid w:val="00613058"/>
    <w:rsid w:val="00647861"/>
    <w:rsid w:val="0065113B"/>
    <w:rsid w:val="006B6487"/>
    <w:rsid w:val="006D7724"/>
    <w:rsid w:val="006E6A2E"/>
    <w:rsid w:val="007014B7"/>
    <w:rsid w:val="00702DBC"/>
    <w:rsid w:val="00714DCA"/>
    <w:rsid w:val="00724B32"/>
    <w:rsid w:val="00751E9B"/>
    <w:rsid w:val="007745A7"/>
    <w:rsid w:val="00776C9E"/>
    <w:rsid w:val="00790D6D"/>
    <w:rsid w:val="007A558C"/>
    <w:rsid w:val="007C5CB2"/>
    <w:rsid w:val="007D2D28"/>
    <w:rsid w:val="00837E06"/>
    <w:rsid w:val="00851940"/>
    <w:rsid w:val="00863F1F"/>
    <w:rsid w:val="0087416A"/>
    <w:rsid w:val="00877FF9"/>
    <w:rsid w:val="00881DD4"/>
    <w:rsid w:val="008A17B6"/>
    <w:rsid w:val="008C7F9C"/>
    <w:rsid w:val="008F0831"/>
    <w:rsid w:val="008F4774"/>
    <w:rsid w:val="00903AEC"/>
    <w:rsid w:val="009076B5"/>
    <w:rsid w:val="009256FB"/>
    <w:rsid w:val="009339FC"/>
    <w:rsid w:val="009522C9"/>
    <w:rsid w:val="009B043E"/>
    <w:rsid w:val="009F6E01"/>
    <w:rsid w:val="00A2726C"/>
    <w:rsid w:val="00A43B2B"/>
    <w:rsid w:val="00A60FFB"/>
    <w:rsid w:val="00A74FE1"/>
    <w:rsid w:val="00A86B3D"/>
    <w:rsid w:val="00A936CF"/>
    <w:rsid w:val="00AB1437"/>
    <w:rsid w:val="00AD023A"/>
    <w:rsid w:val="00AE105B"/>
    <w:rsid w:val="00AF1B7E"/>
    <w:rsid w:val="00AF2E7C"/>
    <w:rsid w:val="00B01C57"/>
    <w:rsid w:val="00B050BA"/>
    <w:rsid w:val="00B26707"/>
    <w:rsid w:val="00B42A12"/>
    <w:rsid w:val="00BA625C"/>
    <w:rsid w:val="00BC7420"/>
    <w:rsid w:val="00BD17F8"/>
    <w:rsid w:val="00C074F2"/>
    <w:rsid w:val="00C452DF"/>
    <w:rsid w:val="00C5303B"/>
    <w:rsid w:val="00C57CCE"/>
    <w:rsid w:val="00C87DCB"/>
    <w:rsid w:val="00CA27DC"/>
    <w:rsid w:val="00CB1E3E"/>
    <w:rsid w:val="00CD7014"/>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300B3"/>
    <w:rsid w:val="00E534DA"/>
    <w:rsid w:val="00E54DF1"/>
    <w:rsid w:val="00E81543"/>
    <w:rsid w:val="00E93773"/>
    <w:rsid w:val="00EA6A9E"/>
    <w:rsid w:val="00EC0F78"/>
    <w:rsid w:val="00EC1F31"/>
    <w:rsid w:val="00ED15F5"/>
    <w:rsid w:val="00ED177D"/>
    <w:rsid w:val="00ED7864"/>
    <w:rsid w:val="00EE666D"/>
    <w:rsid w:val="00F005B8"/>
    <w:rsid w:val="00F367DC"/>
    <w:rsid w:val="00F54068"/>
    <w:rsid w:val="00F65A20"/>
    <w:rsid w:val="00F73354"/>
    <w:rsid w:val="00F817DB"/>
    <w:rsid w:val="00FA3A1C"/>
    <w:rsid w:val="00FA5EEF"/>
    <w:rsid w:val="00FD24D4"/>
    <w:rsid w:val="00FD2EEA"/>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70DB9"/>
  <w15:chartTrackingRefBased/>
  <w15:docId w15:val="{F4B88B1B-3C03-4342-A172-639FD59D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13516</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2020-09-21T13:22:00Z</dcterms:created>
  <dcterms:modified xsi:type="dcterms:W3CDTF">2020-09-22T13:05:00Z</dcterms:modified>
</cp:coreProperties>
</file>