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AD" w:rsidRDefault="00B956AD" w:rsidP="00951EAC">
      <w:pPr>
        <w:tabs>
          <w:tab w:val="left" w:pos="993"/>
        </w:tabs>
        <w:ind w:left="993" w:hanging="993"/>
        <w:rPr>
          <w:rFonts w:cs="Arial"/>
        </w:rPr>
      </w:pPr>
    </w:p>
    <w:p w:rsidR="00C10ED0" w:rsidRPr="00105F3A" w:rsidRDefault="00C10ED0" w:rsidP="00951EAC">
      <w:pPr>
        <w:tabs>
          <w:tab w:val="left" w:pos="993"/>
        </w:tabs>
        <w:ind w:left="993" w:hanging="993"/>
        <w:rPr>
          <w:rFonts w:cs="Arial"/>
        </w:rPr>
      </w:pPr>
      <w:r w:rsidRPr="00105F3A">
        <w:rPr>
          <w:rFonts w:cs="Arial"/>
        </w:rPr>
        <w:t>Številka:</w:t>
      </w:r>
      <w:r w:rsidRPr="00105F3A">
        <w:rPr>
          <w:rFonts w:cs="Arial"/>
        </w:rPr>
        <w:tab/>
        <w:t>35105-</w:t>
      </w:r>
      <w:r w:rsidR="00621CF3">
        <w:rPr>
          <w:rFonts w:cs="Arial"/>
        </w:rPr>
        <w:t>47</w:t>
      </w:r>
      <w:r w:rsidRPr="00105F3A">
        <w:rPr>
          <w:rFonts w:cs="Arial"/>
        </w:rPr>
        <w:t>/20</w:t>
      </w:r>
      <w:r w:rsidR="00621CF3">
        <w:rPr>
          <w:rFonts w:cs="Arial"/>
        </w:rPr>
        <w:t>20</w:t>
      </w:r>
      <w:r w:rsidRPr="00105F3A">
        <w:rPr>
          <w:rFonts w:cs="Arial"/>
        </w:rPr>
        <w:t>/</w:t>
      </w:r>
      <w:r w:rsidR="001B365C">
        <w:rPr>
          <w:rFonts w:cs="Arial"/>
        </w:rPr>
        <w:t>3</w:t>
      </w:r>
      <w:r w:rsidR="00696139">
        <w:rPr>
          <w:rFonts w:cs="Arial"/>
        </w:rPr>
        <w:t>3</w:t>
      </w:r>
    </w:p>
    <w:p w:rsidR="00C10ED0" w:rsidRPr="00105F3A" w:rsidRDefault="00C10ED0" w:rsidP="00951EAC">
      <w:pPr>
        <w:tabs>
          <w:tab w:val="left" w:pos="993"/>
        </w:tabs>
        <w:ind w:left="993" w:hanging="993"/>
        <w:rPr>
          <w:rFonts w:cs="Arial"/>
        </w:rPr>
      </w:pPr>
      <w:r w:rsidRPr="00670C61">
        <w:rPr>
          <w:rFonts w:cs="Arial"/>
        </w:rPr>
        <w:t>Datum:</w:t>
      </w:r>
      <w:r w:rsidRPr="00670C61">
        <w:rPr>
          <w:rFonts w:cs="Arial"/>
        </w:rPr>
        <w:tab/>
      </w:r>
      <w:r w:rsidR="00696139">
        <w:rPr>
          <w:rFonts w:cs="Arial"/>
        </w:rPr>
        <w:t>9</w:t>
      </w:r>
      <w:r w:rsidR="001B365C">
        <w:rPr>
          <w:rFonts w:cs="Arial"/>
        </w:rPr>
        <w:t>. 6. 2021</w:t>
      </w:r>
    </w:p>
    <w:p w:rsidR="00C10ED0" w:rsidRPr="00D353D4" w:rsidRDefault="00C10ED0" w:rsidP="00951EAC">
      <w:pPr>
        <w:tabs>
          <w:tab w:val="left" w:pos="993"/>
        </w:tabs>
        <w:ind w:left="993" w:hanging="993"/>
        <w:rPr>
          <w:rFonts w:cs="Arial"/>
        </w:rPr>
      </w:pPr>
      <w:r w:rsidRPr="00D353D4">
        <w:rPr>
          <w:rFonts w:cs="Arial"/>
        </w:rPr>
        <w:t>Dato:</w:t>
      </w:r>
      <w:r w:rsidRPr="00D353D4">
        <w:rPr>
          <w:rFonts w:cs="Arial"/>
        </w:rPr>
        <w:tab/>
      </w:r>
      <w:fldSimple w:instr=" FILENAME \* Lower \* MERGEFORMAT ">
        <w:r w:rsidR="00621CF3" w:rsidRPr="00D353D4">
          <w:rPr>
            <w:rFonts w:cs="Arial"/>
            <w:noProof/>
          </w:rPr>
          <w:t>47_20</w:t>
        </w:r>
        <w:r w:rsidRPr="00D353D4">
          <w:rPr>
            <w:rFonts w:cs="Arial"/>
            <w:noProof/>
          </w:rPr>
          <w:t xml:space="preserve"> </w:t>
        </w:r>
        <w:r w:rsidR="003430C4" w:rsidRPr="00D353D4">
          <w:rPr>
            <w:rFonts w:cs="Arial"/>
            <w:noProof/>
          </w:rPr>
          <w:t xml:space="preserve">GD </w:t>
        </w:r>
        <w:r w:rsidR="00621CF3" w:rsidRPr="00D353D4">
          <w:rPr>
            <w:rFonts w:cs="Arial"/>
            <w:noProof/>
          </w:rPr>
          <w:t>Vaukan</w:t>
        </w:r>
      </w:fldSimple>
    </w:p>
    <w:p w:rsidR="00C10ED0" w:rsidRPr="00D353D4" w:rsidRDefault="00C10ED0" w:rsidP="00951EAC">
      <w:pPr>
        <w:rPr>
          <w:rFonts w:cs="Arial"/>
        </w:rPr>
      </w:pPr>
    </w:p>
    <w:p w:rsidR="002B590D" w:rsidRPr="00D353D4" w:rsidRDefault="002B590D" w:rsidP="00951EAC">
      <w:pPr>
        <w:rPr>
          <w:rFonts w:cs="Arial"/>
        </w:rPr>
      </w:pPr>
    </w:p>
    <w:p w:rsidR="00C10ED0" w:rsidRPr="00D353D4" w:rsidRDefault="00C10ED0" w:rsidP="005738B5">
      <w:pPr>
        <w:pStyle w:val="Natevanje123"/>
      </w:pPr>
      <w:r w:rsidRPr="00D353D4">
        <w:t>Ministrstvo za okolje in prostor izdaja na podlagi drugega odstavka 7. člena Gradbenega zakon</w:t>
      </w:r>
      <w:r w:rsidR="00C222B3" w:rsidRPr="00D353D4">
        <w:t>a (</w:t>
      </w:r>
      <w:r w:rsidR="005D165D" w:rsidRPr="00E9362C">
        <w:rPr>
          <w:rFonts w:cs="Arial"/>
          <w:color w:val="000000"/>
        </w:rPr>
        <w:t>Uradni list RS, št. 61/17, 72/17 – popr., 65/20 in 15/21 – ZDUOP, v nadaljevanju GZ</w:t>
      </w:r>
      <w:r w:rsidRPr="00D353D4">
        <w:t xml:space="preserve">) v integralnem postopku izdaje gradbenega dovoljenja za </w:t>
      </w:r>
      <w:r w:rsidR="00621CF3" w:rsidRPr="00D353D4">
        <w:t>spremembo namembnosti objekta v objekt za predelavo nenevarnih odpadkov</w:t>
      </w:r>
      <w:r w:rsidR="006513A2" w:rsidRPr="00D353D4">
        <w:t>,</w:t>
      </w:r>
      <w:r w:rsidRPr="00D353D4">
        <w:t xml:space="preserve"> uvedenem na zahtevo investitorj</w:t>
      </w:r>
      <w:r w:rsidR="003430C4" w:rsidRPr="00D353D4">
        <w:t>a</w:t>
      </w:r>
      <w:r w:rsidRPr="00D353D4">
        <w:t xml:space="preserve"> </w:t>
      </w:r>
      <w:r w:rsidR="00621CF3" w:rsidRPr="00D353D4">
        <w:t>Vaukan d.o.o., Poljana 1, 2391 Prevalje</w:t>
      </w:r>
      <w:r w:rsidRPr="00D353D4">
        <w:t xml:space="preserve">, </w:t>
      </w:r>
      <w:r w:rsidR="00621CF3" w:rsidRPr="00D353D4">
        <w:t xml:space="preserve">ki ga po pooblastilu zastopa AD-svetovanje, Anes Durgutović s.p., Levstikova ulica 12a, 1241 Kamnik, </w:t>
      </w:r>
      <w:r w:rsidRPr="00D353D4">
        <w:t>naslednje</w:t>
      </w:r>
    </w:p>
    <w:p w:rsidR="00C10ED0" w:rsidRPr="00D353D4" w:rsidRDefault="00C10ED0" w:rsidP="00951EAC">
      <w:pPr>
        <w:rPr>
          <w:rFonts w:cs="Arial"/>
        </w:rPr>
      </w:pPr>
    </w:p>
    <w:p w:rsidR="00C10ED0" w:rsidRPr="00D353D4" w:rsidRDefault="00C10ED0" w:rsidP="00951EAC">
      <w:pPr>
        <w:rPr>
          <w:rFonts w:cs="Arial"/>
        </w:rPr>
      </w:pPr>
    </w:p>
    <w:p w:rsidR="00C10ED0" w:rsidRPr="00D353D4" w:rsidRDefault="00C10ED0" w:rsidP="00951EAC">
      <w:pPr>
        <w:pStyle w:val="Naslov"/>
        <w:rPr>
          <w:rFonts w:cs="Arial"/>
        </w:rPr>
      </w:pPr>
      <w:r w:rsidRPr="00D353D4">
        <w:rPr>
          <w:rFonts w:cs="Arial"/>
        </w:rPr>
        <w:t>GRADBENO DOVOLJENJE</w:t>
      </w:r>
    </w:p>
    <w:p w:rsidR="00C10ED0" w:rsidRPr="00D353D4" w:rsidRDefault="00C10ED0" w:rsidP="00951EAC">
      <w:pPr>
        <w:rPr>
          <w:rFonts w:cs="Arial"/>
        </w:rPr>
      </w:pPr>
    </w:p>
    <w:p w:rsidR="00C10ED0" w:rsidRPr="00D353D4" w:rsidRDefault="00C10ED0" w:rsidP="00951EAC">
      <w:pPr>
        <w:rPr>
          <w:rFonts w:cs="Arial"/>
        </w:rPr>
      </w:pPr>
    </w:p>
    <w:p w:rsidR="00E35CA4" w:rsidRPr="0058691B" w:rsidRDefault="00F07716" w:rsidP="0058691B">
      <w:pPr>
        <w:pStyle w:val="NatevanjeIIIIII"/>
      </w:pPr>
      <w:r w:rsidRPr="00D353D4">
        <w:t xml:space="preserve">Investitorju </w:t>
      </w:r>
      <w:r w:rsidR="00621CF3" w:rsidRPr="0058691B">
        <w:t xml:space="preserve">Vaukan d.o.o., Poljana 1, 2391 Prevalje, </w:t>
      </w:r>
      <w:r w:rsidRPr="0058691B">
        <w:t xml:space="preserve">se v </w:t>
      </w:r>
      <w:r w:rsidRPr="00D353D4">
        <w:t xml:space="preserve">integralnem postopku izda gradbeno dovoljenje </w:t>
      </w:r>
      <w:r w:rsidR="00621CF3" w:rsidRPr="00D353D4">
        <w:t>za spremembo namembnosti</w:t>
      </w:r>
      <w:r w:rsidR="00621CF3" w:rsidRPr="0058691B">
        <w:t xml:space="preserve"> </w:t>
      </w:r>
      <w:r w:rsidR="00621CF3" w:rsidRPr="00D353D4">
        <w:t>objekta v objekt za predelavo nenevarnih odpadkov</w:t>
      </w:r>
      <w:r w:rsidR="0058691B">
        <w:t xml:space="preserve"> </w:t>
      </w:r>
      <w:r w:rsidRPr="00D353D4">
        <w:t>na zemljišč</w:t>
      </w:r>
      <w:r w:rsidR="0058691B">
        <w:t>ih s</w:t>
      </w:r>
      <w:r w:rsidRPr="00D353D4">
        <w:t xml:space="preserve"> parcel</w:t>
      </w:r>
      <w:r w:rsidR="0058691B">
        <w:t xml:space="preserve">. </w:t>
      </w:r>
      <w:r w:rsidRPr="00D353D4">
        <w:t>št.</w:t>
      </w:r>
      <w:r w:rsidR="00191851">
        <w:t xml:space="preserve"> 118, 119/1, 119/2 in </w:t>
      </w:r>
      <w:r w:rsidR="00224F54" w:rsidRPr="00224F54">
        <w:t>1</w:t>
      </w:r>
      <w:r w:rsidR="00191851" w:rsidRPr="00224F54">
        <w:t>21</w:t>
      </w:r>
      <w:r w:rsidR="00191851">
        <w:t>, vse k.o. Ruše (665).</w:t>
      </w:r>
    </w:p>
    <w:p w:rsidR="00F07716" w:rsidRPr="00D353D4" w:rsidRDefault="00F07716" w:rsidP="00E35CA4">
      <w:pPr>
        <w:tabs>
          <w:tab w:val="left" w:pos="993"/>
        </w:tabs>
        <w:ind w:left="993" w:hanging="993"/>
        <w:rPr>
          <w:b/>
        </w:rPr>
      </w:pPr>
    </w:p>
    <w:p w:rsidR="00C34911" w:rsidRDefault="00C10ED0" w:rsidP="00CA034E">
      <w:pPr>
        <w:pStyle w:val="NatevanjeIIIIII"/>
      </w:pPr>
      <w:r w:rsidRPr="00D73D81">
        <w:t>Gradnja po tem gradbenem dovoljenju obsega</w:t>
      </w:r>
      <w:r w:rsidR="00CA034E">
        <w:t xml:space="preserve"> spremembo n</w:t>
      </w:r>
      <w:r w:rsidR="0046668B" w:rsidRPr="0046668B">
        <w:t xml:space="preserve">amembnost </w:t>
      </w:r>
      <w:r w:rsidR="000B6303">
        <w:t xml:space="preserve">obstoječega </w:t>
      </w:r>
      <w:r w:rsidR="0046668B" w:rsidRPr="0046668B">
        <w:t>objekta</w:t>
      </w:r>
      <w:r w:rsidR="00522339">
        <w:t xml:space="preserve"> za </w:t>
      </w:r>
      <w:r w:rsidR="00522339" w:rsidRPr="00522339">
        <w:t>skladiščenje mineralnih surovin</w:t>
      </w:r>
      <w:r w:rsidR="008042F4">
        <w:t xml:space="preserve"> </w:t>
      </w:r>
      <w:r w:rsidR="00522339">
        <w:t xml:space="preserve">(CC-SI 23010 - Objekti za pridobivanje in izkoriščanje mineralnih surovin rudarski objekti) </w:t>
      </w:r>
      <w:r w:rsidR="0046668B" w:rsidRPr="0046668B">
        <w:t>v o</w:t>
      </w:r>
      <w:r w:rsidR="00522339">
        <w:t xml:space="preserve">bjekt </w:t>
      </w:r>
      <w:r w:rsidR="0046668B" w:rsidRPr="0046668B">
        <w:t>za predelavo nenevarnih odpadkov</w:t>
      </w:r>
      <w:r w:rsidR="000B6303">
        <w:t xml:space="preserve"> (CC-SI </w:t>
      </w:r>
      <w:r w:rsidR="00CA034E" w:rsidRPr="00CA034E">
        <w:t>24203 – objekti za ravnanje z odpadki – odprto skladišče</w:t>
      </w:r>
      <w:r w:rsidR="00CA034E">
        <w:t xml:space="preserve"> odpadkov, površine za obdelavo odpadkov) z</w:t>
      </w:r>
      <w:r w:rsidR="0046668B" w:rsidRPr="0046668B">
        <w:t xml:space="preserve"> </w:t>
      </w:r>
      <w:r w:rsidR="00CA034E">
        <w:t>u</w:t>
      </w:r>
      <w:r w:rsidR="00D73D81">
        <w:t>mestit</w:t>
      </w:r>
      <w:r w:rsidR="00CA034E">
        <w:t>vijo</w:t>
      </w:r>
      <w:r w:rsidR="00D73D81">
        <w:t xml:space="preserve"> </w:t>
      </w:r>
      <w:r w:rsidR="00D73D81" w:rsidRPr="0046668B">
        <w:t>premičn</w:t>
      </w:r>
      <w:r w:rsidR="00D73D81">
        <w:t>ih naprav</w:t>
      </w:r>
      <w:r w:rsidR="00D73D81" w:rsidRPr="0046668B">
        <w:t xml:space="preserve"> za predelavo surovih </w:t>
      </w:r>
      <w:r w:rsidR="00D73D81">
        <w:t>n</w:t>
      </w:r>
      <w:r w:rsidR="0046668B" w:rsidRPr="0046668B">
        <w:t xml:space="preserve">a obstoječe </w:t>
      </w:r>
      <w:r w:rsidR="000B6303">
        <w:t xml:space="preserve">betonske </w:t>
      </w:r>
      <w:r w:rsidR="0046668B" w:rsidRPr="0046668B">
        <w:t xml:space="preserve">platoje </w:t>
      </w:r>
      <w:r w:rsidR="000B6303">
        <w:t xml:space="preserve">z armiranobetonskimi </w:t>
      </w:r>
      <w:r w:rsidR="00D73D81">
        <w:t>predelnimi stenami.</w:t>
      </w:r>
    </w:p>
    <w:p w:rsidR="00621CF3" w:rsidRDefault="00621CF3" w:rsidP="00621CF3">
      <w:pPr>
        <w:spacing w:line="276" w:lineRule="auto"/>
        <w:rPr>
          <w:rFonts w:cs="Arial"/>
        </w:rPr>
      </w:pPr>
    </w:p>
    <w:p w:rsidR="00C10ED0" w:rsidRPr="00D353D4" w:rsidRDefault="00C10ED0" w:rsidP="00212464">
      <w:pPr>
        <w:pStyle w:val="NatevanjeIIIIII"/>
      </w:pPr>
      <w:r w:rsidRPr="00D353D4">
        <w:t>Podrobnejši mikrolokacijski, ekološki, tehnični, oblikovalski in okoljevarstveni pogoji obravnavanega posega</w:t>
      </w:r>
      <w:r w:rsidR="00951EAC" w:rsidRPr="00D353D4">
        <w:t xml:space="preserve">, ki </w:t>
      </w:r>
      <w:r w:rsidRPr="00D353D4">
        <w:t>so za investitorja obvezujoči, so določeni v dokumentaciji</w:t>
      </w:r>
      <w:r w:rsidR="00951EAC" w:rsidRPr="00D353D4">
        <w:t xml:space="preserve">, ki </w:t>
      </w:r>
      <w:r w:rsidRPr="00D353D4">
        <w:t>je sestavni del tega dovoljenja:</w:t>
      </w:r>
    </w:p>
    <w:p w:rsidR="00C10ED0" w:rsidRPr="00D353D4" w:rsidRDefault="00C10ED0" w:rsidP="00951EAC">
      <w:pPr>
        <w:rPr>
          <w:rFonts w:cs="Arial"/>
        </w:rPr>
      </w:pPr>
    </w:p>
    <w:p w:rsidR="00621CF3" w:rsidRPr="00D353D4" w:rsidRDefault="00C10ED0" w:rsidP="00621CF3">
      <w:pPr>
        <w:pStyle w:val="NatevanjeABC"/>
        <w:rPr>
          <w:b/>
        </w:rPr>
      </w:pPr>
      <w:r w:rsidRPr="00D353D4">
        <w:rPr>
          <w:b/>
        </w:rPr>
        <w:t>Projektna dokumentacija za pridobitev mnenj in gradbenega dovoljenja (DGD)</w:t>
      </w:r>
      <w:r w:rsidR="004E6428" w:rsidRPr="00D353D4">
        <w:rPr>
          <w:b/>
        </w:rPr>
        <w:t xml:space="preserve">, </w:t>
      </w:r>
      <w:r w:rsidR="00621CF3" w:rsidRPr="00D353D4">
        <w:rPr>
          <w:lang w:eastAsia="en-US"/>
        </w:rPr>
        <w:t xml:space="preserve">št. projekta </w:t>
      </w:r>
      <w:r w:rsidR="006B0B4C">
        <w:rPr>
          <w:lang w:eastAsia="en-US"/>
        </w:rPr>
        <w:t>1901, april 2020,</w:t>
      </w:r>
      <w:r w:rsidR="00621CF3" w:rsidRPr="008C733B">
        <w:rPr>
          <w:lang w:eastAsia="en-US"/>
        </w:rPr>
        <w:t xml:space="preserve"> </w:t>
      </w:r>
      <w:r w:rsidR="00696139">
        <w:rPr>
          <w:lang w:eastAsia="en-US"/>
        </w:rPr>
        <w:t xml:space="preserve">dop december 2020, </w:t>
      </w:r>
      <w:r w:rsidR="00621CF3" w:rsidRPr="008C733B">
        <w:rPr>
          <w:lang w:eastAsia="en-US"/>
        </w:rPr>
        <w:t>Plan B d.o.o., Gregorčičeva 21b, 2000 Maribor,</w:t>
      </w:r>
    </w:p>
    <w:p w:rsidR="00C10ED0" w:rsidRDefault="0058691B" w:rsidP="0058691B">
      <w:pPr>
        <w:pStyle w:val="NatevanjeABC"/>
      </w:pPr>
      <w:r w:rsidRPr="0058691B">
        <w:rPr>
          <w:b/>
        </w:rPr>
        <w:t xml:space="preserve">Poročilo o vplivih na okolje, </w:t>
      </w:r>
      <w:r w:rsidRPr="0058691B">
        <w:t xml:space="preserve">za izvajanje Predelave nenevarnih odpadkov v sklopu Centra za nenevarne odpadke Vaukan na lokaciji Ruše, št. 217-2019, april 2020, dopolnitev 1 december 2020, AD-svetovanje, </w:t>
      </w:r>
      <w:r w:rsidR="00715F06" w:rsidRPr="0058691B">
        <w:t xml:space="preserve">Anes Durgutović s.p., Levstikova ulica 12a, 1241 Kamnik </w:t>
      </w:r>
      <w:r w:rsidRPr="0058691B">
        <w:t>(v nadaljevanju PVO)</w:t>
      </w:r>
    </w:p>
    <w:p w:rsidR="0058691B" w:rsidRPr="0058691B" w:rsidRDefault="0058691B" w:rsidP="00951EAC">
      <w:pPr>
        <w:rPr>
          <w:rFonts w:cs="Arial"/>
        </w:rPr>
      </w:pPr>
    </w:p>
    <w:p w:rsidR="00C10ED0" w:rsidRPr="00D353D4" w:rsidRDefault="00C10ED0" w:rsidP="00282CB1">
      <w:pPr>
        <w:pStyle w:val="NatevanjeIIIIII"/>
      </w:pPr>
      <w:r w:rsidRPr="00D353D4">
        <w:t>K predmetni gradnji so podali mnenja pristojni organi in organizacije:</w:t>
      </w:r>
    </w:p>
    <w:p w:rsidR="0058691B" w:rsidRPr="0058691B" w:rsidRDefault="0058691B" w:rsidP="0058691B">
      <w:pPr>
        <w:pStyle w:val="Odstavekseznama"/>
        <w:numPr>
          <w:ilvl w:val="0"/>
          <w:numId w:val="8"/>
        </w:numPr>
        <w:spacing w:line="276" w:lineRule="auto"/>
        <w:ind w:left="284" w:hanging="284"/>
        <w:rPr>
          <w:rFonts w:cs="Arial"/>
        </w:rPr>
      </w:pPr>
      <w:r>
        <w:t>mnenji št. 35403-22/2020-2 z dne 30. 9. 2020 in št. 35403-22/2020-4 z dne 13.</w:t>
      </w:r>
      <w:r w:rsidR="00792EBB">
        <w:t> </w:t>
      </w:r>
      <w:r>
        <w:t>1.</w:t>
      </w:r>
      <w:r w:rsidR="00792EBB">
        <w:t> </w:t>
      </w:r>
      <w:r>
        <w:t>2021, Agencija Republike Slovenije za okolje, Vojkova 1b, 1000 Ljubljana,</w:t>
      </w:r>
    </w:p>
    <w:p w:rsidR="0058691B" w:rsidRDefault="0058691B" w:rsidP="0058691B">
      <w:pPr>
        <w:pStyle w:val="Odstavekseznama"/>
        <w:numPr>
          <w:ilvl w:val="0"/>
          <w:numId w:val="8"/>
        </w:numPr>
        <w:spacing w:line="276" w:lineRule="auto"/>
        <w:ind w:left="284" w:hanging="284"/>
      </w:pPr>
      <w:r>
        <w:t>mnenje št. 35508-4732/2020-4 z dne 15.1.2021, Direkcija RS za vode, Sektor območja Drave, Krekova 17, 2000 Maribor,</w:t>
      </w:r>
    </w:p>
    <w:p w:rsidR="0058691B" w:rsidRDefault="0058691B" w:rsidP="0058691B">
      <w:pPr>
        <w:pStyle w:val="Odstavekseznama"/>
        <w:numPr>
          <w:ilvl w:val="0"/>
          <w:numId w:val="8"/>
        </w:numPr>
        <w:spacing w:line="276" w:lineRule="auto"/>
        <w:ind w:left="284" w:hanging="284"/>
      </w:pPr>
      <w:r>
        <w:t>mnenji št. 35110-62/2020-3 z dne 24. 9. 2020 in št. 35110-0092/2020-3 z dne 12.</w:t>
      </w:r>
      <w:r w:rsidR="00792EBB">
        <w:t> </w:t>
      </w:r>
      <w:r>
        <w:t>1.</w:t>
      </w:r>
      <w:r w:rsidR="00792EBB">
        <w:t> </w:t>
      </w:r>
      <w:r>
        <w:t xml:space="preserve">2021, Občina </w:t>
      </w:r>
      <w:r w:rsidR="00715F06">
        <w:t>Ruše, Trg vstaje 11, 2342 Ruše,</w:t>
      </w:r>
    </w:p>
    <w:p w:rsidR="004805BE" w:rsidRPr="00A37EA9" w:rsidRDefault="004805BE" w:rsidP="0058691B">
      <w:pPr>
        <w:pStyle w:val="Odstavekseznama"/>
        <w:numPr>
          <w:ilvl w:val="0"/>
          <w:numId w:val="8"/>
        </w:numPr>
        <w:spacing w:line="276" w:lineRule="auto"/>
        <w:ind w:left="284" w:hanging="284"/>
      </w:pPr>
      <w:r w:rsidRPr="00A37EA9">
        <w:t xml:space="preserve">mnenje </w:t>
      </w:r>
      <w:r w:rsidR="00792EBB" w:rsidRPr="00A37EA9">
        <w:t>št. 31002-625/2020-2 z dne 24.</w:t>
      </w:r>
      <w:r w:rsidR="00792EBB">
        <w:t> </w:t>
      </w:r>
      <w:r w:rsidR="00792EBB" w:rsidRPr="00A37EA9">
        <w:t>11.</w:t>
      </w:r>
      <w:r w:rsidR="00792EBB">
        <w:t> </w:t>
      </w:r>
      <w:r w:rsidR="00792EBB" w:rsidRPr="00A37EA9">
        <w:t>2020</w:t>
      </w:r>
      <w:r w:rsidR="00792EBB">
        <w:t xml:space="preserve">, </w:t>
      </w:r>
      <w:r w:rsidRPr="00A37EA9">
        <w:t>SŽ – Infrastruktura d.o.o., Kolodvorska ul.</w:t>
      </w:r>
      <w:r w:rsidR="00792EBB">
        <w:t xml:space="preserve"> </w:t>
      </w:r>
      <w:r w:rsidRPr="00A37EA9">
        <w:t xml:space="preserve">11, 1000 Ljubljana, </w:t>
      </w:r>
    </w:p>
    <w:p w:rsidR="004805BE" w:rsidRPr="00A37EA9" w:rsidRDefault="004805BE" w:rsidP="0058691B">
      <w:pPr>
        <w:pStyle w:val="Odstavekseznama"/>
        <w:numPr>
          <w:ilvl w:val="0"/>
          <w:numId w:val="8"/>
        </w:numPr>
        <w:spacing w:line="276" w:lineRule="auto"/>
        <w:ind w:left="284" w:hanging="284"/>
      </w:pPr>
      <w:r w:rsidRPr="00A37EA9">
        <w:lastRenderedPageBreak/>
        <w:t xml:space="preserve">mnenje </w:t>
      </w:r>
      <w:r w:rsidR="00792EBB" w:rsidRPr="00A37EA9">
        <w:t>št. S20_102/579/kf z dne 14.</w:t>
      </w:r>
      <w:r w:rsidR="00792EBB">
        <w:t> </w:t>
      </w:r>
      <w:r w:rsidR="00792EBB" w:rsidRPr="00A37EA9">
        <w:t>10. 2020</w:t>
      </w:r>
      <w:r w:rsidR="00792EBB">
        <w:t xml:space="preserve">, </w:t>
      </w:r>
      <w:r w:rsidR="0058691B" w:rsidRPr="00A37EA9">
        <w:t>ELES</w:t>
      </w:r>
      <w:r w:rsidRPr="00A37EA9">
        <w:t xml:space="preserve"> d.o.o., Hajdrihova 2, 1000 Ljubljana,</w:t>
      </w:r>
      <w:r w:rsidR="0058691B" w:rsidRPr="00A37EA9">
        <w:t xml:space="preserve"> </w:t>
      </w:r>
    </w:p>
    <w:p w:rsidR="00C10ED0" w:rsidRPr="00A37EA9" w:rsidRDefault="00005B12" w:rsidP="0058691B">
      <w:pPr>
        <w:pStyle w:val="Odstavekseznama"/>
        <w:numPr>
          <w:ilvl w:val="0"/>
          <w:numId w:val="8"/>
        </w:numPr>
        <w:spacing w:line="276" w:lineRule="auto"/>
        <w:ind w:left="284" w:hanging="284"/>
      </w:pPr>
      <w:r w:rsidRPr="00A37EA9">
        <w:t>mnenje</w:t>
      </w:r>
      <w:r w:rsidR="00792EBB">
        <w:t xml:space="preserve"> z dne 3.</w:t>
      </w:r>
      <w:r w:rsidR="002F28B3">
        <w:t> </w:t>
      </w:r>
      <w:r w:rsidR="00792EBB">
        <w:t>12.</w:t>
      </w:r>
      <w:r w:rsidR="002F28B3">
        <w:t> </w:t>
      </w:r>
      <w:r w:rsidR="00792EBB">
        <w:t>2020,</w:t>
      </w:r>
      <w:r w:rsidRPr="00A37EA9">
        <w:t xml:space="preserve"> </w:t>
      </w:r>
      <w:r w:rsidR="0058691B" w:rsidRPr="00A37EA9">
        <w:t xml:space="preserve">Nemesis </w:t>
      </w:r>
      <w:r w:rsidRPr="00A37EA9">
        <w:t>nepremičnine d.o.o. v stečaju, Part</w:t>
      </w:r>
      <w:r w:rsidR="00A37EA9" w:rsidRPr="00A37EA9">
        <w:t>izanska cesta 23, 2000 Maribor</w:t>
      </w:r>
      <w:r w:rsidR="002F28B3">
        <w:t>.</w:t>
      </w:r>
      <w:r w:rsidR="00A37EA9" w:rsidRPr="00A37EA9">
        <w:t xml:space="preserve"> </w:t>
      </w:r>
    </w:p>
    <w:p w:rsidR="004805BE" w:rsidRPr="00A37EA9" w:rsidRDefault="004805BE" w:rsidP="004805BE">
      <w:pPr>
        <w:pStyle w:val="Odstavekseznama"/>
        <w:spacing w:line="276" w:lineRule="auto"/>
        <w:ind w:left="284"/>
        <w:rPr>
          <w:highlight w:val="yellow"/>
        </w:rPr>
      </w:pPr>
    </w:p>
    <w:p w:rsidR="00C10ED0" w:rsidRPr="00D353D4" w:rsidRDefault="00ED5CE1" w:rsidP="007D7636">
      <w:pPr>
        <w:pStyle w:val="NatevanjeIIIIII"/>
      </w:pPr>
      <w:r w:rsidRPr="00D353D4">
        <w:t>Presoja vplivov na okolje je bila izvedena z</w:t>
      </w:r>
      <w:r w:rsidR="00790E53" w:rsidRPr="00D353D4">
        <w:t>a predmetn</w:t>
      </w:r>
      <w:r w:rsidR="00906541" w:rsidRPr="00D353D4">
        <w:t xml:space="preserve">i poseg: </w:t>
      </w:r>
      <w:r w:rsidR="007D7636" w:rsidRPr="00D353D4">
        <w:t>vzpostavitev dejavnosti predelave nenevarnih odpadkov po postopkih R5 in R12 v sklopu lokacije Centra za nenevarne odpadke Vaukan na lokaciji Ruše</w:t>
      </w:r>
      <w:r w:rsidR="00906541" w:rsidRPr="00D353D4">
        <w:t xml:space="preserve">, </w:t>
      </w:r>
      <w:r w:rsidR="00242C41" w:rsidRPr="00D353D4">
        <w:t xml:space="preserve">na zemljiščih </w:t>
      </w:r>
      <w:r w:rsidR="00790E53" w:rsidRPr="00D353D4">
        <w:t>parc. št.</w:t>
      </w:r>
      <w:r w:rsidR="00742CA0" w:rsidRPr="00D353D4">
        <w:t xml:space="preserve"> </w:t>
      </w:r>
      <w:r w:rsidR="007D7636" w:rsidRPr="00D353D4">
        <w:t>118, 119/1, 119/2, 121, k.o. Ruše</w:t>
      </w:r>
      <w:r w:rsidR="00EF1A51" w:rsidRPr="00D353D4">
        <w:t xml:space="preserve"> </w:t>
      </w:r>
      <w:r w:rsidR="007D7636" w:rsidRPr="00D353D4">
        <w:t xml:space="preserve">(665). </w:t>
      </w:r>
      <w:r w:rsidR="00EF1A51" w:rsidRPr="00D353D4">
        <w:t>Iz presoje vplivov na okolje</w:t>
      </w:r>
      <w:r w:rsidR="00790E53" w:rsidRPr="00D353D4">
        <w:t xml:space="preserve"> izhaja da nameravana gradnja nima pomembnih škodljivih vplivov na okolje. Investitor (nosilec nameravanega posega) mora z namenom preprečitve, zmanjšanja ali odprave škodljivih vplivov na okolje, pri gradnji, uporabi oz. obratovanju objekta, poleg zakonsko predpisanih, upoštevati tudi naslednje ukrepe in pogoje:</w:t>
      </w:r>
    </w:p>
    <w:p w:rsidR="00F07716" w:rsidRPr="00D353D4" w:rsidRDefault="00F07716" w:rsidP="00951EAC"/>
    <w:p w:rsidR="00C655B2" w:rsidRPr="00D353D4" w:rsidRDefault="00C655B2" w:rsidP="00C655B2">
      <w:pPr>
        <w:pStyle w:val="Odstavekseznama"/>
        <w:numPr>
          <w:ilvl w:val="0"/>
          <w:numId w:val="30"/>
        </w:numPr>
        <w:ind w:left="567" w:hanging="567"/>
      </w:pPr>
      <w:r w:rsidRPr="00D353D4">
        <w:t>Varstvo površinskih voda v času obratovanja:</w:t>
      </w:r>
    </w:p>
    <w:p w:rsidR="0058691B" w:rsidRDefault="00C655B2" w:rsidP="0058691B">
      <w:pPr>
        <w:pStyle w:val="Odstavekseznama"/>
        <w:numPr>
          <w:ilvl w:val="0"/>
          <w:numId w:val="5"/>
        </w:numPr>
        <w:spacing w:line="276" w:lineRule="auto"/>
        <w:ind w:left="284" w:hanging="284"/>
      </w:pPr>
      <w:r w:rsidRPr="00D353D4">
        <w:softHyphen/>
        <w:t>potrebno</w:t>
      </w:r>
      <w:r w:rsidR="0058691B">
        <w:t xml:space="preserve"> je zagotoviti, da se bodo vode pred izpustom prečistile v usedalniku in lovilniku olj, ki mora biti skladen s standardom SIST EN 858;</w:t>
      </w:r>
    </w:p>
    <w:p w:rsidR="0058691B" w:rsidRDefault="0058691B" w:rsidP="0058691B">
      <w:pPr>
        <w:pStyle w:val="Odstavekseznama"/>
        <w:numPr>
          <w:ilvl w:val="0"/>
          <w:numId w:val="5"/>
        </w:numPr>
        <w:spacing w:line="276" w:lineRule="auto"/>
        <w:ind w:left="284" w:hanging="284"/>
      </w:pPr>
      <w:r>
        <w:t>v primeru, da se pri izvajanju rednih meritev na iztoku iz obstoječega lovilnika olj v skladu z izdanim okoljevarstvenim dovoljenjem glede emisij v vode za obratovanje naprave Zbirni center Ruše št. 35441-4/2019-9 z dne 11. 7. 2019, pojavijo preseganja mejnih vrednosti določenih parametrov, je potrebno zagotoviti, da se industrijske odpadne vode pred iztokom v reko Dravo prečistijo na industrijskih čistilni napravi;</w:t>
      </w:r>
    </w:p>
    <w:p w:rsidR="0058691B" w:rsidRDefault="0058691B" w:rsidP="0058691B">
      <w:pPr>
        <w:pStyle w:val="Odstavekseznama"/>
        <w:numPr>
          <w:ilvl w:val="0"/>
          <w:numId w:val="5"/>
        </w:numPr>
        <w:spacing w:line="276" w:lineRule="auto"/>
        <w:ind w:left="284" w:hanging="284"/>
      </w:pPr>
      <w:r>
        <w:t xml:space="preserve">količina skladiščenih odpadkov pred predelavo na območju centra ne sme presegati 5.000 ton odpadkov hkratnega skladiščenja; </w:t>
      </w:r>
    </w:p>
    <w:p w:rsidR="0058691B" w:rsidRDefault="0058691B" w:rsidP="0058691B">
      <w:pPr>
        <w:pStyle w:val="Odstavekseznama"/>
        <w:numPr>
          <w:ilvl w:val="0"/>
          <w:numId w:val="5"/>
        </w:numPr>
        <w:spacing w:line="276" w:lineRule="auto"/>
        <w:ind w:left="284" w:hanging="284"/>
      </w:pPr>
      <w:r>
        <w:t>izpust padavinskih in prečiščenih tehnoloških odpadnih vod v vodotok Dravo mora biti predviden in izveden tako, da je izpustna glava oblikovana pod naklonom brežine vodotoka in ne sega v njen svetli profil. Opremljena mora biti s protipovratno zaklopko. Na območju iztoka mora biti struga vodotoka ustrezno zavarovana pred vodno erozijo. V kolikor obstoječ iztok ni ustrezen, ga bo potrebno sanirati, v skladu z zgoraj navedenim;</w:t>
      </w:r>
    </w:p>
    <w:p w:rsidR="0058691B" w:rsidRDefault="0058691B" w:rsidP="0058691B">
      <w:pPr>
        <w:pStyle w:val="Odstavekseznama"/>
        <w:numPr>
          <w:ilvl w:val="0"/>
          <w:numId w:val="5"/>
        </w:numPr>
        <w:spacing w:line="276" w:lineRule="auto"/>
        <w:ind w:left="284" w:hanging="284"/>
      </w:pPr>
      <w:r>
        <w:t>vsi zaposleni morajo biti poučeni o nevarnosti izlitja goriva, motornega olja ali drugih nevarnih snovi na površinah centra in o postopkih ravnanja v takšnih primerih,</w:t>
      </w:r>
    </w:p>
    <w:p w:rsidR="00C655B2" w:rsidRDefault="0058691B" w:rsidP="0058691B">
      <w:pPr>
        <w:pStyle w:val="Odstavekseznama"/>
        <w:numPr>
          <w:ilvl w:val="0"/>
          <w:numId w:val="5"/>
        </w:numPr>
        <w:spacing w:line="276" w:lineRule="auto"/>
        <w:ind w:left="284" w:hanging="284"/>
      </w:pPr>
      <w:r>
        <w:t>v primeru razlitja goriva ali olja je potrebno mesto onesnaženja takoj nevtralizirati z ustreznim absorpcijskim sredstvom, onesnaženo zemljino odstraniti, jo shraniti v zaprte posode in jo oddati kot nevaren odpadek ustreznemu zbiralcu ali izvajalcu obdelave tega odpadka. Vse tovrstne dogodke je potrebno vpisati v gradbeni dnevnik;</w:t>
      </w:r>
    </w:p>
    <w:p w:rsidR="0058691B" w:rsidRPr="00D353D4" w:rsidRDefault="0058691B" w:rsidP="0058691B">
      <w:pPr>
        <w:pStyle w:val="Odstavekseznama"/>
        <w:spacing w:line="276" w:lineRule="auto"/>
        <w:ind w:left="284"/>
      </w:pPr>
    </w:p>
    <w:p w:rsidR="00DA61A9" w:rsidRPr="00D353D4" w:rsidRDefault="00212464" w:rsidP="00212464">
      <w:pPr>
        <w:pStyle w:val="Odstavekseznama"/>
        <w:numPr>
          <w:ilvl w:val="0"/>
          <w:numId w:val="30"/>
        </w:numPr>
        <w:ind w:left="567" w:hanging="567"/>
      </w:pPr>
      <w:r w:rsidRPr="00D353D4">
        <w:t>V</w:t>
      </w:r>
      <w:r w:rsidR="00DA61A9" w:rsidRPr="00D353D4">
        <w:t>arstvo kakovosti zraka</w:t>
      </w:r>
      <w:r w:rsidRPr="00D353D4">
        <w:t xml:space="preserve"> v času obratovanja</w:t>
      </w:r>
      <w:r w:rsidR="00AB719A" w:rsidRPr="00D353D4">
        <w:t>:</w:t>
      </w:r>
    </w:p>
    <w:p w:rsidR="00DA61A9" w:rsidRPr="00D353D4" w:rsidRDefault="00AB719A" w:rsidP="00212464">
      <w:pPr>
        <w:pStyle w:val="Odstavekseznama"/>
        <w:numPr>
          <w:ilvl w:val="0"/>
          <w:numId w:val="5"/>
        </w:numPr>
        <w:spacing w:line="276" w:lineRule="auto"/>
        <w:ind w:left="284" w:hanging="284"/>
      </w:pPr>
      <w:r w:rsidRPr="00D353D4">
        <w:t xml:space="preserve">v sušnem vremenu je treba </w:t>
      </w:r>
      <w:r w:rsidR="00212464" w:rsidRPr="00D353D4">
        <w:t xml:space="preserve">zagotoviti </w:t>
      </w:r>
      <w:r w:rsidRPr="00D353D4">
        <w:t>v</w:t>
      </w:r>
      <w:r w:rsidR="00DA61A9" w:rsidRPr="00D353D4">
        <w:t xml:space="preserve">laženje </w:t>
      </w:r>
      <w:r w:rsidR="00212464" w:rsidRPr="00D353D4">
        <w:t>skladiščnih kupov lahkih frakcij</w:t>
      </w:r>
      <w:r w:rsidR="00DA61A9" w:rsidRPr="00D353D4">
        <w:t>;</w:t>
      </w:r>
    </w:p>
    <w:p w:rsidR="00AB719A" w:rsidRPr="00D353D4" w:rsidRDefault="00AB719A" w:rsidP="00AB719A">
      <w:pPr>
        <w:pStyle w:val="Odstavekseznama"/>
        <w:numPr>
          <w:ilvl w:val="0"/>
          <w:numId w:val="5"/>
        </w:numPr>
        <w:spacing w:line="276" w:lineRule="auto"/>
        <w:ind w:left="284" w:hanging="284"/>
      </w:pPr>
      <w:r w:rsidRPr="00D353D4">
        <w:t>predelava gradbenih odpadkov po postopku R5 se mora izvajati kontrolirano, kar pomeni, da mora biti zagotovljeno vlaženje gradbenih odpadkov v postopku predelave;</w:t>
      </w:r>
    </w:p>
    <w:p w:rsidR="00AB719A" w:rsidRPr="00D353D4" w:rsidRDefault="00AB719A" w:rsidP="00AB719A">
      <w:pPr>
        <w:pStyle w:val="Odstavekseznama"/>
        <w:numPr>
          <w:ilvl w:val="0"/>
          <w:numId w:val="5"/>
        </w:numPr>
        <w:spacing w:line="276" w:lineRule="auto"/>
        <w:ind w:left="284" w:hanging="284"/>
      </w:pPr>
      <w:r w:rsidRPr="00D353D4">
        <w:t>transportne poti in manipulacijske povr</w:t>
      </w:r>
      <w:r w:rsidRPr="00D353D4">
        <w:rPr>
          <w:rFonts w:hint="eastAsia"/>
        </w:rPr>
        <w:t>š</w:t>
      </w:r>
      <w:r w:rsidRPr="00D353D4">
        <w:t xml:space="preserve">ine je potrebno redno </w:t>
      </w:r>
      <w:r w:rsidRPr="00D353D4">
        <w:rPr>
          <w:rFonts w:hint="eastAsia"/>
        </w:rPr>
        <w:t>č</w:t>
      </w:r>
      <w:r w:rsidRPr="00D353D4">
        <w:t>istiti in v suhem vremenu stalno vla</w:t>
      </w:r>
      <w:r w:rsidRPr="00D353D4">
        <w:rPr>
          <w:rFonts w:hint="eastAsia"/>
        </w:rPr>
        <w:t>ž</w:t>
      </w:r>
      <w:r w:rsidRPr="00D353D4">
        <w:t>iti</w:t>
      </w:r>
    </w:p>
    <w:p w:rsidR="00AB719A" w:rsidRPr="00D353D4" w:rsidRDefault="00AB719A" w:rsidP="00AB719A">
      <w:pPr>
        <w:pStyle w:val="Odstavekseznama"/>
        <w:numPr>
          <w:ilvl w:val="0"/>
          <w:numId w:val="5"/>
        </w:numPr>
        <w:spacing w:line="276" w:lineRule="auto"/>
        <w:ind w:left="284" w:hanging="284"/>
      </w:pPr>
      <w:r w:rsidRPr="00D353D4">
        <w:rPr>
          <w:rFonts w:cs="Arial"/>
        </w:rPr>
        <w:t>delovni stroji in tovorna vozila je treba v primeru postanka ali parkiranja za več kot tri minute izklopiti motor in ne smejo obratovati v t.i. prostem teku;</w:t>
      </w:r>
    </w:p>
    <w:p w:rsidR="00AB719A" w:rsidRPr="00D353D4" w:rsidRDefault="00AB719A" w:rsidP="00AB719A">
      <w:pPr>
        <w:pStyle w:val="Odstavekseznama"/>
        <w:spacing w:line="276" w:lineRule="auto"/>
        <w:ind w:left="284"/>
      </w:pPr>
    </w:p>
    <w:p w:rsidR="003825D1" w:rsidRPr="00D353D4" w:rsidRDefault="003825D1" w:rsidP="003825D1">
      <w:pPr>
        <w:pStyle w:val="Odstavekseznama"/>
        <w:numPr>
          <w:ilvl w:val="0"/>
          <w:numId w:val="30"/>
        </w:numPr>
        <w:ind w:left="567" w:hanging="567"/>
      </w:pPr>
      <w:r w:rsidRPr="00D353D4">
        <w:t>Varstvo pred hrupom</w:t>
      </w:r>
      <w:r w:rsidR="00C562F2" w:rsidRPr="00D353D4">
        <w:t xml:space="preserve"> v času </w:t>
      </w:r>
      <w:r w:rsidR="00AB719A" w:rsidRPr="00D353D4">
        <w:t>obratovanja</w:t>
      </w:r>
      <w:r w:rsidR="00D44406" w:rsidRPr="00D353D4">
        <w:t>:</w:t>
      </w:r>
    </w:p>
    <w:p w:rsidR="00DB408F" w:rsidRPr="00D353D4" w:rsidRDefault="00473764" w:rsidP="00DB408F">
      <w:pPr>
        <w:pStyle w:val="Odstavekseznama"/>
        <w:numPr>
          <w:ilvl w:val="0"/>
          <w:numId w:val="5"/>
        </w:numPr>
        <w:spacing w:line="276" w:lineRule="auto"/>
        <w:ind w:left="284" w:hanging="284"/>
      </w:pPr>
      <w:r w:rsidRPr="00D353D4">
        <w:t>izvajanje predelave nenevarnih odpadkov je dovoljeno</w:t>
      </w:r>
      <w:r w:rsidR="00DB408F" w:rsidRPr="00D353D4">
        <w:t xml:space="preserve"> le</w:t>
      </w:r>
      <w:r w:rsidR="0058691B">
        <w:t xml:space="preserve"> ob delovnikih</w:t>
      </w:r>
      <w:r w:rsidR="00DB408F" w:rsidRPr="00D353D4">
        <w:t xml:space="preserve"> </w:t>
      </w:r>
      <w:r w:rsidRPr="00D353D4">
        <w:t>v dnevnem času me</w:t>
      </w:r>
      <w:r w:rsidR="0058691B">
        <w:t>d 6</w:t>
      </w:r>
      <w:r w:rsidR="00DB408F" w:rsidRPr="00D353D4">
        <w:t>.00 in 18.00 uro</w:t>
      </w:r>
      <w:r w:rsidRPr="00D353D4">
        <w:t>, izvajanje predelave v večernih in nočnih urah ni dopustno</w:t>
      </w:r>
      <w:r w:rsidR="0058691B">
        <w:t>;</w:t>
      </w:r>
    </w:p>
    <w:p w:rsidR="00DB408F" w:rsidRPr="00D353D4" w:rsidRDefault="00DB408F" w:rsidP="00DB408F">
      <w:pPr>
        <w:ind w:left="567"/>
      </w:pPr>
    </w:p>
    <w:p w:rsidR="00696E1B" w:rsidRPr="00D353D4" w:rsidRDefault="00473764" w:rsidP="003825D1">
      <w:pPr>
        <w:pStyle w:val="Odstavekseznama"/>
        <w:numPr>
          <w:ilvl w:val="0"/>
          <w:numId w:val="30"/>
        </w:numPr>
        <w:ind w:left="567" w:hanging="567"/>
      </w:pPr>
      <w:r w:rsidRPr="00D353D4">
        <w:t>Varstvo pred okoljskimi nesrečami v času obratovanja</w:t>
      </w:r>
      <w:r w:rsidR="00D44406" w:rsidRPr="00D353D4">
        <w:t>:</w:t>
      </w:r>
    </w:p>
    <w:p w:rsidR="00542AEA" w:rsidRPr="00D353D4" w:rsidRDefault="00473764" w:rsidP="00473764">
      <w:pPr>
        <w:pStyle w:val="Odstavekseznama"/>
        <w:numPr>
          <w:ilvl w:val="0"/>
          <w:numId w:val="5"/>
        </w:numPr>
        <w:spacing w:line="276" w:lineRule="auto"/>
        <w:ind w:left="284" w:hanging="284"/>
      </w:pPr>
      <w:r w:rsidRPr="00D353D4">
        <w:t>količina hkrati skladiščenih odpadkov s številko 19 12 12 in drugih potencialno trdnih gorljivih odpadkov ne sme presegati količine 200 m³. Take odpadke je treba skladiščiti ločeno od drugih odpadkov.</w:t>
      </w:r>
    </w:p>
    <w:p w:rsidR="00C10ED0" w:rsidRPr="00D353D4" w:rsidRDefault="00C10ED0" w:rsidP="00594118">
      <w:pPr>
        <w:pStyle w:val="Zamik1"/>
      </w:pPr>
    </w:p>
    <w:p w:rsidR="0058691B" w:rsidRDefault="00C10ED0" w:rsidP="0058691B">
      <w:pPr>
        <w:pStyle w:val="NatevanjeIIIIII"/>
      </w:pPr>
      <w:r w:rsidRPr="00D353D4">
        <w:lastRenderedPageBreak/>
        <w:t>Investitor mora pri nadaljnjem projektiranju, med gradnjo in uporabo objekta poleg pogojev, navedenih v prejšnji točki upo</w:t>
      </w:r>
      <w:r w:rsidRPr="00D353D4">
        <w:rPr>
          <w:rFonts w:hint="eastAsia"/>
        </w:rPr>
        <w:t>š</w:t>
      </w:r>
      <w:r w:rsidRPr="00D353D4">
        <w:t>tevati tudi pogoje</w:t>
      </w:r>
      <w:r w:rsidR="00951EAC" w:rsidRPr="00D353D4">
        <w:t xml:space="preserve">, ki </w:t>
      </w:r>
      <w:r w:rsidRPr="00D353D4">
        <w:t>imajo ustrezno pravno podlago in so jih k izvedbi gradnje in uporabi objekta iz vidika njihove pristojnosti podali mnenjedajalci</w:t>
      </w:r>
      <w:r w:rsidR="00084680" w:rsidRPr="00D353D4">
        <w:t>,</w:t>
      </w:r>
      <w:r w:rsidRPr="00D353D4">
        <w:t xml:space="preserve"> navedeni v točki</w:t>
      </w:r>
      <w:r w:rsidR="00084680" w:rsidRPr="00D353D4">
        <w:t xml:space="preserve"> I</w:t>
      </w:r>
      <w:r w:rsidR="00F07716" w:rsidRPr="00D353D4">
        <w:t>V</w:t>
      </w:r>
      <w:r w:rsidR="00EE1D75" w:rsidRPr="00D353D4">
        <w:t>.</w:t>
      </w:r>
      <w:r w:rsidR="00F07716" w:rsidRPr="00D353D4">
        <w:t xml:space="preserve"> izreka tega dovoljenja</w:t>
      </w:r>
      <w:r w:rsidR="0058691B">
        <w:t>:</w:t>
      </w:r>
    </w:p>
    <w:p w:rsidR="0058691B" w:rsidRDefault="0058691B" w:rsidP="0058691B">
      <w:pPr>
        <w:pStyle w:val="Odstavekseznama"/>
        <w:numPr>
          <w:ilvl w:val="0"/>
          <w:numId w:val="5"/>
        </w:numPr>
        <w:spacing w:line="276" w:lineRule="auto"/>
        <w:ind w:left="284" w:hanging="284"/>
      </w:pPr>
      <w:r w:rsidRPr="00D353D4">
        <w:t xml:space="preserve"> </w:t>
      </w:r>
      <w:r>
        <w:t>v času izvajanja posega je investitor dolžan zagotoviti geomehanski nadzor ter vse potrebne varnostne ukrepe in tako organizacijo na gradbišču, da bo preprečeno onesnaženje okolja in voda, ki bi nastalo zaradi transporta, skladiščenja in uporab« tekočih goriv in drugih nevarnih snovi oz. v primeru nezgod zagotoviti takojšnje ukrepanje za to usposobljenih delavcev. Vsa začasna skladišča in pretakališča goriv, olj in maziv ter drugih nevarnih snovi morajo biti zaščitena pred možnostjo izliva v tla in v vodotoke.</w:t>
      </w:r>
    </w:p>
    <w:p w:rsidR="00C10ED0" w:rsidRDefault="0058691B" w:rsidP="0058691B">
      <w:pPr>
        <w:pStyle w:val="Odstavekseznama"/>
        <w:numPr>
          <w:ilvl w:val="0"/>
          <w:numId w:val="5"/>
        </w:numPr>
        <w:spacing w:line="276" w:lineRule="auto"/>
        <w:ind w:left="284" w:hanging="284"/>
      </w:pPr>
      <w:r>
        <w:t>po končanem posegu je treba odstraniti vse za potrebe posega postavljene provizorije in odstraniti vse ostanke začasnih deponij. Vse s posegom prizadete površine je treba krajinsko ustrezno urediti.</w:t>
      </w:r>
    </w:p>
    <w:p w:rsidR="0058691B" w:rsidRPr="00D353D4" w:rsidRDefault="0058691B" w:rsidP="0058691B">
      <w:pPr>
        <w:pStyle w:val="Odstavekseznama"/>
        <w:spacing w:line="276" w:lineRule="auto"/>
        <w:ind w:left="284"/>
      </w:pPr>
    </w:p>
    <w:p w:rsidR="007E33FF" w:rsidRPr="00D353D4" w:rsidRDefault="00C10ED0" w:rsidP="00282CB1">
      <w:pPr>
        <w:pStyle w:val="NatevanjeIIIIII"/>
      </w:pPr>
      <w:r w:rsidRPr="00D353D4">
        <w:t>To dovoljenje preneha veljati</w:t>
      </w:r>
      <w:r w:rsidR="00951EAC" w:rsidRPr="00D353D4">
        <w:t xml:space="preserve">, če </w:t>
      </w:r>
      <w:r w:rsidRPr="00D353D4">
        <w:t>investitor v roku pet let po njegovi pravnomočnosti ne vloži popolne prijave začetka gradnje.</w:t>
      </w:r>
    </w:p>
    <w:p w:rsidR="007E33FF" w:rsidRPr="00D353D4" w:rsidRDefault="007E33FF" w:rsidP="007E33FF"/>
    <w:p w:rsidR="007E33FF" w:rsidRPr="00D353D4" w:rsidRDefault="00C10ED0" w:rsidP="00282CB1">
      <w:pPr>
        <w:pStyle w:val="NatevanjeIIIIII"/>
      </w:pPr>
      <w:r w:rsidRPr="00D353D4">
        <w:t>Zaradi te gradnje ne smejo biti prizadete pravice in pravne koristi tretjih oseb. Škodo</w:t>
      </w:r>
      <w:r w:rsidR="00951EAC" w:rsidRPr="00D353D4">
        <w:t xml:space="preserve">, ki </w:t>
      </w:r>
      <w:r w:rsidRPr="00D353D4">
        <w:t>bi nastala zaradi kršitev pravic in pravnih koristi teh oseb, trpi investitor.</w:t>
      </w:r>
    </w:p>
    <w:p w:rsidR="007E33FF" w:rsidRPr="00D353D4" w:rsidRDefault="007E33FF" w:rsidP="007E33FF"/>
    <w:p w:rsidR="00C10ED0" w:rsidRPr="00D353D4" w:rsidRDefault="00C10ED0" w:rsidP="00282CB1">
      <w:pPr>
        <w:pStyle w:val="NatevanjeIIIIII"/>
      </w:pPr>
      <w:r w:rsidRPr="00D353D4">
        <w:t>Posebni stroški za izdajo tega dovoljenja niso bili zaznamovani.</w:t>
      </w:r>
    </w:p>
    <w:p w:rsidR="00C10ED0" w:rsidRPr="00D353D4" w:rsidRDefault="00C10ED0" w:rsidP="00951EAC">
      <w:pPr>
        <w:tabs>
          <w:tab w:val="left" w:pos="284"/>
        </w:tabs>
        <w:rPr>
          <w:rFonts w:cs="Arial"/>
        </w:rPr>
      </w:pPr>
    </w:p>
    <w:p w:rsidR="00D44406" w:rsidRPr="00D353D4" w:rsidRDefault="00D44406" w:rsidP="00951EAC">
      <w:pPr>
        <w:tabs>
          <w:tab w:val="left" w:pos="284"/>
        </w:tabs>
        <w:rPr>
          <w:rFonts w:cs="Arial"/>
        </w:rPr>
      </w:pPr>
    </w:p>
    <w:p w:rsidR="00C10ED0" w:rsidRPr="00105F3A" w:rsidRDefault="00C10ED0" w:rsidP="00951EAC">
      <w:pPr>
        <w:pStyle w:val="Naslov"/>
        <w:rPr>
          <w:rFonts w:cs="Arial"/>
        </w:rPr>
      </w:pPr>
      <w:r w:rsidRPr="00D353D4">
        <w:rPr>
          <w:rFonts w:cs="Arial"/>
        </w:rPr>
        <w:t>Obrazložitev:</w:t>
      </w:r>
    </w:p>
    <w:p w:rsidR="00D44406" w:rsidRDefault="00D44406" w:rsidP="00D44406"/>
    <w:p w:rsidR="001B0E86" w:rsidRPr="00D44406" w:rsidRDefault="001B0E86" w:rsidP="00D44406"/>
    <w:p w:rsidR="00C10ED0" w:rsidRPr="00FD163B" w:rsidRDefault="0058691B" w:rsidP="005738B5">
      <w:pPr>
        <w:pStyle w:val="Natevanje123"/>
        <w:rPr>
          <w:rFonts w:cs="Arial"/>
        </w:rPr>
      </w:pPr>
      <w:r w:rsidRPr="00A37EA9">
        <w:rPr>
          <w:rFonts w:cs="Arial"/>
        </w:rPr>
        <w:t xml:space="preserve">(1) </w:t>
      </w:r>
      <w:r w:rsidR="00C10ED0" w:rsidRPr="00A37EA9">
        <w:rPr>
          <w:rFonts w:cs="Arial"/>
        </w:rPr>
        <w:t xml:space="preserve">Investitor </w:t>
      </w:r>
      <w:r w:rsidR="00CA6DE2" w:rsidRPr="00A37EA9">
        <w:t>Vaukan d.o.o., Poljana 1, 2391 Prevalje, ki ga po pooblastilu zastopa AD-svetovanje, Anes Durgutović s.p., Levstikova ulica 12a, 1241 Kamnik,</w:t>
      </w:r>
      <w:r w:rsidR="00CA6DE2" w:rsidRPr="00A37EA9">
        <w:rPr>
          <w:rFonts w:cs="Arial"/>
        </w:rPr>
        <w:t xml:space="preserve"> </w:t>
      </w:r>
      <w:r w:rsidR="003D3FA2" w:rsidRPr="00A37EA9">
        <w:rPr>
          <w:rFonts w:cs="Arial"/>
        </w:rPr>
        <w:t>je dne</w:t>
      </w:r>
      <w:r w:rsidR="00CA6DE2" w:rsidRPr="00A37EA9">
        <w:rPr>
          <w:rFonts w:cs="Arial"/>
        </w:rPr>
        <w:t xml:space="preserve"> 8</w:t>
      </w:r>
      <w:r w:rsidR="003D3FA2" w:rsidRPr="00A37EA9">
        <w:rPr>
          <w:rFonts w:cs="Arial"/>
        </w:rPr>
        <w:t>.</w:t>
      </w:r>
      <w:r w:rsidR="00424E37">
        <w:rPr>
          <w:rFonts w:cs="Arial"/>
        </w:rPr>
        <w:t> </w:t>
      </w:r>
      <w:r w:rsidR="00CA6DE2" w:rsidRPr="00A37EA9">
        <w:rPr>
          <w:rFonts w:cs="Arial"/>
        </w:rPr>
        <w:t>6</w:t>
      </w:r>
      <w:r w:rsidR="003D3FA2" w:rsidRPr="00A37EA9">
        <w:rPr>
          <w:rFonts w:cs="Arial"/>
        </w:rPr>
        <w:t>.</w:t>
      </w:r>
      <w:r w:rsidR="000B2BC1" w:rsidRPr="00A37EA9">
        <w:rPr>
          <w:rFonts w:cs="Arial"/>
        </w:rPr>
        <w:t> </w:t>
      </w:r>
      <w:r w:rsidR="003D3FA2" w:rsidRPr="00A37EA9">
        <w:rPr>
          <w:rFonts w:cs="Arial"/>
        </w:rPr>
        <w:t>20</w:t>
      </w:r>
      <w:r w:rsidR="00CA6DE2" w:rsidRPr="00A37EA9">
        <w:rPr>
          <w:rFonts w:cs="Arial"/>
        </w:rPr>
        <w:t>20</w:t>
      </w:r>
      <w:r w:rsidR="00C10ED0" w:rsidRPr="00A37EA9">
        <w:rPr>
          <w:rFonts w:cs="Arial"/>
        </w:rPr>
        <w:t xml:space="preserve"> </w:t>
      </w:r>
      <w:r w:rsidR="00C10ED0" w:rsidRPr="00A37EA9">
        <w:t xml:space="preserve">pri Ministrstvu za okolje in prostor podal zahtevo za izdajo gradbenega dovoljenja za </w:t>
      </w:r>
      <w:r w:rsidR="00CA6DE2" w:rsidRPr="00A37EA9">
        <w:t>spremembo namembnosti objekta v objekt za predelavo nenevarnih odpadkov</w:t>
      </w:r>
      <w:r w:rsidR="00C10ED0" w:rsidRPr="00A37EA9">
        <w:rPr>
          <w:rFonts w:cs="Arial"/>
        </w:rPr>
        <w:t xml:space="preserve">. K vlogi je </w:t>
      </w:r>
      <w:r w:rsidR="002B70CC" w:rsidRPr="00A37EA9">
        <w:rPr>
          <w:rFonts w:cs="Arial"/>
        </w:rPr>
        <w:t>bila</w:t>
      </w:r>
      <w:r w:rsidR="00C10ED0" w:rsidRPr="00A37EA9">
        <w:rPr>
          <w:rFonts w:cs="Arial"/>
        </w:rPr>
        <w:t xml:space="preserve"> v skladu z 51. členom GZ prilož</w:t>
      </w:r>
      <w:r w:rsidR="002B70CC" w:rsidRPr="00A37EA9">
        <w:rPr>
          <w:rFonts w:cs="Arial"/>
        </w:rPr>
        <w:t>ena</w:t>
      </w:r>
      <w:r w:rsidR="00C10ED0" w:rsidRPr="00A37EA9">
        <w:rPr>
          <w:rFonts w:cs="Arial"/>
        </w:rPr>
        <w:t xml:space="preserve"> </w:t>
      </w:r>
      <w:r w:rsidR="002B70CC" w:rsidRPr="00A37EA9">
        <w:rPr>
          <w:rFonts w:cs="Arial"/>
        </w:rPr>
        <w:t>projektna dokumentacija</w:t>
      </w:r>
      <w:r w:rsidR="00C10ED0" w:rsidRPr="00A37EA9">
        <w:rPr>
          <w:rFonts w:cs="Arial"/>
        </w:rPr>
        <w:t xml:space="preserve"> za pridobitev mnenj i</w:t>
      </w:r>
      <w:r w:rsidR="00696E1B" w:rsidRPr="00A37EA9">
        <w:rPr>
          <w:rFonts w:cs="Arial"/>
        </w:rPr>
        <w:t>n gradbenega dovoljenja (DGD) ter</w:t>
      </w:r>
      <w:r w:rsidR="00C10ED0" w:rsidRPr="00A37EA9">
        <w:rPr>
          <w:rFonts w:cs="Arial"/>
        </w:rPr>
        <w:t xml:space="preserve"> poročilo o vplivih na okolje (PVO)</w:t>
      </w:r>
      <w:r w:rsidR="00951EAC" w:rsidRPr="00A37EA9">
        <w:rPr>
          <w:rFonts w:cs="Arial"/>
        </w:rPr>
        <w:t xml:space="preserve">, ki </w:t>
      </w:r>
      <w:r w:rsidR="00C10ED0" w:rsidRPr="00A37EA9">
        <w:rPr>
          <w:rFonts w:cs="Arial"/>
        </w:rPr>
        <w:t>sta navedena v točki III. izreka tega dovoljenja</w:t>
      </w:r>
      <w:r w:rsidR="00CA6DE2" w:rsidRPr="00A37EA9">
        <w:rPr>
          <w:rFonts w:cs="Arial"/>
        </w:rPr>
        <w:t xml:space="preserve">. </w:t>
      </w:r>
    </w:p>
    <w:p w:rsidR="00C10ED0" w:rsidRDefault="00C10ED0" w:rsidP="00951EAC">
      <w:pPr>
        <w:rPr>
          <w:rFonts w:cs="Arial"/>
        </w:rPr>
      </w:pPr>
    </w:p>
    <w:p w:rsidR="00C10ED0" w:rsidRDefault="00BE50B4" w:rsidP="005738B5">
      <w:pPr>
        <w:pStyle w:val="Natevanje123"/>
      </w:pPr>
      <w:r w:rsidRPr="00BE50B4">
        <w:t xml:space="preserve">(2) Investitor </w:t>
      </w:r>
      <w:r w:rsidR="00C10ED0" w:rsidRPr="00BE50B4">
        <w:t>je vlogo za izdajo gradbenega dovoljenja na zahtevo upravnega organa večkrat dopolnil, nazadnje dne</w:t>
      </w:r>
      <w:r w:rsidR="00A55061" w:rsidRPr="00BE50B4">
        <w:t xml:space="preserve"> </w:t>
      </w:r>
      <w:r w:rsidR="0058691B" w:rsidRPr="00BE50B4">
        <w:t>10.</w:t>
      </w:r>
      <w:r w:rsidR="009A2BA8">
        <w:t xml:space="preserve"> </w:t>
      </w:r>
      <w:r w:rsidR="0058691B" w:rsidRPr="00BE50B4">
        <w:t>3.</w:t>
      </w:r>
      <w:r w:rsidR="009A2BA8">
        <w:t xml:space="preserve"> </w:t>
      </w:r>
      <w:r w:rsidR="0058691B" w:rsidRPr="00BE50B4">
        <w:t>2021</w:t>
      </w:r>
      <w:r w:rsidR="00C10ED0" w:rsidRPr="00BE50B4">
        <w:t>.</w:t>
      </w:r>
    </w:p>
    <w:p w:rsidR="00C10ED0" w:rsidRPr="00BE4028" w:rsidRDefault="00C10ED0" w:rsidP="00951EAC"/>
    <w:p w:rsidR="00874A37" w:rsidRDefault="00BE50B4" w:rsidP="005738B5">
      <w:pPr>
        <w:pStyle w:val="Natevanje123"/>
      </w:pPr>
      <w:r w:rsidRPr="00BE50B4">
        <w:t>(</w:t>
      </w:r>
      <w:r>
        <w:t>3</w:t>
      </w:r>
      <w:r w:rsidRPr="00BE50B4">
        <w:t xml:space="preserve">) </w:t>
      </w:r>
      <w:r w:rsidR="00C10ED0" w:rsidRPr="004571D8">
        <w:t>Upravni organ ugotavlja</w:t>
      </w:r>
      <w:r w:rsidR="00951EAC" w:rsidRPr="004571D8">
        <w:t xml:space="preserve">, da </w:t>
      </w:r>
      <w:r w:rsidR="00C10ED0" w:rsidRPr="004571D8">
        <w:t>se zahtevek za izdajo gradbenega dovoljenja nanaša na</w:t>
      </w:r>
      <w:r w:rsidR="00ED37A1" w:rsidRPr="004571D8">
        <w:t xml:space="preserve"> </w:t>
      </w:r>
      <w:r w:rsidR="00CA6DE2" w:rsidRPr="004571D8">
        <w:t>spremembo namembnosti objekta</w:t>
      </w:r>
      <w:r w:rsidR="00EF3F73" w:rsidRPr="004571D8">
        <w:t xml:space="preserve"> v</w:t>
      </w:r>
      <w:r w:rsidR="00CA6DE2" w:rsidRPr="004571D8">
        <w:t xml:space="preserve"> upravljanju Centr</w:t>
      </w:r>
      <w:r w:rsidR="00EF3F73" w:rsidRPr="004571D8">
        <w:t>a</w:t>
      </w:r>
      <w:r w:rsidR="00CA6DE2" w:rsidRPr="004571D8">
        <w:t xml:space="preserve"> za zbiranje nenevarnih odpadkov na lokaciji Ruše</w:t>
      </w:r>
      <w:r w:rsidR="004571D8">
        <w:t xml:space="preserve">. Objekt prestavlja betonski plato z armiranobetonskimi stenami, ki je bil zgrajen na podlagi gradbenega dovoljenja za </w:t>
      </w:r>
      <w:r w:rsidR="004E0623">
        <w:t>graditev odprtega skladišča</w:t>
      </w:r>
      <w:r w:rsidR="0063607F">
        <w:t xml:space="preserve"> </w:t>
      </w:r>
      <w:r w:rsidR="004E0623">
        <w:t>št. 351-</w:t>
      </w:r>
      <w:r w:rsidR="004E0623" w:rsidRPr="004E0623">
        <w:t>1138/72-7/2-Ma</w:t>
      </w:r>
      <w:r w:rsidR="004E0623">
        <w:t xml:space="preserve"> z dne 25. </w:t>
      </w:r>
      <w:r w:rsidR="00C00DC9">
        <w:t xml:space="preserve">7. 1972 in gradbenega dovoljenja za rekonstrukcijo in razširitev centralnega skladišča surovin št. </w:t>
      </w:r>
      <w:r w:rsidR="00C00DC9" w:rsidRPr="004E0623">
        <w:t>351-1411/81-11/2-9</w:t>
      </w:r>
      <w:r w:rsidR="006C4470">
        <w:t>.</w:t>
      </w:r>
      <w:r w:rsidR="00C00DC9">
        <w:t>z dne 2. 10. 1981, ki ju je</w:t>
      </w:r>
      <w:r w:rsidR="0063607F">
        <w:t xml:space="preserve"> takratnemu</w:t>
      </w:r>
      <w:r w:rsidR="00C00DC9">
        <w:t xml:space="preserve"> </w:t>
      </w:r>
      <w:r w:rsidR="0063607F">
        <w:t xml:space="preserve">investitorju Tovarni Dušika Ruše </w:t>
      </w:r>
      <w:r w:rsidR="00C00DC9">
        <w:t>izdala Skupščina občine Maribor, Oddelek za gradbene in komunalne zadeve.</w:t>
      </w:r>
      <w:r w:rsidR="0063607F">
        <w:t xml:space="preserve"> </w:t>
      </w:r>
      <w:r w:rsidR="00CA6DE2">
        <w:t>Podjetje želi razširiti področje svojega delovanja na način, da zagotovi pogoje za predelavo nenevarnih odpadkov po postopkih R5 in R12 v sklopu lokacije Centra za nenevarne odpadke Vaukan na lokaciji Ruše.</w:t>
      </w:r>
      <w:r w:rsidR="001A6F31">
        <w:t xml:space="preserve"> </w:t>
      </w:r>
      <w:r w:rsidR="00CA6DE2">
        <w:t xml:space="preserve">Center za nenevarne odpadke Vaukan na lokaciji Ruše v sklopu katerega je predvidena predelava </w:t>
      </w:r>
      <w:r w:rsidR="001A6F31">
        <w:t xml:space="preserve"> </w:t>
      </w:r>
      <w:r w:rsidR="00CA6DE2">
        <w:t>nenevarnih odpadkov obsega zemljišča s parcelnimi številkami 118, 119/1, 119/2, 121 vse k.o. 665-Ruše. Na predmetni lokaciji so prisotne urejene površine odprtega skladišča surovin, ki so bile zgrajene v sklopu območja industrijske cone nekdanje Tovarne dušika Ruše (TDR). Za izvedene ureditve je bilo pridobljeno gradbeno dovoljenje in uporabno dovoljenje. Na lokaciji je obstoječa betonska plošča – sektorsko grajena, ki je izvedena v nepropustni (betonski) izvedbi in opremljena z infrastrukturo za odvod padavinskih odpadnih voda. Na teh površinah so izvedene vmesne pregrade. Prostor na območju lokacije je segmenten, izvedeni s prekati velikosti (okvirne velikosti od ca. 900 m</w:t>
      </w:r>
      <w:r w:rsidR="001A6F31">
        <w:rPr>
          <w:rFonts w:cs="Arial"/>
        </w:rPr>
        <w:t>²</w:t>
      </w:r>
      <w:r w:rsidR="00CA6DE2">
        <w:t xml:space="preserve"> do ca. 2000 m</w:t>
      </w:r>
      <w:r w:rsidR="001A6F31">
        <w:rPr>
          <w:rFonts w:cs="Arial"/>
        </w:rPr>
        <w:t>²</w:t>
      </w:r>
      <w:r w:rsidR="00CA6DE2">
        <w:t xml:space="preserve">). Podjetje želi </w:t>
      </w:r>
      <w:r w:rsidR="00CA6DE2">
        <w:lastRenderedPageBreak/>
        <w:t>izvesti spremembo namembnosti in prostor nameniti za prevzem in predelavo nenevarnih odpadkov po izbranih postopkih.</w:t>
      </w:r>
    </w:p>
    <w:p w:rsidR="00CA6DE2" w:rsidRDefault="00CA6DE2" w:rsidP="00CA6DE2">
      <w:pPr>
        <w:rPr>
          <w:highlight w:val="green"/>
        </w:rPr>
      </w:pPr>
    </w:p>
    <w:p w:rsidR="00BE50B4" w:rsidRDefault="00BE50B4" w:rsidP="005738B5">
      <w:pPr>
        <w:pStyle w:val="Natevanje123"/>
      </w:pPr>
      <w:bookmarkStart w:id="0" w:name="OLE_LINK2"/>
      <w:r w:rsidRPr="00BE50B4">
        <w:t>(4) Upravni organ ugotavlja, da je nameravani poseg objekt z vplivi na okolje, za katerega je treba izvesti presojo vplivov na okolje. Obveznost presoje vplivov na okolje se ugotavlja po Uredbi o posegih v okolje, za katere je treba izvesti presojo vplivov na okolje (Uradni list RS, št. 51/14, 57/15, 26/17 in 105/20; v nadaljevanju Uredba o posegih v okolje). Presoja vplivov na okolje je v skladu s točko E.I.7.3 priloge 1 Uredbe o posegih v okolje obvezna kadar gre za naprave za druge postopke odstranjevanja ali predelave odpadkov, razen E.I.1 - E.I.6, ko gre za nenevarne odpadke in zmogljivost znaša 100 t na dan ali več. Zahtevek investitorja se nanaša na spremembo namembnosti objekta v objekt za predelavo nenevarnih odpadkov po postopkih R5 in R12 v sklopu lokacije Centra za nenevarne odpadke Vaukan na lokaciji Ruše. Z ozirom na dejstvo, da gre za kombinirane postopke predelave kovinskih in metalurških odpadkov ter gradbenih odpadkov, kot zahtevnih odpadnih materialov iz metalurških in drugih procesov je največja dnevna zmogljivost predelave odpadkov območju centra določena za napravo kot celoto: dnevna zmogljivost: 550 t/dan in letna zmogljivost: 143.000 t/leto. Upoštevajoč navedeno in vse procese skupna kapaciteta naprave znaša do 550 ton/dan in do 143.000 ton/leto. Iz navedenega izhaja, da predmetni poseg presega kriterij iz točke E.I.7.3 priloge 1 Uredbe o posegih v okolje, zato je za takšen poseg potrebno izvesti presojo vplivov na okolje. Postopek se vodi kot integralni postopek v skladu s IV. poglavjem GZ, gradbeno dovoljenje pa združuje odločitev o izpolnjevanju pogojev za izdajo gradbenega dovoljenja in okoljevarstvenega soglasja (1. odstavek 50. člena GZ).</w:t>
      </w:r>
    </w:p>
    <w:p w:rsidR="00BE50B4" w:rsidRDefault="00BE50B4" w:rsidP="005738B5">
      <w:pPr>
        <w:pStyle w:val="Natevanje123"/>
      </w:pPr>
    </w:p>
    <w:p w:rsidR="00C10ED0" w:rsidRDefault="006B0B4C" w:rsidP="005738B5">
      <w:pPr>
        <w:pStyle w:val="Natevanje123"/>
      </w:pPr>
      <w:r>
        <w:t>(5) Upravni organ je na podlagi določb 43. in 57. člena GZ</w:t>
      </w:r>
      <w:r w:rsidR="00BE50B4" w:rsidRPr="00BE50B4">
        <w:t xml:space="preserve"> v postopku ugotovil:</w:t>
      </w:r>
    </w:p>
    <w:p w:rsidR="006D6550" w:rsidRPr="006D6550" w:rsidRDefault="006D6550" w:rsidP="006D6550"/>
    <w:p w:rsidR="002E06DC" w:rsidRPr="00F04A8B" w:rsidRDefault="006D6550" w:rsidP="006957C8">
      <w:pPr>
        <w:pStyle w:val="Odstavekseznama"/>
        <w:numPr>
          <w:ilvl w:val="0"/>
          <w:numId w:val="10"/>
        </w:numPr>
        <w:tabs>
          <w:tab w:val="left" w:pos="567"/>
        </w:tabs>
        <w:autoSpaceDE w:val="0"/>
        <w:autoSpaceDN w:val="0"/>
        <w:adjustRightInd w:val="0"/>
        <w:ind w:left="0" w:firstLine="0"/>
      </w:pPr>
      <w:r>
        <w:t>Predvidena sprememba namembnosti</w:t>
      </w:r>
      <w:r w:rsidRPr="003B1819">
        <w:t xml:space="preserve"> je skladna z določbami prostorskega izvedbenega akta v delu, ki se nanaša na graditev objektov in z določbami predpisov o urejanju prostora. Obravnavana</w:t>
      </w:r>
      <w:r w:rsidRPr="00E911F7">
        <w:t xml:space="preserve"> gradnja se nahaja</w:t>
      </w:r>
      <w:r>
        <w:t xml:space="preserve"> na stavbnem zemljišču </w:t>
      </w:r>
      <w:r w:rsidRPr="00E911F7">
        <w:t xml:space="preserve">v enoti urejanja </w:t>
      </w:r>
      <w:r w:rsidRPr="003B1819">
        <w:t>prostora - EUP RU26</w:t>
      </w:r>
      <w:r>
        <w:t xml:space="preserve"> - </w:t>
      </w:r>
      <w:r w:rsidRPr="00D905DB">
        <w:t xml:space="preserve">industrijsko območje nekdanje </w:t>
      </w:r>
      <w:r>
        <w:t>Tovarne dušika Ruše (</w:t>
      </w:r>
      <w:r w:rsidRPr="00D905DB">
        <w:t>TDR</w:t>
      </w:r>
      <w:r>
        <w:t>)</w:t>
      </w:r>
      <w:r w:rsidRPr="003B1819">
        <w:t>, tip J1, s podrobnejšo namensko rabo IP - površine za industrijo, ki se ureja z Odlokom o občinskem prostorskem načrtu Občine Ruše (Medobčinski uradni vestnik Štajerske in Koroške regije, št. 26/10,</w:t>
      </w:r>
      <w:r>
        <w:t xml:space="preserve"> 7/11 </w:t>
      </w:r>
      <w:r w:rsidRPr="003B1819">
        <w:t>- obvezna razlaga in Uradno glasilo slovenskih občin, 38/12 – obvezna razlaga,  št. 7/13 – sprememba in dopolnitev, 5/15 – obvezna razlaga; v nadaljevanju OPN).</w:t>
      </w:r>
      <w:r>
        <w:t xml:space="preserve"> Glede na določilo 12. člena OPN</w:t>
      </w:r>
      <w:r w:rsidRPr="003B1819">
        <w:t xml:space="preserve"> </w:t>
      </w:r>
      <w:r>
        <w:t xml:space="preserve">je </w:t>
      </w:r>
      <w:r w:rsidR="008C1093">
        <w:t xml:space="preserve">namenska raba v </w:t>
      </w:r>
      <w:r>
        <w:t xml:space="preserve">EUP RU26 </w:t>
      </w:r>
      <w:r w:rsidRPr="00D905DB">
        <w:t xml:space="preserve">opredeljena kot območje proizvodnih dejavnosti, podrobnejša </w:t>
      </w:r>
      <w:r w:rsidR="008C1093">
        <w:t xml:space="preserve">namenska raba </w:t>
      </w:r>
      <w:r w:rsidRPr="00D905DB">
        <w:t xml:space="preserve">pa kot površine za industrijo (IP), ki so namenjene industrijskim dejavnostim, kjer je skladno z določilom petega odstavka predmetnega člena med drugim dopustna sprememba namembnosti z možnostjo prepletanja dejavnosti. Skladno z določilom tretjega in četrtega odstavka </w:t>
      </w:r>
      <w:r>
        <w:t xml:space="preserve">12. člena OPN, je v </w:t>
      </w:r>
      <w:r w:rsidRPr="00D905DB">
        <w:t xml:space="preserve">EUP dovoljeno graditi objekte z namembnostjo, ki so opredeljeni v prilogi 2 tega odloka ter dovoljeno prepletanje dejavnosti, ki so opredeljene v prilogi 4 OPN, v kolikor dejavnosti niso moteče za pretežno dejavnost v EUP, pri čemer je potrebno upoštevati razlike med tipi J1, J2 in J3. Iz priloge 2 OPN izhaja, da je za tip J1 med gradnjo objektov CC-SI </w:t>
      </w:r>
      <w:r w:rsidRPr="00CA034E">
        <w:t>24203 – objekti za ravnanje z odpadki</w:t>
      </w:r>
      <w:r>
        <w:t xml:space="preserve"> dovoljena le gradnja odlagališč nenevarnih in gradbenih odpadkov. V prilogi 4 pa OPN določa, da je v območjih s </w:t>
      </w:r>
      <w:r w:rsidRPr="003B1819">
        <w:t>podrobnejšo namensko rabo IP</w:t>
      </w:r>
      <w:r>
        <w:t xml:space="preserve"> med drugim dopustna dejavnost za ravnanje z nenevarnimi odpadki. V zvezi z navedenim upravni organ navaja, da se predvidena sprememba namembnosti objekta nanaša na spremembo namembnosti</w:t>
      </w:r>
      <w:r w:rsidR="00241596">
        <w:t xml:space="preserve"> obstoječega objekta</w:t>
      </w:r>
      <w:r>
        <w:t xml:space="preserve"> </w:t>
      </w:r>
      <w:r w:rsidR="00241596">
        <w:t xml:space="preserve">odprtega skladišča surovin </w:t>
      </w:r>
      <w:r>
        <w:t xml:space="preserve">v objekt za ravnanje z nenevarnimi odpadki. Nadalje v zvezi z določilom 12. člena OPN glede lege, velikosti in oblikovanja objektov, parcelacije ter priključevanja objektov na </w:t>
      </w:r>
      <w:r w:rsidRPr="00D905DB">
        <w:t>gospodarsko javno infrastrukturo in grajeno javno dobro</w:t>
      </w:r>
      <w:r>
        <w:t xml:space="preserve"> upravni organ navaja, da iz predložene projektne dokumentacije izhaja, da se predvidena gradnja (sprememba namembnosti) nanaša na obstoječ objekt, z odmikom od parcelnih mej sosednjih zemljišč najmanj 4 m, zgrajenem na podlagi </w:t>
      </w:r>
      <w:r w:rsidR="00241596">
        <w:t xml:space="preserve">v tretjem odstavku obrazložitve predmetnega dovoljenja </w:t>
      </w:r>
      <w:r w:rsidR="00D6400B">
        <w:t>navedenima gradbenima dovoljenje</w:t>
      </w:r>
      <w:r w:rsidR="00241596">
        <w:t>ma,</w:t>
      </w:r>
      <w:r>
        <w:t xml:space="preserve"> z obstoječim dostopom in urejenim odvodom padavinskih</w:t>
      </w:r>
      <w:r w:rsidR="00514D31">
        <w:t xml:space="preserve"> in industrijskih odpadnih vod.</w:t>
      </w:r>
      <w:r>
        <w:t xml:space="preserve"> </w:t>
      </w:r>
      <w:r w:rsidR="00514D31">
        <w:t xml:space="preserve">Glede določila 12. člena OPN, da </w:t>
      </w:r>
      <w:r w:rsidR="00514D31" w:rsidRPr="006D6550">
        <w:t xml:space="preserve">dopustna gradnja ne sme ogrožati varstvenih območij naravnih in kulturnih vrednot, varstva okolja, naravnih virov in varstva pred naravnimi in drugimi nesrečami, upravni organ navaja, da je investitor k predvideni gradnji pridobil v </w:t>
      </w:r>
      <w:r w:rsidR="00514D31" w:rsidRPr="006D6550">
        <w:lastRenderedPageBreak/>
        <w:t>izreku navedena pozitivna mnenja Direkcije Republike Slovenije za vode, Sektorja območja Drave in Agencije Republike Slovenije za okolje.</w:t>
      </w:r>
      <w:r w:rsidR="00514D31">
        <w:t xml:space="preserve"> </w:t>
      </w:r>
      <w:r w:rsidR="00514D31" w:rsidRPr="00E76892">
        <w:t xml:space="preserve">Izdelano je tudi poročilo o vplivih na okolje, ki </w:t>
      </w:r>
      <w:r w:rsidR="002D03D6">
        <w:t xml:space="preserve">podrobneje obravnava vplive na okolje in </w:t>
      </w:r>
      <w:r w:rsidR="00514D31" w:rsidRPr="00E76892">
        <w:t>je sestavni del predmetnega dovoljenja.</w:t>
      </w:r>
      <w:r w:rsidR="00514D31" w:rsidRPr="006D6550">
        <w:t xml:space="preserve"> </w:t>
      </w:r>
      <w:r w:rsidR="002B353C">
        <w:t xml:space="preserve">Iz projektne dokumentacije je razvidno, da so za predmetno gradnjo za zaposlene urejena štiri parkirna mesta (PM) na obstoječi utrjeni površini </w:t>
      </w:r>
      <w:r w:rsidR="00D27B20">
        <w:t>na zemljišču parc. št. 121, k.o. Ruše</w:t>
      </w:r>
      <w:r w:rsidR="002B353C">
        <w:t xml:space="preserve">, kar je skladno z določilom 28. člena OPN, ki določa, da </w:t>
      </w:r>
      <w:r w:rsidR="002B353C" w:rsidRPr="00F04A8B">
        <w:t xml:space="preserve">je potrebno pri </w:t>
      </w:r>
      <w:r w:rsidR="002B353C" w:rsidRPr="002B353C">
        <w:t>novogradnjah in pri spremembi namembnosti obstoječih objektov na gradbeni parceli zagotoviti zadostno število parkirnih mest</w:t>
      </w:r>
      <w:r w:rsidR="002B353C" w:rsidRPr="00F04A8B">
        <w:t xml:space="preserve"> oz. na območjih industrije 1 PM na 50 m</w:t>
      </w:r>
      <w:r w:rsidR="002B353C" w:rsidRPr="002D03D6">
        <w:rPr>
          <w:vertAlign w:val="superscript"/>
        </w:rPr>
        <w:t>2</w:t>
      </w:r>
      <w:r w:rsidR="002B353C" w:rsidRPr="00F04A8B">
        <w:t xml:space="preserve"> ali 1 PM na tri zaposlene.</w:t>
      </w:r>
      <w:r w:rsidR="003023D3" w:rsidRPr="00F04A8B">
        <w:t xml:space="preserve"> V zvezi z določilom 31. člena OPN, da mora kanalizacijsko omrežje zagotavljati, da </w:t>
      </w:r>
      <w:r w:rsidR="003023D3" w:rsidRPr="003023D3">
        <w:t>odvajanje in čiščenje komunalne odpadne vode iz stavb ter odvajanje padavinske vode s streh in utrjenih površin, tlakovanih ali z drugim materialom prekritih javnih površin</w:t>
      </w:r>
      <w:r w:rsidR="003023D3" w:rsidRPr="00F04A8B">
        <w:t xml:space="preserve"> </w:t>
      </w:r>
      <w:r w:rsidR="003023D3" w:rsidRPr="003023D3">
        <w:t>po predpisanem tehnološkem postopk</w:t>
      </w:r>
      <w:r w:rsidR="003023D3" w:rsidRPr="00F04A8B">
        <w:t xml:space="preserve">u, upravni organ navaja, da iz predložene dokumentacije izhaja, da so priključki obstoječi in je </w:t>
      </w:r>
      <w:r w:rsidR="003023D3" w:rsidRPr="003023D3">
        <w:t>odvod padavinskih in industrijskih odpadkih voda</w:t>
      </w:r>
      <w:r w:rsidR="00F04A8B" w:rsidRPr="00F04A8B">
        <w:t xml:space="preserve"> urejen z odvajanjem</w:t>
      </w:r>
      <w:r w:rsidR="003023D3" w:rsidRPr="003023D3">
        <w:t xml:space="preserve"> preko lovilnika olj v reko Dravo, skladno s pridobljenim okoljevarstvenim dovoljenjem (ARSO, št. 35441-4/2019-9 z dne 11.7.201</w:t>
      </w:r>
      <w:r w:rsidR="00F04A8B" w:rsidRPr="00F04A8B">
        <w:t>9</w:t>
      </w:r>
      <w:r w:rsidR="002D03D6">
        <w:t>).</w:t>
      </w:r>
      <w:r w:rsidR="002B353C" w:rsidRPr="00F04A8B">
        <w:t xml:space="preserve"> </w:t>
      </w:r>
      <w:r w:rsidR="00514D31">
        <w:t xml:space="preserve">Skladno z določilom 37. člena OPN, ki določa, da je </w:t>
      </w:r>
      <w:r w:rsidR="00514D31" w:rsidRPr="00435A35">
        <w:t>za vsak poseg v varovalni pas</w:t>
      </w:r>
      <w:r w:rsidR="00514D31">
        <w:t xml:space="preserve"> obstoječe gospodarske infrastrukture</w:t>
      </w:r>
      <w:r w:rsidR="00514D31" w:rsidRPr="00435A35">
        <w:t xml:space="preserve"> </w:t>
      </w:r>
      <w:r w:rsidR="00514D31">
        <w:t xml:space="preserve">(GJI) </w:t>
      </w:r>
      <w:r w:rsidR="00514D31" w:rsidRPr="00435A35">
        <w:t xml:space="preserve">potrebno pridobiti soglasje upravljavca </w:t>
      </w:r>
      <w:r w:rsidR="00241596">
        <w:t>GJI</w:t>
      </w:r>
      <w:r w:rsidR="00514D31">
        <w:t xml:space="preserve">, je investitor zaradi gradnje v varovalnem pasu </w:t>
      </w:r>
      <w:r w:rsidR="00056BE2">
        <w:t xml:space="preserve">daljnovoda DV 110 kV Karbid-Korund in </w:t>
      </w:r>
      <w:r w:rsidR="00514D31">
        <w:t xml:space="preserve">industrijskega </w:t>
      </w:r>
      <w:r w:rsidR="00056BE2">
        <w:t xml:space="preserve">železniškega </w:t>
      </w:r>
      <w:r w:rsidR="00514D31">
        <w:t>tira, k predloženi projektni dokumentaciji pridobil v izreku naveden</w:t>
      </w:r>
      <w:r w:rsidR="00056BE2">
        <w:t>i</w:t>
      </w:r>
      <w:r w:rsidR="00514D31">
        <w:t xml:space="preserve"> soglasj</w:t>
      </w:r>
      <w:r w:rsidR="00056BE2">
        <w:t>i</w:t>
      </w:r>
      <w:r w:rsidR="00514D31">
        <w:t xml:space="preserve"> </w:t>
      </w:r>
      <w:r w:rsidR="00056BE2">
        <w:t xml:space="preserve">ELES, d.o.o. in </w:t>
      </w:r>
      <w:r w:rsidR="00514D31">
        <w:t>Nemes</w:t>
      </w:r>
      <w:r w:rsidR="00056BE2">
        <w:t xml:space="preserve">is nepremičnine d.o.o. v stečaju. </w:t>
      </w:r>
      <w:r w:rsidR="0049019D">
        <w:t xml:space="preserve">K predloženi dokumentaciji </w:t>
      </w:r>
      <w:r w:rsidR="006957C8">
        <w:t>sta bili pridobljeni tudi v izreku predmetnega dovoljenja navedeni mnenji o sprejemljivosti nameravane gradnje, št. 35110-62/2020-3 z dne 24.</w:t>
      </w:r>
      <w:r w:rsidR="00792EBB">
        <w:t> </w:t>
      </w:r>
      <w:r w:rsidR="006957C8">
        <w:t>9.</w:t>
      </w:r>
      <w:r w:rsidR="00792EBB">
        <w:t> </w:t>
      </w:r>
      <w:r w:rsidR="006957C8">
        <w:t>2020 in št. 35110-0092/2020-3 z dne 12.</w:t>
      </w:r>
      <w:r w:rsidR="00792EBB">
        <w:t> </w:t>
      </w:r>
      <w:r w:rsidR="006957C8">
        <w:t>1.</w:t>
      </w:r>
      <w:r w:rsidR="00792EBB">
        <w:t> </w:t>
      </w:r>
      <w:r w:rsidR="006957C8">
        <w:t>2021, Občine Ruše. Odgovori upravnega organa na pripombe Občine Ruše v navedenih mnenjih so podani v točki 3.1 petega odstavka obrazložitve predmetnega dovoljenja.</w:t>
      </w:r>
    </w:p>
    <w:p w:rsidR="006D6550" w:rsidRDefault="006D6550" w:rsidP="006D6550">
      <w:pPr>
        <w:tabs>
          <w:tab w:val="left" w:pos="567"/>
        </w:tabs>
        <w:autoSpaceDE w:val="0"/>
        <w:autoSpaceDN w:val="0"/>
        <w:adjustRightInd w:val="0"/>
      </w:pPr>
    </w:p>
    <w:p w:rsidR="002E06DC" w:rsidRPr="00260959" w:rsidRDefault="00C10ED0" w:rsidP="001D40CD">
      <w:pPr>
        <w:pStyle w:val="Odstavekseznama"/>
        <w:numPr>
          <w:ilvl w:val="0"/>
          <w:numId w:val="10"/>
        </w:numPr>
        <w:tabs>
          <w:tab w:val="left" w:pos="567"/>
        </w:tabs>
        <w:autoSpaceDE w:val="0"/>
        <w:autoSpaceDN w:val="0"/>
        <w:adjustRightInd w:val="0"/>
        <w:ind w:left="0" w:firstLine="0"/>
      </w:pPr>
      <w:r w:rsidRPr="00260959">
        <w:t>Dokumentacijo za pridobitev gradbenega dovoljenja sta podpisala projektant in vodja projekta</w:t>
      </w:r>
      <w:r w:rsidR="00951EAC" w:rsidRPr="00260959">
        <w:t xml:space="preserve">, ki </w:t>
      </w:r>
      <w:r w:rsidRPr="00260959">
        <w:t>je bil v času izdelave dokumentacije vpisan v imenik pristojne poklicne zbornice; Sestavni del dokumentacije za pridobitev gradbenega dovoljenja je podpisana izjava projektanta in vodje projekta</w:t>
      </w:r>
      <w:r w:rsidR="00951EAC" w:rsidRPr="00260959">
        <w:t xml:space="preserve">, da </w:t>
      </w:r>
      <w:r w:rsidRPr="00260959">
        <w:t xml:space="preserve">so na ravni obdelave dokumentacije za pridobitev gradbenega dovoljenja izpolnjene zahteve iz 15. </w:t>
      </w:r>
      <w:r w:rsidR="007E7B30">
        <w:t>č</w:t>
      </w:r>
      <w:r w:rsidRPr="00260959">
        <w:t>lena GZ.</w:t>
      </w:r>
    </w:p>
    <w:p w:rsidR="002E06DC" w:rsidRPr="001D40CD" w:rsidRDefault="002E06DC" w:rsidP="002E06DC">
      <w:pPr>
        <w:pStyle w:val="Odstavekseznama"/>
        <w:tabs>
          <w:tab w:val="left" w:pos="567"/>
        </w:tabs>
        <w:autoSpaceDE w:val="0"/>
        <w:autoSpaceDN w:val="0"/>
        <w:adjustRightInd w:val="0"/>
        <w:ind w:left="0"/>
      </w:pPr>
    </w:p>
    <w:p w:rsidR="00C10ED0" w:rsidRPr="000517E8" w:rsidRDefault="00C10ED0" w:rsidP="001D40CD">
      <w:pPr>
        <w:pStyle w:val="Odstavekseznama"/>
        <w:numPr>
          <w:ilvl w:val="0"/>
          <w:numId w:val="10"/>
        </w:numPr>
        <w:tabs>
          <w:tab w:val="left" w:pos="567"/>
        </w:tabs>
        <w:autoSpaceDE w:val="0"/>
        <w:autoSpaceDN w:val="0"/>
        <w:adjustRightInd w:val="0"/>
        <w:ind w:left="0" w:firstLine="0"/>
      </w:pPr>
      <w:r w:rsidRPr="000517E8">
        <w:t>Nameravana gradnja je skladna s predpisi</w:t>
      </w:r>
      <w:r w:rsidR="00951EAC" w:rsidRPr="000517E8">
        <w:t xml:space="preserve">, ki </w:t>
      </w:r>
      <w:r w:rsidRPr="000517E8">
        <w:t>so podlaga za izdajo mnenj. Upravni organ na podlagi vpogleda v DGD, PVO, Prostorski informacijski sistem in pridobljena mnenja v zvezi s tem ugotavlja:</w:t>
      </w:r>
    </w:p>
    <w:p w:rsidR="00692C55" w:rsidRDefault="00692C55" w:rsidP="00692C55"/>
    <w:p w:rsidR="00E37FEE" w:rsidRDefault="00692C55" w:rsidP="00E37FEE">
      <w:pPr>
        <w:tabs>
          <w:tab w:val="left" w:pos="567"/>
        </w:tabs>
      </w:pPr>
      <w:r w:rsidRPr="00FD163B">
        <w:t>3</w:t>
      </w:r>
      <w:r w:rsidR="00FD163B" w:rsidRPr="00FD163B">
        <w:t>.1</w:t>
      </w:r>
      <w:r w:rsidRPr="00FD163B">
        <w:t xml:space="preserve"> </w:t>
      </w:r>
      <w:r w:rsidRPr="00FD163B">
        <w:tab/>
        <w:t>K predmetni gradnji so bila pridobljena posamezna mnenja, navedena v IV. točki izreka tega</w:t>
      </w:r>
      <w:r w:rsidRPr="009D2F30">
        <w:t xml:space="preserve"> do</w:t>
      </w:r>
      <w:r>
        <w:t xml:space="preserve">voljenja. Iz </w:t>
      </w:r>
      <w:r w:rsidR="006A5A5E">
        <w:t xml:space="preserve">vseh mnenj, razen mnenja Občine Ruše, izhaja, </w:t>
      </w:r>
      <w:r w:rsidRPr="009D2F30">
        <w:t>da ni zadržkov za izdajo tega dovoljenja z vidika predpisov mnenjedajalcev, ki so podlaga za njihovo izdajo</w:t>
      </w:r>
      <w:r w:rsidR="00282CB1">
        <w:t>.</w:t>
      </w:r>
      <w:r w:rsidR="00187E7C">
        <w:t xml:space="preserve"> </w:t>
      </w:r>
      <w:r w:rsidR="006A5A5E">
        <w:t>Občina Ruše pa je izdala mnenje o sprejemljivosti nameravane gradnje št. 35110-62/2020-3 z dne 24.</w:t>
      </w:r>
      <w:r w:rsidR="006F30A5">
        <w:t> </w:t>
      </w:r>
      <w:r w:rsidR="006A5A5E">
        <w:t>9.</w:t>
      </w:r>
      <w:r w:rsidR="006F30A5">
        <w:t> </w:t>
      </w:r>
      <w:r w:rsidR="006A5A5E">
        <w:t>2020 z ugotovitvijo, da dokumentacija ni sprejemljiva ter po dopolnjeni dokumentaciji po ponovnem pozivu drugo mnenje št. 35110-0092/2020-3 z dne 12.</w:t>
      </w:r>
      <w:r w:rsidR="006F30A5">
        <w:t> </w:t>
      </w:r>
      <w:r w:rsidR="006A5A5E">
        <w:t>1.</w:t>
      </w:r>
      <w:r w:rsidR="006F30A5">
        <w:t> </w:t>
      </w:r>
      <w:r w:rsidR="006A5A5E">
        <w:t xml:space="preserve">2021, tudi to z ugotovitvijo o nesprejemljivosti predvidenega posega. </w:t>
      </w:r>
    </w:p>
    <w:p w:rsidR="00E37FEE" w:rsidRDefault="00E37FEE" w:rsidP="00E37FEE">
      <w:pPr>
        <w:tabs>
          <w:tab w:val="left" w:pos="567"/>
        </w:tabs>
      </w:pPr>
    </w:p>
    <w:p w:rsidR="00E37FEE" w:rsidRDefault="00E37FEE" w:rsidP="00E37FEE">
      <w:pPr>
        <w:tabs>
          <w:tab w:val="left" w:pos="567"/>
        </w:tabs>
      </w:pPr>
      <w:r>
        <w:t>Nesprejemljivost predvidenega posega je Občina Ruše v mnenju št. 35110-62/2020-3 z dne 24.</w:t>
      </w:r>
      <w:r w:rsidR="006F30A5">
        <w:t> </w:t>
      </w:r>
      <w:r>
        <w:t>9.</w:t>
      </w:r>
      <w:r w:rsidR="006F30A5">
        <w:t> </w:t>
      </w:r>
      <w:r>
        <w:t xml:space="preserve">2020 temeljila na vsebini odmikov objekta od parcelnih mej, manjkajočega mnenja upravljavca daljnovoda, neustreznosti odvajanja tehnoloških odpadnih voda, pomanjkljivosti podatkov glede onesnaženosti zraka, pomisleki glede prekomernega onesnaževanja s hrupom, možnosti nastanka okoljskih in drugih nesreč. Investitor je glede na pripombe v mnenju dne 8. 12. 2020 podal izjasnitev. Upravni organ </w:t>
      </w:r>
      <w:r w:rsidR="003D5801" w:rsidRPr="00A37EA9">
        <w:t>po posameznih točkah mnenja</w:t>
      </w:r>
      <w:r w:rsidR="003D5801">
        <w:t xml:space="preserve"> </w:t>
      </w:r>
      <w:r>
        <w:t>ugotavlja sledeče:</w:t>
      </w:r>
    </w:p>
    <w:p w:rsidR="00E37FEE" w:rsidRDefault="00E37FEE" w:rsidP="00E37FEE">
      <w:pPr>
        <w:tabs>
          <w:tab w:val="left" w:pos="567"/>
        </w:tabs>
      </w:pPr>
    </w:p>
    <w:p w:rsidR="00E37FEE" w:rsidRDefault="00E37FEE" w:rsidP="00E37FEE">
      <w:pPr>
        <w:tabs>
          <w:tab w:val="left" w:pos="567"/>
        </w:tabs>
      </w:pPr>
      <w:r>
        <w:t>Upravni organ vezano na 2. točko 4. odstavka mnenja, kjer je navedeno, da bi bilo potrebno prikazati odmike objekta od parcelnim mej in skladno s 7. odstavkom 12. člena OPN pridobiti pisna overjena soglasja lastnikov nepremičnin od katerih je objekt odmaknjen manj kot 4 m, pojasnjuje</w:t>
      </w:r>
      <w:r w:rsidR="002869FE">
        <w:t>,</w:t>
      </w:r>
      <w:r>
        <w:t xml:space="preserve"> da je pri opredelitvi območja spremembe namembnosti določen pogoj odmika najmanj 4 m od parcelnih mej za predmet spremembe »objekt za predelavo odpadkov«, kar je prikazano v ureditveni situaciji. Glede na upoštevani odmik, ni potrebno pridobiti pisna overjena soglasja lastnikov nepremičnin</w:t>
      </w:r>
      <w:r w:rsidR="002869FE">
        <w:t>,</w:t>
      </w:r>
      <w:r>
        <w:t xml:space="preserve"> od katerih je </w:t>
      </w:r>
      <w:r>
        <w:lastRenderedPageBreak/>
        <w:t>objekt odmaknjen manj kot 4 m. V obravnavanem primeru gre za spremembo namembnosti obstoječega objekta. Obstoječe z veljavnimi dovoljenji urejene površine »odprtega centralnega skladišča surovin« želi investitor izrabiti in vzpostaviti delovanje Centra za obdelavo nenevarnih odpadkov. Z ozirom, da so obstoječe ureditve zgrajene kot »odprto centralno skladišče surovin« (konkretno kot betonska jama)</w:t>
      </w:r>
      <w:r w:rsidR="002869FE">
        <w:t>,</w:t>
      </w:r>
      <w:r>
        <w:t xml:space="preserve"> niso predvidene nove gradnje. Predmet zahteve je sprememba namembnosti objekta, saj bo le ta po novem namenjen za obdelavo odpadkov. Obstoječe odprto skladišče surovin z vsemi elementi se ohranja v obstoječi obliki. Spremenila se bo namembnost »odprtega skladišča surovin« v »površine za obdelavo odpadkov« (CC-SI 24203).</w:t>
      </w:r>
    </w:p>
    <w:p w:rsidR="00E37FEE" w:rsidRDefault="00E37FEE" w:rsidP="00E37FEE">
      <w:pPr>
        <w:tabs>
          <w:tab w:val="left" w:pos="567"/>
        </w:tabs>
      </w:pPr>
    </w:p>
    <w:p w:rsidR="00E37FEE" w:rsidRDefault="00E37FEE" w:rsidP="00E37FEE">
      <w:pPr>
        <w:tabs>
          <w:tab w:val="left" w:pos="567"/>
        </w:tabs>
      </w:pPr>
      <w:r>
        <w:t xml:space="preserve">Upravni organ vezano na 2. točko 5. odstavka mnenja, kjer je navedeno, da se objekt nahaja v varovalnem pasu industrijskega tira in v varovalnem pasu prosto-zračnega nadzemnega voda (daljnovod) in da je skladno s 3. odstavkom 37. člena OPN potrebno pridobiti mnenja upravljavcev, pojasnjuje, da si je investitor pridobil Mnenje družbe ELES d.o.o. št. S20-102/597/kf z dne 14. 10. 2020, </w:t>
      </w:r>
      <w:r>
        <w:tab/>
        <w:t>Mnenje družbe SŽ-Infrastruktura d.o.o. št. 31002-625/2020-2 z dne 24. 11. 2020, Pozitivno mnenje družbe NEMESIS NEPREMIČNINE d.o.o. - v stečaju.</w:t>
      </w:r>
    </w:p>
    <w:p w:rsidR="00E37FEE" w:rsidRDefault="00E37FEE" w:rsidP="00E37FEE">
      <w:pPr>
        <w:tabs>
          <w:tab w:val="left" w:pos="567"/>
        </w:tabs>
      </w:pPr>
    </w:p>
    <w:p w:rsidR="00E37FEE" w:rsidRDefault="00E37FEE" w:rsidP="00E37FEE">
      <w:pPr>
        <w:tabs>
          <w:tab w:val="left" w:pos="567"/>
        </w:tabs>
      </w:pPr>
      <w:r>
        <w:t>Upravni organ vezano na 2. točko 6. odstavka mnenja, kjer je navedeno da predvideni način odvajanja vode ni skladen z določili 31. člena OPN, ki med drugim v 16. odstavku določa, da morajo biti tehnološke odpadne vode iz objektov in naprav pred iztokom očiščene do predpisane stopnje, pojasnjuje, da tehnološke odpadne vode zaradi obratovanja Centra za nenevarne odpadke Vaukan na obravnavani lokaciji ne bodo nastajale. Nastajale bodo industrijske odpadne vode, kot posledica padavinskih voda, ki odtekajo s površin kjer se skladiščijo odpadki in izvaja ravnanje z odpadki. Industrijske odpadne vode se bodo pred iztokom čistile na vgrajenem obstoječem lovilniku olj, ki je ustrezne kapacitete. Površine na območju zadevne lokacije so v celoti betonske (površine so izvedene kot obstoječa AB plošča debeline 18 cm z vmesno dilatacijo, kjer so diletacijski spoji zatesnjeni). Na lokaciji je izvedena tudi kanalizacija za odvajanje odpadne vode iz območja. Obstoječi sistem za odvajanje odpadne vode iz območja centra je že izveden na način, da je preprečen hipni odtok vode iz območja v vodotok (reka Drava). Odpadne padavinske in industrijske odpadne vode iz območja betonske ploščadi oz. območja centra se zajemajo v zbirnem kanalu, ki ima izvedeno poglobitev in deluje kot usedalnik pred povezovalno cevjo, ki odvaja vodo do obstoječega lovilnika olj. Zbirni kanal je kvadratnega preseka dim. 2,2/2,2m in ima dolžino ca. 55 m. Na mestu križanja (odcep) s cevjo, ki odvaja vodo do lovilnika olja je izvedena poglobitev in pregrada, ki deluje kot primarni usedalnik (peskolov). Voda iz tega peskolova odteka preko povezovalne cevi do vgrajenega lovilnika olj (AQUAoil NS 300 S1P-30000L SMALL). Iztok iz lovilnika olj je izveden preko povezovalne cevi, do zbirnega kontrolnega jaška in nato v naravni odvodnik (Iztok v reko Dravo). Volumen usedalnika v vgrajenem lovilniku olj je 30.000 l. Vse padavinske oz. industrijske odpadne vode iz območja centra bodo odvajanje preko lovilnika olj, ki ima ustrezno kapaciteto in zmogljivost. Investitor je v PVO  navedel tudi dodatnih ukrep glede načina potrebnega ravnanja v primeru, da se pri obratovanju centra morebiti pojavi situacija, ko vgrajeni lovilnik olj ne</w:t>
      </w:r>
      <w:r w:rsidR="002869FE">
        <w:t xml:space="preserve"> </w:t>
      </w:r>
      <w:r>
        <w:t xml:space="preserve">bi zagotavljal ustreznih parametrov na izpustu. </w:t>
      </w:r>
    </w:p>
    <w:p w:rsidR="00E37FEE" w:rsidRDefault="00E37FEE" w:rsidP="00E37FEE">
      <w:pPr>
        <w:tabs>
          <w:tab w:val="left" w:pos="567"/>
        </w:tabs>
      </w:pPr>
    </w:p>
    <w:p w:rsidR="00E37FEE" w:rsidRDefault="00E37FEE" w:rsidP="00E37FEE">
      <w:pPr>
        <w:tabs>
          <w:tab w:val="left" w:pos="567"/>
        </w:tabs>
      </w:pPr>
      <w:r>
        <w:t>Upravni organ vezano na 2. točko 7. odstavka mnenja, kjer je navedeno, da dokumentacija ni skladna z 48. členom OPN, pojasnjuje</w:t>
      </w:r>
      <w:r w:rsidR="002869FE">
        <w:t>,</w:t>
      </w:r>
      <w:r>
        <w:t xml:space="preserve"> da so v PVO jasno opredeljeni vsi potencialni viri emisij v zrak, ovrednoteni vplivi in opredeljeni tudi ukrepi za preprečevanje in zmanjševanje potencialnih vplivov. Izdelana je bila tudi ocena emisij, ki je pripravljena ob upoštevanju priporočila izdelovalcem poročila o vplivih na okolje (SPVO, 2019). Ocena je izdelana v skladu z mednarodno uveljavljeno metodologijo USA EPA - Air Emissions Factors and Quantification. Izdelane so tako brez upoštevanja omilitvenih ukrepov za zmanjšanje emisij in z upoštevanjem izvajanja omilitvenih ukrepov za zmanjšanje emisij. Omilitveni oziroma kontrolni ukrepi in njihov vpliv na zmanjšanje razpršenih emisij je prav tako povzet iz uporabljene metodologije. Na podlagi prehodno izvedene ocene emisij delcev PM</w:t>
      </w:r>
      <w:r w:rsidRPr="00E37FEE">
        <w:rPr>
          <w:vertAlign w:val="subscript"/>
        </w:rPr>
        <w:t>10</w:t>
      </w:r>
      <w:r>
        <w:t xml:space="preserve"> je razvidno, kolikšne bodo urne emisije zaradi posameznega postopka predelave oziroma transporta. Pri tem emisije zaradi predelave odpadkov po posameznem postopku nastajajo na lokaciji centra in vključujejo tudi premike tovornih vozil na sami lokaciji centra. Iz ocene emisij je razvidno, da v primeru izvedbe omilitvenih ukrepov emisije delcev v času obratovanja ne bodo znatne (več kot 0,1 kg/h) </w:t>
      </w:r>
      <w:r>
        <w:lastRenderedPageBreak/>
        <w:t>oziroma ne bodo povzročile prekomerne onesnaženosti zraka z delci PM</w:t>
      </w:r>
      <w:r w:rsidRPr="00E37FEE">
        <w:rPr>
          <w:vertAlign w:val="subscript"/>
        </w:rPr>
        <w:t>10</w:t>
      </w:r>
      <w:r>
        <w:t xml:space="preserve"> in ogrožale zdravja ljudi. Dodatno bodo prisotne emisije zaradi transportnih poti znotraj območja industrijske cone Ruše, ki pa znašajo 0,016 kg/h brez izvede omilitvenih ukrepov in 0,002 kg/h v primeru izvedbe omilitvenih ukrepov. V nobenem primeru emisije zaradi transportnih poti ne predstavljajo znatne emisije delcev (več kot 0,1 kg/h), ki bi lahko povzročile prekomerno onesnaženost zraka z delci PM</w:t>
      </w:r>
      <w:r w:rsidRPr="00E37FEE">
        <w:rPr>
          <w:vertAlign w:val="subscript"/>
        </w:rPr>
        <w:t>10</w:t>
      </w:r>
      <w:r>
        <w:t xml:space="preserve"> in bi lahko ogrožale zdravje ljudi.</w:t>
      </w:r>
    </w:p>
    <w:p w:rsidR="00E37FEE" w:rsidRDefault="00E37FEE" w:rsidP="00E37FEE">
      <w:pPr>
        <w:tabs>
          <w:tab w:val="left" w:pos="567"/>
        </w:tabs>
      </w:pPr>
    </w:p>
    <w:p w:rsidR="00E37FEE" w:rsidRDefault="00E37FEE" w:rsidP="00E37FEE">
      <w:pPr>
        <w:tabs>
          <w:tab w:val="left" w:pos="567"/>
        </w:tabs>
      </w:pPr>
      <w:r>
        <w:t>Upravni organ vezano na 2. točko 8. odstavka mnenja, kjer je navedeno, da dokumentacija ni skladna z 52. členom OPN, pojasnjuje</w:t>
      </w:r>
      <w:r w:rsidR="003D5801">
        <w:t>,</w:t>
      </w:r>
      <w:r>
        <w:t xml:space="preserve"> da je bil za namen ocenjevanja vplivov s področja hrupne obremenitve  izdelan ločen elaborat Ocena obremenjenosti okolja s hrupom (SiEKO d.o.o., št. EKO-20-088) v skladu z določili področne Uredbe o mejnih vrednostih kazalcev hrupa (Ur. l. RS, št. 43/2018, 59/19). V skladu z Uredbo o mejnih vrednostih kazalcev hrupa (Uradni list RS, št. 43/2018, 59/19) in namensko rabo zemljišča območje, kjer se nahaja lokacija veljajo določila za IV. stopnjo varstva pred hrupom. V sklopu izdelane ocene je izdelovalec izbral ocenjevalna mesta v okolici, ki so v IV. in III. območju varstva pred hrupom. Čeprav sta mesta ocenjevanja 1 in 2 v IV. območju, je vse rezultate vrednotil za III. območje. Dobljeni rezultati na izbranih ocenjevalnih mestih pokažejo vrednosti hrupa, ki so nižja od mejne dovoljene vrednosti. </w:t>
      </w:r>
      <w:r w:rsidRPr="00A37EA9">
        <w:t xml:space="preserve">Tako </w:t>
      </w:r>
      <w:r w:rsidR="002869FE" w:rsidRPr="00A37EA9">
        <w:t>upravni organ ugotavlja</w:t>
      </w:r>
      <w:r w:rsidRPr="00A37EA9">
        <w:t xml:space="preserve"> ustreznost dobljenih vrednosti, tako za vir kot za območje na ocenjevalnih mestih, ki so v območju s III. SVHP (privzame</w:t>
      </w:r>
      <w:r w:rsidR="00A37EA9" w:rsidRPr="00A37EA9">
        <w:t xml:space="preserve"> se</w:t>
      </w:r>
      <w:r w:rsidRPr="00A37EA9">
        <w:t xml:space="preserve">, da so vsa OM v območju s III. SVHP). Na osnovi dobljenih vrednosti izvedenih izračunov </w:t>
      </w:r>
      <w:r w:rsidR="00A95890" w:rsidRPr="00A37EA9">
        <w:t xml:space="preserve">posledično </w:t>
      </w:r>
      <w:r w:rsidRPr="00A37EA9">
        <w:t>ocenjuje</w:t>
      </w:r>
      <w:r w:rsidR="00A95890" w:rsidRPr="00A37EA9">
        <w:t xml:space="preserve">, </w:t>
      </w:r>
      <w:r w:rsidRPr="00A37EA9">
        <w:t xml:space="preserve">da </w:t>
      </w:r>
      <w:r w:rsidR="00A95890" w:rsidRPr="00A37EA9">
        <w:t>preseganja mejnih</w:t>
      </w:r>
      <w:r w:rsidRPr="00A37EA9">
        <w:t xml:space="preserve"> vrednosti kazalcev hrupa za vir hrupa in tudi za območje</w:t>
      </w:r>
      <w:r w:rsidR="00A95890" w:rsidRPr="00A37EA9">
        <w:t xml:space="preserve"> ni pričakovati</w:t>
      </w:r>
      <w:r w:rsidRPr="00A37EA9">
        <w:t>.</w:t>
      </w:r>
    </w:p>
    <w:p w:rsidR="00E37FEE" w:rsidRDefault="00E37FEE" w:rsidP="00E37FEE">
      <w:pPr>
        <w:tabs>
          <w:tab w:val="left" w:pos="567"/>
        </w:tabs>
      </w:pPr>
    </w:p>
    <w:p w:rsidR="00E37FEE" w:rsidRDefault="00E37FEE" w:rsidP="00E37FEE">
      <w:pPr>
        <w:tabs>
          <w:tab w:val="left" w:pos="567"/>
        </w:tabs>
      </w:pPr>
      <w:r>
        <w:t xml:space="preserve">Upravni organ vezano na 2. točko 9. odstavka mnenja, kjer je navedeno, da bi bilo treba v skladu z določili 2. odstavka 56. členom OPN za predmetni poseg (sprememba namembnosti) priložiti »študijo varnosti pred naravnimi in drugimi nesrečami in predvidene ukrepe za zmanjševanje nevarnosti«, pojasnjuje, da predmetna ureditev ne zapade pod določila 2. odstavka 56. člena OPN. Sprememba namembnosti se nanaša na skladiščenje ali proizvodnjo nevarnih snovi. Izvajanje predelave nenevarnih odpadkov na predmetni lokaciji s predvidenimi postopki ne zapade pod določila Uredbe o preprečevanju večjih nesreč in zmanjševanju njihovih posledic. V PVO je bil upoštevan tudi vidik potencialnega nastanka požara. </w:t>
      </w:r>
    </w:p>
    <w:p w:rsidR="00E37FEE" w:rsidRDefault="00E37FEE" w:rsidP="00E37FEE">
      <w:pPr>
        <w:tabs>
          <w:tab w:val="left" w:pos="567"/>
        </w:tabs>
      </w:pPr>
    </w:p>
    <w:p w:rsidR="00E37FEE" w:rsidRDefault="00E37FEE" w:rsidP="00E37FEE">
      <w:pPr>
        <w:tabs>
          <w:tab w:val="left" w:pos="567"/>
        </w:tabs>
      </w:pPr>
      <w:r>
        <w:t>Upravni organ vezano na 3. točko</w:t>
      </w:r>
      <w:r w:rsidR="002869FE">
        <w:t xml:space="preserve"> ugotavlja, da je investitor </w:t>
      </w:r>
      <w:r>
        <w:t>dodatno preučil podane dodatne pomisleke in podal svoje izjasnitve. Ugotovljeno je bilo, da so v neposredni okolici prisotni objekti, ki so namenjeni industriji oz. proizvodnim dejavnostim. Stanovanjskih objektov v radiju več kot 200 m okoli območja lokacije ni prisotnih. V dokumentaciji navedene kapacitete predelave se nanašajo na t.i. največje ocenjene potencialno možne zmogljivosti z namenom opredelitve največjih možnih vplivov na okolje. Pred pričetkom izvajanja predelave posameznih vrst odpadkov bo potrebno pridobiti tudi okoljevarstveno dovoljenje za predelavo posameznih vrst odpadkov. Glede na dejstvo, da gre za center za nenevarne odpadke je nerealno pričakovati, da bo objekt takoj pričel obratovati z največjimi možnimi zmogljivostmi. Poleg tega je treba upoštevati, da je center vpet med železniške tire, kjer je dopuščena možnost preusmeritve primeta na železniški promet v prihodnosti, kar bo odvisno od kapacitet in samega razvoja centra. Glede navedbe, da ostaja nedorečenost kakšni nenevarnih odpadki se bodo lahko sprejemali, upravni organ pripominja, da se na lokaciji posega nevarni odpadki ne bodo niti sprejemali.</w:t>
      </w:r>
    </w:p>
    <w:p w:rsidR="00E37FEE" w:rsidRDefault="00E37FEE" w:rsidP="00E37FEE">
      <w:pPr>
        <w:tabs>
          <w:tab w:val="left" w:pos="567"/>
        </w:tabs>
      </w:pPr>
    </w:p>
    <w:p w:rsidR="00E37FEE" w:rsidRDefault="002869FE" w:rsidP="00E37FEE">
      <w:pPr>
        <w:tabs>
          <w:tab w:val="left" w:pos="567"/>
        </w:tabs>
      </w:pPr>
      <w:r>
        <w:t xml:space="preserve">Kolikor gre za </w:t>
      </w:r>
      <w:r w:rsidR="00A95890">
        <w:t xml:space="preserve">kasneje </w:t>
      </w:r>
      <w:r>
        <w:t>pridobljeno mnenje Občine Ruše št. 35110-0092/2020-3 z</w:t>
      </w:r>
      <w:r w:rsidR="00E37FEE">
        <w:t xml:space="preserve"> dne 12. 1. 2021</w:t>
      </w:r>
      <w:r>
        <w:t xml:space="preserve">, pa je le-ta svojo ugotovitev o nesprejemljivosti </w:t>
      </w:r>
      <w:r w:rsidR="00E37FEE">
        <w:t xml:space="preserve"> temeljila na neustrezni vhodni kontroli odpadkov,  potrebi po izdelavi </w:t>
      </w:r>
      <w:r w:rsidR="00E37FEE" w:rsidRPr="00E37FEE">
        <w:t>študij</w:t>
      </w:r>
      <w:r w:rsidR="00E37FEE">
        <w:t>e</w:t>
      </w:r>
      <w:r w:rsidR="00E37FEE" w:rsidRPr="00E37FEE">
        <w:t xml:space="preserve"> varnosti pred naravnimi in drugimi nesrečami</w:t>
      </w:r>
      <w:r w:rsidR="00E37FEE">
        <w:t xml:space="preserve">, glede načina </w:t>
      </w:r>
      <w:r w:rsidR="003D5801">
        <w:t>pr</w:t>
      </w:r>
      <w:r w:rsidR="00E37FEE">
        <w:t xml:space="preserve">edelave odpadka s št. 19 12 12 ter na neskladnosti izdelanega PVO z določili </w:t>
      </w:r>
      <w:r w:rsidR="00E37FEE" w:rsidRPr="00E37FEE">
        <w:t>Uredbe o vsebini poročila o vplivih nameravanega posega na ok</w:t>
      </w:r>
      <w:r w:rsidR="00E37FEE">
        <w:t xml:space="preserve">olje in načinu njegove priprave. Investitor je glede na pripombe v mnenju dne 9. 2. 2021 podal izjasnitev. Upravni organ </w:t>
      </w:r>
      <w:r>
        <w:t xml:space="preserve">po posameznih točkah mnenja </w:t>
      </w:r>
      <w:r w:rsidR="00E37FEE">
        <w:t>ugotavlja sledeče:</w:t>
      </w:r>
    </w:p>
    <w:p w:rsidR="00E37FEE" w:rsidRDefault="00E37FEE" w:rsidP="00E37FEE">
      <w:pPr>
        <w:tabs>
          <w:tab w:val="left" w:pos="567"/>
        </w:tabs>
      </w:pPr>
    </w:p>
    <w:p w:rsidR="00E37FEE" w:rsidRDefault="00E37FEE" w:rsidP="00E37FEE">
      <w:pPr>
        <w:tabs>
          <w:tab w:val="left" w:pos="567"/>
        </w:tabs>
      </w:pPr>
      <w:r>
        <w:lastRenderedPageBreak/>
        <w:t>Upravni organ vezano na 2. točko 3. alineje mnenja, kjer je navedeno, da bodo vhodni odpadki podvrženi zgolj vizualni kontroli, pri čemer ni podatka ali so osebe, ki bodo kontrolo izvajale za takšno presojo usposobljene, prav tako ni razvidno kje in kako dolgo se bodo hranili izločeni odpadki, verjetno tudi nevarne snovi, pojasnjuje, da se tovrstne zahteve glede izvajanja vhodne kontrole določijo v okoljevarstvenem dovoljenju, ki ga bo moral investitor pridobiti pred izvajanjem postopka predelave odpadkov.</w:t>
      </w:r>
    </w:p>
    <w:p w:rsidR="00E37FEE" w:rsidRDefault="00E37FEE" w:rsidP="00E37FEE">
      <w:pPr>
        <w:tabs>
          <w:tab w:val="left" w:pos="567"/>
        </w:tabs>
      </w:pPr>
    </w:p>
    <w:p w:rsidR="00E37FEE" w:rsidRDefault="00E37FEE" w:rsidP="00E37FEE">
      <w:pPr>
        <w:tabs>
          <w:tab w:val="left" w:pos="567"/>
        </w:tabs>
      </w:pPr>
      <w:r>
        <w:t>Upravni organ vezano na 2. točko 4. alineje mnenja, kjer je navedeno, da se bo Občina Ruše glede skladnosti z 48. členom OPN opredelila zatem, ko bo na podlagi že zapisanih emisijskih faktorjev izveden modelni izračun, ki lahko prikaže direktni vpliv posameznih onesnaževal oz. ovrže bojazni glede dodatnega onesnaženja zraka v Rušah, pojasnjuje, da je na podlagi že izdelane dokumentacije, ki je bila predložena upravnemu organu, že zagotovljena in izkazana skladnost tudi iz vidika določil 48. člena OPN Občine Ruše. V dopolnjenem PVO (december 2020-dopolnitev 1) so jasno opredeljeni vsi potencialni viri emisij v zrak, ovrednoteni vplivi in opredeljeni tudi ukrepi za preprečevanje in zmanjševanje možnih vplivov. Ukrepi so za investitorja obvezujoči in jih bo potrebno dosledno izvrševati. Z ozirom na dejstvo, da je pristojna Agencije RS za okolje podala mnenje (ARSO, št. 35403-22/2020-4 z dne 13. 1. 2021) na izdelano vsebino PVO iz katerega izhaja, da je nameravana gradnja sprejemljiva z vidika emisij snovi v zrak</w:t>
      </w:r>
      <w:r w:rsidR="00A37EA9">
        <w:t>,</w:t>
      </w:r>
      <w:r>
        <w:t xml:space="preserve"> </w:t>
      </w:r>
      <w:r w:rsidR="00A95890" w:rsidRPr="00A37EA9">
        <w:t>upravni organ zaključuje</w:t>
      </w:r>
      <w:r>
        <w:t>, da so podane zahteve glede dodatnih modelnih izračunov neupravičene in nepotrebne.</w:t>
      </w:r>
    </w:p>
    <w:p w:rsidR="00E37FEE" w:rsidRDefault="00E37FEE" w:rsidP="00E37FEE">
      <w:pPr>
        <w:tabs>
          <w:tab w:val="left" w:pos="567"/>
        </w:tabs>
      </w:pPr>
    </w:p>
    <w:p w:rsidR="00E37FEE" w:rsidRDefault="00E37FEE" w:rsidP="00E37FEE">
      <w:pPr>
        <w:tabs>
          <w:tab w:val="left" w:pos="567"/>
        </w:tabs>
      </w:pPr>
      <w:r>
        <w:t xml:space="preserve">Upravni organ vezano na 2. točko 6. alineje mnenja, kjer je navedeno, da bi bilo treba gradivo dopolniti s študijo varnosti pred naravnimi in drugimi nesrečami, pojasnjuje, da se sprememba namembnosti ne nanaša na skladiščenje ali proizvodnjo nevarnih snovi. Kot v pojasnilo po prvem mnenju ponovno </w:t>
      </w:r>
      <w:r w:rsidR="00A95890">
        <w:t>o</w:t>
      </w:r>
      <w:r>
        <w:t xml:space="preserve">pominja, da izvajanje predelave nenevarnih odpadkov na predmetni lokaciji s predvidenimi postopki ne zapade pod določila Uredbe o preprečevanju večjih nesreč in zmanjševanju njihovih posledic. Prisotnost nevarnih snovi v območju centra ni predvidena. Ni predvideno skladiščenje nevarnih snovi in kemikalij. V času obratovanja ni predvideno, da se bodo na lokaciji skladiščile nevarnih snovi ali kemikalije in niso predvidena ravnanja s tovrstnimi snovmi. </w:t>
      </w:r>
    </w:p>
    <w:p w:rsidR="00E37FEE" w:rsidRDefault="00E37FEE" w:rsidP="00E37FEE">
      <w:pPr>
        <w:tabs>
          <w:tab w:val="left" w:pos="567"/>
        </w:tabs>
      </w:pPr>
    </w:p>
    <w:p w:rsidR="00E37FEE" w:rsidRDefault="00E37FEE" w:rsidP="00E37FEE">
      <w:pPr>
        <w:tabs>
          <w:tab w:val="left" w:pos="567"/>
        </w:tabs>
      </w:pPr>
      <w:r>
        <w:t xml:space="preserve">Glede potencialne predelave odpadkov s številko 19 12 12 </w:t>
      </w:r>
      <w:r w:rsidR="00A95890">
        <w:t xml:space="preserve">se </w:t>
      </w:r>
      <w:r>
        <w:t>pojasnjuje, da bodo količine hkratnega skladiščenja in količine predelave določene šele po pridobitvi okoljevarstvenega dovoljenja za predelavo tovrstnih odpadkov. Pri tem pa bo treba upoštevati pogoje in ukrepe, ki bodo predpisani z odločbo o spremembi namembnosti, ki bo izdana v integralnem postopku. Ključna zahteva vsebine izdelanega PVO je tudi podrobnejša opredelitev do ravnanja z odpadki s številko 19 12 12 z vidika potencialnega požara. V primeru, ko bodo predmet predelave potencialno gorljivih odpadki, bo potrebno zagotoviti tudi izvedbo vseh morebiti predpisanih ukrepov varstva pred požarom. Investitor bo vse zadevne ukrepe zagotovil pred pričetkom predelave.</w:t>
      </w:r>
    </w:p>
    <w:p w:rsidR="00E37FEE" w:rsidRDefault="00E37FEE" w:rsidP="00E37FEE">
      <w:pPr>
        <w:tabs>
          <w:tab w:val="left" w:pos="567"/>
        </w:tabs>
      </w:pPr>
    </w:p>
    <w:p w:rsidR="00E37FEE" w:rsidRDefault="00E37FEE" w:rsidP="00E37FEE">
      <w:pPr>
        <w:tabs>
          <w:tab w:val="left" w:pos="567"/>
        </w:tabs>
      </w:pPr>
      <w:r>
        <w:t>Upravni organ vezano na 3. točko 1. alineje mnenja, kjer je navedeno, da iz dokumentacije ni razbrati opisa in ocene vseh verjetnih vplivov na dejavnike iz 2. člena Uredbe o vsebini poročila o vplivih nameravanega posega na okolje in načinu njegove priprave (Uradni list RS, št. 36/09 in 40/17), ki so posledica združenih vplivov z drugimi obstoječimi oz. šele odobrenimi posegi, pri čemer se upoštevajo obstoječi okoljski problemi (5. točka 9. člena Uredbe), pripominja, da je PVO izdelan v celoti v skladu z določili Uredbe o vsebini poročila o vplivih nameravanega posega na okolje in načinu njegove priprave in uveljavljeno metodologijo izdelave PVO. V vsebini poročila so obravnavane vse bistvene sestavine, s katerimi se preverja in presoja sprejemljivost izvedbe posega. Izhodiščno stanje na območju lokacije</w:t>
      </w:r>
    </w:p>
    <w:p w:rsidR="00E37FEE" w:rsidRDefault="00E37FEE" w:rsidP="00E37FEE">
      <w:pPr>
        <w:tabs>
          <w:tab w:val="left" w:pos="567"/>
        </w:tabs>
      </w:pPr>
      <w:r>
        <w:t>je podrobno prikazano po zahtevanih elementih v poglavju 4. Pri oceni vplivov posega na okolje so posebej ovrednotene spremembe v celotni in skupni obremenitvi okolja, prav tako je podana ocena kako bo pričakovana dodatna obremenitev okolja, ki je posledica vplivov posega, spremenila obstoječo obremenitev okolja.</w:t>
      </w:r>
    </w:p>
    <w:p w:rsidR="00E37FEE" w:rsidRDefault="00E37FEE" w:rsidP="00E37FEE">
      <w:pPr>
        <w:tabs>
          <w:tab w:val="left" w:pos="567"/>
        </w:tabs>
      </w:pPr>
    </w:p>
    <w:p w:rsidR="00E22243" w:rsidRDefault="00E37FEE" w:rsidP="00E37FEE">
      <w:pPr>
        <w:tabs>
          <w:tab w:val="left" w:pos="567"/>
        </w:tabs>
      </w:pPr>
      <w:r>
        <w:t xml:space="preserve">Upravni se organ glede 3. točke 2. alineje mnenja, kjer je ponovno navedena neustreznost vhodne kontrole, navezuje na že podano pojasnilo glede 2. točke 3. alineje mnenja in ugotavlja, da bodo </w:t>
      </w:r>
      <w:r>
        <w:lastRenderedPageBreak/>
        <w:t>postopki in procesi prevzema odpadkov, kontrole pred sprejemom in skladiščenjem, ravnanja in predelave ter ravnanja z preostanki odpadkov obsegali tudi ostale zahtevane elemente, ki bodo predpisani z odločbami od OVD za predelavo posameznih vrst odpadkov.</w:t>
      </w:r>
    </w:p>
    <w:p w:rsidR="00E22243" w:rsidRDefault="00E22243" w:rsidP="006A5A5E">
      <w:pPr>
        <w:tabs>
          <w:tab w:val="left" w:pos="567"/>
        </w:tabs>
      </w:pPr>
    </w:p>
    <w:p w:rsidR="004050BA" w:rsidRDefault="006A5A5E" w:rsidP="004050BA">
      <w:pPr>
        <w:rPr>
          <w:rFonts w:cs="Arial"/>
        </w:rPr>
      </w:pPr>
      <w:r>
        <w:t xml:space="preserve">Upravni organ je v zvezi </w:t>
      </w:r>
      <w:r w:rsidR="00910F71">
        <w:t>z mnenjema</w:t>
      </w:r>
      <w:r w:rsidR="00A95890">
        <w:t xml:space="preserve"> Občine Ruše </w:t>
      </w:r>
      <w:r w:rsidR="00A95890" w:rsidRPr="00A95890">
        <w:t>v skladu s tretjim odstavkom 40. člena G</w:t>
      </w:r>
      <w:r w:rsidR="00910F71">
        <w:t xml:space="preserve">Z dne </w:t>
      </w:r>
      <w:r w:rsidR="00910F71">
        <w:rPr>
          <w:rFonts w:cs="Arial"/>
        </w:rPr>
        <w:t xml:space="preserve">25. 2. 2021 </w:t>
      </w:r>
      <w:r w:rsidR="00A95890">
        <w:t xml:space="preserve">opravil </w:t>
      </w:r>
      <w:r>
        <w:t>videokonferenčno obravnavo</w:t>
      </w:r>
      <w:r w:rsidR="00910F71">
        <w:t>.</w:t>
      </w:r>
      <w:r>
        <w:t xml:space="preserve"> </w:t>
      </w:r>
      <w:r w:rsidR="004050BA" w:rsidRPr="004050BA">
        <w:t>C</w:t>
      </w:r>
      <w:r w:rsidR="004050BA">
        <w:t xml:space="preserve">itirana določba GZ namreč določa, </w:t>
      </w:r>
      <w:r w:rsidR="004050BA" w:rsidRPr="004050BA">
        <w:t>da</w:t>
      </w:r>
      <w:r w:rsidR="004050BA">
        <w:t xml:space="preserve"> lahko</w:t>
      </w:r>
      <w:r w:rsidR="004050BA" w:rsidRPr="004050BA">
        <w:t xml:space="preserve"> v primeru neusklajenih, nejasnih mnenj ali mnenj, ki nimajo ustrezne pravne podlage,</w:t>
      </w:r>
      <w:r w:rsidR="004050BA">
        <w:t xml:space="preserve"> </w:t>
      </w:r>
      <w:r w:rsidR="004050BA" w:rsidRPr="004050BA">
        <w:t>pristojni upravni organ za gradbene zadeve razpiše ustno obravnavo z namenom uskladitve ali spremembe mnenj. Če uskladitev ali sprememba mnenj ni dosežena, lahko odloči sam po opravljanem ugotovitvenem postopku ali s pomočjo mnenja pristojnega organa za nadzor nad mnenjedajalcem.</w:t>
      </w:r>
      <w:r w:rsidR="004050BA">
        <w:t xml:space="preserve"> Na ustni obravnavi je p</w:t>
      </w:r>
      <w:r w:rsidR="004050BA">
        <w:rPr>
          <w:rFonts w:cs="Arial"/>
        </w:rPr>
        <w:t xml:space="preserve">redstavnica občine v večini ponovila zadržke in argumente izdanega »negativnega« mnenja, predstavnik investitorja pa odgovoril v smislu svojega pisnega odgovora na ugotovitve Občine Ruše ter dodal pojasnila glede posamičnih segmentov in predlogov ukrepov glede čiščenja odpadnih voda, vpliva hrupa, prašnih delcev oziroma metodologije za ocenjevanje. Novih bistvenih okoliščin tako </w:t>
      </w:r>
      <w:r w:rsidR="008B1FCA">
        <w:rPr>
          <w:rFonts w:cs="Arial"/>
        </w:rPr>
        <w:t>investitor kot tudi Občina</w:t>
      </w:r>
      <w:r w:rsidR="004050BA">
        <w:rPr>
          <w:rFonts w:cs="Arial"/>
        </w:rPr>
        <w:t xml:space="preserve"> Ruše</w:t>
      </w:r>
      <w:r w:rsidR="008B1FCA">
        <w:rPr>
          <w:rFonts w:cs="Arial"/>
        </w:rPr>
        <w:t xml:space="preserve"> nista navajala, </w:t>
      </w:r>
      <w:r w:rsidR="004050BA">
        <w:rPr>
          <w:rFonts w:cs="Arial"/>
        </w:rPr>
        <w:t xml:space="preserve">predstavnica občine pa </w:t>
      </w:r>
      <w:r w:rsidR="008B1FCA">
        <w:rPr>
          <w:rFonts w:cs="Arial"/>
        </w:rPr>
        <w:t xml:space="preserve">je </w:t>
      </w:r>
      <w:r w:rsidR="004050BA">
        <w:rPr>
          <w:rFonts w:cs="Arial"/>
        </w:rPr>
        <w:t>izjavi</w:t>
      </w:r>
      <w:r w:rsidR="008B1FCA">
        <w:rPr>
          <w:rFonts w:cs="Arial"/>
        </w:rPr>
        <w:t>la</w:t>
      </w:r>
      <w:r w:rsidR="004050BA">
        <w:rPr>
          <w:rFonts w:cs="Arial"/>
        </w:rPr>
        <w:t>, da vztrajajo na ugotovitvah iz mnenja.</w:t>
      </w:r>
    </w:p>
    <w:p w:rsidR="004050BA" w:rsidRDefault="004050BA" w:rsidP="004050BA"/>
    <w:p w:rsidR="008B1FCA" w:rsidRDefault="008B1FCA" w:rsidP="006A5A5E">
      <w:pPr>
        <w:tabs>
          <w:tab w:val="left" w:pos="567"/>
        </w:tabs>
      </w:pPr>
      <w:r w:rsidRPr="00A37EA9">
        <w:t xml:space="preserve">Glede na navedeno </w:t>
      </w:r>
      <w:r w:rsidR="00910F71" w:rsidRPr="00A37EA9">
        <w:t xml:space="preserve">ter </w:t>
      </w:r>
      <w:r w:rsidR="00476D67" w:rsidRPr="00A37EA9">
        <w:t xml:space="preserve">glede na </w:t>
      </w:r>
      <w:r w:rsidR="00910F71" w:rsidRPr="00A37EA9">
        <w:t xml:space="preserve">predhodno v tej točki obrazložitve odločbe ugotovljena dejstva </w:t>
      </w:r>
      <w:r w:rsidRPr="00A37EA9">
        <w:t xml:space="preserve">je upravni organ na podlagi </w:t>
      </w:r>
      <w:r w:rsidR="00476D67" w:rsidRPr="00A37EA9">
        <w:t xml:space="preserve">tretjega odstavka 40. člena GZ o sprejemljivosti obravnavane gradnje z vidika pristojnosti v okviru ugotavljanja izpolnjevanja pogojev skladnosti posega z določbami prostorskega akta, OPN, </w:t>
      </w:r>
      <w:r w:rsidRPr="00A37EA9">
        <w:t>presodil sam</w:t>
      </w:r>
      <w:r w:rsidR="00476D67" w:rsidRPr="00A37EA9">
        <w:t>. Ugotovil je, da</w:t>
      </w:r>
      <w:r w:rsidRPr="00A37EA9">
        <w:t xml:space="preserve"> je predvidena sprememba na</w:t>
      </w:r>
      <w:r w:rsidR="00476D67" w:rsidRPr="00A37EA9">
        <w:t>membnosti v zadevi s presojanega vidika sprejemljiva, utemeljitev pa izhaja iz gornje obrazložitve te</w:t>
      </w:r>
      <w:r w:rsidR="007F4F6B">
        <w:t>ga dovoljenja</w:t>
      </w:r>
      <w:r w:rsidR="00476D67" w:rsidRPr="00A37EA9">
        <w:t xml:space="preserve"> v tej točki.</w:t>
      </w:r>
      <w:r w:rsidR="00476D67">
        <w:t xml:space="preserve"> </w:t>
      </w:r>
    </w:p>
    <w:p w:rsidR="008B1FCA" w:rsidRDefault="008B1FCA" w:rsidP="006A5A5E">
      <w:pPr>
        <w:tabs>
          <w:tab w:val="left" w:pos="567"/>
        </w:tabs>
      </w:pPr>
    </w:p>
    <w:p w:rsidR="00C10ED0" w:rsidRPr="001D40CD" w:rsidRDefault="00251506" w:rsidP="002E06DC">
      <w:pPr>
        <w:tabs>
          <w:tab w:val="left" w:pos="567"/>
        </w:tabs>
      </w:pPr>
      <w:r w:rsidRPr="00FD163B">
        <w:t>3.</w:t>
      </w:r>
      <w:r w:rsidR="00FD163B" w:rsidRPr="00FD163B">
        <w:t>2</w:t>
      </w:r>
      <w:r w:rsidRPr="00FD163B">
        <w:t xml:space="preserve"> </w:t>
      </w:r>
      <w:r w:rsidR="002E06DC" w:rsidRPr="00FD163B">
        <w:tab/>
      </w:r>
      <w:r w:rsidR="00C10ED0" w:rsidRPr="00FD163B">
        <w:t>Ugotovitve v zvezi s področji</w:t>
      </w:r>
      <w:r w:rsidR="00951EAC" w:rsidRPr="00FD163B">
        <w:t xml:space="preserve">, ki </w:t>
      </w:r>
      <w:r w:rsidR="00C10ED0" w:rsidRPr="00FD163B">
        <w:t>so tudi predmet presoje vplivov na okolje v integralnem</w:t>
      </w:r>
      <w:r w:rsidR="00C10ED0" w:rsidRPr="001D40CD">
        <w:t xml:space="preserve"> postopku, so podane v točki </w:t>
      </w:r>
      <w:r w:rsidR="001D40CD">
        <w:t>9</w:t>
      </w:r>
      <w:r w:rsidR="00C10ED0" w:rsidRPr="001D40CD">
        <w:t>.</w:t>
      </w:r>
    </w:p>
    <w:p w:rsidR="00C10ED0" w:rsidRPr="001D40CD" w:rsidRDefault="00C10ED0" w:rsidP="00594118">
      <w:pPr>
        <w:pStyle w:val="Zamik1"/>
      </w:pPr>
    </w:p>
    <w:p w:rsidR="00360FEB" w:rsidRPr="00FD163B" w:rsidRDefault="00C10ED0" w:rsidP="001D40CD">
      <w:pPr>
        <w:pStyle w:val="Odstavekseznama"/>
        <w:numPr>
          <w:ilvl w:val="0"/>
          <w:numId w:val="10"/>
        </w:numPr>
        <w:tabs>
          <w:tab w:val="left" w:pos="567"/>
        </w:tabs>
        <w:autoSpaceDE w:val="0"/>
        <w:autoSpaceDN w:val="0"/>
        <w:adjustRightInd w:val="0"/>
        <w:ind w:left="0" w:firstLine="0"/>
      </w:pPr>
      <w:r w:rsidRPr="00B8136E">
        <w:t xml:space="preserve">Iz </w:t>
      </w:r>
      <w:r w:rsidR="00BD6498" w:rsidRPr="00B8136E">
        <w:t xml:space="preserve">predložene </w:t>
      </w:r>
      <w:r w:rsidRPr="00B8136E">
        <w:t>dokumentacije izhaja</w:t>
      </w:r>
      <w:r w:rsidR="00951EAC" w:rsidRPr="00B8136E">
        <w:t xml:space="preserve">, da </w:t>
      </w:r>
      <w:r w:rsidRPr="00B8136E">
        <w:t>bo zagotovljena minimalna komunalna oskrba objektov</w:t>
      </w:r>
      <w:r w:rsidR="00951EAC" w:rsidRPr="00B8136E">
        <w:t xml:space="preserve">, ki </w:t>
      </w:r>
      <w:r w:rsidRPr="00B8136E">
        <w:t xml:space="preserve">v konkretnem primeru obsega oskrbo s pitno vodo, energijo, odvajanje odpadnih voda in dostop do </w:t>
      </w:r>
      <w:r w:rsidRPr="00FD163B">
        <w:t>javne poti, kot</w:t>
      </w:r>
      <w:r w:rsidR="00FD163B" w:rsidRPr="00FD163B">
        <w:t xml:space="preserve"> je</w:t>
      </w:r>
      <w:r w:rsidR="00433655" w:rsidRPr="00FD163B">
        <w:t xml:space="preserve"> </w:t>
      </w:r>
      <w:r w:rsidRPr="00FD163B">
        <w:t xml:space="preserve">navedeno v izreku </w:t>
      </w:r>
      <w:r w:rsidR="00FD163B">
        <w:t>tega dovoljenja</w:t>
      </w:r>
      <w:r w:rsidRPr="00FD163B">
        <w:t>.</w:t>
      </w:r>
    </w:p>
    <w:p w:rsidR="00360FEB" w:rsidRPr="001D40CD" w:rsidRDefault="00360FEB" w:rsidP="00360FEB">
      <w:pPr>
        <w:pStyle w:val="Odstavekseznama"/>
        <w:tabs>
          <w:tab w:val="left" w:pos="567"/>
        </w:tabs>
        <w:autoSpaceDE w:val="0"/>
        <w:autoSpaceDN w:val="0"/>
        <w:adjustRightInd w:val="0"/>
        <w:ind w:left="0"/>
        <w:rPr>
          <w:highlight w:val="yellow"/>
        </w:rPr>
      </w:pPr>
    </w:p>
    <w:p w:rsidR="00360FEB" w:rsidRPr="003B7C9E" w:rsidRDefault="00C10ED0" w:rsidP="001D40CD">
      <w:pPr>
        <w:pStyle w:val="Odstavekseznama"/>
        <w:numPr>
          <w:ilvl w:val="0"/>
          <w:numId w:val="10"/>
        </w:numPr>
        <w:tabs>
          <w:tab w:val="left" w:pos="567"/>
        </w:tabs>
        <w:autoSpaceDE w:val="0"/>
        <w:autoSpaceDN w:val="0"/>
        <w:adjustRightInd w:val="0"/>
        <w:ind w:left="0" w:firstLine="0"/>
      </w:pPr>
      <w:r w:rsidRPr="003B7C9E">
        <w:t>Iz vpogleda v zemljiško knjigo izhaja</w:t>
      </w:r>
      <w:r w:rsidR="00951EAC" w:rsidRPr="003B7C9E">
        <w:t xml:space="preserve">, da </w:t>
      </w:r>
      <w:r w:rsidR="00191851" w:rsidRPr="003B7C9E">
        <w:t xml:space="preserve">ima </w:t>
      </w:r>
      <w:r w:rsidRPr="003B7C9E">
        <w:t xml:space="preserve">investitor </w:t>
      </w:r>
      <w:r w:rsidR="00191851" w:rsidRPr="003B7C9E">
        <w:t xml:space="preserve">na zemljiščih gradnje parc. št. 118, 119/1 in 119/2, vse k.o. Ruše </w:t>
      </w:r>
      <w:r w:rsidR="004623BD" w:rsidRPr="003B7C9E">
        <w:t>na podlagi sklenjene</w:t>
      </w:r>
      <w:r w:rsidR="00191851" w:rsidRPr="003B7C9E">
        <w:t xml:space="preserve"> </w:t>
      </w:r>
      <w:r w:rsidR="004623BD" w:rsidRPr="003B7C9E">
        <w:t>pogodbe o ustanovitvi stavbne pravice z dne 17.6.2020 predlagano vknjižbo stavbne pravice za čas 4 leta za pridobitev gradbenega dovoljenja za izgradnjo objekta za predelavo nenevarnih odpadkov. Z zemljišče gradnje parc. št. 121 k.o. Ruše pa ima investitor na podlagi pogodbe o ustanovitvi stavbne pravice z dne 28.5.2020 predlagano vknjižbo stavbne pravice za čas 20 let za izgradnjo objekta za predelavo nenevarnih odpadkov. Iz navedenega iz</w:t>
      </w:r>
      <w:r w:rsidR="001059E5" w:rsidRPr="003B7C9E">
        <w:rPr>
          <w:rFonts w:cs="Arial"/>
        </w:rPr>
        <w:t>haja, da ima investitor pravico graditi na vseh zemljiščih, navedenih v izreku tega dovoljenja.</w:t>
      </w:r>
    </w:p>
    <w:p w:rsidR="00360FEB" w:rsidRPr="001D40CD" w:rsidRDefault="00360FEB" w:rsidP="00360FEB">
      <w:pPr>
        <w:pStyle w:val="Odstavekseznama"/>
      </w:pPr>
    </w:p>
    <w:p w:rsidR="000336EC" w:rsidRPr="00A37EA9" w:rsidRDefault="000336EC" w:rsidP="000336EC">
      <w:pPr>
        <w:pStyle w:val="Odstavekseznama"/>
        <w:numPr>
          <w:ilvl w:val="0"/>
          <w:numId w:val="10"/>
        </w:numPr>
        <w:tabs>
          <w:tab w:val="left" w:pos="567"/>
        </w:tabs>
        <w:autoSpaceDE w:val="0"/>
        <w:autoSpaceDN w:val="0"/>
        <w:adjustRightInd w:val="0"/>
        <w:ind w:left="0" w:firstLine="0"/>
      </w:pPr>
      <w:r w:rsidRPr="00A37EA9">
        <w:t xml:space="preserve">Investitor ni zavezanec za plačilo nadomestila za degradacijo in uzurpacijo prostora. Zahtevek investitorja se nanaša na </w:t>
      </w:r>
      <w:r w:rsidR="00D13B94" w:rsidRPr="00A37EA9">
        <w:t>spremembo namembnosti objekta v sklopu območja industrijske cone nekdanje Tovarne dušika Ruše (TDR), za kar je investitor pred</w:t>
      </w:r>
      <w:r w:rsidR="009402EA" w:rsidRPr="00A37EA9">
        <w:t>ložil lokacijski dovoljenji št. 351-1138/72-7/2-3 z dne 11. 7. 1972 in 351-1411/81-11/2-10 z dne 16.</w:t>
      </w:r>
      <w:r w:rsidR="00792EBB">
        <w:t> </w:t>
      </w:r>
      <w:r w:rsidR="009402EA" w:rsidRPr="00A37EA9">
        <w:t>6.</w:t>
      </w:r>
      <w:r w:rsidR="00792EBB">
        <w:t> </w:t>
      </w:r>
      <w:r w:rsidR="009402EA" w:rsidRPr="00A37EA9">
        <w:t>1981, gradbeni dovoljenji št. 351-1138/72-7/2-Ma z dne 25.</w:t>
      </w:r>
      <w:r w:rsidR="00792EBB">
        <w:t> </w:t>
      </w:r>
      <w:r w:rsidR="009402EA" w:rsidRPr="00A37EA9">
        <w:t>7.</w:t>
      </w:r>
      <w:r w:rsidR="00792EBB">
        <w:t> </w:t>
      </w:r>
      <w:r w:rsidR="009402EA" w:rsidRPr="00A37EA9">
        <w:t>1972 in 351-1411/81-11/2-9 z dne 2.</w:t>
      </w:r>
      <w:r w:rsidR="00792EBB">
        <w:t> </w:t>
      </w:r>
      <w:r w:rsidR="009402EA" w:rsidRPr="00A37EA9">
        <w:t>10.</w:t>
      </w:r>
      <w:r w:rsidR="00792EBB">
        <w:t> </w:t>
      </w:r>
      <w:r w:rsidR="009402EA" w:rsidRPr="00A37EA9">
        <w:t>1981 ter uporabno dovoljenje št. 351-1411/78-11/2-5 z dne 13.</w:t>
      </w:r>
      <w:r w:rsidR="00792EBB">
        <w:t> </w:t>
      </w:r>
      <w:r w:rsidR="009402EA" w:rsidRPr="00A37EA9">
        <w:t>10.</w:t>
      </w:r>
      <w:r w:rsidR="00792EBB">
        <w:t> </w:t>
      </w:r>
      <w:r w:rsidR="009402EA" w:rsidRPr="00A37EA9">
        <w:t>1982</w:t>
      </w:r>
      <w:r w:rsidR="00D13B94" w:rsidRPr="00A37EA9">
        <w:t xml:space="preserve">. </w:t>
      </w:r>
    </w:p>
    <w:p w:rsidR="009402EA" w:rsidRDefault="009402EA" w:rsidP="009402EA">
      <w:pPr>
        <w:pStyle w:val="Odstavekseznama"/>
        <w:tabs>
          <w:tab w:val="left" w:pos="567"/>
        </w:tabs>
        <w:autoSpaceDE w:val="0"/>
        <w:autoSpaceDN w:val="0"/>
        <w:adjustRightInd w:val="0"/>
        <w:ind w:left="0"/>
      </w:pPr>
    </w:p>
    <w:p w:rsidR="00360FEB" w:rsidRPr="007F4F6B" w:rsidRDefault="00C10ED0" w:rsidP="001D40CD">
      <w:pPr>
        <w:pStyle w:val="Odstavekseznama"/>
        <w:numPr>
          <w:ilvl w:val="0"/>
          <w:numId w:val="10"/>
        </w:numPr>
        <w:tabs>
          <w:tab w:val="left" w:pos="567"/>
        </w:tabs>
        <w:autoSpaceDE w:val="0"/>
        <w:autoSpaceDN w:val="0"/>
        <w:adjustRightInd w:val="0"/>
        <w:ind w:left="0" w:firstLine="0"/>
      </w:pPr>
      <w:r w:rsidRPr="007F4F6B">
        <w:t>V skladu z zakonom</w:t>
      </w:r>
      <w:r w:rsidR="00951EAC" w:rsidRPr="007F4F6B">
        <w:t xml:space="preserve">, ki </w:t>
      </w:r>
      <w:r w:rsidRPr="007F4F6B">
        <w:t xml:space="preserve">ureja kmetijska zemljišča, investitor </w:t>
      </w:r>
      <w:r w:rsidR="007F4F6B" w:rsidRPr="007F4F6B">
        <w:t>zaradi narave posega (</w:t>
      </w:r>
      <w:r w:rsidR="00CE5F05" w:rsidRPr="007F4F6B">
        <w:t xml:space="preserve">spremembe namembnosti </w:t>
      </w:r>
      <w:r w:rsidR="007F4F6B" w:rsidRPr="007F4F6B">
        <w:t xml:space="preserve">obstoječega </w:t>
      </w:r>
      <w:r w:rsidR="00CE5F05" w:rsidRPr="007F4F6B">
        <w:t>objekta</w:t>
      </w:r>
      <w:r w:rsidR="007F4F6B" w:rsidRPr="007F4F6B">
        <w:t>)</w:t>
      </w:r>
      <w:r w:rsidR="00CE5F05" w:rsidRPr="007F4F6B">
        <w:t xml:space="preserve">, </w:t>
      </w:r>
      <w:r w:rsidRPr="007F4F6B">
        <w:t>tudi ni zavezanec za plačilo odškodnine zaradi spremembe namembnosti kmetijskega zemljišča</w:t>
      </w:r>
      <w:r w:rsidR="00CE5F05" w:rsidRPr="007F4F6B">
        <w:t>.</w:t>
      </w:r>
    </w:p>
    <w:p w:rsidR="00360FEB" w:rsidRPr="003259DE" w:rsidRDefault="00360FEB" w:rsidP="00360FEB">
      <w:pPr>
        <w:pStyle w:val="Odstavekseznama"/>
        <w:rPr>
          <w:b/>
          <w:highlight w:val="yellow"/>
        </w:rPr>
      </w:pPr>
    </w:p>
    <w:p w:rsidR="00360FEB" w:rsidRPr="005675E4" w:rsidRDefault="00A818A0" w:rsidP="001D40CD">
      <w:pPr>
        <w:pStyle w:val="Odstavekseznama"/>
        <w:numPr>
          <w:ilvl w:val="0"/>
          <w:numId w:val="10"/>
        </w:numPr>
        <w:tabs>
          <w:tab w:val="left" w:pos="567"/>
        </w:tabs>
        <w:autoSpaceDE w:val="0"/>
        <w:autoSpaceDN w:val="0"/>
        <w:adjustRightInd w:val="0"/>
        <w:ind w:left="0" w:firstLine="0"/>
      </w:pPr>
      <w:r w:rsidRPr="005675E4">
        <w:t>V obravnavani zadevi gre za spremembo namembnosti objekta z obstoječimi priključki</w:t>
      </w:r>
      <w:r w:rsidR="005675E4" w:rsidRPr="005675E4">
        <w:t xml:space="preserve">, </w:t>
      </w:r>
      <w:r w:rsidRPr="005675E4">
        <w:t xml:space="preserve">zato </w:t>
      </w:r>
      <w:r w:rsidR="005675E4" w:rsidRPr="005675E4">
        <w:t xml:space="preserve">se  </w:t>
      </w:r>
      <w:r w:rsidRPr="005675E4">
        <w:t xml:space="preserve"> </w:t>
      </w:r>
      <w:r w:rsidR="005675E4" w:rsidRPr="005675E4">
        <w:t xml:space="preserve">za poseg </w:t>
      </w:r>
      <w:r w:rsidRPr="005675E4">
        <w:t>komunalnega prispevka n</w:t>
      </w:r>
      <w:r w:rsidR="005675E4" w:rsidRPr="005675E4">
        <w:t>e plača</w:t>
      </w:r>
      <w:r w:rsidRPr="005675E4">
        <w:t xml:space="preserve">. </w:t>
      </w:r>
    </w:p>
    <w:p w:rsidR="00360FEB" w:rsidRPr="001D40CD" w:rsidRDefault="00360FEB" w:rsidP="00360FEB">
      <w:pPr>
        <w:pStyle w:val="Odstavekseznama"/>
      </w:pPr>
    </w:p>
    <w:p w:rsidR="00790E53" w:rsidRPr="00B8136E" w:rsidRDefault="00790E53" w:rsidP="001D40CD">
      <w:pPr>
        <w:pStyle w:val="Odstavekseznama"/>
        <w:numPr>
          <w:ilvl w:val="0"/>
          <w:numId w:val="10"/>
        </w:numPr>
        <w:tabs>
          <w:tab w:val="left" w:pos="567"/>
        </w:tabs>
        <w:autoSpaceDE w:val="0"/>
        <w:autoSpaceDN w:val="0"/>
        <w:adjustRightInd w:val="0"/>
        <w:ind w:left="0" w:firstLine="0"/>
      </w:pPr>
      <w:r w:rsidRPr="00B8136E">
        <w:lastRenderedPageBreak/>
        <w:t>V tem integralnem postopku je upravni organ izvedel presojo vplivov na okolje in 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rsidR="00C10ED0" w:rsidRDefault="00C10ED0" w:rsidP="00594118">
      <w:pPr>
        <w:pStyle w:val="Zamik1"/>
      </w:pPr>
    </w:p>
    <w:p w:rsidR="00BE50B4" w:rsidRDefault="00BE50B4" w:rsidP="00790E53">
      <w:pPr>
        <w:ind w:right="-7"/>
      </w:pPr>
      <w:r w:rsidRPr="00BE50B4">
        <w:t>Upravni organ je v postopku z dopisom št. 35105-47/2020/3 z dne 31. 8. 2020 zaprosil Agencijo RS za okolje in Direkcijo RS za vode za mnenje o sprejemljivosti nameravane gradnje z vidika njunih pristojnosti in morebitne pogoje, ki se nanašajo na izvedbo gradnje in uporabo objekta. Na podlagi mnenja Agencije RS za okolje št. 35403-22/2020-2 z dne 30. 9. 2020 in mnenja Direkcije za vode št. 35508-4732/2020-2 z dne 2. 10. 2020 je upravni organ pozval investitorja (z dopisom št. 35105-47/2020/9 z dne 7. 10. 2020) k dopolnitvi PVO. Investitor je upravnemu organu dne 11. 12. 2020 predložil dopolnjen PVO in DGD, zato je upravni organ z dopisom št. 35105-47/2020/13 z dne 15. 12. 2020 ponovno zaprosil za mnenje Agencijo RS za okolje in Direkcijo za vode ter jima posredoval navedeno gradivo. Agencija RS za okolje je dne 13. 1. 2021 podala mnenje št. 35403-22/2020-4. Iz mnenj Agencije RS za okolje izhaja, da je nameravani poseg z vidika emisij v tla, vode, zrak, hrupa, svetlobnega onesnaževanja ter elektromagnetnega sevanja in ravnanja z odpadki sprejemljiv oziroma sprejemljiv ob upoštevanju pogojev, navedenih v PVO ter dodatnih zahtev, ki izhajajo iz navedenih mnenj. Upravni organ je dne 15. 1. 2021 prejel še mnenje št. 35508-4732/2020-4, ki ga je izdala Direkcija RS za vode, iz katerega izhaja, da je nameravani poseg z vidika upravljanja z vodami sprejemljiv ob upoštevanju pogojev, določenih v mnenju.</w:t>
      </w:r>
    </w:p>
    <w:p w:rsidR="00BE50B4" w:rsidRDefault="00BE50B4" w:rsidP="00790E53">
      <w:pPr>
        <w:ind w:right="-7"/>
      </w:pPr>
    </w:p>
    <w:p w:rsidR="00790E53" w:rsidRPr="00A76565" w:rsidRDefault="00790E53" w:rsidP="00790E53">
      <w:pPr>
        <w:ind w:right="-7"/>
      </w:pPr>
      <w:r w:rsidRPr="00A76565">
        <w:t>K predmetni gradnji so bila pridobljena tudi mnenja drugih pristojnih organov in organizacij, ki varujejo javne inte</w:t>
      </w:r>
      <w:r w:rsidR="00360FEB" w:rsidRPr="00A76565">
        <w:t xml:space="preserve">rese z vidika varovanja narave in </w:t>
      </w:r>
      <w:r w:rsidRPr="00A76565">
        <w:t>voda, kot so navedena v točki IV. izreka tega dovoljenja.</w:t>
      </w:r>
    </w:p>
    <w:p w:rsidR="00790E53" w:rsidRPr="001D40CD" w:rsidRDefault="00790E53" w:rsidP="00790E53">
      <w:pPr>
        <w:ind w:right="-7"/>
        <w:rPr>
          <w:highlight w:val="cyan"/>
        </w:rPr>
      </w:pPr>
    </w:p>
    <w:p w:rsidR="00790E53" w:rsidRPr="001D40CD" w:rsidRDefault="00790E53" w:rsidP="00790E53">
      <w:pPr>
        <w:ind w:right="-7"/>
        <w:rPr>
          <w:rFonts w:cs="Arial"/>
        </w:rPr>
      </w:pPr>
      <w:r w:rsidRPr="001D40CD">
        <w:rPr>
          <w:rFonts w:cs="Arial"/>
        </w:rPr>
        <w:t xml:space="preserve">Upravni organ je na podlagi vpogleda v DGD, PVO, Prostorski informacijski sistem in vsa pridobljena mnenja v zvezi s predmetno gradnjo </w:t>
      </w:r>
      <w:r w:rsidR="006846A9">
        <w:rPr>
          <w:rFonts w:cs="Arial"/>
        </w:rPr>
        <w:t xml:space="preserve">tudi </w:t>
      </w:r>
      <w:r w:rsidRPr="001D40CD">
        <w:rPr>
          <w:rFonts w:cs="Arial"/>
        </w:rPr>
        <w:t>ugotovil, da:</w:t>
      </w:r>
    </w:p>
    <w:p w:rsidR="00BE50B4" w:rsidRDefault="00BE50B4" w:rsidP="00BE50B4">
      <w:pPr>
        <w:pStyle w:val="Odstavekseznama"/>
        <w:numPr>
          <w:ilvl w:val="0"/>
          <w:numId w:val="5"/>
        </w:numPr>
        <w:spacing w:line="276" w:lineRule="auto"/>
        <w:ind w:left="284" w:hanging="284"/>
      </w:pPr>
      <w:r>
        <w:t xml:space="preserve">so predvideni objekti umeščeni znotraj industrijskega območja nekdanje Tovarne dušika Ruše (TRD v Rušah). Južno in zahodno od območja predmetne lokacije so obstoječi zgrajeni objekti. Zahodno in severozahodno od lokacije je območje nepozidanih površin. Severno od območja lokacije je dostopna cesta in v nadaljevanju območje Odlagališča nenevarnih odpadkov Halda TRD ter reka Drava </w:t>
      </w:r>
    </w:p>
    <w:p w:rsidR="00BE50B4" w:rsidRDefault="00BE50B4" w:rsidP="00BE50B4">
      <w:pPr>
        <w:pStyle w:val="Odstavekseznama"/>
        <w:numPr>
          <w:ilvl w:val="0"/>
          <w:numId w:val="5"/>
        </w:numPr>
        <w:spacing w:line="276" w:lineRule="auto"/>
        <w:ind w:left="284" w:hanging="284"/>
      </w:pPr>
      <w:r>
        <w:t>se na lokaciji nameravanega posega in v njeni neposredni bližini v naravi ne nahaja gozd niti kmetijska zemljišča;</w:t>
      </w:r>
    </w:p>
    <w:p w:rsidR="00BE50B4" w:rsidRDefault="00BE50B4" w:rsidP="00BE50B4">
      <w:pPr>
        <w:pStyle w:val="Odstavekseznama"/>
        <w:numPr>
          <w:ilvl w:val="0"/>
          <w:numId w:val="5"/>
        </w:numPr>
        <w:spacing w:line="276" w:lineRule="auto"/>
        <w:ind w:left="284" w:hanging="284"/>
      </w:pPr>
      <w:r>
        <w:t>na lokaciji nameravanega posega in v njeni neposredni bližini ni registriranih enot kulturne dediščine in drugih posebnih materialnih dobrin, prav tako območje posega tudi ni v njihovem vplivnem območju;</w:t>
      </w:r>
    </w:p>
    <w:p w:rsidR="00BE50B4" w:rsidRDefault="00BE50B4" w:rsidP="00BE50B4">
      <w:pPr>
        <w:pStyle w:val="Odstavekseznama"/>
        <w:numPr>
          <w:ilvl w:val="0"/>
          <w:numId w:val="5"/>
        </w:numPr>
        <w:spacing w:line="276" w:lineRule="auto"/>
        <w:ind w:left="284" w:hanging="284"/>
      </w:pPr>
      <w:r>
        <w:t xml:space="preserve">lokacija nameravanega posega ne predstavlja pomembnejšega življenjskega prostora za rastline in živali in se ne nahaja na območju s posebnim statusom na podlagi predpisov s področja ohranjanja narave (ekološko pomembna območja, območja naravnih vrednot ali varovana območja). Najbližje območje Natura 2000 se nahaja severno od območja lokacije in je oddaljeno cca. 100 m. Gre za Natura 2000 območje Drava (ID območja: SI5000011). Priloga 2 Pravilnika o presoji sprejemljivosti vplivov izvedbe planov in posegov v naravo na varovana območja (Uradni list RS, št. 130/04, 53/06, 38/10, 3/11) določa tudi območje daljinskega vpliva posameznih posegov. Pravilnik ne zajema posega v naravo, ki bi zajemal predelavo odpadkov. Prilogi 2 se ugotavlja območje neposrednega vpliva le za poseg ''Ureditev zbirnega mesta za odpadni material (smetišča, deponije in ekološki otoki) in odlagališča odpadkov'' 50 m in velja za vse skupine. Območje daljinskega vpliva za isti poseg je 500 m za rjavega medveda. V primeru posegov, za katere je treba izvesti presojo vplivov na okolje, se upošteva dvakrat večje območje od območja daljinskega vpliva, navedenega v Prilogi 2. V navedenem Pravilniku je podana možnost, da se iz predhodnih ugotovitev na terenu, podrobnejših podatkov o izvedbi posega v naravo in iz drugih dejanskih okoliščin lahko ugotovi, da je območje daljinskega vpliva drugačno. V skladu s Pravilnikom in prej navedenim, je bila izvedena analiza, katera območja zajeme območje 1000 m pasu okrog območja predmetnega posega. V okoliškem območju se nahaja območje ohranjanja narave s posebnim </w:t>
      </w:r>
      <w:r>
        <w:lastRenderedPageBreak/>
        <w:t>pravnim režimom Natura 2000 območje Drava (ID območja: SI5000011). Reka Drava je najpomembnejše območje za vodne ptice v Sloveniji, saj tukaj redno prezimuje več kot 20.000 vodnih ptic, nič manj pa se jih ne zadržuje na spomladanski oziroma jesenski selitvi. Pomen Drave za prezimujoče vodne ptice v zadnjih letih lepo ilustrirajo rezultati vsakoletnega sistematičnega štetja vodnih ptic v mesecu januarju. Izmed posameznih vrst je gotovo zelo pomembna velika bela čaplja. Mnoge sicer pogoste vrste ptic dosegajo tukaj na prezimovanju za slovenske in tudi evropske razmere visoka števila. Med njimi so najpomembnejše mali ponirek, pritlikavi kormoran, mlakarica, čopasta črnica, zvonec in veliki žagar. Med številnimi vrstami, ki območje reke Drave preletijo v času selitve, velja izpostaviti dve: črno čigro in malega galeba. Možnih negativnih vplivov na Natura 2000 območje Drava (ID območja: SI3000309), ki je od samega posega oddaljeno ca. 100 ni pričakovati, saj je območje zavarovano zaradi vodnih ptic in ne zaradi rjavega medveda, za katerega je določeno 500 metrsko območje daljinskega vpliva za sorodne posege v skladu s določili iz priloge 2 Pravilnika. Daljinski vpliv na navedene vrste glede na oddaljenost in izvedene infrastrukturne ureditve predvidoma ne bodo nastajali, saj se na taki oddaljenosti ne pričakuje možne interakcije in negativnih vplivov. Vse odpadne vode, bodo ustrezno zajete in očiščene pred izpusti. Glede na ugotovljeno stanje in ocenjene potencialne vplive v času obratovanja (glede na predmet posega in izhodiščno stanje), ni pričakovati negativnih vplivov na navedena območja ohranjanja narave s posebnim pravnim režimom, ki so v 1000 m pasu okrog območja posega. Območje posega zajame prostor, ki je že antropogeno spremenjen in ni poraščen z gozdom. Glede na to, da poseg ne predvideva posegov na območje gozda se ne pričakuje slabšanja konkretne funkcije gozda. V predmetni zadevi zato ni treba izvesti presoje sprejemljivosti nameravanega posega v naravo;</w:t>
      </w:r>
    </w:p>
    <w:p w:rsidR="00BE50B4" w:rsidRDefault="00BE50B4" w:rsidP="00BE50B4">
      <w:pPr>
        <w:pStyle w:val="Odstavekseznama"/>
        <w:numPr>
          <w:ilvl w:val="0"/>
          <w:numId w:val="5"/>
        </w:numPr>
        <w:spacing w:line="276" w:lineRule="auto"/>
        <w:ind w:left="284" w:hanging="284"/>
      </w:pPr>
      <w:r>
        <w:t>nosilec nameravanega posega razpolaga z Okoljevarstvenim dovoljenjem št. 35441-4/2019-9 z dne 11. 7. 2019 glede emisij v vode za obratovanje naprave Zbirni center Ruše z zmogljivostjo hkratnega skladiščenja 5.000 t nenevarnih odpadkov, ki se nahaja na zemljišču št. 119/2 in 119/1 vse k.o. (665) Ruše. Prav tako razpolaga s Potrdilom o vpisu v evidenco zbiralcev odpadkov št. 35469-50/2018-8 z dne 30. 10. 2019 za Zbirni center na lokaciji Ruše, ki je urejen na območju dela zemljišča s parcelnimi št. 119/1 in 119/2 vse k.o. (665) Ruše;</w:t>
      </w:r>
    </w:p>
    <w:p w:rsidR="00BE50B4" w:rsidRDefault="00BE50B4" w:rsidP="00BE50B4">
      <w:pPr>
        <w:pStyle w:val="Odstavekseznama"/>
        <w:numPr>
          <w:ilvl w:val="0"/>
          <w:numId w:val="5"/>
        </w:numPr>
        <w:spacing w:line="276" w:lineRule="auto"/>
        <w:ind w:left="284" w:hanging="284"/>
      </w:pPr>
      <w:r>
        <w:t>bodo vplivi, bodisi v času gradnje bodisi uporabe objektov, na tla in podzemne vode, obremenjenost okolja s hrupom, poplavno varnost ter vplivi z vidika nastajanja odpadkov in ravnanja z njimi ter okoljskih nesreč, nebistveni, ob upoštevanju dodatnih ukrepov in pogojev, ki jih mora investitor upoštevati, da bi preprečil, zmanjšal ali odstranil škodljive vplive na okolje, ki jih je upravni organ določil v V. točki izreka tega dovoljenja in kot je obrazloženo v nadaljevanju;</w:t>
      </w:r>
    </w:p>
    <w:p w:rsidR="00C10ED0" w:rsidRDefault="00BE50B4" w:rsidP="00BE50B4">
      <w:pPr>
        <w:pStyle w:val="Odstavekseznama"/>
        <w:numPr>
          <w:ilvl w:val="0"/>
          <w:numId w:val="5"/>
        </w:numPr>
        <w:spacing w:line="276" w:lineRule="auto"/>
        <w:ind w:left="284" w:hanging="284"/>
      </w:pPr>
      <w:r>
        <w:t>ostali vplivi v času gradnje in uporabe objektov so ocenjeni kot nebistveni oziroma jih ni, pri čemer je treba dosledno upoštevati tudi vse zahteve, predvidene v zakonskih in podzakonskih predpisih. Podrobnejši opisi in obrazložitve v zvezi s tem izhajajo iz PVO, navedenem v točki III. izreka tega dovoljenja.</w:t>
      </w:r>
    </w:p>
    <w:p w:rsidR="00BE50B4" w:rsidRDefault="00BE50B4" w:rsidP="00BE50B4">
      <w:pPr>
        <w:pStyle w:val="Odstavekseznama"/>
        <w:spacing w:line="276" w:lineRule="auto"/>
        <w:ind w:left="284"/>
      </w:pPr>
    </w:p>
    <w:p w:rsidR="00BE50B4" w:rsidRDefault="00BE50B4" w:rsidP="00BE50B4">
      <w:pPr>
        <w:spacing w:line="276" w:lineRule="auto"/>
      </w:pPr>
      <w:r>
        <w:t>Glede na vrsto predvidenega postopka predelave (R5 – mehanske operacije in R12-mehanske operacije) in predvideni način izvajanja predelave (uporaba različnih naprav – glede na namen posameznega sektorja) je prostor predviden kot odprta površina. Center za nenevarne odpadke Vaukan tvorijo sektorji s spremljajočimi napravami in transportne ter manipulativne površine. Glede na zasnovo in sektorsko razdelitev je samo območje površin namenjenih kot objekt za predelavo velikosti ca. 6.963 m². Prostor predelave na območju centra se razdeli v sektorje:</w:t>
      </w:r>
    </w:p>
    <w:p w:rsidR="00BE50B4" w:rsidRDefault="00BE50B4" w:rsidP="00BE50B4">
      <w:pPr>
        <w:pStyle w:val="Odstavekseznama"/>
        <w:spacing w:line="276" w:lineRule="auto"/>
        <w:ind w:left="284"/>
      </w:pPr>
      <w:r>
        <w:t>1. Sektor ročnega razvrščanja in sortiranja s površino max. 1.996 m².</w:t>
      </w:r>
    </w:p>
    <w:p w:rsidR="00BE50B4" w:rsidRDefault="00BE50B4" w:rsidP="00BE50B4">
      <w:pPr>
        <w:pStyle w:val="Odstavekseznama"/>
        <w:spacing w:line="276" w:lineRule="auto"/>
        <w:ind w:left="284"/>
      </w:pPr>
      <w:r>
        <w:t>2. Sektor barvnih kovin s površino max. 710 m².</w:t>
      </w:r>
    </w:p>
    <w:p w:rsidR="00BE50B4" w:rsidRDefault="00BE50B4" w:rsidP="00BE50B4">
      <w:pPr>
        <w:pStyle w:val="Odstavekseznama"/>
        <w:spacing w:line="276" w:lineRule="auto"/>
        <w:ind w:left="284"/>
      </w:pPr>
      <w:r>
        <w:t>3. Sektor za obdelavo kovin s površino max. 1.800 m².</w:t>
      </w:r>
    </w:p>
    <w:p w:rsidR="00BE50B4" w:rsidRDefault="00BE50B4" w:rsidP="00BE50B4">
      <w:pPr>
        <w:pStyle w:val="Odstavekseznama"/>
        <w:spacing w:line="276" w:lineRule="auto"/>
        <w:ind w:left="284"/>
      </w:pPr>
      <w:r>
        <w:t>4. Sektor za separiranje in ločevanje s površino max. 900 m².</w:t>
      </w:r>
    </w:p>
    <w:p w:rsidR="00BE50B4" w:rsidRDefault="00BE50B4" w:rsidP="00BE50B4">
      <w:pPr>
        <w:pStyle w:val="Odstavekseznama"/>
        <w:spacing w:line="276" w:lineRule="auto"/>
        <w:ind w:left="284"/>
      </w:pPr>
      <w:r>
        <w:t>5. Sektor za ''žlindre'' – drobljenje in ločevanje s površino max. 1590 m².</w:t>
      </w:r>
    </w:p>
    <w:p w:rsidR="00BE50B4" w:rsidRDefault="00BE50B4" w:rsidP="00BE50B4">
      <w:pPr>
        <w:pStyle w:val="Odstavekseznama"/>
        <w:spacing w:line="276" w:lineRule="auto"/>
        <w:ind w:left="284"/>
      </w:pPr>
      <w:r>
        <w:t>6. Sektor za ''peske'' – sejanje in mešanje s površino max. 962 m².</w:t>
      </w:r>
    </w:p>
    <w:p w:rsidR="00BE50B4" w:rsidRDefault="00BE50B4" w:rsidP="00BE50B4">
      <w:pPr>
        <w:pStyle w:val="Odstavekseznama"/>
        <w:spacing w:line="276" w:lineRule="auto"/>
        <w:ind w:left="284"/>
      </w:pPr>
      <w:r>
        <w:lastRenderedPageBreak/>
        <w:t>Preostali del bruto površine na območju obravnavanih zemljišč predstavljajo transportne, manipulativne površine in druge površine. Velikost teh zemljišč glede na ureditveno zasnovo je ca. 4.758 m².</w:t>
      </w:r>
    </w:p>
    <w:p w:rsidR="00BE50B4" w:rsidRDefault="00BE50B4" w:rsidP="00BE50B4">
      <w:pPr>
        <w:pStyle w:val="Odstavekseznama"/>
        <w:spacing w:line="276" w:lineRule="auto"/>
        <w:ind w:left="284"/>
      </w:pPr>
    </w:p>
    <w:p w:rsidR="00BE50B4" w:rsidRDefault="00BE50B4" w:rsidP="00BE50B4">
      <w:pPr>
        <w:spacing w:line="276" w:lineRule="auto"/>
      </w:pPr>
      <w:r>
        <w:t xml:space="preserve">Na lokaciji se bodo predelovali nenevarni odpadki iz skupin 01, 02, 10, 12, 16 17, 19 in 20 v skupni količini do 110.000 ton/leto (presoja vplivov na okolje je bila izvedena na max. zmogljivost naprave, ki je večja, do 143.000 ton/leto). </w:t>
      </w:r>
    </w:p>
    <w:p w:rsidR="00BE50B4" w:rsidRDefault="00BE50B4" w:rsidP="00BE50B4">
      <w:pPr>
        <w:pStyle w:val="Odstavekseznama"/>
        <w:spacing w:line="276" w:lineRule="auto"/>
        <w:ind w:left="284"/>
      </w:pPr>
    </w:p>
    <w:p w:rsidR="00BE50B4" w:rsidRDefault="00BE50B4" w:rsidP="00BE50B4">
      <w:pPr>
        <w:spacing w:line="276" w:lineRule="auto"/>
      </w:pPr>
      <w:r>
        <w:t>V času pripravljalnih del na obratovanje posega povezanih z dostavo naprav in namestitvijo naprav in spremljajoče opreme bodo lahko nastajale manjše emisije v zrak zaradi prisotnosti strojev in transportnih vozil. Prav tako bodo lahko nastajale manjše emisije hrupa zaradi delovanja gradbene mehanizacije in transportnih sredstev ter manipulacijo z materiali in opremo. Navedene emisije bodo povzročene le krajši čas in bodo po oceni nebistvene ter nezaznavne.</w:t>
      </w:r>
    </w:p>
    <w:p w:rsidR="00BE50B4" w:rsidRPr="00BE50B4" w:rsidRDefault="00BE50B4" w:rsidP="00BE50B4">
      <w:pPr>
        <w:pStyle w:val="Odstavekseznama"/>
        <w:spacing w:line="276" w:lineRule="auto"/>
        <w:ind w:left="284"/>
      </w:pPr>
    </w:p>
    <w:p w:rsidR="0020017F" w:rsidRPr="0020017F" w:rsidRDefault="0020017F" w:rsidP="0020017F">
      <w:pPr>
        <w:pStyle w:val="Odstavekseznama"/>
        <w:numPr>
          <w:ilvl w:val="1"/>
          <w:numId w:val="7"/>
        </w:numPr>
        <w:ind w:left="567" w:right="-7" w:hanging="567"/>
      </w:pPr>
      <w:r>
        <w:t xml:space="preserve">Varstvo </w:t>
      </w:r>
      <w:r w:rsidRPr="0020017F">
        <w:rPr>
          <w:rFonts w:cs="Arial"/>
        </w:rPr>
        <w:t>površinskih voda</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Na lokaciji načrtovanega posega ni prisotnih površinskih vodotokov. Hidrografsko mrežo širšega območja tvori Drava. Reka Drava je od meje posega oddaljena okoli 210 m severno in je uvrščena v 2-3. razred kategorije urejanja vodotokov po morfološkem značaju. Vzhodno od lokacije je struga vodotoka Bersteljškov potok, ki je območja centra oddaljen ca. 275 m.</w:t>
      </w:r>
    </w:p>
    <w:p w:rsidR="0020017F" w:rsidRDefault="0020017F" w:rsidP="0020017F">
      <w:pPr>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9.1.a</w:t>
      </w:r>
      <w:r w:rsidRPr="0020017F">
        <w:rPr>
          <w:rFonts w:cs="Arial"/>
        </w:rPr>
        <w:tab/>
        <w:t>Pričakovani vplivi v času obratovanja in pogoji</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 xml:space="preserve">Zaradi obratovanja centra in izvajanja predelave po predvidenih postopkih, upoštevajoč predvideno  spremembo (predmet posega), ni pričakovati nastajanja povečanih količin komunalnih odpadnih voda. Te bodo sicer še nastajale zaradi uporabe sanitarij. Gradnje novih sanitarij s priključitvijo na kanalizacijsko omrežje ne bo, temveč je predvidena raba obstoječih sanitarij. Nastanka bistvenih negativnih vplivov na površinske vode zaradi obratovanja centra ni pričakovati. Povečanje količine odpadnih komunalnih voda ni predvideno. Nastajale bodo industrijske odpadne vode kot posledica padavinskih voda, ki odtekajo z območij, kjer se skladiščijo odpadki. Uredba o emisiji snovi in toplote pri odvajanju odpadnih voda v vode in javno kanalizacijo (Uradni list RS, št. 64/12, 64/14 in 98/15) določa, da je industrijska odpadna voda je tudi odpadna voda, ki se zbira in odteka s površin objektov ali naprav za predhodno skladiščenje, predelavo, skladiščenje ali odstranjevanje odpadkov, razen njihovih streh, ali s funkcionalnih prometnih površin ob teh objektih in napravah, če na teh površinah poteka manipulacija z odpadki in bi lahko prišlo do onesnaženja površin (4. člen, točka 10). Vse tovrstne vode se bodo odvajale v obstoječi izvedeni sistem kanalizacije s spremljajočimi elementi. Izpust iz kanalizacije za odvajanje odpadnih voda je izveden preko sistema usedalnikov in lovilnika olj v reko Dravo (Iztok V1-1). Glede na predmet posega in obstoječe stanje se ne pričakuje povečanja ali bistvenih sprememb glede količine nastajanja industrijskih odpadnih voda. </w:t>
      </w:r>
    </w:p>
    <w:p w:rsidR="0020017F" w:rsidRPr="0020017F" w:rsidRDefault="0020017F" w:rsidP="0020017F">
      <w:pPr>
        <w:pStyle w:val="Odstavekseznama"/>
        <w:tabs>
          <w:tab w:val="left" w:pos="567"/>
        </w:tabs>
        <w:spacing w:line="276" w:lineRule="auto"/>
        <w:ind w:right="-6"/>
        <w:rPr>
          <w:rFonts w:cs="Arial"/>
        </w:rPr>
      </w:pPr>
    </w:p>
    <w:p w:rsidR="0020017F" w:rsidRDefault="0020017F" w:rsidP="0020017F">
      <w:pPr>
        <w:tabs>
          <w:tab w:val="left" w:pos="567"/>
        </w:tabs>
        <w:spacing w:line="276" w:lineRule="auto"/>
        <w:ind w:right="-6"/>
        <w:rPr>
          <w:rFonts w:cs="Arial"/>
        </w:rPr>
      </w:pPr>
      <w:r w:rsidRPr="0020017F">
        <w:rPr>
          <w:rFonts w:cs="Arial"/>
        </w:rPr>
        <w:t xml:space="preserve">Glede na to, da ima družba že pridobljeno okoljevarstveno dovoljenje glede emisij v vode in prve meritve izkazujejo, da </w:t>
      </w:r>
      <w:r>
        <w:rPr>
          <w:rFonts w:cs="Arial"/>
        </w:rPr>
        <w:t xml:space="preserve">mejne vrednosti </w:t>
      </w:r>
      <w:r w:rsidRPr="0020017F">
        <w:rPr>
          <w:rFonts w:cs="Arial"/>
        </w:rPr>
        <w:t>parametr</w:t>
      </w:r>
      <w:r>
        <w:rPr>
          <w:rFonts w:cs="Arial"/>
        </w:rPr>
        <w:t>ov na iztoku niso presežene</w:t>
      </w:r>
      <w:r w:rsidRPr="0020017F">
        <w:rPr>
          <w:rFonts w:cs="Arial"/>
        </w:rPr>
        <w:t>, se tudi zaradi nameravanega posega ne pričakuje bistvenih vplivov. Okoljevarstveno dovoljenje se nanaša na odvajanje industrijske odpadne vode, ki je posledica padavin in nastaja na 10.089 m² nepokritih utrjenih površin, kar ustreza celotni velikosti parcel s št. 119/2 in 119/1 k.o. Ruše. Poleg območja teh parc. št. sta v območje Centra za nenevarne odpadne Vaukan, ki je predmet presoje, vključeni tudi parc. št. 118 in 121 k.o. Ruše. Navedena zemljišča niso namenjena za skladiščenje ali predelavo odpadkov. Tako, da se na teh zemljiščih ne pričakuje nastajanja industrijskih odpadnih voda. Na območju navedenih zemljišč bodo nastajale padavinske odpadne vode. Lega navedenih zemljišč in konfiguracija izvedenih ureditev je taka, da se padavinske vode iz navedenih zemljišč lahko stekajo na območje na območje betonskega platoja. Odpadne padavinske vode se bodo iz območja navedenih zemljišč zaradi Centra za nenevarne odpadke Vaukan na obravnavani lokaciji odvajale preko obstoječega sistema za odvajanje odpadnih voda z vgrajenim lovilnikom olj (AQUAoil NS 300 S1P–</w:t>
      </w:r>
      <w:r w:rsidRPr="0020017F">
        <w:rPr>
          <w:rFonts w:cs="Arial"/>
        </w:rPr>
        <w:lastRenderedPageBreak/>
        <w:t>30000L SMALL). Z namenom preveritve ustreznosti vgrajenega lovilnika olj je bil izveden ponovni izračun. Privzeta je bila celotna površina zemljišč (11.540 m²). Po podatkih za intenzivne padavine iz postaje Maribor Tabor in pogostnosti padavin s povratno dobo 2 leti (5 min naliv 253 l/s/ha, 10 min pa 188 l/s/ha) iz celotne navedene površine, se ocenjuje pretok na lovilnik ca. 277 l/s. Izračunani potrebni volumen usedalnika je ca. 27.689 l. Vgrajeni obstoječi lovilnik olj (AQUAoil NS 300 S1P–30000L SMALL) je pretoka 300 l/s, kar ustreza izračunu. Prav tako ustreza tudi volumen usedalnika, saj ima vgrajeni lovilnik olj kapacitete usedalnika 30.000 l. Iz navedenega izhaja, da vgrajeni lovilnik olj ustreza tudi celotni površini centra.</w:t>
      </w:r>
    </w:p>
    <w:p w:rsidR="0020017F" w:rsidRPr="0020017F" w:rsidRDefault="0020017F" w:rsidP="0020017F">
      <w:pPr>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Glede na vrste odpadkov in predvidene procese ni pričakovati, da bodo nastajale industrijske odpadne vode, ki bi bile bolj obremenjene z onesnaževali, kot je to pričakovati zaradi že obstoječega predhodnega skladiščenja. Prisotnost naprav in orodij, s katerimi je predvidena predelava odpadkov (uporaba naprav in predelava bo prilagojena posamezni vrsti odpadka ipd.) ne predstavlja vnašanja popolnoma novih onesnaževal, ki jih ni možno pričakovati že okviru delovanja Zbirnega centra Ruše. Zato iz tega vidika je bilo privzeto stališče, da bo obstoječi sistem zajem in odvajanje odpadnih z vgrajenim lovilnikom olj (AQUAoil NS 300 S1P–30000L SMALL) ustrezen in bo zagotavljal ustrezno čiščenje odpadne vode pred iztokom.</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Vse površine, na katerih se bo izvajalo skladiščenje odpadkov in postopki predelave odpadkov, bodo betonske.</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Izveden je bil monitoring odpadnih vod na iztoku iz obstoječega lovilnika olj v skladu z določili iz okoljevarstvenega dovoljenja glede emisij v vode, iz katerega izhaja, da izmerjeni parametri ne presegajo mejnih vrednosti na iztoku in da so vse izmerjene vrednosti emisijskih koncentracij snovi za merilno mesto V1-1 v okviru predpisanih mejnih vrednosti.</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Oskrba strojev z pogonskim gorivom bo izvajana občasno, skladno s potrebami delovnega procesa. Dostava se bo izvajala z namensko cisterno. Točenje goriva v rezervoarje strojev se bo izvajalo na betonski ploščadi na območju centra.</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Zaradi obratovanja nameravanega posega ni pričakovati nastajanja dodatnih količin industrijskih odpadnih vod. Voda se v sklopu predelave uporablja za občasno močenje površin in dodajanje vode v procesu predelave v območju sektorja ''peski'' in v primeru prekomernega prašenja za močenje materiala tekom predelave na območju sektorja ''žlindre in »gradbeni''. Odpadne vode pri delovanju naprav za mehansko obdelavo odpadkov (drobilnik ali sejalnik) z namenom predelave odpadkov ne nastajajo. Namen naprave je izvajanje mehanskih operacij (npr: sekanje, ločevanje, drobljenje…). V primerih pojava prašenja se vhodne odpadke moči z vodo, vendar v takem primeru ne nastajajo odpadne vode, ker se dodana voda pri škropljenju vpije v material (vlažnost materiala). Predelava odpadkov na predmetni lokaciji ne bo vplivala na spremembo razmer glede nastajanja industrijskih odpadnih voda. Ni pričakovati povečanja količin odpadne vode na iztoku, saj bodo količine odpadne vode približno na enaki ravni kot v obstoječem stanju (odvisne od količine padavin).</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 xml:space="preserve">V času predelave odpadkov v sklopu Centra za nenevarne odpadne Vaukan se bo izvajalo skladiščenje odpadkov in predelava odpadkov s postopki, ki bodo prilagojeni posameznemu odpadku. Prihajalo bo do manipulacij in ravnanja z odpadki. V primerjavi s procesi zaradi predhodnega skladiščenja, se bo dodatno izvajal postopek predelave. Zaradi navedenega lahko eventualno pride do spremembe obsega premikov odpadkov na površini, vendar posledica ne bo povečanje količine odpadnih voda. </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 xml:space="preserve">Zaradi izvedbe posega so glede na izvedene ureditve in obstoječe infrastrukturne rešitve možni daljinski, a zanemarljivi vplivi na obremenitev površinske vode. Ob predpostavki, da na lokaciji posega obratujejo tehnično brezhibni in redno vzdrževani delovni stroji in naprave, se možnost takega prenosa onesnaževal v vode ocenjuje kot majhen v primeru upoštevanja dodatnih ukrepov. Vpliv na </w:t>
      </w:r>
      <w:r w:rsidRPr="0020017F">
        <w:rPr>
          <w:rFonts w:cs="Arial"/>
        </w:rPr>
        <w:lastRenderedPageBreak/>
        <w:t>emisije snovi in toplote v površinske vode v času obratovanja se ocenjuje kot nebistven vpliv zaradi izvedbe omilitvenih ukrepov. Upravni organ v točki V./1. Izreka tega dovoljenja določil dodatne omilitvene ukrepe z namenom preprečevanja in zmanjševanja tveganja za nesreče (razlitja) nevarnih snovi po površinah preko izvedenega sistema kanalizacije v reko Dravo. Prav tako je na podlagi mnenja št. 35508-4732/2020-4 z dne 15. 1. 2021, Direkcije RS za vode, določil dodatni omilitveni ukrep glede ureditve izpusta padavinskih in prečiščenih tehnoloških odpadnih vod v vodotok Dravo.</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9.2</w:t>
      </w:r>
      <w:r w:rsidRPr="0020017F">
        <w:rPr>
          <w:rFonts w:cs="Arial"/>
        </w:rPr>
        <w:tab/>
        <w:t>Varstvo zraka</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Območje občine Ruše, kjer se nahaja obravnavana lokacija je skladno z Uredbo o kakovosti zunanjega zraka (Uradni list RS, št. 9/11, 8/15 in 66/18) glede na žveplov dioksid, dušikov dioksid, dušikove okside, delce PM</w:t>
      </w:r>
      <w:r w:rsidRPr="009676A8">
        <w:rPr>
          <w:rFonts w:cs="Arial"/>
          <w:vertAlign w:val="subscript"/>
        </w:rPr>
        <w:t>10</w:t>
      </w:r>
      <w:r w:rsidRPr="0020017F">
        <w:rPr>
          <w:rFonts w:cs="Arial"/>
        </w:rPr>
        <w:t xml:space="preserve"> in PM</w:t>
      </w:r>
      <w:r w:rsidRPr="009676A8">
        <w:rPr>
          <w:rFonts w:cs="Arial"/>
          <w:vertAlign w:val="subscript"/>
        </w:rPr>
        <w:t>2,5</w:t>
      </w:r>
      <w:r w:rsidRPr="0020017F">
        <w:rPr>
          <w:rFonts w:cs="Arial"/>
        </w:rPr>
        <w:t>, benzen, ogljikov monoksid ter benzo(a)piren uvrščeno v celinsko območje SIC (pomurska in podravska brez Mestne občine Maribor, koroška, savinjska in zasavska, spodnje-posavska, gorenjska, osrednjeslovenska in jugovzhodna Slovenija brez Mestne občine Ljubljana) ter glede na svinec, arzen, kadmij in nikelj pa v območje težke kovine SITK.</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 xml:space="preserve">Iz Poročila o meritvah kakovosti zunanjega zraka v merilni mreži Maribora in sosednjih občin za leto 2018 (Nacionalni laboratorij za zdravje, okolje in hrano, Maribor, marec 2019) izhaja, da je bila na merilnem mestu Ruše v letu 2017 skupno 17x in v letu 2018 skupno 15x presežena dnevna mejna vrednost za delce PM10, kar ne predstavlja večje vrednosti od dopustnega števila preseganj skladno z Uredbo o kakovosti zunanjega zraka. Do vseh preseganj dnevne mejne vrednosti v letu 2018 je prišlo v zimskem času in sicer 3x februarja, 6x marca, 2x v novembra in 4x v decembra. Enako je v letu 2017 do preseganj dnevne mejne vrednosti prišlo izključno v zimskem času. Povprečna letna koncentracija PM10 je v letu 2017 znašala 21 μg/m³ in v letu 2018, 22 μg/m³. </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 xml:space="preserve">Obstoječe obremenitve okolja na območju so posledica delovanja obstoječih dejavnosti znotraj območja lokacije posega s spremljajočimi ureditvami. </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9.2.a Pričakovani vplivi v času obratovanja in pogoji</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Lokacija posega se nahaja znotraj industrijske cone oziroma na površinah, ki so predeljene kot površine za industrijo (pNRP IP). Od območja najbližje poselitve (pNRP A – razpršena poselitev) je lokacija posega oddaljena ca. 460 m. Najbližja stavba, ki je po dejanski rabi opredeljena kot stanovanjska raba se nahaja ca. 300 m vzhodno, vendar je tu potrebno poudariti, da se nahaja znotraj območja IP – površine za industrijo (EUP RU28).</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V času obratovanja posega se bodo izvajale dejavnosti prevzema, sortiranja, ločevanja, predelave in skladiščenja kovinskih in metalurških odpadkov. Glavni vir emisij v času obratovanja bodo predstavljali prašni delci, ki bodo nastajali med izvajanjem transporta tovornih vozil na lokacijo posega (do ustreznega sektorja), nakladanja in razkladanja različnih odpadkov, obratovanja namenskih strojev za obdelavo/predelavo odpadkov ter skladiščenja odpadnih materialov in raznašanja lahkih frakcij odpadkov v okolje zaradi vetra.</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 xml:space="preserve">Celotna naprava bo predstavljala nov površinski vir emisij prašnih delcev. Za nemoteno izvajanje se bodo uporabljali namenski stroji, glede na tip operacije in vrsto odpadka. Emisije prašnih delcev bodo nastajale predvsem pri sejalni liniji (naprava npr. tipa Terex Finlay – Finlay 694 W), mešanju oziroma nakladanju na mešalnik (npr. BM1500 za nakladač), drobljenju (npr. Terex Finlay J-1175 JAQ CRUSHER) ter delovnih strojih za nakladanje (npr. bager, nakladalnik itd.). </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 xml:space="preserve">Za prevoz odpadkov in predelanih odpadkov se bodo uporabljale obstoječe transportne poti. Znotraj industrijske cone TDR Ruše so urejene transportne poti, ki se navezujejo na občinske in državne ceste. Zaradi izvajanja predvidene predelave se bo na transportnih poteh povečal promet tovornih vozil, in sicer v odvisnosti od obsega predelave gradbenih odpadkov. Zaradi tovornega prometa in </w:t>
      </w:r>
      <w:r w:rsidRPr="0020017F">
        <w:rPr>
          <w:rFonts w:cs="Arial"/>
        </w:rPr>
        <w:lastRenderedPageBreak/>
        <w:t>rabe naprav z motorji z notranjim izgorevanjem bodo nastajale emisije izpušnih plinov, in sicer ogljikov monoksid (CO), ogljikovodiki (HC), dušikovi oksidi (NOx) in delci.</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 xml:space="preserve">Zaradi obratovanja se bodo povečale predvsem emisije prašnih delcev, medtem ko emisije izpušnih plinov ne bodo bistveno višje. </w:t>
      </w:r>
    </w:p>
    <w:p w:rsidR="0020017F" w:rsidRPr="0020017F" w:rsidRDefault="0020017F" w:rsidP="0020017F">
      <w:pPr>
        <w:pStyle w:val="Odstavekseznama"/>
        <w:tabs>
          <w:tab w:val="left" w:pos="567"/>
        </w:tabs>
        <w:spacing w:line="276" w:lineRule="auto"/>
        <w:ind w:right="-6"/>
        <w:rPr>
          <w:rFonts w:cs="Arial"/>
        </w:rPr>
      </w:pPr>
    </w:p>
    <w:p w:rsidR="0020017F" w:rsidRDefault="0020017F" w:rsidP="0020017F">
      <w:pPr>
        <w:tabs>
          <w:tab w:val="left" w:pos="567"/>
        </w:tabs>
        <w:spacing w:line="276" w:lineRule="auto"/>
        <w:ind w:right="-6"/>
        <w:rPr>
          <w:rFonts w:cs="Arial"/>
        </w:rPr>
      </w:pPr>
      <w:r w:rsidRPr="0020017F">
        <w:rPr>
          <w:rFonts w:cs="Arial"/>
        </w:rPr>
        <w:t>Emisije prašnih delcev bodo med predelavo odpadkov nastajale predvsem pri procesih drobljenja, sejanja ter manipulacije odpadkov. Procesi drobljenja in sejanja se bodo izvajali v »sektorju za žlindre – drobljenje« in »sektorju za peske – sejanje«. Tukaj bo nastajalo tudi največ emisij delcev PM</w:t>
      </w:r>
      <w:r w:rsidRPr="00FD6048">
        <w:rPr>
          <w:rFonts w:cs="Arial"/>
          <w:vertAlign w:val="subscript"/>
        </w:rPr>
        <w:t>10</w:t>
      </w:r>
      <w:r w:rsidRPr="0020017F">
        <w:rPr>
          <w:rFonts w:cs="Arial"/>
        </w:rPr>
        <w:t>. Iz ocene obremenitve s prašnimi delci PM</w:t>
      </w:r>
      <w:r w:rsidRPr="00FD6048">
        <w:rPr>
          <w:rFonts w:cs="Arial"/>
          <w:vertAlign w:val="subscript"/>
        </w:rPr>
        <w:t>10</w:t>
      </w:r>
      <w:r w:rsidRPr="0020017F">
        <w:rPr>
          <w:rFonts w:cs="Arial"/>
        </w:rPr>
        <w:t xml:space="preserve"> izhaja, kolikšne bodo urne emisije zaradi posameznega postopka predelave oziroma transporta. Pri tem emisije zaradi predelave odpadkov po postopku R5 in po postopku R12 nastajajo na lokaciji centra in vključujejo tudi premike tovornih vozil na sami lokaciji centra. Skupne emisije PM</w:t>
      </w:r>
      <w:r w:rsidRPr="00FD6048">
        <w:rPr>
          <w:rFonts w:cs="Arial"/>
          <w:vertAlign w:val="subscript"/>
        </w:rPr>
        <w:t>10</w:t>
      </w:r>
      <w:r w:rsidRPr="0020017F">
        <w:rPr>
          <w:rFonts w:cs="Arial"/>
        </w:rPr>
        <w:t xml:space="preserve"> brez ukrepov 0,127 kg/h, z ukrepi pa 0,014 kg/h. Iz ocene emisij je razvidno, da v primeru izvedbe omilitvenih ukrepov emisije delcev v času obratovanja ne bodo znatne (več kot 0,1 kg/h) oziroma ne bodo povzročile prekomerne onesnaženosti zraka z delci PM</w:t>
      </w:r>
      <w:r w:rsidRPr="00FD6048">
        <w:rPr>
          <w:rFonts w:cs="Arial"/>
          <w:vertAlign w:val="subscript"/>
        </w:rPr>
        <w:t>10</w:t>
      </w:r>
      <w:r w:rsidRPr="0020017F">
        <w:rPr>
          <w:rFonts w:cs="Arial"/>
        </w:rPr>
        <w:t xml:space="preserve"> in ogrožale zdravja ljudi. Dodatno bodo prisotne emisije zaradi transportnih poti znotraj območja industrijske cone Ruše, ki pa znašajo 0,016 kg/h brez izvedbe omilitvenih ukrepov in 0,002 kg/h v primeru izvedbe omilitvenih ukrepov. V nobenem primeru emisije zaradi transportnih poti ne predstavljajo znatne emisije delcev (več kot 0,1 kg/h), ki bi lahko povzročile prekomerno onesnaženost zraka z delci PM</w:t>
      </w:r>
      <w:r w:rsidRPr="00FD6048">
        <w:rPr>
          <w:rFonts w:cs="Arial"/>
          <w:vertAlign w:val="subscript"/>
        </w:rPr>
        <w:t>10</w:t>
      </w:r>
      <w:r w:rsidRPr="0020017F">
        <w:rPr>
          <w:rFonts w:cs="Arial"/>
        </w:rPr>
        <w:t xml:space="preserve"> in bi lahko ogrožale zdravje ljudi.</w:t>
      </w:r>
    </w:p>
    <w:p w:rsidR="0020017F" w:rsidRPr="0020017F" w:rsidRDefault="0020017F" w:rsidP="0020017F">
      <w:pPr>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Vpliv posega na emisije plinastih, tekočih in trdnih snovi v zrak v času obratovanja se ocenjuje kot nebistven zaradi izvedbe omilitvenih ukrepov. Upravni organ je v točki V./2</w:t>
      </w:r>
      <w:r w:rsidR="00FD6048">
        <w:rPr>
          <w:rFonts w:cs="Arial"/>
        </w:rPr>
        <w:t>.</w:t>
      </w:r>
      <w:r w:rsidRPr="0020017F">
        <w:rPr>
          <w:rFonts w:cs="Arial"/>
        </w:rPr>
        <w:t xml:space="preserve"> izreka tega dovoljenja je določil dodatne omilitvene ukrepe za zmanjšanje emisije zraka z delci PM</w:t>
      </w:r>
      <w:r w:rsidRPr="00FD6048">
        <w:rPr>
          <w:rFonts w:cs="Arial"/>
          <w:vertAlign w:val="subscript"/>
        </w:rPr>
        <w:t>10</w:t>
      </w:r>
      <w:r w:rsidRPr="0020017F">
        <w:rPr>
          <w:rFonts w:cs="Arial"/>
        </w:rPr>
        <w:t>, ki bi lahko ogrožale zdravje ljudi, in ki jih je še posebej izpostavila Agencija RS za okolje v mnenju št. 35403-22/2020-4 z dne 13.</w:t>
      </w:r>
      <w:r w:rsidR="00FD6048">
        <w:rPr>
          <w:rFonts w:cs="Arial"/>
        </w:rPr>
        <w:t xml:space="preserve"> </w:t>
      </w:r>
      <w:r w:rsidRPr="0020017F">
        <w:rPr>
          <w:rFonts w:cs="Arial"/>
        </w:rPr>
        <w:t>1.</w:t>
      </w:r>
      <w:r w:rsidR="00FD6048">
        <w:rPr>
          <w:rFonts w:cs="Arial"/>
        </w:rPr>
        <w:t xml:space="preserve"> </w:t>
      </w:r>
      <w:r w:rsidRPr="0020017F">
        <w:rPr>
          <w:rFonts w:cs="Arial"/>
        </w:rPr>
        <w:t>2021.</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9.3</w:t>
      </w:r>
      <w:r w:rsidRPr="0020017F">
        <w:rPr>
          <w:rFonts w:cs="Arial"/>
        </w:rPr>
        <w:tab/>
        <w:t>Varstvo pred hrupom</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V skladu z Uredbo o mejnih vrednostih kazalcev hrupa (Uradni list RS, št. 43/2018, 59/19) in namensko rabo zemljišča, se območje razvršča v IV. stopnjo varstva pred hrupom, prav tako okoliški objekti.</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Za namen ocene izhodiščnega stanja in ocenjevanja vplivov s področja hrupne obremenitve je bila izdelana Ocena obremenjenosti okolja s hrupom št. EKO-20-088 z dne 20. 4. 2020, SiEKO d.o.o., Kidričeva 25, 3000 Celje. Glede na namembnost območja hrup obstoječe industrije ne presega mejnih vrednosti. Hrup zaradi prometa je privzet in ocenjen na podlagi rezultatov prikaza strateške karte hrupa v Atlasu okolja. Skupen hrup ne presega mejnih vrednosti za to območje.</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9.3.a Pričakovani vplivi v času gradnje in pogoji</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Za namen ocenjevanja hrupa v času obratovanja je bil tudi izdelan modelni izračun kazalcev hrupa na določenih ocenjevalnih mestih. Izračun je določen za lokacijo vira na območju izbrane lokacije, ki je v območju v IV. stopnjo varstva pred hrupom in v širši okolici z objekti v območju III. stopnje varstva pred hrupom. Na osnovi izračunov se ocenjuje, da mejne vrednosti kazalcev hrupa za vir hrupa, ki veljajo za III. območje, ne bodo presežene pri bližnjih varovanih prostorih (MO 1 na naslovu Jugova ul. 3 - Ldan= 40 dBA, Lvečer= 37 dBA, Lnoč= 35 dBA, Ldvn=43 dBA; MO 2 na naslovu Kopališka ul. 1 - Ldan= 40 dBA, Lvečer= 37 dBA, Lnoč= 35 dBA, Ldvn=43 dBA; MO 3 na naslovu Industrijska ul. 44a - Ldan= 40 dBA, Lvečer= 37 dBA, Lnoč= 35 dBA, Ldvn=43 dBA; MO 4 na naslovu Dobrova 21 - Ldan= 42 dBA, Lvečer= 37 dBA, Lnoč= 35 dBA, Ldvn=44 dBA).</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 xml:space="preserve">Glede na izvedeno vrednotenje je ugotoviti, da je na izbranih ocenjevalnih mestih dobljena vrednost nižja od mejne dovoljene vrednosti. Tako ugotavljamo ustreznost dobljenih vrednosti, tako za vir kot za </w:t>
      </w:r>
      <w:r w:rsidRPr="0020017F">
        <w:rPr>
          <w:rFonts w:cs="Arial"/>
        </w:rPr>
        <w:lastRenderedPageBreak/>
        <w:t xml:space="preserve">območje na ocenjevalnih mestih, ki so v območju s III. SVHP (privzeto, da so vsa OM v območju s III. SVHP). Na osnovi dobljenih vrednosti izvedenih izračunov se ocenjuje, da mejne vrednosti kazalcev hrupa za vir hrupa in tudi za območje, ki veljajo za III. območje, ne bodo presežene na ocenjevalnih mestih pri bližnjih objektih z varovanimi prostori, saj hrup dodan k obstoječemu hrupu ne spremeni vrednosti, določene za nove vire. Glede na izvedeno ocenjevanje hrupa in upoštevane predpostavke ter vhodne podatke, je ključno je upoštevanje ukrepa glede omejitve delovanja vira (naprave z mehanskimi operacijami) samo na dnevni čas. </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Vpliv posega na emisije hrupa v času obratovanja se ocenjuje kot nebistven zaradi izvedbe omilitvenih ukrepov. Upravni organ je v točki V./3. izreka tega dovoljenja določil dodatni omilitveni ukrep za namen zmanjšanja potencialnih vplivov emisije hrupa s časovno omejitvijo obratovanja dejavnosti predelave odpadkov.</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9.4</w:t>
      </w:r>
      <w:r w:rsidRPr="0020017F">
        <w:rPr>
          <w:rFonts w:cs="Arial"/>
        </w:rPr>
        <w:tab/>
        <w:t>Varstvo pred okoljskimi nesrečami</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Z vidika potencialnega tveganja pred okoljskimi nesrečami je ugotovljeno, da se lokacija ne nahaja na vodovarstvenem območju, niti na poplavnem območju in niti znotraj zavarovanih ali varovanih območij ohranjanja narave. V neposredni bližini tudi ni stanovanjskih objektov. Na lokaciji nameravanega posega se že v obstoječem stanju izvaja dejavnost zbiranja odpadkov.</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9.4.a</w:t>
      </w:r>
      <w:r w:rsidRPr="0020017F">
        <w:rPr>
          <w:rFonts w:cs="Arial"/>
        </w:rPr>
        <w:tab/>
        <w:t>Pričakovani vplivi v času gradnje in pogoji</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Izvajanje predelave nenevarnih odpadkov na predmetni lokaciji ne zapade pod določila Uredbe o preprečevanju večjih nesreč in zmanjševanju njihovih posledic</w:t>
      </w:r>
      <w:r w:rsidR="009676A8" w:rsidRPr="009676A8">
        <w:t xml:space="preserve"> </w:t>
      </w:r>
      <w:r w:rsidR="009676A8" w:rsidRPr="009676A8">
        <w:rPr>
          <w:rFonts w:cs="Arial"/>
        </w:rPr>
        <w:t>(Uradni list RS, št. 22/16)</w:t>
      </w:r>
      <w:r w:rsidR="009676A8">
        <w:rPr>
          <w:rFonts w:cs="Arial"/>
        </w:rPr>
        <w:t>.</w:t>
      </w:r>
      <w:r w:rsidR="009676A8" w:rsidRPr="009676A8">
        <w:rPr>
          <w:rFonts w:cs="Arial"/>
        </w:rPr>
        <w:t xml:space="preserve"> </w:t>
      </w:r>
      <w:r w:rsidRPr="0020017F">
        <w:rPr>
          <w:rFonts w:cs="Arial"/>
        </w:rPr>
        <w:t xml:space="preserve">Ravno tako se načrtovana predelava odpadkov ne uvršča med dejavnosti in naprave, ki lahko povzročajo onesnaževanje okolja večjega obsega, kot je to določeno z Uredbo o vrsti dejavnosti in naprav, ki lahko povzročajo onesnaževanje okolja večjega obsega </w:t>
      </w:r>
      <w:r w:rsidR="009676A8" w:rsidRPr="009676A8">
        <w:rPr>
          <w:rFonts w:cs="Arial"/>
        </w:rPr>
        <w:t>(Uradni list RS, št. 57/15)</w:t>
      </w:r>
      <w:r w:rsidR="009676A8">
        <w:rPr>
          <w:rFonts w:cs="Arial"/>
        </w:rPr>
        <w:t>.</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Pri tveganjih za nastanek okoljskih nesreč se glede na vrsto dejavnosti in lokacijske značilnosti izpostavi možen pojav razlitij naftnih derivatov iz strojev in delovne mehanizacije, ki bi lahko nastal v času predelave odpadkov na predmetni lokaciji. Glede na vrsto posega in razmere na lokaciji so bili ocenjeni trije možni scenariji za nastanek ekološke nesreče s posledico onesnaženja tal in podzemnih voda:</w:t>
      </w:r>
    </w:p>
    <w:p w:rsidR="0020017F" w:rsidRPr="0020017F" w:rsidRDefault="0020017F" w:rsidP="0020017F">
      <w:pPr>
        <w:tabs>
          <w:tab w:val="left" w:pos="567"/>
        </w:tabs>
        <w:spacing w:line="276" w:lineRule="auto"/>
        <w:ind w:right="-6"/>
        <w:rPr>
          <w:rFonts w:cs="Arial"/>
        </w:rPr>
      </w:pPr>
      <w:r w:rsidRPr="0020017F">
        <w:rPr>
          <w:rFonts w:cs="Arial"/>
        </w:rPr>
        <w:t>1. scenarij normalnega poteka: Scenarij normalnih dogodkov podaja normalen razvoj dogodkov in dejanj, ki so predvideni s projektom, brez izjemnih situacij v njegovi življenjski dobi. Ni neželenega dogodka, tako da je tveganje zelo majhno.</w:t>
      </w:r>
    </w:p>
    <w:p w:rsidR="0020017F" w:rsidRPr="0020017F" w:rsidRDefault="0020017F" w:rsidP="0020017F">
      <w:pPr>
        <w:tabs>
          <w:tab w:val="left" w:pos="567"/>
        </w:tabs>
        <w:spacing w:line="276" w:lineRule="auto"/>
        <w:ind w:right="-6"/>
        <w:rPr>
          <w:rFonts w:cs="Arial"/>
        </w:rPr>
      </w:pPr>
      <w:r w:rsidRPr="0020017F">
        <w:rPr>
          <w:rFonts w:cs="Arial"/>
        </w:rPr>
        <w:t>2. alternativni scenarij poteka: Alternativni scenarij podaja odstopanja od s projektom predvidenih dogodkov in dejanj, ki se lahko dogodijo pri obratovanju. Možnost da pride do neželenega dogodka je majhno, tveganje je možno popolnoma preprečiti z izvedbo ukrepov.</w:t>
      </w:r>
    </w:p>
    <w:p w:rsidR="0020017F" w:rsidRPr="0020017F" w:rsidRDefault="0020017F" w:rsidP="0020017F">
      <w:pPr>
        <w:tabs>
          <w:tab w:val="left" w:pos="567"/>
        </w:tabs>
        <w:spacing w:line="276" w:lineRule="auto"/>
        <w:ind w:right="-6"/>
        <w:rPr>
          <w:rFonts w:cs="Arial"/>
        </w:rPr>
      </w:pPr>
      <w:r w:rsidRPr="0020017F">
        <w:rPr>
          <w:rFonts w:cs="Arial"/>
        </w:rPr>
        <w:t>3. scenarij najslabše možnosti oziroma scenarij izjemnega dogodka: Scenarij najslabše možnosti podaja izjemen dogodek, pri katerem pride do velikih odstopanj od predvidenega običajnega obratovanja. Ta scenarij predvideva maksimalen možen vpliv na okolje in največje tveganje za nesrečo. Največjo nevarnost, da pride do onesnaženja tal podzemnih vod, predstavljajo razlitja nevarnih snovi iz rezervoarjev in cevi delovnih strojev in naprav, ki bodo uporabljena v postopku predelave odpadkov. Možnost, da pride do neželenega dogodka je malo verjetna, tveganje je možno popolnoma preprečiti, v primeru nastanka nesreče pa so ključnega pomena ustreznost ukrepov in reakcijski čas za izvedbo ustreznih ukrepov.</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 xml:space="preserve">Predvidena predelava odpadkov glede na izkušnje iz drugih tovrstnih primerov predstavlja majhno  tveganje za okoljske nesreče. Nezaželeni dogodki se sicer lahko zgodijo zaradi prometnih nesreč. Promet na obravnavanem območju je hitrostno omejen. Tudi v primeru alternativnega scenarija (manjše kapljanje naftnih derivatov iz vozil) se bo količina onesnaževala zadržala na asfaltiranih površinah. V kolikor pride do kanalizacijske mreže pa se bo zadržala v lovilniku olj. Tveganje za </w:t>
      </w:r>
      <w:r w:rsidRPr="0020017F">
        <w:rPr>
          <w:rFonts w:cs="Arial"/>
        </w:rPr>
        <w:lastRenderedPageBreak/>
        <w:t>okoljsko nesrečo oziroma za onesnaženje tal in posredno podzemne vode v času obratovanja se ocenjuje kot možno,vendar majhno.</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 xml:space="preserve">Pri tveganjih za nastanek okoljskih in drugih nesreč se glede na vrsto posega in lokacijske značilnosti lahko izpostavi možen pojav razlitij naftnih derivatov iz gradbene in delovne mehanizacije, ki bi lahko nastal v času izvedbe del v času obratovanja. </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 xml:space="preserve">Največjo nevarnost, da pride do nesreče predstavljajo razlitja nevarnih snovi iz rezervoarjev in cevi delovnih strojev in naprav, ki bodo uporabljena v sklopu lokacije za namen predelave. Možnost, da pride do neželenega dogodka je malo verjetna, tveganje je možno popolnoma preprečiti, v primeru nastanka nesreče pa so ključnega pomena ustreznost ukrepov in reakcijski čas za izvedbo ustreznih ukrepov. </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Pri uporabi tehnično brezhibnih strojev in vozil ter pri ustrezno izdelanem načrtu organizacije del na območju posega je ob upoštevanju ukrepov glede ravnanja z nevarnimi snovmi in ukrepanja v primeru razlitja ali razsutja okolju nevarnih snovi tveganje za okoljsko nesrečo, vendar se ocenjuje kot majhno. Verjetnost pojava vpliva se ocenjuje kot malo verjetno in manj pogosto.</w:t>
      </w:r>
    </w:p>
    <w:p w:rsidR="0020017F" w:rsidRPr="0020017F" w:rsidRDefault="0020017F" w:rsidP="0020017F">
      <w:pPr>
        <w:pStyle w:val="Odstavekseznama"/>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Z ozirom na vrsto odpadkov, ki so predmet predelave v času obratovanja je potencial nesreče tudi eventualni požar. Gre predvsem za možno skladiščenje in predelavo odpadkov, ki imajo značilnosti gorljivih odpadkov (npr: odpadki s številko 19 12 12). S preventivnimi ukrepi varstva pred požarom se zmanjšuje možnosti za nastanek požara, omogoča se zgodnje odkrivanje, hitro javljanje in učinkovito ukrepanje v primeru požara. Zaposlene v skladišču odpadkov na prostem je treba redno, najmanj vsaki dve leti, usposabljati za varstvo pred požarom, pri čemer se glede vsebine in načina usposabljanja upoštevajo predpisi, ki urejajo usposabljanje zaposlenih za varstvo pred požarom.</w:t>
      </w:r>
    </w:p>
    <w:p w:rsidR="0020017F" w:rsidRDefault="0020017F" w:rsidP="0020017F">
      <w:pPr>
        <w:tabs>
          <w:tab w:val="left" w:pos="567"/>
        </w:tabs>
        <w:spacing w:line="276" w:lineRule="auto"/>
        <w:ind w:right="-6"/>
        <w:rPr>
          <w:rFonts w:cs="Arial"/>
        </w:rPr>
      </w:pPr>
    </w:p>
    <w:p w:rsidR="0020017F" w:rsidRPr="0020017F" w:rsidRDefault="0020017F" w:rsidP="0020017F">
      <w:pPr>
        <w:tabs>
          <w:tab w:val="left" w:pos="567"/>
        </w:tabs>
        <w:spacing w:line="276" w:lineRule="auto"/>
        <w:ind w:right="-6"/>
        <w:rPr>
          <w:rFonts w:cs="Arial"/>
        </w:rPr>
      </w:pPr>
      <w:r w:rsidRPr="0020017F">
        <w:rPr>
          <w:rFonts w:cs="Arial"/>
        </w:rPr>
        <w:t>Glede na vrste odpadkov in postopek predelave ter skupno kapaciteto centra z namenom preventivnega ravnanja je upravni organ v točki V./4. izreka tega dovoljenja določil dodatni omilitveni ukrep in sicer, da količina hkrati skladiščenih odpadkov s številko 19 12 12 in drugih potencialno trdnih gorljivih odpadkov ne sme presegati količine od 200 m³. V nasprotnem je treba na območju centra zagotoviti ukrepe in pogoje iz določil Uredbe o skladiščenju trdnih gorljivih odpadkov na prostem (Uradni list RS, št. 53/2019).</w:t>
      </w:r>
    </w:p>
    <w:p w:rsidR="0020017F" w:rsidRPr="0020017F" w:rsidRDefault="0020017F" w:rsidP="0020017F">
      <w:pPr>
        <w:pStyle w:val="Odstavekseznama"/>
        <w:tabs>
          <w:tab w:val="left" w:pos="567"/>
        </w:tabs>
        <w:spacing w:line="276" w:lineRule="auto"/>
        <w:ind w:right="-6"/>
        <w:rPr>
          <w:rFonts w:cs="Arial"/>
        </w:rPr>
      </w:pPr>
    </w:p>
    <w:p w:rsidR="00E31CF3" w:rsidRDefault="0020017F" w:rsidP="0020017F">
      <w:pPr>
        <w:pStyle w:val="Odstavekseznama"/>
        <w:tabs>
          <w:tab w:val="left" w:pos="567"/>
        </w:tabs>
        <w:spacing w:line="276" w:lineRule="auto"/>
        <w:ind w:left="0" w:right="-6"/>
        <w:rPr>
          <w:rFonts w:cs="Arial"/>
        </w:rPr>
      </w:pPr>
      <w:r w:rsidRPr="0020017F">
        <w:rPr>
          <w:rFonts w:cs="Arial"/>
        </w:rPr>
        <w:t>Vpliv v času obratovanja na možnost nastanka okoljskih in drugih nesreč se ocenjujemo kot nebistven zaradi izvedbe omilitvenih ukrepov.</w:t>
      </w:r>
    </w:p>
    <w:p w:rsidR="00E31CF3" w:rsidRPr="00D912B6" w:rsidRDefault="00E31CF3" w:rsidP="00D912B6">
      <w:pPr>
        <w:pStyle w:val="Odstavekseznama"/>
        <w:tabs>
          <w:tab w:val="left" w:pos="567"/>
        </w:tabs>
        <w:spacing w:line="276" w:lineRule="auto"/>
        <w:ind w:left="0" w:right="-6"/>
        <w:rPr>
          <w:rFonts w:cs="Arial"/>
        </w:rPr>
      </w:pPr>
    </w:p>
    <w:p w:rsidR="00C10ED0" w:rsidRPr="005738B5" w:rsidRDefault="0020017F" w:rsidP="005738B5">
      <w:pPr>
        <w:pStyle w:val="Natevanje123"/>
      </w:pPr>
      <w:r w:rsidRPr="0020017F">
        <w:t xml:space="preserve">(6) </w:t>
      </w:r>
      <w:r w:rsidR="00C10ED0" w:rsidRPr="00C37505">
        <w:t>Upravni organ je v skladu z določbami 55. člena GZ zagotovil javni vpogled v zahtevo za izdajo gradbenega dovoljenja in dokumentacijo</w:t>
      </w:r>
      <w:r w:rsidR="00951EAC" w:rsidRPr="00C37505">
        <w:t xml:space="preserve">, ki </w:t>
      </w:r>
      <w:r w:rsidR="00C10ED0" w:rsidRPr="00C37505">
        <w:t xml:space="preserve">se nanaša na predmet izdaje gradbenega dovoljenja ter omogočil dajanje mnenj in pripomb v roku 30 dni od dneva javne objave na </w:t>
      </w:r>
      <w:r w:rsidR="00D34F69" w:rsidRPr="00C37505">
        <w:t xml:space="preserve">spletnih straneh e-uprave. Javna objava </w:t>
      </w:r>
      <w:r w:rsidR="00C10ED0" w:rsidRPr="00C37505">
        <w:t xml:space="preserve">št. </w:t>
      </w:r>
      <w:r w:rsidR="00D34F69" w:rsidRPr="00C37505">
        <w:rPr>
          <w:rFonts w:cs="Arial"/>
        </w:rPr>
        <w:t>35105-47/2020/28</w:t>
      </w:r>
      <w:r w:rsidR="00C10ED0" w:rsidRPr="00C37505">
        <w:t xml:space="preserve"> z dne </w:t>
      </w:r>
      <w:r w:rsidR="00D34F69" w:rsidRPr="00C37505">
        <w:rPr>
          <w:rFonts w:cs="Arial"/>
        </w:rPr>
        <w:t xml:space="preserve">11. 3. 2021 </w:t>
      </w:r>
      <w:r w:rsidR="00D34F69" w:rsidRPr="00C37505">
        <w:t xml:space="preserve">je bila objavljena </w:t>
      </w:r>
      <w:r w:rsidR="00C10ED0" w:rsidRPr="00C37505">
        <w:t xml:space="preserve">na spletnih straneh e-uprave od </w:t>
      </w:r>
      <w:r w:rsidR="00D34F69" w:rsidRPr="00C37505">
        <w:rPr>
          <w:rFonts w:cs="Arial"/>
          <w:bCs/>
        </w:rPr>
        <w:t>12. 3. 2021 do 12. 4. 2021</w:t>
      </w:r>
      <w:r w:rsidR="00882F0E" w:rsidRPr="00C37505">
        <w:t>,</w:t>
      </w:r>
      <w:r w:rsidR="00C10ED0" w:rsidRPr="00C37505">
        <w:t xml:space="preserve"> celotna dokumenta</w:t>
      </w:r>
      <w:r w:rsidR="00D34F69" w:rsidRPr="00C37505">
        <w:t>cija (javna</w:t>
      </w:r>
      <w:r w:rsidR="00C10ED0" w:rsidRPr="00C37505">
        <w:t xml:space="preserve"> </w:t>
      </w:r>
      <w:r w:rsidR="00D34F69" w:rsidRPr="00C37505">
        <w:t>objava</w:t>
      </w:r>
      <w:r w:rsidR="00C10ED0" w:rsidRPr="00C37505">
        <w:t xml:space="preserve">, zahteva za izdajo gradbenega dovoljenja, DGD, PVO in mnenja) pa na spletnih straneh MOP od </w:t>
      </w:r>
      <w:r w:rsidR="00902363" w:rsidRPr="00C37505">
        <w:t xml:space="preserve">12. </w:t>
      </w:r>
      <w:r w:rsidR="00D34F69" w:rsidRPr="00C37505">
        <w:t>3. 2021</w:t>
      </w:r>
      <w:r w:rsidR="00902363" w:rsidRPr="00C37505">
        <w:t xml:space="preserve"> </w:t>
      </w:r>
      <w:r w:rsidR="00C10ED0" w:rsidRPr="00C37505">
        <w:t xml:space="preserve">dalje. </w:t>
      </w:r>
      <w:r w:rsidR="006B0B4C" w:rsidRPr="006B0B4C">
        <w:t xml:space="preserve">Javna objava v 6.  točki vsebuje tudi poziv k priglasitvi udeležbe v postopek. Upravni organ ugotavlja, da v času </w:t>
      </w:r>
      <w:r w:rsidR="006B0B4C">
        <w:t>javne objave</w:t>
      </w:r>
      <w:r w:rsidR="006B0B4C" w:rsidRPr="006B0B4C">
        <w:t xml:space="preserve"> ni bilo podanih nobenih pripomb na dokumentacijo, prav tako v tem času ni nihče priglasil svoje udeležbe v postopek.</w:t>
      </w:r>
      <w:r w:rsidR="00FC05CD" w:rsidRPr="00C37505">
        <w:t xml:space="preserve"> Upravni organ je iz navedenih razlogov odločil brez oprave ustne obravnave.</w:t>
      </w:r>
    </w:p>
    <w:p w:rsidR="00C10ED0" w:rsidRPr="00A733B6" w:rsidRDefault="00C10ED0" w:rsidP="00951EAC">
      <w:pPr>
        <w:rPr>
          <w:rFonts w:cs="Arial"/>
          <w:highlight w:val="yellow"/>
        </w:rPr>
      </w:pPr>
    </w:p>
    <w:p w:rsidR="00C10ED0" w:rsidRDefault="0020017F" w:rsidP="005738B5">
      <w:pPr>
        <w:pStyle w:val="Natevanje123"/>
      </w:pPr>
      <w:r>
        <w:t>(7</w:t>
      </w:r>
      <w:r w:rsidRPr="0020017F">
        <w:t xml:space="preserve">) </w:t>
      </w:r>
      <w:r w:rsidR="006B0B4C" w:rsidRPr="006B0B4C">
        <w:t xml:space="preserve">Glede na zgoraj navedeno je bilo na podlagi predložene dokumentacije in listin </w:t>
      </w:r>
      <w:r w:rsidR="00C10ED0" w:rsidRPr="00DF3B44">
        <w:t xml:space="preserve">v </w:t>
      </w:r>
      <w:r w:rsidR="00C10ED0" w:rsidRPr="00486252">
        <w:t xml:space="preserve">skladu z določili GZ in </w:t>
      </w:r>
      <w:r w:rsidR="00D974AC" w:rsidRPr="00486252">
        <w:t>Zakona o varstvu okolja (Uradni list RS, št. 39/06 – uradno prečiščeno besedilo, 49/06 – ZMetD, 66/06 – odl. US, 33/07 – ZPNačrt, 57/08 – ZFO-1A, 70/08, 108/09, 108/09 – ZPNačrt-A, 48/12, 57/12, 92/13, 56/15, 102/15, 30/16, 61/17 – GS, 21/18 – ZNOrg in in </w:t>
      </w:r>
      <w:hyperlink r:id="rId9" w:tgtFrame="_blank" w:tooltip="Zakon o interventnih ukrepih pri ravnanju s komunalno odpadno embalažo in z odpadnimi nagrobnimi svečami" w:history="1">
        <w:r w:rsidR="00D974AC" w:rsidRPr="00486252">
          <w:t>84/18</w:t>
        </w:r>
      </w:hyperlink>
      <w:r w:rsidR="00D974AC" w:rsidRPr="00486252">
        <w:t> – ZIURKOE)</w:t>
      </w:r>
      <w:r w:rsidR="00C10ED0" w:rsidRPr="00486252">
        <w:t xml:space="preserve"> ter ob upoštevanju določil Zakona o splošnem upravnem postopku (Uradni list RS, št. 24/06 – uradno prečiščeno besedilo, 105/06 – ZUS-1, 126/07, 65/08, 8/10</w:t>
      </w:r>
      <w:r w:rsidR="009B7529">
        <w:t xml:space="preserve">, </w:t>
      </w:r>
      <w:r w:rsidR="00C10ED0" w:rsidRPr="00486252">
        <w:t>82/13</w:t>
      </w:r>
      <w:r w:rsidR="009B7529" w:rsidRPr="009B7529">
        <w:t xml:space="preserve"> in 175/20 – ZIUOPDVE)</w:t>
      </w:r>
      <w:r w:rsidR="00C10ED0" w:rsidRPr="00486252">
        <w:t xml:space="preserve"> odločeno, kot je navedeno v izreku tega dovoljenja.</w:t>
      </w:r>
    </w:p>
    <w:p w:rsidR="00C10ED0" w:rsidRPr="00064557" w:rsidRDefault="00C10ED0" w:rsidP="00951EAC">
      <w:pPr>
        <w:rPr>
          <w:rFonts w:cs="Arial"/>
          <w:highlight w:val="yellow"/>
        </w:rPr>
      </w:pPr>
    </w:p>
    <w:p w:rsidR="00C10ED0" w:rsidRPr="00363ED6" w:rsidRDefault="0020017F" w:rsidP="005738B5">
      <w:pPr>
        <w:pStyle w:val="Natevanje123"/>
      </w:pPr>
      <w:r>
        <w:t>(8</w:t>
      </w:r>
      <w:r w:rsidRPr="0020017F">
        <w:t xml:space="preserve">) </w:t>
      </w:r>
      <w:r w:rsidR="00C10ED0" w:rsidRPr="00363ED6">
        <w:t>V skladu s prvim odstavkom 48. člena GZ gradbeno dovoljenje preneha veljati</w:t>
      </w:r>
      <w:r w:rsidR="00951EAC">
        <w:t xml:space="preserve">, če </w:t>
      </w:r>
      <w:r w:rsidR="00C10ED0" w:rsidRPr="00363ED6">
        <w:t>investitor ne vloži popolne prijave začetka gradnje v petih letih od njegove pravnomočnosti.</w:t>
      </w:r>
    </w:p>
    <w:p w:rsidR="00C10ED0" w:rsidRPr="00064557" w:rsidRDefault="00C10ED0" w:rsidP="00951EAC">
      <w:pPr>
        <w:rPr>
          <w:rFonts w:cs="Arial"/>
          <w:highlight w:val="yellow"/>
        </w:rPr>
      </w:pPr>
    </w:p>
    <w:bookmarkEnd w:id="0"/>
    <w:p w:rsidR="00C10ED0" w:rsidRPr="00363ED6" w:rsidRDefault="0020017F" w:rsidP="005738B5">
      <w:pPr>
        <w:pStyle w:val="Natevanje123"/>
      </w:pPr>
      <w:r w:rsidRPr="0020017F">
        <w:t>(</w:t>
      </w:r>
      <w:r>
        <w:t>9</w:t>
      </w:r>
      <w:r w:rsidRPr="0020017F">
        <w:t xml:space="preserve">) </w:t>
      </w:r>
      <w:r w:rsidR="00C10ED0" w:rsidRPr="00363ED6">
        <w:t>V skladu z določbami GZ mora investitor pred izvedbo gradnje imenovati nadzornika (62. člen GZ) in pred začetkom gradnje izvesti zakoličenje objekta v skladu s pogoji določenimi v tem dovoljenju in dokumentaciji za izvedbo gradnje (60. člen GZ).</w:t>
      </w:r>
    </w:p>
    <w:p w:rsidR="00486252" w:rsidRDefault="00486252" w:rsidP="005738B5">
      <w:pPr>
        <w:pStyle w:val="Natevanje123"/>
      </w:pPr>
    </w:p>
    <w:p w:rsidR="00C10ED0" w:rsidRPr="00AA192F" w:rsidRDefault="0020017F" w:rsidP="005738B5">
      <w:pPr>
        <w:pStyle w:val="Natevanje123"/>
      </w:pPr>
      <w:r>
        <w:t>(10</w:t>
      </w:r>
      <w:r w:rsidRPr="0020017F">
        <w:t xml:space="preserve">) </w:t>
      </w:r>
      <w:r w:rsidR="00C10ED0" w:rsidRPr="00AA192F">
        <w:t>V skladu s 4. členom GZ je treba za novogradnjo, rekonstrukcijo in spremembo namembnosti imeti pravnomočno gradbeno dovoljenje in začetek gradnje prijaviti v skladu s 63. členom GZ. Prijava se vloži na obrazcu</w:t>
      </w:r>
      <w:r w:rsidR="00951EAC">
        <w:t xml:space="preserve">, ki </w:t>
      </w:r>
      <w:r w:rsidR="00C10ED0" w:rsidRPr="00AA192F">
        <w:t>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rsidR="00C10ED0" w:rsidRPr="00AA192F" w:rsidRDefault="00C10ED0" w:rsidP="00951EAC">
      <w:pPr>
        <w:rPr>
          <w:rFonts w:cs="Arial"/>
        </w:rPr>
      </w:pPr>
    </w:p>
    <w:p w:rsidR="00C10ED0" w:rsidRDefault="0020017F" w:rsidP="00951EAC">
      <w:pPr>
        <w:rPr>
          <w:rFonts w:cs="Arial"/>
        </w:rPr>
      </w:pPr>
      <w:r>
        <w:rPr>
          <w:rFonts w:cs="Arial"/>
        </w:rPr>
        <w:t>(11)</w:t>
      </w:r>
      <w:r w:rsidRPr="0020017F">
        <w:rPr>
          <w:rFonts w:cs="Arial"/>
        </w:rPr>
        <w:t xml:space="preserve"> </w:t>
      </w:r>
      <w:r w:rsidR="00C10ED0" w:rsidRPr="00AA192F">
        <w:rPr>
          <w:rFonts w:cs="Arial"/>
        </w:rPr>
        <w:t>V skladu z 68. členom GZ mora investitor po dokončanju gradnje pri Ministrstvu za okolje in prostor vložiti zahtevo za izdajo uporabnega dovoljenja. Zahteva se vloži na obrazcu</w:t>
      </w:r>
      <w:r w:rsidR="00951EAC">
        <w:rPr>
          <w:rFonts w:cs="Arial"/>
        </w:rPr>
        <w:t xml:space="preserve">, ki </w:t>
      </w:r>
      <w:r w:rsidR="00C10ED0" w:rsidRPr="00AA192F">
        <w:rPr>
          <w:rFonts w:cs="Arial"/>
        </w:rPr>
        <w:t>je določen s Pravilnikom o dokumentaciji in obrazcih.</w:t>
      </w:r>
    </w:p>
    <w:p w:rsidR="00476326" w:rsidRPr="00AA192F" w:rsidRDefault="00476326" w:rsidP="00951EAC">
      <w:pPr>
        <w:rPr>
          <w:rFonts w:cs="Arial"/>
        </w:rPr>
      </w:pPr>
    </w:p>
    <w:p w:rsidR="00653C14" w:rsidRPr="00B04113" w:rsidRDefault="0020017F" w:rsidP="005738B5">
      <w:pPr>
        <w:pStyle w:val="Natevanje123"/>
      </w:pPr>
      <w:r w:rsidRPr="0097482A">
        <w:t xml:space="preserve">(12) </w:t>
      </w:r>
      <w:r w:rsidR="00653C14" w:rsidRPr="0097482A">
        <w:t>Upravna taksa po tarifni številki 1. in 40. Zakona o upravnih taksah (Uradni list RS, št. 106/10 – uradno prečiščeno besedilo, 14/15 – ZUUJFO, 84/15 – ZZelP-J, 32/16 in 30/18 – ZKZaš) je odmerjena</w:t>
      </w:r>
      <w:r w:rsidR="00476326">
        <w:t xml:space="preserve"> in plačana</w:t>
      </w:r>
      <w:r w:rsidR="00653C14" w:rsidRPr="0097482A">
        <w:t>.</w:t>
      </w:r>
    </w:p>
    <w:p w:rsidR="00C10ED0" w:rsidRDefault="00C10ED0" w:rsidP="00951EAC">
      <w:pPr>
        <w:tabs>
          <w:tab w:val="left" w:pos="4111"/>
        </w:tabs>
        <w:rPr>
          <w:rFonts w:cs="Arial"/>
          <w:b/>
          <w:highlight w:val="yellow"/>
        </w:rPr>
      </w:pPr>
    </w:p>
    <w:p w:rsidR="00FC0C7A" w:rsidRDefault="00FC0C7A" w:rsidP="00951EAC">
      <w:pPr>
        <w:rPr>
          <w:rFonts w:cs="Arial"/>
          <w:b/>
        </w:rPr>
      </w:pPr>
    </w:p>
    <w:p w:rsidR="00C10ED0" w:rsidRPr="00922ED9" w:rsidRDefault="00C10ED0" w:rsidP="00951EAC">
      <w:pPr>
        <w:rPr>
          <w:rFonts w:cs="Arial"/>
          <w:b/>
        </w:rPr>
      </w:pPr>
      <w:r w:rsidRPr="00922ED9">
        <w:rPr>
          <w:rFonts w:cs="Arial"/>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rsidR="00C10ED0" w:rsidRPr="00105F3A" w:rsidRDefault="00C10ED0" w:rsidP="00951EAC">
      <w:pPr>
        <w:rPr>
          <w:rFonts w:cs="Arial"/>
        </w:rPr>
      </w:pPr>
    </w:p>
    <w:p w:rsidR="00C10ED0" w:rsidRDefault="00C10ED0" w:rsidP="00951EAC">
      <w:pPr>
        <w:ind w:right="-7"/>
        <w:rPr>
          <w:rFonts w:cs="Arial"/>
        </w:rPr>
      </w:pPr>
    </w:p>
    <w:p w:rsidR="00C10ED0" w:rsidRDefault="00C10ED0" w:rsidP="00951EAC">
      <w:pPr>
        <w:ind w:right="-7"/>
        <w:rPr>
          <w:rFonts w:cs="Arial"/>
        </w:rPr>
      </w:pPr>
    </w:p>
    <w:tbl>
      <w:tblPr>
        <w:tblW w:w="8715" w:type="dxa"/>
        <w:tblLayout w:type="fixed"/>
        <w:tblCellMar>
          <w:left w:w="70" w:type="dxa"/>
          <w:right w:w="70" w:type="dxa"/>
        </w:tblCellMar>
        <w:tblLook w:val="04A0" w:firstRow="1" w:lastRow="0" w:firstColumn="1" w:lastColumn="0" w:noHBand="0" w:noVBand="1"/>
      </w:tblPr>
      <w:tblGrid>
        <w:gridCol w:w="4322"/>
        <w:gridCol w:w="709"/>
        <w:gridCol w:w="3684"/>
      </w:tblGrid>
      <w:tr w:rsidR="00C10ED0" w:rsidRPr="00D21E6E" w:rsidTr="00C10ED0">
        <w:tc>
          <w:tcPr>
            <w:tcW w:w="4323" w:type="dxa"/>
          </w:tcPr>
          <w:p w:rsidR="00C10ED0" w:rsidRPr="00D21E6E" w:rsidRDefault="00C10ED0" w:rsidP="00951EAC">
            <w:pPr>
              <w:ind w:right="-7"/>
              <w:rPr>
                <w:rFonts w:cs="Arial"/>
              </w:rPr>
            </w:pPr>
          </w:p>
        </w:tc>
        <w:tc>
          <w:tcPr>
            <w:tcW w:w="709" w:type="dxa"/>
          </w:tcPr>
          <w:p w:rsidR="00C10ED0" w:rsidRPr="00D21E6E" w:rsidRDefault="00C10ED0" w:rsidP="00951EAC">
            <w:pPr>
              <w:ind w:right="-7"/>
              <w:rPr>
                <w:rFonts w:cs="Arial"/>
              </w:rPr>
            </w:pPr>
          </w:p>
        </w:tc>
        <w:tc>
          <w:tcPr>
            <w:tcW w:w="3685" w:type="dxa"/>
            <w:hideMark/>
          </w:tcPr>
          <w:p w:rsidR="00C10ED0" w:rsidRPr="00D21E6E" w:rsidRDefault="00C10ED0" w:rsidP="00951EAC">
            <w:pPr>
              <w:ind w:right="-7"/>
              <w:rPr>
                <w:rFonts w:cs="Arial"/>
              </w:rPr>
            </w:pPr>
            <w:r w:rsidRPr="00D21E6E">
              <w:rPr>
                <w:rFonts w:cs="Arial"/>
              </w:rPr>
              <w:t>Sandi Rutar</w:t>
            </w:r>
          </w:p>
          <w:p w:rsidR="00C10ED0" w:rsidRPr="00D21E6E" w:rsidRDefault="00C10ED0" w:rsidP="00951EAC">
            <w:pPr>
              <w:ind w:right="-7"/>
              <w:rPr>
                <w:rFonts w:cs="Arial"/>
              </w:rPr>
            </w:pPr>
            <w:r w:rsidRPr="00D21E6E">
              <w:rPr>
                <w:rFonts w:cs="Arial"/>
              </w:rPr>
              <w:t xml:space="preserve">vodja Sektorja za dovoljenja </w:t>
            </w:r>
          </w:p>
        </w:tc>
      </w:tr>
    </w:tbl>
    <w:p w:rsidR="00C10ED0" w:rsidRPr="00D21E6E" w:rsidRDefault="00C10ED0" w:rsidP="00951EAC">
      <w:pPr>
        <w:rPr>
          <w:rFonts w:cs="Arial"/>
        </w:rPr>
      </w:pPr>
    </w:p>
    <w:p w:rsidR="00C10ED0" w:rsidRPr="00D21E6E" w:rsidRDefault="00C10ED0" w:rsidP="00951EAC">
      <w:pPr>
        <w:rPr>
          <w:rFonts w:cs="Arial"/>
        </w:rPr>
      </w:pPr>
    </w:p>
    <w:p w:rsidR="00C10ED0" w:rsidRPr="00D21E6E" w:rsidRDefault="00C10ED0" w:rsidP="00951EAC">
      <w:pPr>
        <w:rPr>
          <w:rFonts w:cs="Arial"/>
        </w:rPr>
      </w:pPr>
    </w:p>
    <w:p w:rsidR="00C10ED0" w:rsidRPr="00D21E6E" w:rsidRDefault="00C10ED0" w:rsidP="00951EAC">
      <w:pPr>
        <w:rPr>
          <w:rFonts w:cs="Arial"/>
        </w:rPr>
      </w:pPr>
      <w:r w:rsidRPr="00D21E6E">
        <w:rPr>
          <w:rFonts w:cs="Arial"/>
        </w:rPr>
        <w:t>Postopek vodi</w:t>
      </w:r>
      <w:r w:rsidR="002B304A">
        <w:rPr>
          <w:rFonts w:cs="Arial"/>
        </w:rPr>
        <w:t>l</w:t>
      </w:r>
      <w:r w:rsidR="007F4F6B">
        <w:rPr>
          <w:rFonts w:cs="Arial"/>
        </w:rPr>
        <w:t>e</w:t>
      </w:r>
      <w:r w:rsidRPr="00D21E6E">
        <w:rPr>
          <w:rFonts w:cs="Arial"/>
        </w:rPr>
        <w:t>:</w:t>
      </w:r>
    </w:p>
    <w:p w:rsidR="00C10ED0" w:rsidRPr="00D21E6E" w:rsidRDefault="00C10ED0" w:rsidP="00951EAC">
      <w:pPr>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D974AC" w:rsidRPr="005738B5" w:rsidTr="001641B7">
        <w:tc>
          <w:tcPr>
            <w:tcW w:w="5032" w:type="dxa"/>
          </w:tcPr>
          <w:p w:rsidR="00D974AC" w:rsidRPr="0020017F" w:rsidRDefault="0020017F" w:rsidP="001641B7">
            <w:pPr>
              <w:spacing w:line="276" w:lineRule="auto"/>
              <w:rPr>
                <w:rFonts w:cs="Arial"/>
              </w:rPr>
            </w:pPr>
            <w:r w:rsidRPr="0020017F">
              <w:rPr>
                <w:rFonts w:cs="Arial"/>
              </w:rPr>
              <w:t>Metka Podobnik, univ.dipl.prav.</w:t>
            </w:r>
          </w:p>
          <w:p w:rsidR="00D974AC" w:rsidRPr="0020017F" w:rsidRDefault="00D974AC" w:rsidP="001641B7">
            <w:pPr>
              <w:spacing w:line="276" w:lineRule="auto"/>
              <w:rPr>
                <w:rFonts w:cs="Arial"/>
              </w:rPr>
            </w:pPr>
            <w:r w:rsidRPr="0020017F">
              <w:rPr>
                <w:rFonts w:cs="Arial"/>
              </w:rPr>
              <w:t>Sekretarka</w:t>
            </w:r>
          </w:p>
        </w:tc>
        <w:tc>
          <w:tcPr>
            <w:tcW w:w="4394" w:type="dxa"/>
          </w:tcPr>
          <w:p w:rsidR="00D974AC" w:rsidRPr="005738B5" w:rsidRDefault="00D974AC" w:rsidP="001641B7">
            <w:pPr>
              <w:spacing w:line="276" w:lineRule="auto"/>
              <w:rPr>
                <w:rFonts w:cs="Arial"/>
                <w:highlight w:val="yellow"/>
              </w:rPr>
            </w:pPr>
          </w:p>
        </w:tc>
      </w:tr>
    </w:tbl>
    <w:p w:rsidR="00C10ED0" w:rsidRPr="005738B5" w:rsidRDefault="00C10ED0" w:rsidP="00951EAC">
      <w:pPr>
        <w:rPr>
          <w:rFonts w:cs="Arial"/>
          <w:highlight w:val="yellow"/>
        </w:rPr>
      </w:pPr>
    </w:p>
    <w:p w:rsidR="00AA53DA" w:rsidRPr="005738B5" w:rsidRDefault="00AA53DA" w:rsidP="00951EAC">
      <w:pPr>
        <w:rPr>
          <w:rFonts w:cs="Arial"/>
          <w:highlight w:val="yellow"/>
        </w:rPr>
      </w:pPr>
    </w:p>
    <w:p w:rsidR="00AA53DA" w:rsidRPr="005738B5" w:rsidRDefault="00AA53DA" w:rsidP="00951EAC">
      <w:pPr>
        <w:rPr>
          <w:rFonts w:cs="Arial"/>
          <w:highlight w:val="yellow"/>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53DA" w:rsidRPr="005738B5" w:rsidTr="00A9657F">
        <w:tc>
          <w:tcPr>
            <w:tcW w:w="5032" w:type="dxa"/>
          </w:tcPr>
          <w:p w:rsidR="00AA53DA" w:rsidRPr="0020017F" w:rsidRDefault="0020017F" w:rsidP="00A9657F">
            <w:pPr>
              <w:rPr>
                <w:rFonts w:cs="Arial"/>
              </w:rPr>
            </w:pPr>
            <w:r w:rsidRPr="0020017F">
              <w:rPr>
                <w:rFonts w:cs="Arial"/>
              </w:rPr>
              <w:t>Nataša Brežnik, u</w:t>
            </w:r>
            <w:r w:rsidR="00AA53DA" w:rsidRPr="0020017F">
              <w:rPr>
                <w:rFonts w:cs="Arial"/>
              </w:rPr>
              <w:t>niv.dipl.</w:t>
            </w:r>
            <w:r w:rsidRPr="0020017F">
              <w:rPr>
                <w:rFonts w:cs="Arial"/>
              </w:rPr>
              <w:t>inž.kmet.</w:t>
            </w:r>
          </w:p>
          <w:p w:rsidR="00AA53DA" w:rsidRPr="005738B5" w:rsidRDefault="00AA53DA" w:rsidP="00A9657F">
            <w:pPr>
              <w:rPr>
                <w:rFonts w:cs="Arial"/>
                <w:highlight w:val="yellow"/>
              </w:rPr>
            </w:pPr>
            <w:r w:rsidRPr="0020017F">
              <w:rPr>
                <w:rFonts w:cs="Arial"/>
              </w:rPr>
              <w:t>Podsekretarka</w:t>
            </w:r>
          </w:p>
        </w:tc>
        <w:tc>
          <w:tcPr>
            <w:tcW w:w="4394" w:type="dxa"/>
          </w:tcPr>
          <w:p w:rsidR="00AA53DA" w:rsidRPr="005738B5" w:rsidRDefault="00AA53DA" w:rsidP="00A9657F">
            <w:pPr>
              <w:rPr>
                <w:rFonts w:cs="Arial"/>
                <w:highlight w:val="yellow"/>
              </w:rPr>
            </w:pPr>
          </w:p>
        </w:tc>
      </w:tr>
    </w:tbl>
    <w:p w:rsidR="00AA53DA" w:rsidRPr="005738B5" w:rsidRDefault="00AA53DA" w:rsidP="00A9657F">
      <w:pPr>
        <w:rPr>
          <w:rFonts w:cs="Arial"/>
          <w:highlight w:val="yellow"/>
        </w:rPr>
      </w:pPr>
    </w:p>
    <w:p w:rsidR="00C10ED0" w:rsidRPr="005738B5" w:rsidRDefault="00C10ED0" w:rsidP="00951EAC">
      <w:pPr>
        <w:rPr>
          <w:rFonts w:cs="Arial"/>
          <w:highlight w:val="yellow"/>
        </w:rPr>
      </w:pPr>
    </w:p>
    <w:p w:rsidR="00D974AC" w:rsidRPr="005738B5" w:rsidRDefault="00D974AC" w:rsidP="00951EAC">
      <w:pPr>
        <w:rPr>
          <w:rFonts w:cs="Arial"/>
          <w:highlight w:val="yellow"/>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D974AC" w:rsidRPr="005738B5" w:rsidTr="001641B7">
        <w:tc>
          <w:tcPr>
            <w:tcW w:w="5032" w:type="dxa"/>
          </w:tcPr>
          <w:p w:rsidR="00D974AC" w:rsidRPr="00C37505" w:rsidRDefault="0020017F" w:rsidP="001641B7">
            <w:pPr>
              <w:rPr>
                <w:rFonts w:cs="Arial"/>
              </w:rPr>
            </w:pPr>
            <w:r w:rsidRPr="00C37505">
              <w:rPr>
                <w:rFonts w:cs="Arial"/>
              </w:rPr>
              <w:t>Vlasta Cvar</w:t>
            </w:r>
            <w:r w:rsidR="00D974AC" w:rsidRPr="00C37505">
              <w:rPr>
                <w:rFonts w:cs="Arial"/>
              </w:rPr>
              <w:t xml:space="preserve">, </w:t>
            </w:r>
            <w:r w:rsidRPr="00C37505">
              <w:rPr>
                <w:rFonts w:cs="Arial"/>
              </w:rPr>
              <w:t>univ.dipl.inž.grad</w:t>
            </w:r>
            <w:r w:rsidR="00D974AC" w:rsidRPr="00C37505">
              <w:rPr>
                <w:rFonts w:cs="Arial"/>
              </w:rPr>
              <w:t>.</w:t>
            </w:r>
          </w:p>
          <w:p w:rsidR="00D974AC" w:rsidRPr="005738B5" w:rsidRDefault="00FD6048" w:rsidP="00FD6048">
            <w:pPr>
              <w:rPr>
                <w:rFonts w:cs="Arial"/>
                <w:highlight w:val="yellow"/>
              </w:rPr>
            </w:pPr>
            <w:r>
              <w:rPr>
                <w:rFonts w:cs="Arial"/>
              </w:rPr>
              <w:t>Pods</w:t>
            </w:r>
            <w:r w:rsidR="0020017F" w:rsidRPr="00C37505">
              <w:rPr>
                <w:rFonts w:cs="Arial"/>
              </w:rPr>
              <w:t>ekretarka</w:t>
            </w:r>
          </w:p>
        </w:tc>
        <w:tc>
          <w:tcPr>
            <w:tcW w:w="4394" w:type="dxa"/>
          </w:tcPr>
          <w:p w:rsidR="00D974AC" w:rsidRPr="005738B5" w:rsidRDefault="00D974AC" w:rsidP="001641B7">
            <w:pPr>
              <w:rPr>
                <w:rFonts w:cs="Arial"/>
                <w:highlight w:val="yellow"/>
              </w:rPr>
            </w:pPr>
          </w:p>
        </w:tc>
      </w:tr>
    </w:tbl>
    <w:p w:rsidR="008703A2" w:rsidRPr="005738B5" w:rsidRDefault="008703A2" w:rsidP="00951EAC">
      <w:pPr>
        <w:jc w:val="left"/>
        <w:rPr>
          <w:rFonts w:cs="Arial"/>
          <w:color w:val="0070C0"/>
          <w:highlight w:val="yellow"/>
        </w:rPr>
      </w:pPr>
    </w:p>
    <w:p w:rsidR="008703A2" w:rsidRPr="005738B5" w:rsidRDefault="008703A2" w:rsidP="00951EAC">
      <w:pPr>
        <w:jc w:val="left"/>
        <w:rPr>
          <w:rFonts w:cs="Arial"/>
          <w:color w:val="0070C0"/>
          <w:highlight w:val="yellow"/>
        </w:rPr>
      </w:pPr>
    </w:p>
    <w:p w:rsidR="008703A2" w:rsidRPr="005738B5" w:rsidRDefault="008703A2" w:rsidP="00951EAC">
      <w:pPr>
        <w:jc w:val="left"/>
        <w:rPr>
          <w:rFonts w:cs="Arial"/>
          <w:color w:val="0070C0"/>
          <w:highlight w:val="yellow"/>
        </w:rPr>
      </w:pPr>
    </w:p>
    <w:p w:rsidR="008703A2" w:rsidRPr="005738B5" w:rsidRDefault="008703A2" w:rsidP="00951EAC">
      <w:pPr>
        <w:jc w:val="left"/>
        <w:rPr>
          <w:rFonts w:cs="Arial"/>
          <w:color w:val="0070C0"/>
          <w:highlight w:val="yellow"/>
        </w:rPr>
      </w:pPr>
      <w:bookmarkStart w:id="1" w:name="_GoBack"/>
      <w:bookmarkEnd w:id="1"/>
    </w:p>
    <w:sectPr w:rsidR="008703A2" w:rsidRPr="005738B5" w:rsidSect="00951EAC">
      <w:headerReference w:type="default" r:id="rId10"/>
      <w:footerReference w:type="default" r:id="rId11"/>
      <w:headerReference w:type="first" r:id="rId12"/>
      <w:pgSz w:w="11900" w:h="16840" w:code="9"/>
      <w:pgMar w:top="1417" w:right="1417" w:bottom="1417" w:left="1417"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6F1" w:rsidRDefault="00FD16F1">
      <w:pPr>
        <w:spacing w:line="240" w:lineRule="auto"/>
      </w:pPr>
      <w:r>
        <w:separator/>
      </w:r>
    </w:p>
  </w:endnote>
  <w:endnote w:type="continuationSeparator" w:id="0">
    <w:p w:rsidR="00FD16F1" w:rsidRDefault="00FD16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MT">
    <w:altName w:val="Times New Roman"/>
    <w:panose1 w:val="00000000000000000000"/>
    <w:charset w:val="00"/>
    <w:family w:val="roman"/>
    <w:notTrueType/>
    <w:pitch w:val="default"/>
  </w:font>
  <w:font w:name="Tahoma-Bold">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7F" w:rsidRDefault="00A9657F" w:rsidP="00C10ED0">
    <w:pPr>
      <w:jc w:val="right"/>
    </w:pPr>
    <w:r>
      <w:fldChar w:fldCharType="begin"/>
    </w:r>
    <w:r>
      <w:instrText>PAGE   \* MERGEFORMAT</w:instrText>
    </w:r>
    <w:r>
      <w:fldChar w:fldCharType="separate"/>
    </w:r>
    <w:r w:rsidR="00DF071E">
      <w:rPr>
        <w:noProof/>
      </w:rPr>
      <w:t>18</w:t>
    </w:r>
    <w:r>
      <w:rPr>
        <w:noProof/>
      </w:rPr>
      <w:fldChar w:fldCharType="end"/>
    </w:r>
    <w:r>
      <w:t>/</w:t>
    </w:r>
    <w:fldSimple w:instr=" NUMPAGES   \* MERGEFORMAT ">
      <w:r w:rsidR="00DF071E">
        <w:rPr>
          <w:noProof/>
        </w:rPr>
        <w:t>18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6F1" w:rsidRDefault="00FD16F1">
      <w:pPr>
        <w:spacing w:line="240" w:lineRule="auto"/>
      </w:pPr>
      <w:r>
        <w:separator/>
      </w:r>
    </w:p>
  </w:footnote>
  <w:footnote w:type="continuationSeparator" w:id="0">
    <w:p w:rsidR="00FD16F1" w:rsidRDefault="00FD16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7F" w:rsidRPr="002652E1" w:rsidRDefault="00A9657F" w:rsidP="00C10ED0">
    <w:pPr>
      <w:spacing w:line="240" w:lineRule="exact"/>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7F" w:rsidRDefault="00A9657F" w:rsidP="00C10ED0">
    <w:pPr>
      <w:tabs>
        <w:tab w:val="left" w:pos="5112"/>
      </w:tabs>
      <w:spacing w:before="120" w:line="240" w:lineRule="exact"/>
      <w:rPr>
        <w:rFonts w:cs="Arial"/>
        <w:sz w:val="16"/>
      </w:rPr>
    </w:pPr>
    <w:r>
      <w:rPr>
        <w:rFonts w:cs="Arial"/>
        <w:noProof/>
        <w:sz w:val="16"/>
      </w:rPr>
      <w:drawing>
        <wp:anchor distT="0" distB="0" distL="114300" distR="114300" simplePos="0" relativeHeight="251659264" behindDoc="0" locked="0" layoutInCell="1" allowOverlap="1">
          <wp:simplePos x="0" y="0"/>
          <wp:positionH relativeFrom="column">
            <wp:posOffset>-559435</wp:posOffset>
          </wp:positionH>
          <wp:positionV relativeFrom="paragraph">
            <wp:posOffset>-102235</wp:posOffset>
          </wp:positionV>
          <wp:extent cx="2912745" cy="390525"/>
          <wp:effectExtent l="0" t="0" r="1905"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anchor>
      </w:drawing>
    </w:r>
  </w:p>
  <w:p w:rsidR="00A9657F" w:rsidRDefault="00A9657F" w:rsidP="00C10ED0">
    <w:pPr>
      <w:tabs>
        <w:tab w:val="left" w:pos="5112"/>
      </w:tabs>
      <w:spacing w:line="240" w:lineRule="exact"/>
      <w:rPr>
        <w:rFonts w:cs="Arial"/>
        <w:sz w:val="16"/>
      </w:rPr>
    </w:pPr>
  </w:p>
  <w:p w:rsidR="00A9657F" w:rsidRDefault="00A9657F" w:rsidP="00C10ED0">
    <w:pPr>
      <w:tabs>
        <w:tab w:val="left" w:pos="5112"/>
      </w:tabs>
      <w:spacing w:line="240" w:lineRule="exact"/>
      <w:rPr>
        <w:rFonts w:cs="Arial"/>
        <w:sz w:val="16"/>
      </w:rPr>
    </w:pPr>
  </w:p>
  <w:p w:rsidR="00A9657F" w:rsidRPr="008F3500" w:rsidRDefault="00A9657F" w:rsidP="00C10ED0">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rsidR="00A9657F" w:rsidRDefault="00A9657F" w:rsidP="00C10ED0">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rsidR="00A9657F" w:rsidRPr="008F3500" w:rsidRDefault="00A9657F" w:rsidP="00C10ED0">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rsidR="00A9657F" w:rsidRPr="008F3500" w:rsidRDefault="00A9657F" w:rsidP="00C10ED0">
    <w:pPr>
      <w:tabs>
        <w:tab w:val="left" w:pos="5112"/>
      </w:tabs>
      <w:spacing w:line="240" w:lineRule="exact"/>
      <w:rPr>
        <w:rFonts w:cs="Arial"/>
        <w:sz w:val="16"/>
      </w:rPr>
    </w:pPr>
    <w:r w:rsidRPr="008F3500">
      <w:rPr>
        <w:rFonts w:cs="Arial"/>
        <w:sz w:val="16"/>
      </w:rPr>
      <w:tab/>
    </w:r>
    <w:r>
      <w:rPr>
        <w:rFonts w:cs="Arial"/>
        <w:sz w:val="16"/>
      </w:rPr>
      <w:t xml:space="preserve"> www.mop.gov.si</w:t>
    </w:r>
  </w:p>
  <w:p w:rsidR="00A9657F" w:rsidRPr="008F3500" w:rsidRDefault="00A9657F" w:rsidP="00C10ED0">
    <w:pPr>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03D2"/>
    <w:multiLevelType w:val="hybridMultilevel"/>
    <w:tmpl w:val="949CC5DC"/>
    <w:lvl w:ilvl="0" w:tplc="11F0648C">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0EC7DD2"/>
    <w:multiLevelType w:val="hybridMultilevel"/>
    <w:tmpl w:val="5D6A015A"/>
    <w:lvl w:ilvl="0" w:tplc="11F0648C">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D90714"/>
    <w:multiLevelType w:val="hybridMultilevel"/>
    <w:tmpl w:val="5F0CE9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8957582"/>
    <w:multiLevelType w:val="multilevel"/>
    <w:tmpl w:val="9CBC52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48144E"/>
    <w:multiLevelType w:val="hybridMultilevel"/>
    <w:tmpl w:val="78EA1A0E"/>
    <w:lvl w:ilvl="0" w:tplc="02DAA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AB3199C"/>
    <w:multiLevelType w:val="hybridMultilevel"/>
    <w:tmpl w:val="4EE8B314"/>
    <w:lvl w:ilvl="0" w:tplc="10E4648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13BA080D"/>
    <w:multiLevelType w:val="hybridMultilevel"/>
    <w:tmpl w:val="77DCD526"/>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6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nsid w:val="226D5B93"/>
    <w:multiLevelType w:val="hybridMultilevel"/>
    <w:tmpl w:val="5D944954"/>
    <w:lvl w:ilvl="0" w:tplc="717E52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2AA063C"/>
    <w:multiLevelType w:val="hybridMultilevel"/>
    <w:tmpl w:val="B7A4C15C"/>
    <w:lvl w:ilvl="0" w:tplc="11F0648C">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5394244"/>
    <w:multiLevelType w:val="singleLevel"/>
    <w:tmpl w:val="3E189208"/>
    <w:lvl w:ilvl="0">
      <w:start w:val="1"/>
      <w:numFmt w:val="decimal"/>
      <w:lvlText w:val="%1."/>
      <w:lvlJc w:val="left"/>
      <w:pPr>
        <w:tabs>
          <w:tab w:val="num" w:pos="0"/>
        </w:tabs>
        <w:ind w:left="567" w:hanging="567"/>
      </w:pPr>
      <w:rPr>
        <w:rFonts w:ascii="Arial" w:hAnsi="Arial" w:hint="default"/>
        <w:b/>
        <w:i w:val="0"/>
        <w:sz w:val="20"/>
      </w:rPr>
    </w:lvl>
  </w:abstractNum>
  <w:abstractNum w:abstractNumId="10">
    <w:nsid w:val="256376E8"/>
    <w:multiLevelType w:val="hybridMultilevel"/>
    <w:tmpl w:val="01CEA79E"/>
    <w:lvl w:ilvl="0" w:tplc="11F0648C">
      <w:numFmt w:val="bullet"/>
      <w:lvlText w:val="-"/>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A652BB5"/>
    <w:multiLevelType w:val="hybridMultilevel"/>
    <w:tmpl w:val="016AAB84"/>
    <w:lvl w:ilvl="0" w:tplc="9AAE6EA4">
      <w:start w:val="1"/>
      <w:numFmt w:val="upperLetter"/>
      <w:pStyle w:val="NatevanjeABC"/>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B313AB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031772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8F7477"/>
    <w:multiLevelType w:val="hybridMultilevel"/>
    <w:tmpl w:val="A4388C4C"/>
    <w:lvl w:ilvl="0" w:tplc="0C627F52">
      <w:start w:val="1"/>
      <w:numFmt w:val="bullet"/>
      <w:lvlText w:val=""/>
      <w:lvlJc w:val="left"/>
      <w:pPr>
        <w:ind w:left="927"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C2173B2"/>
    <w:multiLevelType w:val="hybridMultilevel"/>
    <w:tmpl w:val="8E4A26A4"/>
    <w:lvl w:ilvl="0" w:tplc="11F0648C">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D5F36F7"/>
    <w:multiLevelType w:val="multilevel"/>
    <w:tmpl w:val="AE6873FA"/>
    <w:lvl w:ilvl="0">
      <w:start w:val="1"/>
      <w:numFmt w:val="bullet"/>
      <w:lvlText w:val=""/>
      <w:lvlJc w:val="left"/>
      <w:pPr>
        <w:tabs>
          <w:tab w:val="num" w:pos="0"/>
        </w:tabs>
        <w:ind w:left="567" w:hanging="567"/>
      </w:pPr>
      <w:rPr>
        <w:rFonts w:ascii="Symbol" w:hAnsi="Symbol" w:hint="default"/>
      </w:rPr>
    </w:lvl>
    <w:lvl w:ilvl="1">
      <w:start w:val="1"/>
      <w:numFmt w:val="decimal"/>
      <w:lvlText w:val="%1.%2"/>
      <w:lvlJc w:val="left"/>
      <w:pPr>
        <w:tabs>
          <w:tab w:val="num" w:pos="142"/>
        </w:tabs>
        <w:ind w:left="709"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49E31AB"/>
    <w:multiLevelType w:val="hybridMultilevel"/>
    <w:tmpl w:val="4C04BC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9424032"/>
    <w:multiLevelType w:val="multilevel"/>
    <w:tmpl w:val="E4182A7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4C3A030B"/>
    <w:multiLevelType w:val="hybridMultilevel"/>
    <w:tmpl w:val="DD50CC7C"/>
    <w:lvl w:ilvl="0" w:tplc="6FA0B24A">
      <w:start w:val="1"/>
      <w:numFmt w:val="upperRoman"/>
      <w:lvlText w:val="%1."/>
      <w:lvlJc w:val="left"/>
      <w:pPr>
        <w:ind w:left="502" w:hanging="360"/>
      </w:pPr>
      <w:rPr>
        <w:rFonts w:hint="default"/>
        <w:b/>
      </w:rPr>
    </w:lvl>
    <w:lvl w:ilvl="1" w:tplc="578266C0">
      <w:start w:val="1"/>
      <w:numFmt w:val="lowerLetter"/>
      <w:lvlText w:val="%2."/>
      <w:lvlJc w:val="left"/>
      <w:pPr>
        <w:ind w:left="1222" w:hanging="360"/>
      </w:pPr>
    </w:lvl>
    <w:lvl w:ilvl="2" w:tplc="42BC8A0A">
      <w:start w:val="1"/>
      <w:numFmt w:val="decimal"/>
      <w:lvlText w:val="%3."/>
      <w:lvlJc w:val="left"/>
      <w:pPr>
        <w:ind w:left="2122" w:hanging="360"/>
      </w:pPr>
      <w:rPr>
        <w:rFonts w:hint="default"/>
      </w:r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0">
    <w:nsid w:val="4D917F76"/>
    <w:multiLevelType w:val="singleLevel"/>
    <w:tmpl w:val="10AC15C6"/>
    <w:lvl w:ilvl="0">
      <w:start w:val="1"/>
      <w:numFmt w:val="upperLetter"/>
      <w:lvlText w:val="%1."/>
      <w:lvlJc w:val="left"/>
      <w:pPr>
        <w:tabs>
          <w:tab w:val="num" w:pos="0"/>
        </w:tabs>
        <w:ind w:left="567" w:hanging="567"/>
      </w:pPr>
      <w:rPr>
        <w:rFonts w:ascii="Arial" w:hAnsi="Arial" w:hint="default"/>
        <w:b/>
        <w:i w:val="0"/>
        <w:sz w:val="20"/>
      </w:rPr>
    </w:lvl>
  </w:abstractNum>
  <w:abstractNum w:abstractNumId="21">
    <w:nsid w:val="4FDA11B2"/>
    <w:multiLevelType w:val="multilevel"/>
    <w:tmpl w:val="F60CD4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4170EC"/>
    <w:multiLevelType w:val="multilevel"/>
    <w:tmpl w:val="AA9ED8B4"/>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142"/>
        </w:tabs>
        <w:ind w:left="709"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74719F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DA27BA"/>
    <w:multiLevelType w:val="hybridMultilevel"/>
    <w:tmpl w:val="6546A4A6"/>
    <w:lvl w:ilvl="0" w:tplc="98CA15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3D11D48"/>
    <w:multiLevelType w:val="hybridMultilevel"/>
    <w:tmpl w:val="66CAC030"/>
    <w:lvl w:ilvl="0" w:tplc="855A63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61F7CA4"/>
    <w:multiLevelType w:val="singleLevel"/>
    <w:tmpl w:val="D62E306E"/>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27">
    <w:nsid w:val="6EC9693F"/>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70F526E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4AA79D2"/>
    <w:multiLevelType w:val="hybridMultilevel"/>
    <w:tmpl w:val="4BD6DCBE"/>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6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nsid w:val="795C1583"/>
    <w:multiLevelType w:val="multilevel"/>
    <w:tmpl w:val="F60CD4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96E33E7"/>
    <w:multiLevelType w:val="multilevel"/>
    <w:tmpl w:val="F60CD4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9F467C1"/>
    <w:multiLevelType w:val="hybridMultilevel"/>
    <w:tmpl w:val="5A783BD0"/>
    <w:lvl w:ilvl="0" w:tplc="11F0648C">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F5E139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9"/>
  </w:num>
  <w:num w:numId="3">
    <w:abstractNumId w:val="20"/>
  </w:num>
  <w:num w:numId="4">
    <w:abstractNumId w:val="26"/>
  </w:num>
  <w:num w:numId="5">
    <w:abstractNumId w:val="5"/>
  </w:num>
  <w:num w:numId="6">
    <w:abstractNumId w:val="29"/>
  </w:num>
  <w:num w:numId="7">
    <w:abstractNumId w:val="3"/>
  </w:num>
  <w:num w:numId="8">
    <w:abstractNumId w:val="14"/>
  </w:num>
  <w:num w:numId="9">
    <w:abstractNumId w:val="15"/>
  </w:num>
  <w:num w:numId="10">
    <w:abstractNumId w:val="6"/>
  </w:num>
  <w:num w:numId="11">
    <w:abstractNumId w:val="0"/>
  </w:num>
  <w:num w:numId="12">
    <w:abstractNumId w:val="12"/>
  </w:num>
  <w:num w:numId="13">
    <w:abstractNumId w:val="18"/>
  </w:num>
  <w:num w:numId="14">
    <w:abstractNumId w:val="1"/>
  </w:num>
  <w:num w:numId="15">
    <w:abstractNumId w:val="8"/>
  </w:num>
  <w:num w:numId="16">
    <w:abstractNumId w:val="32"/>
  </w:num>
  <w:num w:numId="17">
    <w:abstractNumId w:val="24"/>
  </w:num>
  <w:num w:numId="18">
    <w:abstractNumId w:val="10"/>
  </w:num>
  <w:num w:numId="19">
    <w:abstractNumId w:val="11"/>
  </w:num>
  <w:num w:numId="20">
    <w:abstractNumId w:val="4"/>
  </w:num>
  <w:num w:numId="21">
    <w:abstractNumId w:val="22"/>
    <w:lvlOverride w:ilvl="0">
      <w:startOverride w:val="2"/>
    </w:lvlOverride>
    <w:lvlOverride w:ilvl="1">
      <w:startOverride w:val="1"/>
    </w:lvlOverride>
  </w:num>
  <w:num w:numId="22">
    <w:abstractNumId w:val="22"/>
    <w:lvlOverride w:ilvl="0">
      <w:startOverride w:val="2"/>
    </w:lvlOverride>
    <w:lvlOverride w:ilvl="1">
      <w:startOverride w:val="1"/>
    </w:lvlOverride>
  </w:num>
  <w:num w:numId="23">
    <w:abstractNumId w:val="33"/>
  </w:num>
  <w:num w:numId="24">
    <w:abstractNumId w:val="27"/>
  </w:num>
  <w:num w:numId="25">
    <w:abstractNumId w:val="28"/>
  </w:num>
  <w:num w:numId="26">
    <w:abstractNumId w:val="13"/>
  </w:num>
  <w:num w:numId="27">
    <w:abstractNumId w:val="23"/>
  </w:num>
  <w:num w:numId="28">
    <w:abstractNumId w:val="30"/>
  </w:num>
  <w:num w:numId="29">
    <w:abstractNumId w:val="31"/>
  </w:num>
  <w:num w:numId="30">
    <w:abstractNumId w:val="21"/>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2"/>
  </w:num>
  <w:num w:numId="43">
    <w:abstractNumId w:val="19"/>
  </w:num>
  <w:num w:numId="44">
    <w:abstractNumId w:val="26"/>
  </w:num>
  <w:num w:numId="45">
    <w:abstractNumId w:val="25"/>
  </w:num>
  <w:num w:numId="46">
    <w:abstractNumId w:val="17"/>
  </w:num>
  <w:num w:numId="47">
    <w:abstractNumId w:val="16"/>
  </w:num>
  <w:num w:numId="48">
    <w:abstractNumId w:val="26"/>
  </w:num>
  <w:num w:numId="4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ED0"/>
    <w:rsid w:val="00005B12"/>
    <w:rsid w:val="000131D0"/>
    <w:rsid w:val="00023889"/>
    <w:rsid w:val="00023F91"/>
    <w:rsid w:val="00025C88"/>
    <w:rsid w:val="000301FC"/>
    <w:rsid w:val="0003135F"/>
    <w:rsid w:val="00032855"/>
    <w:rsid w:val="000336EC"/>
    <w:rsid w:val="00037C58"/>
    <w:rsid w:val="00041A40"/>
    <w:rsid w:val="00041AD0"/>
    <w:rsid w:val="00042AC2"/>
    <w:rsid w:val="0004340C"/>
    <w:rsid w:val="00047CD5"/>
    <w:rsid w:val="000505DD"/>
    <w:rsid w:val="00051258"/>
    <w:rsid w:val="000517E8"/>
    <w:rsid w:val="00054E91"/>
    <w:rsid w:val="00056BE2"/>
    <w:rsid w:val="0006209E"/>
    <w:rsid w:val="0007076E"/>
    <w:rsid w:val="00073320"/>
    <w:rsid w:val="00077897"/>
    <w:rsid w:val="000827DF"/>
    <w:rsid w:val="00082A62"/>
    <w:rsid w:val="00084680"/>
    <w:rsid w:val="000847B4"/>
    <w:rsid w:val="00087239"/>
    <w:rsid w:val="00095378"/>
    <w:rsid w:val="00096120"/>
    <w:rsid w:val="000A45A0"/>
    <w:rsid w:val="000B2BC1"/>
    <w:rsid w:val="000B6303"/>
    <w:rsid w:val="000B76BD"/>
    <w:rsid w:val="000D05EB"/>
    <w:rsid w:val="000D3902"/>
    <w:rsid w:val="000D4A2E"/>
    <w:rsid w:val="000D571B"/>
    <w:rsid w:val="000E3C06"/>
    <w:rsid w:val="000E6563"/>
    <w:rsid w:val="00100CD0"/>
    <w:rsid w:val="00101F8C"/>
    <w:rsid w:val="001059E5"/>
    <w:rsid w:val="001062B0"/>
    <w:rsid w:val="0010643E"/>
    <w:rsid w:val="00116500"/>
    <w:rsid w:val="001236B9"/>
    <w:rsid w:val="00130856"/>
    <w:rsid w:val="0014256F"/>
    <w:rsid w:val="0014523A"/>
    <w:rsid w:val="00145CD7"/>
    <w:rsid w:val="00150588"/>
    <w:rsid w:val="00151F28"/>
    <w:rsid w:val="001568A0"/>
    <w:rsid w:val="00162BD7"/>
    <w:rsid w:val="00162E07"/>
    <w:rsid w:val="001641B7"/>
    <w:rsid w:val="00167D38"/>
    <w:rsid w:val="00171660"/>
    <w:rsid w:val="00174E2E"/>
    <w:rsid w:val="0018239A"/>
    <w:rsid w:val="00187E7C"/>
    <w:rsid w:val="001906D1"/>
    <w:rsid w:val="001908BA"/>
    <w:rsid w:val="00191851"/>
    <w:rsid w:val="00194BAD"/>
    <w:rsid w:val="00197C3C"/>
    <w:rsid w:val="001A02FF"/>
    <w:rsid w:val="001A249A"/>
    <w:rsid w:val="001A516B"/>
    <w:rsid w:val="001A6F31"/>
    <w:rsid w:val="001B0E86"/>
    <w:rsid w:val="001B365C"/>
    <w:rsid w:val="001B38A2"/>
    <w:rsid w:val="001D23FB"/>
    <w:rsid w:val="001D40CD"/>
    <w:rsid w:val="0020017F"/>
    <w:rsid w:val="002014A1"/>
    <w:rsid w:val="00212464"/>
    <w:rsid w:val="00224F54"/>
    <w:rsid w:val="002262F9"/>
    <w:rsid w:val="00234885"/>
    <w:rsid w:val="0023738B"/>
    <w:rsid w:val="00241596"/>
    <w:rsid w:val="00241648"/>
    <w:rsid w:val="00242C41"/>
    <w:rsid w:val="00243DC8"/>
    <w:rsid w:val="00251506"/>
    <w:rsid w:val="00257BEA"/>
    <w:rsid w:val="00260959"/>
    <w:rsid w:val="00262B3D"/>
    <w:rsid w:val="002646D3"/>
    <w:rsid w:val="002725AE"/>
    <w:rsid w:val="00282CB1"/>
    <w:rsid w:val="002869FE"/>
    <w:rsid w:val="002B0459"/>
    <w:rsid w:val="002B1CFB"/>
    <w:rsid w:val="002B203E"/>
    <w:rsid w:val="002B304A"/>
    <w:rsid w:val="002B353C"/>
    <w:rsid w:val="002B590D"/>
    <w:rsid w:val="002B70CC"/>
    <w:rsid w:val="002B7795"/>
    <w:rsid w:val="002C1A49"/>
    <w:rsid w:val="002C5F03"/>
    <w:rsid w:val="002C78CF"/>
    <w:rsid w:val="002D03D6"/>
    <w:rsid w:val="002D0F89"/>
    <w:rsid w:val="002D4601"/>
    <w:rsid w:val="002E06DC"/>
    <w:rsid w:val="002E73AC"/>
    <w:rsid w:val="002F28B3"/>
    <w:rsid w:val="002F7AAE"/>
    <w:rsid w:val="003023D3"/>
    <w:rsid w:val="00304350"/>
    <w:rsid w:val="00317C6B"/>
    <w:rsid w:val="003259DE"/>
    <w:rsid w:val="0033381C"/>
    <w:rsid w:val="003430C4"/>
    <w:rsid w:val="00343F1C"/>
    <w:rsid w:val="00344F2F"/>
    <w:rsid w:val="00345248"/>
    <w:rsid w:val="00350B44"/>
    <w:rsid w:val="00354DFB"/>
    <w:rsid w:val="003564D2"/>
    <w:rsid w:val="00360FEB"/>
    <w:rsid w:val="003825D1"/>
    <w:rsid w:val="00383584"/>
    <w:rsid w:val="00384D5E"/>
    <w:rsid w:val="00386953"/>
    <w:rsid w:val="003A42D5"/>
    <w:rsid w:val="003B0771"/>
    <w:rsid w:val="003B1819"/>
    <w:rsid w:val="003B65DF"/>
    <w:rsid w:val="003B6701"/>
    <w:rsid w:val="003B7C9E"/>
    <w:rsid w:val="003C4356"/>
    <w:rsid w:val="003D3EFC"/>
    <w:rsid w:val="003D3FA2"/>
    <w:rsid w:val="003D43CD"/>
    <w:rsid w:val="003D5801"/>
    <w:rsid w:val="003D5964"/>
    <w:rsid w:val="003D7761"/>
    <w:rsid w:val="003D7B9C"/>
    <w:rsid w:val="003E4160"/>
    <w:rsid w:val="003E6033"/>
    <w:rsid w:val="003F4155"/>
    <w:rsid w:val="003F4D19"/>
    <w:rsid w:val="003F525E"/>
    <w:rsid w:val="003F6827"/>
    <w:rsid w:val="004050BA"/>
    <w:rsid w:val="00405296"/>
    <w:rsid w:val="00405474"/>
    <w:rsid w:val="00406610"/>
    <w:rsid w:val="004159D9"/>
    <w:rsid w:val="00417EAA"/>
    <w:rsid w:val="00424E37"/>
    <w:rsid w:val="00430EA9"/>
    <w:rsid w:val="00431916"/>
    <w:rsid w:val="00433655"/>
    <w:rsid w:val="00442937"/>
    <w:rsid w:val="0045287E"/>
    <w:rsid w:val="004571D8"/>
    <w:rsid w:val="004623BD"/>
    <w:rsid w:val="0046668B"/>
    <w:rsid w:val="004667F1"/>
    <w:rsid w:val="00473764"/>
    <w:rsid w:val="00476326"/>
    <w:rsid w:val="00476D67"/>
    <w:rsid w:val="004805BE"/>
    <w:rsid w:val="00486252"/>
    <w:rsid w:val="004866A6"/>
    <w:rsid w:val="00487353"/>
    <w:rsid w:val="0049019D"/>
    <w:rsid w:val="004B1DFF"/>
    <w:rsid w:val="004B205C"/>
    <w:rsid w:val="004B4C4D"/>
    <w:rsid w:val="004B5F83"/>
    <w:rsid w:val="004B7347"/>
    <w:rsid w:val="004C3D96"/>
    <w:rsid w:val="004C5E93"/>
    <w:rsid w:val="004C6B2D"/>
    <w:rsid w:val="004D2FF7"/>
    <w:rsid w:val="004E0623"/>
    <w:rsid w:val="004E1261"/>
    <w:rsid w:val="004E394E"/>
    <w:rsid w:val="004E6378"/>
    <w:rsid w:val="004E6428"/>
    <w:rsid w:val="004F06AF"/>
    <w:rsid w:val="00504F89"/>
    <w:rsid w:val="00505386"/>
    <w:rsid w:val="00510A5A"/>
    <w:rsid w:val="00511E21"/>
    <w:rsid w:val="00514D31"/>
    <w:rsid w:val="0051602E"/>
    <w:rsid w:val="005176A0"/>
    <w:rsid w:val="00522339"/>
    <w:rsid w:val="00525549"/>
    <w:rsid w:val="00537469"/>
    <w:rsid w:val="00540723"/>
    <w:rsid w:val="005410A2"/>
    <w:rsid w:val="00542AEA"/>
    <w:rsid w:val="00543702"/>
    <w:rsid w:val="0054758F"/>
    <w:rsid w:val="00553062"/>
    <w:rsid w:val="005536D2"/>
    <w:rsid w:val="00553BE5"/>
    <w:rsid w:val="00561E89"/>
    <w:rsid w:val="005675E4"/>
    <w:rsid w:val="005738B5"/>
    <w:rsid w:val="00583B9B"/>
    <w:rsid w:val="0058691B"/>
    <w:rsid w:val="00586D08"/>
    <w:rsid w:val="00594118"/>
    <w:rsid w:val="005959F9"/>
    <w:rsid w:val="005A209B"/>
    <w:rsid w:val="005B0386"/>
    <w:rsid w:val="005B1113"/>
    <w:rsid w:val="005B6073"/>
    <w:rsid w:val="005D094D"/>
    <w:rsid w:val="005D0F3D"/>
    <w:rsid w:val="005D11D1"/>
    <w:rsid w:val="005D165D"/>
    <w:rsid w:val="005D4880"/>
    <w:rsid w:val="005D49D6"/>
    <w:rsid w:val="005D4F96"/>
    <w:rsid w:val="005E6EE2"/>
    <w:rsid w:val="00600B47"/>
    <w:rsid w:val="00602285"/>
    <w:rsid w:val="00604EFE"/>
    <w:rsid w:val="00605463"/>
    <w:rsid w:val="00606383"/>
    <w:rsid w:val="00613FD5"/>
    <w:rsid w:val="00617090"/>
    <w:rsid w:val="00620E05"/>
    <w:rsid w:val="00621CF3"/>
    <w:rsid w:val="00622D80"/>
    <w:rsid w:val="006275CF"/>
    <w:rsid w:val="00630639"/>
    <w:rsid w:val="00630BFA"/>
    <w:rsid w:val="0063607F"/>
    <w:rsid w:val="00636CF7"/>
    <w:rsid w:val="006513A2"/>
    <w:rsid w:val="00653C14"/>
    <w:rsid w:val="006611C6"/>
    <w:rsid w:val="00670095"/>
    <w:rsid w:val="00670C1F"/>
    <w:rsid w:val="006725AB"/>
    <w:rsid w:val="006832E5"/>
    <w:rsid w:val="00684075"/>
    <w:rsid w:val="006846A9"/>
    <w:rsid w:val="006855FB"/>
    <w:rsid w:val="00692C55"/>
    <w:rsid w:val="00694C2E"/>
    <w:rsid w:val="006957C8"/>
    <w:rsid w:val="00696139"/>
    <w:rsid w:val="00696E1B"/>
    <w:rsid w:val="00697134"/>
    <w:rsid w:val="006A5A5E"/>
    <w:rsid w:val="006A6BB2"/>
    <w:rsid w:val="006A79A9"/>
    <w:rsid w:val="006B0B4C"/>
    <w:rsid w:val="006B1CCE"/>
    <w:rsid w:val="006B6102"/>
    <w:rsid w:val="006B747B"/>
    <w:rsid w:val="006C0D40"/>
    <w:rsid w:val="006C12BB"/>
    <w:rsid w:val="006C4470"/>
    <w:rsid w:val="006D16E8"/>
    <w:rsid w:val="006D18A4"/>
    <w:rsid w:val="006D1BED"/>
    <w:rsid w:val="006D38BF"/>
    <w:rsid w:val="006D588D"/>
    <w:rsid w:val="006D5A32"/>
    <w:rsid w:val="006D6550"/>
    <w:rsid w:val="006E1BDD"/>
    <w:rsid w:val="006E6972"/>
    <w:rsid w:val="006F30A5"/>
    <w:rsid w:val="00705B9B"/>
    <w:rsid w:val="00711573"/>
    <w:rsid w:val="0071585A"/>
    <w:rsid w:val="00715F06"/>
    <w:rsid w:val="00716939"/>
    <w:rsid w:val="007419D3"/>
    <w:rsid w:val="00742CA0"/>
    <w:rsid w:val="007453BF"/>
    <w:rsid w:val="007471AB"/>
    <w:rsid w:val="007520C3"/>
    <w:rsid w:val="00754D30"/>
    <w:rsid w:val="00767B4E"/>
    <w:rsid w:val="00773DBF"/>
    <w:rsid w:val="007865F9"/>
    <w:rsid w:val="0079050D"/>
    <w:rsid w:val="00790E53"/>
    <w:rsid w:val="00792EBB"/>
    <w:rsid w:val="007A1924"/>
    <w:rsid w:val="007A6B5E"/>
    <w:rsid w:val="007B5AD8"/>
    <w:rsid w:val="007C21E6"/>
    <w:rsid w:val="007C56DC"/>
    <w:rsid w:val="007D5494"/>
    <w:rsid w:val="007D7636"/>
    <w:rsid w:val="007E21E5"/>
    <w:rsid w:val="007E33FF"/>
    <w:rsid w:val="007E4A78"/>
    <w:rsid w:val="007E633B"/>
    <w:rsid w:val="007E7B30"/>
    <w:rsid w:val="007F1639"/>
    <w:rsid w:val="007F4A49"/>
    <w:rsid w:val="007F4F6B"/>
    <w:rsid w:val="007F58DA"/>
    <w:rsid w:val="008014C8"/>
    <w:rsid w:val="00803AED"/>
    <w:rsid w:val="008042F4"/>
    <w:rsid w:val="008118D1"/>
    <w:rsid w:val="00812119"/>
    <w:rsid w:val="00813025"/>
    <w:rsid w:val="0081385E"/>
    <w:rsid w:val="00816890"/>
    <w:rsid w:val="008231CF"/>
    <w:rsid w:val="0083715F"/>
    <w:rsid w:val="008416A9"/>
    <w:rsid w:val="0085265F"/>
    <w:rsid w:val="00857763"/>
    <w:rsid w:val="008646E7"/>
    <w:rsid w:val="008703A2"/>
    <w:rsid w:val="00874A37"/>
    <w:rsid w:val="00880558"/>
    <w:rsid w:val="00880B28"/>
    <w:rsid w:val="00882F0E"/>
    <w:rsid w:val="00884333"/>
    <w:rsid w:val="00884972"/>
    <w:rsid w:val="008A0A3C"/>
    <w:rsid w:val="008A0C1D"/>
    <w:rsid w:val="008A2C69"/>
    <w:rsid w:val="008A4573"/>
    <w:rsid w:val="008A5CDB"/>
    <w:rsid w:val="008B1FCA"/>
    <w:rsid w:val="008B25B7"/>
    <w:rsid w:val="008B3DBC"/>
    <w:rsid w:val="008B7E35"/>
    <w:rsid w:val="008C1093"/>
    <w:rsid w:val="008C14A8"/>
    <w:rsid w:val="008C733B"/>
    <w:rsid w:val="008D3581"/>
    <w:rsid w:val="008E2B6C"/>
    <w:rsid w:val="008E3743"/>
    <w:rsid w:val="008E7138"/>
    <w:rsid w:val="008F41A8"/>
    <w:rsid w:val="008F514E"/>
    <w:rsid w:val="008F6DC1"/>
    <w:rsid w:val="00901CA8"/>
    <w:rsid w:val="00902363"/>
    <w:rsid w:val="00906541"/>
    <w:rsid w:val="00910F71"/>
    <w:rsid w:val="0092212B"/>
    <w:rsid w:val="00922D0D"/>
    <w:rsid w:val="00932366"/>
    <w:rsid w:val="009402EA"/>
    <w:rsid w:val="0094201E"/>
    <w:rsid w:val="00943018"/>
    <w:rsid w:val="00943BA2"/>
    <w:rsid w:val="00951EAC"/>
    <w:rsid w:val="00960BC7"/>
    <w:rsid w:val="00963098"/>
    <w:rsid w:val="00964A42"/>
    <w:rsid w:val="009676A8"/>
    <w:rsid w:val="00970253"/>
    <w:rsid w:val="00970468"/>
    <w:rsid w:val="0097482A"/>
    <w:rsid w:val="009758AC"/>
    <w:rsid w:val="00976FA8"/>
    <w:rsid w:val="0098388B"/>
    <w:rsid w:val="00987EB1"/>
    <w:rsid w:val="0099088F"/>
    <w:rsid w:val="0099548D"/>
    <w:rsid w:val="00995AC0"/>
    <w:rsid w:val="00995FC4"/>
    <w:rsid w:val="00997A19"/>
    <w:rsid w:val="009A2BA8"/>
    <w:rsid w:val="009A2FE3"/>
    <w:rsid w:val="009B4D0B"/>
    <w:rsid w:val="009B7529"/>
    <w:rsid w:val="009C164F"/>
    <w:rsid w:val="009C7C55"/>
    <w:rsid w:val="009D241D"/>
    <w:rsid w:val="009D259A"/>
    <w:rsid w:val="009D3344"/>
    <w:rsid w:val="009D5BF8"/>
    <w:rsid w:val="009E30EE"/>
    <w:rsid w:val="009E4869"/>
    <w:rsid w:val="009E7746"/>
    <w:rsid w:val="00A01A43"/>
    <w:rsid w:val="00A025C4"/>
    <w:rsid w:val="00A06469"/>
    <w:rsid w:val="00A10550"/>
    <w:rsid w:val="00A204B5"/>
    <w:rsid w:val="00A32E13"/>
    <w:rsid w:val="00A32F30"/>
    <w:rsid w:val="00A36160"/>
    <w:rsid w:val="00A36F98"/>
    <w:rsid w:val="00A37C96"/>
    <w:rsid w:val="00A37EA9"/>
    <w:rsid w:val="00A463B5"/>
    <w:rsid w:val="00A51287"/>
    <w:rsid w:val="00A55061"/>
    <w:rsid w:val="00A66D2D"/>
    <w:rsid w:val="00A733B6"/>
    <w:rsid w:val="00A76565"/>
    <w:rsid w:val="00A818A0"/>
    <w:rsid w:val="00A81F01"/>
    <w:rsid w:val="00A87113"/>
    <w:rsid w:val="00A91331"/>
    <w:rsid w:val="00A91D1F"/>
    <w:rsid w:val="00A95890"/>
    <w:rsid w:val="00A9657F"/>
    <w:rsid w:val="00A975CE"/>
    <w:rsid w:val="00AA53DA"/>
    <w:rsid w:val="00AB50AF"/>
    <w:rsid w:val="00AB719A"/>
    <w:rsid w:val="00AD0DD0"/>
    <w:rsid w:val="00AD15D4"/>
    <w:rsid w:val="00AD3A8B"/>
    <w:rsid w:val="00AD61D2"/>
    <w:rsid w:val="00AF101A"/>
    <w:rsid w:val="00AF2275"/>
    <w:rsid w:val="00B000B6"/>
    <w:rsid w:val="00B004B9"/>
    <w:rsid w:val="00B02AE5"/>
    <w:rsid w:val="00B03E2D"/>
    <w:rsid w:val="00B0763F"/>
    <w:rsid w:val="00B151CA"/>
    <w:rsid w:val="00B319F2"/>
    <w:rsid w:val="00B34F37"/>
    <w:rsid w:val="00B435DB"/>
    <w:rsid w:val="00B4373D"/>
    <w:rsid w:val="00B4382F"/>
    <w:rsid w:val="00B466F1"/>
    <w:rsid w:val="00B5104D"/>
    <w:rsid w:val="00B543A7"/>
    <w:rsid w:val="00B6494C"/>
    <w:rsid w:val="00B70153"/>
    <w:rsid w:val="00B73B97"/>
    <w:rsid w:val="00B77862"/>
    <w:rsid w:val="00B8136E"/>
    <w:rsid w:val="00B84F88"/>
    <w:rsid w:val="00B87C65"/>
    <w:rsid w:val="00B92357"/>
    <w:rsid w:val="00B949A3"/>
    <w:rsid w:val="00B956AD"/>
    <w:rsid w:val="00BA4B8F"/>
    <w:rsid w:val="00BC0F86"/>
    <w:rsid w:val="00BC3B57"/>
    <w:rsid w:val="00BC43DD"/>
    <w:rsid w:val="00BD6498"/>
    <w:rsid w:val="00BD7ABD"/>
    <w:rsid w:val="00BE1749"/>
    <w:rsid w:val="00BE1EA6"/>
    <w:rsid w:val="00BE3277"/>
    <w:rsid w:val="00BE3DD7"/>
    <w:rsid w:val="00BE44A6"/>
    <w:rsid w:val="00BE50B4"/>
    <w:rsid w:val="00BE560C"/>
    <w:rsid w:val="00BE567D"/>
    <w:rsid w:val="00BE6177"/>
    <w:rsid w:val="00BF2296"/>
    <w:rsid w:val="00C00DC9"/>
    <w:rsid w:val="00C10ED0"/>
    <w:rsid w:val="00C13C9E"/>
    <w:rsid w:val="00C15FA9"/>
    <w:rsid w:val="00C222B3"/>
    <w:rsid w:val="00C22E8D"/>
    <w:rsid w:val="00C24520"/>
    <w:rsid w:val="00C25382"/>
    <w:rsid w:val="00C2763D"/>
    <w:rsid w:val="00C27941"/>
    <w:rsid w:val="00C328EC"/>
    <w:rsid w:val="00C34911"/>
    <w:rsid w:val="00C36B76"/>
    <w:rsid w:val="00C37505"/>
    <w:rsid w:val="00C42ABA"/>
    <w:rsid w:val="00C4698B"/>
    <w:rsid w:val="00C562F2"/>
    <w:rsid w:val="00C655B2"/>
    <w:rsid w:val="00C65E34"/>
    <w:rsid w:val="00C65E98"/>
    <w:rsid w:val="00C75351"/>
    <w:rsid w:val="00C7773F"/>
    <w:rsid w:val="00C80206"/>
    <w:rsid w:val="00C806C6"/>
    <w:rsid w:val="00C836BA"/>
    <w:rsid w:val="00C87B27"/>
    <w:rsid w:val="00C87CF5"/>
    <w:rsid w:val="00C87E85"/>
    <w:rsid w:val="00C94427"/>
    <w:rsid w:val="00C9461F"/>
    <w:rsid w:val="00C95390"/>
    <w:rsid w:val="00C972BA"/>
    <w:rsid w:val="00C97546"/>
    <w:rsid w:val="00CA034E"/>
    <w:rsid w:val="00CA6DE2"/>
    <w:rsid w:val="00CB1BE2"/>
    <w:rsid w:val="00CC37FA"/>
    <w:rsid w:val="00CC49B5"/>
    <w:rsid w:val="00CD4A7F"/>
    <w:rsid w:val="00CE311A"/>
    <w:rsid w:val="00CE5F05"/>
    <w:rsid w:val="00CE67BC"/>
    <w:rsid w:val="00CE6C2B"/>
    <w:rsid w:val="00CF0319"/>
    <w:rsid w:val="00CF2B86"/>
    <w:rsid w:val="00CF7DA8"/>
    <w:rsid w:val="00D00C0C"/>
    <w:rsid w:val="00D049B4"/>
    <w:rsid w:val="00D06CAE"/>
    <w:rsid w:val="00D13B94"/>
    <w:rsid w:val="00D2146B"/>
    <w:rsid w:val="00D21E6E"/>
    <w:rsid w:val="00D23705"/>
    <w:rsid w:val="00D27B20"/>
    <w:rsid w:val="00D34F69"/>
    <w:rsid w:val="00D353D4"/>
    <w:rsid w:val="00D4054C"/>
    <w:rsid w:val="00D41D43"/>
    <w:rsid w:val="00D44406"/>
    <w:rsid w:val="00D44E73"/>
    <w:rsid w:val="00D52376"/>
    <w:rsid w:val="00D6400B"/>
    <w:rsid w:val="00D64059"/>
    <w:rsid w:val="00D6467F"/>
    <w:rsid w:val="00D64D77"/>
    <w:rsid w:val="00D67CBA"/>
    <w:rsid w:val="00D707A9"/>
    <w:rsid w:val="00D715C2"/>
    <w:rsid w:val="00D71E5A"/>
    <w:rsid w:val="00D73D81"/>
    <w:rsid w:val="00D746BA"/>
    <w:rsid w:val="00D76D7F"/>
    <w:rsid w:val="00D80864"/>
    <w:rsid w:val="00D845C4"/>
    <w:rsid w:val="00D86466"/>
    <w:rsid w:val="00D90520"/>
    <w:rsid w:val="00D905DB"/>
    <w:rsid w:val="00D912B6"/>
    <w:rsid w:val="00D91AB7"/>
    <w:rsid w:val="00D96753"/>
    <w:rsid w:val="00D974AC"/>
    <w:rsid w:val="00DA52C8"/>
    <w:rsid w:val="00DA53BA"/>
    <w:rsid w:val="00DA6174"/>
    <w:rsid w:val="00DA61A9"/>
    <w:rsid w:val="00DB0213"/>
    <w:rsid w:val="00DB408F"/>
    <w:rsid w:val="00DB56EF"/>
    <w:rsid w:val="00DC459F"/>
    <w:rsid w:val="00DD21C0"/>
    <w:rsid w:val="00DD4CD4"/>
    <w:rsid w:val="00DE59C0"/>
    <w:rsid w:val="00DF071E"/>
    <w:rsid w:val="00DF3B44"/>
    <w:rsid w:val="00E00417"/>
    <w:rsid w:val="00E03CB0"/>
    <w:rsid w:val="00E04963"/>
    <w:rsid w:val="00E05562"/>
    <w:rsid w:val="00E05FC9"/>
    <w:rsid w:val="00E126CE"/>
    <w:rsid w:val="00E1445E"/>
    <w:rsid w:val="00E2086D"/>
    <w:rsid w:val="00E22243"/>
    <w:rsid w:val="00E31CF3"/>
    <w:rsid w:val="00E3249A"/>
    <w:rsid w:val="00E34951"/>
    <w:rsid w:val="00E35B91"/>
    <w:rsid w:val="00E35CA4"/>
    <w:rsid w:val="00E36B26"/>
    <w:rsid w:val="00E37FEE"/>
    <w:rsid w:val="00E46512"/>
    <w:rsid w:val="00E4772D"/>
    <w:rsid w:val="00E60600"/>
    <w:rsid w:val="00E744D4"/>
    <w:rsid w:val="00E768F6"/>
    <w:rsid w:val="00E83C14"/>
    <w:rsid w:val="00E86683"/>
    <w:rsid w:val="00E90B41"/>
    <w:rsid w:val="00E90F1F"/>
    <w:rsid w:val="00E911F7"/>
    <w:rsid w:val="00E933DB"/>
    <w:rsid w:val="00E97630"/>
    <w:rsid w:val="00EA3A0D"/>
    <w:rsid w:val="00EB2975"/>
    <w:rsid w:val="00EB34FF"/>
    <w:rsid w:val="00EC09EE"/>
    <w:rsid w:val="00EC1F9F"/>
    <w:rsid w:val="00EC54F8"/>
    <w:rsid w:val="00EC6D6A"/>
    <w:rsid w:val="00ED37A1"/>
    <w:rsid w:val="00ED57C7"/>
    <w:rsid w:val="00ED5CE1"/>
    <w:rsid w:val="00EE1D75"/>
    <w:rsid w:val="00EE25CD"/>
    <w:rsid w:val="00EE4A24"/>
    <w:rsid w:val="00EE4BA1"/>
    <w:rsid w:val="00EF1A51"/>
    <w:rsid w:val="00EF3F73"/>
    <w:rsid w:val="00F04A8B"/>
    <w:rsid w:val="00F07716"/>
    <w:rsid w:val="00F12B46"/>
    <w:rsid w:val="00F3731B"/>
    <w:rsid w:val="00F451E6"/>
    <w:rsid w:val="00F45223"/>
    <w:rsid w:val="00F47415"/>
    <w:rsid w:val="00F53B34"/>
    <w:rsid w:val="00F552C0"/>
    <w:rsid w:val="00F64B9E"/>
    <w:rsid w:val="00F71EAF"/>
    <w:rsid w:val="00F803C4"/>
    <w:rsid w:val="00F81C61"/>
    <w:rsid w:val="00F83ECE"/>
    <w:rsid w:val="00F92F85"/>
    <w:rsid w:val="00F949B0"/>
    <w:rsid w:val="00FA1270"/>
    <w:rsid w:val="00FA3848"/>
    <w:rsid w:val="00FA3C27"/>
    <w:rsid w:val="00FB0564"/>
    <w:rsid w:val="00FB2ABF"/>
    <w:rsid w:val="00FB3818"/>
    <w:rsid w:val="00FB5582"/>
    <w:rsid w:val="00FC05CD"/>
    <w:rsid w:val="00FC0C7A"/>
    <w:rsid w:val="00FC2AC2"/>
    <w:rsid w:val="00FC5C30"/>
    <w:rsid w:val="00FC5E1A"/>
    <w:rsid w:val="00FD163B"/>
    <w:rsid w:val="00FD16F1"/>
    <w:rsid w:val="00FD6048"/>
    <w:rsid w:val="00FD6C42"/>
    <w:rsid w:val="00FE5389"/>
    <w:rsid w:val="00FF0FB1"/>
    <w:rsid w:val="00FF4E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lang w:val="sl-SI" w:eastAsia="en-US" w:bidi="ar-SA"/>
      </w:rPr>
    </w:rPrDefault>
    <w:pPrDefault>
      <w:pPr>
        <w:spacing w:line="2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10ED0"/>
    <w:rPr>
      <w:rFonts w:cs="Times New Roman"/>
      <w:lang w:eastAsia="sl-SI"/>
    </w:rPr>
  </w:style>
  <w:style w:type="paragraph" w:styleId="Naslov1">
    <w:name w:val="heading 1"/>
    <w:basedOn w:val="Navaden"/>
    <w:next w:val="Navaden"/>
    <w:link w:val="Naslov1Znak"/>
    <w:autoRedefine/>
    <w:qFormat/>
    <w:rsid w:val="00E90F1F"/>
    <w:pPr>
      <w:keepNext/>
      <w:numPr>
        <w:numId w:val="1"/>
      </w:numPr>
      <w:tabs>
        <w:tab w:val="clear" w:pos="0"/>
      </w:tabs>
      <w:outlineLvl w:val="0"/>
    </w:pPr>
    <w:rPr>
      <w:b/>
    </w:rPr>
  </w:style>
  <w:style w:type="paragraph" w:styleId="Naslov2">
    <w:name w:val="heading 2"/>
    <w:basedOn w:val="Navaden"/>
    <w:next w:val="Navaden"/>
    <w:link w:val="Naslov2Znak"/>
    <w:autoRedefine/>
    <w:qFormat/>
    <w:rsid w:val="00630639"/>
    <w:pPr>
      <w:keepNext/>
      <w:numPr>
        <w:ilvl w:val="1"/>
        <w:numId w:val="1"/>
      </w:numPr>
      <w:tabs>
        <w:tab w:val="clear" w:pos="142"/>
        <w:tab w:val="num" w:pos="0"/>
      </w:tabs>
      <w:ind w:left="567"/>
      <w:outlineLvl w:val="1"/>
    </w:pPr>
    <w:rPr>
      <w:b/>
    </w:rPr>
  </w:style>
  <w:style w:type="paragraph" w:styleId="Naslov3">
    <w:name w:val="heading 3"/>
    <w:basedOn w:val="Navaden"/>
    <w:next w:val="Navaden"/>
    <w:link w:val="Naslov3Znak"/>
    <w:autoRedefine/>
    <w:qFormat/>
    <w:rsid w:val="00630639"/>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70153"/>
    <w:pPr>
      <w:jc w:val="center"/>
    </w:pPr>
    <w:rPr>
      <w:b/>
      <w:spacing w:val="80"/>
    </w:rPr>
  </w:style>
  <w:style w:type="character" w:customStyle="1" w:styleId="NaslovZnak">
    <w:name w:val="Naslov Znak"/>
    <w:basedOn w:val="Privzetapisavaodstavka"/>
    <w:link w:val="Naslov"/>
    <w:rsid w:val="00B70153"/>
    <w:rPr>
      <w:b/>
      <w:spacing w:val="80"/>
    </w:rPr>
  </w:style>
  <w:style w:type="character" w:customStyle="1" w:styleId="Naslov1Znak">
    <w:name w:val="Naslov 1 Znak"/>
    <w:basedOn w:val="Privzetapisavaodstavka"/>
    <w:link w:val="Naslov1"/>
    <w:rsid w:val="00E90F1F"/>
    <w:rPr>
      <w:rFonts w:cs="Times New Roman"/>
      <w:b/>
      <w:lang w:eastAsia="sl-SI"/>
    </w:rPr>
  </w:style>
  <w:style w:type="character" w:customStyle="1" w:styleId="Naslov2Znak">
    <w:name w:val="Naslov 2 Znak"/>
    <w:basedOn w:val="Privzetapisavaodstavka"/>
    <w:link w:val="Naslov2"/>
    <w:rsid w:val="00630639"/>
    <w:rPr>
      <w:rFonts w:cs="Times New Roman"/>
      <w:b/>
      <w:lang w:eastAsia="sl-SI"/>
    </w:rPr>
  </w:style>
  <w:style w:type="character" w:customStyle="1" w:styleId="Naslov3Znak">
    <w:name w:val="Naslov 3 Znak"/>
    <w:basedOn w:val="Privzetapisavaodstavka"/>
    <w:link w:val="Naslov3"/>
    <w:rsid w:val="00630639"/>
    <w:rPr>
      <w:rFonts w:cs="Times New Roman"/>
      <w:b/>
      <w:lang w:eastAsia="sl-SI"/>
    </w:rPr>
  </w:style>
  <w:style w:type="paragraph" w:customStyle="1" w:styleId="Natevanje123">
    <w:name w:val="Naštevanje 1. 2. 3."/>
    <w:basedOn w:val="Navaden"/>
    <w:next w:val="Navaden"/>
    <w:autoRedefine/>
    <w:qFormat/>
    <w:rsid w:val="005738B5"/>
    <w:pPr>
      <w:tabs>
        <w:tab w:val="left" w:pos="567"/>
      </w:tabs>
    </w:pPr>
  </w:style>
  <w:style w:type="paragraph" w:customStyle="1" w:styleId="NatevanjeABC">
    <w:name w:val="Naštevanje A. B. C."/>
    <w:basedOn w:val="Navaden"/>
    <w:next w:val="Navaden"/>
    <w:autoRedefine/>
    <w:qFormat/>
    <w:rsid w:val="00B02AE5"/>
    <w:pPr>
      <w:numPr>
        <w:numId w:val="19"/>
      </w:numPr>
      <w:tabs>
        <w:tab w:val="left" w:pos="0"/>
      </w:tabs>
      <w:ind w:left="0" w:firstLine="0"/>
    </w:pPr>
  </w:style>
  <w:style w:type="paragraph" w:customStyle="1" w:styleId="NatevanjeIIIIII">
    <w:name w:val="Naštevanje I. II. III."/>
    <w:basedOn w:val="Navaden"/>
    <w:next w:val="Navaden"/>
    <w:autoRedefine/>
    <w:rsid w:val="00282CB1"/>
    <w:pPr>
      <w:numPr>
        <w:numId w:val="4"/>
      </w:numPr>
      <w:tabs>
        <w:tab w:val="left" w:pos="567"/>
      </w:tabs>
      <w:spacing w:line="276" w:lineRule="auto"/>
    </w:pPr>
  </w:style>
  <w:style w:type="paragraph" w:customStyle="1" w:styleId="Zamik1">
    <w:name w:val="Zamik1"/>
    <w:basedOn w:val="Navaden"/>
    <w:link w:val="Zamik1Znak"/>
    <w:autoRedefine/>
    <w:qFormat/>
    <w:rsid w:val="00594118"/>
    <w:pPr>
      <w:spacing w:line="276" w:lineRule="auto"/>
    </w:pPr>
    <w:rPr>
      <w:rFonts w:cs="Arial"/>
    </w:rPr>
  </w:style>
  <w:style w:type="character" w:customStyle="1" w:styleId="Zamik1Znak">
    <w:name w:val="Zamik1 Znak"/>
    <w:link w:val="Zamik1"/>
    <w:rsid w:val="00594118"/>
    <w:rPr>
      <w:rFonts w:cs="Arial"/>
      <w:lang w:eastAsia="sl-SI"/>
    </w:rPr>
  </w:style>
  <w:style w:type="paragraph" w:styleId="Besedilooblaka">
    <w:name w:val="Balloon Text"/>
    <w:basedOn w:val="Navaden"/>
    <w:link w:val="BesedilooblakaZnak"/>
    <w:uiPriority w:val="99"/>
    <w:semiHidden/>
    <w:unhideWhenUsed/>
    <w:rsid w:val="00C10ED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10ED0"/>
    <w:rPr>
      <w:rFonts w:ascii="Tahoma" w:hAnsi="Tahoma" w:cs="Tahoma"/>
      <w:sz w:val="16"/>
      <w:szCs w:val="16"/>
      <w:lang w:eastAsia="sl-SI"/>
    </w:rPr>
  </w:style>
  <w:style w:type="paragraph" w:styleId="Odstavekseznama">
    <w:name w:val="List Paragraph"/>
    <w:aliases w:val="za tekst,List Paragraph1,List Paragraph2"/>
    <w:basedOn w:val="Navaden"/>
    <w:link w:val="OdstavekseznamaZnak"/>
    <w:uiPriority w:val="34"/>
    <w:qFormat/>
    <w:rsid w:val="00C10ED0"/>
    <w:pPr>
      <w:ind w:left="720"/>
      <w:contextualSpacing/>
    </w:pPr>
  </w:style>
  <w:style w:type="character" w:styleId="Hiperpovezava">
    <w:name w:val="Hyperlink"/>
    <w:basedOn w:val="Privzetapisavaodstavka"/>
    <w:uiPriority w:val="99"/>
    <w:unhideWhenUsed/>
    <w:rsid w:val="00C10ED0"/>
    <w:rPr>
      <w:color w:val="0000FF" w:themeColor="hyperlink"/>
      <w:u w:val="single"/>
    </w:rPr>
  </w:style>
  <w:style w:type="character" w:customStyle="1" w:styleId="OdstavekseznamaZnak">
    <w:name w:val="Odstavek seznama Znak"/>
    <w:aliases w:val="za tekst Znak,List Paragraph1 Znak,List Paragraph2 Znak"/>
    <w:link w:val="Odstavekseznama"/>
    <w:uiPriority w:val="34"/>
    <w:locked/>
    <w:rsid w:val="00C10ED0"/>
    <w:rPr>
      <w:rFonts w:cs="Times New Roman"/>
      <w:lang w:eastAsia="sl-SI"/>
    </w:rPr>
  </w:style>
  <w:style w:type="character" w:customStyle="1" w:styleId="FontStyle16">
    <w:name w:val="Font Style16"/>
    <w:basedOn w:val="Privzetapisavaodstavka"/>
    <w:uiPriority w:val="99"/>
    <w:rsid w:val="00C10ED0"/>
    <w:rPr>
      <w:rFonts w:ascii="Georgia" w:hAnsi="Georgia" w:cs="Georgia"/>
      <w:spacing w:val="-10"/>
      <w:sz w:val="22"/>
      <w:szCs w:val="22"/>
    </w:rPr>
  </w:style>
  <w:style w:type="paragraph" w:customStyle="1" w:styleId="Default">
    <w:name w:val="Default"/>
    <w:rsid w:val="00C10ED0"/>
    <w:pPr>
      <w:autoSpaceDE w:val="0"/>
      <w:autoSpaceDN w:val="0"/>
      <w:adjustRightInd w:val="0"/>
      <w:spacing w:line="240" w:lineRule="auto"/>
      <w:jc w:val="left"/>
    </w:pPr>
    <w:rPr>
      <w:rFonts w:ascii="Tahoma" w:hAnsi="Tahoma" w:cs="Tahoma"/>
      <w:color w:val="000000"/>
      <w:sz w:val="24"/>
      <w:szCs w:val="24"/>
      <w:lang w:eastAsia="sl-SI"/>
    </w:rPr>
  </w:style>
  <w:style w:type="character" w:customStyle="1" w:styleId="italicfont">
    <w:name w:val="italicfont"/>
    <w:basedOn w:val="Privzetapisavaodstavka"/>
    <w:rsid w:val="00C10ED0"/>
  </w:style>
  <w:style w:type="paragraph" w:customStyle="1" w:styleId="Odstavek">
    <w:name w:val="Odstavek"/>
    <w:basedOn w:val="Navaden"/>
    <w:link w:val="OdstavekZnak"/>
    <w:uiPriority w:val="99"/>
    <w:rsid w:val="00C10ED0"/>
    <w:pPr>
      <w:overflowPunct w:val="0"/>
      <w:autoSpaceDE w:val="0"/>
      <w:autoSpaceDN w:val="0"/>
      <w:adjustRightInd w:val="0"/>
      <w:spacing w:before="240" w:line="240" w:lineRule="auto"/>
      <w:ind w:firstLine="1021"/>
      <w:textAlignment w:val="baseline"/>
    </w:pPr>
    <w:rPr>
      <w:rFonts w:cs="Arial"/>
    </w:rPr>
  </w:style>
  <w:style w:type="character" w:customStyle="1" w:styleId="OdstavekZnak">
    <w:name w:val="Odstavek Znak"/>
    <w:link w:val="Odstavek"/>
    <w:uiPriority w:val="99"/>
    <w:rsid w:val="00C10ED0"/>
    <w:rPr>
      <w:rFonts w:cs="Arial"/>
      <w:lang w:eastAsia="sl-SI"/>
    </w:rPr>
  </w:style>
  <w:style w:type="paragraph" w:customStyle="1" w:styleId="Alineja">
    <w:name w:val="Alineja"/>
    <w:basedOn w:val="Navaden"/>
    <w:qFormat/>
    <w:rsid w:val="00C10ED0"/>
    <w:pPr>
      <w:tabs>
        <w:tab w:val="left" w:pos="714"/>
      </w:tabs>
      <w:spacing w:after="120" w:line="240" w:lineRule="auto"/>
      <w:contextualSpacing/>
    </w:pPr>
    <w:rPr>
      <w:rFonts w:ascii="Times New Roman" w:hAnsi="Times New Roman"/>
      <w:sz w:val="22"/>
    </w:rPr>
  </w:style>
  <w:style w:type="character" w:customStyle="1" w:styleId="FontStyle18">
    <w:name w:val="Font Style18"/>
    <w:basedOn w:val="Privzetapisavaodstavka"/>
    <w:uiPriority w:val="99"/>
    <w:rsid w:val="00C10ED0"/>
    <w:rPr>
      <w:rFonts w:ascii="Arial" w:hAnsi="Arial" w:cs="Arial"/>
      <w:sz w:val="18"/>
      <w:szCs w:val="18"/>
    </w:rPr>
  </w:style>
  <w:style w:type="paragraph" w:customStyle="1" w:styleId="besediloPVOEkosfera">
    <w:name w:val="besedilo PVO Ekosfera"/>
    <w:link w:val="besediloPVOEkosferaZnak"/>
    <w:uiPriority w:val="99"/>
    <w:rsid w:val="00C10ED0"/>
    <w:pPr>
      <w:tabs>
        <w:tab w:val="left" w:pos="0"/>
      </w:tabs>
      <w:spacing w:line="276" w:lineRule="auto"/>
    </w:pPr>
    <w:rPr>
      <w:rFonts w:cs="Arial"/>
      <w:sz w:val="24"/>
      <w:szCs w:val="24"/>
      <w:lang w:eastAsia="sl-SI"/>
    </w:rPr>
  </w:style>
  <w:style w:type="character" w:customStyle="1" w:styleId="besediloPVOEkosferaZnak">
    <w:name w:val="besedilo PVO Ekosfera Znak"/>
    <w:link w:val="besediloPVOEkosfera"/>
    <w:uiPriority w:val="99"/>
    <w:rsid w:val="00C10ED0"/>
    <w:rPr>
      <w:rFonts w:cs="Arial"/>
      <w:sz w:val="24"/>
      <w:szCs w:val="24"/>
      <w:lang w:eastAsia="sl-SI"/>
    </w:rPr>
  </w:style>
  <w:style w:type="character" w:styleId="Poudarek">
    <w:name w:val="Emphasis"/>
    <w:basedOn w:val="Privzetapisavaodstavka"/>
    <w:uiPriority w:val="20"/>
    <w:qFormat/>
    <w:rsid w:val="00C10ED0"/>
    <w:rPr>
      <w:i/>
      <w:iCs/>
    </w:rPr>
  </w:style>
  <w:style w:type="paragraph" w:styleId="Glava">
    <w:name w:val="header"/>
    <w:basedOn w:val="Navaden"/>
    <w:link w:val="GlavaZnak"/>
    <w:uiPriority w:val="99"/>
    <w:unhideWhenUsed/>
    <w:rsid w:val="00C10ED0"/>
    <w:pPr>
      <w:tabs>
        <w:tab w:val="center" w:pos="4536"/>
        <w:tab w:val="right" w:pos="9072"/>
      </w:tabs>
      <w:spacing w:line="240" w:lineRule="auto"/>
    </w:pPr>
  </w:style>
  <w:style w:type="character" w:customStyle="1" w:styleId="GlavaZnak">
    <w:name w:val="Glava Znak"/>
    <w:basedOn w:val="Privzetapisavaodstavka"/>
    <w:link w:val="Glava"/>
    <w:uiPriority w:val="99"/>
    <w:rsid w:val="00C10ED0"/>
    <w:rPr>
      <w:rFonts w:cs="Times New Roman"/>
      <w:lang w:eastAsia="sl-SI"/>
    </w:rPr>
  </w:style>
  <w:style w:type="paragraph" w:styleId="Noga">
    <w:name w:val="footer"/>
    <w:basedOn w:val="Navaden"/>
    <w:link w:val="NogaZnak"/>
    <w:uiPriority w:val="99"/>
    <w:unhideWhenUsed/>
    <w:rsid w:val="00C10ED0"/>
    <w:pPr>
      <w:tabs>
        <w:tab w:val="center" w:pos="4536"/>
        <w:tab w:val="right" w:pos="9072"/>
      </w:tabs>
      <w:spacing w:line="240" w:lineRule="auto"/>
    </w:pPr>
  </w:style>
  <w:style w:type="character" w:customStyle="1" w:styleId="NogaZnak">
    <w:name w:val="Noga Znak"/>
    <w:basedOn w:val="Privzetapisavaodstavka"/>
    <w:link w:val="Noga"/>
    <w:uiPriority w:val="99"/>
    <w:rsid w:val="00C10ED0"/>
    <w:rPr>
      <w:rFonts w:cs="Times New Roman"/>
      <w:lang w:eastAsia="sl-SI"/>
    </w:rPr>
  </w:style>
  <w:style w:type="table" w:styleId="Tabelamrea">
    <w:name w:val="Table Grid"/>
    <w:basedOn w:val="Navadnatabela"/>
    <w:rsid w:val="00C10ED0"/>
    <w:pPr>
      <w:spacing w:line="240" w:lineRule="auto"/>
      <w:jc w:val="left"/>
    </w:pPr>
    <w:rPr>
      <w:rFonts w:ascii="Calibri"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rivzetapisavaodstavka"/>
    <w:rsid w:val="008D3581"/>
    <w:rPr>
      <w:rFonts w:ascii="Tahoma" w:hAnsi="Tahoma" w:cs="Tahoma" w:hint="default"/>
      <w:b w:val="0"/>
      <w:bCs w:val="0"/>
      <w:i w:val="0"/>
      <w:iCs w:val="0"/>
      <w:color w:val="000000"/>
      <w:sz w:val="20"/>
      <w:szCs w:val="20"/>
    </w:rPr>
  </w:style>
  <w:style w:type="character" w:customStyle="1" w:styleId="fontstyle21">
    <w:name w:val="fontstyle21"/>
    <w:basedOn w:val="Privzetapisavaodstavka"/>
    <w:rsid w:val="001641B7"/>
    <w:rPr>
      <w:rFonts w:ascii="SymbolMT" w:hAnsi="SymbolMT" w:hint="default"/>
      <w:b w:val="0"/>
      <w:bCs w:val="0"/>
      <w:i w:val="0"/>
      <w:iCs w:val="0"/>
      <w:color w:val="000000"/>
      <w:sz w:val="20"/>
      <w:szCs w:val="20"/>
    </w:rPr>
  </w:style>
  <w:style w:type="character" w:customStyle="1" w:styleId="fontstyle31">
    <w:name w:val="fontstyle31"/>
    <w:basedOn w:val="Privzetapisavaodstavka"/>
    <w:rsid w:val="001641B7"/>
    <w:rPr>
      <w:rFonts w:ascii="Tahoma-Bold" w:hAnsi="Tahoma-Bold" w:hint="default"/>
      <w:b/>
      <w:bCs/>
      <w:i w:val="0"/>
      <w:iCs w:val="0"/>
      <w:color w:val="000000"/>
      <w:sz w:val="20"/>
      <w:szCs w:val="20"/>
    </w:rPr>
  </w:style>
  <w:style w:type="character" w:customStyle="1" w:styleId="fontstyle41">
    <w:name w:val="fontstyle41"/>
    <w:basedOn w:val="Privzetapisavaodstavka"/>
    <w:rsid w:val="009E7746"/>
    <w:rPr>
      <w:rFonts w:ascii="SymbolMT" w:hAnsi="SymbolMT" w:hint="default"/>
      <w:b w:val="0"/>
      <w:bCs w:val="0"/>
      <w:i w:val="0"/>
      <w:iCs w:val="0"/>
      <w:color w:val="000000"/>
      <w:sz w:val="20"/>
      <w:szCs w:val="20"/>
    </w:rPr>
  </w:style>
  <w:style w:type="paragraph" w:styleId="Podnaslov">
    <w:name w:val="Subtitle"/>
    <w:basedOn w:val="Navaden"/>
    <w:next w:val="Navaden"/>
    <w:link w:val="PodnaslovZnak"/>
    <w:uiPriority w:val="11"/>
    <w:qFormat/>
    <w:rsid w:val="00C806C6"/>
    <w:pPr>
      <w:numPr>
        <w:ilvl w:val="1"/>
      </w:numPr>
    </w:pPr>
    <w:rPr>
      <w:rFonts w:eastAsiaTheme="majorEastAsia" w:cstheme="majorBidi"/>
      <w:iCs/>
      <w:spacing w:val="15"/>
      <w:szCs w:val="24"/>
    </w:rPr>
  </w:style>
  <w:style w:type="character" w:customStyle="1" w:styleId="PodnaslovZnak">
    <w:name w:val="Podnaslov Znak"/>
    <w:basedOn w:val="Privzetapisavaodstavka"/>
    <w:link w:val="Podnaslov"/>
    <w:uiPriority w:val="11"/>
    <w:rsid w:val="00C806C6"/>
    <w:rPr>
      <w:rFonts w:eastAsiaTheme="majorEastAsia" w:cstheme="majorBidi"/>
      <w:iCs/>
      <w:spacing w:val="15"/>
      <w:szCs w:val="24"/>
      <w:lang w:eastAsia="sl-SI"/>
    </w:rPr>
  </w:style>
  <w:style w:type="character" w:styleId="Pripombasklic">
    <w:name w:val="annotation reference"/>
    <w:basedOn w:val="Privzetapisavaodstavka"/>
    <w:uiPriority w:val="99"/>
    <w:semiHidden/>
    <w:unhideWhenUsed/>
    <w:rsid w:val="00BC43DD"/>
    <w:rPr>
      <w:sz w:val="16"/>
      <w:szCs w:val="16"/>
    </w:rPr>
  </w:style>
  <w:style w:type="paragraph" w:styleId="Pripombabesedilo">
    <w:name w:val="annotation text"/>
    <w:basedOn w:val="Navaden"/>
    <w:link w:val="PripombabesediloZnak"/>
    <w:uiPriority w:val="99"/>
    <w:semiHidden/>
    <w:unhideWhenUsed/>
    <w:rsid w:val="00BC43DD"/>
    <w:pPr>
      <w:spacing w:line="240" w:lineRule="auto"/>
    </w:pPr>
  </w:style>
  <w:style w:type="character" w:customStyle="1" w:styleId="PripombabesediloZnak">
    <w:name w:val="Pripomba – besedilo Znak"/>
    <w:basedOn w:val="Privzetapisavaodstavka"/>
    <w:link w:val="Pripombabesedilo"/>
    <w:uiPriority w:val="99"/>
    <w:semiHidden/>
    <w:rsid w:val="00BC43DD"/>
    <w:rPr>
      <w:rFonts w:cs="Times New Roman"/>
      <w:lang w:eastAsia="sl-SI"/>
    </w:rPr>
  </w:style>
  <w:style w:type="paragraph" w:styleId="Zadevapripombe">
    <w:name w:val="annotation subject"/>
    <w:basedOn w:val="Pripombabesedilo"/>
    <w:next w:val="Pripombabesedilo"/>
    <w:link w:val="ZadevapripombeZnak"/>
    <w:uiPriority w:val="99"/>
    <w:semiHidden/>
    <w:unhideWhenUsed/>
    <w:rsid w:val="00BC43DD"/>
    <w:rPr>
      <w:b/>
      <w:bCs/>
    </w:rPr>
  </w:style>
  <w:style w:type="character" w:customStyle="1" w:styleId="ZadevapripombeZnak">
    <w:name w:val="Zadeva pripombe Znak"/>
    <w:basedOn w:val="PripombabesediloZnak"/>
    <w:link w:val="Zadevapripombe"/>
    <w:uiPriority w:val="99"/>
    <w:semiHidden/>
    <w:rsid w:val="00BC43DD"/>
    <w:rPr>
      <w:rFonts w:cs="Times New Roman"/>
      <w:b/>
      <w:bCs/>
      <w:lang w:eastAsia="sl-SI"/>
    </w:rPr>
  </w:style>
  <w:style w:type="character" w:customStyle="1" w:styleId="FontStyle22">
    <w:name w:val="Font Style22"/>
    <w:basedOn w:val="Privzetapisavaodstavka"/>
    <w:uiPriority w:val="99"/>
    <w:rsid w:val="004050BA"/>
    <w:rPr>
      <w:rFonts w:ascii="Georgia" w:hAnsi="Georgia" w:cs="Georg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lang w:val="sl-SI" w:eastAsia="en-US" w:bidi="ar-SA"/>
      </w:rPr>
    </w:rPrDefault>
    <w:pPrDefault>
      <w:pPr>
        <w:spacing w:line="2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10ED0"/>
    <w:rPr>
      <w:rFonts w:cs="Times New Roman"/>
      <w:lang w:eastAsia="sl-SI"/>
    </w:rPr>
  </w:style>
  <w:style w:type="paragraph" w:styleId="Naslov1">
    <w:name w:val="heading 1"/>
    <w:basedOn w:val="Navaden"/>
    <w:next w:val="Navaden"/>
    <w:link w:val="Naslov1Znak"/>
    <w:autoRedefine/>
    <w:qFormat/>
    <w:rsid w:val="00E90F1F"/>
    <w:pPr>
      <w:keepNext/>
      <w:numPr>
        <w:numId w:val="1"/>
      </w:numPr>
      <w:tabs>
        <w:tab w:val="clear" w:pos="0"/>
      </w:tabs>
      <w:outlineLvl w:val="0"/>
    </w:pPr>
    <w:rPr>
      <w:b/>
    </w:rPr>
  </w:style>
  <w:style w:type="paragraph" w:styleId="Naslov2">
    <w:name w:val="heading 2"/>
    <w:basedOn w:val="Navaden"/>
    <w:next w:val="Navaden"/>
    <w:link w:val="Naslov2Znak"/>
    <w:autoRedefine/>
    <w:qFormat/>
    <w:rsid w:val="00630639"/>
    <w:pPr>
      <w:keepNext/>
      <w:numPr>
        <w:ilvl w:val="1"/>
        <w:numId w:val="1"/>
      </w:numPr>
      <w:tabs>
        <w:tab w:val="clear" w:pos="142"/>
        <w:tab w:val="num" w:pos="0"/>
      </w:tabs>
      <w:ind w:left="567"/>
      <w:outlineLvl w:val="1"/>
    </w:pPr>
    <w:rPr>
      <w:b/>
    </w:rPr>
  </w:style>
  <w:style w:type="paragraph" w:styleId="Naslov3">
    <w:name w:val="heading 3"/>
    <w:basedOn w:val="Navaden"/>
    <w:next w:val="Navaden"/>
    <w:link w:val="Naslov3Znak"/>
    <w:autoRedefine/>
    <w:qFormat/>
    <w:rsid w:val="00630639"/>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70153"/>
    <w:pPr>
      <w:jc w:val="center"/>
    </w:pPr>
    <w:rPr>
      <w:b/>
      <w:spacing w:val="80"/>
    </w:rPr>
  </w:style>
  <w:style w:type="character" w:customStyle="1" w:styleId="NaslovZnak">
    <w:name w:val="Naslov Znak"/>
    <w:basedOn w:val="Privzetapisavaodstavka"/>
    <w:link w:val="Naslov"/>
    <w:rsid w:val="00B70153"/>
    <w:rPr>
      <w:b/>
      <w:spacing w:val="80"/>
    </w:rPr>
  </w:style>
  <w:style w:type="character" w:customStyle="1" w:styleId="Naslov1Znak">
    <w:name w:val="Naslov 1 Znak"/>
    <w:basedOn w:val="Privzetapisavaodstavka"/>
    <w:link w:val="Naslov1"/>
    <w:rsid w:val="00E90F1F"/>
    <w:rPr>
      <w:rFonts w:cs="Times New Roman"/>
      <w:b/>
      <w:lang w:eastAsia="sl-SI"/>
    </w:rPr>
  </w:style>
  <w:style w:type="character" w:customStyle="1" w:styleId="Naslov2Znak">
    <w:name w:val="Naslov 2 Znak"/>
    <w:basedOn w:val="Privzetapisavaodstavka"/>
    <w:link w:val="Naslov2"/>
    <w:rsid w:val="00630639"/>
    <w:rPr>
      <w:rFonts w:cs="Times New Roman"/>
      <w:b/>
      <w:lang w:eastAsia="sl-SI"/>
    </w:rPr>
  </w:style>
  <w:style w:type="character" w:customStyle="1" w:styleId="Naslov3Znak">
    <w:name w:val="Naslov 3 Znak"/>
    <w:basedOn w:val="Privzetapisavaodstavka"/>
    <w:link w:val="Naslov3"/>
    <w:rsid w:val="00630639"/>
    <w:rPr>
      <w:rFonts w:cs="Times New Roman"/>
      <w:b/>
      <w:lang w:eastAsia="sl-SI"/>
    </w:rPr>
  </w:style>
  <w:style w:type="paragraph" w:customStyle="1" w:styleId="Natevanje123">
    <w:name w:val="Naštevanje 1. 2. 3."/>
    <w:basedOn w:val="Navaden"/>
    <w:next w:val="Navaden"/>
    <w:autoRedefine/>
    <w:qFormat/>
    <w:rsid w:val="005738B5"/>
    <w:pPr>
      <w:tabs>
        <w:tab w:val="left" w:pos="567"/>
      </w:tabs>
    </w:pPr>
  </w:style>
  <w:style w:type="paragraph" w:customStyle="1" w:styleId="NatevanjeABC">
    <w:name w:val="Naštevanje A. B. C."/>
    <w:basedOn w:val="Navaden"/>
    <w:next w:val="Navaden"/>
    <w:autoRedefine/>
    <w:qFormat/>
    <w:rsid w:val="00B02AE5"/>
    <w:pPr>
      <w:numPr>
        <w:numId w:val="19"/>
      </w:numPr>
      <w:tabs>
        <w:tab w:val="left" w:pos="0"/>
      </w:tabs>
      <w:ind w:left="0" w:firstLine="0"/>
    </w:pPr>
  </w:style>
  <w:style w:type="paragraph" w:customStyle="1" w:styleId="NatevanjeIIIIII">
    <w:name w:val="Naštevanje I. II. III."/>
    <w:basedOn w:val="Navaden"/>
    <w:next w:val="Navaden"/>
    <w:autoRedefine/>
    <w:rsid w:val="00282CB1"/>
    <w:pPr>
      <w:numPr>
        <w:numId w:val="4"/>
      </w:numPr>
      <w:tabs>
        <w:tab w:val="left" w:pos="567"/>
      </w:tabs>
      <w:spacing w:line="276" w:lineRule="auto"/>
    </w:pPr>
  </w:style>
  <w:style w:type="paragraph" w:customStyle="1" w:styleId="Zamik1">
    <w:name w:val="Zamik1"/>
    <w:basedOn w:val="Navaden"/>
    <w:link w:val="Zamik1Znak"/>
    <w:autoRedefine/>
    <w:qFormat/>
    <w:rsid w:val="00594118"/>
    <w:pPr>
      <w:spacing w:line="276" w:lineRule="auto"/>
    </w:pPr>
    <w:rPr>
      <w:rFonts w:cs="Arial"/>
    </w:rPr>
  </w:style>
  <w:style w:type="character" w:customStyle="1" w:styleId="Zamik1Znak">
    <w:name w:val="Zamik1 Znak"/>
    <w:link w:val="Zamik1"/>
    <w:rsid w:val="00594118"/>
    <w:rPr>
      <w:rFonts w:cs="Arial"/>
      <w:lang w:eastAsia="sl-SI"/>
    </w:rPr>
  </w:style>
  <w:style w:type="paragraph" w:styleId="Besedilooblaka">
    <w:name w:val="Balloon Text"/>
    <w:basedOn w:val="Navaden"/>
    <w:link w:val="BesedilooblakaZnak"/>
    <w:uiPriority w:val="99"/>
    <w:semiHidden/>
    <w:unhideWhenUsed/>
    <w:rsid w:val="00C10ED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10ED0"/>
    <w:rPr>
      <w:rFonts w:ascii="Tahoma" w:hAnsi="Tahoma" w:cs="Tahoma"/>
      <w:sz w:val="16"/>
      <w:szCs w:val="16"/>
      <w:lang w:eastAsia="sl-SI"/>
    </w:rPr>
  </w:style>
  <w:style w:type="paragraph" w:styleId="Odstavekseznama">
    <w:name w:val="List Paragraph"/>
    <w:aliases w:val="za tekst,List Paragraph1,List Paragraph2"/>
    <w:basedOn w:val="Navaden"/>
    <w:link w:val="OdstavekseznamaZnak"/>
    <w:uiPriority w:val="34"/>
    <w:qFormat/>
    <w:rsid w:val="00C10ED0"/>
    <w:pPr>
      <w:ind w:left="720"/>
      <w:contextualSpacing/>
    </w:pPr>
  </w:style>
  <w:style w:type="character" w:styleId="Hiperpovezava">
    <w:name w:val="Hyperlink"/>
    <w:basedOn w:val="Privzetapisavaodstavka"/>
    <w:uiPriority w:val="99"/>
    <w:unhideWhenUsed/>
    <w:rsid w:val="00C10ED0"/>
    <w:rPr>
      <w:color w:val="0000FF" w:themeColor="hyperlink"/>
      <w:u w:val="single"/>
    </w:rPr>
  </w:style>
  <w:style w:type="character" w:customStyle="1" w:styleId="OdstavekseznamaZnak">
    <w:name w:val="Odstavek seznama Znak"/>
    <w:aliases w:val="za tekst Znak,List Paragraph1 Znak,List Paragraph2 Znak"/>
    <w:link w:val="Odstavekseznama"/>
    <w:uiPriority w:val="34"/>
    <w:locked/>
    <w:rsid w:val="00C10ED0"/>
    <w:rPr>
      <w:rFonts w:cs="Times New Roman"/>
      <w:lang w:eastAsia="sl-SI"/>
    </w:rPr>
  </w:style>
  <w:style w:type="character" w:customStyle="1" w:styleId="FontStyle16">
    <w:name w:val="Font Style16"/>
    <w:basedOn w:val="Privzetapisavaodstavka"/>
    <w:uiPriority w:val="99"/>
    <w:rsid w:val="00C10ED0"/>
    <w:rPr>
      <w:rFonts w:ascii="Georgia" w:hAnsi="Georgia" w:cs="Georgia"/>
      <w:spacing w:val="-10"/>
      <w:sz w:val="22"/>
      <w:szCs w:val="22"/>
    </w:rPr>
  </w:style>
  <w:style w:type="paragraph" w:customStyle="1" w:styleId="Default">
    <w:name w:val="Default"/>
    <w:rsid w:val="00C10ED0"/>
    <w:pPr>
      <w:autoSpaceDE w:val="0"/>
      <w:autoSpaceDN w:val="0"/>
      <w:adjustRightInd w:val="0"/>
      <w:spacing w:line="240" w:lineRule="auto"/>
      <w:jc w:val="left"/>
    </w:pPr>
    <w:rPr>
      <w:rFonts w:ascii="Tahoma" w:hAnsi="Tahoma" w:cs="Tahoma"/>
      <w:color w:val="000000"/>
      <w:sz w:val="24"/>
      <w:szCs w:val="24"/>
      <w:lang w:eastAsia="sl-SI"/>
    </w:rPr>
  </w:style>
  <w:style w:type="character" w:customStyle="1" w:styleId="italicfont">
    <w:name w:val="italicfont"/>
    <w:basedOn w:val="Privzetapisavaodstavka"/>
    <w:rsid w:val="00C10ED0"/>
  </w:style>
  <w:style w:type="paragraph" w:customStyle="1" w:styleId="Odstavek">
    <w:name w:val="Odstavek"/>
    <w:basedOn w:val="Navaden"/>
    <w:link w:val="OdstavekZnak"/>
    <w:uiPriority w:val="99"/>
    <w:rsid w:val="00C10ED0"/>
    <w:pPr>
      <w:overflowPunct w:val="0"/>
      <w:autoSpaceDE w:val="0"/>
      <w:autoSpaceDN w:val="0"/>
      <w:adjustRightInd w:val="0"/>
      <w:spacing w:before="240" w:line="240" w:lineRule="auto"/>
      <w:ind w:firstLine="1021"/>
      <w:textAlignment w:val="baseline"/>
    </w:pPr>
    <w:rPr>
      <w:rFonts w:cs="Arial"/>
    </w:rPr>
  </w:style>
  <w:style w:type="character" w:customStyle="1" w:styleId="OdstavekZnak">
    <w:name w:val="Odstavek Znak"/>
    <w:link w:val="Odstavek"/>
    <w:uiPriority w:val="99"/>
    <w:rsid w:val="00C10ED0"/>
    <w:rPr>
      <w:rFonts w:cs="Arial"/>
      <w:lang w:eastAsia="sl-SI"/>
    </w:rPr>
  </w:style>
  <w:style w:type="paragraph" w:customStyle="1" w:styleId="Alineja">
    <w:name w:val="Alineja"/>
    <w:basedOn w:val="Navaden"/>
    <w:qFormat/>
    <w:rsid w:val="00C10ED0"/>
    <w:pPr>
      <w:tabs>
        <w:tab w:val="left" w:pos="714"/>
      </w:tabs>
      <w:spacing w:after="120" w:line="240" w:lineRule="auto"/>
      <w:contextualSpacing/>
    </w:pPr>
    <w:rPr>
      <w:rFonts w:ascii="Times New Roman" w:hAnsi="Times New Roman"/>
      <w:sz w:val="22"/>
    </w:rPr>
  </w:style>
  <w:style w:type="character" w:customStyle="1" w:styleId="FontStyle18">
    <w:name w:val="Font Style18"/>
    <w:basedOn w:val="Privzetapisavaodstavka"/>
    <w:uiPriority w:val="99"/>
    <w:rsid w:val="00C10ED0"/>
    <w:rPr>
      <w:rFonts w:ascii="Arial" w:hAnsi="Arial" w:cs="Arial"/>
      <w:sz w:val="18"/>
      <w:szCs w:val="18"/>
    </w:rPr>
  </w:style>
  <w:style w:type="paragraph" w:customStyle="1" w:styleId="besediloPVOEkosfera">
    <w:name w:val="besedilo PVO Ekosfera"/>
    <w:link w:val="besediloPVOEkosferaZnak"/>
    <w:uiPriority w:val="99"/>
    <w:rsid w:val="00C10ED0"/>
    <w:pPr>
      <w:tabs>
        <w:tab w:val="left" w:pos="0"/>
      </w:tabs>
      <w:spacing w:line="276" w:lineRule="auto"/>
    </w:pPr>
    <w:rPr>
      <w:rFonts w:cs="Arial"/>
      <w:sz w:val="24"/>
      <w:szCs w:val="24"/>
      <w:lang w:eastAsia="sl-SI"/>
    </w:rPr>
  </w:style>
  <w:style w:type="character" w:customStyle="1" w:styleId="besediloPVOEkosferaZnak">
    <w:name w:val="besedilo PVO Ekosfera Znak"/>
    <w:link w:val="besediloPVOEkosfera"/>
    <w:uiPriority w:val="99"/>
    <w:rsid w:val="00C10ED0"/>
    <w:rPr>
      <w:rFonts w:cs="Arial"/>
      <w:sz w:val="24"/>
      <w:szCs w:val="24"/>
      <w:lang w:eastAsia="sl-SI"/>
    </w:rPr>
  </w:style>
  <w:style w:type="character" w:styleId="Poudarek">
    <w:name w:val="Emphasis"/>
    <w:basedOn w:val="Privzetapisavaodstavka"/>
    <w:uiPriority w:val="20"/>
    <w:qFormat/>
    <w:rsid w:val="00C10ED0"/>
    <w:rPr>
      <w:i/>
      <w:iCs/>
    </w:rPr>
  </w:style>
  <w:style w:type="paragraph" w:styleId="Glava">
    <w:name w:val="header"/>
    <w:basedOn w:val="Navaden"/>
    <w:link w:val="GlavaZnak"/>
    <w:uiPriority w:val="99"/>
    <w:unhideWhenUsed/>
    <w:rsid w:val="00C10ED0"/>
    <w:pPr>
      <w:tabs>
        <w:tab w:val="center" w:pos="4536"/>
        <w:tab w:val="right" w:pos="9072"/>
      </w:tabs>
      <w:spacing w:line="240" w:lineRule="auto"/>
    </w:pPr>
  </w:style>
  <w:style w:type="character" w:customStyle="1" w:styleId="GlavaZnak">
    <w:name w:val="Glava Znak"/>
    <w:basedOn w:val="Privzetapisavaodstavka"/>
    <w:link w:val="Glava"/>
    <w:uiPriority w:val="99"/>
    <w:rsid w:val="00C10ED0"/>
    <w:rPr>
      <w:rFonts w:cs="Times New Roman"/>
      <w:lang w:eastAsia="sl-SI"/>
    </w:rPr>
  </w:style>
  <w:style w:type="paragraph" w:styleId="Noga">
    <w:name w:val="footer"/>
    <w:basedOn w:val="Navaden"/>
    <w:link w:val="NogaZnak"/>
    <w:uiPriority w:val="99"/>
    <w:unhideWhenUsed/>
    <w:rsid w:val="00C10ED0"/>
    <w:pPr>
      <w:tabs>
        <w:tab w:val="center" w:pos="4536"/>
        <w:tab w:val="right" w:pos="9072"/>
      </w:tabs>
      <w:spacing w:line="240" w:lineRule="auto"/>
    </w:pPr>
  </w:style>
  <w:style w:type="character" w:customStyle="1" w:styleId="NogaZnak">
    <w:name w:val="Noga Znak"/>
    <w:basedOn w:val="Privzetapisavaodstavka"/>
    <w:link w:val="Noga"/>
    <w:uiPriority w:val="99"/>
    <w:rsid w:val="00C10ED0"/>
    <w:rPr>
      <w:rFonts w:cs="Times New Roman"/>
      <w:lang w:eastAsia="sl-SI"/>
    </w:rPr>
  </w:style>
  <w:style w:type="table" w:styleId="Tabelamrea">
    <w:name w:val="Table Grid"/>
    <w:basedOn w:val="Navadnatabela"/>
    <w:rsid w:val="00C10ED0"/>
    <w:pPr>
      <w:spacing w:line="240" w:lineRule="auto"/>
      <w:jc w:val="left"/>
    </w:pPr>
    <w:rPr>
      <w:rFonts w:ascii="Calibri"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rivzetapisavaodstavka"/>
    <w:rsid w:val="008D3581"/>
    <w:rPr>
      <w:rFonts w:ascii="Tahoma" w:hAnsi="Tahoma" w:cs="Tahoma" w:hint="default"/>
      <w:b w:val="0"/>
      <w:bCs w:val="0"/>
      <w:i w:val="0"/>
      <w:iCs w:val="0"/>
      <w:color w:val="000000"/>
      <w:sz w:val="20"/>
      <w:szCs w:val="20"/>
    </w:rPr>
  </w:style>
  <w:style w:type="character" w:customStyle="1" w:styleId="fontstyle21">
    <w:name w:val="fontstyle21"/>
    <w:basedOn w:val="Privzetapisavaodstavka"/>
    <w:rsid w:val="001641B7"/>
    <w:rPr>
      <w:rFonts w:ascii="SymbolMT" w:hAnsi="SymbolMT" w:hint="default"/>
      <w:b w:val="0"/>
      <w:bCs w:val="0"/>
      <w:i w:val="0"/>
      <w:iCs w:val="0"/>
      <w:color w:val="000000"/>
      <w:sz w:val="20"/>
      <w:szCs w:val="20"/>
    </w:rPr>
  </w:style>
  <w:style w:type="character" w:customStyle="1" w:styleId="fontstyle31">
    <w:name w:val="fontstyle31"/>
    <w:basedOn w:val="Privzetapisavaodstavka"/>
    <w:rsid w:val="001641B7"/>
    <w:rPr>
      <w:rFonts w:ascii="Tahoma-Bold" w:hAnsi="Tahoma-Bold" w:hint="default"/>
      <w:b/>
      <w:bCs/>
      <w:i w:val="0"/>
      <w:iCs w:val="0"/>
      <w:color w:val="000000"/>
      <w:sz w:val="20"/>
      <w:szCs w:val="20"/>
    </w:rPr>
  </w:style>
  <w:style w:type="character" w:customStyle="1" w:styleId="fontstyle41">
    <w:name w:val="fontstyle41"/>
    <w:basedOn w:val="Privzetapisavaodstavka"/>
    <w:rsid w:val="009E7746"/>
    <w:rPr>
      <w:rFonts w:ascii="SymbolMT" w:hAnsi="SymbolMT" w:hint="default"/>
      <w:b w:val="0"/>
      <w:bCs w:val="0"/>
      <w:i w:val="0"/>
      <w:iCs w:val="0"/>
      <w:color w:val="000000"/>
      <w:sz w:val="20"/>
      <w:szCs w:val="20"/>
    </w:rPr>
  </w:style>
  <w:style w:type="paragraph" w:styleId="Podnaslov">
    <w:name w:val="Subtitle"/>
    <w:basedOn w:val="Navaden"/>
    <w:next w:val="Navaden"/>
    <w:link w:val="PodnaslovZnak"/>
    <w:uiPriority w:val="11"/>
    <w:qFormat/>
    <w:rsid w:val="00C806C6"/>
    <w:pPr>
      <w:numPr>
        <w:ilvl w:val="1"/>
      </w:numPr>
    </w:pPr>
    <w:rPr>
      <w:rFonts w:eastAsiaTheme="majorEastAsia" w:cstheme="majorBidi"/>
      <w:iCs/>
      <w:spacing w:val="15"/>
      <w:szCs w:val="24"/>
    </w:rPr>
  </w:style>
  <w:style w:type="character" w:customStyle="1" w:styleId="PodnaslovZnak">
    <w:name w:val="Podnaslov Znak"/>
    <w:basedOn w:val="Privzetapisavaodstavka"/>
    <w:link w:val="Podnaslov"/>
    <w:uiPriority w:val="11"/>
    <w:rsid w:val="00C806C6"/>
    <w:rPr>
      <w:rFonts w:eastAsiaTheme="majorEastAsia" w:cstheme="majorBidi"/>
      <w:iCs/>
      <w:spacing w:val="15"/>
      <w:szCs w:val="24"/>
      <w:lang w:eastAsia="sl-SI"/>
    </w:rPr>
  </w:style>
  <w:style w:type="character" w:styleId="Pripombasklic">
    <w:name w:val="annotation reference"/>
    <w:basedOn w:val="Privzetapisavaodstavka"/>
    <w:uiPriority w:val="99"/>
    <w:semiHidden/>
    <w:unhideWhenUsed/>
    <w:rsid w:val="00BC43DD"/>
    <w:rPr>
      <w:sz w:val="16"/>
      <w:szCs w:val="16"/>
    </w:rPr>
  </w:style>
  <w:style w:type="paragraph" w:styleId="Pripombabesedilo">
    <w:name w:val="annotation text"/>
    <w:basedOn w:val="Navaden"/>
    <w:link w:val="PripombabesediloZnak"/>
    <w:uiPriority w:val="99"/>
    <w:semiHidden/>
    <w:unhideWhenUsed/>
    <w:rsid w:val="00BC43DD"/>
    <w:pPr>
      <w:spacing w:line="240" w:lineRule="auto"/>
    </w:pPr>
  </w:style>
  <w:style w:type="character" w:customStyle="1" w:styleId="PripombabesediloZnak">
    <w:name w:val="Pripomba – besedilo Znak"/>
    <w:basedOn w:val="Privzetapisavaodstavka"/>
    <w:link w:val="Pripombabesedilo"/>
    <w:uiPriority w:val="99"/>
    <w:semiHidden/>
    <w:rsid w:val="00BC43DD"/>
    <w:rPr>
      <w:rFonts w:cs="Times New Roman"/>
      <w:lang w:eastAsia="sl-SI"/>
    </w:rPr>
  </w:style>
  <w:style w:type="paragraph" w:styleId="Zadevapripombe">
    <w:name w:val="annotation subject"/>
    <w:basedOn w:val="Pripombabesedilo"/>
    <w:next w:val="Pripombabesedilo"/>
    <w:link w:val="ZadevapripombeZnak"/>
    <w:uiPriority w:val="99"/>
    <w:semiHidden/>
    <w:unhideWhenUsed/>
    <w:rsid w:val="00BC43DD"/>
    <w:rPr>
      <w:b/>
      <w:bCs/>
    </w:rPr>
  </w:style>
  <w:style w:type="character" w:customStyle="1" w:styleId="ZadevapripombeZnak">
    <w:name w:val="Zadeva pripombe Znak"/>
    <w:basedOn w:val="PripombabesediloZnak"/>
    <w:link w:val="Zadevapripombe"/>
    <w:uiPriority w:val="99"/>
    <w:semiHidden/>
    <w:rsid w:val="00BC43DD"/>
    <w:rPr>
      <w:rFonts w:cs="Times New Roman"/>
      <w:b/>
      <w:bCs/>
      <w:lang w:eastAsia="sl-SI"/>
    </w:rPr>
  </w:style>
  <w:style w:type="character" w:customStyle="1" w:styleId="FontStyle22">
    <w:name w:val="Font Style22"/>
    <w:basedOn w:val="Privzetapisavaodstavka"/>
    <w:uiPriority w:val="99"/>
    <w:rsid w:val="004050BA"/>
    <w:rPr>
      <w:rFonts w:ascii="Georgia" w:hAnsi="Georgia" w:cs="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2268">
      <w:bodyDiv w:val="1"/>
      <w:marLeft w:val="0"/>
      <w:marRight w:val="0"/>
      <w:marTop w:val="0"/>
      <w:marBottom w:val="0"/>
      <w:divBdr>
        <w:top w:val="none" w:sz="0" w:space="0" w:color="auto"/>
        <w:left w:val="none" w:sz="0" w:space="0" w:color="auto"/>
        <w:bottom w:val="none" w:sz="0" w:space="0" w:color="auto"/>
        <w:right w:val="none" w:sz="0" w:space="0" w:color="auto"/>
      </w:divBdr>
    </w:div>
    <w:div w:id="504247550">
      <w:bodyDiv w:val="1"/>
      <w:marLeft w:val="0"/>
      <w:marRight w:val="0"/>
      <w:marTop w:val="0"/>
      <w:marBottom w:val="0"/>
      <w:divBdr>
        <w:top w:val="none" w:sz="0" w:space="0" w:color="auto"/>
        <w:left w:val="none" w:sz="0" w:space="0" w:color="auto"/>
        <w:bottom w:val="none" w:sz="0" w:space="0" w:color="auto"/>
        <w:right w:val="none" w:sz="0" w:space="0" w:color="auto"/>
      </w:divBdr>
    </w:div>
    <w:div w:id="650209650">
      <w:bodyDiv w:val="1"/>
      <w:marLeft w:val="0"/>
      <w:marRight w:val="0"/>
      <w:marTop w:val="0"/>
      <w:marBottom w:val="0"/>
      <w:divBdr>
        <w:top w:val="none" w:sz="0" w:space="0" w:color="auto"/>
        <w:left w:val="none" w:sz="0" w:space="0" w:color="auto"/>
        <w:bottom w:val="none" w:sz="0" w:space="0" w:color="auto"/>
        <w:right w:val="none" w:sz="0" w:space="0" w:color="auto"/>
      </w:divBdr>
    </w:div>
    <w:div w:id="683940749">
      <w:bodyDiv w:val="1"/>
      <w:marLeft w:val="0"/>
      <w:marRight w:val="0"/>
      <w:marTop w:val="0"/>
      <w:marBottom w:val="0"/>
      <w:divBdr>
        <w:top w:val="none" w:sz="0" w:space="0" w:color="auto"/>
        <w:left w:val="none" w:sz="0" w:space="0" w:color="auto"/>
        <w:bottom w:val="none" w:sz="0" w:space="0" w:color="auto"/>
        <w:right w:val="none" w:sz="0" w:space="0" w:color="auto"/>
      </w:divBdr>
    </w:div>
    <w:div w:id="1042438787">
      <w:bodyDiv w:val="1"/>
      <w:marLeft w:val="0"/>
      <w:marRight w:val="0"/>
      <w:marTop w:val="0"/>
      <w:marBottom w:val="0"/>
      <w:divBdr>
        <w:top w:val="none" w:sz="0" w:space="0" w:color="auto"/>
        <w:left w:val="none" w:sz="0" w:space="0" w:color="auto"/>
        <w:bottom w:val="none" w:sz="0" w:space="0" w:color="auto"/>
        <w:right w:val="none" w:sz="0" w:space="0" w:color="auto"/>
      </w:divBdr>
    </w:div>
    <w:div w:id="1360202970">
      <w:bodyDiv w:val="1"/>
      <w:marLeft w:val="0"/>
      <w:marRight w:val="0"/>
      <w:marTop w:val="0"/>
      <w:marBottom w:val="0"/>
      <w:divBdr>
        <w:top w:val="none" w:sz="0" w:space="0" w:color="auto"/>
        <w:left w:val="none" w:sz="0" w:space="0" w:color="auto"/>
        <w:bottom w:val="none" w:sz="0" w:space="0" w:color="auto"/>
        <w:right w:val="none" w:sz="0" w:space="0" w:color="auto"/>
      </w:divBdr>
    </w:div>
    <w:div w:id="1375889410">
      <w:bodyDiv w:val="1"/>
      <w:marLeft w:val="0"/>
      <w:marRight w:val="0"/>
      <w:marTop w:val="0"/>
      <w:marBottom w:val="0"/>
      <w:divBdr>
        <w:top w:val="none" w:sz="0" w:space="0" w:color="auto"/>
        <w:left w:val="none" w:sz="0" w:space="0" w:color="auto"/>
        <w:bottom w:val="none" w:sz="0" w:space="0" w:color="auto"/>
        <w:right w:val="none" w:sz="0" w:space="0" w:color="auto"/>
      </w:divBdr>
    </w:div>
    <w:div w:id="1775976953">
      <w:bodyDiv w:val="1"/>
      <w:marLeft w:val="0"/>
      <w:marRight w:val="0"/>
      <w:marTop w:val="0"/>
      <w:marBottom w:val="0"/>
      <w:divBdr>
        <w:top w:val="none" w:sz="0" w:space="0" w:color="auto"/>
        <w:left w:val="none" w:sz="0" w:space="0" w:color="auto"/>
        <w:bottom w:val="none" w:sz="0" w:space="0" w:color="auto"/>
        <w:right w:val="none" w:sz="0" w:space="0" w:color="auto"/>
      </w:divBdr>
    </w:div>
    <w:div w:id="18187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radni-list.si/1/objava.jsp?sop=2018-01-4120"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8A0CC-40C0-4669-9564-47731E39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289EF823</Template>
  <TotalTime>265</TotalTime>
  <Pages>18</Pages>
  <Words>10621</Words>
  <Characters>60541</Characters>
  <Application>Microsoft Office Word</Application>
  <DocSecurity>0</DocSecurity>
  <Lines>504</Lines>
  <Paragraphs>142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71020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dc:creator>
  <cp:lastModifiedBy>Sabina Gaspersic</cp:lastModifiedBy>
  <cp:revision>33</cp:revision>
  <cp:lastPrinted>2021-06-04T12:13:00Z</cp:lastPrinted>
  <dcterms:created xsi:type="dcterms:W3CDTF">2021-06-02T07:27:00Z</dcterms:created>
  <dcterms:modified xsi:type="dcterms:W3CDTF">2021-08-05T06:10:00Z</dcterms:modified>
</cp:coreProperties>
</file>