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9537" w14:textId="3F6D7A14" w:rsidR="00035E8A" w:rsidRPr="00660BB5" w:rsidRDefault="00035E8A" w:rsidP="0001681A">
      <w:pPr>
        <w:tabs>
          <w:tab w:val="center" w:pos="4533"/>
        </w:tabs>
        <w:spacing w:line="260" w:lineRule="exact"/>
        <w:ind w:left="1134" w:hanging="1134"/>
      </w:pPr>
      <w:r w:rsidRPr="00660BB5">
        <w:t>Številka:</w:t>
      </w:r>
      <w:r w:rsidRPr="00660BB5">
        <w:tab/>
        <w:t>35105-1/2023-2550-</w:t>
      </w:r>
      <w:r w:rsidR="000D7954" w:rsidRPr="00660BB5">
        <w:t>34</w:t>
      </w:r>
    </w:p>
    <w:p w14:paraId="4AC84316" w14:textId="6D6A9C4F" w:rsidR="00035E8A" w:rsidRPr="00660BB5" w:rsidRDefault="00035E8A" w:rsidP="0001681A">
      <w:pPr>
        <w:spacing w:line="260" w:lineRule="exact"/>
        <w:ind w:left="1134" w:hanging="1134"/>
      </w:pPr>
      <w:r w:rsidRPr="00660BB5">
        <w:t>Datum:</w:t>
      </w:r>
      <w:r w:rsidRPr="00660BB5">
        <w:tab/>
      </w:r>
      <w:r w:rsidR="00EC3834">
        <w:t>30</w:t>
      </w:r>
      <w:r w:rsidR="000D7954" w:rsidRPr="00660BB5">
        <w:t>.</w:t>
      </w:r>
      <w:r w:rsidR="0001681A">
        <w:t> </w:t>
      </w:r>
      <w:r w:rsidR="000D7954" w:rsidRPr="00660BB5">
        <w:t>1.</w:t>
      </w:r>
      <w:r w:rsidR="0001681A">
        <w:t> </w:t>
      </w:r>
      <w:r w:rsidR="000D7954" w:rsidRPr="00660BB5">
        <w:t>2024</w:t>
      </w:r>
    </w:p>
    <w:p w14:paraId="7FC2703D" w14:textId="000A085E" w:rsidR="00035E8A" w:rsidRPr="00660BB5" w:rsidRDefault="00035E8A" w:rsidP="0001681A">
      <w:pPr>
        <w:spacing w:line="260" w:lineRule="exact"/>
        <w:ind w:left="1134" w:hanging="1134"/>
      </w:pPr>
      <w:r w:rsidRPr="00660BB5">
        <w:t>Dato:</w:t>
      </w:r>
      <w:r w:rsidRPr="00660BB5">
        <w:tab/>
      </w:r>
      <w:fldSimple w:instr=" FILENAME \* Lower \* MERGEFORMAT ">
        <w:r w:rsidR="0001681A">
          <w:rPr>
            <w:noProof/>
          </w:rPr>
          <w:t>1_23 ev-plant 2. faza_gd.docx</w:t>
        </w:r>
      </w:fldSimple>
    </w:p>
    <w:p w14:paraId="6158DEC7" w14:textId="57BA3BD9" w:rsidR="0010687F" w:rsidRDefault="0010687F" w:rsidP="008049D6">
      <w:pPr>
        <w:spacing w:line="260" w:lineRule="exact"/>
        <w:rPr>
          <w:highlight w:val="yellow"/>
        </w:rPr>
      </w:pPr>
    </w:p>
    <w:p w14:paraId="1E96E5CD" w14:textId="77777777" w:rsidR="00660BB5" w:rsidRPr="00660BB5" w:rsidRDefault="00660BB5" w:rsidP="008049D6">
      <w:pPr>
        <w:spacing w:line="260" w:lineRule="exact"/>
        <w:rPr>
          <w:highlight w:val="yellow"/>
        </w:rPr>
      </w:pPr>
    </w:p>
    <w:p w14:paraId="2E756962" w14:textId="47691543" w:rsidR="0010687F" w:rsidRPr="00660BB5" w:rsidRDefault="0010687F" w:rsidP="008049D6">
      <w:pPr>
        <w:spacing w:line="260" w:lineRule="exact"/>
      </w:pPr>
      <w:r w:rsidRPr="00660BB5">
        <w:t xml:space="preserve">Ministrstvo za </w:t>
      </w:r>
      <w:r w:rsidR="009A3A71" w:rsidRPr="00660BB5">
        <w:t xml:space="preserve">naravne vire </w:t>
      </w:r>
      <w:r w:rsidRPr="00660BB5">
        <w:t xml:space="preserve">in prostor </w:t>
      </w:r>
      <w:r w:rsidR="009A3A71" w:rsidRPr="00660BB5">
        <w:t>izdaja na podlagi tretjega</w:t>
      </w:r>
      <w:r w:rsidRPr="00660BB5">
        <w:t xml:space="preserve"> odstavka </w:t>
      </w:r>
      <w:r w:rsidR="009A3A71" w:rsidRPr="00660BB5">
        <w:t xml:space="preserve">9. člena </w:t>
      </w:r>
      <w:r w:rsidR="008049D6" w:rsidRPr="00660BB5">
        <w:t>Gradbenega zakona (Uradni list RS, št. 199/21, 105/22 – ZZNŠPP in 133/23, v nadaljevanju GZ-1)</w:t>
      </w:r>
      <w:r w:rsidR="009A3A71" w:rsidRPr="00660BB5">
        <w:t xml:space="preserve"> </w:t>
      </w:r>
      <w:r w:rsidRPr="00660BB5">
        <w:t xml:space="preserve">v </w:t>
      </w:r>
      <w:r w:rsidR="00122CEE" w:rsidRPr="00660BB5">
        <w:t xml:space="preserve">integralnem </w:t>
      </w:r>
      <w:r w:rsidRPr="00660BB5">
        <w:t>postopku izdaje gradbenega dovoljenja za objekt z vplivi na okolje</w:t>
      </w:r>
      <w:r w:rsidR="00C975A5" w:rsidRPr="00660BB5">
        <w:t>:</w:t>
      </w:r>
      <w:r w:rsidRPr="00660BB5">
        <w:t xml:space="preserve"> </w:t>
      </w:r>
      <w:r w:rsidR="00035E8A" w:rsidRPr="00660BB5">
        <w:t>EV-PLANT</w:t>
      </w:r>
      <w:r w:rsidR="00D661B5" w:rsidRPr="00660BB5">
        <w:t>,</w:t>
      </w:r>
      <w:r w:rsidR="00035E8A" w:rsidRPr="00660BB5">
        <w:t xml:space="preserve"> 2. faza</w:t>
      </w:r>
      <w:r w:rsidR="00DA0E0C" w:rsidRPr="00660BB5">
        <w:rPr>
          <w:bCs/>
        </w:rPr>
        <w:t xml:space="preserve">, </w:t>
      </w:r>
      <w:r w:rsidRPr="00660BB5">
        <w:t xml:space="preserve">uvedenem na zahtevo investitorja </w:t>
      </w:r>
      <w:r w:rsidR="00035E8A" w:rsidRPr="00660BB5">
        <w:t>HIDRIA d.o.o., Nazorjeva 6a, 1000 Ljubljana</w:t>
      </w:r>
      <w:r w:rsidRPr="00660BB5">
        <w:t xml:space="preserve">, ki </w:t>
      </w:r>
      <w:r w:rsidR="00D119AD" w:rsidRPr="00660BB5">
        <w:t>ga</w:t>
      </w:r>
      <w:r w:rsidRPr="00660BB5">
        <w:t xml:space="preserve"> po pooblastilu zastopa </w:t>
      </w:r>
      <w:r w:rsidR="00D661B5" w:rsidRPr="00660BB5">
        <w:t>Božič d.o.o. inženiring Idrija, Prešernova ulica 2, 5280 Idrija</w:t>
      </w:r>
      <w:r w:rsidRPr="00660BB5">
        <w:t>, naslednje</w:t>
      </w:r>
    </w:p>
    <w:p w14:paraId="6958AA64" w14:textId="3CE92842" w:rsidR="0010687F" w:rsidRPr="00660BB5" w:rsidRDefault="0010687F" w:rsidP="008049D6">
      <w:pPr>
        <w:pStyle w:val="Naslov"/>
        <w:spacing w:line="260" w:lineRule="exact"/>
        <w:jc w:val="both"/>
        <w:rPr>
          <w:b w:val="0"/>
        </w:rPr>
      </w:pPr>
    </w:p>
    <w:p w14:paraId="7C2ABAEF" w14:textId="77777777" w:rsidR="008049D6" w:rsidRPr="00660BB5" w:rsidRDefault="008049D6" w:rsidP="008049D6">
      <w:pPr>
        <w:pStyle w:val="Naslov"/>
        <w:spacing w:line="260" w:lineRule="exact"/>
        <w:jc w:val="both"/>
        <w:rPr>
          <w:b w:val="0"/>
        </w:rPr>
      </w:pPr>
    </w:p>
    <w:p w14:paraId="098DBDB6" w14:textId="77777777" w:rsidR="00AE59BE" w:rsidRPr="00660BB5" w:rsidRDefault="00AE59BE" w:rsidP="008049D6">
      <w:pPr>
        <w:pStyle w:val="Naslov"/>
        <w:spacing w:line="260" w:lineRule="exact"/>
        <w:jc w:val="both"/>
        <w:rPr>
          <w:b w:val="0"/>
          <w:bCs/>
        </w:rPr>
      </w:pPr>
    </w:p>
    <w:p w14:paraId="1DB39A81" w14:textId="77777777" w:rsidR="0010687F" w:rsidRPr="00660BB5" w:rsidRDefault="0010687F" w:rsidP="008049D6">
      <w:pPr>
        <w:pStyle w:val="Naslov"/>
        <w:spacing w:line="260" w:lineRule="exact"/>
      </w:pPr>
      <w:r w:rsidRPr="00660BB5">
        <w:t>GRADBENO DOVOLJENJE</w:t>
      </w:r>
    </w:p>
    <w:p w14:paraId="0E3B00DC" w14:textId="77777777" w:rsidR="0010687F" w:rsidRPr="00660BB5" w:rsidRDefault="0010687F" w:rsidP="008049D6">
      <w:pPr>
        <w:pStyle w:val="NatevanjeIIIIII"/>
        <w:numPr>
          <w:ilvl w:val="0"/>
          <w:numId w:val="0"/>
        </w:numPr>
        <w:spacing w:line="260" w:lineRule="exact"/>
        <w:rPr>
          <w:highlight w:val="yellow"/>
        </w:rPr>
      </w:pPr>
    </w:p>
    <w:p w14:paraId="089CC208" w14:textId="2EF526BC" w:rsidR="00122CEE" w:rsidRPr="00660BB5" w:rsidRDefault="00122CEE" w:rsidP="008049D6">
      <w:pPr>
        <w:spacing w:line="260" w:lineRule="exact"/>
        <w:rPr>
          <w:highlight w:val="yellow"/>
        </w:rPr>
      </w:pPr>
    </w:p>
    <w:p w14:paraId="0DDBC7B4" w14:textId="77777777" w:rsidR="008049D6" w:rsidRPr="00660BB5" w:rsidRDefault="008049D6" w:rsidP="008049D6">
      <w:pPr>
        <w:spacing w:line="260" w:lineRule="exact"/>
        <w:rPr>
          <w:highlight w:val="yellow"/>
        </w:rPr>
      </w:pPr>
    </w:p>
    <w:p w14:paraId="00CC52AD" w14:textId="6D5E0DEF" w:rsidR="0010687F" w:rsidRPr="00660BB5" w:rsidRDefault="0010687F" w:rsidP="008049D6">
      <w:pPr>
        <w:pStyle w:val="NatevanjeIIIIII"/>
        <w:spacing w:line="260" w:lineRule="exact"/>
      </w:pPr>
      <w:r w:rsidRPr="00660BB5">
        <w:t xml:space="preserve">Investitorju </w:t>
      </w:r>
      <w:r w:rsidR="00D661B5" w:rsidRPr="00660BB5">
        <w:rPr>
          <w:b/>
        </w:rPr>
        <w:t>HIDRIA d.o.o., Nazorjeva 6a, 1000 Ljubljana</w:t>
      </w:r>
      <w:r w:rsidR="00EC0D3B" w:rsidRPr="00660BB5">
        <w:t xml:space="preserve"> </w:t>
      </w:r>
      <w:r w:rsidRPr="00660BB5">
        <w:t xml:space="preserve">se </w:t>
      </w:r>
      <w:r w:rsidR="00122CEE" w:rsidRPr="00660BB5">
        <w:t xml:space="preserve">v integralnem postopku </w:t>
      </w:r>
      <w:r w:rsidRPr="00660BB5">
        <w:t>izda gradbeno dovoljenje za objekt z vplivi na okolje</w:t>
      </w:r>
      <w:r w:rsidR="00C975A5" w:rsidRPr="00660BB5">
        <w:t>:</w:t>
      </w:r>
      <w:r w:rsidRPr="00660BB5">
        <w:t xml:space="preserve"> </w:t>
      </w:r>
      <w:r w:rsidR="00D661B5" w:rsidRPr="00660BB5">
        <w:rPr>
          <w:b/>
          <w:bCs/>
        </w:rPr>
        <w:t>EV-PLANT, 2. faza</w:t>
      </w:r>
      <w:r w:rsidR="00CF0D1C" w:rsidRPr="00660BB5">
        <w:t>.</w:t>
      </w:r>
    </w:p>
    <w:p w14:paraId="398C58F1" w14:textId="77777777" w:rsidR="0010687F" w:rsidRPr="00660BB5" w:rsidRDefault="0010687F" w:rsidP="008049D6">
      <w:pPr>
        <w:pStyle w:val="NatevanjeIIIIII"/>
        <w:numPr>
          <w:ilvl w:val="0"/>
          <w:numId w:val="0"/>
        </w:numPr>
        <w:spacing w:line="260" w:lineRule="exact"/>
      </w:pPr>
    </w:p>
    <w:p w14:paraId="583CE1D4" w14:textId="77777777" w:rsidR="0010687F" w:rsidRPr="00660BB5" w:rsidRDefault="0010687F" w:rsidP="008049D6">
      <w:pPr>
        <w:pStyle w:val="NatevanjeIIIIII"/>
        <w:spacing w:line="260" w:lineRule="exact"/>
      </w:pPr>
      <w:r w:rsidRPr="00660BB5">
        <w:t>Gradnja po tem gradbenem dovoljenju obsega:</w:t>
      </w:r>
    </w:p>
    <w:p w14:paraId="32B063E0" w14:textId="321AD3FC" w:rsidR="0010687F" w:rsidRDefault="0010687F" w:rsidP="008049D6">
      <w:pPr>
        <w:spacing w:line="260" w:lineRule="exact"/>
      </w:pPr>
    </w:p>
    <w:tbl>
      <w:tblPr>
        <w:tblW w:w="8486" w:type="dxa"/>
        <w:tblInd w:w="19" w:type="dxa"/>
        <w:tblBorders>
          <w:top w:val="dashSmallGap" w:sz="4" w:space="0" w:color="000000"/>
          <w:bottom w:val="dashSmallGap" w:sz="4" w:space="0" w:color="000000"/>
          <w:insideH w:val="dashSmallGap" w:sz="4" w:space="0" w:color="000000"/>
          <w:insideV w:val="dashSmallGap" w:sz="4" w:space="0" w:color="000000"/>
        </w:tblBorders>
        <w:tblCellMar>
          <w:top w:w="40" w:type="dxa"/>
          <w:right w:w="115" w:type="dxa"/>
        </w:tblCellMar>
        <w:tblLook w:val="04A0" w:firstRow="1" w:lastRow="0" w:firstColumn="1" w:lastColumn="0" w:noHBand="0" w:noVBand="1"/>
      </w:tblPr>
      <w:tblGrid>
        <w:gridCol w:w="3233"/>
        <w:gridCol w:w="9"/>
        <w:gridCol w:w="5244"/>
      </w:tblGrid>
      <w:tr w:rsidR="00660BB5" w:rsidRPr="00660BB5" w14:paraId="573ECBDE" w14:textId="77777777" w:rsidTr="00660BB5">
        <w:trPr>
          <w:trHeight w:val="328"/>
        </w:trPr>
        <w:tc>
          <w:tcPr>
            <w:tcW w:w="8486" w:type="dxa"/>
            <w:gridSpan w:val="3"/>
            <w:shd w:val="clear" w:color="auto" w:fill="auto"/>
          </w:tcPr>
          <w:p w14:paraId="7FBED6AE" w14:textId="06CFCED0" w:rsidR="00A60A9D" w:rsidRPr="00660BB5" w:rsidRDefault="00A60A9D" w:rsidP="00660BB5">
            <w:pPr>
              <w:pStyle w:val="Naslov1"/>
            </w:pPr>
            <w:r w:rsidRPr="00660BB5">
              <w:t>EV- PLANT – DRUGA FAZA</w:t>
            </w:r>
          </w:p>
        </w:tc>
      </w:tr>
      <w:tr w:rsidR="00660BB5" w:rsidRPr="00660BB5" w14:paraId="7EDEAD32" w14:textId="77777777" w:rsidTr="00660BB5">
        <w:trPr>
          <w:trHeight w:val="1073"/>
        </w:trPr>
        <w:tc>
          <w:tcPr>
            <w:tcW w:w="3233" w:type="dxa"/>
            <w:shd w:val="clear" w:color="auto" w:fill="auto"/>
          </w:tcPr>
          <w:p w14:paraId="0BECFB23" w14:textId="77777777" w:rsidR="00A60A9D" w:rsidRPr="00660BB5" w:rsidRDefault="00A60A9D" w:rsidP="008049D6">
            <w:pPr>
              <w:spacing w:line="260" w:lineRule="exact"/>
              <w:ind w:left="108"/>
              <w:rPr>
                <w:szCs w:val="20"/>
              </w:rPr>
            </w:pPr>
            <w:r w:rsidRPr="00660BB5">
              <w:rPr>
                <w:szCs w:val="20"/>
              </w:rPr>
              <w:t xml:space="preserve">kratek opis objekta </w:t>
            </w:r>
          </w:p>
        </w:tc>
        <w:tc>
          <w:tcPr>
            <w:tcW w:w="5253" w:type="dxa"/>
            <w:gridSpan w:val="2"/>
            <w:shd w:val="clear" w:color="auto" w:fill="auto"/>
          </w:tcPr>
          <w:p w14:paraId="3222DF56" w14:textId="17322A00" w:rsidR="00A60A9D" w:rsidRPr="00660BB5" w:rsidRDefault="00A60A9D" w:rsidP="008049D6">
            <w:pPr>
              <w:spacing w:line="260" w:lineRule="exact"/>
              <w:ind w:right="233"/>
              <w:rPr>
                <w:szCs w:val="20"/>
              </w:rPr>
            </w:pPr>
            <w:r w:rsidRPr="00660BB5">
              <w:rPr>
                <w:szCs w:val="20"/>
              </w:rPr>
              <w:t>gradnja novega objekta</w:t>
            </w:r>
            <w:r w:rsidR="00F36D1F" w:rsidRPr="00660BB5">
              <w:rPr>
                <w:szCs w:val="20"/>
              </w:rPr>
              <w:t xml:space="preserve"> </w:t>
            </w:r>
            <w:r w:rsidRPr="00660BB5">
              <w:rPr>
                <w:szCs w:val="20"/>
              </w:rPr>
              <w:t>namenjen</w:t>
            </w:r>
            <w:r w:rsidR="00F36D1F" w:rsidRPr="00660BB5">
              <w:rPr>
                <w:szCs w:val="20"/>
              </w:rPr>
              <w:t>ega</w:t>
            </w:r>
            <w:r w:rsidRPr="00660BB5">
              <w:rPr>
                <w:szCs w:val="20"/>
              </w:rPr>
              <w:t xml:space="preserve"> proizvodnji</w:t>
            </w:r>
            <w:r w:rsidR="00F36D1F" w:rsidRPr="00660BB5">
              <w:rPr>
                <w:szCs w:val="20"/>
              </w:rPr>
              <w:t xml:space="preserve"> -</w:t>
            </w:r>
            <w:r w:rsidRPr="00660BB5">
              <w:rPr>
                <w:szCs w:val="20"/>
              </w:rPr>
              <w:t>postavitev štanc za izdelavo kovinskih polizdelkov</w:t>
            </w:r>
            <w:r w:rsidR="001C7F8F" w:rsidRPr="00660BB5">
              <w:rPr>
                <w:szCs w:val="20"/>
              </w:rPr>
              <w:t>,</w:t>
            </w:r>
            <w:r w:rsidRPr="00660BB5">
              <w:rPr>
                <w:szCs w:val="20"/>
              </w:rPr>
              <w:t xml:space="preserve"> namenjenih avtomobilski industriji</w:t>
            </w:r>
            <w:r w:rsidR="0017209B" w:rsidRPr="00660BB5">
              <w:rPr>
                <w:szCs w:val="20"/>
              </w:rPr>
              <w:t xml:space="preserve"> </w:t>
            </w:r>
            <w:r w:rsidR="00F36D1F" w:rsidRPr="00660BB5">
              <w:rPr>
                <w:szCs w:val="20"/>
              </w:rPr>
              <w:t>ter gradnji</w:t>
            </w:r>
            <w:r w:rsidR="0017209B" w:rsidRPr="00660BB5">
              <w:rPr>
                <w:szCs w:val="20"/>
              </w:rPr>
              <w:t xml:space="preserve"> transformatorsk</w:t>
            </w:r>
            <w:r w:rsidR="00F36D1F" w:rsidRPr="00660BB5">
              <w:rPr>
                <w:szCs w:val="20"/>
              </w:rPr>
              <w:t>e</w:t>
            </w:r>
            <w:r w:rsidR="0017209B" w:rsidRPr="00660BB5">
              <w:rPr>
                <w:szCs w:val="20"/>
              </w:rPr>
              <w:t xml:space="preserve"> postaja 4x1000kVA</w:t>
            </w:r>
            <w:r w:rsidR="00F36D1F" w:rsidRPr="00660BB5">
              <w:rPr>
                <w:szCs w:val="20"/>
              </w:rPr>
              <w:t xml:space="preserve"> z</w:t>
            </w:r>
            <w:r w:rsidR="0017209B" w:rsidRPr="00660BB5">
              <w:rPr>
                <w:szCs w:val="20"/>
              </w:rPr>
              <w:t xml:space="preserve"> možnost</w:t>
            </w:r>
            <w:r w:rsidR="00F36D1F" w:rsidRPr="00660BB5">
              <w:rPr>
                <w:szCs w:val="20"/>
              </w:rPr>
              <w:t>jo</w:t>
            </w:r>
            <w:r w:rsidR="0017209B" w:rsidRPr="00660BB5">
              <w:rPr>
                <w:szCs w:val="20"/>
              </w:rPr>
              <w:t xml:space="preserve"> povečave na 4x1600kVA</w:t>
            </w:r>
          </w:p>
        </w:tc>
      </w:tr>
      <w:tr w:rsidR="00660BB5" w:rsidRPr="00660BB5" w14:paraId="64CD30A7" w14:textId="77777777" w:rsidTr="00660BB5">
        <w:trPr>
          <w:trHeight w:val="252"/>
        </w:trPr>
        <w:tc>
          <w:tcPr>
            <w:tcW w:w="3233" w:type="dxa"/>
            <w:shd w:val="clear" w:color="auto" w:fill="auto"/>
          </w:tcPr>
          <w:p w14:paraId="3FA757E4" w14:textId="77777777" w:rsidR="00A60A9D" w:rsidRPr="00660BB5" w:rsidRDefault="00A60A9D" w:rsidP="008049D6">
            <w:pPr>
              <w:spacing w:line="260" w:lineRule="exact"/>
              <w:ind w:left="108"/>
              <w:rPr>
                <w:szCs w:val="20"/>
              </w:rPr>
            </w:pPr>
            <w:r w:rsidRPr="00660BB5">
              <w:rPr>
                <w:szCs w:val="20"/>
              </w:rPr>
              <w:t xml:space="preserve">parcelna številka </w:t>
            </w:r>
          </w:p>
        </w:tc>
        <w:tc>
          <w:tcPr>
            <w:tcW w:w="5253" w:type="dxa"/>
            <w:gridSpan w:val="2"/>
            <w:shd w:val="clear" w:color="auto" w:fill="auto"/>
          </w:tcPr>
          <w:p w14:paraId="11E3A211" w14:textId="5A2FC510" w:rsidR="00A60A9D" w:rsidRPr="00660BB5" w:rsidRDefault="00A60A9D" w:rsidP="008049D6">
            <w:pPr>
              <w:spacing w:line="260" w:lineRule="exact"/>
              <w:ind w:right="442"/>
              <w:rPr>
                <w:szCs w:val="20"/>
              </w:rPr>
            </w:pPr>
            <w:r w:rsidRPr="00660BB5">
              <w:rPr>
                <w:szCs w:val="20"/>
              </w:rPr>
              <w:t>7/12, 7/30, 7/17, 7/46, 7/4, 7/13, 7/14, 7/19, 7/33, 7/65, 7/64</w:t>
            </w:r>
            <w:r w:rsidR="00CD22B7" w:rsidRPr="00660BB5">
              <w:rPr>
                <w:szCs w:val="20"/>
              </w:rPr>
              <w:t>, 7/62</w:t>
            </w:r>
          </w:p>
        </w:tc>
      </w:tr>
      <w:tr w:rsidR="00660BB5" w:rsidRPr="00660BB5" w14:paraId="7762621C" w14:textId="77777777" w:rsidTr="00660BB5">
        <w:trPr>
          <w:trHeight w:val="269"/>
        </w:trPr>
        <w:tc>
          <w:tcPr>
            <w:tcW w:w="3233" w:type="dxa"/>
            <w:shd w:val="clear" w:color="auto" w:fill="auto"/>
          </w:tcPr>
          <w:p w14:paraId="2ED065A3" w14:textId="77777777" w:rsidR="00A60A9D" w:rsidRPr="00660BB5" w:rsidRDefault="00A60A9D" w:rsidP="008049D6">
            <w:pPr>
              <w:spacing w:line="260" w:lineRule="exact"/>
              <w:ind w:left="108"/>
              <w:rPr>
                <w:szCs w:val="20"/>
              </w:rPr>
            </w:pPr>
            <w:r w:rsidRPr="00660BB5">
              <w:rPr>
                <w:szCs w:val="20"/>
              </w:rPr>
              <w:t xml:space="preserve">katastrska občina </w:t>
            </w:r>
          </w:p>
        </w:tc>
        <w:tc>
          <w:tcPr>
            <w:tcW w:w="5253" w:type="dxa"/>
            <w:gridSpan w:val="2"/>
            <w:shd w:val="clear" w:color="auto" w:fill="auto"/>
          </w:tcPr>
          <w:p w14:paraId="0BD7F86F" w14:textId="68B07C22" w:rsidR="00A60A9D" w:rsidRPr="00660BB5" w:rsidRDefault="00A60A9D" w:rsidP="008049D6">
            <w:pPr>
              <w:spacing w:line="260" w:lineRule="exact"/>
              <w:rPr>
                <w:szCs w:val="20"/>
              </w:rPr>
            </w:pPr>
            <w:r w:rsidRPr="00660BB5">
              <w:rPr>
                <w:szCs w:val="20"/>
              </w:rPr>
              <w:t xml:space="preserve">Sp. Kanomlja </w:t>
            </w:r>
            <w:r w:rsidR="00281833" w:rsidRPr="00660BB5">
              <w:rPr>
                <w:szCs w:val="20"/>
              </w:rPr>
              <w:t>(2352)</w:t>
            </w:r>
          </w:p>
        </w:tc>
      </w:tr>
      <w:tr w:rsidR="00660BB5" w:rsidRPr="00660BB5" w14:paraId="2A5D68B7" w14:textId="77777777" w:rsidTr="00660BB5">
        <w:trPr>
          <w:trHeight w:val="269"/>
        </w:trPr>
        <w:tc>
          <w:tcPr>
            <w:tcW w:w="3233" w:type="dxa"/>
            <w:shd w:val="clear" w:color="auto" w:fill="auto"/>
          </w:tcPr>
          <w:p w14:paraId="145AB753" w14:textId="77777777" w:rsidR="00A60A9D" w:rsidRPr="00660BB5" w:rsidRDefault="00A60A9D" w:rsidP="008049D6">
            <w:pPr>
              <w:spacing w:line="260" w:lineRule="exact"/>
              <w:ind w:left="108"/>
              <w:rPr>
                <w:szCs w:val="20"/>
              </w:rPr>
            </w:pPr>
            <w:r w:rsidRPr="00660BB5">
              <w:rPr>
                <w:szCs w:val="20"/>
              </w:rPr>
              <w:t xml:space="preserve">vrsta gradnje </w:t>
            </w:r>
          </w:p>
        </w:tc>
        <w:tc>
          <w:tcPr>
            <w:tcW w:w="5253" w:type="dxa"/>
            <w:gridSpan w:val="2"/>
            <w:shd w:val="clear" w:color="auto" w:fill="auto"/>
          </w:tcPr>
          <w:p w14:paraId="77379509" w14:textId="6AA6ED78" w:rsidR="00A60A9D" w:rsidRPr="00660BB5" w:rsidRDefault="00F36D1F" w:rsidP="008049D6">
            <w:pPr>
              <w:spacing w:line="260" w:lineRule="exact"/>
              <w:rPr>
                <w:szCs w:val="20"/>
              </w:rPr>
            </w:pPr>
            <w:r w:rsidRPr="00660BB5">
              <w:rPr>
                <w:szCs w:val="20"/>
              </w:rPr>
              <w:t>n</w:t>
            </w:r>
            <w:r w:rsidR="00A60A9D" w:rsidRPr="00660BB5">
              <w:rPr>
                <w:szCs w:val="20"/>
              </w:rPr>
              <w:t xml:space="preserve">ovogradnja </w:t>
            </w:r>
          </w:p>
        </w:tc>
      </w:tr>
      <w:tr w:rsidR="00660BB5" w:rsidRPr="00660BB5" w14:paraId="1E50BBB1" w14:textId="77777777" w:rsidTr="00660BB5">
        <w:trPr>
          <w:trHeight w:val="269"/>
        </w:trPr>
        <w:tc>
          <w:tcPr>
            <w:tcW w:w="3233" w:type="dxa"/>
            <w:shd w:val="clear" w:color="auto" w:fill="auto"/>
          </w:tcPr>
          <w:p w14:paraId="5C87046D" w14:textId="77777777" w:rsidR="00A60A9D" w:rsidRPr="00660BB5" w:rsidRDefault="00A60A9D" w:rsidP="008049D6">
            <w:pPr>
              <w:spacing w:line="260" w:lineRule="exact"/>
              <w:ind w:left="108"/>
              <w:rPr>
                <w:szCs w:val="20"/>
              </w:rPr>
            </w:pPr>
            <w:r w:rsidRPr="00660BB5">
              <w:rPr>
                <w:szCs w:val="20"/>
              </w:rPr>
              <w:t xml:space="preserve">zahtevnost objekta </w:t>
            </w:r>
          </w:p>
        </w:tc>
        <w:tc>
          <w:tcPr>
            <w:tcW w:w="5253" w:type="dxa"/>
            <w:gridSpan w:val="2"/>
            <w:shd w:val="clear" w:color="auto" w:fill="auto"/>
          </w:tcPr>
          <w:p w14:paraId="42C1C288" w14:textId="57005E19" w:rsidR="00A60A9D" w:rsidRPr="00660BB5" w:rsidRDefault="00F36D1F" w:rsidP="008049D6">
            <w:pPr>
              <w:spacing w:line="260" w:lineRule="exact"/>
              <w:rPr>
                <w:szCs w:val="20"/>
              </w:rPr>
            </w:pPr>
            <w:r w:rsidRPr="00660BB5">
              <w:rPr>
                <w:szCs w:val="20"/>
              </w:rPr>
              <w:t>z</w:t>
            </w:r>
            <w:r w:rsidR="00A60A9D" w:rsidRPr="00660BB5">
              <w:rPr>
                <w:szCs w:val="20"/>
              </w:rPr>
              <w:t xml:space="preserve">ahteven objekt </w:t>
            </w:r>
          </w:p>
        </w:tc>
      </w:tr>
      <w:tr w:rsidR="00660BB5" w:rsidRPr="00660BB5" w14:paraId="3993A490" w14:textId="77777777" w:rsidTr="00660BB5">
        <w:trPr>
          <w:trHeight w:val="269"/>
        </w:trPr>
        <w:tc>
          <w:tcPr>
            <w:tcW w:w="3233" w:type="dxa"/>
            <w:shd w:val="clear" w:color="auto" w:fill="auto"/>
          </w:tcPr>
          <w:p w14:paraId="1A87FDDB" w14:textId="77777777" w:rsidR="00A60A9D" w:rsidRPr="00660BB5" w:rsidRDefault="00A60A9D" w:rsidP="008049D6">
            <w:pPr>
              <w:spacing w:line="260" w:lineRule="exact"/>
              <w:ind w:left="108"/>
              <w:rPr>
                <w:szCs w:val="20"/>
              </w:rPr>
            </w:pPr>
            <w:r w:rsidRPr="00660BB5">
              <w:rPr>
                <w:szCs w:val="20"/>
              </w:rPr>
              <w:t xml:space="preserve">klasifikacija po CC-SI </w:t>
            </w:r>
          </w:p>
        </w:tc>
        <w:tc>
          <w:tcPr>
            <w:tcW w:w="5253" w:type="dxa"/>
            <w:gridSpan w:val="2"/>
            <w:shd w:val="clear" w:color="auto" w:fill="auto"/>
          </w:tcPr>
          <w:p w14:paraId="6E226BEF" w14:textId="77777777" w:rsidR="00A60A9D" w:rsidRPr="00660BB5" w:rsidRDefault="00A60A9D" w:rsidP="008049D6">
            <w:pPr>
              <w:spacing w:line="260" w:lineRule="exact"/>
              <w:rPr>
                <w:szCs w:val="20"/>
              </w:rPr>
            </w:pPr>
            <w:r w:rsidRPr="00660BB5">
              <w:rPr>
                <w:szCs w:val="20"/>
              </w:rPr>
              <w:t xml:space="preserve">12510 – Industrijske stavbe </w:t>
            </w:r>
          </w:p>
        </w:tc>
      </w:tr>
      <w:tr w:rsidR="00660BB5" w:rsidRPr="00660BB5" w14:paraId="6B4CA245" w14:textId="77777777" w:rsidTr="00660BB5">
        <w:tblPrEx>
          <w:tblCellMar>
            <w:right w:w="36" w:type="dxa"/>
          </w:tblCellMar>
        </w:tblPrEx>
        <w:trPr>
          <w:trHeight w:val="746"/>
        </w:trPr>
        <w:tc>
          <w:tcPr>
            <w:tcW w:w="3242" w:type="dxa"/>
            <w:gridSpan w:val="2"/>
            <w:shd w:val="clear" w:color="auto" w:fill="auto"/>
          </w:tcPr>
          <w:p w14:paraId="76B55EFB" w14:textId="77777777" w:rsidR="00133AAA" w:rsidRPr="00660BB5" w:rsidRDefault="0017209B" w:rsidP="008049D6">
            <w:pPr>
              <w:spacing w:line="260" w:lineRule="exact"/>
              <w:ind w:left="108"/>
              <w:rPr>
                <w:szCs w:val="20"/>
              </w:rPr>
            </w:pPr>
            <w:r w:rsidRPr="00660BB5">
              <w:rPr>
                <w:szCs w:val="20"/>
              </w:rPr>
              <w:t>klasifikacija po CC-SI</w:t>
            </w:r>
          </w:p>
          <w:p w14:paraId="3B3E0F74" w14:textId="395E6E2C" w:rsidR="0017209B" w:rsidRPr="00660BB5" w:rsidRDefault="0017209B" w:rsidP="008049D6">
            <w:pPr>
              <w:spacing w:line="260" w:lineRule="exact"/>
              <w:ind w:left="108"/>
              <w:rPr>
                <w:szCs w:val="20"/>
              </w:rPr>
            </w:pPr>
            <w:r w:rsidRPr="00660BB5">
              <w:rPr>
                <w:szCs w:val="20"/>
              </w:rPr>
              <w:t>12510 - Industrijske stavbe</w:t>
            </w:r>
          </w:p>
          <w:p w14:paraId="56E39F65" w14:textId="77777777" w:rsidR="0017209B" w:rsidRPr="00660BB5" w:rsidRDefault="0017209B" w:rsidP="008049D6">
            <w:pPr>
              <w:spacing w:line="260" w:lineRule="exact"/>
              <w:ind w:left="108"/>
              <w:rPr>
                <w:szCs w:val="20"/>
              </w:rPr>
            </w:pPr>
            <w:r w:rsidRPr="00660BB5">
              <w:rPr>
                <w:szCs w:val="20"/>
              </w:rPr>
              <w:t>22241 – Transformatorska postaja</w:t>
            </w:r>
          </w:p>
          <w:p w14:paraId="34C2AECD" w14:textId="384C64FF" w:rsidR="0017209B" w:rsidRPr="00660BB5" w:rsidRDefault="0017209B" w:rsidP="008049D6">
            <w:pPr>
              <w:spacing w:line="260" w:lineRule="exact"/>
              <w:ind w:left="108"/>
              <w:rPr>
                <w:szCs w:val="20"/>
              </w:rPr>
            </w:pPr>
            <w:r w:rsidRPr="00660BB5">
              <w:rPr>
                <w:szCs w:val="20"/>
              </w:rPr>
              <w:t>Lokalni (distribucijski) elektroenergetski vodi</w:t>
            </w:r>
          </w:p>
        </w:tc>
        <w:tc>
          <w:tcPr>
            <w:tcW w:w="5244" w:type="dxa"/>
            <w:shd w:val="clear" w:color="auto" w:fill="auto"/>
          </w:tcPr>
          <w:p w14:paraId="78AE8DEC" w14:textId="128EB6DA" w:rsidR="0017209B" w:rsidRPr="00660BB5" w:rsidRDefault="00557806" w:rsidP="008049D6">
            <w:pPr>
              <w:autoSpaceDE w:val="0"/>
              <w:autoSpaceDN w:val="0"/>
              <w:adjustRightInd w:val="0"/>
              <w:spacing w:line="260" w:lineRule="exact"/>
              <w:rPr>
                <w:szCs w:val="20"/>
              </w:rPr>
            </w:pPr>
            <w:r w:rsidRPr="00660BB5">
              <w:rPr>
                <w:szCs w:val="20"/>
              </w:rPr>
              <w:t>d</w:t>
            </w:r>
            <w:r w:rsidR="0017209B" w:rsidRPr="00660BB5">
              <w:rPr>
                <w:szCs w:val="20"/>
              </w:rPr>
              <w:t>elež</w:t>
            </w:r>
          </w:p>
          <w:p w14:paraId="3124306A" w14:textId="55B0BF7A" w:rsidR="0017209B" w:rsidRPr="00660BB5" w:rsidRDefault="0017209B" w:rsidP="008049D6">
            <w:pPr>
              <w:autoSpaceDE w:val="0"/>
              <w:autoSpaceDN w:val="0"/>
              <w:adjustRightInd w:val="0"/>
              <w:spacing w:line="260" w:lineRule="exact"/>
              <w:rPr>
                <w:szCs w:val="20"/>
              </w:rPr>
            </w:pPr>
            <w:r w:rsidRPr="00660BB5">
              <w:rPr>
                <w:szCs w:val="20"/>
              </w:rPr>
              <w:t>98,5%</w:t>
            </w:r>
          </w:p>
          <w:p w14:paraId="2BB8CAE6" w14:textId="54622EF8" w:rsidR="0017209B" w:rsidRPr="00660BB5" w:rsidRDefault="0017209B" w:rsidP="008049D6">
            <w:pPr>
              <w:spacing w:line="260" w:lineRule="exact"/>
              <w:rPr>
                <w:szCs w:val="20"/>
              </w:rPr>
            </w:pPr>
            <w:r w:rsidRPr="00660BB5">
              <w:rPr>
                <w:szCs w:val="20"/>
              </w:rPr>
              <w:t>1,5%</w:t>
            </w:r>
          </w:p>
        </w:tc>
      </w:tr>
      <w:tr w:rsidR="00660BB5" w:rsidRPr="00660BB5" w14:paraId="23394AF5" w14:textId="77777777" w:rsidTr="00660BB5">
        <w:tblPrEx>
          <w:tblCellMar>
            <w:right w:w="36" w:type="dxa"/>
          </w:tblCellMar>
        </w:tblPrEx>
        <w:trPr>
          <w:trHeight w:val="553"/>
        </w:trPr>
        <w:tc>
          <w:tcPr>
            <w:tcW w:w="3242" w:type="dxa"/>
            <w:gridSpan w:val="2"/>
            <w:shd w:val="clear" w:color="auto" w:fill="auto"/>
          </w:tcPr>
          <w:p w14:paraId="355160D7" w14:textId="283CC034" w:rsidR="00436AB4" w:rsidRPr="00660BB5" w:rsidRDefault="00436AB4" w:rsidP="008049D6">
            <w:pPr>
              <w:spacing w:line="260" w:lineRule="exact"/>
              <w:ind w:left="122"/>
              <w:rPr>
                <w:szCs w:val="20"/>
              </w:rPr>
            </w:pPr>
            <w:r w:rsidRPr="00660BB5">
              <w:rPr>
                <w:szCs w:val="20"/>
              </w:rPr>
              <w:t xml:space="preserve">zunanje mere </w:t>
            </w:r>
          </w:p>
        </w:tc>
        <w:tc>
          <w:tcPr>
            <w:tcW w:w="5244" w:type="dxa"/>
            <w:shd w:val="clear" w:color="auto" w:fill="auto"/>
          </w:tcPr>
          <w:p w14:paraId="33D59170" w14:textId="3CF0AE7F" w:rsidR="00436AB4" w:rsidRPr="00660BB5" w:rsidRDefault="00436AB4" w:rsidP="008049D6">
            <w:pPr>
              <w:spacing w:line="260" w:lineRule="exact"/>
              <w:rPr>
                <w:szCs w:val="20"/>
              </w:rPr>
            </w:pPr>
            <w:proofErr w:type="spellStart"/>
            <w:r w:rsidRPr="00660BB5">
              <w:rPr>
                <w:szCs w:val="20"/>
              </w:rPr>
              <w:t>max</w:t>
            </w:r>
            <w:proofErr w:type="spellEnd"/>
            <w:r w:rsidRPr="00660BB5">
              <w:rPr>
                <w:szCs w:val="20"/>
              </w:rPr>
              <w:t xml:space="preserve">. zunanje dim. 67,6m / 63,6m + 6,2m / 6,7 / 6,2m / 6,7m </w:t>
            </w:r>
            <w:r w:rsidR="0017209B" w:rsidRPr="00660BB5">
              <w:rPr>
                <w:szCs w:val="20"/>
              </w:rPr>
              <w:t>in nadstrešek 62,9m x 7,1m</w:t>
            </w:r>
          </w:p>
        </w:tc>
      </w:tr>
      <w:tr w:rsidR="00660BB5" w:rsidRPr="00660BB5" w14:paraId="638324DE" w14:textId="77777777" w:rsidTr="00660BB5">
        <w:tblPrEx>
          <w:tblCellMar>
            <w:right w:w="36" w:type="dxa"/>
          </w:tblCellMar>
        </w:tblPrEx>
        <w:trPr>
          <w:trHeight w:val="269"/>
        </w:trPr>
        <w:tc>
          <w:tcPr>
            <w:tcW w:w="3242" w:type="dxa"/>
            <w:gridSpan w:val="2"/>
            <w:shd w:val="clear" w:color="auto" w:fill="auto"/>
          </w:tcPr>
          <w:p w14:paraId="67FD679A" w14:textId="77777777" w:rsidR="00436AB4" w:rsidRPr="00660BB5" w:rsidRDefault="00436AB4" w:rsidP="008049D6">
            <w:pPr>
              <w:spacing w:line="260" w:lineRule="exact"/>
              <w:ind w:left="122"/>
              <w:rPr>
                <w:szCs w:val="20"/>
              </w:rPr>
            </w:pPr>
            <w:r w:rsidRPr="00660BB5">
              <w:rPr>
                <w:szCs w:val="20"/>
              </w:rPr>
              <w:t>najvišja višinska kota (</w:t>
            </w:r>
            <w:proofErr w:type="spellStart"/>
            <w:r w:rsidRPr="00660BB5">
              <w:rPr>
                <w:szCs w:val="20"/>
              </w:rPr>
              <w:t>n.v</w:t>
            </w:r>
            <w:proofErr w:type="spellEnd"/>
            <w:r w:rsidRPr="00660BB5">
              <w:rPr>
                <w:szCs w:val="20"/>
              </w:rPr>
              <w:t xml:space="preserve">.) </w:t>
            </w:r>
          </w:p>
        </w:tc>
        <w:tc>
          <w:tcPr>
            <w:tcW w:w="5244" w:type="dxa"/>
            <w:shd w:val="clear" w:color="auto" w:fill="auto"/>
          </w:tcPr>
          <w:p w14:paraId="7F7C6D89" w14:textId="77777777" w:rsidR="00436AB4" w:rsidRPr="00660BB5" w:rsidRDefault="00436AB4" w:rsidP="008049D6">
            <w:pPr>
              <w:spacing w:line="260" w:lineRule="exact"/>
              <w:rPr>
                <w:szCs w:val="20"/>
              </w:rPr>
            </w:pPr>
            <w:r w:rsidRPr="00660BB5">
              <w:rPr>
                <w:szCs w:val="20"/>
              </w:rPr>
              <w:t xml:space="preserve">321,50 </w:t>
            </w:r>
          </w:p>
        </w:tc>
      </w:tr>
      <w:tr w:rsidR="00660BB5" w:rsidRPr="00660BB5" w14:paraId="2C811CE6" w14:textId="77777777" w:rsidTr="00660BB5">
        <w:tblPrEx>
          <w:tblCellMar>
            <w:right w:w="36" w:type="dxa"/>
          </w:tblCellMar>
        </w:tblPrEx>
        <w:trPr>
          <w:trHeight w:val="271"/>
        </w:trPr>
        <w:tc>
          <w:tcPr>
            <w:tcW w:w="3242" w:type="dxa"/>
            <w:gridSpan w:val="2"/>
            <w:shd w:val="clear" w:color="auto" w:fill="auto"/>
          </w:tcPr>
          <w:p w14:paraId="392A3B7B" w14:textId="77777777" w:rsidR="00436AB4" w:rsidRPr="00660BB5" w:rsidRDefault="00436AB4" w:rsidP="008049D6">
            <w:pPr>
              <w:spacing w:line="260" w:lineRule="exact"/>
              <w:ind w:left="122"/>
              <w:rPr>
                <w:szCs w:val="20"/>
              </w:rPr>
            </w:pPr>
            <w:r w:rsidRPr="00660BB5">
              <w:rPr>
                <w:szCs w:val="20"/>
              </w:rPr>
              <w:t>višinska kota pritličja (</w:t>
            </w:r>
            <w:proofErr w:type="spellStart"/>
            <w:r w:rsidRPr="00660BB5">
              <w:rPr>
                <w:szCs w:val="20"/>
              </w:rPr>
              <w:t>n.v</w:t>
            </w:r>
            <w:proofErr w:type="spellEnd"/>
            <w:r w:rsidRPr="00660BB5">
              <w:rPr>
                <w:szCs w:val="20"/>
              </w:rPr>
              <w:t xml:space="preserve">.) </w:t>
            </w:r>
          </w:p>
        </w:tc>
        <w:tc>
          <w:tcPr>
            <w:tcW w:w="5244" w:type="dxa"/>
            <w:shd w:val="clear" w:color="auto" w:fill="auto"/>
          </w:tcPr>
          <w:p w14:paraId="2438A791" w14:textId="77777777" w:rsidR="00436AB4" w:rsidRPr="00660BB5" w:rsidRDefault="00436AB4" w:rsidP="008049D6">
            <w:pPr>
              <w:spacing w:line="260" w:lineRule="exact"/>
              <w:rPr>
                <w:szCs w:val="20"/>
              </w:rPr>
            </w:pPr>
            <w:r w:rsidRPr="00660BB5">
              <w:rPr>
                <w:szCs w:val="20"/>
              </w:rPr>
              <w:t xml:space="preserve">304,50 </w:t>
            </w:r>
          </w:p>
        </w:tc>
      </w:tr>
      <w:tr w:rsidR="00660BB5" w:rsidRPr="00660BB5" w14:paraId="4465DB93" w14:textId="77777777" w:rsidTr="00660BB5">
        <w:tblPrEx>
          <w:tblCellMar>
            <w:right w:w="36" w:type="dxa"/>
          </w:tblCellMar>
        </w:tblPrEx>
        <w:trPr>
          <w:trHeight w:val="269"/>
        </w:trPr>
        <w:tc>
          <w:tcPr>
            <w:tcW w:w="3242" w:type="dxa"/>
            <w:gridSpan w:val="2"/>
            <w:shd w:val="clear" w:color="auto" w:fill="auto"/>
          </w:tcPr>
          <w:p w14:paraId="703E785F" w14:textId="77777777" w:rsidR="00436AB4" w:rsidRPr="00660BB5" w:rsidRDefault="00436AB4" w:rsidP="008049D6">
            <w:pPr>
              <w:spacing w:line="260" w:lineRule="exact"/>
              <w:ind w:left="122"/>
              <w:rPr>
                <w:szCs w:val="20"/>
              </w:rPr>
            </w:pPr>
            <w:r w:rsidRPr="00660BB5">
              <w:rPr>
                <w:szCs w:val="20"/>
              </w:rPr>
              <w:lastRenderedPageBreak/>
              <w:t>najnižja višinska kota - kota tlaka najnižje etaže (</w:t>
            </w:r>
            <w:proofErr w:type="spellStart"/>
            <w:r w:rsidRPr="00660BB5">
              <w:rPr>
                <w:szCs w:val="20"/>
              </w:rPr>
              <w:t>n.v</w:t>
            </w:r>
            <w:proofErr w:type="spellEnd"/>
            <w:r w:rsidRPr="00660BB5">
              <w:rPr>
                <w:szCs w:val="20"/>
              </w:rPr>
              <w:t xml:space="preserve">.) </w:t>
            </w:r>
          </w:p>
        </w:tc>
        <w:tc>
          <w:tcPr>
            <w:tcW w:w="5244" w:type="dxa"/>
            <w:shd w:val="clear" w:color="auto" w:fill="auto"/>
          </w:tcPr>
          <w:p w14:paraId="279CC608" w14:textId="77777777" w:rsidR="00436AB4" w:rsidRPr="00660BB5" w:rsidRDefault="00436AB4" w:rsidP="008049D6">
            <w:pPr>
              <w:spacing w:line="260" w:lineRule="exact"/>
              <w:rPr>
                <w:szCs w:val="20"/>
              </w:rPr>
            </w:pPr>
            <w:r w:rsidRPr="00660BB5">
              <w:rPr>
                <w:szCs w:val="20"/>
              </w:rPr>
              <w:t xml:space="preserve">300,10 </w:t>
            </w:r>
          </w:p>
        </w:tc>
      </w:tr>
      <w:tr w:rsidR="00660BB5" w:rsidRPr="00660BB5" w14:paraId="1B7B04FB" w14:textId="77777777" w:rsidTr="00660BB5">
        <w:tblPrEx>
          <w:tblCellMar>
            <w:right w:w="36" w:type="dxa"/>
          </w:tblCellMar>
        </w:tblPrEx>
        <w:trPr>
          <w:trHeight w:val="271"/>
        </w:trPr>
        <w:tc>
          <w:tcPr>
            <w:tcW w:w="3242" w:type="dxa"/>
            <w:gridSpan w:val="2"/>
            <w:shd w:val="clear" w:color="auto" w:fill="auto"/>
          </w:tcPr>
          <w:p w14:paraId="12A578DC" w14:textId="74A210D2" w:rsidR="00436AB4" w:rsidRPr="00660BB5" w:rsidRDefault="00436AB4" w:rsidP="008049D6">
            <w:pPr>
              <w:spacing w:line="260" w:lineRule="exact"/>
              <w:ind w:left="122"/>
              <w:rPr>
                <w:szCs w:val="20"/>
              </w:rPr>
            </w:pPr>
            <w:r w:rsidRPr="00660BB5">
              <w:rPr>
                <w:szCs w:val="20"/>
              </w:rPr>
              <w:t xml:space="preserve">višina </w:t>
            </w:r>
          </w:p>
        </w:tc>
        <w:tc>
          <w:tcPr>
            <w:tcW w:w="5244" w:type="dxa"/>
            <w:shd w:val="clear" w:color="auto" w:fill="auto"/>
          </w:tcPr>
          <w:p w14:paraId="711A5D52" w14:textId="77777777" w:rsidR="00436AB4" w:rsidRPr="00660BB5" w:rsidRDefault="00436AB4" w:rsidP="008049D6">
            <w:pPr>
              <w:spacing w:line="260" w:lineRule="exact"/>
              <w:rPr>
                <w:szCs w:val="20"/>
              </w:rPr>
            </w:pPr>
            <w:r w:rsidRPr="00660BB5">
              <w:rPr>
                <w:szCs w:val="20"/>
              </w:rPr>
              <w:t xml:space="preserve">21,40 m </w:t>
            </w:r>
          </w:p>
        </w:tc>
      </w:tr>
      <w:tr w:rsidR="00660BB5" w:rsidRPr="00660BB5" w14:paraId="3813E63E" w14:textId="77777777" w:rsidTr="00660BB5">
        <w:tblPrEx>
          <w:tblCellMar>
            <w:right w:w="36" w:type="dxa"/>
          </w:tblCellMar>
        </w:tblPrEx>
        <w:trPr>
          <w:trHeight w:val="283"/>
        </w:trPr>
        <w:tc>
          <w:tcPr>
            <w:tcW w:w="3242" w:type="dxa"/>
            <w:gridSpan w:val="2"/>
            <w:shd w:val="clear" w:color="auto" w:fill="auto"/>
          </w:tcPr>
          <w:p w14:paraId="6BB5B00F" w14:textId="77777777" w:rsidR="00436AB4" w:rsidRPr="00660BB5" w:rsidRDefault="00436AB4" w:rsidP="008049D6">
            <w:pPr>
              <w:spacing w:line="260" w:lineRule="exact"/>
              <w:ind w:left="122"/>
              <w:rPr>
                <w:szCs w:val="20"/>
              </w:rPr>
            </w:pPr>
            <w:r w:rsidRPr="00660BB5">
              <w:rPr>
                <w:szCs w:val="20"/>
              </w:rPr>
              <w:t>zazidana površina (m</w:t>
            </w:r>
            <w:r w:rsidRPr="00660BB5">
              <w:rPr>
                <w:szCs w:val="20"/>
                <w:vertAlign w:val="superscript"/>
              </w:rPr>
              <w:t>2</w:t>
            </w:r>
            <w:r w:rsidRPr="00660BB5">
              <w:rPr>
                <w:szCs w:val="20"/>
              </w:rPr>
              <w:t xml:space="preserve">) </w:t>
            </w:r>
          </w:p>
        </w:tc>
        <w:tc>
          <w:tcPr>
            <w:tcW w:w="5244" w:type="dxa"/>
            <w:shd w:val="clear" w:color="auto" w:fill="auto"/>
          </w:tcPr>
          <w:p w14:paraId="343032A6" w14:textId="2A00C58B" w:rsidR="00436AB4" w:rsidRPr="00660BB5" w:rsidRDefault="00436AB4" w:rsidP="008049D6">
            <w:pPr>
              <w:spacing w:line="260" w:lineRule="exact"/>
              <w:rPr>
                <w:szCs w:val="20"/>
              </w:rPr>
            </w:pPr>
            <w:r w:rsidRPr="00660BB5">
              <w:rPr>
                <w:szCs w:val="20"/>
              </w:rPr>
              <w:t>4</w:t>
            </w:r>
            <w:r w:rsidR="00434CD6" w:rsidRPr="00660BB5">
              <w:rPr>
                <w:szCs w:val="20"/>
              </w:rPr>
              <w:t>.</w:t>
            </w:r>
            <w:r w:rsidRPr="00660BB5">
              <w:rPr>
                <w:szCs w:val="20"/>
              </w:rPr>
              <w:t>333,0 m</w:t>
            </w:r>
            <w:r w:rsidRPr="00660BB5">
              <w:rPr>
                <w:szCs w:val="20"/>
                <w:vertAlign w:val="superscript"/>
              </w:rPr>
              <w:t>2</w:t>
            </w:r>
            <w:r w:rsidRPr="00660BB5">
              <w:rPr>
                <w:szCs w:val="20"/>
              </w:rPr>
              <w:t xml:space="preserve"> </w:t>
            </w:r>
          </w:p>
        </w:tc>
      </w:tr>
      <w:tr w:rsidR="00660BB5" w:rsidRPr="00660BB5" w14:paraId="1BA55E14" w14:textId="77777777" w:rsidTr="00660BB5">
        <w:tblPrEx>
          <w:tblCellMar>
            <w:right w:w="36" w:type="dxa"/>
          </w:tblCellMar>
        </w:tblPrEx>
        <w:trPr>
          <w:trHeight w:val="269"/>
        </w:trPr>
        <w:tc>
          <w:tcPr>
            <w:tcW w:w="3242" w:type="dxa"/>
            <w:gridSpan w:val="2"/>
            <w:shd w:val="clear" w:color="auto" w:fill="auto"/>
          </w:tcPr>
          <w:p w14:paraId="6E74AD7D" w14:textId="0AFB55FC" w:rsidR="00436AB4" w:rsidRPr="00660BB5" w:rsidRDefault="00436AB4" w:rsidP="008049D6">
            <w:pPr>
              <w:spacing w:line="260" w:lineRule="exact"/>
              <w:ind w:left="122"/>
              <w:rPr>
                <w:szCs w:val="20"/>
              </w:rPr>
            </w:pPr>
            <w:r w:rsidRPr="00660BB5">
              <w:rPr>
                <w:szCs w:val="20"/>
              </w:rPr>
              <w:t xml:space="preserve">uporabna površina za poslovne dejavnosti </w:t>
            </w:r>
          </w:p>
        </w:tc>
        <w:tc>
          <w:tcPr>
            <w:tcW w:w="5244" w:type="dxa"/>
            <w:shd w:val="clear" w:color="auto" w:fill="auto"/>
          </w:tcPr>
          <w:p w14:paraId="0D3093DE" w14:textId="1657FB30" w:rsidR="00436AB4" w:rsidRPr="00660BB5" w:rsidRDefault="00436AB4" w:rsidP="008049D6">
            <w:pPr>
              <w:spacing w:line="260" w:lineRule="exact"/>
              <w:rPr>
                <w:szCs w:val="20"/>
              </w:rPr>
            </w:pPr>
            <w:r w:rsidRPr="00660BB5">
              <w:rPr>
                <w:szCs w:val="20"/>
              </w:rPr>
              <w:t>6</w:t>
            </w:r>
            <w:r w:rsidR="00434CD6" w:rsidRPr="00660BB5">
              <w:rPr>
                <w:szCs w:val="20"/>
              </w:rPr>
              <w:t>.</w:t>
            </w:r>
            <w:r w:rsidRPr="00660BB5">
              <w:rPr>
                <w:szCs w:val="20"/>
              </w:rPr>
              <w:t>269,5 m</w:t>
            </w:r>
            <w:r w:rsidRPr="00660BB5">
              <w:rPr>
                <w:szCs w:val="20"/>
                <w:vertAlign w:val="superscript"/>
              </w:rPr>
              <w:t>2</w:t>
            </w:r>
            <w:r w:rsidRPr="00660BB5">
              <w:rPr>
                <w:szCs w:val="20"/>
              </w:rPr>
              <w:t xml:space="preserve"> </w:t>
            </w:r>
          </w:p>
        </w:tc>
      </w:tr>
      <w:tr w:rsidR="00660BB5" w:rsidRPr="00660BB5" w14:paraId="4BECB463" w14:textId="77777777" w:rsidTr="00660BB5">
        <w:tblPrEx>
          <w:tblCellMar>
            <w:right w:w="36" w:type="dxa"/>
          </w:tblCellMar>
        </w:tblPrEx>
        <w:trPr>
          <w:trHeight w:val="269"/>
        </w:trPr>
        <w:tc>
          <w:tcPr>
            <w:tcW w:w="3242" w:type="dxa"/>
            <w:gridSpan w:val="2"/>
            <w:shd w:val="clear" w:color="auto" w:fill="auto"/>
          </w:tcPr>
          <w:p w14:paraId="3216E21C" w14:textId="77777777" w:rsidR="00436AB4" w:rsidRPr="00660BB5" w:rsidRDefault="00436AB4" w:rsidP="008049D6">
            <w:pPr>
              <w:spacing w:line="260" w:lineRule="exact"/>
              <w:ind w:left="122"/>
              <w:rPr>
                <w:szCs w:val="20"/>
              </w:rPr>
            </w:pPr>
            <w:r w:rsidRPr="00660BB5">
              <w:rPr>
                <w:szCs w:val="20"/>
              </w:rPr>
              <w:t xml:space="preserve">bruto tlorisna površina (stavbe) </w:t>
            </w:r>
          </w:p>
        </w:tc>
        <w:tc>
          <w:tcPr>
            <w:tcW w:w="5244" w:type="dxa"/>
            <w:shd w:val="clear" w:color="auto" w:fill="auto"/>
          </w:tcPr>
          <w:p w14:paraId="32ED1288" w14:textId="7D2ABF3E" w:rsidR="00436AB4" w:rsidRPr="00660BB5" w:rsidRDefault="00436AB4" w:rsidP="008049D6">
            <w:pPr>
              <w:spacing w:line="260" w:lineRule="exact"/>
              <w:rPr>
                <w:szCs w:val="20"/>
              </w:rPr>
            </w:pPr>
            <w:r w:rsidRPr="00660BB5">
              <w:rPr>
                <w:szCs w:val="20"/>
              </w:rPr>
              <w:t>7</w:t>
            </w:r>
            <w:r w:rsidR="00434CD6" w:rsidRPr="00660BB5">
              <w:rPr>
                <w:szCs w:val="20"/>
              </w:rPr>
              <w:t>.</w:t>
            </w:r>
            <w:r w:rsidRPr="00660BB5">
              <w:rPr>
                <w:szCs w:val="20"/>
              </w:rPr>
              <w:t>600,0 m</w:t>
            </w:r>
            <w:r w:rsidRPr="00660BB5">
              <w:rPr>
                <w:szCs w:val="20"/>
                <w:vertAlign w:val="superscript"/>
              </w:rPr>
              <w:t>2</w:t>
            </w:r>
          </w:p>
        </w:tc>
      </w:tr>
      <w:tr w:rsidR="00660BB5" w:rsidRPr="00660BB5" w14:paraId="6CC0D035" w14:textId="77777777" w:rsidTr="00660BB5">
        <w:tblPrEx>
          <w:tblCellMar>
            <w:right w:w="36" w:type="dxa"/>
          </w:tblCellMar>
        </w:tblPrEx>
        <w:trPr>
          <w:trHeight w:val="269"/>
        </w:trPr>
        <w:tc>
          <w:tcPr>
            <w:tcW w:w="3242" w:type="dxa"/>
            <w:gridSpan w:val="2"/>
            <w:shd w:val="clear" w:color="auto" w:fill="auto"/>
          </w:tcPr>
          <w:p w14:paraId="52D110A8" w14:textId="77777777" w:rsidR="00436AB4" w:rsidRPr="00660BB5" w:rsidRDefault="00436AB4" w:rsidP="008049D6">
            <w:pPr>
              <w:spacing w:line="260" w:lineRule="exact"/>
              <w:ind w:left="122"/>
              <w:rPr>
                <w:szCs w:val="20"/>
              </w:rPr>
            </w:pPr>
            <w:r w:rsidRPr="00660BB5">
              <w:rPr>
                <w:szCs w:val="20"/>
              </w:rPr>
              <w:t xml:space="preserve">bruto prostornina (stavbe) </w:t>
            </w:r>
          </w:p>
        </w:tc>
        <w:tc>
          <w:tcPr>
            <w:tcW w:w="5244" w:type="dxa"/>
            <w:shd w:val="clear" w:color="auto" w:fill="auto"/>
          </w:tcPr>
          <w:p w14:paraId="3978DCF1" w14:textId="08749FFF" w:rsidR="00436AB4" w:rsidRPr="00660BB5" w:rsidRDefault="00436AB4" w:rsidP="008049D6">
            <w:pPr>
              <w:spacing w:line="260" w:lineRule="exact"/>
              <w:rPr>
                <w:szCs w:val="20"/>
              </w:rPr>
            </w:pPr>
            <w:r w:rsidRPr="00660BB5">
              <w:rPr>
                <w:szCs w:val="20"/>
              </w:rPr>
              <w:t>75</w:t>
            </w:r>
            <w:r w:rsidR="00434CD6" w:rsidRPr="00660BB5">
              <w:rPr>
                <w:szCs w:val="20"/>
              </w:rPr>
              <w:t>.</w:t>
            </w:r>
            <w:r w:rsidRPr="00660BB5">
              <w:rPr>
                <w:szCs w:val="20"/>
              </w:rPr>
              <w:t>150,0 m</w:t>
            </w:r>
            <w:r w:rsidRPr="00660BB5">
              <w:rPr>
                <w:szCs w:val="20"/>
                <w:vertAlign w:val="superscript"/>
              </w:rPr>
              <w:t xml:space="preserve">3 </w:t>
            </w:r>
          </w:p>
        </w:tc>
      </w:tr>
      <w:tr w:rsidR="00660BB5" w:rsidRPr="00660BB5" w14:paraId="4AE90817" w14:textId="77777777" w:rsidTr="00660BB5">
        <w:tblPrEx>
          <w:tblCellMar>
            <w:right w:w="36" w:type="dxa"/>
          </w:tblCellMar>
        </w:tblPrEx>
        <w:trPr>
          <w:trHeight w:val="283"/>
        </w:trPr>
        <w:tc>
          <w:tcPr>
            <w:tcW w:w="3242" w:type="dxa"/>
            <w:gridSpan w:val="2"/>
            <w:shd w:val="clear" w:color="auto" w:fill="auto"/>
          </w:tcPr>
          <w:p w14:paraId="77ED5467" w14:textId="4C1B0A8E" w:rsidR="00434CD6" w:rsidRPr="00660BB5" w:rsidRDefault="00434CD6" w:rsidP="008049D6">
            <w:pPr>
              <w:spacing w:line="260" w:lineRule="exact"/>
              <w:ind w:left="122"/>
              <w:rPr>
                <w:szCs w:val="20"/>
              </w:rPr>
            </w:pPr>
            <w:proofErr w:type="spellStart"/>
            <w:r w:rsidRPr="00660BB5">
              <w:rPr>
                <w:szCs w:val="20"/>
              </w:rPr>
              <w:t>etažnost</w:t>
            </w:r>
            <w:proofErr w:type="spellEnd"/>
          </w:p>
        </w:tc>
        <w:tc>
          <w:tcPr>
            <w:tcW w:w="5244" w:type="dxa"/>
            <w:shd w:val="clear" w:color="auto" w:fill="auto"/>
          </w:tcPr>
          <w:p w14:paraId="355CF9D4" w14:textId="27BE52E2" w:rsidR="00434CD6" w:rsidRPr="00660BB5" w:rsidRDefault="00434CD6" w:rsidP="008049D6">
            <w:pPr>
              <w:spacing w:line="260" w:lineRule="exact"/>
              <w:rPr>
                <w:szCs w:val="20"/>
              </w:rPr>
            </w:pPr>
            <w:r w:rsidRPr="00660BB5">
              <w:rPr>
                <w:szCs w:val="20"/>
              </w:rPr>
              <w:t>K (del) + P + N1(del) + N2 (del)</w:t>
            </w:r>
            <w:r w:rsidR="00133AAA" w:rsidRPr="00660BB5">
              <w:rPr>
                <w:szCs w:val="20"/>
              </w:rPr>
              <w:t xml:space="preserve"> </w:t>
            </w:r>
          </w:p>
        </w:tc>
      </w:tr>
      <w:tr w:rsidR="00660BB5" w:rsidRPr="00660BB5" w14:paraId="1E8A06A0" w14:textId="77777777" w:rsidTr="00660BB5">
        <w:tblPrEx>
          <w:tblCellMar>
            <w:right w:w="36" w:type="dxa"/>
          </w:tblCellMar>
        </w:tblPrEx>
        <w:trPr>
          <w:trHeight w:val="287"/>
        </w:trPr>
        <w:tc>
          <w:tcPr>
            <w:tcW w:w="3242" w:type="dxa"/>
            <w:gridSpan w:val="2"/>
            <w:shd w:val="clear" w:color="auto" w:fill="auto"/>
          </w:tcPr>
          <w:p w14:paraId="380D17E1" w14:textId="77777777" w:rsidR="00434CD6" w:rsidRPr="00660BB5" w:rsidRDefault="00434CD6" w:rsidP="008049D6">
            <w:pPr>
              <w:spacing w:line="260" w:lineRule="exact"/>
              <w:ind w:left="122"/>
              <w:rPr>
                <w:szCs w:val="20"/>
              </w:rPr>
            </w:pPr>
            <w:r w:rsidRPr="00660BB5">
              <w:rPr>
                <w:szCs w:val="20"/>
              </w:rPr>
              <w:t xml:space="preserve">oblika strehe </w:t>
            </w:r>
          </w:p>
        </w:tc>
        <w:tc>
          <w:tcPr>
            <w:tcW w:w="5244" w:type="dxa"/>
            <w:shd w:val="clear" w:color="auto" w:fill="auto"/>
          </w:tcPr>
          <w:p w14:paraId="390F645D" w14:textId="5F6A226F" w:rsidR="00434CD6" w:rsidRPr="00660BB5" w:rsidRDefault="00F36D1F" w:rsidP="008049D6">
            <w:pPr>
              <w:spacing w:line="260" w:lineRule="exact"/>
              <w:ind w:right="474"/>
              <w:rPr>
                <w:szCs w:val="20"/>
              </w:rPr>
            </w:pPr>
            <w:r w:rsidRPr="00660BB5">
              <w:rPr>
                <w:szCs w:val="20"/>
              </w:rPr>
              <w:t>r</w:t>
            </w:r>
            <w:r w:rsidR="00434CD6" w:rsidRPr="00660BB5">
              <w:rPr>
                <w:szCs w:val="20"/>
              </w:rPr>
              <w:t>avna</w:t>
            </w:r>
          </w:p>
        </w:tc>
      </w:tr>
    </w:tbl>
    <w:p w14:paraId="02A05597" w14:textId="5C0026F2" w:rsidR="00F330AE" w:rsidRPr="00660BB5" w:rsidRDefault="00F330AE" w:rsidP="008049D6">
      <w:pPr>
        <w:spacing w:line="260" w:lineRule="exact"/>
        <w:rPr>
          <w:highlight w:val="yellow"/>
        </w:rPr>
      </w:pPr>
    </w:p>
    <w:tbl>
      <w:tblPr>
        <w:tblW w:w="8486" w:type="dxa"/>
        <w:tblInd w:w="19" w:type="dxa"/>
        <w:tblBorders>
          <w:top w:val="dashSmallGap" w:sz="4" w:space="0" w:color="000000"/>
          <w:bottom w:val="dashSmallGap" w:sz="4" w:space="0" w:color="000000"/>
          <w:insideH w:val="dashSmallGap" w:sz="4" w:space="0" w:color="000000"/>
          <w:insideV w:val="dashSmallGap" w:sz="4" w:space="0" w:color="000000"/>
        </w:tblBorders>
        <w:tblCellMar>
          <w:top w:w="40" w:type="dxa"/>
          <w:right w:w="115" w:type="dxa"/>
        </w:tblCellMar>
        <w:tblLook w:val="04A0" w:firstRow="1" w:lastRow="0" w:firstColumn="1" w:lastColumn="0" w:noHBand="0" w:noVBand="1"/>
      </w:tblPr>
      <w:tblGrid>
        <w:gridCol w:w="3233"/>
        <w:gridCol w:w="5253"/>
      </w:tblGrid>
      <w:tr w:rsidR="00660BB5" w:rsidRPr="00660BB5" w14:paraId="12CBEE12" w14:textId="77777777" w:rsidTr="00660BB5">
        <w:trPr>
          <w:trHeight w:val="328"/>
        </w:trPr>
        <w:tc>
          <w:tcPr>
            <w:tcW w:w="8486" w:type="dxa"/>
            <w:gridSpan w:val="2"/>
            <w:shd w:val="clear" w:color="auto" w:fill="auto"/>
          </w:tcPr>
          <w:p w14:paraId="1D8502DF" w14:textId="5BC7945B" w:rsidR="00F330AE" w:rsidRPr="00660BB5" w:rsidRDefault="00F330AE" w:rsidP="00660BB5">
            <w:pPr>
              <w:pStyle w:val="Naslov1"/>
              <w:ind w:left="582" w:hanging="567"/>
            </w:pPr>
            <w:r w:rsidRPr="00660BB5">
              <w:t>ZUNANJA UREDITEV</w:t>
            </w:r>
          </w:p>
        </w:tc>
      </w:tr>
      <w:tr w:rsidR="00660BB5" w:rsidRPr="00660BB5" w14:paraId="762B586F" w14:textId="77777777" w:rsidTr="00660BB5">
        <w:trPr>
          <w:trHeight w:val="817"/>
        </w:trPr>
        <w:tc>
          <w:tcPr>
            <w:tcW w:w="3233" w:type="dxa"/>
            <w:shd w:val="clear" w:color="auto" w:fill="auto"/>
          </w:tcPr>
          <w:p w14:paraId="3478DFD6" w14:textId="1293422D" w:rsidR="00F330AE" w:rsidRPr="00660BB5" w:rsidRDefault="00F330AE" w:rsidP="008049D6">
            <w:pPr>
              <w:spacing w:line="260" w:lineRule="exact"/>
              <w:ind w:left="108"/>
              <w:rPr>
                <w:szCs w:val="20"/>
              </w:rPr>
            </w:pPr>
            <w:r w:rsidRPr="00660BB5">
              <w:rPr>
                <w:szCs w:val="20"/>
              </w:rPr>
              <w:t xml:space="preserve">kratek opis </w:t>
            </w:r>
          </w:p>
        </w:tc>
        <w:tc>
          <w:tcPr>
            <w:tcW w:w="5253" w:type="dxa"/>
            <w:shd w:val="clear" w:color="auto" w:fill="auto"/>
          </w:tcPr>
          <w:p w14:paraId="1C2FF088" w14:textId="78123971" w:rsidR="00F330AE" w:rsidRPr="00660BB5" w:rsidRDefault="00F330AE" w:rsidP="008049D6">
            <w:pPr>
              <w:spacing w:line="260" w:lineRule="exact"/>
              <w:rPr>
                <w:szCs w:val="20"/>
              </w:rPr>
            </w:pPr>
            <w:r w:rsidRPr="00660BB5">
              <w:rPr>
                <w:szCs w:val="20"/>
              </w:rPr>
              <w:t>Zunanja ureditev s prometnimi, zelenimi vključno s pripadajočo javno gospodarsko infrastrukturo in parkirišči (57 PM + 2 PM invalidi)</w:t>
            </w:r>
          </w:p>
        </w:tc>
      </w:tr>
      <w:tr w:rsidR="00660BB5" w:rsidRPr="00660BB5" w14:paraId="02F8AB99" w14:textId="77777777" w:rsidTr="00660BB5">
        <w:trPr>
          <w:trHeight w:val="252"/>
        </w:trPr>
        <w:tc>
          <w:tcPr>
            <w:tcW w:w="3233" w:type="dxa"/>
            <w:shd w:val="clear" w:color="auto" w:fill="auto"/>
          </w:tcPr>
          <w:p w14:paraId="263E291E" w14:textId="77777777" w:rsidR="00F330AE" w:rsidRPr="00660BB5" w:rsidRDefault="00F330AE" w:rsidP="008049D6">
            <w:pPr>
              <w:spacing w:line="260" w:lineRule="exact"/>
              <w:ind w:left="108"/>
              <w:rPr>
                <w:szCs w:val="20"/>
              </w:rPr>
            </w:pPr>
            <w:r w:rsidRPr="00660BB5">
              <w:rPr>
                <w:szCs w:val="20"/>
              </w:rPr>
              <w:t xml:space="preserve">parcelna številka </w:t>
            </w:r>
          </w:p>
        </w:tc>
        <w:tc>
          <w:tcPr>
            <w:tcW w:w="5253" w:type="dxa"/>
            <w:shd w:val="clear" w:color="auto" w:fill="auto"/>
          </w:tcPr>
          <w:p w14:paraId="39BC2C34" w14:textId="037C6420" w:rsidR="00F330AE" w:rsidRPr="00660BB5" w:rsidRDefault="00F330AE" w:rsidP="008049D6">
            <w:pPr>
              <w:spacing w:line="260" w:lineRule="exact"/>
              <w:rPr>
                <w:szCs w:val="20"/>
              </w:rPr>
            </w:pPr>
            <w:r w:rsidRPr="00660BB5">
              <w:rPr>
                <w:szCs w:val="20"/>
              </w:rPr>
              <w:t>7/12, 7/4, 7/19, 7/34, 7/6, 7/33, 7/65, 7/64, 7/21, 7/23</w:t>
            </w:r>
          </w:p>
        </w:tc>
      </w:tr>
      <w:tr w:rsidR="00660BB5" w:rsidRPr="00660BB5" w14:paraId="3EF4FBA8" w14:textId="77777777" w:rsidTr="00660BB5">
        <w:trPr>
          <w:trHeight w:val="269"/>
        </w:trPr>
        <w:tc>
          <w:tcPr>
            <w:tcW w:w="3233" w:type="dxa"/>
            <w:shd w:val="clear" w:color="auto" w:fill="auto"/>
          </w:tcPr>
          <w:p w14:paraId="18DBC4DB" w14:textId="77777777" w:rsidR="00F330AE" w:rsidRPr="00660BB5" w:rsidRDefault="00F330AE" w:rsidP="008049D6">
            <w:pPr>
              <w:spacing w:line="260" w:lineRule="exact"/>
              <w:ind w:left="108"/>
              <w:rPr>
                <w:szCs w:val="20"/>
              </w:rPr>
            </w:pPr>
            <w:r w:rsidRPr="00660BB5">
              <w:rPr>
                <w:szCs w:val="20"/>
              </w:rPr>
              <w:t xml:space="preserve">katastrska občina </w:t>
            </w:r>
          </w:p>
        </w:tc>
        <w:tc>
          <w:tcPr>
            <w:tcW w:w="5253" w:type="dxa"/>
            <w:shd w:val="clear" w:color="auto" w:fill="auto"/>
          </w:tcPr>
          <w:p w14:paraId="421BC8D9" w14:textId="1EC776C6" w:rsidR="00F330AE" w:rsidRPr="00660BB5" w:rsidRDefault="00F330AE" w:rsidP="008049D6">
            <w:pPr>
              <w:spacing w:line="260" w:lineRule="exact"/>
              <w:rPr>
                <w:szCs w:val="20"/>
              </w:rPr>
            </w:pPr>
            <w:r w:rsidRPr="00660BB5">
              <w:rPr>
                <w:szCs w:val="20"/>
              </w:rPr>
              <w:t>Sp. Kanomlja</w:t>
            </w:r>
            <w:r w:rsidR="00281833" w:rsidRPr="00660BB5">
              <w:rPr>
                <w:szCs w:val="20"/>
              </w:rPr>
              <w:t xml:space="preserve"> (2352)</w:t>
            </w:r>
            <w:r w:rsidRPr="00660BB5">
              <w:rPr>
                <w:szCs w:val="20"/>
              </w:rPr>
              <w:t xml:space="preserve"> </w:t>
            </w:r>
          </w:p>
        </w:tc>
      </w:tr>
    </w:tbl>
    <w:p w14:paraId="3DE80307" w14:textId="08C9016F" w:rsidR="008643F3" w:rsidRPr="00660BB5" w:rsidRDefault="008643F3" w:rsidP="008049D6">
      <w:pPr>
        <w:spacing w:line="260" w:lineRule="exact"/>
        <w:rPr>
          <w:highlight w:val="yellow"/>
        </w:rPr>
      </w:pPr>
    </w:p>
    <w:tbl>
      <w:tblPr>
        <w:tblW w:w="8486" w:type="dxa"/>
        <w:tblInd w:w="19" w:type="dxa"/>
        <w:tblBorders>
          <w:top w:val="dashSmallGap" w:sz="4" w:space="0" w:color="000000"/>
          <w:bottom w:val="dashSmallGap" w:sz="4" w:space="0" w:color="000000"/>
          <w:insideH w:val="dashSmallGap" w:sz="4" w:space="0" w:color="000000"/>
          <w:insideV w:val="dashSmallGap" w:sz="4" w:space="0" w:color="000000"/>
        </w:tblBorders>
        <w:tblCellMar>
          <w:top w:w="40" w:type="dxa"/>
          <w:right w:w="115" w:type="dxa"/>
        </w:tblCellMar>
        <w:tblLook w:val="04A0" w:firstRow="1" w:lastRow="0" w:firstColumn="1" w:lastColumn="0" w:noHBand="0" w:noVBand="1"/>
      </w:tblPr>
      <w:tblGrid>
        <w:gridCol w:w="3233"/>
        <w:gridCol w:w="5253"/>
      </w:tblGrid>
      <w:tr w:rsidR="00660BB5" w:rsidRPr="00660BB5" w14:paraId="29EDA977" w14:textId="77777777" w:rsidTr="00660BB5">
        <w:trPr>
          <w:trHeight w:val="328"/>
        </w:trPr>
        <w:tc>
          <w:tcPr>
            <w:tcW w:w="8486" w:type="dxa"/>
            <w:gridSpan w:val="2"/>
            <w:shd w:val="clear" w:color="auto" w:fill="auto"/>
          </w:tcPr>
          <w:p w14:paraId="57AD2EEA" w14:textId="32762B7B" w:rsidR="008643F3" w:rsidRPr="00660BB5" w:rsidRDefault="008643F3" w:rsidP="00660BB5">
            <w:pPr>
              <w:pStyle w:val="Naslov1"/>
              <w:ind w:left="582" w:hanging="567"/>
            </w:pPr>
            <w:r w:rsidRPr="00660BB5">
              <w:t xml:space="preserve">GRADBIŠČE </w:t>
            </w:r>
          </w:p>
        </w:tc>
      </w:tr>
      <w:tr w:rsidR="00660BB5" w:rsidRPr="00660BB5" w14:paraId="079DEF29" w14:textId="77777777" w:rsidTr="00660BB5">
        <w:trPr>
          <w:trHeight w:val="309"/>
        </w:trPr>
        <w:tc>
          <w:tcPr>
            <w:tcW w:w="3233" w:type="dxa"/>
            <w:shd w:val="clear" w:color="auto" w:fill="auto"/>
          </w:tcPr>
          <w:p w14:paraId="1D8B07A2" w14:textId="77777777" w:rsidR="008643F3" w:rsidRPr="00660BB5" w:rsidRDefault="008643F3" w:rsidP="008049D6">
            <w:pPr>
              <w:spacing w:line="260" w:lineRule="exact"/>
              <w:ind w:left="108"/>
              <w:rPr>
                <w:szCs w:val="20"/>
              </w:rPr>
            </w:pPr>
            <w:r w:rsidRPr="00660BB5">
              <w:rPr>
                <w:szCs w:val="20"/>
              </w:rPr>
              <w:t xml:space="preserve">kratek opis </w:t>
            </w:r>
          </w:p>
        </w:tc>
        <w:tc>
          <w:tcPr>
            <w:tcW w:w="5253" w:type="dxa"/>
            <w:shd w:val="clear" w:color="auto" w:fill="auto"/>
          </w:tcPr>
          <w:p w14:paraId="79B09DAD" w14:textId="17AA165F" w:rsidR="008643F3" w:rsidRPr="00660BB5" w:rsidRDefault="008643F3" w:rsidP="008049D6">
            <w:pPr>
              <w:spacing w:line="260" w:lineRule="exact"/>
              <w:rPr>
                <w:szCs w:val="20"/>
              </w:rPr>
            </w:pPr>
            <w:r w:rsidRPr="00660BB5">
              <w:rPr>
                <w:szCs w:val="20"/>
              </w:rPr>
              <w:t>V območju gradnje</w:t>
            </w:r>
          </w:p>
        </w:tc>
      </w:tr>
      <w:tr w:rsidR="00660BB5" w:rsidRPr="00660BB5" w14:paraId="0C0DC918" w14:textId="77777777" w:rsidTr="00660BB5">
        <w:trPr>
          <w:trHeight w:val="252"/>
        </w:trPr>
        <w:tc>
          <w:tcPr>
            <w:tcW w:w="3233" w:type="dxa"/>
            <w:shd w:val="clear" w:color="auto" w:fill="auto"/>
          </w:tcPr>
          <w:p w14:paraId="50ECAE5E" w14:textId="77777777" w:rsidR="008643F3" w:rsidRPr="00660BB5" w:rsidRDefault="008643F3" w:rsidP="008049D6">
            <w:pPr>
              <w:spacing w:line="260" w:lineRule="exact"/>
              <w:ind w:left="108"/>
              <w:rPr>
                <w:szCs w:val="20"/>
              </w:rPr>
            </w:pPr>
            <w:r w:rsidRPr="00660BB5">
              <w:rPr>
                <w:szCs w:val="20"/>
              </w:rPr>
              <w:t xml:space="preserve">parcelna številka </w:t>
            </w:r>
          </w:p>
        </w:tc>
        <w:tc>
          <w:tcPr>
            <w:tcW w:w="5253" w:type="dxa"/>
            <w:shd w:val="clear" w:color="auto" w:fill="auto"/>
          </w:tcPr>
          <w:p w14:paraId="22EA2803" w14:textId="72458A11" w:rsidR="008643F3" w:rsidRPr="00660BB5" w:rsidRDefault="008643F3" w:rsidP="008049D6">
            <w:pPr>
              <w:spacing w:line="260" w:lineRule="exact"/>
              <w:rPr>
                <w:szCs w:val="20"/>
              </w:rPr>
            </w:pPr>
            <w:r w:rsidRPr="00660BB5">
              <w:rPr>
                <w:szCs w:val="20"/>
              </w:rPr>
              <w:t>7/4, 7/6, 7/12, 7/13, 7/14, 7/17, 7/19, 7/21, 7/23, 7/30, 7/31, 7/33, 7/34, 7/44, 7/46, 7/62, 7/65</w:t>
            </w:r>
          </w:p>
        </w:tc>
      </w:tr>
      <w:tr w:rsidR="00660BB5" w:rsidRPr="00660BB5" w14:paraId="7FDCD435" w14:textId="77777777" w:rsidTr="00660BB5">
        <w:trPr>
          <w:trHeight w:val="269"/>
        </w:trPr>
        <w:tc>
          <w:tcPr>
            <w:tcW w:w="3233" w:type="dxa"/>
            <w:shd w:val="clear" w:color="auto" w:fill="auto"/>
          </w:tcPr>
          <w:p w14:paraId="07E85492" w14:textId="77777777" w:rsidR="008643F3" w:rsidRPr="00660BB5" w:rsidRDefault="008643F3" w:rsidP="008049D6">
            <w:pPr>
              <w:spacing w:line="260" w:lineRule="exact"/>
              <w:ind w:left="108"/>
              <w:rPr>
                <w:szCs w:val="20"/>
              </w:rPr>
            </w:pPr>
            <w:r w:rsidRPr="00660BB5">
              <w:rPr>
                <w:szCs w:val="20"/>
              </w:rPr>
              <w:t xml:space="preserve">katastrska občina </w:t>
            </w:r>
          </w:p>
        </w:tc>
        <w:tc>
          <w:tcPr>
            <w:tcW w:w="5253" w:type="dxa"/>
            <w:shd w:val="clear" w:color="auto" w:fill="auto"/>
          </w:tcPr>
          <w:p w14:paraId="77011703" w14:textId="29803B2E" w:rsidR="008643F3" w:rsidRPr="00660BB5" w:rsidRDefault="008643F3" w:rsidP="008049D6">
            <w:pPr>
              <w:spacing w:line="260" w:lineRule="exact"/>
              <w:rPr>
                <w:szCs w:val="20"/>
              </w:rPr>
            </w:pPr>
            <w:r w:rsidRPr="00660BB5">
              <w:rPr>
                <w:szCs w:val="20"/>
              </w:rPr>
              <w:t xml:space="preserve">Sp. Kanomlja </w:t>
            </w:r>
            <w:r w:rsidR="00281833" w:rsidRPr="00660BB5">
              <w:rPr>
                <w:szCs w:val="20"/>
              </w:rPr>
              <w:t>(2352)</w:t>
            </w:r>
          </w:p>
        </w:tc>
      </w:tr>
    </w:tbl>
    <w:p w14:paraId="2248A34B" w14:textId="77777777" w:rsidR="008643F3" w:rsidRPr="00660BB5" w:rsidRDefault="008643F3" w:rsidP="008049D6">
      <w:pPr>
        <w:spacing w:line="260" w:lineRule="exact"/>
        <w:rPr>
          <w:highlight w:val="yellow"/>
        </w:rPr>
      </w:pPr>
    </w:p>
    <w:p w14:paraId="44CABB25" w14:textId="267AE00B" w:rsidR="008C4397" w:rsidRPr="00660BB5" w:rsidRDefault="008C4397" w:rsidP="008049D6">
      <w:pPr>
        <w:pStyle w:val="NatevanjeIIIIII"/>
        <w:spacing w:line="260" w:lineRule="exact"/>
      </w:pPr>
      <w:r w:rsidRPr="00660BB5">
        <w:t>Zagotavljanje komunalne oskrbe in priključevanje na infrastrukturo</w:t>
      </w:r>
    </w:p>
    <w:tbl>
      <w:tblPr>
        <w:tblW w:w="8539" w:type="dxa"/>
        <w:tblInd w:w="-34" w:type="dxa"/>
        <w:tblBorders>
          <w:top w:val="dashSmallGap" w:sz="4" w:space="0" w:color="000000"/>
          <w:bottom w:val="dashSmallGap" w:sz="4" w:space="0" w:color="000000"/>
          <w:insideH w:val="dashSmallGap" w:sz="4" w:space="0" w:color="000000"/>
          <w:insideV w:val="dashSmallGap" w:sz="4" w:space="0" w:color="000000"/>
        </w:tblBorders>
        <w:tblLook w:val="04A0" w:firstRow="1" w:lastRow="0" w:firstColumn="1" w:lastColumn="0" w:noHBand="0" w:noVBand="1"/>
      </w:tblPr>
      <w:tblGrid>
        <w:gridCol w:w="3295"/>
        <w:gridCol w:w="1816"/>
        <w:gridCol w:w="1160"/>
        <w:gridCol w:w="1134"/>
        <w:gridCol w:w="1134"/>
      </w:tblGrid>
      <w:tr w:rsidR="00660BB5" w:rsidRPr="00660BB5" w14:paraId="2F6512B6" w14:textId="77777777" w:rsidTr="00660BB5">
        <w:trPr>
          <w:trHeight w:val="540"/>
        </w:trPr>
        <w:tc>
          <w:tcPr>
            <w:tcW w:w="3295" w:type="dxa"/>
            <w:shd w:val="clear" w:color="auto" w:fill="auto"/>
            <w:hideMark/>
          </w:tcPr>
          <w:p w14:paraId="307A5AA7" w14:textId="77777777" w:rsidR="008C4397" w:rsidRPr="00660BB5" w:rsidRDefault="008C4397" w:rsidP="008049D6">
            <w:pPr>
              <w:spacing w:line="260" w:lineRule="exact"/>
              <w:ind w:right="-7"/>
              <w:rPr>
                <w:bCs/>
                <w:noProof/>
                <w:snapToGrid w:val="0"/>
              </w:rPr>
            </w:pPr>
            <w:r w:rsidRPr="00660BB5">
              <w:rPr>
                <w:bCs/>
                <w:noProof/>
                <w:snapToGrid w:val="0"/>
              </w:rPr>
              <w:t> </w:t>
            </w:r>
          </w:p>
        </w:tc>
        <w:tc>
          <w:tcPr>
            <w:tcW w:w="1816" w:type="dxa"/>
            <w:shd w:val="clear" w:color="auto" w:fill="auto"/>
            <w:hideMark/>
          </w:tcPr>
          <w:p w14:paraId="60F474D5" w14:textId="77777777" w:rsidR="008C4397" w:rsidRPr="00660BB5" w:rsidRDefault="008C4397" w:rsidP="008049D6">
            <w:pPr>
              <w:spacing w:line="260" w:lineRule="exact"/>
              <w:ind w:right="-7"/>
              <w:rPr>
                <w:bCs/>
                <w:noProof/>
                <w:snapToGrid w:val="0"/>
              </w:rPr>
            </w:pPr>
            <w:r w:rsidRPr="00660BB5">
              <w:rPr>
                <w:bCs/>
                <w:noProof/>
                <w:snapToGrid w:val="0"/>
              </w:rPr>
              <w:t>predvidena komunalna oskrba</w:t>
            </w:r>
          </w:p>
        </w:tc>
        <w:tc>
          <w:tcPr>
            <w:tcW w:w="1160" w:type="dxa"/>
            <w:shd w:val="clear" w:color="auto" w:fill="auto"/>
            <w:hideMark/>
          </w:tcPr>
          <w:p w14:paraId="1D330A1D" w14:textId="77777777" w:rsidR="008C4397" w:rsidRPr="00660BB5" w:rsidRDefault="008C4397" w:rsidP="008049D6">
            <w:pPr>
              <w:spacing w:line="260" w:lineRule="exact"/>
              <w:ind w:right="-7"/>
              <w:rPr>
                <w:bCs/>
                <w:noProof/>
                <w:snapToGrid w:val="0"/>
              </w:rPr>
            </w:pPr>
            <w:r w:rsidRPr="00660BB5">
              <w:rPr>
                <w:bCs/>
                <w:noProof/>
                <w:snapToGrid w:val="0"/>
              </w:rPr>
              <w:t>lokacija priključitve</w:t>
            </w:r>
          </w:p>
        </w:tc>
        <w:tc>
          <w:tcPr>
            <w:tcW w:w="1134" w:type="dxa"/>
            <w:shd w:val="clear" w:color="auto" w:fill="auto"/>
            <w:hideMark/>
          </w:tcPr>
          <w:p w14:paraId="4A17C23E" w14:textId="77777777" w:rsidR="008C4397" w:rsidRPr="00660BB5" w:rsidRDefault="008C4397" w:rsidP="008049D6">
            <w:pPr>
              <w:spacing w:line="260" w:lineRule="exact"/>
              <w:ind w:right="-7"/>
              <w:rPr>
                <w:bCs/>
                <w:noProof/>
                <w:snapToGrid w:val="0"/>
              </w:rPr>
            </w:pPr>
            <w:r w:rsidRPr="00660BB5">
              <w:rPr>
                <w:bCs/>
                <w:noProof/>
                <w:snapToGrid w:val="0"/>
              </w:rPr>
              <w:t>k.o.</w:t>
            </w:r>
          </w:p>
        </w:tc>
        <w:tc>
          <w:tcPr>
            <w:tcW w:w="1134" w:type="dxa"/>
            <w:shd w:val="clear" w:color="auto" w:fill="auto"/>
            <w:hideMark/>
          </w:tcPr>
          <w:p w14:paraId="0C8397D9" w14:textId="77777777" w:rsidR="008C4397" w:rsidRPr="00660BB5" w:rsidRDefault="008C4397" w:rsidP="008049D6">
            <w:pPr>
              <w:spacing w:line="260" w:lineRule="exact"/>
              <w:ind w:right="-7"/>
              <w:rPr>
                <w:bCs/>
                <w:noProof/>
                <w:snapToGrid w:val="0"/>
              </w:rPr>
            </w:pPr>
            <w:r w:rsidRPr="00660BB5">
              <w:rPr>
                <w:bCs/>
                <w:noProof/>
                <w:snapToGrid w:val="0"/>
              </w:rPr>
              <w:t>parcelna št.</w:t>
            </w:r>
          </w:p>
        </w:tc>
      </w:tr>
      <w:tr w:rsidR="00660BB5" w:rsidRPr="00660BB5" w14:paraId="0FC719BA" w14:textId="77777777" w:rsidTr="00660BB5">
        <w:trPr>
          <w:trHeight w:val="540"/>
        </w:trPr>
        <w:tc>
          <w:tcPr>
            <w:tcW w:w="3295" w:type="dxa"/>
            <w:shd w:val="clear" w:color="auto" w:fill="auto"/>
            <w:noWrap/>
            <w:hideMark/>
          </w:tcPr>
          <w:p w14:paraId="538B9068" w14:textId="77777777" w:rsidR="008C4397" w:rsidRPr="00660BB5" w:rsidRDefault="008C4397" w:rsidP="008049D6">
            <w:pPr>
              <w:spacing w:line="260" w:lineRule="exact"/>
              <w:ind w:right="-7"/>
              <w:rPr>
                <w:bCs/>
                <w:noProof/>
                <w:snapToGrid w:val="0"/>
              </w:rPr>
            </w:pPr>
            <w:r w:rsidRPr="00660BB5">
              <w:rPr>
                <w:bCs/>
                <w:noProof/>
                <w:snapToGrid w:val="0"/>
              </w:rPr>
              <w:t>oskrba s pitno vodo</w:t>
            </w:r>
          </w:p>
        </w:tc>
        <w:tc>
          <w:tcPr>
            <w:tcW w:w="1816" w:type="dxa"/>
            <w:shd w:val="clear" w:color="auto" w:fill="auto"/>
            <w:hideMark/>
          </w:tcPr>
          <w:p w14:paraId="2C2FB9C7" w14:textId="354D49DC" w:rsidR="008C4397" w:rsidRPr="00660BB5" w:rsidRDefault="008C4397" w:rsidP="008049D6">
            <w:pPr>
              <w:spacing w:line="260" w:lineRule="exact"/>
              <w:ind w:right="-7"/>
              <w:rPr>
                <w:bCs/>
                <w:noProof/>
                <w:snapToGrid w:val="0"/>
              </w:rPr>
            </w:pPr>
            <w:r w:rsidRPr="00660BB5">
              <w:rPr>
                <w:bCs/>
                <w:noProof/>
                <w:snapToGrid w:val="0"/>
              </w:rPr>
              <w:t>obstoječ priključek</w:t>
            </w:r>
          </w:p>
        </w:tc>
        <w:tc>
          <w:tcPr>
            <w:tcW w:w="1160" w:type="dxa"/>
            <w:shd w:val="clear" w:color="auto" w:fill="auto"/>
          </w:tcPr>
          <w:p w14:paraId="3DF6D285" w14:textId="711759C1" w:rsidR="008C4397" w:rsidRPr="00660BB5" w:rsidRDefault="008C4397" w:rsidP="008049D6">
            <w:pPr>
              <w:spacing w:line="260" w:lineRule="exact"/>
              <w:ind w:right="-7"/>
              <w:rPr>
                <w:bCs/>
                <w:noProof/>
                <w:snapToGrid w:val="0"/>
              </w:rPr>
            </w:pPr>
          </w:p>
        </w:tc>
        <w:tc>
          <w:tcPr>
            <w:tcW w:w="1134" w:type="dxa"/>
            <w:shd w:val="clear" w:color="auto" w:fill="auto"/>
          </w:tcPr>
          <w:p w14:paraId="40F7203E" w14:textId="7FD56822" w:rsidR="008C4397" w:rsidRPr="00660BB5" w:rsidRDefault="008C4397" w:rsidP="008049D6">
            <w:pPr>
              <w:spacing w:line="260" w:lineRule="exact"/>
              <w:ind w:right="-7"/>
              <w:rPr>
                <w:bCs/>
                <w:noProof/>
                <w:snapToGrid w:val="0"/>
              </w:rPr>
            </w:pPr>
          </w:p>
        </w:tc>
        <w:tc>
          <w:tcPr>
            <w:tcW w:w="1134" w:type="dxa"/>
            <w:shd w:val="clear" w:color="auto" w:fill="auto"/>
            <w:hideMark/>
          </w:tcPr>
          <w:p w14:paraId="639CC1E3" w14:textId="3908DE28" w:rsidR="008C4397" w:rsidRPr="00660BB5" w:rsidRDefault="008C4397" w:rsidP="008049D6">
            <w:pPr>
              <w:spacing w:line="260" w:lineRule="exact"/>
              <w:ind w:right="-7"/>
              <w:rPr>
                <w:bCs/>
                <w:noProof/>
                <w:snapToGrid w:val="0"/>
              </w:rPr>
            </w:pPr>
          </w:p>
        </w:tc>
      </w:tr>
      <w:tr w:rsidR="00660BB5" w:rsidRPr="00660BB5" w14:paraId="4CDFB192" w14:textId="77777777" w:rsidTr="00660BB5">
        <w:trPr>
          <w:trHeight w:val="549"/>
        </w:trPr>
        <w:tc>
          <w:tcPr>
            <w:tcW w:w="3295" w:type="dxa"/>
            <w:shd w:val="clear" w:color="auto" w:fill="auto"/>
            <w:noWrap/>
            <w:hideMark/>
          </w:tcPr>
          <w:p w14:paraId="6432BC80" w14:textId="77777777" w:rsidR="008C4397" w:rsidRPr="00660BB5" w:rsidRDefault="008C4397" w:rsidP="008049D6">
            <w:pPr>
              <w:spacing w:line="260" w:lineRule="exact"/>
              <w:ind w:right="-7"/>
              <w:rPr>
                <w:bCs/>
                <w:noProof/>
                <w:snapToGrid w:val="0"/>
              </w:rPr>
            </w:pPr>
            <w:r w:rsidRPr="00660BB5">
              <w:rPr>
                <w:bCs/>
                <w:noProof/>
                <w:snapToGrid w:val="0"/>
              </w:rPr>
              <w:t>elektrika</w:t>
            </w:r>
          </w:p>
        </w:tc>
        <w:tc>
          <w:tcPr>
            <w:tcW w:w="1816" w:type="dxa"/>
            <w:shd w:val="clear" w:color="auto" w:fill="auto"/>
            <w:hideMark/>
          </w:tcPr>
          <w:p w14:paraId="097662BB" w14:textId="77777777" w:rsidR="008C4397" w:rsidRPr="00660BB5" w:rsidRDefault="008C4397" w:rsidP="008049D6">
            <w:pPr>
              <w:spacing w:line="260" w:lineRule="exact"/>
              <w:ind w:right="-7"/>
              <w:rPr>
                <w:bCs/>
                <w:noProof/>
                <w:snapToGrid w:val="0"/>
              </w:rPr>
            </w:pPr>
            <w:r w:rsidRPr="00660BB5">
              <w:rPr>
                <w:bCs/>
                <w:noProof/>
                <w:snapToGrid w:val="0"/>
              </w:rPr>
              <w:t>nov priključek</w:t>
            </w:r>
          </w:p>
        </w:tc>
        <w:tc>
          <w:tcPr>
            <w:tcW w:w="1160" w:type="dxa"/>
            <w:shd w:val="clear" w:color="auto" w:fill="auto"/>
            <w:hideMark/>
          </w:tcPr>
          <w:p w14:paraId="1DB64673" w14:textId="538DEE12" w:rsidR="008C4397" w:rsidRPr="00660BB5" w:rsidRDefault="008C4397" w:rsidP="008049D6">
            <w:pPr>
              <w:spacing w:line="260" w:lineRule="exact"/>
              <w:ind w:right="-7"/>
              <w:rPr>
                <w:bCs/>
                <w:noProof/>
                <w:snapToGrid w:val="0"/>
              </w:rPr>
            </w:pPr>
          </w:p>
        </w:tc>
        <w:tc>
          <w:tcPr>
            <w:tcW w:w="1134" w:type="dxa"/>
            <w:shd w:val="clear" w:color="auto" w:fill="auto"/>
          </w:tcPr>
          <w:p w14:paraId="74B96B30" w14:textId="60F3E43F" w:rsidR="008C4397" w:rsidRPr="00660BB5" w:rsidRDefault="008C4397" w:rsidP="008049D6">
            <w:pPr>
              <w:spacing w:line="260" w:lineRule="exact"/>
              <w:ind w:right="-7"/>
              <w:rPr>
                <w:bCs/>
                <w:noProof/>
                <w:snapToGrid w:val="0"/>
              </w:rPr>
            </w:pPr>
            <w:r w:rsidRPr="00660BB5">
              <w:rPr>
                <w:bCs/>
                <w:noProof/>
                <w:snapToGrid w:val="0"/>
              </w:rPr>
              <w:t>Sp. Kanomlja</w:t>
            </w:r>
          </w:p>
        </w:tc>
        <w:tc>
          <w:tcPr>
            <w:tcW w:w="1134" w:type="dxa"/>
            <w:shd w:val="clear" w:color="auto" w:fill="auto"/>
          </w:tcPr>
          <w:p w14:paraId="0852003C" w14:textId="2804BFE4" w:rsidR="008C4397" w:rsidRPr="00660BB5" w:rsidRDefault="008C4397" w:rsidP="008049D6">
            <w:pPr>
              <w:spacing w:line="260" w:lineRule="exact"/>
              <w:ind w:right="-7"/>
              <w:rPr>
                <w:bCs/>
                <w:noProof/>
                <w:snapToGrid w:val="0"/>
              </w:rPr>
            </w:pPr>
            <w:r w:rsidRPr="00660BB5">
              <w:rPr>
                <w:bCs/>
                <w:noProof/>
                <w:snapToGrid w:val="0"/>
              </w:rPr>
              <w:t>7/23</w:t>
            </w:r>
          </w:p>
        </w:tc>
      </w:tr>
      <w:tr w:rsidR="00660BB5" w:rsidRPr="00660BB5" w14:paraId="3B6538B3" w14:textId="77777777" w:rsidTr="00660BB5">
        <w:trPr>
          <w:trHeight w:val="525"/>
        </w:trPr>
        <w:tc>
          <w:tcPr>
            <w:tcW w:w="3295" w:type="dxa"/>
            <w:shd w:val="clear" w:color="auto" w:fill="auto"/>
            <w:noWrap/>
          </w:tcPr>
          <w:p w14:paraId="3CAC1B96" w14:textId="3E246DB1" w:rsidR="008C4397" w:rsidRPr="00660BB5" w:rsidRDefault="003713A8" w:rsidP="008049D6">
            <w:pPr>
              <w:spacing w:line="260" w:lineRule="exact"/>
              <w:ind w:right="-7"/>
              <w:rPr>
                <w:noProof/>
              </w:rPr>
            </w:pPr>
            <w:r w:rsidRPr="00660BB5">
              <w:rPr>
                <w:noProof/>
              </w:rPr>
              <w:t>plin</w:t>
            </w:r>
          </w:p>
        </w:tc>
        <w:tc>
          <w:tcPr>
            <w:tcW w:w="1816" w:type="dxa"/>
            <w:shd w:val="clear" w:color="auto" w:fill="auto"/>
          </w:tcPr>
          <w:p w14:paraId="31AB1266" w14:textId="27E4303A" w:rsidR="008C4397" w:rsidRPr="00660BB5" w:rsidRDefault="003713A8" w:rsidP="008049D6">
            <w:pPr>
              <w:spacing w:line="260" w:lineRule="exact"/>
              <w:ind w:right="-7"/>
              <w:rPr>
                <w:strike/>
                <w:noProof/>
              </w:rPr>
            </w:pPr>
            <w:r w:rsidRPr="00660BB5">
              <w:rPr>
                <w:bCs/>
                <w:noProof/>
                <w:snapToGrid w:val="0"/>
              </w:rPr>
              <w:t xml:space="preserve">obstoječ </w:t>
            </w:r>
            <w:r w:rsidR="008C4397" w:rsidRPr="00660BB5">
              <w:rPr>
                <w:noProof/>
              </w:rPr>
              <w:t>priključek</w:t>
            </w:r>
          </w:p>
        </w:tc>
        <w:tc>
          <w:tcPr>
            <w:tcW w:w="1160" w:type="dxa"/>
            <w:shd w:val="clear" w:color="auto" w:fill="auto"/>
            <w:hideMark/>
          </w:tcPr>
          <w:p w14:paraId="0AEDA2C8" w14:textId="77777777" w:rsidR="008C4397" w:rsidRPr="00660BB5" w:rsidRDefault="008C4397" w:rsidP="008049D6">
            <w:pPr>
              <w:spacing w:line="260" w:lineRule="exact"/>
              <w:ind w:right="-7"/>
              <w:rPr>
                <w:strike/>
                <w:noProof/>
              </w:rPr>
            </w:pPr>
          </w:p>
        </w:tc>
        <w:tc>
          <w:tcPr>
            <w:tcW w:w="1134" w:type="dxa"/>
            <w:shd w:val="clear" w:color="auto" w:fill="auto"/>
          </w:tcPr>
          <w:p w14:paraId="598A9052" w14:textId="243F7D79" w:rsidR="008C4397" w:rsidRPr="00660BB5" w:rsidRDefault="008C4397" w:rsidP="008049D6">
            <w:pPr>
              <w:spacing w:line="260" w:lineRule="exact"/>
              <w:ind w:right="-7"/>
              <w:rPr>
                <w:strike/>
                <w:noProof/>
              </w:rPr>
            </w:pPr>
          </w:p>
        </w:tc>
        <w:tc>
          <w:tcPr>
            <w:tcW w:w="1134" w:type="dxa"/>
            <w:shd w:val="clear" w:color="auto" w:fill="auto"/>
          </w:tcPr>
          <w:p w14:paraId="33CF8670" w14:textId="6FE74827" w:rsidR="008C4397" w:rsidRPr="00660BB5" w:rsidRDefault="008C4397" w:rsidP="008049D6">
            <w:pPr>
              <w:spacing w:line="260" w:lineRule="exact"/>
              <w:ind w:right="-7"/>
              <w:rPr>
                <w:strike/>
                <w:noProof/>
              </w:rPr>
            </w:pPr>
          </w:p>
        </w:tc>
      </w:tr>
      <w:tr w:rsidR="00660BB5" w:rsidRPr="00660BB5" w14:paraId="5239B086" w14:textId="77777777" w:rsidTr="00660BB5">
        <w:trPr>
          <w:trHeight w:val="570"/>
        </w:trPr>
        <w:tc>
          <w:tcPr>
            <w:tcW w:w="3295" w:type="dxa"/>
            <w:shd w:val="clear" w:color="auto" w:fill="auto"/>
            <w:noWrap/>
            <w:hideMark/>
          </w:tcPr>
          <w:p w14:paraId="353D05D7" w14:textId="77777777" w:rsidR="008C4397" w:rsidRPr="00660BB5" w:rsidRDefault="008C4397" w:rsidP="008049D6">
            <w:pPr>
              <w:spacing w:line="260" w:lineRule="exact"/>
              <w:ind w:right="-7"/>
              <w:rPr>
                <w:bCs/>
                <w:noProof/>
                <w:snapToGrid w:val="0"/>
              </w:rPr>
            </w:pPr>
            <w:r w:rsidRPr="00660BB5">
              <w:rPr>
                <w:bCs/>
                <w:noProof/>
                <w:snapToGrid w:val="0"/>
              </w:rPr>
              <w:t>odvajanje fekalnih voda</w:t>
            </w:r>
          </w:p>
        </w:tc>
        <w:tc>
          <w:tcPr>
            <w:tcW w:w="1816" w:type="dxa"/>
            <w:shd w:val="clear" w:color="auto" w:fill="auto"/>
            <w:hideMark/>
          </w:tcPr>
          <w:p w14:paraId="0115E8A5" w14:textId="77777777" w:rsidR="008C4397" w:rsidRPr="00660BB5" w:rsidRDefault="008C4397" w:rsidP="008049D6">
            <w:pPr>
              <w:spacing w:line="260" w:lineRule="exact"/>
              <w:ind w:right="-7"/>
              <w:rPr>
                <w:bCs/>
                <w:noProof/>
                <w:snapToGrid w:val="0"/>
              </w:rPr>
            </w:pPr>
            <w:r w:rsidRPr="00660BB5">
              <w:rPr>
                <w:bCs/>
                <w:noProof/>
                <w:snapToGrid w:val="0"/>
              </w:rPr>
              <w:t>nov priključek</w:t>
            </w:r>
          </w:p>
        </w:tc>
        <w:tc>
          <w:tcPr>
            <w:tcW w:w="1160" w:type="dxa"/>
            <w:shd w:val="clear" w:color="auto" w:fill="auto"/>
            <w:hideMark/>
          </w:tcPr>
          <w:p w14:paraId="408AA5C2" w14:textId="781AF057" w:rsidR="008C4397" w:rsidRPr="00660BB5" w:rsidRDefault="008C4397" w:rsidP="008049D6">
            <w:pPr>
              <w:spacing w:line="260" w:lineRule="exact"/>
              <w:ind w:right="-7"/>
              <w:rPr>
                <w:bCs/>
                <w:noProof/>
                <w:snapToGrid w:val="0"/>
              </w:rPr>
            </w:pPr>
          </w:p>
        </w:tc>
        <w:tc>
          <w:tcPr>
            <w:tcW w:w="1134" w:type="dxa"/>
            <w:shd w:val="clear" w:color="auto" w:fill="auto"/>
          </w:tcPr>
          <w:p w14:paraId="2205D693" w14:textId="0A620802" w:rsidR="008C4397" w:rsidRPr="00660BB5" w:rsidRDefault="008C4397" w:rsidP="008049D6">
            <w:pPr>
              <w:spacing w:line="260" w:lineRule="exact"/>
              <w:ind w:right="-7"/>
              <w:rPr>
                <w:bCs/>
                <w:noProof/>
                <w:snapToGrid w:val="0"/>
              </w:rPr>
            </w:pPr>
            <w:r w:rsidRPr="00660BB5">
              <w:rPr>
                <w:bCs/>
                <w:noProof/>
                <w:snapToGrid w:val="0"/>
              </w:rPr>
              <w:t>Sp. Kanomlja</w:t>
            </w:r>
          </w:p>
        </w:tc>
        <w:tc>
          <w:tcPr>
            <w:tcW w:w="1134" w:type="dxa"/>
            <w:shd w:val="clear" w:color="auto" w:fill="auto"/>
          </w:tcPr>
          <w:p w14:paraId="55059533" w14:textId="7A9EB0C8" w:rsidR="008C4397" w:rsidRPr="00660BB5" w:rsidRDefault="003713A8" w:rsidP="008049D6">
            <w:pPr>
              <w:spacing w:line="260" w:lineRule="exact"/>
              <w:ind w:right="-7"/>
              <w:rPr>
                <w:bCs/>
                <w:noProof/>
                <w:snapToGrid w:val="0"/>
              </w:rPr>
            </w:pPr>
            <w:r w:rsidRPr="00660BB5">
              <w:rPr>
                <w:bCs/>
                <w:noProof/>
                <w:snapToGrid w:val="0"/>
              </w:rPr>
              <w:t>7/64</w:t>
            </w:r>
          </w:p>
        </w:tc>
      </w:tr>
      <w:tr w:rsidR="00660BB5" w:rsidRPr="00660BB5" w14:paraId="5255DBCC" w14:textId="77777777" w:rsidTr="00660BB5">
        <w:trPr>
          <w:trHeight w:val="573"/>
        </w:trPr>
        <w:tc>
          <w:tcPr>
            <w:tcW w:w="3295" w:type="dxa"/>
            <w:shd w:val="clear" w:color="auto" w:fill="auto"/>
            <w:noWrap/>
            <w:hideMark/>
          </w:tcPr>
          <w:p w14:paraId="0A35ED35" w14:textId="77777777" w:rsidR="008C4397" w:rsidRPr="00660BB5" w:rsidRDefault="008C4397" w:rsidP="008049D6">
            <w:pPr>
              <w:spacing w:line="260" w:lineRule="exact"/>
              <w:ind w:right="-7"/>
              <w:rPr>
                <w:bCs/>
                <w:noProof/>
                <w:snapToGrid w:val="0"/>
              </w:rPr>
            </w:pPr>
            <w:r w:rsidRPr="00660BB5">
              <w:rPr>
                <w:bCs/>
                <w:noProof/>
                <w:snapToGrid w:val="0"/>
              </w:rPr>
              <w:t>odvajanje meteornih voda</w:t>
            </w:r>
          </w:p>
        </w:tc>
        <w:tc>
          <w:tcPr>
            <w:tcW w:w="1816" w:type="dxa"/>
            <w:shd w:val="clear" w:color="auto" w:fill="auto"/>
            <w:hideMark/>
          </w:tcPr>
          <w:p w14:paraId="51D9CCA4" w14:textId="77777777" w:rsidR="008C4397" w:rsidRPr="00660BB5" w:rsidRDefault="008C4397" w:rsidP="008049D6">
            <w:pPr>
              <w:spacing w:line="260" w:lineRule="exact"/>
              <w:ind w:right="-7"/>
              <w:rPr>
                <w:bCs/>
                <w:noProof/>
                <w:snapToGrid w:val="0"/>
              </w:rPr>
            </w:pPr>
            <w:r w:rsidRPr="00660BB5">
              <w:rPr>
                <w:bCs/>
                <w:noProof/>
                <w:snapToGrid w:val="0"/>
              </w:rPr>
              <w:t>nov priključek</w:t>
            </w:r>
          </w:p>
        </w:tc>
        <w:tc>
          <w:tcPr>
            <w:tcW w:w="1160" w:type="dxa"/>
            <w:shd w:val="clear" w:color="auto" w:fill="auto"/>
          </w:tcPr>
          <w:p w14:paraId="2B8C86DF" w14:textId="34F0D11B" w:rsidR="008C4397" w:rsidRPr="00660BB5" w:rsidRDefault="008C4397" w:rsidP="008049D6">
            <w:pPr>
              <w:spacing w:line="260" w:lineRule="exact"/>
              <w:ind w:right="-7"/>
              <w:rPr>
                <w:bCs/>
                <w:noProof/>
                <w:snapToGrid w:val="0"/>
              </w:rPr>
            </w:pPr>
          </w:p>
        </w:tc>
        <w:tc>
          <w:tcPr>
            <w:tcW w:w="1134" w:type="dxa"/>
            <w:shd w:val="clear" w:color="auto" w:fill="auto"/>
          </w:tcPr>
          <w:p w14:paraId="491EE3F1" w14:textId="12394B7B" w:rsidR="008C4397" w:rsidRPr="00660BB5" w:rsidRDefault="008C4397" w:rsidP="008049D6">
            <w:pPr>
              <w:spacing w:line="260" w:lineRule="exact"/>
              <w:ind w:right="-7"/>
              <w:rPr>
                <w:bCs/>
                <w:noProof/>
                <w:snapToGrid w:val="0"/>
              </w:rPr>
            </w:pPr>
            <w:r w:rsidRPr="00660BB5">
              <w:rPr>
                <w:bCs/>
                <w:noProof/>
                <w:snapToGrid w:val="0"/>
              </w:rPr>
              <w:t>Sp. Kanomlja</w:t>
            </w:r>
          </w:p>
        </w:tc>
        <w:tc>
          <w:tcPr>
            <w:tcW w:w="1134" w:type="dxa"/>
            <w:shd w:val="clear" w:color="auto" w:fill="auto"/>
          </w:tcPr>
          <w:p w14:paraId="411B609A" w14:textId="7623F82D" w:rsidR="008C4397" w:rsidRPr="00660BB5" w:rsidRDefault="003713A8" w:rsidP="008049D6">
            <w:pPr>
              <w:spacing w:line="260" w:lineRule="exact"/>
              <w:ind w:right="-7"/>
              <w:rPr>
                <w:bCs/>
                <w:noProof/>
                <w:snapToGrid w:val="0"/>
                <w:highlight w:val="cyan"/>
              </w:rPr>
            </w:pPr>
            <w:r w:rsidRPr="00660BB5">
              <w:rPr>
                <w:bCs/>
                <w:noProof/>
                <w:snapToGrid w:val="0"/>
              </w:rPr>
              <w:t>7/21</w:t>
            </w:r>
            <w:r w:rsidR="00281833" w:rsidRPr="00660BB5">
              <w:rPr>
                <w:bCs/>
                <w:noProof/>
                <w:snapToGrid w:val="0"/>
              </w:rPr>
              <w:t xml:space="preserve"> </w:t>
            </w:r>
          </w:p>
        </w:tc>
      </w:tr>
      <w:tr w:rsidR="00660BB5" w:rsidRPr="00660BB5" w14:paraId="6B028D7F" w14:textId="77777777" w:rsidTr="00660BB5">
        <w:trPr>
          <w:trHeight w:val="585"/>
        </w:trPr>
        <w:tc>
          <w:tcPr>
            <w:tcW w:w="3295" w:type="dxa"/>
            <w:shd w:val="clear" w:color="auto" w:fill="auto"/>
            <w:noWrap/>
            <w:hideMark/>
          </w:tcPr>
          <w:p w14:paraId="42DDF182" w14:textId="77777777" w:rsidR="008C4397" w:rsidRPr="00660BB5" w:rsidRDefault="008C4397" w:rsidP="008049D6">
            <w:pPr>
              <w:spacing w:line="260" w:lineRule="exact"/>
              <w:ind w:right="-7"/>
              <w:rPr>
                <w:bCs/>
                <w:noProof/>
                <w:snapToGrid w:val="0"/>
              </w:rPr>
            </w:pPr>
            <w:r w:rsidRPr="00660BB5">
              <w:rPr>
                <w:bCs/>
                <w:noProof/>
                <w:snapToGrid w:val="0"/>
              </w:rPr>
              <w:t>dostop do javne poti ali ceste</w:t>
            </w:r>
          </w:p>
        </w:tc>
        <w:tc>
          <w:tcPr>
            <w:tcW w:w="1816" w:type="dxa"/>
            <w:shd w:val="clear" w:color="auto" w:fill="auto"/>
            <w:hideMark/>
          </w:tcPr>
          <w:p w14:paraId="5786DE3E" w14:textId="6C9DAC0C" w:rsidR="008C4397" w:rsidRPr="00660BB5" w:rsidRDefault="008049D6" w:rsidP="008049D6">
            <w:pPr>
              <w:spacing w:line="260" w:lineRule="exact"/>
              <w:ind w:right="-7"/>
              <w:rPr>
                <w:bCs/>
                <w:noProof/>
                <w:snapToGrid w:val="0"/>
              </w:rPr>
            </w:pPr>
            <w:r w:rsidRPr="00660BB5">
              <w:rPr>
                <w:bCs/>
                <w:noProof/>
                <w:snapToGrid w:val="0"/>
              </w:rPr>
              <w:t>o</w:t>
            </w:r>
            <w:r w:rsidR="003713A8" w:rsidRPr="00660BB5">
              <w:rPr>
                <w:bCs/>
                <w:noProof/>
                <w:snapToGrid w:val="0"/>
              </w:rPr>
              <w:t>bstoječ dostop</w:t>
            </w:r>
          </w:p>
        </w:tc>
        <w:tc>
          <w:tcPr>
            <w:tcW w:w="1160" w:type="dxa"/>
            <w:shd w:val="clear" w:color="auto" w:fill="auto"/>
            <w:hideMark/>
          </w:tcPr>
          <w:p w14:paraId="6C08DE71" w14:textId="79741256" w:rsidR="008C4397" w:rsidRPr="00660BB5" w:rsidRDefault="008C4397" w:rsidP="008049D6">
            <w:pPr>
              <w:spacing w:line="260" w:lineRule="exact"/>
              <w:ind w:right="-7"/>
              <w:rPr>
                <w:bCs/>
                <w:noProof/>
                <w:snapToGrid w:val="0"/>
              </w:rPr>
            </w:pPr>
          </w:p>
        </w:tc>
        <w:tc>
          <w:tcPr>
            <w:tcW w:w="1134" w:type="dxa"/>
            <w:shd w:val="clear" w:color="auto" w:fill="auto"/>
          </w:tcPr>
          <w:p w14:paraId="2B4A80CD" w14:textId="342BBB2F" w:rsidR="008C4397" w:rsidRPr="00660BB5" w:rsidRDefault="008C4397" w:rsidP="008049D6">
            <w:pPr>
              <w:spacing w:line="260" w:lineRule="exact"/>
              <w:ind w:right="-7"/>
              <w:rPr>
                <w:bCs/>
                <w:noProof/>
                <w:snapToGrid w:val="0"/>
              </w:rPr>
            </w:pPr>
          </w:p>
        </w:tc>
        <w:tc>
          <w:tcPr>
            <w:tcW w:w="1134" w:type="dxa"/>
            <w:shd w:val="clear" w:color="auto" w:fill="auto"/>
          </w:tcPr>
          <w:p w14:paraId="643BF3BD" w14:textId="5CF4BE0C" w:rsidR="008C4397" w:rsidRPr="00660BB5" w:rsidRDefault="008C4397" w:rsidP="008049D6">
            <w:pPr>
              <w:spacing w:line="260" w:lineRule="exact"/>
              <w:ind w:right="-7"/>
              <w:rPr>
                <w:bCs/>
                <w:noProof/>
                <w:snapToGrid w:val="0"/>
              </w:rPr>
            </w:pPr>
          </w:p>
        </w:tc>
      </w:tr>
    </w:tbl>
    <w:p w14:paraId="3D51E71D" w14:textId="77777777" w:rsidR="00F330AE" w:rsidRPr="00660BB5" w:rsidRDefault="00F330AE" w:rsidP="008049D6">
      <w:pPr>
        <w:spacing w:line="260" w:lineRule="exact"/>
        <w:rPr>
          <w:highlight w:val="yellow"/>
        </w:rPr>
      </w:pPr>
    </w:p>
    <w:p w14:paraId="2DA2BEF1" w14:textId="109D4693" w:rsidR="0084104A" w:rsidRPr="00660BB5" w:rsidRDefault="0084104A" w:rsidP="008049D6">
      <w:pPr>
        <w:pStyle w:val="NatevanjeIIIIII"/>
        <w:spacing w:line="260" w:lineRule="exact"/>
      </w:pPr>
      <w:bookmarkStart w:id="0" w:name="m3"/>
      <w:r w:rsidRPr="00660BB5">
        <w:t xml:space="preserve">Podrobnejši </w:t>
      </w:r>
      <w:proofErr w:type="spellStart"/>
      <w:r w:rsidRPr="00660BB5">
        <w:t>mikrolokacijski</w:t>
      </w:r>
      <w:proofErr w:type="spellEnd"/>
      <w:r w:rsidRPr="00660BB5">
        <w:t>, ekološki, tehnični, oblikovalski in okoljevarstveni pogoji obravnavanega posega, ki so za investitorja obvezujoči, so določeni v dokumentaciji, ki je sestavni del tega dovoljenja:</w:t>
      </w:r>
    </w:p>
    <w:p w14:paraId="7DFE7299" w14:textId="4A5B0520" w:rsidR="00AE59BE" w:rsidRPr="00660BB5" w:rsidRDefault="0010687F" w:rsidP="00EC3834">
      <w:pPr>
        <w:pStyle w:val="Zamik1"/>
      </w:pPr>
      <w:r w:rsidRPr="00660BB5">
        <w:t xml:space="preserve">Projektna dokumentacija za pridobitev mnenj in gradbenega dovoljenja (DGD) št. </w:t>
      </w:r>
      <w:r w:rsidR="00310E44" w:rsidRPr="00660BB5">
        <w:t>12/22,</w:t>
      </w:r>
      <w:r w:rsidR="00133AAA" w:rsidRPr="00660BB5">
        <w:t xml:space="preserve"> </w:t>
      </w:r>
      <w:r w:rsidR="00310E44" w:rsidRPr="00660BB5">
        <w:t>avgust</w:t>
      </w:r>
      <w:r w:rsidR="00A46E7C" w:rsidRPr="00660BB5">
        <w:t xml:space="preserve"> 2022</w:t>
      </w:r>
      <w:r w:rsidR="0000162C" w:rsidRPr="00660BB5">
        <w:t xml:space="preserve"> </w:t>
      </w:r>
      <w:r w:rsidR="00310E44" w:rsidRPr="00660BB5">
        <w:t>Božič d.o.o. Inženiring Idrija</w:t>
      </w:r>
      <w:r w:rsidR="00A70743" w:rsidRPr="00660BB5">
        <w:t>,</w:t>
      </w:r>
    </w:p>
    <w:p w14:paraId="257F64AD" w14:textId="2A941B84" w:rsidR="002265C7" w:rsidRPr="00660BB5" w:rsidRDefault="002265C7" w:rsidP="00EC3834">
      <w:pPr>
        <w:pStyle w:val="Zamik1"/>
      </w:pPr>
      <w:r w:rsidRPr="00660BB5">
        <w:rPr>
          <w:b/>
        </w:rPr>
        <w:lastRenderedPageBreak/>
        <w:t xml:space="preserve">Poročilo o vplivih na okolje (PVO) </w:t>
      </w:r>
      <w:r w:rsidR="00B20F50" w:rsidRPr="00660BB5">
        <w:rPr>
          <w:bCs/>
        </w:rPr>
        <w:t>za</w:t>
      </w:r>
      <w:r w:rsidR="00B20F50" w:rsidRPr="00660BB5">
        <w:rPr>
          <w:b/>
        </w:rPr>
        <w:t xml:space="preserve"> </w:t>
      </w:r>
      <w:r w:rsidR="00B20F50" w:rsidRPr="00660BB5">
        <w:rPr>
          <w:bCs/>
        </w:rPr>
        <w:t>prizidavo objekta EV-PLANT (2. faza), HIDRIA d.o.o.,</w:t>
      </w:r>
      <w:r w:rsidR="00B20F50" w:rsidRPr="00660BB5">
        <w:rPr>
          <w:b/>
        </w:rPr>
        <w:t xml:space="preserve"> </w:t>
      </w:r>
      <w:r w:rsidRPr="00660BB5">
        <w:t xml:space="preserve">št. </w:t>
      </w:r>
      <w:r w:rsidR="00B20F50" w:rsidRPr="00660BB5">
        <w:t>100422-dn</w:t>
      </w:r>
      <w:r w:rsidRPr="00660BB5">
        <w:t>, december 202</w:t>
      </w:r>
      <w:r w:rsidR="00B20F50" w:rsidRPr="00660BB5">
        <w:t>2</w:t>
      </w:r>
      <w:r w:rsidRPr="00660BB5">
        <w:t xml:space="preserve">, </w:t>
      </w:r>
      <w:proofErr w:type="spellStart"/>
      <w:r w:rsidR="00CD04EE" w:rsidRPr="00660BB5">
        <w:t>dop</w:t>
      </w:r>
      <w:proofErr w:type="spellEnd"/>
      <w:r w:rsidR="00CD04EE" w:rsidRPr="00660BB5">
        <w:t>. febr. 202</w:t>
      </w:r>
      <w:r w:rsidR="00B20F50" w:rsidRPr="00660BB5">
        <w:t>3</w:t>
      </w:r>
      <w:r w:rsidR="00CD04EE" w:rsidRPr="00660BB5">
        <w:t xml:space="preserve">, </w:t>
      </w:r>
      <w:proofErr w:type="spellStart"/>
      <w:r w:rsidR="00E45CE9" w:rsidRPr="00660BB5">
        <w:t>dop</w:t>
      </w:r>
      <w:proofErr w:type="spellEnd"/>
      <w:r w:rsidR="00E45CE9" w:rsidRPr="00660BB5">
        <w:t xml:space="preserve">. </w:t>
      </w:r>
      <w:r w:rsidR="00B20F50" w:rsidRPr="00660BB5">
        <w:t>julij</w:t>
      </w:r>
      <w:r w:rsidR="00E45CE9" w:rsidRPr="00660BB5">
        <w:t xml:space="preserve"> 202</w:t>
      </w:r>
      <w:r w:rsidR="00B20F50" w:rsidRPr="00660BB5">
        <w:t>3 in oktober 2023</w:t>
      </w:r>
      <w:r w:rsidR="00E45CE9" w:rsidRPr="00660BB5">
        <w:t xml:space="preserve">, </w:t>
      </w:r>
      <w:r w:rsidR="00B20F50" w:rsidRPr="00660BB5">
        <w:t>E-net okolje d.o.o., Linhartova cesta 13, 1000 Ljubljana</w:t>
      </w:r>
      <w:r w:rsidR="00A70743" w:rsidRPr="00660BB5">
        <w:t>.</w:t>
      </w:r>
    </w:p>
    <w:p w14:paraId="2709AA96" w14:textId="77777777" w:rsidR="00133AAA" w:rsidRPr="00660BB5" w:rsidRDefault="00133AAA" w:rsidP="008049D6">
      <w:pPr>
        <w:spacing w:line="260" w:lineRule="exact"/>
        <w:rPr>
          <w:highlight w:val="yellow"/>
        </w:rPr>
      </w:pPr>
    </w:p>
    <w:p w14:paraId="4DE8E3C1" w14:textId="77777777" w:rsidR="0010687F" w:rsidRPr="00660BB5" w:rsidRDefault="0010687F" w:rsidP="008049D6">
      <w:pPr>
        <w:pStyle w:val="NatevanjeIIIIII"/>
        <w:spacing w:line="260" w:lineRule="exact"/>
      </w:pPr>
      <w:r w:rsidRPr="00660BB5">
        <w:t>K predmetni gradnji so podali mnenja pristojni organi in organizacije:</w:t>
      </w:r>
    </w:p>
    <w:p w14:paraId="61A637A7" w14:textId="6D293284" w:rsidR="00310E44" w:rsidRPr="00660BB5" w:rsidRDefault="00391FA2" w:rsidP="00EC3834">
      <w:pPr>
        <w:pStyle w:val="Zamik1"/>
      </w:pPr>
      <w:r w:rsidRPr="00660BB5">
        <w:t>š</w:t>
      </w:r>
      <w:r w:rsidR="00310E44" w:rsidRPr="00660BB5">
        <w:t>t. 37167-695/2023/2 z dne 3.</w:t>
      </w:r>
      <w:r w:rsidR="00715A28" w:rsidRPr="00660BB5">
        <w:t> </w:t>
      </w:r>
      <w:r w:rsidR="00310E44" w:rsidRPr="00660BB5">
        <w:t>4.</w:t>
      </w:r>
      <w:r w:rsidR="00715A28" w:rsidRPr="00660BB5">
        <w:t> </w:t>
      </w:r>
      <w:r w:rsidR="00310E44" w:rsidRPr="00660BB5">
        <w:t>2023, Direkcija RS za infrastrukturo Sektor za upravljanje cest Območje Nova Gorica, Kidričeva ulica 9a, 5101 Nova Gorica</w:t>
      </w:r>
      <w:r w:rsidR="00A66A59" w:rsidRPr="00660BB5">
        <w:t>;</w:t>
      </w:r>
    </w:p>
    <w:p w14:paraId="529122CB" w14:textId="150ACF35" w:rsidR="00133AAA" w:rsidRPr="00660BB5" w:rsidRDefault="00391FA2" w:rsidP="00EC3834">
      <w:pPr>
        <w:pStyle w:val="Zamik1"/>
      </w:pPr>
      <w:r w:rsidRPr="00660BB5">
        <w:t>š</w:t>
      </w:r>
      <w:r w:rsidR="00310E44" w:rsidRPr="00660BB5">
        <w:t>t. 35508-8511/2022-2 z dne 9.</w:t>
      </w:r>
      <w:r w:rsidR="00715A28" w:rsidRPr="00660BB5">
        <w:t> </w:t>
      </w:r>
      <w:r w:rsidR="00310E44" w:rsidRPr="00660BB5">
        <w:t>3.</w:t>
      </w:r>
      <w:r w:rsidR="00715A28" w:rsidRPr="00660BB5">
        <w:t> </w:t>
      </w:r>
      <w:r w:rsidR="00310E44" w:rsidRPr="00660BB5">
        <w:t>2023, Direkcija RS za vode Sektor območja Soče, Cankarjeva ulica 62, 5000 Nova Gorica</w:t>
      </w:r>
      <w:r w:rsidR="00A66A59" w:rsidRPr="00660BB5">
        <w:t>;</w:t>
      </w:r>
    </w:p>
    <w:p w14:paraId="38CEDDD3" w14:textId="7EC0AB72" w:rsidR="00026A0B" w:rsidRPr="00660BB5" w:rsidRDefault="00391FA2" w:rsidP="00EC3834">
      <w:pPr>
        <w:pStyle w:val="Zamik1"/>
      </w:pPr>
      <w:r w:rsidRPr="00660BB5">
        <w:t>š</w:t>
      </w:r>
      <w:r w:rsidR="00026A0B" w:rsidRPr="00660BB5">
        <w:t>t. 1396374 (11268/2022) z dne 17.</w:t>
      </w:r>
      <w:r w:rsidR="00715A28" w:rsidRPr="00660BB5">
        <w:t> </w:t>
      </w:r>
      <w:r w:rsidR="00026A0B" w:rsidRPr="00660BB5">
        <w:t>3.</w:t>
      </w:r>
      <w:r w:rsidR="00715A28" w:rsidRPr="00660BB5">
        <w:t> </w:t>
      </w:r>
      <w:r w:rsidR="00026A0B" w:rsidRPr="00660BB5">
        <w:t xml:space="preserve">2023, Elektro Primorska </w:t>
      </w:r>
      <w:proofErr w:type="spellStart"/>
      <w:r w:rsidR="00026A0B" w:rsidRPr="00660BB5">
        <w:t>d.d</w:t>
      </w:r>
      <w:proofErr w:type="spellEnd"/>
      <w:r w:rsidR="00026A0B" w:rsidRPr="00660BB5">
        <w:t>., Erjavčeva 22, 5000 Nova Gorica</w:t>
      </w:r>
      <w:r w:rsidR="00A66A59" w:rsidRPr="00660BB5">
        <w:t>;</w:t>
      </w:r>
    </w:p>
    <w:p w14:paraId="470D7569" w14:textId="1D85FF74" w:rsidR="00026A0B" w:rsidRPr="00660BB5" w:rsidRDefault="00391FA2" w:rsidP="00EC3834">
      <w:pPr>
        <w:pStyle w:val="Zamik1"/>
      </w:pPr>
      <w:r w:rsidRPr="00660BB5">
        <w:t>š</w:t>
      </w:r>
      <w:r w:rsidR="00026A0B" w:rsidRPr="00660BB5">
        <w:t>t. 0212-55/2021-13 z dne 23.</w:t>
      </w:r>
      <w:r w:rsidR="00715A28" w:rsidRPr="00660BB5">
        <w:t> </w:t>
      </w:r>
      <w:r w:rsidR="00026A0B" w:rsidRPr="00660BB5">
        <w:t>12.</w:t>
      </w:r>
      <w:r w:rsidR="00715A28" w:rsidRPr="00660BB5">
        <w:t> </w:t>
      </w:r>
      <w:r w:rsidR="00026A0B" w:rsidRPr="00660BB5">
        <w:t>2022, Komunala d.o.o., Carl Jakoba 4, 5280 Idrija</w:t>
      </w:r>
      <w:r w:rsidR="00A66A59" w:rsidRPr="00660BB5">
        <w:t>;</w:t>
      </w:r>
    </w:p>
    <w:p w14:paraId="39054A14" w14:textId="1D242F4C" w:rsidR="00026A0B" w:rsidRPr="00660BB5" w:rsidRDefault="00391FA2" w:rsidP="00EC3834">
      <w:pPr>
        <w:pStyle w:val="Zamik1"/>
      </w:pPr>
      <w:r w:rsidRPr="00660BB5">
        <w:t>š</w:t>
      </w:r>
      <w:r w:rsidR="00026A0B" w:rsidRPr="00660BB5">
        <w:t>t. IDR-S380/22-B.Zupančič z dne 20.</w:t>
      </w:r>
      <w:r w:rsidR="00715A28" w:rsidRPr="00660BB5">
        <w:t> </w:t>
      </w:r>
      <w:r w:rsidR="00026A0B" w:rsidRPr="00660BB5">
        <w:t>12.</w:t>
      </w:r>
      <w:r w:rsidR="00715A28" w:rsidRPr="00660BB5">
        <w:t> </w:t>
      </w:r>
      <w:r w:rsidR="00026A0B" w:rsidRPr="00660BB5">
        <w:t xml:space="preserve">2022, Petrol, Slovenska energetska družba, </w:t>
      </w:r>
      <w:proofErr w:type="spellStart"/>
      <w:r w:rsidR="00026A0B" w:rsidRPr="00660BB5">
        <w:t>d.d</w:t>
      </w:r>
      <w:proofErr w:type="spellEnd"/>
      <w:r w:rsidR="00026A0B" w:rsidRPr="00660BB5">
        <w:t>., Ljubljana, Dunajska cesta 50, 1527 Ljubljana</w:t>
      </w:r>
      <w:r w:rsidR="00A66A59" w:rsidRPr="00660BB5">
        <w:t>;</w:t>
      </w:r>
    </w:p>
    <w:p w14:paraId="62E6821C" w14:textId="624343C3" w:rsidR="00A60A9D" w:rsidRPr="00660BB5" w:rsidRDefault="00391FA2" w:rsidP="00EC3834">
      <w:pPr>
        <w:pStyle w:val="Zamik1"/>
      </w:pPr>
      <w:r w:rsidRPr="00660BB5">
        <w:t>š</w:t>
      </w:r>
      <w:r w:rsidR="00A66A59" w:rsidRPr="00660BB5">
        <w:t>t. 35410-4/2023-2570-3 z dne 22. 5. 2023 in š</w:t>
      </w:r>
      <w:r w:rsidR="00293512" w:rsidRPr="00660BB5">
        <w:t>t. 35410-4/2023-2570-7 z dne 18.</w:t>
      </w:r>
      <w:r w:rsidR="00715A28" w:rsidRPr="00660BB5">
        <w:t> </w:t>
      </w:r>
      <w:r w:rsidR="00293512" w:rsidRPr="00660BB5">
        <w:t>9.</w:t>
      </w:r>
      <w:r w:rsidR="00715A28" w:rsidRPr="00660BB5">
        <w:t> </w:t>
      </w:r>
      <w:r w:rsidR="00293512" w:rsidRPr="00660BB5">
        <w:t>2023, Ministrstvo za okolje, podnebje in energijo, Langusova ulica 4, 1535 Ljubljana</w:t>
      </w:r>
      <w:r w:rsidR="00A66A59" w:rsidRPr="00660BB5">
        <w:t>;</w:t>
      </w:r>
    </w:p>
    <w:p w14:paraId="401A5D04" w14:textId="2599979C" w:rsidR="00A60A9D" w:rsidRPr="00660BB5" w:rsidRDefault="00391FA2" w:rsidP="00EC3834">
      <w:pPr>
        <w:pStyle w:val="Zamik1"/>
      </w:pPr>
      <w:r w:rsidRPr="00660BB5">
        <w:t>š</w:t>
      </w:r>
      <w:r w:rsidR="00293512" w:rsidRPr="00660BB5">
        <w:t>t. 351-173/2022-4 z dne 30.</w:t>
      </w:r>
      <w:r w:rsidR="00715A28" w:rsidRPr="00660BB5">
        <w:t> </w:t>
      </w:r>
      <w:r w:rsidR="00293512" w:rsidRPr="00660BB5">
        <w:t>12.</w:t>
      </w:r>
      <w:r w:rsidR="00715A28" w:rsidRPr="00660BB5">
        <w:t> </w:t>
      </w:r>
      <w:r w:rsidR="00293512" w:rsidRPr="00660BB5">
        <w:t>2022 in št. 351-173/2022-4 z dne 13.</w:t>
      </w:r>
      <w:r w:rsidR="00715A28" w:rsidRPr="00660BB5">
        <w:t> </w:t>
      </w:r>
      <w:r w:rsidR="00293512" w:rsidRPr="00660BB5">
        <w:t>3.</w:t>
      </w:r>
      <w:r w:rsidR="00715A28" w:rsidRPr="00660BB5">
        <w:t> </w:t>
      </w:r>
      <w:r w:rsidR="00293512" w:rsidRPr="00660BB5">
        <w:t xml:space="preserve">2023, </w:t>
      </w:r>
      <w:r w:rsidR="00A60A9D" w:rsidRPr="00660BB5">
        <w:t>Občina Idrija, Mestni trg, 5280 Idrija</w:t>
      </w:r>
      <w:r w:rsidR="00A66A59" w:rsidRPr="00660BB5">
        <w:t>;</w:t>
      </w:r>
    </w:p>
    <w:p w14:paraId="04B4F26F" w14:textId="384C7778" w:rsidR="00A60A9D" w:rsidRPr="00660BB5" w:rsidRDefault="00391FA2" w:rsidP="00EC3834">
      <w:pPr>
        <w:pStyle w:val="Zamik1"/>
      </w:pPr>
      <w:r w:rsidRPr="00660BB5">
        <w:t>š</w:t>
      </w:r>
      <w:r w:rsidR="00293512" w:rsidRPr="00660BB5">
        <w:t xml:space="preserve">t. 118325-NG/906-IK z dne 4. 4. 2023, </w:t>
      </w:r>
      <w:r w:rsidR="00A60A9D" w:rsidRPr="00660BB5">
        <w:t xml:space="preserve">Telekom Slovenije </w:t>
      </w:r>
      <w:proofErr w:type="spellStart"/>
      <w:r w:rsidR="00A60A9D" w:rsidRPr="00660BB5">
        <w:t>d.d</w:t>
      </w:r>
      <w:proofErr w:type="spellEnd"/>
      <w:r w:rsidR="00A60A9D" w:rsidRPr="00660BB5">
        <w:t>., Stegne 19, 1000 Ljubljana</w:t>
      </w:r>
      <w:r w:rsidR="00A66A59" w:rsidRPr="00660BB5">
        <w:t>;</w:t>
      </w:r>
    </w:p>
    <w:p w14:paraId="7A1A6415" w14:textId="05BC4250" w:rsidR="00293512" w:rsidRPr="00660BB5" w:rsidRDefault="00391FA2" w:rsidP="00EC3834">
      <w:pPr>
        <w:pStyle w:val="Zamik1"/>
      </w:pPr>
      <w:r w:rsidRPr="00660BB5">
        <w:t>š</w:t>
      </w:r>
      <w:r w:rsidR="00E53229" w:rsidRPr="00660BB5">
        <w:t xml:space="preserve">t. </w:t>
      </w:r>
      <w:r w:rsidR="00293512" w:rsidRPr="00660BB5">
        <w:t>3562-1077/2023-2 z dne 29.</w:t>
      </w:r>
      <w:r w:rsidR="00715A28" w:rsidRPr="00660BB5">
        <w:t> </w:t>
      </w:r>
      <w:r w:rsidR="00293512" w:rsidRPr="00660BB5">
        <w:t>3.</w:t>
      </w:r>
      <w:r w:rsidR="00715A28" w:rsidRPr="00660BB5">
        <w:t> </w:t>
      </w:r>
      <w:r w:rsidR="00293512" w:rsidRPr="00660BB5">
        <w:t>2023, Zavod RS za varstvo narave, OE Nova Gorica, Delpinova 16, 5000 Nova Gorica</w:t>
      </w:r>
      <w:r w:rsidR="00A66A59" w:rsidRPr="00660BB5">
        <w:t>.</w:t>
      </w:r>
    </w:p>
    <w:p w14:paraId="6DF955B5" w14:textId="77777777" w:rsidR="00F46575" w:rsidRPr="00660BB5" w:rsidRDefault="00F46575" w:rsidP="008049D6">
      <w:pPr>
        <w:spacing w:line="260" w:lineRule="exact"/>
        <w:rPr>
          <w:highlight w:val="yellow"/>
        </w:rPr>
      </w:pPr>
    </w:p>
    <w:bookmarkEnd w:id="0"/>
    <w:p w14:paraId="1159E66F" w14:textId="4D688801" w:rsidR="002265C7" w:rsidRPr="00660BB5" w:rsidRDefault="00F84076" w:rsidP="008049D6">
      <w:pPr>
        <w:pStyle w:val="NatevanjeIIIIII"/>
        <w:spacing w:line="260" w:lineRule="exact"/>
        <w:rPr>
          <w:szCs w:val="19"/>
        </w:rPr>
      </w:pPr>
      <w:r w:rsidRPr="00660BB5">
        <w:t xml:space="preserve">Presoja vplivov na okolje je bila izvedena za poseg: </w:t>
      </w:r>
      <w:r w:rsidR="00D661B5" w:rsidRPr="00660BB5">
        <w:t xml:space="preserve">EV-PLANT, 2. faza </w:t>
      </w:r>
      <w:r w:rsidR="007104BE" w:rsidRPr="00660BB5">
        <w:t>na zemljišč</w:t>
      </w:r>
      <w:r w:rsidR="00F14629" w:rsidRPr="00660BB5">
        <w:t>ih s</w:t>
      </w:r>
      <w:r w:rsidRPr="00660BB5">
        <w:t xml:space="preserve"> parc</w:t>
      </w:r>
      <w:r w:rsidR="00F14629" w:rsidRPr="00660BB5">
        <w:t>elnimi</w:t>
      </w:r>
      <w:r w:rsidRPr="00660BB5">
        <w:t xml:space="preserve"> št. </w:t>
      </w:r>
      <w:r w:rsidR="00F14629" w:rsidRPr="00660BB5">
        <w:rPr>
          <w:szCs w:val="19"/>
        </w:rPr>
        <w:t>7/4, 7/6, 7/12, 7/13, 7/14, 7/17, 7/19, 7/21, 7/23, 7/30, 7/31, 7/33, 7/34, 7/44, 7/46, 7/62, 7/64, 7/65 vse k.o. Sp. Kanomlja</w:t>
      </w:r>
      <w:r w:rsidRPr="00660BB5">
        <w:t>. Iz presoje vplivov na okolje izhaja, da nameravana gradnja nima pomembnih škodljivih vplivov na okolje. Investitor (nosilec nameravanega posega) mora z namenom preprečitve, zmanjšanja ali odprave škodljivih vplivov na okolje, pri gradnji in uporabi oz. obratovanju objekta, poleg zakonsko predpisanih zahtev, upoštevati tudi naslednje ukrepe in pogoje:</w:t>
      </w:r>
    </w:p>
    <w:p w14:paraId="40E9F688" w14:textId="77777777" w:rsidR="002265C7" w:rsidRPr="00660BB5" w:rsidRDefault="002265C7" w:rsidP="008049D6">
      <w:pPr>
        <w:spacing w:line="260" w:lineRule="exact"/>
        <w:rPr>
          <w:highlight w:val="yellow"/>
        </w:rPr>
      </w:pPr>
    </w:p>
    <w:p w14:paraId="6AA3A0D0" w14:textId="5B776BD7" w:rsidR="006C49D8" w:rsidRPr="00660BB5" w:rsidRDefault="002265C7" w:rsidP="008049D6">
      <w:pPr>
        <w:pStyle w:val="Izrek1"/>
      </w:pPr>
      <w:bookmarkStart w:id="1" w:name="_Hlk153871879"/>
      <w:r w:rsidRPr="00660BB5">
        <w:t>Varstvo tal in podzemnih voda</w:t>
      </w:r>
      <w:r w:rsidR="00143B45" w:rsidRPr="00660BB5">
        <w:t xml:space="preserve"> </w:t>
      </w:r>
      <w:r w:rsidR="004E1AC7" w:rsidRPr="00660BB5">
        <w:t>v času gradnje</w:t>
      </w:r>
    </w:p>
    <w:p w14:paraId="4D6A4D6C" w14:textId="18F02EF9" w:rsidR="00B62F8C" w:rsidRPr="00660BB5" w:rsidRDefault="00B62F8C" w:rsidP="00EC3834">
      <w:pPr>
        <w:pStyle w:val="Zamik1"/>
      </w:pPr>
      <w:r w:rsidRPr="00660BB5">
        <w:t xml:space="preserve">v primeru razlitja goriva ali olja je potrebno mesto onesnaženja takoj nevtralizirati z ustreznim absorpcijskim sredstvom, onesnaženo zemljino odstraniti, jo shraniti v zaprte posode in jo oddati kot nevaren odpadek </w:t>
      </w:r>
      <w:r w:rsidR="00E06C1E" w:rsidRPr="00660BB5">
        <w:t>pooblaščenemu</w:t>
      </w:r>
      <w:r w:rsidRPr="00660BB5">
        <w:t xml:space="preserve"> zbiralcu ali izvajalcu obdelave tega odpadka;</w:t>
      </w:r>
    </w:p>
    <w:p w14:paraId="0DFA64A7" w14:textId="00B21288" w:rsidR="002A0F4F" w:rsidRPr="00660BB5" w:rsidRDefault="002A0F4F" w:rsidP="00EC3834">
      <w:pPr>
        <w:pStyle w:val="Zamik1"/>
      </w:pPr>
      <w:r w:rsidRPr="00660BB5">
        <w:t>zemeljska dela, betoniranje in prevozi po gradbišču se lahko izvajajo le v suhem vremenu</w:t>
      </w:r>
      <w:r w:rsidR="00B62F8C" w:rsidRPr="00660BB5">
        <w:t>, v</w:t>
      </w:r>
      <w:r w:rsidRPr="00660BB5">
        <w:t xml:space="preserve"> primeru padavin je treba ta dela</w:t>
      </w:r>
      <w:r w:rsidR="00B62F8C" w:rsidRPr="00660BB5">
        <w:t xml:space="preserve"> nemudoma</w:t>
      </w:r>
      <w:r w:rsidRPr="00660BB5">
        <w:t xml:space="preserve"> prekiniti</w:t>
      </w:r>
      <w:r w:rsidR="00B62F8C" w:rsidRPr="00660BB5">
        <w:t>;</w:t>
      </w:r>
    </w:p>
    <w:p w14:paraId="59F4103E" w14:textId="6C695A1D" w:rsidR="002A0F4F" w:rsidRPr="00660BB5" w:rsidRDefault="002A0F4F" w:rsidP="00EC3834">
      <w:pPr>
        <w:pStyle w:val="Zamik1"/>
      </w:pPr>
      <w:r w:rsidRPr="00660BB5">
        <w:t>na gradbišču in pri gradbenem transportu se morajo uporablja</w:t>
      </w:r>
      <w:r w:rsidR="00E06C1E" w:rsidRPr="00660BB5">
        <w:t>ti</w:t>
      </w:r>
      <w:r w:rsidRPr="00660BB5">
        <w:t xml:space="preserve"> le tehnično brezhibni stroji in vozila;</w:t>
      </w:r>
    </w:p>
    <w:p w14:paraId="031FEF7F" w14:textId="77777777" w:rsidR="002A0F4F" w:rsidRPr="00660BB5" w:rsidRDefault="002A0F4F" w:rsidP="00EC3834">
      <w:pPr>
        <w:pStyle w:val="Zamik1"/>
      </w:pPr>
      <w:r w:rsidRPr="00660BB5">
        <w:t>večja servisno vzdrževalna dela na gradbenih strojih se morajo izvajati izven območja gradbišča, v ustrezno opremljeni servisni delavnici;</w:t>
      </w:r>
    </w:p>
    <w:p w14:paraId="7B338DDC" w14:textId="77777777" w:rsidR="002A0F4F" w:rsidRPr="00660BB5" w:rsidRDefault="002A0F4F" w:rsidP="00EC3834">
      <w:pPr>
        <w:pStyle w:val="Zamik1"/>
      </w:pPr>
      <w:r w:rsidRPr="00660BB5">
        <w:t>točenje goriva v gradbene stroje na območju gradbišča se mora izvajati z ustrezno cisterno za razvoz goriva in z obvezno uporabo prenosnih lovilnih posod za primer morebitnega razlitja goriva pri pretakanju;</w:t>
      </w:r>
    </w:p>
    <w:p w14:paraId="03D63002" w14:textId="4A2CFBA9" w:rsidR="002A0F4F" w:rsidRPr="00660BB5" w:rsidRDefault="002A0F4F" w:rsidP="00EC3834">
      <w:pPr>
        <w:pStyle w:val="Zamik1"/>
      </w:pPr>
      <w:r w:rsidRPr="00660BB5">
        <w:t>v primeru napovedi intenzivnih padavin Agencije RS za okolje (oranžni ali rdeči alarm) se izkopi oz. zemeljska dela ne smejo izvajati, prav tako treba dela začasno prekiniti tudi ob nenapovedanih intenzivnih padavinah;</w:t>
      </w:r>
    </w:p>
    <w:p w14:paraId="4AFC6350" w14:textId="77777777" w:rsidR="002A0F4F" w:rsidRPr="00660BB5" w:rsidRDefault="002A0F4F" w:rsidP="00EC3834">
      <w:pPr>
        <w:pStyle w:val="Zamik1"/>
      </w:pPr>
      <w:r w:rsidRPr="00660BB5">
        <w:t>pranje vozil za prevoz betona in izlivanje teh odpadnih voda v tla na območju in izven gradbišča ni dovoljeno;</w:t>
      </w:r>
    </w:p>
    <w:p w14:paraId="4F7AE2CE" w14:textId="77777777" w:rsidR="002A0F4F" w:rsidRPr="00660BB5" w:rsidRDefault="002A0F4F" w:rsidP="00EC3834">
      <w:pPr>
        <w:pStyle w:val="Zamik1"/>
      </w:pPr>
      <w:r w:rsidRPr="00660BB5">
        <w:t>vse nevarne snovi oz. kemikalije, ki bodo prisotne na gradbišču, in predstavljajo potencialno nevarnost za onesnaženje tal in podzemnih voda (gradbena kemična sredstva, goriva, olja in maziva ...), je treba skladiščiti v originalni ali drugi ustrezni embalaži, v zaprtem prostoru (kontejnerju) ali pod nadstrešnico, zaščitenem pred atmosferskimi vplivi in pred nepooblaščenim dostopom;</w:t>
      </w:r>
    </w:p>
    <w:p w14:paraId="385BE482" w14:textId="77777777" w:rsidR="002A0F4F" w:rsidRPr="00660BB5" w:rsidRDefault="002A0F4F" w:rsidP="00EC3834">
      <w:pPr>
        <w:pStyle w:val="Zamik1"/>
      </w:pPr>
      <w:r w:rsidRPr="00660BB5">
        <w:lastRenderedPageBreak/>
        <w:t>na gradbišču se lahko skladiščijo le manjše oz. nujno potrebne količine nevarnih snovi oz. kemikalij, ki še omogočajo nemoteno izvajanje del, na gradbišču pa morajo biti na voljo tudi varnostni listi za vse prisotne kemikalije, ki vsebujejo nevarne snovi;</w:t>
      </w:r>
    </w:p>
    <w:p w14:paraId="27E97D61" w14:textId="18573CAB" w:rsidR="003A2AEC" w:rsidRPr="00660BB5" w:rsidRDefault="002A0F4F" w:rsidP="00EC3834">
      <w:pPr>
        <w:pStyle w:val="Zamik1"/>
      </w:pPr>
      <w:r w:rsidRPr="00660BB5">
        <w:t>izlivanje ali izpiranje nevarnih tekočih odpadkov ali drugih nevarnih snovi v tla ni dovoljeno.</w:t>
      </w:r>
    </w:p>
    <w:p w14:paraId="250B79AC" w14:textId="77777777" w:rsidR="00452C74" w:rsidRPr="00660BB5" w:rsidRDefault="00452C74" w:rsidP="008049D6">
      <w:pPr>
        <w:spacing w:line="260" w:lineRule="exact"/>
        <w:ind w:right="-8"/>
      </w:pPr>
    </w:p>
    <w:bookmarkEnd w:id="1"/>
    <w:p w14:paraId="5A3C3B56" w14:textId="77777777" w:rsidR="002265C7" w:rsidRPr="00660BB5" w:rsidRDefault="002265C7" w:rsidP="008049D6">
      <w:pPr>
        <w:pStyle w:val="Izrek1"/>
      </w:pPr>
      <w:r w:rsidRPr="00660BB5">
        <w:t>Varstvo zraka v času gradnje</w:t>
      </w:r>
    </w:p>
    <w:p w14:paraId="1C7FD95B" w14:textId="74EB2B1B" w:rsidR="00353F60" w:rsidRPr="00660BB5" w:rsidRDefault="00353F60" w:rsidP="00EC3834">
      <w:pPr>
        <w:pStyle w:val="Zamik1"/>
      </w:pPr>
      <w:bookmarkStart w:id="2" w:name="_Hlk153900234"/>
      <w:r w:rsidRPr="00660BB5">
        <w:t>tovorne prevoze za potrebe gradnje (prevoze gradbenih odpadkov in gradbenih materialov) je treba optimizirati v smislu zmanjšanja voženj praznih tovornih vozil v eno ali drugo smer in s tem zmanjšanja skupnega števila prevozov;</w:t>
      </w:r>
    </w:p>
    <w:p w14:paraId="7391231E" w14:textId="5B6A806E" w:rsidR="00353F60" w:rsidRPr="00660BB5" w:rsidRDefault="00353F60" w:rsidP="00EC3834">
      <w:pPr>
        <w:pStyle w:val="Zamik1"/>
      </w:pPr>
      <w:r w:rsidRPr="00660BB5">
        <w:t>skladiščeni sipki materiali (gradbeni material, izkopi, odpadki</w:t>
      </w:r>
      <w:r w:rsidR="005D077C" w:rsidRPr="00660BB5">
        <w:t xml:space="preserve"> </w:t>
      </w:r>
      <w:r w:rsidRPr="00660BB5">
        <w:t>...) morajo biti v času skladiščenja pokriti, količina skladiščenih sipkih materialov naj bo najmanjša možna;</w:t>
      </w:r>
    </w:p>
    <w:p w14:paraId="142660E2" w14:textId="77777777" w:rsidR="00EB03A5" w:rsidRPr="00660BB5" w:rsidRDefault="00EB03A5" w:rsidP="00EC3834">
      <w:pPr>
        <w:pStyle w:val="Zamik1"/>
      </w:pPr>
      <w:r w:rsidRPr="00660BB5">
        <w:t>odprte površine gradbišča se mora redno vlažiti;</w:t>
      </w:r>
    </w:p>
    <w:p w14:paraId="16745B9A" w14:textId="77777777" w:rsidR="00EB03A5" w:rsidRPr="00660BB5" w:rsidRDefault="00EB03A5" w:rsidP="00EC3834">
      <w:pPr>
        <w:pStyle w:val="Zamik1"/>
      </w:pPr>
      <w:r w:rsidRPr="00660BB5">
        <w:t>hitrost vozil na gradbišču mora biti omejena na 5 km/h;</w:t>
      </w:r>
    </w:p>
    <w:p w14:paraId="5CBC34A7" w14:textId="240E146E" w:rsidR="00353F60" w:rsidRPr="00660BB5" w:rsidRDefault="00A201A6" w:rsidP="00EC3834">
      <w:pPr>
        <w:pStyle w:val="Zamik1"/>
      </w:pPr>
      <w:r w:rsidRPr="00660BB5">
        <w:t>n</w:t>
      </w:r>
      <w:r w:rsidR="00353F60" w:rsidRPr="00660BB5">
        <w:t>a gradbišču se lahko uporabljajo samo vozila in gradbena mehanizacija, ki dosega</w:t>
      </w:r>
      <w:r w:rsidRPr="00660BB5">
        <w:t>jo</w:t>
      </w:r>
      <w:r w:rsidR="00353F60" w:rsidRPr="00660BB5">
        <w:t xml:space="preserve"> vsaj standard</w:t>
      </w:r>
    </w:p>
    <w:p w14:paraId="3B3CD1B2" w14:textId="22DAF2D3" w:rsidR="00353F60" w:rsidRPr="00660BB5" w:rsidRDefault="00353F60" w:rsidP="00EC3834">
      <w:pPr>
        <w:pStyle w:val="Zamik1"/>
      </w:pPr>
      <w:r w:rsidRPr="00660BB5">
        <w:t>EURO V</w:t>
      </w:r>
      <w:r w:rsidR="00A201A6" w:rsidRPr="00660BB5">
        <w:t>;</w:t>
      </w:r>
    </w:p>
    <w:p w14:paraId="3EB96B85" w14:textId="37BA362B" w:rsidR="00F84076" w:rsidRPr="00660BB5" w:rsidRDefault="00F84076" w:rsidP="00EC3834">
      <w:pPr>
        <w:pStyle w:val="Zamik1"/>
      </w:pPr>
      <w:r w:rsidRPr="00660BB5">
        <w:t>v dnevih, ko Agencija RS za okolje razglasi oz. napove čezmerno onesnažen</w:t>
      </w:r>
      <w:r w:rsidR="00144D32" w:rsidRPr="00660BB5">
        <w:t>ost zunanjega zraka z delci PM10</w:t>
      </w:r>
      <w:r w:rsidRPr="00660BB5">
        <w:t>, se gradbena dela na prostem, pri katerih nastaja izrazita emisija delcev na točkovnih in razp</w:t>
      </w:r>
      <w:r w:rsidR="00EB03A5" w:rsidRPr="00660BB5">
        <w:t>ršenih virih, ne smejo izvajati.</w:t>
      </w:r>
    </w:p>
    <w:bookmarkEnd w:id="2"/>
    <w:p w14:paraId="7585FC03" w14:textId="08B0E736" w:rsidR="002265C7" w:rsidRPr="00660BB5" w:rsidRDefault="002265C7" w:rsidP="008049D6">
      <w:pPr>
        <w:spacing w:line="260" w:lineRule="exact"/>
        <w:ind w:right="-8"/>
      </w:pPr>
    </w:p>
    <w:p w14:paraId="05A2B0B4" w14:textId="23501859" w:rsidR="009329AF" w:rsidRPr="00660BB5" w:rsidRDefault="009329AF" w:rsidP="008049D6">
      <w:pPr>
        <w:pStyle w:val="Izrek1"/>
      </w:pPr>
      <w:r w:rsidRPr="00660BB5">
        <w:t>Varstvo pred hrupom v času gradnje</w:t>
      </w:r>
    </w:p>
    <w:p w14:paraId="2D2219CA" w14:textId="77777777" w:rsidR="00133AAA" w:rsidRPr="00660BB5" w:rsidRDefault="00DB4972" w:rsidP="00EC3834">
      <w:pPr>
        <w:pStyle w:val="Zamik1"/>
      </w:pPr>
      <w:r w:rsidRPr="00660BB5">
        <w:t>gradbišče lahko obratuje od ponedeljka do petka, največ med 6. in 18. uro, ob sobotah pa največ med 6. in 16. uro.</w:t>
      </w:r>
    </w:p>
    <w:p w14:paraId="40E46139" w14:textId="00F409A1" w:rsidR="00DB4972" w:rsidRPr="00660BB5" w:rsidRDefault="00DB4972" w:rsidP="00EC3834">
      <w:pPr>
        <w:pStyle w:val="Zamik1"/>
      </w:pPr>
      <w:r w:rsidRPr="00660BB5">
        <w:t>ob nedeljah in praznikih (dela prostih dnevih) se hrupna dela ne smejo izvajati, lahko se izvajajo samo manj hrupna montažna ali druga dela, ki ne zahtevajo uporabe gradbenih strojev in prevozov s tovornimi vozili.</w:t>
      </w:r>
    </w:p>
    <w:p w14:paraId="55BCD659" w14:textId="77777777" w:rsidR="009329AF" w:rsidRPr="00660BB5" w:rsidRDefault="009329AF" w:rsidP="008049D6">
      <w:pPr>
        <w:spacing w:line="260" w:lineRule="exact"/>
        <w:ind w:right="-8"/>
      </w:pPr>
    </w:p>
    <w:p w14:paraId="3021EA50" w14:textId="77777777" w:rsidR="002265C7" w:rsidRPr="00660BB5" w:rsidRDefault="002265C7" w:rsidP="008049D6">
      <w:pPr>
        <w:pStyle w:val="Izrek1"/>
      </w:pPr>
      <w:r w:rsidRPr="00660BB5">
        <w:t>Ravnanje z odpadki v času pripravljalnih del in gradnje</w:t>
      </w:r>
    </w:p>
    <w:p w14:paraId="1CC377FA" w14:textId="1E0280F3" w:rsidR="00CA1C19" w:rsidRPr="00660BB5" w:rsidRDefault="00CA1C19" w:rsidP="00EC3834">
      <w:pPr>
        <w:pStyle w:val="Zamik1"/>
      </w:pPr>
      <w:r w:rsidRPr="00660BB5">
        <w:t>v primeru vetrovnega vremena mora biti preprečen raznosi lahkih frakcij odpadkov v okolico;</w:t>
      </w:r>
    </w:p>
    <w:p w14:paraId="4BF74D24" w14:textId="5C38C380" w:rsidR="009329AF" w:rsidRPr="00660BB5" w:rsidRDefault="009329AF" w:rsidP="00EC3834">
      <w:pPr>
        <w:pStyle w:val="Zamik1"/>
      </w:pPr>
      <w:r w:rsidRPr="00660BB5">
        <w:t xml:space="preserve">zagotovljeno mora biti, da se začasno skladiščeni gradbeni odpadki na gradbišču skladiščijo ločeno med seboj tako, da ne onesnažujejo okolja (preprečeno spiranje v podtalje in </w:t>
      </w:r>
      <w:proofErr w:type="spellStart"/>
      <w:r w:rsidRPr="00660BB5">
        <w:t>raznos</w:t>
      </w:r>
      <w:proofErr w:type="spellEnd"/>
      <w:r w:rsidRPr="00660BB5">
        <w:t xml:space="preserve"> z vetrom) in je omogočen dostop za njihov prevzem.</w:t>
      </w:r>
    </w:p>
    <w:p w14:paraId="4B120B01" w14:textId="77777777" w:rsidR="0010687F" w:rsidRPr="00660BB5" w:rsidRDefault="0010687F" w:rsidP="008049D6">
      <w:pPr>
        <w:pStyle w:val="NatevanjeIIIIII"/>
        <w:numPr>
          <w:ilvl w:val="0"/>
          <w:numId w:val="0"/>
        </w:numPr>
        <w:spacing w:line="260" w:lineRule="exact"/>
      </w:pPr>
    </w:p>
    <w:p w14:paraId="22581A1C" w14:textId="77777777" w:rsidR="00133AAA" w:rsidRPr="00660BB5" w:rsidRDefault="00F84076" w:rsidP="008049D6">
      <w:pPr>
        <w:pStyle w:val="NatevanjeIIIIII"/>
        <w:spacing w:line="260" w:lineRule="exact"/>
      </w:pPr>
      <w:r w:rsidRPr="00660BB5">
        <w:t>Investitor mora na gradbišču, ki je vir hrupa, zagotoviti izvajanje lastnega ocenjevanja hrupa v skladu s predpisom, ki ureja prvo ocenjevanje in obratovalni monitoring za vire hrupa ter o pogojih za njegovo izvajanje</w:t>
      </w:r>
      <w:r w:rsidR="00182A3C" w:rsidRPr="00660BB5">
        <w:t>.</w:t>
      </w:r>
    </w:p>
    <w:p w14:paraId="6778FBFB" w14:textId="10442BFC" w:rsidR="00D058DB" w:rsidRPr="00660BB5" w:rsidRDefault="00D058DB" w:rsidP="008049D6">
      <w:pPr>
        <w:spacing w:line="260" w:lineRule="exact"/>
      </w:pPr>
    </w:p>
    <w:p w14:paraId="54F4C11D" w14:textId="1B1B3D32" w:rsidR="00F84076" w:rsidRPr="00660BB5" w:rsidRDefault="00182A3C" w:rsidP="008049D6">
      <w:pPr>
        <w:pStyle w:val="NatevanjeIIIIII"/>
        <w:numPr>
          <w:ilvl w:val="0"/>
          <w:numId w:val="0"/>
        </w:numPr>
        <w:spacing w:line="260" w:lineRule="exact"/>
      </w:pPr>
      <w:r w:rsidRPr="00660BB5">
        <w:t>Prav tako mora investitor za</w:t>
      </w:r>
      <w:r w:rsidR="00F84076" w:rsidRPr="00660BB5">
        <w:t xml:space="preserve"> načrtovani objekt izvesti tudi prvo ocenjevanje hrupa v okolju</w:t>
      </w:r>
      <w:r w:rsidR="0078103A" w:rsidRPr="00660BB5">
        <w:t xml:space="preserve"> v času poskusnega obratovanja oz.</w:t>
      </w:r>
      <w:r w:rsidR="00F84076" w:rsidRPr="00660BB5">
        <w:t xml:space="preserve"> po vzpostavitvi stabilnih obratovalnih razmer oz. pod dejanskimi obratovalnimi pogoji, vendar ne pozneje kot 15 mesecev po zagonu.</w:t>
      </w:r>
    </w:p>
    <w:p w14:paraId="1E979F5B" w14:textId="77777777" w:rsidR="00182A3C" w:rsidRPr="00660BB5" w:rsidRDefault="00182A3C" w:rsidP="008049D6">
      <w:pPr>
        <w:pStyle w:val="NatevanjeIIIIII"/>
        <w:numPr>
          <w:ilvl w:val="0"/>
          <w:numId w:val="0"/>
        </w:numPr>
        <w:spacing w:line="260" w:lineRule="exact"/>
      </w:pPr>
    </w:p>
    <w:p w14:paraId="61E95D4F" w14:textId="77777777" w:rsidR="00182A3C" w:rsidRPr="00660BB5" w:rsidRDefault="00182A3C" w:rsidP="008049D6">
      <w:pPr>
        <w:pStyle w:val="NatevanjeIIIIII"/>
        <w:numPr>
          <w:ilvl w:val="0"/>
          <w:numId w:val="0"/>
        </w:numPr>
        <w:spacing w:line="260" w:lineRule="exact"/>
      </w:pPr>
      <w:r w:rsidRPr="00660BB5">
        <w:t>Investitor mora zagotoviti prve meritve elektromagnetnega sevanja za novo predvideno transformatorsko postajo.</w:t>
      </w:r>
    </w:p>
    <w:p w14:paraId="73046F35" w14:textId="2D494AA0" w:rsidR="008331AF" w:rsidRPr="00660BB5" w:rsidRDefault="008331AF" w:rsidP="008049D6">
      <w:pPr>
        <w:spacing w:line="260" w:lineRule="exact"/>
        <w:rPr>
          <w:highlight w:val="yellow"/>
        </w:rPr>
      </w:pPr>
    </w:p>
    <w:p w14:paraId="6507152E" w14:textId="40AF1C1B" w:rsidR="00CF0D1C" w:rsidRPr="00660BB5" w:rsidRDefault="00CF0D1C" w:rsidP="008049D6">
      <w:pPr>
        <w:pStyle w:val="NatevanjeIIIIII"/>
        <w:spacing w:line="260" w:lineRule="exact"/>
      </w:pPr>
      <w:r w:rsidRPr="00660BB5">
        <w:t>Investitor mora pri nadaljnjem projektiranju, med gradnjo in uporabo objekta poleg pogojev, navedenih v V</w:t>
      </w:r>
      <w:r w:rsidR="00CB4E48" w:rsidRPr="00660BB5">
        <w:t>I</w:t>
      </w:r>
      <w:r w:rsidRPr="00660BB5">
        <w:t xml:space="preserve">. </w:t>
      </w:r>
      <w:r w:rsidR="00CB4E48" w:rsidRPr="00660BB5">
        <w:t>t</w:t>
      </w:r>
      <w:r w:rsidRPr="00660BB5">
        <w:t>očki</w:t>
      </w:r>
      <w:r w:rsidR="00CB4E48" w:rsidRPr="00660BB5">
        <w:t>,</w:t>
      </w:r>
      <w:r w:rsidRPr="00660BB5">
        <w:t xml:space="preserve"> upoštevati tudi pogoje, ki imajo ustrezno pravno podlago in so jih k izvedbi gradnje in uporabi objekta iz vidika njihove pristojnosti podali </w:t>
      </w:r>
      <w:proofErr w:type="spellStart"/>
      <w:r w:rsidRPr="00660BB5">
        <w:t>mnenjedajalci</w:t>
      </w:r>
      <w:proofErr w:type="spellEnd"/>
      <w:r w:rsidR="00CE3067" w:rsidRPr="00660BB5">
        <w:t>,</w:t>
      </w:r>
      <w:r w:rsidRPr="00660BB5">
        <w:t xml:space="preserve"> navedeni v </w:t>
      </w:r>
      <w:proofErr w:type="spellStart"/>
      <w:r w:rsidRPr="00660BB5">
        <w:t>V</w:t>
      </w:r>
      <w:proofErr w:type="spellEnd"/>
      <w:r w:rsidRPr="00660BB5">
        <w:t>. točki.</w:t>
      </w:r>
    </w:p>
    <w:p w14:paraId="5BC47BB9" w14:textId="77777777" w:rsidR="00985E52" w:rsidRPr="00660BB5" w:rsidRDefault="00985E52" w:rsidP="008049D6">
      <w:pPr>
        <w:spacing w:line="260" w:lineRule="exact"/>
      </w:pPr>
    </w:p>
    <w:p w14:paraId="1BCB4545" w14:textId="77777777" w:rsidR="0010687F" w:rsidRPr="00660BB5" w:rsidRDefault="0010687F" w:rsidP="008049D6">
      <w:pPr>
        <w:pStyle w:val="NatevanjeIIIIII"/>
        <w:spacing w:line="260" w:lineRule="exact"/>
      </w:pPr>
      <w:r w:rsidRPr="00660BB5">
        <w:t xml:space="preserve">To dovoljenje preneha veljati, če investitor </w:t>
      </w:r>
      <w:r w:rsidR="00A4560D" w:rsidRPr="00660BB5">
        <w:t>ne prijavi začetka gradnje in ne začne z gradnjo v petih letih od njegove pravnomočnosti.</w:t>
      </w:r>
    </w:p>
    <w:p w14:paraId="602D3278" w14:textId="77777777" w:rsidR="0010687F" w:rsidRPr="00660BB5" w:rsidRDefault="0010687F" w:rsidP="008049D6">
      <w:pPr>
        <w:pStyle w:val="NatevanjeIIIIII"/>
        <w:numPr>
          <w:ilvl w:val="0"/>
          <w:numId w:val="0"/>
        </w:numPr>
        <w:spacing w:line="260" w:lineRule="exact"/>
      </w:pPr>
    </w:p>
    <w:p w14:paraId="40F60D98" w14:textId="77777777" w:rsidR="0010687F" w:rsidRPr="00660BB5" w:rsidRDefault="0010687F" w:rsidP="008049D6">
      <w:pPr>
        <w:pStyle w:val="NatevanjeIIIIII"/>
        <w:spacing w:line="260" w:lineRule="exact"/>
      </w:pPr>
      <w:r w:rsidRPr="00660BB5">
        <w:t>Zaradi te gradnje ne smejo biti prizadete pravice in pravne koristi tretjih oseb. Škodo, ki bi nastala zaradi kršitev pravic in pravnih koristi teh oseb, trpi investitor.</w:t>
      </w:r>
    </w:p>
    <w:p w14:paraId="3A745E8E" w14:textId="77777777" w:rsidR="0010687F" w:rsidRPr="00660BB5" w:rsidRDefault="0010687F" w:rsidP="008049D6">
      <w:pPr>
        <w:pStyle w:val="NatevanjeIIIIII"/>
        <w:numPr>
          <w:ilvl w:val="0"/>
          <w:numId w:val="0"/>
        </w:numPr>
        <w:spacing w:line="260" w:lineRule="exact"/>
      </w:pPr>
    </w:p>
    <w:p w14:paraId="1D5C3B5D" w14:textId="77777777" w:rsidR="0010687F" w:rsidRPr="00660BB5" w:rsidRDefault="0010687F" w:rsidP="008049D6">
      <w:pPr>
        <w:pStyle w:val="NatevanjeIIIIII"/>
        <w:spacing w:line="260" w:lineRule="exact"/>
      </w:pPr>
      <w:r w:rsidRPr="00660BB5">
        <w:lastRenderedPageBreak/>
        <w:t>Posebni stroški za izdajo tega dovoljenja niso bili zaznamovani.</w:t>
      </w:r>
    </w:p>
    <w:p w14:paraId="765E2717" w14:textId="77777777" w:rsidR="0010687F" w:rsidRPr="00660BB5" w:rsidRDefault="0010687F" w:rsidP="008049D6">
      <w:pPr>
        <w:pStyle w:val="Naslov"/>
        <w:spacing w:line="260" w:lineRule="exact"/>
        <w:jc w:val="both"/>
        <w:rPr>
          <w:b w:val="0"/>
        </w:rPr>
      </w:pPr>
    </w:p>
    <w:p w14:paraId="150E8210" w14:textId="77777777" w:rsidR="00AE59BE" w:rsidRPr="00660BB5" w:rsidRDefault="00AE59BE" w:rsidP="008049D6">
      <w:pPr>
        <w:pStyle w:val="Naslov"/>
        <w:spacing w:line="260" w:lineRule="exact"/>
        <w:jc w:val="both"/>
        <w:rPr>
          <w:b w:val="0"/>
        </w:rPr>
      </w:pPr>
    </w:p>
    <w:p w14:paraId="68A05815" w14:textId="77777777" w:rsidR="0010687F" w:rsidRPr="00660BB5" w:rsidRDefault="0010687F" w:rsidP="008049D6">
      <w:pPr>
        <w:pStyle w:val="Naslov"/>
        <w:spacing w:line="260" w:lineRule="exact"/>
      </w:pPr>
      <w:r w:rsidRPr="00660BB5">
        <w:t>Obrazložitev:</w:t>
      </w:r>
    </w:p>
    <w:p w14:paraId="6A600747" w14:textId="77777777" w:rsidR="0010687F" w:rsidRPr="00660BB5" w:rsidRDefault="0010687F" w:rsidP="008049D6">
      <w:pPr>
        <w:spacing w:line="260" w:lineRule="exact"/>
        <w:rPr>
          <w:highlight w:val="yellow"/>
        </w:rPr>
      </w:pPr>
    </w:p>
    <w:p w14:paraId="01040CFB" w14:textId="77777777" w:rsidR="00912AB9" w:rsidRPr="00660BB5" w:rsidRDefault="00912AB9" w:rsidP="008049D6">
      <w:pPr>
        <w:spacing w:line="260" w:lineRule="exact"/>
      </w:pPr>
      <w:bookmarkStart w:id="3" w:name="OLE_LINK2"/>
    </w:p>
    <w:p w14:paraId="1372B907" w14:textId="405E744E" w:rsidR="00912AB9" w:rsidRPr="00660BB5" w:rsidRDefault="00912AB9" w:rsidP="00660BB5">
      <w:pPr>
        <w:pStyle w:val="Obrazloitev1"/>
      </w:pPr>
      <w:r w:rsidRPr="00660BB5">
        <w:t xml:space="preserve">Investitor </w:t>
      </w:r>
      <w:r w:rsidR="00D661B5" w:rsidRPr="00660BB5">
        <w:t>HIDRIA d.o.o., Nazorjeva 6a, 1000 Ljubljana, ki ga po pooblastilu zastopa Božič d.o.o. inženiring Idrija, Prešernova ulica 2, 5280 Idrija</w:t>
      </w:r>
      <w:r w:rsidRPr="00660BB5">
        <w:t xml:space="preserve">, je dne </w:t>
      </w:r>
      <w:r w:rsidR="00D661B5" w:rsidRPr="00660BB5">
        <w:t>4</w:t>
      </w:r>
      <w:r w:rsidRPr="00660BB5">
        <w:t>. </w:t>
      </w:r>
      <w:r w:rsidR="00D661B5" w:rsidRPr="00660BB5">
        <w:t>1</w:t>
      </w:r>
      <w:r w:rsidRPr="00660BB5">
        <w:t>. 20</w:t>
      </w:r>
      <w:r w:rsidR="00D661B5" w:rsidRPr="00660BB5">
        <w:t>23</w:t>
      </w:r>
      <w:r w:rsidRPr="00660BB5">
        <w:t xml:space="preserve"> pri Ministrstvu za okolje in prostor</w:t>
      </w:r>
      <w:r w:rsidR="00BF505C" w:rsidRPr="00660BB5">
        <w:t>, sedaj Ministrstvo za naravne vire in prostor (v nadaljevanju: upravni organ)</w:t>
      </w:r>
      <w:r w:rsidRPr="00660BB5">
        <w:t xml:space="preserve"> podal zahtevo za izdajo gradbenega dovoljenja</w:t>
      </w:r>
      <w:r w:rsidR="00CF6539" w:rsidRPr="00660BB5">
        <w:t xml:space="preserve"> za objekt z vplivi na okolje: </w:t>
      </w:r>
      <w:r w:rsidR="00D661B5" w:rsidRPr="00660BB5">
        <w:t>EV-PLANT, 2. faza</w:t>
      </w:r>
      <w:r w:rsidRPr="00660BB5">
        <w:t xml:space="preserve">. K zahtevi za izdajo gradbenega dovoljenja je pooblaščenec investitorja priložil projektno dokumentacijo DGD št. </w:t>
      </w:r>
      <w:r w:rsidR="00D661B5" w:rsidRPr="00660BB5">
        <w:t>12/22</w:t>
      </w:r>
      <w:r w:rsidRPr="00660BB5">
        <w:t>, avgust 202</w:t>
      </w:r>
      <w:r w:rsidR="00D661B5" w:rsidRPr="00660BB5">
        <w:t>2</w:t>
      </w:r>
      <w:r w:rsidRPr="00660BB5">
        <w:t xml:space="preserve">, </w:t>
      </w:r>
      <w:r w:rsidR="00D661B5" w:rsidRPr="00660BB5">
        <w:t>Božič d.o.o., Prešernova ul.2, 5280 Idrija</w:t>
      </w:r>
      <w:r w:rsidRPr="00660BB5">
        <w:t xml:space="preserve"> in Poročilo o vplivih na okolje</w:t>
      </w:r>
      <w:r w:rsidR="00D661B5" w:rsidRPr="00660BB5">
        <w:t>, za prizidavo objekta EV-PLANT (2. faza),</w:t>
      </w:r>
      <w:r w:rsidRPr="00660BB5">
        <w:t xml:space="preserve"> št. </w:t>
      </w:r>
      <w:r w:rsidR="00D661B5" w:rsidRPr="00660BB5">
        <w:t>100422-dn</w:t>
      </w:r>
      <w:r w:rsidRPr="00660BB5">
        <w:t xml:space="preserve">, </w:t>
      </w:r>
      <w:r w:rsidR="00D661B5" w:rsidRPr="00660BB5">
        <w:t>december 2022, E-net okolje d.o.o., Linhartova cesta 13, 1000 Ljubljana</w:t>
      </w:r>
      <w:r w:rsidR="00CF6539" w:rsidRPr="00660BB5">
        <w:t>.</w:t>
      </w:r>
    </w:p>
    <w:p w14:paraId="3330EBBB" w14:textId="77777777" w:rsidR="00912AB9" w:rsidRPr="00660BB5" w:rsidRDefault="00912AB9" w:rsidP="008049D6">
      <w:pPr>
        <w:spacing w:line="260" w:lineRule="exact"/>
      </w:pPr>
    </w:p>
    <w:p w14:paraId="76D02E06" w14:textId="1A425C4C" w:rsidR="0033237E" w:rsidRPr="00660BB5" w:rsidRDefault="0033237E" w:rsidP="00660BB5">
      <w:pPr>
        <w:pStyle w:val="Obrazloitev1"/>
      </w:pPr>
      <w:r w:rsidRPr="00660BB5">
        <w:t xml:space="preserve">Pooblaščenec investitorja je vlogo za izdajo gradbenega dovoljenja na zahtevo upravnega organa večkrat dopolnil, nazadnje dne </w:t>
      </w:r>
      <w:r w:rsidR="000D7954" w:rsidRPr="00660BB5">
        <w:t>29.1.2024</w:t>
      </w:r>
      <w:r w:rsidR="00715A28" w:rsidRPr="00660BB5">
        <w:t> </w:t>
      </w:r>
      <w:r w:rsidR="00F36D1F" w:rsidRPr="00660BB5">
        <w:t>z</w:t>
      </w:r>
      <w:r w:rsidR="00715A28" w:rsidRPr="00660BB5">
        <w:t> </w:t>
      </w:r>
      <w:r w:rsidR="00F36D1F" w:rsidRPr="00660BB5">
        <w:t>dokazilom o plačilu komunalnega prispevka</w:t>
      </w:r>
    </w:p>
    <w:p w14:paraId="2B829082" w14:textId="77777777" w:rsidR="0010687F" w:rsidRPr="00660BB5" w:rsidRDefault="0010687F" w:rsidP="008049D6">
      <w:pPr>
        <w:spacing w:line="260" w:lineRule="exact"/>
        <w:rPr>
          <w:highlight w:val="yellow"/>
        </w:rPr>
      </w:pPr>
    </w:p>
    <w:p w14:paraId="7E011A34" w14:textId="5E6CCC08" w:rsidR="00293512" w:rsidRPr="00660BB5" w:rsidRDefault="0033237E" w:rsidP="00660BB5">
      <w:pPr>
        <w:pStyle w:val="Obrazloitev1"/>
      </w:pPr>
      <w:r w:rsidRPr="00660BB5">
        <w:t>Upravni organ ugotavlja, da se zahtevek investitorja nanaša na gradnjo</w:t>
      </w:r>
      <w:r w:rsidR="00CB4E48" w:rsidRPr="00660BB5">
        <w:t>, ki bo namenjen</w:t>
      </w:r>
      <w:r w:rsidR="001C7F8F" w:rsidRPr="00660BB5">
        <w:t>a</w:t>
      </w:r>
      <w:r w:rsidR="00CB4E48" w:rsidRPr="00660BB5">
        <w:t xml:space="preserve"> proizvodnji, postavitv</w:t>
      </w:r>
      <w:r w:rsidR="001C7F8F" w:rsidRPr="00660BB5">
        <w:t>i</w:t>
      </w:r>
      <w:r w:rsidR="00CB4E48" w:rsidRPr="00660BB5">
        <w:t xml:space="preserve"> štanc za izdelavo kovinskih polizdelkov</w:t>
      </w:r>
      <w:r w:rsidR="001C7F8F" w:rsidRPr="00660BB5">
        <w:t>,</w:t>
      </w:r>
      <w:r w:rsidR="00CB4E48" w:rsidRPr="00660BB5">
        <w:t xml:space="preserve"> namenjenih avtomobilski industriji in</w:t>
      </w:r>
      <w:r w:rsidR="00F36D1F" w:rsidRPr="00660BB5">
        <w:t xml:space="preserve"> gradnji </w:t>
      </w:r>
      <w:r w:rsidR="00CB4E48" w:rsidRPr="00660BB5">
        <w:t>transformatorsk</w:t>
      </w:r>
      <w:r w:rsidR="00F36D1F" w:rsidRPr="00660BB5">
        <w:t>e</w:t>
      </w:r>
      <w:r w:rsidR="00CB4E48" w:rsidRPr="00660BB5">
        <w:t xml:space="preserve"> postaj</w:t>
      </w:r>
      <w:r w:rsidR="00F36D1F" w:rsidRPr="00660BB5">
        <w:t>e</w:t>
      </w:r>
      <w:r w:rsidR="00CB4E48" w:rsidRPr="00660BB5">
        <w:t xml:space="preserve"> z zunanjo in komunalno ureditvijo na zemljiščih parc. št. 7/12, 7/30, 7/17, 7/46, 7/4, 7/13, 7/14, 7/19, 7/33, 7/65, 7/64, 7/62, vse k.o. Sp. Kanomlja</w:t>
      </w:r>
      <w:r w:rsidR="001C7F8F" w:rsidRPr="00660BB5">
        <w:t>. Opisana gradnja</w:t>
      </w:r>
      <w:r w:rsidR="00BD03EC" w:rsidRPr="00660BB5">
        <w:t xml:space="preserve"> se prilagaja racionalni izrabi prostora, obstoječi prometni ureditvi, obstoječi ureditvi zelenih površin, ekonomičnosti gradnje, požarnim, varnostnim in okoljevarstvenim zahtevam. Načrtovani objekt bo umeščen poleg obstoječih objektov na lokaciji, ki je v lasti investitorja. Določeni objekti na lokaciji bodo odstranjeni</w:t>
      </w:r>
      <w:r w:rsidR="00CE3067" w:rsidRPr="00660BB5">
        <w:t>,</w:t>
      </w:r>
      <w:r w:rsidR="00C53F89" w:rsidRPr="00660BB5">
        <w:t xml:space="preserve"> vendar niso predmet zahtevka investitorja, so pa odstranitve upoštevane pri presoji vplivov na okolje, kar je del obrazloženo v 8. točki te obrazložitve</w:t>
      </w:r>
      <w:r w:rsidR="00BD03EC" w:rsidRPr="00660BB5">
        <w:t>. Namen gradnje je zagotovitev novih proizvodnih prostorov za potrebe širitve proizvodnih kapacitet. Faza 2 EV PLANT je nadaljevanje faze 1</w:t>
      </w:r>
      <w:r w:rsidR="00CE3067" w:rsidRPr="00660BB5">
        <w:t>,</w:t>
      </w:r>
      <w:r w:rsidR="00BD03EC" w:rsidRPr="00660BB5">
        <w:t xml:space="preserve"> za katero ima investitor že pridobljeno gradbeno dovoljenje, objekt pa je v fazi gradnje. Konstrukcijsko je objekt kombinacija montažne betonske hale, postavljene na točkovne temelje, betonskih sten na talni plošči ali pasovnih temeljih, stekleno kovinske »ALU« fasade, ravne strehe v minimalnem naklonu s priključki na obstoječo infrastrukturo ter gradnjo nove </w:t>
      </w:r>
      <w:proofErr w:type="spellStart"/>
      <w:r w:rsidR="00BD03EC" w:rsidRPr="00660BB5">
        <w:t>trafopostaje</w:t>
      </w:r>
      <w:proofErr w:type="spellEnd"/>
      <w:r w:rsidR="00BD03EC" w:rsidRPr="00660BB5">
        <w:t>.</w:t>
      </w:r>
    </w:p>
    <w:p w14:paraId="29DB5C0A" w14:textId="77777777" w:rsidR="00BD03EC" w:rsidRPr="00660BB5" w:rsidRDefault="00BD03EC" w:rsidP="008049D6">
      <w:pPr>
        <w:spacing w:line="260" w:lineRule="exact"/>
      </w:pPr>
    </w:p>
    <w:p w14:paraId="1156D037" w14:textId="7FC52EFD" w:rsidR="00D53B50" w:rsidRPr="00660BB5" w:rsidRDefault="002265C7" w:rsidP="00660BB5">
      <w:pPr>
        <w:pStyle w:val="Obrazloitev1"/>
      </w:pPr>
      <w:r w:rsidRPr="00660BB5">
        <w:t>Upravni organ ugotavlja, da je nameravani poseg objekt z vplivi na okolje, za katerega je treba izvesti presojo vplivov na okolje. Obveznost presoje vplivov na okolje se ugotavlja po Uredbi o posegih v okolje, za katere je treba izvesti presojo vplivov na okolje (Uradni list</w:t>
      </w:r>
      <w:r w:rsidR="004F5374" w:rsidRPr="00660BB5">
        <w:t xml:space="preserve"> RS, št. 51/14, 57/15, 26/17, </w:t>
      </w:r>
      <w:r w:rsidRPr="00660BB5">
        <w:t>105/20</w:t>
      </w:r>
      <w:r w:rsidR="004F5374" w:rsidRPr="00660BB5">
        <w:t xml:space="preserve"> in </w:t>
      </w:r>
      <w:hyperlink r:id="rId8" w:tgtFrame="_blank" w:tooltip="Zakon o varstvu okolja" w:history="1">
        <w:r w:rsidR="004F5374" w:rsidRPr="00660BB5">
          <w:t>44/22</w:t>
        </w:r>
      </w:hyperlink>
      <w:r w:rsidR="004F5374" w:rsidRPr="00660BB5">
        <w:t> – ZVO-2</w:t>
      </w:r>
      <w:r w:rsidRPr="00660BB5">
        <w:t xml:space="preserve">; v nadaljevanju Uredba o posegih v okolje). </w:t>
      </w:r>
      <w:r w:rsidR="00D53B50" w:rsidRPr="00660BB5">
        <w:t xml:space="preserve">Presoja vplivov na okolje je med drugim v skladu z 2. alinejo prvega odstavka 1. člena Uredbe o posegih v okolje obvezna za posege v okolje, če se zanje v predhodnem postopku ugotovi, da bi lahko imeli pomembne vplive na okolje. Za nameravani poseg je bil v skladu s točko G.II.1. Uredbe o posegih v okolje izveden predhodni postopek ter s strani </w:t>
      </w:r>
      <w:r w:rsidR="001C7F8F" w:rsidRPr="00660BB5">
        <w:t xml:space="preserve">takrat </w:t>
      </w:r>
      <w:r w:rsidR="0004577E" w:rsidRPr="00660BB5">
        <w:t>Ministrstva za okolje in p</w:t>
      </w:r>
      <w:r w:rsidR="008C7885" w:rsidRPr="00660BB5">
        <w:t xml:space="preserve">rostor, Dunajska cesta 48, 1000 </w:t>
      </w:r>
      <w:r w:rsidR="0004577E" w:rsidRPr="00660BB5">
        <w:t xml:space="preserve">Ljubljana </w:t>
      </w:r>
      <w:r w:rsidR="00C00F6B" w:rsidRPr="00660BB5">
        <w:t xml:space="preserve">izdan </w:t>
      </w:r>
      <w:r w:rsidR="001C7F8F" w:rsidRPr="00660BB5">
        <w:t>s</w:t>
      </w:r>
      <w:r w:rsidR="00D53B50" w:rsidRPr="00660BB5">
        <w:t xml:space="preserve">klep št. 35431-103/2021-10 z dne 9. 2. 2022 iz katerega izhaja, da je za nameravani poseg potrebno izvesti presojo vplivov na okolje. </w:t>
      </w:r>
      <w:r w:rsidR="002163F8" w:rsidRPr="00660BB5">
        <w:t>Ministrstvo za okolje in prostor</w:t>
      </w:r>
      <w:r w:rsidR="00D53B50" w:rsidRPr="00660BB5">
        <w:t xml:space="preserve"> je</w:t>
      </w:r>
      <w:r w:rsidR="002163F8" w:rsidRPr="00660BB5">
        <w:t xml:space="preserve"> </w:t>
      </w:r>
      <w:r w:rsidR="0081593C" w:rsidRPr="00660BB5">
        <w:t>namreč</w:t>
      </w:r>
      <w:r w:rsidR="00D53B50" w:rsidRPr="00660BB5">
        <w:t xml:space="preserve"> upoštevajoč značilnosti nameravanega posega, lokacijo nameravanega posega ter upoštevajoč pričakovan vpliv nameravanega posega z vidika emisij hrupa v času obratovanja, prepoznal verjetno pomemben vpliv nameravanega posega na okolje. Postopek izdaje gradbenega dovoljenja se vodi kot integralni postopek v skladu s IV. poglavjem GZ-1, gradbeno dovoljenje pa združuje odločitev o izpolnjevanju pogojev za izdajo gradbenega dovoljenja in </w:t>
      </w:r>
      <w:r w:rsidR="008642E4" w:rsidRPr="00660BB5">
        <w:t xml:space="preserve">odločitev, da nameravana gradnja nima pomembnih škodljivih vplivov na okolje </w:t>
      </w:r>
      <w:r w:rsidR="00D53B50" w:rsidRPr="00660BB5">
        <w:t xml:space="preserve">(1. odstavek </w:t>
      </w:r>
      <w:r w:rsidR="008642E4" w:rsidRPr="00660BB5">
        <w:t>63</w:t>
      </w:r>
      <w:r w:rsidR="00D53B50" w:rsidRPr="00660BB5">
        <w:t>. člena GZ).</w:t>
      </w:r>
    </w:p>
    <w:p w14:paraId="4A7E8906" w14:textId="77777777" w:rsidR="00AE59BE" w:rsidRPr="00660BB5" w:rsidRDefault="00AE59BE" w:rsidP="008049D6">
      <w:pPr>
        <w:autoSpaceDE w:val="0"/>
        <w:autoSpaceDN w:val="0"/>
        <w:adjustRightInd w:val="0"/>
        <w:spacing w:line="260" w:lineRule="exact"/>
        <w:ind w:right="62"/>
        <w:rPr>
          <w:highlight w:val="yellow"/>
        </w:rPr>
      </w:pPr>
    </w:p>
    <w:p w14:paraId="5FCCFC50" w14:textId="2AE40C09" w:rsidR="005C08B6" w:rsidRPr="00660BB5" w:rsidRDefault="005C08B6" w:rsidP="00660BB5">
      <w:pPr>
        <w:pStyle w:val="Obrazloitev1"/>
      </w:pPr>
      <w:r w:rsidRPr="00660BB5">
        <w:t>Upravni organ je</w:t>
      </w:r>
      <w:r w:rsidR="001C7F8F" w:rsidRPr="00660BB5">
        <w:t>,</w:t>
      </w:r>
      <w:r w:rsidRPr="00660BB5">
        <w:t xml:space="preserve"> skladno z določbami 54. in 70. člena GZ-1, v postopku ugotovil:</w:t>
      </w:r>
    </w:p>
    <w:p w14:paraId="55F8654C" w14:textId="77777777" w:rsidR="005C08B6" w:rsidRPr="00660BB5" w:rsidRDefault="005C08B6" w:rsidP="008049D6">
      <w:pPr>
        <w:spacing w:line="260" w:lineRule="exact"/>
        <w:ind w:right="-7"/>
      </w:pPr>
    </w:p>
    <w:p w14:paraId="35530574" w14:textId="15D334EA" w:rsidR="005C08B6" w:rsidRPr="00660BB5" w:rsidRDefault="005C08B6" w:rsidP="008049D6">
      <w:pPr>
        <w:pStyle w:val="Izrek1"/>
        <w:spacing w:line="260" w:lineRule="exact"/>
      </w:pPr>
      <w:r w:rsidRPr="00660BB5">
        <w:t xml:space="preserve">Predložena projektna dokumentacija za pridobitev mnenj in gradbenega dovoljenja (DGD) je izdelana v skladu s Pravilnikom o podrobnejši vsebini dokumentacije in obrazcih, povezanih z graditvijo objektov (Uradni list RS, št. 36/18, 51/18 – </w:t>
      </w:r>
      <w:proofErr w:type="spellStart"/>
      <w:r w:rsidRPr="00660BB5">
        <w:t>popr</w:t>
      </w:r>
      <w:proofErr w:type="spellEnd"/>
      <w:r w:rsidRPr="00660BB5">
        <w:t>., 197/20, 199/21 – GZ-1 in 30/23) v povezavi z drugim odstavkom 29. člena Pravilnika o projektni in drugi dokumentaciji ter obrazcih pri graditvi objektov (Uradni list RS, št. 30/23). Zahteva za izdajo gradbenega dovoljenja je bila vložena dne 9.</w:t>
      </w:r>
      <w:r w:rsidR="002163F8" w:rsidRPr="00660BB5">
        <w:t> </w:t>
      </w:r>
      <w:r w:rsidRPr="00660BB5">
        <w:t>1.</w:t>
      </w:r>
      <w:r w:rsidR="002163F8" w:rsidRPr="00660BB5">
        <w:t> </w:t>
      </w:r>
      <w:r w:rsidRPr="00660BB5">
        <w:t>2023, to</w:t>
      </w:r>
      <w:r w:rsidR="002163F8" w:rsidRPr="00660BB5">
        <w:t> </w:t>
      </w:r>
      <w:r w:rsidRPr="00660BB5">
        <w:t>je</w:t>
      </w:r>
      <w:r w:rsidR="002163F8" w:rsidRPr="00660BB5">
        <w:t> </w:t>
      </w:r>
      <w:r w:rsidRPr="00660BB5">
        <w:t xml:space="preserve">pred začetkom veljave Pravilnika o projektni in drugi dokumentaciji ter obrazcih pri graditvi objektov, </w:t>
      </w:r>
      <w:r w:rsidR="00C00F6B" w:rsidRPr="00660BB5">
        <w:t xml:space="preserve">ki je začel veljati </w:t>
      </w:r>
      <w:r w:rsidRPr="00660BB5">
        <w:t>dne 25.</w:t>
      </w:r>
      <w:r w:rsidR="00715A28" w:rsidRPr="00660BB5">
        <w:t> </w:t>
      </w:r>
      <w:r w:rsidRPr="00660BB5">
        <w:t>3.</w:t>
      </w:r>
      <w:r w:rsidR="00715A28" w:rsidRPr="00660BB5">
        <w:t> </w:t>
      </w:r>
      <w:r w:rsidRPr="00660BB5">
        <w:t>2023. DGD sta podpisala projektant BOŽIČ d.o.o. inženiring Idrija, Prešernova ul. 2, 5280 Idrija in vodja projekta Miro Božič, univ. dipl. inž. arh. (A-1058), ki je bil v času izdelave projektne dokumentacije vpisan v imenik pristojne poklicne zbornice.</w:t>
      </w:r>
    </w:p>
    <w:p w14:paraId="4D04FBBF" w14:textId="77777777" w:rsidR="005C08B6" w:rsidRPr="00660BB5" w:rsidRDefault="005C08B6" w:rsidP="008049D6">
      <w:pPr>
        <w:spacing w:line="260" w:lineRule="exact"/>
        <w:ind w:right="-7"/>
      </w:pPr>
    </w:p>
    <w:p w14:paraId="58188D3E" w14:textId="77777777" w:rsidR="00133AAA" w:rsidRPr="00660BB5" w:rsidRDefault="00E53229" w:rsidP="008049D6">
      <w:pPr>
        <w:pStyle w:val="Izrek1"/>
        <w:spacing w:line="260" w:lineRule="exact"/>
      </w:pPr>
      <w:r w:rsidRPr="00660BB5">
        <w:t>Nameravana gradnja je skladna s predpisi, ki so podlaga za izdajo mnenj. Upravni organ na podlagi vpogleda v DGD, PVO, Prostorski informacijski sistem in pridobljena mnenja v zvezi s tem ugotavlja, da so bila</w:t>
      </w:r>
      <w:r w:rsidR="00C00F6B" w:rsidRPr="00660BB5">
        <w:t>,</w:t>
      </w:r>
      <w:r w:rsidRPr="00660BB5">
        <w:t xml:space="preserve"> k predmetni gradnji</w:t>
      </w:r>
      <w:r w:rsidR="00C00F6B" w:rsidRPr="00660BB5">
        <w:t>, mnenja</w:t>
      </w:r>
      <w:r w:rsidRPr="00660BB5">
        <w:t xml:space="preserve"> pridobljena </w:t>
      </w:r>
      <w:r w:rsidR="005C08B6" w:rsidRPr="00660BB5">
        <w:t>v skladu s četrtim odstavkom 43. člena GZ-1</w:t>
      </w:r>
      <w:r w:rsidR="00B5470D" w:rsidRPr="00660BB5">
        <w:t xml:space="preserve">. V mnenjih </w:t>
      </w:r>
      <w:r w:rsidR="005C08B6" w:rsidRPr="00660BB5">
        <w:t xml:space="preserve">so se mnenjedajalci opredelili glede skladnosti </w:t>
      </w:r>
      <w:r w:rsidR="00C00F6B" w:rsidRPr="00660BB5">
        <w:t>DGD</w:t>
      </w:r>
      <w:r w:rsidR="005C08B6" w:rsidRPr="00660BB5">
        <w:t xml:space="preserve"> s predpisi iz njihove pristojnosti. Pridobljena so med drugim tudi mnenja upravljavcev vodov gospodarske javne infrastrukture, na katere je predvidena priključitev predmetne gradnje, ter upravljavcev vodov gospodarske javne infrastrukture, katerih varovalni pasovi se nahajajo v območju predmetne gradnje (</w:t>
      </w:r>
      <w:r w:rsidRPr="00660BB5">
        <w:t xml:space="preserve">Direkcija RS za infrastrukturo Sektor za upravljanje cest Območje Nova Gorica, Elektro Primorska </w:t>
      </w:r>
      <w:proofErr w:type="spellStart"/>
      <w:r w:rsidRPr="00660BB5">
        <w:t>d.d</w:t>
      </w:r>
      <w:proofErr w:type="spellEnd"/>
      <w:r w:rsidRPr="00660BB5">
        <w:t xml:space="preserve">., Komunala d.o.o., Petrol, Slovenska energetska družba, </w:t>
      </w:r>
      <w:proofErr w:type="spellStart"/>
      <w:r w:rsidRPr="00660BB5">
        <w:t>d.d</w:t>
      </w:r>
      <w:proofErr w:type="spellEnd"/>
      <w:r w:rsidRPr="00660BB5">
        <w:t>.,</w:t>
      </w:r>
      <w:r w:rsidR="00B5470D" w:rsidRPr="00660BB5">
        <w:t xml:space="preserve"> </w:t>
      </w:r>
      <w:r w:rsidR="005C08B6" w:rsidRPr="00660BB5">
        <w:t xml:space="preserve">Telekom Slovenije </w:t>
      </w:r>
      <w:proofErr w:type="spellStart"/>
      <w:r w:rsidR="005C08B6" w:rsidRPr="00660BB5">
        <w:t>d.d</w:t>
      </w:r>
      <w:proofErr w:type="spellEnd"/>
      <w:r w:rsidR="005C08B6" w:rsidRPr="00660BB5">
        <w:t>.).</w:t>
      </w:r>
      <w:r w:rsidR="0010526A" w:rsidRPr="00660BB5">
        <w:t xml:space="preserve"> Iz mnenj, ki so navedena v</w:t>
      </w:r>
      <w:r w:rsidR="00C00F6B" w:rsidRPr="00660BB5">
        <w:t xml:space="preserve"> </w:t>
      </w:r>
      <w:proofErr w:type="spellStart"/>
      <w:r w:rsidR="00C00F6B" w:rsidRPr="00660BB5">
        <w:t>V</w:t>
      </w:r>
      <w:proofErr w:type="spellEnd"/>
      <w:r w:rsidR="0010526A" w:rsidRPr="00660BB5">
        <w:t>. točki izreka tega dovoljenja</w:t>
      </w:r>
      <w:r w:rsidR="00B5470D" w:rsidRPr="00660BB5">
        <w:t>,</w:t>
      </w:r>
      <w:r w:rsidR="0010526A" w:rsidRPr="00660BB5">
        <w:t xml:space="preserve"> izhaja, da ni zadržkov za izdajo tega dovoljenja z vidika predpisov mnenjedajalcev, ki so podlaga za njihovo izdajo. Investitor mora pri nadaljnjem projektiranju, med gradnjo in uporabo objekta upoštevati vse pogoje mnenjedajalcev, ki imajo ustrezno pravno podlag</w:t>
      </w:r>
      <w:r w:rsidR="00B5470D" w:rsidRPr="00660BB5">
        <w:t>o</w:t>
      </w:r>
      <w:r w:rsidR="0010526A" w:rsidRPr="00660BB5">
        <w:t>, k čemur je zavezan v VII</w:t>
      </w:r>
      <w:r w:rsidR="00B5470D" w:rsidRPr="00660BB5">
        <w:t>I</w:t>
      </w:r>
      <w:r w:rsidR="0010526A" w:rsidRPr="00660BB5">
        <w:t>. točki izreka tega dovoljenja. Upravni organ glede navedenega še ugotavlja, da zahteve mnenjedajalcev, ki se nanašajo na pridobitev soglasja mnenjedajalcev k projektni dokumentaciji za izvedbo gradnje (PZI)</w:t>
      </w:r>
      <w:r w:rsidR="00B5470D" w:rsidRPr="00660BB5">
        <w:t>,</w:t>
      </w:r>
      <w:r w:rsidR="0010526A" w:rsidRPr="00660BB5">
        <w:t xml:space="preserve"> nimajo ustrezne pravne podlage. Ugotovitve v zvezi s področji mnenjedajalcev, ki so tudi predmet presoje vplivov na okolje v integralnem postopku, so podane v točki (5) </w:t>
      </w:r>
      <w:r w:rsidR="0051599A" w:rsidRPr="00660BB5">
        <w:t>8</w:t>
      </w:r>
      <w:r w:rsidR="0010526A" w:rsidRPr="00660BB5">
        <w:t>. Mnenja, ki so navedena v</w:t>
      </w:r>
      <w:r w:rsidR="00C00F6B" w:rsidRPr="00660BB5">
        <w:t xml:space="preserve"> </w:t>
      </w:r>
      <w:proofErr w:type="spellStart"/>
      <w:r w:rsidR="00C00F6B" w:rsidRPr="00660BB5">
        <w:t>V</w:t>
      </w:r>
      <w:proofErr w:type="spellEnd"/>
      <w:r w:rsidR="0010526A" w:rsidRPr="00660BB5">
        <w:t>. točki izreka tega dovoljenja, jasno izražajo pozitivno stališče mnenjedajalcev in so strokovno in pravno utemeljena ter obrazložena.</w:t>
      </w:r>
    </w:p>
    <w:p w14:paraId="22325D42" w14:textId="35CB6CC5" w:rsidR="0010526A" w:rsidRPr="00660BB5" w:rsidRDefault="0010526A" w:rsidP="008049D6">
      <w:pPr>
        <w:pStyle w:val="Izrek1"/>
        <w:numPr>
          <w:ilvl w:val="0"/>
          <w:numId w:val="0"/>
        </w:numPr>
        <w:spacing w:line="260" w:lineRule="exact"/>
      </w:pPr>
    </w:p>
    <w:p w14:paraId="74E9E4DB" w14:textId="7CDA8639" w:rsidR="00F421F4" w:rsidRPr="00660BB5" w:rsidRDefault="00F421F4" w:rsidP="008049D6">
      <w:pPr>
        <w:pStyle w:val="Izrek11"/>
        <w:spacing w:line="260" w:lineRule="exact"/>
      </w:pPr>
      <w:r w:rsidRPr="00660BB5">
        <w:t>Zakon o urejanju prostora (Uradni list RS, št. 199/21) v 282. členu določa, da občina izdaja mnenja glede skladnosti gradnje oziroma uporabe objekta in skladnosti gradbene parcele z občinskimi prostorskimi izvedbenimi akti; na območju državnega prostorskega načrta in uredbe o državnem prostorskem ureditvenem načrtu pa pristojno ministrstvo. Hkrati je v tretjem odstavku 43. člena GZ-1 določeno, da se za objekt, za katerega izdajo gradbenega dovoljenja je pristojno ministrstvo in je predviden na območju, za katero je sprejet državni prostorski izvedbeni akt, mnenje ministrstva, pristojnega za prostor, ne pridobi, temveč se o tem odloči v postopku izdaje gradbenega dovoljenja. Nameravana gradnja se nahaja v enoti urejanja prostora SI_2/2_IP, s podrobnejšo namensko rabo površine za industrijo, ki se ureja z Odlokom o Občinskem prostorskem načrtu občine Idrija (Uradni list RS, št. 38/11, 107/13, 12/14, 53/14, 70/16, 40/17, 50/18, 100/22). Ob</w:t>
      </w:r>
      <w:r w:rsidR="00B5470D" w:rsidRPr="00660BB5">
        <w:t>č</w:t>
      </w:r>
      <w:r w:rsidRPr="00660BB5">
        <w:t>ina Idrija</w:t>
      </w:r>
      <w:r w:rsidR="00C00F6B" w:rsidRPr="00660BB5">
        <w:t xml:space="preserve">, Mestni trg, 5280 Idrija, </w:t>
      </w:r>
      <w:hyperlink r:id="rId9" w:history="1">
        <w:r w:rsidR="00C00F6B" w:rsidRPr="00660BB5">
          <w:t>obcina.idrija@idrija.si</w:t>
        </w:r>
      </w:hyperlink>
      <w:r w:rsidR="00C00F6B" w:rsidRPr="00660BB5">
        <w:t xml:space="preserve">, </w:t>
      </w:r>
      <w:r w:rsidRPr="00660BB5">
        <w:t>je k predložen</w:t>
      </w:r>
      <w:r w:rsidR="00C00F6B" w:rsidRPr="00660BB5">
        <w:t xml:space="preserve">em DGD </w:t>
      </w:r>
      <w:r w:rsidRPr="00660BB5">
        <w:t>podala pozitivno mnenje glede skladnosti z določbami OPN, št. 351-173/2022-4 z dne 30.</w:t>
      </w:r>
      <w:r w:rsidR="00715A28" w:rsidRPr="00660BB5">
        <w:t> </w:t>
      </w:r>
      <w:r w:rsidRPr="00660BB5">
        <w:t>12.</w:t>
      </w:r>
      <w:r w:rsidR="00715A28" w:rsidRPr="00660BB5">
        <w:t> </w:t>
      </w:r>
      <w:r w:rsidRPr="00660BB5">
        <w:t>2022 in št. 351-173/2022-4 z dne 13.</w:t>
      </w:r>
      <w:r w:rsidR="00715A28" w:rsidRPr="00660BB5">
        <w:t> </w:t>
      </w:r>
      <w:r w:rsidRPr="00660BB5">
        <w:t>3.</w:t>
      </w:r>
      <w:r w:rsidR="00715A28" w:rsidRPr="00660BB5">
        <w:t> </w:t>
      </w:r>
      <w:r w:rsidRPr="00660BB5">
        <w:t>2023, kot je navedeno tudi v točki V. izreka tega dovoljenja.</w:t>
      </w:r>
    </w:p>
    <w:p w14:paraId="28C7E921" w14:textId="18477028" w:rsidR="0010526A" w:rsidRPr="00660BB5" w:rsidRDefault="0010526A" w:rsidP="008049D6">
      <w:pPr>
        <w:spacing w:line="260" w:lineRule="exact"/>
      </w:pPr>
    </w:p>
    <w:p w14:paraId="10EA4445" w14:textId="634F1D9B" w:rsidR="000C2944" w:rsidRPr="00660BB5" w:rsidRDefault="000C2944" w:rsidP="008049D6">
      <w:pPr>
        <w:pStyle w:val="Izrek1"/>
        <w:spacing w:line="260" w:lineRule="exact"/>
      </w:pPr>
      <w:r w:rsidRPr="00660BB5">
        <w:t>Iz dokumentacije za pridobitev gradbenega dovoljenja izhaja, da bo zagotovljena minimalna komunalna oskrba objekta, ki v konkretnem primeru predstavlja oskrbo s pitno vodo, energijo, odvajanjem odpadnih voda ter dostop.</w:t>
      </w:r>
    </w:p>
    <w:p w14:paraId="6D2FB845" w14:textId="77777777" w:rsidR="000C2944" w:rsidRPr="00660BB5" w:rsidRDefault="000C2944" w:rsidP="008049D6">
      <w:pPr>
        <w:pStyle w:val="Izrek1"/>
        <w:numPr>
          <w:ilvl w:val="0"/>
          <w:numId w:val="0"/>
        </w:numPr>
        <w:spacing w:line="260" w:lineRule="exact"/>
      </w:pPr>
    </w:p>
    <w:p w14:paraId="3A845D1C" w14:textId="67086364" w:rsidR="000C2944" w:rsidRPr="00660BB5" w:rsidRDefault="000C2944" w:rsidP="008049D6">
      <w:pPr>
        <w:pStyle w:val="Izrek1"/>
        <w:spacing w:line="260" w:lineRule="exact"/>
      </w:pPr>
      <w:r w:rsidRPr="00660BB5">
        <w:t xml:space="preserve">Nameravana gradnja ne bo škodljivo vplivala na varstvene cilje varovanih območij, njihovo celovitost in povezanost, saj za obravnavano gradnjo ni treba izvesti presoje sprejemljivosti v </w:t>
      </w:r>
      <w:r w:rsidRPr="00660BB5">
        <w:lastRenderedPageBreak/>
        <w:t>skladu s predpis</w:t>
      </w:r>
      <w:r w:rsidR="004E4D2B" w:rsidRPr="00660BB5">
        <w:t>i, ki urejajo ohranjanje narave</w:t>
      </w:r>
      <w:r w:rsidRPr="00660BB5">
        <w:t xml:space="preserve">. </w:t>
      </w:r>
      <w:r w:rsidR="00047EF3" w:rsidRPr="00660BB5">
        <w:t>Podrobnejša obrazložitev v zvezi s tem je podana v točki</w:t>
      </w:r>
      <w:r w:rsidR="002163F8" w:rsidRPr="00660BB5">
        <w:t xml:space="preserve"> (5)</w:t>
      </w:r>
      <w:r w:rsidR="00047EF3" w:rsidRPr="00660BB5">
        <w:t xml:space="preserve"> </w:t>
      </w:r>
      <w:r w:rsidR="002163F8" w:rsidRPr="00660BB5">
        <w:t>8</w:t>
      </w:r>
      <w:r w:rsidR="00047EF3" w:rsidRPr="00660BB5">
        <w:t>.</w:t>
      </w:r>
    </w:p>
    <w:p w14:paraId="2A07F006" w14:textId="77777777" w:rsidR="000C2944" w:rsidRPr="00660BB5" w:rsidRDefault="000C2944" w:rsidP="008049D6">
      <w:pPr>
        <w:pStyle w:val="Izrek1"/>
        <w:numPr>
          <w:ilvl w:val="0"/>
          <w:numId w:val="0"/>
        </w:numPr>
        <w:spacing w:line="260" w:lineRule="exact"/>
      </w:pPr>
    </w:p>
    <w:p w14:paraId="66237043" w14:textId="4CAB4B70" w:rsidR="00E53229" w:rsidRPr="00660BB5" w:rsidRDefault="00E53229" w:rsidP="008049D6">
      <w:pPr>
        <w:pStyle w:val="Izrek1"/>
        <w:spacing w:line="260" w:lineRule="exact"/>
      </w:pPr>
      <w:r w:rsidRPr="00660BB5">
        <w:t>Iz vpogleda v zemljiško knjigo in predloženih listin izhaja, da ima investitor izkazano pravico graditi na vseh zemljiščih, navedenih v izreku te</w:t>
      </w:r>
      <w:r w:rsidR="0042287E" w:rsidRPr="00660BB5">
        <w:t>ga dovoljenja</w:t>
      </w:r>
      <w:r w:rsidRPr="00660BB5">
        <w:t>, saj je v zemljiški knjigi vpisan kot lastnik zemljišč nameravane gradnje. S tem je investitor izkazal, da ima na zemljiščih nameravane gradnje pravico graditi in je s tem zadoščeno pogoju iz 5. točke prvega odstavka 54. člena GZ-1 v povezavi s 70. členom GZ-1.</w:t>
      </w:r>
    </w:p>
    <w:p w14:paraId="3B80DCC2" w14:textId="77777777" w:rsidR="00E53229" w:rsidRPr="00660BB5" w:rsidRDefault="00E53229" w:rsidP="008049D6">
      <w:pPr>
        <w:pStyle w:val="Izrek1"/>
        <w:numPr>
          <w:ilvl w:val="0"/>
          <w:numId w:val="0"/>
        </w:numPr>
        <w:spacing w:line="260" w:lineRule="exact"/>
      </w:pPr>
    </w:p>
    <w:p w14:paraId="3EB11FF4" w14:textId="6D6D4F3C" w:rsidR="005C08B6" w:rsidRPr="00660BB5" w:rsidRDefault="005C08B6" w:rsidP="008049D6">
      <w:pPr>
        <w:pStyle w:val="Izrek1"/>
        <w:spacing w:line="260" w:lineRule="exact"/>
      </w:pPr>
      <w:r w:rsidRPr="00660BB5">
        <w:t>Zahtevek investitorja se nanaša na gradnjo novega objekta in ne spada med posege, za katerega se plačuje nadomestilo za degradacijo in uzurpacijo prostora</w:t>
      </w:r>
      <w:r w:rsidR="00E53229" w:rsidRPr="00660BB5">
        <w:t xml:space="preserve"> ali</w:t>
      </w:r>
      <w:r w:rsidRPr="00660BB5">
        <w:t xml:space="preserve"> odškodnina zaradi spremembe namembnosti kmetijskega zemljišča v skladu z zakonom, ki ureja kmetijska zemljišča.</w:t>
      </w:r>
    </w:p>
    <w:p w14:paraId="2C23A743" w14:textId="77777777" w:rsidR="005C08B6" w:rsidRPr="00660BB5" w:rsidRDefault="005C08B6" w:rsidP="008049D6">
      <w:pPr>
        <w:spacing w:line="260" w:lineRule="exact"/>
        <w:ind w:right="-7"/>
      </w:pPr>
    </w:p>
    <w:p w14:paraId="180F36EF" w14:textId="74BBF029" w:rsidR="00C23446" w:rsidRPr="00660BB5" w:rsidRDefault="00080D8B" w:rsidP="008049D6">
      <w:pPr>
        <w:pStyle w:val="Izrek1"/>
        <w:spacing w:line="260" w:lineRule="exact"/>
      </w:pPr>
      <w:r w:rsidRPr="00660BB5">
        <w:t>Investitor je plačal kom</w:t>
      </w:r>
      <w:r w:rsidR="00C23446" w:rsidRPr="00660BB5">
        <w:t xml:space="preserve">unalni prispevek, ki ga je dne </w:t>
      </w:r>
      <w:r w:rsidR="00EC3834">
        <w:t>19</w:t>
      </w:r>
      <w:r w:rsidR="00C23446" w:rsidRPr="00660BB5">
        <w:t>. </w:t>
      </w:r>
      <w:r w:rsidR="00BC70FC" w:rsidRPr="00660BB5">
        <w:t>1</w:t>
      </w:r>
      <w:r w:rsidR="00C23446" w:rsidRPr="00660BB5">
        <w:t>. 202</w:t>
      </w:r>
      <w:r w:rsidR="00BC70FC" w:rsidRPr="00660BB5">
        <w:t>4</w:t>
      </w:r>
      <w:r w:rsidRPr="00660BB5">
        <w:t xml:space="preserve"> z odločbo št. 354</w:t>
      </w:r>
      <w:r w:rsidR="00EC3834">
        <w:t>-88</w:t>
      </w:r>
      <w:r w:rsidR="00C23446" w:rsidRPr="00660BB5">
        <w:t>/202</w:t>
      </w:r>
      <w:r w:rsidR="00EC3834">
        <w:t>3</w:t>
      </w:r>
      <w:r w:rsidR="00C23446" w:rsidRPr="00660BB5">
        <w:t>-</w:t>
      </w:r>
      <w:r w:rsidR="00EC3834">
        <w:t>11</w:t>
      </w:r>
      <w:r w:rsidRPr="00660BB5">
        <w:t xml:space="preserve"> odmerila </w:t>
      </w:r>
      <w:r w:rsidR="000C2944" w:rsidRPr="00660BB5">
        <w:t>O</w:t>
      </w:r>
      <w:r w:rsidRPr="00660BB5">
        <w:t xml:space="preserve">bčina </w:t>
      </w:r>
      <w:r w:rsidR="000C2944" w:rsidRPr="00660BB5">
        <w:t>Idrija</w:t>
      </w:r>
      <w:r w:rsidR="00BC70FC" w:rsidRPr="00660BB5">
        <w:t>.</w:t>
      </w:r>
    </w:p>
    <w:p w14:paraId="1ABB1DBB" w14:textId="77777777" w:rsidR="00AE59BE" w:rsidRPr="00660BB5" w:rsidRDefault="00AE59BE" w:rsidP="00EC3834">
      <w:pPr>
        <w:pStyle w:val="Zamik1"/>
      </w:pPr>
    </w:p>
    <w:p w14:paraId="4CC11900" w14:textId="6B214089" w:rsidR="00080D8B" w:rsidRPr="00660BB5" w:rsidRDefault="00080D8B" w:rsidP="008049D6">
      <w:pPr>
        <w:pStyle w:val="Izrek1"/>
        <w:spacing w:line="260" w:lineRule="exact"/>
      </w:pPr>
      <w:r w:rsidRPr="00660BB5">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04D66D52" w14:textId="77777777" w:rsidR="00617DD1" w:rsidRPr="00660BB5" w:rsidRDefault="00617DD1" w:rsidP="008049D6">
      <w:pPr>
        <w:spacing w:line="260" w:lineRule="exact"/>
        <w:ind w:right="-7"/>
        <w:rPr>
          <w:highlight w:val="yellow"/>
        </w:rPr>
      </w:pPr>
    </w:p>
    <w:p w14:paraId="26C35100" w14:textId="77777777" w:rsidR="00080D8B" w:rsidRPr="00660BB5" w:rsidRDefault="00080D8B" w:rsidP="008049D6">
      <w:pPr>
        <w:spacing w:line="260" w:lineRule="exact"/>
        <w:ind w:right="-7"/>
      </w:pPr>
      <w:r w:rsidRPr="00660BB5">
        <w:t>Upravni organ je na podlagi vpogleda v DGD, PVO, Prostorski informacijski sistem in vsa pridobljena mnenja v zvezi s predmetno gradnjo ugotovil, da:</w:t>
      </w:r>
    </w:p>
    <w:p w14:paraId="3C7E2C32" w14:textId="77777777" w:rsidR="00133AAA" w:rsidRPr="00660BB5" w:rsidRDefault="00F84076" w:rsidP="00EC3834">
      <w:pPr>
        <w:pStyle w:val="Zamik1"/>
      </w:pPr>
      <w:r w:rsidRPr="00660BB5">
        <w:t>se lokacija nameravanega posega nahaja</w:t>
      </w:r>
      <w:r w:rsidR="002163F8" w:rsidRPr="00660BB5">
        <w:t xml:space="preserve"> v naselju Spodnja Kanomlja, v Občini Idrija in sicer</w:t>
      </w:r>
      <w:r w:rsidRPr="00660BB5">
        <w:t xml:space="preserve"> </w:t>
      </w:r>
      <w:r w:rsidR="002E0117" w:rsidRPr="00660BB5">
        <w:t xml:space="preserve">znotraj </w:t>
      </w:r>
      <w:r w:rsidR="002163F8" w:rsidRPr="00660BB5">
        <w:t>obstoječega</w:t>
      </w:r>
      <w:r w:rsidR="002E0117" w:rsidRPr="00660BB5">
        <w:t xml:space="preserve"> kompleksa </w:t>
      </w:r>
      <w:proofErr w:type="spellStart"/>
      <w:r w:rsidR="002E0117" w:rsidRPr="00660BB5">
        <w:t>Hidria</w:t>
      </w:r>
      <w:proofErr w:type="spellEnd"/>
      <w:r w:rsidR="002E0117" w:rsidRPr="00660BB5">
        <w:t xml:space="preserve"> d.o.o.,</w:t>
      </w:r>
    </w:p>
    <w:p w14:paraId="63A38C69" w14:textId="40EF6EE5" w:rsidR="00F84076" w:rsidRPr="00660BB5" w:rsidRDefault="00F84076" w:rsidP="00EC3834">
      <w:pPr>
        <w:pStyle w:val="Zamik1"/>
      </w:pPr>
      <w:r w:rsidRPr="00660BB5">
        <w:t xml:space="preserve">se na lokaciji </w:t>
      </w:r>
      <w:r w:rsidR="00E1118C" w:rsidRPr="00660BB5">
        <w:t xml:space="preserve">načrtovane gradnje </w:t>
      </w:r>
      <w:r w:rsidRPr="00660BB5">
        <w:t>in v njeni neposredni bližini v naravi ne nahaja gozd niti kmetijska zemljišča</w:t>
      </w:r>
      <w:r w:rsidR="0002277D" w:rsidRPr="00660BB5">
        <w:t>. Gozdna zemljišča so od lokacije oddaljena najmanj 65 m, kmetijska zemljišča pa najmanj 180 m;</w:t>
      </w:r>
    </w:p>
    <w:p w14:paraId="72138B6E" w14:textId="601F6DB1" w:rsidR="00C93ABB" w:rsidRPr="00660BB5" w:rsidRDefault="00F84076" w:rsidP="00EC3834">
      <w:pPr>
        <w:pStyle w:val="Zamik1"/>
      </w:pPr>
      <w:bookmarkStart w:id="4" w:name="_Hlk155181526"/>
      <w:r w:rsidRPr="00660BB5">
        <w:t>lokacija načrtovane gradnje v obstoječem stanju predstavlja stavbno zemljišče v gospodarski coni, ki predstavlja pozidano območje z industrijsko rabo (</w:t>
      </w:r>
      <w:r w:rsidR="00A51F40" w:rsidRPr="00660BB5">
        <w:t xml:space="preserve">obstoječi kompleks </w:t>
      </w:r>
      <w:proofErr w:type="spellStart"/>
      <w:r w:rsidR="00A51F40" w:rsidRPr="00660BB5">
        <w:t>Hidria</w:t>
      </w:r>
      <w:proofErr w:type="spellEnd"/>
      <w:r w:rsidR="00A51F40" w:rsidRPr="00660BB5">
        <w:t xml:space="preserve"> d.o.o.</w:t>
      </w:r>
      <w:r w:rsidRPr="00660BB5">
        <w:t xml:space="preserve">). Območje tako ne predstavlja pomembnejšega življenjskega prostora za rastline in živali ali območja, pomembnega za biotsko raznovrstnost. Predmetno območje leži izven zavarovanih območij, </w:t>
      </w:r>
      <w:r w:rsidR="00713A54" w:rsidRPr="00660BB5">
        <w:t xml:space="preserve">naravnih vrednot in drugih vsebin, pomembnih za biotsko raznovrstnost. Najbližji </w:t>
      </w:r>
      <w:r w:rsidR="00047EF3" w:rsidRPr="00660BB5">
        <w:t>naravni vrednoti</w:t>
      </w:r>
      <w:r w:rsidR="00713A54" w:rsidRPr="00660BB5">
        <w:t xml:space="preserve"> sta Idrijca s pritoki (ID </w:t>
      </w:r>
      <w:r w:rsidR="00047EF3" w:rsidRPr="00660BB5">
        <w:t>75</w:t>
      </w:r>
      <w:r w:rsidR="00713A54" w:rsidRPr="00660BB5">
        <w:t xml:space="preserve">) in </w:t>
      </w:r>
      <w:proofErr w:type="spellStart"/>
      <w:r w:rsidR="00713A54" w:rsidRPr="00660BB5">
        <w:t>Kanomljica</w:t>
      </w:r>
      <w:proofErr w:type="spellEnd"/>
      <w:r w:rsidR="00713A54" w:rsidRPr="00660BB5">
        <w:t xml:space="preserve"> s pritoki (ID </w:t>
      </w:r>
      <w:r w:rsidR="00047EF3" w:rsidRPr="00660BB5">
        <w:t>4503)</w:t>
      </w:r>
      <w:r w:rsidR="00713A54" w:rsidRPr="00660BB5">
        <w:t>, ki sta od načrtovane gradnje oddaljeni ca. 260 m in ca. 290</w:t>
      </w:r>
      <w:r w:rsidR="0002277D" w:rsidRPr="00660BB5">
        <w:t> </w:t>
      </w:r>
      <w:r w:rsidR="00713A54" w:rsidRPr="00660BB5">
        <w:t>m.</w:t>
      </w:r>
      <w:r w:rsidR="0002277D" w:rsidRPr="00660BB5">
        <w:t xml:space="preserve"> </w:t>
      </w:r>
      <w:r w:rsidR="00713A54" w:rsidRPr="00660BB5">
        <w:t>Predmetno</w:t>
      </w:r>
      <w:r w:rsidR="0002277D" w:rsidRPr="00660BB5">
        <w:t xml:space="preserve"> </w:t>
      </w:r>
      <w:r w:rsidR="00713A54" w:rsidRPr="00660BB5">
        <w:t>območje se nahaja na ekološko pomembnem območju</w:t>
      </w:r>
      <w:r w:rsidR="00A24D0C" w:rsidRPr="00660BB5">
        <w:t>:</w:t>
      </w:r>
      <w:r w:rsidR="00713A54" w:rsidRPr="00660BB5">
        <w:t xml:space="preserve"> Osrednje območje življenjskega prostora velikih zveri (ID 8000). </w:t>
      </w:r>
      <w:r w:rsidR="005B2ECB" w:rsidRPr="00660BB5">
        <w:t xml:space="preserve">Najbližje </w:t>
      </w:r>
      <w:r w:rsidR="00713A54" w:rsidRPr="00660BB5">
        <w:t>območj</w:t>
      </w:r>
      <w:r w:rsidR="005B2ECB" w:rsidRPr="00660BB5">
        <w:t>e</w:t>
      </w:r>
      <w:r w:rsidR="00713A54" w:rsidRPr="00660BB5">
        <w:t xml:space="preserve"> Natura 2000</w:t>
      </w:r>
      <w:r w:rsidR="005B2ECB" w:rsidRPr="00660BB5">
        <w:t>: Idrijca s pritoki (SAC, SI3000230)</w:t>
      </w:r>
      <w:r w:rsidR="00713A54" w:rsidRPr="00660BB5">
        <w:t xml:space="preserve"> </w:t>
      </w:r>
      <w:r w:rsidR="005B2ECB" w:rsidRPr="00660BB5">
        <w:t>se nahaja v ca. 260 m oddaljenosti od načrtovane gradnje in se ne nahaja</w:t>
      </w:r>
      <w:r w:rsidR="00713A54" w:rsidRPr="00660BB5">
        <w:t xml:space="preserve"> v</w:t>
      </w:r>
      <w:r w:rsidR="005B2ECB" w:rsidRPr="00660BB5">
        <w:t xml:space="preserve"> njegovem</w:t>
      </w:r>
      <w:r w:rsidR="00713A54" w:rsidRPr="00660BB5">
        <w:t xml:space="preserve"> neposrednem vplivu (20 m), se pa nahaja v </w:t>
      </w:r>
      <w:r w:rsidR="00A51F40" w:rsidRPr="00660BB5">
        <w:t>njegovem</w:t>
      </w:r>
      <w:r w:rsidR="00713A54" w:rsidRPr="00660BB5">
        <w:t xml:space="preserve"> daljinskem vplivu (</w:t>
      </w:r>
      <w:r w:rsidR="00047EF3" w:rsidRPr="00660BB5">
        <w:t>500</w:t>
      </w:r>
      <w:r w:rsidR="005B2ECB" w:rsidRPr="00660BB5">
        <w:t xml:space="preserve"> m) za kvalifikacijsko vrsto gozdne kure</w:t>
      </w:r>
      <w:r w:rsidR="00A51F40" w:rsidRPr="00660BB5">
        <w:t>. Glede na to, da gozdne kure niso kvalifikacijska vrsta navedenega Natura 2000 območja</w:t>
      </w:r>
      <w:r w:rsidR="0097672F" w:rsidRPr="00660BB5">
        <w:t xml:space="preserve"> in </w:t>
      </w:r>
      <w:r w:rsidR="00C93ABB" w:rsidRPr="00660BB5">
        <w:t>je</w:t>
      </w:r>
      <w:r w:rsidR="0097672F" w:rsidRPr="00660BB5">
        <w:t xml:space="preserve"> ocenje</w:t>
      </w:r>
      <w:r w:rsidR="00C93ABB" w:rsidRPr="00660BB5">
        <w:t>no</w:t>
      </w:r>
      <w:r w:rsidR="0097672F" w:rsidRPr="00660BB5">
        <w:t>, da</w:t>
      </w:r>
      <w:r w:rsidR="008C611E" w:rsidRPr="00660BB5">
        <w:t xml:space="preserve"> nameravani</w:t>
      </w:r>
      <w:r w:rsidR="00C93ABB" w:rsidRPr="00660BB5">
        <w:t xml:space="preserve"> poseg tako v času gradnje</w:t>
      </w:r>
      <w:r w:rsidR="00201070" w:rsidRPr="00660BB5">
        <w:t>,</w:t>
      </w:r>
      <w:r w:rsidR="00C93ABB" w:rsidRPr="00660BB5">
        <w:t xml:space="preserve"> kot tudi obratovanja, ne more negativno vplivati na stanje in funkcijo varovanega območja</w:t>
      </w:r>
      <w:r w:rsidR="00A51F40" w:rsidRPr="00660BB5">
        <w:t>, za načrtovano gradnjo ni treba izvesti presoje sprejemljivosti vplivov izvedbe planov in posegov v naravo</w:t>
      </w:r>
      <w:r w:rsidRPr="00660BB5">
        <w:t xml:space="preserve"> v skladu s Pravilnikom o presoji sprejemljivosti vplivov izvedbe planov in posegov v naravo na varovana območja (Uradni list RS, št</w:t>
      </w:r>
      <w:r w:rsidR="000E15B3" w:rsidRPr="00660BB5">
        <w:t>. 130/04, 53/06, 38/10 in 3/11)</w:t>
      </w:r>
      <w:r w:rsidR="00047EF3" w:rsidRPr="00660BB5">
        <w:t xml:space="preserve">. </w:t>
      </w:r>
      <w:r w:rsidR="008C611E" w:rsidRPr="00660BB5">
        <w:t>K predmetni gradnji je bilo pridobljeno tudi mnenje Zavoda RS za varstvo narave št. 3562-1077/2023-2 z dne 29.</w:t>
      </w:r>
      <w:r w:rsidR="00715A28" w:rsidRPr="00660BB5">
        <w:t> </w:t>
      </w:r>
      <w:r w:rsidR="008C611E" w:rsidRPr="00660BB5">
        <w:t>3.</w:t>
      </w:r>
      <w:r w:rsidR="00715A28" w:rsidRPr="00660BB5">
        <w:t> </w:t>
      </w:r>
      <w:r w:rsidR="008C611E" w:rsidRPr="00660BB5">
        <w:t xml:space="preserve">2023. Na podlagi navedenega mnenja, upravni organ ugotavlja, </w:t>
      </w:r>
      <w:r w:rsidR="00C93ABB" w:rsidRPr="00660BB5">
        <w:t>da je PVO vsebinsko ustrezno pripravljen ter, da so glede na vrsto posega in lokacijo (industrijska cona) vplivi posega s stališča ohranjanja narave sprejemljivi ob upoštevanju vseh okolijskih predpisov, vezanih zlasti na preprečevanje onesnaženja vod in tal</w:t>
      </w:r>
      <w:r w:rsidR="00F015D2" w:rsidRPr="00660BB5">
        <w:t xml:space="preserve">. Upravni organ nadalje pojasnjuje, da je bila dokumentacija po pridobitvi mnenja Zavoda RS za varstvo narave še dopolnjena, vendar pa so bile spremembe in dopolnitve take, ki niso </w:t>
      </w:r>
      <w:r w:rsidR="00F015D2" w:rsidRPr="00660BB5">
        <w:lastRenderedPageBreak/>
        <w:t>vplivale na mnenje Zavoda RS za varstvo narave. Upravni organ je zato ugotovil, da ponovno mnenje Zavoda RS za varstvo narave</w:t>
      </w:r>
      <w:r w:rsidR="008C611E" w:rsidRPr="00660BB5">
        <w:t xml:space="preserve"> ni potrebno;</w:t>
      </w:r>
    </w:p>
    <w:bookmarkEnd w:id="4"/>
    <w:p w14:paraId="74AC0F20" w14:textId="77777777" w:rsidR="00F84076" w:rsidRPr="00660BB5" w:rsidRDefault="00F84076" w:rsidP="00EC3834">
      <w:pPr>
        <w:pStyle w:val="Zamik1"/>
      </w:pPr>
      <w:r w:rsidRPr="00660BB5">
        <w:t xml:space="preserve">na lokaciji </w:t>
      </w:r>
      <w:r w:rsidR="000E15B3" w:rsidRPr="00660BB5">
        <w:t>načrtovane gradnje</w:t>
      </w:r>
      <w:r w:rsidRPr="00660BB5">
        <w:t xml:space="preserve"> ni evidentiranih enot kulturne dediščine. </w:t>
      </w:r>
      <w:r w:rsidR="004F4049" w:rsidRPr="00660BB5">
        <w:t>Le-te so oddaljene najmanj 120 m od območja nameravane</w:t>
      </w:r>
      <w:r w:rsidR="005B2ECB" w:rsidRPr="00660BB5">
        <w:t xml:space="preserve"> gradnje</w:t>
      </w:r>
      <w:r w:rsidR="004F4049" w:rsidRPr="00660BB5">
        <w:t xml:space="preserve"> (EŠD 13837 Spodnja Kanomlja – Domačija Svetik, EŠD 16864 Spodnja Idrija – Hiša na Poklonu 15, EŠD 16868 Spodnja Idrija – Kapelica na Poklonu. </w:t>
      </w:r>
      <w:r w:rsidRPr="00660BB5">
        <w:t>Gradnja v enot</w:t>
      </w:r>
      <w:r w:rsidR="004F4049" w:rsidRPr="00660BB5">
        <w:t>e</w:t>
      </w:r>
      <w:r w:rsidRPr="00660BB5">
        <w:t xml:space="preserve"> kulturne dediščine ne bo posegala</w:t>
      </w:r>
      <w:r w:rsidR="0070271A" w:rsidRPr="00660BB5">
        <w:t>;</w:t>
      </w:r>
    </w:p>
    <w:p w14:paraId="727721A9" w14:textId="3CA0694E" w:rsidR="00F84076" w:rsidRPr="00660BB5" w:rsidRDefault="00F84076" w:rsidP="00EC3834">
      <w:pPr>
        <w:pStyle w:val="Zamik1"/>
      </w:pPr>
      <w:r w:rsidRPr="00660BB5">
        <w:t>bodo vplivi, bodisi v času gradnje bodisi uporabe oz. obratovanja objekta, na tla, vod</w:t>
      </w:r>
      <w:r w:rsidR="00E16B2A" w:rsidRPr="00660BB5">
        <w:t>e</w:t>
      </w:r>
      <w:r w:rsidR="00F015D2" w:rsidRPr="00660BB5">
        <w:t xml:space="preserve">, </w:t>
      </w:r>
      <w:r w:rsidRPr="00660BB5">
        <w:t>zrak</w:t>
      </w:r>
      <w:r w:rsidR="00F015D2" w:rsidRPr="00660BB5">
        <w:t xml:space="preserve"> in hrup</w:t>
      </w:r>
      <w:r w:rsidRPr="00660BB5">
        <w:t xml:space="preserve"> ter vplivi z vidika </w:t>
      </w:r>
      <w:r w:rsidR="00830C9C" w:rsidRPr="00660BB5">
        <w:t xml:space="preserve">nastajanja odpadkov in </w:t>
      </w:r>
      <w:r w:rsidRPr="00660BB5">
        <w:t xml:space="preserve">ravnanja z </w:t>
      </w:r>
      <w:r w:rsidR="00830C9C" w:rsidRPr="00660BB5">
        <w:t>njimi</w:t>
      </w:r>
      <w:r w:rsidRPr="00660BB5">
        <w:t xml:space="preserve"> nebistveni, ob upoštevanju dodatnih omilitvenih ukrepov oz. pogojev, ki jih mora investitor upoštevati, da bi preprečil, zmanjšal ali odstranil škodljive vplive na okolje, ki jih je upravni organ določil v V</w:t>
      </w:r>
      <w:r w:rsidR="006C07EB" w:rsidRPr="00660BB5">
        <w:t>I</w:t>
      </w:r>
      <w:r w:rsidRPr="00660BB5">
        <w:t>. točki izreka tega dovoljenja in kot je obrazloženo v nadaljevanju;</w:t>
      </w:r>
    </w:p>
    <w:p w14:paraId="6F3305DD" w14:textId="77777777" w:rsidR="00133AAA" w:rsidRPr="00660BB5" w:rsidRDefault="00170A98" w:rsidP="00EC3834">
      <w:pPr>
        <w:pStyle w:val="Zamik1"/>
      </w:pPr>
      <w:r w:rsidRPr="00660BB5">
        <w:t>gradbena dela obsegajo tudi odstranitev obstoječih objektov na območju predvidene gradnje</w:t>
      </w:r>
      <w:r w:rsidR="004E4D2B" w:rsidRPr="00660BB5">
        <w:t>, zato so v postopku presoje vplivov na okolje ocenjeni tudi vplivi povezani z njihovo odstranitvijo;</w:t>
      </w:r>
    </w:p>
    <w:p w14:paraId="6F26405E" w14:textId="4F724E4F" w:rsidR="0097672F" w:rsidRPr="00660BB5" w:rsidRDefault="0097672F" w:rsidP="00EC3834">
      <w:pPr>
        <w:pStyle w:val="Zamik1"/>
      </w:pPr>
      <w:r w:rsidRPr="00660BB5">
        <w:t xml:space="preserve">se predmetna gradnja nahaja na območju obstoječega kompleksa </w:t>
      </w:r>
      <w:proofErr w:type="spellStart"/>
      <w:r w:rsidRPr="00660BB5">
        <w:t>Hidria</w:t>
      </w:r>
      <w:proofErr w:type="spellEnd"/>
      <w:r w:rsidRPr="00660BB5">
        <w:t xml:space="preserve"> d.o.o., zato so v postopku presoje vplivov na okolje ocenjeni tudi skupni kumulativni vplivi, in sicer so poleg vplivov predmetne gradnje upoštevane tudi obstoječe obremenitve okolja, ki so povezane z obratovanjem obstoječega kompleksa;</w:t>
      </w:r>
    </w:p>
    <w:p w14:paraId="5F5351F2" w14:textId="1203555A" w:rsidR="00F84076" w:rsidRPr="00660BB5" w:rsidRDefault="00F84076" w:rsidP="00EC3834">
      <w:pPr>
        <w:pStyle w:val="Zamik1"/>
      </w:pPr>
      <w:r w:rsidRPr="00660BB5">
        <w:t>so ostali vplivi v času gradnje ter uporabe oz. obratovanja objekta, obravnavani v PVO, ob upoštevanju projektnih rešitev in z upoštevanjem vseh zahtev, določenih v zakonskih in podzakonskih predpisih, ocenjeni kot nebistveni oziroma jih ni. Podrobnejši opisi in obrazložitve v zvezi s tem izhajajo iz PVO, navedenem v točki I</w:t>
      </w:r>
      <w:r w:rsidR="00830C9C" w:rsidRPr="00660BB5">
        <w:t>V</w:t>
      </w:r>
      <w:r w:rsidRPr="00660BB5">
        <w:t>. izreka tega dovoljenja;</w:t>
      </w:r>
    </w:p>
    <w:p w14:paraId="7E9B6DEA" w14:textId="4F0A7B4E" w:rsidR="005A35A4" w:rsidRPr="00660BB5" w:rsidRDefault="00F84076" w:rsidP="00EC3834">
      <w:pPr>
        <w:pStyle w:val="Zamik1"/>
      </w:pPr>
      <w:r w:rsidRPr="00660BB5">
        <w:t xml:space="preserve">iz mnenj </w:t>
      </w:r>
      <w:r w:rsidR="005055C5" w:rsidRPr="00660BB5">
        <w:t>Ministrstva za okolje, podnebje in energijo št. 35410-4/2023-2570-3 z dne 22.</w:t>
      </w:r>
      <w:r w:rsidR="00660BB5" w:rsidRPr="00660BB5">
        <w:t> </w:t>
      </w:r>
      <w:r w:rsidR="005055C5" w:rsidRPr="00660BB5">
        <w:t>5.</w:t>
      </w:r>
      <w:r w:rsidR="00660BB5" w:rsidRPr="00660BB5">
        <w:t> </w:t>
      </w:r>
      <w:r w:rsidR="005055C5" w:rsidRPr="00660BB5">
        <w:t>2023 in št. 35410-4/2023-2570-7 z dne 18.</w:t>
      </w:r>
      <w:r w:rsidR="00660BB5" w:rsidRPr="00660BB5">
        <w:t> </w:t>
      </w:r>
      <w:r w:rsidR="005055C5" w:rsidRPr="00660BB5">
        <w:t>9.</w:t>
      </w:r>
      <w:r w:rsidR="00660BB5" w:rsidRPr="00660BB5">
        <w:t> </w:t>
      </w:r>
      <w:r w:rsidR="005055C5" w:rsidRPr="00660BB5">
        <w:t xml:space="preserve">2023 </w:t>
      </w:r>
      <w:r w:rsidRPr="00660BB5">
        <w:t xml:space="preserve">izhaja, da je nameravana gradnja z vidika emisij v tla, vode, zrak, </w:t>
      </w:r>
      <w:r w:rsidR="00201070" w:rsidRPr="00660BB5">
        <w:t xml:space="preserve">emisij </w:t>
      </w:r>
      <w:r w:rsidRPr="00660BB5">
        <w:t>hrupa, svetlobnega onesnaževanja ter elektromagnetnega sevanja in ravnanja z odpadki sprejemljiva oziroma sprejemljiva ob upoštevanju ukrepov, navedenih v PVO in dodatnih zahtev, ki izhajajo iz navedenih mnenj.</w:t>
      </w:r>
      <w:r w:rsidR="00E103E4" w:rsidRPr="00660BB5">
        <w:t xml:space="preserve"> </w:t>
      </w:r>
      <w:r w:rsidR="00E16B2A" w:rsidRPr="00660BB5">
        <w:t>Ministrstvo za okolje, podnebje in energijo</w:t>
      </w:r>
      <w:r w:rsidR="00E103E4" w:rsidRPr="00660BB5">
        <w:t xml:space="preserve"> je v mnenju</w:t>
      </w:r>
      <w:r w:rsidR="005055C5" w:rsidRPr="00660BB5">
        <w:t xml:space="preserve"> št. 35410-4/2023-2570-7 z dne 18. 9. 2023</w:t>
      </w:r>
      <w:r w:rsidR="00E103E4" w:rsidRPr="00660BB5">
        <w:t xml:space="preserve"> podal</w:t>
      </w:r>
      <w:r w:rsidR="008C611E" w:rsidRPr="00660BB5">
        <w:t>o</w:t>
      </w:r>
      <w:r w:rsidR="00E103E4" w:rsidRPr="00660BB5">
        <w:t xml:space="preserve"> tudi </w:t>
      </w:r>
      <w:r w:rsidR="00B22535" w:rsidRPr="00660BB5">
        <w:t>zahteve</w:t>
      </w:r>
      <w:r w:rsidR="00E103E4" w:rsidRPr="00660BB5">
        <w:t xml:space="preserve"> glede vsebinske uskladitve in dopolnitve PVO. </w:t>
      </w:r>
      <w:r w:rsidR="004B4AF8" w:rsidRPr="00660BB5">
        <w:t>Upravni organ nadalje pojasnjuje, da je bila dokumentacija po pridobitvi mnenja Ministrstv</w:t>
      </w:r>
      <w:r w:rsidR="00201070" w:rsidRPr="00660BB5">
        <w:t>a</w:t>
      </w:r>
      <w:r w:rsidR="004B4AF8" w:rsidRPr="00660BB5">
        <w:t xml:space="preserve"> za okolje, podnebje i</w:t>
      </w:r>
      <w:r w:rsidR="00B22535" w:rsidRPr="00660BB5">
        <w:t xml:space="preserve">n energijo </w:t>
      </w:r>
      <w:r w:rsidR="004B4AF8" w:rsidRPr="00660BB5">
        <w:t>dopolnjena</w:t>
      </w:r>
      <w:r w:rsidR="005A35A4" w:rsidRPr="00660BB5">
        <w:t xml:space="preserve">, vendar je upravni organ po pregledu dopolnjene dokumentacije ocenil, da ponovno mnenje Ministrstva za okolje, podnebje in energijo ni potrebno, saj je investitor sledil </w:t>
      </w:r>
      <w:r w:rsidR="00B22535" w:rsidRPr="00660BB5">
        <w:t>zahtevam</w:t>
      </w:r>
      <w:r w:rsidR="005A35A4" w:rsidRPr="00660BB5">
        <w:t xml:space="preserve"> in uskladil vsebino PVO, kot je izhajalo iz zadnjega mnenja Ministrstva za okolje, podnebje in energijo.</w:t>
      </w:r>
    </w:p>
    <w:p w14:paraId="1CA840CD" w14:textId="77777777" w:rsidR="004B4AF8" w:rsidRPr="00660BB5" w:rsidRDefault="004B4AF8" w:rsidP="008049D6">
      <w:pPr>
        <w:tabs>
          <w:tab w:val="left" w:pos="4111"/>
        </w:tabs>
        <w:spacing w:line="260" w:lineRule="exact"/>
        <w:ind w:right="-7"/>
      </w:pPr>
    </w:p>
    <w:p w14:paraId="0334D84A" w14:textId="77777777" w:rsidR="00133AAA" w:rsidRPr="00660BB5" w:rsidRDefault="00080D8B" w:rsidP="008049D6">
      <w:pPr>
        <w:numPr>
          <w:ilvl w:val="1"/>
          <w:numId w:val="12"/>
        </w:numPr>
        <w:spacing w:line="260" w:lineRule="exact"/>
        <w:ind w:left="567" w:right="-7" w:hanging="567"/>
        <w:contextualSpacing/>
      </w:pPr>
      <w:r w:rsidRPr="00660BB5">
        <w:t xml:space="preserve">Varstvo </w:t>
      </w:r>
      <w:r w:rsidR="002C3879" w:rsidRPr="00660BB5">
        <w:t xml:space="preserve">tal in </w:t>
      </w:r>
      <w:r w:rsidR="002265C7" w:rsidRPr="00660BB5">
        <w:t>vod</w:t>
      </w:r>
      <w:r w:rsidR="002976F2" w:rsidRPr="00660BB5">
        <w:t>a</w:t>
      </w:r>
    </w:p>
    <w:p w14:paraId="2B021F74" w14:textId="1374CEF9" w:rsidR="00224359" w:rsidRPr="00660BB5" w:rsidRDefault="00224359" w:rsidP="008049D6">
      <w:pPr>
        <w:spacing w:line="260" w:lineRule="exact"/>
        <w:ind w:right="-7"/>
        <w:rPr>
          <w:highlight w:val="yellow"/>
        </w:rPr>
      </w:pPr>
    </w:p>
    <w:p w14:paraId="02D6BEC1" w14:textId="73E9DA93" w:rsidR="00713C82" w:rsidRPr="00660BB5" w:rsidRDefault="00713C82" w:rsidP="008049D6">
      <w:pPr>
        <w:spacing w:line="260" w:lineRule="exact"/>
        <w:contextualSpacing/>
      </w:pPr>
      <w:r w:rsidRPr="00660BB5">
        <w:t xml:space="preserve">Iz preliminarne ocene vrednotenja nevarnih lastnosti predvidenega izkopnega materiala na območju predvidenega posega iz marca 2022, ki jo je </w:t>
      </w:r>
      <w:proofErr w:type="spellStart"/>
      <w:r w:rsidRPr="00660BB5">
        <w:t>Eurofins</w:t>
      </w:r>
      <w:proofErr w:type="spellEnd"/>
      <w:r w:rsidRPr="00660BB5">
        <w:t xml:space="preserve"> </w:t>
      </w:r>
      <w:proofErr w:type="spellStart"/>
      <w:r w:rsidRPr="00660BB5">
        <w:t>ERICo</w:t>
      </w:r>
      <w:proofErr w:type="spellEnd"/>
      <w:r w:rsidRPr="00660BB5">
        <w:t xml:space="preserve"> Slovenija d.o.o. izdelal za namen možnosti odlaganja, je razvidno, da tla na celotnem obravnavanem območju</w:t>
      </w:r>
      <w:r w:rsidR="00CE7ABD" w:rsidRPr="00660BB5">
        <w:t xml:space="preserve"> (območje izgradnje objekta EV PLANT –druga faza)</w:t>
      </w:r>
      <w:r w:rsidRPr="00660BB5">
        <w:t xml:space="preserve"> niso onesnažena. Vrednotenje nevarnih lastnosti od HP1 do HP15 je bilo izvedeno skladno z Uredbo (ES) št. 1272/2008 (CLP direktiva) kakor je bila spremenjena z Uredbo komisije (EU) 2019/521 in Delegirano Uredbo komisije (EU) 2020/217, Uredbo 1357/2014/EU in Uredbo Sveta (EU) 2017/99, upoštevajoč splošno znana dejstva o naravi odpadka, sestavi in viru nastanka. Rezultati kemijskih analiz kažejo, da nobeden izmed izbranih izmerjenih specifičnih parametrov in izmerjenih osnovnih parametrov onesnaženosti nima presežene oz. dosežene najnižje predpisane mejne koncentracije 0,1 %, skladno z Uredbo 1357/2014/EU in Uredbo Sveta (EU) 2017/997.</w:t>
      </w:r>
    </w:p>
    <w:p w14:paraId="67CAFCDF" w14:textId="77777777" w:rsidR="00F84076" w:rsidRPr="00660BB5" w:rsidRDefault="00F84076" w:rsidP="008049D6">
      <w:pPr>
        <w:spacing w:line="260" w:lineRule="exact"/>
        <w:ind w:right="-7"/>
        <w:rPr>
          <w:highlight w:val="yellow"/>
        </w:rPr>
      </w:pPr>
    </w:p>
    <w:p w14:paraId="73F51ADD" w14:textId="77777777" w:rsidR="008049D6" w:rsidRPr="00660BB5" w:rsidRDefault="00F84076" w:rsidP="008049D6">
      <w:pPr>
        <w:spacing w:line="260" w:lineRule="exact"/>
        <w:contextualSpacing/>
      </w:pPr>
      <w:r w:rsidRPr="00660BB5">
        <w:t xml:space="preserve">Obravnavano območje je del vodnega telesa podzemne vode </w:t>
      </w:r>
      <w:r w:rsidR="001F3E43" w:rsidRPr="00660BB5">
        <w:t xml:space="preserve">Goriška brda in Trnovsko - Banjška </w:t>
      </w:r>
      <w:r w:rsidR="0048078E" w:rsidRPr="00660BB5">
        <w:t>p</w:t>
      </w:r>
      <w:r w:rsidR="001F3E43" w:rsidRPr="00660BB5">
        <w:t xml:space="preserve">lanota z oznako </w:t>
      </w:r>
      <w:r w:rsidRPr="00660BB5">
        <w:t>VTPodV_</w:t>
      </w:r>
      <w:r w:rsidR="001F3E43" w:rsidRPr="00660BB5">
        <w:t>6021</w:t>
      </w:r>
      <w:r w:rsidRPr="00660BB5">
        <w:t>, katerega kemijsko stanje je bilo po podatkih Agencije RS za okolje v celotnem obdobju od 20</w:t>
      </w:r>
      <w:r w:rsidR="00FA062E" w:rsidRPr="00660BB5">
        <w:t>15</w:t>
      </w:r>
      <w:r w:rsidRPr="00660BB5">
        <w:t xml:space="preserve"> do 2020 ocenjeno kot dobro. V letu 20</w:t>
      </w:r>
      <w:r w:rsidR="00FA062E" w:rsidRPr="00660BB5">
        <w:t>21</w:t>
      </w:r>
      <w:r w:rsidRPr="00660BB5">
        <w:t xml:space="preserve"> se je stanje na tem vodnem telesu v okviru državnega monitoringa spremljalo na </w:t>
      </w:r>
      <w:r w:rsidR="00D22500" w:rsidRPr="00660BB5">
        <w:t>devetih</w:t>
      </w:r>
      <w:r w:rsidRPr="00660BB5">
        <w:t xml:space="preserve"> merilnih mestih, od katerih</w:t>
      </w:r>
      <w:r w:rsidR="00FA062E" w:rsidRPr="00660BB5">
        <w:t xml:space="preserve"> </w:t>
      </w:r>
      <w:r w:rsidR="00FA062E" w:rsidRPr="00660BB5">
        <w:lastRenderedPageBreak/>
        <w:t>ni bilo nobeno neustrezno.</w:t>
      </w:r>
      <w:r w:rsidR="00CF0D1C" w:rsidRPr="00660BB5">
        <w:t xml:space="preserve"> </w:t>
      </w:r>
      <w:r w:rsidR="00FA062E" w:rsidRPr="00660BB5">
        <w:t>Po podatkih Agencije RS za okolje je bilo količinsko stanje vseh vodnih teles v Sloveniji ocenjeno kot dobro, za VTPodV_6021 s srednjo stopnjo zaupanja.</w:t>
      </w:r>
    </w:p>
    <w:p w14:paraId="3B4807C5" w14:textId="4D529398" w:rsidR="004963DC" w:rsidRPr="00660BB5" w:rsidRDefault="004963DC" w:rsidP="008049D6">
      <w:pPr>
        <w:spacing w:line="260" w:lineRule="exact"/>
        <w:contextualSpacing/>
      </w:pPr>
    </w:p>
    <w:p w14:paraId="151B0818" w14:textId="116F17E0" w:rsidR="004963DC" w:rsidRPr="00660BB5" w:rsidRDefault="004963DC" w:rsidP="008049D6">
      <w:pPr>
        <w:spacing w:line="260" w:lineRule="exact"/>
        <w:contextualSpacing/>
      </w:pPr>
      <w:r w:rsidRPr="00660BB5">
        <w:t xml:space="preserve">Na območju nameravanega posega ni površinskih vodotokov oz. vodnih in priobalnih zemljišč, se pa lokacija nahaja na prispevnem območju kopalnih voda Idrijca v Bači pri Modreju, Soča v Kanalu in Soča pri Solkanu. Najbližji vodotok, reka </w:t>
      </w:r>
      <w:proofErr w:type="spellStart"/>
      <w:r w:rsidRPr="00660BB5">
        <w:t>Kanomljica</w:t>
      </w:r>
      <w:proofErr w:type="spellEnd"/>
      <w:r w:rsidRPr="00660BB5">
        <w:t xml:space="preserve"> je oddaljena najmanj </w:t>
      </w:r>
      <w:r w:rsidR="00751B1F" w:rsidRPr="00660BB5">
        <w:t>3</w:t>
      </w:r>
      <w:r w:rsidRPr="00660BB5">
        <w:t xml:space="preserve">0 m od skrajnega južnega roba objekta EV PLANT </w:t>
      </w:r>
      <w:r w:rsidR="00D22500" w:rsidRPr="00660BB5">
        <w:t>– druga faza</w:t>
      </w:r>
      <w:r w:rsidRPr="00660BB5">
        <w:t xml:space="preserve">. Neimenovana vodotoka sta oddaljena najmanj 50 m od zahodnega in </w:t>
      </w:r>
      <w:r w:rsidR="00751B1F" w:rsidRPr="00660BB5">
        <w:t xml:space="preserve">najmanj </w:t>
      </w:r>
      <w:r w:rsidRPr="00660BB5">
        <w:t>10</w:t>
      </w:r>
      <w:r w:rsidR="00751B1F" w:rsidRPr="00660BB5">
        <w:t>5</w:t>
      </w:r>
      <w:r w:rsidRPr="00660BB5">
        <w:t xml:space="preserve"> m od vzhodnega roba objekta</w:t>
      </w:r>
      <w:r w:rsidR="00D22500" w:rsidRPr="00660BB5">
        <w:t xml:space="preserve"> EV PLANT – druga faza</w:t>
      </w:r>
      <w:r w:rsidRPr="00660BB5">
        <w:t>. Reka Idrijca se nahaja v oddaljenosti najmanj 2</w:t>
      </w:r>
      <w:r w:rsidR="00617DD1" w:rsidRPr="00660BB5">
        <w:t>6</w:t>
      </w:r>
      <w:r w:rsidRPr="00660BB5">
        <w:t>0 m od skrajnega vzhodnega roba</w:t>
      </w:r>
      <w:r w:rsidR="00D22500" w:rsidRPr="00660BB5">
        <w:t xml:space="preserve"> gradbišča</w:t>
      </w:r>
      <w:r w:rsidRPr="00660BB5">
        <w:t xml:space="preserve"> nameravanega posega. </w:t>
      </w:r>
      <w:r w:rsidR="00751B1F" w:rsidRPr="00660BB5">
        <w:t>Vzhodni rob g</w:t>
      </w:r>
      <w:r w:rsidRPr="00660BB5">
        <w:t>radbišč</w:t>
      </w:r>
      <w:r w:rsidR="00751B1F" w:rsidRPr="00660BB5">
        <w:t>a</w:t>
      </w:r>
      <w:r w:rsidRPr="00660BB5">
        <w:t xml:space="preserve"> bo od najbližjega </w:t>
      </w:r>
      <w:r w:rsidR="00751B1F" w:rsidRPr="00660BB5">
        <w:t xml:space="preserve">neimenovanega </w:t>
      </w:r>
      <w:r w:rsidRPr="00660BB5">
        <w:t>vodotoka</w:t>
      </w:r>
      <w:r w:rsidR="00751B1F" w:rsidRPr="00660BB5">
        <w:t xml:space="preserve"> oddaljen najmanj 6 m, južni rob gradbišča pa najmanj 10 m od</w:t>
      </w:r>
      <w:r w:rsidRPr="00660BB5">
        <w:t xml:space="preserve"> reke </w:t>
      </w:r>
      <w:proofErr w:type="spellStart"/>
      <w:r w:rsidRPr="00660BB5">
        <w:t>Kanomljic</w:t>
      </w:r>
      <w:r w:rsidR="00883171" w:rsidRPr="00660BB5">
        <w:t>e</w:t>
      </w:r>
      <w:proofErr w:type="spellEnd"/>
      <w:r w:rsidR="00751B1F" w:rsidRPr="00660BB5">
        <w:t>.</w:t>
      </w:r>
    </w:p>
    <w:p w14:paraId="355EE8F0" w14:textId="47E4CB91" w:rsidR="004963DC" w:rsidRPr="00660BB5" w:rsidRDefault="004963DC" w:rsidP="008049D6">
      <w:pPr>
        <w:spacing w:line="260" w:lineRule="exact"/>
        <w:contextualSpacing/>
      </w:pPr>
    </w:p>
    <w:p w14:paraId="2F624295" w14:textId="7381504A" w:rsidR="00E51D46" w:rsidRPr="00660BB5" w:rsidRDefault="00E51D46" w:rsidP="008049D6">
      <w:pPr>
        <w:spacing w:line="260" w:lineRule="exact"/>
        <w:contextualSpacing/>
      </w:pPr>
      <w:r w:rsidRPr="00660BB5">
        <w:t>Kakovost površinskih tekočih voda se v okviru državnega monitoringa v širši okolici spremlja na reki Idrijci, kjer so locirane tudi hidrološke merilne postaje. Ekološko stanje Idrijce na merilne</w:t>
      </w:r>
      <w:r w:rsidR="002D77DC" w:rsidRPr="00660BB5">
        <w:t>m</w:t>
      </w:r>
      <w:r w:rsidRPr="00660BB5">
        <w:t xml:space="preserve"> mestu Spodnja Idrija (VT Idrijca </w:t>
      </w:r>
      <w:proofErr w:type="spellStart"/>
      <w:r w:rsidRPr="00660BB5">
        <w:t>Podroteja</w:t>
      </w:r>
      <w:proofErr w:type="spellEnd"/>
      <w:r w:rsidRPr="00660BB5">
        <w:t xml:space="preserve"> – sotočje z Bačo) v občini Idrija za obdobje 2016–2019 je bilo ocenjeno kot zelo dobro z visoko ravnijo zaupanja.</w:t>
      </w:r>
    </w:p>
    <w:p w14:paraId="630EF553" w14:textId="77777777" w:rsidR="00E51D46" w:rsidRPr="00660BB5" w:rsidRDefault="00E51D46" w:rsidP="008049D6">
      <w:pPr>
        <w:spacing w:line="260" w:lineRule="exact"/>
        <w:contextualSpacing/>
      </w:pPr>
    </w:p>
    <w:p w14:paraId="69BDD163" w14:textId="4DE1880C" w:rsidR="004963DC" w:rsidRPr="00660BB5" w:rsidRDefault="004963DC" w:rsidP="008049D6">
      <w:pPr>
        <w:spacing w:line="260" w:lineRule="exact"/>
        <w:contextualSpacing/>
      </w:pPr>
      <w:r w:rsidRPr="00660BB5">
        <w:t xml:space="preserve">Širše obravnavano območje ni poplavno ogroženo, zaradi ravninske lege se nahaja izven </w:t>
      </w:r>
      <w:proofErr w:type="spellStart"/>
      <w:r w:rsidRPr="00660BB5">
        <w:t>plazljivih</w:t>
      </w:r>
      <w:proofErr w:type="spellEnd"/>
      <w:r w:rsidRPr="00660BB5">
        <w:t xml:space="preserve"> in plazovitih območij, je pa območje erozijsko ogroženo (zahtevni zaščitni ukrepi). Lokacija nameravanega posega se nahaja izven vodovarstvenih območij. Na območju občine Idrije je varovan izvir Svetik, ki predstavlja pomemben vir pitne vode za prebivalstvo. Lokacija nameravanega posega je oddaljena ca. 270 m od III. vodovarstvenega območja zajetja Svetik in najmanj 340 m od območja zajetja.</w:t>
      </w:r>
    </w:p>
    <w:p w14:paraId="685B2371" w14:textId="5BD4C17F" w:rsidR="00B80EEC" w:rsidRPr="00660BB5" w:rsidRDefault="00B80EEC" w:rsidP="008049D6">
      <w:pPr>
        <w:autoSpaceDE w:val="0"/>
        <w:autoSpaceDN w:val="0"/>
        <w:adjustRightInd w:val="0"/>
        <w:spacing w:line="260" w:lineRule="exact"/>
        <w:ind w:right="-7"/>
        <w:rPr>
          <w:highlight w:val="yellow"/>
        </w:rPr>
      </w:pPr>
    </w:p>
    <w:p w14:paraId="57E4E883" w14:textId="715B3430" w:rsidR="003F3726" w:rsidRPr="00660BB5" w:rsidRDefault="00B80EEC" w:rsidP="008049D6">
      <w:pPr>
        <w:spacing w:line="260" w:lineRule="exact"/>
        <w:contextualSpacing/>
      </w:pPr>
      <w:r w:rsidRPr="00660BB5">
        <w:t xml:space="preserve">Na obravnavanem območju zaradi obratovanja obstoječega kompleksa </w:t>
      </w:r>
      <w:proofErr w:type="spellStart"/>
      <w:r w:rsidRPr="00660BB5">
        <w:t>Hidria</w:t>
      </w:r>
      <w:proofErr w:type="spellEnd"/>
      <w:r w:rsidRPr="00660BB5">
        <w:t xml:space="preserve"> d.o.o. nastaja industrijska, hladilna, komunalna in padavinska odpadna voda. </w:t>
      </w:r>
      <w:r w:rsidR="00271FF4" w:rsidRPr="00660BB5">
        <w:t>Komunalne odpadne vode in industrijske odpadne vode s</w:t>
      </w:r>
      <w:r w:rsidR="003F3726" w:rsidRPr="00660BB5">
        <w:t>e, brez dodatnega čiščenja,</w:t>
      </w:r>
      <w:r w:rsidR="00271FF4" w:rsidRPr="00660BB5">
        <w:t xml:space="preserve"> preko iztokov V6, V7, V8 </w:t>
      </w:r>
      <w:r w:rsidR="003F3726" w:rsidRPr="00660BB5">
        <w:t xml:space="preserve">odvajajo </w:t>
      </w:r>
      <w:r w:rsidR="00271FF4" w:rsidRPr="00660BB5">
        <w:t xml:space="preserve">v javno kanalizacijo, ki </w:t>
      </w:r>
      <w:r w:rsidR="003F3726" w:rsidRPr="00660BB5">
        <w:t>se</w:t>
      </w:r>
      <w:r w:rsidR="00271FF4" w:rsidRPr="00660BB5">
        <w:t xml:space="preserve"> </w:t>
      </w:r>
      <w:r w:rsidR="003F3726" w:rsidRPr="00660BB5">
        <w:t>zaključi s komunalno</w:t>
      </w:r>
      <w:r w:rsidR="00271FF4" w:rsidRPr="00660BB5">
        <w:t xml:space="preserve"> čistilno napravo Spodnja Idrija. Odtok iz menze, ki je v upravljanju zunanjega izvajalca, je pred združitvijo s komunalnimi in industrijskimi odpadnimi vodami ostalega dela Centralne lokacije, speljan preko lovilca maščob.</w:t>
      </w:r>
      <w:r w:rsidR="003F3726" w:rsidRPr="00660BB5">
        <w:t xml:space="preserve"> </w:t>
      </w:r>
      <w:r w:rsidR="00271FF4" w:rsidRPr="00660BB5">
        <w:t xml:space="preserve">Na iztoku V6 iz Livarne se odvajajo komunalne in industrijske odpadne vode iz postopka priprave mehke vode in odprtega obtočnega hladilnega sistema HS1. Na iztoku V7 iz hale Ventilatorjev se odvajajo komunalne odpadne vode. Na iztoku V8 iz Centralne stavbe se </w:t>
      </w:r>
      <w:r w:rsidR="004E1AC7" w:rsidRPr="00660BB5">
        <w:t>odvajajo odpadne komunalne vode ter</w:t>
      </w:r>
      <w:r w:rsidR="00271FF4" w:rsidRPr="00660BB5">
        <w:t xml:space="preserve"> tudi komunalne vode iz menze in odpadne industrijske vode iz kombiniranega hladilnega sistema HS2 (regeneracija, povratno spiranje peščenega filtra in </w:t>
      </w:r>
      <w:proofErr w:type="spellStart"/>
      <w:r w:rsidR="00271FF4" w:rsidRPr="00660BB5">
        <w:t>kaluženje</w:t>
      </w:r>
      <w:proofErr w:type="spellEnd"/>
      <w:r w:rsidR="00271FF4" w:rsidRPr="00660BB5">
        <w:t>).</w:t>
      </w:r>
      <w:r w:rsidR="003F3726" w:rsidRPr="00660BB5">
        <w:t xml:space="preserve"> </w:t>
      </w:r>
      <w:r w:rsidR="00271FF4" w:rsidRPr="00660BB5">
        <w:t xml:space="preserve">Zaradi sorodnosti odpadnih vod in delno prostih kapacitet podružnice v Kopru se zaoljene odpadne vode iz Livarne v Spodnji Idriji odvaža na čiščenje v podružnico v Kopru. Čiščenje poteka na čistilni napravi po postopku </w:t>
      </w:r>
      <w:proofErr w:type="spellStart"/>
      <w:r w:rsidR="00271FF4" w:rsidRPr="00660BB5">
        <w:t>ultrafiltracije</w:t>
      </w:r>
      <w:proofErr w:type="spellEnd"/>
      <w:r w:rsidR="00271FF4" w:rsidRPr="00660BB5">
        <w:t>.</w:t>
      </w:r>
      <w:r w:rsidR="003F3726" w:rsidRPr="00660BB5">
        <w:t xml:space="preserve"> </w:t>
      </w:r>
      <w:r w:rsidR="00271FF4" w:rsidRPr="00660BB5">
        <w:t xml:space="preserve">Odpadne tehnološke vode (strojne emulzije in pralne raztopine) iz drugih postopkov, ki </w:t>
      </w:r>
      <w:r w:rsidR="003F3726" w:rsidRPr="00660BB5">
        <w:t>se</w:t>
      </w:r>
      <w:r w:rsidR="00271FF4" w:rsidRPr="00660BB5">
        <w:t xml:space="preserve"> ne čistijo</w:t>
      </w:r>
      <w:r w:rsidR="003F3726" w:rsidRPr="00660BB5">
        <w:t xml:space="preserve"> </w:t>
      </w:r>
      <w:r w:rsidR="00271FF4" w:rsidRPr="00660BB5">
        <w:t xml:space="preserve">oziroma </w:t>
      </w:r>
      <w:r w:rsidR="003F3726" w:rsidRPr="00660BB5">
        <w:t>se jih</w:t>
      </w:r>
      <w:r w:rsidR="00271FF4" w:rsidRPr="00660BB5">
        <w:t xml:space="preserve"> ne odpelje na čiščenje v podružnico Koper, </w:t>
      </w:r>
      <w:r w:rsidR="003F3726" w:rsidRPr="00660BB5">
        <w:t xml:space="preserve">se </w:t>
      </w:r>
      <w:r w:rsidR="00271FF4" w:rsidRPr="00660BB5">
        <w:t>zbira in odstran</w:t>
      </w:r>
      <w:r w:rsidR="003F3726" w:rsidRPr="00660BB5">
        <w:t>i</w:t>
      </w:r>
      <w:r w:rsidR="00271FF4" w:rsidRPr="00660BB5">
        <w:t xml:space="preserve"> kot nevar</w:t>
      </w:r>
      <w:r w:rsidR="003F3726" w:rsidRPr="00660BB5">
        <w:t>en</w:t>
      </w:r>
      <w:r w:rsidR="00271FF4" w:rsidRPr="00660BB5">
        <w:t xml:space="preserve"> odpad</w:t>
      </w:r>
      <w:r w:rsidR="003F3726" w:rsidRPr="00660BB5">
        <w:t>e</w:t>
      </w:r>
      <w:r w:rsidR="00271FF4" w:rsidRPr="00660BB5">
        <w:t>k</w:t>
      </w:r>
      <w:r w:rsidR="003F3726" w:rsidRPr="00660BB5">
        <w:t xml:space="preserve"> </w:t>
      </w:r>
      <w:r w:rsidR="00271FF4" w:rsidRPr="00660BB5">
        <w:t>preko pooblaščenih zbiralcev/predelovalcev odpadkov.</w:t>
      </w:r>
      <w:r w:rsidR="003F3726" w:rsidRPr="00660BB5">
        <w:t xml:space="preserve"> Obstoječi kompleks </w:t>
      </w:r>
      <w:proofErr w:type="spellStart"/>
      <w:r w:rsidR="003F3726" w:rsidRPr="00660BB5">
        <w:t>Hidria</w:t>
      </w:r>
      <w:proofErr w:type="spellEnd"/>
      <w:r w:rsidR="003F3726" w:rsidRPr="00660BB5">
        <w:t xml:space="preserve"> d.o.o. v skladu s 10. členom Uredbe o emisiji snovi in toplote pri odvajanju odpadnih voda v vode in javno kanalizacijo (Uradni list RS, št. 64/12, 64/14, 98/15, 44/22 – ZVO-2, 75/22 in 157/22, v nadaljevanju Uredba o emisiji snovi in toplote) z odvajanjem odpadne vode na iztoku V6 in V8 ne presega </w:t>
      </w:r>
      <w:r w:rsidR="00A5246D" w:rsidRPr="00660BB5">
        <w:t xml:space="preserve">mejne vrednosti za noben parameter, ki je določen v veljavnem okoljevarstvenem dovoljenju. V skladu z 11. členom Uredbe o emisiji snovi in toplote naprava tako ne obremenjuje okolja čezmerno. </w:t>
      </w:r>
      <w:r w:rsidR="003F3726" w:rsidRPr="00660BB5">
        <w:t xml:space="preserve">Vode iz utrjenih površin so preko revizijskih jaškov speljane v vodotok </w:t>
      </w:r>
      <w:proofErr w:type="spellStart"/>
      <w:r w:rsidR="003F3726" w:rsidRPr="00660BB5">
        <w:t>Kanomljica</w:t>
      </w:r>
      <w:proofErr w:type="spellEnd"/>
      <w:r w:rsidR="003F3726" w:rsidRPr="00660BB5">
        <w:t>.</w:t>
      </w:r>
    </w:p>
    <w:p w14:paraId="64CEC65E" w14:textId="77777777" w:rsidR="003F3726" w:rsidRPr="00660BB5" w:rsidRDefault="003F3726" w:rsidP="008049D6">
      <w:pPr>
        <w:autoSpaceDE w:val="0"/>
        <w:autoSpaceDN w:val="0"/>
        <w:adjustRightInd w:val="0"/>
        <w:spacing w:line="260" w:lineRule="exact"/>
        <w:ind w:right="-7"/>
        <w:rPr>
          <w:highlight w:val="yellow"/>
        </w:rPr>
      </w:pPr>
    </w:p>
    <w:p w14:paraId="46041BE3" w14:textId="77777777" w:rsidR="00080D8B" w:rsidRPr="00660BB5" w:rsidRDefault="00240EA4" w:rsidP="008049D6">
      <w:pPr>
        <w:tabs>
          <w:tab w:val="left" w:pos="567"/>
        </w:tabs>
        <w:spacing w:line="260" w:lineRule="exact"/>
        <w:ind w:left="567" w:right="-7" w:hanging="567"/>
      </w:pPr>
      <w:r w:rsidRPr="00660BB5">
        <w:t>8</w:t>
      </w:r>
      <w:r w:rsidR="00080D8B" w:rsidRPr="00660BB5">
        <w:t>.1.a</w:t>
      </w:r>
      <w:r w:rsidR="00080D8B" w:rsidRPr="00660BB5">
        <w:tab/>
        <w:t>Pričakovani vplivi v času gradnje in pogoji</w:t>
      </w:r>
    </w:p>
    <w:p w14:paraId="26AE9F25" w14:textId="602D0129" w:rsidR="00FF75D8" w:rsidRPr="00660BB5" w:rsidRDefault="00FF75D8" w:rsidP="008049D6">
      <w:pPr>
        <w:spacing w:line="260" w:lineRule="exact"/>
        <w:ind w:right="-7"/>
        <w:rPr>
          <w:highlight w:val="yellow"/>
        </w:rPr>
      </w:pPr>
    </w:p>
    <w:p w14:paraId="399262B4" w14:textId="763D4384" w:rsidR="004963DC" w:rsidRPr="00660BB5" w:rsidRDefault="008E76E6" w:rsidP="008049D6">
      <w:pPr>
        <w:spacing w:line="260" w:lineRule="exact"/>
        <w:ind w:right="-7"/>
      </w:pPr>
      <w:r w:rsidRPr="00660BB5">
        <w:t xml:space="preserve">Vodotoka </w:t>
      </w:r>
      <w:proofErr w:type="spellStart"/>
      <w:r w:rsidRPr="00660BB5">
        <w:t>Kanomljica</w:t>
      </w:r>
      <w:proofErr w:type="spellEnd"/>
      <w:r w:rsidR="00BF104C" w:rsidRPr="00660BB5">
        <w:t xml:space="preserve"> in neimenovani vodotok sta</w:t>
      </w:r>
      <w:r w:rsidRPr="00660BB5">
        <w:t xml:space="preserve"> od </w:t>
      </w:r>
      <w:r w:rsidR="00BF104C" w:rsidRPr="00660BB5">
        <w:t>roba</w:t>
      </w:r>
      <w:r w:rsidRPr="00660BB5">
        <w:t xml:space="preserve"> gradbišča oddaljen</w:t>
      </w:r>
      <w:r w:rsidR="00BF104C" w:rsidRPr="00660BB5">
        <w:t>a</w:t>
      </w:r>
      <w:r w:rsidRPr="00660BB5">
        <w:t xml:space="preserve"> več kot </w:t>
      </w:r>
      <w:r w:rsidR="00BF104C" w:rsidRPr="00660BB5">
        <w:t>10</w:t>
      </w:r>
      <w:r w:rsidRPr="00660BB5">
        <w:t xml:space="preserve"> m</w:t>
      </w:r>
      <w:r w:rsidR="00BF104C" w:rsidRPr="00660BB5">
        <w:t xml:space="preserve"> oz. več kot 6 m</w:t>
      </w:r>
      <w:r w:rsidRPr="00660BB5">
        <w:t>, pri čemer gre za del gradbišča, ki je namenjen gradbiščni poti na oz. z gradbišča. Najbolj intenzivna gradbena dela, ki obsegajo izvedbo gradbene jame in gradnjo objekta EV-</w:t>
      </w:r>
      <w:r w:rsidRPr="00660BB5">
        <w:lastRenderedPageBreak/>
        <w:t xml:space="preserve">PLANT </w:t>
      </w:r>
      <w:r w:rsidR="004E1AC7" w:rsidRPr="00660BB5">
        <w:t>– druga faza</w:t>
      </w:r>
      <w:r w:rsidRPr="00660BB5">
        <w:t xml:space="preserve"> bodo od vodotoka </w:t>
      </w:r>
      <w:proofErr w:type="spellStart"/>
      <w:r w:rsidRPr="00660BB5">
        <w:t>Kanomljica</w:t>
      </w:r>
      <w:proofErr w:type="spellEnd"/>
      <w:r w:rsidRPr="00660BB5">
        <w:t xml:space="preserve"> oddaljena najmanj </w:t>
      </w:r>
      <w:r w:rsidR="00BF104C" w:rsidRPr="00660BB5">
        <w:t>3</w:t>
      </w:r>
      <w:r w:rsidRPr="00660BB5">
        <w:t>0 m</w:t>
      </w:r>
      <w:r w:rsidR="00BF104C" w:rsidRPr="00660BB5">
        <w:t>. Z izvedbo nameravanega posega se ne bo posegalo v površinske vodotoke. Glede na to, da n</w:t>
      </w:r>
      <w:r w:rsidR="004963DC" w:rsidRPr="00660BB5">
        <w:t xml:space="preserve">a </w:t>
      </w:r>
      <w:r w:rsidRPr="00660BB5">
        <w:t xml:space="preserve">samem </w:t>
      </w:r>
      <w:r w:rsidR="004963DC" w:rsidRPr="00660BB5">
        <w:t xml:space="preserve">območju </w:t>
      </w:r>
      <w:r w:rsidR="00A5246D" w:rsidRPr="00660BB5">
        <w:t xml:space="preserve">gradnje objekta EV-PLANT </w:t>
      </w:r>
      <w:r w:rsidR="004E1AC7" w:rsidRPr="00660BB5">
        <w:t xml:space="preserve">– druga faza </w:t>
      </w:r>
      <w:r w:rsidR="00BF104C" w:rsidRPr="00660BB5">
        <w:t>ni površinskih voda</w:t>
      </w:r>
      <w:r w:rsidR="004963DC" w:rsidRPr="00660BB5">
        <w:t xml:space="preserve">, </w:t>
      </w:r>
      <w:r w:rsidR="00BF104C" w:rsidRPr="00660BB5">
        <w:t>se</w:t>
      </w:r>
      <w:r w:rsidR="004963DC" w:rsidRPr="00660BB5">
        <w:t xml:space="preserve"> emisij</w:t>
      </w:r>
      <w:r w:rsidR="00BF104C" w:rsidRPr="00660BB5">
        <w:t>e</w:t>
      </w:r>
      <w:r w:rsidR="00A5246D" w:rsidRPr="00660BB5">
        <w:t xml:space="preserve"> </w:t>
      </w:r>
      <w:r w:rsidR="004963DC" w:rsidRPr="00660BB5">
        <w:t xml:space="preserve">onesnaževal v površinske vode </w:t>
      </w:r>
      <w:r w:rsidR="00BF104C" w:rsidRPr="00660BB5">
        <w:t xml:space="preserve">v času gradnje </w:t>
      </w:r>
      <w:r w:rsidR="004963DC" w:rsidRPr="00660BB5">
        <w:t xml:space="preserve">ne </w:t>
      </w:r>
      <w:r w:rsidR="00BF104C" w:rsidRPr="00660BB5">
        <w:t>pričakuje</w:t>
      </w:r>
      <w:r w:rsidR="004963DC" w:rsidRPr="00660BB5">
        <w:t>. Prav tako</w:t>
      </w:r>
      <w:r w:rsidR="00A5246D" w:rsidRPr="00660BB5">
        <w:t xml:space="preserve"> </w:t>
      </w:r>
      <w:r w:rsidR="004963DC" w:rsidRPr="00660BB5">
        <w:t xml:space="preserve">poseg v času gradnje ne bo vplival na </w:t>
      </w:r>
      <w:proofErr w:type="spellStart"/>
      <w:r w:rsidR="0088181B" w:rsidRPr="00660BB5">
        <w:t>h</w:t>
      </w:r>
      <w:r w:rsidR="004963DC" w:rsidRPr="00660BB5">
        <w:t>idromorfologijo</w:t>
      </w:r>
      <w:proofErr w:type="spellEnd"/>
      <w:r w:rsidR="004963DC" w:rsidRPr="00660BB5">
        <w:t xml:space="preserve"> in količinsko stanje površinskih voda na širšem</w:t>
      </w:r>
      <w:r w:rsidR="00A5246D" w:rsidRPr="00660BB5">
        <w:t xml:space="preserve"> </w:t>
      </w:r>
      <w:r w:rsidR="004963DC" w:rsidRPr="00660BB5">
        <w:t>območju ter na poplavno ogroženost</w:t>
      </w:r>
      <w:r w:rsidR="0088181B" w:rsidRPr="00660BB5">
        <w:t>, saj se l</w:t>
      </w:r>
      <w:r w:rsidR="004963DC" w:rsidRPr="00660BB5">
        <w:t xml:space="preserve">okacija </w:t>
      </w:r>
      <w:r w:rsidR="0088181B" w:rsidRPr="00660BB5">
        <w:t xml:space="preserve">nameravanega </w:t>
      </w:r>
      <w:r w:rsidR="004963DC" w:rsidRPr="00660BB5">
        <w:t>posega se nahaja izven poplavno ogroženih območij.</w:t>
      </w:r>
    </w:p>
    <w:p w14:paraId="1FF601A3" w14:textId="77777777" w:rsidR="004963DC" w:rsidRPr="00660BB5" w:rsidRDefault="004963DC" w:rsidP="008049D6">
      <w:pPr>
        <w:spacing w:line="260" w:lineRule="exact"/>
        <w:ind w:right="-7"/>
        <w:rPr>
          <w:highlight w:val="yellow"/>
        </w:rPr>
      </w:pPr>
    </w:p>
    <w:p w14:paraId="297D02F0" w14:textId="77777777" w:rsidR="00133AAA" w:rsidRPr="00660BB5" w:rsidRDefault="0048078E" w:rsidP="008049D6">
      <w:pPr>
        <w:spacing w:line="260" w:lineRule="exact"/>
        <w:ind w:right="-7"/>
      </w:pPr>
      <w:r w:rsidRPr="00660BB5">
        <w:t>V času gradnje je na območju gradbišča mogoče pričakovati manjše emisije onesnaževal v tla in</w:t>
      </w:r>
      <w:r w:rsidR="008E76E6" w:rsidRPr="00660BB5">
        <w:t xml:space="preserve"> </w:t>
      </w:r>
      <w:r w:rsidRPr="00660BB5">
        <w:t>podtalje, ki bodo posledica obratovanja gradbenih strojev in tovornih vozil, voženj tovornih vozil na</w:t>
      </w:r>
      <w:r w:rsidR="008E76E6" w:rsidRPr="00660BB5">
        <w:t xml:space="preserve"> </w:t>
      </w:r>
      <w:r w:rsidRPr="00660BB5">
        <w:t xml:space="preserve">območju gradbišča in uporabe gradbenih materialov. </w:t>
      </w:r>
      <w:r w:rsidR="00375566" w:rsidRPr="00660BB5">
        <w:t>Ti vplivi bodo lokalni, omejeni na območje gradnje nameravanega posega in glede na obstoječo rabo in stanje zemljišča (</w:t>
      </w:r>
      <w:r w:rsidR="00B84D6D" w:rsidRPr="00660BB5">
        <w:t xml:space="preserve">delno </w:t>
      </w:r>
      <w:r w:rsidR="00375566" w:rsidRPr="00660BB5">
        <w:t xml:space="preserve">utrjena površina) ter normalnih pogojih gradnje, zelo majhni oz. zanemarljivi. </w:t>
      </w:r>
      <w:r w:rsidRPr="00660BB5">
        <w:t>Do pomembnejših emisij</w:t>
      </w:r>
      <w:r w:rsidR="00375566" w:rsidRPr="00660BB5">
        <w:t xml:space="preserve"> </w:t>
      </w:r>
      <w:r w:rsidRPr="00660BB5">
        <w:t>bi lahko prišlo le v primeru izrednih dogodkov, kot je npr. izlitje goriva ali olja iz gradbenega stroja ali</w:t>
      </w:r>
      <w:r w:rsidR="00375566" w:rsidRPr="00660BB5">
        <w:t xml:space="preserve"> </w:t>
      </w:r>
      <w:r w:rsidRPr="00660BB5">
        <w:t xml:space="preserve">tovornega vozila in </w:t>
      </w:r>
      <w:proofErr w:type="spellStart"/>
      <w:r w:rsidRPr="00660BB5">
        <w:t>neukrepanja</w:t>
      </w:r>
      <w:proofErr w:type="spellEnd"/>
      <w:r w:rsidRPr="00660BB5">
        <w:t xml:space="preserve"> osebja na gradbišču</w:t>
      </w:r>
      <w:r w:rsidR="00B84D6D" w:rsidRPr="00660BB5">
        <w:t>.</w:t>
      </w:r>
      <w:r w:rsidR="008E76E6" w:rsidRPr="00660BB5">
        <w:t xml:space="preserve"> </w:t>
      </w:r>
      <w:r w:rsidR="00B84D6D" w:rsidRPr="00660BB5">
        <w:t xml:space="preserve">Z ustrezno organizacijo </w:t>
      </w:r>
      <w:r w:rsidR="008E76E6" w:rsidRPr="00660BB5">
        <w:t>gradbišča</w:t>
      </w:r>
      <w:r w:rsidR="00B84D6D" w:rsidRPr="00660BB5">
        <w:t>, uporabo tehnično ustreznih strojev</w:t>
      </w:r>
      <w:r w:rsidR="008E76E6" w:rsidRPr="00660BB5">
        <w:t xml:space="preserve"> in hitrim reagiranjem ter izvedbo ukrepov, ki so predvideni za tovrstne izredne dogodke, je morebitno onesnaženje mogoče preprečiti.</w:t>
      </w:r>
    </w:p>
    <w:p w14:paraId="57E66583" w14:textId="1D5A3A58" w:rsidR="004963DC" w:rsidRPr="00660BB5" w:rsidRDefault="004963DC" w:rsidP="008049D6">
      <w:pPr>
        <w:autoSpaceDE w:val="0"/>
        <w:autoSpaceDN w:val="0"/>
        <w:adjustRightInd w:val="0"/>
        <w:spacing w:line="260" w:lineRule="exact"/>
        <w:rPr>
          <w:szCs w:val="19"/>
        </w:rPr>
      </w:pPr>
    </w:p>
    <w:p w14:paraId="70590032" w14:textId="77800D09" w:rsidR="004963DC" w:rsidRPr="00660BB5" w:rsidRDefault="004963DC" w:rsidP="008049D6">
      <w:pPr>
        <w:spacing w:line="260" w:lineRule="exact"/>
        <w:ind w:right="-7"/>
      </w:pPr>
      <w:r w:rsidRPr="00660BB5">
        <w:t>Glede na to, da se nameravani poseg ne nahaja na vodovarstvenem območju, najbližje zajetje Svetik pa je od lokacije nameravanega posega oddaljeno najmanj 340 m, gradnja nameravanega posega ne bo vplivala na kakovost vode na izviru Svetik in s tem na preskrbo prebivalstva s pitno vodo, kot tudi ne na kakovost podzemne vode na širšem območju.</w:t>
      </w:r>
    </w:p>
    <w:p w14:paraId="0680F927" w14:textId="77777777" w:rsidR="004963DC" w:rsidRPr="00660BB5" w:rsidRDefault="004963DC" w:rsidP="008049D6">
      <w:pPr>
        <w:autoSpaceDE w:val="0"/>
        <w:autoSpaceDN w:val="0"/>
        <w:adjustRightInd w:val="0"/>
        <w:spacing w:line="260" w:lineRule="exact"/>
        <w:rPr>
          <w:highlight w:val="yellow"/>
        </w:rPr>
      </w:pPr>
    </w:p>
    <w:p w14:paraId="11295A00" w14:textId="77777777" w:rsidR="00133AAA" w:rsidRPr="00660BB5" w:rsidRDefault="005F478A" w:rsidP="008049D6">
      <w:pPr>
        <w:spacing w:line="260" w:lineRule="exact"/>
        <w:ind w:right="-7"/>
      </w:pPr>
      <w:r w:rsidRPr="00660BB5">
        <w:t>Upravni organ je v točki V</w:t>
      </w:r>
      <w:r w:rsidR="00DF3C8D" w:rsidRPr="00660BB5">
        <w:t>I</w:t>
      </w:r>
      <w:r w:rsidRPr="00660BB5">
        <w:t>./1</w:t>
      </w:r>
      <w:r w:rsidR="00F84076" w:rsidRPr="00660BB5">
        <w:t xml:space="preserve">. izreka tega dovoljenja tako določil dodatne pogoje glede organizacije gradbišča, ki se nanašajo predvsem na preprečevanje razlitja, izpiranja ali </w:t>
      </w:r>
      <w:r w:rsidR="00A51E86" w:rsidRPr="00660BB5">
        <w:t>pronicanja</w:t>
      </w:r>
      <w:r w:rsidR="00F84076" w:rsidRPr="00660BB5">
        <w:t xml:space="preserve"> goriv, motornih olj ali drugih pri delu potrebnih nevarnih kemikalij v tla</w:t>
      </w:r>
      <w:r w:rsidR="00BF104C" w:rsidRPr="00660BB5">
        <w:t xml:space="preserve">. </w:t>
      </w:r>
      <w:r w:rsidR="00F84076" w:rsidRPr="00660BB5">
        <w:t>Ti so namenjeni predhodnemu preprečevanju vnosa nevarnih snovi v tla</w:t>
      </w:r>
      <w:r w:rsidR="009B22CC" w:rsidRPr="00660BB5">
        <w:t xml:space="preserve"> oz. v primerih nezgodnih dogodkov omilitvi njihovih posledic</w:t>
      </w:r>
      <w:r w:rsidR="00F84076" w:rsidRPr="00660BB5">
        <w:t>, s čimer bo preprečeno oz. zmanjšano tveganje onesnaženja tal in posredno vod</w:t>
      </w:r>
      <w:r w:rsidR="009B22CC" w:rsidRPr="00660BB5">
        <w:t>a</w:t>
      </w:r>
      <w:r w:rsidR="00F84076" w:rsidRPr="00660BB5">
        <w:t xml:space="preserve"> z nevarnimi snovmi v času gradnje.</w:t>
      </w:r>
    </w:p>
    <w:p w14:paraId="2A6B3ECA" w14:textId="3BE667D0" w:rsidR="00375566" w:rsidRPr="00660BB5" w:rsidRDefault="00375566" w:rsidP="008049D6">
      <w:pPr>
        <w:spacing w:line="260" w:lineRule="exact"/>
        <w:ind w:right="-7"/>
        <w:rPr>
          <w:highlight w:val="yellow"/>
        </w:rPr>
      </w:pPr>
    </w:p>
    <w:p w14:paraId="23D39218" w14:textId="03EB0E7F" w:rsidR="00375566" w:rsidRPr="00660BB5" w:rsidRDefault="00375566" w:rsidP="008049D6">
      <w:pPr>
        <w:spacing w:line="260" w:lineRule="exact"/>
        <w:ind w:right="-7"/>
      </w:pPr>
      <w:r w:rsidRPr="00660BB5">
        <w:t xml:space="preserve">K predmetni gradnji je bilo pridobljeno tudi mnenje Direkcije </w:t>
      </w:r>
      <w:r w:rsidR="00F015D2" w:rsidRPr="00660BB5">
        <w:t>RS</w:t>
      </w:r>
      <w:r w:rsidRPr="00660BB5">
        <w:t xml:space="preserve"> za vode št. 35508-8511/2022-2 z dne 9.</w:t>
      </w:r>
      <w:r w:rsidR="00660BB5" w:rsidRPr="00660BB5">
        <w:t> </w:t>
      </w:r>
      <w:r w:rsidRPr="00660BB5">
        <w:t>3.</w:t>
      </w:r>
      <w:r w:rsidR="00660BB5" w:rsidRPr="00660BB5">
        <w:t> </w:t>
      </w:r>
      <w:r w:rsidRPr="00660BB5">
        <w:t xml:space="preserve">2023. Na podlagi navedenega mnenja o vplivu gradnje na vodni režim in stanje voda, upravni organ ugotavlja, da je gradnja na podlagi predložene dokumentacije skladna z Zakonom o vodah (Uradni list RS, št. 67/02, 2/04 – ZZdrI-A, 41/04 – ZVO-1, 57/08, 57/12, 100/13, 40/14, 56/15 in 65/20) in na njegovi podlagi izdanimi podzakonskimi predpis ob upoštevanju v mnenju določenih pogojev. Pogoje, ki jih je določila Direkcija RS za vode v navedenem mnenju, mora investitor upoštevati, k čemur je zavezan v VIII. točki izreka tega dovoljenja. Iz mnenja </w:t>
      </w:r>
      <w:r w:rsidR="00F015D2" w:rsidRPr="00660BB5">
        <w:t>Direkcije RS za vode</w:t>
      </w:r>
      <w:r w:rsidRPr="00660BB5">
        <w:t xml:space="preserve"> med drugim tudi izhaja, da je območje nameravanega posega na opozorilni karti erozije objavljeni na Atlasu okolja, opredeljeno kot ogroženo območje z zahtevnimi zaščitnimi ukrepi, vendar je iz geomorfološke značilnosti predmetne lokacije – gradnja na ravninskem delu industrijske cone razvidno, da se z gradnjo ne bo povečala erozijska ogroženost okolice.</w:t>
      </w:r>
    </w:p>
    <w:p w14:paraId="306DAE92" w14:textId="07DBDAE0" w:rsidR="00F015D2" w:rsidRPr="00660BB5" w:rsidRDefault="00F015D2" w:rsidP="008049D6">
      <w:pPr>
        <w:spacing w:line="260" w:lineRule="exact"/>
        <w:ind w:right="-7"/>
      </w:pPr>
    </w:p>
    <w:p w14:paraId="79F7E2A0" w14:textId="77777777" w:rsidR="00F015D2" w:rsidRPr="00660BB5" w:rsidRDefault="00F015D2" w:rsidP="008049D6">
      <w:pPr>
        <w:spacing w:line="260" w:lineRule="exact"/>
      </w:pPr>
      <w:r w:rsidRPr="00660BB5">
        <w:t>Upravni organ nadalje pojasnjuje, da je bila dokumentacija po pridobitvi mnenja Direkcije RS za vode še dopolnjena, vendar pa so bile spremembe in dopolnitve take, ki niso vplivale na mnenje Direkcije RS za vode. Upravni organ je zato ugotovil, da ponovno mnenje Direkcije RS za vode ni potrebno.</w:t>
      </w:r>
    </w:p>
    <w:p w14:paraId="1868725C" w14:textId="77777777" w:rsidR="00F015D2" w:rsidRPr="00660BB5" w:rsidRDefault="00F015D2" w:rsidP="008049D6">
      <w:pPr>
        <w:spacing w:line="260" w:lineRule="exact"/>
        <w:ind w:right="-7"/>
      </w:pPr>
    </w:p>
    <w:p w14:paraId="133F704C" w14:textId="77777777" w:rsidR="00080D8B" w:rsidRPr="00660BB5" w:rsidRDefault="00080D8B" w:rsidP="008049D6">
      <w:pPr>
        <w:numPr>
          <w:ilvl w:val="1"/>
          <w:numId w:val="12"/>
        </w:numPr>
        <w:spacing w:line="260" w:lineRule="exact"/>
        <w:ind w:left="567" w:right="-7" w:hanging="567"/>
        <w:contextualSpacing/>
      </w:pPr>
      <w:r w:rsidRPr="00660BB5">
        <w:t xml:space="preserve">Varstvo </w:t>
      </w:r>
      <w:r w:rsidR="002265C7" w:rsidRPr="00660BB5">
        <w:t>zraka</w:t>
      </w:r>
    </w:p>
    <w:p w14:paraId="6AAE1956" w14:textId="340EF7FF" w:rsidR="003D5F57" w:rsidRPr="00660BB5" w:rsidRDefault="003D5F57" w:rsidP="008049D6">
      <w:pPr>
        <w:spacing w:line="260" w:lineRule="exact"/>
        <w:ind w:right="-7"/>
        <w:rPr>
          <w:highlight w:val="yellow"/>
        </w:rPr>
      </w:pPr>
    </w:p>
    <w:p w14:paraId="29D4764E" w14:textId="70755594" w:rsidR="00DE0126" w:rsidRPr="00660BB5" w:rsidRDefault="003D5F57" w:rsidP="008049D6">
      <w:pPr>
        <w:spacing w:line="260" w:lineRule="exact"/>
        <w:ind w:right="-7"/>
      </w:pPr>
      <w:r w:rsidRPr="00660BB5">
        <w:t>Območje občine Idrija, v kateri se bo izvajal nameravani poseg, se skladno z Uredbo o kakovosti zunanjega zraka (Uradni list RS, št. 9/11, 8/15, 66/18</w:t>
      </w:r>
      <w:r w:rsidR="00D04C56" w:rsidRPr="00660BB5">
        <w:t xml:space="preserve"> in 44/22 – ZVO-2)</w:t>
      </w:r>
      <w:r w:rsidRPr="00660BB5">
        <w:t>), glede na žveplov dioksid, dušikov dioksid, dušikove okside, delce PM</w:t>
      </w:r>
      <w:r w:rsidRPr="00660BB5">
        <w:rPr>
          <w:vertAlign w:val="subscript"/>
        </w:rPr>
        <w:t>10</w:t>
      </w:r>
      <w:r w:rsidRPr="00660BB5">
        <w:t xml:space="preserve"> in PM</w:t>
      </w:r>
      <w:r w:rsidRPr="00660BB5">
        <w:rPr>
          <w:vertAlign w:val="subscript"/>
        </w:rPr>
        <w:t>2,5</w:t>
      </w:r>
      <w:r w:rsidRPr="00660BB5">
        <w:t xml:space="preserve">, benzen, ogljikov monoksid ter </w:t>
      </w:r>
      <w:proofErr w:type="spellStart"/>
      <w:r w:rsidRPr="00660BB5">
        <w:t>benzo</w:t>
      </w:r>
      <w:proofErr w:type="spellEnd"/>
      <w:r w:rsidRPr="00660BB5">
        <w:t>(a)</w:t>
      </w:r>
      <w:proofErr w:type="spellStart"/>
      <w:r w:rsidRPr="00660BB5">
        <w:t>piren</w:t>
      </w:r>
      <w:proofErr w:type="spellEnd"/>
      <w:r w:rsidRPr="00660BB5">
        <w:t>, uvršča v območje SIP (primorsko območje),</w:t>
      </w:r>
      <w:r w:rsidR="00DE0126" w:rsidRPr="00660BB5">
        <w:t xml:space="preserve"> glede na svinec, arzen, kadmij in nikelj pa v območje SITK (težke kovine). Glede na Odredbo o razvrstitvi območij, aglomeracij in </w:t>
      </w:r>
      <w:r w:rsidR="00DE0126" w:rsidRPr="00660BB5">
        <w:lastRenderedPageBreak/>
        <w:t>podobmočij glede na onesnaženost zunanjega zraka (Uradni list RS, št. 38/17, 3/20, 152/20, 203/21</w:t>
      </w:r>
      <w:r w:rsidR="00620332" w:rsidRPr="00660BB5">
        <w:t xml:space="preserve">, </w:t>
      </w:r>
      <w:r w:rsidR="00DE0126" w:rsidRPr="00660BB5">
        <w:t>44/22 – ZVO-2</w:t>
      </w:r>
      <w:r w:rsidR="00620332" w:rsidRPr="00660BB5">
        <w:t xml:space="preserve"> in 30/23</w:t>
      </w:r>
      <w:r w:rsidR="00DE0126" w:rsidRPr="00660BB5">
        <w:t>), so ravni onesnaževal območij SIP</w:t>
      </w:r>
      <w:r w:rsidR="00620332" w:rsidRPr="00660BB5">
        <w:t xml:space="preserve"> in </w:t>
      </w:r>
      <w:r w:rsidR="00DE0126" w:rsidRPr="00660BB5">
        <w:t>SITK pod mejnimi vrednostmi. V območju SIP presegajo ciljno vrednost ravni koncentracij ozona, zgornji ocenjevalni prag pa presegajo koncentracije delcev PM</w:t>
      </w:r>
      <w:r w:rsidR="00DE0126" w:rsidRPr="00660BB5">
        <w:rPr>
          <w:vertAlign w:val="subscript"/>
        </w:rPr>
        <w:t>10</w:t>
      </w:r>
      <w:r w:rsidR="00DE0126" w:rsidRPr="00660BB5">
        <w:t>, PM</w:t>
      </w:r>
      <w:r w:rsidR="00DE0126" w:rsidRPr="00660BB5">
        <w:rPr>
          <w:vertAlign w:val="subscript"/>
        </w:rPr>
        <w:t>2,5</w:t>
      </w:r>
      <w:r w:rsidR="00DE0126" w:rsidRPr="00660BB5">
        <w:t>,</w:t>
      </w:r>
      <w:r w:rsidR="00DE0126" w:rsidRPr="00660BB5">
        <w:rPr>
          <w:vertAlign w:val="subscript"/>
        </w:rPr>
        <w:t xml:space="preserve"> </w:t>
      </w:r>
      <w:r w:rsidR="00DE0126" w:rsidRPr="00660BB5">
        <w:t xml:space="preserve">in </w:t>
      </w:r>
      <w:proofErr w:type="spellStart"/>
      <w:r w:rsidR="00DE0126" w:rsidRPr="00660BB5">
        <w:t>benzo</w:t>
      </w:r>
      <w:proofErr w:type="spellEnd"/>
      <w:r w:rsidR="00DE0126" w:rsidRPr="00660BB5">
        <w:t>(a)</w:t>
      </w:r>
      <w:proofErr w:type="spellStart"/>
      <w:r w:rsidR="00DE0126" w:rsidRPr="00660BB5">
        <w:t>pirena</w:t>
      </w:r>
      <w:proofErr w:type="spellEnd"/>
      <w:r w:rsidR="00DE0126" w:rsidRPr="00660BB5">
        <w:t>. Zaradi preseganja ciljne vrednosti za ozon, je aglomeracija SIP uvrščena v I. stopnjo onesnaženosti zraka, medtem ko za ostala onesnaževala v II. stopnjo onesnaženosti zraka.</w:t>
      </w:r>
      <w:r w:rsidR="00D04C56" w:rsidRPr="00660BB5">
        <w:t xml:space="preserve"> Območje SITK je vrščeno v II. stopnjo onesnaženosti zraka, saj nobena koncentracija onesnaževal ne presega ciljne vrednosti.</w:t>
      </w:r>
    </w:p>
    <w:p w14:paraId="6BE9FBF6" w14:textId="0A74017C" w:rsidR="003D5F57" w:rsidRPr="00660BB5" w:rsidRDefault="003D5F57" w:rsidP="008049D6">
      <w:pPr>
        <w:spacing w:line="260" w:lineRule="exact"/>
        <w:ind w:right="-7"/>
      </w:pPr>
    </w:p>
    <w:p w14:paraId="1F69A1EE" w14:textId="394D4F7F" w:rsidR="003D5F57" w:rsidRPr="00660BB5" w:rsidRDefault="003D5F57" w:rsidP="008049D6">
      <w:pPr>
        <w:spacing w:line="260" w:lineRule="exact"/>
        <w:ind w:right="-7"/>
      </w:pPr>
      <w:r w:rsidRPr="00660BB5">
        <w:t>Kakovost zunanjega zraka se v okviru državne merilne mreže DMKZ na območju občine Idrija ne</w:t>
      </w:r>
      <w:r w:rsidR="00241DF2" w:rsidRPr="00660BB5">
        <w:t xml:space="preserve"> </w:t>
      </w:r>
      <w:r w:rsidRPr="00660BB5">
        <w:t xml:space="preserve">spremlja. Najbližji merilni mesti sta Ljubljana (ca. 33 km vzhodno) in Nova Gorica (ca. 30 km zahodno), ki pa z obravnavano lokacijo nista </w:t>
      </w:r>
      <w:r w:rsidR="000F4EEA" w:rsidRPr="00660BB5">
        <w:t>primerljivi</w:t>
      </w:r>
      <w:r w:rsidRPr="00660BB5">
        <w:t>.</w:t>
      </w:r>
      <w:r w:rsidR="00241DF2" w:rsidRPr="00660BB5">
        <w:t xml:space="preserve"> </w:t>
      </w:r>
      <w:r w:rsidR="006931C2" w:rsidRPr="00660BB5">
        <w:t>V</w:t>
      </w:r>
      <w:r w:rsidRPr="00660BB5">
        <w:t xml:space="preserve"> širši okolici</w:t>
      </w:r>
      <w:r w:rsidR="006931C2" w:rsidRPr="00660BB5">
        <w:t xml:space="preserve"> nameravanega posega</w:t>
      </w:r>
      <w:r w:rsidRPr="00660BB5">
        <w:t xml:space="preserve"> ni pomembne</w:t>
      </w:r>
      <w:r w:rsidR="006931C2" w:rsidRPr="00660BB5">
        <w:t>jših virov onesnaževanja zraka zaradi</w:t>
      </w:r>
      <w:r w:rsidRPr="00660BB5">
        <w:t xml:space="preserve"> pomembnejših cest in industrijskih virov. Glavni vir emisij snovi v zrak </w:t>
      </w:r>
      <w:r w:rsidR="006931C2" w:rsidRPr="00660BB5">
        <w:t xml:space="preserve">v neposredni bližini nameravanega posega </w:t>
      </w:r>
      <w:r w:rsidRPr="00660BB5">
        <w:t xml:space="preserve">je </w:t>
      </w:r>
      <w:proofErr w:type="spellStart"/>
      <w:r w:rsidRPr="00660BB5">
        <w:t>Hidria</w:t>
      </w:r>
      <w:proofErr w:type="spellEnd"/>
      <w:r w:rsidRPr="00660BB5">
        <w:t xml:space="preserve"> </w:t>
      </w:r>
      <w:proofErr w:type="spellStart"/>
      <w:r w:rsidRPr="00660BB5">
        <w:t>Rotomatika</w:t>
      </w:r>
      <w:proofErr w:type="spellEnd"/>
      <w:r w:rsidRPr="00660BB5">
        <w:t xml:space="preserve"> d.o.o.</w:t>
      </w:r>
      <w:r w:rsidR="006931C2" w:rsidRPr="00660BB5">
        <w:t xml:space="preserve">, ki se nahaja znotraj obstoječega kompleksa </w:t>
      </w:r>
      <w:proofErr w:type="spellStart"/>
      <w:r w:rsidR="006931C2" w:rsidRPr="00660BB5">
        <w:t>Hidria</w:t>
      </w:r>
      <w:proofErr w:type="spellEnd"/>
      <w:r w:rsidR="006931C2" w:rsidRPr="00660BB5">
        <w:t xml:space="preserve"> d.o.o..</w:t>
      </w:r>
      <w:r w:rsidRPr="00660BB5">
        <w:t xml:space="preserve"> V zimskem času so prisotne predvsem emisije iz individualnih kurišč na širšem območju, ki pa je redko poseljeno. V radiju 10 km od obravnavane lokacije z izjemo </w:t>
      </w:r>
      <w:r w:rsidR="006931C2" w:rsidRPr="00660BB5">
        <w:t xml:space="preserve">obstoječega kompleksa </w:t>
      </w:r>
      <w:proofErr w:type="spellStart"/>
      <w:r w:rsidRPr="00660BB5">
        <w:t>Hidir</w:t>
      </w:r>
      <w:r w:rsidR="006931C2" w:rsidRPr="00660BB5">
        <w:t>a</w:t>
      </w:r>
      <w:proofErr w:type="spellEnd"/>
      <w:r w:rsidR="006931C2" w:rsidRPr="00660BB5">
        <w:t xml:space="preserve"> d.o.o.</w:t>
      </w:r>
      <w:r w:rsidRPr="00660BB5">
        <w:t>, ni IED naprav.</w:t>
      </w:r>
    </w:p>
    <w:p w14:paraId="5DE8EB78" w14:textId="77777777" w:rsidR="00F84076" w:rsidRPr="00660BB5" w:rsidRDefault="00F84076" w:rsidP="008049D6">
      <w:pPr>
        <w:spacing w:line="260" w:lineRule="exact"/>
        <w:ind w:right="-7"/>
      </w:pPr>
    </w:p>
    <w:p w14:paraId="73C1ECC0" w14:textId="718092F9" w:rsidR="00EF0F53" w:rsidRPr="00660BB5" w:rsidRDefault="003D5F57" w:rsidP="008049D6">
      <w:pPr>
        <w:spacing w:line="260" w:lineRule="exact"/>
        <w:ind w:right="-7"/>
      </w:pPr>
      <w:r w:rsidRPr="00660BB5">
        <w:t xml:space="preserve">V obstoječem kompleksu </w:t>
      </w:r>
      <w:proofErr w:type="spellStart"/>
      <w:r w:rsidRPr="00660BB5">
        <w:t>Hidria</w:t>
      </w:r>
      <w:proofErr w:type="spellEnd"/>
      <w:r w:rsidRPr="00660BB5">
        <w:t xml:space="preserve"> d.o.o. nastajajo emisije snovi v zrak zlasti zaradi </w:t>
      </w:r>
      <w:r w:rsidR="00EF0F53" w:rsidRPr="00660BB5">
        <w:t xml:space="preserve">livarske dejavnosti (prah, TOC, CO, N02, S02, Ni, </w:t>
      </w:r>
      <w:proofErr w:type="spellStart"/>
      <w:r w:rsidR="00EF0F53" w:rsidRPr="00660BB5">
        <w:t>Cr</w:t>
      </w:r>
      <w:proofErr w:type="spellEnd"/>
      <w:r w:rsidR="00EF0F53" w:rsidRPr="00660BB5">
        <w:t xml:space="preserve">, Cu, </w:t>
      </w:r>
      <w:proofErr w:type="spellStart"/>
      <w:r w:rsidR="00EF0F53" w:rsidRPr="00660BB5">
        <w:t>Mn</w:t>
      </w:r>
      <w:proofErr w:type="spellEnd"/>
      <w:r w:rsidR="00EF0F53" w:rsidRPr="00660BB5">
        <w:t xml:space="preserve">, </w:t>
      </w:r>
      <w:proofErr w:type="spellStart"/>
      <w:r w:rsidR="00EF0F53" w:rsidRPr="00660BB5">
        <w:t>Pb</w:t>
      </w:r>
      <w:proofErr w:type="spellEnd"/>
      <w:r w:rsidR="00EF0F53" w:rsidRPr="00660BB5">
        <w:t xml:space="preserve">). Meritve emisij snovi v zrak se izvajajo na 14 merilnih mestih, in sicer na štirih talilnih pečeh, sedmih livarskih strojih, velikem </w:t>
      </w:r>
      <w:proofErr w:type="spellStart"/>
      <w:r w:rsidR="00EF0F53" w:rsidRPr="00660BB5">
        <w:t>klimatu</w:t>
      </w:r>
      <w:proofErr w:type="spellEnd"/>
      <w:r w:rsidR="00EF0F53" w:rsidRPr="00660BB5">
        <w:t xml:space="preserve"> in stroju za peskanje.</w:t>
      </w:r>
      <w:r w:rsidR="00241DF2" w:rsidRPr="00660BB5">
        <w:t xml:space="preserve"> </w:t>
      </w:r>
      <w:r w:rsidR="00EF0F53" w:rsidRPr="00660BB5">
        <w:t xml:space="preserve">Meritve emisij snovi v zrak iz naprave na obravnavanem območju, ki so bile opravljene leta 2020 in 2021, so pokazale, da so bile emisijske koncentracije v času meritev v dovoljenih mejah oziroma skladne z zahtevami Uredbe o emisiji snovi v zrak iz nepremičnih virov onesnaževanja (Uradni list RS, št. 31/07, 70/08, 61/09, 50/13 </w:t>
      </w:r>
      <w:hyperlink r:id="rId10" w:tgtFrame="_blank" w:tooltip="Zakon o varstvu okolja" w:history="1">
        <w:r w:rsidR="00EF0F53" w:rsidRPr="00660BB5">
          <w:t>44/22</w:t>
        </w:r>
      </w:hyperlink>
      <w:r w:rsidR="00EF0F53" w:rsidRPr="00660BB5">
        <w:t> – ZVO-2 in </w:t>
      </w:r>
      <w:hyperlink r:id="rId11" w:tgtFrame="_blank" w:tooltip="Uredba o spremembah in dopolnitvah Uredbe o emisiji snovi v zrak iz nepremičnih virov onesnaževanja" w:history="1">
        <w:r w:rsidR="00EF0F53" w:rsidRPr="00660BB5">
          <w:t>48/22</w:t>
        </w:r>
      </w:hyperlink>
      <w:r w:rsidR="00EF0F53" w:rsidRPr="00660BB5">
        <w:t xml:space="preserve">) </w:t>
      </w:r>
      <w:r w:rsidR="00241DF2" w:rsidRPr="00660BB5">
        <w:t>in Uredbe o emisiji snovi v zrak iz livarn aluminija in magnezija (Uradni list RS, št. </w:t>
      </w:r>
      <w:hyperlink r:id="rId12" w:tgtFrame="_blank" w:tooltip="Uredba o emisiji snovi v zrak iz livarn aluminija in magnezija" w:history="1">
        <w:r w:rsidR="00241DF2" w:rsidRPr="00660BB5">
          <w:t>34/07</w:t>
        </w:r>
      </w:hyperlink>
      <w:r w:rsidR="00241DF2" w:rsidRPr="00660BB5">
        <w:t> in </w:t>
      </w:r>
      <w:hyperlink r:id="rId13" w:tgtFrame="_blank" w:tooltip="Zakon o varstvu okolja" w:history="1">
        <w:r w:rsidR="00241DF2" w:rsidRPr="00660BB5">
          <w:t>44/22</w:t>
        </w:r>
      </w:hyperlink>
      <w:r w:rsidR="00241DF2" w:rsidRPr="00660BB5">
        <w:t> – ZVO-2).</w:t>
      </w:r>
    </w:p>
    <w:p w14:paraId="244BE977" w14:textId="77777777" w:rsidR="00080D8B" w:rsidRPr="00660BB5" w:rsidRDefault="00080D8B" w:rsidP="008049D6">
      <w:pPr>
        <w:spacing w:line="260" w:lineRule="exact"/>
        <w:ind w:right="-7"/>
      </w:pPr>
    </w:p>
    <w:p w14:paraId="0F482DB6" w14:textId="77777777" w:rsidR="00080D8B" w:rsidRPr="00660BB5" w:rsidRDefault="00F96046" w:rsidP="008049D6">
      <w:pPr>
        <w:tabs>
          <w:tab w:val="left" w:pos="567"/>
        </w:tabs>
        <w:spacing w:line="260" w:lineRule="exact"/>
        <w:ind w:left="567" w:right="-7" w:hanging="567"/>
      </w:pPr>
      <w:r w:rsidRPr="00660BB5">
        <w:t>8</w:t>
      </w:r>
      <w:r w:rsidR="004479ED" w:rsidRPr="00660BB5">
        <w:t>.</w:t>
      </w:r>
      <w:r w:rsidR="009239AA" w:rsidRPr="00660BB5">
        <w:t>2</w:t>
      </w:r>
      <w:r w:rsidR="00080D8B" w:rsidRPr="00660BB5">
        <w:t>.a</w:t>
      </w:r>
      <w:r w:rsidR="00080D8B" w:rsidRPr="00660BB5">
        <w:tab/>
        <w:t>Pričakovani vplivi v času gradnje in pogoji</w:t>
      </w:r>
    </w:p>
    <w:p w14:paraId="5F0E4A6D" w14:textId="77777777" w:rsidR="00143B45" w:rsidRPr="00660BB5" w:rsidRDefault="00143B45" w:rsidP="008049D6">
      <w:pPr>
        <w:spacing w:line="260" w:lineRule="exact"/>
        <w:ind w:right="-7"/>
        <w:rPr>
          <w:highlight w:val="yellow"/>
        </w:rPr>
      </w:pPr>
    </w:p>
    <w:p w14:paraId="7AF52B6F" w14:textId="77777777" w:rsidR="00133AAA" w:rsidRPr="00660BB5" w:rsidRDefault="00F84076" w:rsidP="008049D6">
      <w:pPr>
        <w:spacing w:line="260" w:lineRule="exact"/>
        <w:ind w:right="-7"/>
      </w:pPr>
      <w:r w:rsidRPr="00660BB5">
        <w:t xml:space="preserve">Vpliv na kakovost zraka v času gradnje bo izražen kot povečanje emisij onesnaževal v zrak zaradi </w:t>
      </w:r>
      <w:r w:rsidR="00EA15C9" w:rsidRPr="00660BB5">
        <w:t xml:space="preserve">rušitev in </w:t>
      </w:r>
      <w:r w:rsidRPr="00660BB5">
        <w:t>izvajanja del na gradbišču, pri katerih prihaja do emisij delcev PM</w:t>
      </w:r>
      <w:r w:rsidRPr="00660BB5">
        <w:rPr>
          <w:vertAlign w:val="subscript"/>
        </w:rPr>
        <w:t>10</w:t>
      </w:r>
      <w:r w:rsidRPr="00660BB5">
        <w:t xml:space="preserve">, obratovanja gradbenih strojev in naprav na gradbišču ter tovornega prometa za potrebe gradnje na območju gradbišča in na dovoznih javnih cestah. Pri uporabi gradbene mehanizacije in tovornih vozil bodo nastajale emisije onesnaževal, ki izhajajo z izpušnimi plini iz motorjev z notranjim zgorevanjem. Emisije onesnaževal iz prometa prispevajo zlasti k povišanim koncentracijam </w:t>
      </w:r>
      <w:proofErr w:type="spellStart"/>
      <w:r w:rsidRPr="00660BB5">
        <w:t>prizemnega</w:t>
      </w:r>
      <w:proofErr w:type="spellEnd"/>
      <w:r w:rsidRPr="00660BB5">
        <w:t xml:space="preserve"> ozona, delcev PM</w:t>
      </w:r>
      <w:r w:rsidRPr="00660BB5">
        <w:rPr>
          <w:vertAlign w:val="subscript"/>
        </w:rPr>
        <w:t>2,5</w:t>
      </w:r>
      <w:r w:rsidRPr="00660BB5">
        <w:t xml:space="preserve"> in PM</w:t>
      </w:r>
      <w:r w:rsidRPr="00660BB5">
        <w:rPr>
          <w:vertAlign w:val="subscript"/>
        </w:rPr>
        <w:t>10</w:t>
      </w:r>
      <w:r w:rsidRPr="00660BB5">
        <w:t xml:space="preserve"> ter dušikovih oksidov (</w:t>
      </w:r>
      <w:proofErr w:type="spellStart"/>
      <w:r w:rsidRPr="00660BB5">
        <w:t>NO</w:t>
      </w:r>
      <w:r w:rsidRPr="00660BB5">
        <w:rPr>
          <w:vertAlign w:val="subscript"/>
        </w:rPr>
        <w:t>x</w:t>
      </w:r>
      <w:proofErr w:type="spellEnd"/>
      <w:r w:rsidRPr="00660BB5">
        <w:t xml:space="preserve">) v zraku, pa tudi benzena in </w:t>
      </w:r>
      <w:proofErr w:type="spellStart"/>
      <w:r w:rsidRPr="00660BB5">
        <w:t>benzo</w:t>
      </w:r>
      <w:proofErr w:type="spellEnd"/>
      <w:r w:rsidRPr="00660BB5">
        <w:t>(a)</w:t>
      </w:r>
      <w:proofErr w:type="spellStart"/>
      <w:r w:rsidRPr="00660BB5">
        <w:t>pirena</w:t>
      </w:r>
      <w:proofErr w:type="spellEnd"/>
      <w:r w:rsidRPr="00660BB5">
        <w:t>, pri čemer so glavni vir dizelska vozila. Gradbišče lahko predstavlja pomemben vir emisij delcev (PM</w:t>
      </w:r>
      <w:r w:rsidRPr="00660BB5">
        <w:rPr>
          <w:vertAlign w:val="subscript"/>
        </w:rPr>
        <w:t>2,5</w:t>
      </w:r>
      <w:r w:rsidRPr="00660BB5">
        <w:t xml:space="preserve"> in PM</w:t>
      </w:r>
      <w:r w:rsidRPr="00660BB5">
        <w:rPr>
          <w:vertAlign w:val="subscript"/>
        </w:rPr>
        <w:t>10</w:t>
      </w:r>
      <w:r w:rsidRPr="00660BB5">
        <w:t>) v zrak, če se pri organizaciji gradbišča in izvajanju del ne upoštevajo zaščitni in omilitveni ukrepi. Na kakovost zunanjega zraka v okolici gradbišča lahko pomembneje vplivajo le delci, ki nastajajo v času gradnje, pri ostalih onesnaževalih (npr. dušikovi oksidi, benzen, žveplov dioksid, itd.) so koncentracije že v obstoječem stanju dovolj nizke, da njihovo morebitno povečanje zaradi gradnje ne bo dosegalo mejnih oz. ciljnih vrednosti.</w:t>
      </w:r>
    </w:p>
    <w:p w14:paraId="4546D715" w14:textId="7A6E77C1" w:rsidR="00927E47" w:rsidRPr="00660BB5" w:rsidRDefault="00927E47" w:rsidP="008049D6">
      <w:pPr>
        <w:spacing w:line="260" w:lineRule="exact"/>
        <w:ind w:right="-7"/>
      </w:pPr>
    </w:p>
    <w:p w14:paraId="68817204" w14:textId="5971D81E" w:rsidR="00927E47" w:rsidRPr="00660BB5" w:rsidRDefault="00927E47" w:rsidP="008049D6">
      <w:pPr>
        <w:spacing w:line="260" w:lineRule="exact"/>
        <w:ind w:right="-7"/>
      </w:pPr>
      <w:r w:rsidRPr="00660BB5">
        <w:t>Kakovost zraka je na območju nameravanega posega problematična predvsem zaradi visokih koncentracij delcev PM</w:t>
      </w:r>
      <w:r w:rsidRPr="00660BB5">
        <w:rPr>
          <w:vertAlign w:val="subscript"/>
        </w:rPr>
        <w:t>10</w:t>
      </w:r>
      <w:r w:rsidRPr="00660BB5">
        <w:t xml:space="preserve">, ki se pojavljajo predvsem v zimskem času oz. v času ogrevalne sezone, k čemur prispevajo tudi neugodni meteorološki pogoji v hladnem obdobju leta (kotlinska lega, slaba </w:t>
      </w:r>
      <w:proofErr w:type="spellStart"/>
      <w:r w:rsidRPr="00660BB5">
        <w:t>prevetrenost</w:t>
      </w:r>
      <w:proofErr w:type="spellEnd"/>
      <w:r w:rsidRPr="00660BB5">
        <w:t>, pogoste inverzije).</w:t>
      </w:r>
    </w:p>
    <w:p w14:paraId="0AC53193" w14:textId="77777777" w:rsidR="00F84076" w:rsidRPr="00660BB5" w:rsidRDefault="00F84076" w:rsidP="008049D6">
      <w:pPr>
        <w:spacing w:line="260" w:lineRule="exact"/>
        <w:ind w:right="-7"/>
        <w:rPr>
          <w:highlight w:val="yellow"/>
        </w:rPr>
      </w:pPr>
    </w:p>
    <w:p w14:paraId="79ECB845" w14:textId="77777777" w:rsidR="00133AAA" w:rsidRPr="00660BB5" w:rsidRDefault="00F84076" w:rsidP="008049D6">
      <w:pPr>
        <w:autoSpaceDE w:val="0"/>
        <w:autoSpaceDN w:val="0"/>
        <w:adjustRightInd w:val="0"/>
        <w:spacing w:line="260" w:lineRule="exact"/>
        <w:ind w:right="-7"/>
      </w:pPr>
      <w:r w:rsidRPr="00660BB5">
        <w:t>Z namenom numerične določitve vpliva gradbišča na kakovost zraka je bila izračunana emisija delcev PM</w:t>
      </w:r>
      <w:r w:rsidRPr="00660BB5">
        <w:rPr>
          <w:vertAlign w:val="subscript"/>
        </w:rPr>
        <w:t>10</w:t>
      </w:r>
      <w:r w:rsidRPr="00660BB5">
        <w:t xml:space="preserve"> zaradi raznovrstnih gradbenih del na gradbišču, ki vključujejo </w:t>
      </w:r>
      <w:r w:rsidR="00EB03A5" w:rsidRPr="00660BB5">
        <w:t>rušitve</w:t>
      </w:r>
      <w:r w:rsidR="006931C2" w:rsidRPr="00660BB5">
        <w:t>,</w:t>
      </w:r>
      <w:r w:rsidR="00EB03A5" w:rsidRPr="00660BB5">
        <w:t xml:space="preserve"> zemeljska dela (izkopi, zakopi),</w:t>
      </w:r>
      <w:r w:rsidR="006931C2" w:rsidRPr="00660BB5">
        <w:t xml:space="preserve"> nalaganje</w:t>
      </w:r>
      <w:r w:rsidR="00EB03A5" w:rsidRPr="00660BB5">
        <w:t>, razlaganje,</w:t>
      </w:r>
      <w:r w:rsidR="006931C2" w:rsidRPr="00660BB5">
        <w:t xml:space="preserve"> prevoze</w:t>
      </w:r>
      <w:r w:rsidR="00EB03A5" w:rsidRPr="00660BB5">
        <w:t xml:space="preserve"> in gradnjo</w:t>
      </w:r>
      <w:r w:rsidRPr="00660BB5">
        <w:t xml:space="preserve">. Pri prevozih po območju gradbišča in po gradbiščnih cestah, ki se navezujejo na obstoječe javno cestno omrežje, se je določalo prašenje zaradi vožnje po neasfaltiranih oz. asfaltiranih cestah, ki ima za posledico </w:t>
      </w:r>
      <w:proofErr w:type="spellStart"/>
      <w:r w:rsidR="00927E47" w:rsidRPr="00660BB5">
        <w:t>resuspenzijo</w:t>
      </w:r>
      <w:proofErr w:type="spellEnd"/>
      <w:r w:rsidR="00927E47" w:rsidRPr="00660BB5">
        <w:t xml:space="preserve"> </w:t>
      </w:r>
      <w:r w:rsidRPr="00660BB5">
        <w:t xml:space="preserve">prahu. Rezultati modelnega izračuna prašenja, kot posledica obratovanja gradbišča in prevozov </w:t>
      </w:r>
      <w:r w:rsidRPr="00660BB5">
        <w:lastRenderedPageBreak/>
        <w:t>po gradbiščnih cestah, so pokazali, da ne bo prišlo do največje skupne emisije PM</w:t>
      </w:r>
      <w:r w:rsidRPr="00660BB5">
        <w:rPr>
          <w:vertAlign w:val="subscript"/>
        </w:rPr>
        <w:t>10</w:t>
      </w:r>
      <w:r w:rsidRPr="00660BB5">
        <w:t xml:space="preserve"> nad 0,1 kg/h (emisija nad 0,1 kg/h bi pomenila znatne emisije, ki bi lahko povzročile bistveno poslabšanje zraka oz. čezmerno onesnaženost zraka z delci PM</w:t>
      </w:r>
      <w:r w:rsidRPr="00660BB5">
        <w:rPr>
          <w:vertAlign w:val="subscript"/>
        </w:rPr>
        <w:t>10</w:t>
      </w:r>
      <w:r w:rsidRPr="00660BB5">
        <w:t xml:space="preserve"> in ogrožale zdravje ljudi). Izračun je pokazal, da bo brez omilitvenih ukrepov celotna emisija z gradbišča 0,8</w:t>
      </w:r>
      <w:r w:rsidR="001F4ADB" w:rsidRPr="00660BB5">
        <w:t>23</w:t>
      </w:r>
      <w:r w:rsidR="001E27A3" w:rsidRPr="00660BB5">
        <w:t> </w:t>
      </w:r>
      <w:r w:rsidRPr="00660BB5">
        <w:t>t/leto,</w:t>
      </w:r>
      <w:r w:rsidR="001E27A3" w:rsidRPr="00660BB5">
        <w:t> </w:t>
      </w:r>
      <w:r w:rsidRPr="00660BB5">
        <w:t>povprečna letna urna emisija delcev PM</w:t>
      </w:r>
      <w:r w:rsidRPr="00660BB5">
        <w:rPr>
          <w:vertAlign w:val="subscript"/>
        </w:rPr>
        <w:t xml:space="preserve">10 </w:t>
      </w:r>
      <w:r w:rsidRPr="00660BB5">
        <w:t>pa bo</w:t>
      </w:r>
      <w:r w:rsidRPr="00660BB5">
        <w:rPr>
          <w:vertAlign w:val="subscript"/>
        </w:rPr>
        <w:t xml:space="preserve"> </w:t>
      </w:r>
      <w:r w:rsidRPr="00660BB5">
        <w:t>znašala 0,09</w:t>
      </w:r>
      <w:r w:rsidR="00EB03A5" w:rsidRPr="00660BB5">
        <w:t>4</w:t>
      </w:r>
      <w:r w:rsidRPr="00660BB5">
        <w:t xml:space="preserve"> kg/h. Pri tem je narava delcev, ki se pojavljajo na gradbiščih, običajno takšna, da so bolj prisotni večji delci, ki se na sorazmerno kratki razdalji hitro usedejo na tla in se tako ne širijo v okolje. Razen tega se bo poseg odvijal na relativno majhni površini, izvajal se bo samostojno, brez povezave z drugimi posegi v okolici in tudi prašenje ne bo prisotno celotni upoštevan čas gradnje.</w:t>
      </w:r>
    </w:p>
    <w:p w14:paraId="3876C841" w14:textId="2A903923" w:rsidR="00F84076" w:rsidRPr="00660BB5" w:rsidRDefault="00F84076" w:rsidP="008049D6">
      <w:pPr>
        <w:autoSpaceDE w:val="0"/>
        <w:autoSpaceDN w:val="0"/>
        <w:adjustRightInd w:val="0"/>
        <w:spacing w:line="260" w:lineRule="exact"/>
        <w:ind w:right="-7"/>
        <w:rPr>
          <w:highlight w:val="yellow"/>
        </w:rPr>
      </w:pPr>
    </w:p>
    <w:p w14:paraId="3FED3B42" w14:textId="033CE910" w:rsidR="00F84076" w:rsidRPr="00660BB5" w:rsidRDefault="00F84076" w:rsidP="008049D6">
      <w:pPr>
        <w:spacing w:line="260" w:lineRule="exact"/>
        <w:ind w:right="-8"/>
        <w:rPr>
          <w:highlight w:val="yellow"/>
        </w:rPr>
      </w:pPr>
      <w:r w:rsidRPr="00660BB5">
        <w:t xml:space="preserve">Za zmanjšanje in omilitev prašenja je tako treba upoštevati pravila ravnanja pri izvajanju gradbenih del na gradbišču, zahteve za gradbeno mehanizacijo in organizacijske ukrepe na gradbišču v skladu z Uredbo o preprečevanju in zmanjševanju emisije delcev iz gradbišč (Uradni list RS, št. 21/11 in 197/21) in </w:t>
      </w:r>
      <w:r w:rsidRPr="00660BB5">
        <w:rPr>
          <w:shd w:val="clear" w:color="auto" w:fill="FFFFFF"/>
        </w:rPr>
        <w:t xml:space="preserve">način namestitve, pritrditve in zavarovanja tovora na vozilih med prevozom v cestnem prometu v skladu s </w:t>
      </w:r>
      <w:r w:rsidRPr="00660BB5">
        <w:t>Pravilnikom o nalaganju in pritrjevanju tovora v cestnem prometu (Uradni list RS, št. 70/11). Upravni organ je za zmanjšanje emisij prahu med gradnjo in s tem zmanjšanje negativnih vplivov razpršenih emisij prašnih delcev na kakovost zunanjega zraka v točki V</w:t>
      </w:r>
      <w:r w:rsidR="00DF3C8D" w:rsidRPr="00660BB5">
        <w:t>I</w:t>
      </w:r>
      <w:r w:rsidRPr="00660BB5">
        <w:t xml:space="preserve">./2 izreka tega dovoljenja določil tudi dodatne omilitvene ukrepe, </w:t>
      </w:r>
      <w:r w:rsidR="001F4ADB" w:rsidRPr="00660BB5">
        <w:t xml:space="preserve">glede optimizacije prevozov, načina skladiščenja sipkega materiala, vlaženja odprtih gradbiščnih površin, omejitve hitrosti vozil na gradbišču ter uporabe vozil in gradbene mehanizacija, ki dosegajo vsaj standard EURO V. </w:t>
      </w:r>
      <w:r w:rsidRPr="00660BB5">
        <w:t xml:space="preserve">Ker gre za območje, kjer so pogosto presežene dnevne koncentracije delcev </w:t>
      </w:r>
      <w:r w:rsidR="00932C40" w:rsidRPr="00660BB5">
        <w:t>PM</w:t>
      </w:r>
      <w:r w:rsidR="00932C40" w:rsidRPr="00660BB5">
        <w:rPr>
          <w:vertAlign w:val="subscript"/>
        </w:rPr>
        <w:t>10</w:t>
      </w:r>
      <w:r w:rsidRPr="00660BB5">
        <w:t xml:space="preserve">, je določena tudi prekinitev dela v dnevih, ko je </w:t>
      </w:r>
      <w:r w:rsidR="001F4ADB" w:rsidRPr="00660BB5">
        <w:t>za območje nameravanega posega</w:t>
      </w:r>
      <w:r w:rsidRPr="00660BB5">
        <w:t xml:space="preserve"> razglašena prekomerna onesnaženost ozračja z delci PM</w:t>
      </w:r>
      <w:r w:rsidRPr="00660BB5">
        <w:rPr>
          <w:vertAlign w:val="subscript"/>
        </w:rPr>
        <w:t>10</w:t>
      </w:r>
      <w:r w:rsidRPr="00660BB5">
        <w:t>.</w:t>
      </w:r>
    </w:p>
    <w:p w14:paraId="734C8D82" w14:textId="78C10B63" w:rsidR="00CF6539" w:rsidRPr="00660BB5" w:rsidRDefault="00CF6539" w:rsidP="008049D6">
      <w:pPr>
        <w:spacing w:line="260" w:lineRule="exact"/>
        <w:ind w:right="-7"/>
        <w:rPr>
          <w:highlight w:val="yellow"/>
        </w:rPr>
      </w:pPr>
    </w:p>
    <w:p w14:paraId="1C436B5F" w14:textId="3A1FF58F" w:rsidR="00D058DB" w:rsidRPr="00660BB5" w:rsidRDefault="00D058DB" w:rsidP="008049D6">
      <w:pPr>
        <w:numPr>
          <w:ilvl w:val="1"/>
          <w:numId w:val="12"/>
        </w:numPr>
        <w:spacing w:line="260" w:lineRule="exact"/>
        <w:ind w:left="567" w:right="-7" w:hanging="567"/>
        <w:contextualSpacing/>
      </w:pPr>
      <w:r w:rsidRPr="00660BB5">
        <w:t>Varstvo pred hrupom</w:t>
      </w:r>
    </w:p>
    <w:p w14:paraId="55760640" w14:textId="28ED3001" w:rsidR="00D058DB" w:rsidRPr="00660BB5" w:rsidRDefault="00D058DB" w:rsidP="008049D6">
      <w:pPr>
        <w:autoSpaceDE w:val="0"/>
        <w:autoSpaceDN w:val="0"/>
        <w:adjustRightInd w:val="0"/>
        <w:spacing w:line="260" w:lineRule="exact"/>
        <w:ind w:right="-7"/>
      </w:pPr>
    </w:p>
    <w:p w14:paraId="2E576A6F" w14:textId="672B7970" w:rsidR="003C1818" w:rsidRPr="00660BB5" w:rsidRDefault="003C1818" w:rsidP="008049D6">
      <w:pPr>
        <w:autoSpaceDE w:val="0"/>
        <w:autoSpaceDN w:val="0"/>
        <w:adjustRightInd w:val="0"/>
        <w:spacing w:line="260" w:lineRule="exact"/>
        <w:ind w:right="-7"/>
      </w:pPr>
      <w:r w:rsidRPr="00660BB5">
        <w:t xml:space="preserve">Lokacija nameravanega posega se </w:t>
      </w:r>
      <w:r w:rsidR="00E01013" w:rsidRPr="00660BB5">
        <w:t>nahaja na območju, ki zaradi obstoječih virov hrupa (naprave, cestni promet) ni čezmern</w:t>
      </w:r>
      <w:r w:rsidR="000B4D9E" w:rsidRPr="00660BB5">
        <w:t>o</w:t>
      </w:r>
      <w:r w:rsidR="00E01013" w:rsidRPr="00660BB5">
        <w:t xml:space="preserve"> obremenjeno s hrupom. Najbližji objekti z varovanimi prostori, za katere velja III. stopnja varstva pred hrupom, se nahajajo na naslovih Na Poklonu 11, 17, 19 in Spodnja Kanomlja 21, 21a, 22, 24 a, 24b,61, 66a.</w:t>
      </w:r>
    </w:p>
    <w:p w14:paraId="6C0843C8" w14:textId="77777777" w:rsidR="00E01013" w:rsidRPr="00660BB5" w:rsidRDefault="00E01013" w:rsidP="008049D6">
      <w:pPr>
        <w:spacing w:line="260" w:lineRule="exact"/>
        <w:ind w:right="-7"/>
        <w:contextualSpacing/>
        <w:rPr>
          <w:highlight w:val="yellow"/>
        </w:rPr>
      </w:pPr>
    </w:p>
    <w:p w14:paraId="7ECEFCA7" w14:textId="5FAD162C" w:rsidR="004A1034" w:rsidRPr="00660BB5" w:rsidRDefault="004A1034" w:rsidP="008049D6">
      <w:pPr>
        <w:autoSpaceDE w:val="0"/>
        <w:autoSpaceDN w:val="0"/>
        <w:adjustRightInd w:val="0"/>
        <w:spacing w:line="260" w:lineRule="exact"/>
        <w:ind w:right="-7"/>
      </w:pPr>
      <w:r w:rsidRPr="00660BB5">
        <w:t xml:space="preserve">Obstoječa obremenitev s hrupom je bila ocenjena na podlagi meritev obremenitve s hrupom v času obratovanja kompleksa </w:t>
      </w:r>
      <w:proofErr w:type="spellStart"/>
      <w:r w:rsidRPr="00660BB5">
        <w:t>Hidria</w:t>
      </w:r>
      <w:proofErr w:type="spellEnd"/>
      <w:r w:rsidRPr="00660BB5">
        <w:t xml:space="preserve"> d.o.o. (Glavna stavba, </w:t>
      </w:r>
      <w:proofErr w:type="spellStart"/>
      <w:r w:rsidRPr="00660BB5">
        <w:t>Inprima</w:t>
      </w:r>
      <w:proofErr w:type="spellEnd"/>
      <w:r w:rsidRPr="00660BB5">
        <w:t xml:space="preserve">, Ventilatorji, Livarna, </w:t>
      </w:r>
      <w:proofErr w:type="spellStart"/>
      <w:r w:rsidRPr="00660BB5">
        <w:t>Movent</w:t>
      </w:r>
      <w:proofErr w:type="spellEnd"/>
      <w:r w:rsidRPr="00660BB5">
        <w:t xml:space="preserve">, VRS in </w:t>
      </w:r>
      <w:proofErr w:type="spellStart"/>
      <w:r w:rsidRPr="00660BB5">
        <w:t>Lamtec</w:t>
      </w:r>
      <w:proofErr w:type="spellEnd"/>
      <w:r w:rsidRPr="00660BB5">
        <w:t xml:space="preserve">). </w:t>
      </w:r>
      <w:r w:rsidR="0056467C" w:rsidRPr="00660BB5">
        <w:t>Rezultati meritev hrupa iz Poročila o meritvah hrupa v okolju, št. LOM – 20210525 – KR/P z dne 11.</w:t>
      </w:r>
      <w:r w:rsidR="00660BB5" w:rsidRPr="00660BB5">
        <w:t> </w:t>
      </w:r>
      <w:r w:rsidR="0056467C" w:rsidRPr="00660BB5">
        <w:t>3.</w:t>
      </w:r>
      <w:r w:rsidR="00660BB5" w:rsidRPr="00660BB5">
        <w:t> </w:t>
      </w:r>
      <w:r w:rsidR="0056467C" w:rsidRPr="00660BB5">
        <w:t xml:space="preserve">2022, ki ga je izdelal ZVD d.o.o. kažejo, da obratovanje obstoječega kompleksa </w:t>
      </w:r>
      <w:proofErr w:type="spellStart"/>
      <w:r w:rsidR="0056467C" w:rsidRPr="00660BB5">
        <w:t>Hidria</w:t>
      </w:r>
      <w:proofErr w:type="spellEnd"/>
      <w:r w:rsidR="0056467C" w:rsidRPr="00660BB5">
        <w:t xml:space="preserve"> d.o.o. v stanju maksimalne zmogljivosti na nobenem mestu ocenjevanja (na naslovih Spodnja Kanomlja 21, 21a, 22, 24 a, 24b,61, 66a ter Na Poklonu 11, 17, 19) ne presega majhnih vrednosti kazalcev hrupa v okolju</w:t>
      </w:r>
      <w:r w:rsidR="00E01013" w:rsidRPr="00660BB5">
        <w:t xml:space="preserve"> za III. območje varstva pred hrupom</w:t>
      </w:r>
      <w:r w:rsidR="0056467C" w:rsidRPr="00660BB5">
        <w:t>, določenih z Uredbo o mejnih vrednostih kazalcev hrupa v okolju (Uradni list RS, št. </w:t>
      </w:r>
      <w:hyperlink r:id="rId14" w:tgtFrame="_blank" w:tooltip="Uredba o mejnih vrednostih kazalcev hrupa v okolju" w:history="1">
        <w:r w:rsidR="0056467C" w:rsidRPr="00660BB5">
          <w:t>43/18</w:t>
        </w:r>
      </w:hyperlink>
      <w:r w:rsidR="0056467C" w:rsidRPr="00660BB5">
        <w:t>, </w:t>
      </w:r>
      <w:hyperlink r:id="rId15" w:tgtFrame="_blank" w:tooltip="Uredba o spremembah Uredbe o mejnih vrednostih kazalcev hrupa v okolju" w:history="1">
        <w:r w:rsidR="0056467C" w:rsidRPr="00660BB5">
          <w:t>59/19</w:t>
        </w:r>
      </w:hyperlink>
      <w:r w:rsidR="0056467C" w:rsidRPr="00660BB5">
        <w:t> in </w:t>
      </w:r>
      <w:hyperlink r:id="rId16" w:tgtFrame="_blank" w:tooltip="Zakon o varstvu okolja" w:history="1">
        <w:r w:rsidR="0056467C" w:rsidRPr="00660BB5">
          <w:t>44/22</w:t>
        </w:r>
      </w:hyperlink>
      <w:r w:rsidR="0056467C" w:rsidRPr="00660BB5">
        <w:t> – ZVO-2): L</w:t>
      </w:r>
      <w:r w:rsidR="0084040F" w:rsidRPr="00660BB5">
        <w:rPr>
          <w:vertAlign w:val="subscript"/>
        </w:rPr>
        <w:t>DAN</w:t>
      </w:r>
      <w:r w:rsidR="0056467C" w:rsidRPr="00660BB5">
        <w:t xml:space="preserve"> 58 </w:t>
      </w:r>
      <w:proofErr w:type="spellStart"/>
      <w:r w:rsidR="0056467C" w:rsidRPr="00660BB5">
        <w:t>dBA</w:t>
      </w:r>
      <w:proofErr w:type="spellEnd"/>
      <w:r w:rsidR="0056467C" w:rsidRPr="00660BB5">
        <w:t>, L</w:t>
      </w:r>
      <w:r w:rsidR="0084040F" w:rsidRPr="00660BB5">
        <w:rPr>
          <w:vertAlign w:val="subscript"/>
        </w:rPr>
        <w:t>VEČER</w:t>
      </w:r>
      <w:r w:rsidR="0056467C" w:rsidRPr="00660BB5">
        <w:t xml:space="preserve"> 53 </w:t>
      </w:r>
      <w:proofErr w:type="spellStart"/>
      <w:r w:rsidR="0056467C" w:rsidRPr="00660BB5">
        <w:t>dBA</w:t>
      </w:r>
      <w:proofErr w:type="spellEnd"/>
      <w:r w:rsidR="0056467C" w:rsidRPr="00660BB5">
        <w:t>, L</w:t>
      </w:r>
      <w:r w:rsidR="0084040F" w:rsidRPr="00660BB5">
        <w:rPr>
          <w:vertAlign w:val="subscript"/>
        </w:rPr>
        <w:t>NOČ</w:t>
      </w:r>
      <w:r w:rsidR="0056467C" w:rsidRPr="00660BB5">
        <w:t xml:space="preserve"> 48 </w:t>
      </w:r>
      <w:proofErr w:type="spellStart"/>
      <w:r w:rsidR="0056467C" w:rsidRPr="00660BB5">
        <w:t>dBA</w:t>
      </w:r>
      <w:proofErr w:type="spellEnd"/>
      <w:r w:rsidR="0056467C" w:rsidRPr="00660BB5">
        <w:t xml:space="preserve"> in L</w:t>
      </w:r>
      <w:r w:rsidR="0084040F" w:rsidRPr="00660BB5">
        <w:rPr>
          <w:vertAlign w:val="subscript"/>
        </w:rPr>
        <w:t>DVN</w:t>
      </w:r>
      <w:r w:rsidR="0056467C" w:rsidRPr="00660BB5">
        <w:t xml:space="preserve"> 58 </w:t>
      </w:r>
      <w:proofErr w:type="spellStart"/>
      <w:r w:rsidR="0056467C" w:rsidRPr="00660BB5">
        <w:t>dBA</w:t>
      </w:r>
      <w:proofErr w:type="spellEnd"/>
      <w:r w:rsidR="0056467C" w:rsidRPr="00660BB5">
        <w:t>.</w:t>
      </w:r>
    </w:p>
    <w:p w14:paraId="5BCF530B" w14:textId="77777777" w:rsidR="003E691B" w:rsidRPr="00660BB5" w:rsidRDefault="003E691B" w:rsidP="008049D6">
      <w:pPr>
        <w:autoSpaceDE w:val="0"/>
        <w:autoSpaceDN w:val="0"/>
        <w:adjustRightInd w:val="0"/>
        <w:spacing w:line="260" w:lineRule="exact"/>
      </w:pPr>
    </w:p>
    <w:p w14:paraId="52D89713" w14:textId="1E9ECCFF" w:rsidR="00D058DB" w:rsidRPr="00660BB5" w:rsidRDefault="00D058DB" w:rsidP="008049D6">
      <w:pPr>
        <w:tabs>
          <w:tab w:val="left" w:pos="567"/>
        </w:tabs>
        <w:spacing w:line="260" w:lineRule="exact"/>
        <w:ind w:left="567" w:right="-7" w:hanging="567"/>
      </w:pPr>
      <w:r w:rsidRPr="00660BB5">
        <w:t>8.3.a Pričakovani vplivi v času gradnje in pogoji</w:t>
      </w:r>
    </w:p>
    <w:p w14:paraId="275B9114" w14:textId="4E8379A4" w:rsidR="00D058DB" w:rsidRPr="00660BB5" w:rsidRDefault="00D058DB" w:rsidP="008049D6">
      <w:pPr>
        <w:spacing w:line="260" w:lineRule="exact"/>
        <w:ind w:right="-7"/>
        <w:contextualSpacing/>
        <w:rPr>
          <w:highlight w:val="yellow"/>
        </w:rPr>
      </w:pPr>
    </w:p>
    <w:p w14:paraId="131DD9FA" w14:textId="762C1642" w:rsidR="001B4D6D" w:rsidRPr="00660BB5" w:rsidRDefault="00F53D10" w:rsidP="008049D6">
      <w:pPr>
        <w:autoSpaceDE w:val="0"/>
        <w:autoSpaceDN w:val="0"/>
        <w:adjustRightInd w:val="0"/>
        <w:spacing w:line="260" w:lineRule="exact"/>
        <w:ind w:right="-7"/>
        <w:rPr>
          <w:highlight w:val="yellow"/>
        </w:rPr>
      </w:pPr>
      <w:r w:rsidRPr="00660BB5">
        <w:t>V času gradnje bo nastajal hrup predvsem zaradi gradbene mehanizacije in gradbenih del ter zaradi prevozov tovornih vozil (teža nad 7,5 t) za potrebe gradnje.</w:t>
      </w:r>
      <w:r w:rsidR="00CB378A" w:rsidRPr="00660BB5">
        <w:t xml:space="preserve"> </w:t>
      </w:r>
      <w:r w:rsidRPr="00660BB5">
        <w:t>Gradnja nameravanega posega</w:t>
      </w:r>
      <w:r w:rsidR="00CB378A" w:rsidRPr="00660BB5">
        <w:t xml:space="preserve"> bo trajala največ 12 koledarskih mesecev, v tem času bodo obremenitve okolice s hrupom gradbišča različne, odvisno od faze izvajanja del. </w:t>
      </w:r>
      <w:r w:rsidRPr="00660BB5">
        <w:t xml:space="preserve">Najhrupnejša faza gradbenih del, ki bo trajala največ 120 dni, bo obsegala rušitve, manjše strojne izkope, nasipanje, utrjevanje, izvedbo tampona, betoniranje in izvedba zasipov. </w:t>
      </w:r>
      <w:r w:rsidR="00CB378A" w:rsidRPr="00660BB5">
        <w:t>Gradbena dela bodo potekala od ponedeljka do petka med 7. in 17. uro ter ob sobotah med 7. in 16. uro. Ob nedeljah in praznikih gradbišče ne bo obratovalo</w:t>
      </w:r>
      <w:r w:rsidR="00DB4972" w:rsidRPr="00660BB5">
        <w:t>, se pa bodo izvajala manj hrupna montažna ali druga dela, ki ne zahtevajo uporabe gradbenih strojev in prevozov s tovornimi vozili.</w:t>
      </w:r>
    </w:p>
    <w:p w14:paraId="61431781" w14:textId="65E996E3" w:rsidR="001B4D6D" w:rsidRPr="00660BB5" w:rsidRDefault="001B4D6D" w:rsidP="008049D6">
      <w:pPr>
        <w:spacing w:line="260" w:lineRule="exact"/>
        <w:ind w:right="-7"/>
        <w:contextualSpacing/>
        <w:rPr>
          <w:highlight w:val="yellow"/>
        </w:rPr>
      </w:pPr>
    </w:p>
    <w:p w14:paraId="56905BF5" w14:textId="50252DE2" w:rsidR="001B4D6D" w:rsidRPr="00660BB5" w:rsidRDefault="001B4D6D" w:rsidP="008049D6">
      <w:pPr>
        <w:autoSpaceDE w:val="0"/>
        <w:autoSpaceDN w:val="0"/>
        <w:adjustRightInd w:val="0"/>
        <w:spacing w:line="260" w:lineRule="exact"/>
        <w:ind w:right="-7"/>
      </w:pPr>
      <w:r w:rsidRPr="00660BB5">
        <w:lastRenderedPageBreak/>
        <w:t xml:space="preserve">Rezultati modelnega izračuna kazalcev hrupa iz Ocene obremenjenosti s hrupom za EV-PLANT (2. faza), HIDRIA d.o.o., št. EKO-22-566C, 17. 11. 2022, dopolnitev 7. 2. 2023, 14. 7. 2023 in 4. 10. 2023, ki jo je izdelal </w:t>
      </w:r>
      <w:proofErr w:type="spellStart"/>
      <w:r w:rsidRPr="00660BB5">
        <w:t>SiEKO</w:t>
      </w:r>
      <w:proofErr w:type="spellEnd"/>
      <w:r w:rsidRPr="00660BB5">
        <w:t xml:space="preserve"> d.o.o., Kidričeva 25, 3000 Celje kažejo, da pri najbližjih stavbah z varovanimi prostori</w:t>
      </w:r>
      <w:r w:rsidR="00CB378A" w:rsidRPr="00660BB5">
        <w:t xml:space="preserve">, </w:t>
      </w:r>
      <w:r w:rsidRPr="00660BB5">
        <w:t>ki upošteva</w:t>
      </w:r>
      <w:r w:rsidR="00CB378A" w:rsidRPr="00660BB5">
        <w:t xml:space="preserve"> 12 mesečno intenzivno gradnj</w:t>
      </w:r>
      <w:r w:rsidR="004F2597" w:rsidRPr="00660BB5">
        <w:t>o in</w:t>
      </w:r>
      <w:r w:rsidR="00F53D10" w:rsidRPr="00660BB5">
        <w:t xml:space="preserve"> kjer vsi viri hrupa delujejo istočasno,</w:t>
      </w:r>
      <w:r w:rsidRPr="00660BB5">
        <w:t xml:space="preserve"> gradbišče kot vir hrupa ne bo presegalo predpisanih mejnih vrednostih kazalcev hrupa za gradbišča: L</w:t>
      </w:r>
      <w:r w:rsidRPr="00660BB5">
        <w:rPr>
          <w:vertAlign w:val="subscript"/>
        </w:rPr>
        <w:t>DAN</w:t>
      </w:r>
      <w:r w:rsidRPr="00660BB5">
        <w:t xml:space="preserve"> 65</w:t>
      </w:r>
      <w:r w:rsidR="00F53D10" w:rsidRPr="00660BB5">
        <w:t> </w:t>
      </w:r>
      <w:proofErr w:type="spellStart"/>
      <w:r w:rsidRPr="00660BB5">
        <w:t>dB</w:t>
      </w:r>
      <w:proofErr w:type="spellEnd"/>
      <w:r w:rsidRPr="00660BB5">
        <w:t>(A),</w:t>
      </w:r>
      <w:r w:rsidR="00F53D10" w:rsidRPr="00660BB5">
        <w:t> </w:t>
      </w:r>
      <w:r w:rsidRPr="00660BB5">
        <w:t>in L</w:t>
      </w:r>
      <w:r w:rsidRPr="00660BB5">
        <w:rPr>
          <w:vertAlign w:val="subscript"/>
        </w:rPr>
        <w:t>DVN</w:t>
      </w:r>
      <w:r w:rsidRPr="00660BB5">
        <w:t> 65 </w:t>
      </w:r>
      <w:proofErr w:type="spellStart"/>
      <w:r w:rsidRPr="00660BB5">
        <w:t>dB</w:t>
      </w:r>
      <w:proofErr w:type="spellEnd"/>
      <w:r w:rsidRPr="00660BB5">
        <w:t>(A), prav tako ne bo presežena celotna obremenitev okolja s hrupom: L</w:t>
      </w:r>
      <w:r w:rsidRPr="00660BB5">
        <w:rPr>
          <w:vertAlign w:val="subscript"/>
        </w:rPr>
        <w:t>DVN</w:t>
      </w:r>
      <w:r w:rsidRPr="00660BB5">
        <w:t> 69 </w:t>
      </w:r>
      <w:proofErr w:type="spellStart"/>
      <w:r w:rsidRPr="00660BB5">
        <w:t>dB</w:t>
      </w:r>
      <w:proofErr w:type="spellEnd"/>
      <w:r w:rsidRPr="00660BB5">
        <w:t xml:space="preserve">(A). Nameravani poseg bo v času gradnje zanemarljivo prispeval k celotni obremenitvi s hrupom (do največ 4 </w:t>
      </w:r>
      <w:proofErr w:type="spellStart"/>
      <w:r w:rsidRPr="00660BB5">
        <w:t>dB</w:t>
      </w:r>
      <w:proofErr w:type="spellEnd"/>
      <w:r w:rsidRPr="00660BB5">
        <w:t>(A)). Upravi organ je v točki VI./3 izreka tega dovoljenja določil pogoj</w:t>
      </w:r>
      <w:r w:rsidR="00DB4972" w:rsidRPr="00660BB5">
        <w:t>a</w:t>
      </w:r>
      <w:r w:rsidRPr="00660BB5">
        <w:t>, ki izhaja</w:t>
      </w:r>
      <w:r w:rsidR="00DB4972" w:rsidRPr="00660BB5">
        <w:t>ta</w:t>
      </w:r>
      <w:r w:rsidRPr="00660BB5">
        <w:t xml:space="preserve"> iz modelnega izračuna ravni hrupa, s katerim je bila za nameravano gradnjo dokazana skladnost z mejnimi vrednostmi hrupa iz Uredbe o hrupu ter tako omejil časovno obratovanje gradbišča</w:t>
      </w:r>
      <w:r w:rsidR="00DB4972" w:rsidRPr="00660BB5">
        <w:t>.</w:t>
      </w:r>
    </w:p>
    <w:p w14:paraId="629BF0B5" w14:textId="77777777" w:rsidR="00D058DB" w:rsidRPr="00660BB5" w:rsidRDefault="00D058DB" w:rsidP="008049D6">
      <w:pPr>
        <w:spacing w:line="260" w:lineRule="exact"/>
        <w:ind w:right="-7"/>
      </w:pPr>
    </w:p>
    <w:p w14:paraId="5ADDABBC" w14:textId="77777777" w:rsidR="00080D8B" w:rsidRPr="00660BB5" w:rsidRDefault="00080D8B" w:rsidP="008049D6">
      <w:pPr>
        <w:numPr>
          <w:ilvl w:val="1"/>
          <w:numId w:val="12"/>
        </w:numPr>
        <w:spacing w:line="260" w:lineRule="exact"/>
        <w:ind w:left="567" w:right="-7" w:hanging="567"/>
        <w:contextualSpacing/>
      </w:pPr>
      <w:r w:rsidRPr="00660BB5">
        <w:t>Ravnanje z odpadki</w:t>
      </w:r>
    </w:p>
    <w:p w14:paraId="051240B7" w14:textId="77777777" w:rsidR="00AE59BE" w:rsidRPr="00660BB5" w:rsidRDefault="00AE59BE" w:rsidP="008049D6">
      <w:pPr>
        <w:spacing w:line="260" w:lineRule="exact"/>
        <w:ind w:right="-7"/>
      </w:pPr>
    </w:p>
    <w:p w14:paraId="31584E92" w14:textId="77777777" w:rsidR="00133AAA" w:rsidRPr="00660BB5" w:rsidRDefault="00F84076" w:rsidP="008049D6">
      <w:pPr>
        <w:autoSpaceDE w:val="0"/>
        <w:autoSpaceDN w:val="0"/>
        <w:adjustRightInd w:val="0"/>
        <w:spacing w:line="260" w:lineRule="exact"/>
        <w:ind w:right="-7"/>
      </w:pPr>
      <w:r w:rsidRPr="00660BB5">
        <w:t xml:space="preserve">Ožje in širše območje obravnavane lokacije ni obremenjeno z odpadki. </w:t>
      </w:r>
      <w:r w:rsidR="002B37CD" w:rsidRPr="00660BB5">
        <w:t xml:space="preserve">Odpadki iz proizvodnih dejavnosti in komunalni odpadki iz obratujočega kompleksa </w:t>
      </w:r>
      <w:proofErr w:type="spellStart"/>
      <w:r w:rsidR="002B37CD" w:rsidRPr="00660BB5">
        <w:t>Hidria</w:t>
      </w:r>
      <w:proofErr w:type="spellEnd"/>
      <w:r w:rsidR="002B37CD" w:rsidRPr="00660BB5">
        <w:t xml:space="preserve"> d.o.o. se redno oddajajo ustreznim zbiralcem </w:t>
      </w:r>
      <w:r w:rsidR="002F5154" w:rsidRPr="00660BB5">
        <w:t>ali</w:t>
      </w:r>
      <w:r w:rsidR="002B37CD" w:rsidRPr="00660BB5">
        <w:t xml:space="preserve"> izvajalcem obdelave posameznih vrst odpadkov in izvajalcu gospodarske javne službe ravnanja s komunalnimi odpadki. </w:t>
      </w:r>
      <w:r w:rsidRPr="00660BB5">
        <w:t>Obstoječe vrste odpadkov obsegajo okrog</w:t>
      </w:r>
      <w:r w:rsidR="002B37CD" w:rsidRPr="00660BB5">
        <w:t xml:space="preserve"> 53</w:t>
      </w:r>
      <w:r w:rsidRPr="00660BB5">
        <w:t xml:space="preserve"> vrst odpadkov, ki nastajajo v vseh proizvodnih procesih, od tega je 1</w:t>
      </w:r>
      <w:r w:rsidR="002B37CD" w:rsidRPr="00660BB5">
        <w:t xml:space="preserve">1 </w:t>
      </w:r>
      <w:r w:rsidRPr="00660BB5">
        <w:t>vrst nevarnih.</w:t>
      </w:r>
    </w:p>
    <w:p w14:paraId="162B4D11" w14:textId="096636FD" w:rsidR="00A43426" w:rsidRPr="00660BB5" w:rsidRDefault="00A43426" w:rsidP="008049D6">
      <w:pPr>
        <w:spacing w:line="260" w:lineRule="exact"/>
        <w:ind w:right="-7"/>
      </w:pPr>
    </w:p>
    <w:p w14:paraId="163837FB" w14:textId="66E571A5" w:rsidR="00080D8B" w:rsidRPr="00660BB5" w:rsidRDefault="009239AA" w:rsidP="008049D6">
      <w:pPr>
        <w:spacing w:line="260" w:lineRule="exact"/>
        <w:ind w:right="-7"/>
      </w:pPr>
      <w:r w:rsidRPr="00660BB5">
        <w:t>8</w:t>
      </w:r>
      <w:r w:rsidR="00143B45" w:rsidRPr="00660BB5">
        <w:t>.</w:t>
      </w:r>
      <w:r w:rsidR="00A25362" w:rsidRPr="00660BB5">
        <w:t>4</w:t>
      </w:r>
      <w:r w:rsidR="00080D8B" w:rsidRPr="00660BB5">
        <w:t>.a</w:t>
      </w:r>
      <w:r w:rsidR="00080D8B" w:rsidRPr="00660BB5">
        <w:tab/>
        <w:t>Pričakovani vplivi v času gradnje in pogoji</w:t>
      </w:r>
    </w:p>
    <w:p w14:paraId="04C5CF0C" w14:textId="77777777" w:rsidR="00CC5D2C" w:rsidRPr="00660BB5" w:rsidRDefault="00CC5D2C" w:rsidP="008049D6">
      <w:pPr>
        <w:autoSpaceDE w:val="0"/>
        <w:autoSpaceDN w:val="0"/>
        <w:adjustRightInd w:val="0"/>
        <w:spacing w:line="260" w:lineRule="exact"/>
        <w:ind w:right="-7"/>
      </w:pPr>
    </w:p>
    <w:p w14:paraId="3C3A289D" w14:textId="77777777" w:rsidR="00133AAA" w:rsidRPr="00660BB5" w:rsidRDefault="002B37CD" w:rsidP="008049D6">
      <w:pPr>
        <w:autoSpaceDE w:val="0"/>
        <w:autoSpaceDN w:val="0"/>
        <w:adjustRightInd w:val="0"/>
        <w:spacing w:line="260" w:lineRule="exact"/>
        <w:ind w:right="-7"/>
      </w:pPr>
      <w:r w:rsidRPr="00660BB5">
        <w:t xml:space="preserve">V času gradnje bodo nastali gradbeni odpadki kot posledica rušitev, izkopov za temelje ter gradbenih </w:t>
      </w:r>
      <w:r w:rsidR="00170A98" w:rsidRPr="00660BB5">
        <w:t>del.</w:t>
      </w:r>
      <w:r w:rsidR="00133AAA" w:rsidRPr="00660BB5">
        <w:t xml:space="preserve"> </w:t>
      </w:r>
      <w:r w:rsidRPr="00660BB5">
        <w:t>Nastala bo večja količina zemeljskega izkopa</w:t>
      </w:r>
      <w:r w:rsidR="007F27A7" w:rsidRPr="00660BB5">
        <w:t xml:space="preserve"> s številko 17 05 04</w:t>
      </w:r>
      <w:r w:rsidRPr="00660BB5">
        <w:t xml:space="preserve"> (ca. 10.000 m</w:t>
      </w:r>
      <w:r w:rsidRPr="00660BB5">
        <w:rPr>
          <w:vertAlign w:val="superscript"/>
        </w:rPr>
        <w:t>3</w:t>
      </w:r>
      <w:r w:rsidRPr="00660BB5">
        <w:t>)</w:t>
      </w:r>
      <w:r w:rsidR="00C4041F" w:rsidRPr="00660BB5">
        <w:t xml:space="preserve">. </w:t>
      </w:r>
      <w:r w:rsidR="00CC5D2C" w:rsidRPr="00660BB5">
        <w:t xml:space="preserve">Iz preliminarne ocene izhaja, da vzorci zemeljskega izkopa izkazujejo lastnosti nenevarnega odpadka. </w:t>
      </w:r>
      <w:r w:rsidR="002F5154" w:rsidRPr="00660BB5">
        <w:t xml:space="preserve">Tretjino zemeljskega izkopa </w:t>
      </w:r>
      <w:r w:rsidR="00C4041F" w:rsidRPr="00660BB5">
        <w:t>se bo uporabil</w:t>
      </w:r>
      <w:r w:rsidR="002F5154" w:rsidRPr="00660BB5">
        <w:t>o</w:t>
      </w:r>
      <w:r w:rsidR="00C4041F" w:rsidRPr="00660BB5">
        <w:t xml:space="preserve"> na gradbišču za zasipanje. Vsi gradbeni odpadki, vključno z viški zemeljskega izkopa</w:t>
      </w:r>
      <w:r w:rsidR="002F5154" w:rsidRPr="00660BB5">
        <w:t xml:space="preserve"> (2/3)</w:t>
      </w:r>
      <w:r w:rsidR="00C4041F" w:rsidRPr="00660BB5">
        <w:t xml:space="preserve">, se bodo oddali pooblaščenim zbiralcem ali izvajalcem obdelave odpadkov, </w:t>
      </w:r>
      <w:r w:rsidR="00B5613F" w:rsidRPr="00660BB5">
        <w:t xml:space="preserve">ki morajo z odpadki ravnati skladno z vsemi predpisi, ki se nanašajo na ravnanje z odpadki. Na gradbišču se predelava odpadkov ne bo </w:t>
      </w:r>
      <w:r w:rsidR="007F27A7" w:rsidRPr="00660BB5">
        <w:t>izvajala</w:t>
      </w:r>
      <w:r w:rsidR="00B5613F" w:rsidRPr="00660BB5">
        <w:t>.</w:t>
      </w:r>
    </w:p>
    <w:p w14:paraId="0EECFF96" w14:textId="23CAF588" w:rsidR="0033698D" w:rsidRPr="00660BB5" w:rsidRDefault="0033698D" w:rsidP="008049D6">
      <w:pPr>
        <w:autoSpaceDE w:val="0"/>
        <w:autoSpaceDN w:val="0"/>
        <w:adjustRightInd w:val="0"/>
        <w:spacing w:line="260" w:lineRule="exact"/>
        <w:ind w:right="-7"/>
      </w:pPr>
    </w:p>
    <w:p w14:paraId="21D06254" w14:textId="0879BDC4" w:rsidR="0033698D" w:rsidRPr="00660BB5" w:rsidRDefault="0033698D" w:rsidP="008049D6">
      <w:pPr>
        <w:autoSpaceDE w:val="0"/>
        <w:autoSpaceDN w:val="0"/>
        <w:adjustRightInd w:val="0"/>
        <w:spacing w:line="260" w:lineRule="exact"/>
        <w:ind w:right="-7"/>
      </w:pPr>
      <w:r w:rsidRPr="00660BB5">
        <w:t>Investitor mora pri gradnji upoštevati določila 4. člena Uredbe o ravnanju z odpadki, ki nastanejo pri gradbenih delih (Uradni list RS, št. 34/08 in 44/22 – ZVO-2), ki določa, da mora investitor zagotoviti izdelavo dokumentacije s podatki o prostornini zemeljskega izkopa, ki je nastal med gradbenimi deli na gradbišču, vključno s podatki o njegovi sestavi ali s podatki analiz zemeljskega izkopa s preskusnimi metodami v skladu s predpisom, ki ureja ravnanje z odpadki.</w:t>
      </w:r>
    </w:p>
    <w:p w14:paraId="5D4D1622" w14:textId="77777777" w:rsidR="002F28F0" w:rsidRPr="00660BB5" w:rsidRDefault="002F28F0" w:rsidP="008049D6">
      <w:pPr>
        <w:autoSpaceDE w:val="0"/>
        <w:autoSpaceDN w:val="0"/>
        <w:adjustRightInd w:val="0"/>
        <w:spacing w:line="260" w:lineRule="exact"/>
        <w:ind w:right="-7"/>
      </w:pPr>
    </w:p>
    <w:p w14:paraId="6FF8FDFB" w14:textId="77777777" w:rsidR="00133AAA" w:rsidRPr="00660BB5" w:rsidRDefault="00170A98" w:rsidP="008049D6">
      <w:pPr>
        <w:autoSpaceDE w:val="0"/>
        <w:autoSpaceDN w:val="0"/>
        <w:adjustRightInd w:val="0"/>
        <w:spacing w:line="260" w:lineRule="exact"/>
        <w:ind w:right="-7"/>
      </w:pPr>
      <w:r w:rsidRPr="00660BB5">
        <w:t>V času gradnje bo</w:t>
      </w:r>
      <w:r w:rsidR="00286A1B" w:rsidRPr="00660BB5">
        <w:t xml:space="preserve"> nastal</w:t>
      </w:r>
      <w:r w:rsidRPr="00660BB5">
        <w:t>o</w:t>
      </w:r>
      <w:r w:rsidR="00286A1B" w:rsidRPr="00660BB5">
        <w:t xml:space="preserve"> tudi</w:t>
      </w:r>
      <w:r w:rsidRPr="00660BB5">
        <w:t xml:space="preserve"> </w:t>
      </w:r>
      <w:r w:rsidR="00E07DC7" w:rsidRPr="00660BB5">
        <w:t xml:space="preserve">ca. </w:t>
      </w:r>
      <w:r w:rsidRPr="00660BB5">
        <w:t>28 t</w:t>
      </w:r>
      <w:r w:rsidR="00B66707" w:rsidRPr="00660BB5">
        <w:t xml:space="preserve"> odpadkov</w:t>
      </w:r>
      <w:r w:rsidR="00286A1B" w:rsidRPr="00660BB5">
        <w:t xml:space="preserve"> s klasifikacijsko št. 17 06 05* Gradbeni materiali, ki vsebujejo azbest, ki jih bo odstranilo in prevzelo podjetje s pooblastilom za ravnanje s tovrstnimi odpadki. </w:t>
      </w:r>
      <w:r w:rsidR="0033698D" w:rsidRPr="00660BB5">
        <w:t>Z</w:t>
      </w:r>
      <w:r w:rsidR="00286A1B" w:rsidRPr="00660BB5">
        <w:t xml:space="preserve"> namenom preprečevanja emisij azbestnih vlaken v okolje</w:t>
      </w:r>
      <w:r w:rsidR="0033698D" w:rsidRPr="00660BB5">
        <w:t xml:space="preserve"> je v času gradnje treba</w:t>
      </w:r>
      <w:r w:rsidR="00286A1B" w:rsidRPr="00660BB5">
        <w:t xml:space="preserve"> </w:t>
      </w:r>
      <w:r w:rsidR="00407F8C" w:rsidRPr="00660BB5">
        <w:t>upoštevati določila Uredbe o ravnanju z odpadki, ki vsebujejo azbest (Uradni list RS, št. 34/08 in 44/22 – ZVO-2).</w:t>
      </w:r>
    </w:p>
    <w:p w14:paraId="185910DB" w14:textId="1E34F072" w:rsidR="0033698D" w:rsidRPr="00660BB5" w:rsidRDefault="0033698D" w:rsidP="008049D6">
      <w:pPr>
        <w:autoSpaceDE w:val="0"/>
        <w:autoSpaceDN w:val="0"/>
        <w:adjustRightInd w:val="0"/>
        <w:spacing w:line="260" w:lineRule="exact"/>
        <w:ind w:right="-7"/>
      </w:pPr>
    </w:p>
    <w:p w14:paraId="2A70B0F2" w14:textId="7E6E0698" w:rsidR="00A9050C" w:rsidRPr="00660BB5" w:rsidRDefault="00B5613F" w:rsidP="008049D6">
      <w:pPr>
        <w:autoSpaceDE w:val="0"/>
        <w:autoSpaceDN w:val="0"/>
        <w:adjustRightInd w:val="0"/>
        <w:spacing w:line="260" w:lineRule="exact"/>
        <w:ind w:right="-7"/>
      </w:pPr>
      <w:r w:rsidRPr="00660BB5">
        <w:t xml:space="preserve">V primeru vetrovnega vremena v času gradnje lahko pride do </w:t>
      </w:r>
      <w:proofErr w:type="spellStart"/>
      <w:r w:rsidRPr="00660BB5">
        <w:t>raznosa</w:t>
      </w:r>
      <w:proofErr w:type="spellEnd"/>
      <w:r w:rsidRPr="00660BB5">
        <w:t xml:space="preserve"> lahkih frakcij odpadkov v okolico. Prav tako lahko pride do onesnaženja okolja pri neustreznem ravnanju z gradbenimi odpadki, ki se skladiščijo na gradbišču. </w:t>
      </w:r>
      <w:r w:rsidR="00407F8C" w:rsidRPr="00660BB5">
        <w:t>Upravni organ je z namenom ustreznega ravnaje z odpadki</w:t>
      </w:r>
      <w:r w:rsidRPr="00660BB5">
        <w:t xml:space="preserve"> v času gradnje</w:t>
      </w:r>
      <w:r w:rsidR="00407F8C" w:rsidRPr="00660BB5">
        <w:t xml:space="preserve"> </w:t>
      </w:r>
      <w:r w:rsidR="00A9050C" w:rsidRPr="00660BB5">
        <w:t xml:space="preserve">v točki VI./4 izreka tega dovoljenja določil dodatna ukrepa glede preprečevanja </w:t>
      </w:r>
      <w:proofErr w:type="spellStart"/>
      <w:r w:rsidR="00A9050C" w:rsidRPr="00660BB5">
        <w:t>raznosa</w:t>
      </w:r>
      <w:proofErr w:type="spellEnd"/>
      <w:r w:rsidR="00A9050C" w:rsidRPr="00660BB5">
        <w:t xml:space="preserve"> lahkih frakcij v primeru vetrovnega vremena in načina skladiščenja gradbenih odpadkov.</w:t>
      </w:r>
    </w:p>
    <w:p w14:paraId="41F1D351" w14:textId="77777777" w:rsidR="00F84076" w:rsidRPr="00660BB5" w:rsidRDefault="00F84076" w:rsidP="008049D6">
      <w:pPr>
        <w:tabs>
          <w:tab w:val="left" w:pos="567"/>
        </w:tabs>
        <w:spacing w:line="260" w:lineRule="exact"/>
        <w:ind w:right="-7"/>
        <w:contextualSpacing/>
      </w:pPr>
    </w:p>
    <w:p w14:paraId="63729F55" w14:textId="50B06B8F" w:rsidR="008C083B" w:rsidRPr="00660BB5" w:rsidRDefault="00F84076" w:rsidP="008049D6">
      <w:pPr>
        <w:numPr>
          <w:ilvl w:val="1"/>
          <w:numId w:val="12"/>
        </w:numPr>
        <w:tabs>
          <w:tab w:val="left" w:pos="567"/>
        </w:tabs>
        <w:spacing w:line="260" w:lineRule="exact"/>
        <w:ind w:left="0" w:right="-6" w:firstLine="0"/>
        <w:contextualSpacing/>
      </w:pPr>
      <w:r w:rsidRPr="00660BB5">
        <w:t>Upravni organ ugotavlja, da je treba za obratovanje gradbišča,</w:t>
      </w:r>
      <w:r w:rsidR="00751370" w:rsidRPr="00660BB5">
        <w:t xml:space="preserve"> ki je vir hrupa, v skladu s 6. </w:t>
      </w:r>
      <w:r w:rsidRPr="00660BB5">
        <w:t>t</w:t>
      </w:r>
      <w:r w:rsidR="00751370" w:rsidRPr="00660BB5">
        <w:t xml:space="preserve">očko prvega odstavka 11. člena </w:t>
      </w:r>
      <w:r w:rsidRPr="00660BB5">
        <w:t>Uredbe o mejnih vrednostih kazalcev hrupa v okolju (Uradni list RS, št. </w:t>
      </w:r>
      <w:hyperlink r:id="rId17" w:tgtFrame="_blank" w:tooltip="Uredba o mejnih vrednostih kazalcev hrupa v okolju" w:history="1">
        <w:r w:rsidRPr="00660BB5">
          <w:t>43/18</w:t>
        </w:r>
      </w:hyperlink>
      <w:r w:rsidRPr="00660BB5">
        <w:t>, </w:t>
      </w:r>
      <w:hyperlink r:id="rId18" w:tgtFrame="_blank" w:tooltip="Uredba o spremembah Uredbe o mejnih vrednostih kazalcev hrupa v okolju" w:history="1">
        <w:r w:rsidRPr="00660BB5">
          <w:t>59/19</w:t>
        </w:r>
      </w:hyperlink>
      <w:r w:rsidRPr="00660BB5">
        <w:t> in </w:t>
      </w:r>
      <w:hyperlink r:id="rId19" w:tgtFrame="_blank" w:tooltip="Zakon o varstvu okolja" w:history="1">
        <w:r w:rsidRPr="00660BB5">
          <w:t>44/22</w:t>
        </w:r>
      </w:hyperlink>
      <w:r w:rsidRPr="00660BB5">
        <w:t xml:space="preserve"> – ZVO-2; v nadaljevanju Uredba o hrupu) zagotoviti izvajanje lastnega ocenjevanja hrupa v skladu s predpisom, ki ureja prvo ocenjevanje in obratovalni </w:t>
      </w:r>
      <w:r w:rsidRPr="00660BB5">
        <w:lastRenderedPageBreak/>
        <w:t>monitoring za vire hrupa ter o pogojih za njegovo izvajanje z ocenjevanjem kazalcev hrupa L(dan), L(večer), L(noč), L(</w:t>
      </w:r>
      <w:proofErr w:type="spellStart"/>
      <w:r w:rsidRPr="00660BB5">
        <w:t>dvn</w:t>
      </w:r>
      <w:proofErr w:type="spellEnd"/>
      <w:r w:rsidRPr="00660BB5">
        <w:t>) in oceno kazalcev hrupa L(</w:t>
      </w:r>
      <w:proofErr w:type="spellStart"/>
      <w:r w:rsidRPr="00660BB5">
        <w:t>eq</w:t>
      </w:r>
      <w:proofErr w:type="spellEnd"/>
      <w:r w:rsidRPr="00660BB5">
        <w:t>), L(1) in L(</w:t>
      </w:r>
      <w:r w:rsidR="00EA4F9B" w:rsidRPr="00660BB5">
        <w:t xml:space="preserve">99). </w:t>
      </w:r>
      <w:r w:rsidR="008C083B" w:rsidRPr="00660BB5">
        <w:t>Natančneje ocenjevanja hrupa določa Pravilnik o prvem ocenjevanju in obratovalnem monitoringu za vire hrupa ter o pogojih za njegovo izvajanje (Uradni list RS, št. 105/08 in 44/22 – ZV</w:t>
      </w:r>
      <w:r w:rsidR="0078103A" w:rsidRPr="00660BB5">
        <w:t>O</w:t>
      </w:r>
      <w:r w:rsidR="008C083B" w:rsidRPr="00660BB5">
        <w:t>-2</w:t>
      </w:r>
      <w:r w:rsidR="0078103A" w:rsidRPr="00660BB5">
        <w:t>; v nadaljevanju Pravilnik o prvem ocenjevanju in obratovalnem monitoringu</w:t>
      </w:r>
      <w:r w:rsidR="008C083B" w:rsidRPr="00660BB5">
        <w:t>).</w:t>
      </w:r>
    </w:p>
    <w:p w14:paraId="656A15DB" w14:textId="77777777" w:rsidR="00F84076" w:rsidRPr="00660BB5" w:rsidRDefault="00F84076" w:rsidP="008049D6">
      <w:pPr>
        <w:spacing w:line="260" w:lineRule="exact"/>
        <w:ind w:right="-7"/>
        <w:contextualSpacing/>
      </w:pPr>
    </w:p>
    <w:p w14:paraId="38D55AD3" w14:textId="2A887467" w:rsidR="0078103A" w:rsidRPr="00660BB5" w:rsidRDefault="0078103A" w:rsidP="008049D6">
      <w:pPr>
        <w:spacing w:line="260" w:lineRule="exact"/>
        <w:ind w:right="-7"/>
        <w:contextualSpacing/>
      </w:pPr>
      <w:r w:rsidRPr="00660BB5">
        <w:t>Za načrtovani objekt se mora zagotoviti prvo ocenjevanje hrupa v okolju v skladu s 7. členom Pravilnika o prvem ocenjevanju in obratovalnem monitoringu v času poskusnega obratovanja, če pa to v postopku izdaje uporabnega dovoljenja ni določeno, pa po vzpostavitvi stabilnih obratovalnih razmer pod dejanskimi obratovalnimi pogoji, vendar ne pozneje kot 15 mesecev po zagonu. Prvo ocenjevanje hrupa lahko izvede le pooblaščeni izvajalec.</w:t>
      </w:r>
    </w:p>
    <w:p w14:paraId="028E04EF" w14:textId="77777777" w:rsidR="00DF705D" w:rsidRPr="00660BB5" w:rsidRDefault="00DF705D" w:rsidP="008049D6">
      <w:pPr>
        <w:spacing w:line="260" w:lineRule="exact"/>
        <w:ind w:right="-7"/>
        <w:contextualSpacing/>
      </w:pPr>
    </w:p>
    <w:p w14:paraId="3565C649" w14:textId="77777777" w:rsidR="008049D6" w:rsidRPr="00660BB5" w:rsidRDefault="00DF705D" w:rsidP="008049D6">
      <w:pPr>
        <w:spacing w:line="260" w:lineRule="exact"/>
        <w:ind w:right="-7"/>
        <w:contextualSpacing/>
      </w:pPr>
      <w:r w:rsidRPr="00660BB5">
        <w:t>Prav tako je treba v skladu s 17. členom Uredbe o elektromagnetnem sevanju v naravnem in življenjskem okolju (Uradni list RS, št. 70/96, 41/04 – ZVO-1 in 44/22 – ZVO-2) pri novem ali rekonstruiranem objektu ali napravi, ki je vir sevanja, zagotoviti prve meritve tistih veličin elektromagnetnega polja kot posledice obremenitve območja zaradi sevanja iz vira, za katere so z navedeno uredbo določene mejne vrednosti. Te se izvedejo v skladu s Pravilnikom o prvih meritvah in obratovalnem monitoringu za vire elektromagnetnega sevanja ter o pogojih za njegovo izvajanje (Uradni list RS, št. 70/96, 41/04 – ZVO-1, 17/11 – ZTZPUS-1 in 44/22 – ZVO2).</w:t>
      </w:r>
    </w:p>
    <w:p w14:paraId="48775FFC" w14:textId="1D1478AA" w:rsidR="008C083B" w:rsidRPr="00660BB5" w:rsidRDefault="008C083B" w:rsidP="008049D6">
      <w:pPr>
        <w:spacing w:line="260" w:lineRule="exact"/>
        <w:ind w:right="-7"/>
        <w:contextualSpacing/>
      </w:pPr>
    </w:p>
    <w:p w14:paraId="26AA1899" w14:textId="651EB759" w:rsidR="008C083B" w:rsidRPr="00660BB5" w:rsidRDefault="008C083B" w:rsidP="008049D6">
      <w:pPr>
        <w:spacing w:line="260" w:lineRule="exact"/>
        <w:ind w:right="-7"/>
        <w:contextualSpacing/>
      </w:pPr>
      <w:r w:rsidRPr="00660BB5">
        <w:t>Upravni organ je v točki VII. izreka tega dovoljenja tako določil izvajanje lastnega ocenjevanja hrupa za gradbišče, ki je vir hrupa</w:t>
      </w:r>
      <w:r w:rsidR="00DF705D" w:rsidRPr="00660BB5">
        <w:t>, izvedbo prvega ocenjevanja hrupa v okolju za načrtovani objekt</w:t>
      </w:r>
      <w:r w:rsidRPr="00660BB5">
        <w:t xml:space="preserve"> in prve meritve </w:t>
      </w:r>
      <w:r w:rsidR="00A25362" w:rsidRPr="00660BB5">
        <w:t xml:space="preserve">elektromagnetnega sevanja </w:t>
      </w:r>
      <w:r w:rsidRPr="00660BB5">
        <w:t>za novo predvideno transformatorsko postajo.</w:t>
      </w:r>
    </w:p>
    <w:p w14:paraId="621C917B" w14:textId="77777777" w:rsidR="00080D8B" w:rsidRPr="00660BB5" w:rsidRDefault="00080D8B" w:rsidP="008049D6">
      <w:pPr>
        <w:spacing w:line="260" w:lineRule="exact"/>
        <w:ind w:right="-7"/>
        <w:rPr>
          <w:highlight w:val="yellow"/>
        </w:rPr>
      </w:pPr>
    </w:p>
    <w:p w14:paraId="7D05F778" w14:textId="0283DDA1" w:rsidR="00080D8B" w:rsidRPr="00660BB5" w:rsidRDefault="00822815" w:rsidP="00660BB5">
      <w:pPr>
        <w:pStyle w:val="Obrazloitev1"/>
      </w:pPr>
      <w:r w:rsidRPr="00660BB5">
        <w:t xml:space="preserve">Upravni organ je v skladu z določbami 68. člena GZ-1 obvestil javnost o začetem postopku izdaje integralnega gradbenega dovoljenja in javnosti </w:t>
      </w:r>
      <w:r w:rsidR="0042287E" w:rsidRPr="00660BB5">
        <w:t xml:space="preserve">zagotovil </w:t>
      </w:r>
      <w:r w:rsidRPr="00660BB5">
        <w:t>vpogled v zahtevo za izdajo integralnega gradbenega dovoljenja in dokumentacijo, ki se nanaša na predmet izdaje integralnega dovoljenja</w:t>
      </w:r>
      <w:r w:rsidR="0042287E" w:rsidRPr="00660BB5">
        <w:t xml:space="preserve">. Javnosti je </w:t>
      </w:r>
      <w:r w:rsidRPr="00660BB5">
        <w:t>omogoči</w:t>
      </w:r>
      <w:r w:rsidR="0042287E" w:rsidRPr="00660BB5">
        <w:t>l</w:t>
      </w:r>
      <w:r w:rsidRPr="00660BB5">
        <w:t xml:space="preserve"> dajanje pripomb v času javne razgrnitve, ki je trajala 30 dni od dneva javne objave</w:t>
      </w:r>
      <w:r w:rsidR="00E10325" w:rsidRPr="00660BB5">
        <w:rPr>
          <w:bCs/>
        </w:rPr>
        <w:t xml:space="preserve"> 6.</w:t>
      </w:r>
      <w:r w:rsidR="00660BB5" w:rsidRPr="00660BB5">
        <w:rPr>
          <w:bCs/>
        </w:rPr>
        <w:t> </w:t>
      </w:r>
      <w:r w:rsidR="00E10325" w:rsidRPr="00660BB5">
        <w:rPr>
          <w:bCs/>
        </w:rPr>
        <w:t>10.</w:t>
      </w:r>
      <w:r w:rsidR="00660BB5" w:rsidRPr="00660BB5">
        <w:rPr>
          <w:bCs/>
        </w:rPr>
        <w:t> </w:t>
      </w:r>
      <w:r w:rsidR="00E10325" w:rsidRPr="00660BB5">
        <w:rPr>
          <w:bCs/>
        </w:rPr>
        <w:t xml:space="preserve">2023 </w:t>
      </w:r>
      <w:r w:rsidRPr="00660BB5">
        <w:t xml:space="preserve">na državnem portalu </w:t>
      </w:r>
      <w:proofErr w:type="spellStart"/>
      <w:r w:rsidRPr="00660BB5">
        <w:t>eUprava</w:t>
      </w:r>
      <w:proofErr w:type="spellEnd"/>
      <w:r w:rsidRPr="00660BB5">
        <w:t xml:space="preserve">. Javno naznanilo št. </w:t>
      </w:r>
      <w:r w:rsidR="00E10325" w:rsidRPr="00660BB5">
        <w:t>35105-1/2023-2550-28</w:t>
      </w:r>
      <w:r w:rsidRPr="00660BB5">
        <w:t xml:space="preserve"> z dne </w:t>
      </w:r>
      <w:r w:rsidR="00E10325" w:rsidRPr="00660BB5">
        <w:t>5.</w:t>
      </w:r>
      <w:r w:rsidR="00660BB5" w:rsidRPr="00660BB5">
        <w:t> </w:t>
      </w:r>
      <w:r w:rsidR="00E10325" w:rsidRPr="00660BB5">
        <w:t>10.</w:t>
      </w:r>
      <w:r w:rsidR="00660BB5" w:rsidRPr="00660BB5">
        <w:t> </w:t>
      </w:r>
      <w:r w:rsidR="00E10325" w:rsidRPr="00660BB5">
        <w:t xml:space="preserve">2023 </w:t>
      </w:r>
      <w:r w:rsidRPr="00660BB5">
        <w:t>je bilo objavljeno na spletnih straneh e-uprave od 28.</w:t>
      </w:r>
      <w:r w:rsidR="00660BB5" w:rsidRPr="00660BB5">
        <w:t> </w:t>
      </w:r>
      <w:r w:rsidRPr="00660BB5">
        <w:t>9.</w:t>
      </w:r>
      <w:r w:rsidR="00660BB5" w:rsidRPr="00660BB5">
        <w:t> </w:t>
      </w:r>
      <w:r w:rsidRPr="00660BB5">
        <w:t>2023 do 28.</w:t>
      </w:r>
      <w:r w:rsidR="00660BB5" w:rsidRPr="00660BB5">
        <w:t> </w:t>
      </w:r>
      <w:r w:rsidRPr="00660BB5">
        <w:t>10.</w:t>
      </w:r>
      <w:r w:rsidR="00660BB5" w:rsidRPr="00660BB5">
        <w:t> </w:t>
      </w:r>
      <w:r w:rsidRPr="00660BB5">
        <w:t xml:space="preserve">2023, celotna dokumentacija (javno naznanilo št. 35105-2/2023-2550-56 z dne </w:t>
      </w:r>
      <w:r w:rsidR="00E10325" w:rsidRPr="00660BB5">
        <w:t>5.</w:t>
      </w:r>
      <w:r w:rsidR="00660BB5" w:rsidRPr="00660BB5">
        <w:t> </w:t>
      </w:r>
      <w:r w:rsidR="00E10325" w:rsidRPr="00660BB5">
        <w:t>10.</w:t>
      </w:r>
      <w:r w:rsidR="00660BB5" w:rsidRPr="00660BB5">
        <w:t> </w:t>
      </w:r>
      <w:r w:rsidR="00E10325" w:rsidRPr="00660BB5">
        <w:t>2023</w:t>
      </w:r>
      <w:r w:rsidRPr="00660BB5">
        <w:t xml:space="preserve">, zahteva za izdajo gradbenega dovoljenja, </w:t>
      </w:r>
      <w:r w:rsidR="004A51B1" w:rsidRPr="00660BB5">
        <w:t>DGD</w:t>
      </w:r>
      <w:r w:rsidRPr="00660BB5">
        <w:t xml:space="preserve">, poročilo o vplivih na okolje in mnenja pristojnih mnenjedajalcev), pa na spletnih straneh Ministrstva za naravne vire in prostor od </w:t>
      </w:r>
      <w:r w:rsidR="00E10325" w:rsidRPr="00660BB5">
        <w:t>5. 10. 2023</w:t>
      </w:r>
      <w:r w:rsidRPr="00660BB5">
        <w:t xml:space="preserve"> dalje.</w:t>
      </w:r>
      <w:r w:rsidR="00E10325" w:rsidRPr="00660BB5">
        <w:t xml:space="preserve"> </w:t>
      </w:r>
      <w:r w:rsidR="00080D8B" w:rsidRPr="00660BB5">
        <w:t>Iz spisne dokumentacije izhaja, da v določenem roku ni bilo podanih nobenih mnenj ali pripomb v zvezi z obravnavano gradnjo.</w:t>
      </w:r>
    </w:p>
    <w:p w14:paraId="68F3A3FD" w14:textId="77777777" w:rsidR="00080D8B" w:rsidRPr="00660BB5" w:rsidRDefault="00080D8B" w:rsidP="008049D6">
      <w:pPr>
        <w:spacing w:line="260" w:lineRule="exact"/>
        <w:ind w:right="-7"/>
        <w:rPr>
          <w:highlight w:val="yellow"/>
        </w:rPr>
      </w:pPr>
    </w:p>
    <w:p w14:paraId="65E7023D" w14:textId="7AC59497" w:rsidR="00E7260D" w:rsidRPr="00660BB5" w:rsidRDefault="00E7260D" w:rsidP="008049D6">
      <w:pPr>
        <w:spacing w:line="260" w:lineRule="exact"/>
        <w:ind w:right="-8"/>
      </w:pPr>
      <w:r w:rsidRPr="00660BB5">
        <w:t xml:space="preserve">Upravni organ je z javnim naznanilom tudi pozval stranske udeležence k priglasitvi udeležbe v postopek. Javno naznanilo, ki vsebuje vabilo k priglasitvi udeležbe v postopek, je investitor v skladu </w:t>
      </w:r>
      <w:r w:rsidR="00E10325" w:rsidRPr="00660BB5">
        <w:t>z drugim</w:t>
      </w:r>
      <w:r w:rsidRPr="00660BB5">
        <w:t xml:space="preserve"> odstavkom </w:t>
      </w:r>
      <w:r w:rsidR="00E10325" w:rsidRPr="00660BB5">
        <w:t>68</w:t>
      </w:r>
      <w:r w:rsidRPr="00660BB5">
        <w:t>. člena GZ</w:t>
      </w:r>
      <w:r w:rsidR="00E10325" w:rsidRPr="00660BB5">
        <w:t>-1</w:t>
      </w:r>
      <w:r w:rsidRPr="00660BB5">
        <w:t xml:space="preserve"> objavi</w:t>
      </w:r>
      <w:r w:rsidR="0042287E" w:rsidRPr="00660BB5">
        <w:t>l</w:t>
      </w:r>
      <w:r w:rsidRPr="00660BB5">
        <w:t xml:space="preserve"> na zemljišču</w:t>
      </w:r>
      <w:r w:rsidR="0042287E" w:rsidRPr="00660BB5">
        <w:t>,</w:t>
      </w:r>
      <w:r w:rsidRPr="00660BB5">
        <w:t xml:space="preserve"> na katerem je predvidena obravnavana gradnja. Upravni organ ugotavlja, da v času razgrnitve ni prejel nobene priglasitve udeležbe v postopek.</w:t>
      </w:r>
    </w:p>
    <w:p w14:paraId="18D1D950" w14:textId="394BBD0F" w:rsidR="005D22E5" w:rsidRPr="00660BB5" w:rsidRDefault="005D22E5" w:rsidP="008049D6">
      <w:pPr>
        <w:spacing w:line="260" w:lineRule="exact"/>
        <w:ind w:right="-8"/>
      </w:pPr>
    </w:p>
    <w:p w14:paraId="29A0B447" w14:textId="1A9AABB6" w:rsidR="005D22E5" w:rsidRPr="00660BB5" w:rsidRDefault="005D22E5" w:rsidP="008049D6">
      <w:pPr>
        <w:spacing w:line="260" w:lineRule="exact"/>
        <w:ind w:right="-8"/>
      </w:pPr>
      <w:r w:rsidRPr="00660BB5">
        <w:t>Upravni organ je po vpogledu v dokumentacijo v zadevi in na podlagi 48. člena GZ-1 ugotovil, da ima nameravana gradnja lahko vpliv na pravice oseb, ki imajo na zemljiščih nameravane gradnje v zemljiški knjigi vpisane služnostne pravice, zato jih je z vabilom št. 35105-1/2023-2560-29 dne 9.</w:t>
      </w:r>
      <w:r w:rsidR="00660BB5" w:rsidRPr="00660BB5">
        <w:t> </w:t>
      </w:r>
      <w:r w:rsidRPr="00660BB5">
        <w:t>10.</w:t>
      </w:r>
      <w:r w:rsidR="00660BB5" w:rsidRPr="00660BB5">
        <w:t> </w:t>
      </w:r>
      <w:r w:rsidRPr="00660BB5">
        <w:t xml:space="preserve">2023 na podlagi določb 49. in 50. člena GZ-1 seznanil z začetkom postopka v zadevi in jih </w:t>
      </w:r>
      <w:r w:rsidR="00ED6016" w:rsidRPr="00660BB5">
        <w:t xml:space="preserve">povabil na priglasitev udeležbe </w:t>
      </w:r>
      <w:r w:rsidR="00ED6016" w:rsidRPr="00660BB5">
        <w:rPr>
          <w:bCs/>
        </w:rPr>
        <w:t>v roku 8 dni</w:t>
      </w:r>
      <w:r w:rsidR="00ED6016" w:rsidRPr="00660BB5">
        <w:t xml:space="preserve"> od prejema tega dopisa. Iz dokazil o vročitvi vabila stranskim udeležencem, ki so del listin zadeve, izhaja, da je bilo vabilo vabljenim pravilno vročeno, v določenem roku pa je udeležbo </w:t>
      </w:r>
      <w:r w:rsidR="0042287E" w:rsidRPr="00660BB5">
        <w:t xml:space="preserve">priglasil </w:t>
      </w:r>
      <w:r w:rsidR="00ED6016" w:rsidRPr="00660BB5">
        <w:t>en stranski udeleženec.</w:t>
      </w:r>
      <w:r w:rsidR="00133AAA" w:rsidRPr="00660BB5">
        <w:t xml:space="preserve"> </w:t>
      </w:r>
      <w:r w:rsidR="0042287E" w:rsidRPr="00660BB5">
        <w:t xml:space="preserve">Investitor je v nadaljevanju postopka upravnemu organu predložil dve izjavi pozvanih oseb, od katerih je ena tudi </w:t>
      </w:r>
      <w:r w:rsidR="00552F77" w:rsidRPr="00660BB5">
        <w:t xml:space="preserve">že </w:t>
      </w:r>
      <w:r w:rsidR="0042287E" w:rsidRPr="00660BB5">
        <w:t xml:space="preserve">priglasila udeležbo. Upravni organ glede na navedeno ter upoštevajoč določbo četrtega odstavka 51. člena </w:t>
      </w:r>
      <w:r w:rsidR="00552F77" w:rsidRPr="00660BB5">
        <w:t>GZ-1 v zadevi ni opravil ustne obravnave, pač pa bo izdano gradbeno dovoljenje osebam, ki sta se z nameravano gradnjo v predloženih izjavah strinjali, samo vročeno.</w:t>
      </w:r>
    </w:p>
    <w:p w14:paraId="6A4DDC7D" w14:textId="77777777" w:rsidR="00080D8B" w:rsidRPr="00660BB5" w:rsidRDefault="00080D8B" w:rsidP="008049D6">
      <w:pPr>
        <w:spacing w:line="260" w:lineRule="exact"/>
        <w:ind w:right="-292"/>
        <w:rPr>
          <w:highlight w:val="yellow"/>
        </w:rPr>
      </w:pPr>
    </w:p>
    <w:p w14:paraId="48108AB1" w14:textId="6182F4AC" w:rsidR="00E7260D" w:rsidRPr="00660BB5" w:rsidRDefault="00E7260D" w:rsidP="00660BB5">
      <w:pPr>
        <w:pStyle w:val="Obrazloitev1"/>
      </w:pPr>
      <w:r w:rsidRPr="00660BB5">
        <w:t>Glede na zgoraj navedeno upravni organ ugotavlja, da</w:t>
      </w:r>
      <w:r w:rsidR="00552F77" w:rsidRPr="00660BB5">
        <w:t xml:space="preserve"> so bili v obravnavanem primeru izpolnjeni pogoji GZ-1 in upoštevana določila Zakona o splošnem upravnem postopku (Uradni list RS, št. 24/06 – uradno prečiščeno besedilo, 105/06 – ZUS-1, 126/07, 65/08, 8/10, 82/13, 175/20 – ZIUOPDVE in 3/22 – </w:t>
      </w:r>
      <w:proofErr w:type="spellStart"/>
      <w:r w:rsidR="00552F77" w:rsidRPr="00660BB5">
        <w:t>ZDeb</w:t>
      </w:r>
      <w:proofErr w:type="spellEnd"/>
      <w:r w:rsidR="00552F77" w:rsidRPr="00660BB5">
        <w:t>; v nadaljevanju ZUP), zato je odločeno, kot je navedeno v izreku tega dovoljenja.</w:t>
      </w:r>
    </w:p>
    <w:p w14:paraId="3DA575A1" w14:textId="77777777" w:rsidR="00080D8B" w:rsidRPr="00660BB5" w:rsidRDefault="00080D8B" w:rsidP="008049D6">
      <w:pPr>
        <w:spacing w:line="260" w:lineRule="exact"/>
        <w:ind w:right="-292"/>
      </w:pPr>
    </w:p>
    <w:p w14:paraId="0F9E665A" w14:textId="70E9E54F" w:rsidR="00591F01" w:rsidRPr="00660BB5" w:rsidRDefault="00591F01" w:rsidP="00660BB5">
      <w:pPr>
        <w:pStyle w:val="Obrazloitev1"/>
      </w:pPr>
      <w:r w:rsidRPr="00660BB5">
        <w:t>V skladu s prvim odstavkom 59. člena GZ-1 to gradbeno dovoljenje preneha veljati, če investitor ne prijavi začetka gradnje in ne začne z gradnjo v petih letih od njegove pravnomočnosti (</w:t>
      </w:r>
      <w:r w:rsidR="00E7260D" w:rsidRPr="00660BB5">
        <w:t>I</w:t>
      </w:r>
      <w:r w:rsidR="00E676E4" w:rsidRPr="00660BB5">
        <w:t>X</w:t>
      </w:r>
      <w:r w:rsidRPr="00660BB5">
        <w:t>. točka izreka tega dovoljenja).</w:t>
      </w:r>
    </w:p>
    <w:p w14:paraId="4AC93B66" w14:textId="77777777" w:rsidR="00591F01" w:rsidRPr="00660BB5" w:rsidRDefault="00591F01" w:rsidP="008049D6">
      <w:pPr>
        <w:tabs>
          <w:tab w:val="left" w:pos="4111"/>
        </w:tabs>
        <w:spacing w:line="260" w:lineRule="exact"/>
        <w:rPr>
          <w:b/>
        </w:rPr>
      </w:pPr>
    </w:p>
    <w:p w14:paraId="24F89471" w14:textId="115B1DD4" w:rsidR="00591F01" w:rsidRPr="00660BB5" w:rsidRDefault="00591F01" w:rsidP="00660BB5">
      <w:pPr>
        <w:pStyle w:val="Obrazloitev1"/>
      </w:pPr>
      <w:r w:rsidRPr="00660BB5">
        <w:t>Posebni stroški v postopku niso nastali in niso bili zaznamovani, zato je upravni organ skladno s petim odstavkom 213. člena ZUP, ki mu nalaga, da v izreku odločbe odloči tudi o tem, ali so nastali stroški postopka, o stroških p</w:t>
      </w:r>
      <w:r w:rsidR="00E7260D" w:rsidRPr="00660BB5">
        <w:t>ostopka odločil, kot izhaja iz X</w:t>
      </w:r>
      <w:r w:rsidR="00E676E4" w:rsidRPr="00660BB5">
        <w:t>I</w:t>
      </w:r>
      <w:r w:rsidRPr="00660BB5">
        <w:t>. točke izreka tega dovoljenja.</w:t>
      </w:r>
    </w:p>
    <w:p w14:paraId="6F638B77" w14:textId="77777777" w:rsidR="00591F01" w:rsidRPr="00660BB5" w:rsidRDefault="00591F01" w:rsidP="008049D6">
      <w:pPr>
        <w:spacing w:line="260" w:lineRule="exact"/>
        <w:ind w:right="-292"/>
        <w:rPr>
          <w:highlight w:val="yellow"/>
        </w:rPr>
      </w:pPr>
    </w:p>
    <w:p w14:paraId="58EA3AF5" w14:textId="77777777" w:rsidR="00591F01" w:rsidRPr="00660BB5" w:rsidRDefault="00591F01" w:rsidP="00660BB5">
      <w:pPr>
        <w:pStyle w:val="Obrazloitev1"/>
      </w:pPr>
      <w:r w:rsidRPr="00660BB5">
        <w:t>V nadaljevanju upravni organ opozarja še na naslednje obveznosti investitorja v zvezi z gradnjo, ki niso predmet tega dovoljenja, so pa predpisane v GZ-1:</w:t>
      </w:r>
    </w:p>
    <w:p w14:paraId="00E06C9C" w14:textId="77777777" w:rsidR="00133AAA" w:rsidRPr="00660BB5" w:rsidRDefault="00591F01" w:rsidP="00EC3834">
      <w:pPr>
        <w:pStyle w:val="Zamik1"/>
      </w:pPr>
      <w:r w:rsidRPr="00660BB5">
        <w:t>V skladu z določbami GZ-1 mora investitor pred izvedbo gradnje imenovati nadzornika (prvi odstavek 74. člena GZ).</w:t>
      </w:r>
    </w:p>
    <w:p w14:paraId="448145B6" w14:textId="77777777" w:rsidR="00133AAA" w:rsidRPr="00660BB5" w:rsidRDefault="00591F01" w:rsidP="00EC3834">
      <w:pPr>
        <w:pStyle w:val="Zamik1"/>
      </w:pPr>
      <w:r w:rsidRPr="00660BB5">
        <w:t>člen GZ-1 investitorju nalaga, da začetek gradnje prijavi in sicer v skladu s 76. členom GZ-1. Prijava se vloži na obrazcu.</w:t>
      </w:r>
    </w:p>
    <w:p w14:paraId="244D1BF8" w14:textId="77777777" w:rsidR="00133AAA" w:rsidRPr="00660BB5" w:rsidRDefault="00591F01" w:rsidP="00EC3834">
      <w:pPr>
        <w:pStyle w:val="Zamik1"/>
      </w:pPr>
      <w:r w:rsidRPr="00660BB5">
        <w:t xml:space="preserve">V skladu z 80. členom GZ-1 mora investitor po dokončanju gradnje pri Ministrstvu za </w:t>
      </w:r>
      <w:r w:rsidR="00F90052" w:rsidRPr="00660BB5">
        <w:t>naravne vire</w:t>
      </w:r>
      <w:r w:rsidRPr="00660BB5">
        <w:t xml:space="preserve"> in prostor vložiti zahtevo za izdajo uporabnega dovoljenja.</w:t>
      </w:r>
    </w:p>
    <w:p w14:paraId="3DFA71D0" w14:textId="2E5C4197" w:rsidR="00080D8B" w:rsidRPr="00660BB5" w:rsidRDefault="00080D8B" w:rsidP="008049D6">
      <w:pPr>
        <w:spacing w:line="260" w:lineRule="exact"/>
        <w:ind w:right="-292"/>
        <w:rPr>
          <w:highlight w:val="yellow"/>
        </w:rPr>
      </w:pPr>
    </w:p>
    <w:p w14:paraId="4BECFFE5" w14:textId="661DCF38" w:rsidR="00080D8B" w:rsidRPr="00660BB5" w:rsidRDefault="00080D8B" w:rsidP="00660BB5">
      <w:pPr>
        <w:pStyle w:val="Obrazloitev1"/>
      </w:pPr>
      <w:r w:rsidRPr="00660BB5">
        <w:t xml:space="preserve">Upravna taksa, odmerjena </w:t>
      </w:r>
      <w:r w:rsidR="00966CAE" w:rsidRPr="00660BB5">
        <w:t>s plačilnim nalogom št. 35105-</w:t>
      </w:r>
      <w:r w:rsidR="004A51B1" w:rsidRPr="00660BB5">
        <w:t>1</w:t>
      </w:r>
      <w:r w:rsidRPr="00660BB5">
        <w:t>/202</w:t>
      </w:r>
      <w:r w:rsidR="004A51B1" w:rsidRPr="00660BB5">
        <w:t>3</w:t>
      </w:r>
      <w:r w:rsidR="00966CAE" w:rsidRPr="00660BB5">
        <w:t>-2550-</w:t>
      </w:r>
      <w:r w:rsidR="004A51B1" w:rsidRPr="00660BB5">
        <w:t>32</w:t>
      </w:r>
      <w:r w:rsidRPr="00660BB5">
        <w:t xml:space="preserve"> z dne </w:t>
      </w:r>
      <w:r w:rsidR="004A51B1" w:rsidRPr="00660BB5">
        <w:t>10</w:t>
      </w:r>
      <w:r w:rsidR="00966CAE" w:rsidRPr="00660BB5">
        <w:t>. </w:t>
      </w:r>
      <w:r w:rsidR="004A51B1" w:rsidRPr="00660BB5">
        <w:t>1</w:t>
      </w:r>
      <w:r w:rsidR="00966CAE" w:rsidRPr="00660BB5">
        <w:t>1. 202</w:t>
      </w:r>
      <w:r w:rsidR="004A51B1" w:rsidRPr="00660BB5">
        <w:t>3</w:t>
      </w:r>
      <w:r w:rsidRPr="00660BB5">
        <w:t xml:space="preserve"> je plačana.</w:t>
      </w:r>
    </w:p>
    <w:p w14:paraId="65F37400" w14:textId="77777777" w:rsidR="002D7601" w:rsidRPr="00660BB5" w:rsidRDefault="002D7601" w:rsidP="00660BB5">
      <w:pPr>
        <w:pStyle w:val="Obrazloitev1"/>
        <w:numPr>
          <w:ilvl w:val="0"/>
          <w:numId w:val="0"/>
        </w:numPr>
      </w:pPr>
    </w:p>
    <w:p w14:paraId="47E394FC" w14:textId="795FF17B" w:rsidR="002D7601" w:rsidRPr="00660BB5" w:rsidRDefault="002D7601" w:rsidP="00660BB5">
      <w:pPr>
        <w:pStyle w:val="Obrazloitev1"/>
      </w:pPr>
      <w:r w:rsidRPr="00660BB5">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14:paraId="0C71DE3A" w14:textId="77777777" w:rsidR="00660BB5" w:rsidRPr="00660BB5" w:rsidRDefault="00660BB5" w:rsidP="00660BB5">
      <w:pPr>
        <w:pStyle w:val="Obrazloitev1"/>
        <w:numPr>
          <w:ilvl w:val="0"/>
          <w:numId w:val="0"/>
        </w:numPr>
        <w:rPr>
          <w:highlight w:val="yellow"/>
        </w:rPr>
      </w:pPr>
    </w:p>
    <w:p w14:paraId="5872AD87" w14:textId="77777777" w:rsidR="00080D8B" w:rsidRPr="00660BB5" w:rsidRDefault="00080D8B" w:rsidP="008049D6">
      <w:pPr>
        <w:spacing w:line="260" w:lineRule="exact"/>
        <w:rPr>
          <w:b/>
        </w:rPr>
      </w:pPr>
      <w:r w:rsidRPr="00660BB5">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4277F9A5" w14:textId="77777777" w:rsidR="00CF6539" w:rsidRPr="00660BB5" w:rsidRDefault="00CF6539" w:rsidP="008049D6">
      <w:pPr>
        <w:spacing w:line="260" w:lineRule="exact"/>
      </w:pPr>
    </w:p>
    <w:p w14:paraId="0FB11479" w14:textId="3AD94C9B" w:rsidR="000B7593" w:rsidRDefault="000B7593" w:rsidP="008049D6">
      <w:pPr>
        <w:spacing w:line="260" w:lineRule="exact"/>
      </w:pPr>
    </w:p>
    <w:p w14:paraId="3D5CA12A" w14:textId="77777777" w:rsidR="007C5817" w:rsidRPr="00660BB5" w:rsidRDefault="007C5817" w:rsidP="008049D6">
      <w:pPr>
        <w:spacing w:line="260" w:lineRule="exact"/>
      </w:pPr>
    </w:p>
    <w:p w14:paraId="0322D121" w14:textId="69BD7F48" w:rsidR="008049D6" w:rsidRPr="00660BB5" w:rsidRDefault="008049D6" w:rsidP="008049D6">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660BB5" w:rsidRPr="00660BB5" w14:paraId="7333EC6F" w14:textId="77777777" w:rsidTr="00660BB5">
        <w:tc>
          <w:tcPr>
            <w:tcW w:w="5032" w:type="dxa"/>
          </w:tcPr>
          <w:p w14:paraId="4B8F375F" w14:textId="77777777" w:rsidR="008049D6" w:rsidRPr="00660BB5" w:rsidRDefault="008049D6" w:rsidP="00481561"/>
        </w:tc>
        <w:tc>
          <w:tcPr>
            <w:tcW w:w="3473" w:type="dxa"/>
          </w:tcPr>
          <w:p w14:paraId="504C249B" w14:textId="77777777" w:rsidR="008049D6" w:rsidRPr="00660BB5" w:rsidRDefault="008049D6" w:rsidP="00481561">
            <w:r w:rsidRPr="00660BB5">
              <w:t>Sandi Rutar</w:t>
            </w:r>
          </w:p>
          <w:p w14:paraId="14253A22" w14:textId="77777777" w:rsidR="008049D6" w:rsidRPr="00660BB5" w:rsidRDefault="008049D6" w:rsidP="002F53B7">
            <w:r w:rsidRPr="00660BB5">
              <w:t>vodja Sektorja za dovoljenja</w:t>
            </w:r>
          </w:p>
        </w:tc>
      </w:tr>
    </w:tbl>
    <w:p w14:paraId="44F4BB91" w14:textId="77777777" w:rsidR="00AE59BE" w:rsidRPr="00660BB5" w:rsidRDefault="00AE59BE" w:rsidP="008049D6">
      <w:pPr>
        <w:spacing w:line="260" w:lineRule="exact"/>
        <w:rPr>
          <w:highlight w:val="yellow"/>
        </w:rPr>
      </w:pPr>
    </w:p>
    <w:p w14:paraId="6EBEBD8E" w14:textId="6C2F3A0D" w:rsidR="0010687F" w:rsidRPr="00660BB5" w:rsidRDefault="0010687F" w:rsidP="008049D6">
      <w:pPr>
        <w:spacing w:line="260" w:lineRule="exact"/>
      </w:pPr>
      <w:r w:rsidRPr="00660BB5">
        <w:t>Postopek vodile:</w:t>
      </w:r>
    </w:p>
    <w:bookmarkEnd w:id="3"/>
    <w:p w14:paraId="267AE69A" w14:textId="77777777" w:rsidR="005D4F96" w:rsidRPr="00660BB5" w:rsidRDefault="005D4F96" w:rsidP="008049D6">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660BB5" w:rsidRPr="00660BB5" w14:paraId="6DAE0FA1" w14:textId="77777777" w:rsidTr="00660BB5">
        <w:tc>
          <w:tcPr>
            <w:tcW w:w="5032" w:type="dxa"/>
          </w:tcPr>
          <w:p w14:paraId="53ED58B8" w14:textId="77777777" w:rsidR="00D53B50" w:rsidRPr="00660BB5" w:rsidRDefault="00D53B50" w:rsidP="008049D6">
            <w:pPr>
              <w:spacing w:line="260" w:lineRule="exact"/>
            </w:pPr>
            <w:r w:rsidRPr="00660BB5">
              <w:t xml:space="preserve">Pavli Koc, </w:t>
            </w:r>
            <w:proofErr w:type="spellStart"/>
            <w:r w:rsidRPr="00660BB5">
              <w:t>univ.dipl.inž.arh</w:t>
            </w:r>
            <w:proofErr w:type="spellEnd"/>
            <w:r w:rsidRPr="00660BB5">
              <w:t>.</w:t>
            </w:r>
          </w:p>
          <w:p w14:paraId="53715C37" w14:textId="77777777" w:rsidR="00D53B50" w:rsidRPr="00660BB5" w:rsidRDefault="00D53B50" w:rsidP="008049D6">
            <w:pPr>
              <w:spacing w:line="260" w:lineRule="exact"/>
            </w:pPr>
            <w:r w:rsidRPr="00660BB5">
              <w:t>sekretarka</w:t>
            </w:r>
          </w:p>
        </w:tc>
        <w:tc>
          <w:tcPr>
            <w:tcW w:w="3473" w:type="dxa"/>
          </w:tcPr>
          <w:p w14:paraId="3EEB8DDC" w14:textId="77777777" w:rsidR="00D53B50" w:rsidRPr="00660BB5" w:rsidRDefault="00D53B50" w:rsidP="008049D6">
            <w:pPr>
              <w:spacing w:line="260" w:lineRule="exact"/>
            </w:pPr>
          </w:p>
        </w:tc>
      </w:tr>
    </w:tbl>
    <w:p w14:paraId="499A841B" w14:textId="77777777" w:rsidR="00D53B50" w:rsidRPr="00660BB5" w:rsidRDefault="00D53B50" w:rsidP="008049D6">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660BB5" w:rsidRPr="00660BB5" w14:paraId="70306CA7" w14:textId="77777777" w:rsidTr="00660BB5">
        <w:tc>
          <w:tcPr>
            <w:tcW w:w="5032" w:type="dxa"/>
          </w:tcPr>
          <w:p w14:paraId="47CAD9F2" w14:textId="77777777" w:rsidR="00D53B50" w:rsidRPr="00660BB5" w:rsidRDefault="00D53B50" w:rsidP="008049D6">
            <w:pPr>
              <w:spacing w:line="260" w:lineRule="exact"/>
            </w:pPr>
            <w:r w:rsidRPr="00660BB5">
              <w:t xml:space="preserve">Metka Podobnik, </w:t>
            </w:r>
            <w:proofErr w:type="spellStart"/>
            <w:r w:rsidRPr="00660BB5">
              <w:t>univ.dipl.prav</w:t>
            </w:r>
            <w:proofErr w:type="spellEnd"/>
            <w:r w:rsidRPr="00660BB5">
              <w:t>.</w:t>
            </w:r>
          </w:p>
          <w:p w14:paraId="4C180675" w14:textId="77777777" w:rsidR="00D53B50" w:rsidRPr="00660BB5" w:rsidRDefault="00D53B50" w:rsidP="008049D6">
            <w:pPr>
              <w:spacing w:line="260" w:lineRule="exact"/>
            </w:pPr>
            <w:r w:rsidRPr="00660BB5">
              <w:t>sekretarka</w:t>
            </w:r>
          </w:p>
        </w:tc>
        <w:tc>
          <w:tcPr>
            <w:tcW w:w="3473" w:type="dxa"/>
          </w:tcPr>
          <w:p w14:paraId="50BCA5C6" w14:textId="77777777" w:rsidR="00D53B50" w:rsidRPr="00660BB5" w:rsidRDefault="00D53B50" w:rsidP="008049D6">
            <w:pPr>
              <w:spacing w:line="260" w:lineRule="exact"/>
            </w:pPr>
          </w:p>
        </w:tc>
      </w:tr>
    </w:tbl>
    <w:p w14:paraId="0CC526B3" w14:textId="77777777" w:rsidR="00D53B50" w:rsidRPr="00660BB5" w:rsidRDefault="00D53B50" w:rsidP="008049D6">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660BB5" w:rsidRPr="00660BB5" w14:paraId="65B7B438" w14:textId="77777777" w:rsidTr="00660BB5">
        <w:tc>
          <w:tcPr>
            <w:tcW w:w="5032" w:type="dxa"/>
          </w:tcPr>
          <w:p w14:paraId="026A6764" w14:textId="77777777" w:rsidR="00D53B50" w:rsidRPr="00660BB5" w:rsidRDefault="00D53B50" w:rsidP="008049D6">
            <w:pPr>
              <w:spacing w:line="260" w:lineRule="exact"/>
            </w:pPr>
            <w:r w:rsidRPr="00660BB5">
              <w:t xml:space="preserve">Klavdija Šilc Trlep, </w:t>
            </w:r>
            <w:proofErr w:type="spellStart"/>
            <w:r w:rsidRPr="00660BB5">
              <w:t>mag.geog</w:t>
            </w:r>
            <w:proofErr w:type="spellEnd"/>
            <w:r w:rsidRPr="00660BB5">
              <w:t>.</w:t>
            </w:r>
          </w:p>
          <w:p w14:paraId="470D09F2" w14:textId="77777777" w:rsidR="00D53B50" w:rsidRPr="00660BB5" w:rsidRDefault="00D53B50" w:rsidP="008049D6">
            <w:pPr>
              <w:spacing w:line="260" w:lineRule="exact"/>
            </w:pPr>
            <w:r w:rsidRPr="00660BB5">
              <w:t>višja svetovalka</w:t>
            </w:r>
          </w:p>
        </w:tc>
        <w:tc>
          <w:tcPr>
            <w:tcW w:w="3473" w:type="dxa"/>
          </w:tcPr>
          <w:p w14:paraId="5A435F9B" w14:textId="77777777" w:rsidR="00D53B50" w:rsidRPr="00660BB5" w:rsidRDefault="00D53B50" w:rsidP="008049D6">
            <w:pPr>
              <w:spacing w:line="260" w:lineRule="exact"/>
            </w:pPr>
          </w:p>
        </w:tc>
      </w:tr>
    </w:tbl>
    <w:p w14:paraId="27EDF001" w14:textId="77777777" w:rsidR="00552F77" w:rsidRPr="00660BB5" w:rsidRDefault="00552F77" w:rsidP="008049D6">
      <w:pPr>
        <w:spacing w:line="260" w:lineRule="exact"/>
      </w:pPr>
    </w:p>
    <w:sectPr w:rsidR="00552F77" w:rsidRPr="00660BB5" w:rsidSect="008049D6">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578B" w14:textId="77777777" w:rsidR="00F70AF1" w:rsidRDefault="00F70AF1">
      <w:r>
        <w:separator/>
      </w:r>
    </w:p>
  </w:endnote>
  <w:endnote w:type="continuationSeparator" w:id="0">
    <w:p w14:paraId="4711A2B6" w14:textId="77777777" w:rsidR="00F70AF1" w:rsidRDefault="00F7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6845" w14:textId="6DD0ED6B" w:rsidR="00547795" w:rsidRDefault="008049D6" w:rsidP="008049D6">
    <w:pPr>
      <w:jc w:val="right"/>
    </w:pPr>
    <w:r>
      <w:fldChar w:fldCharType="begin"/>
    </w:r>
    <w:r>
      <w:instrText xml:space="preserve"> PAGE   \* MERGEFORMAT </w:instrText>
    </w:r>
    <w:r>
      <w:fldChar w:fldCharType="separate"/>
    </w:r>
    <w:r>
      <w:rPr>
        <w:noProof/>
      </w:rPr>
      <w:t>3</w:t>
    </w:r>
    <w:r>
      <w:fldChar w:fldCharType="end"/>
    </w:r>
    <w:r>
      <w:t>/</w:t>
    </w:r>
    <w:r w:rsidR="007C5817">
      <w:fldChar w:fldCharType="begin"/>
    </w:r>
    <w:r w:rsidR="007C5817">
      <w:instrText xml:space="preserve"> NUMPAGES   \* MERGEFORMAT </w:instrText>
    </w:r>
    <w:r w:rsidR="007C5817">
      <w:fldChar w:fldCharType="separate"/>
    </w:r>
    <w:r>
      <w:rPr>
        <w:noProof/>
      </w:rPr>
      <w:t>16</w:t>
    </w:r>
    <w:r w:rsidR="007C58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7421" w14:textId="77777777" w:rsidR="00F70AF1" w:rsidRDefault="00F70AF1">
      <w:r>
        <w:separator/>
      </w:r>
    </w:p>
  </w:footnote>
  <w:footnote w:type="continuationSeparator" w:id="0">
    <w:p w14:paraId="1CBBFF16" w14:textId="77777777" w:rsidR="00F70AF1" w:rsidRDefault="00F7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BF8C" w14:textId="77777777" w:rsidR="00732340" w:rsidRDefault="00732340" w:rsidP="00732340">
    <w:pPr>
      <w:tabs>
        <w:tab w:val="left" w:pos="5112"/>
      </w:tabs>
      <w:spacing w:before="120" w:line="240" w:lineRule="exact"/>
      <w:rPr>
        <w:sz w:val="16"/>
      </w:rPr>
    </w:pPr>
    <w:r>
      <w:rPr>
        <w:noProof/>
      </w:rPr>
      <w:drawing>
        <wp:anchor distT="0" distB="0" distL="114300" distR="114300" simplePos="0" relativeHeight="251659264" behindDoc="1" locked="0" layoutInCell="1" allowOverlap="1" wp14:anchorId="38195129" wp14:editId="3E4B51BC">
          <wp:simplePos x="0" y="0"/>
          <wp:positionH relativeFrom="page">
            <wp:align>left</wp:align>
          </wp:positionH>
          <wp:positionV relativeFrom="paragraph">
            <wp:posOffset>-610235</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p>
  <w:p w14:paraId="067E01E7" w14:textId="77777777" w:rsidR="00732340" w:rsidRDefault="00732340" w:rsidP="00732340">
    <w:pPr>
      <w:tabs>
        <w:tab w:val="left" w:pos="5112"/>
      </w:tabs>
      <w:spacing w:before="120" w:line="240" w:lineRule="exact"/>
      <w:rPr>
        <w:sz w:val="16"/>
      </w:rPr>
    </w:pPr>
  </w:p>
  <w:p w14:paraId="2B1BBC8F" w14:textId="77777777" w:rsidR="00547795" w:rsidRPr="008F3500" w:rsidRDefault="00547795" w:rsidP="0010687F">
    <w:pPr>
      <w:tabs>
        <w:tab w:val="left" w:pos="5112"/>
      </w:tabs>
      <w:spacing w:line="240" w:lineRule="exact"/>
      <w:rPr>
        <w:sz w:val="16"/>
      </w:rPr>
    </w:pPr>
    <w:r>
      <w:rPr>
        <w:sz w:val="16"/>
      </w:rPr>
      <w:t>Dunajska c</w:t>
    </w:r>
    <w:r w:rsidR="00732340">
      <w:rPr>
        <w:sz w:val="16"/>
      </w:rPr>
      <w:t>esta</w:t>
    </w:r>
    <w:r>
      <w:rPr>
        <w:sz w:val="16"/>
      </w:rPr>
      <w:t xml:space="preserve"> 48, 1000 Ljubljana</w:t>
    </w:r>
    <w:r w:rsidRPr="008F3500">
      <w:rPr>
        <w:sz w:val="16"/>
      </w:rPr>
      <w:tab/>
      <w:t xml:space="preserve">T: </w:t>
    </w:r>
    <w:r>
      <w:rPr>
        <w:sz w:val="16"/>
      </w:rPr>
      <w:t>01 478 74 00</w:t>
    </w:r>
  </w:p>
  <w:p w14:paraId="621D71EB" w14:textId="77777777" w:rsidR="00547795" w:rsidRPr="008F3500" w:rsidRDefault="00547795" w:rsidP="0010687F">
    <w:pPr>
      <w:tabs>
        <w:tab w:val="left" w:pos="5112"/>
      </w:tabs>
      <w:spacing w:line="240" w:lineRule="exact"/>
      <w:rPr>
        <w:sz w:val="16"/>
      </w:rPr>
    </w:pPr>
    <w:r w:rsidRPr="008F3500">
      <w:rPr>
        <w:sz w:val="16"/>
      </w:rPr>
      <w:tab/>
      <w:t xml:space="preserve">F: </w:t>
    </w:r>
    <w:r>
      <w:rPr>
        <w:sz w:val="16"/>
      </w:rPr>
      <w:t>01 478 74 2</w:t>
    </w:r>
    <w:r w:rsidR="00732340">
      <w:rPr>
        <w:sz w:val="16"/>
      </w:rPr>
      <w:t>5</w:t>
    </w:r>
  </w:p>
  <w:p w14:paraId="1EA83883" w14:textId="77777777" w:rsidR="00547795" w:rsidRPr="008F3500" w:rsidRDefault="00547795" w:rsidP="0010687F">
    <w:pPr>
      <w:tabs>
        <w:tab w:val="left" w:pos="5112"/>
      </w:tabs>
      <w:spacing w:line="240" w:lineRule="exact"/>
      <w:rPr>
        <w:sz w:val="16"/>
      </w:rPr>
    </w:pPr>
    <w:r w:rsidRPr="008F3500">
      <w:rPr>
        <w:sz w:val="16"/>
      </w:rPr>
      <w:tab/>
      <w:t xml:space="preserve">E: </w:t>
    </w:r>
    <w:r>
      <w:rPr>
        <w:sz w:val="16"/>
      </w:rPr>
      <w:t>gp.m</w:t>
    </w:r>
    <w:r w:rsidR="00732340">
      <w:rPr>
        <w:sz w:val="16"/>
      </w:rPr>
      <w:t>nvp</w:t>
    </w:r>
    <w:r>
      <w:rPr>
        <w:sz w:val="16"/>
      </w:rPr>
      <w:t>@gov.si</w:t>
    </w:r>
  </w:p>
  <w:p w14:paraId="368CC1E6" w14:textId="77777777" w:rsidR="00547795" w:rsidRPr="008F3500" w:rsidRDefault="00547795" w:rsidP="0010687F">
    <w:pPr>
      <w:tabs>
        <w:tab w:val="left" w:pos="5112"/>
      </w:tabs>
      <w:spacing w:line="240" w:lineRule="exact"/>
      <w:rPr>
        <w:sz w:val="16"/>
      </w:rPr>
    </w:pPr>
    <w:r w:rsidRPr="008F3500">
      <w:rPr>
        <w:sz w:val="16"/>
      </w:rPr>
      <w:tab/>
    </w:r>
    <w:r>
      <w:rPr>
        <w:sz w:val="16"/>
      </w:rPr>
      <w:t>www.</w:t>
    </w:r>
    <w:r w:rsidR="00732340">
      <w:rPr>
        <w:sz w:val="16"/>
      </w:rPr>
      <w:t>mnvp</w:t>
    </w:r>
    <w:r>
      <w:rPr>
        <w:sz w:val="16"/>
      </w:rPr>
      <w:t>.gov.si</w:t>
    </w:r>
  </w:p>
  <w:p w14:paraId="50F752E5" w14:textId="77777777" w:rsidR="00547795" w:rsidRPr="008F3500" w:rsidRDefault="00547795" w:rsidP="0010687F">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B4DF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E560F"/>
    <w:multiLevelType w:val="hybridMultilevel"/>
    <w:tmpl w:val="9C0261A2"/>
    <w:lvl w:ilvl="0" w:tplc="10E4648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7E20C0"/>
    <w:multiLevelType w:val="multilevel"/>
    <w:tmpl w:val="A1886194"/>
    <w:lvl w:ilvl="0">
      <w:start w:val="1"/>
      <w:numFmt w:val="bullet"/>
      <w:lvlText w:val="­"/>
      <w:lvlJc w:val="left"/>
      <w:pPr>
        <w:ind w:left="425" w:hanging="425"/>
      </w:pPr>
      <w:rPr>
        <w:rFonts w:ascii="Arial" w:hAnsi="Arial" w:hint="default"/>
        <w:b w:val="0"/>
        <w:i w:val="0"/>
        <w:sz w:val="20"/>
      </w:rPr>
    </w:lvl>
    <w:lvl w:ilvl="1">
      <w:start w:val="1"/>
      <w:numFmt w:val="bullet"/>
      <w:lvlText w:val="­"/>
      <w:lvlJc w:val="left"/>
      <w:pPr>
        <w:ind w:left="425" w:hanging="425"/>
      </w:pPr>
      <w:rPr>
        <w:rFonts w:ascii="Arial" w:hAnsi="Arial" w:hint="default"/>
      </w:rPr>
    </w:lvl>
    <w:lvl w:ilvl="2">
      <w:start w:val="1"/>
      <w:numFmt w:val="bullet"/>
      <w:lvlText w:val="­"/>
      <w:lvlJc w:val="left"/>
      <w:pPr>
        <w:ind w:left="425" w:hanging="425"/>
      </w:pPr>
      <w:rPr>
        <w:rFonts w:ascii="Arial" w:hAnsi="Arial"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3" w15:restartNumberingAfterBreak="0">
    <w:nsid w:val="069C373A"/>
    <w:multiLevelType w:val="hybridMultilevel"/>
    <w:tmpl w:val="C798A2FC"/>
    <w:lvl w:ilvl="0" w:tplc="15E0B9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3199C"/>
    <w:multiLevelType w:val="hybridMultilevel"/>
    <w:tmpl w:val="598CDFE6"/>
    <w:lvl w:ilvl="0" w:tplc="0CFC72A0">
      <w:start w:val="1"/>
      <w:numFmt w:val="bullet"/>
      <w:lvlText w:val=""/>
      <w:lvlJc w:val="left"/>
      <w:pPr>
        <w:ind w:left="1080" w:hanging="360"/>
      </w:pPr>
      <w:rPr>
        <w:rFonts w:ascii="Symbol" w:hAnsi="Symbol" w:hint="default"/>
        <w:color w:val="000000" w:themeColor="text1"/>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CA1748D"/>
    <w:multiLevelType w:val="multilevel"/>
    <w:tmpl w:val="350EAEF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742D11"/>
    <w:multiLevelType w:val="multilevel"/>
    <w:tmpl w:val="BDB43A5C"/>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425"/>
        </w:tabs>
        <w:ind w:left="425" w:hanging="425"/>
      </w:pPr>
      <w:rPr>
        <w:rFonts w:ascii="Arial" w:hAnsi="Arial" w:hint="default"/>
      </w:rPr>
    </w:lvl>
    <w:lvl w:ilvl="2">
      <w:start w:val="1"/>
      <w:numFmt w:val="bullet"/>
      <w:lvlText w:val="­"/>
      <w:lvlJc w:val="left"/>
      <w:pPr>
        <w:tabs>
          <w:tab w:val="num" w:pos="425"/>
        </w:tabs>
        <w:ind w:left="425" w:hanging="425"/>
      </w:pPr>
      <w:rPr>
        <w:rFonts w:ascii="Arial" w:hAnsi="Arial"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15:restartNumberingAfterBreak="0">
    <w:nsid w:val="205505E6"/>
    <w:multiLevelType w:val="hybridMultilevel"/>
    <w:tmpl w:val="044AC716"/>
    <w:lvl w:ilvl="0" w:tplc="0C627F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7D03CF"/>
    <w:multiLevelType w:val="hybridMultilevel"/>
    <w:tmpl w:val="99724D72"/>
    <w:lvl w:ilvl="0" w:tplc="98628150">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897295"/>
    <w:multiLevelType w:val="multilevel"/>
    <w:tmpl w:val="D9D8AF0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1" w15:restartNumberingAfterBreak="0">
    <w:nsid w:val="306B39C1"/>
    <w:multiLevelType w:val="multilevel"/>
    <w:tmpl w:val="4176D5B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4"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5"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6" w15:restartNumberingAfterBreak="0">
    <w:nsid w:val="554170EC"/>
    <w:multiLevelType w:val="multilevel"/>
    <w:tmpl w:val="DD7EC28E"/>
    <w:lvl w:ilvl="0">
      <w:start w:val="1"/>
      <w:numFmt w:val="decimal"/>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A44368"/>
    <w:multiLevelType w:val="hybridMultilevel"/>
    <w:tmpl w:val="09A0A262"/>
    <w:lvl w:ilvl="0" w:tplc="F8E4D4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9" w15:restartNumberingAfterBreak="0">
    <w:nsid w:val="73C50C68"/>
    <w:multiLevelType w:val="hybridMultilevel"/>
    <w:tmpl w:val="263E61B2"/>
    <w:lvl w:ilvl="0" w:tplc="3E26BFEA">
      <w:start w:val="1"/>
      <w:numFmt w:val="decimal"/>
      <w:lvlText w:val="(%1)"/>
      <w:lvlJc w:val="left"/>
      <w:pPr>
        <w:ind w:left="360" w:hanging="360"/>
      </w:pPr>
      <w:rPr>
        <w:rFonts w:ascii="Arial" w:hAnsi="Arial" w:hint="default"/>
        <w:b w:val="0"/>
        <w:i w:val="0"/>
        <w:sz w:val="20"/>
      </w:rPr>
    </w:lvl>
    <w:lvl w:ilvl="1" w:tplc="290E4CC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7419DD"/>
    <w:multiLevelType w:val="multilevel"/>
    <w:tmpl w:val="641C24EA"/>
    <w:lvl w:ilvl="0">
      <w:start w:val="1"/>
      <w:numFmt w:val="bullet"/>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21" w15:restartNumberingAfterBreak="0">
    <w:nsid w:val="79C83183"/>
    <w:multiLevelType w:val="hybridMultilevel"/>
    <w:tmpl w:val="6964ACF4"/>
    <w:lvl w:ilvl="0" w:tplc="9C8E7626">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C9E0EC5"/>
    <w:multiLevelType w:val="multilevel"/>
    <w:tmpl w:val="8CFE68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6157119">
    <w:abstractNumId w:val="16"/>
  </w:num>
  <w:num w:numId="2" w16cid:durableId="1007053928">
    <w:abstractNumId w:val="17"/>
  </w:num>
  <w:num w:numId="3" w16cid:durableId="1817840628">
    <w:abstractNumId w:val="18"/>
  </w:num>
  <w:num w:numId="4" w16cid:durableId="1370955611">
    <w:abstractNumId w:val="16"/>
  </w:num>
  <w:num w:numId="5" w16cid:durableId="129910513">
    <w:abstractNumId w:val="13"/>
  </w:num>
  <w:num w:numId="6" w16cid:durableId="569116605">
    <w:abstractNumId w:val="14"/>
  </w:num>
  <w:num w:numId="7" w16cid:durableId="891234461">
    <w:abstractNumId w:val="12"/>
  </w:num>
  <w:num w:numId="8" w16cid:durableId="1993630787">
    <w:abstractNumId w:val="21"/>
  </w:num>
  <w:num w:numId="9" w16cid:durableId="1672682401">
    <w:abstractNumId w:val="4"/>
  </w:num>
  <w:num w:numId="10" w16cid:durableId="273829504">
    <w:abstractNumId w:val="9"/>
  </w:num>
  <w:num w:numId="11" w16cid:durableId="1451242565">
    <w:abstractNumId w:val="1"/>
  </w:num>
  <w:num w:numId="12" w16cid:durableId="1149522355">
    <w:abstractNumId w:val="22"/>
  </w:num>
  <w:num w:numId="13" w16cid:durableId="1141968133">
    <w:abstractNumId w:val="0"/>
  </w:num>
  <w:num w:numId="14" w16cid:durableId="694115508">
    <w:abstractNumId w:val="7"/>
  </w:num>
  <w:num w:numId="15" w16cid:durableId="1286084969">
    <w:abstractNumId w:val="3"/>
  </w:num>
  <w:num w:numId="16" w16cid:durableId="1951668186">
    <w:abstractNumId w:val="10"/>
  </w:num>
  <w:num w:numId="17" w16cid:durableId="1216549370">
    <w:abstractNumId w:val="15"/>
  </w:num>
  <w:num w:numId="18" w16cid:durableId="622226355">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19" w16cid:durableId="1984694356">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0" w16cid:durableId="324819860">
    <w:abstractNumId w:val="11"/>
  </w:num>
  <w:num w:numId="21" w16cid:durableId="731007604">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2" w16cid:durableId="1548640068">
    <w:abstractNumId w:val="5"/>
  </w:num>
  <w:num w:numId="23" w16cid:durableId="250701839">
    <w:abstractNumId w:val="20"/>
  </w:num>
  <w:num w:numId="24" w16cid:durableId="1648624826">
    <w:abstractNumId w:val="2"/>
  </w:num>
  <w:num w:numId="25" w16cid:durableId="76440436">
    <w:abstractNumId w:val="6"/>
  </w:num>
  <w:num w:numId="26" w16cid:durableId="565990705">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7" w16cid:durableId="979725718">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8" w16cid:durableId="1822581674">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9" w16cid:durableId="1286622950">
    <w:abstractNumId w:val="19"/>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30" w16cid:durableId="506018273">
    <w:abstractNumId w:val="8"/>
  </w:num>
  <w:num w:numId="31" w16cid:durableId="1568108988">
    <w:abstractNumId w:val="20"/>
  </w:num>
  <w:num w:numId="32" w16cid:durableId="404835916">
    <w:abstractNumId w:val="20"/>
  </w:num>
  <w:num w:numId="33" w16cid:durableId="21052705">
    <w:abstractNumId w:val="20"/>
  </w:num>
  <w:num w:numId="34" w16cid:durableId="1918127599">
    <w:abstractNumId w:val="20"/>
  </w:num>
  <w:num w:numId="35" w16cid:durableId="193350613">
    <w:abstractNumId w:val="14"/>
  </w:num>
  <w:num w:numId="36" w16cid:durableId="1708797651">
    <w:abstractNumId w:val="14"/>
  </w:num>
  <w:num w:numId="37" w16cid:durableId="373506782">
    <w:abstractNumId w:val="14"/>
  </w:num>
  <w:num w:numId="38" w16cid:durableId="982734571">
    <w:abstractNumId w:val="20"/>
  </w:num>
  <w:num w:numId="39" w16cid:durableId="157422550">
    <w:abstractNumId w:val="20"/>
  </w:num>
  <w:num w:numId="40" w16cid:durableId="475878786">
    <w:abstractNumId w:val="20"/>
  </w:num>
  <w:num w:numId="41" w16cid:durableId="1909337479">
    <w:abstractNumId w:val="21"/>
  </w:num>
  <w:num w:numId="42" w16cid:durableId="51349939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7F"/>
    <w:rsid w:val="0000162C"/>
    <w:rsid w:val="00011277"/>
    <w:rsid w:val="0001681A"/>
    <w:rsid w:val="0002277D"/>
    <w:rsid w:val="00024DC4"/>
    <w:rsid w:val="00026A0B"/>
    <w:rsid w:val="00030A60"/>
    <w:rsid w:val="00035E8A"/>
    <w:rsid w:val="000410E2"/>
    <w:rsid w:val="000428AA"/>
    <w:rsid w:val="0004340C"/>
    <w:rsid w:val="000439DA"/>
    <w:rsid w:val="000451EB"/>
    <w:rsid w:val="0004577E"/>
    <w:rsid w:val="00047EF3"/>
    <w:rsid w:val="000503D1"/>
    <w:rsid w:val="00053855"/>
    <w:rsid w:val="00056B15"/>
    <w:rsid w:val="00056C09"/>
    <w:rsid w:val="000646CC"/>
    <w:rsid w:val="000647D3"/>
    <w:rsid w:val="00074F2A"/>
    <w:rsid w:val="000766BF"/>
    <w:rsid w:val="00080D8B"/>
    <w:rsid w:val="000823A3"/>
    <w:rsid w:val="00093F47"/>
    <w:rsid w:val="000A25B4"/>
    <w:rsid w:val="000A6FC7"/>
    <w:rsid w:val="000A737B"/>
    <w:rsid w:val="000B1045"/>
    <w:rsid w:val="000B3174"/>
    <w:rsid w:val="000B4D9E"/>
    <w:rsid w:val="000B6EA3"/>
    <w:rsid w:val="000B7593"/>
    <w:rsid w:val="000C2944"/>
    <w:rsid w:val="000C34A9"/>
    <w:rsid w:val="000D5E17"/>
    <w:rsid w:val="000D7954"/>
    <w:rsid w:val="000E1392"/>
    <w:rsid w:val="000E15B3"/>
    <w:rsid w:val="000F4E26"/>
    <w:rsid w:val="000F4EEA"/>
    <w:rsid w:val="0010164C"/>
    <w:rsid w:val="0010253C"/>
    <w:rsid w:val="0010526A"/>
    <w:rsid w:val="0010687F"/>
    <w:rsid w:val="001214EE"/>
    <w:rsid w:val="00122CEE"/>
    <w:rsid w:val="00126471"/>
    <w:rsid w:val="00133AAA"/>
    <w:rsid w:val="00143B45"/>
    <w:rsid w:val="00144D32"/>
    <w:rsid w:val="00146396"/>
    <w:rsid w:val="00147879"/>
    <w:rsid w:val="00156E04"/>
    <w:rsid w:val="00170A98"/>
    <w:rsid w:val="0017209B"/>
    <w:rsid w:val="001772F5"/>
    <w:rsid w:val="00182A3C"/>
    <w:rsid w:val="00183F3B"/>
    <w:rsid w:val="0018539A"/>
    <w:rsid w:val="00190A66"/>
    <w:rsid w:val="001A1E3F"/>
    <w:rsid w:val="001A2E82"/>
    <w:rsid w:val="001A516B"/>
    <w:rsid w:val="001B4D6D"/>
    <w:rsid w:val="001B5C49"/>
    <w:rsid w:val="001B6919"/>
    <w:rsid w:val="001C3A86"/>
    <w:rsid w:val="001C7F8F"/>
    <w:rsid w:val="001D13AA"/>
    <w:rsid w:val="001D3851"/>
    <w:rsid w:val="001D6A21"/>
    <w:rsid w:val="001E27A3"/>
    <w:rsid w:val="001E644F"/>
    <w:rsid w:val="001F3E43"/>
    <w:rsid w:val="001F4ADB"/>
    <w:rsid w:val="001F70FB"/>
    <w:rsid w:val="00201070"/>
    <w:rsid w:val="002030B3"/>
    <w:rsid w:val="0020387A"/>
    <w:rsid w:val="00210D57"/>
    <w:rsid w:val="00214CFD"/>
    <w:rsid w:val="002163F8"/>
    <w:rsid w:val="00224359"/>
    <w:rsid w:val="002265C7"/>
    <w:rsid w:val="00230675"/>
    <w:rsid w:val="00235905"/>
    <w:rsid w:val="00240EA4"/>
    <w:rsid w:val="00241DF2"/>
    <w:rsid w:val="00250591"/>
    <w:rsid w:val="00253799"/>
    <w:rsid w:val="00261767"/>
    <w:rsid w:val="00271FF4"/>
    <w:rsid w:val="002725AE"/>
    <w:rsid w:val="00273AB2"/>
    <w:rsid w:val="00274B20"/>
    <w:rsid w:val="00281833"/>
    <w:rsid w:val="002868F8"/>
    <w:rsid w:val="00286A1B"/>
    <w:rsid w:val="00293512"/>
    <w:rsid w:val="002976F2"/>
    <w:rsid w:val="002A0F4F"/>
    <w:rsid w:val="002B37CD"/>
    <w:rsid w:val="002C3879"/>
    <w:rsid w:val="002C3A44"/>
    <w:rsid w:val="002C4B24"/>
    <w:rsid w:val="002C67BD"/>
    <w:rsid w:val="002D039A"/>
    <w:rsid w:val="002D0431"/>
    <w:rsid w:val="002D2BD4"/>
    <w:rsid w:val="002D731C"/>
    <w:rsid w:val="002D7601"/>
    <w:rsid w:val="002D76E3"/>
    <w:rsid w:val="002D77DC"/>
    <w:rsid w:val="002E0117"/>
    <w:rsid w:val="002F28F0"/>
    <w:rsid w:val="002F4DF1"/>
    <w:rsid w:val="002F5154"/>
    <w:rsid w:val="002F5F83"/>
    <w:rsid w:val="00300330"/>
    <w:rsid w:val="003049F4"/>
    <w:rsid w:val="00310E44"/>
    <w:rsid w:val="00316722"/>
    <w:rsid w:val="0033237E"/>
    <w:rsid w:val="0033676E"/>
    <w:rsid w:val="0033698D"/>
    <w:rsid w:val="0034170E"/>
    <w:rsid w:val="00343C39"/>
    <w:rsid w:val="00344D94"/>
    <w:rsid w:val="00353F60"/>
    <w:rsid w:val="00360550"/>
    <w:rsid w:val="00360E79"/>
    <w:rsid w:val="003619C7"/>
    <w:rsid w:val="00365C8C"/>
    <w:rsid w:val="00370831"/>
    <w:rsid w:val="003713A8"/>
    <w:rsid w:val="00371AD9"/>
    <w:rsid w:val="00374FD1"/>
    <w:rsid w:val="00375566"/>
    <w:rsid w:val="00376561"/>
    <w:rsid w:val="00380ED7"/>
    <w:rsid w:val="003836CE"/>
    <w:rsid w:val="00385EC1"/>
    <w:rsid w:val="00391FA2"/>
    <w:rsid w:val="00396F6F"/>
    <w:rsid w:val="003A1EDB"/>
    <w:rsid w:val="003A2A4B"/>
    <w:rsid w:val="003A2AEC"/>
    <w:rsid w:val="003A42D5"/>
    <w:rsid w:val="003A6AC6"/>
    <w:rsid w:val="003B3FEA"/>
    <w:rsid w:val="003B6A98"/>
    <w:rsid w:val="003C1818"/>
    <w:rsid w:val="003D5F57"/>
    <w:rsid w:val="003D6072"/>
    <w:rsid w:val="003E3BC2"/>
    <w:rsid w:val="003E691B"/>
    <w:rsid w:val="003E776C"/>
    <w:rsid w:val="003E7AE6"/>
    <w:rsid w:val="003F233F"/>
    <w:rsid w:val="003F2A97"/>
    <w:rsid w:val="003F3726"/>
    <w:rsid w:val="003F40E9"/>
    <w:rsid w:val="0040335B"/>
    <w:rsid w:val="00407F8C"/>
    <w:rsid w:val="00417B55"/>
    <w:rsid w:val="0042287E"/>
    <w:rsid w:val="00422D44"/>
    <w:rsid w:val="004319F6"/>
    <w:rsid w:val="00434242"/>
    <w:rsid w:val="00434CD6"/>
    <w:rsid w:val="00436AB4"/>
    <w:rsid w:val="004479ED"/>
    <w:rsid w:val="00452C74"/>
    <w:rsid w:val="00457FD7"/>
    <w:rsid w:val="0046362B"/>
    <w:rsid w:val="0048078E"/>
    <w:rsid w:val="0048187B"/>
    <w:rsid w:val="0048456B"/>
    <w:rsid w:val="004902B0"/>
    <w:rsid w:val="004963DC"/>
    <w:rsid w:val="004A1034"/>
    <w:rsid w:val="004A3A70"/>
    <w:rsid w:val="004A45C9"/>
    <w:rsid w:val="004A51B1"/>
    <w:rsid w:val="004B10A5"/>
    <w:rsid w:val="004B21C3"/>
    <w:rsid w:val="004B4AF8"/>
    <w:rsid w:val="004D1B8A"/>
    <w:rsid w:val="004D44A5"/>
    <w:rsid w:val="004D74AF"/>
    <w:rsid w:val="004E1AC7"/>
    <w:rsid w:val="004E4D2B"/>
    <w:rsid w:val="004E5911"/>
    <w:rsid w:val="004F09DF"/>
    <w:rsid w:val="004F22EC"/>
    <w:rsid w:val="004F2597"/>
    <w:rsid w:val="004F4049"/>
    <w:rsid w:val="004F5374"/>
    <w:rsid w:val="004F5394"/>
    <w:rsid w:val="004F6B97"/>
    <w:rsid w:val="005055C5"/>
    <w:rsid w:val="00506599"/>
    <w:rsid w:val="0051185B"/>
    <w:rsid w:val="00514148"/>
    <w:rsid w:val="0051459F"/>
    <w:rsid w:val="0051599A"/>
    <w:rsid w:val="00525624"/>
    <w:rsid w:val="0052606B"/>
    <w:rsid w:val="005337A1"/>
    <w:rsid w:val="00536666"/>
    <w:rsid w:val="00540E89"/>
    <w:rsid w:val="00544B37"/>
    <w:rsid w:val="00547795"/>
    <w:rsid w:val="00547A69"/>
    <w:rsid w:val="00547A7A"/>
    <w:rsid w:val="00551A3B"/>
    <w:rsid w:val="00552F77"/>
    <w:rsid w:val="00554898"/>
    <w:rsid w:val="005556BA"/>
    <w:rsid w:val="00557806"/>
    <w:rsid w:val="005605DB"/>
    <w:rsid w:val="0056467C"/>
    <w:rsid w:val="005755A4"/>
    <w:rsid w:val="0057657F"/>
    <w:rsid w:val="0058125B"/>
    <w:rsid w:val="00591F01"/>
    <w:rsid w:val="005A35A4"/>
    <w:rsid w:val="005B00FF"/>
    <w:rsid w:val="005B2ECB"/>
    <w:rsid w:val="005C08B6"/>
    <w:rsid w:val="005C31A7"/>
    <w:rsid w:val="005C6DAD"/>
    <w:rsid w:val="005D077C"/>
    <w:rsid w:val="005D22E5"/>
    <w:rsid w:val="005D41AD"/>
    <w:rsid w:val="005D4F96"/>
    <w:rsid w:val="005D566A"/>
    <w:rsid w:val="005D6A71"/>
    <w:rsid w:val="005E6A45"/>
    <w:rsid w:val="005E6F45"/>
    <w:rsid w:val="005E7D95"/>
    <w:rsid w:val="005F478A"/>
    <w:rsid w:val="006065C7"/>
    <w:rsid w:val="006162F9"/>
    <w:rsid w:val="00617DD1"/>
    <w:rsid w:val="00620332"/>
    <w:rsid w:val="006251E4"/>
    <w:rsid w:val="00630639"/>
    <w:rsid w:val="00641C10"/>
    <w:rsid w:val="00660BB5"/>
    <w:rsid w:val="006625F4"/>
    <w:rsid w:val="00675C1F"/>
    <w:rsid w:val="006931C2"/>
    <w:rsid w:val="006937E6"/>
    <w:rsid w:val="0069685C"/>
    <w:rsid w:val="006A5090"/>
    <w:rsid w:val="006B20CE"/>
    <w:rsid w:val="006B51F0"/>
    <w:rsid w:val="006C07EB"/>
    <w:rsid w:val="006C49D8"/>
    <w:rsid w:val="006D0E6B"/>
    <w:rsid w:val="006D1BED"/>
    <w:rsid w:val="006E0B0E"/>
    <w:rsid w:val="006E0CB5"/>
    <w:rsid w:val="006E736A"/>
    <w:rsid w:val="006F16A6"/>
    <w:rsid w:val="006F1B9D"/>
    <w:rsid w:val="006F7966"/>
    <w:rsid w:val="0070075E"/>
    <w:rsid w:val="0070271A"/>
    <w:rsid w:val="00702893"/>
    <w:rsid w:val="007104BE"/>
    <w:rsid w:val="0071240E"/>
    <w:rsid w:val="00713A54"/>
    <w:rsid w:val="00713C82"/>
    <w:rsid w:val="00715A28"/>
    <w:rsid w:val="007205EF"/>
    <w:rsid w:val="00732340"/>
    <w:rsid w:val="00734FD7"/>
    <w:rsid w:val="007471AB"/>
    <w:rsid w:val="00751370"/>
    <w:rsid w:val="00751B1F"/>
    <w:rsid w:val="00751DC4"/>
    <w:rsid w:val="007650C0"/>
    <w:rsid w:val="00767527"/>
    <w:rsid w:val="00780879"/>
    <w:rsid w:val="0078103A"/>
    <w:rsid w:val="007A1924"/>
    <w:rsid w:val="007B3DBC"/>
    <w:rsid w:val="007B7458"/>
    <w:rsid w:val="007C5817"/>
    <w:rsid w:val="007C6A6D"/>
    <w:rsid w:val="007C72C6"/>
    <w:rsid w:val="007D35AA"/>
    <w:rsid w:val="007D7B83"/>
    <w:rsid w:val="007E4FEC"/>
    <w:rsid w:val="007F1084"/>
    <w:rsid w:val="007F27A7"/>
    <w:rsid w:val="008049D6"/>
    <w:rsid w:val="008051FB"/>
    <w:rsid w:val="0081473B"/>
    <w:rsid w:val="0081593C"/>
    <w:rsid w:val="00822815"/>
    <w:rsid w:val="00822AAC"/>
    <w:rsid w:val="0082789F"/>
    <w:rsid w:val="00830C9C"/>
    <w:rsid w:val="008331AF"/>
    <w:rsid w:val="00833D2F"/>
    <w:rsid w:val="00835857"/>
    <w:rsid w:val="0084040F"/>
    <w:rsid w:val="0084104A"/>
    <w:rsid w:val="00844BBD"/>
    <w:rsid w:val="008528D4"/>
    <w:rsid w:val="00854221"/>
    <w:rsid w:val="00855FB5"/>
    <w:rsid w:val="00857356"/>
    <w:rsid w:val="008642E4"/>
    <w:rsid w:val="008643F3"/>
    <w:rsid w:val="00865764"/>
    <w:rsid w:val="00866BA8"/>
    <w:rsid w:val="008674E1"/>
    <w:rsid w:val="00877D54"/>
    <w:rsid w:val="008809A9"/>
    <w:rsid w:val="0088181B"/>
    <w:rsid w:val="00881924"/>
    <w:rsid w:val="00883171"/>
    <w:rsid w:val="00884745"/>
    <w:rsid w:val="0088597E"/>
    <w:rsid w:val="00897F3F"/>
    <w:rsid w:val="008B201C"/>
    <w:rsid w:val="008B2BDD"/>
    <w:rsid w:val="008C083B"/>
    <w:rsid w:val="008C1099"/>
    <w:rsid w:val="008C1F8D"/>
    <w:rsid w:val="008C4397"/>
    <w:rsid w:val="008C611E"/>
    <w:rsid w:val="008C7885"/>
    <w:rsid w:val="008D134D"/>
    <w:rsid w:val="008D5CEB"/>
    <w:rsid w:val="008E3743"/>
    <w:rsid w:val="008E76E6"/>
    <w:rsid w:val="008F2621"/>
    <w:rsid w:val="008F41FA"/>
    <w:rsid w:val="008F4E81"/>
    <w:rsid w:val="008F5F98"/>
    <w:rsid w:val="008F691E"/>
    <w:rsid w:val="00911B1A"/>
    <w:rsid w:val="00912179"/>
    <w:rsid w:val="00912AB9"/>
    <w:rsid w:val="00913156"/>
    <w:rsid w:val="009239AA"/>
    <w:rsid w:val="00924AEE"/>
    <w:rsid w:val="00925868"/>
    <w:rsid w:val="00927301"/>
    <w:rsid w:val="00927E47"/>
    <w:rsid w:val="009329AF"/>
    <w:rsid w:val="00932C40"/>
    <w:rsid w:val="00932D56"/>
    <w:rsid w:val="0094201E"/>
    <w:rsid w:val="00944FAC"/>
    <w:rsid w:val="00950407"/>
    <w:rsid w:val="00954929"/>
    <w:rsid w:val="00966CAE"/>
    <w:rsid w:val="0097672F"/>
    <w:rsid w:val="00976D80"/>
    <w:rsid w:val="00980A8F"/>
    <w:rsid w:val="00980CC6"/>
    <w:rsid w:val="00985A3C"/>
    <w:rsid w:val="00985E52"/>
    <w:rsid w:val="009917E6"/>
    <w:rsid w:val="00995671"/>
    <w:rsid w:val="009A3A71"/>
    <w:rsid w:val="009B22CC"/>
    <w:rsid w:val="009B33D0"/>
    <w:rsid w:val="009B35C2"/>
    <w:rsid w:val="009C0F2F"/>
    <w:rsid w:val="009D1409"/>
    <w:rsid w:val="009D1AD8"/>
    <w:rsid w:val="009D329E"/>
    <w:rsid w:val="009F2588"/>
    <w:rsid w:val="00A048FA"/>
    <w:rsid w:val="00A10A2C"/>
    <w:rsid w:val="00A1144D"/>
    <w:rsid w:val="00A201A6"/>
    <w:rsid w:val="00A20A6C"/>
    <w:rsid w:val="00A225D9"/>
    <w:rsid w:val="00A24D0C"/>
    <w:rsid w:val="00A25362"/>
    <w:rsid w:val="00A345E7"/>
    <w:rsid w:val="00A43426"/>
    <w:rsid w:val="00A4560D"/>
    <w:rsid w:val="00A46E7C"/>
    <w:rsid w:val="00A51E86"/>
    <w:rsid w:val="00A51F40"/>
    <w:rsid w:val="00A522B9"/>
    <w:rsid w:val="00A5246D"/>
    <w:rsid w:val="00A53060"/>
    <w:rsid w:val="00A60A9D"/>
    <w:rsid w:val="00A61342"/>
    <w:rsid w:val="00A61710"/>
    <w:rsid w:val="00A64803"/>
    <w:rsid w:val="00A66A59"/>
    <w:rsid w:val="00A67421"/>
    <w:rsid w:val="00A70743"/>
    <w:rsid w:val="00A77603"/>
    <w:rsid w:val="00A9050C"/>
    <w:rsid w:val="00A96942"/>
    <w:rsid w:val="00A96E82"/>
    <w:rsid w:val="00AB79AB"/>
    <w:rsid w:val="00AC4244"/>
    <w:rsid w:val="00AC5786"/>
    <w:rsid w:val="00AD4DE7"/>
    <w:rsid w:val="00AD536E"/>
    <w:rsid w:val="00AE04E5"/>
    <w:rsid w:val="00AE4F16"/>
    <w:rsid w:val="00AE59BE"/>
    <w:rsid w:val="00AE6475"/>
    <w:rsid w:val="00AF0BE8"/>
    <w:rsid w:val="00B00694"/>
    <w:rsid w:val="00B20F50"/>
    <w:rsid w:val="00B22535"/>
    <w:rsid w:val="00B22D67"/>
    <w:rsid w:val="00B2726B"/>
    <w:rsid w:val="00B27666"/>
    <w:rsid w:val="00B33149"/>
    <w:rsid w:val="00B374F2"/>
    <w:rsid w:val="00B37A62"/>
    <w:rsid w:val="00B5470D"/>
    <w:rsid w:val="00B5613F"/>
    <w:rsid w:val="00B62F8C"/>
    <w:rsid w:val="00B66707"/>
    <w:rsid w:val="00B70153"/>
    <w:rsid w:val="00B75482"/>
    <w:rsid w:val="00B80EEC"/>
    <w:rsid w:val="00B83839"/>
    <w:rsid w:val="00B84D6D"/>
    <w:rsid w:val="00B9284D"/>
    <w:rsid w:val="00B92988"/>
    <w:rsid w:val="00BA6E89"/>
    <w:rsid w:val="00BB1329"/>
    <w:rsid w:val="00BB1636"/>
    <w:rsid w:val="00BC154E"/>
    <w:rsid w:val="00BC260E"/>
    <w:rsid w:val="00BC28C7"/>
    <w:rsid w:val="00BC5E7F"/>
    <w:rsid w:val="00BC70FC"/>
    <w:rsid w:val="00BD03EC"/>
    <w:rsid w:val="00BD5BE8"/>
    <w:rsid w:val="00BE4982"/>
    <w:rsid w:val="00BE6177"/>
    <w:rsid w:val="00BF104C"/>
    <w:rsid w:val="00BF18E6"/>
    <w:rsid w:val="00BF3B48"/>
    <w:rsid w:val="00BF505C"/>
    <w:rsid w:val="00C00F6B"/>
    <w:rsid w:val="00C029F4"/>
    <w:rsid w:val="00C059ED"/>
    <w:rsid w:val="00C12408"/>
    <w:rsid w:val="00C23446"/>
    <w:rsid w:val="00C36BE1"/>
    <w:rsid w:val="00C4041F"/>
    <w:rsid w:val="00C42D16"/>
    <w:rsid w:val="00C446B1"/>
    <w:rsid w:val="00C4698B"/>
    <w:rsid w:val="00C52D1A"/>
    <w:rsid w:val="00C53F89"/>
    <w:rsid w:val="00C56ED9"/>
    <w:rsid w:val="00C65110"/>
    <w:rsid w:val="00C66A67"/>
    <w:rsid w:val="00C73163"/>
    <w:rsid w:val="00C73CE3"/>
    <w:rsid w:val="00C74D61"/>
    <w:rsid w:val="00C81516"/>
    <w:rsid w:val="00C84574"/>
    <w:rsid w:val="00C8655E"/>
    <w:rsid w:val="00C87002"/>
    <w:rsid w:val="00C93ABB"/>
    <w:rsid w:val="00C975A5"/>
    <w:rsid w:val="00CA1C19"/>
    <w:rsid w:val="00CB378A"/>
    <w:rsid w:val="00CB4E48"/>
    <w:rsid w:val="00CC4162"/>
    <w:rsid w:val="00CC5D2C"/>
    <w:rsid w:val="00CD04EE"/>
    <w:rsid w:val="00CD22B7"/>
    <w:rsid w:val="00CE3067"/>
    <w:rsid w:val="00CE6C2B"/>
    <w:rsid w:val="00CE6D04"/>
    <w:rsid w:val="00CE75D2"/>
    <w:rsid w:val="00CE796A"/>
    <w:rsid w:val="00CE7ABD"/>
    <w:rsid w:val="00CF0D1C"/>
    <w:rsid w:val="00CF49D3"/>
    <w:rsid w:val="00CF6539"/>
    <w:rsid w:val="00CF7DA8"/>
    <w:rsid w:val="00D04C56"/>
    <w:rsid w:val="00D058DB"/>
    <w:rsid w:val="00D06015"/>
    <w:rsid w:val="00D07FAA"/>
    <w:rsid w:val="00D10834"/>
    <w:rsid w:val="00D119AD"/>
    <w:rsid w:val="00D124E1"/>
    <w:rsid w:val="00D15324"/>
    <w:rsid w:val="00D22500"/>
    <w:rsid w:val="00D23D88"/>
    <w:rsid w:val="00D271B4"/>
    <w:rsid w:val="00D31F63"/>
    <w:rsid w:val="00D43070"/>
    <w:rsid w:val="00D50BCC"/>
    <w:rsid w:val="00D51A4B"/>
    <w:rsid w:val="00D53B50"/>
    <w:rsid w:val="00D6106E"/>
    <w:rsid w:val="00D6466B"/>
    <w:rsid w:val="00D661B5"/>
    <w:rsid w:val="00D70B98"/>
    <w:rsid w:val="00D90ADA"/>
    <w:rsid w:val="00DA0A6A"/>
    <w:rsid w:val="00DA0DA1"/>
    <w:rsid w:val="00DA0E0C"/>
    <w:rsid w:val="00DA23E6"/>
    <w:rsid w:val="00DA5EB4"/>
    <w:rsid w:val="00DA739C"/>
    <w:rsid w:val="00DB306F"/>
    <w:rsid w:val="00DB435E"/>
    <w:rsid w:val="00DB4972"/>
    <w:rsid w:val="00DC30BE"/>
    <w:rsid w:val="00DC7A10"/>
    <w:rsid w:val="00DD21C0"/>
    <w:rsid w:val="00DD2288"/>
    <w:rsid w:val="00DE0126"/>
    <w:rsid w:val="00DE5A8C"/>
    <w:rsid w:val="00DF3C8D"/>
    <w:rsid w:val="00DF705D"/>
    <w:rsid w:val="00E00417"/>
    <w:rsid w:val="00E01013"/>
    <w:rsid w:val="00E06C1E"/>
    <w:rsid w:val="00E07DC7"/>
    <w:rsid w:val="00E10325"/>
    <w:rsid w:val="00E103E4"/>
    <w:rsid w:val="00E1118C"/>
    <w:rsid w:val="00E16B2A"/>
    <w:rsid w:val="00E313B4"/>
    <w:rsid w:val="00E335BF"/>
    <w:rsid w:val="00E40981"/>
    <w:rsid w:val="00E41C45"/>
    <w:rsid w:val="00E42D67"/>
    <w:rsid w:val="00E43E15"/>
    <w:rsid w:val="00E45CE9"/>
    <w:rsid w:val="00E46BBD"/>
    <w:rsid w:val="00E50AEC"/>
    <w:rsid w:val="00E51D46"/>
    <w:rsid w:val="00E53229"/>
    <w:rsid w:val="00E55F17"/>
    <w:rsid w:val="00E56473"/>
    <w:rsid w:val="00E6168E"/>
    <w:rsid w:val="00E64E6A"/>
    <w:rsid w:val="00E65FF8"/>
    <w:rsid w:val="00E676A1"/>
    <w:rsid w:val="00E676E4"/>
    <w:rsid w:val="00E7260D"/>
    <w:rsid w:val="00E7305F"/>
    <w:rsid w:val="00E82335"/>
    <w:rsid w:val="00E82888"/>
    <w:rsid w:val="00EA15C9"/>
    <w:rsid w:val="00EA4F9B"/>
    <w:rsid w:val="00EB03A5"/>
    <w:rsid w:val="00EC0D3B"/>
    <w:rsid w:val="00EC3834"/>
    <w:rsid w:val="00ED32AA"/>
    <w:rsid w:val="00ED6016"/>
    <w:rsid w:val="00EE01C7"/>
    <w:rsid w:val="00EE1F57"/>
    <w:rsid w:val="00EE2B1A"/>
    <w:rsid w:val="00EF0F53"/>
    <w:rsid w:val="00EF272B"/>
    <w:rsid w:val="00EF512A"/>
    <w:rsid w:val="00EF76A1"/>
    <w:rsid w:val="00F015D2"/>
    <w:rsid w:val="00F067E0"/>
    <w:rsid w:val="00F071D1"/>
    <w:rsid w:val="00F07DAD"/>
    <w:rsid w:val="00F11559"/>
    <w:rsid w:val="00F14629"/>
    <w:rsid w:val="00F15409"/>
    <w:rsid w:val="00F245A6"/>
    <w:rsid w:val="00F25719"/>
    <w:rsid w:val="00F25ADE"/>
    <w:rsid w:val="00F2687A"/>
    <w:rsid w:val="00F330AE"/>
    <w:rsid w:val="00F35D6F"/>
    <w:rsid w:val="00F36D1F"/>
    <w:rsid w:val="00F421F4"/>
    <w:rsid w:val="00F46575"/>
    <w:rsid w:val="00F53D10"/>
    <w:rsid w:val="00F5545B"/>
    <w:rsid w:val="00F60637"/>
    <w:rsid w:val="00F65F55"/>
    <w:rsid w:val="00F70AF1"/>
    <w:rsid w:val="00F74BA6"/>
    <w:rsid w:val="00F84076"/>
    <w:rsid w:val="00F90052"/>
    <w:rsid w:val="00F92F85"/>
    <w:rsid w:val="00F96046"/>
    <w:rsid w:val="00F971EC"/>
    <w:rsid w:val="00FA062E"/>
    <w:rsid w:val="00FA2F53"/>
    <w:rsid w:val="00FA6E80"/>
    <w:rsid w:val="00FB2ABF"/>
    <w:rsid w:val="00FB79A0"/>
    <w:rsid w:val="00FC1CAD"/>
    <w:rsid w:val="00FC439C"/>
    <w:rsid w:val="00FC5730"/>
    <w:rsid w:val="00FD168F"/>
    <w:rsid w:val="00FD310E"/>
    <w:rsid w:val="00FE4F81"/>
    <w:rsid w:val="00FE559D"/>
    <w:rsid w:val="00FF7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68676D"/>
  <w15:docId w15:val="{AF479D6E-80EF-4840-ACDE-6436E231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49D6"/>
    <w:pPr>
      <w:spacing w:line="240" w:lineRule="auto"/>
    </w:pPr>
    <w:rPr>
      <w:rFonts w:cs="Arial"/>
      <w:szCs w:val="22"/>
    </w:rPr>
  </w:style>
  <w:style w:type="paragraph" w:styleId="Naslov1">
    <w:name w:val="heading 1"/>
    <w:basedOn w:val="Navaden"/>
    <w:next w:val="Navaden"/>
    <w:link w:val="Naslov1Znak"/>
    <w:autoRedefine/>
    <w:qFormat/>
    <w:rsid w:val="00660BB5"/>
    <w:pPr>
      <w:keepNext/>
      <w:numPr>
        <w:numId w:val="8"/>
      </w:numPr>
      <w:spacing w:line="260" w:lineRule="exact"/>
      <w:outlineLvl w:val="0"/>
    </w:pPr>
    <w:rPr>
      <w:b/>
    </w:rPr>
  </w:style>
  <w:style w:type="paragraph" w:styleId="Naslov2">
    <w:name w:val="heading 2"/>
    <w:basedOn w:val="Navaden"/>
    <w:next w:val="Navaden"/>
    <w:link w:val="Naslov2Znak"/>
    <w:autoRedefine/>
    <w:qFormat/>
    <w:rsid w:val="008049D6"/>
    <w:pPr>
      <w:keepNext/>
      <w:numPr>
        <w:ilvl w:val="1"/>
        <w:numId w:val="1"/>
      </w:numPr>
      <w:outlineLvl w:val="1"/>
    </w:pPr>
    <w:rPr>
      <w:b/>
    </w:rPr>
  </w:style>
  <w:style w:type="paragraph" w:styleId="Naslov3">
    <w:name w:val="heading 3"/>
    <w:basedOn w:val="Navaden"/>
    <w:next w:val="Navaden"/>
    <w:link w:val="Naslov3Znak"/>
    <w:autoRedefine/>
    <w:qFormat/>
    <w:rsid w:val="008049D6"/>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8049D6"/>
    <w:pPr>
      <w:jc w:val="center"/>
    </w:pPr>
    <w:rPr>
      <w:b/>
      <w:spacing w:val="80"/>
    </w:rPr>
  </w:style>
  <w:style w:type="character" w:customStyle="1" w:styleId="NaslovZnak">
    <w:name w:val="Naslov Znak"/>
    <w:basedOn w:val="Privzetapisavaodstavka"/>
    <w:link w:val="Naslov"/>
    <w:rsid w:val="008049D6"/>
    <w:rPr>
      <w:rFonts w:cs="Arial"/>
      <w:b/>
      <w:spacing w:val="80"/>
      <w:szCs w:val="22"/>
    </w:rPr>
  </w:style>
  <w:style w:type="character" w:customStyle="1" w:styleId="Naslov1Znak">
    <w:name w:val="Naslov 1 Znak"/>
    <w:basedOn w:val="Privzetapisavaodstavka"/>
    <w:link w:val="Naslov1"/>
    <w:rsid w:val="00660BB5"/>
    <w:rPr>
      <w:rFonts w:cs="Arial"/>
      <w:b/>
      <w:szCs w:val="22"/>
    </w:rPr>
  </w:style>
  <w:style w:type="character" w:customStyle="1" w:styleId="Naslov2Znak">
    <w:name w:val="Naslov 2 Znak"/>
    <w:basedOn w:val="Privzetapisavaodstavka"/>
    <w:link w:val="Naslov2"/>
    <w:rsid w:val="008049D6"/>
    <w:rPr>
      <w:rFonts w:cs="Arial"/>
      <w:b/>
      <w:szCs w:val="22"/>
    </w:rPr>
  </w:style>
  <w:style w:type="character" w:customStyle="1" w:styleId="Naslov3Znak">
    <w:name w:val="Naslov 3 Znak"/>
    <w:basedOn w:val="Privzetapisavaodstavka"/>
    <w:link w:val="Naslov3"/>
    <w:rsid w:val="008049D6"/>
    <w:rPr>
      <w:rFonts w:cs="Arial"/>
      <w:b/>
      <w:szCs w:val="22"/>
    </w:rPr>
  </w:style>
  <w:style w:type="paragraph" w:customStyle="1" w:styleId="Natevanje123">
    <w:name w:val="Naštevanje 1. 2. 3."/>
    <w:basedOn w:val="Navaden"/>
    <w:next w:val="Navaden"/>
    <w:autoRedefine/>
    <w:qFormat/>
    <w:rsid w:val="008049D6"/>
    <w:pPr>
      <w:numPr>
        <w:numId w:val="16"/>
      </w:numPr>
      <w:tabs>
        <w:tab w:val="left" w:pos="567"/>
      </w:tabs>
    </w:pPr>
  </w:style>
  <w:style w:type="paragraph" w:customStyle="1" w:styleId="NatevanjeABC">
    <w:name w:val="Naštevanje A. B. C."/>
    <w:basedOn w:val="Navaden"/>
    <w:next w:val="Navaden"/>
    <w:autoRedefine/>
    <w:qFormat/>
    <w:rsid w:val="008049D6"/>
    <w:pPr>
      <w:numPr>
        <w:numId w:val="17"/>
      </w:numPr>
      <w:tabs>
        <w:tab w:val="left" w:pos="567"/>
      </w:tabs>
    </w:pPr>
  </w:style>
  <w:style w:type="paragraph" w:customStyle="1" w:styleId="NatevanjeIIIIII">
    <w:name w:val="Naštevanje I. II. III."/>
    <w:basedOn w:val="Navaden"/>
    <w:next w:val="Navaden"/>
    <w:autoRedefine/>
    <w:rsid w:val="008049D6"/>
    <w:pPr>
      <w:numPr>
        <w:numId w:val="3"/>
      </w:numPr>
      <w:tabs>
        <w:tab w:val="left" w:pos="567"/>
      </w:tabs>
    </w:pPr>
  </w:style>
  <w:style w:type="paragraph" w:customStyle="1" w:styleId="Zamik1">
    <w:name w:val="Zamik1"/>
    <w:basedOn w:val="Navaden"/>
    <w:link w:val="Zamik1Znak"/>
    <w:autoRedefine/>
    <w:qFormat/>
    <w:rsid w:val="00EC3834"/>
    <w:pPr>
      <w:spacing w:line="260" w:lineRule="exact"/>
    </w:pPr>
  </w:style>
  <w:style w:type="character" w:customStyle="1" w:styleId="Zamik1Znak">
    <w:name w:val="Zamik1 Znak"/>
    <w:link w:val="Zamik1"/>
    <w:rsid w:val="00EC3834"/>
    <w:rPr>
      <w:rFonts w:cs="Arial"/>
      <w:szCs w:val="22"/>
    </w:rPr>
  </w:style>
  <w:style w:type="paragraph" w:customStyle="1" w:styleId="Obrazloitev10">
    <w:name w:val="Obrazložitev 1."/>
    <w:basedOn w:val="Obrazloitev1"/>
    <w:qFormat/>
    <w:rsid w:val="008049D6"/>
    <w:pPr>
      <w:numPr>
        <w:numId w:val="5"/>
      </w:numPr>
    </w:pPr>
  </w:style>
  <w:style w:type="paragraph" w:customStyle="1" w:styleId="Obrazloitev1">
    <w:name w:val="Obrazložitev (1)"/>
    <w:basedOn w:val="Naslov1"/>
    <w:qFormat/>
    <w:rsid w:val="008049D6"/>
    <w:pPr>
      <w:keepNext w:val="0"/>
      <w:widowControl w:val="0"/>
      <w:numPr>
        <w:numId w:val="7"/>
      </w:numPr>
    </w:pPr>
    <w:rPr>
      <w:b w:val="0"/>
      <w:lang w:eastAsia="sl-SI"/>
    </w:rPr>
  </w:style>
  <w:style w:type="paragraph" w:customStyle="1" w:styleId="Obrazloitev11">
    <w:name w:val="Obrazložitev 1.1"/>
    <w:basedOn w:val="Obrazloitev10"/>
    <w:qFormat/>
    <w:rsid w:val="008049D6"/>
    <w:pPr>
      <w:numPr>
        <w:ilvl w:val="1"/>
      </w:numPr>
    </w:pPr>
  </w:style>
  <w:style w:type="paragraph" w:customStyle="1" w:styleId="Obrazloitev11a">
    <w:name w:val="Obrazložitev 1.1.a"/>
    <w:basedOn w:val="Obrazloitev11"/>
    <w:qFormat/>
    <w:rsid w:val="008049D6"/>
    <w:pPr>
      <w:numPr>
        <w:ilvl w:val="2"/>
      </w:numPr>
    </w:pPr>
  </w:style>
  <w:style w:type="paragraph" w:customStyle="1" w:styleId="Izrek1">
    <w:name w:val="Izrek 1."/>
    <w:basedOn w:val="Navaden"/>
    <w:qFormat/>
    <w:rsid w:val="008049D6"/>
    <w:pPr>
      <w:numPr>
        <w:numId w:val="6"/>
      </w:numPr>
    </w:pPr>
  </w:style>
  <w:style w:type="paragraph" w:customStyle="1" w:styleId="Izrek11">
    <w:name w:val="Izrek 1.1"/>
    <w:basedOn w:val="Navaden"/>
    <w:qFormat/>
    <w:rsid w:val="008049D6"/>
    <w:pPr>
      <w:numPr>
        <w:ilvl w:val="1"/>
        <w:numId w:val="6"/>
      </w:numPr>
    </w:pPr>
  </w:style>
  <w:style w:type="paragraph" w:customStyle="1" w:styleId="Izrek11a">
    <w:name w:val="Izrek 1.1.a"/>
    <w:basedOn w:val="Izrek11"/>
    <w:qFormat/>
    <w:rsid w:val="008049D6"/>
    <w:pPr>
      <w:numPr>
        <w:ilvl w:val="2"/>
      </w:numPr>
    </w:pPr>
  </w:style>
  <w:style w:type="paragraph" w:styleId="Besedilooblaka">
    <w:name w:val="Balloon Text"/>
    <w:basedOn w:val="Navaden"/>
    <w:link w:val="BesedilooblakaZnak"/>
    <w:uiPriority w:val="99"/>
    <w:semiHidden/>
    <w:unhideWhenUsed/>
    <w:rsid w:val="0010687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687F"/>
    <w:rPr>
      <w:rFonts w:ascii="Tahoma" w:hAnsi="Tahoma" w:cs="Tahoma"/>
      <w:sz w:val="16"/>
      <w:szCs w:val="16"/>
      <w:lang w:eastAsia="sl-SI"/>
    </w:rPr>
  </w:style>
  <w:style w:type="character" w:styleId="Pripombasklic">
    <w:name w:val="annotation reference"/>
    <w:basedOn w:val="Privzetapisavaodstavka"/>
    <w:uiPriority w:val="99"/>
    <w:semiHidden/>
    <w:unhideWhenUsed/>
    <w:rsid w:val="0070271A"/>
    <w:rPr>
      <w:sz w:val="16"/>
      <w:szCs w:val="16"/>
    </w:rPr>
  </w:style>
  <w:style w:type="paragraph" w:styleId="Zadevapripombe">
    <w:name w:val="annotation subject"/>
    <w:basedOn w:val="Navaden"/>
    <w:next w:val="Navaden"/>
    <w:link w:val="ZadevapripombeZnak"/>
    <w:uiPriority w:val="99"/>
    <w:semiHidden/>
    <w:unhideWhenUsed/>
    <w:rsid w:val="008049D6"/>
    <w:rPr>
      <w:b/>
      <w:bCs/>
    </w:rPr>
  </w:style>
  <w:style w:type="character" w:customStyle="1" w:styleId="ZadevapripombeZnak">
    <w:name w:val="Zadeva pripombe Znak"/>
    <w:basedOn w:val="Privzetapisavaodstavka"/>
    <w:link w:val="Zadevapripombe"/>
    <w:uiPriority w:val="99"/>
    <w:semiHidden/>
    <w:rsid w:val="008049D6"/>
    <w:rPr>
      <w:rFonts w:cs="Times New Roman"/>
      <w:b/>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873" TargetMode="External"/><Relationship Id="rId13" Type="http://schemas.openxmlformats.org/officeDocument/2006/relationships/hyperlink" Target="http://www.uradni-list.si/1/objava.jsp?sop=2022-01-0873" TargetMode="External"/><Relationship Id="rId18" Type="http://schemas.openxmlformats.org/officeDocument/2006/relationships/hyperlink" Target="http://www.uradni-list.si/1/objava.jsp?sop=2019-01-266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07-01-1840" TargetMode="External"/><Relationship Id="rId17" Type="http://schemas.openxmlformats.org/officeDocument/2006/relationships/hyperlink" Target="http://www.uradni-list.si/1/objava.jsp?sop=2018-01-2127" TargetMode="External"/><Relationship Id="rId2" Type="http://schemas.openxmlformats.org/officeDocument/2006/relationships/numbering" Target="numbering.xml"/><Relationship Id="rId16" Type="http://schemas.openxmlformats.org/officeDocument/2006/relationships/hyperlink" Target="http://www.uradni-list.si/1/objava.jsp?sop=2022-01-087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979" TargetMode="External"/><Relationship Id="rId5" Type="http://schemas.openxmlformats.org/officeDocument/2006/relationships/webSettings" Target="webSettings.xml"/><Relationship Id="rId15" Type="http://schemas.openxmlformats.org/officeDocument/2006/relationships/hyperlink" Target="http://www.uradni-list.si/1/objava.jsp?sop=2019-01-2667" TargetMode="External"/><Relationship Id="rId23" Type="http://schemas.openxmlformats.org/officeDocument/2006/relationships/theme" Target="theme/theme1.xml"/><Relationship Id="rId10" Type="http://schemas.openxmlformats.org/officeDocument/2006/relationships/hyperlink" Target="http://www.uradni-list.si/1/objava.jsp?sop=2022-01-0873" TargetMode="External"/><Relationship Id="rId19" Type="http://schemas.openxmlformats.org/officeDocument/2006/relationships/hyperlink" Target="http://www.uradni-list.si/1/objava.jsp?sop=2022-01-0873" TargetMode="External"/><Relationship Id="rId4" Type="http://schemas.openxmlformats.org/officeDocument/2006/relationships/settings" Target="settings.xml"/><Relationship Id="rId9" Type="http://schemas.openxmlformats.org/officeDocument/2006/relationships/hyperlink" Target="mailto:obcina.idrija@idrija.si" TargetMode="External"/><Relationship Id="rId14" Type="http://schemas.openxmlformats.org/officeDocument/2006/relationships/hyperlink" Target="http://www.uradni-list.si/1/objava.jsp?sop=2018-01-212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44BFDB-B295-4156-AF05-7F796C8E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15</Pages>
  <Words>8191</Words>
  <Characters>46693</Characters>
  <Application>Microsoft Office Word</Application>
  <DocSecurity>0</DocSecurity>
  <Lines>389</Lines>
  <Paragraphs>109</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Tanja.Sebek</dc:creator>
  <cp:lastModifiedBy>Pavla Koc</cp:lastModifiedBy>
  <cp:revision>21</cp:revision>
  <cp:lastPrinted>2024-01-29T07:57:00Z</cp:lastPrinted>
  <dcterms:created xsi:type="dcterms:W3CDTF">2024-01-05T13:33:00Z</dcterms:created>
  <dcterms:modified xsi:type="dcterms:W3CDTF">2024-01-30T07:47:00Z</dcterms:modified>
</cp:coreProperties>
</file>