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1100-7</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886A64" w:rsidRPr="00886A64">
        <w:rPr>
          <w:rFonts w:cs="Arial"/>
          <w:szCs w:val="20"/>
        </w:rPr>
        <w:t xml:space="preserve">   5</w:t>
      </w:r>
      <w:r w:rsidR="00FE4723" w:rsidRPr="00886A64">
        <w:rPr>
          <w:rFonts w:cs="Arial"/>
          <w:szCs w:val="20"/>
        </w:rPr>
        <w:t xml:space="preserve">. </w:t>
      </w:r>
      <w:r w:rsidR="00886A64" w:rsidRPr="00886A64">
        <w:rPr>
          <w:rFonts w:cs="Arial"/>
          <w:szCs w:val="20"/>
        </w:rPr>
        <w:t>5</w:t>
      </w:r>
      <w:r w:rsidR="00FE4723" w:rsidRPr="00886A64">
        <w:rPr>
          <w:rFonts w:cs="Arial"/>
          <w:szCs w:val="20"/>
        </w:rPr>
        <w:t>. 2023</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b/>
          <w:szCs w:val="20"/>
        </w:rPr>
      </w:pPr>
      <w:r w:rsidRPr="00886A64">
        <w:rPr>
          <w:rFonts w:cs="Arial"/>
          <w:b/>
          <w:szCs w:val="20"/>
        </w:rPr>
        <w:t>PODSEKRETAR, šifra DM 256 v Direktoratu za kohezijo, v Uradu za kohezijsko politiko, v Sektorju za sklade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86A64" w:rsidRPr="00886A64" w:rsidRDefault="00886A64" w:rsidP="00886A64">
      <w:pPr>
        <w:pStyle w:val="Odstavekseznama"/>
        <w:numPr>
          <w:ilvl w:val="0"/>
          <w:numId w:val="44"/>
        </w:numPr>
        <w:spacing w:line="240" w:lineRule="auto"/>
        <w:contextualSpacing/>
        <w:jc w:val="both"/>
        <w:rPr>
          <w:lang w:eastAsia="en-US"/>
        </w:rPr>
      </w:pPr>
      <w:r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886A64" w:rsidRPr="00886A64" w:rsidRDefault="00886A64" w:rsidP="00886A64">
      <w:pPr>
        <w:numPr>
          <w:ilvl w:val="0"/>
          <w:numId w:val="44"/>
        </w:numPr>
        <w:spacing w:line="20" w:lineRule="atLeast"/>
        <w:jc w:val="both"/>
        <w:rPr>
          <w:rFonts w:cs="Arial"/>
          <w:color w:val="000000"/>
          <w:szCs w:val="20"/>
        </w:rPr>
      </w:pPr>
      <w:r w:rsidRPr="00886A64">
        <w:rPr>
          <w:rFonts w:cs="Arial"/>
          <w:color w:val="000000"/>
          <w:szCs w:val="20"/>
        </w:rPr>
        <w:t>najmanj 6 let delovnih izkušenj,</w:t>
      </w:r>
    </w:p>
    <w:p w:rsidR="00886A64" w:rsidRPr="00886A64" w:rsidRDefault="00886A64" w:rsidP="00886A64">
      <w:pPr>
        <w:numPr>
          <w:ilvl w:val="0"/>
          <w:numId w:val="44"/>
        </w:numPr>
        <w:spacing w:line="20" w:lineRule="atLeast"/>
        <w:jc w:val="both"/>
        <w:rPr>
          <w:rFonts w:cs="Arial"/>
          <w:szCs w:val="20"/>
        </w:rPr>
      </w:pPr>
      <w:r w:rsidRPr="00886A64">
        <w:rPr>
          <w:rFonts w:cs="Arial"/>
          <w:szCs w:val="20"/>
        </w:rPr>
        <w:t>opravljeno obvezno usposabljanje za imenovanje v naziv;</w:t>
      </w:r>
    </w:p>
    <w:p w:rsidR="00886A64" w:rsidRPr="00886A64" w:rsidRDefault="00886A64" w:rsidP="00886A64">
      <w:pPr>
        <w:numPr>
          <w:ilvl w:val="0"/>
          <w:numId w:val="44"/>
        </w:numPr>
        <w:spacing w:line="20" w:lineRule="atLeast"/>
        <w:ind w:right="-19"/>
        <w:jc w:val="both"/>
        <w:rPr>
          <w:rFonts w:cs="Arial"/>
          <w:szCs w:val="20"/>
        </w:rPr>
      </w:pPr>
      <w:r w:rsidRPr="00886A64">
        <w:rPr>
          <w:rFonts w:cs="Arial"/>
          <w:szCs w:val="20"/>
        </w:rPr>
        <w:t>osnovna raven znanja angleškega jezika,</w:t>
      </w:r>
    </w:p>
    <w:p w:rsidR="00886A64" w:rsidRPr="00886A64" w:rsidRDefault="00886A64" w:rsidP="00886A64">
      <w:pPr>
        <w:numPr>
          <w:ilvl w:val="0"/>
          <w:numId w:val="44"/>
        </w:numPr>
        <w:spacing w:line="240" w:lineRule="auto"/>
        <w:jc w:val="both"/>
        <w:rPr>
          <w:rFonts w:cs="Arial"/>
          <w:szCs w:val="20"/>
        </w:rPr>
      </w:pPr>
      <w:r w:rsidRPr="00886A64">
        <w:rPr>
          <w:rFonts w:cs="Arial"/>
          <w:szCs w:val="20"/>
        </w:rPr>
        <w:t>znanje uradnega jezika;</w:t>
      </w:r>
    </w:p>
    <w:p w:rsidR="00886A64" w:rsidRPr="00886A64" w:rsidRDefault="00886A64" w:rsidP="00886A64">
      <w:pPr>
        <w:numPr>
          <w:ilvl w:val="0"/>
          <w:numId w:val="44"/>
        </w:numPr>
        <w:spacing w:line="240" w:lineRule="auto"/>
        <w:jc w:val="both"/>
        <w:rPr>
          <w:rFonts w:cs="Arial"/>
          <w:szCs w:val="20"/>
        </w:rPr>
      </w:pPr>
      <w:r w:rsidRPr="00886A64">
        <w:rPr>
          <w:rFonts w:cs="Arial"/>
          <w:szCs w:val="20"/>
        </w:rPr>
        <w:t>državljanstvo Republike Slovenije;</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zoper njih ne sme biti vložena pravnomočna obtožnica zaradi naklepnega kaznivega dejanja, ki se preganja po uradni dolžnosti.</w:t>
      </w:r>
    </w:p>
    <w:p w:rsidR="00886A64" w:rsidRPr="00886A64" w:rsidRDefault="00886A64" w:rsidP="00886A64">
      <w:pPr>
        <w:spacing w:line="20" w:lineRule="atLeast"/>
        <w:ind w:left="360" w:right="-19"/>
        <w:jc w:val="both"/>
        <w:rPr>
          <w:rFonts w:cs="Arial"/>
          <w:szCs w:val="20"/>
        </w:rPr>
      </w:pP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spacing w:line="20" w:lineRule="atLeast"/>
        <w:rPr>
          <w:rFonts w:cs="Arial"/>
          <w:szCs w:val="20"/>
        </w:rPr>
      </w:pPr>
      <w:r w:rsidRPr="00886A64">
        <w:rPr>
          <w:rFonts w:cs="Arial"/>
          <w:szCs w:val="20"/>
        </w:rPr>
        <w:t>Za javne uslužbence, ki so opravili strokovni izpit za imenovanje v naziv skladno z določbami ZJU in/ali so se udeležili priprav na strokovni izpit za imenovanje v naziv, se šteje, da izpolnjujejo pogoj obveznega usposabljanja po 89. členu ZJU.</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886A64" w:rsidRPr="00886A64" w:rsidRDefault="00886A64" w:rsidP="00886A64">
      <w:pPr>
        <w:numPr>
          <w:ilvl w:val="0"/>
          <w:numId w:val="44"/>
        </w:numPr>
        <w:spacing w:line="240" w:lineRule="auto"/>
        <w:jc w:val="both"/>
        <w:rPr>
          <w:rFonts w:cs="Arial"/>
          <w:szCs w:val="20"/>
        </w:rPr>
      </w:pPr>
      <w:r w:rsidRPr="00886A64">
        <w:t>organiziranje</w:t>
      </w:r>
      <w:r w:rsidRPr="00886A64">
        <w:rPr>
          <w:rFonts w:cs="Arial"/>
          <w:szCs w:val="20"/>
        </w:rPr>
        <w:t xml:space="preserve"> medsebojnega sodelovanja in usklajevanja notranjih organizacijskih enot in sodelovanja z drugimi organi,</w:t>
      </w:r>
    </w:p>
    <w:p w:rsidR="00886A64" w:rsidRPr="00886A64" w:rsidRDefault="00886A64" w:rsidP="00886A64">
      <w:pPr>
        <w:numPr>
          <w:ilvl w:val="0"/>
          <w:numId w:val="44"/>
        </w:numPr>
        <w:spacing w:line="240" w:lineRule="auto"/>
        <w:jc w:val="both"/>
        <w:rPr>
          <w:rFonts w:cs="Arial"/>
          <w:szCs w:val="20"/>
        </w:rPr>
      </w:pPr>
      <w:r w:rsidRPr="00886A64">
        <w:rPr>
          <w:rFonts w:cs="Arial"/>
          <w:szCs w:val="20"/>
        </w:rPr>
        <w:t xml:space="preserve"> vodenje in sodelovanje v najzahtevnejših projektnih skupinah, </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oblikovanje sistemskih rešitev, zahtevnih analiz, poročil in drugih najzahtevnejših gradiv,</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opravljanje strokovnih nalog v procesih načrtovanja s področja ukrepanja strukturnih in kohezijskega sklada,</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opravljanje strokovnih nalog v procesih za izbor in potrjevanje operacij s področja ukrepanja strukturnih in kohezijskega sklada,</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opravljanje strokovnih nalog v procesih spremljanja in poročanja s področja ukrepanja strukturnih in kohezijskega sklada,</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opravljanje strokovnih nalog v procesih vrednotenja s področja ukrepanja strukturnih in kohezijskega sklada,</w:t>
      </w:r>
    </w:p>
    <w:p w:rsidR="00886A64" w:rsidRPr="00886A64" w:rsidRDefault="00886A64" w:rsidP="00886A64">
      <w:pPr>
        <w:numPr>
          <w:ilvl w:val="0"/>
          <w:numId w:val="44"/>
        </w:numPr>
        <w:spacing w:line="240" w:lineRule="auto"/>
        <w:jc w:val="both"/>
        <w:rPr>
          <w:rFonts w:cs="Arial"/>
          <w:szCs w:val="20"/>
        </w:rPr>
      </w:pPr>
      <w:r w:rsidRPr="00886A64">
        <w:rPr>
          <w:rFonts w:cs="Arial"/>
          <w:szCs w:val="20"/>
        </w:rPr>
        <w:t>samostojno opravljanje strokovnih nalog v  procesih izvajanja in zaključevanja s področja ukrepanja strukturnih in kohezijskega sklada,</w:t>
      </w:r>
    </w:p>
    <w:p w:rsidR="00886A64" w:rsidRPr="00886A64" w:rsidRDefault="00886A64" w:rsidP="00886A64">
      <w:pPr>
        <w:numPr>
          <w:ilvl w:val="0"/>
          <w:numId w:val="44"/>
        </w:numPr>
        <w:spacing w:line="240" w:lineRule="auto"/>
        <w:jc w:val="both"/>
        <w:rPr>
          <w:rFonts w:cs="Arial"/>
          <w:szCs w:val="20"/>
        </w:rPr>
      </w:pPr>
      <w:r w:rsidRPr="00886A64">
        <w:rPr>
          <w:rFonts w:cs="Arial"/>
          <w:szCs w:val="20"/>
        </w:rPr>
        <w:t>opravljanje drugih najzahtevnejših nalog po navodilih nadrejenega,</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neposredna pomoč pri vodenju strokovnih nalog na delu delovnega področja ministrstva.</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Zaposlitev se financira iz projekta TP – Cilj 1 v okviru Evropske kohezijske politike.</w:t>
      </w:r>
    </w:p>
    <w:p w:rsidR="00886A64" w:rsidRPr="00886A64" w:rsidRDefault="00886A64" w:rsidP="00886A64">
      <w:pPr>
        <w:pStyle w:val="Brezrazmikov"/>
        <w:spacing w:line="276" w:lineRule="auto"/>
        <w:jc w:val="both"/>
        <w:rPr>
          <w:rFonts w:cs="Arial"/>
          <w:b/>
          <w:szCs w:val="20"/>
        </w:rPr>
      </w:pPr>
    </w:p>
    <w:p w:rsidR="00886A64" w:rsidRPr="00886A64" w:rsidRDefault="00886A64" w:rsidP="00886A64">
      <w:pPr>
        <w:spacing w:line="276" w:lineRule="auto"/>
        <w:ind w:left="720"/>
        <w:jc w:val="both"/>
        <w:rPr>
          <w:rFonts w:cs="Arial"/>
          <w:szCs w:val="20"/>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Pr="00886A64" w:rsidRDefault="00886A64"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shd w:val="clear" w:color="auto" w:fill="FFFFFF"/>
        <w:spacing w:line="240" w:lineRule="auto"/>
        <w:jc w:val="both"/>
        <w:rPr>
          <w:rFonts w:cs="Arial"/>
          <w:szCs w:val="20"/>
        </w:rPr>
      </w:pPr>
      <w:r w:rsidRPr="00886A64">
        <w:rPr>
          <w:rFonts w:cs="Arial"/>
          <w:szCs w:val="20"/>
        </w:rPr>
        <w:t xml:space="preserve">Izbrani kandidat bo delo na delovnem mestu opravljal v uradniškem nazivu Podsekretar z možnostjo napredovanja v naziv Sekretar. </w:t>
      </w:r>
      <w:r w:rsidRPr="00886A64">
        <w:t xml:space="preserve">Z izbranim kandidatom bo sklenjeno delovno razmerje za nedoločen čas, </w:t>
      </w:r>
      <w:r w:rsidRPr="00886A64">
        <w:rPr>
          <w:rFonts w:cs="Arial"/>
          <w:color w:val="000000"/>
          <w:szCs w:val="20"/>
        </w:rPr>
        <w:t xml:space="preserve">s polnim delovnim časom. </w:t>
      </w:r>
      <w:r w:rsidRPr="00886A64">
        <w:t xml:space="preserve">Izbrani kandidat bo delo opravljal </w:t>
      </w:r>
      <w:r w:rsidRPr="00886A64">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 xml:space="preserve">V izbirni postopek se bodo v skladu z 12. členom Uredbe o postopku za zasedbo delovnega mesta v organih državne uprave in v pravosodnih organih (Uradni list RS, št. 139/06 in 140/10) </w:t>
      </w:r>
      <w:r w:rsidRPr="00886A64">
        <w:lastRenderedPageBreak/>
        <w:t>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t xml:space="preserve">Kandidat vloži prijavo v pisni obliki </w:t>
      </w:r>
      <w:r w:rsidRPr="00886A64">
        <w:rPr>
          <w:rFonts w:cs="Arial"/>
          <w:szCs w:val="20"/>
        </w:rPr>
        <w:t xml:space="preserve">na priloženem obrazcu </w:t>
      </w:r>
      <w:r w:rsidRPr="00886A64">
        <w:rPr>
          <w:rFonts w:cs="Arial"/>
          <w:b/>
          <w:szCs w:val="20"/>
        </w:rPr>
        <w:t>»Vloga za zaposlitev, št. 1100-7/2023«</w:t>
      </w:r>
      <w:r w:rsidRPr="00886A64">
        <w:rPr>
          <w:rFonts w:cs="Arial"/>
          <w:szCs w:val="20"/>
          <w:lang w:eastAsia="sl-SI"/>
        </w:rPr>
        <w:t xml:space="preserve">, ki jo pošlje v zaprti ovojnici z označbo: </w:t>
      </w:r>
      <w:r w:rsidRPr="00886A64">
        <w:rPr>
          <w:rFonts w:cs="Arial"/>
          <w:b/>
          <w:szCs w:val="20"/>
          <w:lang w:eastAsia="sl-SI"/>
        </w:rPr>
        <w:t>»za javni natečaj št. 1100-7/2023 –Podsekretar, šifra DM 256«,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Pr="00886A64">
        <w:rPr>
          <w:rFonts w:cs="Arial"/>
          <w:b/>
          <w:szCs w:val="20"/>
        </w:rPr>
        <w:t xml:space="preserve">8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jc w:val="both"/>
        <w:rPr>
          <w:rFonts w:cs="Arial"/>
          <w:b/>
          <w:szCs w:val="20"/>
          <w:u w:val="single"/>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bookmarkStart w:id="0" w:name="_GoBack"/>
      <w:r w:rsidRPr="00886A64">
        <w:rPr>
          <w:rFonts w:cs="Arial"/>
          <w:szCs w:val="20"/>
        </w:rPr>
        <w:t>Dodatne informacije o delovnem področju daje</w:t>
      </w:r>
      <w:r>
        <w:rPr>
          <w:rFonts w:cs="Arial"/>
          <w:szCs w:val="20"/>
        </w:rPr>
        <w:t xml:space="preserve"> </w:t>
      </w:r>
      <w:r w:rsidR="00FD1E62">
        <w:rPr>
          <w:rFonts w:cs="Arial"/>
          <w:szCs w:val="20"/>
        </w:rPr>
        <w:t>Dijana Pirc, telefon: 01 400 37 76</w:t>
      </w:r>
      <w:r w:rsidRPr="00886A64">
        <w:rPr>
          <w:rFonts w:cs="Arial"/>
          <w:szCs w:val="20"/>
        </w:rPr>
        <w:t>, o izvedbi postopka zaposlitve pa Katja Doles Rotar, telefon: 01 400 36 87.</w:t>
      </w:r>
    </w:p>
    <w:bookmarkEnd w:id="0"/>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obrazec »Vloga za zaposlitev, št. 1100-7/2023«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54269F" w:rsidP="000216C9">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simplePos x="0" y="0"/>
          <wp:positionH relativeFrom="column">
            <wp:posOffset>5153025</wp:posOffset>
          </wp:positionH>
          <wp:positionV relativeFrom="paragraph">
            <wp:posOffset>-295910</wp:posOffset>
          </wp:positionV>
          <wp:extent cx="1116330" cy="465455"/>
          <wp:effectExtent l="0" t="0" r="7620" b="0"/>
          <wp:wrapTopAndBottom/>
          <wp:docPr id="5" name="Slika 5" descr="Logo_EKP_strukturni_in_investicijski_skladi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trukturni_in_investicijski_skladi_SLO_slog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33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D1A4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0"/>
  </w:num>
  <w:num w:numId="3">
    <w:abstractNumId w:val="0"/>
  </w:num>
  <w:num w:numId="4">
    <w:abstractNumId w:val="22"/>
  </w:num>
  <w:num w:numId="5">
    <w:abstractNumId w:val="18"/>
  </w:num>
  <w:num w:numId="6">
    <w:abstractNumId w:val="38"/>
  </w:num>
  <w:num w:numId="7">
    <w:abstractNumId w:val="27"/>
  </w:num>
  <w:num w:numId="8">
    <w:abstractNumId w:val="42"/>
  </w:num>
  <w:num w:numId="9">
    <w:abstractNumId w:val="9"/>
  </w:num>
  <w:num w:numId="10">
    <w:abstractNumId w:val="34"/>
  </w:num>
  <w:num w:numId="11">
    <w:abstractNumId w:val="2"/>
  </w:num>
  <w:num w:numId="12">
    <w:abstractNumId w:val="8"/>
  </w:num>
  <w:num w:numId="13">
    <w:abstractNumId w:val="5"/>
  </w:num>
  <w:num w:numId="14">
    <w:abstractNumId w:val="31"/>
  </w:num>
  <w:num w:numId="15">
    <w:abstractNumId w:val="21"/>
  </w:num>
  <w:num w:numId="16">
    <w:abstractNumId w:val="1"/>
  </w:num>
  <w:num w:numId="17">
    <w:abstractNumId w:val="33"/>
  </w:num>
  <w:num w:numId="18">
    <w:abstractNumId w:val="24"/>
  </w:num>
  <w:num w:numId="19">
    <w:abstractNumId w:val="7"/>
  </w:num>
  <w:num w:numId="20">
    <w:abstractNumId w:val="6"/>
  </w:num>
  <w:num w:numId="21">
    <w:abstractNumId w:val="37"/>
  </w:num>
  <w:num w:numId="22">
    <w:abstractNumId w:val="25"/>
  </w:num>
  <w:num w:numId="23">
    <w:abstractNumId w:val="28"/>
  </w:num>
  <w:num w:numId="24">
    <w:abstractNumId w:val="40"/>
  </w:num>
  <w:num w:numId="25">
    <w:abstractNumId w:val="30"/>
  </w:num>
  <w:num w:numId="26">
    <w:abstractNumId w:val="10"/>
  </w:num>
  <w:num w:numId="27">
    <w:abstractNumId w:val="39"/>
  </w:num>
  <w:num w:numId="28">
    <w:abstractNumId w:val="35"/>
  </w:num>
  <w:num w:numId="29">
    <w:abstractNumId w:val="32"/>
  </w:num>
  <w:num w:numId="30">
    <w:abstractNumId w:val="14"/>
  </w:num>
  <w:num w:numId="31">
    <w:abstractNumId w:val="16"/>
  </w:num>
  <w:num w:numId="32">
    <w:abstractNumId w:val="19"/>
  </w:num>
  <w:num w:numId="33">
    <w:abstractNumId w:val="26"/>
  </w:num>
  <w:num w:numId="34">
    <w:abstractNumId w:val="3"/>
  </w:num>
  <w:num w:numId="35">
    <w:abstractNumId w:val="36"/>
  </w:num>
  <w:num w:numId="36">
    <w:abstractNumId w:val="41"/>
  </w:num>
  <w:num w:numId="37">
    <w:abstractNumId w:val="43"/>
  </w:num>
  <w:num w:numId="38">
    <w:abstractNumId w:val="15"/>
  </w:num>
  <w:num w:numId="39">
    <w:abstractNumId w:val="23"/>
  </w:num>
  <w:num w:numId="40">
    <w:abstractNumId w:val="4"/>
  </w:num>
  <w:num w:numId="41">
    <w:abstractNumId w:val="17"/>
  </w:num>
  <w:num w:numId="42">
    <w:abstractNumId w:val="29"/>
  </w:num>
  <w:num w:numId="43">
    <w:abstractNumId w:val="11"/>
  </w:num>
  <w:num w:numId="4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68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
    </o:shapedefaults>
    <o:shapelayout v:ext="edit">
      <o:idmap v:ext="edit" data="1"/>
    </o:shapelayout>
  </w:shapeDefaults>
  <w:doNotEmbedSmartTags/>
  <w:decimalSymbol w:val=","/>
  <w:listSeparator w:val=";"/>
  <w14:docId w14:val="58E4846D"/>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1102</Words>
  <Characters>6905</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7992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3</cp:revision>
  <cp:lastPrinted>2014-11-11T11:21:00Z</cp:lastPrinted>
  <dcterms:created xsi:type="dcterms:W3CDTF">2023-05-05T06:09:00Z</dcterms:created>
  <dcterms:modified xsi:type="dcterms:W3CDTF">2023-05-05T06:12:00Z</dcterms:modified>
</cp:coreProperties>
</file>