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E35D42" w14:paraId="2B574420" w14:textId="77777777" w:rsidTr="00F448C3">
        <w:tc>
          <w:tcPr>
            <w:tcW w:w="5954" w:type="dxa"/>
          </w:tcPr>
          <w:p w14:paraId="7E0E94FC" w14:textId="0778AB1F" w:rsidR="00E35D42" w:rsidRDefault="00F448C3" w:rsidP="002F395B">
            <w:pPr>
              <w:jc w:val="both"/>
            </w:pPr>
            <w:r w:rsidRPr="00F448C3">
              <w:rPr>
                <w:rFonts w:ascii="Calibri" w:eastAsia="Calibri" w:hAnsi="Calibri" w:cs="Times New Roman"/>
                <w:noProof/>
                <w:kern w:val="0"/>
                <w:lang w:val="en-GB" w:eastAsia="sl-SI"/>
                <w14:ligatures w14:val="none"/>
              </w:rPr>
              <w:drawing>
                <wp:anchor distT="0" distB="0" distL="114300" distR="114300" simplePos="0" relativeHeight="251659264" behindDoc="0" locked="0" layoutInCell="1" allowOverlap="1" wp14:anchorId="3B497E7B" wp14:editId="7F5F1541">
                  <wp:simplePos x="0" y="0"/>
                  <wp:positionH relativeFrom="column">
                    <wp:posOffset>0</wp:posOffset>
                  </wp:positionH>
                  <wp:positionV relativeFrom="paragraph">
                    <wp:posOffset>128270</wp:posOffset>
                  </wp:positionV>
                  <wp:extent cx="3347085" cy="276827"/>
                  <wp:effectExtent l="0" t="0" r="0" b="9525"/>
                  <wp:wrapNone/>
                  <wp:docPr id="1" name="Slika 1" descr="C:\Users\mvodopivec\Desktop\Logotipi\Logotip MK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dopivec\Desktop\Logotipi\Logotip MKR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7085" cy="2768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8" w:type="dxa"/>
          </w:tcPr>
          <w:p w14:paraId="10767445" w14:textId="77777777" w:rsidR="00E35D42" w:rsidRDefault="00E35D42" w:rsidP="002F395B">
            <w:pPr>
              <w:jc w:val="right"/>
            </w:pPr>
            <w:r w:rsidRPr="00E35D42">
              <w:rPr>
                <w:rFonts w:ascii="Calibri" w:eastAsia="Calibri" w:hAnsi="Calibri" w:cs="Times New Roman"/>
                <w:noProof/>
                <w:kern w:val="0"/>
                <w:lang w:val="en-GB"/>
                <w14:ligatures w14:val="none"/>
              </w:rPr>
              <w:drawing>
                <wp:inline distT="0" distB="0" distL="0" distR="0" wp14:anchorId="61A8F6B6" wp14:editId="2A0D8573">
                  <wp:extent cx="1835150" cy="5302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pic:spPr>
                      </pic:pic>
                    </a:graphicData>
                  </a:graphic>
                </wp:inline>
              </w:drawing>
            </w:r>
          </w:p>
        </w:tc>
      </w:tr>
    </w:tbl>
    <w:p w14:paraId="69F177A0" w14:textId="77777777" w:rsidR="00F32D0C" w:rsidRDefault="00F32D0C" w:rsidP="007730E6">
      <w:pPr>
        <w:jc w:val="center"/>
      </w:pPr>
    </w:p>
    <w:p w14:paraId="285376E8" w14:textId="77777777" w:rsidR="00E35D42" w:rsidRPr="007E5EE7" w:rsidRDefault="00E35D42" w:rsidP="007730E6">
      <w:pPr>
        <w:jc w:val="center"/>
        <w:rPr>
          <w:sz w:val="72"/>
          <w:szCs w:val="72"/>
        </w:rPr>
      </w:pPr>
    </w:p>
    <w:p w14:paraId="34695A79" w14:textId="77777777" w:rsidR="007E5EE7" w:rsidRPr="007E5EE7" w:rsidRDefault="007E5EE7" w:rsidP="007730E6">
      <w:pPr>
        <w:jc w:val="center"/>
        <w:rPr>
          <w:sz w:val="72"/>
          <w:szCs w:val="72"/>
        </w:rPr>
      </w:pPr>
    </w:p>
    <w:p w14:paraId="5CDC756D" w14:textId="167C3E0E" w:rsidR="00E35D42" w:rsidRPr="00E96492" w:rsidRDefault="00E96492" w:rsidP="00E35D42">
      <w:pPr>
        <w:jc w:val="center"/>
        <w:rPr>
          <w:b/>
          <w:bCs/>
          <w:sz w:val="36"/>
          <w:szCs w:val="36"/>
        </w:rPr>
      </w:pPr>
      <w:r w:rsidRPr="00E96492">
        <w:rPr>
          <w:b/>
          <w:bCs/>
          <w:sz w:val="36"/>
          <w:szCs w:val="36"/>
        </w:rPr>
        <w:t xml:space="preserve">DRUGI </w:t>
      </w:r>
      <w:r w:rsidR="00E35D42" w:rsidRPr="00E96492">
        <w:rPr>
          <w:b/>
          <w:bCs/>
          <w:sz w:val="36"/>
          <w:szCs w:val="36"/>
        </w:rPr>
        <w:t>ŠVICARSKI PRISPEVEK</w:t>
      </w:r>
    </w:p>
    <w:p w14:paraId="01A11E65" w14:textId="77777777" w:rsidR="007E5EE7" w:rsidRPr="007E5EE7" w:rsidRDefault="007E5EE7" w:rsidP="00E35D42">
      <w:pPr>
        <w:jc w:val="center"/>
        <w:rPr>
          <w:b/>
          <w:bCs/>
          <w:sz w:val="72"/>
          <w:szCs w:val="72"/>
        </w:rPr>
      </w:pPr>
    </w:p>
    <w:p w14:paraId="4F521DA4" w14:textId="54A8B369" w:rsidR="00E35D42" w:rsidRPr="00E96492" w:rsidRDefault="00E96492" w:rsidP="00E35D42">
      <w:pPr>
        <w:jc w:val="center"/>
        <w:rPr>
          <w:b/>
          <w:bCs/>
          <w:color w:val="4472C4" w:themeColor="accent1"/>
          <w:sz w:val="36"/>
          <w:szCs w:val="36"/>
        </w:rPr>
      </w:pPr>
      <w:r w:rsidRPr="00E96492">
        <w:rPr>
          <w:b/>
          <w:bCs/>
          <w:color w:val="4472C4" w:themeColor="accent1"/>
          <w:sz w:val="36"/>
          <w:szCs w:val="36"/>
        </w:rPr>
        <w:t>NEPRAVILNOSTI</w:t>
      </w:r>
    </w:p>
    <w:p w14:paraId="42272292" w14:textId="2C05D643" w:rsidR="00E96492" w:rsidRPr="00E96492" w:rsidRDefault="00E96492" w:rsidP="00E35D42">
      <w:pPr>
        <w:jc w:val="center"/>
        <w:rPr>
          <w:b/>
          <w:bCs/>
          <w:color w:val="4472C4" w:themeColor="accent1"/>
          <w:sz w:val="36"/>
          <w:szCs w:val="36"/>
        </w:rPr>
      </w:pPr>
      <w:r w:rsidRPr="00E96492">
        <w:rPr>
          <w:b/>
          <w:bCs/>
          <w:color w:val="4472C4" w:themeColor="accent1"/>
          <w:sz w:val="36"/>
          <w:szCs w:val="36"/>
        </w:rPr>
        <w:t>S</w:t>
      </w:r>
      <w:r w:rsidR="00BF3472" w:rsidRPr="00E96492">
        <w:rPr>
          <w:b/>
          <w:bCs/>
          <w:color w:val="4472C4" w:themeColor="accent1"/>
          <w:sz w:val="36"/>
          <w:szCs w:val="36"/>
        </w:rPr>
        <w:t>MERNICE</w:t>
      </w:r>
    </w:p>
    <w:p w14:paraId="4D5257CF" w14:textId="77777777" w:rsidR="007E5EE7" w:rsidRDefault="007E5EE7" w:rsidP="00E35D42">
      <w:pPr>
        <w:jc w:val="center"/>
        <w:rPr>
          <w:b/>
          <w:bCs/>
          <w:sz w:val="72"/>
          <w:szCs w:val="72"/>
        </w:rPr>
      </w:pPr>
    </w:p>
    <w:p w14:paraId="36DF873C" w14:textId="77777777" w:rsidR="007E5EE7" w:rsidRDefault="007E5EE7" w:rsidP="00E35D42">
      <w:pPr>
        <w:jc w:val="center"/>
        <w:rPr>
          <w:b/>
          <w:bCs/>
          <w:sz w:val="72"/>
          <w:szCs w:val="72"/>
        </w:rPr>
      </w:pPr>
    </w:p>
    <w:p w14:paraId="037B2C4A" w14:textId="77777777" w:rsidR="007E5EE7" w:rsidRDefault="007E5EE7" w:rsidP="00E35D42">
      <w:pPr>
        <w:jc w:val="center"/>
        <w:rPr>
          <w:b/>
          <w:bCs/>
          <w:sz w:val="72"/>
          <w:szCs w:val="72"/>
        </w:rPr>
      </w:pPr>
    </w:p>
    <w:p w14:paraId="7A82025E" w14:textId="77777777" w:rsidR="007E5EE7" w:rsidRDefault="007E5EE7" w:rsidP="00E35D42">
      <w:pPr>
        <w:jc w:val="center"/>
        <w:rPr>
          <w:b/>
          <w:bCs/>
          <w:sz w:val="72"/>
          <w:szCs w:val="72"/>
        </w:rPr>
      </w:pPr>
    </w:p>
    <w:p w14:paraId="5DDC1436" w14:textId="53F6DC6D" w:rsidR="00E96492" w:rsidRDefault="00E96492" w:rsidP="00E35D42">
      <w:pPr>
        <w:jc w:val="center"/>
        <w:rPr>
          <w:b/>
          <w:bCs/>
          <w:sz w:val="24"/>
          <w:szCs w:val="24"/>
        </w:rPr>
      </w:pPr>
      <w:r>
        <w:rPr>
          <w:b/>
          <w:bCs/>
          <w:sz w:val="24"/>
          <w:szCs w:val="24"/>
        </w:rPr>
        <w:t>Verzija 1</w:t>
      </w:r>
    </w:p>
    <w:p w14:paraId="1F534605" w14:textId="741828A4" w:rsidR="007E5EE7" w:rsidRPr="00E96492" w:rsidRDefault="007E5EE7" w:rsidP="00E35D42">
      <w:pPr>
        <w:jc w:val="center"/>
        <w:rPr>
          <w:b/>
          <w:bCs/>
          <w:sz w:val="24"/>
          <w:szCs w:val="24"/>
        </w:rPr>
      </w:pPr>
      <w:r w:rsidRPr="00E96492">
        <w:rPr>
          <w:b/>
          <w:bCs/>
          <w:sz w:val="24"/>
          <w:szCs w:val="24"/>
        </w:rPr>
        <w:t>Ju</w:t>
      </w:r>
      <w:r w:rsidR="00F96123" w:rsidRPr="00E96492">
        <w:rPr>
          <w:b/>
          <w:bCs/>
          <w:sz w:val="24"/>
          <w:szCs w:val="24"/>
        </w:rPr>
        <w:t>l</w:t>
      </w:r>
      <w:r w:rsidRPr="00E96492">
        <w:rPr>
          <w:b/>
          <w:bCs/>
          <w:sz w:val="24"/>
          <w:szCs w:val="24"/>
        </w:rPr>
        <w:t>ij 2024</w:t>
      </w:r>
    </w:p>
    <w:p w14:paraId="4A8124C2" w14:textId="576C0A34" w:rsidR="00E35D42" w:rsidRDefault="00E35D42" w:rsidP="00E35D42">
      <w:pPr>
        <w:spacing w:after="0" w:line="240" w:lineRule="auto"/>
        <w:jc w:val="center"/>
      </w:pPr>
      <w:r>
        <w:br w:type="page"/>
      </w:r>
    </w:p>
    <w:sdt>
      <w:sdtPr>
        <w:rPr>
          <w:rFonts w:asciiTheme="minorHAnsi" w:eastAsiaTheme="minorHAnsi" w:hAnsiTheme="minorHAnsi" w:cstheme="minorBidi"/>
          <w:color w:val="auto"/>
          <w:kern w:val="2"/>
          <w:sz w:val="22"/>
          <w:szCs w:val="22"/>
          <w:lang w:eastAsia="en-US"/>
          <w14:ligatures w14:val="standardContextual"/>
        </w:rPr>
        <w:id w:val="554829203"/>
        <w:docPartObj>
          <w:docPartGallery w:val="Table of Contents"/>
          <w:docPartUnique/>
        </w:docPartObj>
      </w:sdtPr>
      <w:sdtEndPr>
        <w:rPr>
          <w:b/>
          <w:bCs/>
        </w:rPr>
      </w:sdtEndPr>
      <w:sdtContent>
        <w:p w14:paraId="52600B7F" w14:textId="5C1B36BC" w:rsidR="00146AB3" w:rsidRDefault="00146AB3">
          <w:pPr>
            <w:pStyle w:val="NaslovTOC"/>
          </w:pPr>
          <w:r>
            <w:t>Vsebina</w:t>
          </w:r>
        </w:p>
        <w:p w14:paraId="5DAF1F04" w14:textId="6B6BC036" w:rsidR="00BC4E31" w:rsidRDefault="00146AB3">
          <w:pPr>
            <w:pStyle w:val="Kazalovsebine1"/>
            <w:tabs>
              <w:tab w:val="left" w:pos="440"/>
              <w:tab w:val="right" w:leader="dot" w:pos="9062"/>
            </w:tabs>
            <w:rPr>
              <w:rFonts w:eastAsiaTheme="minorEastAsia"/>
              <w:noProof/>
              <w:lang w:eastAsia="sl-SI"/>
            </w:rPr>
          </w:pPr>
          <w:r>
            <w:fldChar w:fldCharType="begin"/>
          </w:r>
          <w:r>
            <w:instrText xml:space="preserve"> TOC \o "1-3" \h \z \u </w:instrText>
          </w:r>
          <w:r>
            <w:fldChar w:fldCharType="separate"/>
          </w:r>
          <w:hyperlink w:anchor="_Toc171934473" w:history="1">
            <w:r w:rsidR="00BC4E31" w:rsidRPr="00325E87">
              <w:rPr>
                <w:rStyle w:val="Hiperpovezava"/>
                <w:noProof/>
              </w:rPr>
              <w:t>1</w:t>
            </w:r>
            <w:r w:rsidR="00BC4E31">
              <w:rPr>
                <w:rFonts w:eastAsiaTheme="minorEastAsia"/>
                <w:noProof/>
                <w:lang w:eastAsia="sl-SI"/>
              </w:rPr>
              <w:tab/>
            </w:r>
            <w:r w:rsidR="00BC4E31" w:rsidRPr="00325E87">
              <w:rPr>
                <w:rStyle w:val="Hiperpovezava"/>
                <w:noProof/>
              </w:rPr>
              <w:t>Uvod</w:t>
            </w:r>
            <w:r w:rsidR="00BC4E31">
              <w:rPr>
                <w:noProof/>
                <w:webHidden/>
              </w:rPr>
              <w:tab/>
            </w:r>
            <w:r w:rsidR="00BC4E31">
              <w:rPr>
                <w:noProof/>
                <w:webHidden/>
              </w:rPr>
              <w:fldChar w:fldCharType="begin"/>
            </w:r>
            <w:r w:rsidR="00BC4E31">
              <w:rPr>
                <w:noProof/>
                <w:webHidden/>
              </w:rPr>
              <w:instrText xml:space="preserve"> PAGEREF _Toc171934473 \h </w:instrText>
            </w:r>
            <w:r w:rsidR="00BC4E31">
              <w:rPr>
                <w:noProof/>
                <w:webHidden/>
              </w:rPr>
            </w:r>
            <w:r w:rsidR="00BC4E31">
              <w:rPr>
                <w:noProof/>
                <w:webHidden/>
              </w:rPr>
              <w:fldChar w:fldCharType="separate"/>
            </w:r>
            <w:r w:rsidR="00BC4E31">
              <w:rPr>
                <w:noProof/>
                <w:webHidden/>
              </w:rPr>
              <w:t>4</w:t>
            </w:r>
            <w:r w:rsidR="00BC4E31">
              <w:rPr>
                <w:noProof/>
                <w:webHidden/>
              </w:rPr>
              <w:fldChar w:fldCharType="end"/>
            </w:r>
          </w:hyperlink>
        </w:p>
        <w:p w14:paraId="2245B2B3" w14:textId="7199D9A9" w:rsidR="00BC4E31" w:rsidRDefault="0097152E">
          <w:pPr>
            <w:pStyle w:val="Kazalovsebine1"/>
            <w:tabs>
              <w:tab w:val="left" w:pos="440"/>
              <w:tab w:val="right" w:leader="dot" w:pos="9062"/>
            </w:tabs>
            <w:rPr>
              <w:rFonts w:eastAsiaTheme="minorEastAsia"/>
              <w:noProof/>
              <w:lang w:eastAsia="sl-SI"/>
            </w:rPr>
          </w:pPr>
          <w:hyperlink w:anchor="_Toc171934474" w:history="1">
            <w:r w:rsidR="00BC4E31" w:rsidRPr="00325E87">
              <w:rPr>
                <w:rStyle w:val="Hiperpovezava"/>
                <w:noProof/>
              </w:rPr>
              <w:t>2</w:t>
            </w:r>
            <w:r w:rsidR="00BC4E31">
              <w:rPr>
                <w:rFonts w:eastAsiaTheme="minorEastAsia"/>
                <w:noProof/>
                <w:lang w:eastAsia="sl-SI"/>
              </w:rPr>
              <w:tab/>
            </w:r>
            <w:r w:rsidR="00BC4E31" w:rsidRPr="00325E87">
              <w:rPr>
                <w:rStyle w:val="Hiperpovezava"/>
                <w:noProof/>
              </w:rPr>
              <w:t>Definicija nepravilnosti</w:t>
            </w:r>
            <w:r w:rsidR="00BC4E31">
              <w:rPr>
                <w:noProof/>
                <w:webHidden/>
              </w:rPr>
              <w:tab/>
            </w:r>
            <w:r w:rsidR="00BC4E31">
              <w:rPr>
                <w:noProof/>
                <w:webHidden/>
              </w:rPr>
              <w:fldChar w:fldCharType="begin"/>
            </w:r>
            <w:r w:rsidR="00BC4E31">
              <w:rPr>
                <w:noProof/>
                <w:webHidden/>
              </w:rPr>
              <w:instrText xml:space="preserve"> PAGEREF _Toc171934474 \h </w:instrText>
            </w:r>
            <w:r w:rsidR="00BC4E31">
              <w:rPr>
                <w:noProof/>
                <w:webHidden/>
              </w:rPr>
            </w:r>
            <w:r w:rsidR="00BC4E31">
              <w:rPr>
                <w:noProof/>
                <w:webHidden/>
              </w:rPr>
              <w:fldChar w:fldCharType="separate"/>
            </w:r>
            <w:r w:rsidR="00BC4E31">
              <w:rPr>
                <w:noProof/>
                <w:webHidden/>
              </w:rPr>
              <w:t>4</w:t>
            </w:r>
            <w:r w:rsidR="00BC4E31">
              <w:rPr>
                <w:noProof/>
                <w:webHidden/>
              </w:rPr>
              <w:fldChar w:fldCharType="end"/>
            </w:r>
          </w:hyperlink>
        </w:p>
        <w:p w14:paraId="66E53320" w14:textId="603080B7" w:rsidR="00BC4E31" w:rsidRDefault="0097152E">
          <w:pPr>
            <w:pStyle w:val="Kazalovsebine1"/>
            <w:tabs>
              <w:tab w:val="left" w:pos="440"/>
              <w:tab w:val="right" w:leader="dot" w:pos="9062"/>
            </w:tabs>
            <w:rPr>
              <w:rFonts w:eastAsiaTheme="minorEastAsia"/>
              <w:noProof/>
              <w:lang w:eastAsia="sl-SI"/>
            </w:rPr>
          </w:pPr>
          <w:hyperlink w:anchor="_Toc171934475" w:history="1">
            <w:r w:rsidR="00BC4E31" w:rsidRPr="00325E87">
              <w:rPr>
                <w:rStyle w:val="Hiperpovezava"/>
                <w:noProof/>
              </w:rPr>
              <w:t>3</w:t>
            </w:r>
            <w:r w:rsidR="00BC4E31">
              <w:rPr>
                <w:rFonts w:eastAsiaTheme="minorEastAsia"/>
                <w:noProof/>
                <w:lang w:eastAsia="sl-SI"/>
              </w:rPr>
              <w:tab/>
            </w:r>
            <w:r w:rsidR="00BC4E31" w:rsidRPr="00325E87">
              <w:rPr>
                <w:rStyle w:val="Hiperpovezava"/>
                <w:noProof/>
              </w:rPr>
              <w:t>Odgovornosti glede nepravilnosti</w:t>
            </w:r>
            <w:r w:rsidR="00BC4E31">
              <w:rPr>
                <w:noProof/>
                <w:webHidden/>
              </w:rPr>
              <w:tab/>
            </w:r>
            <w:r w:rsidR="00BC4E31">
              <w:rPr>
                <w:noProof/>
                <w:webHidden/>
              </w:rPr>
              <w:fldChar w:fldCharType="begin"/>
            </w:r>
            <w:r w:rsidR="00BC4E31">
              <w:rPr>
                <w:noProof/>
                <w:webHidden/>
              </w:rPr>
              <w:instrText xml:space="preserve"> PAGEREF _Toc171934475 \h </w:instrText>
            </w:r>
            <w:r w:rsidR="00BC4E31">
              <w:rPr>
                <w:noProof/>
                <w:webHidden/>
              </w:rPr>
            </w:r>
            <w:r w:rsidR="00BC4E31">
              <w:rPr>
                <w:noProof/>
                <w:webHidden/>
              </w:rPr>
              <w:fldChar w:fldCharType="separate"/>
            </w:r>
            <w:r w:rsidR="00BC4E31">
              <w:rPr>
                <w:noProof/>
                <w:webHidden/>
              </w:rPr>
              <w:t>4</w:t>
            </w:r>
            <w:r w:rsidR="00BC4E31">
              <w:rPr>
                <w:noProof/>
                <w:webHidden/>
              </w:rPr>
              <w:fldChar w:fldCharType="end"/>
            </w:r>
          </w:hyperlink>
        </w:p>
        <w:p w14:paraId="01E73203" w14:textId="51CDF273" w:rsidR="00BC4E31" w:rsidRDefault="0097152E">
          <w:pPr>
            <w:pStyle w:val="Kazalovsebine1"/>
            <w:tabs>
              <w:tab w:val="left" w:pos="440"/>
              <w:tab w:val="right" w:leader="dot" w:pos="9062"/>
            </w:tabs>
            <w:rPr>
              <w:rFonts w:eastAsiaTheme="minorEastAsia"/>
              <w:noProof/>
              <w:lang w:eastAsia="sl-SI"/>
            </w:rPr>
          </w:pPr>
          <w:hyperlink w:anchor="_Toc171934476" w:history="1">
            <w:r w:rsidR="00BC4E31" w:rsidRPr="00325E87">
              <w:rPr>
                <w:rStyle w:val="Hiperpovezava"/>
                <w:noProof/>
              </w:rPr>
              <w:t>4</w:t>
            </w:r>
            <w:r w:rsidR="00BC4E31">
              <w:rPr>
                <w:rFonts w:eastAsiaTheme="minorEastAsia"/>
                <w:noProof/>
                <w:lang w:eastAsia="sl-SI"/>
              </w:rPr>
              <w:tab/>
            </w:r>
            <w:r w:rsidR="00BC4E31" w:rsidRPr="00325E87">
              <w:rPr>
                <w:rStyle w:val="Hiperpovezava"/>
                <w:noProof/>
              </w:rPr>
              <w:t>Poročanje o nepravilnostih</w:t>
            </w:r>
            <w:r w:rsidR="00BC4E31">
              <w:rPr>
                <w:noProof/>
                <w:webHidden/>
              </w:rPr>
              <w:tab/>
            </w:r>
            <w:r w:rsidR="00BC4E31">
              <w:rPr>
                <w:noProof/>
                <w:webHidden/>
              </w:rPr>
              <w:fldChar w:fldCharType="begin"/>
            </w:r>
            <w:r w:rsidR="00BC4E31">
              <w:rPr>
                <w:noProof/>
                <w:webHidden/>
              </w:rPr>
              <w:instrText xml:space="preserve"> PAGEREF _Toc171934476 \h </w:instrText>
            </w:r>
            <w:r w:rsidR="00BC4E31">
              <w:rPr>
                <w:noProof/>
                <w:webHidden/>
              </w:rPr>
            </w:r>
            <w:r w:rsidR="00BC4E31">
              <w:rPr>
                <w:noProof/>
                <w:webHidden/>
              </w:rPr>
              <w:fldChar w:fldCharType="separate"/>
            </w:r>
            <w:r w:rsidR="00BC4E31">
              <w:rPr>
                <w:noProof/>
                <w:webHidden/>
              </w:rPr>
              <w:t>5</w:t>
            </w:r>
            <w:r w:rsidR="00BC4E31">
              <w:rPr>
                <w:noProof/>
                <w:webHidden/>
              </w:rPr>
              <w:fldChar w:fldCharType="end"/>
            </w:r>
          </w:hyperlink>
        </w:p>
        <w:p w14:paraId="1D765956" w14:textId="2476BAD4" w:rsidR="00BC4E31" w:rsidRDefault="0097152E">
          <w:pPr>
            <w:pStyle w:val="Kazalovsebine1"/>
            <w:tabs>
              <w:tab w:val="left" w:pos="440"/>
              <w:tab w:val="right" w:leader="dot" w:pos="9062"/>
            </w:tabs>
            <w:rPr>
              <w:rFonts w:eastAsiaTheme="minorEastAsia"/>
              <w:noProof/>
              <w:lang w:eastAsia="sl-SI"/>
            </w:rPr>
          </w:pPr>
          <w:hyperlink w:anchor="_Toc171934477" w:history="1">
            <w:r w:rsidR="00BC4E31" w:rsidRPr="00325E87">
              <w:rPr>
                <w:rStyle w:val="Hiperpovezava"/>
                <w:noProof/>
              </w:rPr>
              <w:t>5</w:t>
            </w:r>
            <w:r w:rsidR="00BC4E31">
              <w:rPr>
                <w:rFonts w:eastAsiaTheme="minorEastAsia"/>
                <w:noProof/>
                <w:lang w:eastAsia="sl-SI"/>
              </w:rPr>
              <w:tab/>
            </w:r>
            <w:r w:rsidR="00BC4E31" w:rsidRPr="00325E87">
              <w:rPr>
                <w:rStyle w:val="Hiperpovezava"/>
                <w:noProof/>
              </w:rPr>
              <w:t>Finančni popravki</w:t>
            </w:r>
            <w:r w:rsidR="00BC4E31">
              <w:rPr>
                <w:noProof/>
                <w:webHidden/>
              </w:rPr>
              <w:tab/>
            </w:r>
            <w:r w:rsidR="00BC4E31">
              <w:rPr>
                <w:noProof/>
                <w:webHidden/>
              </w:rPr>
              <w:fldChar w:fldCharType="begin"/>
            </w:r>
            <w:r w:rsidR="00BC4E31">
              <w:rPr>
                <w:noProof/>
                <w:webHidden/>
              </w:rPr>
              <w:instrText xml:space="preserve"> PAGEREF _Toc171934477 \h </w:instrText>
            </w:r>
            <w:r w:rsidR="00BC4E31">
              <w:rPr>
                <w:noProof/>
                <w:webHidden/>
              </w:rPr>
            </w:r>
            <w:r w:rsidR="00BC4E31">
              <w:rPr>
                <w:noProof/>
                <w:webHidden/>
              </w:rPr>
              <w:fldChar w:fldCharType="separate"/>
            </w:r>
            <w:r w:rsidR="00BC4E31">
              <w:rPr>
                <w:noProof/>
                <w:webHidden/>
              </w:rPr>
              <w:t>5</w:t>
            </w:r>
            <w:r w:rsidR="00BC4E31">
              <w:rPr>
                <w:noProof/>
                <w:webHidden/>
              </w:rPr>
              <w:fldChar w:fldCharType="end"/>
            </w:r>
          </w:hyperlink>
        </w:p>
        <w:p w14:paraId="604DED38" w14:textId="004F133A" w:rsidR="00BC4E31" w:rsidRDefault="0097152E">
          <w:pPr>
            <w:pStyle w:val="Kazalovsebine1"/>
            <w:tabs>
              <w:tab w:val="left" w:pos="440"/>
              <w:tab w:val="right" w:leader="dot" w:pos="9062"/>
            </w:tabs>
            <w:rPr>
              <w:rFonts w:eastAsiaTheme="minorEastAsia"/>
              <w:noProof/>
              <w:lang w:eastAsia="sl-SI"/>
            </w:rPr>
          </w:pPr>
          <w:hyperlink w:anchor="_Toc171934478" w:history="1">
            <w:r w:rsidR="00BC4E31" w:rsidRPr="00325E87">
              <w:rPr>
                <w:rStyle w:val="Hiperpovezava"/>
                <w:noProof/>
              </w:rPr>
              <w:t>6</w:t>
            </w:r>
            <w:r w:rsidR="00BC4E31">
              <w:rPr>
                <w:rFonts w:eastAsiaTheme="minorEastAsia"/>
                <w:noProof/>
                <w:lang w:eastAsia="sl-SI"/>
              </w:rPr>
              <w:tab/>
            </w:r>
            <w:r w:rsidR="00BC4E31" w:rsidRPr="00325E87">
              <w:rPr>
                <w:rStyle w:val="Hiperpovezava"/>
                <w:noProof/>
              </w:rPr>
              <w:t>Popravljalni ukrepi Švice</w:t>
            </w:r>
            <w:r w:rsidR="00BC4E31">
              <w:rPr>
                <w:noProof/>
                <w:webHidden/>
              </w:rPr>
              <w:tab/>
            </w:r>
            <w:r w:rsidR="00BC4E31">
              <w:rPr>
                <w:noProof/>
                <w:webHidden/>
              </w:rPr>
              <w:fldChar w:fldCharType="begin"/>
            </w:r>
            <w:r w:rsidR="00BC4E31">
              <w:rPr>
                <w:noProof/>
                <w:webHidden/>
              </w:rPr>
              <w:instrText xml:space="preserve"> PAGEREF _Toc171934478 \h </w:instrText>
            </w:r>
            <w:r w:rsidR="00BC4E31">
              <w:rPr>
                <w:noProof/>
                <w:webHidden/>
              </w:rPr>
            </w:r>
            <w:r w:rsidR="00BC4E31">
              <w:rPr>
                <w:noProof/>
                <w:webHidden/>
              </w:rPr>
              <w:fldChar w:fldCharType="separate"/>
            </w:r>
            <w:r w:rsidR="00BC4E31">
              <w:rPr>
                <w:noProof/>
                <w:webHidden/>
              </w:rPr>
              <w:t>6</w:t>
            </w:r>
            <w:r w:rsidR="00BC4E31">
              <w:rPr>
                <w:noProof/>
                <w:webHidden/>
              </w:rPr>
              <w:fldChar w:fldCharType="end"/>
            </w:r>
          </w:hyperlink>
        </w:p>
        <w:p w14:paraId="289257EF" w14:textId="016A243D" w:rsidR="00BC4E31" w:rsidRDefault="0097152E">
          <w:pPr>
            <w:pStyle w:val="Kazalovsebine1"/>
            <w:tabs>
              <w:tab w:val="left" w:pos="440"/>
              <w:tab w:val="right" w:leader="dot" w:pos="9062"/>
            </w:tabs>
            <w:rPr>
              <w:rFonts w:eastAsiaTheme="minorEastAsia"/>
              <w:noProof/>
              <w:lang w:eastAsia="sl-SI"/>
            </w:rPr>
          </w:pPr>
          <w:hyperlink w:anchor="_Toc171934479" w:history="1">
            <w:r w:rsidR="00BC4E31" w:rsidRPr="00325E87">
              <w:rPr>
                <w:rStyle w:val="Hiperpovezava"/>
                <w:noProof/>
              </w:rPr>
              <w:t>7</w:t>
            </w:r>
            <w:r w:rsidR="00BC4E31">
              <w:rPr>
                <w:rFonts w:eastAsiaTheme="minorEastAsia"/>
                <w:noProof/>
                <w:lang w:eastAsia="sl-SI"/>
              </w:rPr>
              <w:tab/>
            </w:r>
            <w:r w:rsidR="00BC4E31" w:rsidRPr="00325E87">
              <w:rPr>
                <w:rStyle w:val="Hiperpovezava"/>
                <w:noProof/>
              </w:rPr>
              <w:t>Priloga (</w:t>
            </w:r>
            <w:r w:rsidR="00BC4E31" w:rsidRPr="00325E87">
              <w:rPr>
                <w:rStyle w:val="Hiperpovezava"/>
                <w:noProof/>
                <w:lang w:val="en-GB"/>
              </w:rPr>
              <w:t>Report on irregularities</w:t>
            </w:r>
            <w:r w:rsidR="00BC4E31" w:rsidRPr="00325E87">
              <w:rPr>
                <w:rStyle w:val="Hiperpovezava"/>
                <w:noProof/>
              </w:rPr>
              <w:t>)</w:t>
            </w:r>
            <w:r w:rsidR="00BC4E31">
              <w:rPr>
                <w:noProof/>
                <w:webHidden/>
              </w:rPr>
              <w:tab/>
            </w:r>
            <w:r w:rsidR="00BC4E31">
              <w:rPr>
                <w:noProof/>
                <w:webHidden/>
              </w:rPr>
              <w:fldChar w:fldCharType="begin"/>
            </w:r>
            <w:r w:rsidR="00BC4E31">
              <w:rPr>
                <w:noProof/>
                <w:webHidden/>
              </w:rPr>
              <w:instrText xml:space="preserve"> PAGEREF _Toc171934479 \h </w:instrText>
            </w:r>
            <w:r w:rsidR="00BC4E31">
              <w:rPr>
                <w:noProof/>
                <w:webHidden/>
              </w:rPr>
            </w:r>
            <w:r w:rsidR="00BC4E31">
              <w:rPr>
                <w:noProof/>
                <w:webHidden/>
              </w:rPr>
              <w:fldChar w:fldCharType="separate"/>
            </w:r>
            <w:r w:rsidR="00BC4E31">
              <w:rPr>
                <w:noProof/>
                <w:webHidden/>
              </w:rPr>
              <w:t>7</w:t>
            </w:r>
            <w:r w:rsidR="00BC4E31">
              <w:rPr>
                <w:noProof/>
                <w:webHidden/>
              </w:rPr>
              <w:fldChar w:fldCharType="end"/>
            </w:r>
          </w:hyperlink>
        </w:p>
        <w:p w14:paraId="49A5DF54" w14:textId="11443675" w:rsidR="00146AB3" w:rsidRDefault="00146AB3">
          <w:r>
            <w:rPr>
              <w:b/>
              <w:bCs/>
            </w:rPr>
            <w:fldChar w:fldCharType="end"/>
          </w:r>
        </w:p>
      </w:sdtContent>
    </w:sdt>
    <w:p w14:paraId="734903CE" w14:textId="77777777" w:rsidR="00406B14" w:rsidRDefault="00406B14" w:rsidP="00406B14">
      <w:pPr>
        <w:spacing w:after="0" w:line="240" w:lineRule="auto"/>
      </w:pPr>
    </w:p>
    <w:p w14:paraId="25B6CE8D" w14:textId="711EC1B3" w:rsidR="00406B14" w:rsidRDefault="00406B14">
      <w:r>
        <w:br w:type="page"/>
      </w:r>
    </w:p>
    <w:p w14:paraId="7DDF749D" w14:textId="7003556B" w:rsidR="00E35D42" w:rsidRPr="003F179A" w:rsidRDefault="00E35D42" w:rsidP="00E35D42">
      <w:pPr>
        <w:rPr>
          <w:b/>
          <w:bCs/>
        </w:rPr>
      </w:pPr>
      <w:r w:rsidRPr="003F179A">
        <w:rPr>
          <w:b/>
          <w:bCs/>
        </w:rPr>
        <w:lastRenderedPageBreak/>
        <w:t>Seznam kratic in okrajšav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5"/>
      </w:tblGrid>
      <w:tr w:rsidR="003F179A" w14:paraId="57D1E35E" w14:textId="77777777" w:rsidTr="00FA20C4">
        <w:tc>
          <w:tcPr>
            <w:tcW w:w="2127" w:type="dxa"/>
            <w:vAlign w:val="center"/>
          </w:tcPr>
          <w:p w14:paraId="27452E92" w14:textId="0D46DBB9" w:rsidR="003F179A" w:rsidRPr="00F735C4" w:rsidRDefault="003F179A" w:rsidP="002F395B">
            <w:pPr>
              <w:spacing w:after="360"/>
              <w:jc w:val="both"/>
              <w:rPr>
                <w:rFonts w:eastAsia="Arial Unicode MS" w:cs="Times New Roman"/>
              </w:rPr>
            </w:pPr>
            <w:r>
              <w:rPr>
                <w:rFonts w:eastAsia="Arial Unicode MS" w:cs="Times New Roman"/>
              </w:rPr>
              <w:t>NKO</w:t>
            </w:r>
          </w:p>
        </w:tc>
        <w:tc>
          <w:tcPr>
            <w:tcW w:w="6935" w:type="dxa"/>
            <w:vAlign w:val="center"/>
          </w:tcPr>
          <w:p w14:paraId="24186B1C" w14:textId="2F3A9637" w:rsidR="003F179A" w:rsidRPr="00F735C4" w:rsidRDefault="003F179A" w:rsidP="002F395B">
            <w:pPr>
              <w:spacing w:after="360"/>
              <w:jc w:val="both"/>
            </w:pPr>
            <w:r>
              <w:rPr>
                <w:rFonts w:eastAsia="Arial Unicode MS" w:cs="Times New Roman"/>
              </w:rPr>
              <w:t>Nacionalni koordinacijski organ</w:t>
            </w:r>
          </w:p>
        </w:tc>
      </w:tr>
      <w:tr w:rsidR="003F179A" w14:paraId="259C3FF1" w14:textId="77777777" w:rsidTr="00FA20C4">
        <w:tc>
          <w:tcPr>
            <w:tcW w:w="2127" w:type="dxa"/>
            <w:vAlign w:val="center"/>
          </w:tcPr>
          <w:p w14:paraId="45875F6B" w14:textId="77777777" w:rsidR="003F179A" w:rsidRPr="00F735C4" w:rsidRDefault="003F179A" w:rsidP="002F395B">
            <w:pPr>
              <w:spacing w:after="360"/>
              <w:jc w:val="both"/>
              <w:rPr>
                <w:rFonts w:eastAsia="Arial Unicode MS" w:cs="Times New Roman"/>
              </w:rPr>
            </w:pPr>
            <w:r>
              <w:t>NP</w:t>
            </w:r>
          </w:p>
        </w:tc>
        <w:tc>
          <w:tcPr>
            <w:tcW w:w="6935" w:type="dxa"/>
            <w:vAlign w:val="center"/>
          </w:tcPr>
          <w:p w14:paraId="7564584C" w14:textId="77777777" w:rsidR="003F179A" w:rsidRPr="00F735C4" w:rsidRDefault="003F179A" w:rsidP="002F395B">
            <w:pPr>
              <w:spacing w:after="360"/>
              <w:jc w:val="both"/>
              <w:rPr>
                <w:rFonts w:eastAsia="Arial Unicode MS" w:cs="Times New Roman"/>
              </w:rPr>
            </w:pPr>
            <w:r>
              <w:t>Nosilec programa</w:t>
            </w:r>
          </w:p>
        </w:tc>
      </w:tr>
      <w:tr w:rsidR="00FA20C4" w14:paraId="6B810549" w14:textId="77777777" w:rsidTr="00FA20C4">
        <w:tc>
          <w:tcPr>
            <w:tcW w:w="2127" w:type="dxa"/>
            <w:vAlign w:val="center"/>
          </w:tcPr>
          <w:p w14:paraId="65ADB462" w14:textId="55835B38" w:rsidR="00FA20C4" w:rsidRPr="00F735C4" w:rsidRDefault="00FA20C4" w:rsidP="002F395B">
            <w:pPr>
              <w:spacing w:after="360"/>
              <w:jc w:val="both"/>
              <w:rPr>
                <w:rFonts w:eastAsia="Arial Unicode MS" w:cs="Times New Roman"/>
              </w:rPr>
            </w:pPr>
            <w:r>
              <w:rPr>
                <w:rFonts w:eastAsia="Arial Unicode MS" w:cs="Times New Roman"/>
              </w:rPr>
              <w:t>Okvirni sporazum</w:t>
            </w:r>
          </w:p>
        </w:tc>
        <w:tc>
          <w:tcPr>
            <w:tcW w:w="6935" w:type="dxa"/>
            <w:vAlign w:val="center"/>
          </w:tcPr>
          <w:p w14:paraId="53EDF947" w14:textId="52DE986B" w:rsidR="00FA20C4" w:rsidRDefault="00FA20C4" w:rsidP="002F395B">
            <w:pPr>
              <w:spacing w:after="360"/>
              <w:jc w:val="both"/>
              <w:rPr>
                <w:rFonts w:eastAsia="Arial Unicode MS" w:cs="Times New Roman"/>
              </w:rPr>
            </w:pPr>
            <w:bookmarkStart w:id="0" w:name="_Hlk171929894"/>
            <w:r w:rsidRPr="00CB68FC">
              <w:rPr>
                <w:rFonts w:cs="Arial"/>
              </w:rPr>
              <w:t>Okvirni sporazum</w:t>
            </w:r>
            <w:r w:rsidRPr="00523B0E">
              <w:rPr>
                <w:rFonts w:cs="Arial"/>
              </w:rPr>
              <w:t xml:space="preserve"> </w:t>
            </w:r>
            <w:r w:rsidR="00523B0E" w:rsidRPr="00523B0E">
              <w:rPr>
                <w:rFonts w:cs="Arial"/>
              </w:rPr>
              <w:t xml:space="preserve">med Vlado Republike Slovenije in Švicarskim zveznim svetom o izvajanju drugega </w:t>
            </w:r>
            <w:r w:rsidRPr="00CB68FC">
              <w:rPr>
                <w:rFonts w:cs="Arial"/>
              </w:rPr>
              <w:t>š</w:t>
            </w:r>
            <w:r w:rsidR="00523B0E" w:rsidRPr="00523B0E">
              <w:rPr>
                <w:rFonts w:cs="Arial"/>
              </w:rPr>
              <w:t>vicarskega prispevka</w:t>
            </w:r>
            <w:r>
              <w:rPr>
                <w:rFonts w:cs="Arial"/>
              </w:rPr>
              <w:t xml:space="preserve"> izbranim državam članicam Evropske unije za zmanjševanje gospodarskih in socialnih razlik v Evropski uniji</w:t>
            </w:r>
            <w:bookmarkEnd w:id="0"/>
          </w:p>
        </w:tc>
      </w:tr>
      <w:tr w:rsidR="003F179A" w14:paraId="13F235FB" w14:textId="77777777" w:rsidTr="00FA20C4">
        <w:tc>
          <w:tcPr>
            <w:tcW w:w="2127" w:type="dxa"/>
            <w:vAlign w:val="center"/>
          </w:tcPr>
          <w:p w14:paraId="2A0C70F4" w14:textId="65C11C0E" w:rsidR="003F179A" w:rsidRPr="00F735C4" w:rsidRDefault="003F179A" w:rsidP="002F395B">
            <w:pPr>
              <w:spacing w:after="360"/>
              <w:jc w:val="both"/>
              <w:rPr>
                <w:rFonts w:eastAsia="Arial Unicode MS" w:cs="Times New Roman"/>
              </w:rPr>
            </w:pPr>
            <w:r w:rsidRPr="00F735C4">
              <w:rPr>
                <w:rFonts w:eastAsia="Arial Unicode MS" w:cs="Times New Roman"/>
              </w:rPr>
              <w:t>P</w:t>
            </w:r>
            <w:r>
              <w:rPr>
                <w:rFonts w:eastAsia="Arial Unicode MS" w:cs="Times New Roman"/>
              </w:rPr>
              <w:t>O</w:t>
            </w:r>
          </w:p>
        </w:tc>
        <w:tc>
          <w:tcPr>
            <w:tcW w:w="6935" w:type="dxa"/>
            <w:vAlign w:val="center"/>
          </w:tcPr>
          <w:p w14:paraId="3A561862" w14:textId="39FD4F31" w:rsidR="003F179A" w:rsidRPr="00F735C4" w:rsidRDefault="003F179A" w:rsidP="002F395B">
            <w:pPr>
              <w:spacing w:after="360"/>
              <w:jc w:val="both"/>
            </w:pPr>
            <w:r>
              <w:rPr>
                <w:rFonts w:eastAsia="Arial Unicode MS" w:cs="Times New Roman"/>
              </w:rPr>
              <w:t>Plačilni organ</w:t>
            </w:r>
          </w:p>
        </w:tc>
      </w:tr>
      <w:tr w:rsidR="003F179A" w14:paraId="7B614F1B" w14:textId="77777777" w:rsidTr="00FA2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center"/>
          </w:tcPr>
          <w:p w14:paraId="6DA1DD8D" w14:textId="77777777" w:rsidR="003F179A" w:rsidRDefault="003F179A" w:rsidP="002F395B">
            <w:pPr>
              <w:spacing w:after="360"/>
              <w:jc w:val="both"/>
              <w:rPr>
                <w:rFonts w:eastAsia="Arial Unicode MS" w:cs="Times New Roman"/>
              </w:rPr>
            </w:pPr>
            <w:r>
              <w:rPr>
                <w:rFonts w:eastAsia="Arial Unicode MS" w:cs="Times New Roman"/>
              </w:rPr>
              <w:t>RO</w:t>
            </w:r>
          </w:p>
        </w:tc>
        <w:tc>
          <w:tcPr>
            <w:tcW w:w="6935" w:type="dxa"/>
            <w:tcBorders>
              <w:top w:val="nil"/>
              <w:left w:val="nil"/>
              <w:bottom w:val="nil"/>
              <w:right w:val="nil"/>
            </w:tcBorders>
            <w:vAlign w:val="center"/>
          </w:tcPr>
          <w:p w14:paraId="75BD548B" w14:textId="77777777" w:rsidR="003F179A" w:rsidRDefault="003F179A" w:rsidP="002F395B">
            <w:pPr>
              <w:spacing w:after="360"/>
              <w:jc w:val="both"/>
              <w:rPr>
                <w:rFonts w:eastAsia="Arial Unicode MS" w:cs="Times New Roman"/>
              </w:rPr>
            </w:pPr>
            <w:r>
              <w:rPr>
                <w:rFonts w:eastAsia="Arial Unicode MS" w:cs="Times New Roman"/>
              </w:rPr>
              <w:t>Revizijski organ</w:t>
            </w:r>
          </w:p>
        </w:tc>
      </w:tr>
      <w:tr w:rsidR="004201B0" w14:paraId="21DEB1FF" w14:textId="77777777" w:rsidTr="00FA20C4">
        <w:tc>
          <w:tcPr>
            <w:tcW w:w="2127" w:type="dxa"/>
            <w:vAlign w:val="center"/>
          </w:tcPr>
          <w:p w14:paraId="08B9151D" w14:textId="3E7FFD24" w:rsidR="004201B0" w:rsidRDefault="004201B0" w:rsidP="002F395B">
            <w:pPr>
              <w:spacing w:after="360"/>
              <w:jc w:val="both"/>
            </w:pPr>
            <w:r>
              <w:t>SECO</w:t>
            </w:r>
          </w:p>
        </w:tc>
        <w:tc>
          <w:tcPr>
            <w:tcW w:w="6935" w:type="dxa"/>
            <w:vAlign w:val="center"/>
          </w:tcPr>
          <w:p w14:paraId="3F6BB3D4" w14:textId="2C0B3905" w:rsidR="004201B0" w:rsidRDefault="004201B0" w:rsidP="002F395B">
            <w:pPr>
              <w:spacing w:after="360"/>
              <w:jc w:val="both"/>
              <w:rPr>
                <w:rFonts w:eastAsia="Arial Unicode MS" w:cs="Times New Roman"/>
              </w:rPr>
            </w:pPr>
            <w:r>
              <w:rPr>
                <w:rFonts w:eastAsia="Arial Unicode MS" w:cs="Times New Roman"/>
              </w:rPr>
              <w:t>(Švicarski) Državni sekretariat za gospodarske zadeve</w:t>
            </w:r>
          </w:p>
        </w:tc>
      </w:tr>
      <w:tr w:rsidR="005000C7" w14:paraId="366EC019" w14:textId="77777777" w:rsidTr="00FA20C4">
        <w:tc>
          <w:tcPr>
            <w:tcW w:w="2127" w:type="dxa"/>
            <w:vAlign w:val="center"/>
          </w:tcPr>
          <w:p w14:paraId="4CABEA8D" w14:textId="263E48C3" w:rsidR="005000C7" w:rsidRDefault="005000C7" w:rsidP="002F395B">
            <w:pPr>
              <w:spacing w:after="360"/>
              <w:jc w:val="both"/>
            </w:pPr>
            <w:r>
              <w:t>UNP</w:t>
            </w:r>
          </w:p>
        </w:tc>
        <w:tc>
          <w:tcPr>
            <w:tcW w:w="6935" w:type="dxa"/>
            <w:vAlign w:val="center"/>
          </w:tcPr>
          <w:p w14:paraId="7A51FD49" w14:textId="1C721DEC" w:rsidR="005000C7" w:rsidRDefault="005000C7" w:rsidP="002F395B">
            <w:pPr>
              <w:spacing w:after="360"/>
              <w:jc w:val="both"/>
              <w:rPr>
                <w:rFonts w:eastAsia="Arial Unicode MS" w:cs="Times New Roman"/>
              </w:rPr>
            </w:pPr>
            <w:r>
              <w:rPr>
                <w:rFonts w:eastAsia="Arial Unicode MS" w:cs="Times New Roman"/>
              </w:rPr>
              <w:t>Urad Republike Slovenije za nadzor proračuna</w:t>
            </w:r>
          </w:p>
        </w:tc>
      </w:tr>
      <w:tr w:rsidR="003F179A" w14:paraId="5E3BCE8A" w14:textId="77777777" w:rsidTr="00FA20C4">
        <w:tc>
          <w:tcPr>
            <w:tcW w:w="2127" w:type="dxa"/>
            <w:vAlign w:val="center"/>
          </w:tcPr>
          <w:p w14:paraId="69EF7B91" w14:textId="4711D190" w:rsidR="003F179A" w:rsidRPr="00F735C4" w:rsidRDefault="003F179A" w:rsidP="002F395B">
            <w:pPr>
              <w:spacing w:after="360"/>
              <w:jc w:val="both"/>
            </w:pPr>
            <w:r>
              <w:t>Uredba</w:t>
            </w:r>
          </w:p>
        </w:tc>
        <w:tc>
          <w:tcPr>
            <w:tcW w:w="6935" w:type="dxa"/>
            <w:vAlign w:val="center"/>
          </w:tcPr>
          <w:p w14:paraId="236469CE" w14:textId="03C63650" w:rsidR="003F179A" w:rsidRPr="00F735C4" w:rsidRDefault="00CB68FC" w:rsidP="002F395B">
            <w:pPr>
              <w:spacing w:after="360"/>
              <w:jc w:val="both"/>
            </w:pPr>
            <w:r>
              <w:rPr>
                <w:rFonts w:eastAsia="Arial Unicode MS" w:cs="Times New Roman"/>
              </w:rPr>
              <w:t xml:space="preserve">(Švicarska) </w:t>
            </w:r>
            <w:r w:rsidR="003F179A">
              <w:rPr>
                <w:rFonts w:eastAsia="Arial Unicode MS" w:cs="Times New Roman"/>
              </w:rPr>
              <w:t>Uredba o izvajanju drugega švicarskega prispevka izbranim članicam EU za zmanjševanje gospodarskih in socialnih razlik v Evropski uniji</w:t>
            </w:r>
          </w:p>
        </w:tc>
      </w:tr>
    </w:tbl>
    <w:p w14:paraId="7CE165CB" w14:textId="77777777" w:rsidR="00171B3F" w:rsidRDefault="00171B3F" w:rsidP="00E35D42"/>
    <w:p w14:paraId="4E0C283B" w14:textId="43703DFE" w:rsidR="003F179A" w:rsidRDefault="003F179A">
      <w:r>
        <w:br w:type="page"/>
      </w:r>
    </w:p>
    <w:p w14:paraId="14DB28E6" w14:textId="26B96017" w:rsidR="00E35D42" w:rsidRDefault="00E35D42" w:rsidP="00053AA8">
      <w:pPr>
        <w:pStyle w:val="Naslov1"/>
        <w:ind w:left="432"/>
      </w:pPr>
      <w:bookmarkStart w:id="1" w:name="_Toc171934473"/>
      <w:r>
        <w:lastRenderedPageBreak/>
        <w:t>Uvod</w:t>
      </w:r>
      <w:bookmarkEnd w:id="1"/>
    </w:p>
    <w:p w14:paraId="227337D6" w14:textId="4BA3C494" w:rsidR="0003372A" w:rsidRDefault="0003372A" w:rsidP="0003372A">
      <w:pPr>
        <w:jc w:val="both"/>
      </w:pPr>
      <w:r>
        <w:t>Namen tega dokumenta je zagotoviti smernice</w:t>
      </w:r>
      <w:r w:rsidR="00D34EFA">
        <w:t>, ki se nanašajo</w:t>
      </w:r>
      <w:r>
        <w:t xml:space="preserve"> </w:t>
      </w:r>
      <w:r w:rsidR="00F765AB">
        <w:t>na obravnavo</w:t>
      </w:r>
      <w:r>
        <w:t xml:space="preserve"> nepravilnosti</w:t>
      </w:r>
      <w:r w:rsidR="00A90A7D">
        <w:t xml:space="preserve"> v okviru drugega švicarskega prispevka</w:t>
      </w:r>
      <w:r>
        <w:t>. Namenjen je pristojn</w:t>
      </w:r>
      <w:r w:rsidR="00F765AB">
        <w:t>im</w:t>
      </w:r>
      <w:r>
        <w:t xml:space="preserve"> nacionaln</w:t>
      </w:r>
      <w:r w:rsidR="00F765AB">
        <w:t>im</w:t>
      </w:r>
      <w:r>
        <w:t xml:space="preserve"> organ</w:t>
      </w:r>
      <w:r w:rsidR="00F765AB">
        <w:t>om</w:t>
      </w:r>
      <w:r w:rsidR="0026499F">
        <w:rPr>
          <w:rStyle w:val="Sprotnaopomba-sklic"/>
        </w:rPr>
        <w:footnoteReference w:id="1"/>
      </w:r>
      <w:r>
        <w:t>, in sicer Nacionaln</w:t>
      </w:r>
      <w:r w:rsidR="00F765AB">
        <w:t>emu</w:t>
      </w:r>
      <w:r>
        <w:t xml:space="preserve"> koordinacijsk</w:t>
      </w:r>
      <w:r w:rsidR="00F765AB">
        <w:t>emu</w:t>
      </w:r>
      <w:r>
        <w:t xml:space="preserve"> organ</w:t>
      </w:r>
      <w:r w:rsidR="00F765AB">
        <w:t>u</w:t>
      </w:r>
      <w:r>
        <w:t xml:space="preserve"> (NKO), Plačiln</w:t>
      </w:r>
      <w:r w:rsidR="00F765AB">
        <w:t>emu</w:t>
      </w:r>
      <w:r>
        <w:t xml:space="preserve"> organ</w:t>
      </w:r>
      <w:r w:rsidR="00F765AB">
        <w:t>u</w:t>
      </w:r>
      <w:r>
        <w:t xml:space="preserve"> (PO), Revizijsk</w:t>
      </w:r>
      <w:r w:rsidR="00F765AB">
        <w:t>emu</w:t>
      </w:r>
      <w:r>
        <w:t xml:space="preserve"> organ</w:t>
      </w:r>
      <w:r w:rsidR="00F765AB">
        <w:t>u</w:t>
      </w:r>
      <w:r>
        <w:t xml:space="preserve"> (PO) in za Nosilc</w:t>
      </w:r>
      <w:r w:rsidR="00F765AB">
        <w:t>u</w:t>
      </w:r>
      <w:r>
        <w:t xml:space="preserve"> program</w:t>
      </w:r>
      <w:r w:rsidR="00F765AB">
        <w:t>a</w:t>
      </w:r>
      <w:r>
        <w:t xml:space="preserve"> (NP) ter prvostopenjsk</w:t>
      </w:r>
      <w:r w:rsidR="00F765AB">
        <w:t>i</w:t>
      </w:r>
      <w:r>
        <w:t xml:space="preserve"> </w:t>
      </w:r>
      <w:r w:rsidR="00F765AB">
        <w:t xml:space="preserve">kontrolni </w:t>
      </w:r>
      <w:r>
        <w:t>enot</w:t>
      </w:r>
      <w:r w:rsidR="00F765AB">
        <w:t xml:space="preserve">i </w:t>
      </w:r>
      <w:r>
        <w:t xml:space="preserve">(KE). </w:t>
      </w:r>
    </w:p>
    <w:p w14:paraId="48AD07B7" w14:textId="43F90C3F" w:rsidR="0003372A" w:rsidRDefault="0003372A" w:rsidP="0003372A">
      <w:pPr>
        <w:jc w:val="both"/>
      </w:pPr>
      <w:r>
        <w:t xml:space="preserve">NKO je odgovoren za doseganje ciljev drugega švicarskega prispevka in njegovo izvajanje </w:t>
      </w:r>
      <w:r w:rsidR="009A0CC5">
        <w:t>v</w:t>
      </w:r>
      <w:r>
        <w:t xml:space="preserve"> skladu z </w:t>
      </w:r>
      <w:r w:rsidR="009A0CC5">
        <w:t xml:space="preserve">določili </w:t>
      </w:r>
      <w:r>
        <w:t>Okvirn</w:t>
      </w:r>
      <w:r w:rsidR="009A0CC5">
        <w:t>ega</w:t>
      </w:r>
      <w:r>
        <w:t xml:space="preserve"> sporazum</w:t>
      </w:r>
      <w:r w:rsidR="009A0CC5">
        <w:t>a</w:t>
      </w:r>
      <w:r>
        <w:rPr>
          <w:rStyle w:val="Sprotnaopomba-sklic"/>
        </w:rPr>
        <w:footnoteReference w:id="2"/>
      </w:r>
      <w:r w:rsidR="00F765AB">
        <w:t>, z</w:t>
      </w:r>
      <w:r>
        <w:t xml:space="preserve">ato mora zagotoviti, da so postopki za preprečevanje, odkrivanje in odpravljanje nepravilnosti zadostni. </w:t>
      </w:r>
    </w:p>
    <w:p w14:paraId="3978C81A" w14:textId="1D2447E9" w:rsidR="00E35D42" w:rsidRDefault="008B0E6D" w:rsidP="00053AA8">
      <w:pPr>
        <w:pStyle w:val="Naslov1"/>
        <w:ind w:left="432"/>
      </w:pPr>
      <w:bookmarkStart w:id="2" w:name="_Toc171934474"/>
      <w:r>
        <w:t>Definicija nepravilnosti</w:t>
      </w:r>
      <w:bookmarkEnd w:id="2"/>
    </w:p>
    <w:p w14:paraId="7CAB09F3" w14:textId="62A4CCBF" w:rsidR="008B0E6D" w:rsidRDefault="00F765AB" w:rsidP="008B0E6D">
      <w:pPr>
        <w:jc w:val="both"/>
      </w:pPr>
      <w:r w:rsidRPr="00AE555F">
        <w:t>»</w:t>
      </w:r>
      <w:r w:rsidR="008B0E6D" w:rsidRPr="00AE555F">
        <w:t>Nepravilnost</w:t>
      </w:r>
      <w:r w:rsidRPr="00AE555F">
        <w:t>«</w:t>
      </w:r>
      <w:r w:rsidR="008B0E6D">
        <w:t xml:space="preserve"> pomeni kršitev, ki nastane namenoma ali iz malomarnosti, pravnega okvira švicarskega prispevka, kot je opredeljeno v 2.členu Okvirnega sporazuma, ali katere koli določbe veljavne zakonodaje in predpisov, ki je ali lahko škodi načrtovanju ali izvajanju programa sodelovanja in/ali povzroči finančno škodo.       </w:t>
      </w:r>
    </w:p>
    <w:p w14:paraId="48A9ADD5" w14:textId="4F24D9A1" w:rsidR="008B0E6D" w:rsidRDefault="008B0E6D" w:rsidP="008B0E6D">
      <w:pPr>
        <w:jc w:val="both"/>
      </w:pPr>
      <w:r>
        <w:t>Nepravilnosti lahko vključujejo, vendar niso omejene na neupravičeno porabo sredstev, korupcijo, krajo, poneverbo, goljufijo ali druga kazniva dejanja zoper premoženje, ponarejanje dokumentov, neupravičen sprejem darila ali druge koristi, nerešeno navzkrižje interesov, kršitev kodeksov ravnanja, spolno izkoriščanje, zlorabo ali nadlegovanje</w:t>
      </w:r>
      <w:r w:rsidR="00F765AB">
        <w:rPr>
          <w:rStyle w:val="Sprotnaopomba-sklic"/>
        </w:rPr>
        <w:footnoteReference w:id="3"/>
      </w:r>
      <w:r>
        <w:t xml:space="preserve">, prekrivanje pomembnih informacij, uporabo in/ali razkritje informacij občutljive narave, kršitev pravil javnega naročanja. </w:t>
      </w:r>
    </w:p>
    <w:p w14:paraId="307E9647" w14:textId="77777777" w:rsidR="008B0E6D" w:rsidRDefault="008B0E6D" w:rsidP="008B0E6D">
      <w:pPr>
        <w:jc w:val="both"/>
      </w:pPr>
      <w:r>
        <w:t>Manjše administrativne napake, ki se ne ponavljajo in ki nastanejo zaradi nenamernega malomarnega ravnanja, se ne obravnavajo kot nepravilnost.</w:t>
      </w:r>
    </w:p>
    <w:p w14:paraId="76B47A5B" w14:textId="4F809DA9" w:rsidR="00F765AB" w:rsidRDefault="00F765AB" w:rsidP="00F765AB">
      <w:pPr>
        <w:pStyle w:val="Naslov1"/>
        <w:ind w:left="432"/>
      </w:pPr>
      <w:bookmarkStart w:id="3" w:name="_Toc171934475"/>
      <w:r>
        <w:t>Odgovornosti glede nepravilnosti</w:t>
      </w:r>
      <w:bookmarkEnd w:id="3"/>
    </w:p>
    <w:p w14:paraId="5E407944" w14:textId="00A37DDE" w:rsidR="008B0E6D" w:rsidRDefault="008B0E6D" w:rsidP="0003372A">
      <w:pPr>
        <w:jc w:val="both"/>
      </w:pPr>
      <w:r w:rsidRPr="001439C8">
        <w:t xml:space="preserve">NKO naredi vse, da prepreči, odkrije ali odpravi nepravilnosti v okviru </w:t>
      </w:r>
      <w:r>
        <w:t xml:space="preserve">slovensko-švicarskega </w:t>
      </w:r>
      <w:r w:rsidRPr="001439C8">
        <w:t>programa sodelovanja. Vsako domnevno ali dejansko nepravilnost takoj in učinkovito razišče ter ustrezno odpravi, kot tudi naredi ustrezne finančne popravke v skladu</w:t>
      </w:r>
      <w:r>
        <w:t xml:space="preserve"> </w:t>
      </w:r>
      <w:r w:rsidR="00F765AB">
        <w:t xml:space="preserve">s členom 11.4 </w:t>
      </w:r>
      <w:r>
        <w:t>Uredb</w:t>
      </w:r>
      <w:r w:rsidR="00F765AB">
        <w:t>e</w:t>
      </w:r>
      <w:r w:rsidR="007F2DC9">
        <w:rPr>
          <w:rStyle w:val="Sprotnaopomba-sklic"/>
        </w:rPr>
        <w:footnoteReference w:id="4"/>
      </w:r>
      <w:r w:rsidR="0003372A">
        <w:t>.</w:t>
      </w:r>
    </w:p>
    <w:p w14:paraId="3B57C925" w14:textId="77777777" w:rsidR="00053AA8" w:rsidRDefault="00053AA8" w:rsidP="00053AA8">
      <w:pPr>
        <w:jc w:val="both"/>
      </w:pPr>
      <w:r w:rsidRPr="00053AA8">
        <w:t>NKO ne dopušča spolnega izkoriščanja, zlorabe ali nadlegovanja. NKO sprejme vse razumne in ustrezne ukrepe za preprečitev spolnega izkoriščanja, zlorabe ali nadlegovanja katere koli osebe, ki je povezana s programom sodelovanja, s strani zaposlenih v NKO, vključenih agencijah in izvajalskih agencijah. V primeru prijave spolnega izkoriščanja, zlorabe ali nadlegovanja se bo NKO ustrezno odzval, pri čemer bo zagotovil varnost prizadetih oseb in upošteval načela varnosti, zaupnosti, spoštovanja in nediskriminacije.</w:t>
      </w:r>
      <w:r>
        <w:t xml:space="preserve"> </w:t>
      </w:r>
    </w:p>
    <w:p w14:paraId="13DD0F19" w14:textId="31CC72AC" w:rsidR="00053AA8" w:rsidRDefault="00053AA8" w:rsidP="00053AA8">
      <w:pPr>
        <w:jc w:val="both"/>
      </w:pPr>
      <w:r w:rsidRPr="00053AA8">
        <w:lastRenderedPageBreak/>
        <w:t>NKO zagotovi, da vsi dogovori z izvajalskimi agencijami, ki se nanašajo na izvajanje ukrepov podpore, izpolnjujejo te obveznosti.</w:t>
      </w:r>
    </w:p>
    <w:p w14:paraId="0D4DE2E5" w14:textId="77777777" w:rsidR="00053AA8" w:rsidRPr="00053AA8" w:rsidRDefault="00053AA8" w:rsidP="00053AA8">
      <w:pPr>
        <w:jc w:val="both"/>
      </w:pPr>
      <w:r w:rsidRPr="00053AA8">
        <w:t xml:space="preserve">Švica si pridržuje pravico, da zahteva posebne in/ali dodatne ukrepe za preprečevanje, odkrivanje in odpravo nepravilnosti.  </w:t>
      </w:r>
    </w:p>
    <w:p w14:paraId="69AC24FA" w14:textId="619AD7C2" w:rsidR="00053AA8" w:rsidRDefault="00053AA8" w:rsidP="00053AA8">
      <w:pPr>
        <w:jc w:val="both"/>
      </w:pPr>
      <w:r w:rsidRPr="001439C8">
        <w:t xml:space="preserve">NKO vzpostavi pritožbeni mehanizem, ki omogoča uspešno sprejemanje, obravnavanje in odločanje o pritožbah glede domnevnih ali dejanskih nepravilnosti v zvezi s </w:t>
      </w:r>
      <w:r>
        <w:t xml:space="preserve">slovenko-švicarskim </w:t>
      </w:r>
      <w:r w:rsidRPr="001439C8">
        <w:t>programom sodelovanja.</w:t>
      </w:r>
      <w:r>
        <w:t xml:space="preserve"> </w:t>
      </w:r>
      <w:r w:rsidRPr="001439C8">
        <w:t xml:space="preserve">Informacije o načinu vložitve pritožbe se vidno objavijo na spletnem mestu NKO. </w:t>
      </w:r>
      <w:r>
        <w:t>NKO sprejme ustrezne ukrepe za zaščito žvižgačev.</w:t>
      </w:r>
    </w:p>
    <w:p w14:paraId="05E1F5D9" w14:textId="0A633CEA" w:rsidR="00053AA8" w:rsidRDefault="00053AA8" w:rsidP="00053AA8">
      <w:pPr>
        <w:jc w:val="both"/>
      </w:pPr>
      <w:r>
        <w:t xml:space="preserve">Republika Slovenija je </w:t>
      </w:r>
      <w:r w:rsidRPr="00053AA8">
        <w:t xml:space="preserve">odgovorna za kakršno koli finančno izgubo in/ali kakršno koli drugo škodo, ki nastane zaradi nepravilnosti, nastalih v okviru </w:t>
      </w:r>
      <w:r>
        <w:t xml:space="preserve">slovensko-švicarskega </w:t>
      </w:r>
      <w:r w:rsidRPr="00053AA8">
        <w:t>programa sodelovanja.</w:t>
      </w:r>
    </w:p>
    <w:p w14:paraId="5040942D" w14:textId="7700B077" w:rsidR="00053AA8" w:rsidRPr="00053AA8" w:rsidRDefault="00053AA8" w:rsidP="00053AA8">
      <w:pPr>
        <w:jc w:val="both"/>
      </w:pPr>
      <w:r w:rsidRPr="00053AA8">
        <w:t>NKO je odgovoren za izterjavo vseh zneskov, izgubljenih zaradi ugotovljene nepravilnosti, in po potrebi za zaračunavanje zamudnih obresti.</w:t>
      </w:r>
    </w:p>
    <w:p w14:paraId="68512D3A" w14:textId="308A9FBF" w:rsidR="00E35D42" w:rsidRDefault="008B0E6D" w:rsidP="00053AA8">
      <w:pPr>
        <w:pStyle w:val="Naslov1"/>
        <w:ind w:left="432"/>
      </w:pPr>
      <w:bookmarkStart w:id="4" w:name="_Toc171934476"/>
      <w:r>
        <w:t>Poročanje o nepravilnostih</w:t>
      </w:r>
      <w:bookmarkEnd w:id="4"/>
    </w:p>
    <w:p w14:paraId="3862A43C" w14:textId="1EEA3FC4" w:rsidR="001439C8" w:rsidRPr="001439C8" w:rsidRDefault="001439C8" w:rsidP="001439C8">
      <w:pPr>
        <w:jc w:val="both"/>
      </w:pPr>
      <w:r w:rsidRPr="001439C8">
        <w:t>O vsaki pritožbi, ki vključuje domnevne ali dejanske nepravilnosti, se poroča NKO</w:t>
      </w:r>
      <w:r w:rsidR="00053AA8" w:rsidRPr="00053AA8">
        <w:t xml:space="preserve"> v skladu s členom 11.3 Uredbe.</w:t>
      </w:r>
      <w:r w:rsidRPr="001439C8">
        <w:t xml:space="preserve">. Na zahtevo </w:t>
      </w:r>
      <w:r>
        <w:t xml:space="preserve">Švice </w:t>
      </w:r>
      <w:r w:rsidRPr="001439C8">
        <w:t xml:space="preserve">NKO predloži seznam prejetih pritožb. </w:t>
      </w:r>
    </w:p>
    <w:p w14:paraId="0A8EAB8E" w14:textId="77777777" w:rsidR="001439C8" w:rsidRDefault="001439C8" w:rsidP="001439C8">
      <w:pPr>
        <w:jc w:val="both"/>
      </w:pPr>
      <w:r w:rsidRPr="001439C8">
        <w:t xml:space="preserve">NKO na zahtevo Švice pregleda pritožbe, ki jih prejme Švica.   </w:t>
      </w:r>
    </w:p>
    <w:p w14:paraId="4E23D981" w14:textId="265719E9" w:rsidR="001439C8" w:rsidRPr="001439C8" w:rsidRDefault="001439C8" w:rsidP="005E1BF1">
      <w:pPr>
        <w:spacing w:after="0" w:line="240" w:lineRule="auto"/>
        <w:jc w:val="both"/>
      </w:pPr>
      <w:r w:rsidRPr="001439C8">
        <w:t xml:space="preserve">NKO nemudoma poroča </w:t>
      </w:r>
      <w:r w:rsidR="005E1BF1">
        <w:t>Švici</w:t>
      </w:r>
      <w:r w:rsidRPr="001439C8">
        <w:t xml:space="preserve"> o vseh domnevnih ali dejanskih nepravilnostih, če velja karkoli od naslednjega: </w:t>
      </w:r>
    </w:p>
    <w:p w14:paraId="505C1948" w14:textId="77777777" w:rsidR="001439C8" w:rsidRPr="001439C8" w:rsidRDefault="001439C8" w:rsidP="005E1BF1">
      <w:pPr>
        <w:numPr>
          <w:ilvl w:val="4"/>
          <w:numId w:val="19"/>
        </w:numPr>
        <w:spacing w:after="0" w:line="240" w:lineRule="auto"/>
        <w:jc w:val="both"/>
      </w:pPr>
      <w:r w:rsidRPr="001439C8">
        <w:t>gre za domnevno dejanje ali opustitev, ki je kaznivo dejanje v skladu z veljavno zakonodajo,</w:t>
      </w:r>
    </w:p>
    <w:p w14:paraId="7842BCD0" w14:textId="40943F0A" w:rsidR="001439C8" w:rsidRPr="001439C8" w:rsidRDefault="001439C8" w:rsidP="005E1BF1">
      <w:pPr>
        <w:numPr>
          <w:ilvl w:val="4"/>
          <w:numId w:val="19"/>
        </w:numPr>
        <w:spacing w:after="0" w:line="240" w:lineRule="auto"/>
        <w:jc w:val="both"/>
      </w:pPr>
      <w:r w:rsidRPr="001439C8">
        <w:t xml:space="preserve">ogrožajo uspešno izvajanje programa sodelovanja ali ukrepa podpore in/ali kažejo na resno slabo upravljanje, ki vpliva na uporabo </w:t>
      </w:r>
      <w:r>
        <w:t>š</w:t>
      </w:r>
      <w:r w:rsidRPr="001439C8">
        <w:t xml:space="preserve">vicarskega prispevka, </w:t>
      </w:r>
    </w:p>
    <w:p w14:paraId="3AB585A3" w14:textId="77777777" w:rsidR="001439C8" w:rsidRDefault="001439C8" w:rsidP="001439C8">
      <w:pPr>
        <w:spacing w:after="0" w:line="240" w:lineRule="auto"/>
        <w:jc w:val="both"/>
      </w:pPr>
    </w:p>
    <w:p w14:paraId="7E142895" w14:textId="7203840D" w:rsidR="001439C8" w:rsidRPr="001439C8" w:rsidRDefault="001439C8" w:rsidP="001439C8">
      <w:pPr>
        <w:spacing w:after="0" w:line="240" w:lineRule="auto"/>
        <w:jc w:val="both"/>
      </w:pPr>
      <w:r w:rsidRPr="001439C8">
        <w:t>V vseh drugih primerih NKO vsako četrtletje, tj. v roku dveh mesecev po koncu vsakega četrtletja, poroča o novih domnevnih in dejanskih nepravilnostih.</w:t>
      </w:r>
      <w:r>
        <w:t xml:space="preserve"> </w:t>
      </w:r>
      <w:r w:rsidRPr="001439C8">
        <w:t>Za poročanje o domnevnih ali dejanskih nepravilnostih NKO uporabi predlogo za poročanje, ki jo določi Švica</w:t>
      </w:r>
      <w:r w:rsidR="00AE555F">
        <w:rPr>
          <w:rStyle w:val="Sprotnaopomba-sklic"/>
        </w:rPr>
        <w:footnoteReference w:id="5"/>
      </w:r>
      <w:r w:rsidRPr="001439C8">
        <w:t xml:space="preserve">. Poleg poročanja o novih nepravilnostih NKO s posodobljenim obrazcem za poročanje </w:t>
      </w:r>
      <w:r>
        <w:t xml:space="preserve">Švici </w:t>
      </w:r>
      <w:r w:rsidRPr="001439C8">
        <w:t>poroča o napredku in/ali sprejetih ukrepih pri preiskovanju in odpravljanju že predhodno poročanih nepravilnosti. Švica lahko kadarkoli zahteva dodatne informacije o napredku pri preiskovanju in odpravljanju nepravilnosti.</w:t>
      </w:r>
    </w:p>
    <w:p w14:paraId="1C44B6F4" w14:textId="77777777" w:rsidR="005E1BF1" w:rsidRDefault="005E1BF1" w:rsidP="001439C8">
      <w:pPr>
        <w:spacing w:after="0" w:line="240" w:lineRule="auto"/>
        <w:jc w:val="both"/>
      </w:pPr>
    </w:p>
    <w:p w14:paraId="55906D0E" w14:textId="77777777" w:rsidR="00AE555F" w:rsidRDefault="001439C8" w:rsidP="001439C8">
      <w:pPr>
        <w:spacing w:after="0" w:line="240" w:lineRule="auto"/>
        <w:jc w:val="both"/>
      </w:pPr>
      <w:r w:rsidRPr="001439C8">
        <w:t xml:space="preserve">NKO hrani dokumentacijo v zvezi z vsemi zaznanimi nepravilnostmi. Na zahtevo Švice NKO takoj zagotovi podrobne in dokumentirane informacije o nepravilnostih.  </w:t>
      </w:r>
    </w:p>
    <w:p w14:paraId="3D2DD864" w14:textId="1830A3AD" w:rsidR="00010D69" w:rsidRDefault="00AE555F" w:rsidP="00AE555F">
      <w:pPr>
        <w:pStyle w:val="Naslov1"/>
        <w:ind w:left="432"/>
      </w:pPr>
      <w:bookmarkStart w:id="5" w:name="_Toc171934477"/>
      <w:r>
        <w:t>Finančni popravki</w:t>
      </w:r>
      <w:bookmarkEnd w:id="5"/>
      <w:r w:rsidR="001439C8" w:rsidRPr="001439C8">
        <w:t xml:space="preserve">     </w:t>
      </w:r>
    </w:p>
    <w:p w14:paraId="2C5E65EC" w14:textId="3384B94A" w:rsidR="00AE555F" w:rsidRDefault="00AE555F" w:rsidP="00AE555F">
      <w:pPr>
        <w:jc w:val="both"/>
      </w:pPr>
      <w:r>
        <w:t xml:space="preserve">V primeru nepravilnosti NKO v skladu s členom 11.2 Uredbe opredeli, ali je treba sredstva zadevnega ukrepa podpore preklicati (finančni popravek). V tem primeru NKO določi znesek finančnega popravka ob upoštevanju načela sorazmernosti, posebnih okoliščin in zlasti narave in resnosti ugotovljene nepravilnosti. Pri tem NKO prav tako upošteva učinek nepravilnosti na zadevni ukrep podpore in izvajalsko agencijo ter na ugled Švice. </w:t>
      </w:r>
    </w:p>
    <w:p w14:paraId="3C78D8B0" w14:textId="40DAE8F1" w:rsidR="00AE555F" w:rsidRDefault="00AE555F" w:rsidP="00AE555F">
      <w:pPr>
        <w:jc w:val="both"/>
      </w:pPr>
      <w:r>
        <w:t xml:space="preserve">NKO Švici najprej predlaga finančni popravek pred izvedbo samega popravka. Če se Švica ne strinja s predlaganim finančnim popravkom, Švica začne s pogovori z NKO v roku enega meseca od prejema predloga. NKO upošteva zadržke Švice.  </w:t>
      </w:r>
    </w:p>
    <w:p w14:paraId="3ACC75C5" w14:textId="48A930E3" w:rsidR="00AE555F" w:rsidRDefault="00AE555F" w:rsidP="00AE555F">
      <w:pPr>
        <w:jc w:val="both"/>
      </w:pPr>
      <w:r>
        <w:lastRenderedPageBreak/>
        <w:t xml:space="preserve">Če je Švica že plačala znesek, dogovorjen v okviru finančnega popravka, se znesek finančnega popravka odšteje od naslednjega zahtevka za povračilo za zadevni ukrep podpore. Če to ni možno, partnerska država Švici povrne znesek finančnega popravka v roku treh mesecev od sprejetja odločitve o finančnem popravku. </w:t>
      </w:r>
    </w:p>
    <w:p w14:paraId="3326715B" w14:textId="2B18647E" w:rsidR="00AE555F" w:rsidRDefault="00AE555F" w:rsidP="00AE555F">
      <w:pPr>
        <w:pStyle w:val="Naslov1"/>
        <w:ind w:left="432"/>
      </w:pPr>
      <w:bookmarkStart w:id="6" w:name="_Toc171934478"/>
      <w:r>
        <w:t>Popravljalni ukrepi Švice</w:t>
      </w:r>
      <w:bookmarkEnd w:id="6"/>
    </w:p>
    <w:p w14:paraId="503D4872" w14:textId="5385FDE0" w:rsidR="00AE555F" w:rsidRPr="00AA7C6E" w:rsidRDefault="00AE555F" w:rsidP="00AA7C6E">
      <w:pPr>
        <w:jc w:val="both"/>
        <w:rPr>
          <w:rFonts w:cstheme="minorHAnsi"/>
        </w:rPr>
      </w:pPr>
      <w:r w:rsidRPr="00AA7C6E">
        <w:rPr>
          <w:rFonts w:cstheme="minorHAnsi"/>
        </w:rPr>
        <w:t xml:space="preserve">Švica lahko izvede sorazmerne popravljalne ukrepe v skladu v členom 12.2 Uredbe v enem ali več naslednjih primerih: </w:t>
      </w:r>
    </w:p>
    <w:p w14:paraId="5A1129D6" w14:textId="2A9324FF"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 xml:space="preserve">v primeru domnevnih ali dejanskih nepravilnosti, kot opredeljeno v členu 11.1 Uredbe, ki jih zazna partnerska država ali Švica,   </w:t>
      </w:r>
    </w:p>
    <w:p w14:paraId="5F7ECA36" w14:textId="7E441DB3"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če v sistemih upravljanja in nadzora, ki jih vzpostavi partnerska država za program sodelovanja, obstaja resna pomanjkljivost,</w:t>
      </w:r>
    </w:p>
    <w:p w14:paraId="1E2060CC" w14:textId="16344FF2"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če v upravljanju ukrepa podpore obstaja resna pomanjkljivost,</w:t>
      </w:r>
    </w:p>
    <w:p w14:paraId="5B2E2A28" w14:textId="1C46EB0C"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 xml:space="preserve">če informacije, poročila in dokumenti, zahtevani v skladu s četrtim, sedmim, devetim in desetim poglavjem, niso bili predloženi, </w:t>
      </w:r>
    </w:p>
    <w:p w14:paraId="15141547" w14:textId="50E0777D"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če partnerska država ni izpolnila zahtevka za povračilo v zvezi s katero koli vrsto pomoči v partnerski državi, ki se financira iz Švicarskega prispevka v skladu s členom 11.4 Uredbe,</w:t>
      </w:r>
    </w:p>
    <w:p w14:paraId="3E8108FA" w14:textId="4920133D"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če informacije o pritožbah in nepravilnostih, ki jih zahteva Švica s skladu s členom 11.3 Uredbe, niso bile predložene ali pa so nepopolne,</w:t>
      </w:r>
    </w:p>
    <w:p w14:paraId="774243E5" w14:textId="64F5144C" w:rsidR="00AE555F" w:rsidRPr="00AA7C6E" w:rsidRDefault="00AE555F"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če ukrep podpore ali državni organ, izvajalska agencija ali kateri koli drugi subjekt, vključen v izvajanje ukrepa podpore, krši ali je v nevarnosti, da krši temeljne evropske vrednote, kot so načela demokracije, vladavina prava, politični pluralizem, človekove pravice, človekovo dostojanstvo in temeljne svoboščine; ali splošna načela, opredeljena v členu 2.3</w:t>
      </w:r>
      <w:r w:rsidR="00AA7C6E" w:rsidRPr="00AA7C6E">
        <w:rPr>
          <w:rFonts w:asciiTheme="minorHAnsi" w:hAnsiTheme="minorHAnsi" w:cstheme="minorHAnsi"/>
          <w:sz w:val="22"/>
          <w:szCs w:val="22"/>
        </w:rPr>
        <w:t xml:space="preserve"> Uredbe</w:t>
      </w:r>
      <w:r w:rsidRPr="00AA7C6E">
        <w:rPr>
          <w:rFonts w:asciiTheme="minorHAnsi" w:hAnsiTheme="minorHAnsi" w:cstheme="minorHAnsi"/>
          <w:sz w:val="22"/>
          <w:szCs w:val="22"/>
        </w:rPr>
        <w:t>,</w:t>
      </w:r>
    </w:p>
    <w:p w14:paraId="4433A9AB" w14:textId="25EFEA19" w:rsidR="00AE555F" w:rsidRPr="00AA7C6E" w:rsidRDefault="00AA7C6E" w:rsidP="00AA7C6E">
      <w:pPr>
        <w:pStyle w:val="Odstavekseznama"/>
        <w:numPr>
          <w:ilvl w:val="0"/>
          <w:numId w:val="32"/>
        </w:numPr>
        <w:jc w:val="both"/>
        <w:rPr>
          <w:rFonts w:asciiTheme="minorHAnsi" w:hAnsiTheme="minorHAnsi" w:cstheme="minorHAnsi"/>
          <w:sz w:val="22"/>
          <w:szCs w:val="22"/>
        </w:rPr>
      </w:pPr>
      <w:r w:rsidRPr="00AA7C6E">
        <w:rPr>
          <w:rFonts w:asciiTheme="minorHAnsi" w:hAnsiTheme="minorHAnsi" w:cstheme="minorHAnsi"/>
          <w:sz w:val="22"/>
          <w:szCs w:val="22"/>
        </w:rPr>
        <w:t xml:space="preserve">če je </w:t>
      </w:r>
      <w:r w:rsidR="00AE555F" w:rsidRPr="00AA7C6E">
        <w:rPr>
          <w:rFonts w:asciiTheme="minorHAnsi" w:hAnsiTheme="minorHAnsi" w:cstheme="minorHAnsi"/>
          <w:sz w:val="22"/>
          <w:szCs w:val="22"/>
        </w:rPr>
        <w:t xml:space="preserve">zaradi zamud pri izvajanju ukrep podpore nemogoče izvesti v celoti v obdobju upravičenosti, opredeljenem v odstavku 3 člena 4 </w:t>
      </w:r>
      <w:r w:rsidRPr="00AA7C6E">
        <w:rPr>
          <w:rFonts w:asciiTheme="minorHAnsi" w:hAnsiTheme="minorHAnsi" w:cstheme="minorHAnsi"/>
          <w:sz w:val="22"/>
          <w:szCs w:val="22"/>
        </w:rPr>
        <w:t>O</w:t>
      </w:r>
      <w:r w:rsidR="00AE555F" w:rsidRPr="00AA7C6E">
        <w:rPr>
          <w:rFonts w:asciiTheme="minorHAnsi" w:hAnsiTheme="minorHAnsi" w:cstheme="minorHAnsi"/>
          <w:sz w:val="22"/>
          <w:szCs w:val="22"/>
        </w:rPr>
        <w:t xml:space="preserve">kvirnega sporazuma,  </w:t>
      </w:r>
    </w:p>
    <w:p w14:paraId="520B891D" w14:textId="77777777" w:rsidR="00AA7C6E" w:rsidRPr="00AA7C6E" w:rsidRDefault="00AE555F" w:rsidP="00AA7C6E">
      <w:pPr>
        <w:pStyle w:val="Odstavekseznama"/>
        <w:numPr>
          <w:ilvl w:val="0"/>
          <w:numId w:val="32"/>
        </w:numPr>
        <w:jc w:val="both"/>
        <w:rPr>
          <w:rFonts w:asciiTheme="minorHAnsi" w:hAnsiTheme="minorHAnsi" w:cstheme="minorHAnsi"/>
          <w:sz w:val="22"/>
          <w:szCs w:val="22"/>
          <w:lang w:val="sl-SI"/>
        </w:rPr>
      </w:pPr>
      <w:r w:rsidRPr="00AA7C6E">
        <w:rPr>
          <w:rFonts w:asciiTheme="minorHAnsi" w:hAnsiTheme="minorHAnsi" w:cstheme="minorHAnsi"/>
          <w:sz w:val="22"/>
          <w:szCs w:val="22"/>
        </w:rPr>
        <w:t xml:space="preserve">če je prišlo do katere koli druge bistvene kršitve pravnega okvira, ki se </w:t>
      </w:r>
      <w:r w:rsidRPr="00AA7C6E">
        <w:rPr>
          <w:rFonts w:asciiTheme="minorHAnsi" w:hAnsiTheme="minorHAnsi" w:cstheme="minorHAnsi"/>
          <w:sz w:val="22"/>
          <w:szCs w:val="22"/>
          <w:lang w:val="sl-SI"/>
        </w:rPr>
        <w:t xml:space="preserve">nanaša na </w:t>
      </w:r>
      <w:r w:rsidR="00AA7C6E" w:rsidRPr="00AA7C6E">
        <w:rPr>
          <w:rFonts w:asciiTheme="minorHAnsi" w:hAnsiTheme="minorHAnsi" w:cstheme="minorHAnsi"/>
          <w:sz w:val="22"/>
          <w:szCs w:val="22"/>
          <w:lang w:val="sl-SI"/>
        </w:rPr>
        <w:t>š</w:t>
      </w:r>
      <w:r w:rsidRPr="00AA7C6E">
        <w:rPr>
          <w:rFonts w:asciiTheme="minorHAnsi" w:hAnsiTheme="minorHAnsi" w:cstheme="minorHAnsi"/>
          <w:sz w:val="22"/>
          <w:szCs w:val="22"/>
          <w:lang w:val="sl-SI"/>
        </w:rPr>
        <w:t>vicarski prispevek.</w:t>
      </w:r>
    </w:p>
    <w:p w14:paraId="70843F0C" w14:textId="77777777" w:rsidR="00AA7C6E" w:rsidRPr="00AA7C6E" w:rsidRDefault="00AA7C6E" w:rsidP="0097152E">
      <w:pPr>
        <w:spacing w:after="0" w:line="240" w:lineRule="auto"/>
        <w:jc w:val="both"/>
        <w:rPr>
          <w:rFonts w:cstheme="minorHAnsi"/>
        </w:rPr>
      </w:pPr>
    </w:p>
    <w:p w14:paraId="4F253E40" w14:textId="77777777" w:rsidR="00AA7C6E" w:rsidRDefault="00AE555F" w:rsidP="0097152E">
      <w:pPr>
        <w:spacing w:after="0" w:line="240" w:lineRule="auto"/>
        <w:jc w:val="both"/>
        <w:rPr>
          <w:rFonts w:cstheme="minorHAnsi"/>
        </w:rPr>
      </w:pPr>
      <w:r w:rsidRPr="00AA7C6E">
        <w:rPr>
          <w:rFonts w:cstheme="minorHAnsi"/>
        </w:rPr>
        <w:t xml:space="preserve"> </w:t>
      </w:r>
      <w:r w:rsidR="00AA7C6E" w:rsidRPr="00AA7C6E">
        <w:rPr>
          <w:rFonts w:cstheme="minorHAnsi"/>
        </w:rPr>
        <w:t xml:space="preserve">V enem ali več primerov iz člena 12.1 Uredbe lahko Švica izvede najmanj naslednje ukrepe: </w:t>
      </w:r>
    </w:p>
    <w:p w14:paraId="1583E118" w14:textId="77777777" w:rsidR="0097152E" w:rsidRPr="00AA7C6E" w:rsidRDefault="0097152E" w:rsidP="0097152E">
      <w:pPr>
        <w:spacing w:after="0" w:line="240" w:lineRule="auto"/>
        <w:jc w:val="both"/>
        <w:rPr>
          <w:rFonts w:cstheme="minorHAnsi"/>
        </w:rPr>
      </w:pPr>
    </w:p>
    <w:p w14:paraId="68E364E4" w14:textId="36C21826" w:rsidR="00AA7C6E" w:rsidRPr="00AA7C6E" w:rsidRDefault="00AA7C6E" w:rsidP="0097152E">
      <w:pPr>
        <w:pStyle w:val="Odstavekseznama"/>
        <w:numPr>
          <w:ilvl w:val="0"/>
          <w:numId w:val="36"/>
        </w:numPr>
        <w:spacing w:line="240" w:lineRule="auto"/>
        <w:jc w:val="both"/>
        <w:rPr>
          <w:rFonts w:asciiTheme="minorHAnsi" w:hAnsiTheme="minorHAnsi" w:cstheme="minorHAnsi"/>
          <w:sz w:val="22"/>
          <w:szCs w:val="22"/>
          <w:lang w:val="sl-SI"/>
        </w:rPr>
      </w:pPr>
      <w:r w:rsidRPr="00AA7C6E">
        <w:rPr>
          <w:rFonts w:asciiTheme="minorHAnsi" w:hAnsiTheme="minorHAnsi" w:cstheme="minorHAnsi"/>
          <w:sz w:val="22"/>
          <w:szCs w:val="22"/>
          <w:lang w:val="sl-SI"/>
        </w:rPr>
        <w:t>takojšnja začasna ustavitev ali zaustavitev povračil,</w:t>
      </w:r>
    </w:p>
    <w:p w14:paraId="76A267A6" w14:textId="212CF910" w:rsidR="00AA7C6E" w:rsidRPr="00AA7C6E" w:rsidRDefault="00AA7C6E" w:rsidP="0097152E">
      <w:pPr>
        <w:pStyle w:val="Odstavekseznama"/>
        <w:numPr>
          <w:ilvl w:val="0"/>
          <w:numId w:val="35"/>
        </w:numPr>
        <w:spacing w:line="240" w:lineRule="auto"/>
        <w:jc w:val="both"/>
        <w:rPr>
          <w:rFonts w:asciiTheme="minorHAnsi" w:hAnsiTheme="minorHAnsi" w:cstheme="minorHAnsi"/>
          <w:sz w:val="22"/>
          <w:szCs w:val="22"/>
          <w:lang w:val="sl-SI"/>
        </w:rPr>
      </w:pPr>
      <w:r w:rsidRPr="00AA7C6E">
        <w:rPr>
          <w:rFonts w:asciiTheme="minorHAnsi" w:hAnsiTheme="minorHAnsi" w:cstheme="minorHAnsi"/>
          <w:sz w:val="22"/>
          <w:szCs w:val="22"/>
          <w:lang w:val="sl-SI"/>
        </w:rPr>
        <w:t xml:space="preserve">naroči partnerski državi, da ustavi plačila v okviru slovensko-švicarskega programa sodelovanja,  </w:t>
      </w:r>
    </w:p>
    <w:p w14:paraId="4F6F4FED" w14:textId="77777777" w:rsidR="00AA7C6E" w:rsidRPr="00AA7C6E" w:rsidRDefault="00AA7C6E" w:rsidP="0097152E">
      <w:pPr>
        <w:pStyle w:val="Odstavekseznama"/>
        <w:numPr>
          <w:ilvl w:val="0"/>
          <w:numId w:val="35"/>
        </w:numPr>
        <w:spacing w:line="240" w:lineRule="auto"/>
        <w:jc w:val="both"/>
        <w:rPr>
          <w:rFonts w:asciiTheme="minorHAnsi" w:hAnsiTheme="minorHAnsi" w:cstheme="minorHAnsi"/>
          <w:sz w:val="22"/>
          <w:szCs w:val="22"/>
          <w:lang w:val="sl-SI"/>
        </w:rPr>
      </w:pPr>
      <w:r w:rsidRPr="00AA7C6E">
        <w:rPr>
          <w:rFonts w:asciiTheme="minorHAnsi" w:hAnsiTheme="minorHAnsi" w:cstheme="minorHAnsi"/>
          <w:sz w:val="22"/>
          <w:szCs w:val="22"/>
          <w:lang w:val="sl-SI"/>
        </w:rPr>
        <w:t>zahteva vračilo izplačanih povračil v kateri koli fazi zadevnega ukrepa podpore,</w:t>
      </w:r>
    </w:p>
    <w:p w14:paraId="7C5A246A" w14:textId="382BB37D" w:rsidR="00AA7C6E" w:rsidRPr="00AA7C6E" w:rsidRDefault="00AA7C6E" w:rsidP="0097152E">
      <w:pPr>
        <w:pStyle w:val="Odstavekseznama"/>
        <w:numPr>
          <w:ilvl w:val="0"/>
          <w:numId w:val="35"/>
        </w:numPr>
        <w:spacing w:line="240" w:lineRule="auto"/>
        <w:jc w:val="both"/>
        <w:rPr>
          <w:rFonts w:asciiTheme="minorHAnsi" w:hAnsiTheme="minorHAnsi" w:cstheme="minorHAnsi"/>
          <w:sz w:val="22"/>
          <w:szCs w:val="22"/>
          <w:lang w:val="sl-SI"/>
        </w:rPr>
      </w:pPr>
      <w:r w:rsidRPr="00AA7C6E">
        <w:rPr>
          <w:rFonts w:asciiTheme="minorHAnsi" w:hAnsiTheme="minorHAnsi" w:cstheme="minorHAnsi"/>
          <w:sz w:val="22"/>
          <w:szCs w:val="22"/>
          <w:lang w:val="sl-SI"/>
        </w:rPr>
        <w:t xml:space="preserve">preklic, delni ali v celoti, švicarskega prispevka.     </w:t>
      </w:r>
    </w:p>
    <w:p w14:paraId="6E325D07" w14:textId="77777777" w:rsidR="00AA7C6E" w:rsidRPr="00AA7C6E" w:rsidRDefault="00AA7C6E" w:rsidP="0097152E">
      <w:pPr>
        <w:spacing w:after="0" w:line="240" w:lineRule="auto"/>
        <w:jc w:val="both"/>
        <w:rPr>
          <w:rFonts w:cstheme="minorHAnsi"/>
        </w:rPr>
      </w:pPr>
    </w:p>
    <w:p w14:paraId="2933F73D" w14:textId="6967EF5C" w:rsidR="00AA7C6E" w:rsidRPr="00AA7C6E" w:rsidRDefault="00AA7C6E" w:rsidP="00AA7C6E">
      <w:pPr>
        <w:jc w:val="both"/>
        <w:rPr>
          <w:rFonts w:cstheme="minorHAnsi"/>
        </w:rPr>
      </w:pPr>
      <w:r w:rsidRPr="00AA7C6E">
        <w:rPr>
          <w:rFonts w:cstheme="minorHAnsi"/>
        </w:rPr>
        <w:t>Švica pisno obvesti NKO o njenem namenu izvedbe popravljalnih ukrepov. Z izjemo nujnih primerov se NKO omogoči, da predstavi svoja stališča preden Švica sprejme končno odločitev o predvidenem ukrepu.</w:t>
      </w:r>
    </w:p>
    <w:p w14:paraId="49A09509" w14:textId="4E6E4059" w:rsidR="00AA7C6E" w:rsidRPr="00AA7C6E" w:rsidRDefault="00AA7C6E" w:rsidP="00AA7C6E">
      <w:pPr>
        <w:jc w:val="both"/>
        <w:rPr>
          <w:rFonts w:cstheme="minorHAnsi"/>
        </w:rPr>
      </w:pPr>
      <w:r w:rsidRPr="00AA7C6E">
        <w:rPr>
          <w:rFonts w:cstheme="minorHAnsi"/>
        </w:rPr>
        <w:t xml:space="preserve">Če Švica zahteva vračilo izplačanih povračil, partnerska država vrne zadevni znesek Švici v roku treh mesecev od prejema zahteve s strani Švice.  </w:t>
      </w:r>
    </w:p>
    <w:p w14:paraId="1FBB46DE" w14:textId="77777777" w:rsidR="00AA7C6E" w:rsidRDefault="00AA7C6E">
      <w:r>
        <w:br w:type="page"/>
      </w:r>
    </w:p>
    <w:p w14:paraId="4E590B06" w14:textId="1F83A0AE" w:rsidR="00AA7C6E" w:rsidRDefault="00AA7C6E" w:rsidP="002868F0">
      <w:pPr>
        <w:pStyle w:val="Naslov1"/>
        <w:ind w:left="432"/>
      </w:pPr>
      <w:bookmarkStart w:id="7" w:name="_Toc171934479"/>
      <w:r>
        <w:lastRenderedPageBreak/>
        <w:t>Priloga</w:t>
      </w:r>
      <w:r w:rsidR="002868F0">
        <w:t xml:space="preserve"> (</w:t>
      </w:r>
      <w:r w:rsidR="002868F0" w:rsidRPr="002868F0">
        <w:rPr>
          <w:lang w:val="en-GB"/>
        </w:rPr>
        <w:t>Report on irregularities</w:t>
      </w:r>
      <w:r w:rsidR="002868F0">
        <w:t>)</w:t>
      </w:r>
      <w:bookmarkEnd w:id="7"/>
      <w:r w:rsidR="00AE555F">
        <w:t xml:space="preserve">  </w:t>
      </w:r>
    </w:p>
    <w:p w14:paraId="4961F93A" w14:textId="77777777" w:rsidR="002868F0" w:rsidRPr="00AA7C6E" w:rsidRDefault="002868F0" w:rsidP="002868F0">
      <w:pPr>
        <w:rPr>
          <w:lang w:val="en-GB"/>
        </w:rPr>
      </w:pPr>
    </w:p>
    <w:p w14:paraId="43C02888" w14:textId="77777777" w:rsidR="00AA7C6E" w:rsidRPr="00AA7C6E" w:rsidRDefault="00AA7C6E" w:rsidP="00AA7C6E">
      <w:pPr>
        <w:numPr>
          <w:ilvl w:val="0"/>
          <w:numId w:val="38"/>
        </w:numPr>
        <w:tabs>
          <w:tab w:val="num" w:pos="964"/>
        </w:tabs>
        <w:rPr>
          <w:b/>
          <w:bCs/>
          <w:lang w:val="en-GB"/>
        </w:rPr>
      </w:pPr>
      <w:r w:rsidRPr="00AA7C6E">
        <w:rPr>
          <w:b/>
          <w:bCs/>
          <w:lang w:val="en-GB"/>
        </w:rPr>
        <w:t>Basic information on the report</w:t>
      </w:r>
    </w:p>
    <w:tbl>
      <w:tblPr>
        <w:tblW w:w="10490" w:type="dxa"/>
        <w:tblInd w:w="-699" w:type="dxa"/>
        <w:tblLayout w:type="fixed"/>
        <w:tblCellMar>
          <w:top w:w="28" w:type="dxa"/>
          <w:left w:w="70" w:type="dxa"/>
          <w:bottom w:w="28" w:type="dxa"/>
          <w:right w:w="70" w:type="dxa"/>
        </w:tblCellMar>
        <w:tblLook w:val="04A0" w:firstRow="1" w:lastRow="0" w:firstColumn="1" w:lastColumn="0" w:noHBand="0" w:noVBand="1"/>
      </w:tblPr>
      <w:tblGrid>
        <w:gridCol w:w="3390"/>
        <w:gridCol w:w="6940"/>
        <w:gridCol w:w="160"/>
      </w:tblGrid>
      <w:tr w:rsidR="00AA7C6E" w:rsidRPr="00AA7C6E" w14:paraId="595E65A6" w14:textId="77777777" w:rsidTr="00A54578">
        <w:trPr>
          <w:trHeight w:val="405"/>
        </w:trPr>
        <w:tc>
          <w:tcPr>
            <w:tcW w:w="10330" w:type="dxa"/>
            <w:gridSpan w:val="2"/>
            <w:tcBorders>
              <w:top w:val="single" w:sz="4" w:space="0" w:color="auto"/>
              <w:left w:val="nil"/>
              <w:bottom w:val="dashed" w:sz="4" w:space="0" w:color="auto"/>
              <w:right w:val="nil"/>
            </w:tcBorders>
          </w:tcPr>
          <w:p w14:paraId="3DDFC259" w14:textId="77777777" w:rsidR="00AA7C6E" w:rsidRPr="00AA7C6E" w:rsidRDefault="00AA7C6E" w:rsidP="00AA7C6E">
            <w:pPr>
              <w:rPr>
                <w:lang w:val="en-GB"/>
              </w:rPr>
            </w:pPr>
            <w:r w:rsidRPr="00AA7C6E">
              <w:rPr>
                <w:lang w:val="en-GB"/>
              </w:rPr>
              <w:t>Support Measure Name</w:t>
            </w:r>
          </w:p>
        </w:tc>
        <w:tc>
          <w:tcPr>
            <w:tcW w:w="160" w:type="dxa"/>
            <w:tcBorders>
              <w:top w:val="single" w:sz="4" w:space="0" w:color="auto"/>
              <w:left w:val="nil"/>
              <w:bottom w:val="dashed" w:sz="4" w:space="0" w:color="auto"/>
              <w:right w:val="nil"/>
            </w:tcBorders>
          </w:tcPr>
          <w:p w14:paraId="4C2F9B1C" w14:textId="77777777" w:rsidR="00AA7C6E" w:rsidRPr="00AA7C6E" w:rsidRDefault="00AA7C6E" w:rsidP="00AA7C6E">
            <w:pPr>
              <w:rPr>
                <w:lang w:val="en-GB"/>
              </w:rPr>
            </w:pPr>
          </w:p>
        </w:tc>
      </w:tr>
      <w:tr w:rsidR="00AA7C6E" w:rsidRPr="00AA7C6E" w14:paraId="47ECD774" w14:textId="77777777" w:rsidTr="00A54578">
        <w:trPr>
          <w:trHeight w:val="405"/>
        </w:trPr>
        <w:tc>
          <w:tcPr>
            <w:tcW w:w="10330" w:type="dxa"/>
            <w:gridSpan w:val="2"/>
            <w:tcBorders>
              <w:top w:val="single" w:sz="4" w:space="0" w:color="auto"/>
              <w:left w:val="nil"/>
              <w:bottom w:val="dashed" w:sz="4" w:space="0" w:color="auto"/>
              <w:right w:val="nil"/>
            </w:tcBorders>
          </w:tcPr>
          <w:p w14:paraId="156E8166" w14:textId="77777777" w:rsidR="00AA7C6E" w:rsidRPr="00AA7C6E" w:rsidRDefault="00AA7C6E" w:rsidP="00AA7C6E">
            <w:pPr>
              <w:rPr>
                <w:lang w:val="en-GB"/>
              </w:rPr>
            </w:pPr>
            <w:r w:rsidRPr="00AA7C6E">
              <w:rPr>
                <w:lang w:val="en-GB"/>
              </w:rPr>
              <w:t>Partner State Support Measure Code (if any)</w:t>
            </w:r>
          </w:p>
        </w:tc>
        <w:tc>
          <w:tcPr>
            <w:tcW w:w="160" w:type="dxa"/>
            <w:tcBorders>
              <w:top w:val="single" w:sz="4" w:space="0" w:color="auto"/>
              <w:left w:val="nil"/>
              <w:bottom w:val="dashed" w:sz="4" w:space="0" w:color="auto"/>
              <w:right w:val="nil"/>
            </w:tcBorders>
          </w:tcPr>
          <w:p w14:paraId="4B66F5B4" w14:textId="77777777" w:rsidR="00AA7C6E" w:rsidRPr="00AA7C6E" w:rsidRDefault="00AA7C6E" w:rsidP="00AA7C6E">
            <w:pPr>
              <w:rPr>
                <w:lang w:val="en-GB"/>
              </w:rPr>
            </w:pPr>
          </w:p>
        </w:tc>
      </w:tr>
      <w:tr w:rsidR="00AA7C6E" w:rsidRPr="00AA7C6E" w14:paraId="020DF17A" w14:textId="77777777" w:rsidTr="00A54578">
        <w:trPr>
          <w:trHeight w:val="405"/>
        </w:trPr>
        <w:tc>
          <w:tcPr>
            <w:tcW w:w="10330" w:type="dxa"/>
            <w:gridSpan w:val="2"/>
            <w:tcBorders>
              <w:top w:val="single" w:sz="4" w:space="0" w:color="auto"/>
              <w:left w:val="nil"/>
              <w:bottom w:val="dashed" w:sz="4" w:space="0" w:color="auto"/>
              <w:right w:val="nil"/>
            </w:tcBorders>
          </w:tcPr>
          <w:p w14:paraId="6412478B" w14:textId="77777777" w:rsidR="00AA7C6E" w:rsidRPr="00AA7C6E" w:rsidRDefault="00AA7C6E" w:rsidP="00AA7C6E">
            <w:pPr>
              <w:rPr>
                <w:lang w:val="en-GB"/>
              </w:rPr>
            </w:pPr>
            <w:r w:rsidRPr="00AA7C6E">
              <w:rPr>
                <w:lang w:val="en-GB"/>
              </w:rPr>
              <w:t>Swiss Support Measure Code</w:t>
            </w:r>
          </w:p>
        </w:tc>
        <w:tc>
          <w:tcPr>
            <w:tcW w:w="160" w:type="dxa"/>
            <w:tcBorders>
              <w:top w:val="single" w:sz="4" w:space="0" w:color="auto"/>
              <w:left w:val="nil"/>
              <w:bottom w:val="dashed" w:sz="4" w:space="0" w:color="auto"/>
              <w:right w:val="nil"/>
            </w:tcBorders>
          </w:tcPr>
          <w:p w14:paraId="2C4F8780" w14:textId="77777777" w:rsidR="00AA7C6E" w:rsidRPr="00AA7C6E" w:rsidRDefault="00AA7C6E" w:rsidP="00AA7C6E">
            <w:pPr>
              <w:rPr>
                <w:lang w:val="en-GB"/>
              </w:rPr>
            </w:pPr>
          </w:p>
        </w:tc>
      </w:tr>
      <w:tr w:rsidR="00AA7C6E" w:rsidRPr="00AA7C6E" w14:paraId="05704F3D" w14:textId="77777777" w:rsidTr="00A54578">
        <w:tblPrEx>
          <w:tblBorders>
            <w:top w:val="single" w:sz="4" w:space="0" w:color="auto"/>
            <w:bottom w:val="single" w:sz="4" w:space="0" w:color="auto"/>
            <w:insideH w:val="dashed" w:sz="4" w:space="0" w:color="auto"/>
          </w:tblBorders>
        </w:tblPrEx>
        <w:trPr>
          <w:trHeight w:val="405"/>
        </w:trPr>
        <w:tc>
          <w:tcPr>
            <w:tcW w:w="3390" w:type="dxa"/>
            <w:hideMark/>
          </w:tcPr>
          <w:p w14:paraId="6BF57CBB" w14:textId="77777777" w:rsidR="00AA7C6E" w:rsidRPr="00AA7C6E" w:rsidRDefault="00AA7C6E" w:rsidP="00AA7C6E">
            <w:pPr>
              <w:rPr>
                <w:lang w:val="en-GB"/>
              </w:rPr>
            </w:pPr>
            <w:r w:rsidRPr="00AA7C6E">
              <w:rPr>
                <w:lang w:val="en-GB"/>
              </w:rPr>
              <w:t xml:space="preserve">Budget according SM Agreement   </w:t>
            </w:r>
            <w:sdt>
              <w:sdtPr>
                <w:rPr>
                  <w:lang w:val="en-GB"/>
                </w:rPr>
                <w:alias w:val="Local Currency"/>
                <w:tag w:val="Local Currency"/>
                <w:id w:val="1162284896"/>
                <w:placeholder>
                  <w:docPart w:val="0CD74785A8AF4E89A1685C5A1B0A4E8C"/>
                </w:placeholder>
                <w:showingPlcHdr/>
                <w:dropDownList>
                  <w:listItem w:value="Choose"/>
                  <w:listItem w:displayText="EUR" w:value="EUR"/>
                  <w:listItem w:displayText="BGN" w:value="BGN"/>
                  <w:listItem w:displayText="CZK" w:value="CZK"/>
                  <w:listItem w:displayText="HRK" w:value="HRK"/>
                  <w:listItem w:displayText="HUF" w:value="HUF"/>
                  <w:listItem w:displayText="PLN" w:value="PLN"/>
                  <w:listItem w:displayText="RON" w:value="RON"/>
                </w:dropDownList>
              </w:sdtPr>
              <w:sdtEndPr/>
              <w:sdtContent>
                <w:r w:rsidRPr="00AA7C6E">
                  <w:rPr>
                    <w:lang w:val="en-GB"/>
                  </w:rPr>
                  <w:t>Choose.</w:t>
                </w:r>
              </w:sdtContent>
            </w:sdt>
          </w:p>
        </w:tc>
        <w:tc>
          <w:tcPr>
            <w:tcW w:w="7100" w:type="dxa"/>
            <w:gridSpan w:val="2"/>
            <w:noWrap/>
            <w:hideMark/>
          </w:tcPr>
          <w:p w14:paraId="43BF009B" w14:textId="77777777" w:rsidR="00AA7C6E" w:rsidRPr="00AA7C6E" w:rsidRDefault="00AA7C6E" w:rsidP="00AA7C6E">
            <w:pPr>
              <w:rPr>
                <w:lang w:val="en-GB"/>
              </w:rPr>
            </w:pPr>
          </w:p>
          <w:p w14:paraId="11870FA8" w14:textId="77777777" w:rsidR="00AA7C6E" w:rsidRPr="00AA7C6E" w:rsidRDefault="00AA7C6E" w:rsidP="00AA7C6E">
            <w:pPr>
              <w:rPr>
                <w:lang w:val="en-GB"/>
              </w:rPr>
            </w:pPr>
            <w:r w:rsidRPr="00AA7C6E">
              <w:rPr>
                <w:lang w:val="en-GB"/>
              </w:rPr>
              <w:t xml:space="preserve"> </w:t>
            </w:r>
          </w:p>
        </w:tc>
      </w:tr>
      <w:tr w:rsidR="00AA7C6E" w:rsidRPr="00AA7C6E" w14:paraId="62C49194" w14:textId="77777777" w:rsidTr="00A54578">
        <w:tblPrEx>
          <w:tblBorders>
            <w:top w:val="single" w:sz="4" w:space="0" w:color="auto"/>
            <w:bottom w:val="single" w:sz="4" w:space="0" w:color="auto"/>
            <w:insideH w:val="dashed" w:sz="4" w:space="0" w:color="auto"/>
          </w:tblBorders>
        </w:tblPrEx>
        <w:trPr>
          <w:trHeight w:val="405"/>
        </w:trPr>
        <w:tc>
          <w:tcPr>
            <w:tcW w:w="3390" w:type="dxa"/>
            <w:hideMark/>
          </w:tcPr>
          <w:p w14:paraId="409C9B45" w14:textId="77777777" w:rsidR="00AA7C6E" w:rsidRPr="00AA7C6E" w:rsidRDefault="00AA7C6E" w:rsidP="00AA7C6E">
            <w:pPr>
              <w:rPr>
                <w:lang w:val="en-GB"/>
              </w:rPr>
            </w:pPr>
            <w:r w:rsidRPr="00AA7C6E">
              <w:rPr>
                <w:lang w:val="en-GB"/>
              </w:rPr>
              <w:t>Swiss Contribution to the Support Measure CHF</w:t>
            </w:r>
          </w:p>
        </w:tc>
        <w:tc>
          <w:tcPr>
            <w:tcW w:w="7100" w:type="dxa"/>
            <w:gridSpan w:val="2"/>
            <w:noWrap/>
            <w:hideMark/>
          </w:tcPr>
          <w:p w14:paraId="52FD842D" w14:textId="77777777" w:rsidR="00AA7C6E" w:rsidRPr="00AA7C6E" w:rsidRDefault="00AA7C6E" w:rsidP="00AA7C6E">
            <w:pPr>
              <w:rPr>
                <w:lang w:val="en-GB"/>
              </w:rPr>
            </w:pPr>
          </w:p>
        </w:tc>
      </w:tr>
      <w:tr w:rsidR="00AA7C6E" w:rsidRPr="00AA7C6E" w14:paraId="0A900724" w14:textId="77777777" w:rsidTr="00A54578">
        <w:tblPrEx>
          <w:tblBorders>
            <w:top w:val="single" w:sz="4" w:space="0" w:color="auto"/>
            <w:bottom w:val="single" w:sz="4" w:space="0" w:color="auto"/>
            <w:insideH w:val="dashed" w:sz="4" w:space="0" w:color="auto"/>
          </w:tblBorders>
        </w:tblPrEx>
        <w:trPr>
          <w:trHeight w:val="140"/>
        </w:trPr>
        <w:tc>
          <w:tcPr>
            <w:tcW w:w="3390" w:type="dxa"/>
          </w:tcPr>
          <w:p w14:paraId="2A11D5CD" w14:textId="77777777" w:rsidR="00AA7C6E" w:rsidRPr="00AA7C6E" w:rsidRDefault="00AA7C6E" w:rsidP="00AA7C6E">
            <w:pPr>
              <w:rPr>
                <w:lang w:val="en-GB"/>
              </w:rPr>
            </w:pPr>
          </w:p>
        </w:tc>
        <w:tc>
          <w:tcPr>
            <w:tcW w:w="7100" w:type="dxa"/>
            <w:gridSpan w:val="2"/>
            <w:noWrap/>
          </w:tcPr>
          <w:p w14:paraId="0943D6B1" w14:textId="77777777" w:rsidR="00AA7C6E" w:rsidRPr="00AA7C6E" w:rsidRDefault="00AA7C6E" w:rsidP="00AA7C6E">
            <w:pPr>
              <w:rPr>
                <w:lang w:val="en-GB"/>
              </w:rPr>
            </w:pPr>
          </w:p>
        </w:tc>
      </w:tr>
      <w:tr w:rsidR="00AA7C6E" w:rsidRPr="00AA7C6E" w14:paraId="35B1C40E" w14:textId="77777777" w:rsidTr="00A54578">
        <w:trPr>
          <w:trHeight w:val="405"/>
        </w:trPr>
        <w:tc>
          <w:tcPr>
            <w:tcW w:w="10330" w:type="dxa"/>
            <w:gridSpan w:val="2"/>
            <w:tcBorders>
              <w:top w:val="single" w:sz="4" w:space="0" w:color="auto"/>
              <w:left w:val="nil"/>
              <w:bottom w:val="dashed" w:sz="4" w:space="0" w:color="auto"/>
              <w:right w:val="nil"/>
            </w:tcBorders>
          </w:tcPr>
          <w:p w14:paraId="526EA474" w14:textId="77777777" w:rsidR="00AA7C6E" w:rsidRPr="00AA7C6E" w:rsidRDefault="00AA7C6E" w:rsidP="00AA7C6E">
            <w:pPr>
              <w:rPr>
                <w:lang w:val="en-GB"/>
              </w:rPr>
            </w:pPr>
            <w:r w:rsidRPr="00AA7C6E">
              <w:rPr>
                <w:lang w:val="en-GB"/>
              </w:rPr>
              <w:t>Irregularity reference #</w:t>
            </w:r>
          </w:p>
        </w:tc>
        <w:tc>
          <w:tcPr>
            <w:tcW w:w="160" w:type="dxa"/>
            <w:tcBorders>
              <w:top w:val="single" w:sz="4" w:space="0" w:color="auto"/>
              <w:left w:val="nil"/>
              <w:bottom w:val="dashed" w:sz="4" w:space="0" w:color="auto"/>
              <w:right w:val="nil"/>
            </w:tcBorders>
          </w:tcPr>
          <w:p w14:paraId="79A7CEB4" w14:textId="77777777" w:rsidR="00AA7C6E" w:rsidRPr="00AA7C6E" w:rsidRDefault="00AA7C6E" w:rsidP="00AA7C6E">
            <w:pPr>
              <w:rPr>
                <w:lang w:val="en-GB"/>
              </w:rPr>
            </w:pPr>
          </w:p>
        </w:tc>
      </w:tr>
      <w:tr w:rsidR="00AA7C6E" w:rsidRPr="00AA7C6E" w14:paraId="51D95CA6" w14:textId="77777777" w:rsidTr="00A54578">
        <w:trPr>
          <w:trHeight w:val="405"/>
        </w:trPr>
        <w:tc>
          <w:tcPr>
            <w:tcW w:w="3390" w:type="dxa"/>
            <w:tcBorders>
              <w:top w:val="single" w:sz="4" w:space="0" w:color="auto"/>
              <w:left w:val="nil"/>
              <w:bottom w:val="dashed" w:sz="4" w:space="0" w:color="auto"/>
              <w:right w:val="nil"/>
            </w:tcBorders>
          </w:tcPr>
          <w:p w14:paraId="7FBB1FE1" w14:textId="77777777" w:rsidR="00AA7C6E" w:rsidRPr="00AA7C6E" w:rsidRDefault="00AA7C6E" w:rsidP="00AA7C6E">
            <w:pPr>
              <w:rPr>
                <w:lang w:val="en-GB"/>
              </w:rPr>
            </w:pPr>
          </w:p>
          <w:p w14:paraId="48C2EFED" w14:textId="77777777" w:rsidR="00AA7C6E" w:rsidRPr="00AA7C6E" w:rsidRDefault="00AA7C6E" w:rsidP="00AA7C6E">
            <w:pPr>
              <w:rPr>
                <w:lang w:val="en-GB"/>
              </w:rPr>
            </w:pPr>
            <w:r w:rsidRPr="00AA7C6E">
              <w:rPr>
                <w:lang w:val="en-GB"/>
              </w:rPr>
              <w:t>Reporting Period</w:t>
            </w:r>
          </w:p>
        </w:tc>
        <w:tc>
          <w:tcPr>
            <w:tcW w:w="6940" w:type="dxa"/>
            <w:tcBorders>
              <w:top w:val="single" w:sz="4" w:space="0" w:color="auto"/>
              <w:left w:val="nil"/>
              <w:bottom w:val="dashed" w:sz="4" w:space="0" w:color="auto"/>
              <w:right w:val="nil"/>
            </w:tcBorders>
          </w:tcPr>
          <w:p w14:paraId="797B343B" w14:textId="77777777" w:rsidR="00AA7C6E" w:rsidRPr="00AA7C6E" w:rsidRDefault="00AA7C6E" w:rsidP="00AA7C6E">
            <w:pPr>
              <w:rPr>
                <w:lang w:val="en-GB"/>
              </w:rPr>
            </w:pPr>
          </w:p>
        </w:tc>
        <w:tc>
          <w:tcPr>
            <w:tcW w:w="160" w:type="dxa"/>
            <w:tcBorders>
              <w:top w:val="single" w:sz="4" w:space="0" w:color="auto"/>
              <w:left w:val="nil"/>
              <w:bottom w:val="dashed" w:sz="4" w:space="0" w:color="auto"/>
              <w:right w:val="nil"/>
            </w:tcBorders>
          </w:tcPr>
          <w:p w14:paraId="068FB32C" w14:textId="77777777" w:rsidR="00AA7C6E" w:rsidRPr="00AA7C6E" w:rsidRDefault="00AA7C6E" w:rsidP="00AA7C6E">
            <w:pPr>
              <w:rPr>
                <w:lang w:val="en-GB"/>
              </w:rPr>
            </w:pPr>
          </w:p>
        </w:tc>
      </w:tr>
      <w:tr w:rsidR="00AA7C6E" w:rsidRPr="00AA7C6E" w14:paraId="77A4A37A" w14:textId="77777777" w:rsidTr="00A54578">
        <w:trPr>
          <w:trHeight w:val="405"/>
        </w:trPr>
        <w:tc>
          <w:tcPr>
            <w:tcW w:w="10330" w:type="dxa"/>
            <w:gridSpan w:val="2"/>
            <w:tcBorders>
              <w:top w:val="single" w:sz="4" w:space="0" w:color="auto"/>
              <w:left w:val="nil"/>
              <w:bottom w:val="dashed" w:sz="4" w:space="0" w:color="auto"/>
              <w:right w:val="nil"/>
            </w:tcBorders>
          </w:tcPr>
          <w:p w14:paraId="1AC438F4" w14:textId="77777777" w:rsidR="00AA7C6E" w:rsidRPr="00AA7C6E" w:rsidRDefault="00AA7C6E" w:rsidP="00AA7C6E">
            <w:pPr>
              <w:rPr>
                <w:lang w:val="en-GB"/>
              </w:rPr>
            </w:pPr>
            <w:r w:rsidRPr="00AA7C6E">
              <w:rPr>
                <w:lang w:val="en-GB"/>
              </w:rPr>
              <w:t>Report Number</w:t>
            </w:r>
          </w:p>
        </w:tc>
        <w:tc>
          <w:tcPr>
            <w:tcW w:w="160" w:type="dxa"/>
            <w:tcBorders>
              <w:top w:val="single" w:sz="4" w:space="0" w:color="auto"/>
              <w:left w:val="nil"/>
              <w:bottom w:val="dashed" w:sz="4" w:space="0" w:color="auto"/>
              <w:right w:val="nil"/>
            </w:tcBorders>
          </w:tcPr>
          <w:p w14:paraId="74C9AAA6" w14:textId="77777777" w:rsidR="00AA7C6E" w:rsidRPr="00AA7C6E" w:rsidRDefault="00AA7C6E" w:rsidP="00AA7C6E">
            <w:pPr>
              <w:rPr>
                <w:lang w:val="en-GB"/>
              </w:rPr>
            </w:pPr>
          </w:p>
        </w:tc>
      </w:tr>
      <w:tr w:rsidR="00AA7C6E" w:rsidRPr="00AA7C6E" w14:paraId="7F62EAA5" w14:textId="77777777" w:rsidTr="00A54578">
        <w:trPr>
          <w:trHeight w:val="405"/>
        </w:trPr>
        <w:tc>
          <w:tcPr>
            <w:tcW w:w="10330" w:type="dxa"/>
            <w:gridSpan w:val="2"/>
            <w:tcBorders>
              <w:top w:val="dashed" w:sz="4" w:space="0" w:color="auto"/>
              <w:left w:val="nil"/>
              <w:bottom w:val="single" w:sz="4" w:space="0" w:color="auto"/>
              <w:right w:val="nil"/>
            </w:tcBorders>
          </w:tcPr>
          <w:p w14:paraId="02208539" w14:textId="77777777" w:rsidR="00AA7C6E" w:rsidRPr="00AA7C6E" w:rsidRDefault="00AA7C6E" w:rsidP="00AA7C6E">
            <w:pPr>
              <w:rPr>
                <w:lang w:val="en-GB"/>
              </w:rPr>
            </w:pPr>
          </w:p>
        </w:tc>
        <w:tc>
          <w:tcPr>
            <w:tcW w:w="160" w:type="dxa"/>
            <w:tcBorders>
              <w:top w:val="dashed" w:sz="4" w:space="0" w:color="auto"/>
              <w:left w:val="nil"/>
              <w:bottom w:val="single" w:sz="4" w:space="0" w:color="auto"/>
              <w:right w:val="nil"/>
            </w:tcBorders>
          </w:tcPr>
          <w:p w14:paraId="34A37F99" w14:textId="77777777" w:rsidR="00AA7C6E" w:rsidRPr="00AA7C6E" w:rsidRDefault="00AA7C6E" w:rsidP="00AA7C6E">
            <w:pPr>
              <w:rPr>
                <w:lang w:val="en-GB"/>
              </w:rPr>
            </w:pPr>
          </w:p>
        </w:tc>
      </w:tr>
      <w:tr w:rsidR="00AA7C6E" w:rsidRPr="00AA7C6E" w14:paraId="18F02989" w14:textId="77777777" w:rsidTr="00A54578">
        <w:tblPrEx>
          <w:tblBorders>
            <w:insideH w:val="dashed" w:sz="4" w:space="0" w:color="auto"/>
          </w:tblBorders>
        </w:tblPrEx>
        <w:trPr>
          <w:gridAfter w:val="1"/>
          <w:wAfter w:w="160" w:type="dxa"/>
          <w:trHeight w:val="405"/>
        </w:trPr>
        <w:tc>
          <w:tcPr>
            <w:tcW w:w="3390" w:type="dxa"/>
            <w:tcBorders>
              <w:top w:val="dashed" w:sz="4" w:space="0" w:color="auto"/>
              <w:bottom w:val="single" w:sz="4" w:space="0" w:color="auto"/>
            </w:tcBorders>
            <w:hideMark/>
          </w:tcPr>
          <w:p w14:paraId="10D0B986" w14:textId="77777777" w:rsidR="00AA7C6E" w:rsidRPr="00AA7C6E" w:rsidRDefault="00AA7C6E" w:rsidP="00AA7C6E">
            <w:pPr>
              <w:rPr>
                <w:lang w:val="en-GB"/>
              </w:rPr>
            </w:pPr>
            <w:r w:rsidRPr="00AA7C6E">
              <w:rPr>
                <w:lang w:val="en-GB"/>
              </w:rPr>
              <w:t xml:space="preserve">Type of report </w:t>
            </w:r>
          </w:p>
        </w:tc>
        <w:tc>
          <w:tcPr>
            <w:tcW w:w="6940" w:type="dxa"/>
            <w:tcBorders>
              <w:top w:val="dashed" w:sz="4" w:space="0" w:color="auto"/>
              <w:bottom w:val="single" w:sz="4" w:space="0" w:color="auto"/>
            </w:tcBorders>
          </w:tcPr>
          <w:p w14:paraId="326A0DA4" w14:textId="77777777" w:rsidR="00AA7C6E" w:rsidRPr="00AA7C6E" w:rsidRDefault="0097152E" w:rsidP="00AA7C6E">
            <w:pPr>
              <w:rPr>
                <w:lang w:val="en-GB"/>
              </w:rPr>
            </w:pPr>
            <w:sdt>
              <w:sdtPr>
                <w:rPr>
                  <w:lang w:val="en-GB"/>
                </w:rPr>
                <w:id w:val="1799110869"/>
                <w14:checkbox>
                  <w14:checked w14:val="0"/>
                  <w14:checkedState w14:val="2612" w14:font="MS Gothic"/>
                  <w14:uncheckedState w14:val="2610" w14:font="MS Gothic"/>
                </w14:checkbox>
              </w:sdtPr>
              <w:sdtEndPr/>
              <w:sdtContent>
                <w:r w:rsidR="00AA7C6E" w:rsidRPr="00AA7C6E">
                  <w:rPr>
                    <w:rFonts w:ascii="Segoe UI Symbol" w:hAnsi="Segoe UI Symbol" w:cs="Segoe UI Symbol"/>
                    <w:lang w:val="en-GB"/>
                  </w:rPr>
                  <w:t>☐</w:t>
                </w:r>
              </w:sdtContent>
            </w:sdt>
            <w:r w:rsidR="00AA7C6E" w:rsidRPr="00AA7C6E">
              <w:rPr>
                <w:lang w:val="en-GB"/>
              </w:rPr>
              <w:t xml:space="preserve"> Immediate report (according to Regulations Art. 11.3.1)</w:t>
            </w:r>
          </w:p>
          <w:p w14:paraId="299A1CC1" w14:textId="77777777" w:rsidR="00AA7C6E" w:rsidRPr="00AA7C6E" w:rsidRDefault="0097152E" w:rsidP="00AA7C6E">
            <w:pPr>
              <w:rPr>
                <w:lang w:val="en-GB"/>
              </w:rPr>
            </w:pPr>
            <w:sdt>
              <w:sdtPr>
                <w:rPr>
                  <w:lang w:val="en-GB"/>
                </w:rPr>
                <w:id w:val="-1943367620"/>
                <w14:checkbox>
                  <w14:checked w14:val="0"/>
                  <w14:checkedState w14:val="2612" w14:font="MS Gothic"/>
                  <w14:uncheckedState w14:val="2610" w14:font="MS Gothic"/>
                </w14:checkbox>
              </w:sdtPr>
              <w:sdtEndPr/>
              <w:sdtContent>
                <w:r w:rsidR="00AA7C6E" w:rsidRPr="00AA7C6E">
                  <w:rPr>
                    <w:rFonts w:ascii="Segoe UI Symbol" w:hAnsi="Segoe UI Symbol" w:cs="Segoe UI Symbol"/>
                    <w:lang w:val="en-GB"/>
                  </w:rPr>
                  <w:t>☐</w:t>
                </w:r>
              </w:sdtContent>
            </w:sdt>
            <w:r w:rsidR="00AA7C6E" w:rsidRPr="00AA7C6E">
              <w:rPr>
                <w:lang w:val="en-GB"/>
              </w:rPr>
              <w:t xml:space="preserve"> Quarterly report (according to Regulations Art. 11.3.2)</w:t>
            </w:r>
          </w:p>
          <w:p w14:paraId="184DD93B" w14:textId="77777777" w:rsidR="00AA7C6E" w:rsidRPr="00AA7C6E" w:rsidRDefault="0097152E" w:rsidP="00AA7C6E">
            <w:pPr>
              <w:rPr>
                <w:lang w:val="en-GB"/>
              </w:rPr>
            </w:pPr>
            <w:sdt>
              <w:sdtPr>
                <w:rPr>
                  <w:lang w:val="en-GB"/>
                </w:rPr>
                <w:id w:val="-1494249623"/>
                <w14:checkbox>
                  <w14:checked w14:val="0"/>
                  <w14:checkedState w14:val="2612" w14:font="MS Gothic"/>
                  <w14:uncheckedState w14:val="2610" w14:font="MS Gothic"/>
                </w14:checkbox>
              </w:sdtPr>
              <w:sdtEndPr/>
              <w:sdtContent>
                <w:r w:rsidR="00AA7C6E" w:rsidRPr="00AA7C6E">
                  <w:rPr>
                    <w:rFonts w:ascii="Segoe UI Symbol" w:hAnsi="Segoe UI Symbol" w:cs="Segoe UI Symbol"/>
                    <w:lang w:val="en-GB"/>
                  </w:rPr>
                  <w:t>☐</w:t>
                </w:r>
              </w:sdtContent>
            </w:sdt>
            <w:r w:rsidR="00AA7C6E" w:rsidRPr="00AA7C6E">
              <w:rPr>
                <w:lang w:val="en-GB"/>
              </w:rPr>
              <w:t xml:space="preserve"> Update of a previous report on irregularities (according to Regulations Art. 11.3.3)</w:t>
            </w:r>
          </w:p>
          <w:p w14:paraId="7D9359FD" w14:textId="77777777" w:rsidR="00AA7C6E" w:rsidRPr="00AA7C6E" w:rsidRDefault="00AA7C6E" w:rsidP="00AA7C6E">
            <w:pPr>
              <w:rPr>
                <w:lang w:val="en-GB"/>
              </w:rPr>
            </w:pPr>
          </w:p>
        </w:tc>
      </w:tr>
      <w:tr w:rsidR="00AA7C6E" w:rsidRPr="00AA7C6E" w14:paraId="1D804EAA" w14:textId="77777777" w:rsidTr="00A54578">
        <w:tblPrEx>
          <w:tblBorders>
            <w:top w:val="single" w:sz="4" w:space="0" w:color="auto"/>
            <w:bottom w:val="single" w:sz="4" w:space="0" w:color="auto"/>
            <w:insideH w:val="dashed" w:sz="4" w:space="0" w:color="auto"/>
          </w:tblBorders>
        </w:tblPrEx>
        <w:trPr>
          <w:gridAfter w:val="1"/>
          <w:wAfter w:w="160" w:type="dxa"/>
          <w:trHeight w:val="502"/>
        </w:trPr>
        <w:tc>
          <w:tcPr>
            <w:tcW w:w="3390" w:type="dxa"/>
          </w:tcPr>
          <w:p w14:paraId="50763287" w14:textId="77777777" w:rsidR="00AA7C6E" w:rsidRPr="00AA7C6E" w:rsidRDefault="00AA7C6E" w:rsidP="00AA7C6E">
            <w:pPr>
              <w:rPr>
                <w:lang w:val="en-GB"/>
              </w:rPr>
            </w:pPr>
            <w:r w:rsidRPr="00AA7C6E">
              <w:rPr>
                <w:lang w:val="en-GB"/>
              </w:rPr>
              <w:t>Executing Agency Name</w:t>
            </w:r>
          </w:p>
        </w:tc>
        <w:tc>
          <w:tcPr>
            <w:tcW w:w="6940" w:type="dxa"/>
            <w:noWrap/>
          </w:tcPr>
          <w:p w14:paraId="617D4300" w14:textId="77777777" w:rsidR="00AA7C6E" w:rsidRPr="00AA7C6E" w:rsidRDefault="00AA7C6E" w:rsidP="00AA7C6E">
            <w:pPr>
              <w:rPr>
                <w:lang w:val="en-GB"/>
              </w:rPr>
            </w:pPr>
          </w:p>
        </w:tc>
      </w:tr>
      <w:tr w:rsidR="00AA7C6E" w:rsidRPr="00AA7C6E" w14:paraId="290514D0" w14:textId="77777777" w:rsidTr="00A54578">
        <w:tblPrEx>
          <w:tblBorders>
            <w:top w:val="single" w:sz="4" w:space="0" w:color="auto"/>
            <w:bottom w:val="single" w:sz="4" w:space="0" w:color="auto"/>
            <w:insideH w:val="dashed" w:sz="4" w:space="0" w:color="auto"/>
          </w:tblBorders>
        </w:tblPrEx>
        <w:trPr>
          <w:gridAfter w:val="1"/>
          <w:wAfter w:w="160" w:type="dxa"/>
          <w:trHeight w:val="405"/>
        </w:trPr>
        <w:tc>
          <w:tcPr>
            <w:tcW w:w="3390" w:type="dxa"/>
          </w:tcPr>
          <w:p w14:paraId="5E56864E" w14:textId="77777777" w:rsidR="00AA7C6E" w:rsidRPr="00AA7C6E" w:rsidRDefault="00AA7C6E" w:rsidP="00AA7C6E">
            <w:pPr>
              <w:rPr>
                <w:lang w:val="en-GB"/>
              </w:rPr>
            </w:pPr>
            <w:r w:rsidRPr="00AA7C6E">
              <w:rPr>
                <w:lang w:val="en-GB"/>
              </w:rPr>
              <w:t xml:space="preserve">Contact person: </w:t>
            </w:r>
          </w:p>
          <w:p w14:paraId="386B412B" w14:textId="77777777" w:rsidR="00AA7C6E" w:rsidRPr="00AA7C6E" w:rsidRDefault="00AA7C6E" w:rsidP="00AA7C6E">
            <w:pPr>
              <w:rPr>
                <w:lang w:val="en-GB"/>
              </w:rPr>
            </w:pPr>
            <w:r w:rsidRPr="00AA7C6E">
              <w:rPr>
                <w:lang w:val="en-GB"/>
              </w:rPr>
              <w:t>Name</w:t>
            </w:r>
          </w:p>
        </w:tc>
        <w:tc>
          <w:tcPr>
            <w:tcW w:w="6940" w:type="dxa"/>
            <w:noWrap/>
          </w:tcPr>
          <w:p w14:paraId="05AFD881" w14:textId="77777777" w:rsidR="00AA7C6E" w:rsidRPr="00AA7C6E" w:rsidRDefault="00AA7C6E" w:rsidP="00AA7C6E">
            <w:pPr>
              <w:rPr>
                <w:lang w:val="en-GB"/>
              </w:rPr>
            </w:pPr>
          </w:p>
          <w:p w14:paraId="46118416" w14:textId="77777777" w:rsidR="00AA7C6E" w:rsidRPr="00AA7C6E" w:rsidRDefault="00AA7C6E" w:rsidP="00AA7C6E">
            <w:pPr>
              <w:rPr>
                <w:lang w:val="en-GB"/>
              </w:rPr>
            </w:pPr>
          </w:p>
        </w:tc>
      </w:tr>
      <w:tr w:rsidR="00AA7C6E" w:rsidRPr="00AA7C6E" w14:paraId="090B272E" w14:textId="77777777" w:rsidTr="00A54578">
        <w:tblPrEx>
          <w:tblBorders>
            <w:top w:val="single" w:sz="4" w:space="0" w:color="auto"/>
            <w:bottom w:val="single" w:sz="4" w:space="0" w:color="auto"/>
            <w:insideH w:val="dashed" w:sz="4" w:space="0" w:color="auto"/>
          </w:tblBorders>
        </w:tblPrEx>
        <w:trPr>
          <w:gridAfter w:val="1"/>
          <w:wAfter w:w="160" w:type="dxa"/>
          <w:trHeight w:val="405"/>
        </w:trPr>
        <w:tc>
          <w:tcPr>
            <w:tcW w:w="3390" w:type="dxa"/>
            <w:hideMark/>
          </w:tcPr>
          <w:p w14:paraId="42FC3AB7" w14:textId="77777777" w:rsidR="00AA7C6E" w:rsidRPr="00AA7C6E" w:rsidRDefault="00AA7C6E" w:rsidP="00AA7C6E">
            <w:pPr>
              <w:rPr>
                <w:lang w:val="en-GB"/>
              </w:rPr>
            </w:pPr>
            <w:r w:rsidRPr="00AA7C6E">
              <w:rPr>
                <w:lang w:val="en-GB"/>
              </w:rPr>
              <w:t>E-Mail</w:t>
            </w:r>
          </w:p>
        </w:tc>
        <w:tc>
          <w:tcPr>
            <w:tcW w:w="6940" w:type="dxa"/>
            <w:noWrap/>
            <w:hideMark/>
          </w:tcPr>
          <w:p w14:paraId="61655F70" w14:textId="77777777" w:rsidR="00AA7C6E" w:rsidRPr="00AA7C6E" w:rsidRDefault="00AA7C6E" w:rsidP="00AA7C6E">
            <w:pPr>
              <w:rPr>
                <w:lang w:val="en-GB"/>
              </w:rPr>
            </w:pPr>
          </w:p>
        </w:tc>
      </w:tr>
      <w:tr w:rsidR="00AA7C6E" w:rsidRPr="00AA7C6E" w14:paraId="438A53B3" w14:textId="77777777" w:rsidTr="00A54578">
        <w:tblPrEx>
          <w:tblBorders>
            <w:top w:val="single" w:sz="4" w:space="0" w:color="auto"/>
            <w:bottom w:val="single" w:sz="4" w:space="0" w:color="auto"/>
            <w:insideH w:val="dashed" w:sz="4" w:space="0" w:color="auto"/>
          </w:tblBorders>
        </w:tblPrEx>
        <w:trPr>
          <w:gridAfter w:val="1"/>
          <w:wAfter w:w="160" w:type="dxa"/>
          <w:trHeight w:val="405"/>
        </w:trPr>
        <w:tc>
          <w:tcPr>
            <w:tcW w:w="3390" w:type="dxa"/>
          </w:tcPr>
          <w:p w14:paraId="0BEABAE0" w14:textId="77777777" w:rsidR="00AA7C6E" w:rsidRPr="00AA7C6E" w:rsidRDefault="00AA7C6E" w:rsidP="00AA7C6E">
            <w:pPr>
              <w:rPr>
                <w:lang w:val="en-GB"/>
              </w:rPr>
            </w:pPr>
            <w:r w:rsidRPr="00AA7C6E">
              <w:rPr>
                <w:lang w:val="en-GB"/>
              </w:rPr>
              <w:t>Phone</w:t>
            </w:r>
          </w:p>
        </w:tc>
        <w:tc>
          <w:tcPr>
            <w:tcW w:w="6940" w:type="dxa"/>
            <w:noWrap/>
          </w:tcPr>
          <w:p w14:paraId="470FC877" w14:textId="77777777" w:rsidR="00AA7C6E" w:rsidRPr="00AA7C6E" w:rsidRDefault="00AA7C6E" w:rsidP="00AA7C6E">
            <w:pPr>
              <w:rPr>
                <w:lang w:val="en-GB"/>
              </w:rPr>
            </w:pPr>
          </w:p>
        </w:tc>
      </w:tr>
    </w:tbl>
    <w:p w14:paraId="30715FEC" w14:textId="381D4239" w:rsidR="0007606D" w:rsidRDefault="0007606D" w:rsidP="0007606D">
      <w:pPr>
        <w:ind w:left="720"/>
        <w:rPr>
          <w:b/>
          <w:bCs/>
          <w:lang w:val="en-GB"/>
        </w:rPr>
      </w:pPr>
    </w:p>
    <w:p w14:paraId="55824A3D" w14:textId="77777777" w:rsidR="0007606D" w:rsidRDefault="0007606D">
      <w:pPr>
        <w:rPr>
          <w:b/>
          <w:bCs/>
          <w:lang w:val="en-GB"/>
        </w:rPr>
      </w:pPr>
      <w:r>
        <w:rPr>
          <w:b/>
          <w:bCs/>
          <w:lang w:val="en-GB"/>
        </w:rPr>
        <w:br w:type="page"/>
      </w:r>
    </w:p>
    <w:p w14:paraId="2CB9C508" w14:textId="6CC08313" w:rsidR="00AA7C6E" w:rsidRPr="00AA7C6E" w:rsidRDefault="00AA7C6E" w:rsidP="00AA7C6E">
      <w:pPr>
        <w:numPr>
          <w:ilvl w:val="0"/>
          <w:numId w:val="38"/>
        </w:numPr>
        <w:tabs>
          <w:tab w:val="num" w:pos="964"/>
        </w:tabs>
        <w:rPr>
          <w:b/>
          <w:bCs/>
          <w:lang w:val="en-GB"/>
        </w:rPr>
      </w:pPr>
      <w:r w:rsidRPr="00AA7C6E">
        <w:rPr>
          <w:b/>
          <w:bCs/>
          <w:lang w:val="en-GB"/>
        </w:rPr>
        <w:lastRenderedPageBreak/>
        <w:t>Description of the irregularity</w:t>
      </w:r>
    </w:p>
    <w:p w14:paraId="4352E5D4" w14:textId="77777777" w:rsidR="00AA7C6E" w:rsidRPr="00AA7C6E" w:rsidRDefault="00AA7C6E" w:rsidP="00AA7C6E">
      <w:pPr>
        <w:numPr>
          <w:ilvl w:val="1"/>
          <w:numId w:val="38"/>
        </w:numPr>
        <w:rPr>
          <w:b/>
          <w:bCs/>
          <w:lang w:val="en-GB"/>
        </w:rPr>
      </w:pPr>
      <w:r w:rsidRPr="00AA7C6E">
        <w:rPr>
          <w:b/>
          <w:bCs/>
          <w:lang w:val="en-GB"/>
        </w:rPr>
        <w:t>Irregularity description with a chronology of the reported facts</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02A4E5C1" w14:textId="77777777" w:rsidTr="00A54578">
        <w:trPr>
          <w:hidden/>
        </w:trPr>
        <w:tc>
          <w:tcPr>
            <w:tcW w:w="14170" w:type="dxa"/>
          </w:tcPr>
          <w:p w14:paraId="5E47C6DD" w14:textId="77777777" w:rsidR="00AA7C6E" w:rsidRPr="00AA7C6E" w:rsidRDefault="00AA7C6E" w:rsidP="00AA7C6E">
            <w:pPr>
              <w:spacing w:after="160" w:line="259" w:lineRule="auto"/>
              <w:rPr>
                <w:i/>
                <w:vanish/>
                <w:lang w:val="en-GB"/>
              </w:rPr>
            </w:pPr>
            <w:r w:rsidRPr="00AA7C6E">
              <w:rPr>
                <w:i/>
                <w:vanish/>
                <w:lang w:val="en-GB"/>
              </w:rPr>
              <w:t xml:space="preserve">Describe the irregularity indicating also the nature of the irregularity (for example corruption, embezzlement, fraud, forgery of documents, illegitimate enrichment, conflict of interest, cybercrime, sexual exploitation/abuse/harassment, discrimination, abuse of trust, abuse of power, violation of agreement/contract, violation of public procurement rules or theft). Indicate whether the irregularity is actual or suspected. Also indicate the period during which, or the moment at which, the irregularity was committed. In case of Programmes, indicate the Programme Component affected. </w:t>
            </w:r>
          </w:p>
        </w:tc>
      </w:tr>
    </w:tbl>
    <w:p w14:paraId="0B0ECBF2" w14:textId="77777777" w:rsidR="00AA7C6E" w:rsidRPr="00AA7C6E" w:rsidRDefault="00AA7C6E" w:rsidP="00AA7C6E">
      <w:pPr>
        <w:numPr>
          <w:ilvl w:val="1"/>
          <w:numId w:val="38"/>
        </w:numPr>
        <w:rPr>
          <w:b/>
          <w:bCs/>
          <w:lang w:val="en-GB"/>
        </w:rPr>
      </w:pPr>
      <w:r w:rsidRPr="00AA7C6E">
        <w:rPr>
          <w:b/>
          <w:bCs/>
          <w:lang w:val="en-GB"/>
        </w:rPr>
        <w:t>Description of the violated legal provisions</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53114034" w14:textId="77777777" w:rsidTr="00A54578">
        <w:trPr>
          <w:hidden/>
        </w:trPr>
        <w:tc>
          <w:tcPr>
            <w:tcW w:w="14170" w:type="dxa"/>
          </w:tcPr>
          <w:p w14:paraId="51B2CA8C" w14:textId="77777777" w:rsidR="00AA7C6E" w:rsidRPr="00AA7C6E" w:rsidRDefault="00AA7C6E" w:rsidP="00AA7C6E">
            <w:pPr>
              <w:spacing w:after="160" w:line="259" w:lineRule="auto"/>
              <w:rPr>
                <w:i/>
                <w:vanish/>
                <w:lang w:val="en-GB"/>
              </w:rPr>
            </w:pPr>
            <w:r w:rsidRPr="00AA7C6E">
              <w:rPr>
                <w:i/>
                <w:vanish/>
                <w:lang w:val="en-GB"/>
              </w:rPr>
              <w:t>Name the violated provisions and describe whether they are part of the legal framework of the Cooperation Programme, national law, code of conducts etc.</w:t>
            </w:r>
          </w:p>
        </w:tc>
      </w:tr>
    </w:tbl>
    <w:p w14:paraId="57D8F643" w14:textId="77777777" w:rsidR="00AA7C6E" w:rsidRPr="00AA7C6E" w:rsidRDefault="00AA7C6E" w:rsidP="00AA7C6E">
      <w:pPr>
        <w:numPr>
          <w:ilvl w:val="1"/>
          <w:numId w:val="38"/>
        </w:numPr>
        <w:rPr>
          <w:b/>
          <w:bCs/>
          <w:lang w:val="en-GB"/>
        </w:rPr>
      </w:pPr>
      <w:r w:rsidRPr="00AA7C6E">
        <w:rPr>
          <w:b/>
          <w:bCs/>
          <w:lang w:val="en-GB"/>
        </w:rPr>
        <w:t>Identity of the natural and/or legal persons suspected or involved</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0ADFFD1E" w14:textId="77777777" w:rsidTr="00A54578">
        <w:trPr>
          <w:hidden/>
        </w:trPr>
        <w:tc>
          <w:tcPr>
            <w:tcW w:w="14170" w:type="dxa"/>
          </w:tcPr>
          <w:p w14:paraId="396C4D58" w14:textId="77777777" w:rsidR="00AA7C6E" w:rsidRPr="00AA7C6E" w:rsidRDefault="00AA7C6E" w:rsidP="00AA7C6E">
            <w:pPr>
              <w:spacing w:after="160" w:line="259" w:lineRule="auto"/>
              <w:rPr>
                <w:i/>
                <w:vanish/>
                <w:lang w:val="en-GB"/>
              </w:rPr>
            </w:pPr>
            <w:r w:rsidRPr="00AA7C6E">
              <w:rPr>
                <w:i/>
                <w:vanish/>
                <w:lang w:val="en-GB"/>
              </w:rPr>
              <w:t>Describe the function and roles of the person(s) and institutions involved in the irregularity in relation to the Support Measure (for example contractor, subcontractor, beneficiary, National Coordination Unit, Intermediate Body, Programme Operator, Programme Component Operator, Project Operator, Paying Authority,  etc.).</w:t>
            </w:r>
          </w:p>
        </w:tc>
      </w:tr>
    </w:tbl>
    <w:p w14:paraId="4DFE1AB3" w14:textId="77777777" w:rsidR="00AA7C6E" w:rsidRPr="00AA7C6E" w:rsidRDefault="00AA7C6E" w:rsidP="00AA7C6E">
      <w:pPr>
        <w:numPr>
          <w:ilvl w:val="1"/>
          <w:numId w:val="38"/>
        </w:numPr>
        <w:rPr>
          <w:b/>
          <w:bCs/>
          <w:lang w:val="en-GB"/>
        </w:rPr>
      </w:pPr>
      <w:proofErr w:type="gramStart"/>
      <w:r w:rsidRPr="00AA7C6E">
        <w:rPr>
          <w:b/>
          <w:bCs/>
          <w:lang w:val="en-GB"/>
        </w:rPr>
        <w:t>Manner in which</w:t>
      </w:r>
      <w:proofErr w:type="gramEnd"/>
      <w:r w:rsidRPr="00AA7C6E">
        <w:rPr>
          <w:b/>
          <w:bCs/>
          <w:lang w:val="en-GB"/>
        </w:rPr>
        <w:t xml:space="preserve"> the irregularity was detected</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18B4323C" w14:textId="77777777" w:rsidTr="00A54578">
        <w:trPr>
          <w:hidden/>
        </w:trPr>
        <w:tc>
          <w:tcPr>
            <w:tcW w:w="14170" w:type="dxa"/>
          </w:tcPr>
          <w:p w14:paraId="285324B6" w14:textId="77777777" w:rsidR="00AA7C6E" w:rsidRPr="00AA7C6E" w:rsidRDefault="00AA7C6E" w:rsidP="00AA7C6E">
            <w:pPr>
              <w:spacing w:after="160" w:line="259" w:lineRule="auto"/>
              <w:rPr>
                <w:i/>
                <w:vanish/>
                <w:lang w:val="en-GB"/>
              </w:rPr>
            </w:pPr>
            <w:r w:rsidRPr="00AA7C6E">
              <w:rPr>
                <w:i/>
                <w:vanish/>
                <w:lang w:val="en-GB"/>
              </w:rPr>
              <w:t>Describe how the irregularity was detected. Include the date and source of the initial information leading to the suspicion that an irregularity occurred, and investigations made after the irregularity was detected. Inform about the available evidence (for example financial audit report etc.).</w:t>
            </w:r>
          </w:p>
        </w:tc>
      </w:tr>
    </w:tbl>
    <w:p w14:paraId="53F7F2A6" w14:textId="77777777" w:rsidR="00AA7C6E" w:rsidRPr="00AA7C6E" w:rsidRDefault="00AA7C6E" w:rsidP="00AA7C6E">
      <w:pPr>
        <w:numPr>
          <w:ilvl w:val="1"/>
          <w:numId w:val="38"/>
        </w:numPr>
        <w:rPr>
          <w:b/>
          <w:bCs/>
          <w:lang w:val="en-GB"/>
        </w:rPr>
      </w:pPr>
      <w:r w:rsidRPr="00AA7C6E">
        <w:rPr>
          <w:b/>
          <w:bCs/>
          <w:lang w:val="en-GB"/>
        </w:rPr>
        <w:t>Description of the damage (actual or potential)</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1D5D72B9" w14:textId="77777777" w:rsidTr="00A54578">
        <w:trPr>
          <w:hidden/>
        </w:trPr>
        <w:tc>
          <w:tcPr>
            <w:tcW w:w="14170" w:type="dxa"/>
          </w:tcPr>
          <w:p w14:paraId="6A24B5C0" w14:textId="77777777" w:rsidR="00AA7C6E" w:rsidRPr="00AA7C6E" w:rsidRDefault="00AA7C6E" w:rsidP="00AA7C6E">
            <w:pPr>
              <w:spacing w:after="160" w:line="259" w:lineRule="auto"/>
              <w:rPr>
                <w:i/>
                <w:vanish/>
                <w:lang w:val="en-GB"/>
              </w:rPr>
            </w:pPr>
            <w:r w:rsidRPr="00AA7C6E">
              <w:rPr>
                <w:i/>
                <w:vanish/>
                <w:lang w:val="en-GB"/>
              </w:rPr>
              <w:t>Describe the financial, legal, political and/or reputational damage that results or may result from the irregularity.</w:t>
            </w:r>
          </w:p>
        </w:tc>
      </w:tr>
    </w:tbl>
    <w:p w14:paraId="2506F33B" w14:textId="77777777" w:rsidR="00AA7C6E" w:rsidRPr="00AA7C6E" w:rsidRDefault="00AA7C6E" w:rsidP="00AA7C6E">
      <w:pPr>
        <w:numPr>
          <w:ilvl w:val="1"/>
          <w:numId w:val="38"/>
        </w:numPr>
        <w:rPr>
          <w:b/>
          <w:bCs/>
          <w:lang w:val="en-GB"/>
        </w:rPr>
      </w:pPr>
      <w:r w:rsidRPr="00AA7C6E">
        <w:rPr>
          <w:b/>
          <w:bCs/>
          <w:lang w:val="en-GB"/>
        </w:rPr>
        <w:t>In case of financial loss: amount or estimation of the loss</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75D88245" w14:textId="77777777" w:rsidTr="00A54578">
        <w:trPr>
          <w:hidden/>
        </w:trPr>
        <w:tc>
          <w:tcPr>
            <w:tcW w:w="14170" w:type="dxa"/>
          </w:tcPr>
          <w:p w14:paraId="16ADF7FA" w14:textId="77777777" w:rsidR="00AA7C6E" w:rsidRPr="00AA7C6E" w:rsidRDefault="00AA7C6E" w:rsidP="00AA7C6E">
            <w:pPr>
              <w:spacing w:after="160" w:line="259" w:lineRule="auto"/>
              <w:rPr>
                <w:i/>
                <w:vanish/>
                <w:lang w:val="en-GB"/>
              </w:rPr>
            </w:pPr>
            <w:r w:rsidRPr="00AA7C6E">
              <w:rPr>
                <w:i/>
                <w:vanish/>
                <w:lang w:val="en-GB"/>
              </w:rPr>
              <w:t>If payments have already been made by the Executing Agency: Indicate the amount of the expenditure wrongfully incurred due to the irregularity and specify whether Switzerland has already reimbursed the amount in question.</w:t>
            </w:r>
          </w:p>
          <w:p w14:paraId="2B0EE79F" w14:textId="77777777" w:rsidR="00AA7C6E" w:rsidRPr="00AA7C6E" w:rsidRDefault="00AA7C6E" w:rsidP="00AA7C6E">
            <w:pPr>
              <w:spacing w:after="160" w:line="259" w:lineRule="auto"/>
              <w:rPr>
                <w:i/>
                <w:vanish/>
                <w:lang w:val="en-GB"/>
              </w:rPr>
            </w:pPr>
            <w:r w:rsidRPr="00AA7C6E">
              <w:rPr>
                <w:i/>
                <w:vanish/>
                <w:lang w:val="en-GB"/>
              </w:rPr>
              <w:t xml:space="preserve">In cases where no payments have been made by the Executing Agency: Indicate the amounts which would have been wrongly paid had the irregularity not been discovered. If it is not possible to quantify precisely the financial damage, describe how the amount of the financial damage was estimated. In general, the damage shall be estimated based on the circumstances of the concrete case, especially the nature and gravity of the irregularity identified. In this context, the impact of the irregularity on the Support Measure affected by the irregularity and the reputation of Switzerland shall be taken into consideration. This means also that the principle of proportionality shall be applied and that safeguarding financial investments, protecting beneficiaries affected by the irregularity and guaranteeing a positive image of the Cooperation Programme shall be factors to be considered. </w:t>
            </w:r>
          </w:p>
        </w:tc>
      </w:tr>
    </w:tbl>
    <w:p w14:paraId="0E0A8429" w14:textId="77777777" w:rsidR="00AA7C6E" w:rsidRPr="00AA7C6E" w:rsidRDefault="00AA7C6E" w:rsidP="00AA7C6E">
      <w:pPr>
        <w:numPr>
          <w:ilvl w:val="1"/>
          <w:numId w:val="38"/>
        </w:numPr>
        <w:rPr>
          <w:b/>
          <w:bCs/>
          <w:lang w:val="en-GB"/>
        </w:rPr>
      </w:pPr>
      <w:proofErr w:type="gramStart"/>
      <w:r w:rsidRPr="00AA7C6E">
        <w:rPr>
          <w:b/>
          <w:bCs/>
          <w:lang w:val="en-GB"/>
        </w:rPr>
        <w:t>Particular risks</w:t>
      </w:r>
      <w:proofErr w:type="gramEnd"/>
      <w:r w:rsidRPr="00AA7C6E">
        <w:rPr>
          <w:b/>
          <w:bCs/>
          <w:lang w:val="en-GB"/>
        </w:rPr>
        <w:t xml:space="preserve"> related to the irregularity</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02B92A30" w14:textId="77777777" w:rsidTr="00A54578">
        <w:trPr>
          <w:hidden/>
        </w:trPr>
        <w:tc>
          <w:tcPr>
            <w:tcW w:w="14170" w:type="dxa"/>
          </w:tcPr>
          <w:p w14:paraId="447CCC5F" w14:textId="77777777" w:rsidR="00AA7C6E" w:rsidRPr="00AA7C6E" w:rsidRDefault="00AA7C6E" w:rsidP="00AA7C6E">
            <w:pPr>
              <w:spacing w:after="160" w:line="259" w:lineRule="auto"/>
              <w:rPr>
                <w:i/>
                <w:vanish/>
                <w:lang w:val="en-GB"/>
              </w:rPr>
            </w:pPr>
            <w:r w:rsidRPr="00AA7C6E">
              <w:rPr>
                <w:i/>
                <w:vanish/>
                <w:lang w:val="en-GB"/>
              </w:rPr>
              <w:t>Describe all the possible risks related to the irregularity. Can one or several objectives of the Support Measure not be achieved due to the irregularity or due to the proposed financial correction? Does the irregularity cause a delay in the implementation of the Support Measure? Is the irregularity of such a systemic nature that other Support Measures could also be affected? May the positive image of the Swiss Cooperation Programme be affected by the irregularity or by the proposed financial correction? May the irregularity have political repercussions?</w:t>
            </w:r>
          </w:p>
        </w:tc>
      </w:tr>
    </w:tbl>
    <w:p w14:paraId="14942677" w14:textId="77777777" w:rsidR="00AA7C6E" w:rsidRPr="00AA7C6E" w:rsidRDefault="00AA7C6E" w:rsidP="00AA7C6E">
      <w:pPr>
        <w:numPr>
          <w:ilvl w:val="1"/>
          <w:numId w:val="38"/>
        </w:numPr>
        <w:rPr>
          <w:b/>
          <w:bCs/>
          <w:lang w:val="en-GB"/>
        </w:rPr>
      </w:pPr>
      <w:r w:rsidRPr="00AA7C6E">
        <w:rPr>
          <w:b/>
          <w:bCs/>
          <w:lang w:val="en-GB"/>
        </w:rPr>
        <w:t>Information regarding coverage on the irregularity in the media</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63D17842" w14:textId="77777777" w:rsidTr="00A54578">
        <w:trPr>
          <w:hidden/>
        </w:trPr>
        <w:tc>
          <w:tcPr>
            <w:tcW w:w="14170" w:type="dxa"/>
          </w:tcPr>
          <w:p w14:paraId="12947176" w14:textId="77777777" w:rsidR="00AA7C6E" w:rsidRPr="00AA7C6E" w:rsidRDefault="00AA7C6E" w:rsidP="00AA7C6E">
            <w:pPr>
              <w:spacing w:after="160" w:line="259" w:lineRule="auto"/>
              <w:rPr>
                <w:i/>
                <w:vanish/>
                <w:lang w:val="en-GB"/>
              </w:rPr>
            </w:pPr>
            <w:r w:rsidRPr="00AA7C6E">
              <w:rPr>
                <w:i/>
                <w:vanish/>
                <w:lang w:val="en-GB"/>
              </w:rPr>
              <w:t>Which media reported on the irregularity? Pls. attach respective news reports.</w:t>
            </w:r>
          </w:p>
        </w:tc>
      </w:tr>
    </w:tbl>
    <w:p w14:paraId="5CD951DB" w14:textId="77777777" w:rsidR="002868F0" w:rsidRDefault="002868F0" w:rsidP="002868F0">
      <w:pPr>
        <w:rPr>
          <w:b/>
          <w:bCs/>
          <w:lang w:val="en-GB"/>
        </w:rPr>
      </w:pPr>
    </w:p>
    <w:p w14:paraId="75FF653F" w14:textId="1528E4AC" w:rsidR="00AA7C6E" w:rsidRPr="00AA7C6E" w:rsidRDefault="00AA7C6E" w:rsidP="00AA7C6E">
      <w:pPr>
        <w:numPr>
          <w:ilvl w:val="0"/>
          <w:numId w:val="38"/>
        </w:numPr>
        <w:tabs>
          <w:tab w:val="num" w:pos="964"/>
        </w:tabs>
        <w:rPr>
          <w:b/>
          <w:bCs/>
          <w:lang w:val="en-GB"/>
        </w:rPr>
      </w:pPr>
      <w:r w:rsidRPr="00AA7C6E">
        <w:rPr>
          <w:b/>
          <w:bCs/>
          <w:lang w:val="en-GB"/>
        </w:rPr>
        <w:t>Corrective Measures</w:t>
      </w:r>
    </w:p>
    <w:p w14:paraId="56427072" w14:textId="77777777" w:rsidR="00AA7C6E" w:rsidRPr="00AA7C6E" w:rsidRDefault="00AA7C6E" w:rsidP="00AA7C6E">
      <w:pPr>
        <w:numPr>
          <w:ilvl w:val="1"/>
          <w:numId w:val="38"/>
        </w:numPr>
        <w:rPr>
          <w:b/>
          <w:bCs/>
          <w:lang w:val="en-GB"/>
        </w:rPr>
      </w:pPr>
      <w:r w:rsidRPr="00AA7C6E">
        <w:rPr>
          <w:b/>
          <w:bCs/>
          <w:lang w:val="en-GB"/>
        </w:rPr>
        <w:t>Overview of any procedures, including criminal investigation, initiated because of the irregularity and the stage reached in this procedure, including the stage of recovery of funds</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451BBA38" w14:textId="77777777" w:rsidTr="00A54578">
        <w:trPr>
          <w:hidden/>
        </w:trPr>
        <w:tc>
          <w:tcPr>
            <w:tcW w:w="14170" w:type="dxa"/>
          </w:tcPr>
          <w:p w14:paraId="4DE0BA74" w14:textId="77777777" w:rsidR="00AA7C6E" w:rsidRPr="00AA7C6E" w:rsidRDefault="00AA7C6E" w:rsidP="00AA7C6E">
            <w:pPr>
              <w:spacing w:after="160" w:line="259" w:lineRule="auto"/>
              <w:rPr>
                <w:i/>
                <w:vanish/>
                <w:lang w:val="en-GB"/>
              </w:rPr>
            </w:pPr>
          </w:p>
          <w:p w14:paraId="415DC357" w14:textId="77777777" w:rsidR="00AA7C6E" w:rsidRPr="00AA7C6E" w:rsidRDefault="00AA7C6E" w:rsidP="00AA7C6E">
            <w:pPr>
              <w:spacing w:after="160" w:line="259" w:lineRule="auto"/>
              <w:rPr>
                <w:i/>
                <w:vanish/>
                <w:lang w:val="en-GB"/>
              </w:rPr>
            </w:pPr>
          </w:p>
        </w:tc>
      </w:tr>
    </w:tbl>
    <w:p w14:paraId="53C3D979" w14:textId="77777777" w:rsidR="00AA7C6E" w:rsidRPr="00AA7C6E" w:rsidRDefault="00AA7C6E" w:rsidP="00AA7C6E">
      <w:pPr>
        <w:numPr>
          <w:ilvl w:val="1"/>
          <w:numId w:val="38"/>
        </w:numPr>
        <w:rPr>
          <w:b/>
          <w:bCs/>
          <w:lang w:val="en-GB"/>
        </w:rPr>
      </w:pPr>
      <w:r w:rsidRPr="00AA7C6E">
        <w:rPr>
          <w:b/>
          <w:bCs/>
          <w:lang w:val="en-GB"/>
        </w:rPr>
        <w:t xml:space="preserve">Measures taken to remedy the irregularity detected, and measures taken or envisaged to prevent the recurrence of the detected irregularity </w:t>
      </w: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5758DDA9" w14:textId="77777777" w:rsidTr="00A54578">
        <w:trPr>
          <w:hidden/>
        </w:trPr>
        <w:tc>
          <w:tcPr>
            <w:tcW w:w="14170" w:type="dxa"/>
          </w:tcPr>
          <w:p w14:paraId="1B7ADCB6" w14:textId="77777777" w:rsidR="00AA7C6E" w:rsidRPr="00AA7C6E" w:rsidRDefault="00AA7C6E" w:rsidP="00AA7C6E">
            <w:pPr>
              <w:spacing w:after="160" w:line="259" w:lineRule="auto"/>
              <w:rPr>
                <w:i/>
                <w:vanish/>
                <w:lang w:val="en-GB"/>
              </w:rPr>
            </w:pPr>
          </w:p>
          <w:p w14:paraId="5371FF38" w14:textId="77777777" w:rsidR="00AA7C6E" w:rsidRPr="00AA7C6E" w:rsidRDefault="00AA7C6E" w:rsidP="00AA7C6E">
            <w:pPr>
              <w:spacing w:after="160" w:line="259" w:lineRule="auto"/>
              <w:rPr>
                <w:i/>
                <w:vanish/>
                <w:lang w:val="en-GB"/>
              </w:rPr>
            </w:pPr>
          </w:p>
        </w:tc>
      </w:tr>
    </w:tbl>
    <w:p w14:paraId="37009CEA" w14:textId="77777777" w:rsidR="00AA7C6E" w:rsidRDefault="00AA7C6E" w:rsidP="00AA7C6E">
      <w:pPr>
        <w:numPr>
          <w:ilvl w:val="1"/>
          <w:numId w:val="38"/>
        </w:numPr>
        <w:rPr>
          <w:b/>
          <w:bCs/>
          <w:lang w:val="en-GB"/>
        </w:rPr>
      </w:pPr>
      <w:r w:rsidRPr="00AA7C6E">
        <w:rPr>
          <w:b/>
          <w:bCs/>
          <w:lang w:val="en-GB"/>
        </w:rPr>
        <w:t>In case of financial damage: proposed financial correction</w:t>
      </w:r>
    </w:p>
    <w:p w14:paraId="09D8E357" w14:textId="77777777" w:rsidR="002868F0" w:rsidRPr="00AA7C6E" w:rsidRDefault="002868F0" w:rsidP="002868F0">
      <w:pPr>
        <w:ind w:left="360"/>
        <w:rPr>
          <w:b/>
          <w:bCs/>
          <w:lang w:val="en-GB"/>
        </w:rPr>
      </w:pPr>
    </w:p>
    <w:tbl>
      <w:tblPr>
        <w:tblStyle w:val="Tabelamrea"/>
        <w:tblW w:w="0" w:type="auto"/>
        <w:tblBorders>
          <w:top w:val="dashed" w:sz="4" w:space="0" w:color="9CC2E5" w:themeColor="accent5" w:themeTint="99"/>
          <w:left w:val="dashed" w:sz="4" w:space="0" w:color="9CC2E5" w:themeColor="accent5" w:themeTint="99"/>
          <w:bottom w:val="dashed" w:sz="4" w:space="0" w:color="9CC2E5" w:themeColor="accent5" w:themeTint="99"/>
          <w:right w:val="dashed" w:sz="4" w:space="0" w:color="9CC2E5" w:themeColor="accent5" w:themeTint="99"/>
          <w:insideH w:val="none" w:sz="0" w:space="0" w:color="auto"/>
          <w:insideV w:val="none" w:sz="0" w:space="0" w:color="auto"/>
        </w:tblBorders>
        <w:tblLook w:val="04A0" w:firstRow="1" w:lastRow="0" w:firstColumn="1" w:lastColumn="0" w:noHBand="0" w:noVBand="1"/>
      </w:tblPr>
      <w:tblGrid>
        <w:gridCol w:w="9062"/>
      </w:tblGrid>
      <w:tr w:rsidR="00AA7C6E" w:rsidRPr="00AA7C6E" w14:paraId="205684BA" w14:textId="77777777" w:rsidTr="00A54578">
        <w:trPr>
          <w:hidden/>
        </w:trPr>
        <w:tc>
          <w:tcPr>
            <w:tcW w:w="14170" w:type="dxa"/>
          </w:tcPr>
          <w:p w14:paraId="2D909FFD" w14:textId="77777777" w:rsidR="00AA7C6E" w:rsidRPr="00AA7C6E" w:rsidRDefault="00AA7C6E" w:rsidP="00AA7C6E">
            <w:pPr>
              <w:spacing w:after="160" w:line="259" w:lineRule="auto"/>
              <w:rPr>
                <w:i/>
                <w:vanish/>
                <w:lang w:val="en-GB"/>
              </w:rPr>
            </w:pPr>
            <w:r w:rsidRPr="00AA7C6E">
              <w:rPr>
                <w:i/>
                <w:vanish/>
                <w:lang w:val="en-GB"/>
              </w:rPr>
              <w:t>Propose the amount of the financial correction and provide an explanation on the key elements and rules, including the source of financing (e.g. Swiss funding, National co-financing, programme component co-financing) taken into account for the calculation of the amount of the financial correction. If the amounts have already been paid, describe also the possibilities for recovery.</w:t>
            </w:r>
          </w:p>
        </w:tc>
      </w:tr>
    </w:tbl>
    <w:p w14:paraId="322EA8EA" w14:textId="77777777" w:rsidR="00AA7C6E" w:rsidRPr="00AA7C6E" w:rsidRDefault="00AA7C6E" w:rsidP="00AA7C6E">
      <w:pPr>
        <w:numPr>
          <w:ilvl w:val="0"/>
          <w:numId w:val="38"/>
        </w:numPr>
        <w:tabs>
          <w:tab w:val="num" w:pos="964"/>
        </w:tabs>
        <w:rPr>
          <w:b/>
          <w:bCs/>
          <w:lang w:val="en-GB"/>
        </w:rPr>
      </w:pPr>
      <w:r w:rsidRPr="00AA7C6E">
        <w:rPr>
          <w:b/>
          <w:bCs/>
          <w:lang w:val="en-GB"/>
        </w:rPr>
        <w:t>Other information related to the irregularity</w:t>
      </w:r>
    </w:p>
    <w:p w14:paraId="71884CA0" w14:textId="77777777" w:rsidR="00AA7C6E" w:rsidRPr="002868F0" w:rsidRDefault="00AA7C6E" w:rsidP="00AA7C6E">
      <w:pPr>
        <w:rPr>
          <w:lang w:val="en-GB"/>
        </w:rPr>
      </w:pPr>
    </w:p>
    <w:sectPr w:rsidR="00AA7C6E" w:rsidRPr="002868F0" w:rsidSect="00AE7506">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1583" w14:textId="77777777" w:rsidR="00AE7506" w:rsidRDefault="00AE7506" w:rsidP="00AE7506">
      <w:pPr>
        <w:spacing w:after="0" w:line="240" w:lineRule="auto"/>
      </w:pPr>
      <w:r>
        <w:separator/>
      </w:r>
    </w:p>
  </w:endnote>
  <w:endnote w:type="continuationSeparator" w:id="0">
    <w:p w14:paraId="1B617947" w14:textId="77777777" w:rsidR="00AE7506" w:rsidRDefault="00AE7506" w:rsidP="00AE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39027"/>
      <w:docPartObj>
        <w:docPartGallery w:val="Page Numbers (Bottom of Page)"/>
        <w:docPartUnique/>
      </w:docPartObj>
    </w:sdtPr>
    <w:sdtEndPr/>
    <w:sdtContent>
      <w:p w14:paraId="474718C9" w14:textId="558ACD1C" w:rsidR="000D3A32" w:rsidRDefault="000D3A32">
        <w:pPr>
          <w:pStyle w:val="Noga"/>
          <w:jc w:val="right"/>
        </w:pPr>
        <w:r>
          <w:fldChar w:fldCharType="begin"/>
        </w:r>
        <w:r>
          <w:instrText>PAGE   \* MERGEFORMAT</w:instrText>
        </w:r>
        <w:r>
          <w:fldChar w:fldCharType="separate"/>
        </w:r>
        <w:r>
          <w:t>2</w:t>
        </w:r>
        <w:r>
          <w:fldChar w:fldCharType="end"/>
        </w:r>
      </w:p>
    </w:sdtContent>
  </w:sdt>
  <w:p w14:paraId="3A39BA55" w14:textId="77777777" w:rsidR="00AE7506" w:rsidRDefault="00AE75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09631"/>
      <w:docPartObj>
        <w:docPartGallery w:val="Page Numbers (Bottom of Page)"/>
        <w:docPartUnique/>
      </w:docPartObj>
    </w:sdtPr>
    <w:sdtEndPr/>
    <w:sdtContent>
      <w:p w14:paraId="0DC78560" w14:textId="6E04AEEA" w:rsidR="005D4A11" w:rsidRDefault="005D4A11">
        <w:pPr>
          <w:pStyle w:val="Noga"/>
          <w:jc w:val="right"/>
        </w:pPr>
        <w:r>
          <w:fldChar w:fldCharType="begin"/>
        </w:r>
        <w:r>
          <w:instrText>PAGE   \* MERGEFORMAT</w:instrText>
        </w:r>
        <w:r>
          <w:fldChar w:fldCharType="separate"/>
        </w:r>
        <w:r>
          <w:t>2</w:t>
        </w:r>
        <w:r>
          <w:fldChar w:fldCharType="end"/>
        </w:r>
      </w:p>
    </w:sdtContent>
  </w:sdt>
  <w:p w14:paraId="6BD05ACD" w14:textId="77777777" w:rsidR="005D4A11" w:rsidRDefault="005D4A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C82C" w14:textId="77777777" w:rsidR="00AE7506" w:rsidRDefault="00AE7506" w:rsidP="00AE7506">
      <w:pPr>
        <w:spacing w:after="0" w:line="240" w:lineRule="auto"/>
      </w:pPr>
      <w:r>
        <w:separator/>
      </w:r>
    </w:p>
  </w:footnote>
  <w:footnote w:type="continuationSeparator" w:id="0">
    <w:p w14:paraId="293F2F78" w14:textId="77777777" w:rsidR="00AE7506" w:rsidRDefault="00AE7506" w:rsidP="00AE7506">
      <w:pPr>
        <w:spacing w:after="0" w:line="240" w:lineRule="auto"/>
      </w:pPr>
      <w:r>
        <w:continuationSeparator/>
      </w:r>
    </w:p>
  </w:footnote>
  <w:footnote w:id="1">
    <w:p w14:paraId="631A2F0A" w14:textId="50748F04" w:rsidR="0026499F" w:rsidRDefault="0026499F">
      <w:pPr>
        <w:pStyle w:val="Sprotnaopomba-besedilo"/>
      </w:pPr>
      <w:r>
        <w:rPr>
          <w:rStyle w:val="Sprotnaopomba-sklic"/>
        </w:rPr>
        <w:footnoteRef/>
      </w:r>
      <w:r>
        <w:t xml:space="preserve"> Nacionalni organi so opredeljeni  v točki </w:t>
      </w:r>
      <w:r w:rsidRPr="0026499F">
        <w:t>2.1 Priloge »Ureditev za partnersko državo« k Okvirnemu sporazumu med Vlado Republike Slovenije in Švicarskim zveznim svetom o izvajanju drugega švicarskega prispevka izbranim državam članicam Evropske unije za zmanjševanje gospodarskih in socialnih razlik v Evropski uniji</w:t>
      </w:r>
      <w:r w:rsidR="0097152E">
        <w:t>«</w:t>
      </w:r>
      <w:r w:rsidRPr="0026499F">
        <w:t xml:space="preserve"> (Ur. l. št. 13 / 28. 12. 2023)</w:t>
      </w:r>
    </w:p>
  </w:footnote>
  <w:footnote w:id="2">
    <w:p w14:paraId="3A61AB53" w14:textId="47D43772" w:rsidR="0003372A" w:rsidRDefault="0003372A">
      <w:pPr>
        <w:pStyle w:val="Sprotnaopomba-besedilo"/>
      </w:pPr>
      <w:r>
        <w:rPr>
          <w:rStyle w:val="Sprotnaopomba-sklic"/>
        </w:rPr>
        <w:footnoteRef/>
      </w:r>
      <w:r>
        <w:t xml:space="preserve"> </w:t>
      </w:r>
      <w:r w:rsidR="007F2DC9" w:rsidRPr="007F2DC9">
        <w:t>Okvirni sporazum med Vlado Republike Slovenije in Švicarskim zveznim svetom o izvajanju drugega švicarskega prispevka izbranim državam članicam Evropske unije za zmanjševanje gospodarskih in socialnih razlik v Evropski uniji</w:t>
      </w:r>
    </w:p>
  </w:footnote>
  <w:footnote w:id="3">
    <w:p w14:paraId="53BDE6B4" w14:textId="3BB91EFE" w:rsidR="00F765AB" w:rsidRDefault="00F765AB" w:rsidP="00303B3B">
      <w:pPr>
        <w:pStyle w:val="Sprotnaopomba-besedilo"/>
        <w:jc w:val="both"/>
      </w:pPr>
      <w:r>
        <w:rPr>
          <w:rStyle w:val="Sprotnaopomba-sklic"/>
        </w:rPr>
        <w:footnoteRef/>
      </w:r>
      <w:r>
        <w:t xml:space="preserve"> V skladu z Resolucijo GZ ZN A/RES/73/148 za opredelitev spolnega nadlegovanja in Biltenom GS ZN ST/SGB/2003/13 za opredelitev spolnega izkoriščanja in zlorabe</w:t>
      </w:r>
    </w:p>
  </w:footnote>
  <w:footnote w:id="4">
    <w:p w14:paraId="0A21AD88" w14:textId="3D7B9E55" w:rsidR="007F2DC9" w:rsidRDefault="007F2DC9" w:rsidP="00303B3B">
      <w:pPr>
        <w:pStyle w:val="Sprotnaopomba-besedilo"/>
        <w:jc w:val="both"/>
      </w:pPr>
      <w:r>
        <w:rPr>
          <w:rStyle w:val="Sprotnaopomba-sklic"/>
        </w:rPr>
        <w:footnoteRef/>
      </w:r>
      <w:r>
        <w:t xml:space="preserve"> </w:t>
      </w:r>
      <w:r w:rsidRPr="007F2DC9">
        <w:t>(Švicarska) Uredba o izvajanju drugega švicarskega prispevka izbranim članicam EU za zmanjševanje gospodarskih in socialnih razlik v Evropski uniji</w:t>
      </w:r>
    </w:p>
  </w:footnote>
  <w:footnote w:id="5">
    <w:p w14:paraId="0BEDE26F" w14:textId="2769F2CF" w:rsidR="00AE555F" w:rsidRDefault="00AE555F">
      <w:pPr>
        <w:pStyle w:val="Sprotnaopomba-besedilo"/>
      </w:pPr>
      <w:r>
        <w:rPr>
          <w:rStyle w:val="Sprotnaopomba-sklic"/>
        </w:rPr>
        <w:footnoteRef/>
      </w:r>
      <w:r>
        <w:t xml:space="preserve"> Predloga za poročanje v prilogi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1A2"/>
    <w:multiLevelType w:val="hybridMultilevel"/>
    <w:tmpl w:val="1368F258"/>
    <w:lvl w:ilvl="0" w:tplc="F8CAE2CA">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376763"/>
    <w:multiLevelType w:val="multilevel"/>
    <w:tmpl w:val="7AEAD710"/>
    <w:lvl w:ilvl="0">
      <w:start w:val="1"/>
      <w:numFmt w:val="decimal"/>
      <w:pStyle w:val="Style1"/>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Article %1.%2"/>
      <w:lvlJc w:val="left"/>
      <w:pPr>
        <w:ind w:left="11624"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 w15:restartNumberingAfterBreak="0">
    <w:nsid w:val="11FE6B26"/>
    <w:multiLevelType w:val="hybridMultilevel"/>
    <w:tmpl w:val="C286FF5A"/>
    <w:lvl w:ilvl="0" w:tplc="17B8708C">
      <w:numFmt w:val="bullet"/>
      <w:lvlText w:val="-"/>
      <w:lvlJc w:val="left"/>
      <w:pPr>
        <w:ind w:left="720" w:hanging="360"/>
      </w:pPr>
      <w:rPr>
        <w:rFonts w:ascii="Calibri" w:eastAsia="SimSu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F5958"/>
    <w:multiLevelType w:val="multilevel"/>
    <w:tmpl w:val="A88A2F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64E593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 w15:restartNumberingAfterBreak="0">
    <w:nsid w:val="17C75B5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 w15:restartNumberingAfterBreak="0">
    <w:nsid w:val="187F74B1"/>
    <w:multiLevelType w:val="multilevel"/>
    <w:tmpl w:val="96B2A808"/>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GB"/>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 w15:restartNumberingAfterBreak="0">
    <w:nsid w:val="1B2C19B6"/>
    <w:multiLevelType w:val="hybridMultilevel"/>
    <w:tmpl w:val="2D9660D8"/>
    <w:lvl w:ilvl="0" w:tplc="2B96625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7572F6"/>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9" w15:restartNumberingAfterBreak="0">
    <w:nsid w:val="20353DBD"/>
    <w:multiLevelType w:val="hybridMultilevel"/>
    <w:tmpl w:val="54FE026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602AE0"/>
    <w:multiLevelType w:val="hybridMultilevel"/>
    <w:tmpl w:val="26BEA57C"/>
    <w:lvl w:ilvl="0" w:tplc="F8CAE2CA">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752F9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2" w15:restartNumberingAfterBreak="0">
    <w:nsid w:val="2DD05276"/>
    <w:multiLevelType w:val="hybridMultilevel"/>
    <w:tmpl w:val="8F0AF63A"/>
    <w:lvl w:ilvl="0" w:tplc="17B8708C">
      <w:numFmt w:val="bullet"/>
      <w:lvlText w:val="-"/>
      <w:lvlJc w:val="left"/>
      <w:pPr>
        <w:ind w:left="720" w:hanging="360"/>
      </w:pPr>
      <w:rPr>
        <w:rFonts w:ascii="Calibri" w:eastAsia="SimSu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3C14DB"/>
    <w:multiLevelType w:val="multilevel"/>
    <w:tmpl w:val="04240025"/>
    <w:lvl w:ilvl="0">
      <w:start w:val="1"/>
      <w:numFmt w:val="decimal"/>
      <w:pStyle w:val="Naslov1"/>
      <w:lvlText w:val="%1"/>
      <w:lvlJc w:val="left"/>
      <w:pPr>
        <w:ind w:left="1850"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3A1A252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5" w15:restartNumberingAfterBreak="0">
    <w:nsid w:val="3B334E4A"/>
    <w:multiLevelType w:val="multilevel"/>
    <w:tmpl w:val="7FF677C8"/>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3"/>
      <w:numFmt w:val="bullet"/>
      <w:lvlText w:val="-"/>
      <w:lvlJc w:val="left"/>
      <w:pPr>
        <w:ind w:left="720" w:hanging="360"/>
      </w:pPr>
      <w:rPr>
        <w:rFonts w:ascii="Arial" w:eastAsia="Times New Roman" w:hAnsi="Arial" w:cs="Arial" w:hint="default"/>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6" w15:restartNumberingAfterBreak="0">
    <w:nsid w:val="3C181468"/>
    <w:multiLevelType w:val="multilevel"/>
    <w:tmpl w:val="64E65BEC"/>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3"/>
      <w:numFmt w:val="bullet"/>
      <w:lvlText w:val="-"/>
      <w:lvlJc w:val="left"/>
      <w:pPr>
        <w:ind w:left="720" w:hanging="360"/>
      </w:pPr>
      <w:rPr>
        <w:rFonts w:ascii="Arial" w:eastAsia="Times New Roman" w:hAnsi="Arial" w:cs="Arial" w:hint="default"/>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7" w15:restartNumberingAfterBreak="0">
    <w:nsid w:val="3D8B3A4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8" w15:restartNumberingAfterBreak="0">
    <w:nsid w:val="3F46270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9" w15:restartNumberingAfterBreak="0">
    <w:nsid w:val="418D011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0" w15:restartNumberingAfterBreak="0">
    <w:nsid w:val="440948E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1" w15:restartNumberingAfterBreak="0">
    <w:nsid w:val="442C1F74"/>
    <w:multiLevelType w:val="hybridMultilevel"/>
    <w:tmpl w:val="C186D90A"/>
    <w:lvl w:ilvl="0" w:tplc="D8DE6748">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826DD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3" w15:restartNumberingAfterBreak="0">
    <w:nsid w:val="49923CD0"/>
    <w:multiLevelType w:val="hybridMultilevel"/>
    <w:tmpl w:val="6E4CB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B81CCD"/>
    <w:multiLevelType w:val="multilevel"/>
    <w:tmpl w:val="9DC29EEA"/>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3"/>
      <w:numFmt w:val="bullet"/>
      <w:lvlText w:val="-"/>
      <w:lvlJc w:val="left"/>
      <w:pPr>
        <w:ind w:left="720" w:hanging="360"/>
      </w:pPr>
      <w:rPr>
        <w:rFonts w:ascii="Arial" w:eastAsia="Times New Roman" w:hAnsi="Arial" w:cs="Arial" w:hint="default"/>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5" w15:restartNumberingAfterBreak="0">
    <w:nsid w:val="53A17CB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6" w15:restartNumberingAfterBreak="0">
    <w:nsid w:val="5A745BAE"/>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7" w15:restartNumberingAfterBreak="0">
    <w:nsid w:val="5ADE4836"/>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8" w15:restartNumberingAfterBreak="0">
    <w:nsid w:val="735D07BC"/>
    <w:multiLevelType w:val="hybridMultilevel"/>
    <w:tmpl w:val="C6B6BBE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653A92"/>
    <w:multiLevelType w:val="hybridMultilevel"/>
    <w:tmpl w:val="E43EB1EC"/>
    <w:lvl w:ilvl="0" w:tplc="2B96625C">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BD205C6"/>
    <w:multiLevelType w:val="hybridMultilevel"/>
    <w:tmpl w:val="4252C42A"/>
    <w:lvl w:ilvl="0" w:tplc="17B8708C">
      <w:numFmt w:val="bullet"/>
      <w:lvlText w:val="-"/>
      <w:lvlJc w:val="left"/>
      <w:pPr>
        <w:ind w:left="720" w:hanging="360"/>
      </w:pPr>
      <w:rPr>
        <w:rFonts w:ascii="Calibri" w:eastAsia="SimSu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324184">
    <w:abstractNumId w:val="23"/>
  </w:num>
  <w:num w:numId="2" w16cid:durableId="1252859420">
    <w:abstractNumId w:val="29"/>
  </w:num>
  <w:num w:numId="3" w16cid:durableId="734009081">
    <w:abstractNumId w:val="0"/>
  </w:num>
  <w:num w:numId="4" w16cid:durableId="112285989">
    <w:abstractNumId w:val="7"/>
  </w:num>
  <w:num w:numId="5" w16cid:durableId="1714887809">
    <w:abstractNumId w:val="13"/>
  </w:num>
  <w:num w:numId="6" w16cid:durableId="626395905">
    <w:abstractNumId w:val="1"/>
  </w:num>
  <w:num w:numId="7" w16cid:durableId="737441642">
    <w:abstractNumId w:val="28"/>
  </w:num>
  <w:num w:numId="8" w16cid:durableId="2055040887">
    <w:abstractNumId w:val="9"/>
  </w:num>
  <w:num w:numId="9" w16cid:durableId="1022826984">
    <w:abstractNumId w:val="8"/>
  </w:num>
  <w:num w:numId="10" w16cid:durableId="1226646517">
    <w:abstractNumId w:val="10"/>
  </w:num>
  <w:num w:numId="11" w16cid:durableId="1664629132">
    <w:abstractNumId w:val="21"/>
  </w:num>
  <w:num w:numId="12" w16cid:durableId="371468418">
    <w:abstractNumId w:val="20"/>
  </w:num>
  <w:num w:numId="13" w16cid:durableId="709308006">
    <w:abstractNumId w:val="15"/>
  </w:num>
  <w:num w:numId="14" w16cid:durableId="1116603588">
    <w:abstractNumId w:val="11"/>
  </w:num>
  <w:num w:numId="15" w16cid:durableId="1149981649">
    <w:abstractNumId w:val="19"/>
  </w:num>
  <w:num w:numId="16" w16cid:durableId="319357295">
    <w:abstractNumId w:val="27"/>
  </w:num>
  <w:num w:numId="17" w16cid:durableId="858156246">
    <w:abstractNumId w:val="6"/>
  </w:num>
  <w:num w:numId="18" w16cid:durableId="684095976">
    <w:abstractNumId w:val="17"/>
  </w:num>
  <w:num w:numId="19" w16cid:durableId="776944972">
    <w:abstractNumId w:val="24"/>
  </w:num>
  <w:num w:numId="20" w16cid:durableId="1167286092">
    <w:abstractNumId w:val="26"/>
  </w:num>
  <w:num w:numId="21" w16cid:durableId="235870353">
    <w:abstractNumId w:val="16"/>
  </w:num>
  <w:num w:numId="22" w16cid:durableId="1209414116">
    <w:abstractNumId w:val="5"/>
  </w:num>
  <w:num w:numId="23" w16cid:durableId="532381607">
    <w:abstractNumId w:val="22"/>
  </w:num>
  <w:num w:numId="24" w16cid:durableId="817653587">
    <w:abstractNumId w:val="25"/>
  </w:num>
  <w:num w:numId="25" w16cid:durableId="161313640">
    <w:abstractNumId w:val="4"/>
  </w:num>
  <w:num w:numId="26" w16cid:durableId="1334718167">
    <w:abstractNumId w:val="13"/>
  </w:num>
  <w:num w:numId="27" w16cid:durableId="997994834">
    <w:abstractNumId w:val="13"/>
  </w:num>
  <w:num w:numId="28" w16cid:durableId="1996256705">
    <w:abstractNumId w:val="13"/>
  </w:num>
  <w:num w:numId="29" w16cid:durableId="179854848">
    <w:abstractNumId w:val="13"/>
  </w:num>
  <w:num w:numId="30" w16cid:durableId="1790078573">
    <w:abstractNumId w:val="13"/>
  </w:num>
  <w:num w:numId="31" w16cid:durableId="1553039267">
    <w:abstractNumId w:val="13"/>
  </w:num>
  <w:num w:numId="32" w16cid:durableId="387075163">
    <w:abstractNumId w:val="30"/>
  </w:num>
  <w:num w:numId="33" w16cid:durableId="1235628787">
    <w:abstractNumId w:val="18"/>
  </w:num>
  <w:num w:numId="34" w16cid:durableId="1226716772">
    <w:abstractNumId w:val="14"/>
  </w:num>
  <w:num w:numId="35" w16cid:durableId="523906985">
    <w:abstractNumId w:val="12"/>
  </w:num>
  <w:num w:numId="36" w16cid:durableId="920724008">
    <w:abstractNumId w:val="2"/>
  </w:num>
  <w:num w:numId="37" w16cid:durableId="757211282">
    <w:abstractNumId w:val="13"/>
  </w:num>
  <w:num w:numId="38" w16cid:durableId="1244677705">
    <w:abstractNumId w:val="3"/>
  </w:num>
  <w:num w:numId="39" w16cid:durableId="680158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42"/>
    <w:rsid w:val="0000369C"/>
    <w:rsid w:val="00010D69"/>
    <w:rsid w:val="0003372A"/>
    <w:rsid w:val="00053AA8"/>
    <w:rsid w:val="0007606D"/>
    <w:rsid w:val="00082A51"/>
    <w:rsid w:val="000D3A32"/>
    <w:rsid w:val="000E1625"/>
    <w:rsid w:val="000F3DD3"/>
    <w:rsid w:val="000F69E3"/>
    <w:rsid w:val="001427FF"/>
    <w:rsid w:val="001439C8"/>
    <w:rsid w:val="0014697C"/>
    <w:rsid w:val="00146AB3"/>
    <w:rsid w:val="00170E4E"/>
    <w:rsid w:val="00171B3F"/>
    <w:rsid w:val="00184680"/>
    <w:rsid w:val="001A2914"/>
    <w:rsid w:val="001B6312"/>
    <w:rsid w:val="001C2422"/>
    <w:rsid w:val="001D50BD"/>
    <w:rsid w:val="001E1E05"/>
    <w:rsid w:val="00217FD9"/>
    <w:rsid w:val="0026499F"/>
    <w:rsid w:val="002868F0"/>
    <w:rsid w:val="002A6014"/>
    <w:rsid w:val="002C53DB"/>
    <w:rsid w:val="00303B3B"/>
    <w:rsid w:val="003421E1"/>
    <w:rsid w:val="00365B7C"/>
    <w:rsid w:val="00376BAD"/>
    <w:rsid w:val="003941E1"/>
    <w:rsid w:val="003C1471"/>
    <w:rsid w:val="003C7AF6"/>
    <w:rsid w:val="003F179A"/>
    <w:rsid w:val="00406B14"/>
    <w:rsid w:val="004201B0"/>
    <w:rsid w:val="004375ED"/>
    <w:rsid w:val="004658F5"/>
    <w:rsid w:val="00487BD0"/>
    <w:rsid w:val="00493AE9"/>
    <w:rsid w:val="004A23A4"/>
    <w:rsid w:val="004D1B13"/>
    <w:rsid w:val="004D2DE1"/>
    <w:rsid w:val="004F0878"/>
    <w:rsid w:val="005000C7"/>
    <w:rsid w:val="00523B0E"/>
    <w:rsid w:val="00542F4C"/>
    <w:rsid w:val="00562E01"/>
    <w:rsid w:val="00594FAB"/>
    <w:rsid w:val="005B2E1D"/>
    <w:rsid w:val="005D4A11"/>
    <w:rsid w:val="005D5D62"/>
    <w:rsid w:val="005E1BF1"/>
    <w:rsid w:val="005E570B"/>
    <w:rsid w:val="0060025F"/>
    <w:rsid w:val="00604930"/>
    <w:rsid w:val="0060525D"/>
    <w:rsid w:val="00613656"/>
    <w:rsid w:val="006555B7"/>
    <w:rsid w:val="006B2C5B"/>
    <w:rsid w:val="006D124D"/>
    <w:rsid w:val="006E0AFC"/>
    <w:rsid w:val="00714B77"/>
    <w:rsid w:val="00716A3D"/>
    <w:rsid w:val="0075518B"/>
    <w:rsid w:val="00766FA8"/>
    <w:rsid w:val="007730E6"/>
    <w:rsid w:val="00775E29"/>
    <w:rsid w:val="007823A0"/>
    <w:rsid w:val="007B031D"/>
    <w:rsid w:val="007E560F"/>
    <w:rsid w:val="007E5EE7"/>
    <w:rsid w:val="007F2DC9"/>
    <w:rsid w:val="0080263D"/>
    <w:rsid w:val="008226DB"/>
    <w:rsid w:val="00830176"/>
    <w:rsid w:val="00835BF7"/>
    <w:rsid w:val="00844F14"/>
    <w:rsid w:val="00887EDC"/>
    <w:rsid w:val="008B0E6D"/>
    <w:rsid w:val="008C306C"/>
    <w:rsid w:val="008C4B5F"/>
    <w:rsid w:val="008D7FD2"/>
    <w:rsid w:val="008E51F8"/>
    <w:rsid w:val="00931CA3"/>
    <w:rsid w:val="00957640"/>
    <w:rsid w:val="0097152E"/>
    <w:rsid w:val="00972C79"/>
    <w:rsid w:val="009A0CC5"/>
    <w:rsid w:val="009A300B"/>
    <w:rsid w:val="009D6DEC"/>
    <w:rsid w:val="009E6A3C"/>
    <w:rsid w:val="009E7C3D"/>
    <w:rsid w:val="009F3D3B"/>
    <w:rsid w:val="00A10730"/>
    <w:rsid w:val="00A16EA4"/>
    <w:rsid w:val="00A16EDE"/>
    <w:rsid w:val="00A325C2"/>
    <w:rsid w:val="00A339B2"/>
    <w:rsid w:val="00A561C4"/>
    <w:rsid w:val="00A90A7D"/>
    <w:rsid w:val="00AA7C6E"/>
    <w:rsid w:val="00AB22BB"/>
    <w:rsid w:val="00AE555F"/>
    <w:rsid w:val="00AE7506"/>
    <w:rsid w:val="00B003AD"/>
    <w:rsid w:val="00B23774"/>
    <w:rsid w:val="00B50B98"/>
    <w:rsid w:val="00B83CE2"/>
    <w:rsid w:val="00B96723"/>
    <w:rsid w:val="00BC4E31"/>
    <w:rsid w:val="00BC7587"/>
    <w:rsid w:val="00BF2A8D"/>
    <w:rsid w:val="00BF3472"/>
    <w:rsid w:val="00C15A1C"/>
    <w:rsid w:val="00C31465"/>
    <w:rsid w:val="00C43919"/>
    <w:rsid w:val="00C47C4A"/>
    <w:rsid w:val="00C51CE9"/>
    <w:rsid w:val="00C5222E"/>
    <w:rsid w:val="00C907FC"/>
    <w:rsid w:val="00CA0CE1"/>
    <w:rsid w:val="00CA57CD"/>
    <w:rsid w:val="00CA6F22"/>
    <w:rsid w:val="00CB68FC"/>
    <w:rsid w:val="00CE6390"/>
    <w:rsid w:val="00D34EFA"/>
    <w:rsid w:val="00D3711D"/>
    <w:rsid w:val="00D51495"/>
    <w:rsid w:val="00D82FE9"/>
    <w:rsid w:val="00DC64E1"/>
    <w:rsid w:val="00E067FD"/>
    <w:rsid w:val="00E10EEE"/>
    <w:rsid w:val="00E205A3"/>
    <w:rsid w:val="00E35BD8"/>
    <w:rsid w:val="00E35D42"/>
    <w:rsid w:val="00E41B29"/>
    <w:rsid w:val="00E96492"/>
    <w:rsid w:val="00EA6F03"/>
    <w:rsid w:val="00EE587F"/>
    <w:rsid w:val="00EF1AAB"/>
    <w:rsid w:val="00EF5CE0"/>
    <w:rsid w:val="00F13184"/>
    <w:rsid w:val="00F32D0C"/>
    <w:rsid w:val="00F448C3"/>
    <w:rsid w:val="00F63C91"/>
    <w:rsid w:val="00F7178D"/>
    <w:rsid w:val="00F765AB"/>
    <w:rsid w:val="00F91E09"/>
    <w:rsid w:val="00F96123"/>
    <w:rsid w:val="00F97A3F"/>
    <w:rsid w:val="00FA0471"/>
    <w:rsid w:val="00FA20C4"/>
    <w:rsid w:val="00FB1B37"/>
    <w:rsid w:val="00FB7955"/>
    <w:rsid w:val="00FD62E9"/>
    <w:rsid w:val="00FF2081"/>
    <w:rsid w:val="00FF2D5D"/>
    <w:rsid w:val="00FF38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9D45A4"/>
  <w15:chartTrackingRefBased/>
  <w15:docId w15:val="{E8A75B6D-6C72-4304-9BA0-4565255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23B0E"/>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B003AD"/>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003AD"/>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B003A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B003A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B003A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B003A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B003A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003A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3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23B0E"/>
    <w:rPr>
      <w:rFonts w:asciiTheme="majorHAnsi" w:eastAsiaTheme="majorEastAsia" w:hAnsiTheme="majorHAnsi" w:cstheme="majorBidi"/>
      <w:color w:val="2F5496" w:themeColor="accent1" w:themeShade="BF"/>
      <w:sz w:val="32"/>
      <w:szCs w:val="32"/>
    </w:rPr>
  </w:style>
  <w:style w:type="paragraph" w:styleId="Odstavekseznama">
    <w:name w:val="List Paragraph"/>
    <w:aliases w:val="List Paragraph 1,A_wyliczenie,K-P_odwolanie,Akapit z listą5,maz_wyliczenie,opis dzialania,Normal bullet 2,List Paragraph1,Bullet 1,Table of contents numbered,List Paragraph4,List1,Dot pt,F5 List Paragraph,List Paragraph11,L"/>
    <w:basedOn w:val="Navaden"/>
    <w:link w:val="OdstavekseznamaZnak"/>
    <w:uiPriority w:val="34"/>
    <w:qFormat/>
    <w:rsid w:val="00523B0E"/>
    <w:pPr>
      <w:spacing w:after="0" w:line="260" w:lineRule="exact"/>
      <w:ind w:left="708"/>
    </w:pPr>
    <w:rPr>
      <w:rFonts w:ascii="Arial" w:eastAsia="Times New Roman" w:hAnsi="Arial" w:cs="Times New Roman"/>
      <w:kern w:val="0"/>
      <w:sz w:val="20"/>
      <w:szCs w:val="24"/>
      <w:lang w:val="en-US"/>
      <w14:ligatures w14:val="none"/>
    </w:rPr>
  </w:style>
  <w:style w:type="paragraph" w:customStyle="1" w:styleId="Besedilo">
    <w:name w:val="Besedilo"/>
    <w:basedOn w:val="Navaden"/>
    <w:link w:val="BesediloZnak"/>
    <w:qFormat/>
    <w:rsid w:val="00523B0E"/>
    <w:pPr>
      <w:overflowPunct w:val="0"/>
      <w:autoSpaceDE w:val="0"/>
      <w:autoSpaceDN w:val="0"/>
      <w:adjustRightInd w:val="0"/>
      <w:spacing w:after="0" w:line="240" w:lineRule="auto"/>
      <w:jc w:val="both"/>
      <w:textAlignment w:val="baseline"/>
    </w:pPr>
    <w:rPr>
      <w:rFonts w:ascii="Arial" w:eastAsia="Times New Roman" w:hAnsi="Arial" w:cs="Arial"/>
      <w:iCs/>
      <w:kern w:val="0"/>
      <w:sz w:val="20"/>
      <w:lang w:eastAsia="sl-SI"/>
      <w14:ligatures w14:val="none"/>
    </w:rPr>
  </w:style>
  <w:style w:type="character" w:customStyle="1" w:styleId="BesediloZnak">
    <w:name w:val="Besedilo Znak"/>
    <w:link w:val="Besedilo"/>
    <w:rsid w:val="00523B0E"/>
    <w:rPr>
      <w:rFonts w:ascii="Arial" w:eastAsia="Times New Roman" w:hAnsi="Arial" w:cs="Arial"/>
      <w:iCs/>
      <w:kern w:val="0"/>
      <w:sz w:val="20"/>
      <w:lang w:eastAsia="sl-SI"/>
      <w14:ligatures w14:val="none"/>
    </w:rPr>
  </w:style>
  <w:style w:type="character" w:customStyle="1" w:styleId="Naslov2Znak">
    <w:name w:val="Naslov 2 Znak"/>
    <w:basedOn w:val="Privzetapisavaodstavka"/>
    <w:link w:val="Naslov2"/>
    <w:uiPriority w:val="9"/>
    <w:rsid w:val="00B003A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003AD"/>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B003AD"/>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B003AD"/>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B003AD"/>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B003AD"/>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B003A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003AD"/>
    <w:rPr>
      <w:rFonts w:asciiTheme="majorHAnsi" w:eastAsiaTheme="majorEastAsia" w:hAnsiTheme="majorHAnsi" w:cstheme="majorBidi"/>
      <w:i/>
      <w:iCs/>
      <w:color w:val="272727" w:themeColor="text1" w:themeTint="D8"/>
      <w:sz w:val="21"/>
      <w:szCs w:val="21"/>
    </w:rPr>
  </w:style>
  <w:style w:type="paragraph" w:styleId="Sprotnaopomba-besedilo">
    <w:name w:val="footnote text"/>
    <w:basedOn w:val="Navaden"/>
    <w:link w:val="Sprotnaopomba-besediloZnak"/>
    <w:uiPriority w:val="99"/>
    <w:semiHidden/>
    <w:unhideWhenUsed/>
    <w:rsid w:val="00AE750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E7506"/>
    <w:rPr>
      <w:sz w:val="20"/>
      <w:szCs w:val="20"/>
    </w:rPr>
  </w:style>
  <w:style w:type="character" w:styleId="Sprotnaopomba-sklic">
    <w:name w:val="footnote reference"/>
    <w:basedOn w:val="Privzetapisavaodstavka"/>
    <w:uiPriority w:val="99"/>
    <w:semiHidden/>
    <w:unhideWhenUsed/>
    <w:rsid w:val="00AE7506"/>
    <w:rPr>
      <w:vertAlign w:val="superscript"/>
    </w:rPr>
  </w:style>
  <w:style w:type="paragraph" w:styleId="Glava">
    <w:name w:val="header"/>
    <w:basedOn w:val="Navaden"/>
    <w:link w:val="GlavaZnak"/>
    <w:uiPriority w:val="99"/>
    <w:unhideWhenUsed/>
    <w:rsid w:val="00AE7506"/>
    <w:pPr>
      <w:tabs>
        <w:tab w:val="center" w:pos="4536"/>
        <w:tab w:val="right" w:pos="9072"/>
      </w:tabs>
      <w:spacing w:after="0" w:line="240" w:lineRule="auto"/>
    </w:pPr>
  </w:style>
  <w:style w:type="character" w:customStyle="1" w:styleId="GlavaZnak">
    <w:name w:val="Glava Znak"/>
    <w:basedOn w:val="Privzetapisavaodstavka"/>
    <w:link w:val="Glava"/>
    <w:uiPriority w:val="99"/>
    <w:rsid w:val="00AE7506"/>
  </w:style>
  <w:style w:type="paragraph" w:styleId="Noga">
    <w:name w:val="footer"/>
    <w:basedOn w:val="Navaden"/>
    <w:link w:val="NogaZnak"/>
    <w:uiPriority w:val="99"/>
    <w:unhideWhenUsed/>
    <w:rsid w:val="00AE7506"/>
    <w:pPr>
      <w:tabs>
        <w:tab w:val="center" w:pos="4536"/>
        <w:tab w:val="right" w:pos="9072"/>
      </w:tabs>
      <w:spacing w:after="0" w:line="240" w:lineRule="auto"/>
    </w:pPr>
  </w:style>
  <w:style w:type="character" w:customStyle="1" w:styleId="NogaZnak">
    <w:name w:val="Noga Znak"/>
    <w:basedOn w:val="Privzetapisavaodstavka"/>
    <w:link w:val="Noga"/>
    <w:uiPriority w:val="99"/>
    <w:rsid w:val="00AE7506"/>
  </w:style>
  <w:style w:type="paragraph" w:customStyle="1" w:styleId="Style1">
    <w:name w:val="Style1"/>
    <w:basedOn w:val="Navaden"/>
    <w:qFormat/>
    <w:rsid w:val="00A561C4"/>
    <w:pPr>
      <w:numPr>
        <w:numId w:val="6"/>
      </w:numPr>
      <w:spacing w:before="480" w:after="240" w:line="288" w:lineRule="auto"/>
      <w:jc w:val="both"/>
      <w:outlineLvl w:val="0"/>
    </w:pPr>
    <w:rPr>
      <w:rFonts w:ascii="Arial" w:hAnsi="Arial" w:cs="Arial"/>
      <w:b/>
      <w:kern w:val="0"/>
      <w:sz w:val="28"/>
      <w:lang w:val="en-GB"/>
      <w14:ligatures w14:val="none"/>
    </w:rPr>
  </w:style>
  <w:style w:type="paragraph" w:customStyle="1" w:styleId="Style2">
    <w:name w:val="Style2"/>
    <w:basedOn w:val="Navaden"/>
    <w:qFormat/>
    <w:rsid w:val="00A561C4"/>
    <w:pPr>
      <w:keepNext/>
      <w:keepLines/>
      <w:numPr>
        <w:ilvl w:val="1"/>
        <w:numId w:val="6"/>
      </w:numPr>
      <w:spacing w:before="360" w:after="120" w:line="288" w:lineRule="auto"/>
      <w:ind w:left="2268"/>
      <w:jc w:val="both"/>
      <w:outlineLvl w:val="1"/>
    </w:pPr>
    <w:rPr>
      <w:rFonts w:ascii="Arial" w:eastAsiaTheme="majorEastAsia" w:hAnsi="Arial" w:cstheme="majorBidi"/>
      <w:b/>
      <w:color w:val="000000" w:themeColor="text1"/>
      <w:kern w:val="0"/>
      <w:szCs w:val="26"/>
      <w:lang w:val="en-GB"/>
      <w14:ligatures w14:val="none"/>
    </w:rPr>
  </w:style>
  <w:style w:type="paragraph" w:styleId="NaslovTOC">
    <w:name w:val="TOC Heading"/>
    <w:basedOn w:val="Naslov1"/>
    <w:next w:val="Navaden"/>
    <w:uiPriority w:val="39"/>
    <w:unhideWhenUsed/>
    <w:qFormat/>
    <w:rsid w:val="00146AB3"/>
    <w:pPr>
      <w:numPr>
        <w:numId w:val="0"/>
      </w:numPr>
      <w:outlineLvl w:val="9"/>
    </w:pPr>
    <w:rPr>
      <w:kern w:val="0"/>
      <w:lang w:eastAsia="sl-SI"/>
      <w14:ligatures w14:val="none"/>
    </w:rPr>
  </w:style>
  <w:style w:type="paragraph" w:styleId="Kazalovsebine1">
    <w:name w:val="toc 1"/>
    <w:basedOn w:val="Navaden"/>
    <w:next w:val="Navaden"/>
    <w:autoRedefine/>
    <w:uiPriority w:val="39"/>
    <w:unhideWhenUsed/>
    <w:rsid w:val="00146AB3"/>
    <w:pPr>
      <w:spacing w:after="100"/>
    </w:pPr>
  </w:style>
  <w:style w:type="paragraph" w:styleId="Kazalovsebine2">
    <w:name w:val="toc 2"/>
    <w:basedOn w:val="Navaden"/>
    <w:next w:val="Navaden"/>
    <w:autoRedefine/>
    <w:uiPriority w:val="39"/>
    <w:unhideWhenUsed/>
    <w:rsid w:val="00146AB3"/>
    <w:pPr>
      <w:spacing w:after="100"/>
      <w:ind w:left="220"/>
    </w:pPr>
  </w:style>
  <w:style w:type="paragraph" w:styleId="Kazalovsebine3">
    <w:name w:val="toc 3"/>
    <w:basedOn w:val="Navaden"/>
    <w:next w:val="Navaden"/>
    <w:autoRedefine/>
    <w:uiPriority w:val="39"/>
    <w:unhideWhenUsed/>
    <w:rsid w:val="00146AB3"/>
    <w:pPr>
      <w:spacing w:after="100"/>
      <w:ind w:left="440"/>
    </w:pPr>
  </w:style>
  <w:style w:type="character" w:styleId="Hiperpovezava">
    <w:name w:val="Hyperlink"/>
    <w:basedOn w:val="Privzetapisavaodstavka"/>
    <w:uiPriority w:val="99"/>
    <w:unhideWhenUsed/>
    <w:rsid w:val="00146AB3"/>
    <w:rPr>
      <w:color w:val="0563C1" w:themeColor="hyperlink"/>
      <w:u w:val="single"/>
    </w:rPr>
  </w:style>
  <w:style w:type="character" w:customStyle="1" w:styleId="OdstavekseznamaZnak">
    <w:name w:val="Odstavek seznama Znak"/>
    <w:aliases w:val="List Paragraph 1 Znak,A_wyliczenie Znak,K-P_odwolanie Znak,Akapit z listą5 Znak,maz_wyliczenie Znak,opis dzialania Znak,Normal bullet 2 Znak,List Paragraph1 Znak,Bullet 1 Znak,Table of contents numbered Znak,List Paragraph4 Znak"/>
    <w:basedOn w:val="Privzetapisavaodstavka"/>
    <w:link w:val="Odstavekseznama"/>
    <w:uiPriority w:val="34"/>
    <w:qFormat/>
    <w:locked/>
    <w:rsid w:val="00053AA8"/>
    <w:rPr>
      <w:rFonts w:ascii="Arial" w:eastAsia="Times New Roman"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09286">
      <w:bodyDiv w:val="1"/>
      <w:marLeft w:val="0"/>
      <w:marRight w:val="0"/>
      <w:marTop w:val="0"/>
      <w:marBottom w:val="0"/>
      <w:divBdr>
        <w:top w:val="none" w:sz="0" w:space="0" w:color="auto"/>
        <w:left w:val="none" w:sz="0" w:space="0" w:color="auto"/>
        <w:bottom w:val="none" w:sz="0" w:space="0" w:color="auto"/>
        <w:right w:val="none" w:sz="0" w:space="0" w:color="auto"/>
      </w:divBdr>
      <w:divsChild>
        <w:div w:id="1606041614">
          <w:marLeft w:val="0"/>
          <w:marRight w:val="0"/>
          <w:marTop w:val="0"/>
          <w:marBottom w:val="0"/>
          <w:divBdr>
            <w:top w:val="none" w:sz="0" w:space="0" w:color="auto"/>
            <w:left w:val="none" w:sz="0" w:space="0" w:color="auto"/>
            <w:bottom w:val="none" w:sz="0" w:space="0" w:color="auto"/>
            <w:right w:val="none" w:sz="0" w:space="0" w:color="auto"/>
          </w:divBdr>
          <w:divsChild>
            <w:div w:id="1409182810">
              <w:marLeft w:val="0"/>
              <w:marRight w:val="0"/>
              <w:marTop w:val="0"/>
              <w:marBottom w:val="360"/>
              <w:divBdr>
                <w:top w:val="none" w:sz="0" w:space="0" w:color="auto"/>
                <w:left w:val="none" w:sz="0" w:space="0" w:color="auto"/>
                <w:bottom w:val="none" w:sz="0" w:space="0" w:color="auto"/>
                <w:right w:val="none" w:sz="0" w:space="0" w:color="auto"/>
              </w:divBdr>
            </w:div>
          </w:divsChild>
        </w:div>
        <w:div w:id="34626892">
          <w:marLeft w:val="0"/>
          <w:marRight w:val="0"/>
          <w:marTop w:val="0"/>
          <w:marBottom w:val="0"/>
          <w:divBdr>
            <w:top w:val="none" w:sz="0" w:space="0" w:color="auto"/>
            <w:left w:val="none" w:sz="0" w:space="0" w:color="auto"/>
            <w:bottom w:val="none" w:sz="0" w:space="0" w:color="auto"/>
            <w:right w:val="none" w:sz="0" w:space="0" w:color="auto"/>
          </w:divBdr>
          <w:divsChild>
            <w:div w:id="55864614">
              <w:marLeft w:val="0"/>
              <w:marRight w:val="0"/>
              <w:marTop w:val="360"/>
              <w:marBottom w:val="0"/>
              <w:divBdr>
                <w:top w:val="none" w:sz="0" w:space="0" w:color="auto"/>
                <w:left w:val="none" w:sz="0" w:space="0" w:color="auto"/>
                <w:bottom w:val="none" w:sz="0" w:space="0" w:color="auto"/>
                <w:right w:val="none" w:sz="0" w:space="0" w:color="auto"/>
              </w:divBdr>
              <w:divsChild>
                <w:div w:id="614560352">
                  <w:marLeft w:val="0"/>
                  <w:marRight w:val="0"/>
                  <w:marTop w:val="0"/>
                  <w:marBottom w:val="0"/>
                  <w:divBdr>
                    <w:top w:val="none" w:sz="0" w:space="0" w:color="auto"/>
                    <w:left w:val="none" w:sz="0" w:space="0" w:color="auto"/>
                    <w:bottom w:val="none" w:sz="0" w:space="0" w:color="auto"/>
                    <w:right w:val="none" w:sz="0" w:space="0" w:color="auto"/>
                  </w:divBdr>
                  <w:divsChild>
                    <w:div w:id="17050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74785A8AF4E89A1685C5A1B0A4E8C"/>
        <w:category>
          <w:name w:val="Splošno"/>
          <w:gallery w:val="placeholder"/>
        </w:category>
        <w:types>
          <w:type w:val="bbPlcHdr"/>
        </w:types>
        <w:behaviors>
          <w:behavior w:val="content"/>
        </w:behaviors>
        <w:guid w:val="{BA41F967-6433-4923-A579-CC9AC622151A}"/>
      </w:docPartPr>
      <w:docPartBody>
        <w:p w:rsidR="00F64D1A" w:rsidRDefault="00F64D1A" w:rsidP="00F64D1A">
          <w:pPr>
            <w:pStyle w:val="0CD74785A8AF4E89A1685C5A1B0A4E8C"/>
          </w:pPr>
          <w:r w:rsidRPr="00D2240B">
            <w:rPr>
              <w:rStyle w:val="Besedilooznabemesta"/>
              <w:lang w:val="en-GB"/>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1A"/>
    <w:rsid w:val="00F64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64D1A"/>
    <w:rPr>
      <w:color w:val="808080"/>
    </w:rPr>
  </w:style>
  <w:style w:type="paragraph" w:customStyle="1" w:styleId="0CD74785A8AF4E89A1685C5A1B0A4E8C">
    <w:name w:val="0CD74785A8AF4E89A1685C5A1B0A4E8C"/>
    <w:rsid w:val="00F64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3FE946-60A7-4974-B9FA-9C701113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2165</Words>
  <Characters>12342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Babuder Rumpret</dc:creator>
  <cp:keywords/>
  <dc:description/>
  <cp:lastModifiedBy>Nataša Babuder Rumpret</cp:lastModifiedBy>
  <cp:revision>14</cp:revision>
  <cp:lastPrinted>2024-07-11T09:07:00Z</cp:lastPrinted>
  <dcterms:created xsi:type="dcterms:W3CDTF">2024-07-15T07:28:00Z</dcterms:created>
  <dcterms:modified xsi:type="dcterms:W3CDTF">2024-07-29T08:34:00Z</dcterms:modified>
</cp:coreProperties>
</file>