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BC" w:rsidRPr="005F4851" w:rsidRDefault="007E27BC" w:rsidP="007E27B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7E27BC" w:rsidRPr="005F4851" w:rsidRDefault="007E27BC" w:rsidP="007E27B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7E27BC" w:rsidRPr="005F4851" w:rsidRDefault="007E27BC" w:rsidP="007E27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F4851">
        <w:rPr>
          <w:rFonts w:ascii="Arial" w:hAnsi="Arial" w:cs="Arial"/>
          <w:b/>
          <w:color w:val="000000"/>
          <w:sz w:val="24"/>
          <w:szCs w:val="24"/>
        </w:rPr>
        <w:t>VPRAŠANJA IN ODGOVORI</w:t>
      </w:r>
    </w:p>
    <w:p w:rsidR="007E27BC" w:rsidRPr="005F4851" w:rsidRDefault="007E27BC" w:rsidP="007E27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707" w:rsidRDefault="003B1707" w:rsidP="003B1707">
      <w:pPr>
        <w:spacing w:after="0" w:line="240" w:lineRule="auto"/>
        <w:jc w:val="both"/>
        <w:rPr>
          <w:rFonts w:ascii="Arial" w:eastAsia="Times New Roman" w:hAnsi="Arial" w:cs="Arial"/>
          <w:lang w:bidi="en-US"/>
        </w:rPr>
      </w:pPr>
      <w:r w:rsidRPr="003B1707">
        <w:rPr>
          <w:rFonts w:ascii="Arial" w:eastAsia="Times New Roman" w:hAnsi="Arial" w:cs="Arial"/>
          <w:lang w:bidi="en-US"/>
        </w:rPr>
        <w:t>Javni razpis za sofinanciranje projektov izgradnje ekonomsko-poslovne infrastrukture v Zasavski premogovni regiji v okviru Sklada za pravični prehod v obdobju 2023-2026</w:t>
      </w:r>
    </w:p>
    <w:p w:rsidR="003B1707" w:rsidRPr="003B1707" w:rsidRDefault="003B1707" w:rsidP="003B1707">
      <w:pPr>
        <w:spacing w:after="0" w:line="240" w:lineRule="auto"/>
        <w:jc w:val="both"/>
        <w:rPr>
          <w:rFonts w:ascii="Arial" w:eastAsia="Times New Roman" w:hAnsi="Arial" w:cs="Arial"/>
          <w:lang w:bidi="en-US"/>
        </w:rPr>
      </w:pPr>
    </w:p>
    <w:p w:rsidR="00D15797" w:rsidRPr="005F4851" w:rsidRDefault="00D15797" w:rsidP="007E27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E27BC" w:rsidRPr="005F4851" w:rsidRDefault="00323078" w:rsidP="007E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Številka: 4300-8/2023/20</w:t>
      </w:r>
    </w:p>
    <w:p w:rsidR="007E27BC" w:rsidRDefault="00EB7F76" w:rsidP="007E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17.8.2023</w:t>
      </w:r>
    </w:p>
    <w:p w:rsidR="00EB7F76" w:rsidRDefault="00EB7F76" w:rsidP="007E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D15797" w:rsidRDefault="00D15797" w:rsidP="007E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15797" w:rsidRPr="00D15797" w:rsidRDefault="00D15797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Pr="00D15797">
        <w:rPr>
          <w:rFonts w:ascii="Arial" w:hAnsi="Arial" w:cs="Arial"/>
          <w:color w:val="000000"/>
          <w:sz w:val="20"/>
          <w:szCs w:val="20"/>
        </w:rPr>
        <w:t>Finančna vrzel – stopnja sofinanciranja</w:t>
      </w:r>
    </w:p>
    <w:p w:rsidR="00D15797" w:rsidRPr="00D15797" w:rsidRDefault="00312071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D15797" w:rsidRPr="00D15797">
        <w:rPr>
          <w:rFonts w:ascii="Arial" w:hAnsi="Arial" w:cs="Arial"/>
          <w:color w:val="000000"/>
          <w:sz w:val="20"/>
          <w:szCs w:val="20"/>
        </w:rPr>
        <w:t xml:space="preserve">Ali je potrebno do 1 milijon upravičenih stroškov izračunavati finančno vrzel – 7. odstavek 61. člena Uredba (EU) št. 1303/2013)? </w:t>
      </w:r>
    </w:p>
    <w:p w:rsidR="00D15797" w:rsidRPr="00D15797" w:rsidRDefault="00312071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D15797" w:rsidRPr="00D15797">
        <w:rPr>
          <w:rFonts w:ascii="Arial" w:hAnsi="Arial" w:cs="Arial"/>
          <w:color w:val="000000"/>
          <w:sz w:val="20"/>
          <w:szCs w:val="20"/>
        </w:rPr>
        <w:t>V primeru, da bo investicija višja od 1 milijon upravičenih stroškov na kakšen način bo potrebno prikazovati oz. dokazovati vse denarne tokove na projektu po končanju investicije? </w:t>
      </w:r>
    </w:p>
    <w:p w:rsidR="00D15797" w:rsidRDefault="00D15797" w:rsidP="00D15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15797">
        <w:rPr>
          <w:rFonts w:ascii="Arial" w:hAnsi="Arial" w:cs="Arial"/>
          <w:color w:val="000000"/>
          <w:sz w:val="20"/>
          <w:szCs w:val="20"/>
        </w:rPr>
        <w:t> </w:t>
      </w:r>
    </w:p>
    <w:p w:rsidR="00D15797" w:rsidRPr="006D7FDE" w:rsidRDefault="00D15797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6D7FDE">
        <w:rPr>
          <w:rFonts w:ascii="Arial" w:hAnsi="Arial" w:cs="Arial"/>
          <w:color w:val="0070C0"/>
          <w:sz w:val="20"/>
          <w:szCs w:val="20"/>
        </w:rPr>
        <w:t>ODGOVOR: Za projekte, ki se izvajajo v programskem obdobju 2021-2027 se Uredba (EU) št. 1303/2013 ne uporablja. Za vrednotenje in ocenjevanje investicij se upoštevajo nacionalna pravila, torej določbe Uredbe o enotni  metodologiji za pripravo in obravnavo investicijske dokumentacije na področju javnih financ, tako glede mejnih vrednosti,  kot tudi metod za pre</w:t>
      </w:r>
      <w:r w:rsidR="003426E7">
        <w:rPr>
          <w:rFonts w:ascii="Arial" w:hAnsi="Arial" w:cs="Arial"/>
          <w:color w:val="0070C0"/>
          <w:sz w:val="20"/>
          <w:szCs w:val="20"/>
        </w:rPr>
        <w:t>sojo upravičenosti projektov. (p</w:t>
      </w:r>
      <w:r w:rsidRPr="006D7FDE">
        <w:rPr>
          <w:rFonts w:ascii="Arial" w:hAnsi="Arial" w:cs="Arial"/>
          <w:color w:val="0070C0"/>
          <w:sz w:val="20"/>
          <w:szCs w:val="20"/>
        </w:rPr>
        <w:t xml:space="preserve">oglavje 5: Merila za ugotavljanje učinkovitosti investicije)  </w:t>
      </w:r>
    </w:p>
    <w:p w:rsidR="00A822C0" w:rsidRPr="006D7FDE" w:rsidRDefault="00A822C0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6D7FDE">
        <w:rPr>
          <w:rFonts w:ascii="Arial" w:hAnsi="Arial" w:cs="Arial"/>
          <w:color w:val="0070C0"/>
          <w:sz w:val="20"/>
          <w:szCs w:val="20"/>
        </w:rPr>
        <w:t xml:space="preserve">Navodil za zaključevanje operacij za obdobje 2021-2027 še ni. Ne glede na vrednost operacije  </w:t>
      </w:r>
      <w:r w:rsidR="003426E7">
        <w:rPr>
          <w:rFonts w:ascii="Arial" w:hAnsi="Arial" w:cs="Arial"/>
          <w:color w:val="0070C0"/>
          <w:sz w:val="20"/>
          <w:szCs w:val="20"/>
        </w:rPr>
        <w:t>naj se pri prikazovanju denarnih tokov na projektu po koncu investicije smiselno upoštevajo N</w:t>
      </w:r>
      <w:r w:rsidRPr="006D7FDE">
        <w:rPr>
          <w:rFonts w:ascii="Arial" w:hAnsi="Arial" w:cs="Arial"/>
          <w:color w:val="0070C0"/>
          <w:sz w:val="20"/>
          <w:szCs w:val="20"/>
        </w:rPr>
        <w:t>avodil</w:t>
      </w:r>
      <w:r w:rsidR="003426E7">
        <w:rPr>
          <w:rFonts w:ascii="Arial" w:hAnsi="Arial" w:cs="Arial"/>
          <w:color w:val="0070C0"/>
          <w:sz w:val="20"/>
          <w:szCs w:val="20"/>
        </w:rPr>
        <w:t>a</w:t>
      </w:r>
      <w:r w:rsidRPr="006D7FDE">
        <w:rPr>
          <w:rFonts w:ascii="Arial" w:hAnsi="Arial" w:cs="Arial"/>
          <w:color w:val="0070C0"/>
          <w:sz w:val="20"/>
          <w:szCs w:val="20"/>
        </w:rPr>
        <w:t xml:space="preserve"> </w:t>
      </w:r>
      <w:r w:rsidR="003426E7">
        <w:rPr>
          <w:rFonts w:ascii="Arial" w:hAnsi="Arial" w:cs="Arial"/>
          <w:color w:val="0070C0"/>
          <w:sz w:val="20"/>
          <w:szCs w:val="20"/>
        </w:rPr>
        <w:t xml:space="preserve">Organa upravljanja </w:t>
      </w:r>
      <w:r w:rsidRPr="006D7FDE">
        <w:rPr>
          <w:rFonts w:ascii="Arial" w:hAnsi="Arial" w:cs="Arial"/>
          <w:color w:val="0070C0"/>
          <w:sz w:val="20"/>
          <w:szCs w:val="20"/>
        </w:rPr>
        <w:t xml:space="preserve">za zaključevanje </w:t>
      </w:r>
      <w:r w:rsidR="003426E7">
        <w:rPr>
          <w:rFonts w:ascii="Arial" w:hAnsi="Arial" w:cs="Arial"/>
          <w:color w:val="0070C0"/>
          <w:sz w:val="20"/>
          <w:szCs w:val="20"/>
        </w:rPr>
        <w:t>operativnega programa za izvajanje evropske kohezijske politike v obdobju</w:t>
      </w:r>
      <w:r w:rsidRPr="006D7FDE">
        <w:rPr>
          <w:rFonts w:ascii="Arial" w:hAnsi="Arial" w:cs="Arial"/>
          <w:color w:val="0070C0"/>
          <w:sz w:val="20"/>
          <w:szCs w:val="20"/>
        </w:rPr>
        <w:t xml:space="preserve"> 201</w:t>
      </w:r>
      <w:r w:rsidR="003426E7">
        <w:rPr>
          <w:rFonts w:ascii="Arial" w:hAnsi="Arial" w:cs="Arial"/>
          <w:color w:val="0070C0"/>
          <w:sz w:val="20"/>
          <w:szCs w:val="20"/>
        </w:rPr>
        <w:t>4-2020 v povezavi z določbami  N</w:t>
      </w:r>
      <w:r w:rsidRPr="006D7FDE">
        <w:rPr>
          <w:rFonts w:ascii="Arial" w:hAnsi="Arial" w:cs="Arial"/>
          <w:color w:val="0070C0"/>
          <w:sz w:val="20"/>
          <w:szCs w:val="20"/>
        </w:rPr>
        <w:t xml:space="preserve">avodil </w:t>
      </w:r>
      <w:r w:rsidR="003426E7">
        <w:rPr>
          <w:rFonts w:ascii="Arial" w:hAnsi="Arial" w:cs="Arial"/>
          <w:color w:val="0070C0"/>
          <w:sz w:val="20"/>
          <w:szCs w:val="20"/>
        </w:rPr>
        <w:t>organa upravljanja za finančno upravljanje evropske kohezijske politike v programskem obdobju</w:t>
      </w:r>
      <w:r w:rsidRPr="006D7FDE">
        <w:rPr>
          <w:rFonts w:ascii="Arial" w:hAnsi="Arial" w:cs="Arial"/>
          <w:color w:val="0070C0"/>
          <w:sz w:val="20"/>
          <w:szCs w:val="20"/>
        </w:rPr>
        <w:t xml:space="preserve"> 2014-2020 (poglavje 5.1.1.), od koder izhaja, da kadar operacija ne ustvarja neto prihodkov se obravnava kot operacija, ki ne ustvarja prihodkov in prihodkov, razen v primeru relevantnih sprememb, ni potrebno spremljati.</w:t>
      </w:r>
    </w:p>
    <w:p w:rsidR="00D15797" w:rsidRPr="00D15797" w:rsidRDefault="00D15797" w:rsidP="00D15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15797" w:rsidRDefault="00D15797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Pr="00D15797">
        <w:rPr>
          <w:rFonts w:ascii="Arial" w:hAnsi="Arial" w:cs="Arial"/>
          <w:color w:val="000000"/>
          <w:sz w:val="20"/>
          <w:szCs w:val="20"/>
        </w:rPr>
        <w:t xml:space="preserve">V enem izmed projektov je načrtovan krak kanalizacije (kanalizacija in </w:t>
      </w:r>
      <w:proofErr w:type="spellStart"/>
      <w:r w:rsidRPr="00D15797">
        <w:rPr>
          <w:rFonts w:ascii="Arial" w:hAnsi="Arial" w:cs="Arial"/>
          <w:color w:val="000000"/>
          <w:sz w:val="20"/>
          <w:szCs w:val="20"/>
        </w:rPr>
        <w:t>elektro</w:t>
      </w:r>
      <w:proofErr w:type="spellEnd"/>
      <w:r w:rsidRPr="00D15797">
        <w:rPr>
          <w:rFonts w:ascii="Arial" w:hAnsi="Arial" w:cs="Arial"/>
          <w:color w:val="000000"/>
          <w:sz w:val="20"/>
          <w:szCs w:val="20"/>
        </w:rPr>
        <w:t xml:space="preserve"> povezava od obstoječe </w:t>
      </w:r>
      <w:proofErr w:type="spellStart"/>
      <w:r w:rsidRPr="00D15797">
        <w:rPr>
          <w:rFonts w:ascii="Arial" w:hAnsi="Arial" w:cs="Arial"/>
          <w:color w:val="000000"/>
          <w:sz w:val="20"/>
          <w:szCs w:val="20"/>
        </w:rPr>
        <w:t>trafo</w:t>
      </w:r>
      <w:proofErr w:type="spellEnd"/>
      <w:r w:rsidRPr="00D15797">
        <w:rPr>
          <w:rFonts w:ascii="Arial" w:hAnsi="Arial" w:cs="Arial"/>
          <w:color w:val="000000"/>
          <w:sz w:val="20"/>
          <w:szCs w:val="20"/>
        </w:rPr>
        <w:t xml:space="preserve"> postaje, ki posega v sosednjo obstoječo obrtno cono. To bo razvidno iz projektne dokumentacije.  Ali je območje nove PC tudi območje tega kraka? V načrtu imamo gradnjo nove PC in ne širitve obstoječe. Kanalizacijski in </w:t>
      </w:r>
      <w:proofErr w:type="spellStart"/>
      <w:r w:rsidRPr="00D15797">
        <w:rPr>
          <w:rFonts w:ascii="Arial" w:hAnsi="Arial" w:cs="Arial"/>
          <w:color w:val="000000"/>
          <w:sz w:val="20"/>
          <w:szCs w:val="20"/>
        </w:rPr>
        <w:t>elektro</w:t>
      </w:r>
      <w:proofErr w:type="spellEnd"/>
      <w:r w:rsidRPr="00D15797">
        <w:rPr>
          <w:rFonts w:ascii="Arial" w:hAnsi="Arial" w:cs="Arial"/>
          <w:color w:val="000000"/>
          <w:sz w:val="20"/>
          <w:szCs w:val="20"/>
        </w:rPr>
        <w:t xml:space="preserve"> priključek je pomemben za funkcionalno delovanje nove PC.</w:t>
      </w:r>
    </w:p>
    <w:p w:rsidR="00D15797" w:rsidRDefault="00D15797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D7FDE" w:rsidRPr="006D7FDE" w:rsidRDefault="00D15797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6D7FDE">
        <w:rPr>
          <w:rFonts w:ascii="Arial" w:hAnsi="Arial" w:cs="Arial"/>
          <w:color w:val="0070C0"/>
          <w:sz w:val="20"/>
          <w:szCs w:val="20"/>
        </w:rPr>
        <w:t xml:space="preserve">ODGOVOR: </w:t>
      </w:r>
      <w:r w:rsidR="003426E7">
        <w:rPr>
          <w:rFonts w:ascii="Arial" w:hAnsi="Arial" w:cs="Arial"/>
          <w:color w:val="0070C0"/>
          <w:sz w:val="20"/>
          <w:szCs w:val="20"/>
        </w:rPr>
        <w:t>V okviru javnega razpisa je u</w:t>
      </w:r>
      <w:r w:rsidR="006D7FDE">
        <w:rPr>
          <w:rFonts w:ascii="Arial" w:hAnsi="Arial" w:cs="Arial"/>
          <w:color w:val="0070C0"/>
          <w:sz w:val="20"/>
          <w:szCs w:val="20"/>
        </w:rPr>
        <w:t xml:space="preserve">pravičen strošek izvedba </w:t>
      </w:r>
      <w:proofErr w:type="spellStart"/>
      <w:r w:rsidR="003426E7">
        <w:rPr>
          <w:rFonts w:ascii="Arial" w:hAnsi="Arial" w:cs="Arial"/>
          <w:color w:val="0070C0"/>
          <w:sz w:val="20"/>
          <w:szCs w:val="20"/>
        </w:rPr>
        <w:t>e</w:t>
      </w:r>
      <w:r w:rsidR="00F461AF">
        <w:rPr>
          <w:rFonts w:ascii="Arial" w:hAnsi="Arial" w:cs="Arial"/>
          <w:color w:val="0070C0"/>
          <w:sz w:val="20"/>
          <w:szCs w:val="20"/>
        </w:rPr>
        <w:t>lektro</w:t>
      </w:r>
      <w:proofErr w:type="spellEnd"/>
      <w:r w:rsidR="00F461AF">
        <w:rPr>
          <w:rFonts w:ascii="Arial" w:hAnsi="Arial" w:cs="Arial"/>
          <w:color w:val="0070C0"/>
          <w:sz w:val="20"/>
          <w:szCs w:val="20"/>
        </w:rPr>
        <w:t xml:space="preserve"> povezave</w:t>
      </w:r>
      <w:r w:rsidR="006D7FDE" w:rsidRPr="006D7FDE">
        <w:rPr>
          <w:rFonts w:ascii="Arial" w:hAnsi="Arial" w:cs="Arial"/>
          <w:color w:val="0070C0"/>
          <w:sz w:val="20"/>
          <w:szCs w:val="20"/>
        </w:rPr>
        <w:t xml:space="preserve"> do obstoječe </w:t>
      </w:r>
      <w:proofErr w:type="spellStart"/>
      <w:r w:rsidR="006D7FDE" w:rsidRPr="006D7FDE">
        <w:rPr>
          <w:rFonts w:ascii="Arial" w:hAnsi="Arial" w:cs="Arial"/>
          <w:color w:val="0070C0"/>
          <w:sz w:val="20"/>
          <w:szCs w:val="20"/>
        </w:rPr>
        <w:t>trafo</w:t>
      </w:r>
      <w:proofErr w:type="spellEnd"/>
      <w:r w:rsidR="006D7FDE" w:rsidRPr="006D7FDE">
        <w:rPr>
          <w:rFonts w:ascii="Arial" w:hAnsi="Arial" w:cs="Arial"/>
          <w:color w:val="0070C0"/>
          <w:sz w:val="20"/>
          <w:szCs w:val="20"/>
        </w:rPr>
        <w:t xml:space="preserve"> postaje in priključni vod kanalizacije do obstoječe jav</w:t>
      </w:r>
      <w:r w:rsidR="006D7FDE">
        <w:rPr>
          <w:rFonts w:ascii="Arial" w:hAnsi="Arial" w:cs="Arial"/>
          <w:color w:val="0070C0"/>
          <w:sz w:val="20"/>
          <w:szCs w:val="20"/>
        </w:rPr>
        <w:t xml:space="preserve">ne kanalizacije tudi v delu, ki poteka izven območja poslovne cone, ki je predmet sofinanciranja. </w:t>
      </w:r>
    </w:p>
    <w:p w:rsidR="00D15797" w:rsidRPr="00D15797" w:rsidRDefault="00D15797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15797" w:rsidRPr="005F4851" w:rsidRDefault="00D15797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797">
        <w:rPr>
          <w:rFonts w:ascii="Arial" w:hAnsi="Arial" w:cs="Arial"/>
          <w:color w:val="000000"/>
          <w:sz w:val="20"/>
          <w:szCs w:val="20"/>
        </w:rPr>
        <w:t xml:space="preserve">3. ) V razpisu je navedeno: </w:t>
      </w:r>
      <w:r w:rsidR="006D7FDE">
        <w:rPr>
          <w:rFonts w:ascii="Arial" w:hAnsi="Arial" w:cs="Arial"/>
          <w:color w:val="000000"/>
          <w:sz w:val="20"/>
          <w:szCs w:val="20"/>
        </w:rPr>
        <w:t>»</w:t>
      </w:r>
      <w:r w:rsidRPr="00D15797">
        <w:rPr>
          <w:rFonts w:ascii="Arial" w:hAnsi="Arial" w:cs="Arial"/>
          <w:color w:val="000000"/>
          <w:sz w:val="20"/>
          <w:szCs w:val="20"/>
        </w:rPr>
        <w:t>Za PC se v nobenem primeru na šteje posamezna stavba, četudi je namenjena opravljanju gospodarske dejavnosti.</w:t>
      </w:r>
      <w:r w:rsidR="006D7FDE">
        <w:rPr>
          <w:rFonts w:ascii="Arial" w:hAnsi="Arial" w:cs="Arial"/>
          <w:color w:val="000000"/>
          <w:sz w:val="20"/>
          <w:szCs w:val="20"/>
        </w:rPr>
        <w:t>«</w:t>
      </w:r>
      <w:r w:rsidRPr="00D15797">
        <w:rPr>
          <w:rFonts w:ascii="Arial" w:hAnsi="Arial" w:cs="Arial"/>
          <w:color w:val="000000"/>
          <w:sz w:val="20"/>
          <w:szCs w:val="20"/>
        </w:rPr>
        <w:t xml:space="preserve"> Na eni izmed načrtovanih PC, načrtuje investitor postaviti en objekt, kjer bo obratovalo podjetje iz kategorije MSP. V kolikor bo zahtevanih več stavb, se bo načrtovalo več stavb. Prosimo za odgovor ali je gradnja enega objekta na opremljeni novi PC upravičen namen na razpisu.</w:t>
      </w:r>
    </w:p>
    <w:p w:rsidR="007E27BC" w:rsidRDefault="007E27BC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40A4" w:rsidRDefault="006D7FDE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6D7FDE">
        <w:rPr>
          <w:rFonts w:ascii="Arial" w:hAnsi="Arial" w:cs="Arial"/>
          <w:color w:val="0070C0"/>
          <w:sz w:val="20"/>
          <w:szCs w:val="20"/>
        </w:rPr>
        <w:t xml:space="preserve">ODGOVOR: </w:t>
      </w:r>
      <w:r w:rsidR="003840A4">
        <w:rPr>
          <w:rFonts w:ascii="Arial" w:hAnsi="Arial" w:cs="Arial"/>
          <w:color w:val="0070C0"/>
          <w:sz w:val="20"/>
          <w:szCs w:val="20"/>
        </w:rPr>
        <w:t xml:space="preserve">Citirana določba se nanaša na primer revitalizacije obstoječih con, ko so v obstoječi coni že  zgrajeni poslovni objekti. Za primer razširitve </w:t>
      </w:r>
      <w:r w:rsidR="007E29EA">
        <w:rPr>
          <w:rFonts w:ascii="Arial" w:hAnsi="Arial" w:cs="Arial"/>
          <w:color w:val="0070C0"/>
          <w:sz w:val="20"/>
          <w:szCs w:val="20"/>
        </w:rPr>
        <w:t xml:space="preserve">poslovne cone </w:t>
      </w:r>
      <w:r w:rsidR="003840A4">
        <w:rPr>
          <w:rFonts w:ascii="Arial" w:hAnsi="Arial" w:cs="Arial"/>
          <w:color w:val="0070C0"/>
          <w:sz w:val="20"/>
          <w:szCs w:val="20"/>
        </w:rPr>
        <w:t xml:space="preserve">ter izgradnje novih poslovnih con določba ni relevantna. </w:t>
      </w:r>
    </w:p>
    <w:p w:rsidR="00D256F7" w:rsidRPr="004632D6" w:rsidRDefault="00D256F7" w:rsidP="00F461AF">
      <w:pPr>
        <w:jc w:val="both"/>
        <w:rPr>
          <w:rFonts w:ascii="Arial" w:hAnsi="Arial" w:cs="Arial"/>
          <w:color w:val="0070C0"/>
          <w:sz w:val="20"/>
          <w:szCs w:val="20"/>
        </w:rPr>
      </w:pPr>
    </w:p>
    <w:sectPr w:rsidR="00D256F7" w:rsidRPr="004632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DE" w:rsidRDefault="006D7FDE" w:rsidP="007E27BC">
      <w:pPr>
        <w:spacing w:after="0" w:line="240" w:lineRule="auto"/>
      </w:pPr>
      <w:r>
        <w:separator/>
      </w:r>
    </w:p>
  </w:endnote>
  <w:endnote w:type="continuationSeparator" w:id="0">
    <w:p w:rsidR="006D7FDE" w:rsidRDefault="006D7FDE" w:rsidP="007E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DE" w:rsidRDefault="006D7FDE" w:rsidP="007E27BC">
      <w:pPr>
        <w:spacing w:after="0" w:line="240" w:lineRule="auto"/>
      </w:pPr>
      <w:r>
        <w:separator/>
      </w:r>
    </w:p>
  </w:footnote>
  <w:footnote w:type="continuationSeparator" w:id="0">
    <w:p w:rsidR="006D7FDE" w:rsidRDefault="006D7FDE" w:rsidP="007E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DE" w:rsidRDefault="003B1707">
    <w:pPr>
      <w:pStyle w:val="Glava"/>
    </w:pPr>
    <w:r>
      <w:rPr>
        <w:noProof/>
        <w:lang w:eastAsia="sl-SI"/>
      </w:rPr>
      <w:drawing>
        <wp:inline distT="0" distB="0" distL="0" distR="0" wp14:anchorId="1A7AE2F5">
          <wp:extent cx="3028315" cy="476250"/>
          <wp:effectExtent l="0" t="0" r="63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3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Times New Roman" w:hAnsi="Arial" w:cs="Times New Roman"/>
        <w:noProof/>
        <w:szCs w:val="24"/>
        <w:lang w:eastAsia="sl-SI"/>
      </w:rPr>
      <w:drawing>
        <wp:inline distT="0" distB="0" distL="0" distR="0">
          <wp:extent cx="2164080" cy="682625"/>
          <wp:effectExtent l="0" t="0" r="7620" b="317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3283"/>
    <w:multiLevelType w:val="multilevel"/>
    <w:tmpl w:val="9014DB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27AB75C4"/>
    <w:multiLevelType w:val="hybridMultilevel"/>
    <w:tmpl w:val="4FC0CFF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746FC"/>
    <w:multiLevelType w:val="hybridMultilevel"/>
    <w:tmpl w:val="F2541502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CE566D"/>
    <w:multiLevelType w:val="hybridMultilevel"/>
    <w:tmpl w:val="120E02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14" w:hanging="360"/>
      </w:pPr>
    </w:lvl>
    <w:lvl w:ilvl="2" w:tplc="0424001B" w:tentative="1">
      <w:start w:val="1"/>
      <w:numFmt w:val="lowerRoman"/>
      <w:lvlText w:val="%3."/>
      <w:lvlJc w:val="right"/>
      <w:pPr>
        <w:ind w:left="1734" w:hanging="180"/>
      </w:pPr>
    </w:lvl>
    <w:lvl w:ilvl="3" w:tplc="0424000F" w:tentative="1">
      <w:start w:val="1"/>
      <w:numFmt w:val="decimal"/>
      <w:lvlText w:val="%4."/>
      <w:lvlJc w:val="left"/>
      <w:pPr>
        <w:ind w:left="2454" w:hanging="360"/>
      </w:pPr>
    </w:lvl>
    <w:lvl w:ilvl="4" w:tplc="04240019" w:tentative="1">
      <w:start w:val="1"/>
      <w:numFmt w:val="lowerLetter"/>
      <w:lvlText w:val="%5."/>
      <w:lvlJc w:val="left"/>
      <w:pPr>
        <w:ind w:left="3174" w:hanging="360"/>
      </w:pPr>
    </w:lvl>
    <w:lvl w:ilvl="5" w:tplc="0424001B" w:tentative="1">
      <w:start w:val="1"/>
      <w:numFmt w:val="lowerRoman"/>
      <w:lvlText w:val="%6."/>
      <w:lvlJc w:val="right"/>
      <w:pPr>
        <w:ind w:left="3894" w:hanging="180"/>
      </w:pPr>
    </w:lvl>
    <w:lvl w:ilvl="6" w:tplc="0424000F" w:tentative="1">
      <w:start w:val="1"/>
      <w:numFmt w:val="decimal"/>
      <w:lvlText w:val="%7."/>
      <w:lvlJc w:val="left"/>
      <w:pPr>
        <w:ind w:left="4614" w:hanging="360"/>
      </w:pPr>
    </w:lvl>
    <w:lvl w:ilvl="7" w:tplc="04240019" w:tentative="1">
      <w:start w:val="1"/>
      <w:numFmt w:val="lowerLetter"/>
      <w:lvlText w:val="%8."/>
      <w:lvlJc w:val="left"/>
      <w:pPr>
        <w:ind w:left="5334" w:hanging="360"/>
      </w:pPr>
    </w:lvl>
    <w:lvl w:ilvl="8" w:tplc="0424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47246988"/>
    <w:multiLevelType w:val="hybridMultilevel"/>
    <w:tmpl w:val="B2E0F1CA"/>
    <w:lvl w:ilvl="0" w:tplc="A9C80E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D3699"/>
    <w:multiLevelType w:val="multilevel"/>
    <w:tmpl w:val="779AB76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BC"/>
    <w:rsid w:val="00007033"/>
    <w:rsid w:val="00136668"/>
    <w:rsid w:val="0016427C"/>
    <w:rsid w:val="001776D6"/>
    <w:rsid w:val="001970A1"/>
    <w:rsid w:val="001A3279"/>
    <w:rsid w:val="001B2D00"/>
    <w:rsid w:val="001C45BC"/>
    <w:rsid w:val="001E3960"/>
    <w:rsid w:val="00212085"/>
    <w:rsid w:val="00214751"/>
    <w:rsid w:val="0025457A"/>
    <w:rsid w:val="00284D44"/>
    <w:rsid w:val="002A6FA7"/>
    <w:rsid w:val="002B6330"/>
    <w:rsid w:val="00307A43"/>
    <w:rsid w:val="00312071"/>
    <w:rsid w:val="00323078"/>
    <w:rsid w:val="003329D8"/>
    <w:rsid w:val="003426E7"/>
    <w:rsid w:val="003801EE"/>
    <w:rsid w:val="003840A4"/>
    <w:rsid w:val="003A2AC6"/>
    <w:rsid w:val="003B1707"/>
    <w:rsid w:val="003D409E"/>
    <w:rsid w:val="004632D6"/>
    <w:rsid w:val="004836B4"/>
    <w:rsid w:val="00491B0B"/>
    <w:rsid w:val="00495562"/>
    <w:rsid w:val="004A5B2D"/>
    <w:rsid w:val="004F5DB3"/>
    <w:rsid w:val="00540C2F"/>
    <w:rsid w:val="0058671C"/>
    <w:rsid w:val="005B0B48"/>
    <w:rsid w:val="005D4C1A"/>
    <w:rsid w:val="005E2B26"/>
    <w:rsid w:val="005F4851"/>
    <w:rsid w:val="00650F7B"/>
    <w:rsid w:val="00651BAF"/>
    <w:rsid w:val="00657A10"/>
    <w:rsid w:val="00670EFC"/>
    <w:rsid w:val="00675854"/>
    <w:rsid w:val="00690B10"/>
    <w:rsid w:val="006922B2"/>
    <w:rsid w:val="006A045A"/>
    <w:rsid w:val="006A2A55"/>
    <w:rsid w:val="006A3404"/>
    <w:rsid w:val="006A6F25"/>
    <w:rsid w:val="006C6A63"/>
    <w:rsid w:val="006C6EE8"/>
    <w:rsid w:val="006D7FDE"/>
    <w:rsid w:val="00744D60"/>
    <w:rsid w:val="00744F0D"/>
    <w:rsid w:val="00745C51"/>
    <w:rsid w:val="007A2866"/>
    <w:rsid w:val="007B588E"/>
    <w:rsid w:val="007C4723"/>
    <w:rsid w:val="007C67BC"/>
    <w:rsid w:val="007D2B0A"/>
    <w:rsid w:val="007E27BC"/>
    <w:rsid w:val="007E29EA"/>
    <w:rsid w:val="007F5020"/>
    <w:rsid w:val="008100F5"/>
    <w:rsid w:val="00823EB0"/>
    <w:rsid w:val="008367FE"/>
    <w:rsid w:val="00874A0B"/>
    <w:rsid w:val="008B39AE"/>
    <w:rsid w:val="008C05E0"/>
    <w:rsid w:val="008E6475"/>
    <w:rsid w:val="008F77BA"/>
    <w:rsid w:val="00900EB9"/>
    <w:rsid w:val="00915463"/>
    <w:rsid w:val="00936849"/>
    <w:rsid w:val="009669B3"/>
    <w:rsid w:val="00966C29"/>
    <w:rsid w:val="009742E9"/>
    <w:rsid w:val="0097632A"/>
    <w:rsid w:val="009771EE"/>
    <w:rsid w:val="009A5065"/>
    <w:rsid w:val="009D0119"/>
    <w:rsid w:val="009D0D69"/>
    <w:rsid w:val="009F496B"/>
    <w:rsid w:val="00A218F0"/>
    <w:rsid w:val="00A31250"/>
    <w:rsid w:val="00A34E48"/>
    <w:rsid w:val="00A36000"/>
    <w:rsid w:val="00A822C0"/>
    <w:rsid w:val="00AA39ED"/>
    <w:rsid w:val="00AB0AA1"/>
    <w:rsid w:val="00AB6366"/>
    <w:rsid w:val="00B01D32"/>
    <w:rsid w:val="00B07A2B"/>
    <w:rsid w:val="00B20F9C"/>
    <w:rsid w:val="00B718D0"/>
    <w:rsid w:val="00C00028"/>
    <w:rsid w:val="00C00277"/>
    <w:rsid w:val="00C2482F"/>
    <w:rsid w:val="00C54DF6"/>
    <w:rsid w:val="00C63B0B"/>
    <w:rsid w:val="00CC40E3"/>
    <w:rsid w:val="00D15797"/>
    <w:rsid w:val="00D256F7"/>
    <w:rsid w:val="00D532AB"/>
    <w:rsid w:val="00D726B8"/>
    <w:rsid w:val="00D911BA"/>
    <w:rsid w:val="00DC55A0"/>
    <w:rsid w:val="00DF43D8"/>
    <w:rsid w:val="00E02FB8"/>
    <w:rsid w:val="00E31E29"/>
    <w:rsid w:val="00E37EAC"/>
    <w:rsid w:val="00E50AEF"/>
    <w:rsid w:val="00E7400F"/>
    <w:rsid w:val="00E7505B"/>
    <w:rsid w:val="00EB106A"/>
    <w:rsid w:val="00EB78D2"/>
    <w:rsid w:val="00EB7F76"/>
    <w:rsid w:val="00EC58C8"/>
    <w:rsid w:val="00EF7605"/>
    <w:rsid w:val="00F016BA"/>
    <w:rsid w:val="00F36674"/>
    <w:rsid w:val="00F4429E"/>
    <w:rsid w:val="00F461AF"/>
    <w:rsid w:val="00F704A2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0C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E27BC"/>
  </w:style>
  <w:style w:type="paragraph" w:styleId="Noga">
    <w:name w:val="footer"/>
    <w:basedOn w:val="Navaden"/>
    <w:link w:val="NogaZnak"/>
    <w:uiPriority w:val="99"/>
    <w:unhideWhenUsed/>
    <w:rsid w:val="007E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27BC"/>
  </w:style>
  <w:style w:type="paragraph" w:styleId="Odstavekseznama">
    <w:name w:val="List Paragraph"/>
    <w:basedOn w:val="Navaden"/>
    <w:link w:val="OdstavekseznamaZnak"/>
    <w:uiPriority w:val="34"/>
    <w:qFormat/>
    <w:rsid w:val="007E27BC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7E27BC"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A218F0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A218F0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aliases w:val="Footnote symbol"/>
    <w:basedOn w:val="Privzetapisavaodstavka"/>
    <w:uiPriority w:val="99"/>
    <w:semiHidden/>
    <w:unhideWhenUsed/>
    <w:rsid w:val="00A218F0"/>
    <w:rPr>
      <w:vertAlign w:val="superscript"/>
    </w:rPr>
  </w:style>
  <w:style w:type="character" w:customStyle="1" w:styleId="TEKSTZnak">
    <w:name w:val="TEKST Znak"/>
    <w:basedOn w:val="Privzetapisavaodstavka"/>
    <w:link w:val="TEKST"/>
    <w:locked/>
    <w:rsid w:val="006C6EE8"/>
    <w:rPr>
      <w:rFonts w:ascii="Trebuchet MS" w:eastAsia="Times New Roman" w:hAnsi="Trebuchet MS"/>
      <w:lang w:eastAsia="sl-SI"/>
    </w:rPr>
  </w:style>
  <w:style w:type="paragraph" w:customStyle="1" w:styleId="TEKST">
    <w:name w:val="TEKST"/>
    <w:basedOn w:val="Navaden"/>
    <w:link w:val="TEKSTZnak"/>
    <w:rsid w:val="006C6EE8"/>
    <w:pPr>
      <w:spacing w:after="0"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mrea">
    <w:name w:val="Table Grid"/>
    <w:basedOn w:val="Navadnatabela"/>
    <w:rsid w:val="001C45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1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0C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E27BC"/>
  </w:style>
  <w:style w:type="paragraph" w:styleId="Noga">
    <w:name w:val="footer"/>
    <w:basedOn w:val="Navaden"/>
    <w:link w:val="NogaZnak"/>
    <w:uiPriority w:val="99"/>
    <w:unhideWhenUsed/>
    <w:rsid w:val="007E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27BC"/>
  </w:style>
  <w:style w:type="paragraph" w:styleId="Odstavekseznama">
    <w:name w:val="List Paragraph"/>
    <w:basedOn w:val="Navaden"/>
    <w:link w:val="OdstavekseznamaZnak"/>
    <w:uiPriority w:val="34"/>
    <w:qFormat/>
    <w:rsid w:val="007E27BC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7E27BC"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A218F0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A218F0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aliases w:val="Footnote symbol"/>
    <w:basedOn w:val="Privzetapisavaodstavka"/>
    <w:uiPriority w:val="99"/>
    <w:semiHidden/>
    <w:unhideWhenUsed/>
    <w:rsid w:val="00A218F0"/>
    <w:rPr>
      <w:vertAlign w:val="superscript"/>
    </w:rPr>
  </w:style>
  <w:style w:type="character" w:customStyle="1" w:styleId="TEKSTZnak">
    <w:name w:val="TEKST Znak"/>
    <w:basedOn w:val="Privzetapisavaodstavka"/>
    <w:link w:val="TEKST"/>
    <w:locked/>
    <w:rsid w:val="006C6EE8"/>
    <w:rPr>
      <w:rFonts w:ascii="Trebuchet MS" w:eastAsia="Times New Roman" w:hAnsi="Trebuchet MS"/>
      <w:lang w:eastAsia="sl-SI"/>
    </w:rPr>
  </w:style>
  <w:style w:type="paragraph" w:customStyle="1" w:styleId="TEKST">
    <w:name w:val="TEKST"/>
    <w:basedOn w:val="Navaden"/>
    <w:link w:val="TEKSTZnak"/>
    <w:rsid w:val="006C6EE8"/>
    <w:pPr>
      <w:spacing w:after="0"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mrea">
    <w:name w:val="Table Grid"/>
    <w:basedOn w:val="Navadnatabela"/>
    <w:rsid w:val="001C45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1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71F987-619A-4B3C-96D0-E85439D0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Laznik</dc:creator>
  <cp:lastModifiedBy>Jernej Prevc</cp:lastModifiedBy>
  <cp:revision>2</cp:revision>
  <cp:lastPrinted>2023-08-18T07:04:00Z</cp:lastPrinted>
  <dcterms:created xsi:type="dcterms:W3CDTF">2023-08-18T09:18:00Z</dcterms:created>
  <dcterms:modified xsi:type="dcterms:W3CDTF">2023-08-18T09:18:00Z</dcterms:modified>
</cp:coreProperties>
</file>