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BBBD" w14:textId="77777777" w:rsidR="007E27BC" w:rsidRPr="005F4851" w:rsidRDefault="007E27BC" w:rsidP="007E27BC">
      <w:pPr>
        <w:autoSpaceDE w:val="0"/>
        <w:autoSpaceDN w:val="0"/>
        <w:adjustRightInd w:val="0"/>
        <w:spacing w:after="0" w:line="240" w:lineRule="auto"/>
        <w:rPr>
          <w:sz w:val="20"/>
          <w:szCs w:val="20"/>
        </w:rPr>
      </w:pPr>
    </w:p>
    <w:p w14:paraId="47B542C3" w14:textId="77777777" w:rsidR="007E27BC" w:rsidRPr="005F4851" w:rsidRDefault="007E27BC" w:rsidP="007E27BC">
      <w:pPr>
        <w:autoSpaceDE w:val="0"/>
        <w:autoSpaceDN w:val="0"/>
        <w:adjustRightInd w:val="0"/>
        <w:spacing w:after="0" w:line="240" w:lineRule="auto"/>
        <w:jc w:val="center"/>
        <w:rPr>
          <w:sz w:val="20"/>
          <w:szCs w:val="20"/>
        </w:rPr>
      </w:pPr>
    </w:p>
    <w:p w14:paraId="0FCF0B7C" w14:textId="6DF5115C" w:rsidR="007E27BC" w:rsidRPr="005F4851" w:rsidRDefault="007E27BC" w:rsidP="007E27BC">
      <w:pPr>
        <w:autoSpaceDE w:val="0"/>
        <w:autoSpaceDN w:val="0"/>
        <w:adjustRightInd w:val="0"/>
        <w:spacing w:after="0" w:line="240" w:lineRule="auto"/>
        <w:jc w:val="center"/>
        <w:rPr>
          <w:sz w:val="24"/>
          <w:szCs w:val="24"/>
        </w:rPr>
      </w:pPr>
      <w:r w:rsidRPr="005F4851">
        <w:rPr>
          <w:rFonts w:ascii="Arial" w:hAnsi="Arial" w:cs="Arial"/>
          <w:b/>
          <w:color w:val="000000"/>
          <w:sz w:val="24"/>
          <w:szCs w:val="24"/>
        </w:rPr>
        <w:t>VPRAŠANJA IN ODGOVORI</w:t>
      </w:r>
      <w:r w:rsidR="0005744B">
        <w:rPr>
          <w:rFonts w:ascii="Arial" w:hAnsi="Arial" w:cs="Arial"/>
          <w:b/>
          <w:color w:val="000000"/>
          <w:sz w:val="24"/>
          <w:szCs w:val="24"/>
        </w:rPr>
        <w:t xml:space="preserve"> –</w:t>
      </w:r>
      <w:r w:rsidR="00A20C85">
        <w:rPr>
          <w:rFonts w:ascii="Arial" w:hAnsi="Arial" w:cs="Arial"/>
          <w:b/>
          <w:color w:val="000000"/>
          <w:sz w:val="24"/>
          <w:szCs w:val="24"/>
        </w:rPr>
        <w:t xml:space="preserve"> </w:t>
      </w:r>
      <w:r w:rsidR="0067113B">
        <w:rPr>
          <w:rFonts w:ascii="Arial" w:hAnsi="Arial" w:cs="Arial"/>
          <w:b/>
          <w:color w:val="000000"/>
          <w:sz w:val="24"/>
          <w:szCs w:val="24"/>
        </w:rPr>
        <w:t>2</w:t>
      </w:r>
    </w:p>
    <w:p w14:paraId="14F842F4" w14:textId="77777777" w:rsidR="007E27BC" w:rsidRPr="005F4851" w:rsidRDefault="007E27BC" w:rsidP="007E27BC">
      <w:pPr>
        <w:autoSpaceDE w:val="0"/>
        <w:autoSpaceDN w:val="0"/>
        <w:adjustRightInd w:val="0"/>
        <w:spacing w:after="0" w:line="240" w:lineRule="auto"/>
        <w:jc w:val="center"/>
        <w:rPr>
          <w:rFonts w:ascii="Arial" w:hAnsi="Arial" w:cs="Arial"/>
          <w:sz w:val="24"/>
          <w:szCs w:val="24"/>
        </w:rPr>
      </w:pPr>
    </w:p>
    <w:p w14:paraId="132D593E" w14:textId="3BBF83A6" w:rsidR="003B1707" w:rsidRDefault="003B1707" w:rsidP="003B1707">
      <w:pPr>
        <w:spacing w:after="0" w:line="240" w:lineRule="auto"/>
        <w:jc w:val="both"/>
        <w:rPr>
          <w:rFonts w:ascii="Arial" w:eastAsia="Times New Roman" w:hAnsi="Arial" w:cs="Arial"/>
          <w:lang w:bidi="en-US"/>
        </w:rPr>
      </w:pPr>
      <w:r w:rsidRPr="003B1707">
        <w:rPr>
          <w:rFonts w:ascii="Arial" w:eastAsia="Times New Roman" w:hAnsi="Arial" w:cs="Arial"/>
          <w:lang w:bidi="en-US"/>
        </w:rPr>
        <w:t xml:space="preserve">Javni razpis za sofinanciranje projektov izgradnje ekonomsko-poslovne infrastrukture </w:t>
      </w:r>
      <w:r w:rsidR="004E7222">
        <w:rPr>
          <w:rFonts w:ascii="Arial" w:eastAsia="Times New Roman" w:hAnsi="Arial" w:cs="Arial"/>
          <w:lang w:bidi="en-US"/>
        </w:rPr>
        <w:t xml:space="preserve">podjetniških inkubatorjev) </w:t>
      </w:r>
      <w:r w:rsidRPr="003B1707">
        <w:rPr>
          <w:rFonts w:ascii="Arial" w:eastAsia="Times New Roman" w:hAnsi="Arial" w:cs="Arial"/>
          <w:lang w:bidi="en-US"/>
        </w:rPr>
        <w:t xml:space="preserve">v </w:t>
      </w:r>
      <w:r w:rsidR="004E7222">
        <w:rPr>
          <w:rFonts w:ascii="Arial" w:eastAsia="Times New Roman" w:hAnsi="Arial" w:cs="Arial"/>
          <w:lang w:bidi="en-US"/>
        </w:rPr>
        <w:t xml:space="preserve">Savinjsko-Šaleški </w:t>
      </w:r>
      <w:r w:rsidRPr="003B1707">
        <w:rPr>
          <w:rFonts w:ascii="Arial" w:eastAsia="Times New Roman" w:hAnsi="Arial" w:cs="Arial"/>
          <w:lang w:bidi="en-US"/>
        </w:rPr>
        <w:t>premogovni regiji v okviru Sklada za pravični prehod v obdobju 202</w:t>
      </w:r>
      <w:r w:rsidR="00401E84">
        <w:rPr>
          <w:rFonts w:ascii="Arial" w:eastAsia="Times New Roman" w:hAnsi="Arial" w:cs="Arial"/>
          <w:lang w:bidi="en-US"/>
        </w:rPr>
        <w:t>5</w:t>
      </w:r>
      <w:r w:rsidRPr="003B1707">
        <w:rPr>
          <w:rFonts w:ascii="Arial" w:eastAsia="Times New Roman" w:hAnsi="Arial" w:cs="Arial"/>
          <w:lang w:bidi="en-US"/>
        </w:rPr>
        <w:t>-202</w:t>
      </w:r>
      <w:r w:rsidR="00401E84">
        <w:rPr>
          <w:rFonts w:ascii="Arial" w:eastAsia="Times New Roman" w:hAnsi="Arial" w:cs="Arial"/>
          <w:lang w:bidi="en-US"/>
        </w:rPr>
        <w:t>7</w:t>
      </w:r>
    </w:p>
    <w:p w14:paraId="4DC567C1" w14:textId="77777777" w:rsidR="003B1707" w:rsidRPr="003B1707" w:rsidRDefault="003B1707" w:rsidP="003B1707">
      <w:pPr>
        <w:spacing w:after="0" w:line="240" w:lineRule="auto"/>
        <w:jc w:val="both"/>
        <w:rPr>
          <w:rFonts w:ascii="Arial" w:eastAsia="Times New Roman" w:hAnsi="Arial" w:cs="Arial"/>
          <w:lang w:bidi="en-US"/>
        </w:rPr>
      </w:pPr>
    </w:p>
    <w:p w14:paraId="292A34DA" w14:textId="77777777" w:rsidR="00D15797" w:rsidRPr="005F4851" w:rsidRDefault="00D15797" w:rsidP="007E27BC">
      <w:pPr>
        <w:autoSpaceDE w:val="0"/>
        <w:autoSpaceDN w:val="0"/>
        <w:adjustRightInd w:val="0"/>
        <w:spacing w:after="0" w:line="240" w:lineRule="auto"/>
        <w:jc w:val="center"/>
        <w:rPr>
          <w:rFonts w:ascii="Arial" w:hAnsi="Arial" w:cs="Arial"/>
          <w:sz w:val="20"/>
          <w:szCs w:val="20"/>
        </w:rPr>
      </w:pPr>
    </w:p>
    <w:p w14:paraId="533A4B96" w14:textId="2CEE687E" w:rsidR="007E27BC" w:rsidRPr="00A94ED8" w:rsidRDefault="00A20C85" w:rsidP="007E27BC">
      <w:pPr>
        <w:autoSpaceDE w:val="0"/>
        <w:autoSpaceDN w:val="0"/>
        <w:adjustRightInd w:val="0"/>
        <w:spacing w:after="0" w:line="240" w:lineRule="auto"/>
        <w:rPr>
          <w:rFonts w:ascii="Arial" w:hAnsi="Arial" w:cs="Arial"/>
          <w:color w:val="000000"/>
        </w:rPr>
      </w:pPr>
      <w:r w:rsidRPr="00A94ED8">
        <w:rPr>
          <w:rFonts w:ascii="Arial" w:hAnsi="Arial" w:cs="Arial"/>
          <w:color w:val="000000"/>
        </w:rPr>
        <w:t>Številka: 4300-</w:t>
      </w:r>
      <w:r w:rsidR="00401E84" w:rsidRPr="00A94ED8">
        <w:rPr>
          <w:rFonts w:ascii="Arial" w:hAnsi="Arial" w:cs="Arial"/>
          <w:color w:val="000000"/>
        </w:rPr>
        <w:t>2</w:t>
      </w:r>
      <w:r w:rsidRPr="00A94ED8">
        <w:rPr>
          <w:rFonts w:ascii="Arial" w:hAnsi="Arial" w:cs="Arial"/>
          <w:color w:val="000000"/>
        </w:rPr>
        <w:t>/202</w:t>
      </w:r>
      <w:r w:rsidR="00401E84" w:rsidRPr="00A94ED8">
        <w:rPr>
          <w:rFonts w:ascii="Arial" w:hAnsi="Arial" w:cs="Arial"/>
          <w:color w:val="000000"/>
        </w:rPr>
        <w:t>5</w:t>
      </w:r>
      <w:r w:rsidR="008B2008" w:rsidRPr="00A94ED8">
        <w:rPr>
          <w:rFonts w:ascii="Arial" w:hAnsi="Arial" w:cs="Arial"/>
          <w:color w:val="000000"/>
        </w:rPr>
        <w:t>-</w:t>
      </w:r>
      <w:r w:rsidR="00401E84" w:rsidRPr="00A94ED8">
        <w:rPr>
          <w:rFonts w:ascii="Arial" w:hAnsi="Arial" w:cs="Arial"/>
          <w:color w:val="000000"/>
        </w:rPr>
        <w:t>1630</w:t>
      </w:r>
      <w:r w:rsidR="008B2008" w:rsidRPr="00A94ED8">
        <w:rPr>
          <w:rFonts w:ascii="Arial" w:hAnsi="Arial" w:cs="Arial"/>
          <w:color w:val="000000"/>
        </w:rPr>
        <w:t>-</w:t>
      </w:r>
      <w:r w:rsidR="00A94ED8" w:rsidRPr="00A94ED8">
        <w:rPr>
          <w:rFonts w:ascii="Arial" w:hAnsi="Arial" w:cs="Arial"/>
          <w:color w:val="000000"/>
        </w:rPr>
        <w:t>26</w:t>
      </w:r>
    </w:p>
    <w:p w14:paraId="7E72A2C3" w14:textId="1F873022" w:rsidR="007E27BC" w:rsidRPr="00900D01" w:rsidRDefault="000728E7" w:rsidP="007E27BC">
      <w:pPr>
        <w:autoSpaceDE w:val="0"/>
        <w:autoSpaceDN w:val="0"/>
        <w:adjustRightInd w:val="0"/>
        <w:spacing w:after="0" w:line="240" w:lineRule="auto"/>
        <w:rPr>
          <w:rFonts w:ascii="Arial" w:hAnsi="Arial" w:cs="Arial"/>
          <w:color w:val="000000"/>
        </w:rPr>
      </w:pPr>
      <w:r w:rsidRPr="00A94ED8">
        <w:rPr>
          <w:rFonts w:ascii="Arial" w:hAnsi="Arial" w:cs="Arial"/>
          <w:color w:val="000000"/>
        </w:rPr>
        <w:t xml:space="preserve">Datum: </w:t>
      </w:r>
      <w:r w:rsidR="0067113B" w:rsidRPr="00A94ED8">
        <w:rPr>
          <w:rFonts w:ascii="Arial" w:hAnsi="Arial" w:cs="Arial"/>
          <w:color w:val="000000"/>
        </w:rPr>
        <w:t>23</w:t>
      </w:r>
      <w:r w:rsidR="00401E84" w:rsidRPr="00A94ED8">
        <w:rPr>
          <w:rFonts w:ascii="Arial" w:hAnsi="Arial" w:cs="Arial"/>
          <w:color w:val="000000"/>
        </w:rPr>
        <w:t>.</w:t>
      </w:r>
      <w:r w:rsidR="0064476A" w:rsidRPr="00A94ED8">
        <w:rPr>
          <w:rFonts w:ascii="Arial" w:hAnsi="Arial" w:cs="Arial"/>
          <w:color w:val="000000"/>
        </w:rPr>
        <w:t xml:space="preserve"> </w:t>
      </w:r>
      <w:r w:rsidR="00401E84" w:rsidRPr="00A94ED8">
        <w:rPr>
          <w:rFonts w:ascii="Arial" w:hAnsi="Arial" w:cs="Arial"/>
          <w:color w:val="000000"/>
        </w:rPr>
        <w:t>4.</w:t>
      </w:r>
      <w:r w:rsidR="0064476A" w:rsidRPr="00A94ED8">
        <w:rPr>
          <w:rFonts w:ascii="Arial" w:hAnsi="Arial" w:cs="Arial"/>
          <w:color w:val="000000"/>
        </w:rPr>
        <w:t xml:space="preserve"> </w:t>
      </w:r>
      <w:r w:rsidR="00401E84" w:rsidRPr="00A94ED8">
        <w:rPr>
          <w:rFonts w:ascii="Arial" w:hAnsi="Arial" w:cs="Arial"/>
          <w:color w:val="000000"/>
        </w:rPr>
        <w:t>2025</w:t>
      </w:r>
    </w:p>
    <w:p w14:paraId="06A43118" w14:textId="3845D7AC" w:rsidR="00D15797" w:rsidRDefault="00D15797" w:rsidP="007E27BC">
      <w:pPr>
        <w:autoSpaceDE w:val="0"/>
        <w:autoSpaceDN w:val="0"/>
        <w:adjustRightInd w:val="0"/>
        <w:spacing w:after="0" w:line="240" w:lineRule="auto"/>
        <w:rPr>
          <w:rFonts w:ascii="Arial" w:hAnsi="Arial" w:cs="Arial"/>
          <w:color w:val="000000"/>
        </w:rPr>
      </w:pPr>
    </w:p>
    <w:p w14:paraId="3C634F33" w14:textId="77777777" w:rsidR="00900D01" w:rsidRPr="00900D01" w:rsidRDefault="00900D01" w:rsidP="007E27BC">
      <w:pPr>
        <w:autoSpaceDE w:val="0"/>
        <w:autoSpaceDN w:val="0"/>
        <w:adjustRightInd w:val="0"/>
        <w:spacing w:after="0" w:line="240" w:lineRule="auto"/>
        <w:rPr>
          <w:rFonts w:ascii="Arial" w:hAnsi="Arial" w:cs="Arial"/>
          <w:color w:val="000000"/>
        </w:rPr>
      </w:pPr>
    </w:p>
    <w:p w14:paraId="5ECFA991" w14:textId="77777777" w:rsidR="007A0763" w:rsidRDefault="000728E7" w:rsidP="007A0763">
      <w:pPr>
        <w:autoSpaceDE w:val="0"/>
        <w:autoSpaceDN w:val="0"/>
        <w:adjustRightInd w:val="0"/>
        <w:spacing w:after="0" w:line="240" w:lineRule="auto"/>
        <w:jc w:val="both"/>
        <w:rPr>
          <w:rFonts w:ascii="Arial" w:hAnsi="Arial" w:cs="Arial"/>
          <w:color w:val="000000"/>
        </w:rPr>
      </w:pPr>
      <w:r w:rsidRPr="00900D01">
        <w:rPr>
          <w:rFonts w:ascii="Arial" w:hAnsi="Arial" w:cs="Arial"/>
          <w:color w:val="000000"/>
        </w:rPr>
        <w:t xml:space="preserve">1. </w:t>
      </w:r>
      <w:bookmarkStart w:id="0" w:name="_Hlk152672040"/>
      <w:r w:rsidR="0067113B" w:rsidRPr="0067113B">
        <w:rPr>
          <w:rFonts w:ascii="Arial" w:hAnsi="Arial" w:cs="Arial"/>
          <w:color w:val="000000"/>
        </w:rPr>
        <w:t>Inkubator, umeščen v Staro elektrarno, ki predstavlja stavbo industrijske kulturne dediščine, je zaradi pogojev rekonstrukcije postavljenih s strani Zavoda za varstvo kulturne dediščine Slovenije, v neenakovrednem položaju z ostalimi inkubatorji. ZVKDS namreč pogojuje materialno ohranitev obstoječih obodnih zidov (4. stran usmeritev v prilogi) in integriranje vseh zunanjih elementov strojnih inštalacij v notranjost objekta (7. stran usmeritev v prilogi). V praksi to pomeni, da se ohranjajo obstoječe obodne stene (v pritličju debele 75 cm), poleg katerih se v notranjosti izvede nova nosilna obodna armiranobetonska stena debeline 25 cm ter namesti še ustrezna toplotna zaščita; vsi strojni elementi (</w:t>
      </w:r>
      <w:proofErr w:type="spellStart"/>
      <w:r w:rsidR="0067113B" w:rsidRPr="0067113B">
        <w:rPr>
          <w:rFonts w:ascii="Arial" w:hAnsi="Arial" w:cs="Arial"/>
          <w:color w:val="000000"/>
        </w:rPr>
        <w:t>klimati</w:t>
      </w:r>
      <w:proofErr w:type="spellEnd"/>
      <w:r w:rsidR="0067113B" w:rsidRPr="0067113B">
        <w:rPr>
          <w:rFonts w:ascii="Arial" w:hAnsi="Arial" w:cs="Arial"/>
          <w:color w:val="000000"/>
        </w:rPr>
        <w:t xml:space="preserve">, toplotne črpalke, prezračevalne naprave…), ki se pri novogradnjah umeščajo na strehe pa se morajo umestijo v notranje prostore, kar dejansko zaseda prostor, ki bi bil drugače namenjen uporabi najemnikov. Obstoječe stene in notranja tehnična prostora za zunanje strojne enote tako predstavljajo pribitek bruto površine, ki ga druge novogradnje inkubatorjev nimajo. Glede na zahtevnost objekta in način izgradnje predlagamo, da lahko pri obravnavi bruto površin upoštevamo bruto površine novogradnje, torej nove obodne armiranobetonske stene debeline 25 cm z nameščeno toplotno zaščito (izločimo torej zgolj bruto površino ohranjenih po rekonstrukciji nenosilnih obodnih sten) ter da iz obravnavane bruto površine stavbe izločimo površino tehničnega prostora za zunanje strojne elemente za zahodni del stavbe (4N) in tehničnega prostora za zunanje strojne elemente za vzhodni del stavbe (2N). </w:t>
      </w:r>
    </w:p>
    <w:p w14:paraId="572ED36F" w14:textId="42EE35D5" w:rsidR="00F91A2E" w:rsidRDefault="000728E7" w:rsidP="007A0763">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w:t>
      </w:r>
      <w:r w:rsidR="0067113B">
        <w:rPr>
          <w:rFonts w:ascii="Arial" w:hAnsi="Arial" w:cs="Arial"/>
          <w:color w:val="0070C0"/>
        </w:rPr>
        <w:t>Predmet javnega razpisa je »sofinanciranje vzpostavitve podjetniških inkubatorjev«. Javni razpis je splošen</w:t>
      </w:r>
      <w:r w:rsidR="00D5620D">
        <w:rPr>
          <w:rFonts w:ascii="Arial" w:hAnsi="Arial" w:cs="Arial"/>
          <w:color w:val="0070C0"/>
        </w:rPr>
        <w:t>,</w:t>
      </w:r>
      <w:r w:rsidR="0067113B">
        <w:rPr>
          <w:rFonts w:ascii="Arial" w:hAnsi="Arial" w:cs="Arial"/>
          <w:color w:val="0070C0"/>
        </w:rPr>
        <w:t xml:space="preserve"> zato v okviru razpisa ni možno </w:t>
      </w:r>
      <w:r w:rsidR="00F91A2E">
        <w:rPr>
          <w:rFonts w:ascii="Arial" w:hAnsi="Arial" w:cs="Arial"/>
          <w:color w:val="0070C0"/>
        </w:rPr>
        <w:t xml:space="preserve">določati </w:t>
      </w:r>
      <w:r w:rsidR="0067113B">
        <w:rPr>
          <w:rFonts w:ascii="Arial" w:hAnsi="Arial" w:cs="Arial"/>
          <w:color w:val="0070C0"/>
        </w:rPr>
        <w:t>posebnih  pogojev za projekte, pri katerih se načrtuje vzpostavitev podjetnišk</w:t>
      </w:r>
      <w:r w:rsidR="00F91A2E">
        <w:rPr>
          <w:rFonts w:ascii="Arial" w:hAnsi="Arial" w:cs="Arial"/>
          <w:color w:val="0070C0"/>
        </w:rPr>
        <w:t>ih</w:t>
      </w:r>
      <w:r w:rsidR="0067113B">
        <w:rPr>
          <w:rFonts w:ascii="Arial" w:hAnsi="Arial" w:cs="Arial"/>
          <w:color w:val="0070C0"/>
        </w:rPr>
        <w:t xml:space="preserve"> inkubatorj</w:t>
      </w:r>
      <w:r w:rsidR="00F91A2E">
        <w:rPr>
          <w:rFonts w:ascii="Arial" w:hAnsi="Arial" w:cs="Arial"/>
          <w:color w:val="0070C0"/>
        </w:rPr>
        <w:t>ev</w:t>
      </w:r>
      <w:r w:rsidR="0067113B">
        <w:rPr>
          <w:rFonts w:ascii="Arial" w:hAnsi="Arial" w:cs="Arial"/>
          <w:color w:val="0070C0"/>
        </w:rPr>
        <w:t xml:space="preserve"> v specifičnih</w:t>
      </w:r>
      <w:r w:rsidR="00D5620D">
        <w:rPr>
          <w:rFonts w:ascii="Arial" w:hAnsi="Arial" w:cs="Arial"/>
          <w:color w:val="0070C0"/>
        </w:rPr>
        <w:t xml:space="preserve"> oz. konkretnih</w:t>
      </w:r>
      <w:r w:rsidR="0067113B">
        <w:rPr>
          <w:rFonts w:ascii="Arial" w:hAnsi="Arial" w:cs="Arial"/>
          <w:color w:val="0070C0"/>
        </w:rPr>
        <w:t xml:space="preserve"> objektih</w:t>
      </w:r>
      <w:r w:rsidR="00F91A2E">
        <w:rPr>
          <w:rFonts w:ascii="Arial" w:hAnsi="Arial" w:cs="Arial"/>
          <w:color w:val="0070C0"/>
        </w:rPr>
        <w:t>. Za izračun bruto površin objekta velja torej splošno navodilo, ki je podano v odgovoru 5 pri prvem sklopu odgovorov:  B</w:t>
      </w:r>
      <w:r w:rsidR="00F91A2E" w:rsidRPr="00F91A2E">
        <w:rPr>
          <w:rFonts w:ascii="Arial" w:hAnsi="Arial" w:cs="Arial"/>
          <w:color w:val="0070C0"/>
        </w:rPr>
        <w:t>ruto tlorisna površina objekta</w:t>
      </w:r>
      <w:r w:rsidR="00F91A2E">
        <w:rPr>
          <w:rFonts w:ascii="Arial" w:hAnsi="Arial" w:cs="Arial"/>
          <w:color w:val="0070C0"/>
        </w:rPr>
        <w:t xml:space="preserve"> se</w:t>
      </w:r>
      <w:r w:rsidR="00F91A2E" w:rsidRPr="00F91A2E">
        <w:rPr>
          <w:rFonts w:ascii="Arial" w:hAnsi="Arial" w:cs="Arial"/>
          <w:color w:val="0070C0"/>
        </w:rPr>
        <w:t xml:space="preserve"> določ</w:t>
      </w:r>
      <w:r w:rsidR="00F91A2E">
        <w:rPr>
          <w:rFonts w:ascii="Arial" w:hAnsi="Arial" w:cs="Arial"/>
          <w:color w:val="0070C0"/>
        </w:rPr>
        <w:t>i</w:t>
      </w:r>
      <w:r w:rsidR="00F91A2E" w:rsidRPr="00F91A2E">
        <w:rPr>
          <w:rFonts w:ascii="Arial" w:hAnsi="Arial" w:cs="Arial"/>
          <w:color w:val="0070C0"/>
        </w:rPr>
        <w:t xml:space="preserve"> v skladu s standardom SIST ISO 9836, oziroma </w:t>
      </w:r>
      <w:r w:rsidR="00F91A2E">
        <w:rPr>
          <w:rFonts w:ascii="Arial" w:hAnsi="Arial" w:cs="Arial"/>
          <w:color w:val="0070C0"/>
        </w:rPr>
        <w:t xml:space="preserve">se </w:t>
      </w:r>
      <w:r w:rsidR="00F91A2E" w:rsidRPr="00F91A2E">
        <w:rPr>
          <w:rFonts w:ascii="Arial" w:hAnsi="Arial" w:cs="Arial"/>
          <w:color w:val="0070C0"/>
        </w:rPr>
        <w:t>izračunana ob smiselni uporabi standarda SIST ISO 9836</w:t>
      </w:r>
      <w:r w:rsidR="00F91A2E">
        <w:rPr>
          <w:rFonts w:ascii="Arial" w:hAnsi="Arial" w:cs="Arial"/>
          <w:color w:val="0070C0"/>
        </w:rPr>
        <w:t>.</w:t>
      </w:r>
    </w:p>
    <w:p w14:paraId="4420ACCF" w14:textId="549821C0" w:rsidR="00F91A2E" w:rsidRDefault="00F91A2E" w:rsidP="007A0763">
      <w:pPr>
        <w:autoSpaceDE w:val="0"/>
        <w:autoSpaceDN w:val="0"/>
        <w:adjustRightInd w:val="0"/>
        <w:spacing w:after="0" w:line="240" w:lineRule="auto"/>
        <w:jc w:val="both"/>
        <w:rPr>
          <w:rFonts w:ascii="Arial" w:hAnsi="Arial" w:cs="Arial"/>
          <w:color w:val="0070C0"/>
        </w:rPr>
      </w:pPr>
      <w:r>
        <w:rPr>
          <w:rFonts w:ascii="Arial" w:hAnsi="Arial" w:cs="Arial"/>
          <w:color w:val="0070C0"/>
        </w:rPr>
        <w:t>V primeru, da prijavitelj načrtuje vzpostavitev podjetniškega inkubatorja v objektu, v katerem je  zaradi specifik objekta (spomeniško varstvo)  ureditev površin manj ugodna oziroma predstavlja višje stroške na m2 urejenih površin inkubatorja</w:t>
      </w:r>
      <w:r w:rsidR="007A0763">
        <w:rPr>
          <w:rFonts w:ascii="Arial" w:hAnsi="Arial" w:cs="Arial"/>
          <w:color w:val="0070C0"/>
        </w:rPr>
        <w:t>,</w:t>
      </w:r>
      <w:r>
        <w:rPr>
          <w:rFonts w:ascii="Arial" w:hAnsi="Arial" w:cs="Arial"/>
          <w:color w:val="0070C0"/>
        </w:rPr>
        <w:t xml:space="preserve"> mora v investicijski dokumentaciji obrazložiti in utemeljiti odločitev za izvedbo investicije </w:t>
      </w:r>
      <w:r w:rsidR="007A0763">
        <w:rPr>
          <w:rFonts w:ascii="Arial" w:hAnsi="Arial" w:cs="Arial"/>
          <w:color w:val="0070C0"/>
        </w:rPr>
        <w:t>in dokazati smotrnost in učinkovitost</w:t>
      </w:r>
      <w:r w:rsidR="00C53A3C">
        <w:rPr>
          <w:rFonts w:ascii="Arial" w:hAnsi="Arial" w:cs="Arial"/>
          <w:color w:val="0070C0"/>
        </w:rPr>
        <w:t xml:space="preserve"> </w:t>
      </w:r>
      <w:r w:rsidR="007A0763">
        <w:rPr>
          <w:rFonts w:ascii="Arial" w:hAnsi="Arial" w:cs="Arial"/>
          <w:color w:val="0070C0"/>
        </w:rPr>
        <w:t>načrtovane investicije z upoštevanjem in ovrednotenjem razvojnih meril z vidika ciljev narodnogospodarskega, sektorskega</w:t>
      </w:r>
      <w:r w:rsidR="002B1950">
        <w:rPr>
          <w:rFonts w:ascii="Arial" w:hAnsi="Arial" w:cs="Arial"/>
          <w:color w:val="0070C0"/>
        </w:rPr>
        <w:t xml:space="preserve"> in </w:t>
      </w:r>
      <w:proofErr w:type="spellStart"/>
      <w:r w:rsidR="007A0763">
        <w:rPr>
          <w:rFonts w:ascii="Arial" w:hAnsi="Arial" w:cs="Arial"/>
          <w:color w:val="0070C0"/>
        </w:rPr>
        <w:t>okoljskega</w:t>
      </w:r>
      <w:proofErr w:type="spellEnd"/>
      <w:r w:rsidR="007A0763">
        <w:rPr>
          <w:rFonts w:ascii="Arial" w:hAnsi="Arial" w:cs="Arial"/>
          <w:color w:val="0070C0"/>
        </w:rPr>
        <w:t xml:space="preserve"> razvoja ter drugih ciljev.  </w:t>
      </w:r>
    </w:p>
    <w:p w14:paraId="06633ACA" w14:textId="77777777" w:rsidR="00F91A2E" w:rsidRDefault="00F91A2E" w:rsidP="0067113B">
      <w:pPr>
        <w:autoSpaceDE w:val="0"/>
        <w:autoSpaceDN w:val="0"/>
        <w:adjustRightInd w:val="0"/>
        <w:spacing w:after="0" w:line="240" w:lineRule="auto"/>
        <w:rPr>
          <w:rFonts w:ascii="Arial" w:hAnsi="Arial" w:cs="Arial"/>
          <w:color w:val="0070C0"/>
        </w:rPr>
      </w:pPr>
    </w:p>
    <w:p w14:paraId="08F7519F" w14:textId="32F37C18" w:rsidR="00207AFA" w:rsidRPr="00207AFA" w:rsidRDefault="00910AC5" w:rsidP="00207AFA">
      <w:pPr>
        <w:autoSpaceDE w:val="0"/>
        <w:autoSpaceDN w:val="0"/>
        <w:adjustRightInd w:val="0"/>
        <w:spacing w:after="0" w:line="240" w:lineRule="auto"/>
        <w:rPr>
          <w:rFonts w:ascii="Arial" w:hAnsi="Arial" w:cs="Arial"/>
          <w:color w:val="000000"/>
        </w:rPr>
      </w:pPr>
      <w:bookmarkStart w:id="1" w:name="_Hlk195685379"/>
      <w:r w:rsidRPr="00900D01">
        <w:rPr>
          <w:rFonts w:ascii="Arial" w:hAnsi="Arial" w:cs="Arial"/>
          <w:color w:val="000000"/>
        </w:rPr>
        <w:t>2</w:t>
      </w:r>
      <w:r w:rsidR="000728E7" w:rsidRPr="00900D01">
        <w:rPr>
          <w:rFonts w:ascii="Arial" w:hAnsi="Arial" w:cs="Arial"/>
          <w:color w:val="000000"/>
        </w:rPr>
        <w:t xml:space="preserve">. </w:t>
      </w:r>
      <w:r w:rsidR="00207AFA" w:rsidRPr="00207AFA">
        <w:rPr>
          <w:rFonts w:ascii="Arial" w:hAnsi="Arial" w:cs="Arial"/>
          <w:color w:val="000000"/>
        </w:rPr>
        <w:t>V gradbenem dovoljenju se izkazuje celotna bruto površina poenotena po vseh etažah (P+5N).</w:t>
      </w:r>
      <w:r w:rsidR="0009354F">
        <w:rPr>
          <w:rFonts w:ascii="Arial" w:hAnsi="Arial" w:cs="Arial"/>
          <w:color w:val="000000"/>
        </w:rPr>
        <w:t xml:space="preserve"> </w:t>
      </w:r>
      <w:r w:rsidR="00207AFA" w:rsidRPr="00207AFA">
        <w:rPr>
          <w:rFonts w:ascii="Arial" w:hAnsi="Arial" w:cs="Arial"/>
          <w:color w:val="000000"/>
        </w:rPr>
        <w:t>Dejanska izkoriščena bruto površina iz tehničnih prikazov DGD dokumentacije pa je manjša zaradi določenih dvovišinskih prostorov (npr. dvorana, galerija…).</w:t>
      </w:r>
    </w:p>
    <w:p w14:paraId="0E7DEA11" w14:textId="5605A2E5" w:rsidR="000728E7" w:rsidRPr="00900D01" w:rsidRDefault="0009354F" w:rsidP="00207AFA">
      <w:pPr>
        <w:autoSpaceDE w:val="0"/>
        <w:autoSpaceDN w:val="0"/>
        <w:adjustRightInd w:val="0"/>
        <w:spacing w:after="0" w:line="240" w:lineRule="auto"/>
        <w:rPr>
          <w:rFonts w:ascii="Arial" w:hAnsi="Arial" w:cs="Arial"/>
          <w:color w:val="000000"/>
        </w:rPr>
      </w:pPr>
      <w:r>
        <w:rPr>
          <w:rFonts w:ascii="Arial" w:hAnsi="Arial" w:cs="Arial"/>
          <w:color w:val="000000"/>
        </w:rPr>
        <w:t>Ali p</w:t>
      </w:r>
      <w:r w:rsidR="00207AFA" w:rsidRPr="00207AFA">
        <w:rPr>
          <w:rFonts w:ascii="Arial" w:hAnsi="Arial" w:cs="Arial"/>
          <w:color w:val="000000"/>
        </w:rPr>
        <w:t xml:space="preserve">ravilno razumemo, da lahko uporabljamo za izračun kazalnikov in meril bruto površino razvidno v tehničnih prikazih v DGD dokumentaciji, iz katerih je razvidno, da gre v določenih delih za dvoetažne prostore. </w:t>
      </w:r>
      <w:bookmarkEnd w:id="1"/>
    </w:p>
    <w:p w14:paraId="348D4A9E" w14:textId="3B76E0AB" w:rsidR="0009354F" w:rsidRDefault="000728E7" w:rsidP="00BB39A1">
      <w:pPr>
        <w:jc w:val="both"/>
        <w:rPr>
          <w:rFonts w:ascii="Arial" w:hAnsi="Arial" w:cs="Arial"/>
          <w:color w:val="0070C0"/>
        </w:rPr>
      </w:pPr>
      <w:r w:rsidRPr="00900D01">
        <w:rPr>
          <w:rFonts w:ascii="Arial" w:hAnsi="Arial" w:cs="Arial"/>
          <w:color w:val="0070C0"/>
        </w:rPr>
        <w:lastRenderedPageBreak/>
        <w:t xml:space="preserve">ODGOVOR: </w:t>
      </w:r>
      <w:r w:rsidR="0009354F">
        <w:rPr>
          <w:rFonts w:ascii="Arial" w:hAnsi="Arial" w:cs="Arial"/>
          <w:color w:val="0070C0"/>
        </w:rPr>
        <w:t xml:space="preserve">Da, pri izračunu kazalnikov se upošteva izračunana bruto površina iz DGD dokumentacije, pri čemer se za dvoetažne (in </w:t>
      </w:r>
      <w:proofErr w:type="spellStart"/>
      <w:r w:rsidR="0009354F">
        <w:rPr>
          <w:rFonts w:ascii="Arial" w:hAnsi="Arial" w:cs="Arial"/>
          <w:color w:val="0070C0"/>
        </w:rPr>
        <w:t>večetažne</w:t>
      </w:r>
      <w:proofErr w:type="spellEnd"/>
      <w:r w:rsidR="0009354F">
        <w:rPr>
          <w:rFonts w:ascii="Arial" w:hAnsi="Arial" w:cs="Arial"/>
          <w:color w:val="0070C0"/>
        </w:rPr>
        <w:t xml:space="preserve">) prostore upošteva zgolj površina ene etaže. </w:t>
      </w:r>
    </w:p>
    <w:p w14:paraId="4DB557B0" w14:textId="77777777" w:rsidR="0009354F" w:rsidRDefault="00910AC5" w:rsidP="00104F90">
      <w:pPr>
        <w:autoSpaceDE w:val="0"/>
        <w:autoSpaceDN w:val="0"/>
        <w:adjustRightInd w:val="0"/>
        <w:spacing w:after="0" w:line="240" w:lineRule="auto"/>
        <w:jc w:val="both"/>
        <w:rPr>
          <w:rFonts w:ascii="Arial" w:hAnsi="Arial" w:cs="Arial"/>
        </w:rPr>
      </w:pPr>
      <w:r w:rsidRPr="00900D01">
        <w:rPr>
          <w:rFonts w:ascii="Arial" w:hAnsi="Arial" w:cs="Arial"/>
        </w:rPr>
        <w:t xml:space="preserve">3. </w:t>
      </w:r>
      <w:r w:rsidR="0009354F" w:rsidRPr="0009354F">
        <w:rPr>
          <w:rFonts w:ascii="Arial" w:hAnsi="Arial" w:cs="Arial"/>
        </w:rPr>
        <w:t xml:space="preserve">V obrazec 1 je potrebno vpisati kazalnik učinka. Smatramo, da je pravilno, da v navedeno polje vpišemo kot kazalnik učinka kvadraturo za celoten podjetniški inkubator (podjetniške vsebine in pridružene organizacije). Prosimo za potrditev. </w:t>
      </w:r>
    </w:p>
    <w:p w14:paraId="546BD4E7" w14:textId="0AAA85F7" w:rsidR="0009354F" w:rsidRDefault="00E574B9" w:rsidP="00BB39A1">
      <w:pPr>
        <w:jc w:val="both"/>
        <w:rPr>
          <w:rFonts w:ascii="Arial" w:hAnsi="Arial" w:cs="Arial"/>
          <w:color w:val="0070C0"/>
        </w:rPr>
      </w:pPr>
      <w:r w:rsidRPr="00900D01">
        <w:rPr>
          <w:rFonts w:ascii="Arial" w:hAnsi="Arial" w:cs="Arial"/>
          <w:color w:val="0070C0"/>
        </w:rPr>
        <w:t xml:space="preserve">ODGOVOR: </w:t>
      </w:r>
      <w:r w:rsidR="0009354F">
        <w:rPr>
          <w:rFonts w:ascii="Arial" w:hAnsi="Arial" w:cs="Arial"/>
          <w:color w:val="0070C0"/>
        </w:rPr>
        <w:t>Da, za kazalnik učinka se vnese celotna bruto površina objekta, ki vključuje površine za podjetniške vsebine in pridružene organizacije.</w:t>
      </w:r>
    </w:p>
    <w:p w14:paraId="3E0C8CA0" w14:textId="77777777" w:rsidR="003A0BBB" w:rsidRDefault="002F6D4C" w:rsidP="00900D01">
      <w:pPr>
        <w:autoSpaceDE w:val="0"/>
        <w:autoSpaceDN w:val="0"/>
        <w:adjustRightInd w:val="0"/>
        <w:spacing w:after="0" w:line="240" w:lineRule="auto"/>
        <w:jc w:val="both"/>
        <w:rPr>
          <w:rFonts w:ascii="Arial" w:hAnsi="Arial" w:cs="Arial"/>
        </w:rPr>
      </w:pPr>
      <w:r w:rsidRPr="00900D01">
        <w:rPr>
          <w:rFonts w:ascii="Arial" w:hAnsi="Arial" w:cs="Arial"/>
        </w:rPr>
        <w:t xml:space="preserve">4. </w:t>
      </w:r>
      <w:r w:rsidR="003A0BBB" w:rsidRPr="003A0BBB">
        <w:rPr>
          <w:rFonts w:ascii="Arial" w:hAnsi="Arial" w:cs="Arial"/>
        </w:rPr>
        <w:t xml:space="preserve">Poslovni prostor se bo oddal v najem enemu podjetju. Znotraj tega poslovnega prostora se nahaja tudi čajna kuhinja in skupne sanitarije za osebe zaposlene v tem podjetju, ki jih lahko uporablja le najemnik in niso namenjeni skupni uporabi. Si pravilno razlagamo, da je to vse neto površina za </w:t>
      </w:r>
      <w:proofErr w:type="spellStart"/>
      <w:r w:rsidR="003A0BBB" w:rsidRPr="003A0BBB">
        <w:rPr>
          <w:rFonts w:ascii="Arial" w:hAnsi="Arial" w:cs="Arial"/>
        </w:rPr>
        <w:t>inkubirano</w:t>
      </w:r>
      <w:proofErr w:type="spellEnd"/>
      <w:r w:rsidR="003A0BBB" w:rsidRPr="003A0BBB">
        <w:rPr>
          <w:rFonts w:ascii="Arial" w:hAnsi="Arial" w:cs="Arial"/>
        </w:rPr>
        <w:t xml:space="preserve"> podjetje in gledano glede na objavljeno shemo zapade pod zeleni del?</w:t>
      </w:r>
    </w:p>
    <w:bookmarkEnd w:id="0"/>
    <w:p w14:paraId="2D671A02" w14:textId="7614209B" w:rsidR="003A0BBB" w:rsidRDefault="00D15797" w:rsidP="00312071">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ODGOVOR:</w:t>
      </w:r>
      <w:r w:rsidR="00322007" w:rsidRPr="00900D01">
        <w:rPr>
          <w:rFonts w:ascii="Arial" w:hAnsi="Arial" w:cs="Arial"/>
          <w:color w:val="0070C0"/>
        </w:rPr>
        <w:t xml:space="preserve"> </w:t>
      </w:r>
      <w:bookmarkStart w:id="2" w:name="_Hlk195688736"/>
      <w:r w:rsidR="003A0BBB">
        <w:rPr>
          <w:rFonts w:ascii="Arial" w:hAnsi="Arial" w:cs="Arial"/>
          <w:color w:val="0070C0"/>
        </w:rPr>
        <w:t xml:space="preserve">V kolikor so navedeni pomožni prostori (čajna kuhinja, sanitarije) namenjene zgolj enemu podjetju, se te površine prištevajo k površinam namenjenim za </w:t>
      </w:r>
      <w:proofErr w:type="spellStart"/>
      <w:r w:rsidR="003A0BBB">
        <w:rPr>
          <w:rFonts w:ascii="Arial" w:hAnsi="Arial" w:cs="Arial"/>
          <w:color w:val="0070C0"/>
        </w:rPr>
        <w:t>inkubirance</w:t>
      </w:r>
      <w:proofErr w:type="spellEnd"/>
      <w:r w:rsidR="003A0BBB">
        <w:rPr>
          <w:rFonts w:ascii="Arial" w:hAnsi="Arial" w:cs="Arial"/>
          <w:color w:val="0070C0"/>
        </w:rPr>
        <w:t xml:space="preserve"> </w:t>
      </w:r>
      <w:r w:rsidR="00446B19">
        <w:rPr>
          <w:rFonts w:ascii="Arial" w:hAnsi="Arial" w:cs="Arial"/>
          <w:color w:val="0070C0"/>
        </w:rPr>
        <w:t>(v shemi obarvano zeleno)</w:t>
      </w:r>
      <w:r w:rsidR="003A0BBB">
        <w:rPr>
          <w:rFonts w:ascii="Arial" w:hAnsi="Arial" w:cs="Arial"/>
          <w:color w:val="0070C0"/>
        </w:rPr>
        <w:t xml:space="preserve"> </w:t>
      </w:r>
    </w:p>
    <w:bookmarkEnd w:id="2"/>
    <w:p w14:paraId="65ACD274" w14:textId="77777777" w:rsidR="00BF29D9" w:rsidRPr="00900D01" w:rsidRDefault="00BF29D9" w:rsidP="00312071">
      <w:pPr>
        <w:autoSpaceDE w:val="0"/>
        <w:autoSpaceDN w:val="0"/>
        <w:adjustRightInd w:val="0"/>
        <w:spacing w:after="0" w:line="240" w:lineRule="auto"/>
        <w:jc w:val="both"/>
        <w:rPr>
          <w:rFonts w:ascii="Arial" w:hAnsi="Arial" w:cs="Arial"/>
          <w:color w:val="0070C0"/>
        </w:rPr>
      </w:pPr>
    </w:p>
    <w:p w14:paraId="3C2B5A51" w14:textId="77777777" w:rsidR="003A0BBB" w:rsidRDefault="00FA2FAD" w:rsidP="00900D01">
      <w:pPr>
        <w:spacing w:after="0"/>
        <w:rPr>
          <w:rFonts w:ascii="Arial" w:hAnsi="Arial" w:cs="Arial"/>
        </w:rPr>
      </w:pPr>
      <w:bookmarkStart w:id="3" w:name="_Hlk195684587"/>
      <w:r w:rsidRPr="00900D01">
        <w:rPr>
          <w:rFonts w:ascii="Arial" w:hAnsi="Arial" w:cs="Arial"/>
        </w:rPr>
        <w:t>5</w:t>
      </w:r>
      <w:r w:rsidR="00322007" w:rsidRPr="00900D01">
        <w:rPr>
          <w:rFonts w:ascii="Arial" w:hAnsi="Arial" w:cs="Arial"/>
        </w:rPr>
        <w:t xml:space="preserve">. </w:t>
      </w:r>
      <w:bookmarkStart w:id="4" w:name="_Hlk196291070"/>
      <w:r w:rsidR="003A0BBB" w:rsidRPr="003A0BBB">
        <w:rPr>
          <w:rFonts w:ascii="Arial" w:hAnsi="Arial" w:cs="Arial"/>
        </w:rPr>
        <w:t xml:space="preserve">Pri izdelavi primerjave načrtovanega projekta z vrednostjo izgradnje primerljivih objektov </w:t>
      </w:r>
      <w:bookmarkEnd w:id="4"/>
      <w:r w:rsidR="003A0BBB" w:rsidRPr="003A0BBB">
        <w:rPr>
          <w:rFonts w:ascii="Arial" w:hAnsi="Arial" w:cs="Arial"/>
        </w:rPr>
        <w:t>v Sloveniji nas zanima ali je lahko primerljivi objekt še v izgradnji ali mora biti že zaključen?</w:t>
      </w:r>
    </w:p>
    <w:bookmarkEnd w:id="3"/>
    <w:p w14:paraId="6B06FC5D" w14:textId="32818B5C" w:rsidR="003A0BBB" w:rsidRPr="003A0BBB" w:rsidRDefault="00322007" w:rsidP="00900D01">
      <w:pPr>
        <w:autoSpaceDE w:val="0"/>
        <w:autoSpaceDN w:val="0"/>
        <w:adjustRightInd w:val="0"/>
        <w:spacing w:after="0" w:line="240" w:lineRule="auto"/>
        <w:jc w:val="both"/>
        <w:rPr>
          <w:rFonts w:ascii="Arial" w:hAnsi="Arial" w:cs="Arial"/>
          <w:color w:val="0070C0"/>
        </w:rPr>
      </w:pPr>
      <w:r w:rsidRPr="003A0BBB">
        <w:rPr>
          <w:rFonts w:ascii="Arial" w:hAnsi="Arial" w:cs="Arial"/>
          <w:color w:val="0070C0"/>
        </w:rPr>
        <w:t xml:space="preserve">ODGOVOR: </w:t>
      </w:r>
      <w:r w:rsidR="003A0BBB" w:rsidRPr="003A0BBB">
        <w:rPr>
          <w:rFonts w:ascii="Arial" w:hAnsi="Arial" w:cs="Arial"/>
          <w:color w:val="0070C0"/>
        </w:rPr>
        <w:t xml:space="preserve">Pri izdelavi primerjave načrtovanega projekta z vrednostjo izgradnje primerljivih objektov </w:t>
      </w:r>
      <w:r w:rsidR="003A0BBB" w:rsidRPr="003A0BBB">
        <w:rPr>
          <w:rFonts w:ascii="Arial" w:hAnsi="Arial" w:cs="Arial"/>
          <w:color w:val="0070C0"/>
        </w:rPr>
        <w:t>je možno kot primerljivi objekt upoštevati tudi objekt, ki je v gradnji, pri čemer mora biti za objekt že potrjena investicijska dokumentacij</w:t>
      </w:r>
      <w:r w:rsidR="003A0BBB">
        <w:rPr>
          <w:rFonts w:ascii="Arial" w:hAnsi="Arial" w:cs="Arial"/>
          <w:color w:val="0070C0"/>
        </w:rPr>
        <w:t>a</w:t>
      </w:r>
      <w:r w:rsidR="003A0BBB" w:rsidRPr="003A0BBB">
        <w:rPr>
          <w:rFonts w:ascii="Arial" w:hAnsi="Arial" w:cs="Arial"/>
          <w:color w:val="0070C0"/>
        </w:rPr>
        <w:t xml:space="preserve">. </w:t>
      </w:r>
    </w:p>
    <w:p w14:paraId="78009A6C" w14:textId="77777777" w:rsidR="00CC0DD1" w:rsidRPr="00900D01" w:rsidRDefault="00CC0DD1" w:rsidP="00322007">
      <w:pPr>
        <w:autoSpaceDE w:val="0"/>
        <w:autoSpaceDN w:val="0"/>
        <w:adjustRightInd w:val="0"/>
        <w:spacing w:after="0" w:line="240" w:lineRule="auto"/>
        <w:jc w:val="both"/>
        <w:rPr>
          <w:rFonts w:ascii="Arial" w:hAnsi="Arial" w:cs="Arial"/>
          <w:color w:val="0070C0"/>
        </w:rPr>
      </w:pPr>
    </w:p>
    <w:p w14:paraId="099B48F4" w14:textId="77777777" w:rsidR="003A0BBB" w:rsidRPr="003A0BBB" w:rsidRDefault="00BF31D5" w:rsidP="003A0BBB">
      <w:pPr>
        <w:autoSpaceDE w:val="0"/>
        <w:autoSpaceDN w:val="0"/>
        <w:adjustRightInd w:val="0"/>
        <w:spacing w:after="0" w:line="240" w:lineRule="auto"/>
        <w:jc w:val="both"/>
        <w:rPr>
          <w:rFonts w:ascii="Arial" w:hAnsi="Arial" w:cs="Arial"/>
        </w:rPr>
      </w:pPr>
      <w:r w:rsidRPr="00900D01">
        <w:rPr>
          <w:rFonts w:ascii="Arial" w:hAnsi="Arial" w:cs="Arial"/>
        </w:rPr>
        <w:t>6</w:t>
      </w:r>
      <w:bookmarkStart w:id="5" w:name="_Hlk196291633"/>
      <w:r w:rsidR="00322007" w:rsidRPr="00900D01">
        <w:rPr>
          <w:rFonts w:ascii="Arial" w:hAnsi="Arial" w:cs="Arial"/>
        </w:rPr>
        <w:t xml:space="preserve">. </w:t>
      </w:r>
      <w:r w:rsidR="003A0BBB" w:rsidRPr="003A0BBB">
        <w:rPr>
          <w:rFonts w:ascii="Arial" w:hAnsi="Arial" w:cs="Arial"/>
        </w:rPr>
        <w:t>Prosim za potrditev, da razumemo prav razmejitev površin:</w:t>
      </w:r>
    </w:p>
    <w:bookmarkEnd w:id="5"/>
    <w:p w14:paraId="254A6EAA" w14:textId="77777777" w:rsidR="003A0BBB" w:rsidRPr="003A0BBB" w:rsidRDefault="003A0BBB" w:rsidP="003A0BBB">
      <w:pPr>
        <w:autoSpaceDE w:val="0"/>
        <w:autoSpaceDN w:val="0"/>
        <w:adjustRightInd w:val="0"/>
        <w:spacing w:after="0" w:line="240" w:lineRule="auto"/>
        <w:jc w:val="both"/>
        <w:rPr>
          <w:rFonts w:ascii="Arial" w:hAnsi="Arial" w:cs="Arial"/>
        </w:rPr>
      </w:pPr>
      <w:r w:rsidRPr="003A0BBB">
        <w:rPr>
          <w:rFonts w:ascii="Arial" w:hAnsi="Arial" w:cs="Arial"/>
        </w:rPr>
        <w:t>a)</w:t>
      </w:r>
      <w:r w:rsidRPr="003A0BBB">
        <w:rPr>
          <w:rFonts w:ascii="Arial" w:hAnsi="Arial" w:cs="Arial"/>
        </w:rPr>
        <w:tab/>
        <w:t>Novo urejena površina za podjetniške vsebine so na vaši shemi zelena + rumena + oranžna</w:t>
      </w:r>
    </w:p>
    <w:p w14:paraId="3384482D" w14:textId="77777777" w:rsidR="003A0BBB" w:rsidRPr="003A0BBB" w:rsidRDefault="003A0BBB" w:rsidP="003A0BBB">
      <w:pPr>
        <w:autoSpaceDE w:val="0"/>
        <w:autoSpaceDN w:val="0"/>
        <w:adjustRightInd w:val="0"/>
        <w:spacing w:after="0" w:line="240" w:lineRule="auto"/>
        <w:jc w:val="both"/>
        <w:rPr>
          <w:rFonts w:ascii="Arial" w:hAnsi="Arial" w:cs="Arial"/>
        </w:rPr>
      </w:pPr>
      <w:r w:rsidRPr="003A0BBB">
        <w:rPr>
          <w:rFonts w:ascii="Arial" w:hAnsi="Arial" w:cs="Arial"/>
        </w:rPr>
        <w:t>•</w:t>
      </w:r>
      <w:r w:rsidRPr="003A0BBB">
        <w:rPr>
          <w:rFonts w:ascii="Arial" w:hAnsi="Arial" w:cs="Arial"/>
        </w:rPr>
        <w:tab/>
      </w:r>
      <w:bookmarkStart w:id="6" w:name="_Hlk196291507"/>
      <w:r w:rsidRPr="003A0BBB">
        <w:rPr>
          <w:rFonts w:ascii="Arial" w:hAnsi="Arial" w:cs="Arial"/>
        </w:rPr>
        <w:t>Ta površine predstavlja 60% od celotnega objekta, ki je namenjena podjetniškim vsebinam (v primeru, da bo v objektu tudi fakulteta) – pogoj št 19</w:t>
      </w:r>
    </w:p>
    <w:bookmarkEnd w:id="6"/>
    <w:p w14:paraId="74D1A6B5" w14:textId="77777777" w:rsidR="003A0BBB" w:rsidRPr="003A0BBB" w:rsidRDefault="003A0BBB" w:rsidP="003A0BBB">
      <w:pPr>
        <w:autoSpaceDE w:val="0"/>
        <w:autoSpaceDN w:val="0"/>
        <w:adjustRightInd w:val="0"/>
        <w:spacing w:after="0" w:line="240" w:lineRule="auto"/>
        <w:jc w:val="both"/>
        <w:rPr>
          <w:rFonts w:ascii="Arial" w:hAnsi="Arial" w:cs="Arial"/>
        </w:rPr>
      </w:pPr>
      <w:r w:rsidRPr="003A0BBB">
        <w:rPr>
          <w:rFonts w:ascii="Arial" w:hAnsi="Arial" w:cs="Arial"/>
        </w:rPr>
        <w:t>•</w:t>
      </w:r>
      <w:r w:rsidRPr="003A0BBB">
        <w:rPr>
          <w:rFonts w:ascii="Arial" w:hAnsi="Arial" w:cs="Arial"/>
        </w:rPr>
        <w:tab/>
        <w:t>Ta površina predstavlja  pogoj št. 20</w:t>
      </w:r>
    </w:p>
    <w:p w14:paraId="76CE2080" w14:textId="77777777" w:rsidR="00B923B0" w:rsidRDefault="003A0BBB" w:rsidP="003A0BBB">
      <w:pPr>
        <w:autoSpaceDE w:val="0"/>
        <w:autoSpaceDN w:val="0"/>
        <w:adjustRightInd w:val="0"/>
        <w:spacing w:after="0" w:line="240" w:lineRule="auto"/>
        <w:jc w:val="both"/>
        <w:rPr>
          <w:rFonts w:ascii="Arial" w:hAnsi="Arial" w:cs="Arial"/>
        </w:rPr>
      </w:pPr>
      <w:r w:rsidRPr="003A0BBB">
        <w:rPr>
          <w:rFonts w:ascii="Arial" w:hAnsi="Arial" w:cs="Arial"/>
        </w:rPr>
        <w:t>•</w:t>
      </w:r>
      <w:r w:rsidRPr="003A0BBB">
        <w:rPr>
          <w:rFonts w:ascii="Arial" w:hAnsi="Arial" w:cs="Arial"/>
        </w:rPr>
        <w:tab/>
        <w:t>Na to površino se računajo kazalniki rezultata in merila</w:t>
      </w:r>
    </w:p>
    <w:p w14:paraId="079A9C42" w14:textId="77777777" w:rsidR="00C92709" w:rsidRPr="00900D01" w:rsidRDefault="00322007" w:rsidP="00322007">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w:t>
      </w:r>
    </w:p>
    <w:p w14:paraId="36200951" w14:textId="77777777" w:rsidR="00B923B0" w:rsidRDefault="00B923B0" w:rsidP="00322007">
      <w:pPr>
        <w:autoSpaceDE w:val="0"/>
        <w:autoSpaceDN w:val="0"/>
        <w:adjustRightInd w:val="0"/>
        <w:spacing w:after="0" w:line="240" w:lineRule="auto"/>
        <w:jc w:val="both"/>
        <w:rPr>
          <w:rFonts w:ascii="Arial" w:hAnsi="Arial" w:cs="Arial"/>
          <w:color w:val="0070C0"/>
        </w:rPr>
      </w:pPr>
      <w:r>
        <w:rPr>
          <w:rFonts w:ascii="Arial" w:hAnsi="Arial" w:cs="Arial"/>
          <w:color w:val="0070C0"/>
        </w:rPr>
        <w:t xml:space="preserve">Da. Prva alineja se bolj točno glasi: </w:t>
      </w:r>
      <w:r w:rsidRPr="00B923B0">
        <w:rPr>
          <w:rFonts w:ascii="Arial" w:hAnsi="Arial" w:cs="Arial"/>
          <w:color w:val="0070C0"/>
        </w:rPr>
        <w:t>Ta površine predstavlja 60% od celotnega objekta,  (v primeru, da bo v objektu tudi fakulteta) – pogoj št 19</w:t>
      </w:r>
    </w:p>
    <w:p w14:paraId="7DA4FC9E" w14:textId="77777777" w:rsidR="00BF31D5" w:rsidRPr="00900D01" w:rsidRDefault="00BF31D5" w:rsidP="00322007">
      <w:pPr>
        <w:autoSpaceDE w:val="0"/>
        <w:autoSpaceDN w:val="0"/>
        <w:adjustRightInd w:val="0"/>
        <w:spacing w:after="0" w:line="240" w:lineRule="auto"/>
        <w:jc w:val="both"/>
        <w:rPr>
          <w:rFonts w:ascii="Arial" w:hAnsi="Arial" w:cs="Arial"/>
          <w:color w:val="0070C0"/>
        </w:rPr>
      </w:pPr>
    </w:p>
    <w:p w14:paraId="3792C764" w14:textId="77777777" w:rsidR="00B923B0" w:rsidRDefault="00BF31D5" w:rsidP="00BF31D5">
      <w:pPr>
        <w:autoSpaceDE w:val="0"/>
        <w:autoSpaceDN w:val="0"/>
        <w:adjustRightInd w:val="0"/>
        <w:spacing w:after="0" w:line="240" w:lineRule="auto"/>
        <w:jc w:val="both"/>
        <w:rPr>
          <w:rFonts w:ascii="Arial" w:hAnsi="Arial" w:cs="Arial"/>
        </w:rPr>
      </w:pPr>
      <w:r w:rsidRPr="00900D01">
        <w:rPr>
          <w:rFonts w:ascii="Arial" w:hAnsi="Arial" w:cs="Arial"/>
        </w:rPr>
        <w:t>7</w:t>
      </w:r>
      <w:r w:rsidR="00322007" w:rsidRPr="00900D01">
        <w:rPr>
          <w:rFonts w:ascii="Arial" w:hAnsi="Arial" w:cs="Arial"/>
        </w:rPr>
        <w:t xml:space="preserve">. </w:t>
      </w:r>
      <w:r w:rsidR="00B923B0" w:rsidRPr="00B923B0">
        <w:rPr>
          <w:rFonts w:ascii="Arial" w:hAnsi="Arial" w:cs="Arial"/>
        </w:rPr>
        <w:t>. Prosim za potrditev, da razumemo prav razmejitev površin:</w:t>
      </w:r>
    </w:p>
    <w:p w14:paraId="1A1F9F86" w14:textId="77777777" w:rsidR="00B923B0" w:rsidRPr="00B923B0" w:rsidRDefault="00B923B0" w:rsidP="00B923B0">
      <w:pPr>
        <w:autoSpaceDE w:val="0"/>
        <w:autoSpaceDN w:val="0"/>
        <w:adjustRightInd w:val="0"/>
        <w:spacing w:after="0" w:line="240" w:lineRule="auto"/>
        <w:jc w:val="both"/>
        <w:rPr>
          <w:rFonts w:ascii="Arial" w:hAnsi="Arial" w:cs="Arial"/>
        </w:rPr>
      </w:pPr>
      <w:r w:rsidRPr="00B923B0">
        <w:rPr>
          <w:rFonts w:ascii="Arial" w:hAnsi="Arial" w:cs="Arial"/>
        </w:rPr>
        <w:t>b)</w:t>
      </w:r>
      <w:r w:rsidRPr="00B923B0">
        <w:rPr>
          <w:rFonts w:ascii="Arial" w:hAnsi="Arial" w:cs="Arial"/>
        </w:rPr>
        <w:tab/>
        <w:t xml:space="preserve">Delež površin, namenjenih za </w:t>
      </w:r>
      <w:proofErr w:type="spellStart"/>
      <w:r w:rsidRPr="00B923B0">
        <w:rPr>
          <w:rFonts w:ascii="Arial" w:hAnsi="Arial" w:cs="Arial"/>
        </w:rPr>
        <w:t>inkubirance</w:t>
      </w:r>
      <w:proofErr w:type="spellEnd"/>
      <w:r w:rsidRPr="00B923B0">
        <w:rPr>
          <w:rFonts w:ascii="Arial" w:hAnsi="Arial" w:cs="Arial"/>
        </w:rPr>
        <w:t xml:space="preserve"> v okviru novo urejenih neto uporabnih površin podjetniškega inkubatorja je na vaši shemi zelena + oranžna</w:t>
      </w:r>
    </w:p>
    <w:p w14:paraId="494278F6" w14:textId="77777777" w:rsidR="00B923B0" w:rsidRDefault="00B923B0" w:rsidP="00B923B0">
      <w:pPr>
        <w:autoSpaceDE w:val="0"/>
        <w:autoSpaceDN w:val="0"/>
        <w:adjustRightInd w:val="0"/>
        <w:spacing w:after="0" w:line="240" w:lineRule="auto"/>
        <w:jc w:val="both"/>
        <w:rPr>
          <w:rFonts w:ascii="Arial" w:hAnsi="Arial" w:cs="Arial"/>
        </w:rPr>
      </w:pPr>
      <w:r w:rsidRPr="00B923B0">
        <w:rPr>
          <w:rFonts w:ascii="Arial" w:hAnsi="Arial" w:cs="Arial"/>
        </w:rPr>
        <w:t>•</w:t>
      </w:r>
      <w:r w:rsidRPr="00B923B0">
        <w:rPr>
          <w:rFonts w:ascii="Arial" w:hAnsi="Arial" w:cs="Arial"/>
        </w:rPr>
        <w:tab/>
        <w:t>Ta površina je relevantna samo za pogoj št. 21</w:t>
      </w:r>
    </w:p>
    <w:p w14:paraId="46BED7F7" w14:textId="1D2E6E97" w:rsidR="003F50F4" w:rsidRDefault="00322007" w:rsidP="00322007">
      <w:pPr>
        <w:autoSpaceDE w:val="0"/>
        <w:autoSpaceDN w:val="0"/>
        <w:adjustRightInd w:val="0"/>
        <w:spacing w:after="0" w:line="240" w:lineRule="auto"/>
        <w:jc w:val="both"/>
        <w:rPr>
          <w:rFonts w:ascii="Arial" w:hAnsi="Arial" w:cs="Arial"/>
          <w:color w:val="0070C0"/>
        </w:rPr>
      </w:pPr>
      <w:bookmarkStart w:id="7" w:name="_Hlk195690372"/>
      <w:r w:rsidRPr="00900D01">
        <w:rPr>
          <w:rFonts w:ascii="Arial" w:hAnsi="Arial" w:cs="Arial"/>
          <w:color w:val="0070C0"/>
        </w:rPr>
        <w:t xml:space="preserve">ODGOVOR: </w:t>
      </w:r>
      <w:r w:rsidR="00B923B0">
        <w:rPr>
          <w:rFonts w:ascii="Arial" w:hAnsi="Arial" w:cs="Arial"/>
          <w:color w:val="0070C0"/>
        </w:rPr>
        <w:t>Ne</w:t>
      </w:r>
      <w:r w:rsidR="003F50F4">
        <w:rPr>
          <w:rFonts w:ascii="Arial" w:hAnsi="Arial" w:cs="Arial"/>
          <w:color w:val="0070C0"/>
        </w:rPr>
        <w:t>.</w:t>
      </w:r>
      <w:r w:rsidR="00B923B0">
        <w:rPr>
          <w:rFonts w:ascii="Arial" w:hAnsi="Arial" w:cs="Arial"/>
          <w:color w:val="0070C0"/>
        </w:rPr>
        <w:t xml:space="preserve"> V okvir površin, namenjenih za </w:t>
      </w:r>
      <w:proofErr w:type="spellStart"/>
      <w:r w:rsidR="00B923B0">
        <w:rPr>
          <w:rFonts w:ascii="Arial" w:hAnsi="Arial" w:cs="Arial"/>
          <w:color w:val="0070C0"/>
        </w:rPr>
        <w:t>inkubirance</w:t>
      </w:r>
      <w:proofErr w:type="spellEnd"/>
      <w:r w:rsidR="00B923B0">
        <w:rPr>
          <w:rFonts w:ascii="Arial" w:hAnsi="Arial" w:cs="Arial"/>
          <w:color w:val="0070C0"/>
        </w:rPr>
        <w:t xml:space="preserve"> se prištevajo zgolj površine, ki so namenjene </w:t>
      </w:r>
      <w:r w:rsidR="003F50F4">
        <w:rPr>
          <w:rFonts w:ascii="Arial" w:hAnsi="Arial" w:cs="Arial"/>
          <w:color w:val="0070C0"/>
        </w:rPr>
        <w:t xml:space="preserve">za namestitev </w:t>
      </w:r>
      <w:proofErr w:type="spellStart"/>
      <w:r w:rsidR="003F50F4">
        <w:rPr>
          <w:rFonts w:ascii="Arial" w:hAnsi="Arial" w:cs="Arial"/>
          <w:color w:val="0070C0"/>
        </w:rPr>
        <w:t>inkubirancev</w:t>
      </w:r>
      <w:proofErr w:type="spellEnd"/>
      <w:r w:rsidR="00014704">
        <w:rPr>
          <w:rFonts w:ascii="Arial" w:hAnsi="Arial" w:cs="Arial"/>
          <w:color w:val="0070C0"/>
        </w:rPr>
        <w:t xml:space="preserve"> (v shemi označeno zeleno).</w:t>
      </w:r>
      <w:r w:rsidR="003F50F4">
        <w:rPr>
          <w:rFonts w:ascii="Arial" w:hAnsi="Arial" w:cs="Arial"/>
          <w:color w:val="0070C0"/>
        </w:rPr>
        <w:t xml:space="preserve"> Sem se ne prištevajo </w:t>
      </w:r>
      <w:bookmarkEnd w:id="7"/>
      <w:r w:rsidR="00BF31D5" w:rsidRPr="00900D01">
        <w:rPr>
          <w:rFonts w:ascii="Arial" w:hAnsi="Arial" w:cs="Arial"/>
          <w:color w:val="0070C0"/>
        </w:rPr>
        <w:t>površin</w:t>
      </w:r>
      <w:r w:rsidR="003F50F4">
        <w:rPr>
          <w:rFonts w:ascii="Arial" w:hAnsi="Arial" w:cs="Arial"/>
          <w:color w:val="0070C0"/>
        </w:rPr>
        <w:t xml:space="preserve">e za podporna podjetja/organizacije, ki nudijo podporne storitve </w:t>
      </w:r>
      <w:r w:rsidR="00014704">
        <w:rPr>
          <w:rFonts w:ascii="Arial" w:hAnsi="Arial" w:cs="Arial"/>
          <w:color w:val="0070C0"/>
        </w:rPr>
        <w:t>(podporna podjetja, sejna so</w:t>
      </w:r>
      <w:r w:rsidR="00C53A3C">
        <w:rPr>
          <w:rFonts w:ascii="Arial" w:hAnsi="Arial" w:cs="Arial"/>
          <w:color w:val="0070C0"/>
        </w:rPr>
        <w:t>b</w:t>
      </w:r>
      <w:r w:rsidR="00014704">
        <w:rPr>
          <w:rFonts w:ascii="Arial" w:hAnsi="Arial" w:cs="Arial"/>
          <w:color w:val="0070C0"/>
        </w:rPr>
        <w:t xml:space="preserve">a, </w:t>
      </w:r>
      <w:proofErr w:type="spellStart"/>
      <w:r w:rsidR="00014704">
        <w:rPr>
          <w:rFonts w:ascii="Arial" w:hAnsi="Arial" w:cs="Arial"/>
          <w:color w:val="0070C0"/>
        </w:rPr>
        <w:t>co-working</w:t>
      </w:r>
      <w:proofErr w:type="spellEnd"/>
      <w:r w:rsidR="00014704">
        <w:rPr>
          <w:rFonts w:ascii="Arial" w:hAnsi="Arial" w:cs="Arial"/>
          <w:color w:val="0070C0"/>
        </w:rPr>
        <w:t>, laboratorij, upravljavec</w:t>
      </w:r>
      <w:r w:rsidR="00C53A3C">
        <w:rPr>
          <w:rFonts w:ascii="Arial" w:hAnsi="Arial" w:cs="Arial"/>
          <w:color w:val="0070C0"/>
        </w:rPr>
        <w:t xml:space="preserve"> - </w:t>
      </w:r>
      <w:r w:rsidR="00014704">
        <w:rPr>
          <w:rFonts w:ascii="Arial" w:hAnsi="Arial" w:cs="Arial"/>
          <w:color w:val="0070C0"/>
        </w:rPr>
        <w:t xml:space="preserve">v shemi označeno oranžno). Pogoj št. 21 določa delež površin namenjenih za </w:t>
      </w:r>
      <w:proofErr w:type="spellStart"/>
      <w:r w:rsidR="00014704">
        <w:rPr>
          <w:rFonts w:ascii="Arial" w:hAnsi="Arial" w:cs="Arial"/>
          <w:color w:val="0070C0"/>
        </w:rPr>
        <w:t>inkubirance</w:t>
      </w:r>
      <w:proofErr w:type="spellEnd"/>
      <w:r w:rsidR="00014704">
        <w:rPr>
          <w:rFonts w:ascii="Arial" w:hAnsi="Arial" w:cs="Arial"/>
          <w:color w:val="0070C0"/>
        </w:rPr>
        <w:t xml:space="preserve"> (60%)</w:t>
      </w:r>
      <w:r w:rsidR="00446B19">
        <w:rPr>
          <w:rFonts w:ascii="Arial" w:hAnsi="Arial" w:cs="Arial"/>
          <w:color w:val="0070C0"/>
        </w:rPr>
        <w:t xml:space="preserve"> (v shemi označeno zeleno)</w:t>
      </w:r>
      <w:r w:rsidR="00014704">
        <w:rPr>
          <w:rFonts w:ascii="Arial" w:hAnsi="Arial" w:cs="Arial"/>
          <w:color w:val="0070C0"/>
        </w:rPr>
        <w:t xml:space="preserve"> v okviru površin za podjetniške vsebine brez  </w:t>
      </w:r>
      <w:r w:rsidR="003F50F4">
        <w:rPr>
          <w:rFonts w:ascii="Arial" w:hAnsi="Arial" w:cs="Arial"/>
          <w:color w:val="0070C0"/>
        </w:rPr>
        <w:t>skupni</w:t>
      </w:r>
      <w:r w:rsidR="00014704">
        <w:rPr>
          <w:rFonts w:ascii="Arial" w:hAnsi="Arial" w:cs="Arial"/>
          <w:color w:val="0070C0"/>
        </w:rPr>
        <w:t>h</w:t>
      </w:r>
      <w:r w:rsidR="003F50F4">
        <w:rPr>
          <w:rFonts w:ascii="Arial" w:hAnsi="Arial" w:cs="Arial"/>
          <w:color w:val="0070C0"/>
        </w:rPr>
        <w:t xml:space="preserve"> prostor</w:t>
      </w:r>
      <w:r w:rsidR="00014704">
        <w:rPr>
          <w:rFonts w:ascii="Arial" w:hAnsi="Arial" w:cs="Arial"/>
          <w:color w:val="0070C0"/>
        </w:rPr>
        <w:t>ov</w:t>
      </w:r>
      <w:r w:rsidR="003F50F4">
        <w:rPr>
          <w:rFonts w:ascii="Arial" w:hAnsi="Arial" w:cs="Arial"/>
          <w:color w:val="0070C0"/>
        </w:rPr>
        <w:t xml:space="preserve"> (hodniki, stopnišča, sanitarije</w:t>
      </w:r>
      <w:r w:rsidR="00C53A3C">
        <w:rPr>
          <w:rFonts w:ascii="Arial" w:hAnsi="Arial" w:cs="Arial"/>
          <w:color w:val="0070C0"/>
        </w:rPr>
        <w:t xml:space="preserve"> -</w:t>
      </w:r>
      <w:r w:rsidR="003F50F4">
        <w:rPr>
          <w:rFonts w:ascii="Arial" w:hAnsi="Arial" w:cs="Arial"/>
          <w:color w:val="0070C0"/>
        </w:rPr>
        <w:t xml:space="preserve"> </w:t>
      </w:r>
      <w:r w:rsidR="00C53A3C">
        <w:rPr>
          <w:rFonts w:ascii="Arial" w:hAnsi="Arial" w:cs="Arial"/>
          <w:color w:val="0070C0"/>
        </w:rPr>
        <w:t xml:space="preserve"> v shemi </w:t>
      </w:r>
      <w:r w:rsidR="00014704">
        <w:rPr>
          <w:rFonts w:ascii="Arial" w:hAnsi="Arial" w:cs="Arial"/>
          <w:color w:val="0070C0"/>
        </w:rPr>
        <w:t>označeno rumeno).</w:t>
      </w:r>
    </w:p>
    <w:p w14:paraId="3BF91236" w14:textId="77777777" w:rsidR="003F50F4" w:rsidRDefault="003F50F4" w:rsidP="00322007">
      <w:pPr>
        <w:autoSpaceDE w:val="0"/>
        <w:autoSpaceDN w:val="0"/>
        <w:adjustRightInd w:val="0"/>
        <w:spacing w:after="0" w:line="240" w:lineRule="auto"/>
        <w:jc w:val="both"/>
        <w:rPr>
          <w:rFonts w:ascii="Arial" w:hAnsi="Arial" w:cs="Arial"/>
          <w:color w:val="0070C0"/>
        </w:rPr>
      </w:pPr>
    </w:p>
    <w:p w14:paraId="0295BCBF" w14:textId="08134E30" w:rsidR="00DE684C" w:rsidRPr="00900D01" w:rsidRDefault="00DE684C" w:rsidP="00997306">
      <w:pPr>
        <w:autoSpaceDE w:val="0"/>
        <w:autoSpaceDN w:val="0"/>
        <w:adjustRightInd w:val="0"/>
        <w:spacing w:after="0" w:line="240" w:lineRule="auto"/>
        <w:jc w:val="both"/>
        <w:rPr>
          <w:rFonts w:ascii="Arial" w:hAnsi="Arial" w:cs="Arial"/>
        </w:rPr>
      </w:pPr>
      <w:r w:rsidRPr="00900D01">
        <w:rPr>
          <w:rFonts w:ascii="Arial" w:hAnsi="Arial" w:cs="Arial"/>
        </w:rPr>
        <w:t xml:space="preserve">8. </w:t>
      </w:r>
      <w:r w:rsidR="00997306" w:rsidRPr="00997306">
        <w:rPr>
          <w:rFonts w:ascii="Arial" w:hAnsi="Arial" w:cs="Arial"/>
        </w:rPr>
        <w:t>Pri pogoju št. 22 se ugotavljanje izpolnjevanja ugotavlja tudi na podlagi letnih poročil. Ali to velja za vse kazalnike rezultata in merila? Potrebno je upoštevati dejstvo, da zahtevate letna poročila januarja, AJPES objavi javne evidence maja ali junija. Prosim, če se dikcija dopolni, da ne bo prišlo do izgube 1 leta pri poročanju.</w:t>
      </w:r>
    </w:p>
    <w:p w14:paraId="1B99959F" w14:textId="1FF89B6F" w:rsidR="00997306" w:rsidRDefault="00565866" w:rsidP="00DE684C">
      <w:pPr>
        <w:autoSpaceDE w:val="0"/>
        <w:autoSpaceDN w:val="0"/>
        <w:adjustRightInd w:val="0"/>
        <w:spacing w:after="0" w:line="240" w:lineRule="auto"/>
        <w:jc w:val="both"/>
        <w:rPr>
          <w:rFonts w:ascii="Arial" w:hAnsi="Arial" w:cs="Arial"/>
          <w:color w:val="0070C0"/>
        </w:rPr>
      </w:pPr>
      <w:r w:rsidRPr="00900D01">
        <w:rPr>
          <w:rFonts w:ascii="Arial" w:hAnsi="Arial" w:cs="Arial"/>
          <w:color w:val="0070C0"/>
        </w:rPr>
        <w:t xml:space="preserve">ODGOVOR: </w:t>
      </w:r>
      <w:r w:rsidR="00997306">
        <w:rPr>
          <w:rFonts w:ascii="Arial" w:hAnsi="Arial" w:cs="Arial"/>
          <w:color w:val="0070C0"/>
        </w:rPr>
        <w:t>Poročanje za kazalnike rezultatov, za katere se podatki pridobivajo iz javnih evidenc (AJPES) je možno zamakniti do objave podatkov v javnih evidencah za preteklo leto.</w:t>
      </w:r>
    </w:p>
    <w:sectPr w:rsidR="009973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3DC9" w14:textId="77777777" w:rsidR="004A435A" w:rsidRDefault="004A435A" w:rsidP="007E27BC">
      <w:pPr>
        <w:spacing w:after="0" w:line="240" w:lineRule="auto"/>
      </w:pPr>
      <w:r>
        <w:separator/>
      </w:r>
    </w:p>
  </w:endnote>
  <w:endnote w:type="continuationSeparator" w:id="0">
    <w:p w14:paraId="53A71116" w14:textId="77777777" w:rsidR="004A435A" w:rsidRDefault="004A435A" w:rsidP="007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2340" w14:textId="77777777" w:rsidR="004A435A" w:rsidRDefault="004A435A" w:rsidP="007E27BC">
      <w:pPr>
        <w:spacing w:after="0" w:line="240" w:lineRule="auto"/>
      </w:pPr>
      <w:r>
        <w:separator/>
      </w:r>
    </w:p>
  </w:footnote>
  <w:footnote w:type="continuationSeparator" w:id="0">
    <w:p w14:paraId="6A3BC6AF" w14:textId="77777777" w:rsidR="004A435A" w:rsidRDefault="004A435A" w:rsidP="007E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8B3" w14:textId="77777777" w:rsidR="00020B79" w:rsidRDefault="00020B79">
    <w:pPr>
      <w:pStyle w:val="Glava"/>
    </w:pPr>
    <w:r>
      <w:rPr>
        <w:noProof/>
        <w:lang w:eastAsia="sl-SI"/>
      </w:rPr>
      <w:drawing>
        <wp:inline distT="0" distB="0" distL="0" distR="0" wp14:anchorId="6FF7515E" wp14:editId="7DF979D5">
          <wp:extent cx="3028315" cy="476250"/>
          <wp:effectExtent l="0" t="0" r="635" b="0"/>
          <wp:docPr id="1350635572" name="Slika 135063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76250"/>
                  </a:xfrm>
                  <a:prstGeom prst="rect">
                    <a:avLst/>
                  </a:prstGeom>
                  <a:noFill/>
                </pic:spPr>
              </pic:pic>
            </a:graphicData>
          </a:graphic>
        </wp:inline>
      </w:drawing>
    </w:r>
    <w:r>
      <w:rPr>
        <w:rFonts w:ascii="Arial" w:eastAsia="Times New Roman" w:hAnsi="Arial" w:cs="Times New Roman"/>
        <w:noProof/>
        <w:szCs w:val="24"/>
        <w:lang w:eastAsia="sl-SI"/>
      </w:rPr>
      <w:drawing>
        <wp:inline distT="0" distB="0" distL="0" distR="0" wp14:anchorId="66C3D5CA" wp14:editId="01ED9881">
          <wp:extent cx="2164080" cy="682625"/>
          <wp:effectExtent l="0" t="0" r="7620" b="3175"/>
          <wp:docPr id="1489715290" name="Slika 148971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1CE25025"/>
    <w:multiLevelType w:val="hybridMultilevel"/>
    <w:tmpl w:val="0ED2FC7A"/>
    <w:lvl w:ilvl="0" w:tplc="84AC2C4E">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BF09AE"/>
    <w:multiLevelType w:val="hybridMultilevel"/>
    <w:tmpl w:val="9094E2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AB75C4"/>
    <w:multiLevelType w:val="hybridMultilevel"/>
    <w:tmpl w:val="4FC0CFF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9746FC"/>
    <w:multiLevelType w:val="hybridMultilevel"/>
    <w:tmpl w:val="F254150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29DD50BD"/>
    <w:multiLevelType w:val="hybridMultilevel"/>
    <w:tmpl w:val="F198E9A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CE566D"/>
    <w:multiLevelType w:val="hybridMultilevel"/>
    <w:tmpl w:val="120E0274"/>
    <w:lvl w:ilvl="0" w:tplc="0424000F">
      <w:start w:val="1"/>
      <w:numFmt w:val="decimal"/>
      <w:lvlText w:val="%1."/>
      <w:lvlJc w:val="left"/>
      <w:pPr>
        <w:ind w:left="360" w:hanging="360"/>
      </w:pPr>
      <w:rPr>
        <w:rFonts w:hint="default"/>
        <w:b w:val="0"/>
        <w:i w:val="0"/>
      </w:rPr>
    </w:lvl>
    <w:lvl w:ilvl="1" w:tplc="04240019">
      <w:start w:val="1"/>
      <w:numFmt w:val="lowerLetter"/>
      <w:lvlText w:val="%2."/>
      <w:lvlJc w:val="left"/>
      <w:pPr>
        <w:ind w:left="1014" w:hanging="360"/>
      </w:pPr>
    </w:lvl>
    <w:lvl w:ilvl="2" w:tplc="0424001B" w:tentative="1">
      <w:start w:val="1"/>
      <w:numFmt w:val="lowerRoman"/>
      <w:lvlText w:val="%3."/>
      <w:lvlJc w:val="right"/>
      <w:pPr>
        <w:ind w:left="1734" w:hanging="180"/>
      </w:pPr>
    </w:lvl>
    <w:lvl w:ilvl="3" w:tplc="0424000F" w:tentative="1">
      <w:start w:val="1"/>
      <w:numFmt w:val="decimal"/>
      <w:lvlText w:val="%4."/>
      <w:lvlJc w:val="left"/>
      <w:pPr>
        <w:ind w:left="2454" w:hanging="360"/>
      </w:pPr>
    </w:lvl>
    <w:lvl w:ilvl="4" w:tplc="04240019" w:tentative="1">
      <w:start w:val="1"/>
      <w:numFmt w:val="lowerLetter"/>
      <w:lvlText w:val="%5."/>
      <w:lvlJc w:val="left"/>
      <w:pPr>
        <w:ind w:left="3174" w:hanging="360"/>
      </w:pPr>
    </w:lvl>
    <w:lvl w:ilvl="5" w:tplc="0424001B" w:tentative="1">
      <w:start w:val="1"/>
      <w:numFmt w:val="lowerRoman"/>
      <w:lvlText w:val="%6."/>
      <w:lvlJc w:val="right"/>
      <w:pPr>
        <w:ind w:left="3894" w:hanging="180"/>
      </w:pPr>
    </w:lvl>
    <w:lvl w:ilvl="6" w:tplc="0424000F" w:tentative="1">
      <w:start w:val="1"/>
      <w:numFmt w:val="decimal"/>
      <w:lvlText w:val="%7."/>
      <w:lvlJc w:val="left"/>
      <w:pPr>
        <w:ind w:left="4614" w:hanging="360"/>
      </w:pPr>
    </w:lvl>
    <w:lvl w:ilvl="7" w:tplc="04240019" w:tentative="1">
      <w:start w:val="1"/>
      <w:numFmt w:val="lowerLetter"/>
      <w:lvlText w:val="%8."/>
      <w:lvlJc w:val="left"/>
      <w:pPr>
        <w:ind w:left="5334" w:hanging="360"/>
      </w:pPr>
    </w:lvl>
    <w:lvl w:ilvl="8" w:tplc="0424001B" w:tentative="1">
      <w:start w:val="1"/>
      <w:numFmt w:val="lowerRoman"/>
      <w:lvlText w:val="%9."/>
      <w:lvlJc w:val="right"/>
      <w:pPr>
        <w:ind w:left="6054" w:hanging="180"/>
      </w:pPr>
    </w:lvl>
  </w:abstractNum>
  <w:abstractNum w:abstractNumId="7" w15:restartNumberingAfterBreak="0">
    <w:nsid w:val="41424B47"/>
    <w:multiLevelType w:val="hybridMultilevel"/>
    <w:tmpl w:val="737AA4E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7246988"/>
    <w:multiLevelType w:val="hybridMultilevel"/>
    <w:tmpl w:val="B2E0F1CA"/>
    <w:lvl w:ilvl="0" w:tplc="A9C80E0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5432A0"/>
    <w:multiLevelType w:val="hybridMultilevel"/>
    <w:tmpl w:val="1E3092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6BD3699"/>
    <w:multiLevelType w:val="multilevel"/>
    <w:tmpl w:val="779AB76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16cid:durableId="196897564">
    <w:abstractNumId w:val="10"/>
  </w:num>
  <w:num w:numId="2" w16cid:durableId="744686285">
    <w:abstractNumId w:val="3"/>
  </w:num>
  <w:num w:numId="3" w16cid:durableId="1862160744">
    <w:abstractNumId w:val="6"/>
  </w:num>
  <w:num w:numId="4" w16cid:durableId="1046493811">
    <w:abstractNumId w:val="0"/>
  </w:num>
  <w:num w:numId="5" w16cid:durableId="2058117997">
    <w:abstractNumId w:val="4"/>
  </w:num>
  <w:num w:numId="6" w16cid:durableId="1590650409">
    <w:abstractNumId w:val="8"/>
  </w:num>
  <w:num w:numId="7" w16cid:durableId="385298289">
    <w:abstractNumId w:val="7"/>
  </w:num>
  <w:num w:numId="8" w16cid:durableId="724256545">
    <w:abstractNumId w:val="5"/>
  </w:num>
  <w:num w:numId="9" w16cid:durableId="2111927360">
    <w:abstractNumId w:val="9"/>
  </w:num>
  <w:num w:numId="10" w16cid:durableId="1366635294">
    <w:abstractNumId w:val="2"/>
  </w:num>
  <w:num w:numId="11" w16cid:durableId="138452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BC"/>
    <w:rsid w:val="00007033"/>
    <w:rsid w:val="00014704"/>
    <w:rsid w:val="00020B79"/>
    <w:rsid w:val="00031AC1"/>
    <w:rsid w:val="0005744B"/>
    <w:rsid w:val="000728E7"/>
    <w:rsid w:val="0009354F"/>
    <w:rsid w:val="000B49AC"/>
    <w:rsid w:val="000D663C"/>
    <w:rsid w:val="00104F90"/>
    <w:rsid w:val="00132CCA"/>
    <w:rsid w:val="00136668"/>
    <w:rsid w:val="0016242B"/>
    <w:rsid w:val="0016427C"/>
    <w:rsid w:val="001776D6"/>
    <w:rsid w:val="001952C5"/>
    <w:rsid w:val="001970A1"/>
    <w:rsid w:val="001A3279"/>
    <w:rsid w:val="001B2D00"/>
    <w:rsid w:val="001C45BC"/>
    <w:rsid w:val="001D60B5"/>
    <w:rsid w:val="001E3960"/>
    <w:rsid w:val="00207AFA"/>
    <w:rsid w:val="00212085"/>
    <w:rsid w:val="00214751"/>
    <w:rsid w:val="002305B3"/>
    <w:rsid w:val="0025457A"/>
    <w:rsid w:val="0027014E"/>
    <w:rsid w:val="00273193"/>
    <w:rsid w:val="002826BF"/>
    <w:rsid w:val="00284D44"/>
    <w:rsid w:val="00290373"/>
    <w:rsid w:val="002A6FA7"/>
    <w:rsid w:val="002A7D15"/>
    <w:rsid w:val="002B010D"/>
    <w:rsid w:val="002B1950"/>
    <w:rsid w:val="002B2D13"/>
    <w:rsid w:val="002B6330"/>
    <w:rsid w:val="002F6D4C"/>
    <w:rsid w:val="00307A43"/>
    <w:rsid w:val="00311E9F"/>
    <w:rsid w:val="00312071"/>
    <w:rsid w:val="00322007"/>
    <w:rsid w:val="00323078"/>
    <w:rsid w:val="003329D8"/>
    <w:rsid w:val="003426E7"/>
    <w:rsid w:val="003801EE"/>
    <w:rsid w:val="003840A4"/>
    <w:rsid w:val="003A0BBB"/>
    <w:rsid w:val="003A2AC6"/>
    <w:rsid w:val="003B1707"/>
    <w:rsid w:val="003D409E"/>
    <w:rsid w:val="003D48D9"/>
    <w:rsid w:val="003F50F4"/>
    <w:rsid w:val="00401E84"/>
    <w:rsid w:val="00416777"/>
    <w:rsid w:val="00433779"/>
    <w:rsid w:val="00446B19"/>
    <w:rsid w:val="004632D6"/>
    <w:rsid w:val="004836B4"/>
    <w:rsid w:val="00491B0B"/>
    <w:rsid w:val="00495562"/>
    <w:rsid w:val="004A435A"/>
    <w:rsid w:val="004A5B2D"/>
    <w:rsid w:val="004C3ACD"/>
    <w:rsid w:val="004E7222"/>
    <w:rsid w:val="004F5DB3"/>
    <w:rsid w:val="00540C2F"/>
    <w:rsid w:val="00565866"/>
    <w:rsid w:val="0058671C"/>
    <w:rsid w:val="005A5B81"/>
    <w:rsid w:val="005B0B48"/>
    <w:rsid w:val="005D4C1A"/>
    <w:rsid w:val="005E2B26"/>
    <w:rsid w:val="005F4851"/>
    <w:rsid w:val="0064476A"/>
    <w:rsid w:val="00650F7B"/>
    <w:rsid w:val="00651BAF"/>
    <w:rsid w:val="00657A10"/>
    <w:rsid w:val="00670039"/>
    <w:rsid w:val="00670EFC"/>
    <w:rsid w:val="0067113B"/>
    <w:rsid w:val="00675854"/>
    <w:rsid w:val="00690B10"/>
    <w:rsid w:val="0069105F"/>
    <w:rsid w:val="006922B2"/>
    <w:rsid w:val="0069607D"/>
    <w:rsid w:val="006A045A"/>
    <w:rsid w:val="006A148C"/>
    <w:rsid w:val="006A2A55"/>
    <w:rsid w:val="006A3404"/>
    <w:rsid w:val="006A6F25"/>
    <w:rsid w:val="006C6A63"/>
    <w:rsid w:val="006C6EE8"/>
    <w:rsid w:val="006D7FDE"/>
    <w:rsid w:val="00722FE8"/>
    <w:rsid w:val="00744D60"/>
    <w:rsid w:val="00744F0D"/>
    <w:rsid w:val="00745C51"/>
    <w:rsid w:val="007A0763"/>
    <w:rsid w:val="007A2866"/>
    <w:rsid w:val="007B588E"/>
    <w:rsid w:val="007C4723"/>
    <w:rsid w:val="007C67BC"/>
    <w:rsid w:val="007D2B0A"/>
    <w:rsid w:val="007E27BC"/>
    <w:rsid w:val="007E29EA"/>
    <w:rsid w:val="007E74C7"/>
    <w:rsid w:val="007F5020"/>
    <w:rsid w:val="008100F5"/>
    <w:rsid w:val="00823EB0"/>
    <w:rsid w:val="008367FE"/>
    <w:rsid w:val="00874A0B"/>
    <w:rsid w:val="008771D5"/>
    <w:rsid w:val="0089050E"/>
    <w:rsid w:val="008A56EA"/>
    <w:rsid w:val="008B2008"/>
    <w:rsid w:val="008B39AE"/>
    <w:rsid w:val="008C05E0"/>
    <w:rsid w:val="008E0143"/>
    <w:rsid w:val="008E6475"/>
    <w:rsid w:val="008F77BA"/>
    <w:rsid w:val="00900D01"/>
    <w:rsid w:val="00900EB9"/>
    <w:rsid w:val="00910AC5"/>
    <w:rsid w:val="00915463"/>
    <w:rsid w:val="00915613"/>
    <w:rsid w:val="0092152E"/>
    <w:rsid w:val="00936849"/>
    <w:rsid w:val="009669B3"/>
    <w:rsid w:val="00966C29"/>
    <w:rsid w:val="009742E9"/>
    <w:rsid w:val="0097632A"/>
    <w:rsid w:val="009771EE"/>
    <w:rsid w:val="00980AAA"/>
    <w:rsid w:val="00997306"/>
    <w:rsid w:val="009A0BDD"/>
    <w:rsid w:val="009A5065"/>
    <w:rsid w:val="009C2BCC"/>
    <w:rsid w:val="009D0119"/>
    <w:rsid w:val="009D0D69"/>
    <w:rsid w:val="009F496B"/>
    <w:rsid w:val="00A20C85"/>
    <w:rsid w:val="00A218F0"/>
    <w:rsid w:val="00A31250"/>
    <w:rsid w:val="00A34E48"/>
    <w:rsid w:val="00A36000"/>
    <w:rsid w:val="00A5615C"/>
    <w:rsid w:val="00A822C0"/>
    <w:rsid w:val="00A94ED8"/>
    <w:rsid w:val="00AA39ED"/>
    <w:rsid w:val="00AB0AA1"/>
    <w:rsid w:val="00AB6366"/>
    <w:rsid w:val="00B01D32"/>
    <w:rsid w:val="00B03863"/>
    <w:rsid w:val="00B07A2B"/>
    <w:rsid w:val="00B13BA0"/>
    <w:rsid w:val="00B20F9C"/>
    <w:rsid w:val="00B518DD"/>
    <w:rsid w:val="00B718D0"/>
    <w:rsid w:val="00B923B0"/>
    <w:rsid w:val="00BB39A1"/>
    <w:rsid w:val="00BD7DFD"/>
    <w:rsid w:val="00BF29D9"/>
    <w:rsid w:val="00BF31D5"/>
    <w:rsid w:val="00C00028"/>
    <w:rsid w:val="00C00277"/>
    <w:rsid w:val="00C01671"/>
    <w:rsid w:val="00C2482F"/>
    <w:rsid w:val="00C514AC"/>
    <w:rsid w:val="00C53A3C"/>
    <w:rsid w:val="00C54DF6"/>
    <w:rsid w:val="00C57EE3"/>
    <w:rsid w:val="00C63B0B"/>
    <w:rsid w:val="00C82501"/>
    <w:rsid w:val="00C857F3"/>
    <w:rsid w:val="00C92709"/>
    <w:rsid w:val="00C929E1"/>
    <w:rsid w:val="00C92C20"/>
    <w:rsid w:val="00CC0DD1"/>
    <w:rsid w:val="00CC40E3"/>
    <w:rsid w:val="00D15797"/>
    <w:rsid w:val="00D256F7"/>
    <w:rsid w:val="00D532AB"/>
    <w:rsid w:val="00D5620D"/>
    <w:rsid w:val="00D64C9D"/>
    <w:rsid w:val="00D726B8"/>
    <w:rsid w:val="00D911BA"/>
    <w:rsid w:val="00DA34DC"/>
    <w:rsid w:val="00DB1AA4"/>
    <w:rsid w:val="00DC55A0"/>
    <w:rsid w:val="00DD3D9F"/>
    <w:rsid w:val="00DE0699"/>
    <w:rsid w:val="00DE14E8"/>
    <w:rsid w:val="00DE684C"/>
    <w:rsid w:val="00DF43D8"/>
    <w:rsid w:val="00DF53E1"/>
    <w:rsid w:val="00E02D23"/>
    <w:rsid w:val="00E02FB8"/>
    <w:rsid w:val="00E31E29"/>
    <w:rsid w:val="00E37EAC"/>
    <w:rsid w:val="00E50AEF"/>
    <w:rsid w:val="00E574B9"/>
    <w:rsid w:val="00E64D28"/>
    <w:rsid w:val="00E7400F"/>
    <w:rsid w:val="00E7505B"/>
    <w:rsid w:val="00EA1E56"/>
    <w:rsid w:val="00EB106A"/>
    <w:rsid w:val="00EB78D2"/>
    <w:rsid w:val="00EB7F76"/>
    <w:rsid w:val="00EC58C8"/>
    <w:rsid w:val="00EE2AFC"/>
    <w:rsid w:val="00EF7605"/>
    <w:rsid w:val="00F016BA"/>
    <w:rsid w:val="00F36674"/>
    <w:rsid w:val="00F4429E"/>
    <w:rsid w:val="00F45019"/>
    <w:rsid w:val="00F461AF"/>
    <w:rsid w:val="00F47E6B"/>
    <w:rsid w:val="00F53171"/>
    <w:rsid w:val="00F704A2"/>
    <w:rsid w:val="00F91A2E"/>
    <w:rsid w:val="00FA25EE"/>
    <w:rsid w:val="00FA2FAD"/>
    <w:rsid w:val="00FD412B"/>
    <w:rsid w:val="00FF3D06"/>
    <w:rsid w:val="00FF6D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9D5335"/>
  <w15:docId w15:val="{4D969FFA-8C91-4BC5-A04B-99D19E29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586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27BC"/>
    <w:pPr>
      <w:tabs>
        <w:tab w:val="center" w:pos="4536"/>
        <w:tab w:val="right" w:pos="9072"/>
      </w:tabs>
      <w:spacing w:after="0" w:line="240" w:lineRule="auto"/>
    </w:pPr>
  </w:style>
  <w:style w:type="character" w:customStyle="1" w:styleId="GlavaZnak">
    <w:name w:val="Glava Znak"/>
    <w:basedOn w:val="Privzetapisavaodstavka"/>
    <w:link w:val="Glava"/>
    <w:uiPriority w:val="99"/>
    <w:rsid w:val="007E27BC"/>
  </w:style>
  <w:style w:type="paragraph" w:styleId="Noga">
    <w:name w:val="footer"/>
    <w:basedOn w:val="Navaden"/>
    <w:link w:val="NogaZnak"/>
    <w:uiPriority w:val="99"/>
    <w:unhideWhenUsed/>
    <w:rsid w:val="007E27BC"/>
    <w:pPr>
      <w:tabs>
        <w:tab w:val="center" w:pos="4536"/>
        <w:tab w:val="right" w:pos="9072"/>
      </w:tabs>
      <w:spacing w:after="0" w:line="240" w:lineRule="auto"/>
    </w:pPr>
  </w:style>
  <w:style w:type="character" w:customStyle="1" w:styleId="NogaZnak">
    <w:name w:val="Noga Znak"/>
    <w:basedOn w:val="Privzetapisavaodstavka"/>
    <w:link w:val="Noga"/>
    <w:uiPriority w:val="99"/>
    <w:rsid w:val="007E27BC"/>
  </w:style>
  <w:style w:type="paragraph" w:styleId="Odstavekseznama">
    <w:name w:val="List Paragraph"/>
    <w:basedOn w:val="Navaden"/>
    <w:link w:val="OdstavekseznamaZnak"/>
    <w:uiPriority w:val="34"/>
    <w:qFormat/>
    <w:rsid w:val="007E27BC"/>
    <w:pPr>
      <w:ind w:left="720"/>
      <w:contextualSpacing/>
    </w:pPr>
  </w:style>
  <w:style w:type="character" w:customStyle="1" w:styleId="OdstavekseznamaZnak">
    <w:name w:val="Odstavek seznama Znak"/>
    <w:link w:val="Odstavekseznama"/>
    <w:uiPriority w:val="34"/>
    <w:locked/>
    <w:rsid w:val="007E27BC"/>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218F0"/>
    <w:pPr>
      <w:spacing w:after="0" w:line="240" w:lineRule="auto"/>
      <w:jc w:val="both"/>
    </w:pPr>
    <w:rPr>
      <w:rFonts w:ascii="Arial" w:eastAsia="Calibri"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218F0"/>
    <w:rPr>
      <w:rFonts w:ascii="Arial" w:eastAsia="Calibri" w:hAnsi="Arial" w:cs="Times New Roman"/>
      <w:sz w:val="20"/>
      <w:szCs w:val="20"/>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A218F0"/>
    <w:rPr>
      <w:vertAlign w:val="superscript"/>
    </w:rPr>
  </w:style>
  <w:style w:type="character" w:customStyle="1" w:styleId="TEKSTZnak">
    <w:name w:val="TEKST Znak"/>
    <w:basedOn w:val="Privzetapisavaodstavka"/>
    <w:link w:val="TEKST"/>
    <w:locked/>
    <w:rsid w:val="006C6EE8"/>
    <w:rPr>
      <w:rFonts w:ascii="Trebuchet MS" w:eastAsia="Times New Roman" w:hAnsi="Trebuchet MS"/>
      <w:lang w:eastAsia="sl-SI"/>
    </w:rPr>
  </w:style>
  <w:style w:type="paragraph" w:customStyle="1" w:styleId="TEKST">
    <w:name w:val="TEKST"/>
    <w:basedOn w:val="Navaden"/>
    <w:link w:val="TEKSTZnak"/>
    <w:rsid w:val="006C6EE8"/>
    <w:pPr>
      <w:spacing w:after="0" w:line="264" w:lineRule="auto"/>
      <w:jc w:val="both"/>
    </w:pPr>
    <w:rPr>
      <w:rFonts w:ascii="Trebuchet MS" w:eastAsia="Times New Roman" w:hAnsi="Trebuchet MS"/>
      <w:lang w:eastAsia="sl-SI"/>
    </w:rPr>
  </w:style>
  <w:style w:type="table" w:styleId="Tabelamrea">
    <w:name w:val="Table Grid"/>
    <w:basedOn w:val="Navadnatabela"/>
    <w:rsid w:val="001C45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B170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1707"/>
    <w:rPr>
      <w:rFonts w:ascii="Tahoma" w:hAnsi="Tahoma" w:cs="Tahoma"/>
      <w:sz w:val="16"/>
      <w:szCs w:val="16"/>
    </w:rPr>
  </w:style>
  <w:style w:type="paragraph" w:styleId="Revizija">
    <w:name w:val="Revision"/>
    <w:hidden/>
    <w:uiPriority w:val="99"/>
    <w:semiHidden/>
    <w:rsid w:val="00230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781">
      <w:bodyDiv w:val="1"/>
      <w:marLeft w:val="0"/>
      <w:marRight w:val="0"/>
      <w:marTop w:val="0"/>
      <w:marBottom w:val="0"/>
      <w:divBdr>
        <w:top w:val="none" w:sz="0" w:space="0" w:color="auto"/>
        <w:left w:val="none" w:sz="0" w:space="0" w:color="auto"/>
        <w:bottom w:val="none" w:sz="0" w:space="0" w:color="auto"/>
        <w:right w:val="none" w:sz="0" w:space="0" w:color="auto"/>
      </w:divBdr>
    </w:div>
    <w:div w:id="752705006">
      <w:bodyDiv w:val="1"/>
      <w:marLeft w:val="0"/>
      <w:marRight w:val="0"/>
      <w:marTop w:val="0"/>
      <w:marBottom w:val="0"/>
      <w:divBdr>
        <w:top w:val="none" w:sz="0" w:space="0" w:color="auto"/>
        <w:left w:val="none" w:sz="0" w:space="0" w:color="auto"/>
        <w:bottom w:val="none" w:sz="0" w:space="0" w:color="auto"/>
        <w:right w:val="none" w:sz="0" w:space="0" w:color="auto"/>
      </w:divBdr>
    </w:div>
    <w:div w:id="1006327026">
      <w:bodyDiv w:val="1"/>
      <w:marLeft w:val="0"/>
      <w:marRight w:val="0"/>
      <w:marTop w:val="0"/>
      <w:marBottom w:val="0"/>
      <w:divBdr>
        <w:top w:val="none" w:sz="0" w:space="0" w:color="auto"/>
        <w:left w:val="none" w:sz="0" w:space="0" w:color="auto"/>
        <w:bottom w:val="none" w:sz="0" w:space="0" w:color="auto"/>
        <w:right w:val="none" w:sz="0" w:space="0" w:color="auto"/>
      </w:divBdr>
    </w:div>
    <w:div w:id="1547831010">
      <w:bodyDiv w:val="1"/>
      <w:marLeft w:val="0"/>
      <w:marRight w:val="0"/>
      <w:marTop w:val="0"/>
      <w:marBottom w:val="0"/>
      <w:divBdr>
        <w:top w:val="none" w:sz="0" w:space="0" w:color="auto"/>
        <w:left w:val="none" w:sz="0" w:space="0" w:color="auto"/>
        <w:bottom w:val="none" w:sz="0" w:space="0" w:color="auto"/>
        <w:right w:val="none" w:sz="0" w:space="0" w:color="auto"/>
      </w:divBdr>
      <w:divsChild>
        <w:div w:id="652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56BCCA-B6BF-4461-9DB6-BA0BCEC2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1036</Words>
  <Characters>5907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Laznik</dc:creator>
  <cp:lastModifiedBy>Jernej Prevc</cp:lastModifiedBy>
  <cp:revision>6</cp:revision>
  <cp:lastPrinted>2025-04-23T07:53:00Z</cp:lastPrinted>
  <dcterms:created xsi:type="dcterms:W3CDTF">2025-04-23T07:39:00Z</dcterms:created>
  <dcterms:modified xsi:type="dcterms:W3CDTF">2025-04-23T08:20:00Z</dcterms:modified>
</cp:coreProperties>
</file>