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99D0" w14:textId="77777777" w:rsidR="00F97579" w:rsidRDefault="0093786D">
      <w:pPr>
        <w:spacing w:after="0"/>
        <w:ind w:left="567" w:right="118"/>
      </w:pPr>
      <w:r>
        <w:rPr>
          <w:rFonts w:ascii="Times New Roman" w:eastAsia="Times New Roman" w:hAnsi="Times New Roman" w:cs="Times New Roman"/>
          <w:sz w:val="16"/>
        </w:rPr>
        <w:t xml:space="preserve"> </w:t>
      </w:r>
    </w:p>
    <w:p w14:paraId="160694DC" w14:textId="6D591756" w:rsidR="00F97579" w:rsidRDefault="00701915">
      <w:pPr>
        <w:spacing w:after="0"/>
        <w:ind w:right="73"/>
        <w:jc w:val="right"/>
      </w:pPr>
      <w:r>
        <w:rPr>
          <w:rFonts w:ascii="Times New Roman" w:eastAsia="Times New Roman" w:hAnsi="Times New Roman" w:cs="Times New Roman"/>
          <w:noProof/>
          <w:sz w:val="16"/>
        </w:rPr>
        <w:drawing>
          <wp:anchor distT="0" distB="0" distL="114300" distR="114300" simplePos="0" relativeHeight="251659264" behindDoc="0" locked="0" layoutInCell="1" allowOverlap="1" wp14:anchorId="123FE21A" wp14:editId="69678744">
            <wp:simplePos x="0" y="0"/>
            <wp:positionH relativeFrom="margin">
              <wp:posOffset>4199179</wp:posOffset>
            </wp:positionH>
            <wp:positionV relativeFrom="paragraph">
              <wp:posOffset>12649</wp:posOffset>
            </wp:positionV>
            <wp:extent cx="2013585" cy="334645"/>
            <wp:effectExtent l="0" t="0" r="5715" b="8255"/>
            <wp:wrapSquare wrapText="bothSides"/>
            <wp:docPr id="119955843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3585" cy="33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644EF">
        <w:rPr>
          <w:rFonts w:ascii="Times New Roman" w:eastAsia="Times New Roman" w:hAnsi="Times New Roman" w:cs="Times New Roman"/>
          <w:noProof/>
          <w:sz w:val="16"/>
        </w:rPr>
        <w:drawing>
          <wp:anchor distT="0" distB="0" distL="114300" distR="114300" simplePos="0" relativeHeight="251658240" behindDoc="0" locked="0" layoutInCell="1" allowOverlap="1" wp14:anchorId="51609732" wp14:editId="5550D1A3">
            <wp:simplePos x="0" y="0"/>
            <wp:positionH relativeFrom="column">
              <wp:posOffset>68123</wp:posOffset>
            </wp:positionH>
            <wp:positionV relativeFrom="paragraph">
              <wp:posOffset>7340</wp:posOffset>
            </wp:positionV>
            <wp:extent cx="3121660" cy="376555"/>
            <wp:effectExtent l="0" t="0" r="2540" b="4445"/>
            <wp:wrapNone/>
            <wp:docPr id="1426378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86D">
        <w:rPr>
          <w:rFonts w:ascii="Times New Roman" w:eastAsia="Times New Roman" w:hAnsi="Times New Roman" w:cs="Times New Roman"/>
          <w:sz w:val="16"/>
        </w:rPr>
        <w:t xml:space="preserve">                               </w:t>
      </w:r>
    </w:p>
    <w:p w14:paraId="568036D6" w14:textId="77777777" w:rsidR="00F97579" w:rsidRDefault="0093786D">
      <w:pPr>
        <w:spacing w:after="13" w:line="237" w:lineRule="auto"/>
        <w:ind w:left="567" w:right="9063"/>
      </w:pPr>
      <w:r>
        <w:rPr>
          <w:rFonts w:ascii="Republika" w:eastAsia="Republika" w:hAnsi="Republika" w:cs="Republika"/>
          <w:sz w:val="16"/>
        </w:rPr>
        <w:t xml:space="preserve">  </w:t>
      </w:r>
    </w:p>
    <w:p w14:paraId="45EBAE95" w14:textId="77777777" w:rsidR="0093786D" w:rsidRDefault="0093786D">
      <w:pPr>
        <w:tabs>
          <w:tab w:val="center" w:pos="2043"/>
          <w:tab w:val="center" w:pos="3829"/>
          <w:tab w:val="center" w:pos="5104"/>
        </w:tabs>
        <w:spacing w:after="0"/>
      </w:pPr>
    </w:p>
    <w:p w14:paraId="3E46BA9E" w14:textId="3A721711" w:rsidR="0093786D" w:rsidRDefault="0093786D">
      <w:pPr>
        <w:tabs>
          <w:tab w:val="center" w:pos="2043"/>
          <w:tab w:val="center" w:pos="3829"/>
          <w:tab w:val="center" w:pos="5104"/>
        </w:tabs>
        <w:spacing w:after="0"/>
        <w:rPr>
          <w:rFonts w:ascii="Republika" w:eastAsia="Republika" w:hAnsi="Republika" w:cs="Republika"/>
          <w:sz w:val="16"/>
        </w:rPr>
      </w:pPr>
      <w:r>
        <w:tab/>
      </w:r>
      <w:r w:rsidR="008644EF" w:rsidRPr="008644EF">
        <w:rPr>
          <w:rFonts w:ascii="Republika" w:eastAsia="Republika" w:hAnsi="Republika" w:cs="Republika"/>
          <w:sz w:val="16"/>
        </w:rPr>
        <w:t>Tržaška cesta 19, 1</w:t>
      </w:r>
      <w:r w:rsidR="008644EF">
        <w:rPr>
          <w:rFonts w:ascii="Republika" w:eastAsia="Republika" w:hAnsi="Republika" w:cs="Republika"/>
          <w:sz w:val="16"/>
        </w:rPr>
        <w:t>000</w:t>
      </w:r>
      <w:r w:rsidR="008644EF" w:rsidRPr="008644EF">
        <w:rPr>
          <w:rFonts w:ascii="Republika" w:eastAsia="Republika" w:hAnsi="Republika" w:cs="Republika"/>
          <w:sz w:val="16"/>
        </w:rPr>
        <w:t xml:space="preserve"> Ljubljana</w:t>
      </w:r>
      <w:r>
        <w:rPr>
          <w:rFonts w:ascii="Republika" w:eastAsia="Republika" w:hAnsi="Republika" w:cs="Republika"/>
          <w:sz w:val="16"/>
        </w:rPr>
        <w:tab/>
        <w:t xml:space="preserve"> </w:t>
      </w:r>
      <w:r>
        <w:rPr>
          <w:rFonts w:ascii="Republika" w:eastAsia="Republika" w:hAnsi="Republika" w:cs="Republika"/>
          <w:sz w:val="16"/>
        </w:rPr>
        <w:tab/>
      </w:r>
    </w:p>
    <w:p w14:paraId="0FC4889C" w14:textId="7D8A0EDF" w:rsidR="00F97579" w:rsidRDefault="0093786D">
      <w:pPr>
        <w:tabs>
          <w:tab w:val="center" w:pos="2043"/>
          <w:tab w:val="center" w:pos="3829"/>
          <w:tab w:val="center" w:pos="5104"/>
        </w:tabs>
        <w:spacing w:after="0"/>
        <w:rPr>
          <w:rFonts w:ascii="Republika" w:eastAsia="Republika" w:hAnsi="Republika" w:cs="Republika"/>
          <w:sz w:val="16"/>
        </w:rPr>
      </w:pPr>
      <w:r>
        <w:rPr>
          <w:rFonts w:ascii="Republika" w:eastAsia="Republika" w:hAnsi="Republika" w:cs="Republika"/>
          <w:sz w:val="16"/>
        </w:rPr>
        <w:tab/>
      </w:r>
      <w:r>
        <w:rPr>
          <w:rFonts w:ascii="Republika" w:eastAsia="Republika" w:hAnsi="Republika" w:cs="Republika"/>
          <w:sz w:val="16"/>
        </w:rPr>
        <w:tab/>
      </w:r>
      <w:r>
        <w:rPr>
          <w:rFonts w:ascii="Republika" w:eastAsia="Republika" w:hAnsi="Republika" w:cs="Republika"/>
          <w:sz w:val="16"/>
        </w:rPr>
        <w:tab/>
      </w:r>
      <w:r w:rsidR="008644EF">
        <w:rPr>
          <w:rFonts w:ascii="Republika" w:eastAsia="Republika" w:hAnsi="Republika" w:cs="Republika"/>
          <w:sz w:val="16"/>
        </w:rPr>
        <w:t xml:space="preserve"> </w:t>
      </w:r>
      <w:r>
        <w:rPr>
          <w:rFonts w:ascii="Republika" w:eastAsia="Republika" w:hAnsi="Republika" w:cs="Republika"/>
          <w:sz w:val="16"/>
        </w:rPr>
        <w:t xml:space="preserve">T: </w:t>
      </w:r>
      <w:r w:rsidR="008644EF" w:rsidRPr="008644EF">
        <w:rPr>
          <w:rFonts w:ascii="Republika" w:eastAsia="Republika" w:hAnsi="Republika" w:cs="Republika"/>
          <w:sz w:val="16"/>
        </w:rPr>
        <w:t>01 478 80 00</w:t>
      </w:r>
    </w:p>
    <w:p w14:paraId="471A3C11" w14:textId="767701C7" w:rsidR="008644EF" w:rsidRDefault="008644EF">
      <w:pPr>
        <w:tabs>
          <w:tab w:val="center" w:pos="2043"/>
          <w:tab w:val="center" w:pos="3829"/>
          <w:tab w:val="center" w:pos="5104"/>
        </w:tabs>
        <w:spacing w:after="0"/>
      </w:pPr>
      <w:r>
        <w:rPr>
          <w:rFonts w:ascii="Republika" w:eastAsia="Republika" w:hAnsi="Republika" w:cs="Republika"/>
          <w:sz w:val="16"/>
        </w:rPr>
        <w:tab/>
      </w:r>
      <w:r>
        <w:rPr>
          <w:rFonts w:ascii="Republika" w:eastAsia="Republika" w:hAnsi="Republika" w:cs="Republika"/>
          <w:sz w:val="16"/>
        </w:rPr>
        <w:tab/>
      </w:r>
      <w:r>
        <w:rPr>
          <w:rFonts w:ascii="Republika" w:eastAsia="Republika" w:hAnsi="Republika" w:cs="Republika"/>
          <w:sz w:val="16"/>
        </w:rPr>
        <w:tab/>
      </w:r>
      <w:r w:rsidRPr="008644EF">
        <w:rPr>
          <w:rFonts w:ascii="Republika" w:eastAsia="Republika" w:hAnsi="Republika" w:cs="Republika"/>
          <w:sz w:val="16"/>
        </w:rPr>
        <w:t>F: 01 478 81 39</w:t>
      </w:r>
    </w:p>
    <w:p w14:paraId="01B98C7C" w14:textId="654CD80D" w:rsidR="00F97579" w:rsidRDefault="0093786D">
      <w:pPr>
        <w:tabs>
          <w:tab w:val="center" w:pos="567"/>
          <w:tab w:val="center" w:pos="3829"/>
          <w:tab w:val="center" w:pos="5105"/>
        </w:tabs>
        <w:spacing w:after="0"/>
      </w:pPr>
      <w:r>
        <w:tab/>
      </w:r>
      <w:r>
        <w:rPr>
          <w:rFonts w:ascii="Republika" w:eastAsia="Republika" w:hAnsi="Republika" w:cs="Republika"/>
          <w:sz w:val="16"/>
        </w:rPr>
        <w:t xml:space="preserve"> </w:t>
      </w:r>
      <w:r>
        <w:rPr>
          <w:rFonts w:ascii="Republika" w:eastAsia="Republika" w:hAnsi="Republika" w:cs="Republika"/>
          <w:sz w:val="16"/>
        </w:rPr>
        <w:tab/>
        <w:t xml:space="preserve"> </w:t>
      </w:r>
      <w:r>
        <w:rPr>
          <w:rFonts w:ascii="Republika" w:eastAsia="Republika" w:hAnsi="Republika" w:cs="Republika"/>
          <w:sz w:val="16"/>
        </w:rPr>
        <w:tab/>
        <w:t xml:space="preserve">     </w:t>
      </w:r>
      <w:r w:rsidR="008644EF" w:rsidRPr="008644EF">
        <w:rPr>
          <w:rFonts w:ascii="Republika" w:eastAsia="Republika" w:hAnsi="Republika" w:cs="Republika"/>
          <w:sz w:val="16"/>
        </w:rPr>
        <w:t>E: gp.mzi@gov.si</w:t>
      </w:r>
    </w:p>
    <w:p w14:paraId="464F3349" w14:textId="0FF10A78" w:rsidR="00F97579" w:rsidRDefault="0093786D">
      <w:pPr>
        <w:tabs>
          <w:tab w:val="center" w:pos="567"/>
          <w:tab w:val="center" w:pos="3829"/>
          <w:tab w:val="center" w:pos="5106"/>
          <w:tab w:val="center" w:pos="9638"/>
        </w:tabs>
        <w:spacing w:after="0"/>
      </w:pPr>
      <w:r>
        <w:tab/>
      </w:r>
      <w:r>
        <w:rPr>
          <w:rFonts w:ascii="Republika" w:eastAsia="Republika" w:hAnsi="Republika" w:cs="Republika"/>
          <w:sz w:val="16"/>
        </w:rPr>
        <w:t xml:space="preserve"> </w:t>
      </w:r>
      <w:r>
        <w:rPr>
          <w:rFonts w:ascii="Republika" w:eastAsia="Republika" w:hAnsi="Republika" w:cs="Republika"/>
          <w:sz w:val="16"/>
        </w:rPr>
        <w:tab/>
        <w:t xml:space="preserve"> </w:t>
      </w:r>
      <w:r>
        <w:rPr>
          <w:rFonts w:ascii="Republika" w:eastAsia="Republika" w:hAnsi="Republika" w:cs="Republika"/>
          <w:sz w:val="16"/>
        </w:rPr>
        <w:tab/>
        <w:t xml:space="preserve">  </w:t>
      </w:r>
      <w:r w:rsidR="008644EF" w:rsidRPr="008644EF">
        <w:rPr>
          <w:rFonts w:ascii="Republika" w:eastAsia="Republika" w:hAnsi="Republika" w:cs="Republika"/>
          <w:sz w:val="16"/>
        </w:rPr>
        <w:t>www.mzi.gov.si</w:t>
      </w:r>
      <w:r>
        <w:rPr>
          <w:rFonts w:ascii="Republika" w:eastAsia="Republika" w:hAnsi="Republika" w:cs="Republika"/>
          <w:sz w:val="16"/>
        </w:rPr>
        <w:tab/>
        <w:t xml:space="preserve"> </w:t>
      </w:r>
    </w:p>
    <w:p w14:paraId="3218BB8D" w14:textId="14C215BE" w:rsidR="00F97579" w:rsidRDefault="0093786D" w:rsidP="00701915">
      <w:pPr>
        <w:spacing w:after="0"/>
        <w:ind w:left="567"/>
      </w:pPr>
      <w:r>
        <w:rPr>
          <w:noProof/>
        </w:rPr>
        <mc:AlternateContent>
          <mc:Choice Requires="wpg">
            <w:drawing>
              <wp:inline distT="0" distB="0" distL="0" distR="0" wp14:anchorId="3F87248C" wp14:editId="3E91F151">
                <wp:extent cx="5796661" cy="6096"/>
                <wp:effectExtent l="0" t="0" r="0" b="0"/>
                <wp:docPr id="10272" name="Group 10272"/>
                <wp:cNvGraphicFramePr/>
                <a:graphic xmlns:a="http://schemas.openxmlformats.org/drawingml/2006/main">
                  <a:graphicData uri="http://schemas.microsoft.com/office/word/2010/wordprocessingGroup">
                    <wpg:wgp>
                      <wpg:cNvGrpSpPr/>
                      <wpg:grpSpPr>
                        <a:xfrm>
                          <a:off x="0" y="0"/>
                          <a:ext cx="5796661" cy="6096"/>
                          <a:chOff x="0" y="0"/>
                          <a:chExt cx="5796661" cy="6096"/>
                        </a:xfrm>
                      </wpg:grpSpPr>
                      <wps:wsp>
                        <wps:cNvPr id="12795" name="Shape 12795"/>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272" style="width:456.43pt;height:0.47998pt;mso-position-horizontal-relative:char;mso-position-vertical-relative:line" coordsize="57966,60">
                <v:shape id="Shape 12796" style="position:absolute;width:57966;height:91;left:0;top:0;" coordsize="5796661,9144" path="m0,0l5796661,0l5796661,9144l0,9144l0,0">
                  <v:stroke weight="0pt" endcap="flat" joinstyle="miter" miterlimit="10" on="false" color="#000000" opacity="0"/>
                  <v:fill on="true" color="#000000"/>
                </v:shape>
              </v:group>
            </w:pict>
          </mc:Fallback>
        </mc:AlternateContent>
      </w:r>
    </w:p>
    <w:p w14:paraId="6FD47A9F" w14:textId="17229DB5" w:rsidR="000B52BE" w:rsidRDefault="0093786D" w:rsidP="000B52BE">
      <w:pPr>
        <w:spacing w:after="31"/>
        <w:jc w:val="center"/>
        <w:rPr>
          <w:b/>
          <w:color w:val="156082" w:themeColor="accent1"/>
          <w:sz w:val="28"/>
        </w:rPr>
      </w:pPr>
      <w:r w:rsidRPr="0093786D">
        <w:rPr>
          <w:b/>
          <w:color w:val="156082" w:themeColor="accent1"/>
          <w:sz w:val="28"/>
        </w:rPr>
        <w:t>Obrazec 5: Ocena krepitve podnebne odpornosti infrastrukture</w:t>
      </w:r>
    </w:p>
    <w:p w14:paraId="79DFD275" w14:textId="59B85F4B" w:rsidR="00F97579" w:rsidRPr="000517BD" w:rsidRDefault="00F97579" w:rsidP="000B52BE">
      <w:pPr>
        <w:spacing w:after="31"/>
        <w:jc w:val="center"/>
        <w:rPr>
          <w:b/>
          <w:color w:val="156082" w:themeColor="accent1"/>
          <w:sz w:val="16"/>
          <w:szCs w:val="16"/>
        </w:rPr>
      </w:pPr>
    </w:p>
    <w:tbl>
      <w:tblPr>
        <w:tblStyle w:val="Tabelamrea"/>
        <w:tblW w:w="0" w:type="auto"/>
        <w:tblInd w:w="983" w:type="dxa"/>
        <w:tblLook w:val="04A0" w:firstRow="1" w:lastRow="0" w:firstColumn="1" w:lastColumn="0" w:noHBand="0" w:noVBand="1"/>
      </w:tblPr>
      <w:tblGrid>
        <w:gridCol w:w="8225"/>
      </w:tblGrid>
      <w:tr w:rsidR="00013F52" w14:paraId="04B4476D" w14:textId="77777777" w:rsidTr="000B52BE">
        <w:trPr>
          <w:trHeight w:val="1522"/>
        </w:trPr>
        <w:tc>
          <w:tcPr>
            <w:tcW w:w="8225" w:type="dxa"/>
            <w:shd w:val="clear" w:color="auto" w:fill="DAE9F7" w:themeFill="text2" w:themeFillTint="1A"/>
          </w:tcPr>
          <w:p w14:paraId="6F6B4D94" w14:textId="77777777" w:rsidR="000B52BE" w:rsidRDefault="00013F52" w:rsidP="00013F52">
            <w:pPr>
              <w:spacing w:after="31"/>
              <w:jc w:val="center"/>
              <w:rPr>
                <w:b/>
                <w:bCs/>
                <w:color w:val="auto"/>
                <w:sz w:val="24"/>
              </w:rPr>
            </w:pPr>
            <w:r w:rsidRPr="00013F52">
              <w:rPr>
                <w:b/>
                <w:bCs/>
                <w:color w:val="auto"/>
                <w:sz w:val="24"/>
              </w:rPr>
              <w:t xml:space="preserve">OCENA KREPITVE PODNEBNE ODPORNOSTI INFRASTRUKTURE </w:t>
            </w:r>
          </w:p>
          <w:p w14:paraId="13530253" w14:textId="0E1C5165" w:rsidR="00013F52" w:rsidRPr="00013F52" w:rsidRDefault="00013F52" w:rsidP="00013F52">
            <w:pPr>
              <w:spacing w:after="31"/>
              <w:jc w:val="center"/>
              <w:rPr>
                <w:b/>
                <w:bCs/>
                <w:color w:val="auto"/>
                <w:sz w:val="24"/>
              </w:rPr>
            </w:pPr>
            <w:r w:rsidRPr="00013F52">
              <w:rPr>
                <w:b/>
                <w:bCs/>
                <w:color w:val="auto"/>
                <w:sz w:val="24"/>
              </w:rPr>
              <w:t>v skladu s Smernicami organa upravljanja za krepitev podnebne odpornosti infrastrukture v obdobju 2021–2027</w:t>
            </w:r>
            <w:r w:rsidRPr="00B156DB">
              <w:rPr>
                <w:b/>
                <w:bCs/>
                <w:color w:val="auto"/>
                <w:sz w:val="24"/>
                <w:vertAlign w:val="superscript"/>
              </w:rPr>
              <w:t>1</w:t>
            </w:r>
          </w:p>
          <w:p w14:paraId="728CD2C3" w14:textId="77777777" w:rsidR="00013F52" w:rsidRPr="00013F52" w:rsidRDefault="00013F52" w:rsidP="00013F52">
            <w:pPr>
              <w:spacing w:after="31"/>
              <w:jc w:val="center"/>
              <w:rPr>
                <w:b/>
                <w:bCs/>
                <w:color w:val="auto"/>
                <w:sz w:val="24"/>
              </w:rPr>
            </w:pPr>
          </w:p>
          <w:p w14:paraId="118A60E7" w14:textId="1F7E6DEA" w:rsidR="00013F52" w:rsidRDefault="00013F52" w:rsidP="00013F52">
            <w:pPr>
              <w:spacing w:after="31"/>
              <w:jc w:val="center"/>
              <w:rPr>
                <w:color w:val="156082" w:themeColor="accent1"/>
              </w:rPr>
            </w:pPr>
            <w:r w:rsidRPr="00013F52">
              <w:rPr>
                <w:b/>
                <w:bCs/>
                <w:color w:val="auto"/>
                <w:sz w:val="24"/>
              </w:rPr>
              <w:t>Zbirna dokumentacija o pregledu/preverjanju podnebne razsežnosti</w:t>
            </w:r>
          </w:p>
        </w:tc>
      </w:tr>
    </w:tbl>
    <w:p w14:paraId="68F283BA" w14:textId="77777777" w:rsidR="00013F52" w:rsidRPr="0093786D" w:rsidRDefault="00013F52">
      <w:pPr>
        <w:spacing w:after="31"/>
        <w:ind w:left="1433"/>
        <w:rPr>
          <w:color w:val="156082" w:themeColor="accent1"/>
        </w:rPr>
      </w:pPr>
    </w:p>
    <w:p w14:paraId="06E58FEB" w14:textId="45516E50" w:rsidR="00F97579" w:rsidRDefault="0093786D" w:rsidP="00013F52">
      <w:pPr>
        <w:spacing w:after="0"/>
        <w:ind w:left="567"/>
        <w:jc w:val="both"/>
        <w:rPr>
          <w:color w:val="auto"/>
          <w:sz w:val="20"/>
        </w:rPr>
      </w:pPr>
      <w:r w:rsidRPr="00575BF9">
        <w:rPr>
          <w:color w:val="auto"/>
          <w:sz w:val="20"/>
        </w:rPr>
        <w:t>V programskem obdobju 2021–2027 se z Uredbo o skupnih določbah</w:t>
      </w:r>
      <w:r w:rsidRPr="00575BF9">
        <w:rPr>
          <w:color w:val="auto"/>
          <w:sz w:val="20"/>
          <w:vertAlign w:val="superscript"/>
        </w:rPr>
        <w:t>2</w:t>
      </w:r>
      <w:r w:rsidRPr="00575BF9">
        <w:rPr>
          <w:color w:val="auto"/>
          <w:sz w:val="20"/>
        </w:rPr>
        <w:t xml:space="preserve"> zahteva upoštevanje podnebnih sprememb za vse naložbe v infrastrukturo z življenjsko dobo nad pet let, ki so financirane iz skladov EU (ERDF, ESF+, JTF, EMFAF, AMIF, ISF, BMVI). Tehnične smernice za krepitev podnebne odpornosti</w:t>
      </w:r>
      <w:r w:rsidRPr="00575BF9">
        <w:rPr>
          <w:color w:val="auto"/>
          <w:sz w:val="20"/>
          <w:vertAlign w:val="superscript"/>
        </w:rPr>
        <w:t>3</w:t>
      </w:r>
      <w:r w:rsidRPr="00575BF9">
        <w:rPr>
          <w:color w:val="auto"/>
          <w:sz w:val="20"/>
        </w:rPr>
        <w:t xml:space="preserve"> infrastrukturo opredeljujejo kot širok pojem, ki zajema stavbe, omrežno infrastrukturo ter različne grajene sisteme in premoženje. Namen ocene krepitve podnebne odpornosti je: </w:t>
      </w:r>
    </w:p>
    <w:p w14:paraId="3C549C59" w14:textId="77777777" w:rsidR="000B52BE" w:rsidRPr="000B52BE" w:rsidRDefault="000B52BE" w:rsidP="00013F52">
      <w:pPr>
        <w:spacing w:after="0"/>
        <w:ind w:left="567"/>
        <w:jc w:val="both"/>
        <w:rPr>
          <w:color w:val="auto"/>
          <w:sz w:val="8"/>
          <w:szCs w:val="8"/>
        </w:rPr>
      </w:pPr>
    </w:p>
    <w:p w14:paraId="2FCEDFA5" w14:textId="77777777" w:rsidR="00F97579" w:rsidRPr="00575BF9" w:rsidRDefault="0093786D" w:rsidP="00A2790A">
      <w:pPr>
        <w:spacing w:after="38" w:line="281" w:lineRule="auto"/>
        <w:ind w:left="1168" w:right="23" w:hanging="244"/>
        <w:jc w:val="both"/>
        <w:rPr>
          <w:color w:val="auto"/>
        </w:rPr>
      </w:pPr>
      <w:r w:rsidRPr="00575BF9">
        <w:rPr>
          <w:rFonts w:ascii="Segoe UI Symbol" w:eastAsia="Segoe UI Symbol" w:hAnsi="Segoe UI Symbol" w:cs="Segoe UI Symbol"/>
          <w:color w:val="auto"/>
          <w:sz w:val="20"/>
        </w:rPr>
        <w:t>−</w:t>
      </w:r>
      <w:r w:rsidRPr="00575BF9">
        <w:rPr>
          <w:rFonts w:ascii="Arial" w:eastAsia="Arial" w:hAnsi="Arial" w:cs="Arial"/>
          <w:color w:val="auto"/>
          <w:sz w:val="20"/>
        </w:rPr>
        <w:t xml:space="preserve"> </w:t>
      </w:r>
      <w:r w:rsidRPr="00575BF9">
        <w:rPr>
          <w:color w:val="auto"/>
          <w:sz w:val="20"/>
        </w:rPr>
        <w:t xml:space="preserve">preverjanje združljivosti projekta s ciljem podnebne nevtralnosti do leta 2050 (blaženje podnebnih sprememb) in </w:t>
      </w:r>
    </w:p>
    <w:p w14:paraId="2E669C67" w14:textId="77777777" w:rsidR="00F97579" w:rsidRPr="00575BF9" w:rsidRDefault="0093786D" w:rsidP="00A2790A">
      <w:pPr>
        <w:spacing w:after="0" w:line="281" w:lineRule="auto"/>
        <w:ind w:left="1168" w:right="23" w:hanging="244"/>
        <w:jc w:val="both"/>
        <w:rPr>
          <w:color w:val="auto"/>
        </w:rPr>
      </w:pPr>
      <w:r w:rsidRPr="00575BF9">
        <w:rPr>
          <w:rFonts w:ascii="Segoe UI Symbol" w:eastAsia="Segoe UI Symbol" w:hAnsi="Segoe UI Symbol" w:cs="Segoe UI Symbol"/>
          <w:color w:val="auto"/>
          <w:sz w:val="20"/>
        </w:rPr>
        <w:t>−</w:t>
      </w:r>
      <w:r w:rsidRPr="00575BF9">
        <w:rPr>
          <w:rFonts w:ascii="Arial" w:eastAsia="Arial" w:hAnsi="Arial" w:cs="Arial"/>
          <w:color w:val="auto"/>
          <w:sz w:val="20"/>
        </w:rPr>
        <w:t xml:space="preserve"> </w:t>
      </w:r>
      <w:r w:rsidRPr="00575BF9">
        <w:rPr>
          <w:color w:val="auto"/>
          <w:sz w:val="20"/>
        </w:rPr>
        <w:t xml:space="preserve">zagotavljanje odpornosti infrastrukture na pričakovana podnebna tveganja v njeni življenjski dobi (prilagajanje na podnebne spremembe). </w:t>
      </w:r>
    </w:p>
    <w:p w14:paraId="318ADEA1" w14:textId="77777777" w:rsidR="00F97579" w:rsidRPr="000B52BE" w:rsidRDefault="0093786D">
      <w:pPr>
        <w:spacing w:after="18"/>
        <w:ind w:left="567"/>
        <w:rPr>
          <w:color w:val="auto"/>
          <w:sz w:val="8"/>
          <w:szCs w:val="8"/>
        </w:rPr>
      </w:pPr>
      <w:r w:rsidRPr="00575BF9">
        <w:rPr>
          <w:color w:val="auto"/>
          <w:sz w:val="20"/>
        </w:rPr>
        <w:t xml:space="preserve"> </w:t>
      </w:r>
    </w:p>
    <w:p w14:paraId="378B9DB5" w14:textId="77777777" w:rsidR="00F97579" w:rsidRPr="00575BF9" w:rsidRDefault="0093786D">
      <w:pPr>
        <w:spacing w:after="0" w:line="281" w:lineRule="auto"/>
        <w:ind w:left="562" w:right="23" w:hanging="10"/>
        <w:jc w:val="both"/>
        <w:rPr>
          <w:color w:val="auto"/>
        </w:rPr>
      </w:pPr>
      <w:r w:rsidRPr="00575BF9">
        <w:rPr>
          <w:color w:val="auto"/>
          <w:sz w:val="20"/>
        </w:rPr>
        <w:t xml:space="preserve">Če je projekt/program predmet celovite presoje vplivov na okolje ali presoje vplivov na okolje, je lahko krepitev podnebne odpornosti vključena v postopek CPVO ali PVO. Kadar CPVO ali PVO ni zahtevana (npr. pri vzdrževalnih delih na infrastrukturi v javno korist), je krepitev podnebne odpornosti zahtevana za investicije v infrastrukturo, ki se potegujejo za financiranje z evropskimi sredstvi.  </w:t>
      </w:r>
    </w:p>
    <w:p w14:paraId="022DECB8" w14:textId="77777777" w:rsidR="00F97579" w:rsidRPr="00575BF9" w:rsidRDefault="0093786D">
      <w:pPr>
        <w:spacing w:after="18"/>
        <w:ind w:left="567"/>
        <w:rPr>
          <w:color w:val="auto"/>
        </w:rPr>
      </w:pPr>
      <w:r w:rsidRPr="00575BF9">
        <w:rPr>
          <w:color w:val="auto"/>
          <w:sz w:val="20"/>
        </w:rPr>
        <w:t xml:space="preserve"> </w:t>
      </w:r>
    </w:p>
    <w:p w14:paraId="36DEF8A8" w14:textId="77777777" w:rsidR="00F97579" w:rsidRPr="00575BF9" w:rsidRDefault="0093786D">
      <w:pPr>
        <w:spacing w:after="0" w:line="281" w:lineRule="auto"/>
        <w:ind w:left="562" w:right="23" w:hanging="10"/>
        <w:jc w:val="both"/>
        <w:rPr>
          <w:color w:val="auto"/>
        </w:rPr>
      </w:pPr>
      <w:r w:rsidRPr="00575BF9">
        <w:rPr>
          <w:color w:val="auto"/>
          <w:sz w:val="20"/>
        </w:rPr>
        <w:t xml:space="preserve">Ustrezno izvedena ocena krepitve podnebne odpornosti je podlaga tudi za pripravo ocene skladnosti z »načelom, da se ne škoduje bistveno« (t. i. načelo DNSH) za </w:t>
      </w:r>
      <w:proofErr w:type="spellStart"/>
      <w:r w:rsidRPr="00575BF9">
        <w:rPr>
          <w:color w:val="auto"/>
          <w:sz w:val="20"/>
        </w:rPr>
        <w:t>okoljska</w:t>
      </w:r>
      <w:proofErr w:type="spellEnd"/>
      <w:r w:rsidRPr="00575BF9">
        <w:rPr>
          <w:color w:val="auto"/>
          <w:sz w:val="20"/>
        </w:rPr>
        <w:t xml:space="preserve"> cilja blaženje podnebnih sprememb (</w:t>
      </w:r>
      <w:proofErr w:type="spellStart"/>
      <w:r w:rsidRPr="00575BF9">
        <w:rPr>
          <w:color w:val="auto"/>
          <w:sz w:val="20"/>
        </w:rPr>
        <w:t>okoljski</w:t>
      </w:r>
      <w:proofErr w:type="spellEnd"/>
      <w:r w:rsidRPr="00575BF9">
        <w:rPr>
          <w:color w:val="auto"/>
          <w:sz w:val="20"/>
        </w:rPr>
        <w:t xml:space="preserve"> cilj 1) in prilagajanje nanje (</w:t>
      </w:r>
      <w:proofErr w:type="spellStart"/>
      <w:r w:rsidRPr="00575BF9">
        <w:rPr>
          <w:color w:val="auto"/>
          <w:sz w:val="20"/>
        </w:rPr>
        <w:t>okoljski</w:t>
      </w:r>
      <w:proofErr w:type="spellEnd"/>
      <w:r w:rsidRPr="00575BF9">
        <w:rPr>
          <w:color w:val="auto"/>
          <w:sz w:val="20"/>
        </w:rPr>
        <w:t xml:space="preserve"> cilj 2). Za ostale </w:t>
      </w:r>
      <w:proofErr w:type="spellStart"/>
      <w:r w:rsidRPr="00575BF9">
        <w:rPr>
          <w:color w:val="auto"/>
          <w:sz w:val="20"/>
        </w:rPr>
        <w:t>okoljske</w:t>
      </w:r>
      <w:proofErr w:type="spellEnd"/>
      <w:r w:rsidRPr="00575BF9">
        <w:rPr>
          <w:color w:val="auto"/>
          <w:sz w:val="20"/>
        </w:rPr>
        <w:t xml:space="preserve"> cilje je še vedno potrebno izdelati oceno skladnosti z načelom DNSH skladno s Tehničnimi smernicami za DNSH</w:t>
      </w:r>
      <w:r w:rsidRPr="00575BF9">
        <w:rPr>
          <w:color w:val="auto"/>
          <w:sz w:val="20"/>
          <w:vertAlign w:val="superscript"/>
        </w:rPr>
        <w:t>4</w:t>
      </w:r>
      <w:r w:rsidRPr="00575BF9">
        <w:rPr>
          <w:color w:val="auto"/>
          <w:sz w:val="20"/>
        </w:rPr>
        <w:t xml:space="preserve">. </w:t>
      </w:r>
    </w:p>
    <w:p w14:paraId="22F60626" w14:textId="77777777" w:rsidR="00F97579" w:rsidRPr="00575BF9" w:rsidRDefault="0093786D">
      <w:pPr>
        <w:spacing w:after="18"/>
        <w:ind w:left="567"/>
        <w:rPr>
          <w:color w:val="auto"/>
        </w:rPr>
      </w:pPr>
      <w:r w:rsidRPr="00575BF9">
        <w:rPr>
          <w:color w:val="auto"/>
          <w:sz w:val="20"/>
        </w:rPr>
        <w:t xml:space="preserve"> </w:t>
      </w:r>
    </w:p>
    <w:p w14:paraId="5356A45D" w14:textId="77777777" w:rsidR="00F97579" w:rsidRPr="00575BF9" w:rsidRDefault="0093786D">
      <w:pPr>
        <w:spacing w:after="19"/>
        <w:ind w:left="567"/>
        <w:rPr>
          <w:color w:val="auto"/>
        </w:rPr>
      </w:pPr>
      <w:r w:rsidRPr="00575BF9">
        <w:rPr>
          <w:b/>
          <w:i/>
          <w:color w:val="auto"/>
          <w:sz w:val="20"/>
          <w:u w:val="single" w:color="000000"/>
        </w:rPr>
        <w:t>Navodilo:</w:t>
      </w:r>
      <w:r w:rsidRPr="00575BF9">
        <w:rPr>
          <w:b/>
          <w:i/>
          <w:color w:val="auto"/>
          <w:sz w:val="20"/>
        </w:rPr>
        <w:t xml:space="preserve"> </w:t>
      </w:r>
    </w:p>
    <w:p w14:paraId="3DEC6558" w14:textId="77777777" w:rsidR="00F97579" w:rsidRPr="00575BF9" w:rsidRDefault="0093786D">
      <w:pPr>
        <w:spacing w:after="226" w:line="277" w:lineRule="auto"/>
        <w:ind w:left="567" w:right="27"/>
        <w:jc w:val="both"/>
        <w:rPr>
          <w:color w:val="auto"/>
        </w:rPr>
      </w:pPr>
      <w:r w:rsidRPr="00575BF9">
        <w:rPr>
          <w:i/>
          <w:color w:val="auto"/>
          <w:sz w:val="20"/>
        </w:rPr>
        <w:t xml:space="preserve">Pri pripravi ocene krepitve podnebne odpornosti je treba upoštevati, da je proces izdelave ocene razdeljen na dva stebra (blažitev in prilagajanje) ter v dve fazi (pregled in podrobna analiza). Nujnost izvedbe podrobne analize je odvisna od izida faze pregleda. </w:t>
      </w:r>
    </w:p>
    <w:p w14:paraId="30F8A77A" w14:textId="77777777" w:rsidR="00F97579" w:rsidRPr="00575BF9" w:rsidRDefault="0093786D">
      <w:pPr>
        <w:spacing w:after="0"/>
        <w:ind w:left="567"/>
        <w:rPr>
          <w:color w:val="auto"/>
        </w:rPr>
      </w:pPr>
      <w:r w:rsidRPr="00575BF9">
        <w:rPr>
          <w:noProof/>
          <w:color w:val="auto"/>
        </w:rPr>
        <mc:AlternateContent>
          <mc:Choice Requires="wpg">
            <w:drawing>
              <wp:inline distT="0" distB="0" distL="0" distR="0" wp14:anchorId="7FE37DD3" wp14:editId="555EF9D8">
                <wp:extent cx="1829054" cy="7620"/>
                <wp:effectExtent l="0" t="0" r="0" b="0"/>
                <wp:docPr id="10273" name="Group 1027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2797" name="Shape 1279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273" style="width:144.02pt;height:0.599976pt;mso-position-horizontal-relative:char;mso-position-vertical-relative:line" coordsize="18290,76">
                <v:shape id="Shape 12798" style="position:absolute;width:18290;height:91;left:0;top:0;" coordsize="1829054,9144" path="m0,0l1829054,0l1829054,9144l0,9144l0,0">
                  <v:stroke weight="0pt" endcap="flat" joinstyle="miter" miterlimit="10" on="false" color="#000000" opacity="0"/>
                  <v:fill on="true" color="#000000"/>
                </v:shape>
              </v:group>
            </w:pict>
          </mc:Fallback>
        </mc:AlternateContent>
      </w:r>
      <w:r w:rsidRPr="00575BF9">
        <w:rPr>
          <w:rFonts w:ascii="Times New Roman" w:eastAsia="Times New Roman" w:hAnsi="Times New Roman" w:cs="Times New Roman"/>
          <w:color w:val="auto"/>
          <w:sz w:val="24"/>
        </w:rPr>
        <w:t xml:space="preserve"> </w:t>
      </w:r>
    </w:p>
    <w:p w14:paraId="4E3DCA3D" w14:textId="77777777" w:rsidR="00F97579" w:rsidRPr="00575BF9" w:rsidRDefault="0093786D">
      <w:pPr>
        <w:numPr>
          <w:ilvl w:val="0"/>
          <w:numId w:val="1"/>
        </w:numPr>
        <w:spacing w:after="0"/>
        <w:ind w:right="8" w:hanging="86"/>
        <w:rPr>
          <w:color w:val="auto"/>
        </w:rPr>
      </w:pPr>
      <w:r w:rsidRPr="00575BF9">
        <w:rPr>
          <w:color w:val="auto"/>
          <w:sz w:val="16"/>
        </w:rPr>
        <w:t>Dostopno na</w:t>
      </w:r>
      <w:hyperlink r:id="rId9">
        <w:r w:rsidRPr="00575BF9">
          <w:rPr>
            <w:color w:val="auto"/>
            <w:sz w:val="16"/>
          </w:rPr>
          <w:t>: https://evropskasredstva.si/app/uploads/2023/10/Smernice</w:t>
        </w:r>
      </w:hyperlink>
      <w:hyperlink r:id="rId10">
        <w:r w:rsidRPr="00575BF9">
          <w:rPr>
            <w:color w:val="auto"/>
            <w:sz w:val="16"/>
          </w:rPr>
          <w:t>-</w:t>
        </w:r>
      </w:hyperlink>
      <w:hyperlink r:id="rId11">
        <w:r w:rsidRPr="00575BF9">
          <w:rPr>
            <w:color w:val="auto"/>
            <w:sz w:val="16"/>
          </w:rPr>
          <w:t>za</w:t>
        </w:r>
      </w:hyperlink>
      <w:hyperlink r:id="rId12">
        <w:r w:rsidRPr="00575BF9">
          <w:rPr>
            <w:color w:val="auto"/>
            <w:sz w:val="16"/>
          </w:rPr>
          <w:t>-</w:t>
        </w:r>
      </w:hyperlink>
      <w:hyperlink r:id="rId13">
        <w:r w:rsidRPr="00575BF9">
          <w:rPr>
            <w:color w:val="auto"/>
            <w:sz w:val="16"/>
          </w:rPr>
          <w:t>krepitev</w:t>
        </w:r>
      </w:hyperlink>
      <w:hyperlink r:id="rId14">
        <w:r w:rsidRPr="00575BF9">
          <w:rPr>
            <w:color w:val="auto"/>
            <w:sz w:val="16"/>
          </w:rPr>
          <w:t>-</w:t>
        </w:r>
      </w:hyperlink>
      <w:hyperlink r:id="rId15">
        <w:r w:rsidRPr="00575BF9">
          <w:rPr>
            <w:color w:val="auto"/>
            <w:sz w:val="16"/>
          </w:rPr>
          <w:t>podnebne</w:t>
        </w:r>
      </w:hyperlink>
      <w:hyperlink r:id="rId16">
        <w:r w:rsidRPr="00575BF9">
          <w:rPr>
            <w:color w:val="auto"/>
            <w:sz w:val="16"/>
          </w:rPr>
          <w:t>-</w:t>
        </w:r>
      </w:hyperlink>
      <w:hyperlink r:id="rId17">
        <w:r w:rsidRPr="00575BF9">
          <w:rPr>
            <w:color w:val="auto"/>
            <w:sz w:val="16"/>
          </w:rPr>
          <w:t>odpornosti_verzija1_7</w:t>
        </w:r>
      </w:hyperlink>
      <w:hyperlink r:id="rId18">
        <w:r w:rsidRPr="00575BF9">
          <w:rPr>
            <w:color w:val="auto"/>
            <w:sz w:val="16"/>
          </w:rPr>
          <w:t>-</w:t>
        </w:r>
      </w:hyperlink>
      <w:hyperlink r:id="rId19">
        <w:r w:rsidRPr="00575BF9">
          <w:rPr>
            <w:color w:val="auto"/>
            <w:sz w:val="16"/>
          </w:rPr>
          <w:t>9</w:t>
        </w:r>
      </w:hyperlink>
      <w:hyperlink r:id="rId20">
        <w:r w:rsidRPr="00575BF9">
          <w:rPr>
            <w:color w:val="auto"/>
            <w:sz w:val="16"/>
          </w:rPr>
          <w:t>-</w:t>
        </w:r>
      </w:hyperlink>
      <w:hyperlink r:id="rId21">
        <w:r w:rsidRPr="00575BF9">
          <w:rPr>
            <w:color w:val="auto"/>
            <w:sz w:val="16"/>
          </w:rPr>
          <w:t>2023_1.pdf</w:t>
        </w:r>
      </w:hyperlink>
      <w:hyperlink r:id="rId22">
        <w:r w:rsidRPr="00575BF9">
          <w:rPr>
            <w:color w:val="auto"/>
            <w:sz w:val="16"/>
          </w:rPr>
          <w:t xml:space="preserve">  </w:t>
        </w:r>
      </w:hyperlink>
    </w:p>
    <w:p w14:paraId="3384549C" w14:textId="77777777" w:rsidR="00F97579" w:rsidRPr="00575BF9" w:rsidRDefault="00B156DB">
      <w:pPr>
        <w:numPr>
          <w:ilvl w:val="0"/>
          <w:numId w:val="1"/>
        </w:numPr>
        <w:spacing w:after="0" w:line="273" w:lineRule="auto"/>
        <w:ind w:right="8" w:hanging="86"/>
        <w:rPr>
          <w:color w:val="auto"/>
        </w:rPr>
      </w:pPr>
      <w:hyperlink r:id="rId23">
        <w:r w:rsidR="0093786D" w:rsidRPr="00575BF9">
          <w:rPr>
            <w:color w:val="auto"/>
            <w:sz w:val="16"/>
          </w:rPr>
          <w:t>Uredba (EU) 2021/1060 Evropskega parlamenta in Sveta z dne 24. junija 2021 o določitvi skupnih določb o Evropskem skladu za r</w:t>
        </w:r>
      </w:hyperlink>
      <w:hyperlink r:id="rId24">
        <w:r w:rsidR="0093786D" w:rsidRPr="00575BF9">
          <w:rPr>
            <w:color w:val="auto"/>
            <w:sz w:val="16"/>
          </w:rPr>
          <w:t xml:space="preserve">egionalni </w:t>
        </w:r>
      </w:hyperlink>
      <w:hyperlink r:id="rId25">
        <w:r w:rsidR="0093786D" w:rsidRPr="00575BF9">
          <w:rPr>
            <w:color w:val="auto"/>
            <w:sz w:val="16"/>
          </w:rPr>
          <w:t xml:space="preserve">razvoj, Evropskem socialnem skladu plus, Kohezijskem skladu, Skladu za pravični prehod in Evropskem skladu za pomorstvo, ribištvo in </w:t>
        </w:r>
      </w:hyperlink>
      <w:hyperlink r:id="rId26">
        <w:r w:rsidR="0093786D" w:rsidRPr="00575BF9">
          <w:rPr>
            <w:color w:val="auto"/>
            <w:sz w:val="16"/>
          </w:rPr>
          <w:t xml:space="preserve">akvakulturo ter finančnih pravil zanje in za Sklad za azil, migracije in vključevanje, Sklad za notranjo varnost in Instrument za finančno podporo </w:t>
        </w:r>
      </w:hyperlink>
      <w:hyperlink r:id="rId27">
        <w:r w:rsidR="0093786D" w:rsidRPr="00575BF9">
          <w:rPr>
            <w:color w:val="auto"/>
            <w:sz w:val="16"/>
          </w:rPr>
          <w:t>za upravljanje meja in vizumsko politiko</w:t>
        </w:r>
      </w:hyperlink>
      <w:hyperlink r:id="rId28">
        <w:r w:rsidR="0093786D" w:rsidRPr="00575BF9">
          <w:rPr>
            <w:color w:val="auto"/>
            <w:sz w:val="16"/>
          </w:rPr>
          <w:t xml:space="preserve"> </w:t>
        </w:r>
      </w:hyperlink>
    </w:p>
    <w:p w14:paraId="76AEC554" w14:textId="77777777" w:rsidR="00F97579" w:rsidRPr="00575BF9" w:rsidRDefault="00B156DB">
      <w:pPr>
        <w:numPr>
          <w:ilvl w:val="0"/>
          <w:numId w:val="1"/>
        </w:numPr>
        <w:spacing w:after="0"/>
        <w:ind w:right="8" w:hanging="86"/>
        <w:rPr>
          <w:color w:val="auto"/>
        </w:rPr>
      </w:pPr>
      <w:hyperlink r:id="rId29">
        <w:r w:rsidR="0093786D" w:rsidRPr="00575BF9">
          <w:rPr>
            <w:color w:val="auto"/>
            <w:sz w:val="16"/>
          </w:rPr>
          <w:t xml:space="preserve">Obvestilo Komisije </w:t>
        </w:r>
      </w:hyperlink>
      <w:hyperlink r:id="rId30">
        <w:r w:rsidR="0093786D" w:rsidRPr="00575BF9">
          <w:rPr>
            <w:color w:val="auto"/>
            <w:sz w:val="16"/>
          </w:rPr>
          <w:t xml:space="preserve">- </w:t>
        </w:r>
      </w:hyperlink>
      <w:hyperlink r:id="rId31">
        <w:r w:rsidR="0093786D" w:rsidRPr="00575BF9">
          <w:rPr>
            <w:color w:val="auto"/>
            <w:sz w:val="16"/>
          </w:rPr>
          <w:t xml:space="preserve">Tehnične smernice za krepitev podnebne odpornosti </w:t>
        </w:r>
      </w:hyperlink>
      <w:hyperlink r:id="rId32">
        <w:r w:rsidR="0093786D" w:rsidRPr="00575BF9">
          <w:rPr>
            <w:color w:val="auto"/>
            <w:sz w:val="16"/>
          </w:rPr>
          <w:t>infrastrukture v obdobju 2021</w:t>
        </w:r>
      </w:hyperlink>
      <w:hyperlink r:id="rId33">
        <w:r w:rsidR="0093786D" w:rsidRPr="00575BF9">
          <w:rPr>
            <w:color w:val="auto"/>
            <w:sz w:val="16"/>
          </w:rPr>
          <w:t>–</w:t>
        </w:r>
      </w:hyperlink>
      <w:hyperlink r:id="rId34">
        <w:r w:rsidR="0093786D" w:rsidRPr="00575BF9">
          <w:rPr>
            <w:color w:val="auto"/>
            <w:sz w:val="16"/>
          </w:rPr>
          <w:t>2027</w:t>
        </w:r>
      </w:hyperlink>
      <w:hyperlink r:id="rId35">
        <w:r w:rsidR="0093786D" w:rsidRPr="00575BF9">
          <w:rPr>
            <w:color w:val="auto"/>
            <w:sz w:val="16"/>
          </w:rPr>
          <w:t xml:space="preserve"> </w:t>
        </w:r>
      </w:hyperlink>
    </w:p>
    <w:p w14:paraId="29D50D7F" w14:textId="77777777" w:rsidR="00F97579" w:rsidRPr="00575BF9" w:rsidRDefault="00B156DB">
      <w:pPr>
        <w:numPr>
          <w:ilvl w:val="0"/>
          <w:numId w:val="1"/>
        </w:numPr>
        <w:spacing w:after="300" w:line="273" w:lineRule="auto"/>
        <w:ind w:right="8" w:hanging="86"/>
        <w:rPr>
          <w:color w:val="auto"/>
        </w:rPr>
      </w:pPr>
      <w:hyperlink r:id="rId36">
        <w:r w:rsidR="0093786D" w:rsidRPr="00575BF9">
          <w:rPr>
            <w:color w:val="auto"/>
            <w:sz w:val="16"/>
          </w:rPr>
          <w:t xml:space="preserve">Obvestilo Komisije </w:t>
        </w:r>
      </w:hyperlink>
      <w:hyperlink r:id="rId37">
        <w:r w:rsidR="0093786D" w:rsidRPr="00575BF9">
          <w:rPr>
            <w:color w:val="auto"/>
            <w:sz w:val="16"/>
          </w:rPr>
          <w:t xml:space="preserve">- </w:t>
        </w:r>
      </w:hyperlink>
      <w:hyperlink r:id="rId38">
        <w:r w:rsidR="0093786D" w:rsidRPr="00575BF9">
          <w:rPr>
            <w:color w:val="auto"/>
            <w:sz w:val="16"/>
          </w:rPr>
          <w:t xml:space="preserve">Tehnične smernice za uporabo „načela, da se ne škoduje bistveno“ v skladu z uredbo o vzpostavitvi mehanizma za </w:t>
        </w:r>
      </w:hyperlink>
      <w:hyperlink r:id="rId39">
        <w:r w:rsidR="0093786D" w:rsidRPr="00575BF9">
          <w:rPr>
            <w:color w:val="auto"/>
            <w:sz w:val="16"/>
          </w:rPr>
          <w:t>okrevanje in odpornost 2021/C 58/01</w:t>
        </w:r>
      </w:hyperlink>
      <w:hyperlink r:id="rId40">
        <w:r w:rsidR="0093786D" w:rsidRPr="00575BF9">
          <w:rPr>
            <w:rFonts w:ascii="Times New Roman" w:eastAsia="Times New Roman" w:hAnsi="Times New Roman" w:cs="Times New Roman"/>
            <w:color w:val="auto"/>
            <w:sz w:val="20"/>
          </w:rPr>
          <w:t xml:space="preserve"> </w:t>
        </w:r>
      </w:hyperlink>
    </w:p>
    <w:p w14:paraId="6C4653EE" w14:textId="610EB0FE" w:rsidR="0093786D" w:rsidRDefault="0093786D" w:rsidP="0093786D">
      <w:pPr>
        <w:spacing w:after="394"/>
        <w:ind w:left="638"/>
        <w:rPr>
          <w:rFonts w:ascii="Times New Roman" w:eastAsia="Times New Roman" w:hAnsi="Times New Roman" w:cs="Times New Roman"/>
          <w:color w:val="auto"/>
          <w:sz w:val="24"/>
        </w:rPr>
      </w:pPr>
    </w:p>
    <w:p w14:paraId="62BE4F8A" w14:textId="06EDCFB7" w:rsidR="00F97579" w:rsidRPr="00575BF9" w:rsidRDefault="0093786D" w:rsidP="0093786D">
      <w:pPr>
        <w:spacing w:after="394"/>
        <w:ind w:left="567"/>
        <w:rPr>
          <w:color w:val="auto"/>
        </w:rPr>
      </w:pPr>
      <w:r w:rsidRPr="00575BF9">
        <w:rPr>
          <w:i/>
          <w:color w:val="auto"/>
          <w:sz w:val="20"/>
        </w:rPr>
        <w:t xml:space="preserve">Postopek priprave ocene krepitve podnebne odpornosti zajema naslednje aktivnosti: </w:t>
      </w:r>
    </w:p>
    <w:p w14:paraId="39FE4E3B" w14:textId="6B2E34E4" w:rsidR="00F97579" w:rsidRPr="006711B0" w:rsidRDefault="0093786D">
      <w:pPr>
        <w:numPr>
          <w:ilvl w:val="0"/>
          <w:numId w:val="2"/>
        </w:numPr>
        <w:spacing w:after="40" w:line="268" w:lineRule="auto"/>
        <w:ind w:right="27" w:hanging="360"/>
        <w:jc w:val="both"/>
        <w:rPr>
          <w:color w:val="auto"/>
        </w:rPr>
      </w:pPr>
      <w:r w:rsidRPr="00575BF9">
        <w:rPr>
          <w:i/>
          <w:color w:val="auto"/>
          <w:sz w:val="20"/>
        </w:rPr>
        <w:t xml:space="preserve">v tabeli 1 so povzeta navodila za izvedbo procesa krepitve podnebne odpornosti infrastrukture. V tej tabeli je potrebno skladno z navodili ustrezno utemeljiti </w:t>
      </w:r>
      <w:r w:rsidRPr="00575BF9">
        <w:rPr>
          <w:i/>
          <w:color w:val="auto"/>
          <w:sz w:val="20"/>
          <w:u w:val="single" w:color="000000"/>
        </w:rPr>
        <w:t>pregled (Faza 1)</w:t>
      </w:r>
      <w:r w:rsidRPr="00575BF9">
        <w:rPr>
          <w:i/>
          <w:color w:val="auto"/>
          <w:sz w:val="20"/>
        </w:rPr>
        <w:t xml:space="preserve"> in </w:t>
      </w:r>
      <w:r w:rsidRPr="00575BF9">
        <w:rPr>
          <w:i/>
          <w:color w:val="auto"/>
          <w:sz w:val="20"/>
          <w:u w:val="single" w:color="000000"/>
        </w:rPr>
        <w:t>preverjanje (Faza 2)</w:t>
      </w:r>
      <w:r w:rsidRPr="00575BF9">
        <w:rPr>
          <w:i/>
          <w:color w:val="auto"/>
          <w:sz w:val="20"/>
        </w:rPr>
        <w:t xml:space="preserve"> skladnosti operacije s podnebnima razsežnostma. </w:t>
      </w:r>
      <w:bookmarkStart w:id="0" w:name="_Hlk203650740"/>
      <w:r w:rsidRPr="006711B0">
        <w:rPr>
          <w:i/>
          <w:color w:val="auto"/>
          <w:sz w:val="20"/>
          <w:u w:val="single"/>
        </w:rPr>
        <w:t>Primer</w:t>
      </w:r>
      <w:r w:rsidRPr="006711B0">
        <w:rPr>
          <w:i/>
          <w:color w:val="auto"/>
          <w:sz w:val="20"/>
        </w:rPr>
        <w:t xml:space="preserve"> izpolnjene tabele je prikazan v Smernicah organa upravljanja za krepitev podnebne odpornosti infrastrukture v obdobju 2021-2027, na strani 4</w:t>
      </w:r>
      <w:r w:rsidR="003E2DAD" w:rsidRPr="006711B0">
        <w:rPr>
          <w:i/>
          <w:color w:val="auto"/>
          <w:sz w:val="20"/>
        </w:rPr>
        <w:t>5</w:t>
      </w:r>
      <w:r w:rsidRPr="006711B0">
        <w:rPr>
          <w:i/>
          <w:color w:val="auto"/>
          <w:sz w:val="20"/>
        </w:rPr>
        <w:t xml:space="preserve">; </w:t>
      </w:r>
    </w:p>
    <w:bookmarkEnd w:id="0"/>
    <w:p w14:paraId="6C0BF2E4" w14:textId="7E12AB6A" w:rsidR="00F97579" w:rsidRPr="00575BF9" w:rsidRDefault="0093786D">
      <w:pPr>
        <w:numPr>
          <w:ilvl w:val="0"/>
          <w:numId w:val="2"/>
        </w:numPr>
        <w:spacing w:after="31" w:line="277" w:lineRule="auto"/>
        <w:ind w:right="27" w:hanging="360"/>
        <w:jc w:val="both"/>
        <w:rPr>
          <w:color w:val="auto"/>
        </w:rPr>
      </w:pPr>
      <w:r w:rsidRPr="00575BF9">
        <w:rPr>
          <w:i/>
          <w:color w:val="auto"/>
          <w:sz w:val="20"/>
        </w:rPr>
        <w:t xml:space="preserve">v nadaljevanju je potrebno pripraviti podporno dokumentacijo in analizo povzeti v </w:t>
      </w:r>
      <w:r w:rsidRPr="00575BF9">
        <w:rPr>
          <w:i/>
          <w:color w:val="auto"/>
          <w:sz w:val="20"/>
          <w:u w:val="single" w:color="000000"/>
        </w:rPr>
        <w:t>Izjavi o krepitvi</w:t>
      </w:r>
      <w:r w:rsidRPr="00575BF9">
        <w:rPr>
          <w:i/>
          <w:color w:val="auto"/>
          <w:sz w:val="20"/>
        </w:rPr>
        <w:t xml:space="preserve"> </w:t>
      </w:r>
      <w:r w:rsidRPr="00575BF9">
        <w:rPr>
          <w:i/>
          <w:color w:val="auto"/>
          <w:sz w:val="20"/>
          <w:u w:val="single" w:color="000000"/>
        </w:rPr>
        <w:t>podnebne odpornosti (tabela 2)</w:t>
      </w:r>
      <w:r w:rsidRPr="00575BF9">
        <w:rPr>
          <w:i/>
          <w:color w:val="auto"/>
          <w:sz w:val="20"/>
        </w:rPr>
        <w:t>, ki vključuje obrazložitev, kako je bila krepitev podnebne odpornosti izvedena, ter glavne ugotovitve, povezane s podnebnim blaženjem in prilagajanjem</w:t>
      </w:r>
      <w:r>
        <w:rPr>
          <w:i/>
          <w:color w:val="auto"/>
          <w:sz w:val="20"/>
        </w:rPr>
        <w:t>;</w:t>
      </w:r>
    </w:p>
    <w:p w14:paraId="2171FD48" w14:textId="77777777" w:rsidR="00F97579" w:rsidRPr="00575BF9" w:rsidRDefault="0093786D">
      <w:pPr>
        <w:numPr>
          <w:ilvl w:val="0"/>
          <w:numId w:val="2"/>
        </w:numPr>
        <w:spacing w:after="0" w:line="277" w:lineRule="auto"/>
        <w:ind w:right="27" w:hanging="360"/>
        <w:jc w:val="both"/>
        <w:rPr>
          <w:color w:val="auto"/>
        </w:rPr>
      </w:pPr>
      <w:r w:rsidRPr="00575BF9">
        <w:rPr>
          <w:i/>
          <w:color w:val="auto"/>
          <w:sz w:val="20"/>
        </w:rPr>
        <w:t xml:space="preserve">podporno dokumentacijo faze 1 in faze 2 iz obeh stebrov se na koncu postopka združi v zbirno dokumentacijo o pregledu/preverjanju podnebne razsežnosti, ki predstavlja del dokumentacije, ki jo je potrebno priložiti k vlogi. To velja tudi v primeru kadar se pregled zaključi v fazi 1. </w:t>
      </w:r>
    </w:p>
    <w:p w14:paraId="2D0E6EBA" w14:textId="77777777" w:rsidR="00F97579" w:rsidRDefault="0093786D">
      <w:pPr>
        <w:spacing w:after="0"/>
        <w:ind w:left="567"/>
      </w:pPr>
      <w:r w:rsidRPr="00575BF9">
        <w:rPr>
          <w:rFonts w:ascii="Arial" w:eastAsia="Arial" w:hAnsi="Arial" w:cs="Arial"/>
          <w:i/>
          <w:color w:val="auto"/>
          <w:sz w:val="18"/>
        </w:rPr>
        <w:t xml:space="preserve"> </w:t>
      </w:r>
      <w:r w:rsidRPr="00575BF9">
        <w:rPr>
          <w:rFonts w:ascii="Arial" w:eastAsia="Arial" w:hAnsi="Arial" w:cs="Arial"/>
          <w:i/>
          <w:color w:val="auto"/>
          <w:sz w:val="18"/>
        </w:rPr>
        <w:tab/>
        <w:t xml:space="preserve"> </w:t>
      </w:r>
      <w:r w:rsidRPr="00575BF9">
        <w:rPr>
          <w:color w:val="auto"/>
        </w:rPr>
        <w:br w:type="page"/>
      </w:r>
    </w:p>
    <w:p w14:paraId="0B5BA2AB" w14:textId="26EFD598" w:rsidR="00F97579" w:rsidRPr="001145A2" w:rsidRDefault="001145A2" w:rsidP="001145A2">
      <w:pPr>
        <w:spacing w:after="0" w:line="360" w:lineRule="auto"/>
        <w:ind w:left="567"/>
        <w:rPr>
          <w:b/>
          <w:bCs/>
          <w:sz w:val="20"/>
          <w:szCs w:val="20"/>
        </w:rPr>
      </w:pPr>
      <w:r w:rsidRPr="001145A2">
        <w:rPr>
          <w:b/>
          <w:bCs/>
          <w:sz w:val="20"/>
          <w:szCs w:val="20"/>
        </w:rPr>
        <w:lastRenderedPageBreak/>
        <w:t>Naziv vloge:</w:t>
      </w:r>
    </w:p>
    <w:p w14:paraId="4B11B22D" w14:textId="581289F4" w:rsidR="001145A2" w:rsidRPr="001145A2" w:rsidRDefault="001145A2" w:rsidP="001145A2">
      <w:pPr>
        <w:spacing w:after="0" w:line="360" w:lineRule="auto"/>
        <w:ind w:left="567"/>
        <w:rPr>
          <w:b/>
          <w:bCs/>
          <w:sz w:val="20"/>
          <w:szCs w:val="20"/>
        </w:rPr>
      </w:pPr>
      <w:r w:rsidRPr="001145A2">
        <w:rPr>
          <w:b/>
          <w:bCs/>
          <w:sz w:val="20"/>
          <w:szCs w:val="20"/>
        </w:rPr>
        <w:t>Naziv vlagatelja:</w:t>
      </w:r>
    </w:p>
    <w:p w14:paraId="5F16CCA1" w14:textId="1C7424B0" w:rsidR="001145A2" w:rsidRPr="001145A2" w:rsidRDefault="001145A2" w:rsidP="001145A2">
      <w:pPr>
        <w:spacing w:after="0" w:line="360" w:lineRule="auto"/>
        <w:ind w:left="567"/>
        <w:rPr>
          <w:b/>
          <w:bCs/>
          <w:sz w:val="20"/>
          <w:szCs w:val="20"/>
        </w:rPr>
      </w:pPr>
      <w:r w:rsidRPr="001145A2">
        <w:rPr>
          <w:b/>
          <w:bCs/>
          <w:sz w:val="20"/>
          <w:szCs w:val="20"/>
        </w:rPr>
        <w:t>Ime in priimek odgovorne osebe vlagatelja:</w:t>
      </w:r>
    </w:p>
    <w:p w14:paraId="16502AE1" w14:textId="17FE3ECB" w:rsidR="00F97579" w:rsidRPr="001145A2" w:rsidRDefault="00F97579">
      <w:pPr>
        <w:spacing w:after="24"/>
        <w:ind w:left="567"/>
        <w:rPr>
          <w:sz w:val="20"/>
          <w:szCs w:val="20"/>
        </w:rPr>
      </w:pPr>
    </w:p>
    <w:p w14:paraId="1C89BEC0" w14:textId="40C6BAE4" w:rsidR="00F97579" w:rsidRPr="001145A2" w:rsidRDefault="0093786D">
      <w:pPr>
        <w:spacing w:after="0"/>
        <w:ind w:left="567"/>
        <w:rPr>
          <w:sz w:val="20"/>
          <w:szCs w:val="20"/>
        </w:rPr>
      </w:pPr>
      <w:r w:rsidRPr="001145A2">
        <w:rPr>
          <w:sz w:val="20"/>
          <w:szCs w:val="20"/>
        </w:rPr>
        <w:t xml:space="preserve">Tabela 1: Povzetek procesa krepitve podnebne odpornosti infrastrukture </w:t>
      </w:r>
      <w:r w:rsidR="00795606" w:rsidRPr="006711B0">
        <w:rPr>
          <w:sz w:val="20"/>
          <w:szCs w:val="20"/>
        </w:rPr>
        <w:t>(primer)</w:t>
      </w:r>
    </w:p>
    <w:tbl>
      <w:tblPr>
        <w:tblStyle w:val="TableGrid"/>
        <w:tblW w:w="8865" w:type="dxa"/>
        <w:tblInd w:w="486" w:type="dxa"/>
        <w:tblCellMar>
          <w:top w:w="45" w:type="dxa"/>
          <w:left w:w="30" w:type="dxa"/>
          <w:right w:w="53" w:type="dxa"/>
        </w:tblCellMar>
        <w:tblLook w:val="04A0" w:firstRow="1" w:lastRow="0" w:firstColumn="1" w:lastColumn="0" w:noHBand="0" w:noVBand="1"/>
      </w:tblPr>
      <w:tblGrid>
        <w:gridCol w:w="4622"/>
        <w:gridCol w:w="4243"/>
      </w:tblGrid>
      <w:tr w:rsidR="001145A2" w:rsidRPr="001145A2" w14:paraId="794E5F36" w14:textId="77777777" w:rsidTr="00575BF9">
        <w:trPr>
          <w:trHeight w:val="708"/>
        </w:trPr>
        <w:tc>
          <w:tcPr>
            <w:tcW w:w="462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E2A9A13" w14:textId="0AF5A3EB" w:rsidR="001145A2" w:rsidRPr="001145A2" w:rsidRDefault="001145A2" w:rsidP="001145A2">
            <w:pPr>
              <w:spacing w:after="97"/>
              <w:ind w:left="77"/>
              <w:jc w:val="center"/>
              <w:rPr>
                <w:rFonts w:eastAsia="Arial"/>
                <w:bCs/>
                <w:sz w:val="20"/>
                <w:szCs w:val="20"/>
              </w:rPr>
            </w:pPr>
            <w:r w:rsidRPr="001145A2">
              <w:rPr>
                <w:rFonts w:eastAsia="Arial"/>
                <w:bCs/>
                <w:sz w:val="20"/>
                <w:szCs w:val="20"/>
              </w:rPr>
              <w:t>Namen: podnebna nevtralnost</w:t>
            </w:r>
          </w:p>
          <w:p w14:paraId="7C2E402F" w14:textId="6E89821B" w:rsidR="001145A2" w:rsidRPr="001145A2" w:rsidRDefault="001145A2" w:rsidP="001145A2">
            <w:pPr>
              <w:spacing w:after="97"/>
              <w:ind w:left="77"/>
              <w:jc w:val="center"/>
              <w:rPr>
                <w:bCs/>
                <w:sz w:val="20"/>
                <w:szCs w:val="20"/>
              </w:rPr>
            </w:pPr>
            <w:r w:rsidRPr="001145A2">
              <w:rPr>
                <w:rFonts w:eastAsia="Arial"/>
                <w:bCs/>
                <w:sz w:val="20"/>
                <w:szCs w:val="20"/>
              </w:rPr>
              <w:t xml:space="preserve">Blaženje podnebnih sprememb                           </w:t>
            </w:r>
            <w:r w:rsidR="00795606">
              <w:rPr>
                <w:rFonts w:eastAsia="Arial"/>
                <w:bCs/>
                <w:sz w:val="20"/>
                <w:szCs w:val="20"/>
              </w:rPr>
              <w:t xml:space="preserve">   </w:t>
            </w:r>
            <w:r w:rsidRPr="001145A2">
              <w:rPr>
                <w:rFonts w:eastAsia="Arial"/>
                <w:bCs/>
                <w:sz w:val="20"/>
                <w:szCs w:val="20"/>
              </w:rPr>
              <w:t>(</w:t>
            </w:r>
            <w:proofErr w:type="spellStart"/>
            <w:r w:rsidRPr="001145A2">
              <w:rPr>
                <w:rFonts w:eastAsia="Arial"/>
                <w:bCs/>
                <w:sz w:val="20"/>
                <w:szCs w:val="20"/>
              </w:rPr>
              <w:t>okoljski</w:t>
            </w:r>
            <w:proofErr w:type="spellEnd"/>
            <w:r w:rsidRPr="001145A2">
              <w:rPr>
                <w:rFonts w:eastAsia="Arial"/>
                <w:bCs/>
                <w:sz w:val="20"/>
                <w:szCs w:val="20"/>
              </w:rPr>
              <w:t xml:space="preserve"> cilj 1)</w:t>
            </w:r>
          </w:p>
        </w:tc>
        <w:tc>
          <w:tcPr>
            <w:tcW w:w="424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D4B4A1C" w14:textId="2EC8A259" w:rsidR="001145A2" w:rsidRPr="001145A2" w:rsidRDefault="001145A2" w:rsidP="001145A2">
            <w:pPr>
              <w:spacing w:after="62"/>
              <w:ind w:left="78"/>
              <w:jc w:val="center"/>
              <w:rPr>
                <w:rFonts w:eastAsia="Arial"/>
                <w:bCs/>
                <w:sz w:val="20"/>
                <w:szCs w:val="20"/>
              </w:rPr>
            </w:pPr>
            <w:r w:rsidRPr="001145A2">
              <w:rPr>
                <w:rFonts w:eastAsia="Arial"/>
                <w:bCs/>
                <w:sz w:val="20"/>
                <w:szCs w:val="20"/>
              </w:rPr>
              <w:t>Namen: podnebna odpornost</w:t>
            </w:r>
          </w:p>
          <w:p w14:paraId="21207A7D" w14:textId="77777777" w:rsidR="001145A2" w:rsidRPr="001145A2" w:rsidRDefault="001145A2" w:rsidP="001145A2">
            <w:pPr>
              <w:spacing w:after="62"/>
              <w:ind w:left="78"/>
              <w:jc w:val="center"/>
              <w:rPr>
                <w:rFonts w:eastAsia="Arial"/>
                <w:bCs/>
                <w:sz w:val="20"/>
                <w:szCs w:val="20"/>
              </w:rPr>
            </w:pPr>
            <w:r w:rsidRPr="001145A2">
              <w:rPr>
                <w:rFonts w:eastAsia="Arial"/>
                <w:bCs/>
                <w:sz w:val="20"/>
                <w:szCs w:val="20"/>
              </w:rPr>
              <w:t xml:space="preserve">Prilagajanje na podnebne spremembe   </w:t>
            </w:r>
          </w:p>
          <w:p w14:paraId="4E38EFA5" w14:textId="24628069" w:rsidR="001145A2" w:rsidRPr="001145A2" w:rsidRDefault="001145A2" w:rsidP="001145A2">
            <w:pPr>
              <w:spacing w:after="62"/>
              <w:ind w:left="78"/>
              <w:jc w:val="center"/>
              <w:rPr>
                <w:bCs/>
                <w:sz w:val="20"/>
                <w:szCs w:val="20"/>
              </w:rPr>
            </w:pPr>
            <w:r w:rsidRPr="001145A2">
              <w:rPr>
                <w:rFonts w:eastAsia="Arial"/>
                <w:bCs/>
                <w:sz w:val="20"/>
                <w:szCs w:val="20"/>
              </w:rPr>
              <w:t>(</w:t>
            </w:r>
            <w:proofErr w:type="spellStart"/>
            <w:r w:rsidRPr="001145A2">
              <w:rPr>
                <w:rFonts w:eastAsia="Arial"/>
                <w:bCs/>
                <w:sz w:val="20"/>
                <w:szCs w:val="20"/>
              </w:rPr>
              <w:t>okoljski</w:t>
            </w:r>
            <w:proofErr w:type="spellEnd"/>
            <w:r w:rsidRPr="001145A2">
              <w:rPr>
                <w:rFonts w:eastAsia="Arial"/>
                <w:bCs/>
                <w:sz w:val="20"/>
                <w:szCs w:val="20"/>
              </w:rPr>
              <w:t xml:space="preserve"> cilj 2)</w:t>
            </w:r>
          </w:p>
        </w:tc>
      </w:tr>
      <w:tr w:rsidR="001145A2" w:rsidRPr="001145A2" w14:paraId="3EC0B8E6" w14:textId="77777777" w:rsidTr="00795606">
        <w:trPr>
          <w:trHeight w:val="398"/>
        </w:trPr>
        <w:tc>
          <w:tcPr>
            <w:tcW w:w="4622" w:type="dxa"/>
            <w:tcBorders>
              <w:top w:val="single" w:sz="4" w:space="0" w:color="000000"/>
              <w:left w:val="single" w:sz="4" w:space="0" w:color="000000"/>
              <w:bottom w:val="single" w:sz="4" w:space="0" w:color="000000"/>
              <w:right w:val="single" w:sz="4" w:space="0" w:color="000000"/>
            </w:tcBorders>
            <w:shd w:val="clear" w:color="auto" w:fill="D9D9D9"/>
          </w:tcPr>
          <w:p w14:paraId="4EA78564" w14:textId="77777777" w:rsidR="001145A2" w:rsidRPr="001145A2" w:rsidRDefault="001145A2" w:rsidP="006B3621">
            <w:pPr>
              <w:ind w:left="77"/>
              <w:rPr>
                <w:sz w:val="20"/>
                <w:szCs w:val="20"/>
              </w:rPr>
            </w:pPr>
            <w:r w:rsidRPr="001145A2">
              <w:rPr>
                <w:sz w:val="20"/>
                <w:szCs w:val="20"/>
              </w:rPr>
              <w:t xml:space="preserve">Pregled – faza 1 (blaženje) </w:t>
            </w:r>
          </w:p>
        </w:tc>
        <w:tc>
          <w:tcPr>
            <w:tcW w:w="4243" w:type="dxa"/>
            <w:tcBorders>
              <w:top w:val="single" w:sz="4" w:space="0" w:color="000000"/>
              <w:left w:val="single" w:sz="4" w:space="0" w:color="000000"/>
              <w:bottom w:val="single" w:sz="4" w:space="0" w:color="000000"/>
              <w:right w:val="single" w:sz="4" w:space="0" w:color="000000"/>
            </w:tcBorders>
            <w:shd w:val="clear" w:color="auto" w:fill="D9D9D9"/>
          </w:tcPr>
          <w:p w14:paraId="0BB52107" w14:textId="77777777" w:rsidR="001145A2" w:rsidRPr="001145A2" w:rsidRDefault="001145A2" w:rsidP="006B3621">
            <w:pPr>
              <w:ind w:left="78"/>
              <w:rPr>
                <w:sz w:val="20"/>
                <w:szCs w:val="20"/>
              </w:rPr>
            </w:pPr>
            <w:r w:rsidRPr="001145A2">
              <w:rPr>
                <w:sz w:val="20"/>
                <w:szCs w:val="20"/>
              </w:rPr>
              <w:t xml:space="preserve">Pregled – faza 1 (prilagajanje) </w:t>
            </w:r>
          </w:p>
        </w:tc>
      </w:tr>
      <w:tr w:rsidR="001145A2" w:rsidRPr="001145A2" w14:paraId="0C00AB30" w14:textId="77777777" w:rsidTr="00795606">
        <w:trPr>
          <w:trHeight w:val="6623"/>
        </w:trPr>
        <w:tc>
          <w:tcPr>
            <w:tcW w:w="4622" w:type="dxa"/>
            <w:tcBorders>
              <w:top w:val="single" w:sz="4" w:space="0" w:color="000000"/>
              <w:left w:val="single" w:sz="4" w:space="0" w:color="000000"/>
              <w:bottom w:val="single" w:sz="4" w:space="0" w:color="000000"/>
              <w:right w:val="single" w:sz="4" w:space="0" w:color="000000"/>
            </w:tcBorders>
          </w:tcPr>
          <w:p w14:paraId="0282219B" w14:textId="77777777" w:rsidR="001145A2" w:rsidRPr="001145A2" w:rsidRDefault="001145A2" w:rsidP="001145A2">
            <w:pPr>
              <w:ind w:left="77" w:right="58"/>
              <w:jc w:val="both"/>
              <w:rPr>
                <w:sz w:val="20"/>
                <w:szCs w:val="20"/>
              </w:rPr>
            </w:pPr>
            <w:r w:rsidRPr="00795606">
              <w:rPr>
                <w:color w:val="auto"/>
                <w:sz w:val="20"/>
                <w:szCs w:val="20"/>
              </w:rPr>
              <w:t xml:space="preserve">Glede na seznam za pregled – blaženje (preglednica št. 7) mora biti za cestno in železniško infrastrukturo opravljena podrobna analiza, tudi če gre za naložbo v vzdrževanje in za prenovo infrastrukture državnega pomena, ki ne potrebuje gradbenega dovoljenja ali PVO. </w:t>
            </w:r>
          </w:p>
        </w:tc>
        <w:tc>
          <w:tcPr>
            <w:tcW w:w="4243" w:type="dxa"/>
            <w:tcBorders>
              <w:top w:val="single" w:sz="4" w:space="0" w:color="000000"/>
              <w:left w:val="single" w:sz="4" w:space="0" w:color="000000"/>
              <w:bottom w:val="single" w:sz="4" w:space="0" w:color="000000"/>
              <w:right w:val="single" w:sz="4" w:space="0" w:color="000000"/>
            </w:tcBorders>
          </w:tcPr>
          <w:p w14:paraId="554FE6D0" w14:textId="77777777" w:rsidR="001145A2" w:rsidRPr="001145A2" w:rsidRDefault="001145A2" w:rsidP="00795606">
            <w:pPr>
              <w:spacing w:after="111" w:line="241" w:lineRule="auto"/>
              <w:ind w:left="78"/>
              <w:jc w:val="both"/>
              <w:rPr>
                <w:sz w:val="20"/>
                <w:szCs w:val="20"/>
              </w:rPr>
            </w:pPr>
            <w:bookmarkStart w:id="1" w:name="_Hlk203638616"/>
            <w:r w:rsidRPr="001145A2">
              <w:rPr>
                <w:sz w:val="20"/>
                <w:szCs w:val="20"/>
              </w:rPr>
              <w:t xml:space="preserve">Opravi se analiza podnebne občutljivosti, izpostavljenosti in ranljivosti.  </w:t>
            </w:r>
          </w:p>
          <w:p w14:paraId="7556998C" w14:textId="77777777" w:rsidR="001145A2" w:rsidRPr="001145A2" w:rsidRDefault="001145A2" w:rsidP="00795606">
            <w:pPr>
              <w:spacing w:after="79" w:line="241" w:lineRule="auto"/>
              <w:ind w:left="78" w:right="58"/>
              <w:jc w:val="both"/>
              <w:rPr>
                <w:sz w:val="20"/>
                <w:szCs w:val="20"/>
              </w:rPr>
            </w:pPr>
            <w:r w:rsidRPr="001145A2">
              <w:rPr>
                <w:sz w:val="20"/>
                <w:szCs w:val="20"/>
              </w:rPr>
              <w:t xml:space="preserve">Analiza občutljivosti je pokazala, da so železnice ne glede na lokacijo občutljive na te vplive podnebnih sprememb: vročinski valovi, požari v naravi, ekstremni vremenski dogodki (na primer žled, vetrolomi, nalivi, nenadne poplave), poplave, zmrzovanje in taljenje, erozija tal (na primer skalni podori), zemeljski plazovi.  </w:t>
            </w:r>
          </w:p>
          <w:p w14:paraId="164D747E" w14:textId="77777777" w:rsidR="001145A2" w:rsidRPr="001145A2" w:rsidRDefault="001145A2" w:rsidP="00795606">
            <w:pPr>
              <w:spacing w:line="244" w:lineRule="auto"/>
              <w:ind w:left="78" w:right="56"/>
              <w:jc w:val="both"/>
              <w:rPr>
                <w:sz w:val="20"/>
                <w:szCs w:val="20"/>
              </w:rPr>
            </w:pPr>
            <w:r w:rsidRPr="001145A2">
              <w:rPr>
                <w:sz w:val="20"/>
                <w:szCs w:val="20"/>
              </w:rPr>
              <w:t xml:space="preserve">Analiza izpostavljenosti se opravi na podlagi podatkov iz Atlasa podnebnih projekcij in Atlasa okolja, oboje zagotavlja ARSO, ter s podatki iz Atlasa voda in s portala </w:t>
            </w:r>
            <w:proofErr w:type="spellStart"/>
            <w:r w:rsidRPr="001145A2">
              <w:rPr>
                <w:sz w:val="20"/>
                <w:szCs w:val="20"/>
              </w:rPr>
              <w:t>eVode</w:t>
            </w:r>
            <w:proofErr w:type="spellEnd"/>
            <w:r w:rsidRPr="001145A2">
              <w:rPr>
                <w:sz w:val="20"/>
                <w:szCs w:val="20"/>
              </w:rPr>
              <w:t xml:space="preserve"> (DRSV). Podatki o območjih, ki so izpostavljena požarom v naravi, se pridobijo pri Zavodu za gozdove. Analiza izpostavljenosti je pokazala, da je predlagana železniška proga delno na potencialnem poplavnem območju in gozdnatih pobočjih, ki so izpostavljena gozdnim požarom in eroziji tal </w:t>
            </w:r>
          </w:p>
          <w:p w14:paraId="347AB727" w14:textId="77777777" w:rsidR="001145A2" w:rsidRPr="001145A2" w:rsidRDefault="001145A2" w:rsidP="00795606">
            <w:pPr>
              <w:spacing w:after="62"/>
              <w:ind w:left="78" w:right="58"/>
              <w:jc w:val="both"/>
              <w:rPr>
                <w:sz w:val="20"/>
                <w:szCs w:val="20"/>
              </w:rPr>
            </w:pPr>
            <w:r w:rsidRPr="001145A2">
              <w:rPr>
                <w:sz w:val="20"/>
                <w:szCs w:val="20"/>
              </w:rPr>
              <w:t xml:space="preserve">(padanje kamenja zaradi gozdnih požarov). Izpostavljena je tudi visoki vročini v času vročinskih valov. </w:t>
            </w:r>
          </w:p>
          <w:p w14:paraId="62D1218B" w14:textId="77777777" w:rsidR="001145A2" w:rsidRPr="001145A2" w:rsidRDefault="001145A2" w:rsidP="00795606">
            <w:pPr>
              <w:ind w:left="78" w:right="55"/>
              <w:jc w:val="both"/>
              <w:rPr>
                <w:sz w:val="20"/>
                <w:szCs w:val="20"/>
              </w:rPr>
            </w:pPr>
            <w:r w:rsidRPr="001145A2">
              <w:rPr>
                <w:sz w:val="20"/>
                <w:szCs w:val="20"/>
              </w:rPr>
              <w:t xml:space="preserve">Analiza ranljivosti, ki vključuje analizo občutljivost in izpostavljenosti, kaže, da bo imel železniški projekt visoko stopnjo ranljivosti zaradi poplav, požarov v naravi, kamnitih podorov gozdnih požarov in vročinskih valov. </w:t>
            </w:r>
            <w:bookmarkEnd w:id="1"/>
          </w:p>
        </w:tc>
      </w:tr>
      <w:tr w:rsidR="001145A2" w:rsidRPr="001145A2" w14:paraId="515523E0" w14:textId="77777777" w:rsidTr="00795606">
        <w:trPr>
          <w:trHeight w:val="398"/>
        </w:trPr>
        <w:tc>
          <w:tcPr>
            <w:tcW w:w="4622" w:type="dxa"/>
            <w:tcBorders>
              <w:top w:val="single" w:sz="4" w:space="0" w:color="000000"/>
              <w:left w:val="single" w:sz="4" w:space="0" w:color="000000"/>
              <w:bottom w:val="single" w:sz="4" w:space="0" w:color="000000"/>
              <w:right w:val="single" w:sz="4" w:space="0" w:color="000000"/>
            </w:tcBorders>
            <w:shd w:val="clear" w:color="auto" w:fill="D9D9D9"/>
          </w:tcPr>
          <w:p w14:paraId="10B4142D" w14:textId="77777777" w:rsidR="001145A2" w:rsidRPr="001145A2" w:rsidRDefault="001145A2" w:rsidP="006B3621">
            <w:pPr>
              <w:ind w:left="77"/>
              <w:rPr>
                <w:sz w:val="20"/>
                <w:szCs w:val="20"/>
              </w:rPr>
            </w:pPr>
            <w:r w:rsidRPr="001145A2">
              <w:rPr>
                <w:sz w:val="20"/>
                <w:szCs w:val="20"/>
              </w:rPr>
              <w:t xml:space="preserve">Podrobna analiza – faza 2 (blaženje) </w:t>
            </w:r>
          </w:p>
        </w:tc>
        <w:tc>
          <w:tcPr>
            <w:tcW w:w="4243" w:type="dxa"/>
            <w:tcBorders>
              <w:top w:val="single" w:sz="4" w:space="0" w:color="000000"/>
              <w:left w:val="single" w:sz="4" w:space="0" w:color="000000"/>
              <w:bottom w:val="single" w:sz="4" w:space="0" w:color="000000"/>
              <w:right w:val="single" w:sz="4" w:space="0" w:color="000000"/>
            </w:tcBorders>
            <w:shd w:val="clear" w:color="auto" w:fill="D9D9D9"/>
          </w:tcPr>
          <w:p w14:paraId="6776BD9D" w14:textId="77777777" w:rsidR="001145A2" w:rsidRPr="001145A2" w:rsidRDefault="001145A2" w:rsidP="006B3621">
            <w:pPr>
              <w:ind w:left="78"/>
              <w:rPr>
                <w:sz w:val="20"/>
                <w:szCs w:val="20"/>
              </w:rPr>
            </w:pPr>
            <w:r w:rsidRPr="001145A2">
              <w:rPr>
                <w:sz w:val="20"/>
                <w:szCs w:val="20"/>
              </w:rPr>
              <w:t xml:space="preserve">Podrobna analiza – faza 2 (prilagajanje) </w:t>
            </w:r>
          </w:p>
        </w:tc>
      </w:tr>
      <w:tr w:rsidR="001145A2" w:rsidRPr="001145A2" w14:paraId="2EC254E1" w14:textId="77777777" w:rsidTr="00795606">
        <w:trPr>
          <w:trHeight w:val="2711"/>
        </w:trPr>
        <w:tc>
          <w:tcPr>
            <w:tcW w:w="4622" w:type="dxa"/>
            <w:tcBorders>
              <w:top w:val="single" w:sz="4" w:space="0" w:color="000000"/>
              <w:left w:val="single" w:sz="4" w:space="0" w:color="000000"/>
              <w:bottom w:val="single" w:sz="4" w:space="0" w:color="000000"/>
              <w:right w:val="single" w:sz="4" w:space="0" w:color="000000"/>
            </w:tcBorders>
          </w:tcPr>
          <w:p w14:paraId="4A4E1B2C" w14:textId="77777777" w:rsidR="001145A2" w:rsidRPr="001145A2" w:rsidRDefault="001145A2" w:rsidP="00795606">
            <w:pPr>
              <w:spacing w:after="74" w:line="246" w:lineRule="auto"/>
              <w:ind w:left="77" w:right="59"/>
              <w:jc w:val="both"/>
              <w:rPr>
                <w:sz w:val="20"/>
                <w:szCs w:val="20"/>
              </w:rPr>
            </w:pPr>
            <w:r w:rsidRPr="001145A2">
              <w:rPr>
                <w:sz w:val="20"/>
                <w:szCs w:val="20"/>
              </w:rPr>
              <w:t xml:space="preserve">Količinsko ocenimo emisije TGP v običajnem letu obratovanja z uporabo priporočene metodologije izračuna </w:t>
            </w:r>
            <w:proofErr w:type="spellStart"/>
            <w:r w:rsidRPr="001145A2">
              <w:rPr>
                <w:sz w:val="20"/>
                <w:szCs w:val="20"/>
              </w:rPr>
              <w:t>ogljičnega</w:t>
            </w:r>
            <w:proofErr w:type="spellEnd"/>
            <w:r w:rsidRPr="001145A2">
              <w:rPr>
                <w:sz w:val="20"/>
                <w:szCs w:val="20"/>
              </w:rPr>
              <w:t xml:space="preserve"> odtisa (na primer metodologija EIB). Primerjamo s pragovi absolutnih in relativnih emisij TGP. </w:t>
            </w:r>
          </w:p>
          <w:p w14:paraId="317535CF" w14:textId="77777777" w:rsidR="001145A2" w:rsidRPr="001145A2" w:rsidRDefault="001145A2" w:rsidP="00795606">
            <w:pPr>
              <w:numPr>
                <w:ilvl w:val="0"/>
                <w:numId w:val="7"/>
              </w:numPr>
              <w:spacing w:after="62"/>
              <w:ind w:hanging="360"/>
              <w:jc w:val="both"/>
              <w:rPr>
                <w:sz w:val="20"/>
                <w:szCs w:val="20"/>
              </w:rPr>
            </w:pPr>
            <w:r w:rsidRPr="001145A2">
              <w:rPr>
                <w:sz w:val="20"/>
                <w:szCs w:val="20"/>
              </w:rPr>
              <w:t xml:space="preserve">Opredeliti meje projekta </w:t>
            </w:r>
          </w:p>
          <w:p w14:paraId="789E2355" w14:textId="77777777" w:rsidR="001145A2" w:rsidRPr="001145A2" w:rsidRDefault="001145A2" w:rsidP="00795606">
            <w:pPr>
              <w:numPr>
                <w:ilvl w:val="0"/>
                <w:numId w:val="7"/>
              </w:numPr>
              <w:spacing w:after="62"/>
              <w:ind w:hanging="360"/>
              <w:jc w:val="both"/>
              <w:rPr>
                <w:sz w:val="20"/>
                <w:szCs w:val="20"/>
              </w:rPr>
            </w:pPr>
            <w:r w:rsidRPr="001145A2">
              <w:rPr>
                <w:sz w:val="20"/>
                <w:szCs w:val="20"/>
              </w:rPr>
              <w:t xml:space="preserve">Opredeliti obdobje ocenjevanja </w:t>
            </w:r>
          </w:p>
          <w:p w14:paraId="65BE6B9D" w14:textId="77777777" w:rsidR="001145A2" w:rsidRPr="001145A2" w:rsidRDefault="001145A2" w:rsidP="00795606">
            <w:pPr>
              <w:numPr>
                <w:ilvl w:val="0"/>
                <w:numId w:val="7"/>
              </w:numPr>
              <w:ind w:hanging="360"/>
              <w:jc w:val="both"/>
              <w:rPr>
                <w:sz w:val="20"/>
                <w:szCs w:val="20"/>
              </w:rPr>
            </w:pPr>
            <w:r w:rsidRPr="001145A2">
              <w:rPr>
                <w:sz w:val="20"/>
                <w:szCs w:val="20"/>
              </w:rPr>
              <w:t xml:space="preserve">Obsegi emisij za obseg 1, 2 in 3. Preusmeritev prometa z drugih prevoznih oblik na železnico je treba prav tako upoštevati.  </w:t>
            </w:r>
          </w:p>
        </w:tc>
        <w:tc>
          <w:tcPr>
            <w:tcW w:w="4243" w:type="dxa"/>
            <w:tcBorders>
              <w:top w:val="single" w:sz="4" w:space="0" w:color="000000"/>
              <w:left w:val="single" w:sz="4" w:space="0" w:color="000000"/>
              <w:bottom w:val="single" w:sz="4" w:space="0" w:color="000000"/>
              <w:right w:val="single" w:sz="4" w:space="0" w:color="000000"/>
            </w:tcBorders>
          </w:tcPr>
          <w:p w14:paraId="55334A10" w14:textId="77777777" w:rsidR="001145A2" w:rsidRPr="001145A2" w:rsidRDefault="001145A2" w:rsidP="00795606">
            <w:pPr>
              <w:ind w:left="78" w:right="58"/>
              <w:jc w:val="both"/>
              <w:rPr>
                <w:sz w:val="20"/>
                <w:szCs w:val="20"/>
              </w:rPr>
            </w:pPr>
            <w:r w:rsidRPr="001145A2">
              <w:rPr>
                <w:sz w:val="20"/>
                <w:szCs w:val="20"/>
                <w:u w:val="single" w:color="000000"/>
              </w:rPr>
              <w:t>Poteka v štirih korakih</w:t>
            </w:r>
            <w:r w:rsidRPr="001145A2">
              <w:rPr>
                <w:sz w:val="20"/>
                <w:szCs w:val="20"/>
              </w:rPr>
              <w:t xml:space="preserve">: ocena podnebnega tveganja, ustrezni ukrepi prilagajanja, redno spremljanje in preverjanje, preverjanje z ustreznimi strateškimi dokumenti in dokumenti prostorskega načrtovanja. </w:t>
            </w:r>
          </w:p>
          <w:p w14:paraId="2BAD3476" w14:textId="5D03A029" w:rsidR="001145A2" w:rsidRPr="001145A2" w:rsidRDefault="001145A2" w:rsidP="00795606">
            <w:pPr>
              <w:ind w:left="78" w:right="55"/>
              <w:jc w:val="both"/>
              <w:rPr>
                <w:sz w:val="20"/>
                <w:szCs w:val="20"/>
              </w:rPr>
            </w:pPr>
            <w:r w:rsidRPr="001145A2">
              <w:rPr>
                <w:sz w:val="20"/>
                <w:szCs w:val="20"/>
              </w:rPr>
              <w:t>Ocena tveganja se osredotoča na znatne podnebne grožnje, ki so bila prepoznane v pregledu. Za vsako od teh groženj se vrednotita verjetnost njenega pojavljanja in njen potencialni vpliv na projekt. Na primer požari v naravi imajo lahko zmerno pojavljanje (50-odstotna verjetnost</w:t>
            </w:r>
          </w:p>
        </w:tc>
      </w:tr>
      <w:tr w:rsidR="001145A2" w:rsidRPr="001145A2" w14:paraId="7C1CB9CE" w14:textId="77777777" w:rsidTr="00795606">
        <w:trPr>
          <w:trHeight w:val="9551"/>
        </w:trPr>
        <w:tc>
          <w:tcPr>
            <w:tcW w:w="4622" w:type="dxa"/>
            <w:tcBorders>
              <w:top w:val="single" w:sz="4" w:space="0" w:color="000000"/>
              <w:left w:val="single" w:sz="4" w:space="0" w:color="000000"/>
              <w:bottom w:val="single" w:sz="4" w:space="0" w:color="000000"/>
              <w:right w:val="single" w:sz="4" w:space="0" w:color="000000"/>
            </w:tcBorders>
          </w:tcPr>
          <w:p w14:paraId="703F168C" w14:textId="77777777" w:rsidR="001145A2" w:rsidRPr="001145A2" w:rsidRDefault="001145A2" w:rsidP="00795606">
            <w:pPr>
              <w:numPr>
                <w:ilvl w:val="0"/>
                <w:numId w:val="8"/>
              </w:numPr>
              <w:spacing w:after="112" w:line="241" w:lineRule="auto"/>
              <w:ind w:hanging="360"/>
              <w:jc w:val="both"/>
              <w:rPr>
                <w:sz w:val="20"/>
                <w:szCs w:val="20"/>
              </w:rPr>
            </w:pPr>
            <w:r w:rsidRPr="001145A2">
              <w:rPr>
                <w:sz w:val="20"/>
                <w:szCs w:val="20"/>
              </w:rPr>
              <w:lastRenderedPageBreak/>
              <w:t>Količinsko opredeliti absolutne emisije projekta (</w:t>
            </w:r>
            <w:proofErr w:type="spellStart"/>
            <w:r w:rsidRPr="001145A2">
              <w:rPr>
                <w:sz w:val="20"/>
                <w:szCs w:val="20"/>
              </w:rPr>
              <w:t>Ab</w:t>
            </w:r>
            <w:proofErr w:type="spellEnd"/>
            <w:r w:rsidRPr="001145A2">
              <w:rPr>
                <w:sz w:val="20"/>
                <w:szCs w:val="20"/>
              </w:rPr>
              <w:t xml:space="preserve">) </w:t>
            </w:r>
          </w:p>
          <w:p w14:paraId="3F50FEC2" w14:textId="77777777" w:rsidR="001145A2" w:rsidRPr="001145A2" w:rsidRDefault="001145A2" w:rsidP="00795606">
            <w:pPr>
              <w:numPr>
                <w:ilvl w:val="0"/>
                <w:numId w:val="8"/>
              </w:numPr>
              <w:spacing w:after="92"/>
              <w:ind w:hanging="360"/>
              <w:jc w:val="both"/>
              <w:rPr>
                <w:sz w:val="20"/>
                <w:szCs w:val="20"/>
              </w:rPr>
            </w:pPr>
            <w:r w:rsidRPr="001145A2">
              <w:rPr>
                <w:sz w:val="20"/>
                <w:szCs w:val="20"/>
              </w:rPr>
              <w:t xml:space="preserve">Prepoznati in opredeliti izhodiščne emisije (Be) </w:t>
            </w:r>
          </w:p>
          <w:p w14:paraId="214A22BC" w14:textId="77777777" w:rsidR="001145A2" w:rsidRPr="001145A2" w:rsidRDefault="001145A2" w:rsidP="00795606">
            <w:pPr>
              <w:numPr>
                <w:ilvl w:val="0"/>
                <w:numId w:val="8"/>
              </w:numPr>
              <w:spacing w:after="48" w:line="274" w:lineRule="auto"/>
              <w:ind w:hanging="360"/>
              <w:jc w:val="both"/>
              <w:rPr>
                <w:sz w:val="20"/>
                <w:szCs w:val="20"/>
              </w:rPr>
            </w:pPr>
            <w:r w:rsidRPr="001145A2">
              <w:rPr>
                <w:sz w:val="20"/>
                <w:szCs w:val="20"/>
              </w:rPr>
              <w:t xml:space="preserve">Izračunati relativne emisije (Re); Re = </w:t>
            </w:r>
            <w:proofErr w:type="spellStart"/>
            <w:r w:rsidRPr="001145A2">
              <w:rPr>
                <w:sz w:val="20"/>
                <w:szCs w:val="20"/>
              </w:rPr>
              <w:t>Ab</w:t>
            </w:r>
            <w:proofErr w:type="spellEnd"/>
            <w:r w:rsidRPr="001145A2">
              <w:rPr>
                <w:sz w:val="20"/>
                <w:szCs w:val="20"/>
              </w:rPr>
              <w:t xml:space="preserve"> – Be Relativne emisije so razlika med izhodiščnimi in absolutnimi emisijami. V primeru izboljšanja železniške proge bi morala biti relativna emisija negativna (projekt prispeva k zmanjšanju emisij). </w:t>
            </w:r>
          </w:p>
          <w:p w14:paraId="34233A00" w14:textId="77777777" w:rsidR="001145A2" w:rsidRPr="001145A2" w:rsidRDefault="001145A2" w:rsidP="00795606">
            <w:pPr>
              <w:spacing w:after="79" w:line="241" w:lineRule="auto"/>
              <w:ind w:left="2" w:right="63"/>
              <w:jc w:val="both"/>
              <w:rPr>
                <w:sz w:val="20"/>
                <w:szCs w:val="20"/>
              </w:rPr>
            </w:pPr>
            <w:r w:rsidRPr="001145A2">
              <w:rPr>
                <w:sz w:val="20"/>
                <w:szCs w:val="20"/>
              </w:rPr>
              <w:t>Absolutne emisije (</w:t>
            </w:r>
            <w:proofErr w:type="spellStart"/>
            <w:r w:rsidRPr="001145A2">
              <w:rPr>
                <w:sz w:val="20"/>
                <w:szCs w:val="20"/>
              </w:rPr>
              <w:t>Ab</w:t>
            </w:r>
            <w:proofErr w:type="spellEnd"/>
            <w:r w:rsidRPr="001145A2">
              <w:rPr>
                <w:sz w:val="20"/>
                <w:szCs w:val="20"/>
              </w:rPr>
              <w:t xml:space="preserve">) vključujejo neposredne in posredne emisije, ki so povzročene z izvedbo projekta in opredeljene z obsegom. </w:t>
            </w:r>
          </w:p>
          <w:p w14:paraId="4674D237" w14:textId="77777777" w:rsidR="001145A2" w:rsidRPr="001145A2" w:rsidRDefault="001145A2" w:rsidP="00795606">
            <w:pPr>
              <w:spacing w:after="112" w:line="247" w:lineRule="auto"/>
              <w:ind w:left="2" w:right="58"/>
              <w:jc w:val="both"/>
              <w:rPr>
                <w:sz w:val="20"/>
                <w:szCs w:val="20"/>
              </w:rPr>
            </w:pPr>
            <w:r w:rsidRPr="001145A2">
              <w:rPr>
                <w:sz w:val="20"/>
                <w:szCs w:val="20"/>
              </w:rPr>
              <w:t xml:space="preserve">Izhodiščne emisije (Be) so emisije, ki bi nastale, če se načrtovani projekt ne bi izvedel. V našem primeru to pomeni, da mora izračun vsebovati emisije, ki bi bile proizvedene, če proga ni prenovljena. V takem primeru bi načrtovana zmogljivost železniške proge ostala del obstoječega cestnega prometa, kar pomeni bistveno več emisij. </w:t>
            </w:r>
          </w:p>
          <w:p w14:paraId="0AB15503" w14:textId="77777777" w:rsidR="001145A2" w:rsidRPr="001145A2" w:rsidRDefault="001145A2" w:rsidP="00795606">
            <w:pPr>
              <w:spacing w:after="69" w:line="252" w:lineRule="auto"/>
              <w:ind w:left="2" w:right="58"/>
              <w:jc w:val="both"/>
              <w:rPr>
                <w:sz w:val="20"/>
                <w:szCs w:val="20"/>
              </w:rPr>
            </w:pPr>
            <w:r w:rsidRPr="001145A2">
              <w:rPr>
                <w:sz w:val="20"/>
                <w:szCs w:val="20"/>
              </w:rPr>
              <w:t xml:space="preserve">Če emisije TGP presežejo prag (20.000 t CO2 e/leto, povečanja ali zmanjšanja, absolutno ali relativno), se emisije TGP denarno ovrednotijo z uporabo prikritih cen ogljika. Načelo »energijska učinkovitost na prvem mestu« je vključeno v načrtovanje projekta, primerjavo alternativ ter analizo stroškov in koristi. </w:t>
            </w:r>
          </w:p>
          <w:p w14:paraId="5016FD13" w14:textId="77777777" w:rsidR="001145A2" w:rsidRPr="001145A2" w:rsidRDefault="001145A2" w:rsidP="00795606">
            <w:pPr>
              <w:spacing w:after="74" w:line="246" w:lineRule="auto"/>
              <w:ind w:right="58"/>
              <w:jc w:val="both"/>
              <w:rPr>
                <w:sz w:val="20"/>
                <w:szCs w:val="20"/>
              </w:rPr>
            </w:pPr>
            <w:r w:rsidRPr="001145A2">
              <w:rPr>
                <w:sz w:val="20"/>
                <w:szCs w:val="20"/>
              </w:rPr>
              <w:t xml:space="preserve">Skladnost projekta z verodostojnim načinom za doseganja splošnih ciljev zmanjšanja emisij TGP doleta 2030 in 2050 se preveri s Strategijo razvoja Slovenije 2030, z Dolgoročno podnebno strategijo Slovenije do leta 2050, z Nacionalnim energetskim in podnebnim načrtom, Strategijo razvoja prometa Republike Slovenije in podobno.  </w:t>
            </w:r>
          </w:p>
          <w:p w14:paraId="1CF7A975" w14:textId="77777777" w:rsidR="001145A2" w:rsidRPr="001145A2" w:rsidRDefault="001145A2" w:rsidP="00795606">
            <w:pPr>
              <w:spacing w:after="87"/>
              <w:jc w:val="both"/>
              <w:rPr>
                <w:sz w:val="20"/>
                <w:szCs w:val="20"/>
              </w:rPr>
            </w:pPr>
            <w:r w:rsidRPr="001145A2">
              <w:rPr>
                <w:sz w:val="20"/>
                <w:szCs w:val="20"/>
              </w:rPr>
              <w:t xml:space="preserve"> </w:t>
            </w:r>
          </w:p>
          <w:p w14:paraId="642CA207" w14:textId="77777777" w:rsidR="001145A2" w:rsidRPr="001145A2" w:rsidRDefault="001145A2" w:rsidP="00795606">
            <w:pPr>
              <w:ind w:right="61"/>
              <w:jc w:val="both"/>
              <w:rPr>
                <w:sz w:val="20"/>
                <w:szCs w:val="20"/>
              </w:rPr>
            </w:pPr>
            <w:r w:rsidRPr="001145A2">
              <w:rPr>
                <w:sz w:val="20"/>
                <w:szCs w:val="20"/>
              </w:rPr>
              <w:t xml:space="preserve">Za infrastrukturo z življenjsko dobo po letu 2050 se preveri tudi skladnost projekta z obratovanjem, vzdrževanjem in končno razgradnjo pod pogoji podnebne nevtralnosti. </w:t>
            </w:r>
          </w:p>
        </w:tc>
        <w:tc>
          <w:tcPr>
            <w:tcW w:w="4243" w:type="dxa"/>
            <w:tcBorders>
              <w:top w:val="single" w:sz="4" w:space="0" w:color="000000"/>
              <w:left w:val="single" w:sz="4" w:space="0" w:color="000000"/>
              <w:bottom w:val="single" w:sz="4" w:space="0" w:color="000000"/>
              <w:right w:val="single" w:sz="4" w:space="0" w:color="000000"/>
            </w:tcBorders>
          </w:tcPr>
          <w:p w14:paraId="1F50CD0C" w14:textId="77777777" w:rsidR="001145A2" w:rsidRPr="001145A2" w:rsidRDefault="001145A2" w:rsidP="00795606">
            <w:pPr>
              <w:spacing w:after="79" w:line="241" w:lineRule="auto"/>
              <w:ind w:left="77" w:right="60"/>
              <w:jc w:val="both"/>
              <w:rPr>
                <w:sz w:val="20"/>
                <w:szCs w:val="20"/>
              </w:rPr>
            </w:pPr>
            <w:r w:rsidRPr="001145A2">
              <w:rPr>
                <w:sz w:val="20"/>
                <w:szCs w:val="20"/>
              </w:rPr>
              <w:t xml:space="preserve">v življenjski dobi) na nekaterih odsekih proge, a imajo hkrati velik vpliv na železniško infrastrukturo, kar privede do izredne ravni tveganja. </w:t>
            </w:r>
          </w:p>
          <w:p w14:paraId="79D70B6A" w14:textId="77777777" w:rsidR="001145A2" w:rsidRPr="001145A2" w:rsidRDefault="001145A2" w:rsidP="00795606">
            <w:pPr>
              <w:spacing w:after="80" w:line="241" w:lineRule="auto"/>
              <w:ind w:left="77" w:right="57"/>
              <w:jc w:val="both"/>
              <w:rPr>
                <w:sz w:val="20"/>
                <w:szCs w:val="20"/>
              </w:rPr>
            </w:pPr>
            <w:r w:rsidRPr="001145A2">
              <w:rPr>
                <w:sz w:val="20"/>
                <w:szCs w:val="20"/>
              </w:rPr>
              <w:t xml:space="preserve">Izhajajoč iz analize se v načrtovanju projekta upoštevajo in vključijo ustrezni prilagoditveni ukrepi: sprememba lokacije (horizontalna in vertikalna premestitev železniške proge), prilagoditve drenaže (za obvladovanje nenadnih poplav), odpornost tirov na temperaturne deformacije, </w:t>
            </w:r>
            <w:proofErr w:type="spellStart"/>
            <w:r w:rsidRPr="001145A2">
              <w:rPr>
                <w:sz w:val="20"/>
                <w:szCs w:val="20"/>
              </w:rPr>
              <w:t>geotehnični</w:t>
            </w:r>
            <w:proofErr w:type="spellEnd"/>
            <w:r w:rsidRPr="001145A2">
              <w:rPr>
                <w:sz w:val="20"/>
                <w:szCs w:val="20"/>
              </w:rPr>
              <w:t xml:space="preserve"> zaščitni ukrepi proti skalnim podorom, spremljanje izrednih vremenskih pojavov, sistem zgodnjega opozarjanja, povečani obseg rednih vzdrževalnih del, odstranjevanje dreves v neposredni bližini proge. </w:t>
            </w:r>
          </w:p>
          <w:p w14:paraId="49DDDB57" w14:textId="77777777" w:rsidR="001145A2" w:rsidRPr="001145A2" w:rsidRDefault="001145A2" w:rsidP="00795606">
            <w:pPr>
              <w:spacing w:after="74" w:line="247" w:lineRule="auto"/>
              <w:ind w:left="77" w:right="60"/>
              <w:jc w:val="both"/>
              <w:rPr>
                <w:sz w:val="20"/>
                <w:szCs w:val="20"/>
              </w:rPr>
            </w:pPr>
            <w:r w:rsidRPr="001145A2">
              <w:rPr>
                <w:sz w:val="20"/>
                <w:szCs w:val="20"/>
              </w:rPr>
              <w:t xml:space="preserve">Opredelita se obseg in potreba po rednem spremljanju in preverjanju. Pomembno je, da se določi, ali je izbrane prilagoditvene ukrepe mogoče dodatno okrepiti za obvladovanje večjih učinkov podnebnih sprememb, kot so bili prvotno pričakovani, ali pa so potrebni dodatni ukrepi. </w:t>
            </w:r>
          </w:p>
          <w:p w14:paraId="5F347FEE" w14:textId="77777777" w:rsidR="001145A2" w:rsidRPr="001145A2" w:rsidRDefault="001145A2" w:rsidP="00795606">
            <w:pPr>
              <w:ind w:left="77" w:right="60"/>
              <w:jc w:val="both"/>
              <w:rPr>
                <w:sz w:val="20"/>
                <w:szCs w:val="20"/>
              </w:rPr>
            </w:pPr>
            <w:r w:rsidRPr="001145A2">
              <w:rPr>
                <w:sz w:val="20"/>
                <w:szCs w:val="20"/>
              </w:rPr>
              <w:t xml:space="preserve">Skladnost ukrepov s strategijami EU, državnimi, regionalnimi in lokalnimi strategijami in načrti prilagajanja podnebnim spremembam ter drugimi ustreznimi strateškimi dokumenti in dokumenti prostorskega načrtovanja se preveri glede na pomembne strateške dokumente, kot so: Strategija razvoja Slovenije 2030, Dolgoročna podnebna strategija Slovenije do leta 2050, Nacionalni energetski in podnebni načrt, Strateški okvir za podnebno prilagajanje, Strategija razvoja prometa Republike Slovenije in druge. </w:t>
            </w:r>
          </w:p>
        </w:tc>
      </w:tr>
    </w:tbl>
    <w:p w14:paraId="319C7D3C" w14:textId="77777777" w:rsidR="001145A2" w:rsidRPr="001145A2" w:rsidRDefault="001145A2">
      <w:pPr>
        <w:spacing w:after="0"/>
        <w:ind w:left="567"/>
        <w:rPr>
          <w:sz w:val="20"/>
          <w:szCs w:val="20"/>
        </w:rPr>
      </w:pPr>
    </w:p>
    <w:p w14:paraId="32F727A1" w14:textId="1C803D54" w:rsidR="001145A2" w:rsidRDefault="001145A2">
      <w:pPr>
        <w:spacing w:line="278" w:lineRule="auto"/>
      </w:pPr>
      <w:r>
        <w:br w:type="page"/>
      </w:r>
    </w:p>
    <w:p w14:paraId="284A3FCE" w14:textId="77777777" w:rsidR="00795606" w:rsidRPr="00795606" w:rsidRDefault="00795606" w:rsidP="00795606">
      <w:pPr>
        <w:spacing w:after="0" w:line="360" w:lineRule="auto"/>
        <w:ind w:left="567"/>
        <w:rPr>
          <w:b/>
          <w:bCs/>
          <w:szCs w:val="22"/>
        </w:rPr>
      </w:pPr>
      <w:r w:rsidRPr="00795606">
        <w:rPr>
          <w:b/>
          <w:bCs/>
          <w:szCs w:val="22"/>
        </w:rPr>
        <w:lastRenderedPageBreak/>
        <w:t>Naziv vloge:</w:t>
      </w:r>
    </w:p>
    <w:p w14:paraId="437E7A8F" w14:textId="77777777" w:rsidR="00795606" w:rsidRPr="00795606" w:rsidRDefault="00795606" w:rsidP="00795606">
      <w:pPr>
        <w:spacing w:after="0" w:line="360" w:lineRule="auto"/>
        <w:ind w:left="567"/>
        <w:rPr>
          <w:b/>
          <w:bCs/>
          <w:szCs w:val="22"/>
        </w:rPr>
      </w:pPr>
      <w:r w:rsidRPr="00795606">
        <w:rPr>
          <w:b/>
          <w:bCs/>
          <w:szCs w:val="22"/>
        </w:rPr>
        <w:t>Naziv vlagatelja:</w:t>
      </w:r>
    </w:p>
    <w:p w14:paraId="663086AE" w14:textId="77777777" w:rsidR="00795606" w:rsidRPr="00795606" w:rsidRDefault="00795606" w:rsidP="00795606">
      <w:pPr>
        <w:spacing w:after="0" w:line="360" w:lineRule="auto"/>
        <w:ind w:left="567"/>
        <w:rPr>
          <w:b/>
          <w:bCs/>
          <w:szCs w:val="22"/>
        </w:rPr>
      </w:pPr>
      <w:r w:rsidRPr="00795606">
        <w:rPr>
          <w:b/>
          <w:bCs/>
          <w:szCs w:val="22"/>
        </w:rPr>
        <w:t>Ime in priimek odgovorne osebe vlagatelja:</w:t>
      </w:r>
    </w:p>
    <w:p w14:paraId="7F277897" w14:textId="77777777" w:rsidR="00795606" w:rsidRPr="00795606" w:rsidRDefault="00795606">
      <w:pPr>
        <w:spacing w:after="137"/>
        <w:ind w:left="588"/>
        <w:jc w:val="center"/>
        <w:rPr>
          <w:rFonts w:eastAsia="Arial"/>
          <w:bCs/>
          <w:sz w:val="20"/>
        </w:rPr>
      </w:pPr>
    </w:p>
    <w:p w14:paraId="27DAB2A7" w14:textId="3DC028FE" w:rsidR="00F97579" w:rsidRPr="00795606" w:rsidRDefault="00F97579">
      <w:pPr>
        <w:spacing w:after="137"/>
        <w:ind w:left="588"/>
        <w:jc w:val="center"/>
      </w:pPr>
    </w:p>
    <w:p w14:paraId="0C0475AE" w14:textId="77777777" w:rsidR="00F97579" w:rsidRDefault="0093786D">
      <w:pPr>
        <w:pStyle w:val="Naslov1"/>
      </w:pPr>
      <w:r>
        <w:t xml:space="preserve">IZJAVA O KREPITVI PODNEBNE ODPORNOSTI </w:t>
      </w:r>
    </w:p>
    <w:p w14:paraId="3C587BBB" w14:textId="77777777" w:rsidR="00F66915" w:rsidRPr="00F66915" w:rsidRDefault="00F66915" w:rsidP="00F66915"/>
    <w:tbl>
      <w:tblPr>
        <w:tblStyle w:val="TableGrid"/>
        <w:tblW w:w="9059" w:type="dxa"/>
        <w:tblInd w:w="573" w:type="dxa"/>
        <w:tblCellMar>
          <w:top w:w="41" w:type="dxa"/>
          <w:right w:w="81" w:type="dxa"/>
        </w:tblCellMar>
        <w:tblLook w:val="04A0" w:firstRow="1" w:lastRow="0" w:firstColumn="1" w:lastColumn="0" w:noHBand="0" w:noVBand="1"/>
      </w:tblPr>
      <w:tblGrid>
        <w:gridCol w:w="2546"/>
        <w:gridCol w:w="468"/>
        <w:gridCol w:w="6045"/>
      </w:tblGrid>
      <w:tr w:rsidR="00F97579" w14:paraId="402E4957" w14:textId="77777777" w:rsidTr="00575BF9">
        <w:trPr>
          <w:trHeight w:val="316"/>
        </w:trPr>
        <w:tc>
          <w:tcPr>
            <w:tcW w:w="9059" w:type="dxa"/>
            <w:gridSpan w:val="3"/>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22352DA" w14:textId="77777777" w:rsidR="00F97579" w:rsidRDefault="0093786D">
            <w:pPr>
              <w:ind w:left="107"/>
            </w:pPr>
            <w:r>
              <w:rPr>
                <w:b/>
              </w:rPr>
              <w:t xml:space="preserve">1. Uvod: </w:t>
            </w:r>
          </w:p>
        </w:tc>
      </w:tr>
      <w:tr w:rsidR="00F97579" w14:paraId="5A96FF5D" w14:textId="77777777" w:rsidTr="00B27232">
        <w:trPr>
          <w:trHeight w:val="853"/>
        </w:trPr>
        <w:tc>
          <w:tcPr>
            <w:tcW w:w="2546" w:type="dxa"/>
            <w:tcBorders>
              <w:top w:val="single" w:sz="4" w:space="0" w:color="000000"/>
              <w:left w:val="single" w:sz="4" w:space="0" w:color="000000"/>
              <w:bottom w:val="single" w:sz="4" w:space="0" w:color="000000"/>
              <w:right w:val="single" w:sz="4" w:space="0" w:color="000000"/>
            </w:tcBorders>
            <w:vAlign w:val="center"/>
          </w:tcPr>
          <w:p w14:paraId="4AC067C5" w14:textId="68931B2E" w:rsidR="00F97579" w:rsidRDefault="0093786D">
            <w:pPr>
              <w:ind w:left="107"/>
            </w:pPr>
            <w:r>
              <w:rPr>
                <w:sz w:val="20"/>
              </w:rPr>
              <w:t xml:space="preserve">a. Opis infrastrukturnega </w:t>
            </w:r>
            <w:r w:rsidR="00F66915">
              <w:rPr>
                <w:sz w:val="20"/>
              </w:rPr>
              <w:t xml:space="preserve">       </w:t>
            </w:r>
            <w:r>
              <w:rPr>
                <w:sz w:val="20"/>
              </w:rPr>
              <w:t xml:space="preserve">projekta / programa </w:t>
            </w:r>
          </w:p>
        </w:tc>
        <w:tc>
          <w:tcPr>
            <w:tcW w:w="6513" w:type="dxa"/>
            <w:gridSpan w:val="2"/>
            <w:tcBorders>
              <w:top w:val="single" w:sz="4" w:space="0" w:color="000000"/>
              <w:left w:val="single" w:sz="4" w:space="0" w:color="000000"/>
              <w:bottom w:val="single" w:sz="4" w:space="0" w:color="000000"/>
              <w:right w:val="single" w:sz="4" w:space="0" w:color="000000"/>
            </w:tcBorders>
            <w:vAlign w:val="center"/>
          </w:tcPr>
          <w:p w14:paraId="5259D040" w14:textId="77777777" w:rsidR="00F97579" w:rsidRPr="00F66915" w:rsidRDefault="0093786D">
            <w:pPr>
              <w:ind w:left="108"/>
              <w:rPr>
                <w:color w:val="auto"/>
              </w:rPr>
            </w:pPr>
            <w:r w:rsidRPr="00F66915">
              <w:rPr>
                <w:i/>
                <w:color w:val="auto"/>
                <w:sz w:val="20"/>
              </w:rPr>
              <w:t xml:space="preserve">opis infrastrukturnega projekta in predstavitev, kako vključuje podnebne spremembe, vključno s finančnimi informacijami (skupni naložbeni stroški, prispevek EU) </w:t>
            </w:r>
          </w:p>
        </w:tc>
      </w:tr>
      <w:tr w:rsidR="00F97579" w14:paraId="42140489" w14:textId="77777777" w:rsidTr="00F66915">
        <w:trPr>
          <w:trHeight w:val="855"/>
        </w:trPr>
        <w:tc>
          <w:tcPr>
            <w:tcW w:w="2546" w:type="dxa"/>
            <w:tcBorders>
              <w:top w:val="single" w:sz="4" w:space="0" w:color="000000"/>
              <w:left w:val="single" w:sz="4" w:space="0" w:color="000000"/>
              <w:bottom w:val="single" w:sz="4" w:space="0" w:color="000000"/>
              <w:right w:val="single" w:sz="4" w:space="0" w:color="000000"/>
            </w:tcBorders>
          </w:tcPr>
          <w:p w14:paraId="6DCF8400" w14:textId="77777777" w:rsidR="00F97579" w:rsidRDefault="0093786D">
            <w:pPr>
              <w:ind w:left="107"/>
            </w:pPr>
            <w:r>
              <w:rPr>
                <w:sz w:val="20"/>
              </w:rPr>
              <w:t xml:space="preserve">b. Kontaktni podatki (organizacija nosilca projekta) </w:t>
            </w:r>
          </w:p>
        </w:tc>
        <w:tc>
          <w:tcPr>
            <w:tcW w:w="6513" w:type="dxa"/>
            <w:gridSpan w:val="2"/>
            <w:tcBorders>
              <w:top w:val="single" w:sz="4" w:space="0" w:color="000000"/>
              <w:left w:val="single" w:sz="4" w:space="0" w:color="000000"/>
              <w:bottom w:val="single" w:sz="4" w:space="0" w:color="000000"/>
              <w:right w:val="single" w:sz="4" w:space="0" w:color="000000"/>
            </w:tcBorders>
            <w:vAlign w:val="center"/>
          </w:tcPr>
          <w:p w14:paraId="4D07DF72" w14:textId="77777777" w:rsidR="00F97579" w:rsidRPr="00F66915" w:rsidRDefault="0093786D">
            <w:pPr>
              <w:ind w:left="108"/>
              <w:rPr>
                <w:color w:val="auto"/>
              </w:rPr>
            </w:pPr>
            <w:r w:rsidRPr="00F66915">
              <w:rPr>
                <w:i/>
                <w:color w:val="auto"/>
                <w:sz w:val="20"/>
              </w:rPr>
              <w:t xml:space="preserve">kontaktni podatki </w:t>
            </w:r>
          </w:p>
        </w:tc>
      </w:tr>
      <w:tr w:rsidR="00F97579" w14:paraId="0FF3AC3C" w14:textId="77777777" w:rsidTr="00575BF9">
        <w:trPr>
          <w:trHeight w:val="316"/>
        </w:trPr>
        <w:tc>
          <w:tcPr>
            <w:tcW w:w="9059" w:type="dxa"/>
            <w:gridSpan w:val="3"/>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4FED9BC" w14:textId="77777777" w:rsidR="00F97579" w:rsidRDefault="0093786D">
            <w:pPr>
              <w:ind w:left="107"/>
            </w:pPr>
            <w:r>
              <w:rPr>
                <w:b/>
              </w:rPr>
              <w:t xml:space="preserve">2. Postopek krepitve podnebne odpornosti: </w:t>
            </w:r>
          </w:p>
        </w:tc>
      </w:tr>
      <w:tr w:rsidR="00F97579" w14:paraId="5A60BC5A" w14:textId="77777777" w:rsidTr="00B27232">
        <w:trPr>
          <w:trHeight w:val="856"/>
        </w:trPr>
        <w:tc>
          <w:tcPr>
            <w:tcW w:w="2546" w:type="dxa"/>
            <w:tcBorders>
              <w:top w:val="single" w:sz="4" w:space="0" w:color="000000"/>
              <w:left w:val="single" w:sz="4" w:space="0" w:color="000000"/>
              <w:bottom w:val="single" w:sz="4" w:space="0" w:color="000000"/>
              <w:right w:val="single" w:sz="4" w:space="0" w:color="000000"/>
            </w:tcBorders>
            <w:vAlign w:val="center"/>
          </w:tcPr>
          <w:p w14:paraId="12233059" w14:textId="77777777" w:rsidR="00F97579" w:rsidRDefault="0093786D" w:rsidP="00F66915">
            <w:pPr>
              <w:ind w:left="107"/>
            </w:pPr>
            <w:r>
              <w:rPr>
                <w:sz w:val="20"/>
              </w:rPr>
              <w:t xml:space="preserve">a. Opis postopka krepitve podnebne odpornosti </w:t>
            </w:r>
          </w:p>
        </w:tc>
        <w:tc>
          <w:tcPr>
            <w:tcW w:w="6513" w:type="dxa"/>
            <w:gridSpan w:val="2"/>
            <w:tcBorders>
              <w:top w:val="single" w:sz="4" w:space="0" w:color="000000"/>
              <w:left w:val="single" w:sz="4" w:space="0" w:color="000000"/>
              <w:bottom w:val="single" w:sz="4" w:space="0" w:color="000000"/>
              <w:right w:val="single" w:sz="4" w:space="0" w:color="000000"/>
            </w:tcBorders>
            <w:vAlign w:val="center"/>
          </w:tcPr>
          <w:p w14:paraId="6B0282CC" w14:textId="77777777" w:rsidR="00F97579" w:rsidRDefault="0093786D">
            <w:pPr>
              <w:ind w:left="108"/>
            </w:pPr>
            <w:r w:rsidRPr="00F66915">
              <w:rPr>
                <w:i/>
                <w:color w:val="auto"/>
                <w:sz w:val="20"/>
              </w:rPr>
              <w:t xml:space="preserve">opis postopka krepitve podnebne odpornosti od začetnega načrtovanja do konca, vključno z vključevanjem v proces razvoja projekta in z usklajevanjem s postopki </w:t>
            </w:r>
            <w:proofErr w:type="spellStart"/>
            <w:r w:rsidRPr="00F66915">
              <w:rPr>
                <w:i/>
                <w:color w:val="auto"/>
                <w:sz w:val="20"/>
              </w:rPr>
              <w:t>okoljske</w:t>
            </w:r>
            <w:proofErr w:type="spellEnd"/>
            <w:r w:rsidRPr="00F66915">
              <w:rPr>
                <w:i/>
                <w:color w:val="auto"/>
                <w:sz w:val="20"/>
              </w:rPr>
              <w:t xml:space="preserve"> presoje (npr. PVO) </w:t>
            </w:r>
          </w:p>
        </w:tc>
      </w:tr>
      <w:tr w:rsidR="00F97579" w14:paraId="01CBACB8" w14:textId="77777777" w:rsidTr="00575BF9">
        <w:trPr>
          <w:trHeight w:val="316"/>
        </w:trPr>
        <w:tc>
          <w:tcPr>
            <w:tcW w:w="9059" w:type="dxa"/>
            <w:gridSpan w:val="3"/>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C26A66E" w14:textId="77777777" w:rsidR="00F97579" w:rsidRDefault="0093786D">
            <w:pPr>
              <w:ind w:left="107"/>
            </w:pPr>
            <w:r>
              <w:rPr>
                <w:b/>
              </w:rPr>
              <w:t>3. Blaženje podnebnih sprememb (podnebna nevtralnost):</w:t>
            </w:r>
            <w:r>
              <w:rPr>
                <w:i/>
                <w:color w:val="808080"/>
              </w:rPr>
              <w:t xml:space="preserve"> </w:t>
            </w:r>
          </w:p>
        </w:tc>
      </w:tr>
      <w:tr w:rsidR="00F97579" w14:paraId="1D8FF5D0" w14:textId="77777777">
        <w:trPr>
          <w:trHeight w:val="292"/>
        </w:trPr>
        <w:tc>
          <w:tcPr>
            <w:tcW w:w="2546" w:type="dxa"/>
            <w:tcBorders>
              <w:top w:val="single" w:sz="4" w:space="0" w:color="000000"/>
              <w:left w:val="single" w:sz="4" w:space="0" w:color="000000"/>
              <w:bottom w:val="single" w:sz="4" w:space="0" w:color="000000"/>
              <w:right w:val="single" w:sz="4" w:space="0" w:color="000000"/>
            </w:tcBorders>
          </w:tcPr>
          <w:p w14:paraId="7DADD1C0" w14:textId="77777777" w:rsidR="00F97579" w:rsidRDefault="0093786D">
            <w:pPr>
              <w:ind w:left="107"/>
            </w:pPr>
            <w:r>
              <w:rPr>
                <w:sz w:val="20"/>
              </w:rPr>
              <w:t>a. Pregled (Faza 1)</w:t>
            </w:r>
            <w:r>
              <w:rPr>
                <w:b/>
                <w:sz w:val="20"/>
              </w:rPr>
              <w:t xml:space="preserve"> </w:t>
            </w:r>
          </w:p>
        </w:tc>
        <w:tc>
          <w:tcPr>
            <w:tcW w:w="6513" w:type="dxa"/>
            <w:gridSpan w:val="2"/>
            <w:tcBorders>
              <w:top w:val="single" w:sz="4" w:space="0" w:color="000000"/>
              <w:left w:val="single" w:sz="4" w:space="0" w:color="000000"/>
              <w:bottom w:val="single" w:sz="4" w:space="0" w:color="000000"/>
              <w:right w:val="single" w:sz="4" w:space="0" w:color="000000"/>
            </w:tcBorders>
          </w:tcPr>
          <w:p w14:paraId="1054BAD3" w14:textId="77777777" w:rsidR="00F97579" w:rsidRDefault="0093786D">
            <w:pPr>
              <w:ind w:left="108"/>
            </w:pPr>
            <w:r w:rsidRPr="00B27232">
              <w:rPr>
                <w:i/>
                <w:color w:val="auto"/>
                <w:sz w:val="20"/>
              </w:rPr>
              <w:t xml:space="preserve">opis pregleda in njegovih rezultatov </w:t>
            </w:r>
          </w:p>
        </w:tc>
      </w:tr>
      <w:tr w:rsidR="00F97579" w14:paraId="14CE118E" w14:textId="77777777" w:rsidTr="00B27232">
        <w:trPr>
          <w:trHeight w:val="1149"/>
        </w:trPr>
        <w:tc>
          <w:tcPr>
            <w:tcW w:w="2546" w:type="dxa"/>
            <w:tcBorders>
              <w:top w:val="single" w:sz="4" w:space="0" w:color="000000"/>
              <w:left w:val="single" w:sz="4" w:space="0" w:color="000000"/>
              <w:bottom w:val="nil"/>
              <w:right w:val="single" w:sz="4" w:space="0" w:color="000000"/>
            </w:tcBorders>
            <w:vAlign w:val="center"/>
          </w:tcPr>
          <w:p w14:paraId="36D5F924" w14:textId="77777777" w:rsidR="00F97579" w:rsidRDefault="0093786D">
            <w:pPr>
              <w:spacing w:after="18"/>
              <w:ind w:left="107"/>
            </w:pPr>
            <w:r>
              <w:rPr>
                <w:sz w:val="20"/>
              </w:rPr>
              <w:t xml:space="preserve">b. Podrobna analiza (Faza 2) </w:t>
            </w:r>
          </w:p>
          <w:p w14:paraId="49C3A5FB" w14:textId="77777777" w:rsidR="00F97579" w:rsidRDefault="0093786D">
            <w:pPr>
              <w:ind w:left="107"/>
            </w:pPr>
            <w:r>
              <w:rPr>
                <w:sz w:val="20"/>
              </w:rPr>
              <w:t xml:space="preserve">- če je opravljena </w:t>
            </w:r>
          </w:p>
        </w:tc>
        <w:tc>
          <w:tcPr>
            <w:tcW w:w="468" w:type="dxa"/>
            <w:tcBorders>
              <w:top w:val="single" w:sz="4" w:space="0" w:color="000000"/>
              <w:left w:val="single" w:sz="4" w:space="0" w:color="000000"/>
              <w:bottom w:val="nil"/>
              <w:right w:val="nil"/>
            </w:tcBorders>
          </w:tcPr>
          <w:p w14:paraId="71C36818" w14:textId="77777777" w:rsidR="00F97579" w:rsidRPr="00B27232" w:rsidRDefault="0093786D">
            <w:pPr>
              <w:ind w:left="108"/>
              <w:rPr>
                <w:color w:val="auto"/>
              </w:rPr>
            </w:pPr>
            <w:r w:rsidRPr="00B27232">
              <w:rPr>
                <w:rFonts w:ascii="Segoe UI Symbol" w:eastAsia="Segoe UI Symbol" w:hAnsi="Segoe UI Symbol" w:cs="Segoe UI Symbol"/>
                <w:color w:val="auto"/>
                <w:sz w:val="20"/>
              </w:rPr>
              <w:t>−</w:t>
            </w:r>
            <w:r w:rsidRPr="00B27232">
              <w:rPr>
                <w:rFonts w:ascii="Arial" w:eastAsia="Arial" w:hAnsi="Arial" w:cs="Arial"/>
                <w:color w:val="auto"/>
                <w:sz w:val="20"/>
              </w:rPr>
              <w:t xml:space="preserve"> </w:t>
            </w:r>
          </w:p>
        </w:tc>
        <w:tc>
          <w:tcPr>
            <w:tcW w:w="6045" w:type="dxa"/>
            <w:tcBorders>
              <w:top w:val="single" w:sz="4" w:space="0" w:color="000000"/>
              <w:left w:val="nil"/>
              <w:bottom w:val="nil"/>
              <w:right w:val="single" w:sz="4" w:space="0" w:color="000000"/>
            </w:tcBorders>
          </w:tcPr>
          <w:p w14:paraId="707D5FB8" w14:textId="77777777" w:rsidR="00F97579" w:rsidRPr="00B27232" w:rsidRDefault="0093786D">
            <w:pPr>
              <w:rPr>
                <w:color w:val="auto"/>
              </w:rPr>
            </w:pPr>
            <w:r w:rsidRPr="00B27232">
              <w:rPr>
                <w:i/>
                <w:color w:val="auto"/>
                <w:sz w:val="20"/>
              </w:rPr>
              <w:t xml:space="preserve">opis emisij toplogrednih plinov in primerjava s pragovi za absolutne in relativne emisije. Po potrebi opis ekonomske analize, uporabe prikritih stroškov ogljika, analize alternativ in vključevanja načela „energijska učinkovitost na prvem mestu“, </w:t>
            </w:r>
          </w:p>
        </w:tc>
      </w:tr>
      <w:tr w:rsidR="00F97579" w14:paraId="0F28571A" w14:textId="77777777">
        <w:trPr>
          <w:trHeight w:val="1133"/>
        </w:trPr>
        <w:tc>
          <w:tcPr>
            <w:tcW w:w="2546" w:type="dxa"/>
            <w:tcBorders>
              <w:top w:val="nil"/>
              <w:left w:val="single" w:sz="4" w:space="0" w:color="000000"/>
              <w:bottom w:val="nil"/>
              <w:right w:val="single" w:sz="4" w:space="0" w:color="000000"/>
            </w:tcBorders>
          </w:tcPr>
          <w:p w14:paraId="408423DE" w14:textId="77777777" w:rsidR="00F97579" w:rsidRDefault="00F97579"/>
        </w:tc>
        <w:tc>
          <w:tcPr>
            <w:tcW w:w="468" w:type="dxa"/>
            <w:tcBorders>
              <w:top w:val="nil"/>
              <w:left w:val="single" w:sz="4" w:space="0" w:color="000000"/>
              <w:bottom w:val="nil"/>
              <w:right w:val="nil"/>
            </w:tcBorders>
          </w:tcPr>
          <w:p w14:paraId="2860C6BA" w14:textId="77777777" w:rsidR="00F97579" w:rsidRPr="00B27232" w:rsidRDefault="0093786D">
            <w:pPr>
              <w:ind w:left="108"/>
              <w:rPr>
                <w:color w:val="auto"/>
              </w:rPr>
            </w:pPr>
            <w:r w:rsidRPr="00B27232">
              <w:rPr>
                <w:rFonts w:ascii="Segoe UI Symbol" w:eastAsia="Segoe UI Symbol" w:hAnsi="Segoe UI Symbol" w:cs="Segoe UI Symbol"/>
                <w:color w:val="auto"/>
                <w:sz w:val="20"/>
              </w:rPr>
              <w:t>−</w:t>
            </w:r>
            <w:r w:rsidRPr="00B27232">
              <w:rPr>
                <w:rFonts w:ascii="Arial" w:eastAsia="Arial" w:hAnsi="Arial" w:cs="Arial"/>
                <w:color w:val="auto"/>
                <w:sz w:val="20"/>
              </w:rPr>
              <w:t xml:space="preserve"> </w:t>
            </w:r>
          </w:p>
        </w:tc>
        <w:tc>
          <w:tcPr>
            <w:tcW w:w="6045" w:type="dxa"/>
            <w:tcBorders>
              <w:top w:val="nil"/>
              <w:left w:val="nil"/>
              <w:bottom w:val="nil"/>
              <w:right w:val="single" w:sz="4" w:space="0" w:color="000000"/>
            </w:tcBorders>
          </w:tcPr>
          <w:p w14:paraId="23B4A790" w14:textId="77777777" w:rsidR="00F97579" w:rsidRPr="00B27232" w:rsidRDefault="0093786D">
            <w:pPr>
              <w:spacing w:line="277" w:lineRule="auto"/>
              <w:rPr>
                <w:color w:val="auto"/>
              </w:rPr>
            </w:pPr>
            <w:r w:rsidRPr="00B27232">
              <w:rPr>
                <w:i/>
                <w:color w:val="auto"/>
                <w:sz w:val="20"/>
              </w:rPr>
              <w:t xml:space="preserve">opis skladnosti projekta z ustreznimi energetskimi in podnebnimi načrti EU ter nacionalnimi energetskimi in podnebnimi načrti, ciljem EU za zmanjšanje emisij do leta 2030 in za podnebno nevtralnost do leta 2050. </w:t>
            </w:r>
          </w:p>
          <w:p w14:paraId="648CF88E" w14:textId="77777777" w:rsidR="00F97579" w:rsidRPr="00B27232" w:rsidRDefault="0093786D">
            <w:pPr>
              <w:rPr>
                <w:color w:val="auto"/>
              </w:rPr>
            </w:pPr>
            <w:r w:rsidRPr="00B27232">
              <w:rPr>
                <w:i/>
                <w:color w:val="auto"/>
                <w:sz w:val="20"/>
              </w:rPr>
              <w:t xml:space="preserve">Navedba, kako projekt prispeva k ciljem teh načrtov in planov, </w:t>
            </w:r>
          </w:p>
        </w:tc>
      </w:tr>
      <w:tr w:rsidR="00F97579" w14:paraId="0C3331D0" w14:textId="77777777">
        <w:trPr>
          <w:trHeight w:val="854"/>
        </w:trPr>
        <w:tc>
          <w:tcPr>
            <w:tcW w:w="2546" w:type="dxa"/>
            <w:tcBorders>
              <w:top w:val="nil"/>
              <w:left w:val="single" w:sz="4" w:space="0" w:color="000000"/>
              <w:bottom w:val="nil"/>
              <w:right w:val="single" w:sz="4" w:space="0" w:color="000000"/>
            </w:tcBorders>
          </w:tcPr>
          <w:p w14:paraId="19A2290F" w14:textId="77777777" w:rsidR="00F97579" w:rsidRDefault="00F97579"/>
        </w:tc>
        <w:tc>
          <w:tcPr>
            <w:tcW w:w="468" w:type="dxa"/>
            <w:tcBorders>
              <w:top w:val="nil"/>
              <w:left w:val="single" w:sz="4" w:space="0" w:color="000000"/>
              <w:bottom w:val="nil"/>
              <w:right w:val="nil"/>
            </w:tcBorders>
          </w:tcPr>
          <w:p w14:paraId="7D0DE928" w14:textId="77777777" w:rsidR="00F97579" w:rsidRPr="00B27232" w:rsidRDefault="0093786D">
            <w:pPr>
              <w:ind w:left="108"/>
              <w:rPr>
                <w:color w:val="auto"/>
              </w:rPr>
            </w:pPr>
            <w:r w:rsidRPr="00B27232">
              <w:rPr>
                <w:rFonts w:ascii="Segoe UI Symbol" w:eastAsia="Segoe UI Symbol" w:hAnsi="Segoe UI Symbol" w:cs="Segoe UI Symbol"/>
                <w:color w:val="auto"/>
                <w:sz w:val="20"/>
              </w:rPr>
              <w:t>−</w:t>
            </w:r>
            <w:r w:rsidRPr="00B27232">
              <w:rPr>
                <w:rFonts w:ascii="Arial" w:eastAsia="Arial" w:hAnsi="Arial" w:cs="Arial"/>
                <w:color w:val="auto"/>
                <w:sz w:val="20"/>
              </w:rPr>
              <w:t xml:space="preserve"> </w:t>
            </w:r>
          </w:p>
        </w:tc>
        <w:tc>
          <w:tcPr>
            <w:tcW w:w="6045" w:type="dxa"/>
            <w:tcBorders>
              <w:top w:val="nil"/>
              <w:left w:val="nil"/>
              <w:bottom w:val="nil"/>
              <w:right w:val="single" w:sz="4" w:space="0" w:color="000000"/>
            </w:tcBorders>
          </w:tcPr>
          <w:p w14:paraId="19B69307" w14:textId="77777777" w:rsidR="00F97579" w:rsidRPr="00B27232" w:rsidRDefault="0093786D">
            <w:pPr>
              <w:rPr>
                <w:color w:val="auto"/>
              </w:rPr>
            </w:pPr>
            <w:r w:rsidRPr="00B27232">
              <w:rPr>
                <w:i/>
                <w:color w:val="auto"/>
                <w:sz w:val="20"/>
              </w:rPr>
              <w:t xml:space="preserve">opis združljivosti z obratovanjem, vzdrževanjem in morebitno razgradnjo v okoliščinah podnebne nevtralnosti pri projektih s predvideno življenjsko dobo po letu 2050, </w:t>
            </w:r>
          </w:p>
        </w:tc>
      </w:tr>
      <w:tr w:rsidR="00F97579" w14:paraId="406351EA" w14:textId="77777777">
        <w:trPr>
          <w:trHeight w:val="569"/>
        </w:trPr>
        <w:tc>
          <w:tcPr>
            <w:tcW w:w="2546" w:type="dxa"/>
            <w:tcBorders>
              <w:top w:val="nil"/>
              <w:left w:val="single" w:sz="4" w:space="0" w:color="000000"/>
              <w:bottom w:val="single" w:sz="4" w:space="0" w:color="000000"/>
              <w:right w:val="single" w:sz="4" w:space="0" w:color="000000"/>
            </w:tcBorders>
          </w:tcPr>
          <w:p w14:paraId="230AA9DE" w14:textId="77777777" w:rsidR="00F97579" w:rsidRDefault="00F97579"/>
        </w:tc>
        <w:tc>
          <w:tcPr>
            <w:tcW w:w="468" w:type="dxa"/>
            <w:tcBorders>
              <w:top w:val="nil"/>
              <w:left w:val="single" w:sz="4" w:space="0" w:color="000000"/>
              <w:bottom w:val="single" w:sz="4" w:space="0" w:color="000000"/>
              <w:right w:val="nil"/>
            </w:tcBorders>
          </w:tcPr>
          <w:p w14:paraId="6B23710E" w14:textId="77777777" w:rsidR="00F97579" w:rsidRPr="00B27232" w:rsidRDefault="0093786D">
            <w:pPr>
              <w:ind w:left="108"/>
              <w:rPr>
                <w:color w:val="auto"/>
              </w:rPr>
            </w:pPr>
            <w:r w:rsidRPr="00B27232">
              <w:rPr>
                <w:rFonts w:ascii="Segoe UI Symbol" w:eastAsia="Segoe UI Symbol" w:hAnsi="Segoe UI Symbol" w:cs="Segoe UI Symbol"/>
                <w:color w:val="auto"/>
                <w:sz w:val="20"/>
              </w:rPr>
              <w:t>−</w:t>
            </w:r>
            <w:r w:rsidRPr="00B27232">
              <w:rPr>
                <w:rFonts w:ascii="Arial" w:eastAsia="Arial" w:hAnsi="Arial" w:cs="Arial"/>
                <w:color w:val="auto"/>
                <w:sz w:val="20"/>
              </w:rPr>
              <w:t xml:space="preserve"> </w:t>
            </w:r>
          </w:p>
        </w:tc>
        <w:tc>
          <w:tcPr>
            <w:tcW w:w="6045" w:type="dxa"/>
            <w:tcBorders>
              <w:top w:val="nil"/>
              <w:left w:val="nil"/>
              <w:bottom w:val="single" w:sz="4" w:space="0" w:color="000000"/>
              <w:right w:val="single" w:sz="4" w:space="0" w:color="000000"/>
            </w:tcBorders>
          </w:tcPr>
          <w:p w14:paraId="49B503E5" w14:textId="77777777" w:rsidR="00F97579" w:rsidRPr="00B27232" w:rsidRDefault="0093786D">
            <w:pPr>
              <w:rPr>
                <w:color w:val="auto"/>
              </w:rPr>
            </w:pPr>
            <w:r w:rsidRPr="00B27232">
              <w:rPr>
                <w:i/>
                <w:color w:val="auto"/>
                <w:sz w:val="20"/>
              </w:rPr>
              <w:t xml:space="preserve">navedba drugih pomembnih informacij, na primer o izhodiščni vrednosti za </w:t>
            </w:r>
            <w:proofErr w:type="spellStart"/>
            <w:r w:rsidRPr="00B27232">
              <w:rPr>
                <w:i/>
                <w:color w:val="auto"/>
                <w:sz w:val="20"/>
              </w:rPr>
              <w:t>ogljični</w:t>
            </w:r>
            <w:proofErr w:type="spellEnd"/>
            <w:r w:rsidRPr="00B27232">
              <w:rPr>
                <w:i/>
                <w:color w:val="auto"/>
                <w:sz w:val="20"/>
              </w:rPr>
              <w:t xml:space="preserve"> odtis. </w:t>
            </w:r>
          </w:p>
        </w:tc>
      </w:tr>
      <w:tr w:rsidR="00F97579" w14:paraId="69CAFDF9" w14:textId="77777777" w:rsidTr="00575BF9">
        <w:trPr>
          <w:trHeight w:val="317"/>
        </w:trPr>
        <w:tc>
          <w:tcPr>
            <w:tcW w:w="9059" w:type="dxa"/>
            <w:gridSpan w:val="3"/>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D4A6329" w14:textId="77777777" w:rsidR="00F97579" w:rsidRDefault="0093786D">
            <w:pPr>
              <w:ind w:left="107"/>
            </w:pPr>
            <w:r>
              <w:rPr>
                <w:b/>
              </w:rPr>
              <w:t xml:space="preserve">4. Prilagajanje na podnebne spremembe (odpornost proti podnebnim spremembam): </w:t>
            </w:r>
          </w:p>
        </w:tc>
      </w:tr>
      <w:tr w:rsidR="00F97579" w14:paraId="3BDD5E94" w14:textId="77777777" w:rsidTr="00FB2BCE">
        <w:trPr>
          <w:trHeight w:val="572"/>
        </w:trPr>
        <w:tc>
          <w:tcPr>
            <w:tcW w:w="2546" w:type="dxa"/>
            <w:tcBorders>
              <w:top w:val="single" w:sz="4" w:space="0" w:color="000000"/>
              <w:left w:val="single" w:sz="4" w:space="0" w:color="000000"/>
              <w:bottom w:val="single" w:sz="4" w:space="0" w:color="000000"/>
              <w:right w:val="single" w:sz="4" w:space="0" w:color="000000"/>
            </w:tcBorders>
            <w:vAlign w:val="center"/>
          </w:tcPr>
          <w:p w14:paraId="2B7E30BF" w14:textId="77777777" w:rsidR="00F97579" w:rsidRPr="00B27232" w:rsidRDefault="0093786D">
            <w:pPr>
              <w:ind w:left="107"/>
              <w:rPr>
                <w:color w:val="auto"/>
              </w:rPr>
            </w:pPr>
            <w:r w:rsidRPr="00B27232">
              <w:rPr>
                <w:color w:val="auto"/>
                <w:sz w:val="20"/>
              </w:rPr>
              <w:t xml:space="preserve">a. Pregled (Faza 1) </w:t>
            </w:r>
          </w:p>
        </w:tc>
        <w:tc>
          <w:tcPr>
            <w:tcW w:w="6513" w:type="dxa"/>
            <w:gridSpan w:val="2"/>
            <w:tcBorders>
              <w:top w:val="single" w:sz="4" w:space="0" w:color="000000"/>
              <w:left w:val="single" w:sz="4" w:space="0" w:color="000000"/>
              <w:bottom w:val="single" w:sz="4" w:space="0" w:color="000000"/>
              <w:right w:val="single" w:sz="4" w:space="0" w:color="000000"/>
            </w:tcBorders>
            <w:vAlign w:val="center"/>
          </w:tcPr>
          <w:p w14:paraId="2320C975" w14:textId="77777777" w:rsidR="00F97579" w:rsidRPr="00B27232" w:rsidRDefault="0093786D">
            <w:pPr>
              <w:ind w:left="108"/>
              <w:rPr>
                <w:color w:val="auto"/>
              </w:rPr>
            </w:pPr>
            <w:r w:rsidRPr="00B27232">
              <w:rPr>
                <w:i/>
                <w:color w:val="auto"/>
                <w:sz w:val="20"/>
              </w:rPr>
              <w:t xml:space="preserve">opis pregleda in njegovih rezultatov, vključno z ustreznimi podrobnostmi o analizah občutljivosti, izpostavljenosti in ranljivosti </w:t>
            </w:r>
          </w:p>
        </w:tc>
      </w:tr>
      <w:tr w:rsidR="0093786D" w14:paraId="604CAD6B" w14:textId="77777777" w:rsidTr="00EC5A62">
        <w:trPr>
          <w:trHeight w:val="587"/>
        </w:trPr>
        <w:tc>
          <w:tcPr>
            <w:tcW w:w="2546" w:type="dxa"/>
            <w:vMerge w:val="restart"/>
            <w:tcBorders>
              <w:top w:val="single" w:sz="4" w:space="0" w:color="000000"/>
              <w:left w:val="single" w:sz="4" w:space="0" w:color="000000"/>
              <w:right w:val="single" w:sz="4" w:space="0" w:color="000000"/>
            </w:tcBorders>
            <w:vAlign w:val="center"/>
          </w:tcPr>
          <w:p w14:paraId="36821BC6" w14:textId="77777777" w:rsidR="0093786D" w:rsidRDefault="0093786D">
            <w:pPr>
              <w:spacing w:after="18"/>
              <w:ind w:left="107"/>
            </w:pPr>
            <w:r>
              <w:rPr>
                <w:sz w:val="20"/>
              </w:rPr>
              <w:t xml:space="preserve">b. Podrobna analiza (Faza 2) </w:t>
            </w:r>
          </w:p>
          <w:p w14:paraId="387043C3" w14:textId="77777777" w:rsidR="0093786D" w:rsidRDefault="0093786D">
            <w:pPr>
              <w:ind w:left="107"/>
            </w:pPr>
            <w:r>
              <w:rPr>
                <w:sz w:val="20"/>
              </w:rPr>
              <w:t xml:space="preserve">- če je opravljena </w:t>
            </w:r>
          </w:p>
        </w:tc>
        <w:tc>
          <w:tcPr>
            <w:tcW w:w="468" w:type="dxa"/>
            <w:tcBorders>
              <w:top w:val="single" w:sz="4" w:space="0" w:color="000000"/>
              <w:left w:val="single" w:sz="4" w:space="0" w:color="000000"/>
              <w:bottom w:val="nil"/>
              <w:right w:val="nil"/>
            </w:tcBorders>
          </w:tcPr>
          <w:p w14:paraId="45E45898" w14:textId="77777777" w:rsidR="0093786D" w:rsidRPr="00B27232" w:rsidRDefault="0093786D">
            <w:pPr>
              <w:ind w:left="108"/>
              <w:rPr>
                <w:color w:val="auto"/>
              </w:rPr>
            </w:pPr>
            <w:r w:rsidRPr="00B27232">
              <w:rPr>
                <w:rFonts w:ascii="Segoe UI Symbol" w:eastAsia="Segoe UI Symbol" w:hAnsi="Segoe UI Symbol" w:cs="Segoe UI Symbol"/>
                <w:color w:val="auto"/>
                <w:sz w:val="20"/>
              </w:rPr>
              <w:t>−</w:t>
            </w:r>
            <w:r w:rsidRPr="00B27232">
              <w:rPr>
                <w:rFonts w:ascii="Arial" w:eastAsia="Arial" w:hAnsi="Arial" w:cs="Arial"/>
                <w:color w:val="auto"/>
                <w:sz w:val="20"/>
              </w:rPr>
              <w:t xml:space="preserve"> </w:t>
            </w:r>
          </w:p>
        </w:tc>
        <w:tc>
          <w:tcPr>
            <w:tcW w:w="6045" w:type="dxa"/>
            <w:tcBorders>
              <w:top w:val="single" w:sz="4" w:space="0" w:color="000000"/>
              <w:left w:val="nil"/>
              <w:bottom w:val="nil"/>
              <w:right w:val="single" w:sz="4" w:space="0" w:color="000000"/>
            </w:tcBorders>
          </w:tcPr>
          <w:p w14:paraId="6427A75E" w14:textId="77777777" w:rsidR="0093786D" w:rsidRPr="00B27232" w:rsidRDefault="0093786D">
            <w:pPr>
              <w:rPr>
                <w:color w:val="auto"/>
              </w:rPr>
            </w:pPr>
            <w:r w:rsidRPr="00B27232">
              <w:rPr>
                <w:i/>
                <w:color w:val="auto"/>
                <w:sz w:val="20"/>
              </w:rPr>
              <w:t xml:space="preserve">opis ocene podnebnega tveganja, vključno z analizo verjetnosti in vpliva ter opredeljenih podnebnih tveganj, </w:t>
            </w:r>
          </w:p>
        </w:tc>
      </w:tr>
      <w:tr w:rsidR="0093786D" w14:paraId="05EC76E5" w14:textId="77777777" w:rsidTr="00EC5A62">
        <w:trPr>
          <w:trHeight w:val="852"/>
        </w:trPr>
        <w:tc>
          <w:tcPr>
            <w:tcW w:w="2546" w:type="dxa"/>
            <w:vMerge/>
            <w:tcBorders>
              <w:left w:val="single" w:sz="4" w:space="0" w:color="000000"/>
              <w:right w:val="single" w:sz="4" w:space="0" w:color="000000"/>
            </w:tcBorders>
          </w:tcPr>
          <w:p w14:paraId="78A5CDC4" w14:textId="77777777" w:rsidR="0093786D" w:rsidRDefault="0093786D"/>
        </w:tc>
        <w:tc>
          <w:tcPr>
            <w:tcW w:w="468" w:type="dxa"/>
            <w:tcBorders>
              <w:top w:val="nil"/>
              <w:left w:val="single" w:sz="4" w:space="0" w:color="000000"/>
              <w:right w:val="nil"/>
            </w:tcBorders>
          </w:tcPr>
          <w:p w14:paraId="0BD3C7A0" w14:textId="77777777" w:rsidR="0093786D" w:rsidRPr="00B27232" w:rsidRDefault="0093786D">
            <w:pPr>
              <w:ind w:left="108"/>
              <w:rPr>
                <w:color w:val="auto"/>
              </w:rPr>
            </w:pPr>
            <w:r w:rsidRPr="00B27232">
              <w:rPr>
                <w:rFonts w:ascii="Segoe UI Symbol" w:eastAsia="Segoe UI Symbol" w:hAnsi="Segoe UI Symbol" w:cs="Segoe UI Symbol"/>
                <w:color w:val="auto"/>
                <w:sz w:val="20"/>
              </w:rPr>
              <w:t>−</w:t>
            </w:r>
            <w:r w:rsidRPr="00B27232">
              <w:rPr>
                <w:rFonts w:ascii="Arial" w:eastAsia="Arial" w:hAnsi="Arial" w:cs="Arial"/>
                <w:color w:val="auto"/>
                <w:sz w:val="20"/>
              </w:rPr>
              <w:t xml:space="preserve"> </w:t>
            </w:r>
          </w:p>
        </w:tc>
        <w:tc>
          <w:tcPr>
            <w:tcW w:w="6045" w:type="dxa"/>
            <w:tcBorders>
              <w:top w:val="nil"/>
              <w:left w:val="nil"/>
              <w:right w:val="single" w:sz="4" w:space="0" w:color="000000"/>
            </w:tcBorders>
          </w:tcPr>
          <w:p w14:paraId="569DFC7F" w14:textId="77777777" w:rsidR="0093786D" w:rsidRPr="00B27232" w:rsidRDefault="0093786D">
            <w:pPr>
              <w:rPr>
                <w:color w:val="auto"/>
              </w:rPr>
            </w:pPr>
            <w:r w:rsidRPr="00B27232">
              <w:rPr>
                <w:i/>
                <w:color w:val="auto"/>
                <w:sz w:val="20"/>
              </w:rPr>
              <w:t xml:space="preserve">opis, kako se ugotovljena podnebna tveganja obravnavajo z ustreznimi prilagoditvenimi ukrepi, vključno z opredelitvijo, oceno, načrtovanjem in izvajanjem teh ukrepov, </w:t>
            </w:r>
          </w:p>
        </w:tc>
      </w:tr>
      <w:tr w:rsidR="00F97579" w14:paraId="579DCAB5" w14:textId="77777777" w:rsidTr="00FB2BCE">
        <w:trPr>
          <w:trHeight w:val="852"/>
        </w:trPr>
        <w:tc>
          <w:tcPr>
            <w:tcW w:w="2546" w:type="dxa"/>
            <w:tcBorders>
              <w:left w:val="single" w:sz="4" w:space="0" w:color="auto"/>
              <w:bottom w:val="single" w:sz="4" w:space="0" w:color="auto"/>
              <w:right w:val="single" w:sz="4" w:space="0" w:color="000000"/>
            </w:tcBorders>
          </w:tcPr>
          <w:p w14:paraId="5B99F21A" w14:textId="77777777" w:rsidR="00F97579" w:rsidRDefault="00F97579"/>
        </w:tc>
        <w:tc>
          <w:tcPr>
            <w:tcW w:w="468" w:type="dxa"/>
            <w:tcBorders>
              <w:left w:val="single" w:sz="4" w:space="0" w:color="000000"/>
              <w:bottom w:val="single" w:sz="4" w:space="0" w:color="auto"/>
              <w:right w:val="nil"/>
            </w:tcBorders>
          </w:tcPr>
          <w:p w14:paraId="3BE9B127" w14:textId="77777777" w:rsidR="00F97579" w:rsidRPr="00B27232" w:rsidRDefault="0093786D">
            <w:pPr>
              <w:ind w:left="108"/>
              <w:rPr>
                <w:color w:val="auto"/>
              </w:rPr>
            </w:pPr>
            <w:r w:rsidRPr="00B27232">
              <w:rPr>
                <w:rFonts w:ascii="Segoe UI Symbol" w:eastAsia="Segoe UI Symbol" w:hAnsi="Segoe UI Symbol" w:cs="Segoe UI Symbol"/>
                <w:color w:val="auto"/>
                <w:sz w:val="20"/>
              </w:rPr>
              <w:t>−</w:t>
            </w:r>
            <w:r w:rsidRPr="00B27232">
              <w:rPr>
                <w:rFonts w:ascii="Arial" w:eastAsia="Arial" w:hAnsi="Arial" w:cs="Arial"/>
                <w:color w:val="auto"/>
                <w:sz w:val="20"/>
              </w:rPr>
              <w:t xml:space="preserve"> </w:t>
            </w:r>
          </w:p>
        </w:tc>
        <w:tc>
          <w:tcPr>
            <w:tcW w:w="6045" w:type="dxa"/>
            <w:tcBorders>
              <w:left w:val="nil"/>
              <w:bottom w:val="single" w:sz="4" w:space="0" w:color="auto"/>
              <w:right w:val="single" w:sz="4" w:space="0" w:color="auto"/>
            </w:tcBorders>
          </w:tcPr>
          <w:p w14:paraId="0F3DF99E" w14:textId="77777777" w:rsidR="00F97579" w:rsidRPr="00B27232" w:rsidRDefault="0093786D">
            <w:pPr>
              <w:rPr>
                <w:color w:val="auto"/>
              </w:rPr>
            </w:pPr>
            <w:r w:rsidRPr="00B27232">
              <w:rPr>
                <w:i/>
                <w:color w:val="auto"/>
                <w:sz w:val="20"/>
              </w:rPr>
              <w:t xml:space="preserve">opis ocene in ukrepov v zvezi z rednim spremljanjem in nadaljnjim ukrepanjem, na primer kritičnih predpostavk v zvezi s podnebnimi spremembami v prihodnosti, </w:t>
            </w:r>
          </w:p>
        </w:tc>
      </w:tr>
      <w:tr w:rsidR="00F97579" w14:paraId="799FB0AA" w14:textId="77777777" w:rsidTr="00FB2BCE">
        <w:trPr>
          <w:trHeight w:val="570"/>
        </w:trPr>
        <w:tc>
          <w:tcPr>
            <w:tcW w:w="2546" w:type="dxa"/>
            <w:tcBorders>
              <w:top w:val="single" w:sz="4" w:space="0" w:color="auto"/>
              <w:left w:val="single" w:sz="4" w:space="0" w:color="000000"/>
              <w:bottom w:val="single" w:sz="4" w:space="0" w:color="000000"/>
              <w:right w:val="single" w:sz="4" w:space="0" w:color="000000"/>
            </w:tcBorders>
          </w:tcPr>
          <w:p w14:paraId="5B767751" w14:textId="77777777" w:rsidR="00F97579" w:rsidRDefault="00F97579"/>
        </w:tc>
        <w:tc>
          <w:tcPr>
            <w:tcW w:w="468" w:type="dxa"/>
            <w:tcBorders>
              <w:top w:val="single" w:sz="4" w:space="0" w:color="auto"/>
              <w:left w:val="single" w:sz="4" w:space="0" w:color="000000"/>
              <w:bottom w:val="single" w:sz="4" w:space="0" w:color="000000"/>
              <w:right w:val="nil"/>
            </w:tcBorders>
          </w:tcPr>
          <w:p w14:paraId="6ACC380A" w14:textId="77777777" w:rsidR="00F97579" w:rsidRDefault="0093786D">
            <w:pPr>
              <w:ind w:left="108"/>
            </w:pPr>
            <w:r w:rsidRPr="00B27232">
              <w:rPr>
                <w:rFonts w:ascii="Segoe UI Symbol" w:eastAsia="Segoe UI Symbol" w:hAnsi="Segoe UI Symbol" w:cs="Segoe UI Symbol"/>
                <w:color w:val="auto"/>
                <w:sz w:val="20"/>
              </w:rPr>
              <w:t>−</w:t>
            </w:r>
            <w:r w:rsidRPr="00B27232">
              <w:rPr>
                <w:rFonts w:ascii="Arial" w:eastAsia="Arial" w:hAnsi="Arial" w:cs="Arial"/>
                <w:color w:val="auto"/>
                <w:sz w:val="20"/>
              </w:rPr>
              <w:t xml:space="preserve"> </w:t>
            </w:r>
          </w:p>
        </w:tc>
        <w:tc>
          <w:tcPr>
            <w:tcW w:w="6045" w:type="dxa"/>
            <w:tcBorders>
              <w:top w:val="single" w:sz="4" w:space="0" w:color="auto"/>
              <w:left w:val="nil"/>
              <w:bottom w:val="single" w:sz="4" w:space="0" w:color="000000"/>
              <w:right w:val="single" w:sz="4" w:space="0" w:color="000000"/>
            </w:tcBorders>
          </w:tcPr>
          <w:p w14:paraId="378EBAC4" w14:textId="752BE73D" w:rsidR="00F97579" w:rsidRPr="00B27232" w:rsidRDefault="0093786D">
            <w:pPr>
              <w:rPr>
                <w:color w:val="auto"/>
              </w:rPr>
            </w:pPr>
            <w:r w:rsidRPr="00B27232">
              <w:rPr>
                <w:i/>
                <w:color w:val="auto"/>
                <w:sz w:val="20"/>
              </w:rPr>
              <w:t xml:space="preserve">opis skladnosti projekta s strategijami in načrti EU ter po potrebi z državnimi, regionalnimi in lokalnimi strategijami ter načrti za </w:t>
            </w:r>
            <w:r w:rsidR="00B27232" w:rsidRPr="00B27232">
              <w:rPr>
                <w:i/>
                <w:color w:val="auto"/>
                <w:sz w:val="20"/>
              </w:rPr>
              <w:t>prilagajanje na podnebne spremembe ter državnimi ali regionalnimi načrti za obvladovanje tveganja nesreč.</w:t>
            </w:r>
          </w:p>
        </w:tc>
      </w:tr>
      <w:tr w:rsidR="00F97579" w14:paraId="04240D6C" w14:textId="77777777" w:rsidTr="00575BF9">
        <w:trPr>
          <w:trHeight w:val="317"/>
        </w:trPr>
        <w:tc>
          <w:tcPr>
            <w:tcW w:w="9059" w:type="dxa"/>
            <w:gridSpan w:val="3"/>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4C21171" w14:textId="77777777" w:rsidR="00F97579" w:rsidRDefault="0093786D">
            <w:r>
              <w:rPr>
                <w:b/>
              </w:rPr>
              <w:t xml:space="preserve">5. Informacije o preverjanju – Faza 2: </w:t>
            </w:r>
          </w:p>
        </w:tc>
      </w:tr>
      <w:tr w:rsidR="00F97579" w14:paraId="698188CB" w14:textId="77777777" w:rsidTr="00B27232">
        <w:trPr>
          <w:trHeight w:val="595"/>
        </w:trPr>
        <w:tc>
          <w:tcPr>
            <w:tcW w:w="2546" w:type="dxa"/>
            <w:tcBorders>
              <w:top w:val="single" w:sz="4" w:space="0" w:color="000000"/>
              <w:left w:val="single" w:sz="4" w:space="0" w:color="000000"/>
              <w:bottom w:val="single" w:sz="4" w:space="0" w:color="000000"/>
              <w:right w:val="single" w:sz="4" w:space="0" w:color="000000"/>
            </w:tcBorders>
            <w:vAlign w:val="center"/>
          </w:tcPr>
          <w:p w14:paraId="762394E3" w14:textId="77777777" w:rsidR="00F97579" w:rsidRDefault="0093786D">
            <w:r>
              <w:rPr>
                <w:sz w:val="20"/>
              </w:rPr>
              <w:t xml:space="preserve">a. Informacije o preverjanju – Faza 2 (če je izvedeno): </w:t>
            </w:r>
          </w:p>
        </w:tc>
        <w:tc>
          <w:tcPr>
            <w:tcW w:w="6513" w:type="dxa"/>
            <w:gridSpan w:val="2"/>
            <w:tcBorders>
              <w:top w:val="single" w:sz="4" w:space="0" w:color="000000"/>
              <w:left w:val="single" w:sz="4" w:space="0" w:color="000000"/>
              <w:bottom w:val="single" w:sz="4" w:space="0" w:color="000000"/>
              <w:right w:val="single" w:sz="4" w:space="0" w:color="000000"/>
            </w:tcBorders>
            <w:vAlign w:val="center"/>
          </w:tcPr>
          <w:p w14:paraId="2684C5DB" w14:textId="38FE0DD3" w:rsidR="00B27232" w:rsidRPr="00B27232" w:rsidRDefault="00B27232">
            <w:pPr>
              <w:ind w:left="1" w:right="3008"/>
              <w:rPr>
                <w:i/>
                <w:color w:val="auto"/>
                <w:sz w:val="20"/>
              </w:rPr>
            </w:pPr>
            <w:r>
              <w:rPr>
                <w:rFonts w:ascii="Segoe UI Symbol" w:eastAsia="Segoe UI Symbol" w:hAnsi="Segoe UI Symbol" w:cs="Segoe UI Symbol"/>
                <w:color w:val="808080"/>
                <w:sz w:val="20"/>
              </w:rPr>
              <w:t xml:space="preserve">    </w:t>
            </w:r>
            <w:r w:rsidRPr="00B27232">
              <w:rPr>
                <w:rFonts w:ascii="Segoe UI Symbol" w:eastAsia="Segoe UI Symbol" w:hAnsi="Segoe UI Symbol" w:cs="Segoe UI Symbol"/>
                <w:color w:val="auto"/>
                <w:sz w:val="20"/>
              </w:rPr>
              <w:t xml:space="preserve">- </w:t>
            </w:r>
            <w:r w:rsidR="0093786D" w:rsidRPr="00B27232">
              <w:rPr>
                <w:i/>
                <w:color w:val="auto"/>
                <w:sz w:val="20"/>
              </w:rPr>
              <w:t xml:space="preserve">opis, kako je potekalo </w:t>
            </w:r>
            <w:r w:rsidRPr="00B27232">
              <w:rPr>
                <w:i/>
                <w:color w:val="auto"/>
                <w:sz w:val="20"/>
              </w:rPr>
              <w:t>p</w:t>
            </w:r>
            <w:r w:rsidR="0093786D" w:rsidRPr="00B27232">
              <w:rPr>
                <w:i/>
                <w:color w:val="auto"/>
                <w:sz w:val="20"/>
              </w:rPr>
              <w:t>reverjanje</w:t>
            </w:r>
          </w:p>
          <w:p w14:paraId="4E13D28F" w14:textId="018D794A" w:rsidR="00F97579" w:rsidRDefault="00B27232" w:rsidP="00B27232">
            <w:pPr>
              <w:ind w:right="3008"/>
            </w:pPr>
            <w:r w:rsidRPr="00B27232">
              <w:rPr>
                <w:i/>
                <w:color w:val="auto"/>
                <w:sz w:val="20"/>
              </w:rPr>
              <w:t xml:space="preserve">    - </w:t>
            </w:r>
            <w:r w:rsidR="0093786D" w:rsidRPr="00B27232">
              <w:rPr>
                <w:i/>
                <w:color w:val="auto"/>
                <w:sz w:val="20"/>
              </w:rPr>
              <w:t xml:space="preserve">navedba glavnih ugotovitev. </w:t>
            </w:r>
          </w:p>
        </w:tc>
      </w:tr>
      <w:tr w:rsidR="00F97579" w14:paraId="5BE68398" w14:textId="77777777" w:rsidTr="00575BF9">
        <w:trPr>
          <w:trHeight w:val="317"/>
        </w:trPr>
        <w:tc>
          <w:tcPr>
            <w:tcW w:w="9059" w:type="dxa"/>
            <w:gridSpan w:val="3"/>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969D393" w14:textId="77777777" w:rsidR="00F97579" w:rsidRDefault="0093786D">
            <w:r>
              <w:rPr>
                <w:b/>
              </w:rPr>
              <w:t xml:space="preserve">6. Morebitne dodatne informacije: </w:t>
            </w:r>
          </w:p>
        </w:tc>
      </w:tr>
      <w:tr w:rsidR="00B27232" w:rsidRPr="00B27232" w14:paraId="0D356A35" w14:textId="77777777" w:rsidTr="00B27232">
        <w:trPr>
          <w:trHeight w:val="1696"/>
        </w:trPr>
        <w:tc>
          <w:tcPr>
            <w:tcW w:w="2546" w:type="dxa"/>
            <w:tcBorders>
              <w:top w:val="single" w:sz="4" w:space="0" w:color="000000"/>
              <w:left w:val="single" w:sz="4" w:space="0" w:color="000000"/>
              <w:bottom w:val="single" w:sz="4" w:space="0" w:color="000000"/>
              <w:right w:val="single" w:sz="4" w:space="0" w:color="000000"/>
            </w:tcBorders>
            <w:vAlign w:val="center"/>
          </w:tcPr>
          <w:p w14:paraId="35534C37" w14:textId="77777777" w:rsidR="00F97579" w:rsidRPr="00FB2BCE" w:rsidRDefault="0093786D">
            <w:pPr>
              <w:rPr>
                <w:color w:val="auto"/>
              </w:rPr>
            </w:pPr>
            <w:r w:rsidRPr="00FB2BCE">
              <w:rPr>
                <w:color w:val="auto"/>
                <w:sz w:val="20"/>
              </w:rPr>
              <w:t xml:space="preserve">a. Pomembne teme in naloge za naslednje faze projekta / programa </w:t>
            </w:r>
          </w:p>
        </w:tc>
        <w:tc>
          <w:tcPr>
            <w:tcW w:w="6513" w:type="dxa"/>
            <w:gridSpan w:val="2"/>
            <w:tcBorders>
              <w:top w:val="single" w:sz="4" w:space="0" w:color="000000"/>
              <w:left w:val="single" w:sz="4" w:space="0" w:color="000000"/>
              <w:bottom w:val="single" w:sz="4" w:space="0" w:color="auto"/>
              <w:right w:val="single" w:sz="4" w:space="0" w:color="000000"/>
            </w:tcBorders>
            <w:vAlign w:val="center"/>
          </w:tcPr>
          <w:p w14:paraId="579FA655" w14:textId="35A6A2FE" w:rsidR="00F97579" w:rsidRPr="00FB2BCE" w:rsidRDefault="00B27232" w:rsidP="00B27232">
            <w:pPr>
              <w:spacing w:line="277" w:lineRule="auto"/>
              <w:ind w:left="1"/>
              <w:rPr>
                <w:color w:val="auto"/>
              </w:rPr>
            </w:pPr>
            <w:r w:rsidRPr="00FB2BCE">
              <w:rPr>
                <w:i/>
                <w:color w:val="auto"/>
                <w:sz w:val="20"/>
              </w:rPr>
              <w:t xml:space="preserve"> - </w:t>
            </w:r>
            <w:r w:rsidR="0093786D" w:rsidRPr="00FB2BCE">
              <w:rPr>
                <w:i/>
                <w:color w:val="auto"/>
                <w:sz w:val="20"/>
              </w:rPr>
              <w:t xml:space="preserve">navedba drugih pomembnih tem, zahtevanih v Smernicah OU ali drugih dokumentih, </w:t>
            </w:r>
          </w:p>
          <w:p w14:paraId="44265270" w14:textId="33042B27" w:rsidR="00F97579" w:rsidRPr="00FB2BCE" w:rsidRDefault="00B27232" w:rsidP="00B27232">
            <w:pPr>
              <w:spacing w:line="277" w:lineRule="auto"/>
              <w:rPr>
                <w:color w:val="auto"/>
              </w:rPr>
            </w:pPr>
            <w:r w:rsidRPr="00FB2BCE">
              <w:rPr>
                <w:i/>
                <w:color w:val="auto"/>
                <w:sz w:val="20"/>
              </w:rPr>
              <w:t xml:space="preserve">- </w:t>
            </w:r>
            <w:r w:rsidR="0093786D" w:rsidRPr="00FB2BCE">
              <w:rPr>
                <w:i/>
                <w:color w:val="auto"/>
                <w:sz w:val="20"/>
              </w:rPr>
              <w:t xml:space="preserve">opis nalog, povezanih s krepitvijo podnebne odpornosti, ki so odložene na naslednjo fazo projekta (ki jih mora npr. med gradnjo izvesti pogodbeni izvajalec, upravitelj infrastrukture pa med obratovanjem). </w:t>
            </w:r>
          </w:p>
        </w:tc>
      </w:tr>
      <w:tr w:rsidR="00F97579" w14:paraId="1682257A" w14:textId="77777777" w:rsidTr="00FB2BCE">
        <w:trPr>
          <w:trHeight w:val="853"/>
        </w:trPr>
        <w:tc>
          <w:tcPr>
            <w:tcW w:w="2546" w:type="dxa"/>
            <w:tcBorders>
              <w:top w:val="single" w:sz="4" w:space="0" w:color="000000"/>
              <w:left w:val="single" w:sz="4" w:space="0" w:color="000000"/>
              <w:bottom w:val="single" w:sz="4" w:space="0" w:color="000000"/>
              <w:right w:val="single" w:sz="4" w:space="0" w:color="auto"/>
            </w:tcBorders>
            <w:vAlign w:val="center"/>
          </w:tcPr>
          <w:p w14:paraId="55382CB9" w14:textId="77777777" w:rsidR="00F97579" w:rsidRDefault="0093786D">
            <w:r>
              <w:rPr>
                <w:sz w:val="20"/>
              </w:rPr>
              <w:t xml:space="preserve">b. Seznam dokumentov </w:t>
            </w:r>
          </w:p>
        </w:tc>
        <w:tc>
          <w:tcPr>
            <w:tcW w:w="6513" w:type="dxa"/>
            <w:gridSpan w:val="2"/>
            <w:tcBorders>
              <w:top w:val="single" w:sz="4" w:space="0" w:color="auto"/>
              <w:left w:val="single" w:sz="4" w:space="0" w:color="auto"/>
              <w:bottom w:val="single" w:sz="4" w:space="0" w:color="auto"/>
              <w:right w:val="single" w:sz="4" w:space="0" w:color="auto"/>
            </w:tcBorders>
            <w:vAlign w:val="center"/>
          </w:tcPr>
          <w:p w14:paraId="5B00C49A" w14:textId="08C9E1F5" w:rsidR="00FB2BCE" w:rsidRPr="00FB2BCE" w:rsidRDefault="00FB2BCE" w:rsidP="00FB2BCE">
            <w:pPr>
              <w:ind w:left="1"/>
            </w:pPr>
            <w:r>
              <w:rPr>
                <w:i/>
                <w:color w:val="auto"/>
                <w:sz w:val="20"/>
              </w:rPr>
              <w:t xml:space="preserve">- </w:t>
            </w:r>
            <w:r w:rsidRPr="00FB2BCE">
              <w:rPr>
                <w:i/>
                <w:color w:val="auto"/>
                <w:sz w:val="20"/>
              </w:rPr>
              <w:t xml:space="preserve">seznam objavljenih dokumentov (npr. v zvezi s PVO in drugimi </w:t>
            </w:r>
            <w:proofErr w:type="spellStart"/>
            <w:r w:rsidRPr="00FB2BCE">
              <w:rPr>
                <w:i/>
                <w:color w:val="auto"/>
                <w:sz w:val="20"/>
              </w:rPr>
              <w:t>okoljskimi</w:t>
            </w:r>
            <w:proofErr w:type="spellEnd"/>
            <w:r w:rsidRPr="00FB2BCE">
              <w:rPr>
                <w:i/>
                <w:color w:val="auto"/>
                <w:sz w:val="20"/>
              </w:rPr>
              <w:t xml:space="preserve"> </w:t>
            </w:r>
            <w:r>
              <w:rPr>
                <w:i/>
                <w:color w:val="auto"/>
                <w:sz w:val="20"/>
              </w:rPr>
              <w:t xml:space="preserve"> </w:t>
            </w:r>
            <w:r w:rsidRPr="00FB2BCE">
              <w:rPr>
                <w:i/>
                <w:color w:val="auto"/>
                <w:sz w:val="20"/>
              </w:rPr>
              <w:t xml:space="preserve">presojami), </w:t>
            </w:r>
          </w:p>
          <w:p w14:paraId="36091BF4" w14:textId="042219B5" w:rsidR="00F97579" w:rsidRDefault="00FB2BCE" w:rsidP="00FB2BCE">
            <w:pPr>
              <w:ind w:left="1"/>
            </w:pPr>
            <w:r>
              <w:rPr>
                <w:i/>
                <w:color w:val="auto"/>
                <w:sz w:val="20"/>
              </w:rPr>
              <w:t xml:space="preserve">- </w:t>
            </w:r>
            <w:r w:rsidR="0093786D" w:rsidRPr="00B27232">
              <w:rPr>
                <w:i/>
                <w:color w:val="auto"/>
                <w:sz w:val="20"/>
              </w:rPr>
              <w:t xml:space="preserve">seznam ključnih dokumentov, ki so na voljo upravičencu projekta. </w:t>
            </w:r>
          </w:p>
        </w:tc>
      </w:tr>
    </w:tbl>
    <w:p w14:paraId="19E477E3" w14:textId="77777777" w:rsidR="00F97579" w:rsidRDefault="0093786D">
      <w:pPr>
        <w:spacing w:after="103"/>
        <w:ind w:left="567"/>
      </w:pPr>
      <w:r>
        <w:rPr>
          <w:rFonts w:ascii="Arial" w:eastAsia="Arial" w:hAnsi="Arial" w:cs="Arial"/>
          <w:sz w:val="20"/>
        </w:rPr>
        <w:t xml:space="preserve"> </w:t>
      </w:r>
    </w:p>
    <w:p w14:paraId="6CD80CA3" w14:textId="77777777" w:rsidR="00F97579" w:rsidRDefault="0093786D">
      <w:pPr>
        <w:spacing w:after="0"/>
        <w:ind w:left="562" w:hanging="10"/>
      </w:pPr>
      <w:r>
        <w:rPr>
          <w:sz w:val="20"/>
        </w:rPr>
        <w:t xml:space="preserve">Priloge k izjavi (podporna dokumentacija): </w:t>
      </w:r>
    </w:p>
    <w:tbl>
      <w:tblPr>
        <w:tblStyle w:val="TableGrid"/>
        <w:tblW w:w="9062" w:type="dxa"/>
        <w:tblInd w:w="572" w:type="dxa"/>
        <w:tblCellMar>
          <w:top w:w="12" w:type="dxa"/>
          <w:left w:w="108" w:type="dxa"/>
          <w:right w:w="115" w:type="dxa"/>
        </w:tblCellMar>
        <w:tblLook w:val="04A0" w:firstRow="1" w:lastRow="0" w:firstColumn="1" w:lastColumn="0" w:noHBand="0" w:noVBand="1"/>
      </w:tblPr>
      <w:tblGrid>
        <w:gridCol w:w="9062"/>
      </w:tblGrid>
      <w:tr w:rsidR="00F97579" w14:paraId="0CCECF3C" w14:textId="77777777">
        <w:trPr>
          <w:trHeight w:val="1390"/>
        </w:trPr>
        <w:tc>
          <w:tcPr>
            <w:tcW w:w="9062" w:type="dxa"/>
            <w:tcBorders>
              <w:top w:val="single" w:sz="4" w:space="0" w:color="000000"/>
              <w:left w:val="single" w:sz="4" w:space="0" w:color="000000"/>
              <w:bottom w:val="single" w:sz="4" w:space="0" w:color="000000"/>
              <w:right w:val="single" w:sz="4" w:space="0" w:color="000000"/>
            </w:tcBorders>
          </w:tcPr>
          <w:p w14:paraId="3769CCDD" w14:textId="77777777" w:rsidR="00F97579" w:rsidRDefault="0093786D">
            <w:pPr>
              <w:spacing w:after="98"/>
            </w:pPr>
            <w:r>
              <w:rPr>
                <w:rFonts w:ascii="Arial" w:eastAsia="Arial" w:hAnsi="Arial" w:cs="Arial"/>
                <w:sz w:val="20"/>
              </w:rPr>
              <w:t xml:space="preserve"> </w:t>
            </w:r>
          </w:p>
          <w:p w14:paraId="70E519AB" w14:textId="77777777" w:rsidR="00F97579" w:rsidRDefault="0093786D">
            <w:pPr>
              <w:spacing w:after="96"/>
            </w:pPr>
            <w:r>
              <w:rPr>
                <w:rFonts w:ascii="Arial" w:eastAsia="Arial" w:hAnsi="Arial" w:cs="Arial"/>
                <w:sz w:val="20"/>
              </w:rPr>
              <w:t xml:space="preserve"> </w:t>
            </w:r>
          </w:p>
          <w:p w14:paraId="201697BB" w14:textId="77777777" w:rsidR="00F97579" w:rsidRDefault="0093786D">
            <w:pPr>
              <w:spacing w:after="98"/>
            </w:pPr>
            <w:r>
              <w:rPr>
                <w:rFonts w:ascii="Arial" w:eastAsia="Arial" w:hAnsi="Arial" w:cs="Arial"/>
                <w:sz w:val="20"/>
              </w:rPr>
              <w:t xml:space="preserve"> </w:t>
            </w:r>
          </w:p>
          <w:p w14:paraId="1DC795E9" w14:textId="77777777" w:rsidR="00F97579" w:rsidRDefault="0093786D">
            <w:r>
              <w:rPr>
                <w:rFonts w:ascii="Arial" w:eastAsia="Arial" w:hAnsi="Arial" w:cs="Arial"/>
                <w:sz w:val="20"/>
              </w:rPr>
              <w:t xml:space="preserve"> </w:t>
            </w:r>
          </w:p>
        </w:tc>
      </w:tr>
    </w:tbl>
    <w:p w14:paraId="74F0DE20" w14:textId="498A3E6C" w:rsidR="00F97579" w:rsidRDefault="00F97579">
      <w:pPr>
        <w:spacing w:after="98"/>
        <w:ind w:left="567"/>
      </w:pPr>
    </w:p>
    <w:p w14:paraId="57866DB5" w14:textId="77777777" w:rsidR="00F97579" w:rsidRDefault="0093786D">
      <w:pPr>
        <w:spacing w:after="96"/>
        <w:ind w:left="567"/>
      </w:pPr>
      <w:r>
        <w:rPr>
          <w:rFonts w:ascii="Arial" w:eastAsia="Arial" w:hAnsi="Arial" w:cs="Arial"/>
          <w:sz w:val="20"/>
        </w:rPr>
        <w:t xml:space="preserve"> </w:t>
      </w:r>
    </w:p>
    <w:p w14:paraId="5B2B8ACD" w14:textId="77777777" w:rsidR="00F97579" w:rsidRDefault="0093786D">
      <w:pPr>
        <w:spacing w:after="0"/>
        <w:ind w:left="567"/>
      </w:pPr>
      <w:r>
        <w:rPr>
          <w:rFonts w:ascii="Arial" w:eastAsia="Arial" w:hAnsi="Arial" w:cs="Arial"/>
          <w:b/>
          <w:sz w:val="20"/>
        </w:rPr>
        <w:t xml:space="preserve">Dodatek k izjavi: </w:t>
      </w:r>
    </w:p>
    <w:tbl>
      <w:tblPr>
        <w:tblStyle w:val="TableGrid"/>
        <w:tblW w:w="9065" w:type="dxa"/>
        <w:tblInd w:w="567" w:type="dxa"/>
        <w:tblCellMar>
          <w:top w:w="46" w:type="dxa"/>
          <w:left w:w="107" w:type="dxa"/>
          <w:right w:w="63" w:type="dxa"/>
        </w:tblCellMar>
        <w:tblLook w:val="04A0" w:firstRow="1" w:lastRow="0" w:firstColumn="1" w:lastColumn="0" w:noHBand="0" w:noVBand="1"/>
      </w:tblPr>
      <w:tblGrid>
        <w:gridCol w:w="2589"/>
        <w:gridCol w:w="6476"/>
      </w:tblGrid>
      <w:tr w:rsidR="00F97579" w14:paraId="44D5437B" w14:textId="77777777" w:rsidTr="00575BF9">
        <w:trPr>
          <w:trHeight w:val="1474"/>
        </w:trPr>
        <w:tc>
          <w:tcPr>
            <w:tcW w:w="2589" w:type="dxa"/>
            <w:tcBorders>
              <w:top w:val="single" w:sz="4" w:space="0" w:color="000000"/>
              <w:left w:val="single" w:sz="4" w:space="0" w:color="000000"/>
              <w:bottom w:val="single" w:sz="4" w:space="0" w:color="000000"/>
              <w:right w:val="single" w:sz="4" w:space="0" w:color="000000"/>
            </w:tcBorders>
            <w:vAlign w:val="center"/>
          </w:tcPr>
          <w:p w14:paraId="3078B057" w14:textId="77777777" w:rsidR="00F97579" w:rsidRDefault="0093786D">
            <w:pPr>
              <w:ind w:left="1"/>
            </w:pPr>
            <w:r>
              <w:rPr>
                <w:sz w:val="20"/>
              </w:rPr>
              <w:t xml:space="preserve">Opis postopka/metodologije pregleda podnebne nevtralnosti /odpornosti na podnebne spremembe </w:t>
            </w:r>
          </w:p>
        </w:tc>
        <w:tc>
          <w:tcPr>
            <w:tcW w:w="6476"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2111D997" w14:textId="77777777" w:rsidR="00F97579" w:rsidRDefault="0093786D">
            <w:pPr>
              <w:ind w:right="46"/>
              <w:jc w:val="both"/>
            </w:pPr>
            <w:r>
              <w:rPr>
                <w:sz w:val="20"/>
              </w:rPr>
              <w:t xml:space="preserve">Izvedena je bila presoja odpornosti operacije na podnebne spremembe (za </w:t>
            </w:r>
            <w:proofErr w:type="spellStart"/>
            <w:r>
              <w:rPr>
                <w:sz w:val="20"/>
              </w:rPr>
              <w:t>okoljski</w:t>
            </w:r>
            <w:proofErr w:type="spellEnd"/>
            <w:r>
              <w:rPr>
                <w:sz w:val="20"/>
              </w:rPr>
              <w:t xml:space="preserve"> cilji 1 – blažitev podnebnih sprememb in </w:t>
            </w:r>
            <w:proofErr w:type="spellStart"/>
            <w:r>
              <w:rPr>
                <w:sz w:val="20"/>
              </w:rPr>
              <w:t>okoljski</w:t>
            </w:r>
            <w:proofErr w:type="spellEnd"/>
            <w:r>
              <w:rPr>
                <w:sz w:val="20"/>
              </w:rPr>
              <w:t xml:space="preserve"> cilj 2 – prilagajanje podnebnim spremembam skladno z načelom DNSH) v skladu s Smernicami organa upravljanja za krepitev podnebne odpornosti infrastrukture v obdobju 2021–2027. </w:t>
            </w:r>
          </w:p>
        </w:tc>
      </w:tr>
      <w:tr w:rsidR="00F97579" w14:paraId="013CDB0C" w14:textId="77777777" w:rsidTr="00575BF9">
        <w:trPr>
          <w:trHeight w:val="2871"/>
        </w:trPr>
        <w:tc>
          <w:tcPr>
            <w:tcW w:w="2589" w:type="dxa"/>
            <w:tcBorders>
              <w:top w:val="single" w:sz="4" w:space="0" w:color="000000"/>
              <w:left w:val="single" w:sz="4" w:space="0" w:color="000000"/>
              <w:bottom w:val="single" w:sz="4" w:space="0" w:color="000000"/>
              <w:right w:val="single" w:sz="4" w:space="0" w:color="000000"/>
            </w:tcBorders>
            <w:vAlign w:val="center"/>
          </w:tcPr>
          <w:p w14:paraId="448AA66B" w14:textId="77777777" w:rsidR="00F97579" w:rsidRDefault="0093786D">
            <w:pPr>
              <w:ind w:left="1" w:right="23"/>
            </w:pPr>
            <w:r>
              <w:rPr>
                <w:sz w:val="20"/>
              </w:rPr>
              <w:t xml:space="preserve">Opis morebitnih omilitvenih ukrepov/nalog, povezanih s krepitvijo podnebne odpornosti, vključno z ukrepi, ki jih je potrebno zagotoviti v nadaljnjih fazah izvajanja projekta </w:t>
            </w:r>
          </w:p>
        </w:tc>
        <w:tc>
          <w:tcPr>
            <w:tcW w:w="6476"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161F1D75" w14:textId="77777777" w:rsidR="00F97579" w:rsidRDefault="0093786D">
            <w:pPr>
              <w:spacing w:after="1" w:line="241" w:lineRule="auto"/>
              <w:ind w:right="47"/>
              <w:jc w:val="both"/>
            </w:pPr>
            <w:r>
              <w:rPr>
                <w:sz w:val="20"/>
              </w:rPr>
              <w:t xml:space="preserve">Pripravljena je bila dokumentacija in povzetek analize v izjavi o krepitvi podnebne nevtralnosti, v kateri je načeloma ugotovljeno, da je treba v zvezi s podnebno nevtralnostjo upoštevati krepitev podnebne nevtralnosti v skladu s Smernicami organa upravljanja za krepitev podnebne odpornosti infrastrukture v obdobju 2021–2027. </w:t>
            </w:r>
          </w:p>
          <w:p w14:paraId="42B9C907" w14:textId="77777777" w:rsidR="00F97579" w:rsidRDefault="0093786D">
            <w:r>
              <w:rPr>
                <w:sz w:val="20"/>
              </w:rPr>
              <w:t xml:space="preserve"> </w:t>
            </w:r>
          </w:p>
          <w:p w14:paraId="6C61DBDF" w14:textId="77777777" w:rsidR="00F97579" w:rsidRDefault="0093786D">
            <w:pPr>
              <w:ind w:right="46"/>
              <w:jc w:val="both"/>
            </w:pPr>
            <w:r>
              <w:rPr>
                <w:sz w:val="20"/>
              </w:rPr>
              <w:t xml:space="preserve">Pripravljena je bila dokumentacija in povzetek analize v izjavi o krepitvi podnebne odpornosti, ki načeloma vključuje sklep o krepitvi podnebne odpornosti v zvezi z odpornostjo proti podnebnim spremembam v skladu s Smernicami organa upravljanja za krepitev podnebne odpornosti infrastrukture v obdobju 2021–2027. </w:t>
            </w:r>
          </w:p>
        </w:tc>
      </w:tr>
    </w:tbl>
    <w:p w14:paraId="16AC1788" w14:textId="77777777" w:rsidR="00F97579" w:rsidRDefault="0093786D">
      <w:pPr>
        <w:spacing w:after="116"/>
        <w:ind w:left="567"/>
      </w:pPr>
      <w:r>
        <w:rPr>
          <w:rFonts w:ascii="Arial" w:eastAsia="Arial" w:hAnsi="Arial" w:cs="Arial"/>
          <w:sz w:val="20"/>
        </w:rPr>
        <w:t xml:space="preserve"> </w:t>
      </w:r>
    </w:p>
    <w:p w14:paraId="630F6A69" w14:textId="77777777" w:rsidR="00F97579" w:rsidRDefault="0093786D">
      <w:pPr>
        <w:tabs>
          <w:tab w:val="center" w:pos="976"/>
          <w:tab w:val="center" w:pos="3912"/>
          <w:tab w:val="center" w:pos="6581"/>
        </w:tabs>
        <w:spacing w:after="0"/>
      </w:pPr>
      <w:r>
        <w:tab/>
      </w:r>
      <w:r>
        <w:rPr>
          <w:sz w:val="20"/>
        </w:rPr>
        <w:t xml:space="preserve">Datum:  </w:t>
      </w:r>
      <w:r>
        <w:rPr>
          <w:sz w:val="20"/>
        </w:rPr>
        <w:tab/>
        <w:t xml:space="preserve">Žig </w:t>
      </w:r>
      <w:r>
        <w:rPr>
          <w:sz w:val="20"/>
        </w:rPr>
        <w:tab/>
        <w:t xml:space="preserve">Podpis odgovorne osebe vlagatelja: </w:t>
      </w:r>
    </w:p>
    <w:p w14:paraId="617237B7" w14:textId="77777777" w:rsidR="00F97579" w:rsidRDefault="0093786D">
      <w:pPr>
        <w:spacing w:after="0"/>
        <w:ind w:left="659"/>
        <w:jc w:val="center"/>
      </w:pPr>
      <w:r>
        <w:rPr>
          <w:sz w:val="20"/>
        </w:rPr>
        <w:t xml:space="preserve"> </w:t>
      </w:r>
    </w:p>
    <w:p w14:paraId="75D0497C" w14:textId="77777777" w:rsidR="00F97579" w:rsidRDefault="0093786D">
      <w:pPr>
        <w:spacing w:after="0"/>
        <w:ind w:left="659"/>
        <w:jc w:val="center"/>
      </w:pPr>
      <w:r>
        <w:rPr>
          <w:sz w:val="20"/>
        </w:rPr>
        <w:t xml:space="preserve"> </w:t>
      </w:r>
    </w:p>
    <w:p w14:paraId="60BA766A" w14:textId="4156D7DB" w:rsidR="00F97579" w:rsidRDefault="0093786D" w:rsidP="00FB2BCE">
      <w:pPr>
        <w:spacing w:after="90"/>
        <w:ind w:right="1639"/>
        <w:jc w:val="right"/>
      </w:pPr>
      <w:r>
        <w:rPr>
          <w:sz w:val="20"/>
        </w:rPr>
        <w:t xml:space="preserve">_____________________________ </w:t>
      </w:r>
      <w:r>
        <w:rPr>
          <w:rFonts w:ascii="Times New Roman" w:eastAsia="Times New Roman" w:hAnsi="Times New Roman" w:cs="Times New Roman"/>
          <w:sz w:val="24"/>
        </w:rPr>
        <w:t xml:space="preserve"> </w:t>
      </w:r>
    </w:p>
    <w:sectPr w:rsidR="00F97579">
      <w:headerReference w:type="even" r:id="rId41"/>
      <w:headerReference w:type="default" r:id="rId42"/>
      <w:footerReference w:type="even" r:id="rId43"/>
      <w:footerReference w:type="default" r:id="rId44"/>
      <w:headerReference w:type="first" r:id="rId45"/>
      <w:footerReference w:type="first" r:id="rId46"/>
      <w:pgSz w:w="11906" w:h="16838"/>
      <w:pgMar w:top="858" w:right="1385" w:bottom="709" w:left="852" w:header="708" w:footer="68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B5FBF" w14:textId="77777777" w:rsidR="0093786D" w:rsidRDefault="0093786D">
      <w:pPr>
        <w:spacing w:after="0" w:line="240" w:lineRule="auto"/>
      </w:pPr>
      <w:r>
        <w:separator/>
      </w:r>
    </w:p>
  </w:endnote>
  <w:endnote w:type="continuationSeparator" w:id="0">
    <w:p w14:paraId="41B6A0F6" w14:textId="77777777" w:rsidR="0093786D" w:rsidRDefault="0093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E2F1" w14:textId="77777777" w:rsidR="00F97579" w:rsidRDefault="0093786D">
    <w:pPr>
      <w:spacing w:after="0" w:line="216" w:lineRule="auto"/>
      <w:ind w:right="33"/>
      <w:jc w:val="right"/>
    </w:pPr>
    <w:r>
      <w:rPr>
        <w:noProof/>
      </w:rPr>
      <mc:AlternateContent>
        <mc:Choice Requires="wpg">
          <w:drawing>
            <wp:anchor distT="0" distB="0" distL="114300" distR="114300" simplePos="0" relativeHeight="251661312" behindDoc="0" locked="0" layoutInCell="1" allowOverlap="1" wp14:anchorId="63298A6A" wp14:editId="4BAFEED5">
              <wp:simplePos x="0" y="0"/>
              <wp:positionH relativeFrom="page">
                <wp:posOffset>522732</wp:posOffset>
              </wp:positionH>
              <wp:positionV relativeFrom="page">
                <wp:posOffset>10007802</wp:posOffset>
              </wp:positionV>
              <wp:extent cx="6156706" cy="6097"/>
              <wp:effectExtent l="0" t="0" r="0" b="0"/>
              <wp:wrapSquare wrapText="bothSides"/>
              <wp:docPr id="12472" name="Group 12472"/>
              <wp:cNvGraphicFramePr/>
              <a:graphic xmlns:a="http://schemas.openxmlformats.org/drawingml/2006/main">
                <a:graphicData uri="http://schemas.microsoft.com/office/word/2010/wordprocessingGroup">
                  <wpg:wgp>
                    <wpg:cNvGrpSpPr/>
                    <wpg:grpSpPr>
                      <a:xfrm>
                        <a:off x="0" y="0"/>
                        <a:ext cx="6156706" cy="6097"/>
                        <a:chOff x="0" y="0"/>
                        <a:chExt cx="6156706" cy="6097"/>
                      </a:xfrm>
                    </wpg:grpSpPr>
                    <wps:wsp>
                      <wps:cNvPr id="12803" name="Shape 12803"/>
                      <wps:cNvSpPr/>
                      <wps:spPr>
                        <a:xfrm>
                          <a:off x="0" y="0"/>
                          <a:ext cx="6156706" cy="9144"/>
                        </a:xfrm>
                        <a:custGeom>
                          <a:avLst/>
                          <a:gdLst/>
                          <a:ahLst/>
                          <a:cxnLst/>
                          <a:rect l="0" t="0" r="0" b="0"/>
                          <a:pathLst>
                            <a:path w="6156706" h="9144">
                              <a:moveTo>
                                <a:pt x="0" y="0"/>
                              </a:moveTo>
                              <a:lnTo>
                                <a:pt x="6156706" y="0"/>
                              </a:lnTo>
                              <a:lnTo>
                                <a:pt x="6156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72" style="width:484.78pt;height:0.480042pt;position:absolute;mso-position-horizontal-relative:page;mso-position-horizontal:absolute;margin-left:41.16pt;mso-position-vertical-relative:page;margin-top:788.016pt;" coordsize="61567,60">
              <v:shape id="Shape 12804" style="position:absolute;width:61567;height:91;left:0;top:0;" coordsize="6156706,9144" path="m0,0l6156706,0l6156706,9144l0,9144l0,0">
                <v:stroke weight="0pt" endcap="flat" joinstyle="miter" miterlimit="10" on="false" color="#000000" opacity="0"/>
                <v:fill on="true" color="#000000"/>
              </v:shape>
              <w10:wrap type="square"/>
            </v:group>
          </w:pict>
        </mc:Fallback>
      </mc:AlternateContent>
    </w:r>
    <w:r>
      <w:rPr>
        <w:sz w:val="14"/>
      </w:rPr>
      <w:t xml:space="preserve">»Javni razpis za sofinanciranje celovite energetske prenove stavb v lasti in rabi občin za obdobje od 2023 do 2027« (oznaka: JR_EKP_JOB_2024)  </w:t>
    </w:r>
    <w:r>
      <w:rPr>
        <w:sz w:val="14"/>
      </w:rPr>
      <w:tab/>
      <w:t xml:space="preserve"> Stran </w:t>
    </w:r>
    <w:r>
      <w:fldChar w:fldCharType="begin"/>
    </w:r>
    <w:r>
      <w:instrText xml:space="preserve"> PAGE   \* MERGEFORMAT </w:instrText>
    </w:r>
    <w:r>
      <w:fldChar w:fldCharType="separate"/>
    </w:r>
    <w:r>
      <w:rPr>
        <w:sz w:val="14"/>
      </w:rPr>
      <w:t>2</w:t>
    </w:r>
    <w:r>
      <w:rPr>
        <w:sz w:val="14"/>
      </w:rPr>
      <w:fldChar w:fldCharType="end"/>
    </w:r>
    <w:r>
      <w:rPr>
        <w:sz w:val="14"/>
      </w:rPr>
      <w:t xml:space="preserve">/ </w:t>
    </w:r>
    <w:r w:rsidR="00B156DB">
      <w:fldChar w:fldCharType="begin"/>
    </w:r>
    <w:r w:rsidR="00B156DB">
      <w:instrText xml:space="preserve"> NUMPAGES   \* MERGEFORMAT </w:instrText>
    </w:r>
    <w:r w:rsidR="00B156DB">
      <w:fldChar w:fldCharType="separate"/>
    </w:r>
    <w:r>
      <w:rPr>
        <w:sz w:val="14"/>
      </w:rPr>
      <w:t>6</w:t>
    </w:r>
    <w:r w:rsidR="00B156DB">
      <w:rPr>
        <w:sz w:val="1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6D09" w14:textId="5B6F6F94" w:rsidR="00F97579" w:rsidRDefault="0093786D">
    <w:pPr>
      <w:spacing w:after="0" w:line="216" w:lineRule="auto"/>
      <w:ind w:right="33"/>
      <w:jc w:val="right"/>
    </w:pPr>
    <w:r>
      <w:rPr>
        <w:noProof/>
      </w:rPr>
      <mc:AlternateContent>
        <mc:Choice Requires="wpg">
          <w:drawing>
            <wp:anchor distT="0" distB="0" distL="114300" distR="114300" simplePos="0" relativeHeight="251662336" behindDoc="0" locked="0" layoutInCell="1" allowOverlap="1" wp14:anchorId="376A318E" wp14:editId="7FFBD5B2">
              <wp:simplePos x="0" y="0"/>
              <wp:positionH relativeFrom="page">
                <wp:posOffset>522732</wp:posOffset>
              </wp:positionH>
              <wp:positionV relativeFrom="page">
                <wp:posOffset>10007802</wp:posOffset>
              </wp:positionV>
              <wp:extent cx="6156706" cy="6097"/>
              <wp:effectExtent l="0" t="0" r="0" b="0"/>
              <wp:wrapSquare wrapText="bothSides"/>
              <wp:docPr id="12451" name="Group 12451"/>
              <wp:cNvGraphicFramePr/>
              <a:graphic xmlns:a="http://schemas.openxmlformats.org/drawingml/2006/main">
                <a:graphicData uri="http://schemas.microsoft.com/office/word/2010/wordprocessingGroup">
                  <wpg:wgp>
                    <wpg:cNvGrpSpPr/>
                    <wpg:grpSpPr>
                      <a:xfrm>
                        <a:off x="0" y="0"/>
                        <a:ext cx="6156706" cy="6097"/>
                        <a:chOff x="0" y="0"/>
                        <a:chExt cx="6156706" cy="6097"/>
                      </a:xfrm>
                    </wpg:grpSpPr>
                    <wps:wsp>
                      <wps:cNvPr id="12801" name="Shape 12801"/>
                      <wps:cNvSpPr/>
                      <wps:spPr>
                        <a:xfrm>
                          <a:off x="0" y="0"/>
                          <a:ext cx="6156706" cy="9144"/>
                        </a:xfrm>
                        <a:custGeom>
                          <a:avLst/>
                          <a:gdLst/>
                          <a:ahLst/>
                          <a:cxnLst/>
                          <a:rect l="0" t="0" r="0" b="0"/>
                          <a:pathLst>
                            <a:path w="6156706" h="9144">
                              <a:moveTo>
                                <a:pt x="0" y="0"/>
                              </a:moveTo>
                              <a:lnTo>
                                <a:pt x="6156706" y="0"/>
                              </a:lnTo>
                              <a:lnTo>
                                <a:pt x="6156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51" style="width:484.78pt;height:0.480042pt;position:absolute;mso-position-horizontal-relative:page;mso-position-horizontal:absolute;margin-left:41.16pt;mso-position-vertical-relative:page;margin-top:788.016pt;" coordsize="61567,60">
              <v:shape id="Shape 12802" style="position:absolute;width:61567;height:91;left:0;top:0;" coordsize="6156706,9144" path="m0,0l6156706,0l6156706,9144l0,9144l0,0">
                <v:stroke weight="0pt" endcap="flat" joinstyle="miter" miterlimit="10" on="false" color="#000000" opacity="0"/>
                <v:fill on="true" color="#000000"/>
              </v:shape>
              <w10:wrap type="square"/>
            </v:group>
          </w:pict>
        </mc:Fallback>
      </mc:AlternateContent>
    </w:r>
    <w:r>
      <w:rPr>
        <w:sz w:val="14"/>
      </w:rPr>
      <w:t xml:space="preserve">  </w:t>
    </w:r>
    <w:r>
      <w:rPr>
        <w:sz w:val="14"/>
      </w:rPr>
      <w:tab/>
      <w:t xml:space="preserve"> </w:t>
    </w:r>
    <w:r>
      <w:rPr>
        <w:sz w:val="14"/>
      </w:rPr>
      <w:t xml:space="preserve">Stran </w:t>
    </w:r>
    <w:r>
      <w:fldChar w:fldCharType="begin"/>
    </w:r>
    <w:r>
      <w:instrText xml:space="preserve"> PAGE   \* MERGEFORMAT </w:instrText>
    </w:r>
    <w:r>
      <w:fldChar w:fldCharType="separate"/>
    </w:r>
    <w:r>
      <w:rPr>
        <w:sz w:val="14"/>
      </w:rPr>
      <w:t>2</w:t>
    </w:r>
    <w:r>
      <w:rPr>
        <w:sz w:val="14"/>
      </w:rPr>
      <w:fldChar w:fldCharType="end"/>
    </w:r>
    <w:r>
      <w:rPr>
        <w:sz w:val="14"/>
      </w:rPr>
      <w:t xml:space="preserve">/ </w:t>
    </w:r>
    <w:r w:rsidR="00B156DB">
      <w:fldChar w:fldCharType="begin"/>
    </w:r>
    <w:r w:rsidR="00B156DB">
      <w:instrText xml:space="preserve"> NUMPAGES   \* MERGEFORMAT </w:instrText>
    </w:r>
    <w:r w:rsidR="00B156DB">
      <w:fldChar w:fldCharType="separate"/>
    </w:r>
    <w:r>
      <w:rPr>
        <w:sz w:val="14"/>
      </w:rPr>
      <w:t>6</w:t>
    </w:r>
    <w:r w:rsidR="00B156DB">
      <w:rPr>
        <w:sz w:val="1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B87B" w14:textId="77777777" w:rsidR="00F97579" w:rsidRDefault="0093786D">
    <w:pPr>
      <w:spacing w:after="0"/>
      <w:ind w:right="1478"/>
      <w:jc w:val="right"/>
    </w:pPr>
    <w:r>
      <w:rPr>
        <w:sz w:val="14"/>
      </w:rPr>
      <w:t xml:space="preserve">  </w:t>
    </w:r>
  </w:p>
  <w:p w14:paraId="77C90BB1" w14:textId="77777777" w:rsidR="00F97579" w:rsidRDefault="0093786D">
    <w:pPr>
      <w:spacing w:after="0"/>
      <w:ind w:right="33"/>
      <w:jc w:val="right"/>
    </w:pPr>
    <w:r>
      <w:rPr>
        <w:sz w:val="14"/>
      </w:rPr>
      <w:t xml:space="preserve">Stran </w:t>
    </w:r>
    <w:r>
      <w:fldChar w:fldCharType="begin"/>
    </w:r>
    <w:r>
      <w:instrText xml:space="preserve"> PAGE   \* MERGEFORMAT </w:instrText>
    </w:r>
    <w:r>
      <w:fldChar w:fldCharType="separate"/>
    </w:r>
    <w:r>
      <w:rPr>
        <w:sz w:val="14"/>
      </w:rPr>
      <w:t>1</w:t>
    </w:r>
    <w:r>
      <w:rPr>
        <w:sz w:val="14"/>
      </w:rPr>
      <w:fldChar w:fldCharType="end"/>
    </w:r>
    <w:r>
      <w:rPr>
        <w:sz w:val="14"/>
      </w:rPr>
      <w:t xml:space="preserve">/ </w:t>
    </w:r>
    <w:r w:rsidR="00B156DB">
      <w:fldChar w:fldCharType="begin"/>
    </w:r>
    <w:r w:rsidR="00B156DB">
      <w:instrText xml:space="preserve"> NUMPAGES   \* MERGEFORMAT </w:instrText>
    </w:r>
    <w:r w:rsidR="00B156DB">
      <w:fldChar w:fldCharType="separate"/>
    </w:r>
    <w:r>
      <w:rPr>
        <w:sz w:val="14"/>
      </w:rPr>
      <w:t>6</w:t>
    </w:r>
    <w:r w:rsidR="00B156DB">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40D46" w14:textId="77777777" w:rsidR="0093786D" w:rsidRDefault="0093786D">
      <w:pPr>
        <w:spacing w:after="0" w:line="240" w:lineRule="auto"/>
      </w:pPr>
      <w:r>
        <w:separator/>
      </w:r>
    </w:p>
  </w:footnote>
  <w:footnote w:type="continuationSeparator" w:id="0">
    <w:p w14:paraId="2875837E" w14:textId="77777777" w:rsidR="0093786D" w:rsidRDefault="00937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6084" w14:textId="77777777" w:rsidR="00F97579" w:rsidRDefault="0093786D">
    <w:r>
      <w:rPr>
        <w:noProof/>
      </w:rPr>
      <mc:AlternateContent>
        <mc:Choice Requires="wpg">
          <w:drawing>
            <wp:anchor distT="0" distB="0" distL="114300" distR="114300" simplePos="0" relativeHeight="251658240" behindDoc="1" locked="0" layoutInCell="1" allowOverlap="1" wp14:anchorId="501675EC" wp14:editId="08B6C564">
              <wp:simplePos x="0" y="0"/>
              <wp:positionH relativeFrom="page">
                <wp:posOffset>0</wp:posOffset>
              </wp:positionH>
              <wp:positionV relativeFrom="page">
                <wp:posOffset>0</wp:posOffset>
              </wp:positionV>
              <wp:extent cx="1" cy="1"/>
              <wp:effectExtent l="0" t="0" r="0" b="0"/>
              <wp:wrapNone/>
              <wp:docPr id="12454" name="Group 124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45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9395" w14:textId="77777777" w:rsidR="00F97579" w:rsidRDefault="0093786D">
    <w:r>
      <w:rPr>
        <w:noProof/>
      </w:rPr>
      <mc:AlternateContent>
        <mc:Choice Requires="wpg">
          <w:drawing>
            <wp:anchor distT="0" distB="0" distL="114300" distR="114300" simplePos="0" relativeHeight="251659264" behindDoc="1" locked="0" layoutInCell="1" allowOverlap="1" wp14:anchorId="66BF466C" wp14:editId="52FD86CF">
              <wp:simplePos x="0" y="0"/>
              <wp:positionH relativeFrom="page">
                <wp:posOffset>0</wp:posOffset>
              </wp:positionH>
              <wp:positionV relativeFrom="page">
                <wp:posOffset>0</wp:posOffset>
              </wp:positionV>
              <wp:extent cx="1" cy="1"/>
              <wp:effectExtent l="0" t="0" r="0" b="0"/>
              <wp:wrapNone/>
              <wp:docPr id="12433" name="Group 1243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433"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8874" w14:textId="77777777" w:rsidR="00F97579" w:rsidRDefault="0093786D">
    <w:r>
      <w:rPr>
        <w:noProof/>
      </w:rPr>
      <mc:AlternateContent>
        <mc:Choice Requires="wpg">
          <w:drawing>
            <wp:anchor distT="0" distB="0" distL="114300" distR="114300" simplePos="0" relativeHeight="251660288" behindDoc="1" locked="0" layoutInCell="1" allowOverlap="1" wp14:anchorId="7B4207F2" wp14:editId="2F37B98A">
              <wp:simplePos x="0" y="0"/>
              <wp:positionH relativeFrom="page">
                <wp:posOffset>522732</wp:posOffset>
              </wp:positionH>
              <wp:positionV relativeFrom="page">
                <wp:posOffset>10007802</wp:posOffset>
              </wp:positionV>
              <wp:extent cx="6156706" cy="6097"/>
              <wp:effectExtent l="0" t="0" r="0" b="0"/>
              <wp:wrapNone/>
              <wp:docPr id="12417" name="Group 12417"/>
              <wp:cNvGraphicFramePr/>
              <a:graphic xmlns:a="http://schemas.openxmlformats.org/drawingml/2006/main">
                <a:graphicData uri="http://schemas.microsoft.com/office/word/2010/wordprocessingGroup">
                  <wpg:wgp>
                    <wpg:cNvGrpSpPr/>
                    <wpg:grpSpPr>
                      <a:xfrm>
                        <a:off x="0" y="0"/>
                        <a:ext cx="6156706" cy="6097"/>
                        <a:chOff x="0" y="0"/>
                        <a:chExt cx="6156706" cy="6097"/>
                      </a:xfrm>
                    </wpg:grpSpPr>
                    <wps:wsp>
                      <wps:cNvPr id="12799" name="Shape 12799"/>
                      <wps:cNvSpPr/>
                      <wps:spPr>
                        <a:xfrm>
                          <a:off x="0" y="0"/>
                          <a:ext cx="6156706" cy="9144"/>
                        </a:xfrm>
                        <a:custGeom>
                          <a:avLst/>
                          <a:gdLst/>
                          <a:ahLst/>
                          <a:cxnLst/>
                          <a:rect l="0" t="0" r="0" b="0"/>
                          <a:pathLst>
                            <a:path w="6156706" h="9144">
                              <a:moveTo>
                                <a:pt x="0" y="0"/>
                              </a:moveTo>
                              <a:lnTo>
                                <a:pt x="6156706" y="0"/>
                              </a:lnTo>
                              <a:lnTo>
                                <a:pt x="6156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17" style="width:484.78pt;height:0.480042pt;position:absolute;z-index:-2147483648;mso-position-horizontal-relative:page;mso-position-horizontal:absolute;margin-left:41.16pt;mso-position-vertical-relative:page;margin-top:788.016pt;" coordsize="61567,60">
              <v:shape id="Shape 12800" style="position:absolute;width:61567;height:91;left:0;top:0;" coordsize="6156706,9144" path="m0,0l6156706,0l6156706,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F3E"/>
    <w:multiLevelType w:val="hybridMultilevel"/>
    <w:tmpl w:val="4F20F924"/>
    <w:lvl w:ilvl="0" w:tplc="A32AF312">
      <w:start w:val="1"/>
      <w:numFmt w:val="bullet"/>
      <w:lvlText w:val="-"/>
      <w:lvlJc w:val="left"/>
      <w:pPr>
        <w:ind w:left="1"/>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7F8E10B6">
      <w:start w:val="1"/>
      <w:numFmt w:val="bullet"/>
      <w:lvlText w:val="o"/>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99E09B4E">
      <w:start w:val="1"/>
      <w:numFmt w:val="bullet"/>
      <w:lvlText w:val="▪"/>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A336F31C">
      <w:start w:val="1"/>
      <w:numFmt w:val="bullet"/>
      <w:lvlText w:val="•"/>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25BE771E">
      <w:start w:val="1"/>
      <w:numFmt w:val="bullet"/>
      <w:lvlText w:val="o"/>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2C7E2A72">
      <w:start w:val="1"/>
      <w:numFmt w:val="bullet"/>
      <w:lvlText w:val="▪"/>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A83CA454">
      <w:start w:val="1"/>
      <w:numFmt w:val="bullet"/>
      <w:lvlText w:val="•"/>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98F808A4">
      <w:start w:val="1"/>
      <w:numFmt w:val="bullet"/>
      <w:lvlText w:val="o"/>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E004A7FC">
      <w:start w:val="1"/>
      <w:numFmt w:val="bullet"/>
      <w:lvlText w:val="▪"/>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1" w15:restartNumberingAfterBreak="0">
    <w:nsid w:val="059A14F5"/>
    <w:multiLevelType w:val="hybridMultilevel"/>
    <w:tmpl w:val="51CA3150"/>
    <w:lvl w:ilvl="0" w:tplc="267497F6">
      <w:start w:val="1"/>
      <w:numFmt w:val="lowerLetter"/>
      <w:lvlText w:val="%1)"/>
      <w:lvlJc w:val="left"/>
      <w:pPr>
        <w:ind w:left="4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4606C66C">
      <w:start w:val="1"/>
      <w:numFmt w:val="lowerLetter"/>
      <w:lvlText w:val="%2"/>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C8BC74A4">
      <w:start w:val="1"/>
      <w:numFmt w:val="lowerRoman"/>
      <w:lvlText w:val="%3"/>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35E2A600">
      <w:start w:val="1"/>
      <w:numFmt w:val="decimal"/>
      <w:lvlText w:val="%4"/>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DC0E891A">
      <w:start w:val="1"/>
      <w:numFmt w:val="lowerLetter"/>
      <w:lvlText w:val="%5"/>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487C0A0A">
      <w:start w:val="1"/>
      <w:numFmt w:val="lowerRoman"/>
      <w:lvlText w:val="%6"/>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A11645C8">
      <w:start w:val="1"/>
      <w:numFmt w:val="decimal"/>
      <w:lvlText w:val="%7"/>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8500DD5E">
      <w:start w:val="1"/>
      <w:numFmt w:val="lowerLetter"/>
      <w:lvlText w:val="%8"/>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EF70597A">
      <w:start w:val="1"/>
      <w:numFmt w:val="lowerRoman"/>
      <w:lvlText w:val="%9"/>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2" w15:restartNumberingAfterBreak="0">
    <w:nsid w:val="0ED36415"/>
    <w:multiLevelType w:val="hybridMultilevel"/>
    <w:tmpl w:val="694CE86C"/>
    <w:lvl w:ilvl="0" w:tplc="15F4A7D0">
      <w:numFmt w:val="bullet"/>
      <w:lvlText w:val="-"/>
      <w:lvlJc w:val="left"/>
      <w:pPr>
        <w:ind w:left="1"/>
      </w:pPr>
      <w:rPr>
        <w:rFonts w:ascii="Aptos" w:eastAsiaTheme="minorHAnsi" w:hAnsi="Aptos" w:cstheme="minorBidi" w:hint="default"/>
        <w:b w:val="0"/>
        <w:i/>
        <w:iCs/>
        <w:strike w:val="0"/>
        <w:dstrike w:val="0"/>
        <w:color w:val="80808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0FC10E4D"/>
    <w:multiLevelType w:val="hybridMultilevel"/>
    <w:tmpl w:val="CA2EE38E"/>
    <w:lvl w:ilvl="0" w:tplc="5908F11A">
      <w:start w:val="1"/>
      <w:numFmt w:val="bullet"/>
      <w:lvlText w:val="-"/>
      <w:lvlJc w:val="left"/>
      <w:pPr>
        <w:ind w:left="1"/>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31169E42">
      <w:start w:val="1"/>
      <w:numFmt w:val="bullet"/>
      <w:lvlText w:val="o"/>
      <w:lvlJc w:val="left"/>
      <w:pPr>
        <w:ind w:left="11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B8A62E0E">
      <w:start w:val="1"/>
      <w:numFmt w:val="bullet"/>
      <w:lvlText w:val="▪"/>
      <w:lvlJc w:val="left"/>
      <w:pPr>
        <w:ind w:left="19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483A68FE">
      <w:start w:val="1"/>
      <w:numFmt w:val="bullet"/>
      <w:lvlText w:val="•"/>
      <w:lvlJc w:val="left"/>
      <w:pPr>
        <w:ind w:left="26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6A8AC7C4">
      <w:start w:val="1"/>
      <w:numFmt w:val="bullet"/>
      <w:lvlText w:val="o"/>
      <w:lvlJc w:val="left"/>
      <w:pPr>
        <w:ind w:left="334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2B42FA5E">
      <w:start w:val="1"/>
      <w:numFmt w:val="bullet"/>
      <w:lvlText w:val="▪"/>
      <w:lvlJc w:val="left"/>
      <w:pPr>
        <w:ind w:left="406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A9DE45B8">
      <w:start w:val="1"/>
      <w:numFmt w:val="bullet"/>
      <w:lvlText w:val="•"/>
      <w:lvlJc w:val="left"/>
      <w:pPr>
        <w:ind w:left="478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0E4A75BC">
      <w:start w:val="1"/>
      <w:numFmt w:val="bullet"/>
      <w:lvlText w:val="o"/>
      <w:lvlJc w:val="left"/>
      <w:pPr>
        <w:ind w:left="550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3B6CFA38">
      <w:start w:val="1"/>
      <w:numFmt w:val="bullet"/>
      <w:lvlText w:val="▪"/>
      <w:lvlJc w:val="left"/>
      <w:pPr>
        <w:ind w:left="6228"/>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4" w15:restartNumberingAfterBreak="0">
    <w:nsid w:val="36465AC9"/>
    <w:multiLevelType w:val="hybridMultilevel"/>
    <w:tmpl w:val="B7B2E16C"/>
    <w:lvl w:ilvl="0" w:tplc="79E60F98">
      <w:start w:val="1"/>
      <w:numFmt w:val="decimal"/>
      <w:lvlText w:val="(%1)"/>
      <w:lvlJc w:val="left"/>
      <w:pPr>
        <w:ind w:left="360"/>
      </w:pPr>
      <w:rPr>
        <w:rFonts w:ascii="Calibri" w:eastAsia="Arial" w:hAnsi="Calibri" w:cs="Calibri" w:hint="default"/>
        <w:b w:val="0"/>
        <w:i w:val="0"/>
        <w:strike w:val="0"/>
        <w:dstrike w:val="0"/>
        <w:color w:val="000000"/>
        <w:sz w:val="20"/>
        <w:szCs w:val="20"/>
        <w:u w:val="none" w:color="000000"/>
        <w:bdr w:val="none" w:sz="0" w:space="0" w:color="auto"/>
        <w:shd w:val="clear" w:color="auto" w:fill="auto"/>
        <w:vertAlign w:val="baseline"/>
      </w:rPr>
    </w:lvl>
    <w:lvl w:ilvl="1" w:tplc="612EABFE">
      <w:start w:val="1"/>
      <w:numFmt w:val="lowerLetter"/>
      <w:lvlText w:val="%2"/>
      <w:lvlJc w:val="left"/>
      <w:pPr>
        <w:ind w:left="1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44840A">
      <w:start w:val="1"/>
      <w:numFmt w:val="lowerRoman"/>
      <w:lvlText w:val="%3"/>
      <w:lvlJc w:val="left"/>
      <w:pPr>
        <w:ind w:left="1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946568">
      <w:start w:val="1"/>
      <w:numFmt w:val="decimal"/>
      <w:lvlText w:val="%4"/>
      <w:lvlJc w:val="left"/>
      <w:pPr>
        <w:ind w:left="2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02F90E">
      <w:start w:val="1"/>
      <w:numFmt w:val="lowerLetter"/>
      <w:lvlText w:val="%5"/>
      <w:lvlJc w:val="left"/>
      <w:pPr>
        <w:ind w:left="3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CC7208">
      <w:start w:val="1"/>
      <w:numFmt w:val="lowerRoman"/>
      <w:lvlText w:val="%6"/>
      <w:lvlJc w:val="left"/>
      <w:pPr>
        <w:ind w:left="3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8260C8">
      <w:start w:val="1"/>
      <w:numFmt w:val="decimal"/>
      <w:lvlText w:val="%7"/>
      <w:lvlJc w:val="left"/>
      <w:pPr>
        <w:ind w:left="4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B49B98">
      <w:start w:val="1"/>
      <w:numFmt w:val="lowerLetter"/>
      <w:lvlText w:val="%8"/>
      <w:lvlJc w:val="left"/>
      <w:pPr>
        <w:ind w:left="5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EC232C">
      <w:start w:val="1"/>
      <w:numFmt w:val="lowerRoman"/>
      <w:lvlText w:val="%9"/>
      <w:lvlJc w:val="left"/>
      <w:pPr>
        <w:ind w:left="6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28F20CE"/>
    <w:multiLevelType w:val="hybridMultilevel"/>
    <w:tmpl w:val="A7BECA16"/>
    <w:lvl w:ilvl="0" w:tplc="4B14A8B4">
      <w:start w:val="4"/>
      <w:numFmt w:val="decimal"/>
      <w:lvlText w:val="(%1)"/>
      <w:lvlJc w:val="left"/>
      <w:pPr>
        <w:ind w:left="360"/>
      </w:pPr>
      <w:rPr>
        <w:rFonts w:ascii="Calibri" w:eastAsia="Arial" w:hAnsi="Calibri" w:cs="Calibri" w:hint="default"/>
        <w:b w:val="0"/>
        <w:i w:val="0"/>
        <w:strike w:val="0"/>
        <w:dstrike w:val="0"/>
        <w:color w:val="000000"/>
        <w:sz w:val="20"/>
        <w:szCs w:val="20"/>
        <w:u w:val="none" w:color="000000"/>
        <w:bdr w:val="none" w:sz="0" w:space="0" w:color="auto"/>
        <w:shd w:val="clear" w:color="auto" w:fill="auto"/>
        <w:vertAlign w:val="baseline"/>
      </w:rPr>
    </w:lvl>
    <w:lvl w:ilvl="1" w:tplc="2D2437B8">
      <w:start w:val="1"/>
      <w:numFmt w:val="lowerLetter"/>
      <w:lvlText w:val="%2"/>
      <w:lvlJc w:val="left"/>
      <w:pPr>
        <w:ind w:left="1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3A3CDA">
      <w:start w:val="1"/>
      <w:numFmt w:val="lowerRoman"/>
      <w:lvlText w:val="%3"/>
      <w:lvlJc w:val="left"/>
      <w:pPr>
        <w:ind w:left="1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AC4A68">
      <w:start w:val="1"/>
      <w:numFmt w:val="decimal"/>
      <w:lvlText w:val="%4"/>
      <w:lvlJc w:val="left"/>
      <w:pPr>
        <w:ind w:left="2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E61FDC">
      <w:start w:val="1"/>
      <w:numFmt w:val="lowerLetter"/>
      <w:lvlText w:val="%5"/>
      <w:lvlJc w:val="left"/>
      <w:pPr>
        <w:ind w:left="3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829ECA">
      <w:start w:val="1"/>
      <w:numFmt w:val="lowerRoman"/>
      <w:lvlText w:val="%6"/>
      <w:lvlJc w:val="left"/>
      <w:pPr>
        <w:ind w:left="3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D8AC9C">
      <w:start w:val="1"/>
      <w:numFmt w:val="decimal"/>
      <w:lvlText w:val="%7"/>
      <w:lvlJc w:val="left"/>
      <w:pPr>
        <w:ind w:left="4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47338">
      <w:start w:val="1"/>
      <w:numFmt w:val="lowerLetter"/>
      <w:lvlText w:val="%8"/>
      <w:lvlJc w:val="left"/>
      <w:pPr>
        <w:ind w:left="5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B4468E">
      <w:start w:val="1"/>
      <w:numFmt w:val="lowerRoman"/>
      <w:lvlText w:val="%9"/>
      <w:lvlJc w:val="left"/>
      <w:pPr>
        <w:ind w:left="6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BD730C1"/>
    <w:multiLevelType w:val="hybridMultilevel"/>
    <w:tmpl w:val="4C5A93F2"/>
    <w:lvl w:ilvl="0" w:tplc="2A2C6138">
      <w:start w:val="1"/>
      <w:numFmt w:val="lowerLetter"/>
      <w:lvlText w:val="%1)"/>
      <w:lvlJc w:val="left"/>
      <w:pPr>
        <w:ind w:left="46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1" w:tplc="02FCF0CA">
      <w:start w:val="1"/>
      <w:numFmt w:val="lowerLetter"/>
      <w:lvlText w:val="%2"/>
      <w:lvlJc w:val="left"/>
      <w:pPr>
        <w:ind w:left="118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2" w:tplc="F962D524">
      <w:start w:val="1"/>
      <w:numFmt w:val="lowerRoman"/>
      <w:lvlText w:val="%3"/>
      <w:lvlJc w:val="left"/>
      <w:pPr>
        <w:ind w:left="190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3" w:tplc="6F9AE74E">
      <w:start w:val="1"/>
      <w:numFmt w:val="decimal"/>
      <w:lvlText w:val="%4"/>
      <w:lvlJc w:val="left"/>
      <w:pPr>
        <w:ind w:left="262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4" w:tplc="380C8808">
      <w:start w:val="1"/>
      <w:numFmt w:val="lowerLetter"/>
      <w:lvlText w:val="%5"/>
      <w:lvlJc w:val="left"/>
      <w:pPr>
        <w:ind w:left="334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5" w:tplc="39C24C44">
      <w:start w:val="1"/>
      <w:numFmt w:val="lowerRoman"/>
      <w:lvlText w:val="%6"/>
      <w:lvlJc w:val="left"/>
      <w:pPr>
        <w:ind w:left="406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6" w:tplc="41E6A824">
      <w:start w:val="1"/>
      <w:numFmt w:val="decimal"/>
      <w:lvlText w:val="%7"/>
      <w:lvlJc w:val="left"/>
      <w:pPr>
        <w:ind w:left="478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7" w:tplc="02D277D6">
      <w:start w:val="1"/>
      <w:numFmt w:val="lowerLetter"/>
      <w:lvlText w:val="%8"/>
      <w:lvlJc w:val="left"/>
      <w:pPr>
        <w:ind w:left="550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lvl w:ilvl="8" w:tplc="E32C8A5E">
      <w:start w:val="1"/>
      <w:numFmt w:val="lowerRoman"/>
      <w:lvlText w:val="%9"/>
      <w:lvlJc w:val="left"/>
      <w:pPr>
        <w:ind w:left="6227"/>
      </w:pPr>
      <w:rPr>
        <w:rFonts w:ascii="Calibri" w:eastAsia="Calibri" w:hAnsi="Calibri" w:cs="Calibri"/>
        <w:b w:val="0"/>
        <w:i/>
        <w:iCs/>
        <w:strike w:val="0"/>
        <w:dstrike w:val="0"/>
        <w:color w:val="808080"/>
        <w:sz w:val="20"/>
        <w:szCs w:val="20"/>
        <w:u w:val="none" w:color="000000"/>
        <w:bdr w:val="none" w:sz="0" w:space="0" w:color="auto"/>
        <w:shd w:val="clear" w:color="auto" w:fill="auto"/>
        <w:vertAlign w:val="baseline"/>
      </w:rPr>
    </w:lvl>
  </w:abstractNum>
  <w:abstractNum w:abstractNumId="7" w15:restartNumberingAfterBreak="0">
    <w:nsid w:val="54284AAC"/>
    <w:multiLevelType w:val="hybridMultilevel"/>
    <w:tmpl w:val="B6267086"/>
    <w:lvl w:ilvl="0" w:tplc="46DA9B82">
      <w:start w:val="1"/>
      <w:numFmt w:val="lowerLetter"/>
      <w:lvlText w:val="%1)"/>
      <w:lvlJc w:val="left"/>
      <w:pPr>
        <w:ind w:left="1272"/>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60C26A7E">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FD3455D8">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AFA83E54">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895CF14A">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494D7D8">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4D074F8">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C36A527E">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427CD99E">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1BE7F11"/>
    <w:multiLevelType w:val="hybridMultilevel"/>
    <w:tmpl w:val="05920106"/>
    <w:lvl w:ilvl="0" w:tplc="A8A08526">
      <w:start w:val="1"/>
      <w:numFmt w:val="decimal"/>
      <w:lvlText w:val="%1"/>
      <w:lvlJc w:val="left"/>
      <w:pPr>
        <w:ind w:left="6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777A02C0">
      <w:start w:val="1"/>
      <w:numFmt w:val="lowerLetter"/>
      <w:lvlText w:val="%2"/>
      <w:lvlJc w:val="left"/>
      <w:pPr>
        <w:ind w:left="16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E33E762E">
      <w:start w:val="1"/>
      <w:numFmt w:val="lowerRoman"/>
      <w:lvlText w:val="%3"/>
      <w:lvlJc w:val="left"/>
      <w:pPr>
        <w:ind w:left="23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27786CD8">
      <w:start w:val="1"/>
      <w:numFmt w:val="decimal"/>
      <w:lvlText w:val="%4"/>
      <w:lvlJc w:val="left"/>
      <w:pPr>
        <w:ind w:left="30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1234A812">
      <w:start w:val="1"/>
      <w:numFmt w:val="lowerLetter"/>
      <w:lvlText w:val="%5"/>
      <w:lvlJc w:val="left"/>
      <w:pPr>
        <w:ind w:left="38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338A979A">
      <w:start w:val="1"/>
      <w:numFmt w:val="lowerRoman"/>
      <w:lvlText w:val="%6"/>
      <w:lvlJc w:val="left"/>
      <w:pPr>
        <w:ind w:left="45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58343EC6">
      <w:start w:val="1"/>
      <w:numFmt w:val="decimal"/>
      <w:lvlText w:val="%7"/>
      <w:lvlJc w:val="left"/>
      <w:pPr>
        <w:ind w:left="52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9FB4372C">
      <w:start w:val="1"/>
      <w:numFmt w:val="lowerLetter"/>
      <w:lvlText w:val="%8"/>
      <w:lvlJc w:val="left"/>
      <w:pPr>
        <w:ind w:left="59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0C3A7CE8">
      <w:start w:val="1"/>
      <w:numFmt w:val="lowerRoman"/>
      <w:lvlText w:val="%9"/>
      <w:lvlJc w:val="left"/>
      <w:pPr>
        <w:ind w:left="66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9" w15:restartNumberingAfterBreak="0">
    <w:nsid w:val="693B398B"/>
    <w:multiLevelType w:val="hybridMultilevel"/>
    <w:tmpl w:val="F26E16AA"/>
    <w:lvl w:ilvl="0" w:tplc="5BB80400">
      <w:start w:val="1"/>
      <w:numFmt w:val="bullet"/>
      <w:lvlText w:val="-"/>
      <w:lvlJc w:val="left"/>
      <w:pPr>
        <w:ind w:left="361" w:hanging="360"/>
      </w:pPr>
      <w:rPr>
        <w:rFonts w:ascii="Segoe UI Symbol" w:eastAsia="Segoe UI Symbol" w:hAnsi="Segoe UI Symbol" w:cs="Segoe UI Symbol" w:hint="default"/>
        <w:color w:val="808080"/>
        <w:sz w:val="20"/>
      </w:rPr>
    </w:lvl>
    <w:lvl w:ilvl="1" w:tplc="04240003" w:tentative="1">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num w:numId="1" w16cid:durableId="1953785967">
    <w:abstractNumId w:val="8"/>
  </w:num>
  <w:num w:numId="2" w16cid:durableId="1610549218">
    <w:abstractNumId w:val="7"/>
  </w:num>
  <w:num w:numId="3" w16cid:durableId="2049261511">
    <w:abstractNumId w:val="6"/>
  </w:num>
  <w:num w:numId="4" w16cid:durableId="1881479773">
    <w:abstractNumId w:val="1"/>
  </w:num>
  <w:num w:numId="5" w16cid:durableId="555775178">
    <w:abstractNumId w:val="3"/>
  </w:num>
  <w:num w:numId="6" w16cid:durableId="1451126247">
    <w:abstractNumId w:val="0"/>
  </w:num>
  <w:num w:numId="7" w16cid:durableId="780957787">
    <w:abstractNumId w:val="4"/>
  </w:num>
  <w:num w:numId="8" w16cid:durableId="638191221">
    <w:abstractNumId w:val="5"/>
  </w:num>
  <w:num w:numId="9" w16cid:durableId="958952069">
    <w:abstractNumId w:val="9"/>
  </w:num>
  <w:num w:numId="10" w16cid:durableId="101634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79"/>
    <w:rsid w:val="00013F52"/>
    <w:rsid w:val="000517BD"/>
    <w:rsid w:val="00061C60"/>
    <w:rsid w:val="000B52BE"/>
    <w:rsid w:val="001145A2"/>
    <w:rsid w:val="00240966"/>
    <w:rsid w:val="0033723D"/>
    <w:rsid w:val="003E2DAD"/>
    <w:rsid w:val="004042DE"/>
    <w:rsid w:val="00575BF9"/>
    <w:rsid w:val="006711B0"/>
    <w:rsid w:val="00701915"/>
    <w:rsid w:val="00795606"/>
    <w:rsid w:val="008644EF"/>
    <w:rsid w:val="0093786D"/>
    <w:rsid w:val="00A2790A"/>
    <w:rsid w:val="00B156DB"/>
    <w:rsid w:val="00B27232"/>
    <w:rsid w:val="00BC3CB8"/>
    <w:rsid w:val="00F54554"/>
    <w:rsid w:val="00F66915"/>
    <w:rsid w:val="00F97579"/>
    <w:rsid w:val="00FB2B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4E19"/>
  <w15:docId w15:val="{E8A0FCE0-9972-42ED-86BA-6D52BBA9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59" w:lineRule="auto"/>
    </w:pPr>
    <w:rPr>
      <w:rFonts w:ascii="Calibri" w:eastAsia="Calibri" w:hAnsi="Calibri" w:cs="Calibri"/>
      <w:color w:val="000000"/>
      <w:sz w:val="22"/>
    </w:rPr>
  </w:style>
  <w:style w:type="paragraph" w:styleId="Naslov1">
    <w:name w:val="heading 1"/>
    <w:next w:val="Navaden"/>
    <w:link w:val="Naslov1Znak"/>
    <w:uiPriority w:val="9"/>
    <w:qFormat/>
    <w:pPr>
      <w:keepNext/>
      <w:keepLines/>
      <w:spacing w:after="0" w:line="259" w:lineRule="auto"/>
      <w:ind w:left="2876"/>
      <w:outlineLvl w:val="0"/>
    </w:pPr>
    <w:rPr>
      <w:rFonts w:ascii="Calibri" w:eastAsia="Calibri" w:hAnsi="Calibri" w:cs="Calibri"/>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mrea">
    <w:name w:val="Table Grid"/>
    <w:basedOn w:val="Navadnatabela"/>
    <w:uiPriority w:val="39"/>
    <w:rsid w:val="00114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66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3/10/Smernice-za-krepitev-podnebne-odpornosti_verzija1_7-9-2023_1.pdf" TargetMode="External"/><Relationship Id="rId18" Type="http://schemas.openxmlformats.org/officeDocument/2006/relationships/hyperlink" Target="https://evropskasredstva.si/app/uploads/2023/10/Smernice-za-krepitev-podnebne-odpornosti_verzija1_7-9-2023_1.pdf" TargetMode="External"/><Relationship Id="rId26" Type="http://schemas.openxmlformats.org/officeDocument/2006/relationships/hyperlink" Target="https://eur-lex.europa.eu/legal-content/SL/TXT/HTML/?uri=CELEX:32021R1060" TargetMode="External"/><Relationship Id="rId39" Type="http://schemas.openxmlformats.org/officeDocument/2006/relationships/hyperlink" Target="https://eur-lex.europa.eu/legal-content/SL/TXT/HTML/?uri=CELEX:52021XC0218(01)" TargetMode="External"/><Relationship Id="rId21" Type="http://schemas.openxmlformats.org/officeDocument/2006/relationships/hyperlink" Target="https://evropskasredstva.si/app/uploads/2023/10/Smernice-za-krepitev-podnebne-odpornosti_verzija1_7-9-2023_1.pdf" TargetMode="External"/><Relationship Id="rId34" Type="http://schemas.openxmlformats.org/officeDocument/2006/relationships/hyperlink" Target="https://eur-lex.europa.eu/legal-content/SL/TXT/HTML/?uri=CELEX:52021XC0916(03)"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vropskasredstva.si/app/uploads/2023/10/Smernice-za-krepitev-podnebne-odpornosti_verzija1_7-9-2023_1.pdf" TargetMode="External"/><Relationship Id="rId29" Type="http://schemas.openxmlformats.org/officeDocument/2006/relationships/hyperlink" Target="https://eur-lex.europa.eu/legal-content/SL/TXT/HTML/?uri=CELEX:52021XC0916(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ropskasredstva.si/app/uploads/2023/10/Smernice-za-krepitev-podnebne-odpornosti_verzija1_7-9-2023_1.pdf" TargetMode="External"/><Relationship Id="rId24" Type="http://schemas.openxmlformats.org/officeDocument/2006/relationships/hyperlink" Target="https://eur-lex.europa.eu/legal-content/SL/TXT/HTML/?uri=CELEX:32021R1060" TargetMode="External"/><Relationship Id="rId32" Type="http://schemas.openxmlformats.org/officeDocument/2006/relationships/hyperlink" Target="https://eur-lex.europa.eu/legal-content/SL/TXT/HTML/?uri=CELEX:52021XC0916(03)" TargetMode="External"/><Relationship Id="rId37" Type="http://schemas.openxmlformats.org/officeDocument/2006/relationships/hyperlink" Target="https://eur-lex.europa.eu/legal-content/SL/TXT/HTML/?uri=CELEX:52021XC0218(01)" TargetMode="External"/><Relationship Id="rId40" Type="http://schemas.openxmlformats.org/officeDocument/2006/relationships/hyperlink" Target="https://eur-lex.europa.eu/legal-content/SL/TXT/HTML/?uri=CELEX:52021XC0218(01)"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vropskasredstva.si/app/uploads/2023/10/Smernice-za-krepitev-podnebne-odpornosti_verzija1_7-9-2023_1.pdf" TargetMode="External"/><Relationship Id="rId23" Type="http://schemas.openxmlformats.org/officeDocument/2006/relationships/hyperlink" Target="https://eur-lex.europa.eu/legal-content/SL/TXT/HTML/?uri=CELEX:32021R1060" TargetMode="External"/><Relationship Id="rId28" Type="http://schemas.openxmlformats.org/officeDocument/2006/relationships/hyperlink" Target="https://eur-lex.europa.eu/legal-content/SL/TXT/HTML/?uri=CELEX:32021R1060" TargetMode="External"/><Relationship Id="rId36" Type="http://schemas.openxmlformats.org/officeDocument/2006/relationships/hyperlink" Target="https://eur-lex.europa.eu/legal-content/SL/TXT/HTML/?uri=CELEX:52021XC0218(01)" TargetMode="External"/><Relationship Id="rId10" Type="http://schemas.openxmlformats.org/officeDocument/2006/relationships/hyperlink" Target="https://evropskasredstva.si/app/uploads/2023/10/Smernice-za-krepitev-podnebne-odpornosti_verzija1_7-9-2023_1.pdf" TargetMode="External"/><Relationship Id="rId19" Type="http://schemas.openxmlformats.org/officeDocument/2006/relationships/hyperlink" Target="https://evropskasredstva.si/app/uploads/2023/10/Smernice-za-krepitev-podnebne-odpornosti_verzija1_7-9-2023_1.pdf" TargetMode="External"/><Relationship Id="rId31" Type="http://schemas.openxmlformats.org/officeDocument/2006/relationships/hyperlink" Target="https://eur-lex.europa.eu/legal-content/SL/TXT/HTML/?uri=CELEX:52021XC0916(03)"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vropskasredstva.si/app/uploads/2023/10/Smernice-za-krepitev-podnebne-odpornosti_verzija1_7-9-2023_1.pdf" TargetMode="External"/><Relationship Id="rId14" Type="http://schemas.openxmlformats.org/officeDocument/2006/relationships/hyperlink" Target="https://evropskasredstva.si/app/uploads/2023/10/Smernice-za-krepitev-podnebne-odpornosti_verzija1_7-9-2023_1.pdf" TargetMode="External"/><Relationship Id="rId22" Type="http://schemas.openxmlformats.org/officeDocument/2006/relationships/hyperlink" Target="https://evropskasredstva.si/app/uploads/2023/10/Smernice-za-krepitev-podnebne-odpornosti_verzija1_7-9-2023_1.pdf" TargetMode="External"/><Relationship Id="rId27" Type="http://schemas.openxmlformats.org/officeDocument/2006/relationships/hyperlink" Target="https://eur-lex.europa.eu/legal-content/SL/TXT/HTML/?uri=CELEX:32021R1060" TargetMode="External"/><Relationship Id="rId30" Type="http://schemas.openxmlformats.org/officeDocument/2006/relationships/hyperlink" Target="https://eur-lex.europa.eu/legal-content/SL/TXT/HTML/?uri=CELEX:52021XC0916(03)" TargetMode="External"/><Relationship Id="rId35" Type="http://schemas.openxmlformats.org/officeDocument/2006/relationships/hyperlink" Target="https://eur-lex.europa.eu/legal-content/SL/TXT/HTML/?uri=CELEX:52021XC0916(0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evropskasredstva.si/app/uploads/2023/10/Smernice-za-krepitev-podnebne-odpornosti_verzija1_7-9-2023_1.pdf" TargetMode="External"/><Relationship Id="rId17" Type="http://schemas.openxmlformats.org/officeDocument/2006/relationships/hyperlink" Target="https://evropskasredstva.si/app/uploads/2023/10/Smernice-za-krepitev-podnebne-odpornosti_verzija1_7-9-2023_1.pdf" TargetMode="External"/><Relationship Id="rId25" Type="http://schemas.openxmlformats.org/officeDocument/2006/relationships/hyperlink" Target="https://eur-lex.europa.eu/legal-content/SL/TXT/HTML/?uri=CELEX:32021R1060" TargetMode="External"/><Relationship Id="rId33" Type="http://schemas.openxmlformats.org/officeDocument/2006/relationships/hyperlink" Target="https://eur-lex.europa.eu/legal-content/SL/TXT/HTML/?uri=CELEX:52021XC0916(03)" TargetMode="External"/><Relationship Id="rId38" Type="http://schemas.openxmlformats.org/officeDocument/2006/relationships/hyperlink" Target="https://eur-lex.europa.eu/legal-content/SL/TXT/HTML/?uri=CELEX:52021XC0218(01)" TargetMode="External"/><Relationship Id="rId46" Type="http://schemas.openxmlformats.org/officeDocument/2006/relationships/footer" Target="footer3.xml"/><Relationship Id="rId20" Type="http://schemas.openxmlformats.org/officeDocument/2006/relationships/hyperlink" Target="https://evropskasredstva.si/app/uploads/2023/10/Smernice-za-krepitev-podnebne-odpornosti_verzija1_7-9-2023_1.pdf" TargetMode="External"/><Relationship Id="rId41"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2744</Words>
  <Characters>15641</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Furlan</dc:creator>
  <cp:keywords/>
  <cp:lastModifiedBy>Špela Jereb</cp:lastModifiedBy>
  <cp:revision>13</cp:revision>
  <dcterms:created xsi:type="dcterms:W3CDTF">2025-07-17T07:06:00Z</dcterms:created>
  <dcterms:modified xsi:type="dcterms:W3CDTF">2025-07-17T11:34:00Z</dcterms:modified>
</cp:coreProperties>
</file>