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6006" w14:textId="77777777" w:rsidR="005D6746" w:rsidRPr="00897186" w:rsidRDefault="005D6746" w:rsidP="005D6746">
      <w:pPr>
        <w:pStyle w:val="Pa0"/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b/>
          <w:bCs/>
          <w:sz w:val="22"/>
          <w:szCs w:val="22"/>
        </w:rPr>
        <w:t>PREDLOG SPREMEMB ZAKONA O SPODBUJANJU SKLADNEGA REGIONALNEGA RAZVOJA</w:t>
      </w:r>
    </w:p>
    <w:p w14:paraId="5401B872" w14:textId="77777777" w:rsidR="005D6746" w:rsidRPr="00897186" w:rsidRDefault="005D6746" w:rsidP="005D6746">
      <w:pPr>
        <w:pStyle w:val="Pa0"/>
        <w:spacing w:line="276" w:lineRule="auto"/>
        <w:jc w:val="center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i/>
          <w:iCs/>
          <w:sz w:val="22"/>
          <w:szCs w:val="22"/>
        </w:rPr>
        <w:t>Pobuda Mreže regionalnih stičišč nevladnih organizacij - ZaNVO</w:t>
      </w:r>
    </w:p>
    <w:p w14:paraId="610DC754" w14:textId="77777777" w:rsidR="005D6746" w:rsidRPr="00897186" w:rsidRDefault="005D6746" w:rsidP="005D6746">
      <w:pPr>
        <w:spacing w:line="276" w:lineRule="auto"/>
        <w:rPr>
          <w:rFonts w:asciiTheme="minorHAnsi" w:eastAsiaTheme="minorEastAsia" w:hAnsiTheme="minorHAnsi" w:cstheme="minorHAnsi"/>
          <w:szCs w:val="22"/>
          <w:lang w:eastAsia="en-US"/>
        </w:rPr>
      </w:pPr>
    </w:p>
    <w:p w14:paraId="68A4BA27" w14:textId="77777777" w:rsidR="005D6746" w:rsidRPr="00897186" w:rsidRDefault="005D6746" w:rsidP="005D6746">
      <w:pPr>
        <w:pStyle w:val="Pa0"/>
        <w:spacing w:line="276" w:lineRule="auto"/>
        <w:jc w:val="center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</w:p>
    <w:p w14:paraId="128665CE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b/>
          <w:bCs/>
          <w:sz w:val="22"/>
          <w:szCs w:val="22"/>
        </w:rPr>
        <w:t>I. Uvod z oceno stanja</w:t>
      </w:r>
    </w:p>
    <w:p w14:paraId="48FC3812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EFFF923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>Prva različica Zakona o spodbujanju skladnega regionalnega razvoja je bila sprejeta leta 2011 (Uradni list RS, št. 20/11). Zakon je nato bil dvakrat spremenjen in dopolnjen, medtem ko neuradno prečiščeno besedilo ZSRR-2 št. 3., ki predstavlja izhodiščno besedilo podanega predloga sprememb, upošteva tudi spremembe Zakona o državni upravi (Uradni list RS, št. 18/23) iz leta 2023.</w:t>
      </w:r>
    </w:p>
    <w:p w14:paraId="0D056B17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3EA0DC0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Izkušnje kažejo, da je v sedaj veljavni zakonski ureditvi ureditev neustrezna iz več vidikov, med katerimi so najpomembnejši naslednji: </w:t>
      </w:r>
    </w:p>
    <w:p w14:paraId="651E41A9" w14:textId="3FBB6AEB" w:rsidR="005D6746" w:rsidRPr="00897186" w:rsidRDefault="005D6746" w:rsidP="005D6746">
      <w:pPr>
        <w:pStyle w:val="Pa0"/>
        <w:numPr>
          <w:ilvl w:val="0"/>
          <w:numId w:val="2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>neuresničevanje načel endogene regionalne politike, ki bi temeljila na pristopu od spodaj navzgor</w:t>
      </w:r>
      <w:r w:rsidR="00AE12BF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in bi enakomerno vključevala vse tri ključne sektorje regionalnega razvoja,</w:t>
      </w:r>
    </w:p>
    <w:p w14:paraId="54C9D21A" w14:textId="77777777" w:rsidR="005D6746" w:rsidRPr="00897186" w:rsidRDefault="005D6746" w:rsidP="005D6746">
      <w:pPr>
        <w:pStyle w:val="Pa0"/>
        <w:numPr>
          <w:ilvl w:val="0"/>
          <w:numId w:val="2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neučinkovite in zastarele metode načrtovanja, implementacije, spremljanja in evalvacije regionalnega razvoja, </w:t>
      </w:r>
    </w:p>
    <w:p w14:paraId="5D8E03E3" w14:textId="77777777" w:rsidR="005D6746" w:rsidRPr="00897186" w:rsidRDefault="005D6746" w:rsidP="005D6746">
      <w:pPr>
        <w:pStyle w:val="Pa0"/>
        <w:numPr>
          <w:ilvl w:val="0"/>
          <w:numId w:val="2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>prekompleksni postopki in nereprezentativno ter interesno neuravnoteženo oblikovanje regijskih organov odločanja</w:t>
      </w:r>
    </w:p>
    <w:p w14:paraId="2C381081" w14:textId="77777777" w:rsidR="005D6746" w:rsidRPr="00897186" w:rsidRDefault="005D6746" w:rsidP="005D6746">
      <w:pPr>
        <w:rPr>
          <w:rFonts w:asciiTheme="minorHAnsi" w:eastAsiaTheme="minorEastAsia" w:hAnsiTheme="minorHAnsi" w:cstheme="minorHAnsi"/>
          <w:szCs w:val="22"/>
          <w:lang w:eastAsia="en-US"/>
        </w:rPr>
      </w:pPr>
    </w:p>
    <w:p w14:paraId="7DDDF40F" w14:textId="77777777" w:rsidR="005D6746" w:rsidRPr="00897186" w:rsidRDefault="005D6746" w:rsidP="005D6746">
      <w:pPr>
        <w:rPr>
          <w:rFonts w:asciiTheme="minorHAnsi" w:eastAsiaTheme="minorEastAsia" w:hAnsiTheme="minorHAnsi" w:cstheme="minorHAnsi"/>
          <w:szCs w:val="22"/>
          <w:lang w:eastAsia="en-US"/>
        </w:rPr>
      </w:pPr>
    </w:p>
    <w:p w14:paraId="46E8E36D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Predlog sprememb ZSRR-2 naslavlja izpostavljene pomanjkljivosti in stremi k večji učinkovitosti ter izboljšanju procesov načrtovanja, implementacije, spremljanja in evalvacije uresničevanja regionalne politike ter razvojnih aktivnosti in ukrepov na regijski ravni. </w:t>
      </w:r>
    </w:p>
    <w:p w14:paraId="6F69AFBA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4875853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7543568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b/>
          <w:bCs/>
          <w:sz w:val="22"/>
          <w:szCs w:val="22"/>
        </w:rPr>
        <w:t>II. Cilji in namen sprememb</w:t>
      </w:r>
    </w:p>
    <w:p w14:paraId="149194AD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00165AC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>Cilj predlaganih sprememb ZSRR-2 je zagotoviti enakopravnejšo vključenost vseh razvojnih deležnikov v regiji v načrtovanje, sprejemanje in implementacijo razvojnih politik, ki bodo upoštevale okoljske, družbene in ekonomske vidike ter večjo vlogo regij pri odločanju o porabi kohezijskih sredstev glede na svoje potrebe.</w:t>
      </w:r>
    </w:p>
    <w:p w14:paraId="40A6537F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7DE0B13" w14:textId="77777777" w:rsidR="005D6746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b/>
          <w:bCs/>
          <w:sz w:val="22"/>
          <w:szCs w:val="22"/>
        </w:rPr>
        <w:t>III. Utemeljitev predlaganih sprememb</w:t>
      </w:r>
    </w:p>
    <w:p w14:paraId="7FAB197B" w14:textId="554C8A82" w:rsidR="00AE12BF" w:rsidRPr="00897186" w:rsidRDefault="00AE12BF" w:rsidP="00AE12BF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Zakon v svoji vsebini sicer naslavlja nevladne organizacije, vendar nima opredeljenih pojmov niti definiranega reprezentativnega združenja nevladnih organizacij. V smeri učinkovitejše in usklajene komunikacije z nevladnimi organizacijami v vseh regijah je nujno potrebno da sam zakon opredeli »regionalno stičišče nevladnih organizacij« v smislu, da bo opredeljen kot razvojni partner v regiji. </w:t>
      </w:r>
    </w:p>
    <w:p w14:paraId="327DC353" w14:textId="38E9D9D9" w:rsidR="00AE12BF" w:rsidRPr="00897186" w:rsidRDefault="005D6746" w:rsidP="007B340D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V trenutni ureditvi je sestava organov odločanja na regijski ravni – primarno razvojnih svetov regij – neuravnotežena v prid občinam. Z namenom zagotavljanja večje reprezentativnosti razvojnih interesov v organih odločanja je treba sestavo teh preoblikovati tako, da bodo imeli ustrezno zastopanost vsi ključni deležniki razvoja in s tem enakovredno moč pri vplivanju na usmeritve endogene regionalne politike. V ZSRR se tako vnesejo spremembe, ki odpravijo dvojni glas občin in uravnotežijo zastopanost vseh treh skupin deležnikov v razvojnih svetih regij. </w:t>
      </w:r>
      <w:r w:rsidR="007B340D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Uravnotežena sestava RSR bi temu organu dala resnično vlogo in pomen prostora, kjer vsi ključni akterji razvoja v sodelovanju </w:t>
      </w:r>
      <w:r w:rsidR="007B340D" w:rsidRPr="00897186">
        <w:rPr>
          <w:rFonts w:asciiTheme="minorHAnsi" w:eastAsiaTheme="minorEastAsia" w:hAnsiTheme="minorHAnsi" w:cstheme="minorHAnsi"/>
          <w:sz w:val="22"/>
          <w:szCs w:val="22"/>
        </w:rPr>
        <w:lastRenderedPageBreak/>
        <w:t>in dialogu načrtujejo skupno ravzojno politiko in ustrezne ukrepe. Predlagamo tudi, da Svet regije nima pristojnosti, da ponovno potrjuje na RSR sprejete sklepe oz. odločitve, ker se s tem vnašajo dodatne administrativne ovire, podaljušujejo postopki in zmanjšuje vloga in pomen RSR</w:t>
      </w:r>
      <w:r w:rsidR="00AD3184">
        <w:rPr>
          <w:rFonts w:asciiTheme="minorHAnsi" w:eastAsiaTheme="minorEastAsia" w:hAnsiTheme="minorHAnsi" w:cstheme="minorHAnsi"/>
          <w:sz w:val="22"/>
          <w:szCs w:val="22"/>
        </w:rPr>
        <w:t xml:space="preserve"> ter predlagamo, da se Svet regije izbriše kot organ odločanja in se s tem RSR dodeli ključno vlogo in pristojnost za načrtovanje, sprejemanje in spremljanje izvajanja kohezijske politike in razvoja v regiji.</w:t>
      </w:r>
    </w:p>
    <w:p w14:paraId="5403C01A" w14:textId="4A703B23" w:rsidR="007B340D" w:rsidRPr="00897186" w:rsidRDefault="007B340D" w:rsidP="007B340D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V Mreži ZANVO predlagamo naslednjo sestavo RSR: </w:t>
      </w:r>
      <w:r w:rsidR="00AD3184">
        <w:rPr>
          <w:rFonts w:asciiTheme="minorHAnsi" w:eastAsiaTheme="minorEastAsia" w:hAnsiTheme="minorHAnsi" w:cstheme="minorHAnsi"/>
          <w:sz w:val="22"/>
          <w:szCs w:val="22"/>
        </w:rPr>
        <w:t>50%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predstavniki občin, </w:t>
      </w:r>
      <w:r w:rsidR="00AD3184">
        <w:rPr>
          <w:rFonts w:asciiTheme="minorHAnsi" w:eastAsiaTheme="minorEastAsia" w:hAnsiTheme="minorHAnsi" w:cstheme="minorHAnsi"/>
          <w:sz w:val="22"/>
          <w:szCs w:val="22"/>
        </w:rPr>
        <w:t>25%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predstavniki gospodarstva, </w:t>
      </w:r>
      <w:r w:rsidR="00AD3184">
        <w:rPr>
          <w:rFonts w:asciiTheme="minorHAnsi" w:eastAsiaTheme="minorEastAsia" w:hAnsiTheme="minorHAnsi" w:cstheme="minorHAnsi"/>
          <w:sz w:val="22"/>
          <w:szCs w:val="22"/>
        </w:rPr>
        <w:t>25%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predstavniki NVO</w:t>
      </w:r>
      <w:r w:rsidR="00AE12BF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, plus dodatni predstavniki 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>manjšin, Rom</w:t>
      </w:r>
      <w:r w:rsidR="00AE12BF" w:rsidRPr="00897186">
        <w:rPr>
          <w:rFonts w:asciiTheme="minorHAnsi" w:eastAsiaTheme="minorEastAsia" w:hAnsiTheme="minorHAnsi" w:cstheme="minorHAnsi"/>
          <w:sz w:val="22"/>
          <w:szCs w:val="22"/>
        </w:rPr>
        <w:t>ov</w:t>
      </w:r>
      <w:r w:rsidR="00AD3184">
        <w:rPr>
          <w:rFonts w:asciiTheme="minorHAnsi" w:eastAsiaTheme="minorEastAsia" w:hAnsiTheme="minorHAnsi" w:cstheme="minorHAnsi"/>
          <w:sz w:val="22"/>
          <w:szCs w:val="22"/>
        </w:rPr>
        <w:t>, univerz</w:t>
      </w:r>
      <w:r w:rsidR="00AE12BF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…  </w:t>
      </w:r>
    </w:p>
    <w:p w14:paraId="2EED7E29" w14:textId="22BAC869" w:rsidR="00E91BB7" w:rsidRPr="00AF56D3" w:rsidRDefault="00E91BB7" w:rsidP="00E91BB7">
      <w:pPr>
        <w:rPr>
          <w:rFonts w:asciiTheme="minorHAnsi" w:eastAsiaTheme="minorEastAsia" w:hAnsiTheme="minorHAnsi" w:cstheme="minorHAnsi"/>
          <w:sz w:val="22"/>
          <w:szCs w:val="21"/>
          <w:lang w:eastAsia="en-US"/>
        </w:rPr>
      </w:pPr>
      <w:r w:rsidRPr="00AF56D3">
        <w:rPr>
          <w:rFonts w:asciiTheme="minorHAnsi" w:eastAsiaTheme="minorEastAsia" w:hAnsiTheme="minorHAnsi" w:cstheme="minorHAnsi"/>
          <w:sz w:val="22"/>
          <w:szCs w:val="21"/>
          <w:lang w:eastAsia="en-US"/>
        </w:rPr>
        <w:t xml:space="preserve">Predlagamo tudi, da ima vsaka regija v Razvojnem svetu kohezijske regije pet predstavnikov, od katerih je en </w:t>
      </w:r>
      <w:r w:rsidR="00AE12BF" w:rsidRPr="00AF56D3">
        <w:rPr>
          <w:rFonts w:asciiTheme="minorHAnsi" w:eastAsiaTheme="minorEastAsia" w:hAnsiTheme="minorHAnsi" w:cstheme="minorHAnsi"/>
          <w:sz w:val="22"/>
          <w:szCs w:val="21"/>
          <w:lang w:eastAsia="en-US"/>
        </w:rPr>
        <w:t xml:space="preserve">najmanj en </w:t>
      </w:r>
      <w:r w:rsidRPr="00AF56D3">
        <w:rPr>
          <w:rFonts w:asciiTheme="minorHAnsi" w:eastAsiaTheme="minorEastAsia" w:hAnsiTheme="minorHAnsi" w:cstheme="minorHAnsi"/>
          <w:sz w:val="22"/>
          <w:szCs w:val="21"/>
          <w:lang w:eastAsia="en-US"/>
        </w:rPr>
        <w:t xml:space="preserve">predstavnik gospodarstva in en predstavnik NVO, ki ju imenuje </w:t>
      </w:r>
      <w:r w:rsidR="00AD3184">
        <w:rPr>
          <w:rFonts w:asciiTheme="minorHAnsi" w:eastAsiaTheme="minorEastAsia" w:hAnsiTheme="minorHAnsi" w:cstheme="minorHAnsi"/>
          <w:sz w:val="22"/>
          <w:szCs w:val="21"/>
          <w:lang w:val="sl-SI" w:eastAsia="en-US"/>
        </w:rPr>
        <w:t>Razvojni s</w:t>
      </w:r>
      <w:r w:rsidRPr="00AF56D3">
        <w:rPr>
          <w:rFonts w:asciiTheme="minorHAnsi" w:eastAsiaTheme="minorEastAsia" w:hAnsiTheme="minorHAnsi" w:cstheme="minorHAnsi"/>
          <w:sz w:val="22"/>
          <w:szCs w:val="21"/>
          <w:lang w:eastAsia="en-US"/>
        </w:rPr>
        <w:t>vet regije.</w:t>
      </w:r>
    </w:p>
    <w:p w14:paraId="739D2DD4" w14:textId="77777777" w:rsidR="00E91BB7" w:rsidRPr="00897186" w:rsidRDefault="00E91BB7" w:rsidP="00E91BB7">
      <w:pPr>
        <w:rPr>
          <w:rFonts w:asciiTheme="minorHAnsi" w:eastAsiaTheme="minorEastAsia" w:hAnsiTheme="minorHAnsi" w:cstheme="minorHAnsi"/>
          <w:szCs w:val="22"/>
          <w:lang w:eastAsia="en-US"/>
        </w:rPr>
      </w:pPr>
    </w:p>
    <w:p w14:paraId="6FF40CFB" w14:textId="77777777" w:rsidR="00E91BB7" w:rsidRPr="00897186" w:rsidRDefault="005D6746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Izkušnje kažejo, da so razvojni projekti v regijah redko celostno zasnovani in ne zasledujejo načel trajnostnega, sonaravnega razvoja iz 2. člena tega zakona. Z namenom izboljšanja kakovosti regijskih projektov se v 15. člen zakona, ki opredeljuje dogovor za razvoj regije (DRR), dodajo določila, ki poudarjajo pomen celostnega načrtovanja projektov z upoštevanjem vseh treh bistvenih vidikov ukrepov, torej okoljskega, družbenega in ekonomskega. K višji kakovosti in strateški razvojni ustreznosti projektov vključenih v DRR mora prispevati tudi posebna Uredba, ki bo enoznačno opredelila regijski projekt, vključno s kvantitativnimi in kvalitativnimi kriteriji, ki jih ta mora izpolnjevati. K zagotavljanju enotnih kriterijev in poenotenih postopkov priprave, izbora in implementacije regijskih projektov lahko prispeva tudi ureditev sofinanciranja projektov, zato sprememba 23. člena predlaga prenos sredstev za sofinanciranje regijskih projektov s pristojnih ministrstev na ministrstvo pristojno za regionalni razvoj. </w:t>
      </w:r>
    </w:p>
    <w:p w14:paraId="00A2F9D7" w14:textId="77777777" w:rsidR="00E91BB7" w:rsidRPr="00897186" w:rsidRDefault="00E91BB7" w:rsidP="005D6746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7575BF0" w14:textId="77777777" w:rsidR="005D6746" w:rsidRPr="00897186" w:rsidRDefault="005D6746" w:rsidP="00C715DE">
      <w:pPr>
        <w:pStyle w:val="Pa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97186">
        <w:rPr>
          <w:rFonts w:asciiTheme="minorHAnsi" w:eastAsiaTheme="minorEastAsia" w:hAnsiTheme="minorHAnsi" w:cstheme="minorHAnsi"/>
          <w:sz w:val="22"/>
          <w:szCs w:val="22"/>
        </w:rPr>
        <w:t>V Mreži ZaNVO predlagamo, da se za zagotavljanje enakomernega razvoja na vseh področjih razvoja v regiji</w:t>
      </w:r>
      <w:r w:rsidR="00E91BB7" w:rsidRPr="00897186">
        <w:rPr>
          <w:rFonts w:asciiTheme="minorHAnsi" w:eastAsiaTheme="minorEastAsia" w:hAnsiTheme="minorHAnsi" w:cstheme="minorHAnsi"/>
          <w:sz w:val="22"/>
          <w:szCs w:val="22"/>
        </w:rPr>
        <w:t>, v okviru 19. člena smiselno določi kot druge regijske dejavnosti, sheme in projekte za zagotavljanje javnega interesa na regionalni ravni, možnost za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zagotov</w:t>
      </w:r>
      <w:r w:rsidR="00E91BB7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itev 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>kvota sredstev, ki bodo namenjena projektom, ki naslavljajo razvojne izzive v regiji, ki niso nujno infrastrukturne narave in katerih prijavitelji in izvajalci so lahko tudi nevladne organizacije</w:t>
      </w:r>
      <w:r w:rsidR="00E91BB7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(v izogib pogojem, ki v naprej onemogočijo prijavo  projektom, ki naslavljajo določene cilje razvojne politike (npr. ciljev 4 in 5 aktualne razvojne politike)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007B340D" w:rsidRPr="00897186">
        <w:rPr>
          <w:rFonts w:asciiTheme="minorHAnsi" w:eastAsiaTheme="minorEastAsia" w:hAnsiTheme="minorHAnsi" w:cstheme="minorHAnsi"/>
          <w:sz w:val="22"/>
          <w:szCs w:val="22"/>
        </w:rPr>
        <w:t>Ugotavljamo namreč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>, da manjše lokalne nevladne organizacije zaradi premajhnih</w:t>
      </w:r>
      <w:r w:rsidR="007B340D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organizacijskih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kapacitet, projektov iz evropskih strukturnih skladov ne morejo izvajati, hkrati pa veliki projekti pogosto ne dosežejo končnih upravičencev na lokalni ravni oz. so premalo osredotočeni na potrebe specifičnih ciljnih skupin v posamezni lokalni skupnosti</w:t>
      </w:r>
      <w:r w:rsidR="007B340D" w:rsidRPr="00897186">
        <w:rPr>
          <w:rFonts w:asciiTheme="minorHAnsi" w:eastAsiaTheme="minorEastAsia" w:hAnsiTheme="minorHAnsi" w:cstheme="minorHAnsi"/>
          <w:sz w:val="22"/>
          <w:szCs w:val="22"/>
        </w:rPr>
        <w:t>. S tem bi se zagotovilo financiranje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projektov in programov, ki </w:t>
      </w:r>
      <w:r w:rsidR="007B340D" w:rsidRPr="00897186">
        <w:rPr>
          <w:rFonts w:asciiTheme="minorHAnsi" w:eastAsiaTheme="minorEastAsia" w:hAnsiTheme="minorHAnsi" w:cstheme="minorHAnsi"/>
          <w:sz w:val="22"/>
          <w:szCs w:val="22"/>
        </w:rPr>
        <w:t>prispevajo k</w:t>
      </w:r>
      <w:r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doseganje zastavljenih ciljev Regionalnega razvojnega programa in operativnega programa</w:t>
      </w:r>
      <w:r w:rsidR="007B340D" w:rsidRPr="00897186">
        <w:rPr>
          <w:rFonts w:asciiTheme="minorHAnsi" w:eastAsiaTheme="minorEastAsia" w:hAnsiTheme="minorHAnsi" w:cstheme="minorHAnsi"/>
          <w:sz w:val="22"/>
          <w:szCs w:val="22"/>
        </w:rPr>
        <w:t xml:space="preserve"> in drugih razvojnih dokumentov države in EU.</w:t>
      </w:r>
    </w:p>
    <w:p w14:paraId="3D6ECDD2" w14:textId="77777777" w:rsidR="005D6746" w:rsidRPr="00897186" w:rsidRDefault="005D6746" w:rsidP="005D6746">
      <w:pPr>
        <w:rPr>
          <w:rFonts w:asciiTheme="minorHAnsi" w:eastAsiaTheme="minorEastAsia" w:hAnsiTheme="minorHAnsi" w:cstheme="minorHAnsi"/>
          <w:szCs w:val="22"/>
          <w:lang w:eastAsia="en-US"/>
        </w:rPr>
      </w:pPr>
    </w:p>
    <w:p w14:paraId="5EDAC924" w14:textId="77777777" w:rsidR="005D6746" w:rsidRPr="00897186" w:rsidRDefault="005D6746" w:rsidP="005D6746">
      <w:pPr>
        <w:rPr>
          <w:rFonts w:asciiTheme="minorHAnsi" w:eastAsiaTheme="minorEastAsia" w:hAnsiTheme="minorHAnsi" w:cstheme="minorHAnsi"/>
          <w:szCs w:val="22"/>
          <w:lang w:eastAsia="en-US"/>
        </w:rPr>
      </w:pPr>
    </w:p>
    <w:p w14:paraId="0A635621" w14:textId="77777777" w:rsidR="005D6746" w:rsidRPr="00897186" w:rsidRDefault="005D6746" w:rsidP="005D6746">
      <w:pPr>
        <w:rPr>
          <w:rFonts w:asciiTheme="minorHAnsi" w:eastAsiaTheme="minorEastAsia" w:hAnsiTheme="minorHAnsi" w:cstheme="minorHAnsi"/>
          <w:szCs w:val="22"/>
          <w:lang w:eastAsia="en-US"/>
        </w:rPr>
      </w:pPr>
    </w:p>
    <w:p w14:paraId="0AF8E4C2" w14:textId="77777777" w:rsidR="00AE12BF" w:rsidRPr="00897186" w:rsidRDefault="00AE12BF">
      <w:pPr>
        <w:rPr>
          <w:rFonts w:asciiTheme="minorHAnsi" w:eastAsiaTheme="minorEastAsia" w:hAnsiTheme="minorHAnsi" w:cstheme="minorHAnsi"/>
          <w:szCs w:val="22"/>
          <w:lang w:eastAsia="en-US"/>
        </w:rPr>
      </w:pPr>
      <w:r w:rsidRPr="00897186">
        <w:rPr>
          <w:rFonts w:asciiTheme="minorHAnsi" w:eastAsiaTheme="minorEastAsia" w:hAnsiTheme="minorHAnsi" w:cstheme="minorHAnsi"/>
          <w:szCs w:val="22"/>
          <w:lang w:eastAsia="en-US"/>
        </w:rPr>
        <w:br w:type="page"/>
      </w:r>
    </w:p>
    <w:p w14:paraId="45834E38" w14:textId="0C57D312" w:rsidR="00B87482" w:rsidRPr="00897186" w:rsidRDefault="00AE12BF" w:rsidP="00B87482">
      <w:pPr>
        <w:rPr>
          <w:rFonts w:asciiTheme="minorHAnsi" w:hAnsiTheme="minorHAnsi" w:cstheme="minorHAnsi"/>
          <w:szCs w:val="22"/>
        </w:rPr>
      </w:pPr>
      <w:r w:rsidRPr="00897186">
        <w:rPr>
          <w:rFonts w:asciiTheme="minorHAnsi" w:eastAsiaTheme="minorEastAsia" w:hAnsiTheme="minorHAnsi" w:cstheme="minorHAnsi"/>
          <w:szCs w:val="22"/>
          <w:lang w:eastAsia="en-US"/>
        </w:rPr>
        <w:lastRenderedPageBreak/>
        <w:t xml:space="preserve">Konkretni predlogi sprememb besedila </w:t>
      </w:r>
      <w:r w:rsidR="00B87482" w:rsidRPr="00897186">
        <w:rPr>
          <w:rFonts w:asciiTheme="minorHAnsi" w:hAnsiTheme="minorHAnsi" w:cstheme="minorHAnsi"/>
          <w:szCs w:val="22"/>
        </w:rPr>
        <w:t>ZAKONA O SPODBUJANJU SKLADNEGA REGIONALNEGA RAZVOJA (ZSRR-2)</w:t>
      </w:r>
    </w:p>
    <w:p w14:paraId="1B89009F" w14:textId="77777777" w:rsidR="00B87482" w:rsidRPr="00897186" w:rsidRDefault="00B87482" w:rsidP="00B87482">
      <w:pPr>
        <w:rPr>
          <w:rFonts w:asciiTheme="minorHAnsi" w:hAnsiTheme="minorHAnsi" w:cstheme="minorHAnsi"/>
          <w:szCs w:val="22"/>
        </w:rPr>
      </w:pPr>
    </w:p>
    <w:p w14:paraId="2194DE42" w14:textId="57AE3571" w:rsidR="00B87482" w:rsidRPr="00897186" w:rsidRDefault="00B87482" w:rsidP="00B87482">
      <w:pPr>
        <w:rPr>
          <w:rFonts w:asciiTheme="minorHAnsi" w:hAnsiTheme="minorHAnsi" w:cstheme="minorHAnsi"/>
          <w:szCs w:val="22"/>
        </w:rPr>
      </w:pPr>
      <w:r w:rsidRPr="00897186">
        <w:rPr>
          <w:rFonts w:asciiTheme="minorHAnsi" w:hAnsiTheme="minorHAnsi" w:cstheme="minorHAnsi"/>
          <w:b/>
          <w:bCs/>
          <w:szCs w:val="22"/>
        </w:rPr>
        <w:t>Dopolni se 3. člen zakona</w:t>
      </w:r>
      <w:r w:rsidRPr="00897186">
        <w:rPr>
          <w:rFonts w:asciiTheme="minorHAnsi" w:hAnsiTheme="minorHAnsi" w:cstheme="minorHAnsi"/>
          <w:szCs w:val="22"/>
        </w:rPr>
        <w:t xml:space="preserve"> in sicer, tako da se dodala nova alineja:</w:t>
      </w:r>
    </w:p>
    <w:p w14:paraId="3BE8408B" w14:textId="01F58732" w:rsidR="00A97183" w:rsidRDefault="00E50121" w:rsidP="00B87482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cs="Arial"/>
          <w:color w:val="212121"/>
        </w:rPr>
        <w:t>-</w:t>
      </w:r>
      <w:r>
        <w:rPr>
          <w:color w:val="212121"/>
          <w:sz w:val="14"/>
          <w:szCs w:val="14"/>
        </w:rPr>
        <w:t>      </w:t>
      </w:r>
      <w:r>
        <w:rPr>
          <w:rStyle w:val="apple-converted-space"/>
          <w:color w:val="212121"/>
          <w:sz w:val="14"/>
          <w:szCs w:val="14"/>
        </w:rPr>
        <w:t> </w:t>
      </w:r>
      <w:r>
        <w:rPr>
          <w:rFonts w:ascii="Calibri" w:hAnsi="Calibri" w:cs="Calibri"/>
          <w:color w:val="212121"/>
        </w:rPr>
        <w:t>» regionalno stičišče«</w:t>
      </w:r>
      <w:r>
        <w:rPr>
          <w:rStyle w:val="apple-converted-space"/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</w:rPr>
        <w:t>ki je na območju razvojne regije subjekt podpornega okolja za nevladne organizacije, nastopa kot razvojni partner pri procesih skladnega regionalnega razvoja</w:t>
      </w:r>
    </w:p>
    <w:p w14:paraId="35AD5776" w14:textId="77777777" w:rsidR="00A97183" w:rsidRPr="00897186" w:rsidRDefault="00A97183" w:rsidP="00B87482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038997A" w14:textId="77777777" w:rsidR="00897186" w:rsidRPr="00897186" w:rsidRDefault="00B87482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  <w:lang w:val="sl-SI"/>
        </w:rPr>
      </w:pPr>
      <w:r w:rsidRPr="00897186">
        <w:rPr>
          <w:rFonts w:asciiTheme="minorHAnsi" w:hAnsiTheme="minorHAnsi" w:cstheme="minorHAnsi"/>
          <w:b/>
          <w:bCs/>
          <w:lang w:val="sl-SI"/>
        </w:rPr>
        <w:t xml:space="preserve">Dopolni se </w:t>
      </w:r>
      <w:r w:rsidRPr="00897186">
        <w:rPr>
          <w:rFonts w:asciiTheme="minorHAnsi" w:hAnsiTheme="minorHAnsi" w:cstheme="minorHAnsi"/>
          <w:b/>
          <w:bCs/>
        </w:rPr>
        <w:t>6.a člen</w:t>
      </w:r>
      <w:r w:rsidRPr="00897186">
        <w:rPr>
          <w:rFonts w:asciiTheme="minorHAnsi" w:hAnsiTheme="minorHAnsi" w:cstheme="minorHAnsi"/>
          <w:lang w:val="sl-SI"/>
        </w:rPr>
        <w:t xml:space="preserve"> in sicer tako, da se točka 4 glasi po dopolnitvi:</w:t>
      </w:r>
    </w:p>
    <w:p w14:paraId="7EB1F06B" w14:textId="6170B144" w:rsidR="00897186" w:rsidRPr="00897186" w:rsidRDefault="00B87482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(4) Vsaka regija v kohezijski regiji ima v razvojnem svetu kohezijske regije pet predstavnikov, od katerih je en najmanj en predstavnik gospodarstva in en predstavnik NVO</w:t>
      </w:r>
      <w:r w:rsidRPr="00897186">
        <w:rPr>
          <w:rFonts w:asciiTheme="minorHAnsi" w:hAnsiTheme="minorHAnsi" w:cstheme="minorHAnsi"/>
          <w:lang w:val="sl-SI"/>
        </w:rPr>
        <w:t xml:space="preserve">, </w:t>
      </w:r>
      <w:r w:rsidRPr="00897186">
        <w:rPr>
          <w:rFonts w:asciiTheme="minorHAnsi" w:hAnsiTheme="minorHAnsi" w:cstheme="minorHAnsi"/>
        </w:rPr>
        <w:t xml:space="preserve">ki jih imenuje </w:t>
      </w:r>
      <w:r w:rsidR="00AF56D3" w:rsidRPr="00594ADA">
        <w:rPr>
          <w:rFonts w:asciiTheme="minorHAnsi" w:hAnsiTheme="minorHAnsi" w:cstheme="minorHAnsi"/>
          <w:b/>
          <w:bCs/>
          <w:u w:val="single"/>
          <w:lang w:val="sl-SI"/>
        </w:rPr>
        <w:t xml:space="preserve">Razvojni </w:t>
      </w:r>
      <w:r w:rsidRPr="00594ADA">
        <w:rPr>
          <w:rFonts w:asciiTheme="minorHAnsi" w:hAnsiTheme="minorHAnsi" w:cstheme="minorHAnsi"/>
          <w:b/>
          <w:bCs/>
          <w:u w:val="single"/>
        </w:rPr>
        <w:t xml:space="preserve">svet regije </w:t>
      </w:r>
      <w:r w:rsidRPr="00897186">
        <w:rPr>
          <w:rFonts w:asciiTheme="minorHAnsi" w:hAnsiTheme="minorHAnsi" w:cstheme="minorHAnsi"/>
        </w:rPr>
        <w:t>iz 10.a člena tega zakona.</w:t>
      </w:r>
    </w:p>
    <w:p w14:paraId="2D9D8B38" w14:textId="77777777" w:rsidR="00897186" w:rsidRPr="00897186" w:rsidRDefault="00897186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71BC8B7" w14:textId="77777777" w:rsidR="00897186" w:rsidRPr="00897186" w:rsidRDefault="00B87482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  <w:lang w:val="sl-SI"/>
        </w:rPr>
      </w:pPr>
      <w:r w:rsidRPr="00897186">
        <w:rPr>
          <w:rFonts w:asciiTheme="minorHAnsi" w:hAnsiTheme="minorHAnsi" w:cstheme="minorHAnsi"/>
          <w:b/>
          <w:bCs/>
          <w:lang w:val="sl-SI"/>
        </w:rPr>
        <w:t>Dopolni se 7. člen</w:t>
      </w:r>
      <w:r w:rsidRPr="00897186">
        <w:rPr>
          <w:rFonts w:asciiTheme="minorHAnsi" w:hAnsiTheme="minorHAnsi" w:cstheme="minorHAnsi"/>
          <w:lang w:val="sl-SI"/>
        </w:rPr>
        <w:t>, tako da se doda nova točka 3:</w:t>
      </w:r>
    </w:p>
    <w:p w14:paraId="2CC832F9" w14:textId="77777777" w:rsidR="00897186" w:rsidRDefault="00B87482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(</w:t>
      </w:r>
      <w:r w:rsidRPr="00897186">
        <w:rPr>
          <w:rFonts w:asciiTheme="minorHAnsi" w:hAnsiTheme="minorHAnsi" w:cstheme="minorHAnsi"/>
          <w:lang w:val="sl-SI"/>
        </w:rPr>
        <w:t>3</w:t>
      </w:r>
      <w:r w:rsidRPr="00897186">
        <w:rPr>
          <w:rFonts w:asciiTheme="minorHAnsi" w:hAnsiTheme="minorHAnsi" w:cstheme="minorHAnsi"/>
        </w:rPr>
        <w:t>) Državni organ, pristojen za regionalno politiko</w:t>
      </w:r>
      <w:r w:rsidRPr="00897186">
        <w:rPr>
          <w:rFonts w:asciiTheme="minorHAnsi" w:hAnsiTheme="minorHAnsi" w:cstheme="minorHAnsi"/>
          <w:lang w:val="sl-SI"/>
        </w:rPr>
        <w:t xml:space="preserve"> mora poskrbeti, da so</w:t>
      </w:r>
      <w:r w:rsidR="00495C7E" w:rsidRPr="00897186">
        <w:rPr>
          <w:rFonts w:asciiTheme="minorHAnsi" w:hAnsiTheme="minorHAnsi" w:cstheme="minorHAnsi"/>
          <w:lang w:val="sl-SI"/>
        </w:rPr>
        <w:t xml:space="preserve"> pred vsako programsko perspektivo</w:t>
      </w:r>
      <w:r w:rsidRPr="00897186">
        <w:rPr>
          <w:rFonts w:asciiTheme="minorHAnsi" w:hAnsiTheme="minorHAnsi" w:cstheme="minorHAnsi"/>
          <w:lang w:val="sl-SI"/>
        </w:rPr>
        <w:t xml:space="preserve"> </w:t>
      </w:r>
      <w:r w:rsidR="00495C7E" w:rsidRPr="00897186">
        <w:rPr>
          <w:rFonts w:asciiTheme="minorHAnsi" w:hAnsiTheme="minorHAnsi" w:cstheme="minorHAnsi"/>
          <w:lang w:val="sl-SI"/>
        </w:rPr>
        <w:t xml:space="preserve">RRP-ji pripravljeni preden se začne </w:t>
      </w:r>
      <w:r w:rsidRPr="00897186">
        <w:rPr>
          <w:rFonts w:asciiTheme="minorHAnsi" w:hAnsiTheme="minorHAnsi" w:cstheme="minorHAnsi"/>
        </w:rPr>
        <w:t>proces nastajanja</w:t>
      </w:r>
      <w:r w:rsidR="00495C7E" w:rsidRPr="00897186">
        <w:rPr>
          <w:rFonts w:asciiTheme="minorHAnsi" w:hAnsiTheme="minorHAnsi" w:cstheme="minorHAnsi"/>
          <w:lang w:val="sl-SI"/>
        </w:rPr>
        <w:t xml:space="preserve"> drugih državnih in EU programov</w:t>
      </w:r>
      <w:r w:rsidRPr="00897186">
        <w:rPr>
          <w:rFonts w:asciiTheme="minorHAnsi" w:hAnsiTheme="minorHAnsi" w:cstheme="minorHAnsi"/>
        </w:rPr>
        <w:t>.</w:t>
      </w:r>
    </w:p>
    <w:p w14:paraId="2A94E49C" w14:textId="77777777" w:rsidR="00AD3184" w:rsidRDefault="00AD3184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D2F3FA2" w14:textId="64F5A694" w:rsidR="00AD3184" w:rsidRPr="00AD3184" w:rsidRDefault="00AD3184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  <w:b/>
          <w:bCs/>
          <w:lang w:val="sl-SI"/>
        </w:rPr>
      </w:pPr>
      <w:r w:rsidRPr="00AD3184">
        <w:rPr>
          <w:rFonts w:asciiTheme="minorHAnsi" w:hAnsiTheme="minorHAnsi" w:cstheme="minorHAnsi"/>
          <w:b/>
          <w:bCs/>
          <w:lang w:val="sl-SI"/>
        </w:rPr>
        <w:t xml:space="preserve">Spremeni se 10a. </w:t>
      </w:r>
      <w:r>
        <w:rPr>
          <w:rFonts w:asciiTheme="minorHAnsi" w:hAnsiTheme="minorHAnsi" w:cstheme="minorHAnsi"/>
          <w:b/>
          <w:bCs/>
          <w:lang w:val="sl-SI"/>
        </w:rPr>
        <w:t>č</w:t>
      </w:r>
      <w:r w:rsidRPr="00AD3184">
        <w:rPr>
          <w:rFonts w:asciiTheme="minorHAnsi" w:hAnsiTheme="minorHAnsi" w:cstheme="minorHAnsi"/>
          <w:b/>
          <w:bCs/>
          <w:lang w:val="sl-SI"/>
        </w:rPr>
        <w:t>len:</w:t>
      </w:r>
    </w:p>
    <w:p w14:paraId="673F0398" w14:textId="353D09BA" w:rsidR="00AD3184" w:rsidRPr="00AD3184" w:rsidRDefault="00AD3184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  <w:lang w:val="sl-SI"/>
        </w:rPr>
      </w:pPr>
      <w:r w:rsidRPr="00AD3184">
        <w:rPr>
          <w:rFonts w:asciiTheme="minorHAnsi" w:hAnsiTheme="minorHAnsi" w:cstheme="minorHAnsi"/>
          <w:lang w:val="sl-SI"/>
        </w:rPr>
        <w:t>Briše se druga alineja</w:t>
      </w:r>
      <w:r w:rsidR="00DC387E">
        <w:rPr>
          <w:rFonts w:asciiTheme="minorHAnsi" w:hAnsiTheme="minorHAnsi" w:cstheme="minorHAnsi"/>
          <w:lang w:val="sl-SI"/>
        </w:rPr>
        <w:t xml:space="preserve"> in se člen 10a glasi:</w:t>
      </w:r>
      <w:r w:rsidRPr="00AD3184">
        <w:rPr>
          <w:rFonts w:asciiTheme="minorHAnsi" w:hAnsiTheme="minorHAnsi" w:cstheme="minorHAnsi"/>
          <w:lang w:val="sl-SI"/>
        </w:rPr>
        <w:t xml:space="preserve"> </w:t>
      </w:r>
    </w:p>
    <w:p w14:paraId="280B6EF7" w14:textId="77777777" w:rsidR="00AD3184" w:rsidRPr="00AD3184" w:rsidRDefault="00AD3184" w:rsidP="00AD3184">
      <w:pPr>
        <w:pStyle w:val="odstavek0"/>
        <w:spacing w:before="240" w:beforeAutospacing="0" w:after="0" w:afterAutospacing="0"/>
        <w:ind w:firstLine="102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3184">
        <w:rPr>
          <w:rFonts w:asciiTheme="minorHAnsi" w:hAnsiTheme="minorHAnsi" w:cstheme="minorHAnsi"/>
          <w:color w:val="000000"/>
          <w:sz w:val="22"/>
          <w:szCs w:val="22"/>
          <w:lang w:val="x-none"/>
        </w:rPr>
        <w:t>Razvojne odločitve na ravni regije in kohezijske regije sprejemajo:</w:t>
      </w:r>
    </w:p>
    <w:p w14:paraId="59ACBD51" w14:textId="3C92E0B2" w:rsidR="00AD3184" w:rsidRPr="00AD3184" w:rsidRDefault="00AD3184" w:rsidP="00AD3184">
      <w:pPr>
        <w:pStyle w:val="alineazaodstavkom0"/>
        <w:spacing w:before="0" w:beforeAutospacing="0" w:after="0" w:afterAutospacing="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AD3184">
        <w:rPr>
          <w:rFonts w:asciiTheme="minorHAnsi" w:hAnsiTheme="minorHAnsi" w:cstheme="minorHAnsi"/>
          <w:color w:val="000000"/>
          <w:sz w:val="22"/>
          <w:szCs w:val="22"/>
          <w:lang w:val="x-none"/>
        </w:rPr>
        <w:t>-      </w:t>
      </w:r>
      <w:r w:rsidRPr="00AD3184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D3184">
        <w:rPr>
          <w:rFonts w:asciiTheme="minorHAnsi" w:hAnsiTheme="minorHAnsi" w:cstheme="minorHAnsi"/>
          <w:color w:val="000000"/>
          <w:sz w:val="22"/>
          <w:szCs w:val="22"/>
          <w:lang w:val="x-none"/>
        </w:rPr>
        <w:t>razvojni svet regije,</w:t>
      </w:r>
      <w:r w:rsidRPr="00AD3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in</w:t>
      </w:r>
    </w:p>
    <w:p w14:paraId="1AF69AFB" w14:textId="77777777" w:rsidR="00AD3184" w:rsidRPr="00AD3184" w:rsidRDefault="00AD3184" w:rsidP="00AD3184">
      <w:pPr>
        <w:pStyle w:val="alineazaodstavkom0"/>
        <w:spacing w:before="0" w:beforeAutospacing="0" w:after="0" w:afterAutospacing="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3184">
        <w:rPr>
          <w:rFonts w:asciiTheme="minorHAnsi" w:hAnsiTheme="minorHAnsi" w:cstheme="minorHAnsi"/>
          <w:color w:val="000000"/>
          <w:sz w:val="22"/>
          <w:szCs w:val="22"/>
        </w:rPr>
        <w:t>-      </w:t>
      </w:r>
      <w:r w:rsidRPr="00AD3184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D3184">
        <w:rPr>
          <w:rFonts w:asciiTheme="minorHAnsi" w:hAnsiTheme="minorHAnsi" w:cstheme="minorHAnsi"/>
          <w:color w:val="000000"/>
          <w:sz w:val="22"/>
          <w:szCs w:val="22"/>
          <w:lang w:val="x-none"/>
        </w:rPr>
        <w:t>razvojni svet kohezijske regije.</w:t>
      </w:r>
    </w:p>
    <w:p w14:paraId="174B7E72" w14:textId="77777777" w:rsidR="00AD3184" w:rsidRPr="00AD3184" w:rsidRDefault="00AD3184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  <w:lang w:val="sl-SI"/>
        </w:rPr>
      </w:pPr>
    </w:p>
    <w:p w14:paraId="2D9093DE" w14:textId="77777777" w:rsidR="00897186" w:rsidRPr="00897186" w:rsidRDefault="00897186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7B5092A" w14:textId="77777777" w:rsidR="00897186" w:rsidRPr="00897186" w:rsidRDefault="00495C7E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  <w:lang w:val="sl-SI"/>
        </w:rPr>
      </w:pPr>
      <w:r w:rsidRPr="00897186">
        <w:rPr>
          <w:rFonts w:asciiTheme="minorHAnsi" w:hAnsiTheme="minorHAnsi" w:cstheme="minorHAnsi"/>
          <w:b/>
          <w:bCs/>
          <w:lang w:val="sl-SI"/>
        </w:rPr>
        <w:t>Dopolni se 1</w:t>
      </w:r>
      <w:r w:rsidR="00B87482" w:rsidRPr="00897186">
        <w:rPr>
          <w:rFonts w:asciiTheme="minorHAnsi" w:hAnsiTheme="minorHAnsi" w:cstheme="minorHAnsi"/>
          <w:b/>
          <w:bCs/>
        </w:rPr>
        <w:t>1.</w:t>
      </w:r>
      <w:r w:rsidRPr="00897186">
        <w:rPr>
          <w:rFonts w:asciiTheme="minorHAnsi" w:hAnsiTheme="minorHAnsi" w:cstheme="minorHAnsi"/>
          <w:b/>
          <w:bCs/>
          <w:lang w:val="sl-SI"/>
        </w:rPr>
        <w:t>člen</w:t>
      </w:r>
      <w:r w:rsidRPr="00897186">
        <w:rPr>
          <w:rFonts w:asciiTheme="minorHAnsi" w:hAnsiTheme="minorHAnsi" w:cstheme="minorHAnsi"/>
          <w:lang w:val="sl-SI"/>
        </w:rPr>
        <w:t xml:space="preserve"> in sicer tako, da se točka 2 glasi: </w:t>
      </w:r>
    </w:p>
    <w:p w14:paraId="3ECBE8D9" w14:textId="52BD6ABF" w:rsidR="00B87482" w:rsidRPr="00897186" w:rsidRDefault="00B87482" w:rsidP="00897186">
      <w:pPr>
        <w:pStyle w:val="Alineazaodstavkom"/>
        <w:numPr>
          <w:ilvl w:val="0"/>
          <w:numId w:val="0"/>
        </w:numPr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(</w:t>
      </w:r>
      <w:r w:rsidRPr="00897186">
        <w:rPr>
          <w:rFonts w:asciiTheme="minorHAnsi" w:hAnsiTheme="minorHAnsi" w:cstheme="minorHAnsi"/>
          <w:lang w:val="sl-SI"/>
        </w:rPr>
        <w:t>2</w:t>
      </w:r>
      <w:r w:rsidRPr="00897186">
        <w:rPr>
          <w:rFonts w:asciiTheme="minorHAnsi" w:hAnsiTheme="minorHAnsi" w:cstheme="minorHAnsi"/>
        </w:rPr>
        <w:t>) Člani</w:t>
      </w:r>
      <w:r w:rsidR="00495C7E" w:rsidRPr="00897186">
        <w:rPr>
          <w:rFonts w:asciiTheme="minorHAnsi" w:hAnsiTheme="minorHAnsi" w:cstheme="minorHAnsi"/>
          <w:lang w:val="sl-SI"/>
        </w:rPr>
        <w:t xml:space="preserve"> razvojnega</w:t>
      </w:r>
      <w:r w:rsidRPr="00897186">
        <w:rPr>
          <w:rFonts w:asciiTheme="minorHAnsi" w:hAnsiTheme="minorHAnsi" w:cstheme="minorHAnsi"/>
        </w:rPr>
        <w:t xml:space="preserve"> sveta so:</w:t>
      </w:r>
    </w:p>
    <w:p w14:paraId="2FB09A62" w14:textId="77777777" w:rsidR="00B87482" w:rsidRPr="00897186" w:rsidRDefault="00B87482" w:rsidP="00B87482">
      <w:pPr>
        <w:pStyle w:val="Alineazaodstavkom"/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predstavniki občin,</w:t>
      </w:r>
    </w:p>
    <w:p w14:paraId="251F7B5E" w14:textId="77777777" w:rsidR="00B87482" w:rsidRPr="00897186" w:rsidRDefault="00B87482" w:rsidP="00B87482">
      <w:pPr>
        <w:pStyle w:val="Alineazaodstavkom"/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predstavniki gospodarskih, obrtnih in drugih zbornic ter združenj s področja gospodarstva v regiji (v nadaljnjem besedilu: predstavniki gospodarstva) in</w:t>
      </w:r>
    </w:p>
    <w:p w14:paraId="43CC8FDA" w14:textId="77777777" w:rsidR="00B87482" w:rsidRPr="00897186" w:rsidRDefault="00B87482" w:rsidP="00B87482">
      <w:pPr>
        <w:pStyle w:val="Alineazaodstavkom"/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predstavniki nevladnih organizacij v regiji.</w:t>
      </w:r>
    </w:p>
    <w:p w14:paraId="5A653484" w14:textId="6F8EF3AD" w:rsidR="00495C7E" w:rsidRPr="00897186" w:rsidRDefault="00B87482" w:rsidP="00B87482">
      <w:pPr>
        <w:pStyle w:val="Zamaknjenadolobaprvinivo"/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Število predstavnikov občin</w:t>
      </w:r>
      <w:r w:rsidR="00495C7E" w:rsidRPr="00897186">
        <w:rPr>
          <w:rFonts w:asciiTheme="minorHAnsi" w:hAnsiTheme="minorHAnsi" w:cstheme="minorHAnsi"/>
          <w:lang w:val="sl-SI"/>
        </w:rPr>
        <w:t xml:space="preserve">, </w:t>
      </w:r>
      <w:r w:rsidR="00495C7E" w:rsidRPr="00897186">
        <w:rPr>
          <w:rFonts w:asciiTheme="minorHAnsi" w:hAnsiTheme="minorHAnsi" w:cstheme="minorHAnsi"/>
        </w:rPr>
        <w:t>gospodarstva</w:t>
      </w:r>
      <w:r w:rsidR="00495C7E" w:rsidRPr="00897186">
        <w:rPr>
          <w:rFonts w:asciiTheme="minorHAnsi" w:hAnsiTheme="minorHAnsi" w:cstheme="minorHAnsi"/>
          <w:lang w:val="sl-SI"/>
        </w:rPr>
        <w:t xml:space="preserve"> in </w:t>
      </w:r>
      <w:r w:rsidR="00495C7E" w:rsidRPr="00897186">
        <w:rPr>
          <w:rFonts w:asciiTheme="minorHAnsi" w:hAnsiTheme="minorHAnsi" w:cstheme="minorHAnsi"/>
        </w:rPr>
        <w:t>nevladnih organizacij</w:t>
      </w:r>
      <w:r w:rsidR="00495C7E" w:rsidRPr="00897186">
        <w:rPr>
          <w:rFonts w:asciiTheme="minorHAnsi" w:hAnsiTheme="minorHAnsi" w:cstheme="minorHAnsi"/>
          <w:lang w:val="sl-SI"/>
        </w:rPr>
        <w:t xml:space="preserve"> </w:t>
      </w:r>
      <w:r w:rsidRPr="00897186">
        <w:rPr>
          <w:rFonts w:asciiTheme="minorHAnsi" w:hAnsiTheme="minorHAnsi" w:cstheme="minorHAnsi"/>
        </w:rPr>
        <w:t xml:space="preserve">v svetu </w:t>
      </w:r>
      <w:r w:rsidR="00594ADA">
        <w:rPr>
          <w:rFonts w:asciiTheme="minorHAnsi" w:hAnsiTheme="minorHAnsi" w:cstheme="minorHAnsi"/>
          <w:lang w:val="sl-SI"/>
        </w:rPr>
        <w:t>se določi v razmerju deležev 50:25:25</w:t>
      </w:r>
      <w:r w:rsidR="00495C7E" w:rsidRPr="00897186">
        <w:rPr>
          <w:rFonts w:asciiTheme="minorHAnsi" w:hAnsiTheme="minorHAnsi" w:cstheme="minorHAnsi"/>
          <w:lang w:val="sl-SI"/>
        </w:rPr>
        <w:t>.</w:t>
      </w:r>
      <w:r w:rsidRPr="00897186">
        <w:rPr>
          <w:rFonts w:asciiTheme="minorHAnsi" w:hAnsiTheme="minorHAnsi" w:cstheme="minorHAnsi"/>
        </w:rPr>
        <w:t xml:space="preserve"> Število članov sveta in sestavo določi </w:t>
      </w:r>
      <w:r w:rsidR="00AD3184">
        <w:rPr>
          <w:rFonts w:asciiTheme="minorHAnsi" w:hAnsiTheme="minorHAnsi" w:cstheme="minorHAnsi"/>
          <w:lang w:val="sl-SI"/>
        </w:rPr>
        <w:t>regionalna razvojna agencija ob posvetovanju s predstavniki občin, gospodarstva in NVO</w:t>
      </w:r>
      <w:r w:rsidRPr="00897186">
        <w:rPr>
          <w:rFonts w:asciiTheme="minorHAnsi" w:hAnsiTheme="minorHAnsi" w:cstheme="minorHAnsi"/>
        </w:rPr>
        <w:t>.</w:t>
      </w:r>
    </w:p>
    <w:p w14:paraId="27A8C6F3" w14:textId="1D6CD892" w:rsidR="00495C7E" w:rsidRPr="00897186" w:rsidRDefault="00B87482" w:rsidP="00B87482">
      <w:pPr>
        <w:pStyle w:val="Zamaknjenadolobaprvinivo"/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Kandidate za predstavnike občin predlaga</w:t>
      </w:r>
      <w:r w:rsidRPr="00897186">
        <w:rPr>
          <w:rFonts w:asciiTheme="minorHAnsi" w:hAnsiTheme="minorHAnsi" w:cstheme="minorHAnsi"/>
          <w:lang w:val="sl-SI"/>
        </w:rPr>
        <w:t xml:space="preserve"> </w:t>
      </w:r>
      <w:r w:rsidRPr="00897186">
        <w:rPr>
          <w:rFonts w:asciiTheme="minorHAnsi" w:hAnsiTheme="minorHAnsi" w:cstheme="minorHAnsi"/>
        </w:rPr>
        <w:t>občinski svet izmed izvoljenih občinskih funkcionarjev. Kandidate za predstavnike gospodarstva predlagajo njihovi organi oziroma organi zbornic</w:t>
      </w:r>
      <w:r w:rsidR="00897186" w:rsidRPr="00897186">
        <w:rPr>
          <w:rFonts w:asciiTheme="minorHAnsi" w:hAnsiTheme="minorHAnsi" w:cstheme="minorHAnsi"/>
          <w:lang w:val="sl-SI"/>
        </w:rPr>
        <w:t>,</w:t>
      </w:r>
      <w:r w:rsidR="00897186" w:rsidRPr="00897186">
        <w:rPr>
          <w:rFonts w:asciiTheme="minorHAnsi" w:hAnsiTheme="minorHAnsi" w:cstheme="minorHAnsi"/>
        </w:rPr>
        <w:t xml:space="preserve"> kandidate za predstavnike nevladnih organizacij</w:t>
      </w:r>
      <w:r w:rsidRPr="00897186">
        <w:rPr>
          <w:rFonts w:asciiTheme="minorHAnsi" w:hAnsiTheme="minorHAnsi" w:cstheme="minorHAnsi"/>
        </w:rPr>
        <w:t xml:space="preserve"> </w:t>
      </w:r>
      <w:r w:rsidR="00897186" w:rsidRPr="00897186">
        <w:rPr>
          <w:rFonts w:asciiTheme="minorHAnsi" w:hAnsiTheme="minorHAnsi" w:cstheme="minorHAnsi"/>
          <w:lang w:val="sl-SI"/>
        </w:rPr>
        <w:t xml:space="preserve">pa predlagajo </w:t>
      </w:r>
      <w:r w:rsidR="00495C7E" w:rsidRPr="00897186">
        <w:rPr>
          <w:rFonts w:asciiTheme="minorHAnsi" w:hAnsiTheme="minorHAnsi" w:cstheme="minorHAnsi"/>
        </w:rPr>
        <w:t>regionaln</w:t>
      </w:r>
      <w:r w:rsidR="00AF56D3">
        <w:rPr>
          <w:rFonts w:asciiTheme="minorHAnsi" w:hAnsiTheme="minorHAnsi" w:cstheme="minorHAnsi"/>
          <w:lang w:val="sl-SI"/>
        </w:rPr>
        <w:t>a</w:t>
      </w:r>
      <w:r w:rsidR="00495C7E" w:rsidRPr="00897186">
        <w:rPr>
          <w:rFonts w:asciiTheme="minorHAnsi" w:hAnsiTheme="minorHAnsi" w:cstheme="minorHAnsi"/>
        </w:rPr>
        <w:t xml:space="preserve"> stičišč</w:t>
      </w:r>
      <w:r w:rsidR="00495C7E" w:rsidRPr="00897186">
        <w:rPr>
          <w:rFonts w:asciiTheme="minorHAnsi" w:hAnsiTheme="minorHAnsi" w:cstheme="minorHAnsi"/>
          <w:lang w:val="sl-SI"/>
        </w:rPr>
        <w:t>a</w:t>
      </w:r>
      <w:r w:rsidR="00495C7E" w:rsidRPr="00897186">
        <w:rPr>
          <w:rFonts w:asciiTheme="minorHAnsi" w:hAnsiTheme="minorHAnsi" w:cstheme="minorHAnsi"/>
        </w:rPr>
        <w:t xml:space="preserve"> nevladnih organizacij</w:t>
      </w:r>
      <w:r w:rsidRPr="00897186">
        <w:rPr>
          <w:rFonts w:asciiTheme="minorHAnsi" w:hAnsiTheme="minorHAnsi" w:cstheme="minorHAnsi"/>
        </w:rPr>
        <w:t xml:space="preserve">, ki imajo sedež v regiji. </w:t>
      </w:r>
    </w:p>
    <w:p w14:paraId="3F61216C" w14:textId="77777777" w:rsidR="00897186" w:rsidRPr="00897186" w:rsidRDefault="00B87482" w:rsidP="00897186">
      <w:pPr>
        <w:pStyle w:val="Zamaknjenadolobaprvinivo"/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>Mandat sveta je enak programskemu obdobju.</w:t>
      </w:r>
      <w:r w:rsidRPr="00897186">
        <w:rPr>
          <w:rFonts w:asciiTheme="minorHAnsi" w:hAnsiTheme="minorHAnsi" w:cstheme="minorHAnsi"/>
          <w:lang w:val="sl-SI"/>
        </w:rPr>
        <w:t xml:space="preserve"> </w:t>
      </w:r>
      <w:r w:rsidRPr="00897186">
        <w:rPr>
          <w:rFonts w:asciiTheme="minorHAnsi" w:hAnsiTheme="minorHAnsi" w:cstheme="minorHAnsi"/>
        </w:rPr>
        <w:t>Člana sveta, ki med mandatom preneha izpolnjevati pogoje za imenovanje v svet po tem zakonu, svet zamenja, ko zamenjavo predlaga organ, ki je člana predlagal. Mandat nadomestnega člana traja od sprejema sklepa do izteka mandata sveta.</w:t>
      </w:r>
    </w:p>
    <w:p w14:paraId="58C05909" w14:textId="77777777" w:rsidR="00897186" w:rsidRPr="00897186" w:rsidRDefault="00897186" w:rsidP="00897186">
      <w:pPr>
        <w:pStyle w:val="Zamaknjenadolobaprvinivo"/>
        <w:rPr>
          <w:rFonts w:asciiTheme="minorHAnsi" w:hAnsiTheme="minorHAnsi" w:cstheme="minorHAnsi"/>
        </w:rPr>
      </w:pPr>
    </w:p>
    <w:p w14:paraId="5503BF97" w14:textId="77777777" w:rsidR="00897186" w:rsidRPr="00897186" w:rsidRDefault="00CA3D0E" w:rsidP="00897186">
      <w:pPr>
        <w:pStyle w:val="Zamaknjenadolobaprvinivo"/>
        <w:rPr>
          <w:rFonts w:asciiTheme="minorHAnsi" w:hAnsiTheme="minorHAnsi" w:cstheme="minorHAnsi"/>
          <w:lang w:val="sl-SI"/>
        </w:rPr>
      </w:pPr>
      <w:r w:rsidRPr="00897186">
        <w:rPr>
          <w:rFonts w:asciiTheme="minorHAnsi" w:hAnsiTheme="minorHAnsi" w:cstheme="minorHAnsi"/>
          <w:b/>
          <w:bCs/>
          <w:lang w:val="sl-SI"/>
        </w:rPr>
        <w:t>Spremeni se 12. člen</w:t>
      </w:r>
      <w:r w:rsidRPr="00897186">
        <w:rPr>
          <w:rFonts w:asciiTheme="minorHAnsi" w:hAnsiTheme="minorHAnsi" w:cstheme="minorHAnsi"/>
          <w:lang w:val="sl-SI"/>
        </w:rPr>
        <w:t xml:space="preserve"> in sicer točka 2, ki se glasi: </w:t>
      </w:r>
    </w:p>
    <w:p w14:paraId="55804F1E" w14:textId="77777777" w:rsidR="00897186" w:rsidRPr="00897186" w:rsidRDefault="00CA3D0E" w:rsidP="00897186">
      <w:pPr>
        <w:pStyle w:val="Zamaknjenadolobaprvinivo"/>
        <w:rPr>
          <w:rFonts w:asciiTheme="minorHAnsi" w:hAnsiTheme="minorHAnsi" w:cstheme="minorHAnsi"/>
          <w:lang w:val="sl-SI"/>
        </w:rPr>
      </w:pPr>
      <w:r w:rsidRPr="00897186">
        <w:rPr>
          <w:rFonts w:asciiTheme="minorHAnsi" w:hAnsiTheme="minorHAnsi" w:cstheme="minorHAnsi"/>
          <w:lang w:val="sl-SI"/>
        </w:rPr>
        <w:t>(2) Svet sprejema odločitve na seji z večino glasov navzočih članov. Svet veljavno odloča, če je na seji navzoča večina vseh članov sveta in večina članov sveta, predstavnikov občin.</w:t>
      </w:r>
    </w:p>
    <w:p w14:paraId="52858D16" w14:textId="77777777" w:rsidR="00897186" w:rsidRPr="00897186" w:rsidRDefault="00897186" w:rsidP="00897186">
      <w:pPr>
        <w:pStyle w:val="Zamaknjenadolobaprvinivo"/>
        <w:rPr>
          <w:rFonts w:asciiTheme="minorHAnsi" w:hAnsiTheme="minorHAnsi" w:cstheme="minorHAnsi"/>
          <w:lang w:val="sl-SI"/>
        </w:rPr>
      </w:pPr>
    </w:p>
    <w:p w14:paraId="6F6E012A" w14:textId="259A6A79" w:rsidR="00897186" w:rsidRPr="00897186" w:rsidRDefault="00495C7E" w:rsidP="00897186">
      <w:pPr>
        <w:pStyle w:val="Zamaknjenadolobaprvinivo"/>
        <w:rPr>
          <w:rFonts w:asciiTheme="minorHAnsi" w:hAnsiTheme="minorHAnsi" w:cstheme="minorHAnsi"/>
          <w:lang w:val="sl-SI"/>
        </w:rPr>
      </w:pPr>
      <w:r w:rsidRPr="00897186">
        <w:rPr>
          <w:rFonts w:asciiTheme="minorHAnsi" w:hAnsiTheme="minorHAnsi" w:cstheme="minorHAnsi"/>
          <w:b/>
          <w:bCs/>
          <w:lang w:val="sl-SI"/>
        </w:rPr>
        <w:t>Dopolni se 13</w:t>
      </w:r>
      <w:r w:rsidRPr="00897186">
        <w:rPr>
          <w:rFonts w:asciiTheme="minorHAnsi" w:hAnsiTheme="minorHAnsi" w:cstheme="minorHAnsi"/>
          <w:b/>
          <w:bCs/>
        </w:rPr>
        <w:t>.</w:t>
      </w:r>
      <w:r w:rsidRPr="00897186">
        <w:rPr>
          <w:rFonts w:asciiTheme="minorHAnsi" w:hAnsiTheme="minorHAnsi" w:cstheme="minorHAnsi"/>
          <w:b/>
          <w:bCs/>
          <w:lang w:val="sl-SI"/>
        </w:rPr>
        <w:t>člen</w:t>
      </w:r>
      <w:r w:rsidRPr="00897186">
        <w:rPr>
          <w:rFonts w:asciiTheme="minorHAnsi" w:hAnsiTheme="minorHAnsi" w:cstheme="minorHAnsi"/>
          <w:lang w:val="sl-SI"/>
        </w:rPr>
        <w:t xml:space="preserve"> in sicer tako, da se točka 4</w:t>
      </w:r>
      <w:r w:rsidR="00897186">
        <w:rPr>
          <w:rFonts w:asciiTheme="minorHAnsi" w:hAnsiTheme="minorHAnsi" w:cstheme="minorHAnsi"/>
          <w:lang w:val="sl-SI"/>
        </w:rPr>
        <w:t>,</w:t>
      </w:r>
      <w:r w:rsidRPr="00897186">
        <w:rPr>
          <w:rFonts w:asciiTheme="minorHAnsi" w:hAnsiTheme="minorHAnsi" w:cstheme="minorHAnsi"/>
          <w:lang w:val="sl-SI"/>
        </w:rPr>
        <w:t xml:space="preserve"> po spremembi glasi: </w:t>
      </w:r>
    </w:p>
    <w:p w14:paraId="798FCE96" w14:textId="407892F6" w:rsidR="00B87482" w:rsidRPr="00897186" w:rsidRDefault="00B87482" w:rsidP="00897186">
      <w:pPr>
        <w:pStyle w:val="Zamaknjenadolobaprvinivo"/>
        <w:rPr>
          <w:rFonts w:asciiTheme="minorHAnsi" w:hAnsiTheme="minorHAnsi" w:cstheme="minorHAnsi"/>
        </w:rPr>
      </w:pPr>
      <w:r w:rsidRPr="00897186">
        <w:rPr>
          <w:rFonts w:asciiTheme="minorHAnsi" w:hAnsiTheme="minorHAnsi" w:cstheme="minorHAnsi"/>
        </w:rPr>
        <w:t xml:space="preserve">(4) </w:t>
      </w:r>
      <w:r w:rsidR="00495C7E" w:rsidRPr="00897186">
        <w:rPr>
          <w:rFonts w:asciiTheme="minorHAnsi" w:hAnsiTheme="minorHAnsi" w:cstheme="minorHAnsi"/>
          <w:lang w:val="sl-SI"/>
        </w:rPr>
        <w:t>Regionalni razvojni program sprejme razvojni svet regije, najmanj eno leto pred začetkom programskega obdobja, na katerega se nanaša.</w:t>
      </w:r>
      <w:r w:rsidR="00CA3D0E" w:rsidRPr="00897186">
        <w:rPr>
          <w:rFonts w:asciiTheme="minorHAnsi" w:hAnsiTheme="minorHAnsi" w:cstheme="minorHAnsi"/>
          <w:lang w:val="sl-SI"/>
        </w:rPr>
        <w:t xml:space="preserve"> Prioritete in opredeljeni projekti se morajo upoštevati pri načrtovanju in izvajanju ukrepov nacionalnih in EU programov. </w:t>
      </w:r>
    </w:p>
    <w:p w14:paraId="3714E2D1" w14:textId="7312934B" w:rsidR="005D6746" w:rsidRDefault="005D6746">
      <w:pPr>
        <w:rPr>
          <w:rFonts w:asciiTheme="minorHAnsi" w:hAnsiTheme="minorHAnsi" w:cstheme="minorHAnsi"/>
          <w:szCs w:val="22"/>
        </w:rPr>
      </w:pPr>
    </w:p>
    <w:p w14:paraId="6FF2458B" w14:textId="77777777" w:rsidR="00BE63E4" w:rsidRDefault="00BE63E4">
      <w:pPr>
        <w:rPr>
          <w:rFonts w:asciiTheme="minorHAnsi" w:hAnsiTheme="minorHAnsi" w:cstheme="minorHAnsi"/>
          <w:szCs w:val="22"/>
        </w:rPr>
      </w:pPr>
    </w:p>
    <w:p w14:paraId="3555A0EA" w14:textId="77777777" w:rsidR="00BE63E4" w:rsidRPr="00897186" w:rsidRDefault="00BE63E4">
      <w:pPr>
        <w:rPr>
          <w:rFonts w:asciiTheme="minorHAnsi" w:hAnsiTheme="minorHAnsi" w:cstheme="minorHAnsi"/>
          <w:szCs w:val="22"/>
        </w:rPr>
      </w:pPr>
    </w:p>
    <w:p w14:paraId="414ECF1A" w14:textId="77777777" w:rsidR="00CA3D0E" w:rsidRPr="00897186" w:rsidRDefault="00CA3D0E">
      <w:pPr>
        <w:rPr>
          <w:rFonts w:asciiTheme="minorHAnsi" w:hAnsiTheme="minorHAnsi" w:cstheme="minorHAnsi"/>
          <w:szCs w:val="22"/>
        </w:rPr>
      </w:pPr>
    </w:p>
    <w:sectPr w:rsidR="00CA3D0E" w:rsidRPr="0089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79"/>
    <w:multiLevelType w:val="hybridMultilevel"/>
    <w:tmpl w:val="DD2C9400"/>
    <w:lvl w:ilvl="0" w:tplc="69A2DE9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548D3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FC483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C6188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1EACB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9A641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1CC24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96377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BAA21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5C617F"/>
    <w:multiLevelType w:val="hybridMultilevel"/>
    <w:tmpl w:val="423A2C1C"/>
    <w:lvl w:ilvl="0" w:tplc="9716C4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B0D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C0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83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ED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A0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6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00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42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E571"/>
    <w:multiLevelType w:val="hybridMultilevel"/>
    <w:tmpl w:val="C67C04E4"/>
    <w:lvl w:ilvl="0" w:tplc="06E608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D0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45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A9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EE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A0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A6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43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CD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173602">
    <w:abstractNumId w:val="1"/>
  </w:num>
  <w:num w:numId="2" w16cid:durableId="575941939">
    <w:abstractNumId w:val="2"/>
  </w:num>
  <w:num w:numId="3" w16cid:durableId="848985122">
    <w:abstractNumId w:val="0"/>
  </w:num>
  <w:num w:numId="4" w16cid:durableId="1792821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46"/>
    <w:rsid w:val="00353487"/>
    <w:rsid w:val="00495C7E"/>
    <w:rsid w:val="005347CE"/>
    <w:rsid w:val="00594ADA"/>
    <w:rsid w:val="005D6746"/>
    <w:rsid w:val="007B340D"/>
    <w:rsid w:val="00897186"/>
    <w:rsid w:val="00A97183"/>
    <w:rsid w:val="00AD3184"/>
    <w:rsid w:val="00AE12BF"/>
    <w:rsid w:val="00AF56D3"/>
    <w:rsid w:val="00B87482"/>
    <w:rsid w:val="00BE63E4"/>
    <w:rsid w:val="00C715DE"/>
    <w:rsid w:val="00CA3D0E"/>
    <w:rsid w:val="00DC387E"/>
    <w:rsid w:val="00E50121"/>
    <w:rsid w:val="00E91BB7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BD38"/>
  <w15:chartTrackingRefBased/>
  <w15:docId w15:val="{653171F2-CD9A-AC41-8836-EB52CB24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7183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0">
    <w:name w:val="Pa0"/>
    <w:basedOn w:val="Navaden"/>
    <w:next w:val="Navaden"/>
    <w:uiPriority w:val="99"/>
    <w:rsid w:val="005D6746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lang w:val="sl-SI" w:eastAsia="en-US"/>
    </w:rPr>
  </w:style>
  <w:style w:type="paragraph" w:customStyle="1" w:styleId="Vrstapredpisa">
    <w:name w:val="Vrsta predpisa"/>
    <w:basedOn w:val="Navaden"/>
    <w:link w:val="VrstapredpisaZnak"/>
    <w:qFormat/>
    <w:rsid w:val="00B87482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B87482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B87482"/>
    <w:rPr>
      <w:rFonts w:ascii="Arial" w:eastAsia="Times New Roman" w:hAnsi="Arial" w:cs="Times New Roman"/>
      <w:b/>
      <w:bCs/>
      <w:color w:val="000000"/>
      <w:spacing w:val="40"/>
      <w:kern w:val="0"/>
      <w:sz w:val="22"/>
      <w:szCs w:val="22"/>
      <w:lang w:val="x-none" w:eastAsia="x-none"/>
      <w14:ligatures w14:val="none"/>
    </w:rPr>
  </w:style>
  <w:style w:type="paragraph" w:customStyle="1" w:styleId="Poglavje">
    <w:name w:val="Poglavje"/>
    <w:basedOn w:val="Navaden"/>
    <w:qFormat/>
    <w:rsid w:val="00B87482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B87482"/>
    <w:rPr>
      <w:rFonts w:ascii="Arial" w:eastAsia="Times New Roman" w:hAnsi="Arial" w:cs="Times New Roman"/>
      <w:b/>
      <w:kern w:val="0"/>
      <w:sz w:val="22"/>
      <w:szCs w:val="22"/>
      <w:lang w:val="x-none" w:eastAsia="x-none"/>
      <w14:ligatures w14:val="none"/>
    </w:rPr>
  </w:style>
  <w:style w:type="paragraph" w:customStyle="1" w:styleId="len">
    <w:name w:val="Člen"/>
    <w:basedOn w:val="Navaden"/>
    <w:link w:val="lenZnak"/>
    <w:qFormat/>
    <w:rsid w:val="00B87482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B87482"/>
    <w:rPr>
      <w:rFonts w:ascii="Arial" w:eastAsia="Times New Roman" w:hAnsi="Arial" w:cs="Times New Roman"/>
      <w:b/>
      <w:kern w:val="0"/>
      <w:sz w:val="22"/>
      <w:szCs w:val="22"/>
      <w:lang w:val="x-none" w:eastAsia="x-none"/>
      <w14:ligatures w14:val="none"/>
    </w:rPr>
  </w:style>
  <w:style w:type="paragraph" w:customStyle="1" w:styleId="Odstavek">
    <w:name w:val="Odstavek"/>
    <w:basedOn w:val="Navaden"/>
    <w:link w:val="OdstavekZnak"/>
    <w:qFormat/>
    <w:rsid w:val="00B8748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B87482"/>
    <w:rPr>
      <w:rFonts w:ascii="Arial" w:eastAsia="Times New Roman" w:hAnsi="Arial" w:cs="Times New Roman"/>
      <w:kern w:val="0"/>
      <w:sz w:val="22"/>
      <w:szCs w:val="22"/>
      <w:lang w:val="x-none" w:eastAsia="x-none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B87482"/>
    <w:pPr>
      <w:numPr>
        <w:numId w:val="4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B87482"/>
    <w:rPr>
      <w:rFonts w:ascii="Arial" w:eastAsia="Times New Roman" w:hAnsi="Arial" w:cs="Times New Roman"/>
      <w:kern w:val="0"/>
      <w:sz w:val="22"/>
      <w:szCs w:val="22"/>
      <w:lang w:val="x-none" w:eastAsia="x-none"/>
      <w14:ligatures w14:val="none"/>
    </w:rPr>
  </w:style>
  <w:style w:type="paragraph" w:customStyle="1" w:styleId="lennaslov">
    <w:name w:val="Člen_naslov"/>
    <w:basedOn w:val="len"/>
    <w:qFormat/>
    <w:rsid w:val="00B87482"/>
    <w:pPr>
      <w:spacing w:before="0"/>
    </w:pPr>
  </w:style>
  <w:style w:type="paragraph" w:customStyle="1" w:styleId="lennovele">
    <w:name w:val="Člen_novele"/>
    <w:basedOn w:val="len"/>
    <w:link w:val="lennoveleZnak"/>
    <w:qFormat/>
    <w:rsid w:val="00B87482"/>
  </w:style>
  <w:style w:type="character" w:customStyle="1" w:styleId="lennoveleZnak">
    <w:name w:val="Člen_novele Znak"/>
    <w:link w:val="lennovele"/>
    <w:rsid w:val="00B87482"/>
    <w:rPr>
      <w:rFonts w:ascii="Arial" w:eastAsia="Times New Roman" w:hAnsi="Arial" w:cs="Times New Roman"/>
      <w:b/>
      <w:kern w:val="0"/>
      <w:sz w:val="22"/>
      <w:szCs w:val="22"/>
      <w:lang w:val="x-none" w:eastAsia="x-none"/>
      <w14:ligatures w14:val="none"/>
    </w:rPr>
  </w:style>
  <w:style w:type="paragraph" w:customStyle="1" w:styleId="rta">
    <w:name w:val="Črta"/>
    <w:basedOn w:val="Navaden"/>
    <w:link w:val="rtaZnak"/>
    <w:qFormat/>
    <w:rsid w:val="00B8748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NPB">
    <w:name w:val="NPB"/>
    <w:basedOn w:val="Vrstapredpisa"/>
    <w:qFormat/>
    <w:rsid w:val="00B87482"/>
    <w:rPr>
      <w:spacing w:val="0"/>
    </w:rPr>
  </w:style>
  <w:style w:type="character" w:customStyle="1" w:styleId="rtaZnak">
    <w:name w:val="Črta Znak"/>
    <w:link w:val="rta"/>
    <w:rsid w:val="00B87482"/>
    <w:rPr>
      <w:rFonts w:ascii="Arial" w:eastAsia="Times New Roman" w:hAnsi="Arial" w:cs="Times New Roman"/>
      <w:kern w:val="0"/>
      <w:sz w:val="22"/>
      <w:szCs w:val="22"/>
      <w:lang w:val="x-none" w:eastAsia="x-none"/>
      <w14:ligatures w14:val="none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B87482"/>
    <w:pPr>
      <w:numPr>
        <w:numId w:val="0"/>
      </w:numPr>
    </w:pPr>
  </w:style>
  <w:style w:type="character" w:customStyle="1" w:styleId="ZamaknjenadolobaprvinivoZnak">
    <w:name w:val="Zamaknjena določba_prvi nivo Znak"/>
    <w:link w:val="Zamaknjenadolobaprvinivo"/>
    <w:rsid w:val="00B87482"/>
    <w:rPr>
      <w:rFonts w:ascii="Arial" w:eastAsia="Times New Roman" w:hAnsi="Arial" w:cs="Times New Roman"/>
      <w:kern w:val="0"/>
      <w:sz w:val="22"/>
      <w:szCs w:val="22"/>
      <w:lang w:val="x-none" w:eastAsia="x-none"/>
      <w14:ligatures w14:val="none"/>
    </w:rPr>
  </w:style>
  <w:style w:type="character" w:styleId="Hiperpovezava">
    <w:name w:val="Hyperlink"/>
    <w:uiPriority w:val="99"/>
    <w:unhideWhenUsed/>
    <w:rsid w:val="00B87482"/>
    <w:rPr>
      <w:b/>
      <w:color w:val="0000FF"/>
      <w:u w:val="single"/>
    </w:rPr>
  </w:style>
  <w:style w:type="paragraph" w:customStyle="1" w:styleId="Prehodneinkoncnedolocbe">
    <w:name w:val="Prehodne in koncne dolocbe"/>
    <w:basedOn w:val="Navaden"/>
    <w:rsid w:val="00B87482"/>
    <w:pPr>
      <w:overflowPunct w:val="0"/>
      <w:autoSpaceDE w:val="0"/>
      <w:autoSpaceDN w:val="0"/>
      <w:adjustRightInd w:val="0"/>
      <w:spacing w:before="400" w:after="600"/>
      <w:jc w:val="both"/>
      <w:textAlignment w:val="baseline"/>
    </w:pPr>
    <w:rPr>
      <w:rFonts w:ascii="Arial" w:hAnsi="Arial"/>
      <w:b/>
      <w:sz w:val="22"/>
      <w:szCs w:val="16"/>
      <w:lang w:val="sl-SI" w:eastAsia="sl-SI"/>
    </w:rPr>
  </w:style>
  <w:style w:type="paragraph" w:customStyle="1" w:styleId="odstavek0">
    <w:name w:val="odstavek"/>
    <w:basedOn w:val="Navaden"/>
    <w:rsid w:val="00A97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E50121"/>
  </w:style>
  <w:style w:type="paragraph" w:customStyle="1" w:styleId="alineazaodstavkom0">
    <w:name w:val="alineazaodstavkom"/>
    <w:basedOn w:val="Navaden"/>
    <w:rsid w:val="00AD31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7432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Golčar</dc:creator>
  <cp:keywords/>
  <dc:description/>
  <cp:lastModifiedBy>Metka Šošterič</cp:lastModifiedBy>
  <cp:revision>2</cp:revision>
  <dcterms:created xsi:type="dcterms:W3CDTF">2023-10-27T06:34:00Z</dcterms:created>
  <dcterms:modified xsi:type="dcterms:W3CDTF">2023-10-27T06:34:00Z</dcterms:modified>
</cp:coreProperties>
</file>