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C62" w:rsidRPr="00D76623" w:rsidRDefault="00D76623" w:rsidP="00E33C62">
      <w:pPr>
        <w:pStyle w:val="Naslov"/>
        <w:spacing w:before="0" w:after="0" w:line="240" w:lineRule="auto"/>
        <w:rPr>
          <w:sz w:val="24"/>
          <w:szCs w:val="24"/>
        </w:rPr>
      </w:pPr>
      <w:bookmarkStart w:id="0" w:name="_GoBack"/>
      <w:bookmarkEnd w:id="0"/>
      <w:r w:rsidRPr="00D76623">
        <w:rPr>
          <w:rFonts w:cs="Arial"/>
          <w:sz w:val="24"/>
          <w:szCs w:val="24"/>
        </w:rPr>
        <w:t xml:space="preserve">Prvo letno poročilo o </w:t>
      </w:r>
      <w:r w:rsidRPr="00D76623">
        <w:rPr>
          <w:sz w:val="24"/>
          <w:szCs w:val="24"/>
        </w:rPr>
        <w:t>izvajanju Programa spodbujanja konkurenčnosti in ukrepov razvojne podpore za problemsko območje z visoko brezposelnostjo</w:t>
      </w:r>
      <w:r w:rsidRPr="00D76623" w:rsidDel="00593467">
        <w:rPr>
          <w:rFonts w:cs="Arial"/>
          <w:sz w:val="24"/>
          <w:szCs w:val="24"/>
        </w:rPr>
        <w:t xml:space="preserve"> </w:t>
      </w:r>
      <w:r w:rsidRPr="00D76623">
        <w:rPr>
          <w:rFonts w:cs="Arial"/>
          <w:sz w:val="24"/>
          <w:szCs w:val="24"/>
        </w:rPr>
        <w:t xml:space="preserve"> Hrastnik, Radeče, Trbovlje v obdobju 2013–2018</w:t>
      </w:r>
      <w:r w:rsidR="00A548F9" w:rsidRPr="00D76623">
        <w:rPr>
          <w:sz w:val="24"/>
          <w:szCs w:val="24"/>
        </w:rPr>
        <w:t>– v obdobju od julija 2013 do aprila 2015</w:t>
      </w:r>
    </w:p>
    <w:p w:rsidR="00E33C62" w:rsidRDefault="00E33C62" w:rsidP="00E33C62">
      <w:pPr>
        <w:spacing w:after="0" w:line="240" w:lineRule="auto"/>
        <w:jc w:val="both"/>
      </w:pPr>
    </w:p>
    <w:p w:rsidR="00C207AA" w:rsidRDefault="00C207AA" w:rsidP="00E33C62">
      <w:pPr>
        <w:spacing w:after="0" w:line="240" w:lineRule="auto"/>
        <w:jc w:val="both"/>
      </w:pPr>
    </w:p>
    <w:p w:rsidR="00E33C62" w:rsidRDefault="00E33C62" w:rsidP="00E33C62">
      <w:pPr>
        <w:spacing w:after="0" w:line="240" w:lineRule="auto"/>
        <w:jc w:val="both"/>
      </w:pPr>
    </w:p>
    <w:p w:rsidR="00E33C62" w:rsidRDefault="00E33C62" w:rsidP="00E33C62">
      <w:pPr>
        <w:spacing w:after="0" w:line="240" w:lineRule="auto"/>
        <w:jc w:val="both"/>
      </w:pPr>
      <w:r>
        <w:t>Podajamo kratek pregled statusa izvajanja posameznih instrumentov in ukrepov, podrobnejši pa je predstavljen v nadaljevanju poročila: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119"/>
        <w:gridCol w:w="2599"/>
      </w:tblGrid>
      <w:tr w:rsidR="00E33C62" w:rsidRPr="004550A3" w:rsidTr="0086498C">
        <w:trPr>
          <w:trHeight w:val="503"/>
        </w:trPr>
        <w:tc>
          <w:tcPr>
            <w:tcW w:w="3510" w:type="dxa"/>
            <w:shd w:val="clear" w:color="auto" w:fill="auto"/>
          </w:tcPr>
          <w:p w:rsidR="00E33C62" w:rsidRPr="004550A3" w:rsidRDefault="00E33C62" w:rsidP="0086498C">
            <w:pPr>
              <w:spacing w:after="0" w:line="240" w:lineRule="auto"/>
              <w:jc w:val="center"/>
              <w:rPr>
                <w:b/>
                <w:sz w:val="18"/>
                <w:szCs w:val="18"/>
              </w:rPr>
            </w:pPr>
            <w:r w:rsidRPr="004550A3">
              <w:rPr>
                <w:b/>
                <w:sz w:val="18"/>
                <w:szCs w:val="18"/>
              </w:rPr>
              <w:t>Instrument oz. ukrep</w:t>
            </w:r>
          </w:p>
        </w:tc>
        <w:tc>
          <w:tcPr>
            <w:tcW w:w="3119" w:type="dxa"/>
            <w:shd w:val="clear" w:color="auto" w:fill="auto"/>
          </w:tcPr>
          <w:p w:rsidR="00E33C62" w:rsidRPr="004550A3" w:rsidRDefault="00E33C62" w:rsidP="0086498C">
            <w:pPr>
              <w:spacing w:after="0" w:line="240" w:lineRule="auto"/>
              <w:jc w:val="center"/>
              <w:rPr>
                <w:b/>
                <w:sz w:val="18"/>
                <w:szCs w:val="18"/>
              </w:rPr>
            </w:pPr>
            <w:r w:rsidRPr="004550A3">
              <w:rPr>
                <w:b/>
                <w:sz w:val="18"/>
                <w:szCs w:val="18"/>
              </w:rPr>
              <w:t>Institucija odgovorna za izvedbo</w:t>
            </w:r>
          </w:p>
        </w:tc>
        <w:tc>
          <w:tcPr>
            <w:tcW w:w="2599" w:type="dxa"/>
            <w:shd w:val="clear" w:color="auto" w:fill="auto"/>
          </w:tcPr>
          <w:p w:rsidR="00E33C62" w:rsidRPr="004550A3" w:rsidRDefault="00E33C62" w:rsidP="0086498C">
            <w:pPr>
              <w:spacing w:after="0" w:line="240" w:lineRule="auto"/>
              <w:jc w:val="center"/>
              <w:rPr>
                <w:b/>
                <w:sz w:val="18"/>
                <w:szCs w:val="18"/>
              </w:rPr>
            </w:pPr>
            <w:r w:rsidRPr="004550A3">
              <w:rPr>
                <w:b/>
                <w:sz w:val="18"/>
                <w:szCs w:val="18"/>
              </w:rPr>
              <w:t>Status izvajanja</w:t>
            </w:r>
          </w:p>
        </w:tc>
      </w:tr>
      <w:tr w:rsidR="00E33C62" w:rsidRPr="004550A3" w:rsidTr="0086498C">
        <w:trPr>
          <w:trHeight w:val="1629"/>
        </w:trPr>
        <w:tc>
          <w:tcPr>
            <w:tcW w:w="3510" w:type="dxa"/>
            <w:shd w:val="clear" w:color="auto" w:fill="auto"/>
          </w:tcPr>
          <w:p w:rsidR="00E33C62" w:rsidRPr="004550A3" w:rsidRDefault="00E33C62" w:rsidP="0086498C">
            <w:pPr>
              <w:numPr>
                <w:ilvl w:val="0"/>
                <w:numId w:val="10"/>
              </w:numPr>
              <w:spacing w:after="0" w:line="240" w:lineRule="auto"/>
              <w:ind w:left="357" w:hanging="357"/>
              <w:rPr>
                <w:sz w:val="18"/>
                <w:szCs w:val="18"/>
              </w:rPr>
            </w:pPr>
            <w:r w:rsidRPr="004550A3">
              <w:rPr>
                <w:rFonts w:cs="Arial"/>
                <w:b/>
                <w:sz w:val="18"/>
                <w:szCs w:val="18"/>
              </w:rPr>
              <w:t>Programu spodbujanja konkurenčnosti in ukrepov razvojne podpore za območje občin Hrastnik, Radeče in Trbovlje v obdobju 2013–2018</w:t>
            </w:r>
          </w:p>
        </w:tc>
        <w:tc>
          <w:tcPr>
            <w:tcW w:w="3119" w:type="dxa"/>
            <w:shd w:val="clear" w:color="auto" w:fill="auto"/>
          </w:tcPr>
          <w:p w:rsidR="00E33C62" w:rsidRPr="004550A3" w:rsidRDefault="00E33C62" w:rsidP="0086498C">
            <w:pPr>
              <w:spacing w:after="0" w:line="240" w:lineRule="auto"/>
              <w:jc w:val="center"/>
              <w:rPr>
                <w:sz w:val="18"/>
                <w:szCs w:val="18"/>
              </w:rPr>
            </w:pPr>
          </w:p>
        </w:tc>
        <w:tc>
          <w:tcPr>
            <w:tcW w:w="2599" w:type="dxa"/>
            <w:shd w:val="clear" w:color="auto" w:fill="auto"/>
          </w:tcPr>
          <w:p w:rsidR="00E33C62" w:rsidRPr="004550A3" w:rsidRDefault="00E33C62" w:rsidP="0086498C">
            <w:pPr>
              <w:spacing w:after="0" w:line="240" w:lineRule="auto"/>
              <w:rPr>
                <w:sz w:val="18"/>
                <w:szCs w:val="18"/>
              </w:rPr>
            </w:pPr>
          </w:p>
        </w:tc>
      </w:tr>
      <w:tr w:rsidR="00E33C62" w:rsidRPr="004550A3" w:rsidTr="0086498C">
        <w:trPr>
          <w:trHeight w:val="244"/>
        </w:trPr>
        <w:tc>
          <w:tcPr>
            <w:tcW w:w="3510" w:type="dxa"/>
            <w:shd w:val="clear" w:color="auto" w:fill="auto"/>
            <w:vAlign w:val="bottom"/>
          </w:tcPr>
          <w:p w:rsidR="00E33C62" w:rsidRPr="004550A3" w:rsidRDefault="00E33C62" w:rsidP="0086498C">
            <w:pPr>
              <w:numPr>
                <w:ilvl w:val="0"/>
                <w:numId w:val="11"/>
              </w:numPr>
              <w:spacing w:after="0" w:line="240" w:lineRule="auto"/>
              <w:rPr>
                <w:rFonts w:cs="Arial"/>
                <w:color w:val="000000"/>
                <w:sz w:val="18"/>
                <w:szCs w:val="18"/>
              </w:rPr>
            </w:pPr>
            <w:r w:rsidRPr="004550A3">
              <w:rPr>
                <w:rFonts w:cs="Arial"/>
                <w:color w:val="000000"/>
                <w:sz w:val="18"/>
                <w:szCs w:val="18"/>
              </w:rPr>
              <w:t xml:space="preserve">Instrument 1: podjetno v svet podjetništva (PVSP)  HRT </w:t>
            </w:r>
          </w:p>
        </w:tc>
        <w:tc>
          <w:tcPr>
            <w:tcW w:w="3119" w:type="dxa"/>
            <w:shd w:val="clear" w:color="auto" w:fill="auto"/>
          </w:tcPr>
          <w:p w:rsidR="00E33C62" w:rsidRPr="004550A3" w:rsidRDefault="00E33C62" w:rsidP="0086498C">
            <w:pPr>
              <w:spacing w:after="0" w:line="240" w:lineRule="auto"/>
              <w:jc w:val="center"/>
              <w:rPr>
                <w:sz w:val="18"/>
                <w:szCs w:val="18"/>
              </w:rPr>
            </w:pPr>
            <w:r w:rsidRPr="004550A3">
              <w:rPr>
                <w:sz w:val="18"/>
                <w:szCs w:val="18"/>
              </w:rPr>
              <w:t>RCR Zagorje, RRA Posavje</w:t>
            </w:r>
          </w:p>
        </w:tc>
        <w:tc>
          <w:tcPr>
            <w:tcW w:w="2599" w:type="dxa"/>
            <w:shd w:val="clear" w:color="auto" w:fill="auto"/>
          </w:tcPr>
          <w:p w:rsidR="00E33C62" w:rsidRPr="00A548F9" w:rsidRDefault="00A548F9" w:rsidP="0086498C">
            <w:pPr>
              <w:spacing w:after="0" w:line="240" w:lineRule="auto"/>
              <w:jc w:val="center"/>
              <w:rPr>
                <w:sz w:val="18"/>
                <w:szCs w:val="18"/>
                <w:highlight w:val="yellow"/>
              </w:rPr>
            </w:pPr>
            <w:r w:rsidRPr="00A548F9">
              <w:rPr>
                <w:sz w:val="18"/>
                <w:szCs w:val="18"/>
              </w:rPr>
              <w:t>instrument se izvaja</w:t>
            </w:r>
          </w:p>
        </w:tc>
      </w:tr>
      <w:tr w:rsidR="00E33C62" w:rsidRPr="004550A3" w:rsidTr="0086498C">
        <w:trPr>
          <w:trHeight w:val="259"/>
        </w:trPr>
        <w:tc>
          <w:tcPr>
            <w:tcW w:w="3510" w:type="dxa"/>
            <w:shd w:val="clear" w:color="auto" w:fill="auto"/>
            <w:vAlign w:val="bottom"/>
          </w:tcPr>
          <w:p w:rsidR="00E33C62" w:rsidRPr="004550A3" w:rsidRDefault="00E33C62" w:rsidP="0086498C">
            <w:pPr>
              <w:numPr>
                <w:ilvl w:val="0"/>
                <w:numId w:val="11"/>
              </w:numPr>
              <w:spacing w:after="0" w:line="240" w:lineRule="auto"/>
              <w:rPr>
                <w:rFonts w:cs="Arial"/>
                <w:color w:val="000000"/>
                <w:sz w:val="18"/>
                <w:szCs w:val="18"/>
              </w:rPr>
            </w:pPr>
            <w:r w:rsidRPr="004550A3">
              <w:rPr>
                <w:rFonts w:cs="Arial"/>
                <w:color w:val="000000"/>
                <w:sz w:val="18"/>
                <w:szCs w:val="18"/>
              </w:rPr>
              <w:t>Instrument 2: finančne spodbude za novonastala podjetja</w:t>
            </w:r>
          </w:p>
        </w:tc>
        <w:tc>
          <w:tcPr>
            <w:tcW w:w="3119" w:type="dxa"/>
            <w:shd w:val="clear" w:color="auto" w:fill="auto"/>
          </w:tcPr>
          <w:p w:rsidR="00E33C62" w:rsidRPr="004550A3" w:rsidRDefault="00E33C62" w:rsidP="0086498C">
            <w:pPr>
              <w:spacing w:after="0" w:line="240" w:lineRule="auto"/>
              <w:jc w:val="center"/>
              <w:rPr>
                <w:sz w:val="18"/>
                <w:szCs w:val="18"/>
              </w:rPr>
            </w:pPr>
            <w:r w:rsidRPr="004550A3">
              <w:rPr>
                <w:sz w:val="18"/>
                <w:szCs w:val="18"/>
              </w:rPr>
              <w:t>Ministrstvo za gospodarski razvoj in tehnologijo (MGRT)  v sodelovanju z regionalnima razvojnima agencijama</w:t>
            </w:r>
          </w:p>
        </w:tc>
        <w:tc>
          <w:tcPr>
            <w:tcW w:w="2599" w:type="dxa"/>
            <w:shd w:val="clear" w:color="auto" w:fill="auto"/>
          </w:tcPr>
          <w:p w:rsidR="00E33C62" w:rsidRPr="00A548F9" w:rsidRDefault="00A548F9" w:rsidP="0086498C">
            <w:pPr>
              <w:spacing w:after="0" w:line="240" w:lineRule="auto"/>
              <w:jc w:val="center"/>
              <w:rPr>
                <w:sz w:val="18"/>
                <w:szCs w:val="18"/>
                <w:highlight w:val="yellow"/>
              </w:rPr>
            </w:pPr>
            <w:r w:rsidRPr="00A548F9">
              <w:rPr>
                <w:sz w:val="18"/>
                <w:szCs w:val="18"/>
              </w:rPr>
              <w:t>instrument se izvaja</w:t>
            </w:r>
          </w:p>
        </w:tc>
      </w:tr>
      <w:tr w:rsidR="00E33C62" w:rsidRPr="004550A3" w:rsidTr="0086498C">
        <w:trPr>
          <w:trHeight w:val="244"/>
        </w:trPr>
        <w:tc>
          <w:tcPr>
            <w:tcW w:w="3510" w:type="dxa"/>
            <w:shd w:val="clear" w:color="auto" w:fill="auto"/>
            <w:vAlign w:val="bottom"/>
          </w:tcPr>
          <w:p w:rsidR="00E33C62" w:rsidRPr="004550A3" w:rsidRDefault="00E33C62" w:rsidP="0086498C">
            <w:pPr>
              <w:numPr>
                <w:ilvl w:val="0"/>
                <w:numId w:val="11"/>
              </w:numPr>
              <w:spacing w:after="0" w:line="240" w:lineRule="auto"/>
              <w:rPr>
                <w:rFonts w:cs="Arial"/>
                <w:color w:val="000000"/>
                <w:sz w:val="18"/>
                <w:szCs w:val="18"/>
              </w:rPr>
            </w:pPr>
            <w:r w:rsidRPr="004550A3">
              <w:rPr>
                <w:rFonts w:cs="Arial"/>
                <w:color w:val="000000"/>
                <w:sz w:val="18"/>
                <w:szCs w:val="18"/>
              </w:rPr>
              <w:t>Instrument 3: investicije v razvoj</w:t>
            </w:r>
          </w:p>
        </w:tc>
        <w:tc>
          <w:tcPr>
            <w:tcW w:w="3119" w:type="dxa"/>
            <w:shd w:val="clear" w:color="auto" w:fill="auto"/>
          </w:tcPr>
          <w:p w:rsidR="00E33C62" w:rsidRPr="004550A3" w:rsidRDefault="00E33C62" w:rsidP="0086498C">
            <w:pPr>
              <w:spacing w:after="0" w:line="240" w:lineRule="auto"/>
              <w:jc w:val="center"/>
              <w:rPr>
                <w:sz w:val="18"/>
                <w:szCs w:val="18"/>
              </w:rPr>
            </w:pPr>
            <w:r w:rsidRPr="004550A3">
              <w:rPr>
                <w:sz w:val="18"/>
                <w:szCs w:val="18"/>
              </w:rPr>
              <w:t>MGRT</w:t>
            </w:r>
          </w:p>
        </w:tc>
        <w:tc>
          <w:tcPr>
            <w:tcW w:w="2599" w:type="dxa"/>
            <w:shd w:val="clear" w:color="auto" w:fill="auto"/>
          </w:tcPr>
          <w:p w:rsidR="00E33C62" w:rsidRPr="00A548F9" w:rsidRDefault="00E33C62" w:rsidP="0086498C">
            <w:pPr>
              <w:spacing w:after="0" w:line="240" w:lineRule="auto"/>
              <w:jc w:val="center"/>
              <w:rPr>
                <w:sz w:val="18"/>
                <w:szCs w:val="18"/>
              </w:rPr>
            </w:pPr>
            <w:r w:rsidRPr="00A548F9">
              <w:rPr>
                <w:sz w:val="18"/>
                <w:szCs w:val="18"/>
              </w:rPr>
              <w:t>instrument se izvaja</w:t>
            </w:r>
          </w:p>
        </w:tc>
      </w:tr>
      <w:tr w:rsidR="00E33C62" w:rsidRPr="004550A3" w:rsidTr="0086498C">
        <w:trPr>
          <w:trHeight w:val="259"/>
        </w:trPr>
        <w:tc>
          <w:tcPr>
            <w:tcW w:w="3510" w:type="dxa"/>
            <w:shd w:val="clear" w:color="auto" w:fill="auto"/>
            <w:vAlign w:val="bottom"/>
          </w:tcPr>
          <w:p w:rsidR="00E33C62" w:rsidRPr="004550A3" w:rsidRDefault="00E33C62" w:rsidP="0086498C">
            <w:pPr>
              <w:numPr>
                <w:ilvl w:val="0"/>
                <w:numId w:val="11"/>
              </w:numPr>
              <w:spacing w:after="0" w:line="240" w:lineRule="auto"/>
              <w:rPr>
                <w:rFonts w:cs="Arial"/>
                <w:color w:val="000000"/>
                <w:sz w:val="18"/>
                <w:szCs w:val="18"/>
              </w:rPr>
            </w:pPr>
            <w:r w:rsidRPr="004550A3">
              <w:rPr>
                <w:rFonts w:cs="Arial"/>
                <w:color w:val="000000"/>
                <w:sz w:val="18"/>
                <w:szCs w:val="18"/>
              </w:rPr>
              <w:t>Instrument 4: Radeče papir</w:t>
            </w:r>
          </w:p>
        </w:tc>
        <w:tc>
          <w:tcPr>
            <w:tcW w:w="3119" w:type="dxa"/>
            <w:shd w:val="clear" w:color="auto" w:fill="auto"/>
          </w:tcPr>
          <w:p w:rsidR="00E33C62" w:rsidRPr="004550A3" w:rsidRDefault="00E33C62" w:rsidP="0086498C">
            <w:pPr>
              <w:spacing w:after="0" w:line="240" w:lineRule="auto"/>
              <w:jc w:val="center"/>
              <w:rPr>
                <w:sz w:val="18"/>
                <w:szCs w:val="18"/>
              </w:rPr>
            </w:pPr>
            <w:r w:rsidRPr="004550A3">
              <w:rPr>
                <w:sz w:val="18"/>
                <w:szCs w:val="18"/>
              </w:rPr>
              <w:t>MGRT</w:t>
            </w:r>
          </w:p>
        </w:tc>
        <w:tc>
          <w:tcPr>
            <w:tcW w:w="2599" w:type="dxa"/>
            <w:shd w:val="clear" w:color="auto" w:fill="auto"/>
          </w:tcPr>
          <w:p w:rsidR="00E33C62" w:rsidRPr="00A548F9" w:rsidRDefault="00E33C62" w:rsidP="0086498C">
            <w:pPr>
              <w:spacing w:after="0" w:line="240" w:lineRule="auto"/>
              <w:jc w:val="center"/>
              <w:rPr>
                <w:sz w:val="18"/>
                <w:szCs w:val="18"/>
              </w:rPr>
            </w:pPr>
            <w:r w:rsidRPr="00A548F9">
              <w:rPr>
                <w:sz w:val="18"/>
                <w:szCs w:val="18"/>
              </w:rPr>
              <w:t>vloga je v fazi presoje</w:t>
            </w:r>
          </w:p>
        </w:tc>
      </w:tr>
      <w:tr w:rsidR="00E33C62" w:rsidRPr="004550A3" w:rsidTr="0086498C">
        <w:trPr>
          <w:trHeight w:val="244"/>
        </w:trPr>
        <w:tc>
          <w:tcPr>
            <w:tcW w:w="3510" w:type="dxa"/>
            <w:shd w:val="clear" w:color="auto" w:fill="auto"/>
            <w:vAlign w:val="bottom"/>
          </w:tcPr>
          <w:p w:rsidR="00E33C62" w:rsidRPr="004550A3" w:rsidRDefault="00E33C62" w:rsidP="0086498C">
            <w:pPr>
              <w:numPr>
                <w:ilvl w:val="0"/>
                <w:numId w:val="11"/>
              </w:numPr>
              <w:spacing w:after="0" w:line="240" w:lineRule="auto"/>
              <w:rPr>
                <w:rFonts w:cs="Arial"/>
                <w:color w:val="000000"/>
                <w:sz w:val="18"/>
                <w:szCs w:val="18"/>
              </w:rPr>
            </w:pPr>
            <w:r w:rsidRPr="004550A3">
              <w:rPr>
                <w:rFonts w:cs="Arial"/>
                <w:color w:val="000000"/>
                <w:sz w:val="18"/>
                <w:szCs w:val="18"/>
              </w:rPr>
              <w:t>Instrument 5: koordinacija, promocija in skrbnik programa</w:t>
            </w:r>
          </w:p>
        </w:tc>
        <w:tc>
          <w:tcPr>
            <w:tcW w:w="3119" w:type="dxa"/>
            <w:shd w:val="clear" w:color="auto" w:fill="auto"/>
          </w:tcPr>
          <w:p w:rsidR="00E33C62" w:rsidRPr="004550A3" w:rsidRDefault="00E33C62" w:rsidP="0086498C">
            <w:pPr>
              <w:spacing w:after="0" w:line="240" w:lineRule="auto"/>
              <w:jc w:val="center"/>
              <w:rPr>
                <w:sz w:val="18"/>
                <w:szCs w:val="18"/>
              </w:rPr>
            </w:pPr>
            <w:r w:rsidRPr="004550A3">
              <w:rPr>
                <w:sz w:val="18"/>
                <w:szCs w:val="18"/>
              </w:rPr>
              <w:t>MGRT v sodelovanju z RCR Zagorje in RRA Posavje</w:t>
            </w:r>
          </w:p>
        </w:tc>
        <w:tc>
          <w:tcPr>
            <w:tcW w:w="2599" w:type="dxa"/>
            <w:shd w:val="clear" w:color="auto" w:fill="auto"/>
          </w:tcPr>
          <w:p w:rsidR="00E33C62" w:rsidRPr="00A548F9" w:rsidRDefault="00E33C62" w:rsidP="0086498C">
            <w:pPr>
              <w:spacing w:after="0" w:line="240" w:lineRule="auto"/>
              <w:jc w:val="center"/>
              <w:rPr>
                <w:sz w:val="18"/>
                <w:szCs w:val="18"/>
              </w:rPr>
            </w:pPr>
            <w:r w:rsidRPr="00A548F9">
              <w:rPr>
                <w:rFonts w:cs="Arial"/>
                <w:sz w:val="18"/>
                <w:szCs w:val="18"/>
              </w:rPr>
              <w:t>instrument se izvaja</w:t>
            </w:r>
          </w:p>
        </w:tc>
      </w:tr>
      <w:tr w:rsidR="00E33C62" w:rsidRPr="004550A3" w:rsidTr="0086498C">
        <w:trPr>
          <w:trHeight w:val="273"/>
        </w:trPr>
        <w:tc>
          <w:tcPr>
            <w:tcW w:w="3510" w:type="dxa"/>
            <w:shd w:val="clear" w:color="auto" w:fill="auto"/>
          </w:tcPr>
          <w:p w:rsidR="00E33C62" w:rsidRPr="004550A3" w:rsidRDefault="00E33C62" w:rsidP="0086498C">
            <w:pPr>
              <w:numPr>
                <w:ilvl w:val="0"/>
                <w:numId w:val="10"/>
              </w:numPr>
              <w:spacing w:after="0" w:line="240" w:lineRule="auto"/>
              <w:ind w:left="357" w:hanging="357"/>
              <w:rPr>
                <w:sz w:val="18"/>
                <w:szCs w:val="18"/>
              </w:rPr>
            </w:pPr>
            <w:r w:rsidRPr="004550A3">
              <w:rPr>
                <w:rFonts w:cs="Arial"/>
                <w:b/>
                <w:iCs/>
                <w:sz w:val="18"/>
                <w:szCs w:val="18"/>
                <w:lang w:eastAsia="sl-SI"/>
              </w:rPr>
              <w:t xml:space="preserve">Ukrep 2: </w:t>
            </w:r>
            <w:r w:rsidRPr="004550A3">
              <w:rPr>
                <w:rFonts w:cs="Arial"/>
                <w:iCs/>
                <w:sz w:val="18"/>
                <w:szCs w:val="18"/>
                <w:lang w:eastAsia="sl-SI"/>
              </w:rPr>
              <w:t>povračilo plačanih prispevkov delodajalca za socialno varnost</w:t>
            </w:r>
          </w:p>
        </w:tc>
        <w:tc>
          <w:tcPr>
            <w:tcW w:w="3119" w:type="dxa"/>
            <w:shd w:val="clear" w:color="auto" w:fill="auto"/>
          </w:tcPr>
          <w:p w:rsidR="00E33C62" w:rsidRPr="004550A3" w:rsidRDefault="00E33C62" w:rsidP="0086498C">
            <w:pPr>
              <w:spacing w:after="0" w:line="240" w:lineRule="auto"/>
              <w:jc w:val="center"/>
              <w:rPr>
                <w:sz w:val="18"/>
                <w:szCs w:val="18"/>
              </w:rPr>
            </w:pPr>
            <w:r w:rsidRPr="004550A3">
              <w:rPr>
                <w:sz w:val="18"/>
                <w:szCs w:val="18"/>
              </w:rPr>
              <w:t>Ministrstvo za delo, družino, socialne zadeve in enake možnosti ter Zavod RS za zaposlovanje (OE Celje in OE Trbovlje)</w:t>
            </w:r>
          </w:p>
        </w:tc>
        <w:tc>
          <w:tcPr>
            <w:tcW w:w="2599" w:type="dxa"/>
            <w:shd w:val="clear" w:color="auto" w:fill="auto"/>
          </w:tcPr>
          <w:p w:rsidR="00E33C62" w:rsidRPr="00A548F9" w:rsidRDefault="00E33C62" w:rsidP="0086498C">
            <w:pPr>
              <w:spacing w:after="0" w:line="240" w:lineRule="auto"/>
              <w:jc w:val="center"/>
              <w:rPr>
                <w:sz w:val="18"/>
                <w:szCs w:val="18"/>
              </w:rPr>
            </w:pPr>
            <w:r w:rsidRPr="00A548F9">
              <w:rPr>
                <w:sz w:val="18"/>
                <w:szCs w:val="18"/>
                <w:lang w:eastAsia="sl-SI"/>
              </w:rPr>
              <w:t>ukrep se izvaja</w:t>
            </w:r>
          </w:p>
        </w:tc>
      </w:tr>
      <w:tr w:rsidR="00E33C62" w:rsidRPr="004550A3" w:rsidTr="0086498C">
        <w:trPr>
          <w:trHeight w:val="273"/>
        </w:trPr>
        <w:tc>
          <w:tcPr>
            <w:tcW w:w="3510" w:type="dxa"/>
            <w:shd w:val="clear" w:color="auto" w:fill="auto"/>
          </w:tcPr>
          <w:p w:rsidR="00E33C62" w:rsidRPr="004550A3" w:rsidRDefault="00E33C62" w:rsidP="0086498C">
            <w:pPr>
              <w:numPr>
                <w:ilvl w:val="0"/>
                <w:numId w:val="10"/>
              </w:numPr>
              <w:spacing w:after="0" w:line="240" w:lineRule="auto"/>
              <w:ind w:left="357" w:hanging="357"/>
              <w:rPr>
                <w:sz w:val="18"/>
                <w:szCs w:val="18"/>
              </w:rPr>
            </w:pPr>
            <w:r w:rsidRPr="004550A3">
              <w:rPr>
                <w:rFonts w:cs="Arial"/>
                <w:b/>
                <w:iCs/>
                <w:sz w:val="18"/>
                <w:szCs w:val="18"/>
                <w:lang w:eastAsia="sl-SI"/>
              </w:rPr>
              <w:t xml:space="preserve">Ukrep 3: </w:t>
            </w:r>
            <w:r w:rsidRPr="004550A3">
              <w:rPr>
                <w:rFonts w:cs="Arial"/>
                <w:iCs/>
                <w:sz w:val="18"/>
                <w:szCs w:val="18"/>
                <w:lang w:eastAsia="sl-SI"/>
              </w:rPr>
              <w:t>davčne olajšave za zaposlovanje in investiranje</w:t>
            </w:r>
          </w:p>
        </w:tc>
        <w:tc>
          <w:tcPr>
            <w:tcW w:w="3119" w:type="dxa"/>
            <w:shd w:val="clear" w:color="auto" w:fill="auto"/>
          </w:tcPr>
          <w:p w:rsidR="00E33C62" w:rsidRPr="004550A3" w:rsidRDefault="00E33C62" w:rsidP="0086498C">
            <w:pPr>
              <w:spacing w:after="0" w:line="240" w:lineRule="auto"/>
              <w:jc w:val="center"/>
              <w:rPr>
                <w:sz w:val="18"/>
                <w:szCs w:val="18"/>
              </w:rPr>
            </w:pPr>
            <w:r w:rsidRPr="004550A3">
              <w:rPr>
                <w:sz w:val="18"/>
                <w:szCs w:val="18"/>
              </w:rPr>
              <w:t>Finančna uprava RS, Davčni urad Celje in Davčni urad Hrastnik</w:t>
            </w:r>
          </w:p>
        </w:tc>
        <w:tc>
          <w:tcPr>
            <w:tcW w:w="2599" w:type="dxa"/>
            <w:shd w:val="clear" w:color="auto" w:fill="auto"/>
          </w:tcPr>
          <w:p w:rsidR="00E33C62" w:rsidRPr="00A548F9" w:rsidRDefault="00E33C62" w:rsidP="0086498C">
            <w:pPr>
              <w:spacing w:after="0" w:line="240" w:lineRule="auto"/>
              <w:jc w:val="center"/>
              <w:rPr>
                <w:sz w:val="18"/>
                <w:szCs w:val="18"/>
              </w:rPr>
            </w:pPr>
            <w:r w:rsidRPr="00A548F9">
              <w:rPr>
                <w:sz w:val="18"/>
                <w:szCs w:val="18"/>
                <w:lang w:eastAsia="sl-SI"/>
              </w:rPr>
              <w:t>ukrep se izvaja</w:t>
            </w:r>
          </w:p>
        </w:tc>
      </w:tr>
      <w:tr w:rsidR="00E33C62" w:rsidRPr="004550A3" w:rsidTr="0086498C">
        <w:trPr>
          <w:trHeight w:val="273"/>
        </w:trPr>
        <w:tc>
          <w:tcPr>
            <w:tcW w:w="3510" w:type="dxa"/>
            <w:shd w:val="clear" w:color="auto" w:fill="auto"/>
          </w:tcPr>
          <w:p w:rsidR="00E33C62" w:rsidRPr="004550A3" w:rsidRDefault="00E33C62" w:rsidP="0086498C">
            <w:pPr>
              <w:numPr>
                <w:ilvl w:val="0"/>
                <w:numId w:val="10"/>
              </w:numPr>
              <w:spacing w:after="0" w:line="240" w:lineRule="auto"/>
              <w:ind w:left="357" w:hanging="357"/>
              <w:rPr>
                <w:sz w:val="18"/>
                <w:szCs w:val="18"/>
              </w:rPr>
            </w:pPr>
            <w:r w:rsidRPr="004550A3">
              <w:rPr>
                <w:rFonts w:cs="Arial"/>
                <w:b/>
                <w:iCs/>
                <w:sz w:val="18"/>
                <w:szCs w:val="18"/>
                <w:lang w:eastAsia="sl-SI"/>
              </w:rPr>
              <w:t xml:space="preserve">Ukrep 4: </w:t>
            </w:r>
            <w:r w:rsidRPr="004550A3">
              <w:rPr>
                <w:rFonts w:cs="Arial"/>
                <w:iCs/>
                <w:sz w:val="18"/>
                <w:szCs w:val="18"/>
                <w:lang w:eastAsia="sl-SI"/>
              </w:rPr>
              <w:t>spodbude za trajnostni razvoj podeželja iz Programa razvoja podeželja 2014-2020</w:t>
            </w:r>
          </w:p>
        </w:tc>
        <w:tc>
          <w:tcPr>
            <w:tcW w:w="3119" w:type="dxa"/>
            <w:shd w:val="clear" w:color="auto" w:fill="auto"/>
          </w:tcPr>
          <w:p w:rsidR="00E33C62" w:rsidRPr="004550A3" w:rsidRDefault="00E33C62" w:rsidP="0086498C">
            <w:pPr>
              <w:spacing w:after="0" w:line="240" w:lineRule="auto"/>
              <w:jc w:val="center"/>
              <w:rPr>
                <w:sz w:val="18"/>
                <w:szCs w:val="18"/>
              </w:rPr>
            </w:pPr>
            <w:r w:rsidRPr="004550A3">
              <w:rPr>
                <w:rFonts w:cs="Arial"/>
                <w:iCs/>
                <w:sz w:val="18"/>
                <w:szCs w:val="18"/>
                <w:lang w:eastAsia="sl-SI"/>
              </w:rPr>
              <w:t>Ministrstva za kmetijstvo, gozdarstvo in prehrano</w:t>
            </w:r>
          </w:p>
        </w:tc>
        <w:tc>
          <w:tcPr>
            <w:tcW w:w="2599" w:type="dxa"/>
            <w:shd w:val="clear" w:color="auto" w:fill="auto"/>
          </w:tcPr>
          <w:p w:rsidR="00E33C62" w:rsidRPr="00A548F9" w:rsidRDefault="00E33C62" w:rsidP="0086498C">
            <w:pPr>
              <w:spacing w:after="0" w:line="240" w:lineRule="auto"/>
              <w:jc w:val="center"/>
              <w:rPr>
                <w:sz w:val="18"/>
                <w:szCs w:val="18"/>
              </w:rPr>
            </w:pPr>
            <w:r w:rsidRPr="00A548F9">
              <w:rPr>
                <w:sz w:val="18"/>
                <w:szCs w:val="18"/>
                <w:lang w:eastAsia="sl-SI"/>
              </w:rPr>
              <w:t>ukrep v fazi priprave</w:t>
            </w:r>
          </w:p>
        </w:tc>
      </w:tr>
      <w:tr w:rsidR="00E33C62" w:rsidRPr="004550A3" w:rsidTr="0086498C">
        <w:trPr>
          <w:trHeight w:val="273"/>
        </w:trPr>
        <w:tc>
          <w:tcPr>
            <w:tcW w:w="3510" w:type="dxa"/>
            <w:shd w:val="clear" w:color="auto" w:fill="auto"/>
          </w:tcPr>
          <w:p w:rsidR="00E33C62" w:rsidRPr="004550A3" w:rsidRDefault="00E33C62" w:rsidP="0086498C">
            <w:pPr>
              <w:numPr>
                <w:ilvl w:val="0"/>
                <w:numId w:val="10"/>
              </w:numPr>
              <w:spacing w:after="0" w:line="240" w:lineRule="auto"/>
              <w:ind w:left="357" w:hanging="357"/>
              <w:rPr>
                <w:sz w:val="18"/>
                <w:szCs w:val="18"/>
              </w:rPr>
            </w:pPr>
            <w:r w:rsidRPr="004550A3">
              <w:rPr>
                <w:rFonts w:cs="Arial"/>
                <w:b/>
                <w:iCs/>
                <w:sz w:val="18"/>
                <w:szCs w:val="18"/>
                <w:lang w:eastAsia="sl-SI"/>
              </w:rPr>
              <w:t xml:space="preserve">Ukrep 5: </w:t>
            </w:r>
            <w:r w:rsidRPr="004550A3">
              <w:rPr>
                <w:rFonts w:cs="Arial"/>
                <w:iCs/>
                <w:sz w:val="18"/>
                <w:szCs w:val="18"/>
                <w:lang w:eastAsia="sl-SI"/>
              </w:rPr>
              <w:t>prometna infrastruktura</w:t>
            </w:r>
          </w:p>
        </w:tc>
        <w:tc>
          <w:tcPr>
            <w:tcW w:w="3119" w:type="dxa"/>
            <w:shd w:val="clear" w:color="auto" w:fill="auto"/>
          </w:tcPr>
          <w:p w:rsidR="00E33C62" w:rsidRPr="004550A3" w:rsidRDefault="00E33C62" w:rsidP="0086498C">
            <w:pPr>
              <w:spacing w:after="0" w:line="240" w:lineRule="auto"/>
              <w:jc w:val="center"/>
              <w:rPr>
                <w:sz w:val="18"/>
                <w:szCs w:val="18"/>
              </w:rPr>
            </w:pPr>
            <w:r w:rsidRPr="004550A3">
              <w:rPr>
                <w:rFonts w:cs="Arial"/>
                <w:iCs/>
                <w:sz w:val="18"/>
                <w:szCs w:val="18"/>
                <w:lang w:eastAsia="sl-SI"/>
              </w:rPr>
              <w:t>Ministrstvo za infrastrukturo</w:t>
            </w:r>
          </w:p>
        </w:tc>
        <w:tc>
          <w:tcPr>
            <w:tcW w:w="2599" w:type="dxa"/>
            <w:shd w:val="clear" w:color="auto" w:fill="auto"/>
          </w:tcPr>
          <w:p w:rsidR="00E33C62" w:rsidRPr="00A548F9" w:rsidRDefault="00A548F9" w:rsidP="0086498C">
            <w:pPr>
              <w:spacing w:after="0" w:line="240" w:lineRule="auto"/>
              <w:jc w:val="center"/>
              <w:rPr>
                <w:sz w:val="18"/>
                <w:szCs w:val="18"/>
              </w:rPr>
            </w:pPr>
            <w:r w:rsidRPr="00A548F9">
              <w:rPr>
                <w:sz w:val="18"/>
                <w:szCs w:val="18"/>
                <w:lang w:eastAsia="sl-SI"/>
              </w:rPr>
              <w:t>Ukrep se ne izvaja</w:t>
            </w:r>
          </w:p>
        </w:tc>
      </w:tr>
      <w:tr w:rsidR="00E33C62" w:rsidRPr="004550A3" w:rsidTr="0086498C">
        <w:trPr>
          <w:trHeight w:val="273"/>
        </w:trPr>
        <w:tc>
          <w:tcPr>
            <w:tcW w:w="3510" w:type="dxa"/>
            <w:shd w:val="clear" w:color="auto" w:fill="auto"/>
          </w:tcPr>
          <w:p w:rsidR="00E33C62" w:rsidRPr="004550A3" w:rsidRDefault="00E33C62" w:rsidP="0086498C">
            <w:pPr>
              <w:numPr>
                <w:ilvl w:val="0"/>
                <w:numId w:val="10"/>
              </w:numPr>
              <w:spacing w:after="0" w:line="240" w:lineRule="auto"/>
              <w:ind w:left="357" w:hanging="357"/>
              <w:rPr>
                <w:sz w:val="18"/>
                <w:szCs w:val="18"/>
              </w:rPr>
            </w:pPr>
            <w:r w:rsidRPr="004550A3">
              <w:rPr>
                <w:rFonts w:cs="Arial"/>
                <w:b/>
                <w:iCs/>
                <w:sz w:val="18"/>
                <w:szCs w:val="18"/>
                <w:lang w:eastAsia="sl-SI"/>
              </w:rPr>
              <w:t xml:space="preserve">Ukrep 6: </w:t>
            </w:r>
            <w:r w:rsidRPr="004550A3">
              <w:rPr>
                <w:rFonts w:cs="Arial"/>
                <w:iCs/>
                <w:sz w:val="18"/>
                <w:szCs w:val="18"/>
                <w:lang w:eastAsia="sl-SI"/>
              </w:rPr>
              <w:t>energetska infrastruktura</w:t>
            </w:r>
          </w:p>
        </w:tc>
        <w:tc>
          <w:tcPr>
            <w:tcW w:w="3119" w:type="dxa"/>
            <w:shd w:val="clear" w:color="auto" w:fill="auto"/>
          </w:tcPr>
          <w:p w:rsidR="00E33C62" w:rsidRPr="004550A3" w:rsidRDefault="00E33C62" w:rsidP="0086498C">
            <w:pPr>
              <w:spacing w:after="0" w:line="240" w:lineRule="auto"/>
              <w:jc w:val="center"/>
              <w:rPr>
                <w:sz w:val="18"/>
                <w:szCs w:val="18"/>
              </w:rPr>
            </w:pPr>
            <w:r w:rsidRPr="004550A3">
              <w:rPr>
                <w:rFonts w:cs="Arial"/>
                <w:iCs/>
                <w:sz w:val="18"/>
                <w:szCs w:val="18"/>
                <w:lang w:eastAsia="sl-SI"/>
              </w:rPr>
              <w:t>Ministrstvo za infrastrukturo</w:t>
            </w:r>
          </w:p>
        </w:tc>
        <w:tc>
          <w:tcPr>
            <w:tcW w:w="2599" w:type="dxa"/>
            <w:shd w:val="clear" w:color="auto" w:fill="auto"/>
          </w:tcPr>
          <w:p w:rsidR="00E33C62" w:rsidRPr="00A548F9" w:rsidRDefault="00A548F9" w:rsidP="0086498C">
            <w:pPr>
              <w:spacing w:after="0" w:line="240" w:lineRule="auto"/>
              <w:jc w:val="center"/>
              <w:rPr>
                <w:sz w:val="18"/>
                <w:szCs w:val="18"/>
              </w:rPr>
            </w:pPr>
            <w:r w:rsidRPr="00A548F9">
              <w:rPr>
                <w:sz w:val="18"/>
                <w:szCs w:val="18"/>
              </w:rPr>
              <w:t>Ukrep ni več relevanten</w:t>
            </w:r>
          </w:p>
        </w:tc>
      </w:tr>
      <w:tr w:rsidR="00E33C62" w:rsidRPr="004550A3" w:rsidTr="0086498C">
        <w:trPr>
          <w:trHeight w:val="273"/>
        </w:trPr>
        <w:tc>
          <w:tcPr>
            <w:tcW w:w="3510" w:type="dxa"/>
            <w:shd w:val="clear" w:color="auto" w:fill="auto"/>
          </w:tcPr>
          <w:p w:rsidR="00E33C62" w:rsidRPr="004550A3" w:rsidRDefault="00E33C62" w:rsidP="0086498C">
            <w:pPr>
              <w:numPr>
                <w:ilvl w:val="0"/>
                <w:numId w:val="10"/>
              </w:numPr>
              <w:spacing w:after="0" w:line="240" w:lineRule="auto"/>
              <w:ind w:left="357" w:hanging="357"/>
              <w:rPr>
                <w:sz w:val="18"/>
                <w:szCs w:val="18"/>
              </w:rPr>
            </w:pPr>
            <w:r w:rsidRPr="004550A3">
              <w:rPr>
                <w:rFonts w:cs="Arial"/>
                <w:b/>
                <w:iCs/>
                <w:sz w:val="18"/>
                <w:szCs w:val="18"/>
                <w:lang w:eastAsia="sl-SI"/>
              </w:rPr>
              <w:t>Ukrep 7:</w:t>
            </w:r>
            <w:r w:rsidRPr="004550A3">
              <w:rPr>
                <w:rFonts w:cs="Arial"/>
                <w:iCs/>
                <w:sz w:val="18"/>
                <w:szCs w:val="18"/>
                <w:lang w:eastAsia="sl-SI"/>
              </w:rPr>
              <w:t xml:space="preserve"> seznanitev z urejanjem javne infrastrukture in prenosi državnega premoženja iz države na občine</w:t>
            </w:r>
          </w:p>
        </w:tc>
        <w:tc>
          <w:tcPr>
            <w:tcW w:w="3119" w:type="dxa"/>
            <w:shd w:val="clear" w:color="auto" w:fill="auto"/>
          </w:tcPr>
          <w:p w:rsidR="00E33C62" w:rsidRPr="004550A3" w:rsidRDefault="00E33C62" w:rsidP="0086498C">
            <w:pPr>
              <w:spacing w:after="0" w:line="240" w:lineRule="auto"/>
              <w:jc w:val="center"/>
              <w:rPr>
                <w:sz w:val="18"/>
                <w:szCs w:val="18"/>
              </w:rPr>
            </w:pPr>
            <w:r w:rsidRPr="004550A3">
              <w:rPr>
                <w:rFonts w:cs="Arial"/>
                <w:iCs/>
                <w:sz w:val="18"/>
                <w:szCs w:val="18"/>
                <w:lang w:eastAsia="sl-SI"/>
              </w:rPr>
              <w:t>občine Hrastnik, Radeče in Trbovlje</w:t>
            </w:r>
          </w:p>
        </w:tc>
        <w:tc>
          <w:tcPr>
            <w:tcW w:w="2599" w:type="dxa"/>
            <w:shd w:val="clear" w:color="auto" w:fill="auto"/>
          </w:tcPr>
          <w:p w:rsidR="00E33C62" w:rsidRPr="00A548F9" w:rsidRDefault="001300A1" w:rsidP="0086498C">
            <w:pPr>
              <w:spacing w:after="0" w:line="240" w:lineRule="auto"/>
              <w:jc w:val="center"/>
              <w:rPr>
                <w:sz w:val="18"/>
                <w:szCs w:val="18"/>
              </w:rPr>
            </w:pPr>
            <w:r w:rsidRPr="00A548F9">
              <w:rPr>
                <w:sz w:val="18"/>
                <w:szCs w:val="18"/>
                <w:lang w:eastAsia="sl-SI"/>
              </w:rPr>
              <w:t>u</w:t>
            </w:r>
            <w:r w:rsidR="00E33C62" w:rsidRPr="00A548F9">
              <w:rPr>
                <w:sz w:val="18"/>
                <w:szCs w:val="18"/>
                <w:lang w:eastAsia="sl-SI"/>
              </w:rPr>
              <w:t>krep</w:t>
            </w:r>
            <w:r w:rsidRPr="00A548F9">
              <w:rPr>
                <w:sz w:val="18"/>
                <w:szCs w:val="18"/>
                <w:lang w:eastAsia="sl-SI"/>
              </w:rPr>
              <w:t xml:space="preserve"> je</w:t>
            </w:r>
            <w:r w:rsidR="00E33C62" w:rsidRPr="00A548F9">
              <w:rPr>
                <w:sz w:val="18"/>
                <w:szCs w:val="18"/>
                <w:lang w:eastAsia="sl-SI"/>
              </w:rPr>
              <w:t xml:space="preserve"> v</w:t>
            </w:r>
            <w:r w:rsidRPr="00A548F9">
              <w:rPr>
                <w:sz w:val="18"/>
                <w:szCs w:val="18"/>
                <w:lang w:eastAsia="sl-SI"/>
              </w:rPr>
              <w:t xml:space="preserve"> fazi priprave</w:t>
            </w:r>
          </w:p>
        </w:tc>
      </w:tr>
    </w:tbl>
    <w:p w:rsidR="008246C8" w:rsidRDefault="008246C8" w:rsidP="00E33C62">
      <w:pPr>
        <w:spacing w:after="0" w:line="240" w:lineRule="auto"/>
      </w:pPr>
    </w:p>
    <w:p w:rsidR="00AC6409" w:rsidRDefault="00AC6409" w:rsidP="00E33C62">
      <w:pPr>
        <w:spacing w:after="0" w:line="240" w:lineRule="auto"/>
      </w:pPr>
    </w:p>
    <w:p w:rsidR="00AC6409" w:rsidRDefault="00AC6409" w:rsidP="00E33C62">
      <w:pPr>
        <w:spacing w:after="0" w:line="240" w:lineRule="auto"/>
      </w:pPr>
    </w:p>
    <w:p w:rsidR="00E33C62" w:rsidRPr="0086498C" w:rsidRDefault="00E33C62" w:rsidP="0086498C">
      <w:pPr>
        <w:pStyle w:val="Naslov1"/>
        <w:numPr>
          <w:ilvl w:val="0"/>
          <w:numId w:val="12"/>
        </w:numPr>
        <w:rPr>
          <w:rFonts w:ascii="Cambria" w:hAnsi="Cambria"/>
          <w:sz w:val="26"/>
          <w:szCs w:val="26"/>
        </w:rPr>
      </w:pPr>
      <w:r w:rsidRPr="0086498C">
        <w:rPr>
          <w:rFonts w:ascii="Cambria" w:hAnsi="Cambria"/>
          <w:sz w:val="26"/>
          <w:szCs w:val="26"/>
        </w:rPr>
        <w:t>Zakonske podlage</w:t>
      </w:r>
    </w:p>
    <w:p w:rsidR="00E33C62" w:rsidRDefault="00E33C62" w:rsidP="00E33C62">
      <w:pPr>
        <w:tabs>
          <w:tab w:val="left" w:pos="540"/>
          <w:tab w:val="left" w:pos="900"/>
        </w:tabs>
        <w:spacing w:after="0" w:line="240" w:lineRule="auto"/>
        <w:jc w:val="both"/>
        <w:rPr>
          <w:rFonts w:cs="Arial"/>
        </w:rPr>
      </w:pPr>
    </w:p>
    <w:p w:rsidR="00E33C62" w:rsidRPr="00955E15" w:rsidRDefault="00E33C62" w:rsidP="00E33C62">
      <w:pPr>
        <w:tabs>
          <w:tab w:val="left" w:pos="540"/>
          <w:tab w:val="left" w:pos="900"/>
        </w:tabs>
        <w:spacing w:after="0" w:line="240" w:lineRule="auto"/>
        <w:jc w:val="both"/>
        <w:rPr>
          <w:rFonts w:cs="Arial"/>
        </w:rPr>
      </w:pPr>
      <w:r w:rsidRPr="00955E15">
        <w:rPr>
          <w:rFonts w:cs="Arial"/>
        </w:rPr>
        <w:t xml:space="preserve">Zakonska podlaga za pripravo Programa spodbujanja konkurenčnosti in ukrepov razvojne podpore območju </w:t>
      </w:r>
      <w:r>
        <w:rPr>
          <w:rFonts w:cs="Arial"/>
        </w:rPr>
        <w:t>o</w:t>
      </w:r>
      <w:r w:rsidRPr="00955E15">
        <w:rPr>
          <w:rFonts w:cs="Arial"/>
        </w:rPr>
        <w:t xml:space="preserve">bčin Hrastnik, Radeče in Trbovlje (v nadaljnjem besedilu: </w:t>
      </w:r>
      <w:r>
        <w:rPr>
          <w:rFonts w:cs="Arial"/>
        </w:rPr>
        <w:t>p</w:t>
      </w:r>
      <w:r w:rsidRPr="00955E15">
        <w:rPr>
          <w:rFonts w:cs="Arial"/>
        </w:rPr>
        <w:t>rogram) je Zakon o spodbujanju skladnega regionalnega razvoja</w:t>
      </w:r>
      <w:r>
        <w:rPr>
          <w:rFonts w:cs="Arial"/>
        </w:rPr>
        <w:t>-ZSRR-2</w:t>
      </w:r>
      <w:r w:rsidRPr="00955E15">
        <w:rPr>
          <w:rFonts w:cs="Arial"/>
        </w:rPr>
        <w:t xml:space="preserve"> (Uradni list RS, št. 20/11, 57/12; </w:t>
      </w:r>
      <w:r>
        <w:rPr>
          <w:rFonts w:cs="Arial"/>
        </w:rPr>
        <w:t>zakon</w:t>
      </w:r>
      <w:r w:rsidRPr="00955E15">
        <w:rPr>
          <w:rFonts w:cs="Arial"/>
        </w:rPr>
        <w:t xml:space="preserve">), ki v 25., </w:t>
      </w:r>
      <w:smartTag w:uri="urn:schemas-microsoft-com:office:smarttags" w:element="metricconverter">
        <w:smartTagPr>
          <w:attr w:name="ProductID" w:val="27. in"/>
        </w:smartTagPr>
        <w:r w:rsidRPr="00955E15">
          <w:rPr>
            <w:rFonts w:cs="Arial"/>
          </w:rPr>
          <w:t>27. in</w:t>
        </w:r>
      </w:smartTag>
      <w:r w:rsidRPr="00955E15">
        <w:rPr>
          <w:rFonts w:cs="Arial"/>
        </w:rPr>
        <w:t xml:space="preserve"> 28. členu določa problemska območja z visoko brezposelnostjo. To so območja, na katerih se zaradi notranjih strukturnih problemov ali zunanjih vplivov gospodarske razmere tako poslabšajo, da stopnja registrirane brezposelnosti doseže kritično mejo. Problemska območja so deležna dodatnih začasnih ukrepov razvojne podpore, ki jih sp</w:t>
      </w:r>
      <w:r>
        <w:rPr>
          <w:rFonts w:cs="Arial"/>
        </w:rPr>
        <w:t>rejme Vlada Republike Slovenije.</w:t>
      </w:r>
    </w:p>
    <w:p w:rsidR="00E33C62" w:rsidRPr="00955E15" w:rsidRDefault="00E33C62" w:rsidP="00E33C62">
      <w:pPr>
        <w:tabs>
          <w:tab w:val="left" w:pos="540"/>
          <w:tab w:val="left" w:pos="900"/>
        </w:tabs>
        <w:spacing w:after="0" w:line="240" w:lineRule="auto"/>
        <w:jc w:val="both"/>
        <w:rPr>
          <w:rFonts w:cs="Arial"/>
        </w:rPr>
      </w:pPr>
    </w:p>
    <w:p w:rsidR="00E33C62" w:rsidRPr="004550A3" w:rsidRDefault="00E33C62" w:rsidP="00E33C62">
      <w:pPr>
        <w:tabs>
          <w:tab w:val="left" w:pos="540"/>
          <w:tab w:val="left" w:pos="900"/>
        </w:tabs>
        <w:spacing w:after="0" w:line="240" w:lineRule="auto"/>
        <w:jc w:val="both"/>
        <w:rPr>
          <w:rFonts w:cs="Arial"/>
        </w:rPr>
      </w:pPr>
      <w:r w:rsidRPr="004550A3">
        <w:rPr>
          <w:rFonts w:cs="Arial"/>
        </w:rPr>
        <w:t xml:space="preserve">Podrobneje so način odkrivanja območij in dodatni začasni ukrepi razvojne podpore določeni v 8. do 10. členu Uredbe o izvajanju ukrepov endogene regionalne politike (Uradni list RS, št. 16/13; v </w:t>
      </w:r>
      <w:r w:rsidRPr="004550A3">
        <w:rPr>
          <w:rFonts w:cs="Arial"/>
        </w:rPr>
        <w:lastRenderedPageBreak/>
        <w:t xml:space="preserve">nadaljnjem besedilu: uredba). Poslabšanje gospodarskih razmer na območju ugotavlja ministrstvo na ravni upravnih enot. </w:t>
      </w:r>
      <w:r w:rsidRPr="004550A3">
        <w:rPr>
          <w:rFonts w:cs="Arial"/>
          <w:b/>
        </w:rPr>
        <w:t xml:space="preserve">Šteje se, da so se gospodarske razmere na določenem območju poslabšale do stopnje, ko registrirana brezposelnost doseže kritično mejo, če je stopnja registrirane brezposelnosti v upravni enoti najmanj tri zaporedne mesece 17,0-odstotna ali višja. </w:t>
      </w:r>
      <w:r w:rsidRPr="004550A3">
        <w:rPr>
          <w:rFonts w:cs="Arial"/>
        </w:rPr>
        <w:t xml:space="preserve">Problemsko območje z visoko brezposelnostjo se lahko določi ožje ali širše od območja upravne enote, v kateri je stopnja brezposelnosti presegla kritično mejo, mora pa biti strnjeno območje enega ali več naselij, na katerem živi najmanj 20 000 prebivalcev. Na podlagi strokovne analize razvojnih problemov ga določi vlada s sklepom, ki ga objavi v Uradnem listu Republike Slovenije. Strokovno analizo razvojnih problemov pripravi ministrstvo v sodelovanju z regionalno razvojno agencijo in razvojnimi institucijami, ki delujejo na območju. </w:t>
      </w:r>
    </w:p>
    <w:p w:rsidR="00E33C62" w:rsidRDefault="00E33C62" w:rsidP="00E33C62">
      <w:pPr>
        <w:spacing w:after="0" w:line="240" w:lineRule="auto"/>
        <w:jc w:val="both"/>
        <w:rPr>
          <w:rFonts w:cs="Arial"/>
        </w:rPr>
      </w:pPr>
    </w:p>
    <w:p w:rsidR="00E33C62" w:rsidRDefault="00E33C62" w:rsidP="00E33C62">
      <w:pPr>
        <w:spacing w:after="0" w:line="240" w:lineRule="auto"/>
        <w:jc w:val="both"/>
        <w:rPr>
          <w:rFonts w:cs="Arial"/>
        </w:rPr>
      </w:pPr>
      <w:r w:rsidRPr="00955E15">
        <w:rPr>
          <w:rFonts w:cs="Arial"/>
        </w:rPr>
        <w:t>Skupaj s programom sprejme vlada tudi druge dodatne začasne ukrepe razvojne podpore z okvirnim finančnim in časovnim ovrednotenjem, ki so nujni za odpravo ključnih razvojnih ovir in razvojno aktiviranje območja na podlagi njegovih primerjalnih prednosti. Financirajo jih pristojna ministrstva iz svojih proračunskih postavk. Sprejmejo se ukrepi, ki so sklenjena celota s programom in so nujno potrebni za doseganje zastavljenih ciljev</w:t>
      </w:r>
      <w:r>
        <w:rPr>
          <w:rFonts w:cs="Arial"/>
        </w:rPr>
        <w:t>.</w:t>
      </w:r>
    </w:p>
    <w:p w:rsidR="00E33C62" w:rsidRDefault="00E33C62" w:rsidP="00E33C62">
      <w:pPr>
        <w:spacing w:after="0" w:line="240" w:lineRule="auto"/>
        <w:rPr>
          <w:rFonts w:cs="Arial"/>
        </w:rPr>
      </w:pPr>
    </w:p>
    <w:p w:rsidR="00E33C62" w:rsidRDefault="00E33C62" w:rsidP="00E33C62">
      <w:pPr>
        <w:spacing w:after="0" w:line="240" w:lineRule="auto"/>
        <w:rPr>
          <w:rFonts w:cs="Arial"/>
        </w:rPr>
      </w:pPr>
    </w:p>
    <w:p w:rsidR="00E33C62" w:rsidRPr="0086498C" w:rsidRDefault="00E33C62" w:rsidP="0086498C">
      <w:pPr>
        <w:pStyle w:val="Naslov1"/>
        <w:numPr>
          <w:ilvl w:val="0"/>
          <w:numId w:val="12"/>
        </w:numPr>
        <w:rPr>
          <w:rFonts w:ascii="Cambria" w:hAnsi="Cambria"/>
          <w:sz w:val="26"/>
          <w:szCs w:val="26"/>
        </w:rPr>
      </w:pPr>
      <w:r w:rsidRPr="0086498C">
        <w:rPr>
          <w:rFonts w:ascii="Cambria" w:hAnsi="Cambria"/>
          <w:sz w:val="26"/>
          <w:szCs w:val="26"/>
        </w:rPr>
        <w:t>Sklep Vlade RS</w:t>
      </w:r>
    </w:p>
    <w:p w:rsidR="00E33C62" w:rsidRDefault="00E33C62" w:rsidP="00E33C62">
      <w:pPr>
        <w:spacing w:after="0" w:line="240" w:lineRule="auto"/>
      </w:pPr>
    </w:p>
    <w:p w:rsidR="00E33C62" w:rsidRPr="00936F08" w:rsidRDefault="00E33C62" w:rsidP="00E33C62">
      <w:pPr>
        <w:tabs>
          <w:tab w:val="left" w:pos="0"/>
        </w:tabs>
        <w:spacing w:after="0" w:line="240" w:lineRule="auto"/>
        <w:jc w:val="both"/>
        <w:rPr>
          <w:rFonts w:cs="Arial"/>
        </w:rPr>
      </w:pPr>
      <w:r w:rsidRPr="00936F08">
        <w:rPr>
          <w:rFonts w:cs="Arial"/>
        </w:rPr>
        <w:t>Vlada RS je tako sprejela sklep o dodatnih začasnih ukrepih razvojne podpore za problemsko območje z visoko brezposelnostjo območje občin Hrastnik, Radeče, Trbovlje in izvajanje Programa spodbujanja konkurenčnosti in ukrepov razvojne podpore območju občin Hrastnik, Radeče, Trbovlje, na 19. redni seji dne 25.7.2013 (sklep Vlade št. 00726-19/2013/7).</w:t>
      </w:r>
    </w:p>
    <w:p w:rsidR="00E33C62" w:rsidRPr="00936F08" w:rsidRDefault="00E33C62" w:rsidP="00E33C62">
      <w:pPr>
        <w:tabs>
          <w:tab w:val="left" w:pos="0"/>
        </w:tabs>
        <w:spacing w:after="0" w:line="240" w:lineRule="auto"/>
        <w:jc w:val="both"/>
        <w:rPr>
          <w:rFonts w:cs="Arial"/>
        </w:rPr>
      </w:pPr>
    </w:p>
    <w:p w:rsidR="00E33C62" w:rsidRPr="0060073E" w:rsidRDefault="00E33C62" w:rsidP="0086498C">
      <w:pPr>
        <w:numPr>
          <w:ilvl w:val="0"/>
          <w:numId w:val="8"/>
        </w:numPr>
        <w:spacing w:after="0" w:line="240" w:lineRule="auto"/>
        <w:jc w:val="both"/>
        <w:rPr>
          <w:rFonts w:cs="Arial"/>
        </w:rPr>
      </w:pPr>
      <w:r w:rsidRPr="00936F08">
        <w:rPr>
          <w:rFonts w:cs="Arial"/>
        </w:rPr>
        <w:t xml:space="preserve">Poleg instrumentov opredeljenih v samem </w:t>
      </w:r>
      <w:r w:rsidRPr="00936F08">
        <w:rPr>
          <w:rFonts w:cs="Arial"/>
          <w:b/>
        </w:rPr>
        <w:t>Programu spodbujanja konkurenčnosti in ukrepov razvojne podpore za območje občin Hrastnik, Radeče in Trbovlje v obdobju 2013–2018</w:t>
      </w:r>
      <w:r w:rsidRPr="00936F08">
        <w:rPr>
          <w:rFonts w:cs="Arial"/>
        </w:rPr>
        <w:t xml:space="preserve"> (p</w:t>
      </w:r>
      <w:r w:rsidRPr="00936F08">
        <w:rPr>
          <w:rFonts w:cs="Arial"/>
          <w:bCs/>
        </w:rPr>
        <w:t xml:space="preserve">odjetno v svet podjetništva HRT, finančne spodbude za novonastala podjetja, investicije v razvoj: MSP in velika podjetja, program Radeče papir in </w:t>
      </w:r>
      <w:r w:rsidRPr="00936F08">
        <w:rPr>
          <w:rFonts w:cs="Arial"/>
          <w:bCs/>
          <w:color w:val="000000"/>
        </w:rPr>
        <w:t>koordinacija,</w:t>
      </w:r>
      <w:r w:rsidRPr="00936F08">
        <w:rPr>
          <w:rFonts w:cs="Arial"/>
          <w:bCs/>
        </w:rPr>
        <w:t xml:space="preserve"> promocija in skrbnik programa) </w:t>
      </w:r>
      <w:r w:rsidRPr="0060073E">
        <w:rPr>
          <w:rFonts w:cs="Arial"/>
        </w:rPr>
        <w:t>so predvideni tudi naslednji ukrepi:</w:t>
      </w:r>
    </w:p>
    <w:p w:rsidR="00E33C62" w:rsidRPr="00936F08" w:rsidRDefault="00E33C62" w:rsidP="0086498C">
      <w:pPr>
        <w:numPr>
          <w:ilvl w:val="0"/>
          <w:numId w:val="8"/>
        </w:numPr>
        <w:spacing w:after="0" w:line="240" w:lineRule="auto"/>
        <w:jc w:val="both"/>
        <w:rPr>
          <w:rFonts w:cs="Arial"/>
          <w:b/>
          <w:iCs/>
          <w:lang w:eastAsia="sl-SI"/>
        </w:rPr>
      </w:pPr>
      <w:r>
        <w:rPr>
          <w:rFonts w:cs="Arial"/>
          <w:b/>
          <w:iCs/>
          <w:lang w:eastAsia="sl-SI"/>
        </w:rPr>
        <w:t>u</w:t>
      </w:r>
      <w:r w:rsidRPr="00936F08">
        <w:rPr>
          <w:rFonts w:cs="Arial"/>
          <w:b/>
          <w:iCs/>
          <w:lang w:eastAsia="sl-SI"/>
        </w:rPr>
        <w:t xml:space="preserve">krep 2: </w:t>
      </w:r>
      <w:r w:rsidRPr="00936F08">
        <w:rPr>
          <w:rFonts w:cs="Arial"/>
          <w:iCs/>
          <w:lang w:eastAsia="sl-SI"/>
        </w:rPr>
        <w:t xml:space="preserve">povračilo plačanih prispevkov delodajalca za socialno varnost na podlagi 27. </w:t>
      </w:r>
      <w:r>
        <w:rPr>
          <w:rFonts w:cs="Arial"/>
          <w:iCs/>
          <w:lang w:eastAsia="sl-SI"/>
        </w:rPr>
        <w:t>č</w:t>
      </w:r>
      <w:r w:rsidRPr="00936F08">
        <w:rPr>
          <w:rFonts w:cs="Arial"/>
          <w:iCs/>
          <w:lang w:eastAsia="sl-SI"/>
        </w:rPr>
        <w:t>lena</w:t>
      </w:r>
      <w:r>
        <w:rPr>
          <w:rFonts w:cs="Arial"/>
          <w:iCs/>
          <w:lang w:eastAsia="sl-SI"/>
        </w:rPr>
        <w:t xml:space="preserve"> ZSRR-2</w:t>
      </w:r>
      <w:r w:rsidRPr="00936F08">
        <w:rPr>
          <w:rFonts w:cs="Arial"/>
          <w:iCs/>
          <w:lang w:eastAsia="sl-SI"/>
        </w:rPr>
        <w:t xml:space="preserve">, ki ga izvede Ministrstvo za delo, družino, socialne zadeve in enake možnosti oz. Zavod </w:t>
      </w:r>
      <w:r>
        <w:rPr>
          <w:rFonts w:cs="Arial"/>
          <w:iCs/>
          <w:lang w:eastAsia="sl-SI"/>
        </w:rPr>
        <w:t xml:space="preserve">RS </w:t>
      </w:r>
      <w:r w:rsidRPr="00936F08">
        <w:rPr>
          <w:rFonts w:cs="Arial"/>
          <w:iCs/>
          <w:lang w:eastAsia="sl-SI"/>
        </w:rPr>
        <w:t>za zaposlovanje;</w:t>
      </w:r>
    </w:p>
    <w:p w:rsidR="00E33C62" w:rsidRPr="00936F08" w:rsidRDefault="00E33C62" w:rsidP="0086498C">
      <w:pPr>
        <w:numPr>
          <w:ilvl w:val="0"/>
          <w:numId w:val="8"/>
        </w:numPr>
        <w:spacing w:after="0" w:line="240" w:lineRule="auto"/>
        <w:jc w:val="both"/>
        <w:rPr>
          <w:rFonts w:cs="Arial"/>
          <w:iCs/>
          <w:lang w:eastAsia="sl-SI"/>
        </w:rPr>
      </w:pPr>
      <w:r>
        <w:rPr>
          <w:rFonts w:cs="Arial"/>
          <w:b/>
          <w:iCs/>
          <w:lang w:eastAsia="sl-SI"/>
        </w:rPr>
        <w:t>u</w:t>
      </w:r>
      <w:r w:rsidRPr="00936F08">
        <w:rPr>
          <w:rFonts w:cs="Arial"/>
          <w:b/>
          <w:iCs/>
          <w:lang w:eastAsia="sl-SI"/>
        </w:rPr>
        <w:t xml:space="preserve">krep 3: </w:t>
      </w:r>
      <w:r w:rsidRPr="00936F08">
        <w:rPr>
          <w:rFonts w:cs="Arial"/>
          <w:iCs/>
          <w:lang w:eastAsia="sl-SI"/>
        </w:rPr>
        <w:t xml:space="preserve">davčne olajšave za zaposlovanje in investiranje na podlagi 28. člena </w:t>
      </w:r>
      <w:r>
        <w:rPr>
          <w:rFonts w:cs="Arial"/>
          <w:iCs/>
          <w:lang w:eastAsia="sl-SI"/>
        </w:rPr>
        <w:t>ZSRR-2</w:t>
      </w:r>
      <w:r w:rsidRPr="00936F08">
        <w:rPr>
          <w:rFonts w:cs="Arial"/>
          <w:iCs/>
          <w:lang w:eastAsia="sl-SI"/>
        </w:rPr>
        <w:t>, izvedba je v pristojnosti (sedanje) Finančne uprave Republike Slovenije;</w:t>
      </w:r>
    </w:p>
    <w:p w:rsidR="00E33C62" w:rsidRPr="00936F08" w:rsidRDefault="00E33C62" w:rsidP="0086498C">
      <w:pPr>
        <w:numPr>
          <w:ilvl w:val="0"/>
          <w:numId w:val="8"/>
        </w:numPr>
        <w:spacing w:after="0" w:line="240" w:lineRule="auto"/>
        <w:jc w:val="both"/>
        <w:rPr>
          <w:rFonts w:cs="Arial"/>
          <w:iCs/>
          <w:lang w:eastAsia="sl-SI"/>
        </w:rPr>
      </w:pPr>
      <w:r>
        <w:rPr>
          <w:rFonts w:cs="Arial"/>
          <w:b/>
          <w:iCs/>
          <w:lang w:eastAsia="sl-SI"/>
        </w:rPr>
        <w:t>u</w:t>
      </w:r>
      <w:r w:rsidRPr="00936F08">
        <w:rPr>
          <w:rFonts w:cs="Arial"/>
          <w:b/>
          <w:iCs/>
          <w:lang w:eastAsia="sl-SI"/>
        </w:rPr>
        <w:t xml:space="preserve">krep 4: </w:t>
      </w:r>
      <w:r w:rsidRPr="00936F08">
        <w:rPr>
          <w:rFonts w:cs="Arial"/>
          <w:iCs/>
          <w:lang w:eastAsia="sl-SI"/>
        </w:rPr>
        <w:t>spodbude za trajnostni razvoj podeželja iz Programa razvoja podeželja 2014-2020, izvedba</w:t>
      </w:r>
      <w:r w:rsidRPr="00936F08" w:rsidDel="00047B99">
        <w:rPr>
          <w:rFonts w:cs="Arial"/>
          <w:iCs/>
          <w:lang w:eastAsia="sl-SI"/>
        </w:rPr>
        <w:t xml:space="preserve"> </w:t>
      </w:r>
      <w:r w:rsidRPr="00936F08">
        <w:rPr>
          <w:rFonts w:cs="Arial"/>
          <w:iCs/>
          <w:lang w:eastAsia="sl-SI"/>
        </w:rPr>
        <w:t>v pristojnosti (sedanjega) Ministrstva za kmetijstvo, gozdarstvo in prehrano;</w:t>
      </w:r>
    </w:p>
    <w:p w:rsidR="00E33C62" w:rsidRPr="00936F08" w:rsidRDefault="00E33C62" w:rsidP="0086498C">
      <w:pPr>
        <w:numPr>
          <w:ilvl w:val="0"/>
          <w:numId w:val="8"/>
        </w:numPr>
        <w:spacing w:after="0" w:line="240" w:lineRule="auto"/>
        <w:jc w:val="both"/>
        <w:rPr>
          <w:rFonts w:cs="Arial"/>
          <w:b/>
          <w:iCs/>
          <w:lang w:eastAsia="sl-SI"/>
        </w:rPr>
      </w:pPr>
      <w:r>
        <w:rPr>
          <w:rFonts w:cs="Arial"/>
          <w:b/>
          <w:iCs/>
          <w:lang w:eastAsia="sl-SI"/>
        </w:rPr>
        <w:t>u</w:t>
      </w:r>
      <w:r w:rsidRPr="00936F08">
        <w:rPr>
          <w:rFonts w:cs="Arial"/>
          <w:b/>
          <w:iCs/>
          <w:lang w:eastAsia="sl-SI"/>
        </w:rPr>
        <w:t xml:space="preserve">krep 5: </w:t>
      </w:r>
      <w:r w:rsidRPr="00936F08">
        <w:rPr>
          <w:rFonts w:cs="Arial"/>
          <w:iCs/>
          <w:lang w:eastAsia="sl-SI"/>
        </w:rPr>
        <w:t>prometna infrastruktura, izvedba (sedanje) Ministrstvo za infrastrukturo;</w:t>
      </w:r>
    </w:p>
    <w:p w:rsidR="00E33C62" w:rsidRPr="00936F08" w:rsidRDefault="00E33C62" w:rsidP="0086498C">
      <w:pPr>
        <w:numPr>
          <w:ilvl w:val="0"/>
          <w:numId w:val="8"/>
        </w:numPr>
        <w:spacing w:after="0" w:line="240" w:lineRule="auto"/>
        <w:jc w:val="both"/>
        <w:rPr>
          <w:rFonts w:cs="Arial"/>
          <w:b/>
          <w:iCs/>
          <w:lang w:eastAsia="sl-SI"/>
        </w:rPr>
      </w:pPr>
      <w:r>
        <w:rPr>
          <w:rFonts w:cs="Arial"/>
          <w:b/>
          <w:iCs/>
          <w:lang w:eastAsia="sl-SI"/>
        </w:rPr>
        <w:t>u</w:t>
      </w:r>
      <w:r w:rsidRPr="00936F08">
        <w:rPr>
          <w:rFonts w:cs="Arial"/>
          <w:b/>
          <w:iCs/>
          <w:lang w:eastAsia="sl-SI"/>
        </w:rPr>
        <w:t xml:space="preserve">krep 6: </w:t>
      </w:r>
      <w:r w:rsidRPr="00936F08">
        <w:rPr>
          <w:rFonts w:cs="Arial"/>
          <w:iCs/>
          <w:lang w:eastAsia="sl-SI"/>
        </w:rPr>
        <w:t>energetska infrastruktura, izvedba v pristojnosti (sedanje)  Ministrstvo za infrastrukturo ( v zvezi s tem je Vlada naložila ministru, pristojnemu za infrastrukturo in prostor, da do 31.7.2013 imenuje delovno skupino, ki bo v pomoč Vladi republike Slovenije pri odločanju o prestrukturiranju energetike v Zasavju, in da se do 31.12.2013 pripravi predlog srednje- in dolgoročnega načrta o prestrukturiranju energetike v Zasavju);</w:t>
      </w:r>
    </w:p>
    <w:p w:rsidR="00E33C62" w:rsidRPr="00936F08" w:rsidRDefault="00E33C62" w:rsidP="0086498C">
      <w:pPr>
        <w:numPr>
          <w:ilvl w:val="0"/>
          <w:numId w:val="8"/>
        </w:numPr>
        <w:spacing w:after="0" w:line="240" w:lineRule="auto"/>
        <w:jc w:val="both"/>
        <w:rPr>
          <w:rFonts w:cs="Arial"/>
          <w:iCs/>
          <w:lang w:eastAsia="sl-SI"/>
        </w:rPr>
      </w:pPr>
      <w:r>
        <w:rPr>
          <w:rFonts w:cs="Arial"/>
          <w:b/>
          <w:iCs/>
          <w:lang w:eastAsia="sl-SI"/>
        </w:rPr>
        <w:t>u</w:t>
      </w:r>
      <w:r w:rsidRPr="00936F08">
        <w:rPr>
          <w:rFonts w:cs="Arial"/>
          <w:b/>
          <w:iCs/>
          <w:lang w:eastAsia="sl-SI"/>
        </w:rPr>
        <w:t>krep 7:</w:t>
      </w:r>
      <w:r w:rsidRPr="00936F08">
        <w:rPr>
          <w:rFonts w:cs="Arial"/>
          <w:iCs/>
          <w:lang w:eastAsia="sl-SI"/>
        </w:rPr>
        <w:t xml:space="preserve"> seznanitev z urejanjem javne infrastrukture in prenosi državnega premoženja iz države na občine, izvedba v pristojnosti občin Hrastnik, Radeče in Trbovlje.</w:t>
      </w:r>
    </w:p>
    <w:p w:rsidR="00E33C62" w:rsidRDefault="00E33C62" w:rsidP="00E33C62">
      <w:pPr>
        <w:spacing w:after="0" w:line="240" w:lineRule="auto"/>
      </w:pPr>
    </w:p>
    <w:p w:rsidR="00E33C62" w:rsidRPr="002617B7" w:rsidRDefault="00E33C62" w:rsidP="00E33C62">
      <w:pPr>
        <w:spacing w:after="0" w:line="240" w:lineRule="auto"/>
        <w:rPr>
          <w:b/>
        </w:rPr>
      </w:pPr>
      <w:r w:rsidRPr="002617B7">
        <w:rPr>
          <w:b/>
        </w:rPr>
        <w:t xml:space="preserve">Tabela 1: </w:t>
      </w:r>
      <w:r w:rsidRPr="002617B7">
        <w:rPr>
          <w:rFonts w:cs="Arial"/>
          <w:b/>
        </w:rPr>
        <w:t>Finančna konstrukcija programa kot je bil sprejet na seji Vlade dne 25.7.2013</w:t>
      </w:r>
    </w:p>
    <w:tbl>
      <w:tblPr>
        <w:tblW w:w="9539" w:type="dxa"/>
        <w:tblInd w:w="55" w:type="dxa"/>
        <w:tblLayout w:type="fixed"/>
        <w:tblCellMar>
          <w:left w:w="70" w:type="dxa"/>
          <w:right w:w="70" w:type="dxa"/>
        </w:tblCellMar>
        <w:tblLook w:val="0000" w:firstRow="0" w:lastRow="0" w:firstColumn="0" w:lastColumn="0" w:noHBand="0" w:noVBand="0"/>
      </w:tblPr>
      <w:tblGrid>
        <w:gridCol w:w="1433"/>
        <w:gridCol w:w="1134"/>
        <w:gridCol w:w="1134"/>
        <w:gridCol w:w="1077"/>
        <w:gridCol w:w="1080"/>
        <w:gridCol w:w="1060"/>
        <w:gridCol w:w="1280"/>
        <w:gridCol w:w="1341"/>
      </w:tblGrid>
      <w:tr w:rsidR="00E33C62" w:rsidRPr="004550A3" w:rsidTr="0086498C">
        <w:trPr>
          <w:trHeight w:val="2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3C62" w:rsidRPr="004550A3" w:rsidRDefault="00E33C62" w:rsidP="0086498C">
            <w:pPr>
              <w:spacing w:after="0" w:line="240" w:lineRule="auto"/>
              <w:rPr>
                <w:rFonts w:cs="Arial"/>
                <w:b/>
                <w:color w:val="000000"/>
                <w:sz w:val="16"/>
                <w:szCs w:val="16"/>
              </w:rPr>
            </w:pPr>
            <w:r w:rsidRPr="004550A3">
              <w:rPr>
                <w:rFonts w:cs="Arial"/>
                <w:b/>
                <w:color w:val="000000"/>
                <w:sz w:val="16"/>
                <w:szCs w:val="16"/>
              </w:rPr>
              <w:t>Instrument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E33C62" w:rsidRPr="004550A3" w:rsidRDefault="00E33C62" w:rsidP="0086498C">
            <w:pPr>
              <w:spacing w:after="0" w:line="240" w:lineRule="auto"/>
              <w:jc w:val="right"/>
              <w:rPr>
                <w:rFonts w:cs="Arial"/>
                <w:b/>
                <w:color w:val="000000"/>
                <w:sz w:val="16"/>
                <w:szCs w:val="16"/>
              </w:rPr>
            </w:pPr>
            <w:r w:rsidRPr="004550A3">
              <w:rPr>
                <w:rFonts w:cs="Arial"/>
                <w:b/>
                <w:color w:val="000000"/>
                <w:sz w:val="16"/>
                <w:szCs w:val="16"/>
              </w:rPr>
              <w:t>2013</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E33C62" w:rsidRPr="004550A3" w:rsidRDefault="00E33C62" w:rsidP="0086498C">
            <w:pPr>
              <w:spacing w:after="0" w:line="240" w:lineRule="auto"/>
              <w:jc w:val="right"/>
              <w:rPr>
                <w:rFonts w:cs="Arial"/>
                <w:b/>
                <w:color w:val="000000"/>
                <w:sz w:val="16"/>
                <w:szCs w:val="16"/>
              </w:rPr>
            </w:pPr>
            <w:r w:rsidRPr="004550A3">
              <w:rPr>
                <w:rFonts w:cs="Arial"/>
                <w:b/>
                <w:color w:val="000000"/>
                <w:sz w:val="16"/>
                <w:szCs w:val="16"/>
              </w:rPr>
              <w:t>2014</w:t>
            </w:r>
          </w:p>
        </w:tc>
        <w:tc>
          <w:tcPr>
            <w:tcW w:w="1077" w:type="dxa"/>
            <w:tcBorders>
              <w:top w:val="single" w:sz="4" w:space="0" w:color="auto"/>
              <w:left w:val="nil"/>
              <w:bottom w:val="single" w:sz="4" w:space="0" w:color="auto"/>
              <w:right w:val="single" w:sz="4" w:space="0" w:color="auto"/>
            </w:tcBorders>
            <w:shd w:val="clear" w:color="auto" w:fill="auto"/>
            <w:noWrap/>
            <w:vAlign w:val="bottom"/>
          </w:tcPr>
          <w:p w:rsidR="00E33C62" w:rsidRPr="004550A3" w:rsidRDefault="00E33C62" w:rsidP="0086498C">
            <w:pPr>
              <w:spacing w:after="0" w:line="240" w:lineRule="auto"/>
              <w:jc w:val="right"/>
              <w:rPr>
                <w:rFonts w:cs="Arial"/>
                <w:b/>
                <w:color w:val="000000"/>
                <w:sz w:val="16"/>
                <w:szCs w:val="16"/>
              </w:rPr>
            </w:pPr>
            <w:r w:rsidRPr="004550A3">
              <w:rPr>
                <w:rFonts w:cs="Arial"/>
                <w:b/>
                <w:color w:val="000000"/>
                <w:sz w:val="16"/>
                <w:szCs w:val="16"/>
              </w:rPr>
              <w:t>2015</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E33C62" w:rsidRPr="004550A3" w:rsidRDefault="00E33C62" w:rsidP="0086498C">
            <w:pPr>
              <w:spacing w:after="0" w:line="240" w:lineRule="auto"/>
              <w:jc w:val="right"/>
              <w:rPr>
                <w:rFonts w:cs="Arial"/>
                <w:b/>
                <w:color w:val="000000"/>
                <w:sz w:val="16"/>
                <w:szCs w:val="16"/>
              </w:rPr>
            </w:pPr>
            <w:r w:rsidRPr="004550A3">
              <w:rPr>
                <w:rFonts w:cs="Arial"/>
                <w:b/>
                <w:color w:val="000000"/>
                <w:sz w:val="16"/>
                <w:szCs w:val="16"/>
              </w:rPr>
              <w:t>2016</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E33C62" w:rsidRPr="004550A3" w:rsidRDefault="00E33C62" w:rsidP="0086498C">
            <w:pPr>
              <w:spacing w:after="0" w:line="240" w:lineRule="auto"/>
              <w:jc w:val="right"/>
              <w:rPr>
                <w:rFonts w:cs="Arial"/>
                <w:b/>
                <w:color w:val="000000"/>
                <w:sz w:val="16"/>
                <w:szCs w:val="16"/>
              </w:rPr>
            </w:pPr>
            <w:r w:rsidRPr="004550A3">
              <w:rPr>
                <w:rFonts w:cs="Arial"/>
                <w:b/>
                <w:color w:val="000000"/>
                <w:sz w:val="16"/>
                <w:szCs w:val="16"/>
              </w:rPr>
              <w:t>2017</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E33C62" w:rsidRPr="004550A3" w:rsidRDefault="00E33C62" w:rsidP="0086498C">
            <w:pPr>
              <w:spacing w:after="0" w:line="240" w:lineRule="auto"/>
              <w:jc w:val="right"/>
              <w:rPr>
                <w:rFonts w:cs="Arial"/>
                <w:b/>
                <w:color w:val="000000"/>
                <w:sz w:val="16"/>
                <w:szCs w:val="16"/>
              </w:rPr>
            </w:pPr>
            <w:r w:rsidRPr="004550A3">
              <w:rPr>
                <w:rFonts w:cs="Arial"/>
                <w:b/>
                <w:color w:val="000000"/>
                <w:sz w:val="16"/>
                <w:szCs w:val="16"/>
              </w:rPr>
              <w:t>2018</w:t>
            </w:r>
          </w:p>
        </w:tc>
        <w:tc>
          <w:tcPr>
            <w:tcW w:w="1341" w:type="dxa"/>
            <w:tcBorders>
              <w:top w:val="single" w:sz="4" w:space="0" w:color="auto"/>
              <w:left w:val="nil"/>
              <w:bottom w:val="single" w:sz="4" w:space="0" w:color="auto"/>
              <w:right w:val="single" w:sz="4" w:space="0" w:color="auto"/>
            </w:tcBorders>
            <w:shd w:val="clear" w:color="auto" w:fill="auto"/>
            <w:noWrap/>
            <w:vAlign w:val="bottom"/>
          </w:tcPr>
          <w:p w:rsidR="00E33C62" w:rsidRPr="004550A3" w:rsidRDefault="00E33C62" w:rsidP="0086498C">
            <w:pPr>
              <w:spacing w:after="0" w:line="240" w:lineRule="auto"/>
              <w:jc w:val="center"/>
              <w:rPr>
                <w:rFonts w:cs="Arial"/>
                <w:b/>
                <w:color w:val="000000"/>
                <w:sz w:val="16"/>
                <w:szCs w:val="16"/>
              </w:rPr>
            </w:pPr>
            <w:r w:rsidRPr="004550A3">
              <w:rPr>
                <w:rFonts w:cs="Arial"/>
                <w:b/>
                <w:color w:val="000000"/>
                <w:sz w:val="16"/>
                <w:szCs w:val="16"/>
              </w:rPr>
              <w:t>SKUPAJ</w:t>
            </w:r>
          </w:p>
        </w:tc>
      </w:tr>
      <w:tr w:rsidR="00E33C62" w:rsidRPr="004550A3" w:rsidTr="0086498C">
        <w:trPr>
          <w:trHeight w:val="20"/>
        </w:trPr>
        <w:tc>
          <w:tcPr>
            <w:tcW w:w="1433" w:type="dxa"/>
            <w:tcBorders>
              <w:top w:val="nil"/>
              <w:left w:val="single" w:sz="4" w:space="0" w:color="auto"/>
              <w:bottom w:val="single" w:sz="4" w:space="0" w:color="auto"/>
              <w:right w:val="single" w:sz="4" w:space="0" w:color="auto"/>
            </w:tcBorders>
            <w:shd w:val="clear" w:color="auto" w:fill="auto"/>
            <w:vAlign w:val="bottom"/>
          </w:tcPr>
          <w:p w:rsidR="00E33C62" w:rsidRPr="004550A3" w:rsidRDefault="00E33C62" w:rsidP="0086498C">
            <w:pPr>
              <w:spacing w:after="0" w:line="240" w:lineRule="auto"/>
              <w:rPr>
                <w:rFonts w:cs="Arial"/>
                <w:color w:val="000000"/>
                <w:sz w:val="16"/>
                <w:szCs w:val="16"/>
              </w:rPr>
            </w:pPr>
            <w:r w:rsidRPr="004550A3">
              <w:rPr>
                <w:rFonts w:cs="Arial"/>
                <w:color w:val="000000"/>
                <w:sz w:val="16"/>
                <w:szCs w:val="16"/>
              </w:rPr>
              <w:t xml:space="preserve">1. PVSP HRT </w:t>
            </w:r>
          </w:p>
        </w:tc>
        <w:tc>
          <w:tcPr>
            <w:tcW w:w="1134" w:type="dxa"/>
            <w:tcBorders>
              <w:top w:val="nil"/>
              <w:left w:val="nil"/>
              <w:bottom w:val="single" w:sz="4" w:space="0" w:color="auto"/>
              <w:right w:val="single" w:sz="4" w:space="0" w:color="auto"/>
            </w:tcBorders>
            <w:shd w:val="clear" w:color="auto" w:fill="auto"/>
            <w:noWrap/>
            <w:vAlign w:val="bottom"/>
          </w:tcPr>
          <w:p w:rsidR="00E33C62" w:rsidRPr="004550A3" w:rsidRDefault="00E33C62" w:rsidP="0086498C">
            <w:pPr>
              <w:spacing w:after="0" w:line="240" w:lineRule="auto"/>
              <w:jc w:val="right"/>
              <w:rPr>
                <w:rFonts w:cs="Arial"/>
                <w:color w:val="000000"/>
                <w:sz w:val="16"/>
                <w:szCs w:val="16"/>
              </w:rPr>
            </w:pPr>
            <w:r w:rsidRPr="004550A3">
              <w:rPr>
                <w:rFonts w:cs="Arial"/>
                <w:color w:val="000000"/>
                <w:sz w:val="16"/>
                <w:szCs w:val="16"/>
              </w:rPr>
              <w:t>124.920,00</w:t>
            </w:r>
          </w:p>
        </w:tc>
        <w:tc>
          <w:tcPr>
            <w:tcW w:w="1134" w:type="dxa"/>
            <w:tcBorders>
              <w:top w:val="nil"/>
              <w:left w:val="nil"/>
              <w:bottom w:val="single" w:sz="4" w:space="0" w:color="auto"/>
              <w:right w:val="single" w:sz="4" w:space="0" w:color="auto"/>
            </w:tcBorders>
            <w:shd w:val="clear" w:color="auto" w:fill="auto"/>
            <w:noWrap/>
            <w:vAlign w:val="bottom"/>
          </w:tcPr>
          <w:p w:rsidR="00E33C62" w:rsidRPr="004550A3" w:rsidRDefault="00E33C62" w:rsidP="0086498C">
            <w:pPr>
              <w:spacing w:after="0" w:line="240" w:lineRule="auto"/>
              <w:jc w:val="right"/>
              <w:rPr>
                <w:rFonts w:cs="Arial"/>
                <w:color w:val="000000"/>
                <w:sz w:val="16"/>
                <w:szCs w:val="16"/>
              </w:rPr>
            </w:pPr>
            <w:r w:rsidRPr="004550A3">
              <w:rPr>
                <w:rFonts w:cs="Arial"/>
                <w:color w:val="000000"/>
                <w:sz w:val="16"/>
                <w:szCs w:val="16"/>
              </w:rPr>
              <w:t>374.760,00</w:t>
            </w:r>
          </w:p>
        </w:tc>
        <w:tc>
          <w:tcPr>
            <w:tcW w:w="1077" w:type="dxa"/>
            <w:tcBorders>
              <w:top w:val="nil"/>
              <w:left w:val="nil"/>
              <w:bottom w:val="single" w:sz="4" w:space="0" w:color="auto"/>
              <w:right w:val="single" w:sz="4" w:space="0" w:color="auto"/>
            </w:tcBorders>
            <w:shd w:val="clear" w:color="auto" w:fill="auto"/>
            <w:noWrap/>
            <w:vAlign w:val="bottom"/>
          </w:tcPr>
          <w:p w:rsidR="00E33C62" w:rsidRPr="004550A3" w:rsidRDefault="00E33C62" w:rsidP="0086498C">
            <w:pPr>
              <w:spacing w:after="0" w:line="240" w:lineRule="auto"/>
              <w:jc w:val="right"/>
              <w:rPr>
                <w:rFonts w:cs="Arial"/>
                <w:color w:val="000000"/>
                <w:sz w:val="16"/>
                <w:szCs w:val="16"/>
              </w:rPr>
            </w:pPr>
            <w:r w:rsidRPr="004550A3">
              <w:rPr>
                <w:rFonts w:cs="Arial"/>
                <w:color w:val="000000"/>
                <w:sz w:val="16"/>
                <w:szCs w:val="16"/>
              </w:rPr>
              <w:t>374.760,00</w:t>
            </w:r>
          </w:p>
        </w:tc>
        <w:tc>
          <w:tcPr>
            <w:tcW w:w="1080" w:type="dxa"/>
            <w:tcBorders>
              <w:top w:val="nil"/>
              <w:left w:val="nil"/>
              <w:bottom w:val="single" w:sz="4" w:space="0" w:color="auto"/>
              <w:right w:val="single" w:sz="4" w:space="0" w:color="auto"/>
            </w:tcBorders>
            <w:shd w:val="clear" w:color="auto" w:fill="auto"/>
            <w:noWrap/>
            <w:vAlign w:val="bottom"/>
          </w:tcPr>
          <w:p w:rsidR="00E33C62" w:rsidRPr="004550A3" w:rsidRDefault="00E33C62" w:rsidP="0086498C">
            <w:pPr>
              <w:spacing w:after="0" w:line="240" w:lineRule="auto"/>
              <w:jc w:val="right"/>
              <w:rPr>
                <w:rFonts w:cs="Arial"/>
                <w:color w:val="000000"/>
                <w:sz w:val="16"/>
                <w:szCs w:val="16"/>
              </w:rPr>
            </w:pPr>
            <w:r w:rsidRPr="004550A3">
              <w:rPr>
                <w:rFonts w:cs="Arial"/>
                <w:color w:val="000000"/>
                <w:sz w:val="16"/>
                <w:szCs w:val="16"/>
              </w:rPr>
              <w:t>374.760,00</w:t>
            </w:r>
          </w:p>
        </w:tc>
        <w:tc>
          <w:tcPr>
            <w:tcW w:w="1060" w:type="dxa"/>
            <w:tcBorders>
              <w:top w:val="nil"/>
              <w:left w:val="nil"/>
              <w:bottom w:val="single" w:sz="4" w:space="0" w:color="auto"/>
              <w:right w:val="single" w:sz="4" w:space="0" w:color="auto"/>
            </w:tcBorders>
            <w:shd w:val="clear" w:color="auto" w:fill="auto"/>
            <w:noWrap/>
            <w:vAlign w:val="bottom"/>
          </w:tcPr>
          <w:p w:rsidR="00E33C62" w:rsidRPr="004550A3" w:rsidRDefault="00E33C62" w:rsidP="0086498C">
            <w:pPr>
              <w:spacing w:after="0" w:line="240" w:lineRule="auto"/>
              <w:jc w:val="right"/>
              <w:rPr>
                <w:rFonts w:cs="Arial"/>
                <w:color w:val="000000"/>
                <w:sz w:val="16"/>
                <w:szCs w:val="16"/>
              </w:rPr>
            </w:pPr>
            <w:r w:rsidRPr="004550A3">
              <w:rPr>
                <w:rFonts w:cs="Arial"/>
                <w:color w:val="000000"/>
                <w:sz w:val="16"/>
                <w:szCs w:val="16"/>
              </w:rPr>
              <w:t>374.760,00</w:t>
            </w:r>
          </w:p>
        </w:tc>
        <w:tc>
          <w:tcPr>
            <w:tcW w:w="1280" w:type="dxa"/>
            <w:tcBorders>
              <w:top w:val="nil"/>
              <w:left w:val="nil"/>
              <w:bottom w:val="single" w:sz="4" w:space="0" w:color="auto"/>
              <w:right w:val="single" w:sz="4" w:space="0" w:color="auto"/>
            </w:tcBorders>
            <w:shd w:val="clear" w:color="auto" w:fill="auto"/>
            <w:noWrap/>
            <w:vAlign w:val="bottom"/>
          </w:tcPr>
          <w:p w:rsidR="00E33C62" w:rsidRPr="004550A3" w:rsidRDefault="00E33C62" w:rsidP="0086498C">
            <w:pPr>
              <w:spacing w:after="0" w:line="240" w:lineRule="auto"/>
              <w:jc w:val="right"/>
              <w:rPr>
                <w:rFonts w:cs="Arial"/>
                <w:color w:val="000000"/>
                <w:sz w:val="16"/>
                <w:szCs w:val="16"/>
              </w:rPr>
            </w:pPr>
            <w:r w:rsidRPr="004550A3">
              <w:rPr>
                <w:rFonts w:cs="Arial"/>
                <w:color w:val="000000"/>
                <w:sz w:val="16"/>
                <w:szCs w:val="16"/>
              </w:rPr>
              <w:t>374.760,00</w:t>
            </w:r>
          </w:p>
        </w:tc>
        <w:tc>
          <w:tcPr>
            <w:tcW w:w="1341" w:type="dxa"/>
            <w:tcBorders>
              <w:top w:val="nil"/>
              <w:left w:val="nil"/>
              <w:bottom w:val="single" w:sz="4" w:space="0" w:color="auto"/>
              <w:right w:val="single" w:sz="4" w:space="0" w:color="auto"/>
            </w:tcBorders>
            <w:shd w:val="clear" w:color="auto" w:fill="auto"/>
            <w:noWrap/>
            <w:vAlign w:val="bottom"/>
          </w:tcPr>
          <w:p w:rsidR="00E33C62" w:rsidRPr="004550A3" w:rsidRDefault="00E33C62" w:rsidP="0086498C">
            <w:pPr>
              <w:spacing w:after="0" w:line="240" w:lineRule="auto"/>
              <w:jc w:val="right"/>
              <w:rPr>
                <w:rFonts w:cs="Arial"/>
                <w:color w:val="000000"/>
                <w:sz w:val="16"/>
                <w:szCs w:val="16"/>
              </w:rPr>
            </w:pPr>
            <w:r w:rsidRPr="004550A3">
              <w:rPr>
                <w:rFonts w:cs="Arial"/>
                <w:color w:val="000000"/>
                <w:sz w:val="16"/>
                <w:szCs w:val="16"/>
              </w:rPr>
              <w:t>1.998.720,00</w:t>
            </w:r>
          </w:p>
        </w:tc>
      </w:tr>
      <w:tr w:rsidR="00E33C62" w:rsidRPr="004550A3" w:rsidTr="0086498C">
        <w:trPr>
          <w:trHeight w:val="20"/>
        </w:trPr>
        <w:tc>
          <w:tcPr>
            <w:tcW w:w="1433" w:type="dxa"/>
            <w:tcBorders>
              <w:top w:val="nil"/>
              <w:left w:val="single" w:sz="4" w:space="0" w:color="auto"/>
              <w:bottom w:val="single" w:sz="4" w:space="0" w:color="auto"/>
              <w:right w:val="single" w:sz="4" w:space="0" w:color="auto"/>
            </w:tcBorders>
            <w:shd w:val="clear" w:color="auto" w:fill="auto"/>
            <w:vAlign w:val="bottom"/>
          </w:tcPr>
          <w:p w:rsidR="00E33C62" w:rsidRPr="004550A3" w:rsidRDefault="00E33C62" w:rsidP="0086498C">
            <w:pPr>
              <w:spacing w:after="0" w:line="240" w:lineRule="auto"/>
              <w:rPr>
                <w:rFonts w:cs="Arial"/>
                <w:color w:val="000000"/>
                <w:sz w:val="16"/>
                <w:szCs w:val="16"/>
              </w:rPr>
            </w:pPr>
            <w:r w:rsidRPr="004550A3">
              <w:rPr>
                <w:rFonts w:cs="Arial"/>
                <w:color w:val="000000"/>
                <w:sz w:val="16"/>
                <w:szCs w:val="16"/>
              </w:rPr>
              <w:t>2. Finančne spodbude za novonastala podjetja</w:t>
            </w:r>
          </w:p>
        </w:tc>
        <w:tc>
          <w:tcPr>
            <w:tcW w:w="1134" w:type="dxa"/>
            <w:tcBorders>
              <w:top w:val="nil"/>
              <w:left w:val="nil"/>
              <w:bottom w:val="single" w:sz="4" w:space="0" w:color="auto"/>
              <w:right w:val="single" w:sz="4" w:space="0" w:color="auto"/>
            </w:tcBorders>
            <w:shd w:val="clear" w:color="auto" w:fill="auto"/>
            <w:noWrap/>
            <w:vAlign w:val="bottom"/>
          </w:tcPr>
          <w:p w:rsidR="00E33C62" w:rsidRPr="004550A3" w:rsidRDefault="00E33C62" w:rsidP="0086498C">
            <w:pPr>
              <w:spacing w:after="0" w:line="240" w:lineRule="auto"/>
              <w:jc w:val="right"/>
              <w:rPr>
                <w:rFonts w:cs="Arial"/>
                <w:color w:val="000000"/>
                <w:sz w:val="16"/>
                <w:szCs w:val="16"/>
              </w:rPr>
            </w:pPr>
            <w:r w:rsidRPr="004550A3">
              <w:rPr>
                <w:rFonts w:cs="Arial"/>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tcPr>
          <w:p w:rsidR="00E33C62" w:rsidRPr="004550A3" w:rsidRDefault="00E33C62" w:rsidP="0086498C">
            <w:pPr>
              <w:spacing w:after="0" w:line="240" w:lineRule="auto"/>
              <w:jc w:val="right"/>
              <w:rPr>
                <w:rFonts w:cs="Arial"/>
                <w:color w:val="000000"/>
                <w:sz w:val="16"/>
                <w:szCs w:val="16"/>
              </w:rPr>
            </w:pPr>
            <w:r w:rsidRPr="004550A3">
              <w:rPr>
                <w:rFonts w:cs="Arial"/>
                <w:color w:val="000000"/>
                <w:sz w:val="16"/>
                <w:szCs w:val="16"/>
              </w:rPr>
              <w:t>800.000,00</w:t>
            </w:r>
          </w:p>
        </w:tc>
        <w:tc>
          <w:tcPr>
            <w:tcW w:w="1077" w:type="dxa"/>
            <w:tcBorders>
              <w:top w:val="nil"/>
              <w:left w:val="nil"/>
              <w:bottom w:val="single" w:sz="4" w:space="0" w:color="auto"/>
              <w:right w:val="single" w:sz="4" w:space="0" w:color="auto"/>
            </w:tcBorders>
            <w:shd w:val="clear" w:color="auto" w:fill="auto"/>
            <w:noWrap/>
            <w:vAlign w:val="bottom"/>
          </w:tcPr>
          <w:p w:rsidR="00E33C62" w:rsidRPr="004550A3" w:rsidRDefault="00E33C62" w:rsidP="0086498C">
            <w:pPr>
              <w:spacing w:after="0" w:line="240" w:lineRule="auto"/>
              <w:jc w:val="right"/>
              <w:rPr>
                <w:rFonts w:cs="Arial"/>
                <w:color w:val="000000"/>
                <w:sz w:val="16"/>
                <w:szCs w:val="16"/>
              </w:rPr>
            </w:pPr>
            <w:r w:rsidRPr="004550A3">
              <w:rPr>
                <w:rFonts w:cs="Arial"/>
                <w:color w:val="000000"/>
                <w:sz w:val="16"/>
                <w:szCs w:val="16"/>
              </w:rPr>
              <w:t>800.000,00</w:t>
            </w:r>
          </w:p>
        </w:tc>
        <w:tc>
          <w:tcPr>
            <w:tcW w:w="1080" w:type="dxa"/>
            <w:tcBorders>
              <w:top w:val="nil"/>
              <w:left w:val="nil"/>
              <w:bottom w:val="single" w:sz="4" w:space="0" w:color="auto"/>
              <w:right w:val="single" w:sz="4" w:space="0" w:color="auto"/>
            </w:tcBorders>
            <w:shd w:val="clear" w:color="auto" w:fill="auto"/>
            <w:noWrap/>
            <w:vAlign w:val="bottom"/>
          </w:tcPr>
          <w:p w:rsidR="00E33C62" w:rsidRPr="004550A3" w:rsidRDefault="00E33C62" w:rsidP="0086498C">
            <w:pPr>
              <w:spacing w:after="0" w:line="240" w:lineRule="auto"/>
              <w:jc w:val="right"/>
              <w:rPr>
                <w:rFonts w:cs="Arial"/>
                <w:color w:val="000000"/>
                <w:sz w:val="16"/>
                <w:szCs w:val="16"/>
              </w:rPr>
            </w:pPr>
            <w:r w:rsidRPr="004550A3">
              <w:rPr>
                <w:rFonts w:cs="Arial"/>
                <w:color w:val="000000"/>
                <w:sz w:val="16"/>
                <w:szCs w:val="16"/>
              </w:rPr>
              <w:t>800.000,00</w:t>
            </w:r>
          </w:p>
        </w:tc>
        <w:tc>
          <w:tcPr>
            <w:tcW w:w="1060" w:type="dxa"/>
            <w:tcBorders>
              <w:top w:val="nil"/>
              <w:left w:val="nil"/>
              <w:bottom w:val="single" w:sz="4" w:space="0" w:color="auto"/>
              <w:right w:val="single" w:sz="4" w:space="0" w:color="auto"/>
            </w:tcBorders>
            <w:shd w:val="clear" w:color="auto" w:fill="auto"/>
            <w:noWrap/>
            <w:vAlign w:val="bottom"/>
          </w:tcPr>
          <w:p w:rsidR="00E33C62" w:rsidRPr="004550A3" w:rsidRDefault="00E33C62" w:rsidP="0086498C">
            <w:pPr>
              <w:spacing w:after="0" w:line="240" w:lineRule="auto"/>
              <w:jc w:val="right"/>
              <w:rPr>
                <w:rFonts w:cs="Arial"/>
                <w:color w:val="000000"/>
                <w:sz w:val="16"/>
                <w:szCs w:val="16"/>
              </w:rPr>
            </w:pPr>
            <w:r w:rsidRPr="004550A3">
              <w:rPr>
                <w:rFonts w:cs="Arial"/>
                <w:color w:val="000000"/>
                <w:sz w:val="16"/>
                <w:szCs w:val="16"/>
              </w:rPr>
              <w:t>600.000,00</w:t>
            </w:r>
          </w:p>
        </w:tc>
        <w:tc>
          <w:tcPr>
            <w:tcW w:w="1280" w:type="dxa"/>
            <w:tcBorders>
              <w:top w:val="nil"/>
              <w:left w:val="nil"/>
              <w:bottom w:val="single" w:sz="4" w:space="0" w:color="auto"/>
              <w:right w:val="single" w:sz="4" w:space="0" w:color="auto"/>
            </w:tcBorders>
            <w:shd w:val="clear" w:color="auto" w:fill="auto"/>
            <w:noWrap/>
            <w:vAlign w:val="bottom"/>
          </w:tcPr>
          <w:p w:rsidR="00E33C62" w:rsidRPr="004550A3" w:rsidRDefault="00E33C62" w:rsidP="0086498C">
            <w:pPr>
              <w:spacing w:after="0" w:line="240" w:lineRule="auto"/>
              <w:jc w:val="right"/>
              <w:rPr>
                <w:rFonts w:cs="Arial"/>
                <w:color w:val="000000"/>
                <w:sz w:val="16"/>
                <w:szCs w:val="16"/>
              </w:rPr>
            </w:pPr>
            <w:r w:rsidRPr="004550A3">
              <w:rPr>
                <w:rFonts w:cs="Arial"/>
                <w:color w:val="000000"/>
                <w:sz w:val="16"/>
                <w:szCs w:val="16"/>
              </w:rPr>
              <w:t>600.000,00</w:t>
            </w:r>
          </w:p>
        </w:tc>
        <w:tc>
          <w:tcPr>
            <w:tcW w:w="1341" w:type="dxa"/>
            <w:tcBorders>
              <w:top w:val="nil"/>
              <w:left w:val="nil"/>
              <w:bottom w:val="single" w:sz="4" w:space="0" w:color="auto"/>
              <w:right w:val="single" w:sz="4" w:space="0" w:color="auto"/>
            </w:tcBorders>
            <w:shd w:val="clear" w:color="auto" w:fill="auto"/>
            <w:noWrap/>
            <w:vAlign w:val="bottom"/>
          </w:tcPr>
          <w:p w:rsidR="00E33C62" w:rsidRPr="004550A3" w:rsidRDefault="00E33C62" w:rsidP="0086498C">
            <w:pPr>
              <w:spacing w:after="0" w:line="240" w:lineRule="auto"/>
              <w:jc w:val="right"/>
              <w:rPr>
                <w:rFonts w:cs="Arial"/>
                <w:color w:val="000000"/>
                <w:sz w:val="16"/>
                <w:szCs w:val="16"/>
              </w:rPr>
            </w:pPr>
            <w:r w:rsidRPr="004550A3">
              <w:rPr>
                <w:rFonts w:cs="Arial"/>
                <w:color w:val="000000"/>
                <w:sz w:val="16"/>
                <w:szCs w:val="16"/>
              </w:rPr>
              <w:t>3.600.000,00</w:t>
            </w:r>
          </w:p>
        </w:tc>
      </w:tr>
      <w:tr w:rsidR="00E33C62" w:rsidRPr="004550A3" w:rsidTr="0086498C">
        <w:trPr>
          <w:trHeight w:val="20"/>
        </w:trPr>
        <w:tc>
          <w:tcPr>
            <w:tcW w:w="1433" w:type="dxa"/>
            <w:tcBorders>
              <w:top w:val="nil"/>
              <w:left w:val="single" w:sz="4" w:space="0" w:color="auto"/>
              <w:bottom w:val="single" w:sz="4" w:space="0" w:color="auto"/>
              <w:right w:val="single" w:sz="4" w:space="0" w:color="auto"/>
            </w:tcBorders>
            <w:shd w:val="clear" w:color="auto" w:fill="auto"/>
            <w:vAlign w:val="bottom"/>
          </w:tcPr>
          <w:p w:rsidR="00E33C62" w:rsidRPr="004550A3" w:rsidRDefault="00E33C62" w:rsidP="0086498C">
            <w:pPr>
              <w:spacing w:after="0" w:line="240" w:lineRule="auto"/>
              <w:rPr>
                <w:rFonts w:cs="Arial"/>
                <w:color w:val="000000"/>
                <w:sz w:val="16"/>
                <w:szCs w:val="16"/>
              </w:rPr>
            </w:pPr>
            <w:r w:rsidRPr="004550A3">
              <w:rPr>
                <w:rFonts w:cs="Arial"/>
                <w:color w:val="000000"/>
                <w:sz w:val="16"/>
                <w:szCs w:val="16"/>
              </w:rPr>
              <w:lastRenderedPageBreak/>
              <w:t>3. Investicije v razvoj</w:t>
            </w:r>
          </w:p>
        </w:tc>
        <w:tc>
          <w:tcPr>
            <w:tcW w:w="1134" w:type="dxa"/>
            <w:tcBorders>
              <w:top w:val="nil"/>
              <w:left w:val="nil"/>
              <w:bottom w:val="single" w:sz="4" w:space="0" w:color="auto"/>
              <w:right w:val="single" w:sz="4" w:space="0" w:color="auto"/>
            </w:tcBorders>
            <w:shd w:val="clear" w:color="auto" w:fill="auto"/>
            <w:noWrap/>
            <w:vAlign w:val="bottom"/>
          </w:tcPr>
          <w:p w:rsidR="00E33C62" w:rsidRPr="004550A3" w:rsidRDefault="00E33C62" w:rsidP="0086498C">
            <w:pPr>
              <w:spacing w:after="0" w:line="240" w:lineRule="auto"/>
              <w:jc w:val="right"/>
              <w:rPr>
                <w:rFonts w:cs="Arial"/>
                <w:color w:val="000000"/>
                <w:sz w:val="16"/>
                <w:szCs w:val="16"/>
              </w:rPr>
            </w:pPr>
            <w:r w:rsidRPr="004550A3">
              <w:rPr>
                <w:rFonts w:cs="Arial"/>
                <w:color w:val="000000"/>
                <w:sz w:val="16"/>
                <w:szCs w:val="16"/>
              </w:rPr>
              <w:t> </w:t>
            </w:r>
          </w:p>
        </w:tc>
        <w:tc>
          <w:tcPr>
            <w:tcW w:w="1134" w:type="dxa"/>
            <w:tcBorders>
              <w:top w:val="nil"/>
              <w:left w:val="nil"/>
              <w:bottom w:val="nil"/>
              <w:right w:val="single" w:sz="4" w:space="0" w:color="auto"/>
            </w:tcBorders>
            <w:shd w:val="clear" w:color="auto" w:fill="auto"/>
            <w:noWrap/>
            <w:vAlign w:val="bottom"/>
          </w:tcPr>
          <w:p w:rsidR="00E33C62" w:rsidRPr="004550A3" w:rsidRDefault="00E33C62" w:rsidP="0086498C">
            <w:pPr>
              <w:spacing w:after="0" w:line="240" w:lineRule="auto"/>
              <w:jc w:val="right"/>
              <w:rPr>
                <w:rFonts w:cs="Arial"/>
                <w:color w:val="000000"/>
                <w:sz w:val="16"/>
                <w:szCs w:val="16"/>
              </w:rPr>
            </w:pPr>
            <w:r w:rsidRPr="004550A3">
              <w:rPr>
                <w:rFonts w:cs="Arial"/>
                <w:color w:val="000000"/>
                <w:sz w:val="16"/>
                <w:szCs w:val="16"/>
              </w:rPr>
              <w:t>1.500.000,00</w:t>
            </w:r>
          </w:p>
        </w:tc>
        <w:tc>
          <w:tcPr>
            <w:tcW w:w="1077" w:type="dxa"/>
            <w:tcBorders>
              <w:top w:val="nil"/>
              <w:left w:val="nil"/>
              <w:bottom w:val="nil"/>
              <w:right w:val="single" w:sz="4" w:space="0" w:color="auto"/>
            </w:tcBorders>
            <w:shd w:val="clear" w:color="auto" w:fill="auto"/>
            <w:noWrap/>
            <w:vAlign w:val="bottom"/>
          </w:tcPr>
          <w:p w:rsidR="00E33C62" w:rsidRPr="004550A3" w:rsidRDefault="00E33C62" w:rsidP="0086498C">
            <w:pPr>
              <w:spacing w:after="0" w:line="240" w:lineRule="auto"/>
              <w:jc w:val="right"/>
              <w:rPr>
                <w:rFonts w:cs="Arial"/>
                <w:color w:val="000000"/>
                <w:sz w:val="16"/>
                <w:szCs w:val="16"/>
              </w:rPr>
            </w:pPr>
            <w:r w:rsidRPr="004550A3">
              <w:rPr>
                <w:rFonts w:cs="Arial"/>
                <w:color w:val="000000"/>
                <w:sz w:val="16"/>
                <w:szCs w:val="16"/>
              </w:rPr>
              <w:t>1.428.985,00</w:t>
            </w:r>
          </w:p>
        </w:tc>
        <w:tc>
          <w:tcPr>
            <w:tcW w:w="1080" w:type="dxa"/>
            <w:tcBorders>
              <w:top w:val="nil"/>
              <w:left w:val="nil"/>
              <w:bottom w:val="nil"/>
              <w:right w:val="single" w:sz="4" w:space="0" w:color="auto"/>
            </w:tcBorders>
            <w:shd w:val="clear" w:color="auto" w:fill="auto"/>
            <w:noWrap/>
            <w:vAlign w:val="bottom"/>
          </w:tcPr>
          <w:p w:rsidR="00E33C62" w:rsidRPr="004550A3" w:rsidRDefault="00E33C62" w:rsidP="0086498C">
            <w:pPr>
              <w:spacing w:after="0" w:line="240" w:lineRule="auto"/>
              <w:jc w:val="right"/>
              <w:rPr>
                <w:rFonts w:cs="Arial"/>
                <w:color w:val="000000"/>
                <w:sz w:val="16"/>
                <w:szCs w:val="16"/>
              </w:rPr>
            </w:pPr>
            <w:r w:rsidRPr="004550A3">
              <w:rPr>
                <w:rFonts w:cs="Arial"/>
                <w:color w:val="000000"/>
                <w:sz w:val="16"/>
                <w:szCs w:val="16"/>
              </w:rPr>
              <w:t>500.000,00</w:t>
            </w:r>
          </w:p>
        </w:tc>
        <w:tc>
          <w:tcPr>
            <w:tcW w:w="1060" w:type="dxa"/>
            <w:tcBorders>
              <w:top w:val="nil"/>
              <w:left w:val="nil"/>
              <w:bottom w:val="nil"/>
              <w:right w:val="single" w:sz="4" w:space="0" w:color="auto"/>
            </w:tcBorders>
            <w:shd w:val="clear" w:color="auto" w:fill="auto"/>
            <w:noWrap/>
            <w:vAlign w:val="bottom"/>
          </w:tcPr>
          <w:p w:rsidR="00E33C62" w:rsidRPr="004550A3" w:rsidRDefault="00E33C62" w:rsidP="0086498C">
            <w:pPr>
              <w:spacing w:after="0" w:line="240" w:lineRule="auto"/>
              <w:jc w:val="right"/>
              <w:rPr>
                <w:rFonts w:cs="Arial"/>
                <w:color w:val="000000"/>
                <w:sz w:val="16"/>
                <w:szCs w:val="16"/>
              </w:rPr>
            </w:pPr>
            <w:r w:rsidRPr="004550A3">
              <w:rPr>
                <w:rFonts w:cs="Arial"/>
                <w:color w:val="000000"/>
                <w:sz w:val="16"/>
                <w:szCs w:val="16"/>
              </w:rPr>
              <w:t>500.000,00</w:t>
            </w:r>
          </w:p>
        </w:tc>
        <w:tc>
          <w:tcPr>
            <w:tcW w:w="1280" w:type="dxa"/>
            <w:tcBorders>
              <w:top w:val="nil"/>
              <w:left w:val="nil"/>
              <w:bottom w:val="nil"/>
              <w:right w:val="single" w:sz="4" w:space="0" w:color="auto"/>
            </w:tcBorders>
            <w:shd w:val="clear" w:color="auto" w:fill="auto"/>
            <w:noWrap/>
            <w:vAlign w:val="bottom"/>
          </w:tcPr>
          <w:p w:rsidR="00E33C62" w:rsidRPr="004550A3" w:rsidRDefault="00E33C62" w:rsidP="0086498C">
            <w:pPr>
              <w:spacing w:after="0" w:line="240" w:lineRule="auto"/>
              <w:jc w:val="right"/>
              <w:rPr>
                <w:rFonts w:cs="Arial"/>
                <w:color w:val="000000"/>
                <w:sz w:val="16"/>
                <w:szCs w:val="16"/>
              </w:rPr>
            </w:pPr>
            <w:r w:rsidRPr="004550A3">
              <w:rPr>
                <w:rFonts w:cs="Arial"/>
                <w:color w:val="000000"/>
                <w:sz w:val="16"/>
                <w:szCs w:val="16"/>
              </w:rPr>
              <w:t>415.070,00</w:t>
            </w:r>
          </w:p>
        </w:tc>
        <w:tc>
          <w:tcPr>
            <w:tcW w:w="1341" w:type="dxa"/>
            <w:tcBorders>
              <w:top w:val="nil"/>
              <w:left w:val="nil"/>
              <w:bottom w:val="nil"/>
              <w:right w:val="single" w:sz="4" w:space="0" w:color="auto"/>
            </w:tcBorders>
            <w:shd w:val="clear" w:color="auto" w:fill="auto"/>
            <w:noWrap/>
            <w:vAlign w:val="bottom"/>
          </w:tcPr>
          <w:p w:rsidR="00E33C62" w:rsidRPr="004550A3" w:rsidRDefault="00E33C62" w:rsidP="0086498C">
            <w:pPr>
              <w:spacing w:after="0" w:line="240" w:lineRule="auto"/>
              <w:jc w:val="right"/>
              <w:rPr>
                <w:rFonts w:cs="Arial"/>
                <w:color w:val="000000"/>
                <w:sz w:val="16"/>
                <w:szCs w:val="16"/>
              </w:rPr>
            </w:pPr>
            <w:r w:rsidRPr="004550A3">
              <w:rPr>
                <w:rFonts w:cs="Arial"/>
                <w:color w:val="000000"/>
                <w:sz w:val="16"/>
                <w:szCs w:val="16"/>
              </w:rPr>
              <w:t>4.344.055,00</w:t>
            </w:r>
          </w:p>
        </w:tc>
      </w:tr>
      <w:tr w:rsidR="00E33C62" w:rsidRPr="004550A3" w:rsidTr="0086498C">
        <w:trPr>
          <w:trHeight w:val="20"/>
        </w:trPr>
        <w:tc>
          <w:tcPr>
            <w:tcW w:w="1433" w:type="dxa"/>
            <w:tcBorders>
              <w:top w:val="nil"/>
              <w:left w:val="single" w:sz="4" w:space="0" w:color="auto"/>
              <w:bottom w:val="single" w:sz="4" w:space="0" w:color="auto"/>
              <w:right w:val="single" w:sz="4" w:space="0" w:color="auto"/>
            </w:tcBorders>
            <w:shd w:val="clear" w:color="auto" w:fill="auto"/>
            <w:vAlign w:val="bottom"/>
          </w:tcPr>
          <w:p w:rsidR="00E33C62" w:rsidRPr="004550A3" w:rsidRDefault="00E33C62" w:rsidP="0086498C">
            <w:pPr>
              <w:spacing w:after="0" w:line="240" w:lineRule="auto"/>
              <w:rPr>
                <w:rFonts w:cs="Arial"/>
                <w:color w:val="000000"/>
                <w:sz w:val="16"/>
                <w:szCs w:val="16"/>
              </w:rPr>
            </w:pPr>
            <w:r w:rsidRPr="004550A3">
              <w:rPr>
                <w:rFonts w:cs="Arial"/>
                <w:color w:val="000000"/>
                <w:sz w:val="16"/>
                <w:szCs w:val="16"/>
              </w:rPr>
              <w:t>4. Radeče papir</w:t>
            </w:r>
          </w:p>
        </w:tc>
        <w:tc>
          <w:tcPr>
            <w:tcW w:w="1134" w:type="dxa"/>
            <w:tcBorders>
              <w:top w:val="nil"/>
              <w:left w:val="nil"/>
              <w:bottom w:val="single" w:sz="4" w:space="0" w:color="auto"/>
              <w:right w:val="single" w:sz="4" w:space="0" w:color="auto"/>
            </w:tcBorders>
            <w:shd w:val="clear" w:color="auto" w:fill="auto"/>
            <w:noWrap/>
            <w:vAlign w:val="bottom"/>
          </w:tcPr>
          <w:p w:rsidR="00E33C62" w:rsidRPr="004550A3" w:rsidRDefault="00E33C62" w:rsidP="0086498C">
            <w:pPr>
              <w:spacing w:after="0" w:line="240" w:lineRule="auto"/>
              <w:jc w:val="right"/>
              <w:rPr>
                <w:rFonts w:cs="Arial"/>
                <w:color w:val="000000"/>
                <w:sz w:val="16"/>
                <w:szCs w:val="16"/>
              </w:rPr>
            </w:pPr>
            <w:r w:rsidRPr="004550A3">
              <w:rPr>
                <w:rFonts w:cs="Arial"/>
                <w:color w:val="000000"/>
                <w:sz w:val="16"/>
                <w:szCs w:val="16"/>
              </w:rPr>
              <w:t>1.500.000,00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E33C62" w:rsidRPr="004550A3" w:rsidRDefault="00E33C62" w:rsidP="0086498C">
            <w:pPr>
              <w:spacing w:after="0" w:line="240" w:lineRule="auto"/>
              <w:jc w:val="right"/>
              <w:rPr>
                <w:rFonts w:cs="Arial"/>
                <w:color w:val="000000"/>
                <w:sz w:val="16"/>
                <w:szCs w:val="16"/>
              </w:rPr>
            </w:pPr>
            <w:r w:rsidRPr="004550A3">
              <w:rPr>
                <w:rFonts w:cs="Arial"/>
                <w:color w:val="000000"/>
                <w:sz w:val="16"/>
                <w:szCs w:val="16"/>
              </w:rPr>
              <w:t>1.500.000,00</w:t>
            </w:r>
          </w:p>
        </w:tc>
        <w:tc>
          <w:tcPr>
            <w:tcW w:w="1077" w:type="dxa"/>
            <w:tcBorders>
              <w:top w:val="single" w:sz="4" w:space="0" w:color="auto"/>
              <w:left w:val="nil"/>
              <w:bottom w:val="single" w:sz="4" w:space="0" w:color="auto"/>
              <w:right w:val="single" w:sz="4" w:space="0" w:color="auto"/>
            </w:tcBorders>
            <w:shd w:val="clear" w:color="auto" w:fill="auto"/>
            <w:noWrap/>
            <w:vAlign w:val="bottom"/>
          </w:tcPr>
          <w:p w:rsidR="00E33C62" w:rsidRPr="004550A3" w:rsidRDefault="00E33C62" w:rsidP="0086498C">
            <w:pPr>
              <w:spacing w:after="0" w:line="240" w:lineRule="auto"/>
              <w:jc w:val="right"/>
              <w:rPr>
                <w:rFonts w:cs="Arial"/>
                <w:color w:val="000000"/>
                <w:sz w:val="16"/>
                <w:szCs w:val="16"/>
              </w:rPr>
            </w:pPr>
            <w:r w:rsidRPr="004550A3">
              <w:rPr>
                <w:rFonts w:cs="Arial"/>
                <w:color w:val="000000"/>
                <w:sz w:val="16"/>
                <w:szCs w:val="16"/>
              </w:rPr>
              <w:t> </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E33C62" w:rsidRPr="004550A3" w:rsidRDefault="00E33C62" w:rsidP="0086498C">
            <w:pPr>
              <w:spacing w:after="0" w:line="240" w:lineRule="auto"/>
              <w:jc w:val="right"/>
              <w:rPr>
                <w:rFonts w:cs="Arial"/>
                <w:color w:val="000000"/>
                <w:sz w:val="16"/>
                <w:szCs w:val="16"/>
              </w:rPr>
            </w:pPr>
            <w:r w:rsidRPr="004550A3">
              <w:rPr>
                <w:rFonts w:cs="Arial"/>
                <w:color w:val="000000"/>
                <w:sz w:val="16"/>
                <w:szCs w:val="16"/>
              </w:rPr>
              <w:t> </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E33C62" w:rsidRPr="004550A3" w:rsidRDefault="00E33C62" w:rsidP="0086498C">
            <w:pPr>
              <w:spacing w:after="0" w:line="240" w:lineRule="auto"/>
              <w:jc w:val="right"/>
              <w:rPr>
                <w:rFonts w:cs="Arial"/>
                <w:color w:val="000000"/>
                <w:sz w:val="16"/>
                <w:szCs w:val="16"/>
              </w:rPr>
            </w:pPr>
            <w:r w:rsidRPr="004550A3">
              <w:rPr>
                <w:rFonts w:cs="Arial"/>
                <w:color w:val="000000"/>
                <w:sz w:val="16"/>
                <w:szCs w:val="16"/>
              </w:rPr>
              <w:t> </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E33C62" w:rsidRPr="004550A3" w:rsidRDefault="00E33C62" w:rsidP="0086498C">
            <w:pPr>
              <w:spacing w:after="0" w:line="240" w:lineRule="auto"/>
              <w:jc w:val="right"/>
              <w:rPr>
                <w:rFonts w:cs="Arial"/>
                <w:color w:val="000000"/>
                <w:sz w:val="16"/>
                <w:szCs w:val="16"/>
              </w:rPr>
            </w:pPr>
            <w:r w:rsidRPr="004550A3">
              <w:rPr>
                <w:rFonts w:cs="Arial"/>
                <w:color w:val="000000"/>
                <w:sz w:val="16"/>
                <w:szCs w:val="16"/>
              </w:rPr>
              <w:t> </w:t>
            </w:r>
          </w:p>
        </w:tc>
        <w:tc>
          <w:tcPr>
            <w:tcW w:w="1341" w:type="dxa"/>
            <w:tcBorders>
              <w:top w:val="single" w:sz="4" w:space="0" w:color="auto"/>
              <w:left w:val="nil"/>
              <w:bottom w:val="single" w:sz="4" w:space="0" w:color="auto"/>
              <w:right w:val="single" w:sz="4" w:space="0" w:color="auto"/>
            </w:tcBorders>
            <w:shd w:val="clear" w:color="auto" w:fill="auto"/>
            <w:noWrap/>
            <w:vAlign w:val="bottom"/>
          </w:tcPr>
          <w:p w:rsidR="00E33C62" w:rsidRPr="004550A3" w:rsidRDefault="00E33C62" w:rsidP="0086498C">
            <w:pPr>
              <w:spacing w:after="0" w:line="240" w:lineRule="auto"/>
              <w:jc w:val="right"/>
              <w:rPr>
                <w:rFonts w:cs="Arial"/>
                <w:color w:val="000000"/>
                <w:sz w:val="16"/>
                <w:szCs w:val="16"/>
              </w:rPr>
            </w:pPr>
            <w:r w:rsidRPr="004550A3">
              <w:rPr>
                <w:rFonts w:cs="Arial"/>
                <w:color w:val="000000"/>
                <w:sz w:val="16"/>
                <w:szCs w:val="16"/>
              </w:rPr>
              <w:t>3.000.000,00</w:t>
            </w:r>
          </w:p>
        </w:tc>
      </w:tr>
      <w:tr w:rsidR="00E33C62" w:rsidRPr="004550A3" w:rsidTr="0086498C">
        <w:trPr>
          <w:trHeight w:val="20"/>
        </w:trPr>
        <w:tc>
          <w:tcPr>
            <w:tcW w:w="1433" w:type="dxa"/>
            <w:tcBorders>
              <w:top w:val="nil"/>
              <w:left w:val="single" w:sz="4" w:space="0" w:color="auto"/>
              <w:bottom w:val="single" w:sz="4" w:space="0" w:color="auto"/>
              <w:right w:val="single" w:sz="4" w:space="0" w:color="auto"/>
            </w:tcBorders>
            <w:shd w:val="clear" w:color="auto" w:fill="auto"/>
            <w:vAlign w:val="bottom"/>
          </w:tcPr>
          <w:p w:rsidR="00E33C62" w:rsidRPr="004550A3" w:rsidRDefault="00E33C62" w:rsidP="0086498C">
            <w:pPr>
              <w:spacing w:after="0" w:line="240" w:lineRule="auto"/>
              <w:rPr>
                <w:rFonts w:cs="Arial"/>
                <w:color w:val="000000"/>
                <w:sz w:val="16"/>
                <w:szCs w:val="16"/>
              </w:rPr>
            </w:pPr>
            <w:r w:rsidRPr="004550A3">
              <w:rPr>
                <w:rFonts w:cs="Arial"/>
                <w:color w:val="000000"/>
                <w:sz w:val="16"/>
                <w:szCs w:val="16"/>
              </w:rPr>
              <w:t>5. Koordinacija, promocija in skrbnik programa</w:t>
            </w:r>
          </w:p>
        </w:tc>
        <w:tc>
          <w:tcPr>
            <w:tcW w:w="1134" w:type="dxa"/>
            <w:tcBorders>
              <w:top w:val="nil"/>
              <w:left w:val="nil"/>
              <w:bottom w:val="single" w:sz="4" w:space="0" w:color="auto"/>
              <w:right w:val="single" w:sz="4" w:space="0" w:color="auto"/>
            </w:tcBorders>
            <w:shd w:val="clear" w:color="auto" w:fill="auto"/>
            <w:noWrap/>
            <w:vAlign w:val="bottom"/>
          </w:tcPr>
          <w:p w:rsidR="00E33C62" w:rsidRPr="004550A3" w:rsidRDefault="00E33C62" w:rsidP="0086498C">
            <w:pPr>
              <w:spacing w:after="0" w:line="240" w:lineRule="auto"/>
              <w:jc w:val="right"/>
              <w:rPr>
                <w:rFonts w:cs="Arial"/>
                <w:color w:val="000000"/>
                <w:sz w:val="16"/>
                <w:szCs w:val="16"/>
              </w:rPr>
            </w:pPr>
            <w:r w:rsidRPr="004550A3">
              <w:rPr>
                <w:rFonts w:cs="Arial"/>
                <w:color w:val="000000"/>
                <w:sz w:val="16"/>
                <w:szCs w:val="16"/>
              </w:rPr>
              <w:t>19.225,00</w:t>
            </w:r>
          </w:p>
        </w:tc>
        <w:tc>
          <w:tcPr>
            <w:tcW w:w="1134" w:type="dxa"/>
            <w:tcBorders>
              <w:top w:val="nil"/>
              <w:left w:val="nil"/>
              <w:bottom w:val="single" w:sz="4" w:space="0" w:color="auto"/>
              <w:right w:val="single" w:sz="4" w:space="0" w:color="auto"/>
            </w:tcBorders>
            <w:shd w:val="clear" w:color="auto" w:fill="auto"/>
            <w:noWrap/>
            <w:vAlign w:val="bottom"/>
          </w:tcPr>
          <w:p w:rsidR="00E33C62" w:rsidRPr="004550A3" w:rsidRDefault="00E33C62" w:rsidP="0086498C">
            <w:pPr>
              <w:spacing w:after="0" w:line="240" w:lineRule="auto"/>
              <w:jc w:val="right"/>
              <w:rPr>
                <w:rFonts w:cs="Arial"/>
                <w:color w:val="000000"/>
                <w:sz w:val="16"/>
                <w:szCs w:val="16"/>
              </w:rPr>
            </w:pPr>
            <w:r w:rsidRPr="004550A3">
              <w:rPr>
                <w:rFonts w:cs="Arial"/>
                <w:color w:val="000000"/>
                <w:sz w:val="16"/>
                <w:szCs w:val="16"/>
              </w:rPr>
              <w:t>76.500,00</w:t>
            </w:r>
          </w:p>
        </w:tc>
        <w:tc>
          <w:tcPr>
            <w:tcW w:w="1077" w:type="dxa"/>
            <w:tcBorders>
              <w:top w:val="nil"/>
              <w:left w:val="nil"/>
              <w:bottom w:val="single" w:sz="4" w:space="0" w:color="auto"/>
              <w:right w:val="single" w:sz="4" w:space="0" w:color="auto"/>
            </w:tcBorders>
            <w:shd w:val="clear" w:color="auto" w:fill="auto"/>
            <w:noWrap/>
            <w:vAlign w:val="bottom"/>
          </w:tcPr>
          <w:p w:rsidR="00E33C62" w:rsidRPr="004550A3" w:rsidRDefault="00E33C62" w:rsidP="0086498C">
            <w:pPr>
              <w:spacing w:after="0" w:line="240" w:lineRule="auto"/>
              <w:jc w:val="right"/>
              <w:rPr>
                <w:rFonts w:cs="Arial"/>
                <w:color w:val="000000"/>
                <w:sz w:val="16"/>
                <w:szCs w:val="16"/>
              </w:rPr>
            </w:pPr>
            <w:r w:rsidRPr="004550A3">
              <w:rPr>
                <w:rFonts w:cs="Arial"/>
                <w:color w:val="000000"/>
                <w:sz w:val="16"/>
                <w:szCs w:val="16"/>
              </w:rPr>
              <w:t>76.500,00</w:t>
            </w:r>
          </w:p>
        </w:tc>
        <w:tc>
          <w:tcPr>
            <w:tcW w:w="1080" w:type="dxa"/>
            <w:tcBorders>
              <w:top w:val="nil"/>
              <w:left w:val="nil"/>
              <w:bottom w:val="single" w:sz="4" w:space="0" w:color="auto"/>
              <w:right w:val="single" w:sz="4" w:space="0" w:color="auto"/>
            </w:tcBorders>
            <w:shd w:val="clear" w:color="auto" w:fill="auto"/>
            <w:noWrap/>
            <w:vAlign w:val="bottom"/>
          </w:tcPr>
          <w:p w:rsidR="00E33C62" w:rsidRPr="004550A3" w:rsidRDefault="00E33C62" w:rsidP="0086498C">
            <w:pPr>
              <w:spacing w:after="0" w:line="240" w:lineRule="auto"/>
              <w:jc w:val="right"/>
              <w:rPr>
                <w:rFonts w:cs="Arial"/>
                <w:color w:val="000000"/>
                <w:sz w:val="16"/>
                <w:szCs w:val="16"/>
              </w:rPr>
            </w:pPr>
            <w:r w:rsidRPr="004550A3">
              <w:rPr>
                <w:rFonts w:cs="Arial"/>
                <w:color w:val="000000"/>
                <w:sz w:val="16"/>
                <w:szCs w:val="16"/>
              </w:rPr>
              <w:t>106.000,00</w:t>
            </w:r>
          </w:p>
        </w:tc>
        <w:tc>
          <w:tcPr>
            <w:tcW w:w="1060" w:type="dxa"/>
            <w:tcBorders>
              <w:top w:val="nil"/>
              <w:left w:val="nil"/>
              <w:bottom w:val="single" w:sz="4" w:space="0" w:color="auto"/>
              <w:right w:val="single" w:sz="4" w:space="0" w:color="auto"/>
            </w:tcBorders>
            <w:shd w:val="clear" w:color="auto" w:fill="auto"/>
            <w:noWrap/>
            <w:vAlign w:val="bottom"/>
          </w:tcPr>
          <w:p w:rsidR="00E33C62" w:rsidRPr="004550A3" w:rsidRDefault="00E33C62" w:rsidP="0086498C">
            <w:pPr>
              <w:spacing w:after="0" w:line="240" w:lineRule="auto"/>
              <w:jc w:val="right"/>
              <w:rPr>
                <w:rFonts w:cs="Arial"/>
                <w:color w:val="000000"/>
                <w:sz w:val="16"/>
                <w:szCs w:val="16"/>
              </w:rPr>
            </w:pPr>
            <w:r w:rsidRPr="004550A3">
              <w:rPr>
                <w:rFonts w:cs="Arial"/>
                <w:color w:val="000000"/>
                <w:sz w:val="16"/>
                <w:szCs w:val="16"/>
              </w:rPr>
              <w:t>76.500,00</w:t>
            </w:r>
          </w:p>
        </w:tc>
        <w:tc>
          <w:tcPr>
            <w:tcW w:w="1280" w:type="dxa"/>
            <w:tcBorders>
              <w:top w:val="nil"/>
              <w:left w:val="nil"/>
              <w:bottom w:val="single" w:sz="4" w:space="0" w:color="auto"/>
              <w:right w:val="single" w:sz="4" w:space="0" w:color="auto"/>
            </w:tcBorders>
            <w:shd w:val="clear" w:color="auto" w:fill="auto"/>
            <w:noWrap/>
            <w:vAlign w:val="bottom"/>
          </w:tcPr>
          <w:p w:rsidR="00E33C62" w:rsidRPr="004550A3" w:rsidRDefault="00E33C62" w:rsidP="0086498C">
            <w:pPr>
              <w:spacing w:after="0" w:line="240" w:lineRule="auto"/>
              <w:jc w:val="right"/>
              <w:rPr>
                <w:rFonts w:cs="Arial"/>
                <w:color w:val="000000"/>
                <w:sz w:val="16"/>
                <w:szCs w:val="16"/>
              </w:rPr>
            </w:pPr>
            <w:r w:rsidRPr="004550A3">
              <w:rPr>
                <w:rFonts w:cs="Arial"/>
                <w:color w:val="000000"/>
                <w:sz w:val="16"/>
                <w:szCs w:val="16"/>
              </w:rPr>
              <w:t>76.500,00</w:t>
            </w:r>
          </w:p>
        </w:tc>
        <w:tc>
          <w:tcPr>
            <w:tcW w:w="1341" w:type="dxa"/>
            <w:tcBorders>
              <w:top w:val="nil"/>
              <w:left w:val="nil"/>
              <w:bottom w:val="single" w:sz="4" w:space="0" w:color="auto"/>
              <w:right w:val="single" w:sz="4" w:space="0" w:color="auto"/>
            </w:tcBorders>
            <w:shd w:val="clear" w:color="auto" w:fill="auto"/>
            <w:noWrap/>
            <w:vAlign w:val="bottom"/>
          </w:tcPr>
          <w:p w:rsidR="00E33C62" w:rsidRPr="004550A3" w:rsidRDefault="00E33C62" w:rsidP="0086498C">
            <w:pPr>
              <w:spacing w:after="0" w:line="240" w:lineRule="auto"/>
              <w:jc w:val="right"/>
              <w:rPr>
                <w:rFonts w:cs="Arial"/>
                <w:color w:val="000000"/>
                <w:sz w:val="16"/>
                <w:szCs w:val="16"/>
              </w:rPr>
            </w:pPr>
            <w:r w:rsidRPr="004550A3">
              <w:rPr>
                <w:rFonts w:cs="Arial"/>
                <w:color w:val="000000"/>
                <w:sz w:val="16"/>
                <w:szCs w:val="16"/>
              </w:rPr>
              <w:t>431.225,00</w:t>
            </w:r>
          </w:p>
        </w:tc>
      </w:tr>
      <w:tr w:rsidR="00E33C62" w:rsidRPr="004550A3" w:rsidTr="0086498C">
        <w:trPr>
          <w:trHeight w:val="20"/>
        </w:trPr>
        <w:tc>
          <w:tcPr>
            <w:tcW w:w="1433" w:type="dxa"/>
            <w:tcBorders>
              <w:top w:val="nil"/>
              <w:left w:val="single" w:sz="4" w:space="0" w:color="auto"/>
              <w:bottom w:val="single" w:sz="4" w:space="0" w:color="auto"/>
              <w:right w:val="single" w:sz="4" w:space="0" w:color="auto"/>
            </w:tcBorders>
            <w:shd w:val="clear" w:color="auto" w:fill="auto"/>
            <w:vAlign w:val="bottom"/>
          </w:tcPr>
          <w:p w:rsidR="00E33C62" w:rsidRPr="004550A3" w:rsidRDefault="00E33C62" w:rsidP="0086498C">
            <w:pPr>
              <w:spacing w:after="0" w:line="240" w:lineRule="auto"/>
              <w:rPr>
                <w:rFonts w:cs="Arial"/>
                <w:b/>
                <w:color w:val="000000"/>
                <w:sz w:val="16"/>
                <w:szCs w:val="16"/>
              </w:rPr>
            </w:pPr>
            <w:r w:rsidRPr="004550A3">
              <w:rPr>
                <w:rFonts w:cs="Arial"/>
                <w:b/>
                <w:color w:val="000000"/>
                <w:sz w:val="16"/>
                <w:szCs w:val="16"/>
              </w:rPr>
              <w:t>Skupaj</w:t>
            </w:r>
          </w:p>
        </w:tc>
        <w:tc>
          <w:tcPr>
            <w:tcW w:w="1134" w:type="dxa"/>
            <w:tcBorders>
              <w:top w:val="nil"/>
              <w:left w:val="nil"/>
              <w:bottom w:val="single" w:sz="4" w:space="0" w:color="auto"/>
              <w:right w:val="single" w:sz="4" w:space="0" w:color="auto"/>
            </w:tcBorders>
            <w:shd w:val="clear" w:color="auto" w:fill="auto"/>
            <w:noWrap/>
            <w:vAlign w:val="bottom"/>
          </w:tcPr>
          <w:p w:rsidR="00E33C62" w:rsidRPr="004550A3" w:rsidRDefault="00E33C62" w:rsidP="0086498C">
            <w:pPr>
              <w:spacing w:after="0" w:line="240" w:lineRule="auto"/>
              <w:jc w:val="right"/>
              <w:rPr>
                <w:rFonts w:cs="Arial"/>
                <w:b/>
                <w:color w:val="000000"/>
                <w:sz w:val="16"/>
                <w:szCs w:val="16"/>
              </w:rPr>
            </w:pPr>
            <w:r w:rsidRPr="004550A3">
              <w:rPr>
                <w:rFonts w:cs="Arial"/>
                <w:color w:val="000000"/>
                <w:sz w:val="16"/>
                <w:szCs w:val="16"/>
              </w:rPr>
              <w:t>1.644.145,00</w:t>
            </w:r>
          </w:p>
        </w:tc>
        <w:tc>
          <w:tcPr>
            <w:tcW w:w="1134" w:type="dxa"/>
            <w:tcBorders>
              <w:top w:val="nil"/>
              <w:left w:val="nil"/>
              <w:bottom w:val="single" w:sz="4" w:space="0" w:color="auto"/>
              <w:right w:val="single" w:sz="4" w:space="0" w:color="auto"/>
            </w:tcBorders>
            <w:shd w:val="clear" w:color="auto" w:fill="auto"/>
            <w:noWrap/>
            <w:vAlign w:val="bottom"/>
          </w:tcPr>
          <w:p w:rsidR="00E33C62" w:rsidRPr="004550A3" w:rsidRDefault="00E33C62" w:rsidP="0086498C">
            <w:pPr>
              <w:spacing w:after="0" w:line="240" w:lineRule="auto"/>
              <w:jc w:val="right"/>
              <w:rPr>
                <w:rFonts w:cs="Arial"/>
                <w:b/>
                <w:color w:val="000000"/>
                <w:sz w:val="16"/>
                <w:szCs w:val="16"/>
              </w:rPr>
            </w:pPr>
            <w:r w:rsidRPr="004550A3">
              <w:rPr>
                <w:rFonts w:cs="Arial"/>
                <w:color w:val="000000"/>
                <w:sz w:val="16"/>
                <w:szCs w:val="16"/>
              </w:rPr>
              <w:t>4.251.260,00</w:t>
            </w:r>
          </w:p>
        </w:tc>
        <w:tc>
          <w:tcPr>
            <w:tcW w:w="1077" w:type="dxa"/>
            <w:tcBorders>
              <w:top w:val="nil"/>
              <w:left w:val="nil"/>
              <w:bottom w:val="single" w:sz="4" w:space="0" w:color="auto"/>
              <w:right w:val="single" w:sz="4" w:space="0" w:color="auto"/>
            </w:tcBorders>
            <w:shd w:val="clear" w:color="auto" w:fill="auto"/>
            <w:noWrap/>
            <w:vAlign w:val="bottom"/>
          </w:tcPr>
          <w:p w:rsidR="00E33C62" w:rsidRPr="004550A3" w:rsidRDefault="00E33C62" w:rsidP="0086498C">
            <w:pPr>
              <w:spacing w:after="0" w:line="240" w:lineRule="auto"/>
              <w:jc w:val="right"/>
              <w:rPr>
                <w:rFonts w:cs="Arial"/>
                <w:b/>
                <w:color w:val="000000"/>
                <w:sz w:val="16"/>
                <w:szCs w:val="16"/>
              </w:rPr>
            </w:pPr>
            <w:r w:rsidRPr="004550A3">
              <w:rPr>
                <w:rFonts w:cs="Arial"/>
                <w:color w:val="000000"/>
                <w:sz w:val="16"/>
                <w:szCs w:val="16"/>
              </w:rPr>
              <w:t>2.680.245,00</w:t>
            </w:r>
          </w:p>
        </w:tc>
        <w:tc>
          <w:tcPr>
            <w:tcW w:w="1080" w:type="dxa"/>
            <w:tcBorders>
              <w:top w:val="nil"/>
              <w:left w:val="nil"/>
              <w:bottom w:val="single" w:sz="4" w:space="0" w:color="auto"/>
              <w:right w:val="single" w:sz="4" w:space="0" w:color="auto"/>
            </w:tcBorders>
            <w:shd w:val="clear" w:color="auto" w:fill="auto"/>
            <w:noWrap/>
            <w:vAlign w:val="bottom"/>
          </w:tcPr>
          <w:p w:rsidR="00E33C62" w:rsidRPr="004550A3" w:rsidRDefault="00E33C62" w:rsidP="0086498C">
            <w:pPr>
              <w:spacing w:after="0" w:line="240" w:lineRule="auto"/>
              <w:jc w:val="right"/>
              <w:rPr>
                <w:rFonts w:cs="Arial"/>
                <w:b/>
                <w:color w:val="000000"/>
                <w:sz w:val="16"/>
                <w:szCs w:val="16"/>
              </w:rPr>
            </w:pPr>
            <w:r w:rsidRPr="004550A3">
              <w:rPr>
                <w:rFonts w:cs="Arial"/>
                <w:color w:val="000000"/>
                <w:sz w:val="16"/>
                <w:szCs w:val="16"/>
              </w:rPr>
              <w:t>1.780.760,00</w:t>
            </w:r>
          </w:p>
        </w:tc>
        <w:tc>
          <w:tcPr>
            <w:tcW w:w="1060" w:type="dxa"/>
            <w:tcBorders>
              <w:top w:val="nil"/>
              <w:left w:val="nil"/>
              <w:bottom w:val="single" w:sz="4" w:space="0" w:color="auto"/>
              <w:right w:val="single" w:sz="4" w:space="0" w:color="auto"/>
            </w:tcBorders>
            <w:shd w:val="clear" w:color="auto" w:fill="auto"/>
            <w:noWrap/>
            <w:vAlign w:val="bottom"/>
          </w:tcPr>
          <w:p w:rsidR="00E33C62" w:rsidRPr="004550A3" w:rsidRDefault="00E33C62" w:rsidP="0086498C">
            <w:pPr>
              <w:spacing w:after="0" w:line="240" w:lineRule="auto"/>
              <w:jc w:val="right"/>
              <w:rPr>
                <w:rFonts w:cs="Arial"/>
                <w:b/>
                <w:color w:val="000000"/>
                <w:sz w:val="16"/>
                <w:szCs w:val="16"/>
              </w:rPr>
            </w:pPr>
            <w:r w:rsidRPr="004550A3">
              <w:rPr>
                <w:rFonts w:cs="Arial"/>
                <w:color w:val="000000"/>
                <w:sz w:val="16"/>
                <w:szCs w:val="16"/>
              </w:rPr>
              <w:t>1.551.260,00</w:t>
            </w:r>
          </w:p>
        </w:tc>
        <w:tc>
          <w:tcPr>
            <w:tcW w:w="1280" w:type="dxa"/>
            <w:tcBorders>
              <w:top w:val="nil"/>
              <w:left w:val="nil"/>
              <w:bottom w:val="single" w:sz="4" w:space="0" w:color="auto"/>
              <w:right w:val="single" w:sz="4" w:space="0" w:color="auto"/>
            </w:tcBorders>
            <w:shd w:val="clear" w:color="auto" w:fill="auto"/>
            <w:noWrap/>
            <w:vAlign w:val="bottom"/>
          </w:tcPr>
          <w:p w:rsidR="00E33C62" w:rsidRPr="004550A3" w:rsidRDefault="00E33C62" w:rsidP="0086498C">
            <w:pPr>
              <w:spacing w:after="0" w:line="240" w:lineRule="auto"/>
              <w:jc w:val="right"/>
              <w:rPr>
                <w:rFonts w:cs="Arial"/>
                <w:b/>
                <w:color w:val="000000"/>
                <w:sz w:val="16"/>
                <w:szCs w:val="16"/>
              </w:rPr>
            </w:pPr>
            <w:r w:rsidRPr="004550A3">
              <w:rPr>
                <w:rFonts w:cs="Arial"/>
                <w:color w:val="000000"/>
                <w:sz w:val="16"/>
                <w:szCs w:val="16"/>
              </w:rPr>
              <w:t>1.466.330,00</w:t>
            </w:r>
          </w:p>
        </w:tc>
        <w:tc>
          <w:tcPr>
            <w:tcW w:w="1341" w:type="dxa"/>
            <w:tcBorders>
              <w:top w:val="nil"/>
              <w:left w:val="nil"/>
              <w:bottom w:val="single" w:sz="4" w:space="0" w:color="auto"/>
              <w:right w:val="single" w:sz="4" w:space="0" w:color="auto"/>
            </w:tcBorders>
            <w:shd w:val="clear" w:color="auto" w:fill="auto"/>
            <w:noWrap/>
            <w:vAlign w:val="bottom"/>
          </w:tcPr>
          <w:p w:rsidR="00E33C62" w:rsidRPr="004550A3" w:rsidRDefault="00E33C62" w:rsidP="0086498C">
            <w:pPr>
              <w:spacing w:after="0" w:line="240" w:lineRule="auto"/>
              <w:jc w:val="right"/>
              <w:rPr>
                <w:rFonts w:cs="Arial"/>
                <w:b/>
                <w:color w:val="000000"/>
                <w:sz w:val="16"/>
                <w:szCs w:val="16"/>
              </w:rPr>
            </w:pPr>
            <w:r w:rsidRPr="004550A3">
              <w:rPr>
                <w:rFonts w:cs="Arial"/>
                <w:color w:val="000000"/>
                <w:sz w:val="16"/>
                <w:szCs w:val="16"/>
              </w:rPr>
              <w:t>13.374.000,00</w:t>
            </w:r>
          </w:p>
        </w:tc>
      </w:tr>
    </w:tbl>
    <w:p w:rsidR="00E33C62" w:rsidRDefault="00E33C62" w:rsidP="00E33C62">
      <w:pPr>
        <w:spacing w:after="0" w:line="240" w:lineRule="auto"/>
      </w:pPr>
    </w:p>
    <w:p w:rsidR="00E33C62" w:rsidRDefault="00E33C62" w:rsidP="00E33C62">
      <w:pPr>
        <w:spacing w:after="0" w:line="240" w:lineRule="auto"/>
      </w:pPr>
    </w:p>
    <w:p w:rsidR="00E33C62" w:rsidRPr="0086498C" w:rsidRDefault="00E33C62" w:rsidP="0086498C">
      <w:pPr>
        <w:pStyle w:val="Naslov1"/>
        <w:numPr>
          <w:ilvl w:val="0"/>
          <w:numId w:val="12"/>
        </w:numPr>
        <w:rPr>
          <w:rFonts w:ascii="Cambria" w:hAnsi="Cambria"/>
          <w:sz w:val="26"/>
          <w:szCs w:val="26"/>
        </w:rPr>
      </w:pPr>
      <w:r w:rsidRPr="0086498C">
        <w:rPr>
          <w:rFonts w:ascii="Cambria" w:hAnsi="Cambria"/>
          <w:sz w:val="26"/>
          <w:szCs w:val="26"/>
        </w:rPr>
        <w:t>Stopnja registrirane brezposelnosti</w:t>
      </w:r>
    </w:p>
    <w:p w:rsidR="00E33C62" w:rsidRDefault="00E33C62" w:rsidP="00E33C62">
      <w:pPr>
        <w:spacing w:after="0" w:line="240" w:lineRule="auto"/>
      </w:pPr>
    </w:p>
    <w:p w:rsidR="00E33C62" w:rsidRDefault="00E33C62" w:rsidP="00E33C62">
      <w:pPr>
        <w:spacing w:after="0" w:line="240" w:lineRule="auto"/>
        <w:jc w:val="both"/>
        <w:rPr>
          <w:rFonts w:cs="Arial"/>
          <w:bCs/>
        </w:rPr>
      </w:pPr>
      <w:r w:rsidRPr="00955E15">
        <w:rPr>
          <w:rFonts w:cs="Arial"/>
          <w:bCs/>
        </w:rPr>
        <w:t>Problemsko območje z visoko brezposelnostjo je lahko le strnjeno območje več občin, na katerem živi najmanj 20.000 prebivalcev. Šteje se, da so se gospodarske razmere na določenem območju poslabšale do stopnje, ko registrirana brezposelnost doseže kritično mejo, če je stopnja registrirane brezposelnosti v upravni enoti najmanj tri zaporedne mesece 17,0-odstotna ali višja</w:t>
      </w:r>
      <w:r>
        <w:rPr>
          <w:rFonts w:cs="Arial"/>
          <w:bCs/>
        </w:rPr>
        <w:t>.</w:t>
      </w:r>
    </w:p>
    <w:p w:rsidR="00E33C62" w:rsidRDefault="00E33C62" w:rsidP="00E33C62">
      <w:pPr>
        <w:spacing w:after="0" w:line="240" w:lineRule="auto"/>
        <w:jc w:val="both"/>
        <w:rPr>
          <w:rFonts w:cs="Arial"/>
          <w:bCs/>
        </w:rPr>
      </w:pPr>
    </w:p>
    <w:p w:rsidR="00E33C62" w:rsidRPr="00180CB8" w:rsidRDefault="00E33C62" w:rsidP="00E33C62">
      <w:pPr>
        <w:spacing w:after="0" w:line="240" w:lineRule="auto"/>
        <w:jc w:val="both"/>
        <w:rPr>
          <w:rFonts w:cs="Arial"/>
          <w:b/>
          <w:bCs/>
        </w:rPr>
      </w:pPr>
      <w:r w:rsidRPr="00180CB8">
        <w:rPr>
          <w:rFonts w:cs="Arial"/>
          <w:b/>
          <w:bCs/>
        </w:rPr>
        <w:t>Tabela 2: Stopnja registrirane brezposelnosti v Občinah, Hrastnik, Radeče, Trbovlje,  v %</w:t>
      </w:r>
    </w:p>
    <w:tbl>
      <w:tblPr>
        <w:tblW w:w="91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
        <w:gridCol w:w="992"/>
        <w:gridCol w:w="950"/>
        <w:gridCol w:w="1093"/>
        <w:gridCol w:w="772"/>
        <w:gridCol w:w="1296"/>
        <w:gridCol w:w="992"/>
        <w:gridCol w:w="1134"/>
        <w:gridCol w:w="1062"/>
      </w:tblGrid>
      <w:tr w:rsidR="00B13EDC" w:rsidRPr="00180CB8" w:rsidTr="0086498C">
        <w:trPr>
          <w:trHeight w:val="300"/>
        </w:trPr>
        <w:tc>
          <w:tcPr>
            <w:tcW w:w="866" w:type="dxa"/>
            <w:shd w:val="clear" w:color="auto" w:fill="auto"/>
            <w:noWrap/>
            <w:vAlign w:val="bottom"/>
            <w:hideMark/>
          </w:tcPr>
          <w:p w:rsidR="00E33C62" w:rsidRPr="00180CB8" w:rsidRDefault="00E33C62" w:rsidP="0086498C">
            <w:pPr>
              <w:spacing w:after="0" w:line="240" w:lineRule="auto"/>
              <w:rPr>
                <w:rFonts w:eastAsia="Times New Roman"/>
                <w:color w:val="000000"/>
                <w:sz w:val="20"/>
                <w:lang w:eastAsia="sl-SI"/>
              </w:rPr>
            </w:pPr>
            <w:r w:rsidRPr="00180CB8">
              <w:rPr>
                <w:rFonts w:eastAsia="Times New Roman"/>
                <w:color w:val="000000"/>
                <w:sz w:val="20"/>
                <w:lang w:eastAsia="sl-SI"/>
              </w:rPr>
              <w:t> </w:t>
            </w:r>
          </w:p>
        </w:tc>
        <w:tc>
          <w:tcPr>
            <w:tcW w:w="992" w:type="dxa"/>
            <w:shd w:val="clear" w:color="auto" w:fill="auto"/>
            <w:noWrap/>
            <w:vAlign w:val="bottom"/>
            <w:hideMark/>
          </w:tcPr>
          <w:p w:rsidR="00E33C62" w:rsidRPr="00180CB8" w:rsidRDefault="00E33C62" w:rsidP="0086498C">
            <w:pPr>
              <w:spacing w:after="0" w:line="240" w:lineRule="auto"/>
              <w:rPr>
                <w:rFonts w:eastAsia="Times New Roman"/>
                <w:color w:val="000000"/>
                <w:sz w:val="20"/>
                <w:lang w:eastAsia="sl-SI"/>
              </w:rPr>
            </w:pPr>
            <w:r w:rsidRPr="00180CB8">
              <w:rPr>
                <w:rFonts w:eastAsia="Times New Roman"/>
                <w:color w:val="000000"/>
                <w:sz w:val="20"/>
                <w:lang w:eastAsia="sl-SI"/>
              </w:rPr>
              <w:t> </w:t>
            </w:r>
          </w:p>
        </w:tc>
        <w:tc>
          <w:tcPr>
            <w:tcW w:w="950" w:type="dxa"/>
          </w:tcPr>
          <w:p w:rsidR="00E33C62" w:rsidRPr="00180CB8" w:rsidRDefault="00E33C62" w:rsidP="0086498C">
            <w:pPr>
              <w:spacing w:after="0" w:line="240" w:lineRule="auto"/>
              <w:jc w:val="center"/>
              <w:rPr>
                <w:rFonts w:eastAsia="Times New Roman"/>
                <w:color w:val="000000"/>
                <w:sz w:val="20"/>
                <w:lang w:eastAsia="sl-SI"/>
              </w:rPr>
            </w:pPr>
          </w:p>
        </w:tc>
        <w:tc>
          <w:tcPr>
            <w:tcW w:w="1093" w:type="dxa"/>
          </w:tcPr>
          <w:p w:rsidR="00E33C62" w:rsidRPr="00180CB8" w:rsidRDefault="00E33C62" w:rsidP="0086498C">
            <w:pPr>
              <w:spacing w:after="0" w:line="240" w:lineRule="auto"/>
              <w:jc w:val="center"/>
              <w:rPr>
                <w:rFonts w:eastAsia="Times New Roman"/>
                <w:color w:val="000000"/>
                <w:sz w:val="20"/>
                <w:lang w:eastAsia="sl-SI"/>
              </w:rPr>
            </w:pPr>
            <w:r w:rsidRPr="00180CB8">
              <w:rPr>
                <w:rFonts w:eastAsia="Times New Roman"/>
                <w:color w:val="000000"/>
                <w:sz w:val="20"/>
                <w:lang w:eastAsia="sl-SI"/>
              </w:rPr>
              <w:t>2012*</w:t>
            </w:r>
          </w:p>
        </w:tc>
        <w:tc>
          <w:tcPr>
            <w:tcW w:w="2068" w:type="dxa"/>
            <w:gridSpan w:val="2"/>
          </w:tcPr>
          <w:p w:rsidR="00E33C62" w:rsidRPr="00180CB8" w:rsidRDefault="00E33C62" w:rsidP="0086498C">
            <w:pPr>
              <w:spacing w:after="0" w:line="240" w:lineRule="auto"/>
              <w:jc w:val="center"/>
              <w:rPr>
                <w:rFonts w:eastAsia="Times New Roman"/>
                <w:color w:val="000000"/>
                <w:sz w:val="20"/>
                <w:lang w:eastAsia="sl-SI"/>
              </w:rPr>
            </w:pPr>
            <w:r w:rsidRPr="00180CB8">
              <w:rPr>
                <w:rFonts w:eastAsia="Times New Roman"/>
                <w:color w:val="000000"/>
                <w:sz w:val="20"/>
                <w:lang w:eastAsia="sl-SI"/>
              </w:rPr>
              <w:t>2013*</w:t>
            </w:r>
          </w:p>
        </w:tc>
        <w:tc>
          <w:tcPr>
            <w:tcW w:w="3188" w:type="dxa"/>
            <w:gridSpan w:val="3"/>
            <w:shd w:val="clear" w:color="auto" w:fill="auto"/>
            <w:noWrap/>
            <w:vAlign w:val="bottom"/>
            <w:hideMark/>
          </w:tcPr>
          <w:p w:rsidR="00E33C62" w:rsidRPr="00180CB8" w:rsidRDefault="00E33C62" w:rsidP="00B13EDC">
            <w:pPr>
              <w:spacing w:after="0" w:line="240" w:lineRule="auto"/>
              <w:jc w:val="center"/>
              <w:rPr>
                <w:rFonts w:eastAsia="Times New Roman"/>
                <w:color w:val="000000"/>
                <w:sz w:val="20"/>
                <w:lang w:eastAsia="sl-SI"/>
              </w:rPr>
            </w:pPr>
          </w:p>
        </w:tc>
      </w:tr>
      <w:tr w:rsidR="00B13EDC" w:rsidRPr="00180CB8" w:rsidTr="00D20C7C">
        <w:trPr>
          <w:trHeight w:val="300"/>
        </w:trPr>
        <w:tc>
          <w:tcPr>
            <w:tcW w:w="866" w:type="dxa"/>
            <w:shd w:val="clear" w:color="auto" w:fill="auto"/>
            <w:noWrap/>
            <w:vAlign w:val="bottom"/>
          </w:tcPr>
          <w:p w:rsidR="00D20C7C" w:rsidRPr="00180CB8" w:rsidRDefault="00D20C7C" w:rsidP="0086498C">
            <w:pPr>
              <w:spacing w:after="0" w:line="240" w:lineRule="auto"/>
              <w:rPr>
                <w:rFonts w:eastAsia="Times New Roman"/>
                <w:color w:val="000000"/>
                <w:sz w:val="20"/>
                <w:lang w:eastAsia="sl-SI"/>
              </w:rPr>
            </w:pPr>
          </w:p>
        </w:tc>
        <w:tc>
          <w:tcPr>
            <w:tcW w:w="992" w:type="dxa"/>
            <w:shd w:val="clear" w:color="auto" w:fill="auto"/>
            <w:noWrap/>
            <w:vAlign w:val="bottom"/>
          </w:tcPr>
          <w:p w:rsidR="00D20C7C" w:rsidRPr="00180CB8" w:rsidRDefault="00D20C7C" w:rsidP="0086498C">
            <w:pPr>
              <w:spacing w:after="0" w:line="240" w:lineRule="auto"/>
              <w:rPr>
                <w:rFonts w:eastAsia="Times New Roman"/>
                <w:color w:val="000000"/>
                <w:sz w:val="20"/>
                <w:lang w:eastAsia="sl-SI"/>
              </w:rPr>
            </w:pPr>
          </w:p>
        </w:tc>
        <w:tc>
          <w:tcPr>
            <w:tcW w:w="950" w:type="dxa"/>
          </w:tcPr>
          <w:p w:rsidR="00D20C7C" w:rsidRPr="00180CB8" w:rsidRDefault="00D20C7C" w:rsidP="0086498C">
            <w:pPr>
              <w:spacing w:after="0" w:line="240" w:lineRule="auto"/>
              <w:jc w:val="center"/>
              <w:rPr>
                <w:rFonts w:eastAsia="Times New Roman"/>
                <w:color w:val="000000"/>
                <w:sz w:val="20"/>
                <w:lang w:eastAsia="sl-SI"/>
              </w:rPr>
            </w:pPr>
            <w:r w:rsidRPr="00180CB8">
              <w:rPr>
                <w:rFonts w:eastAsia="Times New Roman"/>
                <w:color w:val="000000"/>
                <w:sz w:val="20"/>
                <w:lang w:eastAsia="sl-SI"/>
              </w:rPr>
              <w:t>UE</w:t>
            </w:r>
          </w:p>
        </w:tc>
        <w:tc>
          <w:tcPr>
            <w:tcW w:w="1093" w:type="dxa"/>
            <w:vAlign w:val="center"/>
          </w:tcPr>
          <w:p w:rsidR="00D20C7C" w:rsidRPr="00180CB8" w:rsidRDefault="00D20C7C" w:rsidP="00D20C7C">
            <w:pPr>
              <w:spacing w:after="0" w:line="240" w:lineRule="auto"/>
              <w:jc w:val="center"/>
              <w:rPr>
                <w:rFonts w:eastAsia="Times New Roman"/>
                <w:color w:val="000000"/>
                <w:sz w:val="20"/>
                <w:lang w:eastAsia="sl-SI"/>
              </w:rPr>
            </w:pPr>
            <w:r w:rsidRPr="00180CB8">
              <w:rPr>
                <w:rFonts w:eastAsia="Times New Roman"/>
                <w:color w:val="000000"/>
                <w:sz w:val="20"/>
                <w:lang w:eastAsia="sl-SI"/>
              </w:rPr>
              <w:t>december</w:t>
            </w:r>
          </w:p>
        </w:tc>
        <w:tc>
          <w:tcPr>
            <w:tcW w:w="772" w:type="dxa"/>
            <w:vAlign w:val="center"/>
          </w:tcPr>
          <w:p w:rsidR="00D20C7C" w:rsidRPr="00180CB8" w:rsidRDefault="00D20C7C" w:rsidP="00D20C7C">
            <w:pPr>
              <w:spacing w:after="0" w:line="240" w:lineRule="auto"/>
              <w:jc w:val="center"/>
              <w:rPr>
                <w:rFonts w:eastAsia="Times New Roman"/>
                <w:color w:val="000000"/>
                <w:sz w:val="20"/>
                <w:lang w:eastAsia="sl-SI"/>
              </w:rPr>
            </w:pPr>
            <w:r w:rsidRPr="00180CB8">
              <w:rPr>
                <w:rFonts w:eastAsia="Times New Roman"/>
                <w:color w:val="000000"/>
                <w:sz w:val="20"/>
                <w:lang w:eastAsia="sl-SI"/>
              </w:rPr>
              <w:t>januar</w:t>
            </w:r>
          </w:p>
        </w:tc>
        <w:tc>
          <w:tcPr>
            <w:tcW w:w="1296" w:type="dxa"/>
            <w:vAlign w:val="center"/>
          </w:tcPr>
          <w:p w:rsidR="00D20C7C" w:rsidRPr="00180CB8" w:rsidRDefault="00D20C7C" w:rsidP="00D20C7C">
            <w:pPr>
              <w:spacing w:after="0" w:line="240" w:lineRule="auto"/>
              <w:jc w:val="center"/>
              <w:rPr>
                <w:rFonts w:eastAsia="Times New Roman"/>
                <w:color w:val="000000"/>
                <w:sz w:val="20"/>
                <w:lang w:eastAsia="sl-SI"/>
              </w:rPr>
            </w:pPr>
            <w:r w:rsidRPr="00180CB8">
              <w:rPr>
                <w:rFonts w:eastAsia="Times New Roman"/>
                <w:color w:val="000000"/>
                <w:sz w:val="20"/>
                <w:lang w:eastAsia="sl-SI"/>
              </w:rPr>
              <w:t>februar</w:t>
            </w:r>
          </w:p>
        </w:tc>
        <w:tc>
          <w:tcPr>
            <w:tcW w:w="992" w:type="dxa"/>
            <w:shd w:val="clear" w:color="auto" w:fill="auto"/>
            <w:noWrap/>
            <w:vAlign w:val="center"/>
          </w:tcPr>
          <w:p w:rsidR="00D20C7C" w:rsidRPr="00180CB8" w:rsidRDefault="00B13EDC" w:rsidP="00D20C7C">
            <w:pPr>
              <w:spacing w:after="0" w:line="240" w:lineRule="auto"/>
              <w:jc w:val="center"/>
              <w:rPr>
                <w:rFonts w:eastAsia="Times New Roman"/>
                <w:color w:val="000000"/>
                <w:sz w:val="20"/>
                <w:lang w:eastAsia="sl-SI"/>
              </w:rPr>
            </w:pPr>
            <w:r w:rsidRPr="00180CB8">
              <w:rPr>
                <w:rFonts w:eastAsia="Times New Roman"/>
                <w:color w:val="000000"/>
                <w:sz w:val="20"/>
                <w:lang w:eastAsia="sl-SI"/>
              </w:rPr>
              <w:t>december 2014</w:t>
            </w:r>
          </w:p>
        </w:tc>
        <w:tc>
          <w:tcPr>
            <w:tcW w:w="1134" w:type="dxa"/>
            <w:shd w:val="clear" w:color="auto" w:fill="auto"/>
            <w:noWrap/>
            <w:vAlign w:val="center"/>
          </w:tcPr>
          <w:p w:rsidR="00D20C7C" w:rsidRPr="00180CB8" w:rsidRDefault="00514E79" w:rsidP="00D20C7C">
            <w:pPr>
              <w:spacing w:after="0" w:line="240" w:lineRule="auto"/>
              <w:jc w:val="center"/>
              <w:rPr>
                <w:rFonts w:eastAsia="Times New Roman"/>
                <w:color w:val="000000"/>
                <w:sz w:val="20"/>
                <w:lang w:eastAsia="sl-SI"/>
              </w:rPr>
            </w:pPr>
            <w:r w:rsidRPr="00180CB8">
              <w:rPr>
                <w:rFonts w:eastAsia="Times New Roman"/>
                <w:color w:val="000000"/>
                <w:sz w:val="20"/>
                <w:lang w:eastAsia="sl-SI"/>
              </w:rPr>
              <w:t>januar</w:t>
            </w:r>
            <w:r w:rsidR="00B13EDC" w:rsidRPr="00180CB8">
              <w:rPr>
                <w:rFonts w:eastAsia="Times New Roman"/>
                <w:color w:val="000000"/>
                <w:sz w:val="20"/>
                <w:lang w:eastAsia="sl-SI"/>
              </w:rPr>
              <w:t xml:space="preserve"> 2015</w:t>
            </w:r>
          </w:p>
        </w:tc>
        <w:tc>
          <w:tcPr>
            <w:tcW w:w="1062" w:type="dxa"/>
            <w:shd w:val="clear" w:color="auto" w:fill="auto"/>
            <w:noWrap/>
            <w:vAlign w:val="center"/>
          </w:tcPr>
          <w:p w:rsidR="00D20C7C" w:rsidRPr="00180CB8" w:rsidRDefault="00B13EDC" w:rsidP="00D20C7C">
            <w:pPr>
              <w:spacing w:after="0" w:line="240" w:lineRule="auto"/>
              <w:jc w:val="center"/>
              <w:rPr>
                <w:rFonts w:eastAsia="Times New Roman"/>
                <w:color w:val="000000"/>
                <w:sz w:val="20"/>
                <w:lang w:eastAsia="sl-SI"/>
              </w:rPr>
            </w:pPr>
            <w:r w:rsidRPr="00180CB8">
              <w:rPr>
                <w:rFonts w:eastAsia="Times New Roman"/>
                <w:color w:val="000000"/>
                <w:sz w:val="20"/>
                <w:lang w:eastAsia="sl-SI"/>
              </w:rPr>
              <w:t>februar 2015</w:t>
            </w:r>
          </w:p>
        </w:tc>
      </w:tr>
      <w:tr w:rsidR="00B13EDC" w:rsidRPr="00180CB8" w:rsidTr="00D20C7C">
        <w:trPr>
          <w:trHeight w:val="300"/>
        </w:trPr>
        <w:tc>
          <w:tcPr>
            <w:tcW w:w="866" w:type="dxa"/>
            <w:vMerge w:val="restart"/>
            <w:shd w:val="clear" w:color="auto" w:fill="auto"/>
            <w:vAlign w:val="bottom"/>
            <w:hideMark/>
          </w:tcPr>
          <w:p w:rsidR="00D20C7C" w:rsidRPr="00180CB8" w:rsidRDefault="00D20C7C" w:rsidP="0086498C">
            <w:pPr>
              <w:spacing w:after="0" w:line="240" w:lineRule="auto"/>
              <w:rPr>
                <w:rFonts w:eastAsia="Times New Roman"/>
                <w:color w:val="000000"/>
                <w:sz w:val="20"/>
                <w:lang w:eastAsia="sl-SI"/>
              </w:rPr>
            </w:pPr>
            <w:r w:rsidRPr="00180CB8">
              <w:rPr>
                <w:rFonts w:eastAsia="Times New Roman"/>
                <w:color w:val="000000"/>
                <w:sz w:val="20"/>
                <w:lang w:eastAsia="sl-SI"/>
              </w:rPr>
              <w:t>Spol - SKUPAJ</w:t>
            </w:r>
          </w:p>
        </w:tc>
        <w:tc>
          <w:tcPr>
            <w:tcW w:w="992" w:type="dxa"/>
            <w:shd w:val="clear" w:color="auto" w:fill="auto"/>
            <w:vAlign w:val="bottom"/>
            <w:hideMark/>
          </w:tcPr>
          <w:p w:rsidR="00D20C7C" w:rsidRPr="00180CB8" w:rsidRDefault="00D20C7C" w:rsidP="0086498C">
            <w:pPr>
              <w:spacing w:after="0" w:line="240" w:lineRule="auto"/>
              <w:rPr>
                <w:rFonts w:eastAsia="Times New Roman"/>
                <w:color w:val="000000"/>
                <w:sz w:val="20"/>
                <w:lang w:eastAsia="sl-SI"/>
              </w:rPr>
            </w:pPr>
            <w:r w:rsidRPr="00180CB8">
              <w:rPr>
                <w:rFonts w:eastAsia="Times New Roman"/>
                <w:color w:val="000000"/>
                <w:sz w:val="20"/>
                <w:lang w:eastAsia="sl-SI"/>
              </w:rPr>
              <w:t>Hrastnik</w:t>
            </w:r>
          </w:p>
        </w:tc>
        <w:tc>
          <w:tcPr>
            <w:tcW w:w="950" w:type="dxa"/>
          </w:tcPr>
          <w:p w:rsidR="00D20C7C" w:rsidRPr="00180CB8" w:rsidRDefault="00D20C7C" w:rsidP="0086498C">
            <w:pPr>
              <w:spacing w:after="0" w:line="240" w:lineRule="auto"/>
              <w:jc w:val="center"/>
              <w:rPr>
                <w:rFonts w:eastAsia="Times New Roman"/>
                <w:sz w:val="20"/>
                <w:lang w:eastAsia="sl-SI"/>
              </w:rPr>
            </w:pPr>
            <w:r w:rsidRPr="00180CB8">
              <w:rPr>
                <w:rFonts w:eastAsia="Times New Roman"/>
                <w:sz w:val="20"/>
                <w:lang w:eastAsia="sl-SI"/>
              </w:rPr>
              <w:t>Hrastnik</w:t>
            </w:r>
          </w:p>
        </w:tc>
        <w:tc>
          <w:tcPr>
            <w:tcW w:w="1093" w:type="dxa"/>
            <w:vAlign w:val="center"/>
          </w:tcPr>
          <w:p w:rsidR="00D20C7C" w:rsidRPr="00180CB8" w:rsidRDefault="00D20C7C" w:rsidP="00D20C7C">
            <w:pPr>
              <w:spacing w:after="0" w:line="240" w:lineRule="auto"/>
              <w:jc w:val="right"/>
              <w:rPr>
                <w:rFonts w:eastAsia="Times New Roman"/>
                <w:sz w:val="20"/>
                <w:lang w:eastAsia="sl-SI"/>
              </w:rPr>
            </w:pPr>
            <w:r w:rsidRPr="00180CB8">
              <w:rPr>
                <w:rFonts w:eastAsia="Times New Roman"/>
                <w:sz w:val="20"/>
                <w:lang w:eastAsia="sl-SI"/>
              </w:rPr>
              <w:t>17,7</w:t>
            </w:r>
          </w:p>
        </w:tc>
        <w:tc>
          <w:tcPr>
            <w:tcW w:w="772" w:type="dxa"/>
            <w:vAlign w:val="center"/>
          </w:tcPr>
          <w:p w:rsidR="00D20C7C" w:rsidRPr="00180CB8" w:rsidRDefault="00D20C7C" w:rsidP="00D20C7C">
            <w:pPr>
              <w:spacing w:after="0" w:line="240" w:lineRule="auto"/>
              <w:jc w:val="right"/>
              <w:rPr>
                <w:rFonts w:eastAsia="Times New Roman"/>
                <w:sz w:val="20"/>
                <w:lang w:eastAsia="sl-SI"/>
              </w:rPr>
            </w:pPr>
            <w:r w:rsidRPr="00180CB8">
              <w:rPr>
                <w:rFonts w:eastAsia="Times New Roman"/>
                <w:sz w:val="20"/>
                <w:lang w:eastAsia="sl-SI"/>
              </w:rPr>
              <w:t>18,2</w:t>
            </w:r>
          </w:p>
        </w:tc>
        <w:tc>
          <w:tcPr>
            <w:tcW w:w="1296" w:type="dxa"/>
            <w:vAlign w:val="center"/>
          </w:tcPr>
          <w:p w:rsidR="00D20C7C" w:rsidRPr="00180CB8" w:rsidRDefault="00D20C7C" w:rsidP="00D20C7C">
            <w:pPr>
              <w:spacing w:after="0" w:line="240" w:lineRule="auto"/>
              <w:jc w:val="right"/>
              <w:rPr>
                <w:rFonts w:eastAsia="Times New Roman"/>
                <w:sz w:val="20"/>
                <w:lang w:eastAsia="sl-SI"/>
              </w:rPr>
            </w:pPr>
            <w:r w:rsidRPr="00180CB8">
              <w:rPr>
                <w:rFonts w:eastAsia="Times New Roman"/>
                <w:sz w:val="20"/>
                <w:lang w:eastAsia="sl-SI"/>
              </w:rPr>
              <w:t>18,4</w:t>
            </w:r>
          </w:p>
        </w:tc>
        <w:tc>
          <w:tcPr>
            <w:tcW w:w="992" w:type="dxa"/>
            <w:shd w:val="clear" w:color="auto" w:fill="auto"/>
            <w:noWrap/>
            <w:vAlign w:val="center"/>
          </w:tcPr>
          <w:p w:rsidR="00D20C7C" w:rsidRPr="00180CB8" w:rsidRDefault="00B13EDC" w:rsidP="00D20C7C">
            <w:pPr>
              <w:spacing w:after="0" w:line="240" w:lineRule="auto"/>
              <w:jc w:val="right"/>
              <w:rPr>
                <w:rFonts w:eastAsia="Times New Roman"/>
                <w:sz w:val="20"/>
                <w:lang w:eastAsia="sl-SI"/>
              </w:rPr>
            </w:pPr>
            <w:r w:rsidRPr="00180CB8">
              <w:rPr>
                <w:rFonts w:eastAsia="Times New Roman"/>
                <w:sz w:val="20"/>
                <w:lang w:eastAsia="sl-SI"/>
              </w:rPr>
              <w:t>18,4</w:t>
            </w:r>
          </w:p>
        </w:tc>
        <w:tc>
          <w:tcPr>
            <w:tcW w:w="1134" w:type="dxa"/>
            <w:shd w:val="clear" w:color="auto" w:fill="auto"/>
            <w:noWrap/>
            <w:vAlign w:val="center"/>
          </w:tcPr>
          <w:p w:rsidR="00D20C7C" w:rsidRPr="00180CB8" w:rsidRDefault="00B13EDC" w:rsidP="00D20C7C">
            <w:pPr>
              <w:spacing w:after="0" w:line="240" w:lineRule="auto"/>
              <w:jc w:val="right"/>
              <w:rPr>
                <w:rFonts w:eastAsia="Times New Roman"/>
                <w:sz w:val="20"/>
                <w:lang w:eastAsia="sl-SI"/>
              </w:rPr>
            </w:pPr>
            <w:r w:rsidRPr="00180CB8">
              <w:rPr>
                <w:rFonts w:eastAsia="Times New Roman"/>
                <w:sz w:val="20"/>
                <w:lang w:eastAsia="sl-SI"/>
              </w:rPr>
              <w:t>19,0</w:t>
            </w:r>
          </w:p>
        </w:tc>
        <w:tc>
          <w:tcPr>
            <w:tcW w:w="1062" w:type="dxa"/>
            <w:shd w:val="clear" w:color="auto" w:fill="auto"/>
            <w:noWrap/>
            <w:vAlign w:val="center"/>
          </w:tcPr>
          <w:p w:rsidR="00D20C7C" w:rsidRPr="00180CB8" w:rsidRDefault="00B13EDC" w:rsidP="00D20C7C">
            <w:pPr>
              <w:spacing w:after="0" w:line="240" w:lineRule="auto"/>
              <w:jc w:val="right"/>
              <w:rPr>
                <w:rFonts w:eastAsia="Times New Roman"/>
                <w:sz w:val="20"/>
                <w:lang w:eastAsia="sl-SI"/>
              </w:rPr>
            </w:pPr>
            <w:r w:rsidRPr="00180CB8">
              <w:rPr>
                <w:rFonts w:eastAsia="Times New Roman"/>
                <w:sz w:val="20"/>
                <w:lang w:eastAsia="sl-SI"/>
              </w:rPr>
              <w:t>18,6</w:t>
            </w:r>
          </w:p>
        </w:tc>
      </w:tr>
      <w:tr w:rsidR="00B13EDC" w:rsidRPr="00180CB8" w:rsidTr="00D20C7C">
        <w:trPr>
          <w:trHeight w:val="300"/>
        </w:trPr>
        <w:tc>
          <w:tcPr>
            <w:tcW w:w="866" w:type="dxa"/>
            <w:vMerge/>
            <w:vAlign w:val="center"/>
            <w:hideMark/>
          </w:tcPr>
          <w:p w:rsidR="00D20C7C" w:rsidRPr="00180CB8" w:rsidRDefault="00D20C7C" w:rsidP="0086498C">
            <w:pPr>
              <w:spacing w:after="0" w:line="240" w:lineRule="auto"/>
              <w:rPr>
                <w:rFonts w:eastAsia="Times New Roman"/>
                <w:color w:val="000000"/>
                <w:sz w:val="20"/>
                <w:lang w:eastAsia="sl-SI"/>
              </w:rPr>
            </w:pPr>
          </w:p>
        </w:tc>
        <w:tc>
          <w:tcPr>
            <w:tcW w:w="992" w:type="dxa"/>
            <w:shd w:val="clear" w:color="auto" w:fill="auto"/>
            <w:vAlign w:val="bottom"/>
            <w:hideMark/>
          </w:tcPr>
          <w:p w:rsidR="00D20C7C" w:rsidRPr="00180CB8" w:rsidRDefault="00D20C7C" w:rsidP="0086498C">
            <w:pPr>
              <w:spacing w:after="0" w:line="240" w:lineRule="auto"/>
              <w:rPr>
                <w:rFonts w:eastAsia="Times New Roman"/>
                <w:color w:val="000000"/>
                <w:sz w:val="20"/>
                <w:lang w:eastAsia="sl-SI"/>
              </w:rPr>
            </w:pPr>
            <w:r w:rsidRPr="00180CB8">
              <w:rPr>
                <w:rFonts w:eastAsia="Times New Roman"/>
                <w:color w:val="000000"/>
                <w:sz w:val="20"/>
                <w:lang w:eastAsia="sl-SI"/>
              </w:rPr>
              <w:t>Radeče</w:t>
            </w:r>
          </w:p>
        </w:tc>
        <w:tc>
          <w:tcPr>
            <w:tcW w:w="950" w:type="dxa"/>
          </w:tcPr>
          <w:p w:rsidR="00D20C7C" w:rsidRPr="00180CB8" w:rsidRDefault="00D20C7C" w:rsidP="0086498C">
            <w:pPr>
              <w:spacing w:after="0" w:line="240" w:lineRule="auto"/>
              <w:jc w:val="center"/>
              <w:rPr>
                <w:rFonts w:eastAsia="Times New Roman"/>
                <w:sz w:val="20"/>
                <w:lang w:eastAsia="sl-SI"/>
              </w:rPr>
            </w:pPr>
            <w:r w:rsidRPr="00180CB8">
              <w:rPr>
                <w:rFonts w:eastAsia="Times New Roman"/>
                <w:sz w:val="20"/>
                <w:lang w:eastAsia="sl-SI"/>
              </w:rPr>
              <w:t>Laško</w:t>
            </w:r>
          </w:p>
        </w:tc>
        <w:tc>
          <w:tcPr>
            <w:tcW w:w="1093" w:type="dxa"/>
            <w:vAlign w:val="center"/>
          </w:tcPr>
          <w:p w:rsidR="00D20C7C" w:rsidRPr="00180CB8" w:rsidRDefault="00D20C7C" w:rsidP="00D20C7C">
            <w:pPr>
              <w:spacing w:after="0" w:line="240" w:lineRule="auto"/>
              <w:jc w:val="right"/>
              <w:rPr>
                <w:rFonts w:eastAsia="Times New Roman"/>
                <w:sz w:val="20"/>
                <w:lang w:eastAsia="sl-SI"/>
              </w:rPr>
            </w:pPr>
            <w:r w:rsidRPr="00180CB8">
              <w:rPr>
                <w:rFonts w:eastAsia="Times New Roman"/>
                <w:sz w:val="20"/>
                <w:lang w:eastAsia="sl-SI"/>
              </w:rPr>
              <w:t>19,0</w:t>
            </w:r>
          </w:p>
        </w:tc>
        <w:tc>
          <w:tcPr>
            <w:tcW w:w="772" w:type="dxa"/>
            <w:vAlign w:val="center"/>
          </w:tcPr>
          <w:p w:rsidR="00D20C7C" w:rsidRPr="00180CB8" w:rsidRDefault="00D20C7C" w:rsidP="00D20C7C">
            <w:pPr>
              <w:spacing w:after="0" w:line="240" w:lineRule="auto"/>
              <w:jc w:val="right"/>
              <w:rPr>
                <w:rFonts w:eastAsia="Times New Roman"/>
                <w:sz w:val="20"/>
                <w:lang w:eastAsia="sl-SI"/>
              </w:rPr>
            </w:pPr>
            <w:r w:rsidRPr="00180CB8">
              <w:rPr>
                <w:rFonts w:eastAsia="Times New Roman"/>
                <w:sz w:val="20"/>
                <w:lang w:eastAsia="sl-SI"/>
              </w:rPr>
              <w:t>19,3</w:t>
            </w:r>
          </w:p>
        </w:tc>
        <w:tc>
          <w:tcPr>
            <w:tcW w:w="1296" w:type="dxa"/>
            <w:vAlign w:val="center"/>
          </w:tcPr>
          <w:p w:rsidR="00D20C7C" w:rsidRPr="00180CB8" w:rsidRDefault="00D20C7C" w:rsidP="00D20C7C">
            <w:pPr>
              <w:spacing w:after="0" w:line="240" w:lineRule="auto"/>
              <w:jc w:val="right"/>
              <w:rPr>
                <w:rFonts w:eastAsia="Times New Roman"/>
                <w:sz w:val="20"/>
                <w:lang w:eastAsia="sl-SI"/>
              </w:rPr>
            </w:pPr>
            <w:r w:rsidRPr="00180CB8">
              <w:rPr>
                <w:rFonts w:eastAsia="Times New Roman"/>
                <w:sz w:val="20"/>
                <w:lang w:eastAsia="sl-SI"/>
              </w:rPr>
              <w:t>19,4</w:t>
            </w:r>
          </w:p>
        </w:tc>
        <w:tc>
          <w:tcPr>
            <w:tcW w:w="992" w:type="dxa"/>
            <w:shd w:val="clear" w:color="auto" w:fill="auto"/>
            <w:noWrap/>
            <w:vAlign w:val="center"/>
          </w:tcPr>
          <w:p w:rsidR="00D20C7C" w:rsidRPr="00180CB8" w:rsidRDefault="00B13EDC" w:rsidP="00D20C7C">
            <w:pPr>
              <w:spacing w:after="0" w:line="240" w:lineRule="auto"/>
              <w:jc w:val="right"/>
              <w:rPr>
                <w:rFonts w:eastAsia="Times New Roman"/>
                <w:sz w:val="20"/>
                <w:lang w:eastAsia="sl-SI"/>
              </w:rPr>
            </w:pPr>
            <w:r w:rsidRPr="00180CB8">
              <w:rPr>
                <w:rFonts w:eastAsia="Times New Roman"/>
                <w:sz w:val="20"/>
                <w:lang w:eastAsia="sl-SI"/>
              </w:rPr>
              <w:t>13,1</w:t>
            </w:r>
          </w:p>
        </w:tc>
        <w:tc>
          <w:tcPr>
            <w:tcW w:w="1134" w:type="dxa"/>
            <w:shd w:val="clear" w:color="auto" w:fill="auto"/>
            <w:noWrap/>
            <w:vAlign w:val="center"/>
          </w:tcPr>
          <w:p w:rsidR="00D20C7C" w:rsidRPr="00180CB8" w:rsidRDefault="00B13EDC" w:rsidP="00D20C7C">
            <w:pPr>
              <w:spacing w:after="0" w:line="240" w:lineRule="auto"/>
              <w:jc w:val="right"/>
              <w:rPr>
                <w:rFonts w:eastAsia="Times New Roman"/>
                <w:sz w:val="20"/>
                <w:lang w:eastAsia="sl-SI"/>
              </w:rPr>
            </w:pPr>
            <w:r w:rsidRPr="00180CB8">
              <w:rPr>
                <w:rFonts w:eastAsia="Times New Roman"/>
                <w:sz w:val="20"/>
                <w:lang w:eastAsia="sl-SI"/>
              </w:rPr>
              <w:t>13,3</w:t>
            </w:r>
          </w:p>
        </w:tc>
        <w:tc>
          <w:tcPr>
            <w:tcW w:w="1062" w:type="dxa"/>
            <w:shd w:val="clear" w:color="auto" w:fill="auto"/>
            <w:noWrap/>
            <w:vAlign w:val="center"/>
          </w:tcPr>
          <w:p w:rsidR="00D20C7C" w:rsidRPr="00180CB8" w:rsidRDefault="00B13EDC" w:rsidP="00D20C7C">
            <w:pPr>
              <w:spacing w:after="0" w:line="240" w:lineRule="auto"/>
              <w:jc w:val="right"/>
              <w:rPr>
                <w:rFonts w:eastAsia="Times New Roman"/>
                <w:sz w:val="20"/>
                <w:lang w:eastAsia="sl-SI"/>
              </w:rPr>
            </w:pPr>
            <w:r w:rsidRPr="00180CB8">
              <w:rPr>
                <w:rFonts w:eastAsia="Times New Roman"/>
                <w:sz w:val="20"/>
                <w:lang w:eastAsia="sl-SI"/>
              </w:rPr>
              <w:t>12,7</w:t>
            </w:r>
          </w:p>
        </w:tc>
      </w:tr>
      <w:tr w:rsidR="00B13EDC" w:rsidRPr="00180CB8" w:rsidTr="00D20C7C">
        <w:trPr>
          <w:trHeight w:val="300"/>
        </w:trPr>
        <w:tc>
          <w:tcPr>
            <w:tcW w:w="866" w:type="dxa"/>
            <w:vMerge/>
            <w:vAlign w:val="center"/>
            <w:hideMark/>
          </w:tcPr>
          <w:p w:rsidR="00D20C7C" w:rsidRPr="00180CB8" w:rsidRDefault="00D20C7C" w:rsidP="0086498C">
            <w:pPr>
              <w:spacing w:after="0" w:line="240" w:lineRule="auto"/>
              <w:rPr>
                <w:rFonts w:eastAsia="Times New Roman"/>
                <w:color w:val="000000"/>
                <w:sz w:val="20"/>
                <w:lang w:eastAsia="sl-SI"/>
              </w:rPr>
            </w:pPr>
          </w:p>
        </w:tc>
        <w:tc>
          <w:tcPr>
            <w:tcW w:w="992" w:type="dxa"/>
            <w:shd w:val="clear" w:color="auto" w:fill="auto"/>
            <w:vAlign w:val="bottom"/>
            <w:hideMark/>
          </w:tcPr>
          <w:p w:rsidR="00D20C7C" w:rsidRPr="00180CB8" w:rsidRDefault="00D20C7C" w:rsidP="0086498C">
            <w:pPr>
              <w:spacing w:after="0" w:line="240" w:lineRule="auto"/>
              <w:rPr>
                <w:rFonts w:eastAsia="Times New Roman"/>
                <w:color w:val="000000"/>
                <w:sz w:val="20"/>
                <w:lang w:eastAsia="sl-SI"/>
              </w:rPr>
            </w:pPr>
            <w:r w:rsidRPr="00180CB8">
              <w:rPr>
                <w:rFonts w:eastAsia="Times New Roman"/>
                <w:color w:val="000000"/>
                <w:sz w:val="20"/>
                <w:lang w:eastAsia="sl-SI"/>
              </w:rPr>
              <w:t>Trbovlje</w:t>
            </w:r>
          </w:p>
        </w:tc>
        <w:tc>
          <w:tcPr>
            <w:tcW w:w="950" w:type="dxa"/>
          </w:tcPr>
          <w:p w:rsidR="00D20C7C" w:rsidRPr="00180CB8" w:rsidRDefault="00D20C7C" w:rsidP="0086498C">
            <w:pPr>
              <w:spacing w:after="0" w:line="240" w:lineRule="auto"/>
              <w:jc w:val="center"/>
              <w:rPr>
                <w:rFonts w:eastAsia="Times New Roman"/>
                <w:sz w:val="20"/>
                <w:lang w:eastAsia="sl-SI"/>
              </w:rPr>
            </w:pPr>
            <w:r w:rsidRPr="00180CB8">
              <w:rPr>
                <w:rFonts w:eastAsia="Times New Roman"/>
                <w:sz w:val="20"/>
                <w:lang w:eastAsia="sl-SI"/>
              </w:rPr>
              <w:t>Trbovlje</w:t>
            </w:r>
          </w:p>
        </w:tc>
        <w:tc>
          <w:tcPr>
            <w:tcW w:w="1093" w:type="dxa"/>
            <w:vAlign w:val="center"/>
          </w:tcPr>
          <w:p w:rsidR="00D20C7C" w:rsidRPr="00180CB8" w:rsidRDefault="00D20C7C" w:rsidP="00D20C7C">
            <w:pPr>
              <w:spacing w:after="0" w:line="240" w:lineRule="auto"/>
              <w:jc w:val="right"/>
              <w:rPr>
                <w:rFonts w:eastAsia="Times New Roman"/>
                <w:sz w:val="20"/>
                <w:lang w:eastAsia="sl-SI"/>
              </w:rPr>
            </w:pPr>
            <w:r w:rsidRPr="00180CB8">
              <w:rPr>
                <w:rFonts w:eastAsia="Times New Roman"/>
                <w:sz w:val="20"/>
                <w:lang w:eastAsia="sl-SI"/>
              </w:rPr>
              <w:t>18,7</w:t>
            </w:r>
          </w:p>
        </w:tc>
        <w:tc>
          <w:tcPr>
            <w:tcW w:w="772" w:type="dxa"/>
            <w:vAlign w:val="center"/>
          </w:tcPr>
          <w:p w:rsidR="00D20C7C" w:rsidRPr="00180CB8" w:rsidRDefault="00D20C7C" w:rsidP="00D20C7C">
            <w:pPr>
              <w:spacing w:after="0" w:line="240" w:lineRule="auto"/>
              <w:jc w:val="right"/>
              <w:rPr>
                <w:rFonts w:eastAsia="Times New Roman"/>
                <w:sz w:val="20"/>
                <w:lang w:eastAsia="sl-SI"/>
              </w:rPr>
            </w:pPr>
            <w:r w:rsidRPr="00180CB8">
              <w:rPr>
                <w:rFonts w:eastAsia="Times New Roman"/>
                <w:sz w:val="20"/>
                <w:lang w:eastAsia="sl-SI"/>
              </w:rPr>
              <w:t>19,4</w:t>
            </w:r>
          </w:p>
        </w:tc>
        <w:tc>
          <w:tcPr>
            <w:tcW w:w="1296" w:type="dxa"/>
            <w:vAlign w:val="center"/>
          </w:tcPr>
          <w:p w:rsidR="00D20C7C" w:rsidRPr="00180CB8" w:rsidRDefault="00D20C7C" w:rsidP="00D20C7C">
            <w:pPr>
              <w:spacing w:after="0" w:line="240" w:lineRule="auto"/>
              <w:jc w:val="right"/>
              <w:rPr>
                <w:rFonts w:eastAsia="Times New Roman"/>
                <w:sz w:val="20"/>
                <w:lang w:eastAsia="sl-SI"/>
              </w:rPr>
            </w:pPr>
            <w:r w:rsidRPr="00180CB8">
              <w:rPr>
                <w:rFonts w:eastAsia="Times New Roman"/>
                <w:sz w:val="20"/>
                <w:lang w:eastAsia="sl-SI"/>
              </w:rPr>
              <w:t>19,4</w:t>
            </w:r>
          </w:p>
        </w:tc>
        <w:tc>
          <w:tcPr>
            <w:tcW w:w="992" w:type="dxa"/>
            <w:shd w:val="clear" w:color="auto" w:fill="auto"/>
            <w:noWrap/>
            <w:vAlign w:val="center"/>
          </w:tcPr>
          <w:p w:rsidR="00D20C7C" w:rsidRPr="00180CB8" w:rsidRDefault="00B13EDC" w:rsidP="00D20C7C">
            <w:pPr>
              <w:spacing w:after="0" w:line="240" w:lineRule="auto"/>
              <w:jc w:val="right"/>
              <w:rPr>
                <w:rFonts w:eastAsia="Times New Roman"/>
                <w:sz w:val="20"/>
                <w:lang w:eastAsia="sl-SI"/>
              </w:rPr>
            </w:pPr>
            <w:r w:rsidRPr="00180CB8">
              <w:rPr>
                <w:rFonts w:eastAsia="Times New Roman"/>
                <w:sz w:val="20"/>
                <w:lang w:eastAsia="sl-SI"/>
              </w:rPr>
              <w:t>19,3</w:t>
            </w:r>
          </w:p>
        </w:tc>
        <w:tc>
          <w:tcPr>
            <w:tcW w:w="1134" w:type="dxa"/>
            <w:shd w:val="clear" w:color="auto" w:fill="auto"/>
            <w:noWrap/>
            <w:vAlign w:val="center"/>
          </w:tcPr>
          <w:p w:rsidR="00D20C7C" w:rsidRPr="00180CB8" w:rsidRDefault="00B13EDC" w:rsidP="00D20C7C">
            <w:pPr>
              <w:spacing w:after="0" w:line="240" w:lineRule="auto"/>
              <w:jc w:val="right"/>
              <w:rPr>
                <w:rFonts w:eastAsia="Times New Roman"/>
                <w:sz w:val="20"/>
                <w:lang w:eastAsia="sl-SI"/>
              </w:rPr>
            </w:pPr>
            <w:r w:rsidRPr="00180CB8">
              <w:rPr>
                <w:rFonts w:eastAsia="Times New Roman"/>
                <w:sz w:val="20"/>
                <w:lang w:eastAsia="sl-SI"/>
              </w:rPr>
              <w:t>20,0</w:t>
            </w:r>
          </w:p>
        </w:tc>
        <w:tc>
          <w:tcPr>
            <w:tcW w:w="1062" w:type="dxa"/>
            <w:shd w:val="clear" w:color="auto" w:fill="auto"/>
            <w:noWrap/>
            <w:vAlign w:val="center"/>
          </w:tcPr>
          <w:p w:rsidR="00D20C7C" w:rsidRPr="00180CB8" w:rsidRDefault="00B13EDC" w:rsidP="00D20C7C">
            <w:pPr>
              <w:spacing w:after="0" w:line="240" w:lineRule="auto"/>
              <w:jc w:val="right"/>
              <w:rPr>
                <w:rFonts w:eastAsia="Times New Roman"/>
                <w:sz w:val="20"/>
                <w:lang w:eastAsia="sl-SI"/>
              </w:rPr>
            </w:pPr>
            <w:r w:rsidRPr="00180CB8">
              <w:rPr>
                <w:rFonts w:eastAsia="Times New Roman"/>
                <w:sz w:val="20"/>
                <w:lang w:eastAsia="sl-SI"/>
              </w:rPr>
              <w:t>19,9</w:t>
            </w:r>
          </w:p>
        </w:tc>
      </w:tr>
    </w:tbl>
    <w:p w:rsidR="00E33C62" w:rsidRPr="00180CB8" w:rsidRDefault="00E33C62" w:rsidP="00E33C62">
      <w:pPr>
        <w:spacing w:after="0" w:line="240" w:lineRule="auto"/>
        <w:jc w:val="both"/>
      </w:pPr>
      <w:r w:rsidRPr="00180CB8">
        <w:t>Opombe- * statistični podatki, ki so bili podlaga za pripravo Programa spodbujanja konkurenčnosti in ukrepov razvojne podpore za območje občin Hrastnik, Radeče in Trbovlje v obdobju 2013-2018</w:t>
      </w:r>
    </w:p>
    <w:p w:rsidR="00E33C62" w:rsidRDefault="00E33C62" w:rsidP="00E33C62">
      <w:pPr>
        <w:spacing w:after="0" w:line="240" w:lineRule="auto"/>
        <w:jc w:val="both"/>
      </w:pPr>
      <w:r w:rsidRPr="00180CB8">
        <w:t>Vir: Zavod RS za zaposlovanje, Statistični urad RS</w:t>
      </w:r>
    </w:p>
    <w:p w:rsidR="00E33C62" w:rsidRDefault="00E33C62" w:rsidP="00E33C62">
      <w:pPr>
        <w:spacing w:after="0" w:line="240" w:lineRule="auto"/>
        <w:jc w:val="both"/>
      </w:pPr>
    </w:p>
    <w:p w:rsidR="00E33C62" w:rsidRDefault="00E33C62" w:rsidP="00E33C62">
      <w:pPr>
        <w:spacing w:after="0" w:line="240" w:lineRule="auto"/>
        <w:jc w:val="both"/>
      </w:pPr>
      <w:r>
        <w:t>Kot izhaja iz gornje tabele je stopnja registrirane brezposelnosti v vseh treh občinah problemskega območja znašala prek 17,0% v času nastajanja Programa.</w:t>
      </w:r>
      <w:r w:rsidR="002538F1">
        <w:t xml:space="preserve"> V obdobju december 2014- februar 2015</w:t>
      </w:r>
      <w:r>
        <w:t xml:space="preserve">, se je stopnja registrirane brezposelnosti, v primerjavi z letom </w:t>
      </w:r>
      <w:r w:rsidR="00D20C7C">
        <w:t>2013</w:t>
      </w:r>
      <w:r w:rsidR="00131784">
        <w:t>,</w:t>
      </w:r>
      <w:r w:rsidR="00D20C7C">
        <w:t xml:space="preserve"> </w:t>
      </w:r>
      <w:r>
        <w:t xml:space="preserve">povečala v občini Hrastnik in občini Trbovlje, medtem ko se je v občini Radeče zmanjšala in ne dosega več meje 17%. </w:t>
      </w:r>
    </w:p>
    <w:p w:rsidR="00E33C62" w:rsidRDefault="00E33C62" w:rsidP="00E33C62">
      <w:pPr>
        <w:spacing w:after="0" w:line="240" w:lineRule="auto"/>
        <w:jc w:val="both"/>
      </w:pPr>
    </w:p>
    <w:p w:rsidR="00E241E5" w:rsidRDefault="00E241E5" w:rsidP="00E33C62">
      <w:pPr>
        <w:spacing w:after="0" w:line="240" w:lineRule="auto"/>
        <w:jc w:val="both"/>
      </w:pPr>
    </w:p>
    <w:p w:rsidR="00E33C62" w:rsidRPr="00514E79" w:rsidRDefault="00E33C62" w:rsidP="00E33C62">
      <w:pPr>
        <w:spacing w:after="0" w:line="240" w:lineRule="auto"/>
        <w:jc w:val="both"/>
        <w:rPr>
          <w:b/>
        </w:rPr>
      </w:pPr>
      <w:r w:rsidRPr="00514E79">
        <w:rPr>
          <w:b/>
        </w:rPr>
        <w:t>Tabela 3: Registrirane brezposelne osebe, glede na dolžino trajanja brezposelnosti, starostno strukturo in stopnjo izobrazbe v obdobju</w:t>
      </w:r>
      <w:r w:rsidR="00B7448C" w:rsidRPr="00514E79">
        <w:rPr>
          <w:b/>
        </w:rPr>
        <w:t xml:space="preserve"> </w:t>
      </w:r>
      <w:r w:rsidR="001B0778" w:rsidRPr="00514E79">
        <w:rPr>
          <w:b/>
        </w:rPr>
        <w:t>februar – marec 2015</w:t>
      </w:r>
    </w:p>
    <w:tbl>
      <w:tblPr>
        <w:tblW w:w="929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1580"/>
        <w:gridCol w:w="960"/>
        <w:gridCol w:w="1087"/>
        <w:gridCol w:w="920"/>
        <w:gridCol w:w="885"/>
        <w:gridCol w:w="919"/>
        <w:gridCol w:w="1026"/>
        <w:gridCol w:w="960"/>
      </w:tblGrid>
      <w:tr w:rsidR="00E33C62" w:rsidRPr="00514E79" w:rsidTr="00F77E10">
        <w:trPr>
          <w:trHeight w:val="300"/>
        </w:trPr>
        <w:tc>
          <w:tcPr>
            <w:tcW w:w="960" w:type="dxa"/>
            <w:shd w:val="clear" w:color="auto" w:fill="auto"/>
            <w:noWrap/>
            <w:vAlign w:val="bottom"/>
            <w:hideMark/>
          </w:tcPr>
          <w:p w:rsidR="00E33C62" w:rsidRPr="00514E79" w:rsidRDefault="00E33C62" w:rsidP="0086498C">
            <w:pPr>
              <w:spacing w:after="0" w:line="240" w:lineRule="auto"/>
              <w:rPr>
                <w:rFonts w:eastAsia="Times New Roman"/>
                <w:color w:val="000000"/>
                <w:sz w:val="20"/>
                <w:szCs w:val="20"/>
                <w:lang w:eastAsia="sl-SI"/>
              </w:rPr>
            </w:pPr>
          </w:p>
        </w:tc>
        <w:tc>
          <w:tcPr>
            <w:tcW w:w="8337" w:type="dxa"/>
            <w:gridSpan w:val="8"/>
            <w:shd w:val="clear" w:color="auto" w:fill="auto"/>
            <w:noWrap/>
            <w:vAlign w:val="bottom"/>
            <w:hideMark/>
          </w:tcPr>
          <w:p w:rsidR="00E33C62" w:rsidRPr="00514E79" w:rsidRDefault="001B0778" w:rsidP="0086498C">
            <w:pPr>
              <w:spacing w:after="0" w:line="240" w:lineRule="auto"/>
              <w:jc w:val="center"/>
              <w:rPr>
                <w:rFonts w:eastAsia="Times New Roman"/>
                <w:color w:val="000000"/>
                <w:sz w:val="20"/>
                <w:szCs w:val="20"/>
                <w:lang w:eastAsia="sl-SI"/>
              </w:rPr>
            </w:pPr>
            <w:r w:rsidRPr="00514E79">
              <w:rPr>
                <w:rFonts w:eastAsia="Times New Roman"/>
                <w:color w:val="000000"/>
                <w:sz w:val="20"/>
                <w:szCs w:val="20"/>
                <w:lang w:eastAsia="sl-SI"/>
              </w:rPr>
              <w:t>februar 2015</w:t>
            </w:r>
          </w:p>
        </w:tc>
      </w:tr>
      <w:tr w:rsidR="00E33C62" w:rsidRPr="00514E79" w:rsidTr="00F77E10">
        <w:trPr>
          <w:trHeight w:val="1547"/>
        </w:trPr>
        <w:tc>
          <w:tcPr>
            <w:tcW w:w="960" w:type="dxa"/>
            <w:shd w:val="clear" w:color="auto" w:fill="auto"/>
            <w:noWrap/>
            <w:vAlign w:val="bottom"/>
            <w:hideMark/>
          </w:tcPr>
          <w:p w:rsidR="00E33C62" w:rsidRPr="00514E79" w:rsidRDefault="00E33C62" w:rsidP="0086498C">
            <w:pPr>
              <w:spacing w:after="0" w:line="240" w:lineRule="auto"/>
              <w:rPr>
                <w:rFonts w:eastAsia="Times New Roman"/>
                <w:color w:val="000000"/>
                <w:sz w:val="20"/>
                <w:szCs w:val="20"/>
                <w:lang w:eastAsia="sl-SI"/>
              </w:rPr>
            </w:pPr>
            <w:r w:rsidRPr="00514E79">
              <w:rPr>
                <w:rFonts w:eastAsia="Times New Roman"/>
                <w:color w:val="000000"/>
                <w:sz w:val="20"/>
                <w:szCs w:val="20"/>
                <w:lang w:eastAsia="sl-SI"/>
              </w:rPr>
              <w:t>Občina</w:t>
            </w:r>
          </w:p>
        </w:tc>
        <w:tc>
          <w:tcPr>
            <w:tcW w:w="1580" w:type="dxa"/>
            <w:shd w:val="clear" w:color="auto" w:fill="auto"/>
            <w:vAlign w:val="bottom"/>
            <w:hideMark/>
          </w:tcPr>
          <w:p w:rsidR="00E33C62" w:rsidRPr="00514E79" w:rsidRDefault="00E33C62" w:rsidP="0086498C">
            <w:pPr>
              <w:spacing w:after="0" w:line="240" w:lineRule="auto"/>
              <w:jc w:val="center"/>
              <w:rPr>
                <w:rFonts w:eastAsia="Times New Roman"/>
                <w:color w:val="000000"/>
                <w:sz w:val="20"/>
                <w:szCs w:val="20"/>
                <w:lang w:eastAsia="sl-SI"/>
              </w:rPr>
            </w:pPr>
            <w:r w:rsidRPr="00514E79">
              <w:rPr>
                <w:rFonts w:eastAsia="Times New Roman"/>
                <w:color w:val="000000"/>
                <w:sz w:val="20"/>
                <w:szCs w:val="20"/>
                <w:lang w:eastAsia="sl-SI"/>
              </w:rPr>
              <w:t>Registrirane brezposelne osebe skupaj</w:t>
            </w:r>
          </w:p>
        </w:tc>
        <w:tc>
          <w:tcPr>
            <w:tcW w:w="960" w:type="dxa"/>
            <w:shd w:val="clear" w:color="auto" w:fill="auto"/>
            <w:vAlign w:val="bottom"/>
            <w:hideMark/>
          </w:tcPr>
          <w:p w:rsidR="00E33C62" w:rsidRPr="00514E79" w:rsidRDefault="00E33C62" w:rsidP="0086498C">
            <w:pPr>
              <w:spacing w:after="0" w:line="240" w:lineRule="auto"/>
              <w:jc w:val="center"/>
              <w:rPr>
                <w:rFonts w:eastAsia="Times New Roman"/>
                <w:color w:val="000000"/>
                <w:sz w:val="20"/>
                <w:szCs w:val="20"/>
                <w:lang w:eastAsia="sl-SI"/>
              </w:rPr>
            </w:pPr>
            <w:r w:rsidRPr="00514E79">
              <w:rPr>
                <w:rFonts w:eastAsia="Times New Roman"/>
                <w:color w:val="000000"/>
                <w:sz w:val="20"/>
                <w:szCs w:val="20"/>
                <w:lang w:eastAsia="sl-SI"/>
              </w:rPr>
              <w:t>ženske</w:t>
            </w:r>
          </w:p>
        </w:tc>
        <w:tc>
          <w:tcPr>
            <w:tcW w:w="1087" w:type="dxa"/>
            <w:shd w:val="clear" w:color="auto" w:fill="auto"/>
            <w:vAlign w:val="bottom"/>
            <w:hideMark/>
          </w:tcPr>
          <w:p w:rsidR="00E33C62" w:rsidRPr="00514E79" w:rsidRDefault="00E33C62" w:rsidP="0086498C">
            <w:pPr>
              <w:spacing w:after="0" w:line="240" w:lineRule="auto"/>
              <w:jc w:val="center"/>
              <w:rPr>
                <w:rFonts w:eastAsia="Times New Roman"/>
                <w:color w:val="000000"/>
                <w:sz w:val="20"/>
                <w:szCs w:val="20"/>
                <w:lang w:eastAsia="sl-SI"/>
              </w:rPr>
            </w:pPr>
            <w:r w:rsidRPr="00514E79">
              <w:rPr>
                <w:rFonts w:eastAsia="Times New Roman"/>
                <w:color w:val="000000"/>
                <w:sz w:val="20"/>
                <w:szCs w:val="20"/>
                <w:lang w:eastAsia="sl-SI"/>
              </w:rPr>
              <w:t>dolgotrajno brezposelni</w:t>
            </w:r>
          </w:p>
        </w:tc>
        <w:tc>
          <w:tcPr>
            <w:tcW w:w="920" w:type="dxa"/>
            <w:shd w:val="clear" w:color="auto" w:fill="auto"/>
            <w:vAlign w:val="bottom"/>
            <w:hideMark/>
          </w:tcPr>
          <w:p w:rsidR="00E33C62" w:rsidRPr="00514E79" w:rsidRDefault="00E33C62" w:rsidP="0086498C">
            <w:pPr>
              <w:spacing w:after="0" w:line="240" w:lineRule="auto"/>
              <w:jc w:val="center"/>
              <w:rPr>
                <w:rFonts w:eastAsia="Times New Roman"/>
                <w:color w:val="000000"/>
                <w:sz w:val="20"/>
                <w:szCs w:val="20"/>
                <w:lang w:eastAsia="sl-SI"/>
              </w:rPr>
            </w:pPr>
            <w:r w:rsidRPr="00514E79">
              <w:rPr>
                <w:rFonts w:eastAsia="Times New Roman"/>
                <w:color w:val="000000"/>
                <w:sz w:val="20"/>
                <w:szCs w:val="20"/>
                <w:lang w:eastAsia="sl-SI"/>
              </w:rPr>
              <w:t>stari</w:t>
            </w:r>
            <w:r w:rsidRPr="00514E79">
              <w:rPr>
                <w:rFonts w:eastAsia="Times New Roman"/>
                <w:color w:val="000000"/>
                <w:sz w:val="20"/>
                <w:szCs w:val="20"/>
                <w:lang w:eastAsia="sl-SI"/>
              </w:rPr>
              <w:br/>
              <w:t>15-29 let</w:t>
            </w:r>
          </w:p>
        </w:tc>
        <w:tc>
          <w:tcPr>
            <w:tcW w:w="885" w:type="dxa"/>
            <w:shd w:val="clear" w:color="auto" w:fill="auto"/>
            <w:vAlign w:val="bottom"/>
            <w:hideMark/>
          </w:tcPr>
          <w:p w:rsidR="00E33C62" w:rsidRPr="00514E79" w:rsidRDefault="00E33C62" w:rsidP="0086498C">
            <w:pPr>
              <w:spacing w:after="0" w:line="240" w:lineRule="auto"/>
              <w:jc w:val="center"/>
              <w:rPr>
                <w:rFonts w:eastAsia="Times New Roman"/>
                <w:color w:val="000000"/>
                <w:sz w:val="20"/>
                <w:szCs w:val="20"/>
                <w:lang w:eastAsia="sl-SI"/>
              </w:rPr>
            </w:pPr>
            <w:r w:rsidRPr="00514E79">
              <w:rPr>
                <w:rFonts w:eastAsia="Times New Roman"/>
                <w:color w:val="000000"/>
                <w:sz w:val="20"/>
                <w:szCs w:val="20"/>
                <w:lang w:eastAsia="sl-SI"/>
              </w:rPr>
              <w:t>stari 50 let ali več</w:t>
            </w:r>
          </w:p>
        </w:tc>
        <w:tc>
          <w:tcPr>
            <w:tcW w:w="919" w:type="dxa"/>
            <w:shd w:val="clear" w:color="auto" w:fill="auto"/>
            <w:vAlign w:val="bottom"/>
            <w:hideMark/>
          </w:tcPr>
          <w:p w:rsidR="00E33C62" w:rsidRPr="00514E79" w:rsidRDefault="00E33C62" w:rsidP="0086498C">
            <w:pPr>
              <w:spacing w:after="0" w:line="240" w:lineRule="auto"/>
              <w:jc w:val="center"/>
              <w:rPr>
                <w:rFonts w:eastAsia="Times New Roman"/>
                <w:color w:val="000000"/>
                <w:sz w:val="20"/>
                <w:szCs w:val="20"/>
                <w:lang w:eastAsia="sl-SI"/>
              </w:rPr>
            </w:pPr>
            <w:r w:rsidRPr="00514E79">
              <w:rPr>
                <w:rFonts w:eastAsia="Times New Roman"/>
                <w:color w:val="000000"/>
                <w:sz w:val="20"/>
                <w:szCs w:val="20"/>
                <w:lang w:eastAsia="sl-SI"/>
              </w:rPr>
              <w:t>1+2 OŠ ali manj</w:t>
            </w:r>
          </w:p>
        </w:tc>
        <w:tc>
          <w:tcPr>
            <w:tcW w:w="1026" w:type="dxa"/>
            <w:shd w:val="clear" w:color="auto" w:fill="auto"/>
            <w:vAlign w:val="bottom"/>
            <w:hideMark/>
          </w:tcPr>
          <w:p w:rsidR="00E33C62" w:rsidRPr="00514E79" w:rsidRDefault="00E33C62" w:rsidP="0086498C">
            <w:pPr>
              <w:spacing w:after="0" w:line="240" w:lineRule="auto"/>
              <w:jc w:val="center"/>
              <w:rPr>
                <w:rFonts w:eastAsia="Times New Roman"/>
                <w:color w:val="000000"/>
                <w:sz w:val="20"/>
                <w:szCs w:val="20"/>
                <w:lang w:eastAsia="sl-SI"/>
              </w:rPr>
            </w:pPr>
            <w:r w:rsidRPr="00514E79">
              <w:rPr>
                <w:rFonts w:eastAsia="Times New Roman"/>
                <w:color w:val="000000"/>
                <w:sz w:val="20"/>
                <w:szCs w:val="20"/>
                <w:lang w:eastAsia="sl-SI"/>
              </w:rPr>
              <w:t>3+4+5 srednješol. Izobrazba</w:t>
            </w:r>
          </w:p>
        </w:tc>
        <w:tc>
          <w:tcPr>
            <w:tcW w:w="960" w:type="dxa"/>
            <w:shd w:val="clear" w:color="auto" w:fill="auto"/>
            <w:vAlign w:val="bottom"/>
            <w:hideMark/>
          </w:tcPr>
          <w:p w:rsidR="00E33C62" w:rsidRPr="00514E79" w:rsidRDefault="00E33C62" w:rsidP="0086498C">
            <w:pPr>
              <w:spacing w:after="0" w:line="240" w:lineRule="auto"/>
              <w:jc w:val="center"/>
              <w:rPr>
                <w:rFonts w:eastAsia="Times New Roman"/>
                <w:color w:val="000000"/>
                <w:sz w:val="20"/>
                <w:szCs w:val="20"/>
                <w:lang w:eastAsia="sl-SI"/>
              </w:rPr>
            </w:pPr>
            <w:r w:rsidRPr="00514E79">
              <w:rPr>
                <w:rFonts w:eastAsia="Times New Roman"/>
                <w:color w:val="000000"/>
                <w:sz w:val="20"/>
                <w:szCs w:val="20"/>
                <w:lang w:eastAsia="sl-SI"/>
              </w:rPr>
              <w:t>6+7+8 višje-, viosko- šol izobraž.</w:t>
            </w:r>
          </w:p>
        </w:tc>
      </w:tr>
      <w:tr w:rsidR="00E33C62" w:rsidRPr="00514E79" w:rsidTr="00F77E10">
        <w:trPr>
          <w:trHeight w:val="300"/>
        </w:trPr>
        <w:tc>
          <w:tcPr>
            <w:tcW w:w="960" w:type="dxa"/>
            <w:shd w:val="clear" w:color="auto" w:fill="auto"/>
            <w:noWrap/>
            <w:vAlign w:val="bottom"/>
            <w:hideMark/>
          </w:tcPr>
          <w:p w:rsidR="00E33C62" w:rsidRPr="00514E79" w:rsidRDefault="00E33C62" w:rsidP="0086498C">
            <w:pPr>
              <w:spacing w:after="0" w:line="240" w:lineRule="auto"/>
              <w:rPr>
                <w:rFonts w:eastAsia="Times New Roman"/>
                <w:color w:val="000000"/>
                <w:sz w:val="20"/>
                <w:szCs w:val="20"/>
                <w:lang w:eastAsia="sl-SI"/>
              </w:rPr>
            </w:pPr>
            <w:r w:rsidRPr="00514E79">
              <w:rPr>
                <w:rFonts w:eastAsia="Times New Roman"/>
                <w:color w:val="000000"/>
                <w:sz w:val="20"/>
                <w:szCs w:val="20"/>
                <w:lang w:eastAsia="sl-SI"/>
              </w:rPr>
              <w:t>Radeče</w:t>
            </w:r>
          </w:p>
        </w:tc>
        <w:tc>
          <w:tcPr>
            <w:tcW w:w="1580" w:type="dxa"/>
            <w:shd w:val="clear" w:color="auto" w:fill="auto"/>
            <w:noWrap/>
            <w:vAlign w:val="bottom"/>
          </w:tcPr>
          <w:p w:rsidR="00E33C62" w:rsidRPr="00514E79" w:rsidRDefault="001B0778" w:rsidP="0086498C">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249</w:t>
            </w:r>
          </w:p>
        </w:tc>
        <w:tc>
          <w:tcPr>
            <w:tcW w:w="960" w:type="dxa"/>
            <w:shd w:val="clear" w:color="auto" w:fill="auto"/>
            <w:noWrap/>
            <w:vAlign w:val="bottom"/>
          </w:tcPr>
          <w:p w:rsidR="00E33C62" w:rsidRPr="00514E79" w:rsidRDefault="001B0778" w:rsidP="001B0778">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129</w:t>
            </w:r>
          </w:p>
        </w:tc>
        <w:tc>
          <w:tcPr>
            <w:tcW w:w="1087" w:type="dxa"/>
            <w:shd w:val="clear" w:color="auto" w:fill="auto"/>
            <w:noWrap/>
            <w:vAlign w:val="bottom"/>
          </w:tcPr>
          <w:p w:rsidR="00E33C62" w:rsidRPr="00514E79" w:rsidRDefault="001B0778" w:rsidP="0086498C">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143</w:t>
            </w:r>
          </w:p>
        </w:tc>
        <w:tc>
          <w:tcPr>
            <w:tcW w:w="920" w:type="dxa"/>
            <w:shd w:val="clear" w:color="auto" w:fill="auto"/>
            <w:noWrap/>
            <w:vAlign w:val="bottom"/>
          </w:tcPr>
          <w:p w:rsidR="00E33C62" w:rsidRPr="00514E79" w:rsidRDefault="001B0778" w:rsidP="0086498C">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66</w:t>
            </w:r>
          </w:p>
        </w:tc>
        <w:tc>
          <w:tcPr>
            <w:tcW w:w="885" w:type="dxa"/>
            <w:shd w:val="clear" w:color="auto" w:fill="auto"/>
            <w:noWrap/>
            <w:vAlign w:val="bottom"/>
          </w:tcPr>
          <w:p w:rsidR="00E33C62" w:rsidRPr="00514E79" w:rsidRDefault="001B0778" w:rsidP="0086498C">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81</w:t>
            </w:r>
          </w:p>
        </w:tc>
        <w:tc>
          <w:tcPr>
            <w:tcW w:w="919" w:type="dxa"/>
            <w:shd w:val="clear" w:color="auto" w:fill="auto"/>
            <w:noWrap/>
            <w:vAlign w:val="bottom"/>
          </w:tcPr>
          <w:p w:rsidR="00E33C62" w:rsidRPr="00514E79" w:rsidRDefault="001B0778" w:rsidP="0086498C">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77</w:t>
            </w:r>
          </w:p>
        </w:tc>
        <w:tc>
          <w:tcPr>
            <w:tcW w:w="1026" w:type="dxa"/>
            <w:shd w:val="clear" w:color="auto" w:fill="auto"/>
            <w:noWrap/>
            <w:vAlign w:val="bottom"/>
          </w:tcPr>
          <w:p w:rsidR="00E33C62" w:rsidRPr="00514E79" w:rsidRDefault="001B0778" w:rsidP="0086498C">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136</w:t>
            </w:r>
          </w:p>
        </w:tc>
        <w:tc>
          <w:tcPr>
            <w:tcW w:w="960" w:type="dxa"/>
            <w:shd w:val="clear" w:color="auto" w:fill="auto"/>
            <w:noWrap/>
            <w:vAlign w:val="bottom"/>
          </w:tcPr>
          <w:p w:rsidR="00E33C62" w:rsidRPr="00514E79" w:rsidRDefault="001B0778" w:rsidP="0086498C">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36</w:t>
            </w:r>
          </w:p>
        </w:tc>
      </w:tr>
      <w:tr w:rsidR="00E33C62" w:rsidRPr="00514E79" w:rsidTr="00F77E10">
        <w:trPr>
          <w:trHeight w:val="300"/>
        </w:trPr>
        <w:tc>
          <w:tcPr>
            <w:tcW w:w="960" w:type="dxa"/>
            <w:shd w:val="clear" w:color="auto" w:fill="auto"/>
            <w:noWrap/>
            <w:vAlign w:val="bottom"/>
            <w:hideMark/>
          </w:tcPr>
          <w:p w:rsidR="00E33C62" w:rsidRPr="00514E79" w:rsidRDefault="00E33C62" w:rsidP="0086498C">
            <w:pPr>
              <w:spacing w:after="0" w:line="240" w:lineRule="auto"/>
              <w:rPr>
                <w:rFonts w:eastAsia="Times New Roman"/>
                <w:color w:val="000000"/>
                <w:sz w:val="20"/>
                <w:szCs w:val="20"/>
                <w:lang w:eastAsia="sl-SI"/>
              </w:rPr>
            </w:pPr>
            <w:r w:rsidRPr="00514E79">
              <w:rPr>
                <w:rFonts w:eastAsia="Times New Roman"/>
                <w:color w:val="000000"/>
                <w:sz w:val="20"/>
                <w:szCs w:val="20"/>
                <w:lang w:eastAsia="sl-SI"/>
              </w:rPr>
              <w:t>Hrastnik</w:t>
            </w:r>
          </w:p>
        </w:tc>
        <w:tc>
          <w:tcPr>
            <w:tcW w:w="1580" w:type="dxa"/>
            <w:shd w:val="clear" w:color="auto" w:fill="auto"/>
            <w:noWrap/>
            <w:vAlign w:val="bottom"/>
          </w:tcPr>
          <w:p w:rsidR="00E33C62" w:rsidRPr="00514E79" w:rsidRDefault="001B0778" w:rsidP="0086498C">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751</w:t>
            </w:r>
          </w:p>
        </w:tc>
        <w:tc>
          <w:tcPr>
            <w:tcW w:w="960" w:type="dxa"/>
            <w:shd w:val="clear" w:color="auto" w:fill="auto"/>
            <w:noWrap/>
            <w:vAlign w:val="bottom"/>
          </w:tcPr>
          <w:p w:rsidR="00E33C62" w:rsidRPr="00514E79" w:rsidRDefault="001B0778" w:rsidP="0086498C">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370</w:t>
            </w:r>
          </w:p>
        </w:tc>
        <w:tc>
          <w:tcPr>
            <w:tcW w:w="1087" w:type="dxa"/>
            <w:shd w:val="clear" w:color="auto" w:fill="auto"/>
            <w:noWrap/>
            <w:vAlign w:val="bottom"/>
          </w:tcPr>
          <w:p w:rsidR="00E33C62" w:rsidRPr="00514E79" w:rsidRDefault="001B0778" w:rsidP="0086498C">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430</w:t>
            </w:r>
          </w:p>
        </w:tc>
        <w:tc>
          <w:tcPr>
            <w:tcW w:w="920" w:type="dxa"/>
            <w:shd w:val="clear" w:color="auto" w:fill="auto"/>
            <w:noWrap/>
            <w:vAlign w:val="bottom"/>
          </w:tcPr>
          <w:p w:rsidR="00E33C62" w:rsidRPr="00514E79" w:rsidRDefault="001B0778" w:rsidP="0086498C">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214</w:t>
            </w:r>
          </w:p>
        </w:tc>
        <w:tc>
          <w:tcPr>
            <w:tcW w:w="885" w:type="dxa"/>
            <w:shd w:val="clear" w:color="auto" w:fill="auto"/>
            <w:noWrap/>
            <w:vAlign w:val="bottom"/>
          </w:tcPr>
          <w:p w:rsidR="00E33C62" w:rsidRPr="00514E79" w:rsidRDefault="001B0778" w:rsidP="0086498C">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189</w:t>
            </w:r>
          </w:p>
        </w:tc>
        <w:tc>
          <w:tcPr>
            <w:tcW w:w="919" w:type="dxa"/>
            <w:shd w:val="clear" w:color="auto" w:fill="auto"/>
            <w:noWrap/>
            <w:vAlign w:val="bottom"/>
          </w:tcPr>
          <w:p w:rsidR="00E33C62" w:rsidRPr="00514E79" w:rsidRDefault="00A548F9" w:rsidP="0086498C">
            <w:pPr>
              <w:spacing w:after="0" w:line="240" w:lineRule="auto"/>
              <w:jc w:val="right"/>
              <w:rPr>
                <w:rFonts w:eastAsia="Times New Roman"/>
                <w:color w:val="000000"/>
                <w:sz w:val="20"/>
                <w:szCs w:val="20"/>
                <w:lang w:eastAsia="sl-SI"/>
              </w:rPr>
            </w:pPr>
            <w:r>
              <w:rPr>
                <w:rFonts w:eastAsia="Times New Roman"/>
                <w:color w:val="000000"/>
                <w:sz w:val="20"/>
                <w:szCs w:val="20"/>
                <w:lang w:eastAsia="sl-SI"/>
              </w:rPr>
              <w:t>2</w:t>
            </w:r>
            <w:r w:rsidR="001B0778" w:rsidRPr="00514E79">
              <w:rPr>
                <w:rFonts w:eastAsia="Times New Roman"/>
                <w:color w:val="000000"/>
                <w:sz w:val="20"/>
                <w:szCs w:val="20"/>
                <w:lang w:eastAsia="sl-SI"/>
              </w:rPr>
              <w:t>6</w:t>
            </w:r>
            <w:r>
              <w:rPr>
                <w:rFonts w:eastAsia="Times New Roman"/>
                <w:color w:val="000000"/>
                <w:sz w:val="20"/>
                <w:szCs w:val="20"/>
                <w:lang w:eastAsia="sl-SI"/>
              </w:rPr>
              <w:t>1</w:t>
            </w:r>
          </w:p>
        </w:tc>
        <w:tc>
          <w:tcPr>
            <w:tcW w:w="1026" w:type="dxa"/>
            <w:shd w:val="clear" w:color="auto" w:fill="auto"/>
            <w:noWrap/>
            <w:vAlign w:val="bottom"/>
          </w:tcPr>
          <w:p w:rsidR="00E33C62" w:rsidRPr="00514E79" w:rsidRDefault="001B0778" w:rsidP="0086498C">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406</w:t>
            </w:r>
          </w:p>
        </w:tc>
        <w:tc>
          <w:tcPr>
            <w:tcW w:w="960" w:type="dxa"/>
            <w:shd w:val="clear" w:color="auto" w:fill="auto"/>
            <w:noWrap/>
            <w:vAlign w:val="bottom"/>
          </w:tcPr>
          <w:p w:rsidR="001B0778" w:rsidRPr="00514E79" w:rsidRDefault="001B0778" w:rsidP="00F77E10">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84</w:t>
            </w:r>
          </w:p>
        </w:tc>
      </w:tr>
      <w:tr w:rsidR="00E33C62" w:rsidRPr="00514E79" w:rsidTr="00F77E10">
        <w:trPr>
          <w:trHeight w:val="300"/>
        </w:trPr>
        <w:tc>
          <w:tcPr>
            <w:tcW w:w="960" w:type="dxa"/>
            <w:shd w:val="clear" w:color="auto" w:fill="auto"/>
            <w:noWrap/>
            <w:vAlign w:val="bottom"/>
            <w:hideMark/>
          </w:tcPr>
          <w:p w:rsidR="00E33C62" w:rsidRPr="00514E79" w:rsidRDefault="00E33C62" w:rsidP="0086498C">
            <w:pPr>
              <w:spacing w:after="0" w:line="240" w:lineRule="auto"/>
              <w:rPr>
                <w:rFonts w:eastAsia="Times New Roman"/>
                <w:color w:val="000000"/>
                <w:sz w:val="20"/>
                <w:szCs w:val="20"/>
                <w:lang w:eastAsia="sl-SI"/>
              </w:rPr>
            </w:pPr>
            <w:r w:rsidRPr="00514E79">
              <w:rPr>
                <w:rFonts w:eastAsia="Times New Roman"/>
                <w:color w:val="000000"/>
                <w:sz w:val="20"/>
                <w:szCs w:val="20"/>
                <w:lang w:eastAsia="sl-SI"/>
              </w:rPr>
              <w:t>Trbovlje</w:t>
            </w:r>
          </w:p>
        </w:tc>
        <w:tc>
          <w:tcPr>
            <w:tcW w:w="1580" w:type="dxa"/>
            <w:shd w:val="clear" w:color="auto" w:fill="auto"/>
            <w:noWrap/>
            <w:vAlign w:val="bottom"/>
          </w:tcPr>
          <w:p w:rsidR="00E33C62" w:rsidRPr="00514E79" w:rsidRDefault="001B0778" w:rsidP="0086498C">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1.427</w:t>
            </w:r>
          </w:p>
        </w:tc>
        <w:tc>
          <w:tcPr>
            <w:tcW w:w="960" w:type="dxa"/>
            <w:shd w:val="clear" w:color="auto" w:fill="auto"/>
            <w:noWrap/>
            <w:vAlign w:val="bottom"/>
          </w:tcPr>
          <w:p w:rsidR="00E33C62" w:rsidRPr="00514E79" w:rsidRDefault="001B0778" w:rsidP="0086498C">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683</w:t>
            </w:r>
          </w:p>
        </w:tc>
        <w:tc>
          <w:tcPr>
            <w:tcW w:w="1087" w:type="dxa"/>
            <w:shd w:val="clear" w:color="auto" w:fill="auto"/>
            <w:noWrap/>
            <w:vAlign w:val="bottom"/>
          </w:tcPr>
          <w:p w:rsidR="00E33C62" w:rsidRPr="00514E79" w:rsidRDefault="001B0778" w:rsidP="0086498C">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842</w:t>
            </w:r>
          </w:p>
        </w:tc>
        <w:tc>
          <w:tcPr>
            <w:tcW w:w="920" w:type="dxa"/>
            <w:shd w:val="clear" w:color="auto" w:fill="auto"/>
            <w:noWrap/>
            <w:vAlign w:val="bottom"/>
          </w:tcPr>
          <w:p w:rsidR="00E33C62" w:rsidRPr="00514E79" w:rsidRDefault="001B0778" w:rsidP="0086498C">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418</w:t>
            </w:r>
          </w:p>
        </w:tc>
        <w:tc>
          <w:tcPr>
            <w:tcW w:w="885" w:type="dxa"/>
            <w:shd w:val="clear" w:color="auto" w:fill="auto"/>
            <w:noWrap/>
            <w:vAlign w:val="bottom"/>
          </w:tcPr>
          <w:p w:rsidR="00E33C62" w:rsidRPr="00514E79" w:rsidRDefault="001B0778" w:rsidP="0086498C">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407</w:t>
            </w:r>
          </w:p>
        </w:tc>
        <w:tc>
          <w:tcPr>
            <w:tcW w:w="919" w:type="dxa"/>
            <w:shd w:val="clear" w:color="auto" w:fill="auto"/>
            <w:noWrap/>
            <w:vAlign w:val="bottom"/>
          </w:tcPr>
          <w:p w:rsidR="00E33C62" w:rsidRPr="00514E79" w:rsidRDefault="001B0778" w:rsidP="0086498C">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452</w:t>
            </w:r>
          </w:p>
        </w:tc>
        <w:tc>
          <w:tcPr>
            <w:tcW w:w="1026" w:type="dxa"/>
            <w:shd w:val="clear" w:color="auto" w:fill="auto"/>
            <w:noWrap/>
            <w:vAlign w:val="bottom"/>
          </w:tcPr>
          <w:p w:rsidR="00E33C62" w:rsidRPr="00514E79" w:rsidRDefault="001B0778" w:rsidP="0086498C">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818</w:t>
            </w:r>
          </w:p>
        </w:tc>
        <w:tc>
          <w:tcPr>
            <w:tcW w:w="960" w:type="dxa"/>
            <w:shd w:val="clear" w:color="auto" w:fill="auto"/>
            <w:noWrap/>
            <w:vAlign w:val="bottom"/>
          </w:tcPr>
          <w:p w:rsidR="001B0778" w:rsidRPr="00514E79" w:rsidRDefault="001B0778" w:rsidP="00F77E10">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157</w:t>
            </w:r>
          </w:p>
        </w:tc>
      </w:tr>
      <w:tr w:rsidR="00E33C62" w:rsidRPr="00514E79" w:rsidTr="00F77E10">
        <w:trPr>
          <w:trHeight w:val="300"/>
        </w:trPr>
        <w:tc>
          <w:tcPr>
            <w:tcW w:w="960" w:type="dxa"/>
            <w:shd w:val="clear" w:color="auto" w:fill="auto"/>
            <w:noWrap/>
            <w:vAlign w:val="bottom"/>
            <w:hideMark/>
          </w:tcPr>
          <w:p w:rsidR="00E33C62" w:rsidRPr="00514E79" w:rsidRDefault="00E33C62" w:rsidP="0086498C">
            <w:pPr>
              <w:spacing w:after="0" w:line="240" w:lineRule="auto"/>
              <w:rPr>
                <w:rFonts w:eastAsia="Times New Roman"/>
                <w:color w:val="000000"/>
                <w:sz w:val="20"/>
                <w:szCs w:val="20"/>
                <w:lang w:eastAsia="sl-SI"/>
              </w:rPr>
            </w:pPr>
            <w:r w:rsidRPr="00514E79">
              <w:rPr>
                <w:rFonts w:eastAsia="Times New Roman"/>
                <w:color w:val="000000"/>
                <w:sz w:val="20"/>
                <w:szCs w:val="20"/>
                <w:lang w:eastAsia="sl-SI"/>
              </w:rPr>
              <w:t> </w:t>
            </w:r>
          </w:p>
        </w:tc>
        <w:tc>
          <w:tcPr>
            <w:tcW w:w="8337" w:type="dxa"/>
            <w:gridSpan w:val="8"/>
            <w:shd w:val="clear" w:color="auto" w:fill="auto"/>
            <w:noWrap/>
            <w:vAlign w:val="bottom"/>
            <w:hideMark/>
          </w:tcPr>
          <w:p w:rsidR="00E33C62" w:rsidRPr="00514E79" w:rsidRDefault="0037452B" w:rsidP="0086498C">
            <w:pPr>
              <w:spacing w:after="0" w:line="240" w:lineRule="auto"/>
              <w:jc w:val="center"/>
              <w:rPr>
                <w:rFonts w:eastAsia="Times New Roman"/>
                <w:color w:val="000000"/>
                <w:sz w:val="20"/>
                <w:szCs w:val="20"/>
                <w:lang w:eastAsia="sl-SI"/>
              </w:rPr>
            </w:pPr>
            <w:r w:rsidRPr="00514E79">
              <w:rPr>
                <w:rFonts w:eastAsia="Times New Roman"/>
                <w:color w:val="000000"/>
                <w:sz w:val="20"/>
                <w:szCs w:val="20"/>
                <w:lang w:eastAsia="sl-SI"/>
              </w:rPr>
              <w:t>marec 2015</w:t>
            </w:r>
          </w:p>
        </w:tc>
      </w:tr>
      <w:tr w:rsidR="00E33C62" w:rsidRPr="00514E79" w:rsidTr="00F77E10">
        <w:trPr>
          <w:trHeight w:val="1500"/>
        </w:trPr>
        <w:tc>
          <w:tcPr>
            <w:tcW w:w="960" w:type="dxa"/>
            <w:shd w:val="clear" w:color="auto" w:fill="auto"/>
            <w:noWrap/>
            <w:vAlign w:val="bottom"/>
            <w:hideMark/>
          </w:tcPr>
          <w:p w:rsidR="00E33C62" w:rsidRPr="00514E79" w:rsidRDefault="00E33C62" w:rsidP="0086498C">
            <w:pPr>
              <w:spacing w:after="0" w:line="240" w:lineRule="auto"/>
              <w:rPr>
                <w:rFonts w:eastAsia="Times New Roman"/>
                <w:color w:val="000000"/>
                <w:sz w:val="20"/>
                <w:szCs w:val="20"/>
                <w:lang w:eastAsia="sl-SI"/>
              </w:rPr>
            </w:pPr>
            <w:r w:rsidRPr="00514E79">
              <w:rPr>
                <w:rFonts w:eastAsia="Times New Roman"/>
                <w:color w:val="000000"/>
                <w:sz w:val="20"/>
                <w:szCs w:val="20"/>
                <w:lang w:eastAsia="sl-SI"/>
              </w:rPr>
              <w:t>Občina</w:t>
            </w:r>
          </w:p>
        </w:tc>
        <w:tc>
          <w:tcPr>
            <w:tcW w:w="1580" w:type="dxa"/>
            <w:shd w:val="clear" w:color="auto" w:fill="auto"/>
            <w:vAlign w:val="bottom"/>
            <w:hideMark/>
          </w:tcPr>
          <w:p w:rsidR="00E33C62" w:rsidRPr="00514E79" w:rsidRDefault="00E33C62" w:rsidP="0086498C">
            <w:pPr>
              <w:spacing w:after="0" w:line="240" w:lineRule="auto"/>
              <w:jc w:val="center"/>
              <w:rPr>
                <w:rFonts w:eastAsia="Times New Roman"/>
                <w:color w:val="000000"/>
                <w:sz w:val="20"/>
                <w:szCs w:val="20"/>
                <w:lang w:eastAsia="sl-SI"/>
              </w:rPr>
            </w:pPr>
            <w:r w:rsidRPr="00514E79">
              <w:rPr>
                <w:rFonts w:eastAsia="Times New Roman"/>
                <w:color w:val="000000"/>
                <w:sz w:val="20"/>
                <w:szCs w:val="20"/>
                <w:lang w:eastAsia="sl-SI"/>
              </w:rPr>
              <w:t>Registrirane brezposelne osebe skupaj</w:t>
            </w:r>
          </w:p>
        </w:tc>
        <w:tc>
          <w:tcPr>
            <w:tcW w:w="960" w:type="dxa"/>
            <w:shd w:val="clear" w:color="auto" w:fill="auto"/>
            <w:vAlign w:val="bottom"/>
            <w:hideMark/>
          </w:tcPr>
          <w:p w:rsidR="00E33C62" w:rsidRPr="00514E79" w:rsidRDefault="00E33C62" w:rsidP="0086498C">
            <w:pPr>
              <w:spacing w:after="0" w:line="240" w:lineRule="auto"/>
              <w:jc w:val="center"/>
              <w:rPr>
                <w:rFonts w:eastAsia="Times New Roman"/>
                <w:color w:val="000000"/>
                <w:sz w:val="20"/>
                <w:szCs w:val="20"/>
                <w:lang w:eastAsia="sl-SI"/>
              </w:rPr>
            </w:pPr>
            <w:r w:rsidRPr="00514E79">
              <w:rPr>
                <w:rFonts w:eastAsia="Times New Roman"/>
                <w:color w:val="000000"/>
                <w:sz w:val="20"/>
                <w:szCs w:val="20"/>
                <w:lang w:eastAsia="sl-SI"/>
              </w:rPr>
              <w:t>ženske</w:t>
            </w:r>
          </w:p>
        </w:tc>
        <w:tc>
          <w:tcPr>
            <w:tcW w:w="1087" w:type="dxa"/>
            <w:shd w:val="clear" w:color="auto" w:fill="auto"/>
            <w:vAlign w:val="bottom"/>
            <w:hideMark/>
          </w:tcPr>
          <w:p w:rsidR="00E33C62" w:rsidRPr="00514E79" w:rsidRDefault="00E33C62" w:rsidP="0086498C">
            <w:pPr>
              <w:spacing w:after="0" w:line="240" w:lineRule="auto"/>
              <w:jc w:val="center"/>
              <w:rPr>
                <w:rFonts w:eastAsia="Times New Roman"/>
                <w:color w:val="000000"/>
                <w:sz w:val="20"/>
                <w:szCs w:val="20"/>
                <w:lang w:eastAsia="sl-SI"/>
              </w:rPr>
            </w:pPr>
            <w:r w:rsidRPr="00514E79">
              <w:rPr>
                <w:rFonts w:eastAsia="Times New Roman"/>
                <w:color w:val="000000"/>
                <w:sz w:val="20"/>
                <w:szCs w:val="20"/>
                <w:lang w:eastAsia="sl-SI"/>
              </w:rPr>
              <w:t>dolgotrajno brezposelni</w:t>
            </w:r>
          </w:p>
        </w:tc>
        <w:tc>
          <w:tcPr>
            <w:tcW w:w="920" w:type="dxa"/>
            <w:shd w:val="clear" w:color="auto" w:fill="auto"/>
            <w:vAlign w:val="bottom"/>
            <w:hideMark/>
          </w:tcPr>
          <w:p w:rsidR="00E33C62" w:rsidRPr="00514E79" w:rsidRDefault="00E33C62" w:rsidP="0086498C">
            <w:pPr>
              <w:spacing w:after="0" w:line="240" w:lineRule="auto"/>
              <w:jc w:val="center"/>
              <w:rPr>
                <w:rFonts w:eastAsia="Times New Roman"/>
                <w:color w:val="000000"/>
                <w:sz w:val="20"/>
                <w:szCs w:val="20"/>
                <w:lang w:eastAsia="sl-SI"/>
              </w:rPr>
            </w:pPr>
            <w:r w:rsidRPr="00514E79">
              <w:rPr>
                <w:rFonts w:eastAsia="Times New Roman"/>
                <w:color w:val="000000"/>
                <w:sz w:val="20"/>
                <w:szCs w:val="20"/>
                <w:lang w:eastAsia="sl-SI"/>
              </w:rPr>
              <w:t>stari</w:t>
            </w:r>
            <w:r w:rsidRPr="00514E79">
              <w:rPr>
                <w:rFonts w:eastAsia="Times New Roman"/>
                <w:color w:val="000000"/>
                <w:sz w:val="20"/>
                <w:szCs w:val="20"/>
                <w:lang w:eastAsia="sl-SI"/>
              </w:rPr>
              <w:br/>
              <w:t>15-29 let</w:t>
            </w:r>
          </w:p>
        </w:tc>
        <w:tc>
          <w:tcPr>
            <w:tcW w:w="885" w:type="dxa"/>
            <w:shd w:val="clear" w:color="auto" w:fill="auto"/>
            <w:vAlign w:val="bottom"/>
            <w:hideMark/>
          </w:tcPr>
          <w:p w:rsidR="00E33C62" w:rsidRPr="00514E79" w:rsidRDefault="00E33C62" w:rsidP="0086498C">
            <w:pPr>
              <w:spacing w:after="0" w:line="240" w:lineRule="auto"/>
              <w:jc w:val="center"/>
              <w:rPr>
                <w:rFonts w:eastAsia="Times New Roman"/>
                <w:color w:val="000000"/>
                <w:sz w:val="20"/>
                <w:szCs w:val="20"/>
                <w:lang w:eastAsia="sl-SI"/>
              </w:rPr>
            </w:pPr>
            <w:r w:rsidRPr="00514E79">
              <w:rPr>
                <w:rFonts w:eastAsia="Times New Roman"/>
                <w:color w:val="000000"/>
                <w:sz w:val="20"/>
                <w:szCs w:val="20"/>
                <w:lang w:eastAsia="sl-SI"/>
              </w:rPr>
              <w:t>stari 50 let ali več</w:t>
            </w:r>
          </w:p>
        </w:tc>
        <w:tc>
          <w:tcPr>
            <w:tcW w:w="919" w:type="dxa"/>
            <w:shd w:val="clear" w:color="auto" w:fill="auto"/>
            <w:vAlign w:val="bottom"/>
            <w:hideMark/>
          </w:tcPr>
          <w:p w:rsidR="00E33C62" w:rsidRPr="00514E79" w:rsidRDefault="00E33C62" w:rsidP="0086498C">
            <w:pPr>
              <w:spacing w:after="0" w:line="240" w:lineRule="auto"/>
              <w:jc w:val="center"/>
              <w:rPr>
                <w:rFonts w:eastAsia="Times New Roman"/>
                <w:color w:val="000000"/>
                <w:sz w:val="20"/>
                <w:szCs w:val="20"/>
                <w:lang w:eastAsia="sl-SI"/>
              </w:rPr>
            </w:pPr>
            <w:r w:rsidRPr="00514E79">
              <w:rPr>
                <w:rFonts w:eastAsia="Times New Roman"/>
                <w:color w:val="000000"/>
                <w:sz w:val="20"/>
                <w:szCs w:val="20"/>
                <w:lang w:eastAsia="sl-SI"/>
              </w:rPr>
              <w:t>1+2 OŠ ali manj</w:t>
            </w:r>
          </w:p>
        </w:tc>
        <w:tc>
          <w:tcPr>
            <w:tcW w:w="1026" w:type="dxa"/>
            <w:shd w:val="clear" w:color="auto" w:fill="auto"/>
            <w:vAlign w:val="bottom"/>
            <w:hideMark/>
          </w:tcPr>
          <w:p w:rsidR="00E33C62" w:rsidRPr="00514E79" w:rsidRDefault="00E33C62" w:rsidP="0086498C">
            <w:pPr>
              <w:spacing w:after="0" w:line="240" w:lineRule="auto"/>
              <w:jc w:val="center"/>
              <w:rPr>
                <w:rFonts w:eastAsia="Times New Roman"/>
                <w:color w:val="000000"/>
                <w:sz w:val="20"/>
                <w:szCs w:val="20"/>
                <w:lang w:eastAsia="sl-SI"/>
              </w:rPr>
            </w:pPr>
            <w:r w:rsidRPr="00514E79">
              <w:rPr>
                <w:rFonts w:eastAsia="Times New Roman"/>
                <w:color w:val="000000"/>
                <w:sz w:val="20"/>
                <w:szCs w:val="20"/>
                <w:lang w:eastAsia="sl-SI"/>
              </w:rPr>
              <w:t>3+4+5 srednješol. Izobrazba</w:t>
            </w:r>
          </w:p>
        </w:tc>
        <w:tc>
          <w:tcPr>
            <w:tcW w:w="960" w:type="dxa"/>
            <w:shd w:val="clear" w:color="auto" w:fill="auto"/>
            <w:vAlign w:val="bottom"/>
            <w:hideMark/>
          </w:tcPr>
          <w:p w:rsidR="00E33C62" w:rsidRPr="00514E79" w:rsidRDefault="00E33C62" w:rsidP="0086498C">
            <w:pPr>
              <w:spacing w:after="0" w:line="240" w:lineRule="auto"/>
              <w:jc w:val="center"/>
              <w:rPr>
                <w:rFonts w:eastAsia="Times New Roman"/>
                <w:color w:val="000000"/>
                <w:sz w:val="20"/>
                <w:szCs w:val="20"/>
                <w:lang w:eastAsia="sl-SI"/>
              </w:rPr>
            </w:pPr>
            <w:r w:rsidRPr="00514E79">
              <w:rPr>
                <w:rFonts w:eastAsia="Times New Roman"/>
                <w:color w:val="000000"/>
                <w:sz w:val="20"/>
                <w:szCs w:val="20"/>
                <w:lang w:eastAsia="sl-SI"/>
              </w:rPr>
              <w:t>6+7+8 višje-, viosko- šol izobraž.</w:t>
            </w:r>
          </w:p>
        </w:tc>
      </w:tr>
      <w:tr w:rsidR="00E33C62" w:rsidRPr="00514E79" w:rsidTr="00F77E10">
        <w:trPr>
          <w:trHeight w:val="300"/>
        </w:trPr>
        <w:tc>
          <w:tcPr>
            <w:tcW w:w="960" w:type="dxa"/>
            <w:shd w:val="clear" w:color="auto" w:fill="auto"/>
            <w:noWrap/>
            <w:vAlign w:val="bottom"/>
            <w:hideMark/>
          </w:tcPr>
          <w:p w:rsidR="00E33C62" w:rsidRPr="00514E79" w:rsidRDefault="00E33C62" w:rsidP="0086498C">
            <w:pPr>
              <w:spacing w:after="0" w:line="240" w:lineRule="auto"/>
              <w:rPr>
                <w:rFonts w:eastAsia="Times New Roman"/>
                <w:color w:val="000000"/>
                <w:sz w:val="20"/>
                <w:szCs w:val="20"/>
                <w:lang w:eastAsia="sl-SI"/>
              </w:rPr>
            </w:pPr>
            <w:r w:rsidRPr="00514E79">
              <w:rPr>
                <w:rFonts w:eastAsia="Times New Roman"/>
                <w:color w:val="000000"/>
                <w:sz w:val="20"/>
                <w:szCs w:val="20"/>
                <w:lang w:eastAsia="sl-SI"/>
              </w:rPr>
              <w:lastRenderedPageBreak/>
              <w:t>Radeče</w:t>
            </w:r>
          </w:p>
        </w:tc>
        <w:tc>
          <w:tcPr>
            <w:tcW w:w="1580" w:type="dxa"/>
            <w:shd w:val="clear" w:color="auto" w:fill="auto"/>
            <w:noWrap/>
            <w:vAlign w:val="bottom"/>
          </w:tcPr>
          <w:p w:rsidR="00E33C62" w:rsidRPr="00514E79" w:rsidRDefault="00BA2726" w:rsidP="0086498C">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248</w:t>
            </w:r>
          </w:p>
        </w:tc>
        <w:tc>
          <w:tcPr>
            <w:tcW w:w="960" w:type="dxa"/>
            <w:shd w:val="clear" w:color="auto" w:fill="auto"/>
            <w:noWrap/>
            <w:vAlign w:val="bottom"/>
          </w:tcPr>
          <w:p w:rsidR="00E33C62" w:rsidRPr="00514E79" w:rsidRDefault="00BA2726" w:rsidP="0086498C">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127</w:t>
            </w:r>
          </w:p>
        </w:tc>
        <w:tc>
          <w:tcPr>
            <w:tcW w:w="1087" w:type="dxa"/>
            <w:shd w:val="clear" w:color="auto" w:fill="auto"/>
            <w:noWrap/>
            <w:vAlign w:val="bottom"/>
          </w:tcPr>
          <w:p w:rsidR="00E33C62" w:rsidRPr="00514E79" w:rsidRDefault="00BA2726" w:rsidP="0086498C">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142</w:t>
            </w:r>
          </w:p>
        </w:tc>
        <w:tc>
          <w:tcPr>
            <w:tcW w:w="920" w:type="dxa"/>
            <w:shd w:val="clear" w:color="auto" w:fill="auto"/>
            <w:noWrap/>
            <w:vAlign w:val="bottom"/>
          </w:tcPr>
          <w:p w:rsidR="00E33C62" w:rsidRPr="00514E79" w:rsidRDefault="00BA2726" w:rsidP="0086498C">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68</w:t>
            </w:r>
          </w:p>
        </w:tc>
        <w:tc>
          <w:tcPr>
            <w:tcW w:w="885" w:type="dxa"/>
            <w:shd w:val="clear" w:color="auto" w:fill="auto"/>
            <w:noWrap/>
            <w:vAlign w:val="bottom"/>
          </w:tcPr>
          <w:p w:rsidR="00E33C62" w:rsidRPr="00514E79" w:rsidRDefault="00BA2726" w:rsidP="0086498C">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77</w:t>
            </w:r>
          </w:p>
        </w:tc>
        <w:tc>
          <w:tcPr>
            <w:tcW w:w="919" w:type="dxa"/>
            <w:shd w:val="clear" w:color="auto" w:fill="auto"/>
            <w:noWrap/>
            <w:vAlign w:val="bottom"/>
          </w:tcPr>
          <w:p w:rsidR="00E33C62" w:rsidRPr="00514E79" w:rsidRDefault="00BA2726" w:rsidP="0086498C">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74</w:t>
            </w:r>
          </w:p>
        </w:tc>
        <w:tc>
          <w:tcPr>
            <w:tcW w:w="1026" w:type="dxa"/>
            <w:shd w:val="clear" w:color="auto" w:fill="auto"/>
            <w:noWrap/>
            <w:vAlign w:val="bottom"/>
          </w:tcPr>
          <w:p w:rsidR="00E33C62" w:rsidRPr="00514E79" w:rsidRDefault="00BA2726" w:rsidP="0086498C">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133</w:t>
            </w:r>
          </w:p>
        </w:tc>
        <w:tc>
          <w:tcPr>
            <w:tcW w:w="960" w:type="dxa"/>
            <w:shd w:val="clear" w:color="auto" w:fill="auto"/>
            <w:noWrap/>
            <w:vAlign w:val="bottom"/>
          </w:tcPr>
          <w:p w:rsidR="00E33C62" w:rsidRPr="00514E79" w:rsidRDefault="00BA2726" w:rsidP="0086498C">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41</w:t>
            </w:r>
          </w:p>
        </w:tc>
      </w:tr>
      <w:tr w:rsidR="00E33C62" w:rsidRPr="00514E79" w:rsidTr="00F77E10">
        <w:trPr>
          <w:trHeight w:val="300"/>
        </w:trPr>
        <w:tc>
          <w:tcPr>
            <w:tcW w:w="960" w:type="dxa"/>
            <w:shd w:val="clear" w:color="auto" w:fill="auto"/>
            <w:noWrap/>
            <w:vAlign w:val="bottom"/>
            <w:hideMark/>
          </w:tcPr>
          <w:p w:rsidR="00E33C62" w:rsidRPr="00514E79" w:rsidRDefault="00E33C62" w:rsidP="0086498C">
            <w:pPr>
              <w:spacing w:after="0" w:line="240" w:lineRule="auto"/>
              <w:rPr>
                <w:rFonts w:eastAsia="Times New Roman"/>
                <w:color w:val="000000"/>
                <w:sz w:val="20"/>
                <w:szCs w:val="20"/>
                <w:lang w:eastAsia="sl-SI"/>
              </w:rPr>
            </w:pPr>
            <w:r w:rsidRPr="00514E79">
              <w:rPr>
                <w:rFonts w:eastAsia="Times New Roman"/>
                <w:color w:val="000000"/>
                <w:sz w:val="20"/>
                <w:szCs w:val="20"/>
                <w:lang w:eastAsia="sl-SI"/>
              </w:rPr>
              <w:t>Hrastnik</w:t>
            </w:r>
          </w:p>
        </w:tc>
        <w:tc>
          <w:tcPr>
            <w:tcW w:w="1580" w:type="dxa"/>
            <w:shd w:val="clear" w:color="auto" w:fill="auto"/>
            <w:noWrap/>
            <w:vAlign w:val="bottom"/>
          </w:tcPr>
          <w:p w:rsidR="00E33C62" w:rsidRPr="00514E79" w:rsidRDefault="00BA2726" w:rsidP="0086498C">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748</w:t>
            </w:r>
          </w:p>
        </w:tc>
        <w:tc>
          <w:tcPr>
            <w:tcW w:w="960" w:type="dxa"/>
            <w:shd w:val="clear" w:color="auto" w:fill="auto"/>
            <w:noWrap/>
            <w:vAlign w:val="bottom"/>
          </w:tcPr>
          <w:p w:rsidR="00E33C62" w:rsidRPr="00514E79" w:rsidRDefault="00BA2726" w:rsidP="0086498C">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363</w:t>
            </w:r>
          </w:p>
        </w:tc>
        <w:tc>
          <w:tcPr>
            <w:tcW w:w="1087" w:type="dxa"/>
            <w:shd w:val="clear" w:color="auto" w:fill="auto"/>
            <w:noWrap/>
            <w:vAlign w:val="bottom"/>
          </w:tcPr>
          <w:p w:rsidR="00E33C62" w:rsidRPr="00514E79" w:rsidRDefault="00BA2726" w:rsidP="0086498C">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425</w:t>
            </w:r>
          </w:p>
        </w:tc>
        <w:tc>
          <w:tcPr>
            <w:tcW w:w="920" w:type="dxa"/>
            <w:shd w:val="clear" w:color="auto" w:fill="auto"/>
            <w:noWrap/>
            <w:vAlign w:val="bottom"/>
          </w:tcPr>
          <w:p w:rsidR="00E33C62" w:rsidRPr="00514E79" w:rsidRDefault="00BA2726" w:rsidP="0086498C">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214</w:t>
            </w:r>
          </w:p>
        </w:tc>
        <w:tc>
          <w:tcPr>
            <w:tcW w:w="885" w:type="dxa"/>
            <w:shd w:val="clear" w:color="auto" w:fill="auto"/>
            <w:noWrap/>
            <w:vAlign w:val="bottom"/>
          </w:tcPr>
          <w:p w:rsidR="00E33C62" w:rsidRPr="00514E79" w:rsidRDefault="00BA2726" w:rsidP="0086498C">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195</w:t>
            </w:r>
          </w:p>
        </w:tc>
        <w:tc>
          <w:tcPr>
            <w:tcW w:w="919" w:type="dxa"/>
            <w:shd w:val="clear" w:color="auto" w:fill="auto"/>
            <w:noWrap/>
            <w:vAlign w:val="bottom"/>
          </w:tcPr>
          <w:p w:rsidR="00E33C62" w:rsidRPr="00514E79" w:rsidRDefault="00BA2726" w:rsidP="0086498C">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261</w:t>
            </w:r>
          </w:p>
        </w:tc>
        <w:tc>
          <w:tcPr>
            <w:tcW w:w="1026" w:type="dxa"/>
            <w:shd w:val="clear" w:color="auto" w:fill="auto"/>
            <w:noWrap/>
            <w:vAlign w:val="bottom"/>
          </w:tcPr>
          <w:p w:rsidR="00E33C62" w:rsidRPr="00514E79" w:rsidRDefault="00BA2726" w:rsidP="0086498C">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404</w:t>
            </w:r>
          </w:p>
        </w:tc>
        <w:tc>
          <w:tcPr>
            <w:tcW w:w="960" w:type="dxa"/>
            <w:shd w:val="clear" w:color="auto" w:fill="auto"/>
            <w:noWrap/>
            <w:vAlign w:val="bottom"/>
          </w:tcPr>
          <w:p w:rsidR="00E33C62" w:rsidRPr="00514E79" w:rsidRDefault="00BA2726" w:rsidP="0086498C">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83</w:t>
            </w:r>
          </w:p>
        </w:tc>
      </w:tr>
      <w:tr w:rsidR="00E33C62" w:rsidRPr="00514E79" w:rsidTr="00F77E10">
        <w:trPr>
          <w:trHeight w:val="300"/>
        </w:trPr>
        <w:tc>
          <w:tcPr>
            <w:tcW w:w="960" w:type="dxa"/>
            <w:shd w:val="clear" w:color="auto" w:fill="auto"/>
            <w:noWrap/>
            <w:vAlign w:val="bottom"/>
            <w:hideMark/>
          </w:tcPr>
          <w:p w:rsidR="00E33C62" w:rsidRPr="00514E79" w:rsidRDefault="00E33C62" w:rsidP="0086498C">
            <w:pPr>
              <w:spacing w:after="0" w:line="240" w:lineRule="auto"/>
              <w:rPr>
                <w:rFonts w:eastAsia="Times New Roman"/>
                <w:color w:val="000000"/>
                <w:sz w:val="20"/>
                <w:szCs w:val="20"/>
                <w:lang w:eastAsia="sl-SI"/>
              </w:rPr>
            </w:pPr>
            <w:r w:rsidRPr="00514E79">
              <w:rPr>
                <w:rFonts w:eastAsia="Times New Roman"/>
                <w:color w:val="000000"/>
                <w:sz w:val="20"/>
                <w:szCs w:val="20"/>
                <w:lang w:eastAsia="sl-SI"/>
              </w:rPr>
              <w:t>Trbovlje</w:t>
            </w:r>
          </w:p>
        </w:tc>
        <w:tc>
          <w:tcPr>
            <w:tcW w:w="1580" w:type="dxa"/>
            <w:shd w:val="clear" w:color="auto" w:fill="auto"/>
            <w:noWrap/>
            <w:vAlign w:val="bottom"/>
          </w:tcPr>
          <w:p w:rsidR="00E33C62" w:rsidRPr="00514E79" w:rsidRDefault="00BA2726" w:rsidP="0086498C">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1.496</w:t>
            </w:r>
          </w:p>
        </w:tc>
        <w:tc>
          <w:tcPr>
            <w:tcW w:w="960" w:type="dxa"/>
            <w:shd w:val="clear" w:color="auto" w:fill="auto"/>
            <w:noWrap/>
            <w:vAlign w:val="bottom"/>
          </w:tcPr>
          <w:p w:rsidR="00E33C62" w:rsidRPr="00514E79" w:rsidRDefault="00BA2726" w:rsidP="0086498C">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687</w:t>
            </w:r>
          </w:p>
        </w:tc>
        <w:tc>
          <w:tcPr>
            <w:tcW w:w="1087" w:type="dxa"/>
            <w:shd w:val="clear" w:color="auto" w:fill="auto"/>
            <w:noWrap/>
            <w:vAlign w:val="bottom"/>
          </w:tcPr>
          <w:p w:rsidR="00E33C62" w:rsidRPr="00514E79" w:rsidRDefault="00BA2726" w:rsidP="0086498C">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841</w:t>
            </w:r>
          </w:p>
        </w:tc>
        <w:tc>
          <w:tcPr>
            <w:tcW w:w="920" w:type="dxa"/>
            <w:shd w:val="clear" w:color="auto" w:fill="auto"/>
            <w:noWrap/>
            <w:vAlign w:val="bottom"/>
          </w:tcPr>
          <w:p w:rsidR="00E33C62" w:rsidRPr="00514E79" w:rsidRDefault="00BA2726" w:rsidP="0086498C">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423</w:t>
            </w:r>
          </w:p>
        </w:tc>
        <w:tc>
          <w:tcPr>
            <w:tcW w:w="885" w:type="dxa"/>
            <w:shd w:val="clear" w:color="auto" w:fill="auto"/>
            <w:noWrap/>
            <w:vAlign w:val="bottom"/>
          </w:tcPr>
          <w:p w:rsidR="00E33C62" w:rsidRPr="00514E79" w:rsidRDefault="00BA2726" w:rsidP="0086498C">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439</w:t>
            </w:r>
          </w:p>
        </w:tc>
        <w:tc>
          <w:tcPr>
            <w:tcW w:w="919" w:type="dxa"/>
            <w:shd w:val="clear" w:color="auto" w:fill="auto"/>
            <w:noWrap/>
            <w:vAlign w:val="bottom"/>
          </w:tcPr>
          <w:p w:rsidR="00E33C62" w:rsidRPr="00514E79" w:rsidRDefault="00BA2726" w:rsidP="0086498C">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457</w:t>
            </w:r>
          </w:p>
        </w:tc>
        <w:tc>
          <w:tcPr>
            <w:tcW w:w="1026" w:type="dxa"/>
            <w:shd w:val="clear" w:color="auto" w:fill="auto"/>
            <w:noWrap/>
            <w:vAlign w:val="bottom"/>
          </w:tcPr>
          <w:p w:rsidR="00E33C62" w:rsidRPr="00514E79" w:rsidRDefault="00BA2726" w:rsidP="0086498C">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879</w:t>
            </w:r>
          </w:p>
        </w:tc>
        <w:tc>
          <w:tcPr>
            <w:tcW w:w="960" w:type="dxa"/>
            <w:shd w:val="clear" w:color="auto" w:fill="auto"/>
            <w:noWrap/>
            <w:vAlign w:val="bottom"/>
          </w:tcPr>
          <w:p w:rsidR="00E33C62" w:rsidRPr="00514E79" w:rsidRDefault="00BA2726" w:rsidP="0086498C">
            <w:pPr>
              <w:spacing w:after="0" w:line="240" w:lineRule="auto"/>
              <w:jc w:val="right"/>
              <w:rPr>
                <w:rFonts w:eastAsia="Times New Roman"/>
                <w:color w:val="000000"/>
                <w:sz w:val="20"/>
                <w:szCs w:val="20"/>
                <w:lang w:eastAsia="sl-SI"/>
              </w:rPr>
            </w:pPr>
            <w:r w:rsidRPr="00514E79">
              <w:rPr>
                <w:rFonts w:eastAsia="Times New Roman"/>
                <w:color w:val="000000"/>
                <w:sz w:val="20"/>
                <w:szCs w:val="20"/>
                <w:lang w:eastAsia="sl-SI"/>
              </w:rPr>
              <w:t>160</w:t>
            </w:r>
          </w:p>
        </w:tc>
      </w:tr>
    </w:tbl>
    <w:p w:rsidR="00E33C62" w:rsidRDefault="00E33C62" w:rsidP="00E33C62">
      <w:pPr>
        <w:spacing w:after="0" w:line="240" w:lineRule="auto"/>
        <w:jc w:val="both"/>
      </w:pPr>
      <w:r w:rsidRPr="00514E79">
        <w:t xml:space="preserve">Vir: Mesečne informacije, </w:t>
      </w:r>
      <w:r w:rsidR="0037452B" w:rsidRPr="00514E79">
        <w:t>februar in marec 2015</w:t>
      </w:r>
      <w:r w:rsidRPr="00514E79">
        <w:t xml:space="preserve"> , Zavod RS za zaposlovanje</w:t>
      </w:r>
    </w:p>
    <w:p w:rsidR="00E33C62" w:rsidRDefault="00E33C62" w:rsidP="00E33C62">
      <w:pPr>
        <w:spacing w:after="0" w:line="240" w:lineRule="auto"/>
        <w:jc w:val="both"/>
      </w:pPr>
    </w:p>
    <w:p w:rsidR="00E33C62" w:rsidRDefault="00E33C62" w:rsidP="00E33C62">
      <w:pPr>
        <w:spacing w:after="0" w:line="240" w:lineRule="auto"/>
        <w:jc w:val="both"/>
      </w:pPr>
      <w:r>
        <w:t xml:space="preserve">Analiza brezposelnosti po strukturi pokaže na velik delež dolgotrajno brezposelnih (več kot 50%) v strukturi registriranih brezposelnih oseb. Delež žensk </w:t>
      </w:r>
      <w:r w:rsidR="009F0E09">
        <w:t>se giblje okoli</w:t>
      </w:r>
      <w:r>
        <w:t xml:space="preserve"> 50% v strukturi registriranih brezposelnih.  Glede na starost brezposelnih oseb je problematika brezposelnosti tako med mladimi (15- 29 let) kot tudi starejšimi (50 let ali več). Glede na izobrazbeno strukturo pa med registriranimi brezposelnimi osebami prevladujejo tisti s srednješolsko izobrazbo ali manj. </w:t>
      </w:r>
    </w:p>
    <w:p w:rsidR="00E33C62" w:rsidRDefault="00E33C62" w:rsidP="00E33C62">
      <w:pPr>
        <w:spacing w:after="0" w:line="240" w:lineRule="auto"/>
        <w:jc w:val="both"/>
      </w:pPr>
    </w:p>
    <w:p w:rsidR="00E33C62" w:rsidRDefault="00E33C62" w:rsidP="00E33C62">
      <w:pPr>
        <w:spacing w:after="0" w:line="240" w:lineRule="auto"/>
        <w:jc w:val="both"/>
      </w:pPr>
    </w:p>
    <w:p w:rsidR="00E33C62" w:rsidRDefault="00E33C62" w:rsidP="00E33C62">
      <w:pPr>
        <w:spacing w:after="0" w:line="240" w:lineRule="auto"/>
        <w:jc w:val="both"/>
      </w:pPr>
    </w:p>
    <w:p w:rsidR="00E33C62" w:rsidRPr="0086498C" w:rsidRDefault="00E33C62" w:rsidP="0086498C">
      <w:pPr>
        <w:pStyle w:val="Naslov1"/>
        <w:numPr>
          <w:ilvl w:val="0"/>
          <w:numId w:val="12"/>
        </w:numPr>
        <w:rPr>
          <w:rFonts w:ascii="Cambria" w:hAnsi="Cambria"/>
          <w:sz w:val="26"/>
          <w:szCs w:val="26"/>
        </w:rPr>
      </w:pPr>
      <w:r w:rsidRPr="0086498C">
        <w:rPr>
          <w:rFonts w:ascii="Cambria" w:hAnsi="Cambria"/>
          <w:sz w:val="26"/>
          <w:szCs w:val="26"/>
        </w:rPr>
        <w:t>Izvajanje instrumentov in ukrepov</w:t>
      </w:r>
    </w:p>
    <w:p w:rsidR="00E33C62" w:rsidRDefault="00E33C62" w:rsidP="00E33C62">
      <w:pPr>
        <w:spacing w:after="0" w:line="240" w:lineRule="auto"/>
        <w:jc w:val="both"/>
      </w:pPr>
    </w:p>
    <w:p w:rsidR="00E33C62" w:rsidRDefault="00E33C62" w:rsidP="00E33C62">
      <w:pPr>
        <w:spacing w:after="0" w:line="240" w:lineRule="auto"/>
        <w:jc w:val="both"/>
      </w:pPr>
    </w:p>
    <w:p w:rsidR="00E33C62" w:rsidRPr="002E7028" w:rsidRDefault="00996155" w:rsidP="002E7028">
      <w:pPr>
        <w:pStyle w:val="Naslov2"/>
        <w:numPr>
          <w:ilvl w:val="1"/>
          <w:numId w:val="0"/>
        </w:numPr>
        <w:spacing w:before="0" w:after="0" w:line="240" w:lineRule="auto"/>
        <w:ind w:left="936" w:hanging="576"/>
        <w:rPr>
          <w:sz w:val="24"/>
          <w:szCs w:val="24"/>
        </w:rPr>
      </w:pPr>
      <w:r w:rsidRPr="002E7028">
        <w:rPr>
          <w:sz w:val="24"/>
          <w:szCs w:val="24"/>
        </w:rPr>
        <w:t xml:space="preserve">4.1 </w:t>
      </w:r>
      <w:r w:rsidR="00E33C62" w:rsidRPr="002E7028">
        <w:rPr>
          <w:sz w:val="24"/>
          <w:szCs w:val="24"/>
        </w:rPr>
        <w:t>Program spodbujanja konkurenčnosti in ukrepov razvojne podpore za območje občin Hrastnik, Radeče in Trbovlje v obdobju 2013-2018</w:t>
      </w:r>
    </w:p>
    <w:p w:rsidR="00E33C62" w:rsidRDefault="00E33C62" w:rsidP="00E33C62">
      <w:pPr>
        <w:spacing w:after="0" w:line="240" w:lineRule="auto"/>
        <w:jc w:val="both"/>
      </w:pPr>
    </w:p>
    <w:p w:rsidR="00E33C62" w:rsidRDefault="00E33C62" w:rsidP="00E33C62">
      <w:pPr>
        <w:spacing w:after="0" w:line="240" w:lineRule="auto"/>
        <w:jc w:val="both"/>
      </w:pPr>
    </w:p>
    <w:p w:rsidR="00E33C62" w:rsidRPr="002E7028" w:rsidRDefault="00E33C62" w:rsidP="0086498C">
      <w:pPr>
        <w:pStyle w:val="Naslov3"/>
        <w:numPr>
          <w:ilvl w:val="2"/>
          <w:numId w:val="12"/>
        </w:numPr>
        <w:spacing w:before="0" w:after="0" w:line="240" w:lineRule="auto"/>
        <w:rPr>
          <w:sz w:val="22"/>
          <w:szCs w:val="22"/>
        </w:rPr>
      </w:pPr>
      <w:r w:rsidRPr="002E7028">
        <w:rPr>
          <w:sz w:val="22"/>
          <w:szCs w:val="22"/>
        </w:rPr>
        <w:t>Instrument 1 - Podjetno v svet podjetništva HRT</w:t>
      </w:r>
    </w:p>
    <w:p w:rsidR="00E33C62" w:rsidRDefault="00E33C62" w:rsidP="00E33C62">
      <w:pPr>
        <w:spacing w:after="0" w:line="240" w:lineRule="auto"/>
        <w:jc w:val="both"/>
      </w:pPr>
    </w:p>
    <w:p w:rsidR="00E33C62" w:rsidRPr="00066CD8" w:rsidRDefault="00E33C62" w:rsidP="00E33C62">
      <w:pPr>
        <w:spacing w:after="0" w:line="240" w:lineRule="auto"/>
        <w:jc w:val="both"/>
        <w:rPr>
          <w:rFonts w:cs="Arial"/>
        </w:rPr>
      </w:pPr>
      <w:r w:rsidRPr="00066CD8">
        <w:rPr>
          <w:rFonts w:cs="Arial"/>
        </w:rPr>
        <w:t>Cilj PVSP HRT je ustvariti nova delovna mesta in povečati zaposlovanje ter zagon novih inovativnih podjetij, do konca izvajanja Programa je predvidena vključitev 160 oseb.</w:t>
      </w:r>
    </w:p>
    <w:p w:rsidR="00E33C62" w:rsidRPr="00066CD8" w:rsidRDefault="00E33C62" w:rsidP="00E33C62">
      <w:pPr>
        <w:spacing w:after="0" w:line="240" w:lineRule="auto"/>
        <w:jc w:val="both"/>
        <w:rPr>
          <w:rFonts w:cs="Arial"/>
        </w:rPr>
      </w:pPr>
    </w:p>
    <w:p w:rsidR="00E33C62" w:rsidRPr="00066CD8" w:rsidRDefault="00E33C62" w:rsidP="00E33C62">
      <w:pPr>
        <w:spacing w:after="0" w:line="240" w:lineRule="auto"/>
        <w:jc w:val="both"/>
        <w:rPr>
          <w:rFonts w:cs="Arial"/>
        </w:rPr>
      </w:pPr>
      <w:r w:rsidRPr="00066CD8">
        <w:rPr>
          <w:rFonts w:cs="Arial"/>
        </w:rPr>
        <w:t>Cilj usposabljanja vsakega posameznika je, da v obdobju enega leta po zaključku usposabljanja ustanovi lastno podjetje in se v njem zaposli oz. se samozaposli. Udeleženci v PVSP HRT so osebe s stalnim bivališčem v občinah problemskega območja Hrastnik, Radeče in Trbovlje, vpisane v evidenco brezposelnih oseb, ne glede na starost in stopnjo izobrazbe, s poslovno idejo in izkazanim interesom za razvoj in uresničitev poslovne ideje ali idej, s katerimi bodo kandidirale na javnem pozivu, ki ga bosta izvedla RCR</w:t>
      </w:r>
      <w:r>
        <w:rPr>
          <w:rFonts w:cs="Arial"/>
        </w:rPr>
        <w:t xml:space="preserve"> Zagorje in</w:t>
      </w:r>
      <w:r w:rsidRPr="00066CD8">
        <w:rPr>
          <w:rFonts w:cs="Arial"/>
        </w:rPr>
        <w:t xml:space="preserve"> RRA Posavje. Natančnejši vstopni pogoji bodo določeni v javnem pozivu.</w:t>
      </w:r>
    </w:p>
    <w:p w:rsidR="00E33C62" w:rsidRPr="00066CD8" w:rsidRDefault="00E33C62" w:rsidP="00E33C62">
      <w:pPr>
        <w:spacing w:after="0" w:line="240" w:lineRule="auto"/>
        <w:jc w:val="both"/>
      </w:pPr>
    </w:p>
    <w:p w:rsidR="00E33C62" w:rsidRPr="00066CD8" w:rsidRDefault="00E33C62" w:rsidP="00E33C62">
      <w:pPr>
        <w:spacing w:after="0" w:line="240" w:lineRule="auto"/>
        <w:jc w:val="both"/>
      </w:pPr>
      <w:r w:rsidRPr="00066CD8">
        <w:rPr>
          <w:u w:val="single"/>
        </w:rPr>
        <w:t xml:space="preserve">Status: instrument </w:t>
      </w:r>
      <w:r w:rsidR="00F52F89">
        <w:rPr>
          <w:u w:val="single"/>
        </w:rPr>
        <w:t>se izvaja</w:t>
      </w:r>
      <w:r w:rsidRPr="00066CD8">
        <w:t xml:space="preserve">. </w:t>
      </w:r>
    </w:p>
    <w:p w:rsidR="00E33C62" w:rsidRPr="00066CD8" w:rsidRDefault="00E33C62" w:rsidP="00E33C62">
      <w:pPr>
        <w:spacing w:after="0" w:line="240" w:lineRule="auto"/>
        <w:jc w:val="both"/>
      </w:pPr>
    </w:p>
    <w:p w:rsidR="00E33C62" w:rsidRDefault="00F52F89" w:rsidP="00F30838">
      <w:pPr>
        <w:spacing w:after="0" w:line="240" w:lineRule="auto"/>
        <w:jc w:val="both"/>
      </w:pPr>
      <w:r>
        <w:t xml:space="preserve">Obe javni agenciji sta v decembru 2014 objavili prve pozive udeležencem za vključitev v instrument PVSP-HRT. </w:t>
      </w:r>
      <w:r w:rsidRPr="00180CB8">
        <w:t>Udeleženci prve skupine</w:t>
      </w:r>
      <w:r>
        <w:t xml:space="preserve"> na obeh agencijah</w:t>
      </w:r>
      <w:r w:rsidRPr="00180CB8">
        <w:t xml:space="preserve"> so bili v usposabljanje vključeni v februarju 2015,usposabljanje prve skupine bo potekalo do konca maja 2015. Za področje Radeč sta predvideni dve skupini, za področje občin Hrastnik in Trbovlje pa štiri. Druga skupina na območju občin Hrastnik in Trbovlje je tudi že začela z izvedbo </w:t>
      </w:r>
      <w:r w:rsidRPr="00F52F89">
        <w:t>usposabljanj</w:t>
      </w:r>
      <w:r w:rsidRPr="00180CB8">
        <w:t xml:space="preserve">. </w:t>
      </w:r>
    </w:p>
    <w:p w:rsidR="00A548F9" w:rsidRDefault="00A548F9" w:rsidP="00E33C62">
      <w:pPr>
        <w:spacing w:after="0" w:line="240" w:lineRule="auto"/>
      </w:pPr>
    </w:p>
    <w:p w:rsidR="00E33C62" w:rsidRPr="00CB3136" w:rsidRDefault="00E33C62" w:rsidP="0086498C">
      <w:pPr>
        <w:pStyle w:val="Naslov3"/>
        <w:numPr>
          <w:ilvl w:val="2"/>
          <w:numId w:val="12"/>
        </w:numPr>
        <w:spacing w:before="0" w:after="0" w:line="240" w:lineRule="auto"/>
        <w:rPr>
          <w:sz w:val="22"/>
          <w:szCs w:val="22"/>
        </w:rPr>
      </w:pPr>
      <w:r w:rsidRPr="00CB3136">
        <w:rPr>
          <w:sz w:val="22"/>
          <w:szCs w:val="22"/>
        </w:rPr>
        <w:t xml:space="preserve">Instrument 2 - Finančne spodbude za novonastala podjetja  </w:t>
      </w:r>
    </w:p>
    <w:p w:rsidR="00E33C62" w:rsidRDefault="00E33C62" w:rsidP="00E33C62">
      <w:pPr>
        <w:spacing w:after="0" w:line="240" w:lineRule="auto"/>
        <w:contextualSpacing/>
        <w:jc w:val="both"/>
        <w:rPr>
          <w:rFonts w:ascii="Arial" w:hAnsi="Arial" w:cs="Arial"/>
        </w:rPr>
      </w:pPr>
    </w:p>
    <w:p w:rsidR="00E33C62" w:rsidRPr="00066CD8" w:rsidRDefault="00E33C62" w:rsidP="00E33C62">
      <w:pPr>
        <w:spacing w:after="0" w:line="240" w:lineRule="auto"/>
        <w:contextualSpacing/>
        <w:jc w:val="both"/>
        <w:rPr>
          <w:rFonts w:cs="Arial"/>
        </w:rPr>
      </w:pPr>
      <w:r w:rsidRPr="00066CD8">
        <w:rPr>
          <w:rFonts w:cs="Arial"/>
        </w:rPr>
        <w:t>Namen instrumenta – finančne spodbude za novo nastala podjetja, je finančna podpora podjetnikom na začetku podjetniške poti, s čimer se jim olajša prva leta poslovanja.</w:t>
      </w:r>
      <w:r>
        <w:rPr>
          <w:rFonts w:cs="Arial"/>
        </w:rPr>
        <w:t xml:space="preserve"> </w:t>
      </w:r>
      <w:r w:rsidRPr="00066CD8">
        <w:rPr>
          <w:rFonts w:cs="Arial"/>
        </w:rPr>
        <w:t xml:space="preserve">Instrument </w:t>
      </w:r>
      <w:r w:rsidRPr="00066CD8">
        <w:rPr>
          <w:rFonts w:cs="Arial"/>
          <w:lang w:eastAsia="sl-SI"/>
        </w:rPr>
        <w:t>se</w:t>
      </w:r>
      <w:r>
        <w:rPr>
          <w:rFonts w:cs="Arial"/>
          <w:lang w:eastAsia="sl-SI"/>
        </w:rPr>
        <w:t xml:space="preserve"> bo</w:t>
      </w:r>
      <w:r w:rsidRPr="00066CD8">
        <w:rPr>
          <w:rFonts w:cs="Arial"/>
          <w:lang w:eastAsia="sl-SI"/>
        </w:rPr>
        <w:t xml:space="preserve"> izvaja</w:t>
      </w:r>
      <w:r>
        <w:rPr>
          <w:rFonts w:cs="Arial"/>
          <w:lang w:eastAsia="sl-SI"/>
        </w:rPr>
        <w:t>l</w:t>
      </w:r>
      <w:r w:rsidRPr="00066CD8">
        <w:rPr>
          <w:rFonts w:cs="Arial"/>
          <w:lang w:eastAsia="sl-SI"/>
        </w:rPr>
        <w:t xml:space="preserve"> z javnimi razpisi za dodeljevanje subvencij za podjetnike začetnike, novonastala podjetja in druge pravne oblike, ki se ustanovijo kot nadaljevanje katerega od programov, kot npr. podjetno v svet podjetništva, spin off podjetja, ki se ustanovijo kot rezultat razvojnih centrov in lahko tudi druge oblike začetnih podjetij</w:t>
      </w:r>
      <w:r w:rsidRPr="00066CD8">
        <w:rPr>
          <w:rFonts w:cs="Arial"/>
        </w:rPr>
        <w:t xml:space="preserve">. </w:t>
      </w:r>
      <w:r w:rsidRPr="00066CD8">
        <w:rPr>
          <w:rFonts w:cs="Arial"/>
          <w:bCs/>
        </w:rPr>
        <w:t>Pri pripravi in objavi razpisov se bo iskalo sinergije s Slovenskim podjetniškim skladom.</w:t>
      </w:r>
    </w:p>
    <w:p w:rsidR="00E33C62" w:rsidRPr="00066CD8" w:rsidRDefault="00E33C62" w:rsidP="00E33C62">
      <w:pPr>
        <w:spacing w:after="0" w:line="240" w:lineRule="auto"/>
        <w:contextualSpacing/>
        <w:jc w:val="both"/>
        <w:rPr>
          <w:rFonts w:cs="Arial"/>
        </w:rPr>
      </w:pPr>
    </w:p>
    <w:p w:rsidR="00E33C62" w:rsidRPr="00066CD8" w:rsidRDefault="00E33C62" w:rsidP="00E33C62">
      <w:pPr>
        <w:spacing w:after="0" w:line="240" w:lineRule="auto"/>
        <w:contextualSpacing/>
        <w:jc w:val="both"/>
        <w:rPr>
          <w:rFonts w:cs="Arial"/>
        </w:rPr>
      </w:pPr>
      <w:r w:rsidRPr="00066CD8">
        <w:rPr>
          <w:rFonts w:cs="Arial"/>
        </w:rPr>
        <w:lastRenderedPageBreak/>
        <w:t>Cilj instrumenta je ustvariti nova delovna mesta in zagon novih inovativnih podjetij, do konca izvajanja Programa je predvideno, da bo do 120 podjetij pridobilo spodbude za novo nastala podjetja.</w:t>
      </w:r>
    </w:p>
    <w:p w:rsidR="00E33C62" w:rsidRDefault="00E33C62" w:rsidP="00E33C62">
      <w:pPr>
        <w:spacing w:after="0" w:line="240" w:lineRule="auto"/>
        <w:contextualSpacing/>
        <w:jc w:val="both"/>
        <w:rPr>
          <w:rFonts w:ascii="Arial" w:hAnsi="Arial" w:cs="Arial"/>
        </w:rPr>
      </w:pPr>
    </w:p>
    <w:p w:rsidR="00E33C62" w:rsidRPr="00FC678D" w:rsidRDefault="00E33C62" w:rsidP="00E33C62">
      <w:pPr>
        <w:spacing w:after="0" w:line="240" w:lineRule="auto"/>
        <w:jc w:val="both"/>
        <w:rPr>
          <w:u w:val="single"/>
        </w:rPr>
      </w:pPr>
      <w:r w:rsidRPr="00FC678D">
        <w:rPr>
          <w:u w:val="single"/>
        </w:rPr>
        <w:t xml:space="preserve">Status: instrument </w:t>
      </w:r>
      <w:r w:rsidR="00F52F89">
        <w:rPr>
          <w:u w:val="single"/>
        </w:rPr>
        <w:t>se izvaja</w:t>
      </w:r>
      <w:r w:rsidRPr="00FC678D">
        <w:rPr>
          <w:u w:val="single"/>
        </w:rPr>
        <w:t>.</w:t>
      </w:r>
    </w:p>
    <w:p w:rsidR="00E33C62" w:rsidRDefault="00E33C62" w:rsidP="00E33C62">
      <w:pPr>
        <w:spacing w:after="0" w:line="240" w:lineRule="auto"/>
        <w:jc w:val="both"/>
      </w:pPr>
    </w:p>
    <w:p w:rsidR="00E33C62" w:rsidRDefault="00E33C62" w:rsidP="00E33C62">
      <w:pPr>
        <w:spacing w:after="0" w:line="240" w:lineRule="auto"/>
        <w:jc w:val="both"/>
      </w:pPr>
    </w:p>
    <w:p w:rsidR="00317B19" w:rsidRPr="00180CB8" w:rsidRDefault="00317B19" w:rsidP="00F30838">
      <w:pPr>
        <w:autoSpaceDE w:val="0"/>
        <w:autoSpaceDN w:val="0"/>
        <w:adjustRightInd w:val="0"/>
        <w:spacing w:after="0" w:line="240" w:lineRule="auto"/>
        <w:jc w:val="both"/>
      </w:pPr>
      <w:r w:rsidRPr="00180CB8">
        <w:t xml:space="preserve">Slovenski podjetniški sklad je objavil javni razpis dne 13.3.2015, rok </w:t>
      </w:r>
      <w:r w:rsidR="00A548F9">
        <w:t>za oddajo vlog je bil 31.3.2015, skupaj je prispelo</w:t>
      </w:r>
      <w:r w:rsidRPr="00180CB8">
        <w:rPr>
          <w:rFonts w:cs="Tahoma"/>
          <w:bCs/>
          <w:color w:val="000000"/>
          <w:lang w:eastAsia="sl-SI"/>
        </w:rPr>
        <w:t xml:space="preserve"> 288 </w:t>
      </w:r>
      <w:r w:rsidR="00A548F9">
        <w:rPr>
          <w:rFonts w:cs="Tahoma"/>
          <w:bCs/>
          <w:color w:val="000000"/>
          <w:lang w:eastAsia="sl-SI"/>
        </w:rPr>
        <w:t xml:space="preserve">vlog, od tega </w:t>
      </w:r>
      <w:r w:rsidRPr="00180CB8">
        <w:rPr>
          <w:rFonts w:cs="Tahoma"/>
          <w:bCs/>
          <w:color w:val="000000"/>
          <w:lang w:eastAsia="sl-SI"/>
        </w:rPr>
        <w:t xml:space="preserve">za </w:t>
      </w:r>
      <w:r w:rsidRPr="00180CB8">
        <w:rPr>
          <w:rFonts w:cs="Tahoma"/>
          <w:color w:val="000000"/>
          <w:lang w:eastAsia="sl-SI"/>
        </w:rPr>
        <w:t xml:space="preserve">območja občin Hrastnik, Radeče in Trbovlje je prispelo </w:t>
      </w:r>
      <w:r w:rsidR="00F30838">
        <w:rPr>
          <w:rFonts w:cs="Tahoma"/>
          <w:bCs/>
          <w:color w:val="000000"/>
          <w:lang w:eastAsia="sl-SI"/>
        </w:rPr>
        <w:t>30 vlog, od tega je bilo uspešnih 5 podjetij.</w:t>
      </w:r>
    </w:p>
    <w:p w:rsidR="00E241E5" w:rsidRDefault="00E241E5" w:rsidP="00E33C62">
      <w:pPr>
        <w:spacing w:after="0" w:line="240" w:lineRule="auto"/>
        <w:jc w:val="both"/>
      </w:pPr>
    </w:p>
    <w:p w:rsidR="00E241E5" w:rsidRDefault="00E241E5" w:rsidP="00E33C62">
      <w:pPr>
        <w:spacing w:after="0" w:line="240" w:lineRule="auto"/>
        <w:jc w:val="both"/>
      </w:pPr>
    </w:p>
    <w:p w:rsidR="00E33C62" w:rsidRDefault="00E33C62" w:rsidP="00E33C62">
      <w:pPr>
        <w:spacing w:after="0" w:line="240" w:lineRule="auto"/>
        <w:jc w:val="both"/>
      </w:pPr>
    </w:p>
    <w:p w:rsidR="00E33C62" w:rsidRPr="00CB3136" w:rsidRDefault="00E33C62" w:rsidP="0086498C">
      <w:pPr>
        <w:pStyle w:val="Naslov3"/>
        <w:numPr>
          <w:ilvl w:val="2"/>
          <w:numId w:val="12"/>
        </w:numPr>
        <w:spacing w:before="0" w:after="0" w:line="240" w:lineRule="auto"/>
        <w:rPr>
          <w:sz w:val="22"/>
          <w:szCs w:val="22"/>
        </w:rPr>
      </w:pPr>
      <w:r w:rsidRPr="00CB3136">
        <w:rPr>
          <w:sz w:val="22"/>
          <w:szCs w:val="22"/>
        </w:rPr>
        <w:t xml:space="preserve">Instrument 3- Investicije v razvoj - </w:t>
      </w:r>
      <w:r w:rsidRPr="00CB3136">
        <w:rPr>
          <w:rFonts w:cs="Arial"/>
          <w:bCs w:val="0"/>
          <w:sz w:val="22"/>
          <w:szCs w:val="22"/>
        </w:rPr>
        <w:t>Javni razpis za spodbujanje začetnih investicij podjetij in ustvarjanja novih delovnih mest</w:t>
      </w:r>
    </w:p>
    <w:p w:rsidR="00E33C62" w:rsidRDefault="00E33C62" w:rsidP="00E33C62">
      <w:pPr>
        <w:spacing w:after="0" w:line="240" w:lineRule="auto"/>
        <w:jc w:val="both"/>
      </w:pPr>
    </w:p>
    <w:p w:rsidR="00E33C62" w:rsidRPr="00950EB3" w:rsidRDefault="00E33C62" w:rsidP="00E33C62">
      <w:pPr>
        <w:spacing w:after="0" w:line="240" w:lineRule="auto"/>
        <w:jc w:val="both"/>
      </w:pPr>
      <w:r w:rsidRPr="00950EB3">
        <w:rPr>
          <w:bCs/>
        </w:rPr>
        <w:t xml:space="preserve">Javni razpis za sofinanciranje začetnih investicij podjetij, ki ustvarjajo ali ohranjajo delovna mesta na območju občin Hrastnik, Radeče in Trbovlje za obdobje 2014 </w:t>
      </w:r>
      <w:r>
        <w:rPr>
          <w:bCs/>
        </w:rPr>
        <w:t>–</w:t>
      </w:r>
      <w:r w:rsidRPr="00950EB3">
        <w:rPr>
          <w:bCs/>
        </w:rPr>
        <w:t xml:space="preserve"> 2015</w:t>
      </w:r>
      <w:r>
        <w:rPr>
          <w:bCs/>
        </w:rPr>
        <w:t xml:space="preserve"> je Ministrstvo za gospodarski razvoj objavilo dne 21.3.2014 (</w:t>
      </w:r>
      <w:r w:rsidRPr="00950EB3">
        <w:rPr>
          <w:bCs/>
        </w:rPr>
        <w:t xml:space="preserve"> </w:t>
      </w:r>
      <w:r>
        <w:rPr>
          <w:bCs/>
        </w:rPr>
        <w:t>U</w:t>
      </w:r>
      <w:r w:rsidRPr="00950EB3">
        <w:rPr>
          <w:bCs/>
        </w:rPr>
        <w:t>radn</w:t>
      </w:r>
      <w:r>
        <w:rPr>
          <w:bCs/>
        </w:rPr>
        <w:t xml:space="preserve">i </w:t>
      </w:r>
      <w:r w:rsidRPr="00950EB3">
        <w:rPr>
          <w:bCs/>
        </w:rPr>
        <w:t xml:space="preserve"> list RS, št. 20/14</w:t>
      </w:r>
      <w:r>
        <w:rPr>
          <w:bCs/>
        </w:rPr>
        <w:t xml:space="preserve">). Rok za oddajo vlog je bil 28.4.2014. </w:t>
      </w:r>
    </w:p>
    <w:p w:rsidR="00E33C62" w:rsidRDefault="00E33C62" w:rsidP="00E33C62">
      <w:pPr>
        <w:spacing w:after="0" w:line="240" w:lineRule="auto"/>
        <w:jc w:val="both"/>
      </w:pPr>
    </w:p>
    <w:p w:rsidR="00E33C62" w:rsidRPr="00FC678D" w:rsidRDefault="00E33C62" w:rsidP="00E33C62">
      <w:pPr>
        <w:spacing w:after="0" w:line="240" w:lineRule="auto"/>
        <w:jc w:val="both"/>
        <w:rPr>
          <w:u w:val="single"/>
        </w:rPr>
      </w:pPr>
      <w:r w:rsidRPr="00FC678D">
        <w:rPr>
          <w:u w:val="single"/>
        </w:rPr>
        <w:t>Status: instrument se izvaja.</w:t>
      </w:r>
    </w:p>
    <w:p w:rsidR="00E33C62" w:rsidRDefault="00E33C62" w:rsidP="00E33C62">
      <w:pPr>
        <w:spacing w:after="0" w:line="240" w:lineRule="auto"/>
        <w:jc w:val="both"/>
      </w:pPr>
    </w:p>
    <w:p w:rsidR="00E33C62" w:rsidRPr="00950EB3" w:rsidRDefault="00E33C62" w:rsidP="00E33C62">
      <w:pPr>
        <w:pStyle w:val="BodyText22"/>
        <w:tabs>
          <w:tab w:val="num" w:pos="720"/>
        </w:tabs>
        <w:spacing w:line="240" w:lineRule="auto"/>
        <w:rPr>
          <w:rFonts w:ascii="Calibri" w:hAnsi="Calibri" w:cs="Arial"/>
          <w:szCs w:val="22"/>
        </w:rPr>
      </w:pPr>
      <w:r w:rsidRPr="00950EB3">
        <w:rPr>
          <w:rFonts w:ascii="Calibri" w:hAnsi="Calibri" w:cs="Courier New"/>
          <w:szCs w:val="22"/>
        </w:rPr>
        <w:t>Predmet javnega razpisa je bilo s</w:t>
      </w:r>
      <w:r w:rsidRPr="00950EB3">
        <w:rPr>
          <w:rFonts w:ascii="Calibri" w:hAnsi="Calibri" w:cs="Arial"/>
          <w:szCs w:val="22"/>
        </w:rPr>
        <w:t xml:space="preserve">ofinanciranje investicij v osnovna sredstva pri postavitvi novega proizvodnega obrata, širitvi obstoječega obrata ali začetku nove dejavnosti, ki pomeni temeljito spremembo proizvoda ali proizvodnega procesa v obstoječem proizvodnem obratu (s pomočjo racionalizacije, diverzifikacije ali modernizacije) </w:t>
      </w:r>
      <w:r w:rsidRPr="00950EB3">
        <w:rPr>
          <w:rFonts w:ascii="Calibri" w:hAnsi="Calibri" w:cs="Arial"/>
          <w:szCs w:val="22"/>
          <w:lang w:eastAsia="en-US"/>
        </w:rPr>
        <w:t xml:space="preserve">ter </w:t>
      </w:r>
      <w:r w:rsidRPr="00950EB3">
        <w:rPr>
          <w:rFonts w:ascii="Calibri" w:hAnsi="Calibri" w:cs="Arial"/>
          <w:szCs w:val="22"/>
        </w:rPr>
        <w:t>ustvarjanja ali ohranjanja delovnih mest povezanih z začetno investicijo</w:t>
      </w:r>
      <w:r w:rsidRPr="00950EB3">
        <w:rPr>
          <w:rFonts w:ascii="Calibri" w:hAnsi="Calibri" w:cs="Arial"/>
          <w:bCs/>
          <w:szCs w:val="22"/>
        </w:rPr>
        <w:t xml:space="preserve">. V skladu z zahtevami javnega razpisa </w:t>
      </w:r>
      <w:r w:rsidRPr="00950EB3">
        <w:rPr>
          <w:rFonts w:ascii="Calibri" w:hAnsi="Calibri" w:cs="Arial"/>
          <w:szCs w:val="22"/>
        </w:rPr>
        <w:t xml:space="preserve">se mora </w:t>
      </w:r>
      <w:r>
        <w:rPr>
          <w:rFonts w:ascii="Calibri" w:hAnsi="Calibri" w:cs="Arial"/>
          <w:szCs w:val="22"/>
        </w:rPr>
        <w:t xml:space="preserve">investicija </w:t>
      </w:r>
      <w:r w:rsidRPr="00950EB3">
        <w:rPr>
          <w:rFonts w:ascii="Calibri" w:hAnsi="Calibri" w:cs="Arial"/>
          <w:szCs w:val="22"/>
        </w:rPr>
        <w:t>izvajati na območju občin Hrastnik, Radeče in Trbovlje.</w:t>
      </w:r>
    </w:p>
    <w:p w:rsidR="00E33C62" w:rsidRPr="00950EB3" w:rsidRDefault="00E33C62" w:rsidP="00E33C62">
      <w:pPr>
        <w:spacing w:after="0" w:line="240" w:lineRule="auto"/>
        <w:jc w:val="both"/>
      </w:pPr>
    </w:p>
    <w:p w:rsidR="00E33C62" w:rsidRPr="00FA2C81" w:rsidRDefault="00E33C62" w:rsidP="00E33C62">
      <w:pPr>
        <w:spacing w:after="0" w:line="240" w:lineRule="auto"/>
        <w:jc w:val="both"/>
      </w:pPr>
      <w:r w:rsidRPr="00FA2C81">
        <w:t xml:space="preserve">Višina sofinanciranja upravičenih stroškov začetnih investicij, </w:t>
      </w:r>
      <w:r>
        <w:t xml:space="preserve"> </w:t>
      </w:r>
      <w:r w:rsidRPr="00FA2C81">
        <w:t>ob upoštevanju pravil državnih pomoči</w:t>
      </w:r>
      <w:r>
        <w:t xml:space="preserve"> je bila</w:t>
      </w:r>
      <w:r w:rsidRPr="00FA2C81">
        <w:t>:</w:t>
      </w:r>
    </w:p>
    <w:p w:rsidR="00E33C62" w:rsidRPr="00FA2C81" w:rsidRDefault="00E33C62" w:rsidP="00E33C62">
      <w:pPr>
        <w:spacing w:after="0" w:line="240" w:lineRule="auto"/>
        <w:jc w:val="both"/>
      </w:pPr>
      <w:r w:rsidRPr="00FA2C81">
        <w:t>Sklop A: od 10.000 do 50.000 EUR- manjši investicijski projekti</w:t>
      </w:r>
    </w:p>
    <w:p w:rsidR="00E33C62" w:rsidRPr="00FA2C81" w:rsidRDefault="00E33C62" w:rsidP="00E33C62">
      <w:pPr>
        <w:spacing w:after="0" w:line="240" w:lineRule="auto"/>
        <w:jc w:val="both"/>
      </w:pPr>
      <w:r w:rsidRPr="00FA2C81">
        <w:t>Sklop B: od 50.001 do 500.000 EUR – večji investicijski projekti</w:t>
      </w:r>
    </w:p>
    <w:p w:rsidR="00E33C62" w:rsidRDefault="00E33C62" w:rsidP="00E33C62">
      <w:pPr>
        <w:spacing w:after="0" w:line="240" w:lineRule="auto"/>
        <w:jc w:val="both"/>
      </w:pPr>
    </w:p>
    <w:p w:rsidR="00E33C62" w:rsidRPr="00D27E99" w:rsidRDefault="00E33C62" w:rsidP="00E33C62">
      <w:pPr>
        <w:spacing w:after="0" w:line="240" w:lineRule="auto"/>
        <w:jc w:val="both"/>
        <w:rPr>
          <w:b/>
        </w:rPr>
      </w:pPr>
      <w:r w:rsidRPr="00D27E99">
        <w:rPr>
          <w:b/>
        </w:rPr>
        <w:t>Tabela 4: Obseg razpisanih sredstev za leti 2014-2015 glede na velikost investicijskih podjetij in obseg dodeljenih sredstev, na podlagi sklepov o izboru, v EUR</w:t>
      </w:r>
    </w:p>
    <w:tbl>
      <w:tblPr>
        <w:tblW w:w="8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26"/>
        <w:gridCol w:w="1942"/>
        <w:gridCol w:w="1823"/>
        <w:gridCol w:w="1859"/>
      </w:tblGrid>
      <w:tr w:rsidR="00E33C62" w:rsidRPr="00F119B3" w:rsidTr="0086498C">
        <w:trPr>
          <w:trHeight w:val="20"/>
        </w:trPr>
        <w:tc>
          <w:tcPr>
            <w:tcW w:w="2826" w:type="dxa"/>
            <w:shd w:val="clear" w:color="auto" w:fill="auto"/>
            <w:tcMar>
              <w:top w:w="15" w:type="dxa"/>
              <w:left w:w="70" w:type="dxa"/>
              <w:bottom w:w="0" w:type="dxa"/>
              <w:right w:w="70" w:type="dxa"/>
            </w:tcMar>
            <w:vAlign w:val="center"/>
          </w:tcPr>
          <w:p w:rsidR="00E33C62" w:rsidRPr="00F119B3" w:rsidRDefault="00E33C62" w:rsidP="0086498C">
            <w:pPr>
              <w:spacing w:after="0" w:line="240" w:lineRule="auto"/>
              <w:jc w:val="center"/>
              <w:rPr>
                <w:rFonts w:eastAsia="Times New Roman" w:cs="Arial"/>
                <w:b/>
                <w:sz w:val="18"/>
                <w:lang w:eastAsia="sl-SI"/>
              </w:rPr>
            </w:pPr>
          </w:p>
        </w:tc>
        <w:tc>
          <w:tcPr>
            <w:tcW w:w="1942" w:type="dxa"/>
            <w:shd w:val="clear" w:color="auto" w:fill="auto"/>
            <w:tcMar>
              <w:top w:w="15" w:type="dxa"/>
              <w:left w:w="70" w:type="dxa"/>
              <w:bottom w:w="0" w:type="dxa"/>
              <w:right w:w="70" w:type="dxa"/>
            </w:tcMar>
            <w:vAlign w:val="center"/>
          </w:tcPr>
          <w:p w:rsidR="00E33C62" w:rsidRPr="00F119B3" w:rsidRDefault="00E33C62" w:rsidP="0086498C">
            <w:pPr>
              <w:spacing w:after="0" w:line="240" w:lineRule="auto"/>
              <w:jc w:val="center"/>
              <w:rPr>
                <w:rFonts w:eastAsia="Times New Roman" w:cs="Arial"/>
                <w:b/>
                <w:sz w:val="18"/>
                <w:lang w:eastAsia="sl-SI"/>
              </w:rPr>
            </w:pPr>
            <w:r w:rsidRPr="00F119B3">
              <w:rPr>
                <w:rFonts w:eastAsia="Times New Roman" w:cs="Arial"/>
                <w:b/>
                <w:sz w:val="18"/>
                <w:lang w:eastAsia="sl-SI"/>
              </w:rPr>
              <w:t>2014</w:t>
            </w:r>
          </w:p>
        </w:tc>
        <w:tc>
          <w:tcPr>
            <w:tcW w:w="1823" w:type="dxa"/>
            <w:shd w:val="clear" w:color="auto" w:fill="auto"/>
            <w:tcMar>
              <w:top w:w="15" w:type="dxa"/>
              <w:left w:w="70" w:type="dxa"/>
              <w:bottom w:w="0" w:type="dxa"/>
              <w:right w:w="70" w:type="dxa"/>
            </w:tcMar>
            <w:vAlign w:val="center"/>
          </w:tcPr>
          <w:p w:rsidR="00E33C62" w:rsidRPr="00F119B3" w:rsidRDefault="00E33C62" w:rsidP="0086498C">
            <w:pPr>
              <w:spacing w:after="0" w:line="240" w:lineRule="auto"/>
              <w:jc w:val="center"/>
              <w:rPr>
                <w:rFonts w:eastAsia="Times New Roman" w:cs="Arial"/>
                <w:b/>
                <w:sz w:val="18"/>
                <w:lang w:eastAsia="sl-SI"/>
              </w:rPr>
            </w:pPr>
            <w:r w:rsidRPr="00F119B3">
              <w:rPr>
                <w:rFonts w:eastAsia="Times New Roman" w:cs="Arial"/>
                <w:b/>
                <w:sz w:val="18"/>
                <w:lang w:eastAsia="sl-SI"/>
              </w:rPr>
              <w:t>2015</w:t>
            </w:r>
          </w:p>
        </w:tc>
        <w:tc>
          <w:tcPr>
            <w:tcW w:w="1859" w:type="dxa"/>
            <w:shd w:val="clear" w:color="auto" w:fill="auto"/>
            <w:tcMar>
              <w:top w:w="15" w:type="dxa"/>
              <w:left w:w="70" w:type="dxa"/>
              <w:bottom w:w="0" w:type="dxa"/>
              <w:right w:w="70" w:type="dxa"/>
            </w:tcMar>
            <w:vAlign w:val="center"/>
          </w:tcPr>
          <w:p w:rsidR="00E33C62" w:rsidRPr="00F119B3" w:rsidRDefault="00E33C62" w:rsidP="0086498C">
            <w:pPr>
              <w:spacing w:after="0" w:line="240" w:lineRule="auto"/>
              <w:jc w:val="center"/>
              <w:rPr>
                <w:rFonts w:eastAsia="Times New Roman" w:cs="Arial"/>
                <w:b/>
                <w:sz w:val="18"/>
                <w:lang w:eastAsia="sl-SI"/>
              </w:rPr>
            </w:pPr>
            <w:r w:rsidRPr="00F119B3">
              <w:rPr>
                <w:rFonts w:eastAsia="Times New Roman" w:cs="Arial"/>
                <w:b/>
                <w:sz w:val="18"/>
                <w:lang w:eastAsia="sl-SI"/>
              </w:rPr>
              <w:t xml:space="preserve">2014-2015 </w:t>
            </w:r>
          </w:p>
          <w:p w:rsidR="00E33C62" w:rsidRPr="00F119B3" w:rsidRDefault="00E33C62" w:rsidP="0086498C">
            <w:pPr>
              <w:spacing w:after="0" w:line="240" w:lineRule="auto"/>
              <w:jc w:val="center"/>
              <w:rPr>
                <w:rFonts w:eastAsia="Times New Roman" w:cs="Arial"/>
                <w:b/>
                <w:sz w:val="18"/>
                <w:lang w:eastAsia="sl-SI"/>
              </w:rPr>
            </w:pPr>
            <w:r w:rsidRPr="00F119B3">
              <w:rPr>
                <w:rFonts w:eastAsia="Times New Roman" w:cs="Arial"/>
                <w:b/>
                <w:sz w:val="18"/>
                <w:lang w:eastAsia="sl-SI"/>
              </w:rPr>
              <w:t>skupaj</w:t>
            </w:r>
          </w:p>
        </w:tc>
      </w:tr>
      <w:tr w:rsidR="00E33C62" w:rsidRPr="00F119B3" w:rsidTr="0086498C">
        <w:trPr>
          <w:trHeight w:val="20"/>
        </w:trPr>
        <w:tc>
          <w:tcPr>
            <w:tcW w:w="2826" w:type="dxa"/>
            <w:shd w:val="clear" w:color="auto" w:fill="auto"/>
            <w:tcMar>
              <w:top w:w="15" w:type="dxa"/>
              <w:left w:w="70" w:type="dxa"/>
              <w:bottom w:w="0" w:type="dxa"/>
              <w:right w:w="70" w:type="dxa"/>
            </w:tcMar>
            <w:vAlign w:val="center"/>
          </w:tcPr>
          <w:p w:rsidR="00E33C62" w:rsidRPr="00F119B3" w:rsidRDefault="00E33C62" w:rsidP="0086498C">
            <w:pPr>
              <w:spacing w:after="0" w:line="240" w:lineRule="auto"/>
              <w:jc w:val="center"/>
              <w:rPr>
                <w:rFonts w:eastAsia="Times New Roman" w:cs="Arial"/>
                <w:sz w:val="18"/>
                <w:lang w:eastAsia="sl-SI"/>
              </w:rPr>
            </w:pPr>
            <w:r w:rsidRPr="00F119B3">
              <w:rPr>
                <w:rFonts w:eastAsia="Times New Roman" w:cs="Lucida Sans Unicode"/>
                <w:bCs/>
                <w:kern w:val="24"/>
                <w:sz w:val="18"/>
                <w:lang w:eastAsia="sl-SI"/>
              </w:rPr>
              <w:t xml:space="preserve">SKUPAJ A + B </w:t>
            </w:r>
          </w:p>
          <w:p w:rsidR="00E33C62" w:rsidRPr="00F119B3" w:rsidRDefault="00E33C62" w:rsidP="0086498C">
            <w:pPr>
              <w:spacing w:after="0" w:line="240" w:lineRule="auto"/>
              <w:jc w:val="center"/>
              <w:rPr>
                <w:rFonts w:eastAsia="Times New Roman" w:cs="Arial"/>
                <w:sz w:val="18"/>
                <w:lang w:eastAsia="sl-SI"/>
              </w:rPr>
            </w:pPr>
            <w:r w:rsidRPr="00F119B3">
              <w:rPr>
                <w:rFonts w:eastAsia="Times New Roman" w:cs="Lucida Sans Unicode"/>
                <w:bCs/>
                <w:kern w:val="24"/>
                <w:sz w:val="18"/>
                <w:lang w:eastAsia="sl-SI"/>
              </w:rPr>
              <w:t>(VIŠINA SOFINANCIRANJA)</w:t>
            </w:r>
          </w:p>
        </w:tc>
        <w:tc>
          <w:tcPr>
            <w:tcW w:w="1942" w:type="dxa"/>
            <w:shd w:val="clear" w:color="auto" w:fill="auto"/>
            <w:tcMar>
              <w:top w:w="15" w:type="dxa"/>
              <w:left w:w="70" w:type="dxa"/>
              <w:bottom w:w="0" w:type="dxa"/>
              <w:right w:w="70" w:type="dxa"/>
            </w:tcMar>
            <w:vAlign w:val="center"/>
          </w:tcPr>
          <w:p w:rsidR="00E33C62" w:rsidRPr="00F119B3" w:rsidRDefault="00E33C62" w:rsidP="0086498C">
            <w:pPr>
              <w:spacing w:after="0" w:line="240" w:lineRule="auto"/>
              <w:jc w:val="center"/>
              <w:rPr>
                <w:rFonts w:eastAsia="Times New Roman" w:cs="Arial"/>
                <w:sz w:val="18"/>
                <w:lang w:eastAsia="sl-SI"/>
              </w:rPr>
            </w:pPr>
            <w:r w:rsidRPr="00F119B3">
              <w:rPr>
                <w:rFonts w:eastAsia="Times New Roman" w:cs="Lucida Sans Unicode"/>
                <w:bCs/>
                <w:kern w:val="24"/>
                <w:sz w:val="18"/>
                <w:lang w:eastAsia="sl-SI"/>
              </w:rPr>
              <w:t>628.277,98</w:t>
            </w:r>
          </w:p>
        </w:tc>
        <w:tc>
          <w:tcPr>
            <w:tcW w:w="1823" w:type="dxa"/>
            <w:shd w:val="clear" w:color="auto" w:fill="auto"/>
            <w:tcMar>
              <w:top w:w="15" w:type="dxa"/>
              <w:left w:w="70" w:type="dxa"/>
              <w:bottom w:w="0" w:type="dxa"/>
              <w:right w:w="70" w:type="dxa"/>
            </w:tcMar>
            <w:vAlign w:val="center"/>
          </w:tcPr>
          <w:p w:rsidR="00E33C62" w:rsidRPr="00F119B3" w:rsidRDefault="00E33C62" w:rsidP="0086498C">
            <w:pPr>
              <w:spacing w:after="0" w:line="240" w:lineRule="auto"/>
              <w:jc w:val="center"/>
              <w:rPr>
                <w:rFonts w:eastAsia="Times New Roman" w:cs="Arial"/>
                <w:sz w:val="18"/>
                <w:lang w:eastAsia="sl-SI"/>
              </w:rPr>
            </w:pPr>
            <w:r w:rsidRPr="00F119B3">
              <w:rPr>
                <w:rFonts w:eastAsia="Times New Roman" w:cs="Lucida Sans Unicode"/>
                <w:bCs/>
                <w:kern w:val="24"/>
                <w:sz w:val="18"/>
                <w:lang w:eastAsia="sl-SI"/>
              </w:rPr>
              <w:t>848.771,83</w:t>
            </w:r>
          </w:p>
        </w:tc>
        <w:tc>
          <w:tcPr>
            <w:tcW w:w="1859" w:type="dxa"/>
            <w:shd w:val="clear" w:color="auto" w:fill="auto"/>
            <w:tcMar>
              <w:top w:w="15" w:type="dxa"/>
              <w:left w:w="70" w:type="dxa"/>
              <w:bottom w:w="0" w:type="dxa"/>
              <w:right w:w="70" w:type="dxa"/>
            </w:tcMar>
            <w:vAlign w:val="center"/>
          </w:tcPr>
          <w:p w:rsidR="00E33C62" w:rsidRPr="00F119B3" w:rsidRDefault="00E33C62" w:rsidP="0086498C">
            <w:pPr>
              <w:spacing w:after="0" w:line="240" w:lineRule="auto"/>
              <w:jc w:val="center"/>
              <w:rPr>
                <w:rFonts w:eastAsia="Times New Roman" w:cs="Arial"/>
                <w:sz w:val="18"/>
                <w:lang w:eastAsia="sl-SI"/>
              </w:rPr>
            </w:pPr>
            <w:r w:rsidRPr="00F119B3">
              <w:rPr>
                <w:rFonts w:eastAsia="Times New Roman" w:cs="Lucida Sans Unicode"/>
                <w:bCs/>
                <w:kern w:val="24"/>
                <w:sz w:val="18"/>
                <w:lang w:eastAsia="sl-SI"/>
              </w:rPr>
              <w:t>1.477.049,81</w:t>
            </w:r>
          </w:p>
        </w:tc>
      </w:tr>
      <w:tr w:rsidR="00E33C62" w:rsidRPr="00F119B3" w:rsidTr="0086498C">
        <w:trPr>
          <w:trHeight w:val="20"/>
        </w:trPr>
        <w:tc>
          <w:tcPr>
            <w:tcW w:w="2826" w:type="dxa"/>
            <w:shd w:val="clear" w:color="auto" w:fill="auto"/>
            <w:tcMar>
              <w:top w:w="15" w:type="dxa"/>
              <w:left w:w="70" w:type="dxa"/>
              <w:bottom w:w="0" w:type="dxa"/>
              <w:right w:w="70" w:type="dxa"/>
            </w:tcMar>
            <w:vAlign w:val="center"/>
            <w:hideMark/>
          </w:tcPr>
          <w:p w:rsidR="00E33C62" w:rsidRPr="00F119B3" w:rsidRDefault="00E33C62" w:rsidP="0086498C">
            <w:pPr>
              <w:spacing w:after="0" w:line="240" w:lineRule="auto"/>
              <w:jc w:val="center"/>
              <w:rPr>
                <w:rFonts w:eastAsia="Times New Roman" w:cs="Arial"/>
                <w:sz w:val="18"/>
                <w:lang w:eastAsia="sl-SI"/>
              </w:rPr>
            </w:pPr>
            <w:r w:rsidRPr="00F119B3">
              <w:rPr>
                <w:rFonts w:eastAsia="Times New Roman" w:cs="Lucida Sans Unicode"/>
                <w:bCs/>
                <w:kern w:val="24"/>
                <w:sz w:val="18"/>
                <w:lang w:eastAsia="sl-SI"/>
              </w:rPr>
              <w:t xml:space="preserve">RAZPISANA VREDNOST </w:t>
            </w:r>
          </w:p>
        </w:tc>
        <w:tc>
          <w:tcPr>
            <w:tcW w:w="1942" w:type="dxa"/>
            <w:shd w:val="clear" w:color="auto" w:fill="auto"/>
            <w:tcMar>
              <w:top w:w="15" w:type="dxa"/>
              <w:left w:w="70" w:type="dxa"/>
              <w:bottom w:w="0" w:type="dxa"/>
              <w:right w:w="70" w:type="dxa"/>
            </w:tcMar>
            <w:vAlign w:val="center"/>
            <w:hideMark/>
          </w:tcPr>
          <w:p w:rsidR="00E33C62" w:rsidRPr="00F119B3" w:rsidRDefault="00E33C62" w:rsidP="0086498C">
            <w:pPr>
              <w:spacing w:after="0" w:line="240" w:lineRule="auto"/>
              <w:jc w:val="center"/>
              <w:rPr>
                <w:rFonts w:eastAsia="Times New Roman" w:cs="Arial"/>
                <w:sz w:val="18"/>
                <w:lang w:eastAsia="sl-SI"/>
              </w:rPr>
            </w:pPr>
            <w:r w:rsidRPr="00F119B3">
              <w:rPr>
                <w:rFonts w:eastAsia="Times New Roman" w:cs="Lucida Sans Unicode"/>
                <w:kern w:val="24"/>
                <w:sz w:val="18"/>
                <w:lang w:eastAsia="sl-SI"/>
              </w:rPr>
              <w:t>1.500.000,00</w:t>
            </w:r>
          </w:p>
        </w:tc>
        <w:tc>
          <w:tcPr>
            <w:tcW w:w="1823" w:type="dxa"/>
            <w:shd w:val="clear" w:color="auto" w:fill="auto"/>
            <w:tcMar>
              <w:top w:w="15" w:type="dxa"/>
              <w:left w:w="70" w:type="dxa"/>
              <w:bottom w:w="0" w:type="dxa"/>
              <w:right w:w="70" w:type="dxa"/>
            </w:tcMar>
            <w:vAlign w:val="center"/>
            <w:hideMark/>
          </w:tcPr>
          <w:p w:rsidR="00E33C62" w:rsidRPr="00F119B3" w:rsidRDefault="00E33C62" w:rsidP="0086498C">
            <w:pPr>
              <w:spacing w:after="0" w:line="240" w:lineRule="auto"/>
              <w:jc w:val="center"/>
              <w:rPr>
                <w:rFonts w:eastAsia="Times New Roman" w:cs="Arial"/>
                <w:sz w:val="18"/>
                <w:lang w:eastAsia="sl-SI"/>
              </w:rPr>
            </w:pPr>
            <w:r w:rsidRPr="00F119B3">
              <w:rPr>
                <w:rFonts w:eastAsia="Times New Roman" w:cs="Lucida Sans Unicode"/>
                <w:kern w:val="24"/>
                <w:sz w:val="18"/>
                <w:lang w:eastAsia="sl-SI"/>
              </w:rPr>
              <w:t>1.428.985,00</w:t>
            </w:r>
          </w:p>
        </w:tc>
        <w:tc>
          <w:tcPr>
            <w:tcW w:w="1859" w:type="dxa"/>
            <w:shd w:val="clear" w:color="auto" w:fill="auto"/>
            <w:tcMar>
              <w:top w:w="15" w:type="dxa"/>
              <w:left w:w="70" w:type="dxa"/>
              <w:bottom w:w="0" w:type="dxa"/>
              <w:right w:w="70" w:type="dxa"/>
            </w:tcMar>
            <w:vAlign w:val="center"/>
            <w:hideMark/>
          </w:tcPr>
          <w:p w:rsidR="00E33C62" w:rsidRPr="00F119B3" w:rsidRDefault="00E33C62" w:rsidP="0086498C">
            <w:pPr>
              <w:spacing w:after="0" w:line="240" w:lineRule="auto"/>
              <w:jc w:val="center"/>
              <w:rPr>
                <w:rFonts w:eastAsia="Times New Roman" w:cs="Arial"/>
                <w:sz w:val="18"/>
                <w:lang w:eastAsia="sl-SI"/>
              </w:rPr>
            </w:pPr>
            <w:r w:rsidRPr="00F119B3">
              <w:rPr>
                <w:rFonts w:eastAsia="Times New Roman" w:cs="Lucida Sans Unicode"/>
                <w:kern w:val="24"/>
                <w:sz w:val="18"/>
                <w:lang w:eastAsia="sl-SI"/>
              </w:rPr>
              <w:t>2.928.985,00</w:t>
            </w:r>
          </w:p>
        </w:tc>
      </w:tr>
      <w:tr w:rsidR="00E33C62" w:rsidRPr="00F119B3" w:rsidTr="0086498C">
        <w:trPr>
          <w:trHeight w:val="20"/>
        </w:trPr>
        <w:tc>
          <w:tcPr>
            <w:tcW w:w="2826" w:type="dxa"/>
            <w:shd w:val="clear" w:color="auto" w:fill="auto"/>
            <w:tcMar>
              <w:top w:w="15" w:type="dxa"/>
              <w:left w:w="70" w:type="dxa"/>
              <w:bottom w:w="0" w:type="dxa"/>
              <w:right w:w="70" w:type="dxa"/>
            </w:tcMar>
            <w:vAlign w:val="center"/>
            <w:hideMark/>
          </w:tcPr>
          <w:p w:rsidR="00E33C62" w:rsidRPr="00F119B3" w:rsidRDefault="00E33C62" w:rsidP="0086498C">
            <w:pPr>
              <w:spacing w:after="0" w:line="240" w:lineRule="auto"/>
              <w:jc w:val="center"/>
              <w:rPr>
                <w:rFonts w:eastAsia="Times New Roman" w:cs="Arial"/>
                <w:sz w:val="18"/>
                <w:lang w:eastAsia="sl-SI"/>
              </w:rPr>
            </w:pPr>
            <w:r w:rsidRPr="00F119B3">
              <w:rPr>
                <w:rFonts w:eastAsia="Times New Roman" w:cs="Lucida Sans Unicode"/>
                <w:bCs/>
                <w:kern w:val="24"/>
                <w:sz w:val="18"/>
                <w:lang w:eastAsia="sl-SI"/>
              </w:rPr>
              <w:t>OSTANE A + B</w:t>
            </w:r>
          </w:p>
        </w:tc>
        <w:tc>
          <w:tcPr>
            <w:tcW w:w="1942" w:type="dxa"/>
            <w:shd w:val="clear" w:color="auto" w:fill="auto"/>
            <w:tcMar>
              <w:top w:w="15" w:type="dxa"/>
              <w:left w:w="70" w:type="dxa"/>
              <w:bottom w:w="0" w:type="dxa"/>
              <w:right w:w="70" w:type="dxa"/>
            </w:tcMar>
            <w:vAlign w:val="center"/>
            <w:hideMark/>
          </w:tcPr>
          <w:p w:rsidR="00E33C62" w:rsidRPr="00F119B3" w:rsidRDefault="00E33C62" w:rsidP="0086498C">
            <w:pPr>
              <w:spacing w:after="0" w:line="240" w:lineRule="auto"/>
              <w:jc w:val="center"/>
              <w:rPr>
                <w:rFonts w:eastAsia="Times New Roman" w:cs="Arial"/>
                <w:sz w:val="18"/>
                <w:lang w:eastAsia="sl-SI"/>
              </w:rPr>
            </w:pPr>
            <w:r w:rsidRPr="00F119B3">
              <w:rPr>
                <w:rFonts w:eastAsia="Times New Roman" w:cs="Lucida Sans Unicode"/>
                <w:kern w:val="24"/>
                <w:sz w:val="18"/>
                <w:lang w:eastAsia="sl-SI"/>
              </w:rPr>
              <w:t>871.722,02</w:t>
            </w:r>
          </w:p>
        </w:tc>
        <w:tc>
          <w:tcPr>
            <w:tcW w:w="1823" w:type="dxa"/>
            <w:shd w:val="clear" w:color="auto" w:fill="auto"/>
            <w:tcMar>
              <w:top w:w="15" w:type="dxa"/>
              <w:left w:w="70" w:type="dxa"/>
              <w:bottom w:w="0" w:type="dxa"/>
              <w:right w:w="70" w:type="dxa"/>
            </w:tcMar>
            <w:vAlign w:val="center"/>
            <w:hideMark/>
          </w:tcPr>
          <w:p w:rsidR="00E33C62" w:rsidRPr="00F119B3" w:rsidRDefault="00E33C62" w:rsidP="0086498C">
            <w:pPr>
              <w:spacing w:after="0" w:line="240" w:lineRule="auto"/>
              <w:jc w:val="center"/>
              <w:rPr>
                <w:rFonts w:eastAsia="Times New Roman" w:cs="Arial"/>
                <w:sz w:val="18"/>
                <w:lang w:eastAsia="sl-SI"/>
              </w:rPr>
            </w:pPr>
            <w:r w:rsidRPr="00F119B3">
              <w:rPr>
                <w:rFonts w:eastAsia="Times New Roman" w:cs="Lucida Sans Unicode"/>
                <w:kern w:val="24"/>
                <w:sz w:val="18"/>
                <w:lang w:eastAsia="sl-SI"/>
              </w:rPr>
              <w:t>580.213,17</w:t>
            </w:r>
          </w:p>
        </w:tc>
        <w:tc>
          <w:tcPr>
            <w:tcW w:w="1859" w:type="dxa"/>
            <w:shd w:val="clear" w:color="auto" w:fill="auto"/>
            <w:tcMar>
              <w:top w:w="15" w:type="dxa"/>
              <w:left w:w="70" w:type="dxa"/>
              <w:bottom w:w="0" w:type="dxa"/>
              <w:right w:w="70" w:type="dxa"/>
            </w:tcMar>
            <w:vAlign w:val="center"/>
            <w:hideMark/>
          </w:tcPr>
          <w:p w:rsidR="00E33C62" w:rsidRPr="00F119B3" w:rsidRDefault="00E33C62" w:rsidP="0086498C">
            <w:pPr>
              <w:spacing w:after="0" w:line="240" w:lineRule="auto"/>
              <w:jc w:val="center"/>
              <w:rPr>
                <w:rFonts w:eastAsia="Times New Roman" w:cs="Arial"/>
                <w:sz w:val="18"/>
                <w:lang w:eastAsia="sl-SI"/>
              </w:rPr>
            </w:pPr>
            <w:r w:rsidRPr="00F119B3">
              <w:rPr>
                <w:rFonts w:eastAsia="Times New Roman" w:cs="Lucida Sans Unicode"/>
                <w:kern w:val="24"/>
                <w:sz w:val="18"/>
                <w:lang w:eastAsia="sl-SI"/>
              </w:rPr>
              <w:t>1.451.935,19</w:t>
            </w:r>
          </w:p>
        </w:tc>
      </w:tr>
    </w:tbl>
    <w:p w:rsidR="00E33C62" w:rsidRPr="00066CD8" w:rsidRDefault="00E33C62" w:rsidP="00E33C62">
      <w:pPr>
        <w:spacing w:after="0" w:line="240" w:lineRule="auto"/>
        <w:jc w:val="both"/>
      </w:pPr>
    </w:p>
    <w:p w:rsidR="00E33C62" w:rsidRPr="00066CD8" w:rsidRDefault="00A0180D" w:rsidP="00180CB8">
      <w:pPr>
        <w:autoSpaceDE w:val="0"/>
        <w:autoSpaceDN w:val="0"/>
        <w:adjustRightInd w:val="0"/>
        <w:spacing w:line="240" w:lineRule="auto"/>
        <w:jc w:val="both"/>
        <w:rPr>
          <w:rFonts w:cs="Arial"/>
        </w:rPr>
      </w:pPr>
      <w:r w:rsidRPr="00D639C6">
        <w:rPr>
          <w:bCs/>
        </w:rPr>
        <w:t>Javni razpis za sofinanciranje začetnih investicij podjetij, ki ustvarjajo ali ohranjajo delovna mesta na območju občin Hrastnik, Radeče in Trbovlje za obdobje 2014 – 2015 je MGRT objavilo v lanskem letu</w:t>
      </w:r>
      <w:r>
        <w:rPr>
          <w:bCs/>
        </w:rPr>
        <w:t xml:space="preserve">, </w:t>
      </w:r>
      <w:r w:rsidR="00514E79">
        <w:rPr>
          <w:bCs/>
        </w:rPr>
        <w:t>o</w:t>
      </w:r>
      <w:r w:rsidR="00E33C62" w:rsidRPr="00066CD8">
        <w:rPr>
          <w:rFonts w:cs="Arial"/>
        </w:rPr>
        <w:t>kvirna višina razpisanih sredstev za leto 2014  je znašala 1.500.000 EUR, za leto 2015 pa 1.428.985 EUR. Na javni razpis je prispelo 31 vlog. Vse formalno in vsebinsko ustrezne vloge so bile ocenjene v skladu z merili objavljenimi v razpisu in razpisni dokumentaciji. Na osnovi rezultatov ocenjevanja vlog bo Ministrstvo za gospodarski razvoj in tehnologijo sofinanciralo projekte začetnih investicij 13 prijaviteljem (3 iz občine Radeče, 7 iz občine Trbovlje, 3 občine Hrastnik).</w:t>
      </w:r>
      <w:r w:rsidR="00E33C62">
        <w:rPr>
          <w:rFonts w:cs="Arial"/>
        </w:rPr>
        <w:t xml:space="preserve"> </w:t>
      </w:r>
      <w:r w:rsidR="004A20F0">
        <w:rPr>
          <w:rFonts w:cs="Arial"/>
        </w:rPr>
        <w:t>V letu 2014 je bilo iz proračuna izplačanih skupaj 583.757,08 EUR.</w:t>
      </w:r>
    </w:p>
    <w:p w:rsidR="00E33C62" w:rsidRDefault="00E33C62" w:rsidP="00E33C62">
      <w:pPr>
        <w:spacing w:after="0" w:line="240" w:lineRule="auto"/>
        <w:jc w:val="both"/>
      </w:pPr>
    </w:p>
    <w:p w:rsidR="00E33C62" w:rsidRPr="00A0180D" w:rsidRDefault="00A0180D" w:rsidP="00A0180D">
      <w:pPr>
        <w:spacing w:after="0" w:line="240" w:lineRule="auto"/>
        <w:jc w:val="both"/>
      </w:pPr>
      <w:r w:rsidRPr="00180CB8">
        <w:rPr>
          <w:color w:val="000000"/>
          <w:lang w:eastAsia="sl-SI"/>
        </w:rPr>
        <w:lastRenderedPageBreak/>
        <w:t xml:space="preserve">Zaradi proračunskih omejitev, tega razpisa </w:t>
      </w:r>
      <w:r>
        <w:rPr>
          <w:color w:val="000000"/>
          <w:lang w:eastAsia="sl-SI"/>
        </w:rPr>
        <w:t xml:space="preserve"> (za preostanek sredstev) </w:t>
      </w:r>
      <w:r w:rsidRPr="00180CB8">
        <w:rPr>
          <w:color w:val="000000"/>
          <w:lang w:eastAsia="sl-SI"/>
        </w:rPr>
        <w:t>v prvi polovici letošnjega leta ne moremo ponovno izvesti. Načrtujemo pa, da bomo</w:t>
      </w:r>
      <w:r w:rsidRPr="00180CB8">
        <w:rPr>
          <w:lang w:eastAsia="sl-SI"/>
        </w:rPr>
        <w:t xml:space="preserve"> n</w:t>
      </w:r>
      <w:r w:rsidRPr="00180CB8">
        <w:t xml:space="preserve">ov razpis predvidoma objavili </w:t>
      </w:r>
      <w:r w:rsidRPr="00180CB8">
        <w:rPr>
          <w:lang w:eastAsia="sl-SI"/>
        </w:rPr>
        <w:t>ob koncu leta 2015; za leti 2016 in 2017. Zaradi pomanjkanja proračunskih sredstev bomo na tem razpisu v prihodnje v največji možni kombinirali EU</w:t>
      </w:r>
      <w:r w:rsidR="00514E79">
        <w:rPr>
          <w:lang w:eastAsia="sl-SI"/>
        </w:rPr>
        <w:t xml:space="preserve"> in domača proračunska sredstva.</w:t>
      </w:r>
    </w:p>
    <w:p w:rsidR="00E241E5" w:rsidRDefault="00E241E5" w:rsidP="00E33C62">
      <w:pPr>
        <w:spacing w:after="0" w:line="240" w:lineRule="auto"/>
        <w:jc w:val="both"/>
      </w:pPr>
    </w:p>
    <w:p w:rsidR="00E241E5" w:rsidRDefault="00E241E5" w:rsidP="00E33C62">
      <w:pPr>
        <w:spacing w:after="0" w:line="240" w:lineRule="auto"/>
        <w:jc w:val="both"/>
      </w:pPr>
    </w:p>
    <w:p w:rsidR="00E241E5" w:rsidRDefault="00E241E5" w:rsidP="00E33C62">
      <w:pPr>
        <w:spacing w:after="0" w:line="240" w:lineRule="auto"/>
        <w:jc w:val="both"/>
      </w:pPr>
    </w:p>
    <w:p w:rsidR="00E33C62" w:rsidRPr="00020648" w:rsidRDefault="00E33C62" w:rsidP="0086498C">
      <w:pPr>
        <w:pStyle w:val="Naslov3"/>
        <w:numPr>
          <w:ilvl w:val="2"/>
          <w:numId w:val="12"/>
        </w:numPr>
        <w:spacing w:before="0" w:after="0" w:line="240" w:lineRule="auto"/>
        <w:rPr>
          <w:sz w:val="22"/>
          <w:szCs w:val="22"/>
        </w:rPr>
      </w:pPr>
      <w:r w:rsidRPr="00020648">
        <w:rPr>
          <w:sz w:val="22"/>
          <w:szCs w:val="22"/>
        </w:rPr>
        <w:t>Instrument 4- Program Radeče papir</w:t>
      </w:r>
    </w:p>
    <w:p w:rsidR="00E33C62" w:rsidRDefault="00E33C62" w:rsidP="00E33C62">
      <w:pPr>
        <w:spacing w:after="0" w:line="240" w:lineRule="auto"/>
        <w:jc w:val="both"/>
      </w:pPr>
    </w:p>
    <w:p w:rsidR="00E33C62" w:rsidRDefault="00E33C62" w:rsidP="00E33C62">
      <w:pPr>
        <w:spacing w:after="0" w:line="240" w:lineRule="auto"/>
        <w:jc w:val="both"/>
      </w:pPr>
      <w:r>
        <w:rPr>
          <w:rFonts w:cs="Arial"/>
        </w:rPr>
        <w:t xml:space="preserve">S prisilno poravnavo in stečajem, ki ji je sledil, </w:t>
      </w:r>
      <w:r w:rsidRPr="00955E15">
        <w:rPr>
          <w:rFonts w:cs="Arial"/>
        </w:rPr>
        <w:t xml:space="preserve"> </w:t>
      </w:r>
      <w:r>
        <w:rPr>
          <w:rFonts w:cs="Arial"/>
        </w:rPr>
        <w:t xml:space="preserve">je </w:t>
      </w:r>
      <w:r w:rsidRPr="00955E15">
        <w:rPr>
          <w:rFonts w:cs="Arial"/>
        </w:rPr>
        <w:t xml:space="preserve">v tovarni Radeče Papir </w:t>
      </w:r>
      <w:r>
        <w:rPr>
          <w:rFonts w:cs="Arial"/>
        </w:rPr>
        <w:t>del</w:t>
      </w:r>
      <w:r w:rsidRPr="00955E15">
        <w:rPr>
          <w:rFonts w:cs="Arial"/>
        </w:rPr>
        <w:t>o</w:t>
      </w:r>
      <w:r>
        <w:rPr>
          <w:rFonts w:cs="Arial"/>
        </w:rPr>
        <w:t xml:space="preserve"> izgubilo</w:t>
      </w:r>
      <w:r w:rsidRPr="00955E15">
        <w:rPr>
          <w:rFonts w:cs="Arial"/>
        </w:rPr>
        <w:t xml:space="preserve"> približno 250 zaposlenih, velika večina je </w:t>
      </w:r>
      <w:r>
        <w:rPr>
          <w:rFonts w:cs="Arial"/>
        </w:rPr>
        <w:t xml:space="preserve">bila </w:t>
      </w:r>
      <w:r w:rsidRPr="00955E15">
        <w:rPr>
          <w:rFonts w:cs="Arial"/>
        </w:rPr>
        <w:t>občanov občine Radeče</w:t>
      </w:r>
      <w:r>
        <w:rPr>
          <w:rFonts w:cs="Arial"/>
        </w:rPr>
        <w:t>. C</w:t>
      </w:r>
      <w:r w:rsidRPr="00955E15">
        <w:rPr>
          <w:rFonts w:cs="Arial"/>
        </w:rPr>
        <w:t xml:space="preserve">ilji </w:t>
      </w:r>
      <w:r>
        <w:rPr>
          <w:rFonts w:cs="Arial"/>
        </w:rPr>
        <w:t>instrumenta</w:t>
      </w:r>
      <w:r w:rsidRPr="00955E15">
        <w:rPr>
          <w:rFonts w:cs="Arial"/>
        </w:rPr>
        <w:t xml:space="preserve"> so usmerjeni predvsem v zagotavljanje novih delovnih mest</w:t>
      </w:r>
      <w:r>
        <w:rPr>
          <w:rFonts w:cs="Arial"/>
        </w:rPr>
        <w:t xml:space="preserve"> (200)</w:t>
      </w:r>
      <w:r w:rsidRPr="00955E15">
        <w:rPr>
          <w:rFonts w:cs="Arial"/>
        </w:rPr>
        <w:t xml:space="preserve"> in posledično bistveno zmanjšanje stopnje brezposelnosti na območju občine Radeče ter srednje- in dolgoročno ohranjanje teh delovnih mest</w:t>
      </w:r>
      <w:r>
        <w:rPr>
          <w:rFonts w:cs="Arial"/>
        </w:rPr>
        <w:t xml:space="preserve"> (ocenjeno </w:t>
      </w:r>
      <w:r w:rsidRPr="00955E15">
        <w:rPr>
          <w:rFonts w:cs="Arial"/>
        </w:rPr>
        <w:t>število ohranjenih delovnih</w:t>
      </w:r>
      <w:r>
        <w:rPr>
          <w:rFonts w:cs="Arial"/>
        </w:rPr>
        <w:t xml:space="preserve"> </w:t>
      </w:r>
      <w:r w:rsidRPr="00955E15">
        <w:rPr>
          <w:rFonts w:cs="Arial"/>
        </w:rPr>
        <w:t xml:space="preserve"> </w:t>
      </w:r>
      <w:r>
        <w:rPr>
          <w:rFonts w:cs="Arial"/>
        </w:rPr>
        <w:t xml:space="preserve">mest je </w:t>
      </w:r>
      <w:r w:rsidRPr="00955E15">
        <w:rPr>
          <w:rFonts w:cs="Arial"/>
        </w:rPr>
        <w:t>160</w:t>
      </w:r>
      <w:r>
        <w:rPr>
          <w:rFonts w:cs="Arial"/>
        </w:rPr>
        <w:t xml:space="preserve"> , </w:t>
      </w:r>
      <w:r w:rsidRPr="00955E15">
        <w:rPr>
          <w:rFonts w:cs="Arial"/>
        </w:rPr>
        <w:t>pet let po zaključku programa Radeče papir</w:t>
      </w:r>
      <w:r>
        <w:rPr>
          <w:rFonts w:cs="Arial"/>
        </w:rPr>
        <w:t>)</w:t>
      </w:r>
      <w:r w:rsidRPr="00955E15">
        <w:rPr>
          <w:rFonts w:cs="Arial"/>
        </w:rPr>
        <w:t>.</w:t>
      </w:r>
    </w:p>
    <w:p w:rsidR="00E33C62" w:rsidRDefault="00E33C62" w:rsidP="00E33C62">
      <w:pPr>
        <w:spacing w:after="0" w:line="240" w:lineRule="auto"/>
        <w:jc w:val="both"/>
      </w:pPr>
    </w:p>
    <w:p w:rsidR="00E33C62" w:rsidRPr="00066CD8" w:rsidRDefault="00E33C62" w:rsidP="00E33C62">
      <w:pPr>
        <w:spacing w:after="0" w:line="240" w:lineRule="auto"/>
        <w:jc w:val="both"/>
        <w:rPr>
          <w:u w:val="single"/>
        </w:rPr>
      </w:pPr>
      <w:r w:rsidRPr="00066CD8">
        <w:rPr>
          <w:u w:val="single"/>
        </w:rPr>
        <w:t>Status: vloga je v fazi presoje</w:t>
      </w:r>
      <w:r>
        <w:rPr>
          <w:u w:val="single"/>
        </w:rPr>
        <w:t>.</w:t>
      </w:r>
    </w:p>
    <w:p w:rsidR="00E33C62" w:rsidRDefault="00E33C62" w:rsidP="00E33C62">
      <w:pPr>
        <w:spacing w:after="0" w:line="240" w:lineRule="auto"/>
        <w:jc w:val="both"/>
      </w:pPr>
    </w:p>
    <w:p w:rsidR="00E33C62" w:rsidRDefault="00E33C62" w:rsidP="00E33C62">
      <w:pPr>
        <w:spacing w:after="0" w:line="240" w:lineRule="auto"/>
        <w:jc w:val="both"/>
      </w:pPr>
      <w:r>
        <w:t>Vlogo ''</w:t>
      </w:r>
      <w:r w:rsidRPr="001C7250">
        <w:t xml:space="preserve"> </w:t>
      </w:r>
      <w:r w:rsidRPr="003404CE">
        <w:t>projekt »Zagon Radeče papir« - nakup podj</w:t>
      </w:r>
      <w:r>
        <w:t xml:space="preserve">etja, ki je prenehalo poslovati'' je </w:t>
      </w:r>
      <w:r w:rsidRPr="003404CE">
        <w:t>Radeče papir nova d.o.o</w:t>
      </w:r>
      <w:r>
        <w:t xml:space="preserve">., podalo na MGRT dne 8.1.2014. Komisijo za presojo vloge je minister imenoval dne 29.1.2014. Vloga je še vedno v presoji, saj je odprtih še kar nekaj elementov, tako glede velikosti podjetja kot tudi predloženih dokazil. </w:t>
      </w:r>
    </w:p>
    <w:p w:rsidR="00E33C62" w:rsidRDefault="00E33C62" w:rsidP="00E33C62">
      <w:pPr>
        <w:spacing w:after="0" w:line="240" w:lineRule="auto"/>
        <w:jc w:val="both"/>
      </w:pPr>
    </w:p>
    <w:p w:rsidR="00E33C62" w:rsidRDefault="00E33C62" w:rsidP="00E33C62">
      <w:pPr>
        <w:spacing w:after="0" w:line="240" w:lineRule="auto"/>
        <w:jc w:val="both"/>
      </w:pPr>
    </w:p>
    <w:p w:rsidR="00E33C62" w:rsidRPr="00020648" w:rsidRDefault="00E33C62" w:rsidP="0086498C">
      <w:pPr>
        <w:pStyle w:val="Naslov3"/>
        <w:numPr>
          <w:ilvl w:val="2"/>
          <w:numId w:val="12"/>
        </w:numPr>
        <w:spacing w:before="0" w:after="0" w:line="240" w:lineRule="auto"/>
        <w:rPr>
          <w:sz w:val="22"/>
          <w:szCs w:val="22"/>
        </w:rPr>
      </w:pPr>
      <w:r w:rsidRPr="00020648">
        <w:rPr>
          <w:sz w:val="22"/>
          <w:szCs w:val="22"/>
        </w:rPr>
        <w:t xml:space="preserve">Instrument 5- </w:t>
      </w:r>
      <w:r w:rsidRPr="00020648">
        <w:rPr>
          <w:rFonts w:cs="Arial"/>
          <w:bCs w:val="0"/>
          <w:color w:val="000000"/>
          <w:sz w:val="22"/>
          <w:szCs w:val="22"/>
        </w:rPr>
        <w:t>Koordinacija,</w:t>
      </w:r>
      <w:r w:rsidRPr="00020648">
        <w:rPr>
          <w:rFonts w:cs="Arial"/>
          <w:bCs w:val="0"/>
          <w:sz w:val="22"/>
          <w:szCs w:val="22"/>
        </w:rPr>
        <w:t xml:space="preserve"> promocija in skrbnik programa</w:t>
      </w:r>
    </w:p>
    <w:p w:rsidR="00E33C62" w:rsidRDefault="00E33C62" w:rsidP="00E33C62">
      <w:pPr>
        <w:spacing w:after="0" w:line="240" w:lineRule="auto"/>
        <w:jc w:val="both"/>
      </w:pPr>
    </w:p>
    <w:p w:rsidR="00E33C62" w:rsidRDefault="00E33C62" w:rsidP="00E33C62">
      <w:pPr>
        <w:spacing w:after="0" w:line="240" w:lineRule="auto"/>
        <w:jc w:val="both"/>
        <w:rPr>
          <w:rFonts w:cs="Arial"/>
        </w:rPr>
      </w:pPr>
      <w:r w:rsidRPr="00BA2A6A">
        <w:rPr>
          <w:rFonts w:cs="Arial"/>
        </w:rPr>
        <w:t xml:space="preserve">Namen in cilji instrumenta: </w:t>
      </w:r>
      <w:r>
        <w:rPr>
          <w:rFonts w:cs="Arial"/>
        </w:rPr>
        <w:t>gre za izvedbo P</w:t>
      </w:r>
      <w:r w:rsidRPr="00BA2A6A">
        <w:rPr>
          <w:rFonts w:cs="Arial"/>
        </w:rPr>
        <w:t xml:space="preserve">rograma spodbujanja konkurenčnosti. </w:t>
      </w:r>
      <w:r>
        <w:rPr>
          <w:rFonts w:cs="Arial"/>
        </w:rPr>
        <w:t>Aktivnosti vključujejo:  podporo</w:t>
      </w:r>
      <w:r w:rsidRPr="00955E15">
        <w:rPr>
          <w:rFonts w:cs="Arial"/>
        </w:rPr>
        <w:t xml:space="preserve"> za izvajanje izbranih projektov in programa</w:t>
      </w:r>
      <w:r>
        <w:rPr>
          <w:rFonts w:cs="Arial"/>
        </w:rPr>
        <w:t>; n</w:t>
      </w:r>
      <w:r w:rsidRPr="00955E15">
        <w:rPr>
          <w:rFonts w:cs="Arial"/>
        </w:rPr>
        <w:t>adzor nad izvajanjem projektov na terenu</w:t>
      </w:r>
      <w:r>
        <w:rPr>
          <w:rFonts w:cs="Arial"/>
        </w:rPr>
        <w:t>; v</w:t>
      </w:r>
      <w:r w:rsidRPr="00955E15">
        <w:rPr>
          <w:rFonts w:cs="Arial"/>
        </w:rPr>
        <w:t>zdrževanje evidenc in priprava poročil</w:t>
      </w:r>
      <w:r>
        <w:rPr>
          <w:rFonts w:cs="Arial"/>
        </w:rPr>
        <w:t>; p</w:t>
      </w:r>
      <w:r w:rsidRPr="00955E15">
        <w:rPr>
          <w:rFonts w:cs="Arial"/>
        </w:rPr>
        <w:t>riprava letnih poročil</w:t>
      </w:r>
      <w:r>
        <w:rPr>
          <w:rFonts w:cs="Arial"/>
        </w:rPr>
        <w:t>; p</w:t>
      </w:r>
      <w:r w:rsidRPr="00955E15">
        <w:rPr>
          <w:rFonts w:cs="Arial"/>
        </w:rPr>
        <w:t>omoč pr</w:t>
      </w:r>
      <w:r>
        <w:rPr>
          <w:rFonts w:cs="Arial"/>
        </w:rPr>
        <w:t>i pripravi projektov; k</w:t>
      </w:r>
      <w:r w:rsidRPr="00955E15">
        <w:rPr>
          <w:rFonts w:cs="Arial"/>
        </w:rPr>
        <w:t>oordinacija in</w:t>
      </w:r>
      <w:r>
        <w:rPr>
          <w:rFonts w:cs="Arial"/>
        </w:rPr>
        <w:t xml:space="preserve"> promocija programa na območju o</w:t>
      </w:r>
      <w:r w:rsidRPr="00955E15">
        <w:rPr>
          <w:rFonts w:cs="Arial"/>
        </w:rPr>
        <w:t>bčin Hrastnik, Radeče in Trbovlje</w:t>
      </w:r>
      <w:r>
        <w:rPr>
          <w:rFonts w:cs="Arial"/>
        </w:rPr>
        <w:t>; o</w:t>
      </w:r>
      <w:r w:rsidRPr="00955E15">
        <w:rPr>
          <w:rFonts w:cs="Arial"/>
        </w:rPr>
        <w:t>rganizacija dogodkov</w:t>
      </w:r>
      <w:r>
        <w:rPr>
          <w:rFonts w:cs="Arial"/>
        </w:rPr>
        <w:t xml:space="preserve"> itd. </w:t>
      </w:r>
    </w:p>
    <w:p w:rsidR="00E33C62" w:rsidRDefault="00E33C62" w:rsidP="00E33C62">
      <w:pPr>
        <w:spacing w:after="0" w:line="240" w:lineRule="auto"/>
        <w:jc w:val="both"/>
        <w:rPr>
          <w:rFonts w:cs="Arial"/>
        </w:rPr>
      </w:pPr>
    </w:p>
    <w:p w:rsidR="00E33C62" w:rsidRPr="00BA2A6A" w:rsidRDefault="00E33C62" w:rsidP="00E33C62">
      <w:pPr>
        <w:spacing w:after="0" w:line="240" w:lineRule="auto"/>
        <w:jc w:val="both"/>
        <w:rPr>
          <w:rFonts w:cs="Arial"/>
          <w:u w:val="single"/>
        </w:rPr>
      </w:pPr>
      <w:r w:rsidRPr="00BA2A6A">
        <w:rPr>
          <w:rFonts w:cs="Arial"/>
          <w:u w:val="single"/>
        </w:rPr>
        <w:t>Status:  instrument se izvaja.</w:t>
      </w:r>
    </w:p>
    <w:p w:rsidR="00E33C62" w:rsidRDefault="00E33C62" w:rsidP="00E33C62">
      <w:pPr>
        <w:spacing w:after="0" w:line="240" w:lineRule="auto"/>
        <w:jc w:val="both"/>
        <w:rPr>
          <w:rFonts w:cs="Arial"/>
        </w:rPr>
      </w:pPr>
    </w:p>
    <w:p w:rsidR="00E33C62" w:rsidRDefault="00E33C62" w:rsidP="00E33C62">
      <w:pPr>
        <w:spacing w:after="0" w:line="240" w:lineRule="auto"/>
        <w:jc w:val="both"/>
      </w:pPr>
      <w:r>
        <w:t>Ministrstvo za gospodarski razvoj in tehnologijo je dne 14.5.2014 sklenilo pogodbi z RRA Posavje in RCR Zagorje.</w:t>
      </w:r>
    </w:p>
    <w:p w:rsidR="00E33C62" w:rsidRDefault="00E33C62" w:rsidP="00E33C62">
      <w:pPr>
        <w:spacing w:after="0" w:line="240" w:lineRule="auto"/>
        <w:jc w:val="both"/>
      </w:pPr>
    </w:p>
    <w:p w:rsidR="00E33C62" w:rsidRDefault="00E33C62" w:rsidP="00E33C62">
      <w:pPr>
        <w:spacing w:after="0" w:line="240" w:lineRule="auto"/>
        <w:jc w:val="both"/>
      </w:pPr>
      <w:r>
        <w:t>Aktivnosti, ki sta jih izvedla RCR Zagorje in RRA Posavje: udeležba na predstavitvi javnega razpisa za sofinanciranje začetnih tujih investicij podjetij v Radečah dne 31.3.2014; organizacija posveta, priprava in izvedba informativne predstavitvene delavnice na temo predstavitve programa, ukrepov in posameznih instrumentov v Radečah dne 23.9.2014 (RRA Posavje) in v Hrastniku, dne 21.10.2014 (RCR Zagorje); splošna promocija programa in posameznih instrumentov; svetovanje potencialnim prijaviteljem v zvezi s programom oz. posameznimi instrumenti; vsebinsko in finančno koordiniranje programa, usklajevanje programa (koordinacija z MGRT, občinami problemskega območja  itd.).</w:t>
      </w:r>
      <w:r w:rsidR="001F6C69">
        <w:t xml:space="preserve"> V letu 2014 je bilo izplačanih 18.273,73 EUR, od januarja do aprila 2015 pa 60.587,21 EUR.</w:t>
      </w:r>
    </w:p>
    <w:p w:rsidR="00E33C62" w:rsidRDefault="00E33C62" w:rsidP="00E33C62">
      <w:pPr>
        <w:spacing w:after="0" w:line="240" w:lineRule="auto"/>
        <w:jc w:val="both"/>
      </w:pPr>
    </w:p>
    <w:p w:rsidR="00A548F9" w:rsidRDefault="00A548F9" w:rsidP="00E33C62">
      <w:pPr>
        <w:spacing w:after="0" w:line="240" w:lineRule="auto"/>
        <w:jc w:val="both"/>
      </w:pPr>
    </w:p>
    <w:p w:rsidR="00A548F9" w:rsidRDefault="00A548F9" w:rsidP="00E33C62">
      <w:pPr>
        <w:spacing w:after="0" w:line="240" w:lineRule="auto"/>
        <w:jc w:val="both"/>
      </w:pPr>
    </w:p>
    <w:p w:rsidR="00E33C62" w:rsidRDefault="00E33C62" w:rsidP="00E33C62">
      <w:pPr>
        <w:spacing w:after="0" w:line="240" w:lineRule="auto"/>
        <w:jc w:val="both"/>
      </w:pPr>
    </w:p>
    <w:p w:rsidR="00E33C62" w:rsidRPr="00A548F9" w:rsidRDefault="00E33C62" w:rsidP="0086498C">
      <w:pPr>
        <w:pStyle w:val="Naslov2"/>
        <w:numPr>
          <w:ilvl w:val="1"/>
          <w:numId w:val="12"/>
        </w:numPr>
        <w:spacing w:before="0" w:after="0" w:line="240" w:lineRule="auto"/>
        <w:rPr>
          <w:rFonts w:cs="Arial"/>
          <w:iCs w:val="0"/>
          <w:sz w:val="24"/>
          <w:szCs w:val="24"/>
          <w:lang w:eastAsia="sl-SI"/>
        </w:rPr>
      </w:pPr>
      <w:r w:rsidRPr="00A548F9">
        <w:rPr>
          <w:sz w:val="24"/>
          <w:szCs w:val="24"/>
        </w:rPr>
        <w:t xml:space="preserve">Ukrep 2 - </w:t>
      </w:r>
      <w:r w:rsidRPr="00A548F9">
        <w:rPr>
          <w:rFonts w:cs="Arial"/>
          <w:iCs w:val="0"/>
          <w:sz w:val="24"/>
          <w:szCs w:val="24"/>
          <w:lang w:eastAsia="sl-SI"/>
        </w:rPr>
        <w:t xml:space="preserve">povračilo plačanih prispevkov delodajalca za socialno varnost </w:t>
      </w:r>
    </w:p>
    <w:p w:rsidR="00E33C62" w:rsidRDefault="00E33C62" w:rsidP="00E33C62">
      <w:pPr>
        <w:spacing w:after="0" w:line="240" w:lineRule="auto"/>
        <w:rPr>
          <w:lang w:eastAsia="sl-SI"/>
        </w:rPr>
      </w:pPr>
    </w:p>
    <w:p w:rsidR="00E33C62" w:rsidRPr="00EA24AF" w:rsidRDefault="00E33C62" w:rsidP="00E33C62">
      <w:pPr>
        <w:spacing w:after="0" w:line="240" w:lineRule="auto"/>
        <w:jc w:val="both"/>
        <w:rPr>
          <w:rFonts w:cs="Arial"/>
          <w:bCs/>
        </w:rPr>
      </w:pPr>
      <w:r w:rsidRPr="00EA24AF">
        <w:rPr>
          <w:rFonts w:cs="Arial"/>
          <w:bCs/>
        </w:rPr>
        <w:lastRenderedPageBreak/>
        <w:t>Povračilo plačanih prispevkov delodajalca za socialno varnost na podlagi 27. Člena</w:t>
      </w:r>
      <w:r>
        <w:rPr>
          <w:rFonts w:cs="Arial"/>
          <w:bCs/>
        </w:rPr>
        <w:t xml:space="preserve"> ZSRR-2</w:t>
      </w:r>
      <w:r w:rsidRPr="00EA24AF">
        <w:rPr>
          <w:rFonts w:cs="Arial"/>
          <w:bCs/>
        </w:rPr>
        <w:t>, ki ga izvede Ministrstvo za delo, družino, so</w:t>
      </w:r>
      <w:r>
        <w:rPr>
          <w:rFonts w:cs="Arial"/>
          <w:bCs/>
        </w:rPr>
        <w:t>cialne zadeve in enake možnosti oziroma Zavod RS za zaposlovanje, OE Trbovlje za občini Hrastnik in Trbovlje ter OE Celje za občino Radeče.</w:t>
      </w:r>
    </w:p>
    <w:p w:rsidR="00E33C62" w:rsidRDefault="00E33C62" w:rsidP="00E33C62">
      <w:pPr>
        <w:spacing w:after="0" w:line="240" w:lineRule="auto"/>
        <w:rPr>
          <w:lang w:eastAsia="sl-SI"/>
        </w:rPr>
      </w:pPr>
    </w:p>
    <w:p w:rsidR="00E33C62" w:rsidRPr="004550A3" w:rsidRDefault="00E33C62" w:rsidP="00E33C62">
      <w:pPr>
        <w:spacing w:after="0" w:line="240" w:lineRule="auto"/>
        <w:jc w:val="both"/>
        <w:rPr>
          <w:rFonts w:cs="Arial"/>
        </w:rPr>
      </w:pPr>
      <w:r w:rsidRPr="004550A3">
        <w:rPr>
          <w:rFonts w:cs="Arial"/>
        </w:rPr>
        <w:t xml:space="preserve">ZSRR-2 določa spodbudo za zaposlovanje na problemskem območju z visoko brezposelnostjo, ki jo ob določenih pogojih lahko uveljavljajo delodajalci, ki imajo sedež na območju programa in tu dejansko opravljajo ekonomsko aktivnost. Ker je spodbuda regionalno naravnana, je njen cilj spodbujanje zaposlovanja na območju, na katerem se je brezposelnost bistveno povečala. </w:t>
      </w:r>
    </w:p>
    <w:p w:rsidR="00E33C62" w:rsidRPr="004550A3" w:rsidRDefault="00E33C62" w:rsidP="00E33C62">
      <w:pPr>
        <w:pStyle w:val="HTML-oblikovano"/>
        <w:jc w:val="both"/>
        <w:rPr>
          <w:rFonts w:ascii="Calibri" w:hAnsi="Calibri" w:cs="Arial"/>
          <w:sz w:val="22"/>
          <w:szCs w:val="22"/>
          <w:lang w:val="sl-SI"/>
        </w:rPr>
      </w:pPr>
      <w:r w:rsidRPr="004550A3">
        <w:rPr>
          <w:rFonts w:ascii="Calibri" w:hAnsi="Calibri" w:cs="Arial"/>
          <w:sz w:val="22"/>
          <w:szCs w:val="22"/>
          <w:lang w:val="sl-SI"/>
        </w:rPr>
        <w:t>Povračilo plačanih prispevkov delodajalca za socialno varnost</w:t>
      </w:r>
      <w:r w:rsidRPr="004550A3" w:rsidDel="004E4A14">
        <w:rPr>
          <w:rFonts w:ascii="Calibri" w:hAnsi="Calibri" w:cs="Arial"/>
          <w:sz w:val="22"/>
          <w:szCs w:val="22"/>
          <w:lang w:val="sl-SI"/>
        </w:rPr>
        <w:t xml:space="preserve"> </w:t>
      </w:r>
      <w:r w:rsidRPr="004550A3">
        <w:rPr>
          <w:rFonts w:ascii="Calibri" w:hAnsi="Calibri" w:cs="Arial"/>
          <w:sz w:val="22"/>
          <w:szCs w:val="22"/>
          <w:lang w:val="sl-SI"/>
        </w:rPr>
        <w:t xml:space="preserve">se lahko uveljavlja za brezposelno osebo, ki: </w:t>
      </w:r>
    </w:p>
    <w:p w:rsidR="00E33C62" w:rsidRPr="004550A3" w:rsidRDefault="00E33C62" w:rsidP="0086498C">
      <w:pPr>
        <w:numPr>
          <w:ilvl w:val="0"/>
          <w:numId w:val="9"/>
        </w:numPr>
        <w:tabs>
          <w:tab w:val="clear" w:pos="690"/>
          <w:tab w:val="num" w:pos="360"/>
        </w:tabs>
        <w:spacing w:after="0" w:line="240" w:lineRule="auto"/>
        <w:ind w:left="360"/>
        <w:jc w:val="both"/>
        <w:rPr>
          <w:rFonts w:cs="Arial"/>
        </w:rPr>
      </w:pPr>
      <w:r w:rsidRPr="004550A3">
        <w:rPr>
          <w:rFonts w:cs="Arial"/>
        </w:rPr>
        <w:t xml:space="preserve">v preteklega pol leta ni imela redno plačane zaposlitve ali </w:t>
      </w:r>
    </w:p>
    <w:p w:rsidR="00E33C62" w:rsidRPr="004550A3" w:rsidRDefault="00E33C62" w:rsidP="0086498C">
      <w:pPr>
        <w:numPr>
          <w:ilvl w:val="0"/>
          <w:numId w:val="9"/>
        </w:numPr>
        <w:tabs>
          <w:tab w:val="clear" w:pos="690"/>
          <w:tab w:val="num" w:pos="360"/>
        </w:tabs>
        <w:spacing w:after="0" w:line="240" w:lineRule="auto"/>
        <w:ind w:left="360"/>
        <w:jc w:val="both"/>
        <w:rPr>
          <w:rFonts w:cs="Arial"/>
        </w:rPr>
      </w:pPr>
      <w:r w:rsidRPr="004550A3">
        <w:rPr>
          <w:rFonts w:cs="Arial"/>
        </w:rPr>
        <w:t>nima dokončane višje ali srednje stopnje izobrazbe ali poklicnega usposabljanja ali</w:t>
      </w:r>
    </w:p>
    <w:p w:rsidR="00E33C62" w:rsidRPr="004550A3" w:rsidRDefault="00E33C62" w:rsidP="0086498C">
      <w:pPr>
        <w:numPr>
          <w:ilvl w:val="0"/>
          <w:numId w:val="9"/>
        </w:numPr>
        <w:tabs>
          <w:tab w:val="clear" w:pos="690"/>
          <w:tab w:val="num" w:pos="360"/>
        </w:tabs>
        <w:spacing w:after="0" w:line="240" w:lineRule="auto"/>
        <w:ind w:left="360"/>
        <w:jc w:val="both"/>
        <w:rPr>
          <w:rFonts w:cs="Arial"/>
        </w:rPr>
      </w:pPr>
      <w:r w:rsidRPr="004550A3">
        <w:rPr>
          <w:rFonts w:cs="Arial"/>
        </w:rPr>
        <w:t xml:space="preserve">je starejša od 50 let ali </w:t>
      </w:r>
    </w:p>
    <w:p w:rsidR="00E33C62" w:rsidRPr="004550A3" w:rsidRDefault="00E33C62" w:rsidP="0086498C">
      <w:pPr>
        <w:numPr>
          <w:ilvl w:val="0"/>
          <w:numId w:val="9"/>
        </w:numPr>
        <w:tabs>
          <w:tab w:val="clear" w:pos="690"/>
          <w:tab w:val="num" w:pos="360"/>
        </w:tabs>
        <w:spacing w:after="0" w:line="240" w:lineRule="auto"/>
        <w:ind w:left="360"/>
        <w:jc w:val="both"/>
        <w:rPr>
          <w:rFonts w:cs="Arial"/>
        </w:rPr>
      </w:pPr>
      <w:r w:rsidRPr="004550A3">
        <w:rPr>
          <w:rFonts w:cs="Arial"/>
        </w:rPr>
        <w:t>je pripadnik etnične manjšine ali</w:t>
      </w:r>
    </w:p>
    <w:p w:rsidR="00E33C62" w:rsidRPr="004550A3" w:rsidRDefault="00E33C62" w:rsidP="0086498C">
      <w:pPr>
        <w:numPr>
          <w:ilvl w:val="0"/>
          <w:numId w:val="9"/>
        </w:numPr>
        <w:tabs>
          <w:tab w:val="clear" w:pos="690"/>
          <w:tab w:val="num" w:pos="360"/>
        </w:tabs>
        <w:spacing w:after="0" w:line="240" w:lineRule="auto"/>
        <w:ind w:left="360"/>
        <w:jc w:val="both"/>
        <w:rPr>
          <w:rFonts w:cs="Arial"/>
        </w:rPr>
      </w:pPr>
      <w:r w:rsidRPr="004550A3">
        <w:rPr>
          <w:rFonts w:cs="Arial"/>
        </w:rPr>
        <w:t>se šteje kot invalid v kvotnem sistemu zaposlovanja invalidov.</w:t>
      </w:r>
    </w:p>
    <w:p w:rsidR="00E33C62" w:rsidRPr="004550A3" w:rsidRDefault="00E33C62" w:rsidP="00E33C62">
      <w:pPr>
        <w:pStyle w:val="HTML-oblikovano"/>
        <w:jc w:val="both"/>
        <w:rPr>
          <w:rFonts w:ascii="Calibri" w:hAnsi="Calibri" w:cs="Arial"/>
          <w:sz w:val="22"/>
          <w:szCs w:val="22"/>
          <w:lang w:val="sl-SI"/>
        </w:rPr>
      </w:pPr>
    </w:p>
    <w:p w:rsidR="00E33C62" w:rsidRPr="004550A3" w:rsidRDefault="00E33C62" w:rsidP="00E33C62">
      <w:pPr>
        <w:pStyle w:val="HTML-oblikovano"/>
        <w:jc w:val="both"/>
        <w:rPr>
          <w:rFonts w:ascii="Calibri" w:hAnsi="Calibri" w:cs="Arial"/>
          <w:sz w:val="22"/>
          <w:szCs w:val="22"/>
          <w:lang w:val="sl-SI"/>
        </w:rPr>
      </w:pPr>
      <w:r w:rsidRPr="004550A3">
        <w:rPr>
          <w:rFonts w:ascii="Calibri" w:hAnsi="Calibri" w:cs="Arial"/>
          <w:sz w:val="22"/>
          <w:szCs w:val="22"/>
          <w:lang w:val="sl-SI"/>
        </w:rPr>
        <w:t xml:space="preserve">Delodajalcu, ki zaposli brezposelno osebo, se bodo za tega delavca za obdobje enega leta, kot enkratna pomoč, povrnili plačani prispevki delodajalca za socialno varnost. Delodajalcu, ki zaposli delavca invalida, se bodo za tega delavca povrnili plačani prispevki delodajalca za socialno varnost za celotno obdobje 2013–2018, ko je delavec zaposlen. </w:t>
      </w:r>
    </w:p>
    <w:p w:rsidR="00E33C62" w:rsidRDefault="00E33C62" w:rsidP="00E33C62">
      <w:pPr>
        <w:spacing w:after="0" w:line="240" w:lineRule="auto"/>
        <w:jc w:val="both"/>
        <w:rPr>
          <w:lang w:eastAsia="sl-SI"/>
        </w:rPr>
      </w:pPr>
    </w:p>
    <w:p w:rsidR="00E33C62" w:rsidRDefault="00E33C62" w:rsidP="00E33C62">
      <w:pPr>
        <w:spacing w:after="0" w:line="240" w:lineRule="auto"/>
        <w:jc w:val="both"/>
        <w:rPr>
          <w:lang w:eastAsia="sl-SI"/>
        </w:rPr>
      </w:pPr>
      <w:r w:rsidRPr="006855D7">
        <w:rPr>
          <w:u w:val="single"/>
          <w:lang w:eastAsia="sl-SI"/>
        </w:rPr>
        <w:t>Status: ukrep se izvaja</w:t>
      </w:r>
      <w:r>
        <w:rPr>
          <w:lang w:eastAsia="sl-SI"/>
        </w:rPr>
        <w:t>.</w:t>
      </w:r>
    </w:p>
    <w:p w:rsidR="00E33C62" w:rsidRDefault="00E33C62" w:rsidP="00E33C62">
      <w:pPr>
        <w:spacing w:after="0" w:line="240" w:lineRule="auto"/>
        <w:jc w:val="both"/>
        <w:rPr>
          <w:lang w:eastAsia="sl-SI"/>
        </w:rPr>
      </w:pPr>
    </w:p>
    <w:p w:rsidR="00E33C62" w:rsidRDefault="00E33C62" w:rsidP="00E33C62">
      <w:pPr>
        <w:spacing w:after="0" w:line="240" w:lineRule="auto"/>
        <w:jc w:val="both"/>
        <w:rPr>
          <w:lang w:eastAsia="sl-SI"/>
        </w:rPr>
      </w:pPr>
      <w:r>
        <w:rPr>
          <w:lang w:eastAsia="sl-SI"/>
        </w:rPr>
        <w:t>Glede na določilo, da se povračilo prispevkov uveljavlja za nazaj, v 30 dneh po izteku enega leta od sklenitve pogodbe o zaposlitvi brezposelne osebe iz ciljnih skupin, na Uradih za delo pričakujejo v naslednjih mesecih večje število vlog.</w:t>
      </w:r>
    </w:p>
    <w:p w:rsidR="00E33C62" w:rsidRDefault="00E33C62" w:rsidP="00E33C62">
      <w:pPr>
        <w:spacing w:after="0" w:line="240" w:lineRule="auto"/>
        <w:jc w:val="both"/>
        <w:rPr>
          <w:lang w:eastAsia="sl-SI"/>
        </w:rPr>
      </w:pPr>
    </w:p>
    <w:p w:rsidR="00E33C62" w:rsidRDefault="00E33C62" w:rsidP="00E33C62">
      <w:pPr>
        <w:spacing w:after="0" w:line="240" w:lineRule="auto"/>
        <w:jc w:val="both"/>
        <w:rPr>
          <w:lang w:eastAsia="sl-SI"/>
        </w:rPr>
      </w:pPr>
      <w:r>
        <w:rPr>
          <w:lang w:eastAsia="sl-SI"/>
        </w:rPr>
        <w:t xml:space="preserve">Do sedaj so le na OE Trbovlje prejeli </w:t>
      </w:r>
      <w:r w:rsidR="00D136F6">
        <w:rPr>
          <w:lang w:eastAsia="sl-SI"/>
        </w:rPr>
        <w:t>dve</w:t>
      </w:r>
      <w:r>
        <w:rPr>
          <w:lang w:eastAsia="sl-SI"/>
        </w:rPr>
        <w:t xml:space="preserve"> vlog</w:t>
      </w:r>
      <w:r w:rsidR="00D136F6">
        <w:rPr>
          <w:lang w:eastAsia="sl-SI"/>
        </w:rPr>
        <w:t>i</w:t>
      </w:r>
      <w:r>
        <w:rPr>
          <w:lang w:eastAsia="sl-SI"/>
        </w:rPr>
        <w:t>; delodajalec, samostojni podjetnik s sedežem v Trbovljah je z brezp</w:t>
      </w:r>
      <w:r w:rsidR="00D136F6">
        <w:rPr>
          <w:lang w:eastAsia="sl-SI"/>
        </w:rPr>
        <w:t xml:space="preserve">oselno osebo in ciljne skupine </w:t>
      </w:r>
      <w:r>
        <w:rPr>
          <w:lang w:eastAsia="sl-SI"/>
        </w:rPr>
        <w:t>sklenil pogodbo o zaposlitvi za nedoločen čas</w:t>
      </w:r>
      <w:r w:rsidR="00D136F6">
        <w:rPr>
          <w:lang w:eastAsia="sl-SI"/>
        </w:rPr>
        <w:t>, povračilo delodajalcu je bilo izplačano v novembru 2014, prav tako je delodajalec iz občine Hrastnik podal vlogo, izplačano povračilo je bilo izvedeno v začetku januarja 2015</w:t>
      </w:r>
      <w:r>
        <w:rPr>
          <w:lang w:eastAsia="sl-SI"/>
        </w:rPr>
        <w:t xml:space="preserve">. V OE Celje za občino Radeče niso dobili nobene vloge. </w:t>
      </w:r>
    </w:p>
    <w:p w:rsidR="00E33C62" w:rsidRDefault="00E33C62" w:rsidP="00E33C62">
      <w:pPr>
        <w:spacing w:after="0" w:line="240" w:lineRule="auto"/>
        <w:jc w:val="both"/>
        <w:rPr>
          <w:lang w:eastAsia="sl-SI"/>
        </w:rPr>
      </w:pPr>
    </w:p>
    <w:p w:rsidR="00E33C62" w:rsidRDefault="00E33C62" w:rsidP="00E33C62">
      <w:pPr>
        <w:spacing w:after="0" w:line="240" w:lineRule="auto"/>
        <w:jc w:val="both"/>
        <w:rPr>
          <w:lang w:eastAsia="sl-SI"/>
        </w:rPr>
      </w:pPr>
      <w:r>
        <w:rPr>
          <w:lang w:eastAsia="sl-SI"/>
        </w:rPr>
        <w:t>Informacije v zvezi z navedenim instrumentom so objavljene na spletnih straneh Zavoda RS za zaposlovanje, ki je tudi v sodelovanju s SPIZ in FURS pripravil informativno zgibanko o spodbudah za zaposlitev, ki se skladno z veljavnimi predpisi nanašajo na povračilo že izplačanih oz. oprostitev plačila prispevkov ter na davčne olajšave pri zaposlovanju brezposelnih. Informacije v zvezi z ukrepom dajeta tudi RRA Posavje in RCR Zagorje, ukrep pa je bil ponovno predstavljen tudi na predstavitvi dne 23.9.2014 v Radečah, kjer so ga predstavile predstavnice ZRSZ OE Celje in dne 21.10.2014 v Hrastniku, kjer ga je predstavila predstavnica ZRSZ OE Trbovlje.</w:t>
      </w:r>
    </w:p>
    <w:p w:rsidR="00E33C62" w:rsidRDefault="00E33C62" w:rsidP="00E33C62">
      <w:pPr>
        <w:spacing w:after="0" w:line="240" w:lineRule="auto"/>
        <w:jc w:val="both"/>
        <w:rPr>
          <w:lang w:eastAsia="sl-SI"/>
        </w:rPr>
      </w:pPr>
    </w:p>
    <w:p w:rsidR="00E33C62" w:rsidRDefault="00E33C62" w:rsidP="00E33C62">
      <w:pPr>
        <w:spacing w:after="0" w:line="240" w:lineRule="auto"/>
        <w:jc w:val="both"/>
        <w:rPr>
          <w:lang w:eastAsia="sl-SI"/>
        </w:rPr>
      </w:pPr>
    </w:p>
    <w:p w:rsidR="00E33C62" w:rsidRPr="00020648" w:rsidRDefault="00E33C62" w:rsidP="0086498C">
      <w:pPr>
        <w:pStyle w:val="Naslov2"/>
        <w:numPr>
          <w:ilvl w:val="1"/>
          <w:numId w:val="12"/>
        </w:numPr>
        <w:spacing w:before="0" w:after="0" w:line="240" w:lineRule="auto"/>
        <w:rPr>
          <w:sz w:val="24"/>
          <w:szCs w:val="24"/>
          <w:lang w:eastAsia="sl-SI"/>
        </w:rPr>
      </w:pPr>
      <w:r w:rsidRPr="00020648">
        <w:rPr>
          <w:sz w:val="24"/>
          <w:szCs w:val="24"/>
          <w:lang w:eastAsia="sl-SI"/>
        </w:rPr>
        <w:t xml:space="preserve">Ukrep 3: davčne olajšave za zaposlovanje in investiranje </w:t>
      </w:r>
    </w:p>
    <w:p w:rsidR="00E33C62" w:rsidRDefault="00E33C62" w:rsidP="00E33C62">
      <w:pPr>
        <w:spacing w:after="0" w:line="240" w:lineRule="auto"/>
        <w:rPr>
          <w:lang w:eastAsia="sl-SI"/>
        </w:rPr>
      </w:pPr>
    </w:p>
    <w:p w:rsidR="00E33C62" w:rsidRPr="004550A3" w:rsidRDefault="00E33C62" w:rsidP="00E33C62">
      <w:pPr>
        <w:spacing w:after="0" w:line="240" w:lineRule="auto"/>
        <w:jc w:val="both"/>
        <w:rPr>
          <w:rFonts w:cs="Arial"/>
        </w:rPr>
      </w:pPr>
      <w:r w:rsidRPr="00936F08">
        <w:rPr>
          <w:lang w:eastAsia="sl-SI"/>
        </w:rPr>
        <w:t xml:space="preserve">Ukrep 3: davčne olajšave za zaposlovanje in investiranje </w:t>
      </w:r>
      <w:r w:rsidRPr="00936F08">
        <w:rPr>
          <w:iCs/>
          <w:lang w:eastAsia="sl-SI"/>
        </w:rPr>
        <w:t xml:space="preserve">na podlagi 28. člena </w:t>
      </w:r>
      <w:r>
        <w:rPr>
          <w:rFonts w:cs="Arial"/>
          <w:bCs/>
        </w:rPr>
        <w:t>ZSRR-2</w:t>
      </w:r>
      <w:r w:rsidRPr="00936F08">
        <w:rPr>
          <w:iCs/>
          <w:lang w:eastAsia="sl-SI"/>
        </w:rPr>
        <w:t>, izvedba je v pristojnosti  (sedanje) Fina</w:t>
      </w:r>
      <w:r>
        <w:rPr>
          <w:iCs/>
          <w:lang w:eastAsia="sl-SI"/>
        </w:rPr>
        <w:t>nčne uprave Republike Slovenije. Navedeni člen</w:t>
      </w:r>
      <w:r w:rsidRPr="004550A3">
        <w:rPr>
          <w:rFonts w:cs="Arial"/>
        </w:rPr>
        <w:t xml:space="preserve"> določa davčne olajšave za zaposlovanje in investiranje na problemskem območju z visoko brezposelnostjo, ki jih ob določenih pogojih lahko uveljavljajo  delodajalci, ki so zavezanci za obračun davka od dohodkov iz dejavnosti oz. obračun davka od dohodkov pravnih oseb ter imajo sedež na območju programa in tu dejansko opravljajo ekonomsko aktivnost. Ker je spodbuda regionalno naravnana, je njen cilj spodbujanje zaposlovanja in investiranja na območju, na katerem se je brezposelnost bistveno povečala. </w:t>
      </w:r>
    </w:p>
    <w:p w:rsidR="00E33C62" w:rsidRDefault="00E33C62" w:rsidP="00E33C62">
      <w:pPr>
        <w:spacing w:after="0" w:line="240" w:lineRule="auto"/>
        <w:jc w:val="both"/>
        <w:rPr>
          <w:u w:val="single"/>
          <w:lang w:eastAsia="sl-SI"/>
        </w:rPr>
      </w:pPr>
    </w:p>
    <w:p w:rsidR="00E33C62" w:rsidRPr="006855D7" w:rsidRDefault="00E33C62" w:rsidP="00E33C62">
      <w:pPr>
        <w:spacing w:after="0" w:line="240" w:lineRule="auto"/>
        <w:jc w:val="both"/>
        <w:rPr>
          <w:u w:val="single"/>
          <w:lang w:eastAsia="sl-SI"/>
        </w:rPr>
      </w:pPr>
      <w:r w:rsidRPr="006855D7">
        <w:rPr>
          <w:u w:val="single"/>
          <w:lang w:eastAsia="sl-SI"/>
        </w:rPr>
        <w:lastRenderedPageBreak/>
        <w:t>Status: ukrep se izvaja</w:t>
      </w:r>
      <w:r>
        <w:rPr>
          <w:u w:val="single"/>
          <w:lang w:eastAsia="sl-SI"/>
        </w:rPr>
        <w:t>.</w:t>
      </w:r>
    </w:p>
    <w:p w:rsidR="00E33C62" w:rsidRPr="004550A3" w:rsidRDefault="00E33C62" w:rsidP="00E33C62">
      <w:pPr>
        <w:spacing w:after="0" w:line="240" w:lineRule="auto"/>
        <w:jc w:val="both"/>
        <w:rPr>
          <w:rFonts w:cs="Arial"/>
        </w:rPr>
      </w:pPr>
    </w:p>
    <w:p w:rsidR="00E33C62" w:rsidRPr="004550A3" w:rsidRDefault="00E33C62" w:rsidP="00E33C62">
      <w:pPr>
        <w:spacing w:after="0" w:line="240" w:lineRule="auto"/>
        <w:jc w:val="both"/>
        <w:rPr>
          <w:rFonts w:cs="Arial"/>
        </w:rPr>
      </w:pPr>
    </w:p>
    <w:p w:rsidR="00E33C62" w:rsidRPr="00020648" w:rsidRDefault="00E33C62" w:rsidP="0086498C">
      <w:pPr>
        <w:pStyle w:val="Naslov3"/>
        <w:numPr>
          <w:ilvl w:val="2"/>
          <w:numId w:val="12"/>
        </w:numPr>
        <w:spacing w:before="0" w:after="0" w:line="240" w:lineRule="auto"/>
        <w:rPr>
          <w:sz w:val="22"/>
          <w:szCs w:val="22"/>
        </w:rPr>
      </w:pPr>
      <w:r w:rsidRPr="00020648">
        <w:rPr>
          <w:sz w:val="22"/>
          <w:szCs w:val="22"/>
        </w:rPr>
        <w:t>Davčna olajšava za zaposlovanje</w:t>
      </w:r>
    </w:p>
    <w:p w:rsidR="00E33C62" w:rsidRPr="004550A3" w:rsidRDefault="00E33C62" w:rsidP="00E33C62">
      <w:pPr>
        <w:pStyle w:val="HTML-oblikovano"/>
        <w:jc w:val="both"/>
        <w:rPr>
          <w:rFonts w:ascii="Calibri" w:hAnsi="Calibri" w:cs="Arial"/>
          <w:sz w:val="22"/>
          <w:szCs w:val="22"/>
          <w:lang w:val="sl-SI"/>
        </w:rPr>
      </w:pPr>
    </w:p>
    <w:p w:rsidR="00E33C62" w:rsidRPr="004550A3" w:rsidRDefault="00E33C62" w:rsidP="00E33C62">
      <w:pPr>
        <w:pStyle w:val="HTML-oblikovano"/>
        <w:jc w:val="both"/>
        <w:rPr>
          <w:rFonts w:ascii="Calibri" w:hAnsi="Calibri" w:cs="Arial"/>
          <w:sz w:val="22"/>
          <w:szCs w:val="22"/>
          <w:lang w:val="sl-SI"/>
        </w:rPr>
      </w:pPr>
      <w:r w:rsidRPr="004550A3">
        <w:rPr>
          <w:rFonts w:ascii="Calibri" w:hAnsi="Calibri" w:cs="Arial"/>
          <w:sz w:val="22"/>
          <w:szCs w:val="22"/>
          <w:lang w:val="sl-SI"/>
        </w:rPr>
        <w:t xml:space="preserve">Davčno olajšavo za zaposlovanje (2. odstavek 28. člena ZSRR-2) lahko uveljavljajo zavezanci, </w:t>
      </w:r>
      <w:r w:rsidRPr="00FE26DE">
        <w:rPr>
          <w:rFonts w:ascii="Calibri" w:hAnsi="Calibri" w:cs="Arial"/>
          <w:sz w:val="22"/>
          <w:szCs w:val="22"/>
        </w:rPr>
        <w:t>za obračun davka od dohodkov iz dejavnosti oz. obračuna davka od dohodkov pravnih oseb</w:t>
      </w:r>
      <w:r w:rsidRPr="00FE26DE">
        <w:rPr>
          <w:rFonts w:ascii="Calibri" w:hAnsi="Calibri" w:cs="Arial"/>
          <w:sz w:val="22"/>
          <w:szCs w:val="22"/>
          <w:lang w:val="sl-SI"/>
        </w:rPr>
        <w:t>,</w:t>
      </w:r>
      <w:r w:rsidRPr="004550A3">
        <w:rPr>
          <w:rFonts w:ascii="Calibri" w:hAnsi="Calibri" w:cs="Arial"/>
          <w:sz w:val="22"/>
          <w:szCs w:val="22"/>
          <w:lang w:val="sl-SI"/>
        </w:rPr>
        <w:t xml:space="preserve"> za 70% stroškov; bruto plača in obvezni prispevki delodajalca za socialno varnost. </w:t>
      </w:r>
    </w:p>
    <w:p w:rsidR="00E33C62" w:rsidRDefault="00E33C62" w:rsidP="00E33C62">
      <w:pPr>
        <w:spacing w:after="0" w:line="240" w:lineRule="auto"/>
        <w:jc w:val="both"/>
        <w:rPr>
          <w:lang w:eastAsia="sl-SI"/>
        </w:rPr>
      </w:pPr>
    </w:p>
    <w:p w:rsidR="00812BDC" w:rsidRPr="00180CB8" w:rsidRDefault="00812BDC" w:rsidP="00E33C62">
      <w:pPr>
        <w:spacing w:after="0" w:line="240" w:lineRule="auto"/>
        <w:jc w:val="both"/>
        <w:rPr>
          <w:b/>
          <w:lang w:eastAsia="sl-SI"/>
        </w:rPr>
      </w:pPr>
      <w:r w:rsidRPr="00180CB8">
        <w:rPr>
          <w:b/>
          <w:lang w:eastAsia="sl-SI"/>
        </w:rPr>
        <w:t>Tabela</w:t>
      </w:r>
      <w:r w:rsidR="00F219AD" w:rsidRPr="00180CB8">
        <w:rPr>
          <w:b/>
          <w:lang w:eastAsia="sl-SI"/>
        </w:rPr>
        <w:t xml:space="preserve"> 5</w:t>
      </w:r>
      <w:r w:rsidRPr="00180CB8">
        <w:rPr>
          <w:b/>
          <w:lang w:eastAsia="sl-SI"/>
        </w:rPr>
        <w:t xml:space="preserve">: Olajšava za zaposlovanje po  drugem odstavku 28. </w:t>
      </w:r>
      <w:r w:rsidR="00A548F9">
        <w:rPr>
          <w:b/>
          <w:lang w:eastAsia="sl-SI"/>
        </w:rPr>
        <w:t>č</w:t>
      </w:r>
      <w:r w:rsidRPr="00180CB8">
        <w:rPr>
          <w:b/>
          <w:lang w:eastAsia="sl-SI"/>
        </w:rPr>
        <w:t>lena  ZSRR-2 za leto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316"/>
        <w:gridCol w:w="1316"/>
        <w:gridCol w:w="1316"/>
        <w:gridCol w:w="1316"/>
        <w:gridCol w:w="1316"/>
        <w:gridCol w:w="1316"/>
      </w:tblGrid>
      <w:tr w:rsidR="00E034A9" w:rsidRPr="0072380C" w:rsidTr="0072380C">
        <w:tc>
          <w:tcPr>
            <w:tcW w:w="1316" w:type="dxa"/>
            <w:shd w:val="clear" w:color="auto" w:fill="auto"/>
          </w:tcPr>
          <w:p w:rsidR="00E034A9" w:rsidRPr="0072380C" w:rsidRDefault="00E034A9" w:rsidP="0072380C">
            <w:pPr>
              <w:spacing w:after="0" w:line="240" w:lineRule="auto"/>
              <w:jc w:val="center"/>
              <w:rPr>
                <w:sz w:val="20"/>
                <w:lang w:eastAsia="sl-SI"/>
              </w:rPr>
            </w:pPr>
          </w:p>
        </w:tc>
        <w:tc>
          <w:tcPr>
            <w:tcW w:w="2632" w:type="dxa"/>
            <w:gridSpan w:val="2"/>
            <w:shd w:val="clear" w:color="auto" w:fill="auto"/>
          </w:tcPr>
          <w:p w:rsidR="00E034A9" w:rsidRPr="0072380C" w:rsidRDefault="00E034A9" w:rsidP="0072380C">
            <w:pPr>
              <w:spacing w:after="0" w:line="240" w:lineRule="auto"/>
              <w:jc w:val="center"/>
              <w:rPr>
                <w:sz w:val="20"/>
                <w:lang w:eastAsia="sl-SI"/>
              </w:rPr>
            </w:pPr>
            <w:r w:rsidRPr="0072380C">
              <w:rPr>
                <w:sz w:val="20"/>
                <w:lang w:eastAsia="sl-SI"/>
              </w:rPr>
              <w:t>Pravne osebe (obr DDPO)</w:t>
            </w:r>
          </w:p>
        </w:tc>
        <w:tc>
          <w:tcPr>
            <w:tcW w:w="2632" w:type="dxa"/>
            <w:gridSpan w:val="2"/>
            <w:shd w:val="clear" w:color="auto" w:fill="auto"/>
          </w:tcPr>
          <w:p w:rsidR="00E034A9" w:rsidRPr="0072380C" w:rsidRDefault="00E034A9" w:rsidP="0072380C">
            <w:pPr>
              <w:spacing w:after="0" w:line="240" w:lineRule="auto"/>
              <w:jc w:val="center"/>
              <w:rPr>
                <w:sz w:val="20"/>
                <w:lang w:eastAsia="sl-SI"/>
              </w:rPr>
            </w:pPr>
            <w:r w:rsidRPr="0072380C">
              <w:rPr>
                <w:sz w:val="20"/>
                <w:lang w:eastAsia="sl-SI"/>
              </w:rPr>
              <w:t>Fizične osebe, ki opravljajo dejavnost (obr. DOHDEJ)</w:t>
            </w:r>
          </w:p>
        </w:tc>
        <w:tc>
          <w:tcPr>
            <w:tcW w:w="2632" w:type="dxa"/>
            <w:gridSpan w:val="2"/>
            <w:shd w:val="clear" w:color="auto" w:fill="auto"/>
          </w:tcPr>
          <w:p w:rsidR="00E034A9" w:rsidRPr="0072380C" w:rsidRDefault="00E034A9" w:rsidP="0072380C">
            <w:pPr>
              <w:spacing w:after="0" w:line="240" w:lineRule="auto"/>
              <w:jc w:val="center"/>
              <w:rPr>
                <w:sz w:val="20"/>
                <w:lang w:eastAsia="sl-SI"/>
              </w:rPr>
            </w:pPr>
            <w:r w:rsidRPr="0072380C">
              <w:rPr>
                <w:sz w:val="20"/>
                <w:lang w:eastAsia="sl-SI"/>
              </w:rPr>
              <w:t>Skupaj (obr. DDPO in DOHDEJ)</w:t>
            </w:r>
          </w:p>
        </w:tc>
      </w:tr>
      <w:tr w:rsidR="00812BDC" w:rsidRPr="0072380C" w:rsidTr="0072380C">
        <w:tc>
          <w:tcPr>
            <w:tcW w:w="1316" w:type="dxa"/>
            <w:shd w:val="clear" w:color="auto" w:fill="auto"/>
          </w:tcPr>
          <w:p w:rsidR="00812BDC" w:rsidRPr="0072380C" w:rsidRDefault="00812BDC" w:rsidP="0072380C">
            <w:pPr>
              <w:spacing w:after="0" w:line="240" w:lineRule="auto"/>
              <w:jc w:val="center"/>
              <w:rPr>
                <w:sz w:val="20"/>
                <w:lang w:eastAsia="sl-SI"/>
              </w:rPr>
            </w:pPr>
          </w:p>
        </w:tc>
        <w:tc>
          <w:tcPr>
            <w:tcW w:w="1316" w:type="dxa"/>
            <w:shd w:val="clear" w:color="auto" w:fill="auto"/>
          </w:tcPr>
          <w:p w:rsidR="00812BDC" w:rsidRPr="0072380C" w:rsidRDefault="00812BDC" w:rsidP="0072380C">
            <w:pPr>
              <w:spacing w:after="0" w:line="240" w:lineRule="auto"/>
              <w:jc w:val="center"/>
              <w:rPr>
                <w:sz w:val="20"/>
                <w:lang w:eastAsia="sl-SI"/>
              </w:rPr>
            </w:pPr>
            <w:r w:rsidRPr="0072380C">
              <w:rPr>
                <w:sz w:val="20"/>
                <w:lang w:eastAsia="sl-SI"/>
              </w:rPr>
              <w:t>Število zavezancev, ki je koristilo olajšavo</w:t>
            </w:r>
          </w:p>
        </w:tc>
        <w:tc>
          <w:tcPr>
            <w:tcW w:w="1316" w:type="dxa"/>
            <w:shd w:val="clear" w:color="auto" w:fill="auto"/>
          </w:tcPr>
          <w:p w:rsidR="00812BDC" w:rsidRPr="0072380C" w:rsidRDefault="00812BDC" w:rsidP="0072380C">
            <w:pPr>
              <w:spacing w:after="0" w:line="240" w:lineRule="auto"/>
              <w:jc w:val="center"/>
              <w:rPr>
                <w:sz w:val="20"/>
                <w:lang w:eastAsia="sl-SI"/>
              </w:rPr>
            </w:pPr>
            <w:r w:rsidRPr="0072380C">
              <w:rPr>
                <w:sz w:val="20"/>
                <w:lang w:eastAsia="sl-SI"/>
              </w:rPr>
              <w:t>Skupni znesek koriščenja olajšave (v EUR)</w:t>
            </w:r>
          </w:p>
        </w:tc>
        <w:tc>
          <w:tcPr>
            <w:tcW w:w="1316" w:type="dxa"/>
            <w:shd w:val="clear" w:color="auto" w:fill="auto"/>
          </w:tcPr>
          <w:p w:rsidR="00812BDC" w:rsidRPr="0072380C" w:rsidRDefault="00812BDC" w:rsidP="0072380C">
            <w:pPr>
              <w:spacing w:after="0" w:line="240" w:lineRule="auto"/>
              <w:jc w:val="center"/>
              <w:rPr>
                <w:sz w:val="20"/>
                <w:lang w:eastAsia="sl-SI"/>
              </w:rPr>
            </w:pPr>
            <w:r w:rsidRPr="0072380C">
              <w:rPr>
                <w:sz w:val="20"/>
                <w:lang w:eastAsia="sl-SI"/>
              </w:rPr>
              <w:t>Število zavezancev, ki je koristilo olajšavo</w:t>
            </w:r>
          </w:p>
        </w:tc>
        <w:tc>
          <w:tcPr>
            <w:tcW w:w="1316" w:type="dxa"/>
            <w:shd w:val="clear" w:color="auto" w:fill="auto"/>
          </w:tcPr>
          <w:p w:rsidR="00812BDC" w:rsidRPr="0072380C" w:rsidRDefault="00812BDC" w:rsidP="0072380C">
            <w:pPr>
              <w:spacing w:after="0" w:line="240" w:lineRule="auto"/>
              <w:jc w:val="center"/>
              <w:rPr>
                <w:sz w:val="20"/>
                <w:lang w:eastAsia="sl-SI"/>
              </w:rPr>
            </w:pPr>
            <w:r w:rsidRPr="0072380C">
              <w:rPr>
                <w:sz w:val="20"/>
                <w:lang w:eastAsia="sl-SI"/>
              </w:rPr>
              <w:t>Skupni znesek koriščenja olajšave (v EUR)</w:t>
            </w:r>
          </w:p>
        </w:tc>
        <w:tc>
          <w:tcPr>
            <w:tcW w:w="1316" w:type="dxa"/>
            <w:shd w:val="clear" w:color="auto" w:fill="auto"/>
          </w:tcPr>
          <w:p w:rsidR="00812BDC" w:rsidRPr="0072380C" w:rsidRDefault="00812BDC" w:rsidP="0072380C">
            <w:pPr>
              <w:spacing w:after="0" w:line="240" w:lineRule="auto"/>
              <w:jc w:val="center"/>
              <w:rPr>
                <w:sz w:val="20"/>
                <w:lang w:eastAsia="sl-SI"/>
              </w:rPr>
            </w:pPr>
            <w:r w:rsidRPr="0072380C">
              <w:rPr>
                <w:sz w:val="20"/>
                <w:lang w:eastAsia="sl-SI"/>
              </w:rPr>
              <w:t>Število zavezancev, ki je koristilo olajšavo</w:t>
            </w:r>
          </w:p>
        </w:tc>
        <w:tc>
          <w:tcPr>
            <w:tcW w:w="1316" w:type="dxa"/>
            <w:shd w:val="clear" w:color="auto" w:fill="auto"/>
          </w:tcPr>
          <w:p w:rsidR="00812BDC" w:rsidRPr="0072380C" w:rsidRDefault="00812BDC" w:rsidP="0072380C">
            <w:pPr>
              <w:spacing w:after="0" w:line="240" w:lineRule="auto"/>
              <w:jc w:val="center"/>
              <w:rPr>
                <w:sz w:val="20"/>
                <w:lang w:eastAsia="sl-SI"/>
              </w:rPr>
            </w:pPr>
            <w:r w:rsidRPr="0072380C">
              <w:rPr>
                <w:sz w:val="20"/>
                <w:lang w:eastAsia="sl-SI"/>
              </w:rPr>
              <w:t>Skupni znesek koriščenja olajšave (v EUR)</w:t>
            </w:r>
          </w:p>
        </w:tc>
      </w:tr>
      <w:tr w:rsidR="00E034A9" w:rsidRPr="0072380C" w:rsidTr="0072380C">
        <w:tc>
          <w:tcPr>
            <w:tcW w:w="1316" w:type="dxa"/>
            <w:shd w:val="clear" w:color="auto" w:fill="auto"/>
          </w:tcPr>
          <w:p w:rsidR="00E034A9" w:rsidRPr="0072380C" w:rsidRDefault="00E034A9" w:rsidP="0072380C">
            <w:pPr>
              <w:spacing w:after="0" w:line="240" w:lineRule="auto"/>
              <w:jc w:val="both"/>
              <w:rPr>
                <w:sz w:val="20"/>
                <w:lang w:eastAsia="sl-SI"/>
              </w:rPr>
            </w:pPr>
            <w:r w:rsidRPr="0072380C">
              <w:rPr>
                <w:sz w:val="20"/>
                <w:lang w:eastAsia="sl-SI"/>
              </w:rPr>
              <w:t>Problemsko območje Hrastnik, Radeče, Trbovlje</w:t>
            </w:r>
          </w:p>
        </w:tc>
        <w:tc>
          <w:tcPr>
            <w:tcW w:w="1316" w:type="dxa"/>
            <w:shd w:val="clear" w:color="auto" w:fill="auto"/>
            <w:vAlign w:val="bottom"/>
          </w:tcPr>
          <w:p w:rsidR="00E034A9" w:rsidRPr="0072380C" w:rsidRDefault="00812BDC" w:rsidP="0072380C">
            <w:pPr>
              <w:spacing w:after="0" w:line="240" w:lineRule="auto"/>
              <w:jc w:val="right"/>
              <w:rPr>
                <w:sz w:val="20"/>
                <w:lang w:eastAsia="sl-SI"/>
              </w:rPr>
            </w:pPr>
            <w:r w:rsidRPr="0072380C">
              <w:rPr>
                <w:sz w:val="20"/>
                <w:lang w:eastAsia="sl-SI"/>
              </w:rPr>
              <w:t>8</w:t>
            </w:r>
          </w:p>
        </w:tc>
        <w:tc>
          <w:tcPr>
            <w:tcW w:w="1316" w:type="dxa"/>
            <w:shd w:val="clear" w:color="auto" w:fill="auto"/>
            <w:vAlign w:val="bottom"/>
          </w:tcPr>
          <w:p w:rsidR="00E034A9" w:rsidRPr="0072380C" w:rsidRDefault="00812BDC" w:rsidP="0072380C">
            <w:pPr>
              <w:spacing w:after="0" w:line="240" w:lineRule="auto"/>
              <w:jc w:val="right"/>
              <w:rPr>
                <w:sz w:val="20"/>
                <w:lang w:eastAsia="sl-SI"/>
              </w:rPr>
            </w:pPr>
            <w:r w:rsidRPr="0072380C">
              <w:rPr>
                <w:sz w:val="20"/>
                <w:lang w:eastAsia="sl-SI"/>
              </w:rPr>
              <w:t>35.445</w:t>
            </w:r>
          </w:p>
        </w:tc>
        <w:tc>
          <w:tcPr>
            <w:tcW w:w="1316" w:type="dxa"/>
            <w:shd w:val="clear" w:color="auto" w:fill="auto"/>
            <w:vAlign w:val="bottom"/>
          </w:tcPr>
          <w:p w:rsidR="00E034A9" w:rsidRPr="0072380C" w:rsidRDefault="00812BDC" w:rsidP="0072380C">
            <w:pPr>
              <w:spacing w:after="0" w:line="240" w:lineRule="auto"/>
              <w:jc w:val="right"/>
              <w:rPr>
                <w:sz w:val="20"/>
                <w:lang w:eastAsia="sl-SI"/>
              </w:rPr>
            </w:pPr>
            <w:r w:rsidRPr="0072380C">
              <w:rPr>
                <w:sz w:val="20"/>
                <w:lang w:eastAsia="sl-SI"/>
              </w:rPr>
              <w:t>3</w:t>
            </w:r>
          </w:p>
        </w:tc>
        <w:tc>
          <w:tcPr>
            <w:tcW w:w="1316" w:type="dxa"/>
            <w:shd w:val="clear" w:color="auto" w:fill="auto"/>
            <w:vAlign w:val="bottom"/>
          </w:tcPr>
          <w:p w:rsidR="00E034A9" w:rsidRPr="0072380C" w:rsidRDefault="00812BDC" w:rsidP="0072380C">
            <w:pPr>
              <w:spacing w:after="0" w:line="240" w:lineRule="auto"/>
              <w:jc w:val="right"/>
              <w:rPr>
                <w:sz w:val="20"/>
                <w:lang w:eastAsia="sl-SI"/>
              </w:rPr>
            </w:pPr>
            <w:r w:rsidRPr="0072380C">
              <w:rPr>
                <w:sz w:val="20"/>
                <w:lang w:eastAsia="sl-SI"/>
              </w:rPr>
              <w:t>15.266</w:t>
            </w:r>
          </w:p>
        </w:tc>
        <w:tc>
          <w:tcPr>
            <w:tcW w:w="1316" w:type="dxa"/>
            <w:shd w:val="clear" w:color="auto" w:fill="auto"/>
            <w:vAlign w:val="bottom"/>
          </w:tcPr>
          <w:p w:rsidR="00E034A9" w:rsidRPr="0072380C" w:rsidRDefault="00812BDC" w:rsidP="0072380C">
            <w:pPr>
              <w:spacing w:after="0" w:line="240" w:lineRule="auto"/>
              <w:jc w:val="right"/>
              <w:rPr>
                <w:sz w:val="20"/>
                <w:lang w:eastAsia="sl-SI"/>
              </w:rPr>
            </w:pPr>
            <w:r w:rsidRPr="0072380C">
              <w:rPr>
                <w:sz w:val="20"/>
                <w:lang w:eastAsia="sl-SI"/>
              </w:rPr>
              <w:t>11</w:t>
            </w:r>
          </w:p>
        </w:tc>
        <w:tc>
          <w:tcPr>
            <w:tcW w:w="1316" w:type="dxa"/>
            <w:shd w:val="clear" w:color="auto" w:fill="auto"/>
            <w:vAlign w:val="bottom"/>
          </w:tcPr>
          <w:p w:rsidR="00E034A9" w:rsidRPr="0072380C" w:rsidRDefault="00812BDC" w:rsidP="0072380C">
            <w:pPr>
              <w:spacing w:after="0" w:line="240" w:lineRule="auto"/>
              <w:jc w:val="right"/>
              <w:rPr>
                <w:sz w:val="20"/>
                <w:lang w:eastAsia="sl-SI"/>
              </w:rPr>
            </w:pPr>
            <w:r w:rsidRPr="0072380C">
              <w:rPr>
                <w:sz w:val="20"/>
                <w:lang w:eastAsia="sl-SI"/>
              </w:rPr>
              <w:t>50.711</w:t>
            </w:r>
          </w:p>
        </w:tc>
      </w:tr>
    </w:tbl>
    <w:p w:rsidR="00E034A9" w:rsidRDefault="00F36E70" w:rsidP="00E33C62">
      <w:pPr>
        <w:spacing w:after="0" w:line="240" w:lineRule="auto"/>
        <w:jc w:val="both"/>
        <w:rPr>
          <w:lang w:eastAsia="sl-SI"/>
        </w:rPr>
      </w:pPr>
      <w:r>
        <w:rPr>
          <w:lang w:eastAsia="sl-SI"/>
        </w:rPr>
        <w:t>Vir: FURS- Preliminarni podatki iz obr. DDPO in DOHDEJ za leto 2014, stanje 15.4.2015</w:t>
      </w:r>
    </w:p>
    <w:p w:rsidR="00E33C62" w:rsidRDefault="00E33C62" w:rsidP="00E33C62">
      <w:pPr>
        <w:spacing w:after="0" w:line="240" w:lineRule="auto"/>
        <w:jc w:val="both"/>
        <w:rPr>
          <w:lang w:eastAsia="sl-SI"/>
        </w:rPr>
      </w:pPr>
    </w:p>
    <w:p w:rsidR="00E33C62" w:rsidRDefault="00E33C62" w:rsidP="00E33C62">
      <w:pPr>
        <w:spacing w:after="0" w:line="240" w:lineRule="auto"/>
        <w:jc w:val="both"/>
        <w:rPr>
          <w:lang w:eastAsia="sl-SI"/>
        </w:rPr>
      </w:pPr>
    </w:p>
    <w:p w:rsidR="00E33C62" w:rsidRPr="00020648" w:rsidRDefault="00E33C62" w:rsidP="0086498C">
      <w:pPr>
        <w:pStyle w:val="Naslov3"/>
        <w:numPr>
          <w:ilvl w:val="2"/>
          <w:numId w:val="12"/>
        </w:numPr>
        <w:spacing w:before="0" w:after="0" w:line="240" w:lineRule="auto"/>
        <w:rPr>
          <w:sz w:val="22"/>
          <w:szCs w:val="22"/>
          <w:lang w:eastAsia="sl-SI"/>
        </w:rPr>
      </w:pPr>
      <w:r w:rsidRPr="00020648">
        <w:rPr>
          <w:sz w:val="22"/>
          <w:szCs w:val="22"/>
          <w:lang w:eastAsia="sl-SI"/>
        </w:rPr>
        <w:t>Davčna olajšava za investiranje</w:t>
      </w:r>
    </w:p>
    <w:p w:rsidR="00E33C62" w:rsidRDefault="00E33C62" w:rsidP="00E33C62">
      <w:pPr>
        <w:spacing w:after="0" w:line="240" w:lineRule="auto"/>
        <w:jc w:val="both"/>
        <w:rPr>
          <w:lang w:eastAsia="sl-SI"/>
        </w:rPr>
      </w:pPr>
    </w:p>
    <w:p w:rsidR="00E33C62" w:rsidRPr="00FE26DE" w:rsidRDefault="00E33C62" w:rsidP="00E33C62">
      <w:pPr>
        <w:spacing w:after="0" w:line="240" w:lineRule="auto"/>
        <w:jc w:val="both"/>
        <w:rPr>
          <w:lang w:eastAsia="sl-SI"/>
        </w:rPr>
      </w:pPr>
      <w:r>
        <w:rPr>
          <w:lang w:eastAsia="sl-SI"/>
        </w:rPr>
        <w:t xml:space="preserve">Davčno olajšavo za investiranje (5. odstavek 28. člena ZSRR-2) lahko uveljavljajo zavezanci, </w:t>
      </w:r>
      <w:r w:rsidRPr="00FE26DE">
        <w:rPr>
          <w:rFonts w:cs="Arial"/>
        </w:rPr>
        <w:t>za obračun davka od dohodkov iz dejavnosti oz. obračuna davka od dohodkov pravnih oseb</w:t>
      </w:r>
      <w:r>
        <w:rPr>
          <w:rFonts w:cs="Arial"/>
        </w:rPr>
        <w:t xml:space="preserve">, </w:t>
      </w:r>
      <w:r>
        <w:rPr>
          <w:lang w:eastAsia="sl-SI"/>
        </w:rPr>
        <w:t xml:space="preserve"> v</w:t>
      </w:r>
      <w:r>
        <w:rPr>
          <w:lang w:val="x-none"/>
        </w:rPr>
        <w:t xml:space="preserve"> višini 70</w:t>
      </w:r>
      <w:r>
        <w:t>%</w:t>
      </w:r>
      <w:r>
        <w:rPr>
          <w:lang w:val="x-none"/>
        </w:rPr>
        <w:t xml:space="preserve"> investiranega zneska za nove začetne investicije v opremo in neopredmetena sredstva</w:t>
      </w:r>
      <w:r>
        <w:t xml:space="preserve">. </w:t>
      </w:r>
    </w:p>
    <w:p w:rsidR="00E33C62" w:rsidRDefault="00E33C62" w:rsidP="00E33C62">
      <w:pPr>
        <w:spacing w:after="0" w:line="240" w:lineRule="auto"/>
        <w:jc w:val="both"/>
        <w:rPr>
          <w:lang w:eastAsia="sl-SI"/>
        </w:rPr>
      </w:pPr>
    </w:p>
    <w:p w:rsidR="00DB3F44" w:rsidRPr="00180CB8" w:rsidRDefault="00DB3F44" w:rsidP="00DB3F44">
      <w:pPr>
        <w:spacing w:after="0" w:line="240" w:lineRule="auto"/>
        <w:jc w:val="both"/>
        <w:rPr>
          <w:b/>
          <w:lang w:eastAsia="sl-SI"/>
        </w:rPr>
      </w:pPr>
      <w:r w:rsidRPr="00180CB8">
        <w:rPr>
          <w:b/>
          <w:lang w:eastAsia="sl-SI"/>
        </w:rPr>
        <w:t>Tabela</w:t>
      </w:r>
      <w:r w:rsidR="00F219AD" w:rsidRPr="00180CB8">
        <w:rPr>
          <w:b/>
          <w:lang w:eastAsia="sl-SI"/>
        </w:rPr>
        <w:t xml:space="preserve"> 6</w:t>
      </w:r>
      <w:r w:rsidRPr="00180CB8">
        <w:rPr>
          <w:b/>
          <w:lang w:eastAsia="sl-SI"/>
        </w:rPr>
        <w:t xml:space="preserve">: Olajšava za </w:t>
      </w:r>
      <w:r w:rsidR="000C5F49">
        <w:rPr>
          <w:b/>
          <w:lang w:eastAsia="sl-SI"/>
        </w:rPr>
        <w:t>investiranje</w:t>
      </w:r>
      <w:r w:rsidRPr="00180CB8">
        <w:rPr>
          <w:b/>
          <w:lang w:eastAsia="sl-SI"/>
        </w:rPr>
        <w:t xml:space="preserve"> po  petem odstavku 28. </w:t>
      </w:r>
      <w:r w:rsidR="00A548F9">
        <w:rPr>
          <w:b/>
          <w:lang w:eastAsia="sl-SI"/>
        </w:rPr>
        <w:t>č</w:t>
      </w:r>
      <w:r w:rsidRPr="00180CB8">
        <w:rPr>
          <w:b/>
          <w:lang w:eastAsia="sl-SI"/>
        </w:rPr>
        <w:t>lena  ZSRR-2 za leto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316"/>
        <w:gridCol w:w="1316"/>
        <w:gridCol w:w="1316"/>
        <w:gridCol w:w="1316"/>
        <w:gridCol w:w="1316"/>
        <w:gridCol w:w="1316"/>
      </w:tblGrid>
      <w:tr w:rsidR="00DB3F44" w:rsidRPr="0072380C" w:rsidTr="0072380C">
        <w:tc>
          <w:tcPr>
            <w:tcW w:w="1316" w:type="dxa"/>
            <w:shd w:val="clear" w:color="auto" w:fill="auto"/>
          </w:tcPr>
          <w:p w:rsidR="00DB3F44" w:rsidRPr="0072380C" w:rsidRDefault="00DB3F44" w:rsidP="0072380C">
            <w:pPr>
              <w:spacing w:after="0" w:line="240" w:lineRule="auto"/>
              <w:jc w:val="center"/>
              <w:rPr>
                <w:sz w:val="20"/>
                <w:lang w:eastAsia="sl-SI"/>
              </w:rPr>
            </w:pPr>
          </w:p>
        </w:tc>
        <w:tc>
          <w:tcPr>
            <w:tcW w:w="2632" w:type="dxa"/>
            <w:gridSpan w:val="2"/>
            <w:shd w:val="clear" w:color="auto" w:fill="auto"/>
          </w:tcPr>
          <w:p w:rsidR="00DB3F44" w:rsidRPr="0072380C" w:rsidRDefault="00DB3F44" w:rsidP="0072380C">
            <w:pPr>
              <w:spacing w:after="0" w:line="240" w:lineRule="auto"/>
              <w:jc w:val="center"/>
              <w:rPr>
                <w:sz w:val="20"/>
                <w:lang w:eastAsia="sl-SI"/>
              </w:rPr>
            </w:pPr>
            <w:r w:rsidRPr="0072380C">
              <w:rPr>
                <w:sz w:val="20"/>
                <w:lang w:eastAsia="sl-SI"/>
              </w:rPr>
              <w:t>Pravne osebe (obr DDPO)</w:t>
            </w:r>
          </w:p>
        </w:tc>
        <w:tc>
          <w:tcPr>
            <w:tcW w:w="2632" w:type="dxa"/>
            <w:gridSpan w:val="2"/>
            <w:shd w:val="clear" w:color="auto" w:fill="auto"/>
          </w:tcPr>
          <w:p w:rsidR="00DB3F44" w:rsidRPr="0072380C" w:rsidRDefault="00DB3F44" w:rsidP="0072380C">
            <w:pPr>
              <w:spacing w:after="0" w:line="240" w:lineRule="auto"/>
              <w:jc w:val="center"/>
              <w:rPr>
                <w:sz w:val="20"/>
                <w:lang w:eastAsia="sl-SI"/>
              </w:rPr>
            </w:pPr>
            <w:r w:rsidRPr="0072380C">
              <w:rPr>
                <w:sz w:val="20"/>
                <w:lang w:eastAsia="sl-SI"/>
              </w:rPr>
              <w:t>Fizične osebe, ki opravljajo dejavnost (obr. DOHDEJ)</w:t>
            </w:r>
          </w:p>
        </w:tc>
        <w:tc>
          <w:tcPr>
            <w:tcW w:w="2632" w:type="dxa"/>
            <w:gridSpan w:val="2"/>
            <w:shd w:val="clear" w:color="auto" w:fill="auto"/>
          </w:tcPr>
          <w:p w:rsidR="00DB3F44" w:rsidRPr="0072380C" w:rsidRDefault="00DB3F44" w:rsidP="0072380C">
            <w:pPr>
              <w:spacing w:after="0" w:line="240" w:lineRule="auto"/>
              <w:jc w:val="center"/>
              <w:rPr>
                <w:sz w:val="20"/>
                <w:lang w:eastAsia="sl-SI"/>
              </w:rPr>
            </w:pPr>
            <w:r w:rsidRPr="0072380C">
              <w:rPr>
                <w:sz w:val="20"/>
                <w:lang w:eastAsia="sl-SI"/>
              </w:rPr>
              <w:t>Skupaj (obr. DDPO in DOHDEJ)</w:t>
            </w:r>
          </w:p>
        </w:tc>
      </w:tr>
      <w:tr w:rsidR="00DB3F44" w:rsidRPr="0072380C" w:rsidTr="0072380C">
        <w:tc>
          <w:tcPr>
            <w:tcW w:w="1316" w:type="dxa"/>
            <w:shd w:val="clear" w:color="auto" w:fill="auto"/>
          </w:tcPr>
          <w:p w:rsidR="00DB3F44" w:rsidRPr="0072380C" w:rsidRDefault="00DB3F44" w:rsidP="0072380C">
            <w:pPr>
              <w:spacing w:after="0" w:line="240" w:lineRule="auto"/>
              <w:jc w:val="center"/>
              <w:rPr>
                <w:sz w:val="20"/>
                <w:lang w:eastAsia="sl-SI"/>
              </w:rPr>
            </w:pPr>
          </w:p>
        </w:tc>
        <w:tc>
          <w:tcPr>
            <w:tcW w:w="1316" w:type="dxa"/>
            <w:shd w:val="clear" w:color="auto" w:fill="auto"/>
          </w:tcPr>
          <w:p w:rsidR="00DB3F44" w:rsidRPr="0072380C" w:rsidRDefault="00DB3F44" w:rsidP="0072380C">
            <w:pPr>
              <w:spacing w:after="0" w:line="240" w:lineRule="auto"/>
              <w:jc w:val="center"/>
              <w:rPr>
                <w:sz w:val="20"/>
                <w:lang w:eastAsia="sl-SI"/>
              </w:rPr>
            </w:pPr>
            <w:r w:rsidRPr="0072380C">
              <w:rPr>
                <w:sz w:val="20"/>
                <w:lang w:eastAsia="sl-SI"/>
              </w:rPr>
              <w:t>Število zavezancev, ki je koristilo olajšavo</w:t>
            </w:r>
          </w:p>
        </w:tc>
        <w:tc>
          <w:tcPr>
            <w:tcW w:w="1316" w:type="dxa"/>
            <w:shd w:val="clear" w:color="auto" w:fill="auto"/>
          </w:tcPr>
          <w:p w:rsidR="00DB3F44" w:rsidRPr="0072380C" w:rsidRDefault="00DB3F44" w:rsidP="0072380C">
            <w:pPr>
              <w:spacing w:after="0" w:line="240" w:lineRule="auto"/>
              <w:jc w:val="center"/>
              <w:rPr>
                <w:sz w:val="20"/>
                <w:lang w:eastAsia="sl-SI"/>
              </w:rPr>
            </w:pPr>
            <w:r w:rsidRPr="0072380C">
              <w:rPr>
                <w:sz w:val="20"/>
                <w:lang w:eastAsia="sl-SI"/>
              </w:rPr>
              <w:t>Skupni znesek koriščenja olajšave (v EUR)</w:t>
            </w:r>
          </w:p>
        </w:tc>
        <w:tc>
          <w:tcPr>
            <w:tcW w:w="1316" w:type="dxa"/>
            <w:shd w:val="clear" w:color="auto" w:fill="auto"/>
          </w:tcPr>
          <w:p w:rsidR="00DB3F44" w:rsidRPr="0072380C" w:rsidRDefault="00DB3F44" w:rsidP="0072380C">
            <w:pPr>
              <w:spacing w:after="0" w:line="240" w:lineRule="auto"/>
              <w:jc w:val="center"/>
              <w:rPr>
                <w:sz w:val="20"/>
                <w:lang w:eastAsia="sl-SI"/>
              </w:rPr>
            </w:pPr>
            <w:r w:rsidRPr="0072380C">
              <w:rPr>
                <w:sz w:val="20"/>
                <w:lang w:eastAsia="sl-SI"/>
              </w:rPr>
              <w:t>Število zavezancev, ki je koristilo olajšavo</w:t>
            </w:r>
          </w:p>
        </w:tc>
        <w:tc>
          <w:tcPr>
            <w:tcW w:w="1316" w:type="dxa"/>
            <w:shd w:val="clear" w:color="auto" w:fill="auto"/>
          </w:tcPr>
          <w:p w:rsidR="00DB3F44" w:rsidRPr="0072380C" w:rsidRDefault="00DB3F44" w:rsidP="0072380C">
            <w:pPr>
              <w:spacing w:after="0" w:line="240" w:lineRule="auto"/>
              <w:jc w:val="center"/>
              <w:rPr>
                <w:sz w:val="20"/>
                <w:lang w:eastAsia="sl-SI"/>
              </w:rPr>
            </w:pPr>
            <w:r w:rsidRPr="0072380C">
              <w:rPr>
                <w:sz w:val="20"/>
                <w:lang w:eastAsia="sl-SI"/>
              </w:rPr>
              <w:t>Skupni znesek koriščenja olajšave (v EUR)</w:t>
            </w:r>
          </w:p>
        </w:tc>
        <w:tc>
          <w:tcPr>
            <w:tcW w:w="1316" w:type="dxa"/>
            <w:shd w:val="clear" w:color="auto" w:fill="auto"/>
          </w:tcPr>
          <w:p w:rsidR="00DB3F44" w:rsidRPr="0072380C" w:rsidRDefault="00DB3F44" w:rsidP="0072380C">
            <w:pPr>
              <w:spacing w:after="0" w:line="240" w:lineRule="auto"/>
              <w:jc w:val="center"/>
              <w:rPr>
                <w:sz w:val="20"/>
                <w:lang w:eastAsia="sl-SI"/>
              </w:rPr>
            </w:pPr>
            <w:r w:rsidRPr="0072380C">
              <w:rPr>
                <w:sz w:val="20"/>
                <w:lang w:eastAsia="sl-SI"/>
              </w:rPr>
              <w:t>Število zavezancev, ki je koristilo olajšavo</w:t>
            </w:r>
          </w:p>
        </w:tc>
        <w:tc>
          <w:tcPr>
            <w:tcW w:w="1316" w:type="dxa"/>
            <w:shd w:val="clear" w:color="auto" w:fill="auto"/>
          </w:tcPr>
          <w:p w:rsidR="00DB3F44" w:rsidRPr="0072380C" w:rsidRDefault="00DB3F44" w:rsidP="0072380C">
            <w:pPr>
              <w:spacing w:after="0" w:line="240" w:lineRule="auto"/>
              <w:jc w:val="center"/>
              <w:rPr>
                <w:sz w:val="20"/>
                <w:lang w:eastAsia="sl-SI"/>
              </w:rPr>
            </w:pPr>
            <w:r w:rsidRPr="0072380C">
              <w:rPr>
                <w:sz w:val="20"/>
                <w:lang w:eastAsia="sl-SI"/>
              </w:rPr>
              <w:t>Skupni znesek koriščenja olajšave (v EUR)</w:t>
            </w:r>
          </w:p>
        </w:tc>
      </w:tr>
      <w:tr w:rsidR="00DB3F44" w:rsidRPr="0072380C" w:rsidTr="0072380C">
        <w:tc>
          <w:tcPr>
            <w:tcW w:w="1316" w:type="dxa"/>
            <w:shd w:val="clear" w:color="auto" w:fill="auto"/>
          </w:tcPr>
          <w:p w:rsidR="00DB3F44" w:rsidRPr="0072380C" w:rsidRDefault="00DB3F44" w:rsidP="0072380C">
            <w:pPr>
              <w:spacing w:after="0" w:line="240" w:lineRule="auto"/>
              <w:jc w:val="both"/>
              <w:rPr>
                <w:sz w:val="20"/>
                <w:lang w:eastAsia="sl-SI"/>
              </w:rPr>
            </w:pPr>
            <w:r w:rsidRPr="0072380C">
              <w:rPr>
                <w:sz w:val="20"/>
                <w:lang w:eastAsia="sl-SI"/>
              </w:rPr>
              <w:t>Problemsko območje Hrastnik, Radeče, Trbovlje</w:t>
            </w:r>
          </w:p>
        </w:tc>
        <w:tc>
          <w:tcPr>
            <w:tcW w:w="1316" w:type="dxa"/>
            <w:shd w:val="clear" w:color="auto" w:fill="auto"/>
            <w:vAlign w:val="bottom"/>
          </w:tcPr>
          <w:p w:rsidR="00DB3F44" w:rsidRPr="0072380C" w:rsidRDefault="00DB3F44" w:rsidP="0072380C">
            <w:pPr>
              <w:spacing w:after="0" w:line="240" w:lineRule="auto"/>
              <w:jc w:val="right"/>
              <w:rPr>
                <w:sz w:val="20"/>
                <w:lang w:eastAsia="sl-SI"/>
              </w:rPr>
            </w:pPr>
            <w:r w:rsidRPr="0072380C">
              <w:rPr>
                <w:sz w:val="20"/>
                <w:lang w:eastAsia="sl-SI"/>
              </w:rPr>
              <w:t>27</w:t>
            </w:r>
          </w:p>
        </w:tc>
        <w:tc>
          <w:tcPr>
            <w:tcW w:w="1316" w:type="dxa"/>
            <w:shd w:val="clear" w:color="auto" w:fill="auto"/>
            <w:vAlign w:val="bottom"/>
          </w:tcPr>
          <w:p w:rsidR="00DB3F44" w:rsidRPr="0072380C" w:rsidRDefault="00DB3F44" w:rsidP="0072380C">
            <w:pPr>
              <w:spacing w:after="0" w:line="240" w:lineRule="auto"/>
              <w:jc w:val="right"/>
              <w:rPr>
                <w:sz w:val="20"/>
                <w:lang w:eastAsia="sl-SI"/>
              </w:rPr>
            </w:pPr>
            <w:r w:rsidRPr="0072380C">
              <w:rPr>
                <w:sz w:val="20"/>
                <w:lang w:eastAsia="sl-SI"/>
              </w:rPr>
              <w:t>1.292.099</w:t>
            </w:r>
          </w:p>
        </w:tc>
        <w:tc>
          <w:tcPr>
            <w:tcW w:w="1316" w:type="dxa"/>
            <w:shd w:val="clear" w:color="auto" w:fill="auto"/>
            <w:vAlign w:val="bottom"/>
          </w:tcPr>
          <w:p w:rsidR="00DB3F44" w:rsidRPr="0072380C" w:rsidRDefault="00DB3F44" w:rsidP="0072380C">
            <w:pPr>
              <w:spacing w:after="0" w:line="240" w:lineRule="auto"/>
              <w:jc w:val="right"/>
              <w:rPr>
                <w:sz w:val="20"/>
                <w:lang w:eastAsia="sl-SI"/>
              </w:rPr>
            </w:pPr>
            <w:r w:rsidRPr="0072380C">
              <w:rPr>
                <w:sz w:val="20"/>
                <w:lang w:eastAsia="sl-SI"/>
              </w:rPr>
              <w:t>12</w:t>
            </w:r>
          </w:p>
        </w:tc>
        <w:tc>
          <w:tcPr>
            <w:tcW w:w="1316" w:type="dxa"/>
            <w:shd w:val="clear" w:color="auto" w:fill="auto"/>
            <w:vAlign w:val="bottom"/>
          </w:tcPr>
          <w:p w:rsidR="00DB3F44" w:rsidRPr="0072380C" w:rsidRDefault="00DB3F44" w:rsidP="0072380C">
            <w:pPr>
              <w:spacing w:after="0" w:line="240" w:lineRule="auto"/>
              <w:jc w:val="right"/>
              <w:rPr>
                <w:sz w:val="20"/>
                <w:lang w:eastAsia="sl-SI"/>
              </w:rPr>
            </w:pPr>
            <w:r w:rsidRPr="0072380C">
              <w:rPr>
                <w:sz w:val="20"/>
                <w:lang w:eastAsia="sl-SI"/>
              </w:rPr>
              <w:t>80.729</w:t>
            </w:r>
          </w:p>
        </w:tc>
        <w:tc>
          <w:tcPr>
            <w:tcW w:w="1316" w:type="dxa"/>
            <w:shd w:val="clear" w:color="auto" w:fill="auto"/>
            <w:vAlign w:val="bottom"/>
          </w:tcPr>
          <w:p w:rsidR="00DB3F44" w:rsidRPr="0072380C" w:rsidRDefault="00DB3F44" w:rsidP="0072380C">
            <w:pPr>
              <w:spacing w:after="0" w:line="240" w:lineRule="auto"/>
              <w:jc w:val="right"/>
              <w:rPr>
                <w:sz w:val="20"/>
                <w:lang w:eastAsia="sl-SI"/>
              </w:rPr>
            </w:pPr>
            <w:r w:rsidRPr="0072380C">
              <w:rPr>
                <w:sz w:val="20"/>
                <w:lang w:eastAsia="sl-SI"/>
              </w:rPr>
              <w:t>39</w:t>
            </w:r>
          </w:p>
        </w:tc>
        <w:tc>
          <w:tcPr>
            <w:tcW w:w="1316" w:type="dxa"/>
            <w:shd w:val="clear" w:color="auto" w:fill="auto"/>
            <w:vAlign w:val="bottom"/>
          </w:tcPr>
          <w:p w:rsidR="00DB3F44" w:rsidRPr="0072380C" w:rsidRDefault="00DB3F44" w:rsidP="0072380C">
            <w:pPr>
              <w:spacing w:after="0" w:line="240" w:lineRule="auto"/>
              <w:jc w:val="right"/>
              <w:rPr>
                <w:sz w:val="20"/>
                <w:lang w:eastAsia="sl-SI"/>
              </w:rPr>
            </w:pPr>
            <w:r w:rsidRPr="0072380C">
              <w:rPr>
                <w:sz w:val="20"/>
                <w:lang w:eastAsia="sl-SI"/>
              </w:rPr>
              <w:t>1.372.828</w:t>
            </w:r>
          </w:p>
        </w:tc>
      </w:tr>
    </w:tbl>
    <w:p w:rsidR="00DB3F44" w:rsidRDefault="00DB3F44" w:rsidP="00E33C62">
      <w:pPr>
        <w:spacing w:after="0" w:line="240" w:lineRule="auto"/>
        <w:jc w:val="both"/>
        <w:rPr>
          <w:lang w:eastAsia="sl-SI"/>
        </w:rPr>
      </w:pPr>
      <w:r>
        <w:rPr>
          <w:lang w:eastAsia="sl-SI"/>
        </w:rPr>
        <w:t>Vir: FURS- Preliminarni podatki iz obr. DDPO in DOHDEJ za leto 2014, stanje 15.4.2015</w:t>
      </w:r>
    </w:p>
    <w:p w:rsidR="00E33C62" w:rsidRDefault="00E33C62" w:rsidP="00E33C62">
      <w:pPr>
        <w:spacing w:after="0" w:line="240" w:lineRule="auto"/>
        <w:jc w:val="both"/>
        <w:rPr>
          <w:lang w:eastAsia="sl-SI"/>
        </w:rPr>
      </w:pPr>
    </w:p>
    <w:p w:rsidR="00E33C62" w:rsidRDefault="00E33C62" w:rsidP="00E33C62">
      <w:pPr>
        <w:spacing w:after="0" w:line="240" w:lineRule="auto"/>
        <w:jc w:val="both"/>
        <w:rPr>
          <w:lang w:eastAsia="sl-SI"/>
        </w:rPr>
      </w:pPr>
    </w:p>
    <w:p w:rsidR="00E33C62" w:rsidRPr="00A57FA3" w:rsidRDefault="00E33C62" w:rsidP="0086498C">
      <w:pPr>
        <w:pStyle w:val="Naslov2"/>
        <w:numPr>
          <w:ilvl w:val="1"/>
          <w:numId w:val="12"/>
        </w:numPr>
        <w:spacing w:before="0" w:after="0" w:line="240" w:lineRule="auto"/>
        <w:rPr>
          <w:sz w:val="24"/>
          <w:szCs w:val="24"/>
          <w:lang w:eastAsia="sl-SI"/>
        </w:rPr>
      </w:pPr>
      <w:r w:rsidRPr="00A57FA3">
        <w:rPr>
          <w:sz w:val="24"/>
          <w:szCs w:val="24"/>
          <w:lang w:eastAsia="sl-SI"/>
        </w:rPr>
        <w:t>Ukrep 4: spodbude za trajnostni razvoj podeželja iz Programa razvoja podeželja 2014-2020</w:t>
      </w:r>
    </w:p>
    <w:p w:rsidR="00E33C62" w:rsidRDefault="00E33C62" w:rsidP="00E33C62">
      <w:pPr>
        <w:spacing w:after="0" w:line="240" w:lineRule="auto"/>
        <w:jc w:val="both"/>
        <w:rPr>
          <w:rFonts w:cs="Arial"/>
          <w:iCs/>
          <w:lang w:eastAsia="sl-SI"/>
        </w:rPr>
      </w:pPr>
    </w:p>
    <w:p w:rsidR="00E33C62" w:rsidRDefault="00E33C62" w:rsidP="00E33C62">
      <w:pPr>
        <w:spacing w:after="0" w:line="240" w:lineRule="auto"/>
        <w:jc w:val="both"/>
        <w:rPr>
          <w:rFonts w:cs="Arial"/>
          <w:iCs/>
          <w:lang w:eastAsia="sl-SI"/>
        </w:rPr>
      </w:pPr>
    </w:p>
    <w:p w:rsidR="00E33C62" w:rsidRDefault="00E33C62" w:rsidP="00E33C62">
      <w:pPr>
        <w:spacing w:after="0" w:line="240" w:lineRule="auto"/>
        <w:jc w:val="both"/>
        <w:rPr>
          <w:rFonts w:cs="Arial"/>
          <w:iCs/>
          <w:lang w:eastAsia="sl-SI"/>
        </w:rPr>
      </w:pPr>
      <w:r w:rsidRPr="005874D5">
        <w:rPr>
          <w:rFonts w:cs="Arial"/>
          <w:iCs/>
          <w:lang w:eastAsia="sl-SI"/>
        </w:rPr>
        <w:t>Ukrep 4:</w:t>
      </w:r>
      <w:r w:rsidRPr="00936F08">
        <w:rPr>
          <w:rFonts w:cs="Arial"/>
          <w:b/>
          <w:iCs/>
          <w:lang w:eastAsia="sl-SI"/>
        </w:rPr>
        <w:t xml:space="preserve"> </w:t>
      </w:r>
      <w:r w:rsidRPr="00936F08">
        <w:rPr>
          <w:rFonts w:cs="Arial"/>
          <w:iCs/>
          <w:lang w:eastAsia="sl-SI"/>
        </w:rPr>
        <w:t>spodbude za trajnostni razvoj podeželja iz Programa razvoja podeželja 2014-2020, izvedba</w:t>
      </w:r>
      <w:r w:rsidRPr="00936F08" w:rsidDel="00047B99">
        <w:rPr>
          <w:rFonts w:cs="Arial"/>
          <w:iCs/>
          <w:lang w:eastAsia="sl-SI"/>
        </w:rPr>
        <w:t xml:space="preserve"> </w:t>
      </w:r>
      <w:r w:rsidRPr="00936F08">
        <w:rPr>
          <w:rFonts w:cs="Arial"/>
          <w:iCs/>
          <w:lang w:eastAsia="sl-SI"/>
        </w:rPr>
        <w:t>v pristojnosti (sedanjega) Ministrstva za kmetijstvo, gozdarstvo in prehrano</w:t>
      </w:r>
      <w:r>
        <w:rPr>
          <w:rFonts w:cs="Arial"/>
          <w:iCs/>
          <w:lang w:eastAsia="sl-SI"/>
        </w:rPr>
        <w:t xml:space="preserve">. </w:t>
      </w:r>
    </w:p>
    <w:p w:rsidR="00E33C62" w:rsidRDefault="00E33C62" w:rsidP="00E33C62">
      <w:pPr>
        <w:spacing w:after="0" w:line="240" w:lineRule="auto"/>
        <w:jc w:val="both"/>
        <w:rPr>
          <w:rFonts w:cs="Arial"/>
          <w:iCs/>
          <w:lang w:eastAsia="sl-SI"/>
        </w:rPr>
      </w:pPr>
    </w:p>
    <w:p w:rsidR="00E33C62" w:rsidRPr="00955E15" w:rsidRDefault="00E33C62" w:rsidP="00E33C62">
      <w:pPr>
        <w:spacing w:after="0" w:line="240" w:lineRule="auto"/>
        <w:jc w:val="both"/>
        <w:rPr>
          <w:rFonts w:cs="Arial"/>
        </w:rPr>
      </w:pPr>
      <w:r w:rsidRPr="00955E15">
        <w:rPr>
          <w:rFonts w:cs="Arial"/>
        </w:rPr>
        <w:lastRenderedPageBreak/>
        <w:t>Ukrep se izvede iz sredstev iz naslova Programa razvoja podeželja 2014-2020 prek dodelitve sredstev lokalnim akcijskim skupinam</w:t>
      </w:r>
      <w:r>
        <w:rPr>
          <w:rFonts w:cs="Arial"/>
        </w:rPr>
        <w:t xml:space="preserve"> (LAS)</w:t>
      </w:r>
      <w:r w:rsidRPr="00955E15">
        <w:rPr>
          <w:rFonts w:cs="Arial"/>
        </w:rPr>
        <w:t xml:space="preserve">, ki bodo v naslednjem programskem obdobju pokrivale problemsko območje v okviru novega mehanizma EU lokalni razvoj, ki ga vodi skupnost. </w:t>
      </w:r>
    </w:p>
    <w:p w:rsidR="00E33C62" w:rsidRDefault="00E33C62" w:rsidP="00E33C62">
      <w:pPr>
        <w:spacing w:after="0" w:line="240" w:lineRule="auto"/>
        <w:jc w:val="both"/>
        <w:rPr>
          <w:lang w:eastAsia="sl-SI"/>
        </w:rPr>
      </w:pPr>
    </w:p>
    <w:p w:rsidR="00E33C62" w:rsidRPr="00F119B3" w:rsidRDefault="00E33C62" w:rsidP="00E33C62">
      <w:pPr>
        <w:spacing w:after="0" w:line="240" w:lineRule="auto"/>
        <w:jc w:val="both"/>
        <w:rPr>
          <w:u w:val="single"/>
          <w:lang w:eastAsia="sl-SI"/>
        </w:rPr>
      </w:pPr>
      <w:r w:rsidRPr="00F119B3">
        <w:rPr>
          <w:u w:val="single"/>
          <w:lang w:eastAsia="sl-SI"/>
        </w:rPr>
        <w:t>Status: ukrep v fazi priprave.</w:t>
      </w:r>
    </w:p>
    <w:p w:rsidR="00E33C62" w:rsidRDefault="00E33C62" w:rsidP="00E33C62">
      <w:pPr>
        <w:spacing w:after="0" w:line="240" w:lineRule="auto"/>
        <w:jc w:val="both"/>
        <w:rPr>
          <w:lang w:eastAsia="sl-SI"/>
        </w:rPr>
      </w:pPr>
    </w:p>
    <w:p w:rsidR="00E33C62" w:rsidRPr="004550A3" w:rsidRDefault="00E33C62" w:rsidP="00E33C62">
      <w:pPr>
        <w:spacing w:after="0" w:line="240" w:lineRule="auto"/>
        <w:jc w:val="both"/>
        <w:rPr>
          <w:lang w:eastAsia="sl-SI"/>
        </w:rPr>
      </w:pPr>
      <w:r w:rsidRPr="004550A3">
        <w:rPr>
          <w:lang w:eastAsia="sl-SI"/>
        </w:rPr>
        <w:t xml:space="preserve">V okviru ukrepa </w:t>
      </w:r>
      <w:r w:rsidRPr="004550A3">
        <w:rPr>
          <w:iCs/>
          <w:lang w:eastAsia="sl-SI"/>
        </w:rPr>
        <w:t xml:space="preserve"> Podpora za lokalni razvoj v okviru pristopa LEADER – Programa razvoja podeželja 2014-2020 je navedeno, da so rezervirana dodatna sredstva (za problemska območja in izvajanje zakona o Triglavskem narodnem parku skupaj v višini 3 mio EUR). Namenjena so za izvedbo operacij znotraj tistih LAS, v katerih je vlada RS na podlagi visoke brezposelnosti, razglasila problemska območja. LAS, ki vključujejo problemska območja bodo upravičena do dodatnih 15 odstotkov pravic porabe, sredstva bodo morali LAS porabiti za operacije znotraj problemskih območij.</w:t>
      </w:r>
    </w:p>
    <w:p w:rsidR="00E33C62" w:rsidRDefault="00E33C62" w:rsidP="00E33C62">
      <w:pPr>
        <w:spacing w:after="0" w:line="240" w:lineRule="auto"/>
        <w:jc w:val="both"/>
        <w:rPr>
          <w:lang w:eastAsia="sl-SI"/>
        </w:rPr>
      </w:pPr>
    </w:p>
    <w:p w:rsidR="00E33C62" w:rsidRDefault="00F82EAD" w:rsidP="00E33C62">
      <w:pPr>
        <w:spacing w:after="0" w:line="240" w:lineRule="auto"/>
        <w:jc w:val="both"/>
        <w:rPr>
          <w:lang w:eastAsia="sl-SI"/>
        </w:rPr>
      </w:pPr>
      <w:r w:rsidRPr="00F82EAD">
        <w:rPr>
          <w:lang w:eastAsia="sl-SI"/>
        </w:rPr>
        <w:t>Evropska komisija je dne 13. 2. 2015 uradno potrdila Program razvoja podeželj</w:t>
      </w:r>
      <w:r w:rsidR="00A548F9">
        <w:rPr>
          <w:lang w:eastAsia="sl-SI"/>
        </w:rPr>
        <w:t>a Republike Slovenije 2014–2020</w:t>
      </w:r>
      <w:r>
        <w:rPr>
          <w:lang w:eastAsia="sl-SI"/>
        </w:rPr>
        <w:t xml:space="preserve">. </w:t>
      </w:r>
      <w:r w:rsidR="0058314C" w:rsidRPr="009B2A44">
        <w:rPr>
          <w:szCs w:val="20"/>
        </w:rPr>
        <w:t>Vlada RS je na svoji 41. redni seji 12. 6. 2015 sprejela Uredbo o izvajanju lokalnega razvoja, ki ga vodi skupnost, v programskem obdobju 2014–2020 (Uradni list RS, št. 42/15). V Uradnem listu RS je bil objavljen tudi uradni poziv lokalnim akterjem za oblikovanje lokalnih partnerstev in pripravo strategij lokalnega razvoja. Rok za izdelavo strategije lokalnega razvoja je 12 mesecev od objave javnega poziva za oblikovanje lokalnih partnerstev in pripravo strategij lokalnega razvoja. O operacijah, ki bodo financirane s sredstvi na podlagi Uredbe CLLD odloča lokalno partnerstvo, ki je pripravilo skupno strategijo lokalnega razvoja in bo operacije izbiralo preko javnih pozivov. Končno odobritev operacij pa izvede ARSKTRP oziroma MGRT, če gre za operacije, ki bodo sofinancirane s sredstvi ESRR</w:t>
      </w:r>
      <w:r w:rsidR="0058314C">
        <w:rPr>
          <w:szCs w:val="20"/>
        </w:rPr>
        <w:t>.</w:t>
      </w:r>
    </w:p>
    <w:p w:rsidR="00E33C62" w:rsidRDefault="00E33C62" w:rsidP="00E33C62">
      <w:pPr>
        <w:spacing w:after="0" w:line="240" w:lineRule="auto"/>
        <w:jc w:val="both"/>
        <w:rPr>
          <w:lang w:eastAsia="sl-SI"/>
        </w:rPr>
      </w:pPr>
    </w:p>
    <w:p w:rsidR="00E33C62" w:rsidRDefault="00E33C62" w:rsidP="00E33C62">
      <w:pPr>
        <w:spacing w:after="0" w:line="240" w:lineRule="auto"/>
        <w:jc w:val="both"/>
        <w:rPr>
          <w:lang w:eastAsia="sl-SI"/>
        </w:rPr>
      </w:pPr>
    </w:p>
    <w:p w:rsidR="00E33C62" w:rsidRPr="00A57FA3" w:rsidRDefault="00E33C62" w:rsidP="0086498C">
      <w:pPr>
        <w:pStyle w:val="Naslov2"/>
        <w:numPr>
          <w:ilvl w:val="1"/>
          <w:numId w:val="12"/>
        </w:numPr>
        <w:spacing w:before="0" w:after="0" w:line="240" w:lineRule="auto"/>
        <w:rPr>
          <w:sz w:val="24"/>
          <w:szCs w:val="24"/>
          <w:lang w:eastAsia="sl-SI"/>
        </w:rPr>
      </w:pPr>
      <w:r w:rsidRPr="00A57FA3">
        <w:rPr>
          <w:sz w:val="24"/>
          <w:szCs w:val="24"/>
          <w:lang w:eastAsia="sl-SI"/>
        </w:rPr>
        <w:t>Ukrep 5: prometna infrastruktura</w:t>
      </w:r>
    </w:p>
    <w:p w:rsidR="00E33C62" w:rsidRPr="00070036" w:rsidRDefault="00E33C62" w:rsidP="00E33C62">
      <w:pPr>
        <w:spacing w:after="0" w:line="240" w:lineRule="auto"/>
        <w:rPr>
          <w:lang w:eastAsia="sl-SI"/>
        </w:rPr>
      </w:pPr>
    </w:p>
    <w:p w:rsidR="00E33C62" w:rsidRPr="00070036" w:rsidRDefault="00E33C62" w:rsidP="00E33C62">
      <w:pPr>
        <w:spacing w:after="0" w:line="240" w:lineRule="auto"/>
        <w:jc w:val="both"/>
        <w:rPr>
          <w:rFonts w:cs="Arial"/>
          <w:iCs/>
          <w:lang w:eastAsia="sl-SI"/>
        </w:rPr>
      </w:pPr>
      <w:r w:rsidRPr="00070036">
        <w:rPr>
          <w:rFonts w:cs="Arial"/>
          <w:iCs/>
          <w:lang w:eastAsia="sl-SI"/>
        </w:rPr>
        <w:t>Ukrep 5: prometna infrastruktura, izvedba</w:t>
      </w:r>
      <w:r>
        <w:rPr>
          <w:rFonts w:cs="Arial"/>
          <w:iCs/>
          <w:lang w:eastAsia="sl-SI"/>
        </w:rPr>
        <w:t xml:space="preserve"> v pristojnosti </w:t>
      </w:r>
      <w:r w:rsidRPr="00070036">
        <w:rPr>
          <w:rFonts w:cs="Arial"/>
          <w:iCs/>
          <w:lang w:eastAsia="sl-SI"/>
        </w:rPr>
        <w:t xml:space="preserve"> (sedanje</w:t>
      </w:r>
      <w:r>
        <w:rPr>
          <w:rFonts w:cs="Arial"/>
          <w:iCs/>
          <w:lang w:eastAsia="sl-SI"/>
        </w:rPr>
        <w:t>ga</w:t>
      </w:r>
      <w:r w:rsidRPr="00070036">
        <w:rPr>
          <w:rFonts w:cs="Arial"/>
          <w:iCs/>
          <w:lang w:eastAsia="sl-SI"/>
        </w:rPr>
        <w:t>)</w:t>
      </w:r>
      <w:r>
        <w:rPr>
          <w:rFonts w:cs="Arial"/>
          <w:iCs/>
          <w:lang w:eastAsia="sl-SI"/>
        </w:rPr>
        <w:t xml:space="preserve"> Ministrstvo za infrastrukturo.</w:t>
      </w:r>
    </w:p>
    <w:p w:rsidR="00E33C62" w:rsidRDefault="00E33C62" w:rsidP="00E33C62">
      <w:pPr>
        <w:spacing w:after="0" w:line="240" w:lineRule="auto"/>
        <w:jc w:val="both"/>
        <w:rPr>
          <w:rFonts w:cs="Arial"/>
          <w:b/>
          <w:iCs/>
          <w:lang w:eastAsia="sl-SI"/>
        </w:rPr>
      </w:pPr>
    </w:p>
    <w:p w:rsidR="00E33C62" w:rsidRPr="000A4E92" w:rsidRDefault="00E33C62" w:rsidP="00E33C62">
      <w:pPr>
        <w:spacing w:after="0" w:line="240" w:lineRule="auto"/>
        <w:jc w:val="both"/>
        <w:rPr>
          <w:rFonts w:cs="Arial"/>
          <w:iCs/>
          <w:lang w:eastAsia="sl-SI"/>
        </w:rPr>
      </w:pPr>
      <w:r w:rsidRPr="000A4E92">
        <w:rPr>
          <w:rFonts w:cs="Arial"/>
          <w:iCs/>
          <w:lang w:eastAsia="sl-SI"/>
        </w:rPr>
        <w:t>Železniška in cestna infrastruktura</w:t>
      </w:r>
    </w:p>
    <w:p w:rsidR="00E33C62" w:rsidRPr="000A4E92" w:rsidRDefault="00E33C62" w:rsidP="00E33C62">
      <w:pPr>
        <w:spacing w:after="0" w:line="240" w:lineRule="auto"/>
        <w:jc w:val="both"/>
        <w:rPr>
          <w:rFonts w:cs="Arial"/>
          <w:iCs/>
          <w:lang w:eastAsia="sl-SI"/>
        </w:rPr>
      </w:pPr>
    </w:p>
    <w:p w:rsidR="00E33C62" w:rsidRPr="00AD2590" w:rsidRDefault="00E33C62" w:rsidP="00AD2590">
      <w:pPr>
        <w:spacing w:after="0" w:line="240" w:lineRule="auto"/>
        <w:jc w:val="both"/>
        <w:rPr>
          <w:rFonts w:cs="Arial"/>
          <w:iCs/>
          <w:u w:val="single"/>
          <w:lang w:eastAsia="sl-SI"/>
        </w:rPr>
      </w:pPr>
      <w:r w:rsidRPr="00AD2590">
        <w:rPr>
          <w:rFonts w:cs="Arial"/>
          <w:iCs/>
          <w:u w:val="single"/>
          <w:lang w:eastAsia="sl-SI"/>
        </w:rPr>
        <w:t>Status:</w:t>
      </w:r>
      <w:r w:rsidR="00AD2590">
        <w:rPr>
          <w:rFonts w:cs="Arial"/>
          <w:iCs/>
          <w:u w:val="single"/>
          <w:lang w:eastAsia="sl-SI"/>
        </w:rPr>
        <w:t xml:space="preserve"> ukrep </w:t>
      </w:r>
      <w:r w:rsidR="00F52F89">
        <w:rPr>
          <w:rFonts w:cs="Arial"/>
          <w:iCs/>
          <w:u w:val="single"/>
          <w:lang w:eastAsia="sl-SI"/>
        </w:rPr>
        <w:t>se ne izvaja</w:t>
      </w:r>
      <w:r w:rsidRPr="00AD2590">
        <w:rPr>
          <w:rFonts w:cs="Arial"/>
          <w:iCs/>
          <w:u w:val="single"/>
          <w:lang w:eastAsia="sl-SI"/>
        </w:rPr>
        <w:t>.</w:t>
      </w:r>
    </w:p>
    <w:p w:rsidR="00E33C62" w:rsidRPr="00AD2590" w:rsidRDefault="00E33C62" w:rsidP="00AD2590">
      <w:pPr>
        <w:spacing w:after="0" w:line="240" w:lineRule="auto"/>
        <w:jc w:val="both"/>
        <w:rPr>
          <w:rFonts w:cs="Arial"/>
          <w:iCs/>
          <w:lang w:eastAsia="sl-SI"/>
        </w:rPr>
      </w:pPr>
    </w:p>
    <w:p w:rsidR="00AD2590" w:rsidRPr="00AD2590" w:rsidRDefault="00AD2590" w:rsidP="00AD2590">
      <w:pPr>
        <w:autoSpaceDE w:val="0"/>
        <w:autoSpaceDN w:val="0"/>
        <w:adjustRightInd w:val="0"/>
        <w:spacing w:after="0" w:line="240" w:lineRule="auto"/>
        <w:jc w:val="both"/>
        <w:rPr>
          <w:rFonts w:cs="Arial"/>
          <w:color w:val="000000"/>
          <w:lang w:eastAsia="sl-SI"/>
        </w:rPr>
      </w:pPr>
      <w:r w:rsidRPr="00AD2590">
        <w:rPr>
          <w:rFonts w:cs="Arial"/>
          <w:color w:val="000000"/>
          <w:lang w:eastAsia="sl-SI"/>
        </w:rPr>
        <w:t>V sklepu o dodatnih začasnih ukrepih razvojne podpore za problemsko območje z visoko brezposelnostjo za  območje občin Hrastnik, Radeče, Trbovlje in izvajanje Programa spodbujanja konkurenčnosti in ukrepov razvojne podpore območju občin Hrastnik, Radeče, Trbovlje, sprejetih na 19. redni seji Vlade dne 25.7.2013, je bil naveden načrt cestne in železniške infrastrukture, ki naj bi bila izvedena v okviru ukrepov razvojne podpore za zadevno območje. Že ob sprejemanju sklepa je ministrstvo za infrastrukturo jasno navedlo, da se navedeni projekti državne infrastrukture financirajo iz sredstev državnega proračuna, zato bodo izvedeni le, če bodo za njihovo realizacijo zagotovljena vsa potrebna sredstva.</w:t>
      </w:r>
    </w:p>
    <w:p w:rsidR="00AD2590" w:rsidRDefault="00AD2590" w:rsidP="00AD2590">
      <w:pPr>
        <w:autoSpaceDE w:val="0"/>
        <w:autoSpaceDN w:val="0"/>
        <w:adjustRightInd w:val="0"/>
        <w:spacing w:after="0" w:line="240" w:lineRule="auto"/>
        <w:jc w:val="both"/>
        <w:rPr>
          <w:rFonts w:cs="Arial"/>
          <w:color w:val="000000"/>
          <w:lang w:eastAsia="sl-SI"/>
        </w:rPr>
      </w:pPr>
    </w:p>
    <w:p w:rsidR="00AD2590" w:rsidRPr="00AD2590" w:rsidRDefault="00AD2590" w:rsidP="00AD2590">
      <w:pPr>
        <w:autoSpaceDE w:val="0"/>
        <w:autoSpaceDN w:val="0"/>
        <w:adjustRightInd w:val="0"/>
        <w:spacing w:after="0" w:line="240" w:lineRule="auto"/>
        <w:jc w:val="both"/>
        <w:rPr>
          <w:rFonts w:cs="Arial"/>
          <w:color w:val="000000"/>
          <w:lang w:eastAsia="sl-SI"/>
        </w:rPr>
      </w:pPr>
      <w:r w:rsidRPr="00AD2590">
        <w:rPr>
          <w:rFonts w:cs="Arial"/>
          <w:color w:val="000000"/>
          <w:lang w:eastAsia="sl-SI"/>
        </w:rPr>
        <w:t>Glede ukrepov državne cestne infrastrukture pojasnjujemo, da je bil že v juniju 2013 sprejet rebalans proračuna za leto 2013, s katerim so bile vse začete investicije  prestavljene  z dinamiko v leto 2014. Septembra je bilo najprej zaustavljeno izvajanje proračuna za leto 2013 na 93 % (spet na račun investicij), v letu 2014 pa so bila z rebalansom proračuna za leto 2014 in proračunom za leto 2015 odvzeta vsa sredstva iz investicij v glavne in regionalne ceste</w:t>
      </w:r>
      <w:r w:rsidRPr="00AD2590">
        <w:rPr>
          <w:rFonts w:cs="Arial"/>
          <w:bCs/>
          <w:color w:val="000000"/>
          <w:lang w:eastAsia="sl-SI"/>
        </w:rPr>
        <w:t xml:space="preserve">. To je razlog, da predvidene realizacije državnih cest na območju  občin Hrastnik, Radeče in Trbovlje ni bilo. </w:t>
      </w:r>
      <w:r w:rsidRPr="00AD2590">
        <w:rPr>
          <w:rFonts w:cs="Arial"/>
          <w:color w:val="000000"/>
          <w:lang w:eastAsia="sl-SI"/>
        </w:rPr>
        <w:t>Aktivnosti se izvajajo le na projektu nadvoza preko železniške proge v Litiji, ki je financiran iz  sredstev EU, vse ostale aktivnosti na investicijskih projektih pa mirujejo.</w:t>
      </w:r>
    </w:p>
    <w:p w:rsidR="00AD2590" w:rsidRPr="00AD2590" w:rsidRDefault="00AD2590" w:rsidP="00AD2590">
      <w:pPr>
        <w:autoSpaceDE w:val="0"/>
        <w:autoSpaceDN w:val="0"/>
        <w:adjustRightInd w:val="0"/>
        <w:spacing w:after="0" w:line="240" w:lineRule="auto"/>
        <w:jc w:val="both"/>
        <w:rPr>
          <w:rFonts w:cs="Arial"/>
          <w:color w:val="000000"/>
          <w:lang w:eastAsia="sl-SI"/>
        </w:rPr>
      </w:pPr>
    </w:p>
    <w:p w:rsidR="00AD2590" w:rsidRPr="00AD2590" w:rsidRDefault="00AD2590" w:rsidP="00AD2590">
      <w:pPr>
        <w:autoSpaceDE w:val="0"/>
        <w:autoSpaceDN w:val="0"/>
        <w:adjustRightInd w:val="0"/>
        <w:spacing w:after="0" w:line="240" w:lineRule="auto"/>
        <w:jc w:val="both"/>
        <w:rPr>
          <w:rFonts w:cs="Arial"/>
          <w:color w:val="000000"/>
          <w:lang w:eastAsia="sl-SI"/>
        </w:rPr>
      </w:pPr>
      <w:r w:rsidRPr="00AD2590">
        <w:rPr>
          <w:rFonts w:cs="Arial"/>
          <w:color w:val="000000"/>
          <w:lang w:eastAsia="sl-SI"/>
        </w:rPr>
        <w:lastRenderedPageBreak/>
        <w:t>Glede na dejstvo, da upoštevaje veljavni proračun za leto 2014 in 2015 potrebna sredstva niso zagotovljena, investicij v glavne in regionalne ceste ni mogoče izvajati.</w:t>
      </w:r>
    </w:p>
    <w:p w:rsidR="00AD2590" w:rsidRPr="00AD2590" w:rsidRDefault="00AD2590" w:rsidP="00AD2590">
      <w:pPr>
        <w:autoSpaceDE w:val="0"/>
        <w:autoSpaceDN w:val="0"/>
        <w:adjustRightInd w:val="0"/>
        <w:spacing w:after="0" w:line="240" w:lineRule="auto"/>
        <w:jc w:val="both"/>
        <w:rPr>
          <w:rFonts w:cs="Arial"/>
          <w:bCs/>
          <w:color w:val="000000"/>
          <w:lang w:eastAsia="sl-SI"/>
        </w:rPr>
      </w:pPr>
    </w:p>
    <w:p w:rsidR="00AD2590" w:rsidRPr="00AD2590" w:rsidRDefault="00AD2590" w:rsidP="00AD2590">
      <w:pPr>
        <w:autoSpaceDE w:val="0"/>
        <w:autoSpaceDN w:val="0"/>
        <w:adjustRightInd w:val="0"/>
        <w:spacing w:after="0" w:line="240" w:lineRule="auto"/>
        <w:jc w:val="both"/>
        <w:rPr>
          <w:rFonts w:cs="Arial"/>
          <w:bCs/>
          <w:color w:val="000000"/>
          <w:lang w:eastAsia="sl-SI"/>
        </w:rPr>
      </w:pPr>
      <w:r w:rsidRPr="00AD2590">
        <w:rPr>
          <w:rFonts w:cs="Arial"/>
          <w:bCs/>
          <w:color w:val="000000"/>
          <w:lang w:eastAsia="sl-SI"/>
        </w:rPr>
        <w:t>Kar zadeva ukrepe, navedene kot projekte železniške infrastrukture (GSM-R, ERTMS/ETCS), je treba poudariti, da gre za projekte nadgradnje, ki niso omejeni zgolj na določeno lokalno območje, zato je njihova realizacija v celoti odvisna od izvajanja projekta kot celote. Načrtovana dela je namreč treba izvesti na celotnem predvidenem koridorju.</w:t>
      </w:r>
    </w:p>
    <w:p w:rsidR="00E33C62" w:rsidRPr="00A57FA3" w:rsidRDefault="00E33C62" w:rsidP="0086498C">
      <w:pPr>
        <w:pStyle w:val="Naslov2"/>
        <w:numPr>
          <w:ilvl w:val="1"/>
          <w:numId w:val="12"/>
        </w:numPr>
        <w:spacing w:before="0" w:after="0" w:line="240" w:lineRule="auto"/>
        <w:rPr>
          <w:sz w:val="24"/>
          <w:szCs w:val="24"/>
          <w:lang w:eastAsia="sl-SI"/>
        </w:rPr>
      </w:pPr>
      <w:r w:rsidRPr="00A57FA3">
        <w:rPr>
          <w:sz w:val="24"/>
          <w:szCs w:val="24"/>
          <w:lang w:eastAsia="sl-SI"/>
        </w:rPr>
        <w:t>Ukrep 6: energetska infrastruktura</w:t>
      </w:r>
    </w:p>
    <w:p w:rsidR="00E33C62" w:rsidRDefault="00E33C62" w:rsidP="00E33C62">
      <w:pPr>
        <w:spacing w:after="0" w:line="240" w:lineRule="auto"/>
        <w:jc w:val="both"/>
        <w:rPr>
          <w:rFonts w:cs="Arial"/>
          <w:iCs/>
          <w:lang w:eastAsia="sl-SI"/>
        </w:rPr>
      </w:pPr>
    </w:p>
    <w:p w:rsidR="00E33C62" w:rsidRDefault="00E33C62" w:rsidP="00E33C62">
      <w:pPr>
        <w:spacing w:after="0" w:line="240" w:lineRule="auto"/>
        <w:jc w:val="both"/>
        <w:rPr>
          <w:rFonts w:cs="Arial"/>
          <w:iCs/>
          <w:lang w:eastAsia="sl-SI"/>
        </w:rPr>
      </w:pPr>
      <w:r w:rsidRPr="00702EAC">
        <w:rPr>
          <w:rFonts w:cs="Arial"/>
          <w:iCs/>
          <w:lang w:eastAsia="sl-SI"/>
        </w:rPr>
        <w:t>Ukrep 6:</w:t>
      </w:r>
      <w:r w:rsidRPr="00936F08">
        <w:rPr>
          <w:rFonts w:cs="Arial"/>
          <w:b/>
          <w:iCs/>
          <w:lang w:eastAsia="sl-SI"/>
        </w:rPr>
        <w:t xml:space="preserve"> </w:t>
      </w:r>
      <w:r w:rsidRPr="00936F08">
        <w:rPr>
          <w:rFonts w:cs="Arial"/>
          <w:iCs/>
          <w:lang w:eastAsia="sl-SI"/>
        </w:rPr>
        <w:t xml:space="preserve">energetska infrastruktura, izvedba </w:t>
      </w:r>
      <w:r>
        <w:rPr>
          <w:rFonts w:cs="Arial"/>
          <w:iCs/>
          <w:lang w:eastAsia="sl-SI"/>
        </w:rPr>
        <w:t xml:space="preserve"> je </w:t>
      </w:r>
      <w:r w:rsidRPr="00936F08">
        <w:rPr>
          <w:rFonts w:cs="Arial"/>
          <w:iCs/>
          <w:lang w:eastAsia="sl-SI"/>
        </w:rPr>
        <w:t>v pristojnosti (sedanje</w:t>
      </w:r>
      <w:r>
        <w:rPr>
          <w:rFonts w:cs="Arial"/>
          <w:iCs/>
          <w:lang w:eastAsia="sl-SI"/>
        </w:rPr>
        <w:t>ga</w:t>
      </w:r>
      <w:r w:rsidRPr="00936F08">
        <w:rPr>
          <w:rFonts w:cs="Arial"/>
          <w:iCs/>
          <w:lang w:eastAsia="sl-SI"/>
        </w:rPr>
        <w:t>)  Ministrstvo za infrastrukturo</w:t>
      </w:r>
      <w:r>
        <w:rPr>
          <w:rFonts w:cs="Arial"/>
          <w:iCs/>
          <w:lang w:eastAsia="sl-SI"/>
        </w:rPr>
        <w:t>. V</w:t>
      </w:r>
      <w:r w:rsidRPr="00936F08">
        <w:rPr>
          <w:rFonts w:cs="Arial"/>
          <w:iCs/>
          <w:lang w:eastAsia="sl-SI"/>
        </w:rPr>
        <w:t xml:space="preserve"> zvezi s tem je Vlada naložila ministru, pristojnemu za infrastrukturo in prostor, da do 31.7.2013 imenuje delovno skupino, ki bo v pomoč Vladi republike Slovenije pri odločanju o prestrukturiranju energetike v Zasavju, in da se do 31.12.2013 pripravi predlog srednje- in dolgoročnega načrta o prestrukturiranju energetike v Zasavju</w:t>
      </w:r>
      <w:r>
        <w:rPr>
          <w:rFonts w:cs="Arial"/>
          <w:iCs/>
          <w:lang w:eastAsia="sl-SI"/>
        </w:rPr>
        <w:t>.</w:t>
      </w:r>
    </w:p>
    <w:p w:rsidR="00E33C62" w:rsidRDefault="00E33C62" w:rsidP="00E33C62">
      <w:pPr>
        <w:spacing w:after="0" w:line="240" w:lineRule="auto"/>
        <w:jc w:val="both"/>
        <w:rPr>
          <w:rFonts w:cs="Arial"/>
          <w:iCs/>
          <w:lang w:eastAsia="sl-SI"/>
        </w:rPr>
      </w:pPr>
    </w:p>
    <w:p w:rsidR="00E33C62" w:rsidRPr="00702EAC" w:rsidRDefault="00E33C62" w:rsidP="00E33C62">
      <w:pPr>
        <w:spacing w:after="0" w:line="240" w:lineRule="auto"/>
        <w:jc w:val="both"/>
        <w:rPr>
          <w:rFonts w:cs="Arial"/>
          <w:b/>
          <w:iCs/>
          <w:u w:val="single"/>
          <w:lang w:eastAsia="sl-SI"/>
        </w:rPr>
      </w:pPr>
      <w:r w:rsidRPr="00B312DB">
        <w:rPr>
          <w:rFonts w:cs="Arial"/>
          <w:iCs/>
          <w:u w:val="single"/>
          <w:lang w:eastAsia="sl-SI"/>
        </w:rPr>
        <w:t xml:space="preserve">Status: ukrep </w:t>
      </w:r>
      <w:r w:rsidR="00F52F89">
        <w:rPr>
          <w:rFonts w:cs="Arial"/>
          <w:iCs/>
          <w:u w:val="single"/>
          <w:lang w:eastAsia="sl-SI"/>
        </w:rPr>
        <w:t>ni več relevanten</w:t>
      </w:r>
    </w:p>
    <w:p w:rsidR="00E33C62" w:rsidRDefault="00E33C62" w:rsidP="00E33C62">
      <w:pPr>
        <w:spacing w:after="0" w:line="240" w:lineRule="auto"/>
        <w:jc w:val="both"/>
        <w:rPr>
          <w:rFonts w:cs="Arial"/>
          <w:b/>
          <w:iCs/>
          <w:lang w:eastAsia="sl-SI"/>
        </w:rPr>
      </w:pPr>
    </w:p>
    <w:p w:rsidR="00E33C62" w:rsidRDefault="00E33C62" w:rsidP="00E33C62">
      <w:pPr>
        <w:autoSpaceDE w:val="0"/>
        <w:autoSpaceDN w:val="0"/>
        <w:adjustRightInd w:val="0"/>
        <w:spacing w:after="0" w:line="240" w:lineRule="auto"/>
        <w:jc w:val="both"/>
        <w:rPr>
          <w:rFonts w:cs="Calibri"/>
          <w:color w:val="000000"/>
          <w:lang w:eastAsia="sl-SI"/>
        </w:rPr>
      </w:pPr>
      <w:r>
        <w:rPr>
          <w:rFonts w:cs="Calibri"/>
          <w:color w:val="000000"/>
          <w:lang w:eastAsia="sl-SI"/>
        </w:rPr>
        <w:t xml:space="preserve">Na osnovi sklepa Vlade je pristojni minister dne 8.10.2013 imenoval delovno skupino z nalogo, da pripravi predlog rešitev srednjeročnega in dolgoročnega načrta prestrukturiranja energetike v Zasavju (do 31.12.2013 oz podaljšanje do 31.3.2014). V delovno skupino so bili imenovani predstavniki pomembnih akterjev v regiji s področja energetike, torej HSE in GEN energija , prav tako pa predstavnika lokalne skupnosti ter predstavnika Ministrstva za finance in resornega ministrstva (tedanji MZIP), z namenom zagotoviti zastopanost različnih pogledov. Skupina je pripravila končno poročilo, ki je odraz usklajenih pogledov tako lokalne skupnosti kot tudi ekonomskih akterjev na tem področju, pri čemer je treba poudariti, da zaradi nesprejemljivosti termične obdelave odpadkov (TOO) v TET za lokalno skupnost vse možnosti niso bile podrobno razdelane. </w:t>
      </w:r>
    </w:p>
    <w:p w:rsidR="00E33C62" w:rsidRDefault="00E33C62" w:rsidP="00E33C62">
      <w:pPr>
        <w:autoSpaceDE w:val="0"/>
        <w:autoSpaceDN w:val="0"/>
        <w:adjustRightInd w:val="0"/>
        <w:spacing w:after="0" w:line="240" w:lineRule="auto"/>
        <w:jc w:val="both"/>
        <w:rPr>
          <w:rFonts w:cs="Calibri"/>
          <w:color w:val="000000"/>
          <w:lang w:eastAsia="sl-SI"/>
        </w:rPr>
      </w:pPr>
    </w:p>
    <w:p w:rsidR="00E33C62" w:rsidRDefault="00E33C62" w:rsidP="00E33C62">
      <w:pPr>
        <w:autoSpaceDE w:val="0"/>
        <w:autoSpaceDN w:val="0"/>
        <w:adjustRightInd w:val="0"/>
        <w:spacing w:after="0" w:line="240" w:lineRule="auto"/>
        <w:jc w:val="both"/>
        <w:rPr>
          <w:rFonts w:cs="Calibri"/>
          <w:color w:val="000000"/>
          <w:lang w:eastAsia="sl-SI"/>
        </w:rPr>
      </w:pPr>
      <w:r>
        <w:rPr>
          <w:rFonts w:cs="Calibri"/>
          <w:color w:val="000000"/>
          <w:lang w:eastAsia="sl-SI"/>
        </w:rPr>
        <w:t>Končno poročilo izhaja iz trenutnega stanja zasavske energetike: na eni strani različni gospodarski subjekti, ki so brez novih investicij v zaključku življenjske dobe, in regija, ki se kljub številnim podpornim programom in vedenju, da se čas delovanja obstoječim energetskim subjektom ob nevlaganju v novi razvoj izteka, ni uspela ustrezno prestrukturirati, na drugo strani pa potencial, ki izhaja predvsem iz lokacije, ki je tradicionalno energetska ter iz znanja in izkušenih kadrov.</w:t>
      </w:r>
      <w:r w:rsidR="00C11D5C">
        <w:rPr>
          <w:rFonts w:cs="Calibri"/>
          <w:color w:val="000000"/>
          <w:lang w:eastAsia="sl-SI"/>
        </w:rPr>
        <w:t xml:space="preserve"> </w:t>
      </w:r>
      <w:r>
        <w:rPr>
          <w:rFonts w:cs="Calibri"/>
          <w:color w:val="000000"/>
          <w:lang w:eastAsia="sl-SI"/>
        </w:rPr>
        <w:t xml:space="preserve">Delovna skupina je predlagala ukrepe za ključne energetske subjekte v regiji in sicer RTH, TET in SRESA. Slovenski gospodarski interes bi lahko bil, da se objekti v Zasavju začnejo graditi in da se začne novi investicijski cikel, ki bi odprl nova delovna mesta. </w:t>
      </w:r>
    </w:p>
    <w:p w:rsidR="00E33C62" w:rsidRDefault="00E33C62" w:rsidP="00E33C62">
      <w:pPr>
        <w:tabs>
          <w:tab w:val="left" w:pos="8910"/>
        </w:tabs>
        <w:autoSpaceDE w:val="0"/>
        <w:autoSpaceDN w:val="0"/>
        <w:adjustRightInd w:val="0"/>
        <w:spacing w:after="0" w:line="240" w:lineRule="auto"/>
        <w:jc w:val="both"/>
        <w:rPr>
          <w:rFonts w:cs="Calibri"/>
          <w:color w:val="000000"/>
          <w:lang w:eastAsia="sl-SI"/>
        </w:rPr>
      </w:pPr>
    </w:p>
    <w:p w:rsidR="00E33C62" w:rsidRDefault="00E33C62" w:rsidP="00E33C62">
      <w:pPr>
        <w:tabs>
          <w:tab w:val="left" w:pos="8910"/>
        </w:tabs>
        <w:autoSpaceDE w:val="0"/>
        <w:autoSpaceDN w:val="0"/>
        <w:adjustRightInd w:val="0"/>
        <w:spacing w:after="0" w:line="240" w:lineRule="auto"/>
        <w:jc w:val="both"/>
        <w:rPr>
          <w:rFonts w:ascii="Times New Roman" w:hAnsi="Times New Roman"/>
          <w:color w:val="000000"/>
          <w:lang w:eastAsia="sl-SI"/>
        </w:rPr>
      </w:pPr>
      <w:r>
        <w:rPr>
          <w:rFonts w:cs="Calibri"/>
          <w:color w:val="000000"/>
          <w:lang w:eastAsia="sl-SI"/>
        </w:rPr>
        <w:t>Resorno ministrstvo je v vladni postopek obravnave predložilo Poročilo delovne skupine</w:t>
      </w:r>
      <w:r>
        <w:rPr>
          <w:rFonts w:ascii="Times New Roman" w:hAnsi="Times New Roman"/>
          <w:color w:val="000000"/>
          <w:lang w:eastAsia="sl-SI"/>
        </w:rPr>
        <w:t>,</w:t>
      </w:r>
      <w:r>
        <w:rPr>
          <w:rFonts w:cs="Calibri"/>
          <w:color w:val="000000"/>
          <w:lang w:eastAsia="sl-SI"/>
        </w:rPr>
        <w:t xml:space="preserve"> vendar gradivo ni bilo objavljeno v informacijskem sistemu Vlade RS, ker poročilo ni vsebovalo predloga načrta. Med sprejemom vladnega sklepa in zaključkom dela delovne skupine je bil namreč potrjen EZ-1, ki med drugim predvideva tudi pripravo in potrditev Energetskega koncepta Slovenije (EKS). Zato po oceni resornega ministrstva ni smiselno, da se parcialno rešujejo oz. načrtujejo razvoji posameznih regij, temveč je treba poiskati in določiti celovito sliko za državo. Iz tega pa bodo lahko kasneje izhajale tudi razvojne smernice za posamezne regije. Pri tem je poročilo delovne skupine to lahko ena od podlag za pripravo dolgoročne strategije razvoja celotne slovenske energetike v strateških dokumentih</w:t>
      </w:r>
      <w:r>
        <w:rPr>
          <w:rFonts w:ascii="Times New Roman" w:hAnsi="Times New Roman"/>
          <w:color w:val="000000"/>
          <w:lang w:eastAsia="sl-SI"/>
        </w:rPr>
        <w:t>.</w:t>
      </w:r>
    </w:p>
    <w:p w:rsidR="00E33C62" w:rsidRDefault="00E33C62" w:rsidP="00E33C62">
      <w:pPr>
        <w:spacing w:after="0" w:line="240" w:lineRule="auto"/>
        <w:jc w:val="both"/>
        <w:rPr>
          <w:rFonts w:cs="Calibri"/>
          <w:color w:val="000000"/>
          <w:lang w:eastAsia="sl-SI"/>
        </w:rPr>
      </w:pPr>
    </w:p>
    <w:p w:rsidR="00E33C62" w:rsidRPr="009B1143" w:rsidRDefault="00E33C62" w:rsidP="00E33C62">
      <w:pPr>
        <w:spacing w:after="0" w:line="240" w:lineRule="auto"/>
        <w:jc w:val="both"/>
        <w:rPr>
          <w:rFonts w:cs="Arial"/>
          <w:iCs/>
          <w:lang w:eastAsia="sl-SI"/>
        </w:rPr>
      </w:pPr>
      <w:r w:rsidRPr="009B1143">
        <w:rPr>
          <w:rFonts w:cs="Calibri"/>
          <w:color w:val="000000"/>
          <w:lang w:eastAsia="sl-SI"/>
        </w:rPr>
        <w:t>Ministrstvo za infrastrukturo je predlagalo odpravo</w:t>
      </w:r>
      <w:r w:rsidR="00C11D5C" w:rsidRPr="009B1143">
        <w:rPr>
          <w:rFonts w:cs="Calibri"/>
          <w:color w:val="000000"/>
          <w:lang w:eastAsia="sl-SI"/>
        </w:rPr>
        <w:t xml:space="preserve"> sklepa Vlade o pripravi načrta. V</w:t>
      </w:r>
      <w:r w:rsidR="00C11D5C" w:rsidRPr="009B1143">
        <w:rPr>
          <w:rFonts w:cs="Arial"/>
          <w:color w:val="000000"/>
          <w:lang w:eastAsia="sl-SI"/>
        </w:rPr>
        <w:t xml:space="preserve">lada RS je na seji dne 13.11.2014 sprejela </w:t>
      </w:r>
      <w:r w:rsidR="004A044C" w:rsidRPr="009B1143">
        <w:rPr>
          <w:rFonts w:cs="Arial"/>
          <w:color w:val="000000"/>
          <w:lang w:eastAsia="sl-SI"/>
        </w:rPr>
        <w:t>razveljavitev</w:t>
      </w:r>
      <w:r w:rsidR="00C11D5C" w:rsidRPr="009B1143">
        <w:rPr>
          <w:rFonts w:cs="Arial"/>
          <w:color w:val="000000"/>
          <w:lang w:eastAsia="sl-SI"/>
        </w:rPr>
        <w:t xml:space="preserve"> sklepa;</w:t>
      </w:r>
      <w:r w:rsidR="00C11D5C" w:rsidRPr="009B1143">
        <w:rPr>
          <w:rFonts w:cs="Arial"/>
          <w:b/>
          <w:bCs/>
          <w:i/>
          <w:iCs/>
          <w:color w:val="FF0000"/>
          <w:lang w:eastAsia="sl-SI"/>
        </w:rPr>
        <w:t xml:space="preserve"> </w:t>
      </w:r>
      <w:r w:rsidR="00C11D5C" w:rsidRPr="009B1143">
        <w:rPr>
          <w:rFonts w:cs="Arial"/>
          <w:bCs/>
          <w:iCs/>
          <w:lang w:eastAsia="sl-SI"/>
        </w:rPr>
        <w:t>razveljavi se 4. točka Sklepa Vlade Republike Slovenije, št. 00726-19/2013/7 z dne 25. 7. 2013</w:t>
      </w:r>
      <w:r w:rsidR="00C11D5C" w:rsidRPr="009B1143">
        <w:rPr>
          <w:rFonts w:cs="Arial"/>
          <w:lang w:eastAsia="sl-SI"/>
        </w:rPr>
        <w:t>).</w:t>
      </w:r>
    </w:p>
    <w:p w:rsidR="00E33C62" w:rsidRDefault="00E33C62" w:rsidP="00E33C62">
      <w:pPr>
        <w:spacing w:after="0" w:line="240" w:lineRule="auto"/>
        <w:jc w:val="both"/>
        <w:rPr>
          <w:rFonts w:cs="Arial"/>
          <w:b/>
          <w:iCs/>
          <w:lang w:eastAsia="sl-SI"/>
        </w:rPr>
      </w:pPr>
    </w:p>
    <w:p w:rsidR="00E33C62" w:rsidRPr="00A57FA3" w:rsidRDefault="00E33C62" w:rsidP="0086498C">
      <w:pPr>
        <w:pStyle w:val="Naslov2"/>
        <w:numPr>
          <w:ilvl w:val="1"/>
          <w:numId w:val="12"/>
        </w:numPr>
        <w:spacing w:before="0" w:after="0" w:line="240" w:lineRule="auto"/>
        <w:jc w:val="both"/>
        <w:rPr>
          <w:rFonts w:cs="Arial"/>
          <w:sz w:val="24"/>
          <w:szCs w:val="24"/>
          <w:lang w:eastAsia="sl-SI"/>
        </w:rPr>
      </w:pPr>
      <w:r w:rsidRPr="00A57FA3">
        <w:rPr>
          <w:sz w:val="24"/>
          <w:szCs w:val="24"/>
          <w:lang w:eastAsia="sl-SI"/>
        </w:rPr>
        <w:lastRenderedPageBreak/>
        <w:t>Ukrep 7: seznanitev z urejanjem javne infrastrukture in prenosi državnega premoženja iz države na občine</w:t>
      </w:r>
    </w:p>
    <w:p w:rsidR="00E33C62" w:rsidRDefault="00E33C62" w:rsidP="00E33C62">
      <w:pPr>
        <w:spacing w:after="0" w:line="240" w:lineRule="auto"/>
        <w:jc w:val="both"/>
        <w:rPr>
          <w:rFonts w:cs="Arial"/>
          <w:b/>
          <w:iCs/>
          <w:lang w:eastAsia="sl-SI"/>
        </w:rPr>
      </w:pPr>
    </w:p>
    <w:p w:rsidR="00E33C62" w:rsidRPr="00936F08" w:rsidRDefault="00E33C62" w:rsidP="00E33C62">
      <w:pPr>
        <w:spacing w:after="0" w:line="240" w:lineRule="auto"/>
        <w:jc w:val="both"/>
        <w:rPr>
          <w:rFonts w:cs="Arial"/>
          <w:iCs/>
          <w:lang w:eastAsia="sl-SI"/>
        </w:rPr>
      </w:pPr>
      <w:r w:rsidRPr="00067C6E">
        <w:rPr>
          <w:rFonts w:cs="Arial"/>
          <w:iCs/>
          <w:lang w:eastAsia="sl-SI"/>
        </w:rPr>
        <w:t>Ukrep 7:</w:t>
      </w:r>
      <w:r w:rsidRPr="00936F08">
        <w:rPr>
          <w:rFonts w:cs="Arial"/>
          <w:iCs/>
          <w:lang w:eastAsia="sl-SI"/>
        </w:rPr>
        <w:t xml:space="preserve"> seznanitev z urejanjem javne infrastrukture in prenosi državnega premoženja iz države na občine, izvedba v pristojnosti občin Hrastnik, Radeče in Trbovlje.</w:t>
      </w:r>
    </w:p>
    <w:p w:rsidR="00E33C62" w:rsidRDefault="00E33C62" w:rsidP="00E33C62">
      <w:pPr>
        <w:spacing w:after="0" w:line="240" w:lineRule="auto"/>
        <w:jc w:val="both"/>
        <w:rPr>
          <w:lang w:eastAsia="sl-SI"/>
        </w:rPr>
      </w:pPr>
    </w:p>
    <w:p w:rsidR="00E33C62" w:rsidRPr="001300A1" w:rsidRDefault="00E33C62" w:rsidP="00E33C62">
      <w:pPr>
        <w:spacing w:after="0" w:line="240" w:lineRule="auto"/>
        <w:jc w:val="both"/>
        <w:rPr>
          <w:u w:val="single"/>
          <w:lang w:eastAsia="sl-SI"/>
        </w:rPr>
      </w:pPr>
      <w:r w:rsidRPr="001300A1">
        <w:rPr>
          <w:u w:val="single"/>
          <w:lang w:eastAsia="sl-SI"/>
        </w:rPr>
        <w:t xml:space="preserve">Status: </w:t>
      </w:r>
      <w:r w:rsidR="001300A1" w:rsidRPr="001300A1">
        <w:rPr>
          <w:u w:val="single"/>
          <w:lang w:eastAsia="sl-SI"/>
        </w:rPr>
        <w:t>ukrep je v fazi priprave</w:t>
      </w:r>
      <w:r w:rsidRPr="001300A1">
        <w:rPr>
          <w:u w:val="single"/>
          <w:lang w:eastAsia="sl-SI"/>
        </w:rPr>
        <w:t>.</w:t>
      </w:r>
    </w:p>
    <w:p w:rsidR="00E33C62" w:rsidRDefault="00E33C62" w:rsidP="00E33C62">
      <w:pPr>
        <w:spacing w:after="0" w:line="240" w:lineRule="auto"/>
        <w:jc w:val="both"/>
        <w:rPr>
          <w:lang w:eastAsia="sl-SI"/>
        </w:rPr>
      </w:pPr>
    </w:p>
    <w:p w:rsidR="00E33C62" w:rsidRDefault="00E33C62" w:rsidP="00E33C62">
      <w:pPr>
        <w:spacing w:after="0" w:line="240" w:lineRule="auto"/>
        <w:jc w:val="both"/>
        <w:rPr>
          <w:lang w:eastAsia="sl-SI"/>
        </w:rPr>
      </w:pPr>
      <w:r>
        <w:rPr>
          <w:lang w:eastAsia="sl-SI"/>
        </w:rPr>
        <w:t>Samo s strani občine Hrastnik je bila podana informacija, da so že pred sprejemom teh ukrepov z RTH d.o.o. Trbovlje usklajevali seznam nepremičnin (zemljišč in objektov), ki jih RTH d.o.o. Trbovlje za izvajanje svoje dejavnosti ni več potreboval, so pa pomembne z razvojnega vidika za lokalno skupnost, s ciljem brezplačnega prenosa na lokalno skupnost. Glede na dejstvo, da se zemljišča (in objekti) nahajajo znotraj območij, razvojno pomembnih za lokalno skupnost, oziroma predstavljajo ukrep razvojne podpore za katere ZSRR-2 in sklep Vlade omogočata prenos premoženja v razvojne namene, so na občini Hrastnik dne 17.2.2014 zaprosili za mnenje k predlogu in začetek postopka brezplačnega prenosa premoženja. Odziva s strani RTH d.o.o. še vedno niso dobili, kljub urgenci dne 29.5.2014.</w:t>
      </w:r>
    </w:p>
    <w:p w:rsidR="00E33C62" w:rsidRDefault="00E33C62" w:rsidP="00E33C62">
      <w:pPr>
        <w:spacing w:after="0" w:line="240" w:lineRule="auto"/>
        <w:jc w:val="both"/>
        <w:rPr>
          <w:lang w:eastAsia="sl-SI"/>
        </w:rPr>
      </w:pPr>
    </w:p>
    <w:p w:rsidR="00E33C62" w:rsidRDefault="00E33C62" w:rsidP="00E33C62">
      <w:pPr>
        <w:spacing w:after="0" w:line="240" w:lineRule="auto"/>
        <w:jc w:val="both"/>
        <w:rPr>
          <w:lang w:eastAsia="sl-SI"/>
        </w:rPr>
      </w:pPr>
      <w:r>
        <w:rPr>
          <w:lang w:eastAsia="sl-SI"/>
        </w:rPr>
        <w:t xml:space="preserve">Vse tri občine; Hrastnik, Radeče in Trbovlje aktivno sodelujejo pri promociji Programa in ukrepov in dajejo informacije potencialnim interesentom, vse tri pa tudi poudarjajo, da se instrumenti Programa izvajajo bistveno prepočasi. </w:t>
      </w:r>
    </w:p>
    <w:p w:rsidR="00E33C62" w:rsidRDefault="00E33C62" w:rsidP="00E33C62">
      <w:pPr>
        <w:spacing w:after="0" w:line="240" w:lineRule="auto"/>
        <w:jc w:val="both"/>
        <w:rPr>
          <w:lang w:eastAsia="sl-SI"/>
        </w:rPr>
      </w:pPr>
    </w:p>
    <w:p w:rsidR="00E33C62" w:rsidRDefault="00E33C62" w:rsidP="00E33C62">
      <w:pPr>
        <w:spacing w:after="0" w:line="240" w:lineRule="auto"/>
        <w:jc w:val="both"/>
        <w:rPr>
          <w:lang w:eastAsia="sl-SI"/>
        </w:rPr>
      </w:pPr>
    </w:p>
    <w:p w:rsidR="00E33C62" w:rsidRPr="00C15A50" w:rsidRDefault="00E33C62" w:rsidP="00E33C62">
      <w:pPr>
        <w:spacing w:after="0" w:line="240" w:lineRule="auto"/>
        <w:jc w:val="both"/>
        <w:rPr>
          <w:lang w:eastAsia="sl-SI"/>
        </w:rPr>
      </w:pPr>
    </w:p>
    <w:p w:rsidR="006003B5" w:rsidRDefault="006003B5" w:rsidP="00FE58D5">
      <w:pPr>
        <w:spacing w:after="0"/>
        <w:jc w:val="both"/>
        <w:rPr>
          <w:rFonts w:ascii="Arial" w:hAnsi="Arial" w:cs="Arial"/>
          <w:sz w:val="20"/>
          <w:szCs w:val="20"/>
        </w:rPr>
      </w:pPr>
    </w:p>
    <w:p w:rsidR="006003B5" w:rsidRDefault="006003B5" w:rsidP="00FE58D5">
      <w:pPr>
        <w:spacing w:after="0"/>
        <w:jc w:val="both"/>
        <w:rPr>
          <w:rFonts w:ascii="Arial" w:hAnsi="Arial" w:cs="Arial"/>
          <w:sz w:val="20"/>
          <w:szCs w:val="20"/>
        </w:rPr>
      </w:pPr>
    </w:p>
    <w:p w:rsidR="00963A03" w:rsidRPr="00EE51B8" w:rsidRDefault="00963A03" w:rsidP="00963A03">
      <w:pPr>
        <w:spacing w:after="0"/>
        <w:jc w:val="both"/>
        <w:rPr>
          <w:rFonts w:ascii="Arial" w:hAnsi="Arial" w:cs="Arial"/>
          <w:sz w:val="20"/>
          <w:szCs w:val="20"/>
        </w:rPr>
      </w:pPr>
    </w:p>
    <w:p w:rsidR="00963A03" w:rsidRPr="00EE51B8" w:rsidRDefault="00963A03" w:rsidP="00963A03">
      <w:pPr>
        <w:spacing w:after="0"/>
        <w:jc w:val="both"/>
        <w:rPr>
          <w:rFonts w:ascii="Arial" w:hAnsi="Arial" w:cs="Arial"/>
          <w:sz w:val="20"/>
          <w:szCs w:val="20"/>
        </w:rPr>
      </w:pPr>
    </w:p>
    <w:p w:rsidR="00963A03" w:rsidRPr="00EE51B8" w:rsidRDefault="00963A03" w:rsidP="00963A03">
      <w:pPr>
        <w:spacing w:after="0"/>
        <w:jc w:val="both"/>
        <w:rPr>
          <w:rFonts w:ascii="Arial" w:hAnsi="Arial" w:cs="Arial"/>
          <w:sz w:val="20"/>
          <w:szCs w:val="20"/>
        </w:rPr>
      </w:pPr>
    </w:p>
    <w:p w:rsidR="00963A03" w:rsidRPr="00EE51B8" w:rsidRDefault="00963A03" w:rsidP="00963A03">
      <w:pPr>
        <w:spacing w:after="0"/>
        <w:jc w:val="both"/>
        <w:rPr>
          <w:rFonts w:ascii="Arial" w:hAnsi="Arial" w:cs="Arial"/>
          <w:sz w:val="20"/>
          <w:szCs w:val="20"/>
        </w:rPr>
      </w:pPr>
    </w:p>
    <w:p w:rsidR="00013F0B" w:rsidRPr="00F64E70" w:rsidRDefault="00013F0B" w:rsidP="002C065C">
      <w:pPr>
        <w:autoSpaceDE w:val="0"/>
        <w:autoSpaceDN w:val="0"/>
        <w:adjustRightInd w:val="0"/>
        <w:spacing w:line="240" w:lineRule="auto"/>
        <w:rPr>
          <w:rFonts w:ascii="Arial" w:hAnsi="Arial" w:cs="Arial"/>
          <w:sz w:val="20"/>
          <w:szCs w:val="20"/>
        </w:rPr>
      </w:pPr>
    </w:p>
    <w:p w:rsidR="00013F0B" w:rsidRDefault="00013F0B" w:rsidP="007479AC">
      <w:pPr>
        <w:autoSpaceDE w:val="0"/>
        <w:autoSpaceDN w:val="0"/>
        <w:adjustRightInd w:val="0"/>
        <w:spacing w:line="240" w:lineRule="auto"/>
        <w:rPr>
          <w:rFonts w:ascii="Arial" w:hAnsi="Arial" w:cs="Arial"/>
          <w:sz w:val="20"/>
          <w:szCs w:val="20"/>
        </w:rPr>
      </w:pPr>
    </w:p>
    <w:p w:rsidR="00013F0B" w:rsidRDefault="00013F0B" w:rsidP="007479AC">
      <w:pPr>
        <w:autoSpaceDE w:val="0"/>
        <w:autoSpaceDN w:val="0"/>
        <w:adjustRightInd w:val="0"/>
        <w:spacing w:line="240" w:lineRule="auto"/>
        <w:rPr>
          <w:rFonts w:ascii="Arial" w:hAnsi="Arial" w:cs="Arial"/>
          <w:sz w:val="20"/>
          <w:szCs w:val="20"/>
        </w:rPr>
      </w:pPr>
    </w:p>
    <w:p w:rsidR="00615BEF" w:rsidRDefault="00615BEF" w:rsidP="007479AC">
      <w:pPr>
        <w:autoSpaceDE w:val="0"/>
        <w:autoSpaceDN w:val="0"/>
        <w:adjustRightInd w:val="0"/>
        <w:spacing w:line="240" w:lineRule="auto"/>
        <w:rPr>
          <w:rFonts w:ascii="Arial" w:hAnsi="Arial" w:cs="Arial"/>
          <w:sz w:val="20"/>
          <w:szCs w:val="20"/>
        </w:rPr>
      </w:pPr>
    </w:p>
    <w:p w:rsidR="00615BEF" w:rsidRDefault="00615BEF" w:rsidP="007479AC">
      <w:pPr>
        <w:autoSpaceDE w:val="0"/>
        <w:autoSpaceDN w:val="0"/>
        <w:adjustRightInd w:val="0"/>
        <w:spacing w:line="240" w:lineRule="auto"/>
        <w:rPr>
          <w:rFonts w:ascii="Arial" w:hAnsi="Arial" w:cs="Arial"/>
          <w:sz w:val="20"/>
          <w:szCs w:val="20"/>
        </w:rPr>
      </w:pPr>
    </w:p>
    <w:p w:rsidR="00615BEF" w:rsidRDefault="00615BEF" w:rsidP="007479AC">
      <w:pPr>
        <w:autoSpaceDE w:val="0"/>
        <w:autoSpaceDN w:val="0"/>
        <w:adjustRightInd w:val="0"/>
        <w:spacing w:line="240" w:lineRule="auto"/>
        <w:rPr>
          <w:rFonts w:ascii="Arial" w:hAnsi="Arial" w:cs="Arial"/>
          <w:sz w:val="20"/>
          <w:szCs w:val="20"/>
        </w:rPr>
      </w:pPr>
    </w:p>
    <w:p w:rsidR="00615BEF" w:rsidRDefault="00615BEF" w:rsidP="007479AC">
      <w:pPr>
        <w:autoSpaceDE w:val="0"/>
        <w:autoSpaceDN w:val="0"/>
        <w:adjustRightInd w:val="0"/>
        <w:spacing w:line="240" w:lineRule="auto"/>
        <w:rPr>
          <w:rFonts w:ascii="Arial" w:hAnsi="Arial" w:cs="Arial"/>
          <w:sz w:val="20"/>
          <w:szCs w:val="20"/>
        </w:rPr>
      </w:pPr>
    </w:p>
    <w:p w:rsidR="00615BEF" w:rsidRDefault="00615BEF" w:rsidP="007479AC">
      <w:pPr>
        <w:autoSpaceDE w:val="0"/>
        <w:autoSpaceDN w:val="0"/>
        <w:adjustRightInd w:val="0"/>
        <w:spacing w:line="240" w:lineRule="auto"/>
        <w:rPr>
          <w:rFonts w:ascii="Arial" w:hAnsi="Arial" w:cs="Arial"/>
          <w:sz w:val="20"/>
          <w:szCs w:val="20"/>
        </w:rPr>
      </w:pPr>
    </w:p>
    <w:p w:rsidR="00615BEF" w:rsidRDefault="00615BEF" w:rsidP="007479AC">
      <w:pPr>
        <w:autoSpaceDE w:val="0"/>
        <w:autoSpaceDN w:val="0"/>
        <w:adjustRightInd w:val="0"/>
        <w:spacing w:line="240" w:lineRule="auto"/>
        <w:rPr>
          <w:rFonts w:ascii="Arial" w:hAnsi="Arial" w:cs="Arial"/>
          <w:sz w:val="20"/>
          <w:szCs w:val="20"/>
        </w:rPr>
      </w:pPr>
    </w:p>
    <w:p w:rsidR="00615BEF" w:rsidRDefault="00615BEF" w:rsidP="007479AC">
      <w:pPr>
        <w:autoSpaceDE w:val="0"/>
        <w:autoSpaceDN w:val="0"/>
        <w:adjustRightInd w:val="0"/>
        <w:spacing w:line="240" w:lineRule="auto"/>
        <w:rPr>
          <w:rFonts w:ascii="Arial" w:hAnsi="Arial" w:cs="Arial"/>
          <w:sz w:val="20"/>
          <w:szCs w:val="20"/>
        </w:rPr>
      </w:pPr>
    </w:p>
    <w:p w:rsidR="00615BEF" w:rsidRDefault="00615BEF" w:rsidP="007479AC">
      <w:pPr>
        <w:autoSpaceDE w:val="0"/>
        <w:autoSpaceDN w:val="0"/>
        <w:adjustRightInd w:val="0"/>
        <w:spacing w:line="240" w:lineRule="auto"/>
        <w:rPr>
          <w:rFonts w:ascii="Arial" w:hAnsi="Arial" w:cs="Arial"/>
          <w:sz w:val="20"/>
          <w:szCs w:val="20"/>
        </w:rPr>
      </w:pPr>
    </w:p>
    <w:p w:rsidR="00615BEF" w:rsidRDefault="00615BEF" w:rsidP="007479AC">
      <w:pPr>
        <w:autoSpaceDE w:val="0"/>
        <w:autoSpaceDN w:val="0"/>
        <w:adjustRightInd w:val="0"/>
        <w:spacing w:line="240" w:lineRule="auto"/>
        <w:rPr>
          <w:rFonts w:ascii="Arial" w:hAnsi="Arial" w:cs="Arial"/>
          <w:sz w:val="20"/>
          <w:szCs w:val="20"/>
        </w:rPr>
      </w:pPr>
    </w:p>
    <w:p w:rsidR="00615BEF" w:rsidRDefault="00615BEF" w:rsidP="007479AC">
      <w:pPr>
        <w:autoSpaceDE w:val="0"/>
        <w:autoSpaceDN w:val="0"/>
        <w:adjustRightInd w:val="0"/>
        <w:spacing w:line="240" w:lineRule="auto"/>
        <w:rPr>
          <w:rFonts w:ascii="Arial" w:hAnsi="Arial" w:cs="Arial"/>
          <w:sz w:val="20"/>
          <w:szCs w:val="20"/>
        </w:rPr>
      </w:pPr>
    </w:p>
    <w:p w:rsidR="00615BEF" w:rsidRDefault="00615BEF" w:rsidP="007479AC">
      <w:pPr>
        <w:autoSpaceDE w:val="0"/>
        <w:autoSpaceDN w:val="0"/>
        <w:adjustRightInd w:val="0"/>
        <w:spacing w:line="240" w:lineRule="auto"/>
        <w:rPr>
          <w:rFonts w:ascii="Arial" w:hAnsi="Arial" w:cs="Arial"/>
          <w:sz w:val="20"/>
          <w:szCs w:val="20"/>
        </w:rPr>
      </w:pPr>
    </w:p>
    <w:p w:rsidR="00615BEF" w:rsidRDefault="00615BEF" w:rsidP="007479AC">
      <w:pPr>
        <w:autoSpaceDE w:val="0"/>
        <w:autoSpaceDN w:val="0"/>
        <w:adjustRightInd w:val="0"/>
        <w:spacing w:line="240" w:lineRule="auto"/>
        <w:rPr>
          <w:rFonts w:ascii="Arial" w:hAnsi="Arial" w:cs="Arial"/>
          <w:sz w:val="20"/>
          <w:szCs w:val="20"/>
        </w:rPr>
      </w:pPr>
    </w:p>
    <w:p w:rsidR="00615BEF" w:rsidRPr="00E92419" w:rsidRDefault="00615BEF" w:rsidP="007479AC">
      <w:pPr>
        <w:autoSpaceDE w:val="0"/>
        <w:autoSpaceDN w:val="0"/>
        <w:adjustRightInd w:val="0"/>
        <w:spacing w:line="240" w:lineRule="auto"/>
        <w:rPr>
          <w:rFonts w:ascii="Arial" w:hAnsi="Arial" w:cs="Arial"/>
          <w:sz w:val="20"/>
          <w:szCs w:val="20"/>
        </w:rPr>
      </w:pPr>
    </w:p>
    <w:sectPr w:rsidR="00615BEF" w:rsidRPr="00E92419" w:rsidSect="006A446C">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F9C" w:rsidRDefault="00740F9C">
      <w:pPr>
        <w:spacing w:after="0" w:line="240" w:lineRule="auto"/>
      </w:pPr>
      <w:r>
        <w:separator/>
      </w:r>
    </w:p>
  </w:endnote>
  <w:endnote w:type="continuationSeparator" w:id="0">
    <w:p w:rsidR="00740F9C" w:rsidRDefault="00740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F9C" w:rsidRDefault="00740F9C">
      <w:pPr>
        <w:spacing w:after="0" w:line="240" w:lineRule="auto"/>
      </w:pPr>
      <w:r>
        <w:separator/>
      </w:r>
    </w:p>
  </w:footnote>
  <w:footnote w:type="continuationSeparator" w:id="0">
    <w:p w:rsidR="00740F9C" w:rsidRDefault="00740F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846" w:rsidRPr="00E21FF9" w:rsidRDefault="00EE3846" w:rsidP="007479AC">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rsidR="00EE3846" w:rsidRPr="008F3500" w:rsidRDefault="00EE3846" w:rsidP="007479AC">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82678"/>
    <w:multiLevelType w:val="hybridMultilevel"/>
    <w:tmpl w:val="184C98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2E27C9C"/>
    <w:multiLevelType w:val="hybridMultilevel"/>
    <w:tmpl w:val="45A2B77E"/>
    <w:lvl w:ilvl="0" w:tplc="37D8A13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E3F7169"/>
    <w:multiLevelType w:val="hybridMultilevel"/>
    <w:tmpl w:val="4DE82A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0D80FDB"/>
    <w:multiLevelType w:val="hybridMultilevel"/>
    <w:tmpl w:val="0CB6FADA"/>
    <w:lvl w:ilvl="0" w:tplc="E214A942">
      <w:start w:val="5"/>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31DC13A0"/>
    <w:multiLevelType w:val="hybridMultilevel"/>
    <w:tmpl w:val="4E127624"/>
    <w:lvl w:ilvl="0" w:tplc="04240001">
      <w:start w:val="1"/>
      <w:numFmt w:val="bullet"/>
      <w:lvlText w:val=""/>
      <w:lvlJc w:val="left"/>
      <w:pPr>
        <w:ind w:left="910" w:hanging="360"/>
      </w:pPr>
      <w:rPr>
        <w:rFonts w:ascii="Symbol" w:hAnsi="Symbol" w:hint="default"/>
      </w:rPr>
    </w:lvl>
    <w:lvl w:ilvl="1" w:tplc="04240003" w:tentative="1">
      <w:start w:val="1"/>
      <w:numFmt w:val="bullet"/>
      <w:lvlText w:val="o"/>
      <w:lvlJc w:val="left"/>
      <w:pPr>
        <w:ind w:left="1630" w:hanging="360"/>
      </w:pPr>
      <w:rPr>
        <w:rFonts w:ascii="Courier New" w:hAnsi="Courier New" w:cs="Courier New" w:hint="default"/>
      </w:rPr>
    </w:lvl>
    <w:lvl w:ilvl="2" w:tplc="04240005" w:tentative="1">
      <w:start w:val="1"/>
      <w:numFmt w:val="bullet"/>
      <w:lvlText w:val=""/>
      <w:lvlJc w:val="left"/>
      <w:pPr>
        <w:ind w:left="2350" w:hanging="360"/>
      </w:pPr>
      <w:rPr>
        <w:rFonts w:ascii="Wingdings" w:hAnsi="Wingdings" w:hint="default"/>
      </w:rPr>
    </w:lvl>
    <w:lvl w:ilvl="3" w:tplc="04240001" w:tentative="1">
      <w:start w:val="1"/>
      <w:numFmt w:val="bullet"/>
      <w:lvlText w:val=""/>
      <w:lvlJc w:val="left"/>
      <w:pPr>
        <w:ind w:left="3070" w:hanging="360"/>
      </w:pPr>
      <w:rPr>
        <w:rFonts w:ascii="Symbol" w:hAnsi="Symbol" w:hint="default"/>
      </w:rPr>
    </w:lvl>
    <w:lvl w:ilvl="4" w:tplc="04240003" w:tentative="1">
      <w:start w:val="1"/>
      <w:numFmt w:val="bullet"/>
      <w:lvlText w:val="o"/>
      <w:lvlJc w:val="left"/>
      <w:pPr>
        <w:ind w:left="3790" w:hanging="360"/>
      </w:pPr>
      <w:rPr>
        <w:rFonts w:ascii="Courier New" w:hAnsi="Courier New" w:cs="Courier New" w:hint="default"/>
      </w:rPr>
    </w:lvl>
    <w:lvl w:ilvl="5" w:tplc="04240005" w:tentative="1">
      <w:start w:val="1"/>
      <w:numFmt w:val="bullet"/>
      <w:lvlText w:val=""/>
      <w:lvlJc w:val="left"/>
      <w:pPr>
        <w:ind w:left="4510" w:hanging="360"/>
      </w:pPr>
      <w:rPr>
        <w:rFonts w:ascii="Wingdings" w:hAnsi="Wingdings" w:hint="default"/>
      </w:rPr>
    </w:lvl>
    <w:lvl w:ilvl="6" w:tplc="04240001" w:tentative="1">
      <w:start w:val="1"/>
      <w:numFmt w:val="bullet"/>
      <w:lvlText w:val=""/>
      <w:lvlJc w:val="left"/>
      <w:pPr>
        <w:ind w:left="5230" w:hanging="360"/>
      </w:pPr>
      <w:rPr>
        <w:rFonts w:ascii="Symbol" w:hAnsi="Symbol" w:hint="default"/>
      </w:rPr>
    </w:lvl>
    <w:lvl w:ilvl="7" w:tplc="04240003" w:tentative="1">
      <w:start w:val="1"/>
      <w:numFmt w:val="bullet"/>
      <w:lvlText w:val="o"/>
      <w:lvlJc w:val="left"/>
      <w:pPr>
        <w:ind w:left="5950" w:hanging="360"/>
      </w:pPr>
      <w:rPr>
        <w:rFonts w:ascii="Courier New" w:hAnsi="Courier New" w:cs="Courier New" w:hint="default"/>
      </w:rPr>
    </w:lvl>
    <w:lvl w:ilvl="8" w:tplc="04240005" w:tentative="1">
      <w:start w:val="1"/>
      <w:numFmt w:val="bullet"/>
      <w:lvlText w:val=""/>
      <w:lvlJc w:val="left"/>
      <w:pPr>
        <w:ind w:left="6670" w:hanging="360"/>
      </w:pPr>
      <w:rPr>
        <w:rFonts w:ascii="Wingdings" w:hAnsi="Wingdings" w:hint="default"/>
      </w:rPr>
    </w:lvl>
  </w:abstractNum>
  <w:abstractNum w:abstractNumId="5">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
    <w:nsid w:val="39356B2C"/>
    <w:multiLevelType w:val="hybridMultilevel"/>
    <w:tmpl w:val="7608AE44"/>
    <w:lvl w:ilvl="0" w:tplc="5D04C1F6">
      <w:start w:val="1"/>
      <w:numFmt w:val="bullet"/>
      <w:lvlText w:val="-"/>
      <w:lvlJc w:val="left"/>
      <w:pPr>
        <w:tabs>
          <w:tab w:val="num" w:pos="690"/>
        </w:tabs>
        <w:ind w:left="690" w:hanging="360"/>
      </w:pPr>
      <w:rPr>
        <w:rFonts w:ascii="Courier New" w:hAnsi="Courier New" w:hint="default"/>
      </w:rPr>
    </w:lvl>
    <w:lvl w:ilvl="1" w:tplc="04240003">
      <w:start w:val="1"/>
      <w:numFmt w:val="bullet"/>
      <w:lvlText w:val="o"/>
      <w:lvlJc w:val="left"/>
      <w:pPr>
        <w:tabs>
          <w:tab w:val="num" w:pos="1410"/>
        </w:tabs>
        <w:ind w:left="1410" w:hanging="360"/>
      </w:pPr>
      <w:rPr>
        <w:rFonts w:ascii="Courier New" w:hAnsi="Courier New" w:cs="Courier New" w:hint="default"/>
      </w:rPr>
    </w:lvl>
    <w:lvl w:ilvl="2" w:tplc="04240005" w:tentative="1">
      <w:start w:val="1"/>
      <w:numFmt w:val="bullet"/>
      <w:lvlText w:val=""/>
      <w:lvlJc w:val="left"/>
      <w:pPr>
        <w:tabs>
          <w:tab w:val="num" w:pos="2130"/>
        </w:tabs>
        <w:ind w:left="2130" w:hanging="360"/>
      </w:pPr>
      <w:rPr>
        <w:rFonts w:ascii="Wingdings" w:hAnsi="Wingdings" w:hint="default"/>
      </w:rPr>
    </w:lvl>
    <w:lvl w:ilvl="3" w:tplc="04240001" w:tentative="1">
      <w:start w:val="1"/>
      <w:numFmt w:val="bullet"/>
      <w:lvlText w:val=""/>
      <w:lvlJc w:val="left"/>
      <w:pPr>
        <w:tabs>
          <w:tab w:val="num" w:pos="2850"/>
        </w:tabs>
        <w:ind w:left="2850" w:hanging="360"/>
      </w:pPr>
      <w:rPr>
        <w:rFonts w:ascii="Symbol" w:hAnsi="Symbol" w:hint="default"/>
      </w:rPr>
    </w:lvl>
    <w:lvl w:ilvl="4" w:tplc="04240003" w:tentative="1">
      <w:start w:val="1"/>
      <w:numFmt w:val="bullet"/>
      <w:lvlText w:val="o"/>
      <w:lvlJc w:val="left"/>
      <w:pPr>
        <w:tabs>
          <w:tab w:val="num" w:pos="3570"/>
        </w:tabs>
        <w:ind w:left="3570" w:hanging="360"/>
      </w:pPr>
      <w:rPr>
        <w:rFonts w:ascii="Courier New" w:hAnsi="Courier New" w:cs="Courier New" w:hint="default"/>
      </w:rPr>
    </w:lvl>
    <w:lvl w:ilvl="5" w:tplc="04240005" w:tentative="1">
      <w:start w:val="1"/>
      <w:numFmt w:val="bullet"/>
      <w:lvlText w:val=""/>
      <w:lvlJc w:val="left"/>
      <w:pPr>
        <w:tabs>
          <w:tab w:val="num" w:pos="4290"/>
        </w:tabs>
        <w:ind w:left="4290" w:hanging="360"/>
      </w:pPr>
      <w:rPr>
        <w:rFonts w:ascii="Wingdings" w:hAnsi="Wingdings" w:hint="default"/>
      </w:rPr>
    </w:lvl>
    <w:lvl w:ilvl="6" w:tplc="04240001" w:tentative="1">
      <w:start w:val="1"/>
      <w:numFmt w:val="bullet"/>
      <w:lvlText w:val=""/>
      <w:lvlJc w:val="left"/>
      <w:pPr>
        <w:tabs>
          <w:tab w:val="num" w:pos="5010"/>
        </w:tabs>
        <w:ind w:left="5010" w:hanging="360"/>
      </w:pPr>
      <w:rPr>
        <w:rFonts w:ascii="Symbol" w:hAnsi="Symbol" w:hint="default"/>
      </w:rPr>
    </w:lvl>
    <w:lvl w:ilvl="7" w:tplc="04240003" w:tentative="1">
      <w:start w:val="1"/>
      <w:numFmt w:val="bullet"/>
      <w:lvlText w:val="o"/>
      <w:lvlJc w:val="left"/>
      <w:pPr>
        <w:tabs>
          <w:tab w:val="num" w:pos="5730"/>
        </w:tabs>
        <w:ind w:left="5730" w:hanging="360"/>
      </w:pPr>
      <w:rPr>
        <w:rFonts w:ascii="Courier New" w:hAnsi="Courier New" w:cs="Courier New" w:hint="default"/>
      </w:rPr>
    </w:lvl>
    <w:lvl w:ilvl="8" w:tplc="04240005" w:tentative="1">
      <w:start w:val="1"/>
      <w:numFmt w:val="bullet"/>
      <w:lvlText w:val=""/>
      <w:lvlJc w:val="left"/>
      <w:pPr>
        <w:tabs>
          <w:tab w:val="num" w:pos="6450"/>
        </w:tabs>
        <w:ind w:left="6450" w:hanging="360"/>
      </w:pPr>
      <w:rPr>
        <w:rFonts w:ascii="Wingdings" w:hAnsi="Wingdings" w:hint="default"/>
      </w:rPr>
    </w:lvl>
  </w:abstractNum>
  <w:abstractNum w:abstractNumId="7">
    <w:nsid w:val="4C301624"/>
    <w:multiLevelType w:val="hybridMultilevel"/>
    <w:tmpl w:val="63E6F6B0"/>
    <w:lvl w:ilvl="0" w:tplc="D26CFA6A">
      <w:start w:val="1"/>
      <w:numFmt w:val="upperRoman"/>
      <w:lvlText w:val="%1."/>
      <w:lvlJc w:val="left"/>
      <w:pPr>
        <w:ind w:left="1080" w:hanging="720"/>
      </w:pPr>
      <w:rPr>
        <w:rFonts w:cs="Aria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4C800932"/>
    <w:multiLevelType w:val="hybridMultilevel"/>
    <w:tmpl w:val="961645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5733102D"/>
    <w:multiLevelType w:val="hybridMultilevel"/>
    <w:tmpl w:val="535670AE"/>
    <w:lvl w:ilvl="0" w:tplc="83DE787A">
      <w:start w:val="11"/>
      <w:numFmt w:val="bullet"/>
      <w:pStyle w:val="Alineazaodstavkom"/>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60B41C5C"/>
    <w:multiLevelType w:val="hybridMultilevel"/>
    <w:tmpl w:val="1AEE97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618915F9"/>
    <w:multiLevelType w:val="hybridMultilevel"/>
    <w:tmpl w:val="496E614E"/>
    <w:lvl w:ilvl="0" w:tplc="83DE787A">
      <w:start w:val="11"/>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nsid w:val="73AF4DB4"/>
    <w:multiLevelType w:val="multilevel"/>
    <w:tmpl w:val="9486839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7B8F7468"/>
    <w:multiLevelType w:val="hybridMultilevel"/>
    <w:tmpl w:val="8C6EBCB4"/>
    <w:lvl w:ilvl="0" w:tplc="3022CF56">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14"/>
  </w:num>
  <w:num w:numId="4">
    <w:abstractNumId w:val="9"/>
  </w:num>
  <w:num w:numId="5">
    <w:abstractNumId w:val="2"/>
  </w:num>
  <w:num w:numId="6">
    <w:abstractNumId w:val="0"/>
  </w:num>
  <w:num w:numId="7">
    <w:abstractNumId w:val="4"/>
  </w:num>
  <w:num w:numId="8">
    <w:abstractNumId w:val="12"/>
  </w:num>
  <w:num w:numId="9">
    <w:abstractNumId w:val="6"/>
  </w:num>
  <w:num w:numId="10">
    <w:abstractNumId w:val="7"/>
  </w:num>
  <w:num w:numId="11">
    <w:abstractNumId w:val="3"/>
  </w:num>
  <w:num w:numId="12">
    <w:abstractNumId w:val="13"/>
  </w:num>
  <w:num w:numId="13">
    <w:abstractNumId w:val="8"/>
  </w:num>
  <w:num w:numId="14">
    <w:abstractNumId w:val="1"/>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468"/>
    <w:rsid w:val="00005D71"/>
    <w:rsid w:val="00013F0B"/>
    <w:rsid w:val="00020648"/>
    <w:rsid w:val="00026404"/>
    <w:rsid w:val="00031EF8"/>
    <w:rsid w:val="00034557"/>
    <w:rsid w:val="0006005B"/>
    <w:rsid w:val="0006345B"/>
    <w:rsid w:val="00076CE3"/>
    <w:rsid w:val="000A1AD6"/>
    <w:rsid w:val="000B4CB1"/>
    <w:rsid w:val="000B6132"/>
    <w:rsid w:val="000C49D3"/>
    <w:rsid w:val="000C5B80"/>
    <w:rsid w:val="000C5F49"/>
    <w:rsid w:val="000C77FE"/>
    <w:rsid w:val="000D01C7"/>
    <w:rsid w:val="000E0BBC"/>
    <w:rsid w:val="000E785F"/>
    <w:rsid w:val="000F191F"/>
    <w:rsid w:val="001045F0"/>
    <w:rsid w:val="00115677"/>
    <w:rsid w:val="00127B77"/>
    <w:rsid w:val="001300A1"/>
    <w:rsid w:val="00130E51"/>
    <w:rsid w:val="00131784"/>
    <w:rsid w:val="00135773"/>
    <w:rsid w:val="001532F4"/>
    <w:rsid w:val="00176EF1"/>
    <w:rsid w:val="00180CB8"/>
    <w:rsid w:val="00186B51"/>
    <w:rsid w:val="001A0AE3"/>
    <w:rsid w:val="001A2CE3"/>
    <w:rsid w:val="001A43D7"/>
    <w:rsid w:val="001A50E4"/>
    <w:rsid w:val="001B0778"/>
    <w:rsid w:val="001D4F4F"/>
    <w:rsid w:val="001E19A1"/>
    <w:rsid w:val="001E6F3B"/>
    <w:rsid w:val="001F6C69"/>
    <w:rsid w:val="00212C55"/>
    <w:rsid w:val="00223B71"/>
    <w:rsid w:val="00243173"/>
    <w:rsid w:val="00247038"/>
    <w:rsid w:val="00247B1A"/>
    <w:rsid w:val="002509B9"/>
    <w:rsid w:val="002510F8"/>
    <w:rsid w:val="002516EF"/>
    <w:rsid w:val="002538F1"/>
    <w:rsid w:val="002568B9"/>
    <w:rsid w:val="00292D43"/>
    <w:rsid w:val="002A3332"/>
    <w:rsid w:val="002B4E26"/>
    <w:rsid w:val="002C065C"/>
    <w:rsid w:val="002E102F"/>
    <w:rsid w:val="002E606D"/>
    <w:rsid w:val="002E7028"/>
    <w:rsid w:val="002F5BB2"/>
    <w:rsid w:val="0030083A"/>
    <w:rsid w:val="00300948"/>
    <w:rsid w:val="00304D13"/>
    <w:rsid w:val="00317B19"/>
    <w:rsid w:val="003415E0"/>
    <w:rsid w:val="00350C46"/>
    <w:rsid w:val="003671F1"/>
    <w:rsid w:val="0037112D"/>
    <w:rsid w:val="0037452B"/>
    <w:rsid w:val="003760E1"/>
    <w:rsid w:val="00383620"/>
    <w:rsid w:val="00384ADF"/>
    <w:rsid w:val="00392079"/>
    <w:rsid w:val="00395A67"/>
    <w:rsid w:val="0039615A"/>
    <w:rsid w:val="00397648"/>
    <w:rsid w:val="003A07B2"/>
    <w:rsid w:val="003A0E1F"/>
    <w:rsid w:val="003A660D"/>
    <w:rsid w:val="003B2E93"/>
    <w:rsid w:val="003C319F"/>
    <w:rsid w:val="003D29FF"/>
    <w:rsid w:val="003D63A6"/>
    <w:rsid w:val="00402B4D"/>
    <w:rsid w:val="0040330B"/>
    <w:rsid w:val="004142BC"/>
    <w:rsid w:val="0044472C"/>
    <w:rsid w:val="00447734"/>
    <w:rsid w:val="00475B0B"/>
    <w:rsid w:val="00487FAC"/>
    <w:rsid w:val="004A044C"/>
    <w:rsid w:val="004A20F0"/>
    <w:rsid w:val="004A2304"/>
    <w:rsid w:val="004B64C3"/>
    <w:rsid w:val="004D398F"/>
    <w:rsid w:val="004D4361"/>
    <w:rsid w:val="004D5BD9"/>
    <w:rsid w:val="004E4253"/>
    <w:rsid w:val="004E49F8"/>
    <w:rsid w:val="004F6475"/>
    <w:rsid w:val="004F7087"/>
    <w:rsid w:val="00502816"/>
    <w:rsid w:val="00514E79"/>
    <w:rsid w:val="00531881"/>
    <w:rsid w:val="005506E7"/>
    <w:rsid w:val="00560386"/>
    <w:rsid w:val="00574C34"/>
    <w:rsid w:val="00577D73"/>
    <w:rsid w:val="00582C73"/>
    <w:rsid w:val="0058314C"/>
    <w:rsid w:val="005C080B"/>
    <w:rsid w:val="005E58DA"/>
    <w:rsid w:val="005F40A4"/>
    <w:rsid w:val="005F6A40"/>
    <w:rsid w:val="006003B5"/>
    <w:rsid w:val="006114DB"/>
    <w:rsid w:val="00612EA4"/>
    <w:rsid w:val="006130D9"/>
    <w:rsid w:val="00613D1A"/>
    <w:rsid w:val="0061446F"/>
    <w:rsid w:val="00615BEF"/>
    <w:rsid w:val="00632E0E"/>
    <w:rsid w:val="0064635F"/>
    <w:rsid w:val="00646883"/>
    <w:rsid w:val="00653B47"/>
    <w:rsid w:val="006550A6"/>
    <w:rsid w:val="00664A32"/>
    <w:rsid w:val="006678A1"/>
    <w:rsid w:val="00671060"/>
    <w:rsid w:val="0068073F"/>
    <w:rsid w:val="006970EA"/>
    <w:rsid w:val="006A446C"/>
    <w:rsid w:val="006C6B0A"/>
    <w:rsid w:val="006D59D5"/>
    <w:rsid w:val="006D5F5D"/>
    <w:rsid w:val="006E5DBA"/>
    <w:rsid w:val="00700552"/>
    <w:rsid w:val="00700E73"/>
    <w:rsid w:val="00702DD1"/>
    <w:rsid w:val="0070416B"/>
    <w:rsid w:val="0072380C"/>
    <w:rsid w:val="00724629"/>
    <w:rsid w:val="00734A50"/>
    <w:rsid w:val="00737AB6"/>
    <w:rsid w:val="00740236"/>
    <w:rsid w:val="00740F9C"/>
    <w:rsid w:val="0074372C"/>
    <w:rsid w:val="007479AC"/>
    <w:rsid w:val="00762427"/>
    <w:rsid w:val="00774B1F"/>
    <w:rsid w:val="007A060D"/>
    <w:rsid w:val="007B36F9"/>
    <w:rsid w:val="007C107D"/>
    <w:rsid w:val="007D39DE"/>
    <w:rsid w:val="007E07EB"/>
    <w:rsid w:val="007E0AED"/>
    <w:rsid w:val="007E5911"/>
    <w:rsid w:val="007F73E8"/>
    <w:rsid w:val="008010AA"/>
    <w:rsid w:val="00805757"/>
    <w:rsid w:val="00812BDC"/>
    <w:rsid w:val="008246C8"/>
    <w:rsid w:val="0082718D"/>
    <w:rsid w:val="008275DC"/>
    <w:rsid w:val="008362CD"/>
    <w:rsid w:val="00840260"/>
    <w:rsid w:val="00846574"/>
    <w:rsid w:val="00847EFD"/>
    <w:rsid w:val="0086498C"/>
    <w:rsid w:val="00876F55"/>
    <w:rsid w:val="00883C43"/>
    <w:rsid w:val="0088499A"/>
    <w:rsid w:val="00893F06"/>
    <w:rsid w:val="00894019"/>
    <w:rsid w:val="008957F3"/>
    <w:rsid w:val="00896789"/>
    <w:rsid w:val="008A1F47"/>
    <w:rsid w:val="008C19CC"/>
    <w:rsid w:val="008D5ADC"/>
    <w:rsid w:val="009216A2"/>
    <w:rsid w:val="00921CB4"/>
    <w:rsid w:val="00923136"/>
    <w:rsid w:val="009305E3"/>
    <w:rsid w:val="009620B7"/>
    <w:rsid w:val="00963A03"/>
    <w:rsid w:val="00964706"/>
    <w:rsid w:val="00967140"/>
    <w:rsid w:val="00967C74"/>
    <w:rsid w:val="00972E05"/>
    <w:rsid w:val="00996155"/>
    <w:rsid w:val="009A5435"/>
    <w:rsid w:val="009B1143"/>
    <w:rsid w:val="009C0C62"/>
    <w:rsid w:val="009C3A30"/>
    <w:rsid w:val="009F0E09"/>
    <w:rsid w:val="009F1ECF"/>
    <w:rsid w:val="009F4220"/>
    <w:rsid w:val="00A0149A"/>
    <w:rsid w:val="00A0180D"/>
    <w:rsid w:val="00A104C1"/>
    <w:rsid w:val="00A16303"/>
    <w:rsid w:val="00A329F5"/>
    <w:rsid w:val="00A343CE"/>
    <w:rsid w:val="00A548F9"/>
    <w:rsid w:val="00A57FA3"/>
    <w:rsid w:val="00A606D6"/>
    <w:rsid w:val="00A621F3"/>
    <w:rsid w:val="00A84A5F"/>
    <w:rsid w:val="00A874B8"/>
    <w:rsid w:val="00A95102"/>
    <w:rsid w:val="00AB3E74"/>
    <w:rsid w:val="00AC5F74"/>
    <w:rsid w:val="00AC6409"/>
    <w:rsid w:val="00AD2590"/>
    <w:rsid w:val="00AE315A"/>
    <w:rsid w:val="00AE49A4"/>
    <w:rsid w:val="00AF17A5"/>
    <w:rsid w:val="00B057AE"/>
    <w:rsid w:val="00B06EB3"/>
    <w:rsid w:val="00B13EDC"/>
    <w:rsid w:val="00B26647"/>
    <w:rsid w:val="00B3294C"/>
    <w:rsid w:val="00B40871"/>
    <w:rsid w:val="00B61C07"/>
    <w:rsid w:val="00B6320A"/>
    <w:rsid w:val="00B7448C"/>
    <w:rsid w:val="00BA2726"/>
    <w:rsid w:val="00BA425C"/>
    <w:rsid w:val="00BC5469"/>
    <w:rsid w:val="00BD117C"/>
    <w:rsid w:val="00BE165B"/>
    <w:rsid w:val="00BE36AB"/>
    <w:rsid w:val="00BE4B22"/>
    <w:rsid w:val="00BF36C2"/>
    <w:rsid w:val="00C058AC"/>
    <w:rsid w:val="00C11D5C"/>
    <w:rsid w:val="00C16C65"/>
    <w:rsid w:val="00C207AA"/>
    <w:rsid w:val="00C36343"/>
    <w:rsid w:val="00C424F2"/>
    <w:rsid w:val="00C544A1"/>
    <w:rsid w:val="00C660EC"/>
    <w:rsid w:val="00C70A20"/>
    <w:rsid w:val="00C70D03"/>
    <w:rsid w:val="00C77737"/>
    <w:rsid w:val="00CA2A60"/>
    <w:rsid w:val="00CA7C5C"/>
    <w:rsid w:val="00CB17D5"/>
    <w:rsid w:val="00CB3136"/>
    <w:rsid w:val="00CD78F6"/>
    <w:rsid w:val="00CF1D35"/>
    <w:rsid w:val="00D039C4"/>
    <w:rsid w:val="00D04CE9"/>
    <w:rsid w:val="00D136F6"/>
    <w:rsid w:val="00D1457D"/>
    <w:rsid w:val="00D20C7C"/>
    <w:rsid w:val="00D57111"/>
    <w:rsid w:val="00D62C2B"/>
    <w:rsid w:val="00D63998"/>
    <w:rsid w:val="00D64E0C"/>
    <w:rsid w:val="00D65B5E"/>
    <w:rsid w:val="00D65D03"/>
    <w:rsid w:val="00D76623"/>
    <w:rsid w:val="00D87A52"/>
    <w:rsid w:val="00D91153"/>
    <w:rsid w:val="00D94B78"/>
    <w:rsid w:val="00DA3263"/>
    <w:rsid w:val="00DB16D0"/>
    <w:rsid w:val="00DB3F44"/>
    <w:rsid w:val="00DC0808"/>
    <w:rsid w:val="00DD096F"/>
    <w:rsid w:val="00DE5258"/>
    <w:rsid w:val="00DE788B"/>
    <w:rsid w:val="00E034A9"/>
    <w:rsid w:val="00E241E5"/>
    <w:rsid w:val="00E33C62"/>
    <w:rsid w:val="00E42F8E"/>
    <w:rsid w:val="00E43468"/>
    <w:rsid w:val="00E46177"/>
    <w:rsid w:val="00E51389"/>
    <w:rsid w:val="00E561C4"/>
    <w:rsid w:val="00E60FCA"/>
    <w:rsid w:val="00E64345"/>
    <w:rsid w:val="00E86E20"/>
    <w:rsid w:val="00E87B91"/>
    <w:rsid w:val="00E92419"/>
    <w:rsid w:val="00E9594C"/>
    <w:rsid w:val="00EA2599"/>
    <w:rsid w:val="00EA614F"/>
    <w:rsid w:val="00EC0625"/>
    <w:rsid w:val="00EC25BF"/>
    <w:rsid w:val="00ED719A"/>
    <w:rsid w:val="00EE2009"/>
    <w:rsid w:val="00EE3846"/>
    <w:rsid w:val="00EE3E05"/>
    <w:rsid w:val="00F134F0"/>
    <w:rsid w:val="00F219AD"/>
    <w:rsid w:val="00F27EF7"/>
    <w:rsid w:val="00F30838"/>
    <w:rsid w:val="00F36E70"/>
    <w:rsid w:val="00F403AF"/>
    <w:rsid w:val="00F4534C"/>
    <w:rsid w:val="00F51EE2"/>
    <w:rsid w:val="00F52C83"/>
    <w:rsid w:val="00F52F89"/>
    <w:rsid w:val="00F77768"/>
    <w:rsid w:val="00F77E10"/>
    <w:rsid w:val="00F82EAD"/>
    <w:rsid w:val="00F84AA2"/>
    <w:rsid w:val="00FA3F92"/>
    <w:rsid w:val="00FB1246"/>
    <w:rsid w:val="00FB6996"/>
    <w:rsid w:val="00FE47D3"/>
    <w:rsid w:val="00FE58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eastAsia="en-US"/>
    </w:rPr>
  </w:style>
  <w:style w:type="paragraph" w:styleId="Naslov1">
    <w:name w:val="heading 1"/>
    <w:aliases w:val="NASLOV"/>
    <w:basedOn w:val="Navaden"/>
    <w:next w:val="Navaden"/>
    <w:link w:val="Naslov1Znak"/>
    <w:autoRedefine/>
    <w:qFormat/>
    <w:rsid w:val="00996155"/>
    <w:pPr>
      <w:keepNext/>
      <w:spacing w:after="0" w:line="240" w:lineRule="auto"/>
      <w:outlineLvl w:val="0"/>
    </w:pPr>
    <w:rPr>
      <w:rFonts w:ascii="Arial" w:eastAsia="Times New Roman" w:hAnsi="Arial" w:cs="Arial"/>
      <w:b/>
      <w:kern w:val="32"/>
      <w:sz w:val="20"/>
      <w:szCs w:val="20"/>
      <w:lang w:eastAsia="sl-SI"/>
    </w:rPr>
  </w:style>
  <w:style w:type="paragraph" w:styleId="Naslov2">
    <w:name w:val="heading 2"/>
    <w:basedOn w:val="Navaden"/>
    <w:next w:val="Navaden"/>
    <w:link w:val="Naslov2Znak"/>
    <w:uiPriority w:val="9"/>
    <w:semiHidden/>
    <w:unhideWhenUsed/>
    <w:qFormat/>
    <w:rsid w:val="00FE58D5"/>
    <w:pPr>
      <w:keepNext/>
      <w:spacing w:before="240" w:after="60"/>
      <w:outlineLvl w:val="1"/>
    </w:pPr>
    <w:rPr>
      <w:rFonts w:ascii="Cambria" w:eastAsia="Times New Roman" w:hAnsi="Cambria"/>
      <w:b/>
      <w:bCs/>
      <w:i/>
      <w:iCs/>
      <w:sz w:val="28"/>
      <w:szCs w:val="28"/>
    </w:rPr>
  </w:style>
  <w:style w:type="paragraph" w:styleId="Naslov3">
    <w:name w:val="heading 3"/>
    <w:basedOn w:val="Navaden"/>
    <w:next w:val="Navaden"/>
    <w:link w:val="Naslov3Znak"/>
    <w:uiPriority w:val="9"/>
    <w:semiHidden/>
    <w:unhideWhenUsed/>
    <w:qFormat/>
    <w:rsid w:val="008275DC"/>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 Char,Header Char1 Char,Header Char Char Char Char,Header Char Char1,Header Char1 Char Char,Header-PR,Header1"/>
    <w:basedOn w:val="Navaden"/>
    <w:link w:val="GlavaZnak"/>
    <w:rsid w:val="00E43468"/>
    <w:pPr>
      <w:tabs>
        <w:tab w:val="center" w:pos="4320"/>
        <w:tab w:val="right" w:pos="8640"/>
      </w:tabs>
    </w:pPr>
    <w:rPr>
      <w:rFonts w:ascii="Arial" w:eastAsia="Times New Roman" w:hAnsi="Arial"/>
      <w:sz w:val="20"/>
      <w:szCs w:val="24"/>
      <w:lang w:val="en-US"/>
    </w:rPr>
  </w:style>
  <w:style w:type="character" w:customStyle="1" w:styleId="GlavaZnak">
    <w:name w:val="Glava Znak"/>
    <w:aliases w:val="Header Char Znak,Header Char1 Char Znak,Header Char Char Char Char Znak,Header Char Char1 Znak,Header Char1 Char Char Znak,Header-PR Znak,Header1 Znak"/>
    <w:link w:val="Glava"/>
    <w:rsid w:val="00E43468"/>
    <w:rPr>
      <w:rFonts w:ascii="Arial" w:eastAsia="Times New Roman" w:hAnsi="Arial"/>
      <w:szCs w:val="24"/>
      <w:lang w:val="en-US" w:eastAsia="en-US"/>
    </w:rPr>
  </w:style>
  <w:style w:type="character" w:styleId="Hiperpovezava">
    <w:name w:val="Hyperlink"/>
    <w:rsid w:val="00E43468"/>
    <w:rPr>
      <w:color w:val="0000FF"/>
      <w:u w:val="single"/>
    </w:rPr>
  </w:style>
  <w:style w:type="paragraph" w:styleId="Besedilooblaka">
    <w:name w:val="Balloon Text"/>
    <w:basedOn w:val="Navaden"/>
    <w:link w:val="BesedilooblakaZnak"/>
    <w:uiPriority w:val="99"/>
    <w:semiHidden/>
    <w:unhideWhenUsed/>
    <w:rsid w:val="00115677"/>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115677"/>
    <w:rPr>
      <w:rFonts w:ascii="Tahoma" w:hAnsi="Tahoma" w:cs="Tahoma"/>
      <w:sz w:val="16"/>
      <w:szCs w:val="16"/>
      <w:lang w:eastAsia="en-US"/>
    </w:rPr>
  </w:style>
  <w:style w:type="character" w:customStyle="1" w:styleId="Naslov1Znak">
    <w:name w:val="Naslov 1 Znak"/>
    <w:aliases w:val="NASLOV Znak"/>
    <w:link w:val="Naslov1"/>
    <w:rsid w:val="00996155"/>
    <w:rPr>
      <w:rFonts w:ascii="Arial" w:eastAsia="Times New Roman" w:hAnsi="Arial" w:cs="Arial"/>
      <w:b/>
      <w:kern w:val="32"/>
    </w:rPr>
  </w:style>
  <w:style w:type="paragraph" w:customStyle="1" w:styleId="Naslovpredpisa">
    <w:name w:val="Naslov_predpisa"/>
    <w:basedOn w:val="Navaden"/>
    <w:link w:val="NaslovpredpisaZnak"/>
    <w:qFormat/>
    <w:rsid w:val="007479AC"/>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7479AC"/>
    <w:rPr>
      <w:rFonts w:ascii="Arial" w:eastAsia="Times New Roman" w:hAnsi="Arial" w:cs="Arial"/>
      <w:b/>
      <w:sz w:val="22"/>
      <w:szCs w:val="22"/>
    </w:rPr>
  </w:style>
  <w:style w:type="paragraph" w:customStyle="1" w:styleId="Poglavje">
    <w:name w:val="Poglavje"/>
    <w:basedOn w:val="Navaden"/>
    <w:qFormat/>
    <w:rsid w:val="007479AC"/>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7479AC"/>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7479AC"/>
    <w:rPr>
      <w:rFonts w:ascii="Arial" w:eastAsia="Times New Roman" w:hAnsi="Arial" w:cs="Arial"/>
      <w:sz w:val="22"/>
      <w:szCs w:val="22"/>
    </w:rPr>
  </w:style>
  <w:style w:type="paragraph" w:customStyle="1" w:styleId="Oddelek">
    <w:name w:val="Oddelek"/>
    <w:basedOn w:val="Navaden"/>
    <w:link w:val="OddelekZnak1"/>
    <w:qFormat/>
    <w:rsid w:val="007479AC"/>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7479AC"/>
    <w:rPr>
      <w:rFonts w:ascii="Arial" w:eastAsia="Times New Roman" w:hAnsi="Arial" w:cs="Arial"/>
      <w:b/>
      <w:sz w:val="22"/>
      <w:szCs w:val="22"/>
    </w:rPr>
  </w:style>
  <w:style w:type="paragraph" w:customStyle="1" w:styleId="Odstavekseznama1">
    <w:name w:val="Odstavek seznama1"/>
    <w:basedOn w:val="Navaden"/>
    <w:qFormat/>
    <w:rsid w:val="007479AC"/>
    <w:pPr>
      <w:spacing w:after="0" w:line="240" w:lineRule="auto"/>
      <w:ind w:left="720"/>
      <w:contextualSpacing/>
    </w:pPr>
    <w:rPr>
      <w:rFonts w:ascii="Times New Roman" w:eastAsia="Times New Roman" w:hAnsi="Times New Roman"/>
      <w:sz w:val="24"/>
      <w:szCs w:val="24"/>
      <w:lang w:eastAsia="sl-SI"/>
    </w:rPr>
  </w:style>
  <w:style w:type="character" w:styleId="HTML-citat">
    <w:name w:val="HTML Cite"/>
    <w:uiPriority w:val="99"/>
    <w:semiHidden/>
    <w:unhideWhenUsed/>
    <w:rsid w:val="007479AC"/>
    <w:rPr>
      <w:i w:val="0"/>
      <w:iCs w:val="0"/>
      <w:color w:val="006621"/>
    </w:rPr>
  </w:style>
  <w:style w:type="paragraph" w:customStyle="1" w:styleId="podpisi">
    <w:name w:val="podpisi"/>
    <w:basedOn w:val="Navaden"/>
    <w:qFormat/>
    <w:rsid w:val="007479AC"/>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7479AC"/>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7479AC"/>
    <w:rPr>
      <w:rFonts w:ascii="Arial" w:eastAsia="Times New Roman" w:hAnsi="Arial" w:cs="Arial"/>
      <w:b/>
      <w:bCs/>
      <w:color w:val="000000"/>
      <w:spacing w:val="40"/>
      <w:sz w:val="22"/>
      <w:szCs w:val="22"/>
    </w:rPr>
  </w:style>
  <w:style w:type="paragraph" w:customStyle="1" w:styleId="Alineazaodstavkom">
    <w:name w:val="Alinea za odstavkom"/>
    <w:basedOn w:val="Navaden"/>
    <w:link w:val="AlineazaodstavkomZnak"/>
    <w:qFormat/>
    <w:rsid w:val="007479AC"/>
    <w:pPr>
      <w:numPr>
        <w:numId w:val="4"/>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7479AC"/>
    <w:rPr>
      <w:rFonts w:ascii="Arial" w:eastAsia="Times New Roman" w:hAnsi="Arial" w:cs="Arial"/>
      <w:sz w:val="22"/>
      <w:szCs w:val="22"/>
    </w:rPr>
  </w:style>
  <w:style w:type="character" w:customStyle="1" w:styleId="Naslov2Znak">
    <w:name w:val="Naslov 2 Znak"/>
    <w:link w:val="Naslov2"/>
    <w:uiPriority w:val="9"/>
    <w:semiHidden/>
    <w:rsid w:val="00FE58D5"/>
    <w:rPr>
      <w:rFonts w:ascii="Cambria" w:eastAsia="Times New Roman" w:hAnsi="Cambria" w:cs="Times New Roman"/>
      <w:b/>
      <w:bCs/>
      <w:i/>
      <w:iCs/>
      <w:sz w:val="28"/>
      <w:szCs w:val="28"/>
      <w:lang w:eastAsia="en-US"/>
    </w:rPr>
  </w:style>
  <w:style w:type="paragraph" w:styleId="Odstavekseznama">
    <w:name w:val="List Paragraph"/>
    <w:basedOn w:val="Navaden"/>
    <w:uiPriority w:val="34"/>
    <w:qFormat/>
    <w:rsid w:val="00FE58D5"/>
    <w:pPr>
      <w:spacing w:after="160" w:line="259" w:lineRule="auto"/>
      <w:ind w:left="720"/>
      <w:contextualSpacing/>
    </w:pPr>
  </w:style>
  <w:style w:type="table" w:styleId="Tabelamrea">
    <w:name w:val="Table Grid"/>
    <w:basedOn w:val="Navadnatabela"/>
    <w:uiPriority w:val="39"/>
    <w:rsid w:val="00FE58D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2">
    <w:name w:val="Body Text 2"/>
    <w:basedOn w:val="Navaden"/>
    <w:link w:val="Telobesedila2Znak"/>
    <w:rsid w:val="00FE58D5"/>
    <w:pPr>
      <w:spacing w:after="120" w:line="480" w:lineRule="auto"/>
    </w:pPr>
    <w:rPr>
      <w:rFonts w:ascii="Times New Roman" w:eastAsia="Times New Roman" w:hAnsi="Times New Roman"/>
      <w:sz w:val="24"/>
      <w:szCs w:val="24"/>
      <w:lang w:val="x-none" w:eastAsia="x-none"/>
    </w:rPr>
  </w:style>
  <w:style w:type="character" w:customStyle="1" w:styleId="Telobesedila2Znak">
    <w:name w:val="Telo besedila 2 Znak"/>
    <w:link w:val="Telobesedila2"/>
    <w:rsid w:val="00FE58D5"/>
    <w:rPr>
      <w:rFonts w:ascii="Times New Roman" w:eastAsia="Times New Roman" w:hAnsi="Times New Roman"/>
      <w:sz w:val="24"/>
      <w:szCs w:val="24"/>
      <w:lang w:val="x-none" w:eastAsia="x-none"/>
    </w:rPr>
  </w:style>
  <w:style w:type="character" w:styleId="Pripombasklic">
    <w:name w:val="annotation reference"/>
    <w:uiPriority w:val="99"/>
    <w:semiHidden/>
    <w:unhideWhenUsed/>
    <w:rsid w:val="00A343CE"/>
    <w:rPr>
      <w:sz w:val="16"/>
      <w:szCs w:val="16"/>
    </w:rPr>
  </w:style>
  <w:style w:type="paragraph" w:styleId="Pripombabesedilo">
    <w:name w:val="annotation text"/>
    <w:basedOn w:val="Navaden"/>
    <w:link w:val="PripombabesediloZnak"/>
    <w:uiPriority w:val="99"/>
    <w:semiHidden/>
    <w:unhideWhenUsed/>
    <w:rsid w:val="00A343CE"/>
    <w:rPr>
      <w:sz w:val="20"/>
      <w:szCs w:val="20"/>
    </w:rPr>
  </w:style>
  <w:style w:type="character" w:customStyle="1" w:styleId="PripombabesediloZnak">
    <w:name w:val="Pripomba – besedilo Znak"/>
    <w:link w:val="Pripombabesedilo"/>
    <w:uiPriority w:val="99"/>
    <w:semiHidden/>
    <w:rsid w:val="00A343CE"/>
    <w:rPr>
      <w:lang w:eastAsia="en-US"/>
    </w:rPr>
  </w:style>
  <w:style w:type="paragraph" w:styleId="Zadevapripombe">
    <w:name w:val="annotation subject"/>
    <w:basedOn w:val="Pripombabesedilo"/>
    <w:next w:val="Pripombabesedilo"/>
    <w:link w:val="ZadevapripombeZnak"/>
    <w:uiPriority w:val="99"/>
    <w:semiHidden/>
    <w:unhideWhenUsed/>
    <w:rsid w:val="00A343CE"/>
    <w:rPr>
      <w:b/>
      <w:bCs/>
    </w:rPr>
  </w:style>
  <w:style w:type="character" w:customStyle="1" w:styleId="ZadevapripombeZnak">
    <w:name w:val="Zadeva pripombe Znak"/>
    <w:link w:val="Zadevapripombe"/>
    <w:uiPriority w:val="99"/>
    <w:semiHidden/>
    <w:rsid w:val="00A343CE"/>
    <w:rPr>
      <w:b/>
      <w:bCs/>
      <w:lang w:eastAsia="en-US"/>
    </w:rPr>
  </w:style>
  <w:style w:type="paragraph" w:styleId="Naslov">
    <w:name w:val="Title"/>
    <w:basedOn w:val="Navaden"/>
    <w:next w:val="Navaden"/>
    <w:link w:val="NaslovZnak"/>
    <w:uiPriority w:val="10"/>
    <w:qFormat/>
    <w:rsid w:val="003B2E93"/>
    <w:pPr>
      <w:spacing w:before="240" w:after="60"/>
      <w:jc w:val="center"/>
      <w:outlineLvl w:val="0"/>
    </w:pPr>
    <w:rPr>
      <w:rFonts w:ascii="Cambria" w:eastAsia="Times New Roman" w:hAnsi="Cambria"/>
      <w:b/>
      <w:bCs/>
      <w:kern w:val="28"/>
      <w:sz w:val="32"/>
      <w:szCs w:val="32"/>
    </w:rPr>
  </w:style>
  <w:style w:type="character" w:customStyle="1" w:styleId="NaslovZnak">
    <w:name w:val="Naslov Znak"/>
    <w:link w:val="Naslov"/>
    <w:uiPriority w:val="10"/>
    <w:rsid w:val="003B2E93"/>
    <w:rPr>
      <w:rFonts w:ascii="Cambria" w:eastAsia="Times New Roman" w:hAnsi="Cambria"/>
      <w:b/>
      <w:bCs/>
      <w:kern w:val="28"/>
      <w:sz w:val="32"/>
      <w:szCs w:val="32"/>
      <w:lang w:eastAsia="en-US"/>
    </w:rPr>
  </w:style>
  <w:style w:type="character" w:customStyle="1" w:styleId="Naslov3Znak">
    <w:name w:val="Naslov 3 Znak"/>
    <w:link w:val="Naslov3"/>
    <w:uiPriority w:val="9"/>
    <w:semiHidden/>
    <w:rsid w:val="008275DC"/>
    <w:rPr>
      <w:rFonts w:ascii="Cambria" w:eastAsia="Times New Roman" w:hAnsi="Cambria" w:cs="Times New Roman"/>
      <w:b/>
      <w:bCs/>
      <w:sz w:val="26"/>
      <w:szCs w:val="26"/>
      <w:lang w:eastAsia="en-US"/>
    </w:rPr>
  </w:style>
  <w:style w:type="paragraph" w:customStyle="1" w:styleId="BodyText22">
    <w:name w:val="Body Text 22"/>
    <w:basedOn w:val="Navaden"/>
    <w:rsid w:val="008275DC"/>
    <w:pPr>
      <w:spacing w:after="0" w:line="313" w:lineRule="atLeast"/>
      <w:jc w:val="both"/>
    </w:pPr>
    <w:rPr>
      <w:rFonts w:ascii="Tahoma" w:hAnsi="Tahoma"/>
      <w:szCs w:val="20"/>
      <w:lang w:eastAsia="sl-SI"/>
    </w:rPr>
  </w:style>
  <w:style w:type="paragraph" w:styleId="HTML-oblikovano">
    <w:name w:val="HTML Preformatted"/>
    <w:basedOn w:val="Navaden"/>
    <w:link w:val="HTML-oblikovanoZnak"/>
    <w:rsid w:val="00827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val="x-none" w:eastAsia="x-none"/>
    </w:rPr>
  </w:style>
  <w:style w:type="character" w:customStyle="1" w:styleId="HTML-oblikovanoZnak">
    <w:name w:val="HTML-oblikovano Znak"/>
    <w:link w:val="HTML-oblikovano"/>
    <w:rsid w:val="008275DC"/>
    <w:rPr>
      <w:rFonts w:ascii="Courier New" w:eastAsia="Times New Roman" w:hAnsi="Courier New"/>
      <w:color w:val="000000"/>
      <w:sz w:val="18"/>
      <w:szCs w:val="18"/>
      <w:lang w:val="x-none" w:eastAsia="x-none"/>
    </w:rPr>
  </w:style>
  <w:style w:type="paragraph" w:customStyle="1" w:styleId="datumtevilka">
    <w:name w:val="datum številka"/>
    <w:basedOn w:val="Navaden"/>
    <w:qFormat/>
    <w:rsid w:val="00EE3846"/>
    <w:pPr>
      <w:tabs>
        <w:tab w:val="left" w:pos="1701"/>
      </w:tabs>
      <w:spacing w:after="0" w:line="260" w:lineRule="atLeast"/>
    </w:pPr>
    <w:rPr>
      <w:rFonts w:ascii="Arial" w:eastAsia="Times New Roman" w:hAnsi="Arial"/>
      <w:sz w:val="20"/>
      <w:szCs w:val="20"/>
      <w:lang w:val="sl-SI" w:eastAsia="sl-SI"/>
    </w:rPr>
  </w:style>
  <w:style w:type="paragraph" w:customStyle="1" w:styleId="Znak1">
    <w:name w:val=" Znak1"/>
    <w:basedOn w:val="Navaden"/>
    <w:rsid w:val="0058314C"/>
    <w:pPr>
      <w:spacing w:after="160" w:line="240" w:lineRule="exact"/>
    </w:pPr>
    <w:rPr>
      <w:rFonts w:ascii="Tahoma" w:eastAsia="Times New Roman"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eastAsia="en-US"/>
    </w:rPr>
  </w:style>
  <w:style w:type="paragraph" w:styleId="Naslov1">
    <w:name w:val="heading 1"/>
    <w:aliases w:val="NASLOV"/>
    <w:basedOn w:val="Navaden"/>
    <w:next w:val="Navaden"/>
    <w:link w:val="Naslov1Znak"/>
    <w:autoRedefine/>
    <w:qFormat/>
    <w:rsid w:val="00996155"/>
    <w:pPr>
      <w:keepNext/>
      <w:spacing w:after="0" w:line="240" w:lineRule="auto"/>
      <w:outlineLvl w:val="0"/>
    </w:pPr>
    <w:rPr>
      <w:rFonts w:ascii="Arial" w:eastAsia="Times New Roman" w:hAnsi="Arial" w:cs="Arial"/>
      <w:b/>
      <w:kern w:val="32"/>
      <w:sz w:val="20"/>
      <w:szCs w:val="20"/>
      <w:lang w:eastAsia="sl-SI"/>
    </w:rPr>
  </w:style>
  <w:style w:type="paragraph" w:styleId="Naslov2">
    <w:name w:val="heading 2"/>
    <w:basedOn w:val="Navaden"/>
    <w:next w:val="Navaden"/>
    <w:link w:val="Naslov2Znak"/>
    <w:uiPriority w:val="9"/>
    <w:semiHidden/>
    <w:unhideWhenUsed/>
    <w:qFormat/>
    <w:rsid w:val="00FE58D5"/>
    <w:pPr>
      <w:keepNext/>
      <w:spacing w:before="240" w:after="60"/>
      <w:outlineLvl w:val="1"/>
    </w:pPr>
    <w:rPr>
      <w:rFonts w:ascii="Cambria" w:eastAsia="Times New Roman" w:hAnsi="Cambria"/>
      <w:b/>
      <w:bCs/>
      <w:i/>
      <w:iCs/>
      <w:sz w:val="28"/>
      <w:szCs w:val="28"/>
    </w:rPr>
  </w:style>
  <w:style w:type="paragraph" w:styleId="Naslov3">
    <w:name w:val="heading 3"/>
    <w:basedOn w:val="Navaden"/>
    <w:next w:val="Navaden"/>
    <w:link w:val="Naslov3Znak"/>
    <w:uiPriority w:val="9"/>
    <w:semiHidden/>
    <w:unhideWhenUsed/>
    <w:qFormat/>
    <w:rsid w:val="008275DC"/>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 Char,Header Char1 Char,Header Char Char Char Char,Header Char Char1,Header Char1 Char Char,Header-PR,Header1"/>
    <w:basedOn w:val="Navaden"/>
    <w:link w:val="GlavaZnak"/>
    <w:rsid w:val="00E43468"/>
    <w:pPr>
      <w:tabs>
        <w:tab w:val="center" w:pos="4320"/>
        <w:tab w:val="right" w:pos="8640"/>
      </w:tabs>
    </w:pPr>
    <w:rPr>
      <w:rFonts w:ascii="Arial" w:eastAsia="Times New Roman" w:hAnsi="Arial"/>
      <w:sz w:val="20"/>
      <w:szCs w:val="24"/>
      <w:lang w:val="en-US"/>
    </w:rPr>
  </w:style>
  <w:style w:type="character" w:customStyle="1" w:styleId="GlavaZnak">
    <w:name w:val="Glava Znak"/>
    <w:aliases w:val="Header Char Znak,Header Char1 Char Znak,Header Char Char Char Char Znak,Header Char Char1 Znak,Header Char1 Char Char Znak,Header-PR Znak,Header1 Znak"/>
    <w:link w:val="Glava"/>
    <w:rsid w:val="00E43468"/>
    <w:rPr>
      <w:rFonts w:ascii="Arial" w:eastAsia="Times New Roman" w:hAnsi="Arial"/>
      <w:szCs w:val="24"/>
      <w:lang w:val="en-US" w:eastAsia="en-US"/>
    </w:rPr>
  </w:style>
  <w:style w:type="character" w:styleId="Hiperpovezava">
    <w:name w:val="Hyperlink"/>
    <w:rsid w:val="00E43468"/>
    <w:rPr>
      <w:color w:val="0000FF"/>
      <w:u w:val="single"/>
    </w:rPr>
  </w:style>
  <w:style w:type="paragraph" w:styleId="Besedilooblaka">
    <w:name w:val="Balloon Text"/>
    <w:basedOn w:val="Navaden"/>
    <w:link w:val="BesedilooblakaZnak"/>
    <w:uiPriority w:val="99"/>
    <w:semiHidden/>
    <w:unhideWhenUsed/>
    <w:rsid w:val="00115677"/>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115677"/>
    <w:rPr>
      <w:rFonts w:ascii="Tahoma" w:hAnsi="Tahoma" w:cs="Tahoma"/>
      <w:sz w:val="16"/>
      <w:szCs w:val="16"/>
      <w:lang w:eastAsia="en-US"/>
    </w:rPr>
  </w:style>
  <w:style w:type="character" w:customStyle="1" w:styleId="Naslov1Znak">
    <w:name w:val="Naslov 1 Znak"/>
    <w:aliases w:val="NASLOV Znak"/>
    <w:link w:val="Naslov1"/>
    <w:rsid w:val="00996155"/>
    <w:rPr>
      <w:rFonts w:ascii="Arial" w:eastAsia="Times New Roman" w:hAnsi="Arial" w:cs="Arial"/>
      <w:b/>
      <w:kern w:val="32"/>
    </w:rPr>
  </w:style>
  <w:style w:type="paragraph" w:customStyle="1" w:styleId="Naslovpredpisa">
    <w:name w:val="Naslov_predpisa"/>
    <w:basedOn w:val="Navaden"/>
    <w:link w:val="NaslovpredpisaZnak"/>
    <w:qFormat/>
    <w:rsid w:val="007479AC"/>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7479AC"/>
    <w:rPr>
      <w:rFonts w:ascii="Arial" w:eastAsia="Times New Roman" w:hAnsi="Arial" w:cs="Arial"/>
      <w:b/>
      <w:sz w:val="22"/>
      <w:szCs w:val="22"/>
    </w:rPr>
  </w:style>
  <w:style w:type="paragraph" w:customStyle="1" w:styleId="Poglavje">
    <w:name w:val="Poglavje"/>
    <w:basedOn w:val="Navaden"/>
    <w:qFormat/>
    <w:rsid w:val="007479AC"/>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7479AC"/>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7479AC"/>
    <w:rPr>
      <w:rFonts w:ascii="Arial" w:eastAsia="Times New Roman" w:hAnsi="Arial" w:cs="Arial"/>
      <w:sz w:val="22"/>
      <w:szCs w:val="22"/>
    </w:rPr>
  </w:style>
  <w:style w:type="paragraph" w:customStyle="1" w:styleId="Oddelek">
    <w:name w:val="Oddelek"/>
    <w:basedOn w:val="Navaden"/>
    <w:link w:val="OddelekZnak1"/>
    <w:qFormat/>
    <w:rsid w:val="007479AC"/>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7479AC"/>
    <w:rPr>
      <w:rFonts w:ascii="Arial" w:eastAsia="Times New Roman" w:hAnsi="Arial" w:cs="Arial"/>
      <w:b/>
      <w:sz w:val="22"/>
      <w:szCs w:val="22"/>
    </w:rPr>
  </w:style>
  <w:style w:type="paragraph" w:customStyle="1" w:styleId="Odstavekseznama1">
    <w:name w:val="Odstavek seznama1"/>
    <w:basedOn w:val="Navaden"/>
    <w:qFormat/>
    <w:rsid w:val="007479AC"/>
    <w:pPr>
      <w:spacing w:after="0" w:line="240" w:lineRule="auto"/>
      <w:ind w:left="720"/>
      <w:contextualSpacing/>
    </w:pPr>
    <w:rPr>
      <w:rFonts w:ascii="Times New Roman" w:eastAsia="Times New Roman" w:hAnsi="Times New Roman"/>
      <w:sz w:val="24"/>
      <w:szCs w:val="24"/>
      <w:lang w:eastAsia="sl-SI"/>
    </w:rPr>
  </w:style>
  <w:style w:type="character" w:styleId="HTML-citat">
    <w:name w:val="HTML Cite"/>
    <w:uiPriority w:val="99"/>
    <w:semiHidden/>
    <w:unhideWhenUsed/>
    <w:rsid w:val="007479AC"/>
    <w:rPr>
      <w:i w:val="0"/>
      <w:iCs w:val="0"/>
      <w:color w:val="006621"/>
    </w:rPr>
  </w:style>
  <w:style w:type="paragraph" w:customStyle="1" w:styleId="podpisi">
    <w:name w:val="podpisi"/>
    <w:basedOn w:val="Navaden"/>
    <w:qFormat/>
    <w:rsid w:val="007479AC"/>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7479AC"/>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7479AC"/>
    <w:rPr>
      <w:rFonts w:ascii="Arial" w:eastAsia="Times New Roman" w:hAnsi="Arial" w:cs="Arial"/>
      <w:b/>
      <w:bCs/>
      <w:color w:val="000000"/>
      <w:spacing w:val="40"/>
      <w:sz w:val="22"/>
      <w:szCs w:val="22"/>
    </w:rPr>
  </w:style>
  <w:style w:type="paragraph" w:customStyle="1" w:styleId="Alineazaodstavkom">
    <w:name w:val="Alinea za odstavkom"/>
    <w:basedOn w:val="Navaden"/>
    <w:link w:val="AlineazaodstavkomZnak"/>
    <w:qFormat/>
    <w:rsid w:val="007479AC"/>
    <w:pPr>
      <w:numPr>
        <w:numId w:val="4"/>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7479AC"/>
    <w:rPr>
      <w:rFonts w:ascii="Arial" w:eastAsia="Times New Roman" w:hAnsi="Arial" w:cs="Arial"/>
      <w:sz w:val="22"/>
      <w:szCs w:val="22"/>
    </w:rPr>
  </w:style>
  <w:style w:type="character" w:customStyle="1" w:styleId="Naslov2Znak">
    <w:name w:val="Naslov 2 Znak"/>
    <w:link w:val="Naslov2"/>
    <w:uiPriority w:val="9"/>
    <w:semiHidden/>
    <w:rsid w:val="00FE58D5"/>
    <w:rPr>
      <w:rFonts w:ascii="Cambria" w:eastAsia="Times New Roman" w:hAnsi="Cambria" w:cs="Times New Roman"/>
      <w:b/>
      <w:bCs/>
      <w:i/>
      <w:iCs/>
      <w:sz w:val="28"/>
      <w:szCs w:val="28"/>
      <w:lang w:eastAsia="en-US"/>
    </w:rPr>
  </w:style>
  <w:style w:type="paragraph" w:styleId="Odstavekseznama">
    <w:name w:val="List Paragraph"/>
    <w:basedOn w:val="Navaden"/>
    <w:uiPriority w:val="34"/>
    <w:qFormat/>
    <w:rsid w:val="00FE58D5"/>
    <w:pPr>
      <w:spacing w:after="160" w:line="259" w:lineRule="auto"/>
      <w:ind w:left="720"/>
      <w:contextualSpacing/>
    </w:pPr>
  </w:style>
  <w:style w:type="table" w:styleId="Tabelamrea">
    <w:name w:val="Table Grid"/>
    <w:basedOn w:val="Navadnatabela"/>
    <w:uiPriority w:val="39"/>
    <w:rsid w:val="00FE58D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2">
    <w:name w:val="Body Text 2"/>
    <w:basedOn w:val="Navaden"/>
    <w:link w:val="Telobesedila2Znak"/>
    <w:rsid w:val="00FE58D5"/>
    <w:pPr>
      <w:spacing w:after="120" w:line="480" w:lineRule="auto"/>
    </w:pPr>
    <w:rPr>
      <w:rFonts w:ascii="Times New Roman" w:eastAsia="Times New Roman" w:hAnsi="Times New Roman"/>
      <w:sz w:val="24"/>
      <w:szCs w:val="24"/>
      <w:lang w:val="x-none" w:eastAsia="x-none"/>
    </w:rPr>
  </w:style>
  <w:style w:type="character" w:customStyle="1" w:styleId="Telobesedila2Znak">
    <w:name w:val="Telo besedila 2 Znak"/>
    <w:link w:val="Telobesedila2"/>
    <w:rsid w:val="00FE58D5"/>
    <w:rPr>
      <w:rFonts w:ascii="Times New Roman" w:eastAsia="Times New Roman" w:hAnsi="Times New Roman"/>
      <w:sz w:val="24"/>
      <w:szCs w:val="24"/>
      <w:lang w:val="x-none" w:eastAsia="x-none"/>
    </w:rPr>
  </w:style>
  <w:style w:type="character" w:styleId="Pripombasklic">
    <w:name w:val="annotation reference"/>
    <w:uiPriority w:val="99"/>
    <w:semiHidden/>
    <w:unhideWhenUsed/>
    <w:rsid w:val="00A343CE"/>
    <w:rPr>
      <w:sz w:val="16"/>
      <w:szCs w:val="16"/>
    </w:rPr>
  </w:style>
  <w:style w:type="paragraph" w:styleId="Pripombabesedilo">
    <w:name w:val="annotation text"/>
    <w:basedOn w:val="Navaden"/>
    <w:link w:val="PripombabesediloZnak"/>
    <w:uiPriority w:val="99"/>
    <w:semiHidden/>
    <w:unhideWhenUsed/>
    <w:rsid w:val="00A343CE"/>
    <w:rPr>
      <w:sz w:val="20"/>
      <w:szCs w:val="20"/>
    </w:rPr>
  </w:style>
  <w:style w:type="character" w:customStyle="1" w:styleId="PripombabesediloZnak">
    <w:name w:val="Pripomba – besedilo Znak"/>
    <w:link w:val="Pripombabesedilo"/>
    <w:uiPriority w:val="99"/>
    <w:semiHidden/>
    <w:rsid w:val="00A343CE"/>
    <w:rPr>
      <w:lang w:eastAsia="en-US"/>
    </w:rPr>
  </w:style>
  <w:style w:type="paragraph" w:styleId="Zadevapripombe">
    <w:name w:val="annotation subject"/>
    <w:basedOn w:val="Pripombabesedilo"/>
    <w:next w:val="Pripombabesedilo"/>
    <w:link w:val="ZadevapripombeZnak"/>
    <w:uiPriority w:val="99"/>
    <w:semiHidden/>
    <w:unhideWhenUsed/>
    <w:rsid w:val="00A343CE"/>
    <w:rPr>
      <w:b/>
      <w:bCs/>
    </w:rPr>
  </w:style>
  <w:style w:type="character" w:customStyle="1" w:styleId="ZadevapripombeZnak">
    <w:name w:val="Zadeva pripombe Znak"/>
    <w:link w:val="Zadevapripombe"/>
    <w:uiPriority w:val="99"/>
    <w:semiHidden/>
    <w:rsid w:val="00A343CE"/>
    <w:rPr>
      <w:b/>
      <w:bCs/>
      <w:lang w:eastAsia="en-US"/>
    </w:rPr>
  </w:style>
  <w:style w:type="paragraph" w:styleId="Naslov">
    <w:name w:val="Title"/>
    <w:basedOn w:val="Navaden"/>
    <w:next w:val="Navaden"/>
    <w:link w:val="NaslovZnak"/>
    <w:uiPriority w:val="10"/>
    <w:qFormat/>
    <w:rsid w:val="003B2E93"/>
    <w:pPr>
      <w:spacing w:before="240" w:after="60"/>
      <w:jc w:val="center"/>
      <w:outlineLvl w:val="0"/>
    </w:pPr>
    <w:rPr>
      <w:rFonts w:ascii="Cambria" w:eastAsia="Times New Roman" w:hAnsi="Cambria"/>
      <w:b/>
      <w:bCs/>
      <w:kern w:val="28"/>
      <w:sz w:val="32"/>
      <w:szCs w:val="32"/>
    </w:rPr>
  </w:style>
  <w:style w:type="character" w:customStyle="1" w:styleId="NaslovZnak">
    <w:name w:val="Naslov Znak"/>
    <w:link w:val="Naslov"/>
    <w:uiPriority w:val="10"/>
    <w:rsid w:val="003B2E93"/>
    <w:rPr>
      <w:rFonts w:ascii="Cambria" w:eastAsia="Times New Roman" w:hAnsi="Cambria"/>
      <w:b/>
      <w:bCs/>
      <w:kern w:val="28"/>
      <w:sz w:val="32"/>
      <w:szCs w:val="32"/>
      <w:lang w:eastAsia="en-US"/>
    </w:rPr>
  </w:style>
  <w:style w:type="character" w:customStyle="1" w:styleId="Naslov3Znak">
    <w:name w:val="Naslov 3 Znak"/>
    <w:link w:val="Naslov3"/>
    <w:uiPriority w:val="9"/>
    <w:semiHidden/>
    <w:rsid w:val="008275DC"/>
    <w:rPr>
      <w:rFonts w:ascii="Cambria" w:eastAsia="Times New Roman" w:hAnsi="Cambria" w:cs="Times New Roman"/>
      <w:b/>
      <w:bCs/>
      <w:sz w:val="26"/>
      <w:szCs w:val="26"/>
      <w:lang w:eastAsia="en-US"/>
    </w:rPr>
  </w:style>
  <w:style w:type="paragraph" w:customStyle="1" w:styleId="BodyText22">
    <w:name w:val="Body Text 22"/>
    <w:basedOn w:val="Navaden"/>
    <w:rsid w:val="008275DC"/>
    <w:pPr>
      <w:spacing w:after="0" w:line="313" w:lineRule="atLeast"/>
      <w:jc w:val="both"/>
    </w:pPr>
    <w:rPr>
      <w:rFonts w:ascii="Tahoma" w:hAnsi="Tahoma"/>
      <w:szCs w:val="20"/>
      <w:lang w:eastAsia="sl-SI"/>
    </w:rPr>
  </w:style>
  <w:style w:type="paragraph" w:styleId="HTML-oblikovano">
    <w:name w:val="HTML Preformatted"/>
    <w:basedOn w:val="Navaden"/>
    <w:link w:val="HTML-oblikovanoZnak"/>
    <w:rsid w:val="00827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val="x-none" w:eastAsia="x-none"/>
    </w:rPr>
  </w:style>
  <w:style w:type="character" w:customStyle="1" w:styleId="HTML-oblikovanoZnak">
    <w:name w:val="HTML-oblikovano Znak"/>
    <w:link w:val="HTML-oblikovano"/>
    <w:rsid w:val="008275DC"/>
    <w:rPr>
      <w:rFonts w:ascii="Courier New" w:eastAsia="Times New Roman" w:hAnsi="Courier New"/>
      <w:color w:val="000000"/>
      <w:sz w:val="18"/>
      <w:szCs w:val="18"/>
      <w:lang w:val="x-none" w:eastAsia="x-none"/>
    </w:rPr>
  </w:style>
  <w:style w:type="paragraph" w:customStyle="1" w:styleId="datumtevilka">
    <w:name w:val="datum številka"/>
    <w:basedOn w:val="Navaden"/>
    <w:qFormat/>
    <w:rsid w:val="00EE3846"/>
    <w:pPr>
      <w:tabs>
        <w:tab w:val="left" w:pos="1701"/>
      </w:tabs>
      <w:spacing w:after="0" w:line="260" w:lineRule="atLeast"/>
    </w:pPr>
    <w:rPr>
      <w:rFonts w:ascii="Arial" w:eastAsia="Times New Roman" w:hAnsi="Arial"/>
      <w:sz w:val="20"/>
      <w:szCs w:val="20"/>
      <w:lang w:val="sl-SI" w:eastAsia="sl-SI"/>
    </w:rPr>
  </w:style>
  <w:style w:type="paragraph" w:customStyle="1" w:styleId="Znak1">
    <w:name w:val=" Znak1"/>
    <w:basedOn w:val="Navaden"/>
    <w:rsid w:val="0058314C"/>
    <w:pPr>
      <w:spacing w:after="160" w:line="240" w:lineRule="exact"/>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D77CA-D6A6-48F7-B48E-8B2AF5D10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4691</Words>
  <Characters>26744</Characters>
  <Application>Microsoft Office Word</Application>
  <DocSecurity>0</DocSecurity>
  <Lines>222</Lines>
  <Paragraphs>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MG</Company>
  <LinksUpToDate>false</LinksUpToDate>
  <CharactersWithSpaces>31373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 Jenko</dc:creator>
  <cp:lastModifiedBy>Martin Štiglic</cp:lastModifiedBy>
  <cp:revision>2</cp:revision>
  <cp:lastPrinted>2014-12-04T13:09:00Z</cp:lastPrinted>
  <dcterms:created xsi:type="dcterms:W3CDTF">2020-12-07T12:46:00Z</dcterms:created>
  <dcterms:modified xsi:type="dcterms:W3CDTF">2020-12-07T12:46:00Z</dcterms:modified>
</cp:coreProperties>
</file>