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820DB4">
        <w:rPr>
          <w:rFonts w:ascii="Arial" w:hAnsi="Arial" w:cs="Arial"/>
          <w:color w:val="000000"/>
        </w:rPr>
        <w:t>6. 4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bookmarkStart w:id="0" w:name="_GoBack"/>
      <w:bookmarkEnd w:id="0"/>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1A6247">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P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sectPr w:rsidR="00434ADE" w:rsidRPr="00434A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12" w:rsidRDefault="00EA3E12" w:rsidP="00F5631D">
      <w:pPr>
        <w:spacing w:after="0" w:line="240" w:lineRule="auto"/>
      </w:pPr>
      <w:r>
        <w:separator/>
      </w:r>
    </w:p>
  </w:endnote>
  <w:endnote w:type="continuationSeparator" w:id="0">
    <w:p w:rsidR="00EA3E12" w:rsidRDefault="00EA3E12"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8D7256" w:rsidRDefault="008D7256">
        <w:pPr>
          <w:pStyle w:val="Noga"/>
          <w:jc w:val="center"/>
        </w:pPr>
        <w:r>
          <w:fldChar w:fldCharType="begin"/>
        </w:r>
        <w:r>
          <w:instrText>PAGE   \* MERGEFORMAT</w:instrText>
        </w:r>
        <w:r>
          <w:fldChar w:fldCharType="separate"/>
        </w:r>
        <w:r w:rsidR="00820DB4">
          <w:rPr>
            <w:noProof/>
          </w:rPr>
          <w:t>20</w:t>
        </w:r>
        <w:r>
          <w:fldChar w:fldCharType="end"/>
        </w:r>
      </w:p>
    </w:sdtContent>
  </w:sdt>
  <w:p w:rsidR="008D7256" w:rsidRDefault="008D72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12" w:rsidRDefault="00EA3E12" w:rsidP="00F5631D">
      <w:pPr>
        <w:spacing w:after="0" w:line="240" w:lineRule="auto"/>
      </w:pPr>
      <w:r>
        <w:separator/>
      </w:r>
    </w:p>
  </w:footnote>
  <w:footnote w:type="continuationSeparator" w:id="0">
    <w:p w:rsidR="00EA3E12" w:rsidRDefault="00EA3E12"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56" w:rsidRDefault="008D7256"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8D7256" w:rsidRDefault="008D725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F2E"/>
    <w:rsid w:val="00394128"/>
    <w:rsid w:val="003A7818"/>
    <w:rsid w:val="003C6767"/>
    <w:rsid w:val="003D4308"/>
    <w:rsid w:val="003E2D71"/>
    <w:rsid w:val="003F0F06"/>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4917"/>
    <w:rsid w:val="00522016"/>
    <w:rsid w:val="0057569C"/>
    <w:rsid w:val="005B4760"/>
    <w:rsid w:val="005D1F7C"/>
    <w:rsid w:val="005D3A47"/>
    <w:rsid w:val="005E52EE"/>
    <w:rsid w:val="005E7D76"/>
    <w:rsid w:val="006017BE"/>
    <w:rsid w:val="00634A02"/>
    <w:rsid w:val="00662D97"/>
    <w:rsid w:val="006637A7"/>
    <w:rsid w:val="00663FCD"/>
    <w:rsid w:val="00664761"/>
    <w:rsid w:val="00667350"/>
    <w:rsid w:val="006A249C"/>
    <w:rsid w:val="006D49BA"/>
    <w:rsid w:val="006E24FC"/>
    <w:rsid w:val="00703F55"/>
    <w:rsid w:val="007067C5"/>
    <w:rsid w:val="00717540"/>
    <w:rsid w:val="00732108"/>
    <w:rsid w:val="00732E94"/>
    <w:rsid w:val="007544D9"/>
    <w:rsid w:val="00777443"/>
    <w:rsid w:val="00795CCF"/>
    <w:rsid w:val="007C4987"/>
    <w:rsid w:val="007D0EB6"/>
    <w:rsid w:val="007D5769"/>
    <w:rsid w:val="00801D95"/>
    <w:rsid w:val="00810C01"/>
    <w:rsid w:val="00812016"/>
    <w:rsid w:val="00820DB4"/>
    <w:rsid w:val="00845691"/>
    <w:rsid w:val="008560E5"/>
    <w:rsid w:val="008C761A"/>
    <w:rsid w:val="008D7256"/>
    <w:rsid w:val="008F4DBC"/>
    <w:rsid w:val="00930F20"/>
    <w:rsid w:val="0093337F"/>
    <w:rsid w:val="00944A63"/>
    <w:rsid w:val="009476C9"/>
    <w:rsid w:val="00980AE5"/>
    <w:rsid w:val="0098379E"/>
    <w:rsid w:val="00987930"/>
    <w:rsid w:val="009C5795"/>
    <w:rsid w:val="00A566FC"/>
    <w:rsid w:val="00A804E8"/>
    <w:rsid w:val="00A90595"/>
    <w:rsid w:val="00AA06E6"/>
    <w:rsid w:val="00AA3689"/>
    <w:rsid w:val="00AB1FA8"/>
    <w:rsid w:val="00AC05AF"/>
    <w:rsid w:val="00AD38AF"/>
    <w:rsid w:val="00AD52B0"/>
    <w:rsid w:val="00AE1B4A"/>
    <w:rsid w:val="00B148D3"/>
    <w:rsid w:val="00B419EE"/>
    <w:rsid w:val="00B51FEE"/>
    <w:rsid w:val="00B75900"/>
    <w:rsid w:val="00B95C01"/>
    <w:rsid w:val="00BA5C1F"/>
    <w:rsid w:val="00BC4CE9"/>
    <w:rsid w:val="00C15032"/>
    <w:rsid w:val="00C4676B"/>
    <w:rsid w:val="00C47C49"/>
    <w:rsid w:val="00C60CDF"/>
    <w:rsid w:val="00C651CF"/>
    <w:rsid w:val="00C76720"/>
    <w:rsid w:val="00C806A2"/>
    <w:rsid w:val="00CA4DD3"/>
    <w:rsid w:val="00CD55D0"/>
    <w:rsid w:val="00D12794"/>
    <w:rsid w:val="00D405D3"/>
    <w:rsid w:val="00D51CA0"/>
    <w:rsid w:val="00D766DC"/>
    <w:rsid w:val="00D9421B"/>
    <w:rsid w:val="00D95DD8"/>
    <w:rsid w:val="00D96951"/>
    <w:rsid w:val="00DE3D24"/>
    <w:rsid w:val="00DE7C3C"/>
    <w:rsid w:val="00E1125E"/>
    <w:rsid w:val="00E60D34"/>
    <w:rsid w:val="00E705EC"/>
    <w:rsid w:val="00E71FEC"/>
    <w:rsid w:val="00E759B3"/>
    <w:rsid w:val="00E84310"/>
    <w:rsid w:val="00EA3E12"/>
    <w:rsid w:val="00EA68B6"/>
    <w:rsid w:val="00EC784A"/>
    <w:rsid w:val="00F07836"/>
    <w:rsid w:val="00F514C1"/>
    <w:rsid w:val="00F54B4B"/>
    <w:rsid w:val="00F5631D"/>
    <w:rsid w:val="00F5663D"/>
    <w:rsid w:val="00F63672"/>
    <w:rsid w:val="00F72D82"/>
    <w:rsid w:val="00F87B10"/>
    <w:rsid w:val="00F923D5"/>
    <w:rsid w:val="00F972CB"/>
    <w:rsid w:val="00FC38E9"/>
    <w:rsid w:val="00FD76F0"/>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1956"/>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10185</Words>
  <Characters>58057</Characters>
  <Application>Microsoft Office Word</Application>
  <DocSecurity>0</DocSecurity>
  <Lines>483</Lines>
  <Paragraphs>136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18</cp:revision>
  <dcterms:created xsi:type="dcterms:W3CDTF">2022-04-05T06:17:00Z</dcterms:created>
  <dcterms:modified xsi:type="dcterms:W3CDTF">2022-04-06T12:35:00Z</dcterms:modified>
</cp:coreProperties>
</file>