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4E02DE" w:rsidRPr="00AA06E6">
        <w:rPr>
          <w:rFonts w:ascii="Arial" w:hAnsi="Arial" w:cs="Arial"/>
          <w:color w:val="000000"/>
        </w:rPr>
        <w:t>2</w:t>
      </w:r>
      <w:r w:rsidR="00450CDD">
        <w:rPr>
          <w:rFonts w:ascii="Arial" w:hAnsi="Arial" w:cs="Arial"/>
          <w:color w:val="000000"/>
        </w:rPr>
        <w:t>3</w:t>
      </w:r>
      <w:r w:rsidR="003D4308" w:rsidRPr="00AA06E6">
        <w:rPr>
          <w:rFonts w:ascii="Arial" w:hAnsi="Arial" w:cs="Arial"/>
          <w:color w:val="000000"/>
        </w:rPr>
        <w:t>. 3.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lastRenderedPageBreak/>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sidRPr="00AA06E6">
        <w:rPr>
          <w:rFonts w:ascii="Arial" w:hAnsi="Arial" w:cs="Arial"/>
          <w:b/>
          <w:color w:val="000000"/>
        </w:rPr>
        <w:lastRenderedPageBreak/>
        <w:t>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lastRenderedPageBreak/>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lastRenderedPageBreak/>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lastRenderedPageBreak/>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t xml:space="preserve">Predplačilo se nanaša predvsem na izvajalca(-e) gradbenih del. Pri nakupu nezazidanih zemljišč je strošek nakupa smiselno uveljavljati na koncu izvajanja projekta, saj </w:t>
      </w:r>
      <w:r w:rsidRPr="00930F20">
        <w:rPr>
          <w:rFonts w:ascii="Arial" w:hAnsi="Arial" w:cs="Arial"/>
          <w:b/>
        </w:rPr>
        <w:lastRenderedPageBreak/>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xml:space="preserve">. Pri izračunu zamudnih obresti bomo </w:t>
      </w:r>
      <w:bookmarkStart w:id="0" w:name="_GoBack"/>
      <w:bookmarkEnd w:id="0"/>
      <w:r>
        <w:rPr>
          <w:rFonts w:ascii="Arial" w:hAnsi="Arial" w:cs="Arial"/>
          <w:b/>
        </w:rPr>
        <w:t>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lastRenderedPageBreak/>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5044D1">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w:t>
      </w:r>
      <w:r w:rsidRPr="00B419EE">
        <w:rPr>
          <w:rFonts w:ascii="Arial" w:hAnsi="Arial" w:cs="Arial"/>
        </w:rPr>
        <w:t xml:space="preserve">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p>
    <w:sectPr w:rsidR="00B419EE" w:rsidRPr="00B419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D" w:rsidRDefault="00F5631D" w:rsidP="00F5631D">
      <w:pPr>
        <w:spacing w:after="0" w:line="240" w:lineRule="auto"/>
      </w:pPr>
      <w:r>
        <w:separator/>
      </w:r>
    </w:p>
  </w:endnote>
  <w:endnote w:type="continuationSeparator" w:id="0">
    <w:p w:rsidR="00F5631D" w:rsidRDefault="00F5631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9C5795" w:rsidRDefault="009C5795">
        <w:pPr>
          <w:pStyle w:val="Noga"/>
          <w:jc w:val="center"/>
        </w:pPr>
        <w:r>
          <w:fldChar w:fldCharType="begin"/>
        </w:r>
        <w:r>
          <w:instrText>PAGE   \* MERGEFORMAT</w:instrText>
        </w:r>
        <w:r>
          <w:fldChar w:fldCharType="separate"/>
        </w:r>
        <w:r w:rsidR="00514917">
          <w:rPr>
            <w:noProof/>
          </w:rPr>
          <w:t>14</w:t>
        </w:r>
        <w:r>
          <w:fldChar w:fldCharType="end"/>
        </w:r>
      </w:p>
    </w:sdtContent>
  </w:sdt>
  <w:p w:rsidR="009C5795" w:rsidRDefault="009C579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D" w:rsidRDefault="00F5631D" w:rsidP="00F5631D">
      <w:pPr>
        <w:spacing w:after="0" w:line="240" w:lineRule="auto"/>
      </w:pPr>
      <w:r>
        <w:separator/>
      </w:r>
    </w:p>
  </w:footnote>
  <w:footnote w:type="continuationSeparator" w:id="0">
    <w:p w:rsidR="00F5631D" w:rsidRDefault="00F5631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1D" w:rsidRDefault="00F5631D"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F5631D" w:rsidRDefault="00F56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1C95"/>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181B6E"/>
    <w:multiLevelType w:val="hybridMultilevel"/>
    <w:tmpl w:val="E19E024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9"/>
  </w:num>
  <w:num w:numId="3">
    <w:abstractNumId w:val="4"/>
  </w:num>
  <w:num w:numId="4">
    <w:abstractNumId w:val="10"/>
  </w:num>
  <w:num w:numId="5">
    <w:abstractNumId w:val="7"/>
  </w:num>
  <w:num w:numId="6">
    <w:abstractNumId w:val="5"/>
  </w:num>
  <w:num w:numId="7">
    <w:abstractNumId w:val="1"/>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42F14"/>
    <w:rsid w:val="000724C2"/>
    <w:rsid w:val="00080ED5"/>
    <w:rsid w:val="000B792D"/>
    <w:rsid w:val="00100EE3"/>
    <w:rsid w:val="00115525"/>
    <w:rsid w:val="00157A0D"/>
    <w:rsid w:val="0017185B"/>
    <w:rsid w:val="001813EB"/>
    <w:rsid w:val="00191D79"/>
    <w:rsid w:val="00194FF3"/>
    <w:rsid w:val="00214A79"/>
    <w:rsid w:val="00222484"/>
    <w:rsid w:val="002369AE"/>
    <w:rsid w:val="00266A5B"/>
    <w:rsid w:val="0027088B"/>
    <w:rsid w:val="00291669"/>
    <w:rsid w:val="002A698F"/>
    <w:rsid w:val="002E2A81"/>
    <w:rsid w:val="0031443E"/>
    <w:rsid w:val="003414B3"/>
    <w:rsid w:val="003C6767"/>
    <w:rsid w:val="003D4308"/>
    <w:rsid w:val="003E2D71"/>
    <w:rsid w:val="00434D93"/>
    <w:rsid w:val="0044673B"/>
    <w:rsid w:val="00447521"/>
    <w:rsid w:val="00450CDD"/>
    <w:rsid w:val="004606D6"/>
    <w:rsid w:val="0046639B"/>
    <w:rsid w:val="004B4ED5"/>
    <w:rsid w:val="004D089E"/>
    <w:rsid w:val="004D31E6"/>
    <w:rsid w:val="004E02DE"/>
    <w:rsid w:val="00514917"/>
    <w:rsid w:val="0057569C"/>
    <w:rsid w:val="005B4760"/>
    <w:rsid w:val="005D1F7C"/>
    <w:rsid w:val="005D3A47"/>
    <w:rsid w:val="005E52EE"/>
    <w:rsid w:val="006017BE"/>
    <w:rsid w:val="00634A02"/>
    <w:rsid w:val="006637A7"/>
    <w:rsid w:val="00664761"/>
    <w:rsid w:val="00667350"/>
    <w:rsid w:val="006A249C"/>
    <w:rsid w:val="00703F55"/>
    <w:rsid w:val="007067C5"/>
    <w:rsid w:val="00732E94"/>
    <w:rsid w:val="007C4987"/>
    <w:rsid w:val="007D5769"/>
    <w:rsid w:val="00810C01"/>
    <w:rsid w:val="00845691"/>
    <w:rsid w:val="008C761A"/>
    <w:rsid w:val="00930F20"/>
    <w:rsid w:val="0093337F"/>
    <w:rsid w:val="009476C9"/>
    <w:rsid w:val="00980AE5"/>
    <w:rsid w:val="0098379E"/>
    <w:rsid w:val="009C5795"/>
    <w:rsid w:val="00A804E8"/>
    <w:rsid w:val="00AA06E6"/>
    <w:rsid w:val="00AB1FA8"/>
    <w:rsid w:val="00AC05AF"/>
    <w:rsid w:val="00AE1B4A"/>
    <w:rsid w:val="00B148D3"/>
    <w:rsid w:val="00B419EE"/>
    <w:rsid w:val="00B95C01"/>
    <w:rsid w:val="00BA5C1F"/>
    <w:rsid w:val="00BC4CE9"/>
    <w:rsid w:val="00C15032"/>
    <w:rsid w:val="00C47C49"/>
    <w:rsid w:val="00C806A2"/>
    <w:rsid w:val="00D12794"/>
    <w:rsid w:val="00D405D3"/>
    <w:rsid w:val="00D51CA0"/>
    <w:rsid w:val="00D95DD8"/>
    <w:rsid w:val="00D96951"/>
    <w:rsid w:val="00DE3D24"/>
    <w:rsid w:val="00E60D34"/>
    <w:rsid w:val="00E759B3"/>
    <w:rsid w:val="00E84310"/>
    <w:rsid w:val="00EA68B6"/>
    <w:rsid w:val="00F514C1"/>
    <w:rsid w:val="00F5631D"/>
    <w:rsid w:val="00F63672"/>
    <w:rsid w:val="00F72D82"/>
    <w:rsid w:val="00F87B10"/>
    <w:rsid w:val="00F972CB"/>
    <w:rsid w:val="00FD76F0"/>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6AA5"/>
  <w15:chartTrackingRefBased/>
  <w15:docId w15:val="{F0780521-2FCF-4051-A738-EB02D84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14</Pages>
  <Words>6054</Words>
  <Characters>34514</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17</cp:revision>
  <dcterms:created xsi:type="dcterms:W3CDTF">2022-03-23T06:21:00Z</dcterms:created>
  <dcterms:modified xsi:type="dcterms:W3CDTF">2022-03-23T11:45:00Z</dcterms:modified>
</cp:coreProperties>
</file>