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673EDB">
        <w:rPr>
          <w:rFonts w:ascii="Arial" w:hAnsi="Arial" w:cs="Arial"/>
          <w:color w:val="000000"/>
        </w:rPr>
        <w:t>13</w:t>
      </w:r>
      <w:r w:rsidR="00820DB4">
        <w:rPr>
          <w:rFonts w:ascii="Arial" w:hAnsi="Arial" w:cs="Arial"/>
          <w:color w:val="000000"/>
        </w:rPr>
        <w:t>. 4</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1A6247">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p w:rsidR="00A26989" w:rsidRDefault="00A26989" w:rsidP="00434ADE">
      <w:pPr>
        <w:autoSpaceDE w:val="0"/>
        <w:autoSpaceDN w:val="0"/>
        <w:adjustRightInd w:val="0"/>
        <w:spacing w:after="0" w:line="240" w:lineRule="auto"/>
        <w:jc w:val="both"/>
        <w:rPr>
          <w:rFonts w:ascii="Arial" w:hAnsi="Arial" w:cs="Arial"/>
          <w:b/>
          <w:color w:val="000000"/>
        </w:rPr>
      </w:pPr>
    </w:p>
    <w:p w:rsidR="00A26989" w:rsidRDefault="00A26989" w:rsidP="00A26989">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A26989">
        <w:rPr>
          <w:rFonts w:ascii="Arial" w:hAnsi="Arial" w:cs="Arial"/>
          <w:color w:val="000000"/>
        </w:rPr>
        <w:t xml:space="preserve">Imamo vprašanje v zvezi z izvedo ukrepov v okviru Javnega razpisa Podpora inovativnim ekosistemom ekonomsko-poslovne infrastrukture. </w:t>
      </w:r>
      <w:r w:rsidRPr="00B41A2F">
        <w:rPr>
          <w:rFonts w:ascii="Arial" w:hAnsi="Arial" w:cs="Arial"/>
          <w:b/>
          <w:color w:val="000000"/>
        </w:rPr>
        <w:t>Občina bi na svojemu objektu na območju poslovne cone postavila sončno elektrarno.</w:t>
      </w:r>
      <w:r w:rsidRPr="00A26989">
        <w:rPr>
          <w:rFonts w:ascii="Arial" w:hAnsi="Arial" w:cs="Arial"/>
          <w:color w:val="000000"/>
        </w:rPr>
        <w:t xml:space="preserve"> Namenska raba parcele, kjer stoji objekt je CD. Sončna elektrarna bo zagotavljala vso potrebno energijo za samooskrbo celotne poslovne cone za javno razsvetljavo. Torej vprašanji sta:</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 xml:space="preserve">Ali je lahko sončna elektrarna kjer koli na območju cone? </w:t>
      </w: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sončna elektrarna lahko na stavbi, ki stoji na zemljišču znotraj poslovne cone na namenski rabi CD?</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r w:rsidRPr="00A26989">
        <w:rPr>
          <w:rFonts w:ascii="Arial" w:hAnsi="Arial" w:cs="Arial"/>
          <w:color w:val="000000"/>
        </w:rPr>
        <w:t xml:space="preserve">Zdi se nam logično, da je lahko sončna elektrarna, ki bo zagotavljala samooskrbo z energijo celotne cone za javno razsvetljavo kjer koli na območju cone, saj s tem rešujemo oskrbo z obnovljivimi viri energije za celotno območje poslovne cone. Na namenski rabi IP </w:t>
      </w:r>
      <w:proofErr w:type="spellStart"/>
      <w:r w:rsidRPr="00A26989">
        <w:rPr>
          <w:rFonts w:ascii="Arial" w:hAnsi="Arial" w:cs="Arial"/>
          <w:color w:val="000000"/>
        </w:rPr>
        <w:t>oz</w:t>
      </w:r>
      <w:proofErr w:type="spellEnd"/>
      <w:r w:rsidRPr="00A26989">
        <w:rPr>
          <w:rFonts w:ascii="Arial" w:hAnsi="Arial" w:cs="Arial"/>
          <w:color w:val="000000"/>
        </w:rPr>
        <w:t xml:space="preserve"> IG občina ne postavlja objektov za javni namen.</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B41A2F" w:rsidRPr="00B41A2F" w:rsidRDefault="00A26989" w:rsidP="00B41A2F">
      <w:pPr>
        <w:pStyle w:val="Odstavekseznama"/>
        <w:autoSpaceDE w:val="0"/>
        <w:autoSpaceDN w:val="0"/>
        <w:adjustRightInd w:val="0"/>
        <w:spacing w:after="0" w:line="240" w:lineRule="auto"/>
        <w:ind w:left="426"/>
        <w:jc w:val="both"/>
        <w:rPr>
          <w:rFonts w:ascii="Arial" w:hAnsi="Arial" w:cs="Arial"/>
          <w:b/>
          <w:color w:val="000000"/>
        </w:rPr>
      </w:pPr>
      <w:r w:rsidRPr="00434ADE">
        <w:rPr>
          <w:rFonts w:ascii="Arial" w:hAnsi="Arial" w:cs="Arial"/>
          <w:b/>
          <w:color w:val="000000"/>
        </w:rPr>
        <w:t>ODGOVOR:</w:t>
      </w:r>
      <w:r>
        <w:rPr>
          <w:rFonts w:ascii="Arial" w:hAnsi="Arial" w:cs="Arial"/>
          <w:b/>
          <w:color w:val="000000"/>
        </w:rPr>
        <w:t xml:space="preserve"> </w:t>
      </w:r>
      <w:r w:rsidR="00B41A2F">
        <w:rPr>
          <w:rFonts w:ascii="Arial" w:hAnsi="Arial" w:cs="Arial"/>
          <w:b/>
          <w:color w:val="000000"/>
        </w:rPr>
        <w:t xml:space="preserve">Ad 1: </w:t>
      </w:r>
      <w:r w:rsidR="00B41A2F" w:rsidRPr="00B41A2F">
        <w:rPr>
          <w:rFonts w:ascii="Arial" w:hAnsi="Arial" w:cs="Arial"/>
          <w:b/>
          <w:color w:val="000000"/>
        </w:rPr>
        <w:t>Da, če je sončna elektrarna namenjena zagotavljanju energije EPC, ki je predmet vloge na javni razpis. Lastnik zemljišča, na kateri bo stala sončna elektrarna, mora biti prijavitelj. Če zemljišče, na katerem bo zgrajena sončna elektrarna,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B41A2F"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p>
    <w:p w:rsidR="00A26989" w:rsidRDefault="00B41A2F" w:rsidP="00B41A2F">
      <w:pPr>
        <w:pStyle w:val="Odstavekseznama"/>
        <w:autoSpaceDE w:val="0"/>
        <w:autoSpaceDN w:val="0"/>
        <w:adjustRightInd w:val="0"/>
        <w:spacing w:after="0" w:line="240" w:lineRule="auto"/>
        <w:ind w:left="426"/>
        <w:jc w:val="both"/>
        <w:rPr>
          <w:rFonts w:ascii="Arial" w:hAnsi="Arial" w:cs="Arial"/>
          <w:b/>
          <w:color w:val="000000"/>
        </w:rPr>
      </w:pPr>
      <w:r>
        <w:rPr>
          <w:rFonts w:ascii="Arial" w:hAnsi="Arial" w:cs="Arial"/>
          <w:b/>
          <w:color w:val="000000"/>
        </w:rPr>
        <w:t xml:space="preserve">Ad 2: </w:t>
      </w:r>
      <w:r w:rsidRPr="00B41A2F">
        <w:rPr>
          <w:rFonts w:ascii="Arial" w:hAnsi="Arial" w:cs="Arial"/>
          <w:b/>
          <w:color w:val="000000"/>
        </w:rPr>
        <w:t>Da, če je sončna elektrarna namenjena zagotavljanju energije EPC, ki je predmet vloge na javni razpis. Lastnik stavbe, na kateri bo stala sončna elektrarna, mora biti prijavitelj.</w:t>
      </w:r>
    </w:p>
    <w:p w:rsidR="00377C9E" w:rsidRDefault="00377C9E" w:rsidP="00B41A2F">
      <w:pPr>
        <w:pStyle w:val="Odstavekseznama"/>
        <w:autoSpaceDE w:val="0"/>
        <w:autoSpaceDN w:val="0"/>
        <w:adjustRightInd w:val="0"/>
        <w:spacing w:after="0" w:line="240" w:lineRule="auto"/>
        <w:ind w:left="426"/>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377C9E">
        <w:rPr>
          <w:rFonts w:ascii="Arial" w:hAnsi="Arial" w:cs="Arial"/>
          <w:color w:val="000000"/>
        </w:rPr>
        <w:t xml:space="preserve">Pogoj JR je »Zemljišče,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w:t>
      </w:r>
      <w:r w:rsidRPr="00377C9E">
        <w:rPr>
          <w:rFonts w:ascii="Arial" w:hAnsi="Arial" w:cs="Arial"/>
          <w:color w:val="000000"/>
        </w:rPr>
        <w:lastRenderedPageBreak/>
        <w:t>(Uradni list RS, št. 11/18 in 79/18), s trajanjem še najmanj pet (5) let od datuma zaključka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navezavi na ta pogoj nas zanima, ali potrebujemo vlogi priložiti tudi služnostno pravico za dovod elektrike, tistih parcel, ki sicer niso znotraj območja urejanja EPC, so pa v obstoječi EPC in se po njih (od </w:t>
      </w:r>
      <w:proofErr w:type="spellStart"/>
      <w:r w:rsidRPr="00377C9E">
        <w:rPr>
          <w:rFonts w:ascii="Arial" w:hAnsi="Arial" w:cs="Arial"/>
          <w:color w:val="000000"/>
        </w:rPr>
        <w:t>trafo</w:t>
      </w:r>
      <w:proofErr w:type="spellEnd"/>
      <w:r w:rsidRPr="00377C9E">
        <w:rPr>
          <w:rFonts w:ascii="Arial" w:hAnsi="Arial" w:cs="Arial"/>
          <w:color w:val="000000"/>
        </w:rPr>
        <w:t xml:space="preserve"> postaje) pripelje elektrika do območja urejanja?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r w:rsidRPr="00377C9E">
        <w:rPr>
          <w:rFonts w:ascii="Arial" w:hAnsi="Arial" w:cs="Arial"/>
          <w:b/>
          <w:color w:val="000000"/>
        </w:rPr>
        <w:t xml:space="preserve">ODGOVOR: </w:t>
      </w:r>
      <w:r>
        <w:rPr>
          <w:rFonts w:ascii="Arial" w:hAnsi="Arial" w:cs="Arial"/>
          <w:b/>
          <w:color w:val="000000"/>
        </w:rPr>
        <w:t>Ne, ni potrebno.</w:t>
      </w: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377C9E">
        <w:rPr>
          <w:rFonts w:ascii="Arial" w:hAnsi="Arial" w:cs="Arial"/>
          <w:color w:val="000000"/>
        </w:rPr>
        <w:t xml:space="preserve"> zvezi z objavljenim javnim razpisom podpora inovativnim ekosistemom ekonomsko-poslovne infrastrukture vas naprošamo za pojasnila na sledeča vprašanja, ki se nam porajajo glede na dejansko situacijo v naši občini.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razpisni dokumentaciji je opredeljen pogoj razpisa, da mora biti obstoječa ekonomska poslovna cona opredeljena v prostorskih aktih občine. Na razpis bi želeli prijaviti projekt infrastrukturne ureditve ekonomsko poslovne cone, ki pa v OPN ni posebej opredeljena kot ekonomsko poslovna cona, saj tega ne predpisuje nobena zakonodaja. OPN območje opiše kot GOSPODARSKO OBMOČJE </w:t>
      </w:r>
      <w:r>
        <w:rPr>
          <w:rFonts w:ascii="Arial" w:hAnsi="Arial" w:cs="Arial"/>
          <w:color w:val="000000"/>
        </w:rPr>
        <w:t>______________</w:t>
      </w:r>
      <w:r w:rsidRPr="00377C9E">
        <w:rPr>
          <w:rFonts w:ascii="Arial" w:hAnsi="Arial" w:cs="Arial"/>
          <w:color w:val="000000"/>
        </w:rPr>
        <w:t xml:space="preserve">, ki je večinoma umeščeno med železniško progo in hitro cesto.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Predmet projekta je območje, ki je v Prostorskem informacijskem sistemu PISO opredeljeno s podrobno namensko rabo prostora IG (enota urejanja prostora ŠE 56) in IP (enota urejanja prostora ŠE 53). Zraven leži tudi območje z oznako podrobne namenske rabe prostora BT (enota urejanja prostora ŠE 55).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Naša vprašanja se nanašajo na izpolnjevanje osnovnih pogojev razpisa in sicer na opredelitev površine in obsega obstoječe ekonomsko poslovne cone (kot izhodišče projekta) ter opredelitev potencialne širitve EPC na sosednje območje z oznako BT.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Vprašanja so sledeča: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tako opredeljena ekonomska poslovna cona (ŠE 56 + ŠE 53 skupaj 15,43 ha) zadostuje pogoju razpisa, kot opredelitev obstoječe poslovne cone? Za to območje namreč še nimamo sprejetega OPPN, ki bi točno opredeljeval obseg območja ekonomsko poslovne cone, za enoto ŠE 53 pa OPPN sploh ni predviden, ker gre za eno veliko gospodarsko družbo, ki zaseda celotno območje. Po razpisu  je namreč potrebno določiti obseg obstoječe ekonomsko poslovne cone, saj to služi kot izhodišče oblikovanja projekta, hkrati pa je eden glavnih kriterijev razpisa. Znotraj enote urejanja prostora ŠE 56 obstaja območje (površina 1,44 ha), za katerega je potrebno urediti infrastrukturo in katerega opremljanje je predmet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je mogoče v tem primeru predvideti potencialno širitev obstoječe ekonomsko poslovne cone IG na zraven ležečo enoto urejanja prostora ŠE 55, ki je trenutno v veljavnem OPN opredeljeno z namensko rabo BT? V predlogu spremembe OPN, ki je že nekaj let v sprejemanju in je v zaključni fazi usklajevanj z nosilci urejanja prostora je za območje urejevalne enote ŠE 55 predviden nov OPPN , s katerim bi večji del urejevalne enote ŠE 55 po namenski rabi iz BT spremenili v IG.</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E162F6" w:rsidRDefault="00377C9E" w:rsidP="00E162F6">
      <w:pPr>
        <w:pStyle w:val="Odstavekseznama"/>
        <w:autoSpaceDE w:val="0"/>
        <w:autoSpaceDN w:val="0"/>
        <w:adjustRightInd w:val="0"/>
        <w:spacing w:after="0" w:line="240" w:lineRule="auto"/>
        <w:ind w:left="0"/>
        <w:jc w:val="both"/>
        <w:rPr>
          <w:rFonts w:ascii="Arial" w:hAnsi="Arial" w:cs="Arial"/>
          <w:b/>
          <w:color w:val="000000"/>
        </w:rPr>
      </w:pPr>
      <w:r w:rsidRPr="00E162F6">
        <w:rPr>
          <w:rFonts w:ascii="Arial" w:hAnsi="Arial" w:cs="Arial"/>
          <w:b/>
          <w:color w:val="000000"/>
        </w:rPr>
        <w:t xml:space="preserve">ODGOVOR: </w:t>
      </w:r>
      <w:r w:rsidR="00E162F6" w:rsidRPr="00E162F6">
        <w:rPr>
          <w:rFonts w:ascii="Arial" w:hAnsi="Arial" w:cs="Arial"/>
          <w:b/>
          <w:color w:val="000000"/>
        </w:rPr>
        <w:t xml:space="preserve">Ad 1: Ocenjujemo, da tako opredeljena EPC (ŠE 56 + ŠE 53 skupaj 15,43 ha), znotraj katere se bo urejalo območje ŠE 56 (površina 1,44 ha) zadostuje pogoju razpisa glede obstoječe EPC. </w:t>
      </w:r>
    </w:p>
    <w:p w:rsidR="00E03EE0" w:rsidRDefault="00E03EE0" w:rsidP="00E162F6">
      <w:pPr>
        <w:pStyle w:val="Odstavekseznama"/>
        <w:autoSpaceDE w:val="0"/>
        <w:autoSpaceDN w:val="0"/>
        <w:adjustRightInd w:val="0"/>
        <w:spacing w:after="0" w:line="240" w:lineRule="auto"/>
        <w:ind w:left="0"/>
        <w:jc w:val="both"/>
        <w:rPr>
          <w:rFonts w:ascii="Arial" w:hAnsi="Arial" w:cs="Arial"/>
          <w:b/>
          <w:color w:val="000000"/>
        </w:rPr>
      </w:pPr>
    </w:p>
    <w:p w:rsidR="00E03EE0" w:rsidRDefault="00E162F6"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lastRenderedPageBreak/>
        <w:t xml:space="preserve">Ad 2: Da, v tem primeru je možno predvideti potencialno širitev obstoječe EPC na zraven ležečo enoto urejanja prostora ŠE 55. Iz vlogi priložene dokumentacije mora biti razvidno, da </w:t>
      </w:r>
      <w:r w:rsidRPr="00E162F6">
        <w:rPr>
          <w:rFonts w:ascii="Arial" w:hAnsi="Arial" w:cs="Arial"/>
          <w:b/>
          <w:color w:val="000000"/>
        </w:rPr>
        <w:t>bo nadaljnji potencial širitve EPC najmanj na minimalni površini, kot jo določa javni razpis, skladen z namensko rabo IP in/ali IG.</w:t>
      </w:r>
      <w:r w:rsidR="00E03EE0">
        <w:rPr>
          <w:rFonts w:ascii="Arial" w:hAnsi="Arial" w:cs="Arial"/>
          <w:b/>
          <w:color w:val="000000"/>
        </w:rPr>
        <w:t xml:space="preserve"> </w:t>
      </w: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Naš odgovor ne določa vnaprej </w:t>
      </w:r>
      <w:r w:rsidR="00587CFB">
        <w:rPr>
          <w:rFonts w:ascii="Arial" w:hAnsi="Arial" w:cs="Arial"/>
          <w:b/>
          <w:color w:val="000000"/>
        </w:rPr>
        <w:t>vsebinske ustreznosti</w:t>
      </w:r>
      <w:r>
        <w:rPr>
          <w:rFonts w:ascii="Arial" w:hAnsi="Arial" w:cs="Arial"/>
          <w:b/>
          <w:color w:val="000000"/>
        </w:rPr>
        <w:t xml:space="preserve"> vloge –</w:t>
      </w:r>
      <w:r w:rsidR="00587CFB">
        <w:rPr>
          <w:rFonts w:ascii="Arial" w:hAnsi="Arial" w:cs="Arial"/>
          <w:b/>
          <w:color w:val="000000"/>
        </w:rPr>
        <w:t xml:space="preserve"> </w:t>
      </w:r>
      <w:r>
        <w:rPr>
          <w:rFonts w:ascii="Arial" w:hAnsi="Arial" w:cs="Arial"/>
          <w:b/>
          <w:color w:val="000000"/>
        </w:rPr>
        <w:t xml:space="preserve">o popolnosti ter vsebinski ustreznosti vloge bo presojala komisija javnega razpisa na podlagi formalno prejete vloge </w:t>
      </w:r>
      <w:r w:rsidR="00587CFB">
        <w:rPr>
          <w:rFonts w:ascii="Arial" w:hAnsi="Arial" w:cs="Arial"/>
          <w:b/>
          <w:color w:val="000000"/>
        </w:rPr>
        <w:t>ter</w:t>
      </w:r>
      <w:r>
        <w:rPr>
          <w:rFonts w:ascii="Arial" w:hAnsi="Arial" w:cs="Arial"/>
          <w:b/>
          <w:color w:val="000000"/>
        </w:rPr>
        <w:t xml:space="preserve"> vlogi priložene dokumentacije.</w:t>
      </w:r>
    </w:p>
    <w:p w:rsidR="00587CFB" w:rsidRDefault="00587CFB" w:rsidP="00E03EE0">
      <w:pPr>
        <w:pStyle w:val="Odstavekseznama"/>
        <w:autoSpaceDE w:val="0"/>
        <w:autoSpaceDN w:val="0"/>
        <w:adjustRightInd w:val="0"/>
        <w:spacing w:after="0" w:line="240" w:lineRule="auto"/>
        <w:ind w:left="0"/>
        <w:jc w:val="both"/>
        <w:rPr>
          <w:rFonts w:ascii="Arial" w:hAnsi="Arial" w:cs="Arial"/>
          <w:b/>
          <w:color w:val="000000"/>
        </w:rPr>
      </w:pPr>
    </w:p>
    <w:p w:rsidR="009A1E3C" w:rsidRPr="009A1E3C" w:rsidRDefault="009A1E3C" w:rsidP="009A1E3C">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9A1E3C">
        <w:rPr>
          <w:rFonts w:ascii="Arial" w:hAnsi="Arial" w:cs="Arial"/>
          <w:color w:val="000000"/>
        </w:rPr>
        <w:t>Pri Javnem razpisu Podpora inovativnim ekosistemom ekonomsko-poslovne infrastrukture je v razpisni dokumentaciji v poglavju 9.2 Posebni pogoji, ki jih mora izpolnjevati prijavitelj, pri 18 točki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p>
    <w:p w:rsidR="009A1E3C" w:rsidRDefault="009A1E3C" w:rsidP="009A1E3C">
      <w:pPr>
        <w:autoSpaceDE w:val="0"/>
        <w:autoSpaceDN w:val="0"/>
        <w:adjustRightInd w:val="0"/>
        <w:spacing w:after="0" w:line="240" w:lineRule="auto"/>
        <w:ind w:firstLine="426"/>
        <w:jc w:val="both"/>
        <w:rPr>
          <w:rFonts w:ascii="Arial" w:hAnsi="Arial" w:cs="Arial"/>
          <w:color w:val="000000"/>
        </w:rPr>
      </w:pPr>
    </w:p>
    <w:p w:rsidR="009A1E3C" w:rsidRP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Nadalje, pa je v razpisu navedeno, kazalnik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malih in srednjih podjetij (MSP; v % glede na nove uporabne površine)« se meri kot odstotek uporabnih površin v EPC, ki so namenjene podjetniški dejavnosti (najem ali nakup zemljišča v EPC v m2) glede na vse nove uporabne površine EPC, namenjene podjetniški dejavnosti. Šteje se, da se podjetniška dejavnost izvaja, v kolikor MSP izvaja običajne poslovne procese. V uporabno površino EPC se ne štejejo površine, kot so cesta, zelenica, parkirišča (razen tista, ki so namenjena za posamezna podjetja v EPC), morebitni ekološki otoki, ipd..</w:t>
      </w:r>
    </w:p>
    <w:p w:rsidR="009A1E3C" w:rsidRPr="009A1E3C" w:rsidRDefault="009A1E3C" w:rsidP="009A1E3C">
      <w:pPr>
        <w:pStyle w:val="Odstavekseznama"/>
        <w:autoSpaceDE w:val="0"/>
        <w:autoSpaceDN w:val="0"/>
        <w:adjustRightInd w:val="0"/>
        <w:spacing w:after="0" w:line="240" w:lineRule="auto"/>
        <w:jc w:val="both"/>
        <w:rPr>
          <w:rFonts w:ascii="Arial" w:hAnsi="Arial" w:cs="Arial"/>
          <w:color w:val="000000"/>
        </w:rPr>
      </w:pPr>
    </w:p>
    <w:p w:rsid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Nedoseganje kazalnikov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xml:space="preserve">, malih in srednjih podjetij (MSP; v % glede na nove uporabne površine)«, je lahko razlog za vračilo sredstev. </w:t>
      </w:r>
    </w:p>
    <w:p w:rsidR="009A1E3C" w:rsidRDefault="009A1E3C" w:rsidP="009A1E3C">
      <w:pPr>
        <w:autoSpaceDE w:val="0"/>
        <w:autoSpaceDN w:val="0"/>
        <w:adjustRightInd w:val="0"/>
        <w:spacing w:after="0" w:line="240" w:lineRule="auto"/>
        <w:ind w:left="426"/>
        <w:jc w:val="both"/>
        <w:rPr>
          <w:rFonts w:ascii="Arial" w:hAnsi="Arial" w:cs="Arial"/>
          <w:color w:val="000000"/>
        </w:rPr>
      </w:pPr>
    </w:p>
    <w:p w:rsidR="00E162F6" w:rsidRPr="009A1E3C" w:rsidRDefault="009A1E3C" w:rsidP="009A1E3C">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Pr="009A1E3C">
        <w:rPr>
          <w:rFonts w:ascii="Arial" w:hAnsi="Arial" w:cs="Arial"/>
          <w:color w:val="000000"/>
        </w:rPr>
        <w:t xml:space="preserve">rosimo vas za obrazložitev, </w:t>
      </w:r>
      <w:r w:rsidRPr="009A1E3C">
        <w:rPr>
          <w:rFonts w:ascii="Arial" w:hAnsi="Arial" w:cs="Arial"/>
          <w:b/>
          <w:color w:val="000000"/>
        </w:rPr>
        <w:t>kaj pomeni  »zasedenost novih prostih uporabnih površin EPC s strani MSP« v povezavi s stavkom »Šteje se, da se podjetniška dejavnost izvaja, v kolikor MSP izvaja običajne poslovne procese.« Ali zadostuje za zasedenost ureditev odprtega skladišča ali pa npr. postavitev skladiščnega šotora</w:t>
      </w:r>
      <w:r w:rsidRPr="009A1E3C">
        <w:rPr>
          <w:rFonts w:ascii="Arial" w:hAnsi="Arial" w:cs="Arial"/>
          <w:color w:val="000000"/>
        </w:rPr>
        <w:t>?</w:t>
      </w:r>
    </w:p>
    <w:p w:rsidR="00E162F6" w:rsidRPr="009A1E3C" w:rsidRDefault="00E162F6" w:rsidP="00E162F6">
      <w:pPr>
        <w:pStyle w:val="Odstavekseznama"/>
        <w:autoSpaceDE w:val="0"/>
        <w:autoSpaceDN w:val="0"/>
        <w:adjustRightInd w:val="0"/>
        <w:spacing w:after="0" w:line="240" w:lineRule="auto"/>
        <w:ind w:left="0"/>
        <w:jc w:val="both"/>
        <w:rPr>
          <w:rFonts w:ascii="Arial" w:hAnsi="Arial" w:cs="Arial"/>
          <w:color w:val="000000"/>
        </w:rPr>
      </w:pPr>
    </w:p>
    <w:p w:rsidR="00E162F6" w:rsidRPr="009A1E3C" w:rsidRDefault="009A1E3C" w:rsidP="00E162F6">
      <w:pPr>
        <w:pStyle w:val="Odstavekseznama"/>
        <w:autoSpaceDE w:val="0"/>
        <w:autoSpaceDN w:val="0"/>
        <w:adjustRightInd w:val="0"/>
        <w:spacing w:after="0" w:line="240" w:lineRule="auto"/>
        <w:ind w:left="0"/>
        <w:jc w:val="both"/>
        <w:rPr>
          <w:rFonts w:ascii="Arial" w:hAnsi="Arial" w:cs="Arial"/>
          <w:b/>
          <w:color w:val="000000"/>
        </w:rPr>
      </w:pPr>
      <w:r w:rsidRPr="009A1E3C">
        <w:rPr>
          <w:rFonts w:ascii="Arial" w:hAnsi="Arial" w:cs="Arial"/>
          <w:b/>
          <w:color w:val="000000"/>
        </w:rPr>
        <w:t xml:space="preserve">ODGOVOR: </w:t>
      </w:r>
      <w:r>
        <w:rPr>
          <w:rFonts w:ascii="Arial" w:hAnsi="Arial" w:cs="Arial"/>
          <w:b/>
          <w:color w:val="000000"/>
        </w:rPr>
        <w:t xml:space="preserve">Glejte odgovor na vprašanje pod </w:t>
      </w:r>
      <w:proofErr w:type="spellStart"/>
      <w:r>
        <w:rPr>
          <w:rFonts w:ascii="Arial" w:hAnsi="Arial" w:cs="Arial"/>
          <w:b/>
          <w:color w:val="000000"/>
        </w:rPr>
        <w:t>zap</w:t>
      </w:r>
      <w:proofErr w:type="spellEnd"/>
      <w:r>
        <w:rPr>
          <w:rFonts w:ascii="Arial" w:hAnsi="Arial" w:cs="Arial"/>
          <w:b/>
          <w:color w:val="000000"/>
        </w:rPr>
        <w:t>. št. 37.</w:t>
      </w:r>
      <w:bookmarkStart w:id="0" w:name="_GoBack"/>
      <w:bookmarkEnd w:id="0"/>
    </w:p>
    <w:sectPr w:rsidR="00E162F6" w:rsidRPr="009A1E3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12" w:rsidRDefault="00EA3E12" w:rsidP="00F5631D">
      <w:pPr>
        <w:spacing w:after="0" w:line="240" w:lineRule="auto"/>
      </w:pPr>
      <w:r>
        <w:separator/>
      </w:r>
    </w:p>
  </w:endnote>
  <w:endnote w:type="continuationSeparator" w:id="0">
    <w:p w:rsidR="00EA3E12" w:rsidRDefault="00EA3E12"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8D7256" w:rsidRDefault="008D7256">
        <w:pPr>
          <w:pStyle w:val="Noga"/>
          <w:jc w:val="center"/>
        </w:pPr>
        <w:r>
          <w:fldChar w:fldCharType="begin"/>
        </w:r>
        <w:r>
          <w:instrText>PAGE   \* MERGEFORMAT</w:instrText>
        </w:r>
        <w:r>
          <w:fldChar w:fldCharType="separate"/>
        </w:r>
        <w:r w:rsidR="009A1E3C">
          <w:rPr>
            <w:noProof/>
          </w:rPr>
          <w:t>25</w:t>
        </w:r>
        <w:r>
          <w:fldChar w:fldCharType="end"/>
        </w:r>
      </w:p>
    </w:sdtContent>
  </w:sdt>
  <w:p w:rsidR="008D7256" w:rsidRDefault="008D72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12" w:rsidRDefault="00EA3E12" w:rsidP="00F5631D">
      <w:pPr>
        <w:spacing w:after="0" w:line="240" w:lineRule="auto"/>
      </w:pPr>
      <w:r>
        <w:separator/>
      </w:r>
    </w:p>
  </w:footnote>
  <w:footnote w:type="continuationSeparator" w:id="0">
    <w:p w:rsidR="00EA3E12" w:rsidRDefault="00EA3E12"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56" w:rsidRDefault="008D7256"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8D7256" w:rsidRDefault="008D725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6112B"/>
    <w:rsid w:val="0007157F"/>
    <w:rsid w:val="000724C2"/>
    <w:rsid w:val="00076849"/>
    <w:rsid w:val="00080ED5"/>
    <w:rsid w:val="0008104E"/>
    <w:rsid w:val="000B792D"/>
    <w:rsid w:val="000E0099"/>
    <w:rsid w:val="00100EE3"/>
    <w:rsid w:val="001022B3"/>
    <w:rsid w:val="00115525"/>
    <w:rsid w:val="00157A0D"/>
    <w:rsid w:val="0017185B"/>
    <w:rsid w:val="001813EB"/>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F2E"/>
    <w:rsid w:val="00377C9E"/>
    <w:rsid w:val="00394128"/>
    <w:rsid w:val="003A7818"/>
    <w:rsid w:val="003C6767"/>
    <w:rsid w:val="003D4308"/>
    <w:rsid w:val="003E2D71"/>
    <w:rsid w:val="003F0F06"/>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F286E"/>
    <w:rsid w:val="00511A96"/>
    <w:rsid w:val="00514917"/>
    <w:rsid w:val="00522016"/>
    <w:rsid w:val="00547C31"/>
    <w:rsid w:val="0057569C"/>
    <w:rsid w:val="00587CFB"/>
    <w:rsid w:val="005B4760"/>
    <w:rsid w:val="005D1F7C"/>
    <w:rsid w:val="005D3A47"/>
    <w:rsid w:val="005E52EE"/>
    <w:rsid w:val="005E7D76"/>
    <w:rsid w:val="006017BE"/>
    <w:rsid w:val="00634A02"/>
    <w:rsid w:val="00662D97"/>
    <w:rsid w:val="006637A7"/>
    <w:rsid w:val="00663FCD"/>
    <w:rsid w:val="00664761"/>
    <w:rsid w:val="00667350"/>
    <w:rsid w:val="00673EDB"/>
    <w:rsid w:val="006A249C"/>
    <w:rsid w:val="006A5D92"/>
    <w:rsid w:val="006D49BA"/>
    <w:rsid w:val="006E24FC"/>
    <w:rsid w:val="00703F55"/>
    <w:rsid w:val="007067C5"/>
    <w:rsid w:val="00717540"/>
    <w:rsid w:val="00732108"/>
    <w:rsid w:val="00732E94"/>
    <w:rsid w:val="007544D9"/>
    <w:rsid w:val="00777443"/>
    <w:rsid w:val="00795CCF"/>
    <w:rsid w:val="007C4987"/>
    <w:rsid w:val="007D0EB6"/>
    <w:rsid w:val="007D5769"/>
    <w:rsid w:val="00801D95"/>
    <w:rsid w:val="00810C01"/>
    <w:rsid w:val="00812016"/>
    <w:rsid w:val="00820DB4"/>
    <w:rsid w:val="00845691"/>
    <w:rsid w:val="008560E5"/>
    <w:rsid w:val="008C761A"/>
    <w:rsid w:val="008D7256"/>
    <w:rsid w:val="008F4DBC"/>
    <w:rsid w:val="00930F20"/>
    <w:rsid w:val="0093337F"/>
    <w:rsid w:val="00944A63"/>
    <w:rsid w:val="009476C9"/>
    <w:rsid w:val="00980AE5"/>
    <w:rsid w:val="0098379E"/>
    <w:rsid w:val="00987930"/>
    <w:rsid w:val="009A1E3C"/>
    <w:rsid w:val="009C5795"/>
    <w:rsid w:val="00A26989"/>
    <w:rsid w:val="00A566FC"/>
    <w:rsid w:val="00A804E8"/>
    <w:rsid w:val="00A90595"/>
    <w:rsid w:val="00AA06E6"/>
    <w:rsid w:val="00AA3689"/>
    <w:rsid w:val="00AB1FA8"/>
    <w:rsid w:val="00AC05AF"/>
    <w:rsid w:val="00AD38AF"/>
    <w:rsid w:val="00AD52B0"/>
    <w:rsid w:val="00AE1B4A"/>
    <w:rsid w:val="00B148D3"/>
    <w:rsid w:val="00B419EE"/>
    <w:rsid w:val="00B41A2F"/>
    <w:rsid w:val="00B51FEE"/>
    <w:rsid w:val="00B75900"/>
    <w:rsid w:val="00B95C01"/>
    <w:rsid w:val="00BA5C1F"/>
    <w:rsid w:val="00BC4CE9"/>
    <w:rsid w:val="00C15032"/>
    <w:rsid w:val="00C4676B"/>
    <w:rsid w:val="00C47C49"/>
    <w:rsid w:val="00C60CDF"/>
    <w:rsid w:val="00C651CF"/>
    <w:rsid w:val="00C76720"/>
    <w:rsid w:val="00C806A2"/>
    <w:rsid w:val="00CA4DD3"/>
    <w:rsid w:val="00CD55D0"/>
    <w:rsid w:val="00D12794"/>
    <w:rsid w:val="00D405D3"/>
    <w:rsid w:val="00D51CA0"/>
    <w:rsid w:val="00D766DC"/>
    <w:rsid w:val="00D9421B"/>
    <w:rsid w:val="00D95DD8"/>
    <w:rsid w:val="00D96951"/>
    <w:rsid w:val="00DE3D24"/>
    <w:rsid w:val="00DE7C3C"/>
    <w:rsid w:val="00E03EE0"/>
    <w:rsid w:val="00E1125E"/>
    <w:rsid w:val="00E162F6"/>
    <w:rsid w:val="00E60D34"/>
    <w:rsid w:val="00E705EC"/>
    <w:rsid w:val="00E71FEC"/>
    <w:rsid w:val="00E759B3"/>
    <w:rsid w:val="00E84310"/>
    <w:rsid w:val="00EA3E12"/>
    <w:rsid w:val="00EA68B6"/>
    <w:rsid w:val="00EC784A"/>
    <w:rsid w:val="00F07836"/>
    <w:rsid w:val="00F514C1"/>
    <w:rsid w:val="00F54B4B"/>
    <w:rsid w:val="00F5631D"/>
    <w:rsid w:val="00F5663D"/>
    <w:rsid w:val="00F63672"/>
    <w:rsid w:val="00F72D82"/>
    <w:rsid w:val="00F87B10"/>
    <w:rsid w:val="00F923D5"/>
    <w:rsid w:val="00F972CB"/>
    <w:rsid w:val="00FC38E9"/>
    <w:rsid w:val="00FD76F0"/>
    <w:rsid w:val="00FE48E1"/>
    <w:rsid w:val="00FE4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CD3B"/>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11335</Words>
  <Characters>64611</Characters>
  <Application>Microsoft Office Word</Application>
  <DocSecurity>0</DocSecurity>
  <Lines>538</Lines>
  <Paragraphs>151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8</cp:revision>
  <dcterms:created xsi:type="dcterms:W3CDTF">2022-04-13T05:35:00Z</dcterms:created>
  <dcterms:modified xsi:type="dcterms:W3CDTF">2022-04-14T06:05:00Z</dcterms:modified>
</cp:coreProperties>
</file>